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A328C" w14:textId="77777777" w:rsidR="002C50EE" w:rsidRPr="00E62AF8" w:rsidRDefault="002C50EE" w:rsidP="002C50EE">
      <w:pPr>
        <w:pStyle w:val="Heading1"/>
        <w:jc w:val="center"/>
        <w:rPr>
          <w:lang w:val="bg-BG"/>
        </w:rPr>
      </w:pPr>
      <w:bookmarkStart w:id="0" w:name="_Hlk63124480"/>
      <w:r w:rsidRPr="00E62AF8">
        <w:rPr>
          <w:lang w:val="bg-BG"/>
        </w:rPr>
        <w:t>КРАТКА ХАРАКТЕРИСТИКА НА ПРОДУКТА</w:t>
      </w:r>
    </w:p>
    <w:p w14:paraId="6AF1D2F0" w14:textId="581E1C29" w:rsidR="002C50EE" w:rsidRPr="00E62AF8" w:rsidRDefault="00A427BA" w:rsidP="00A427BA">
      <w:pPr>
        <w:pStyle w:val="Heading1"/>
        <w:rPr>
          <w:lang w:val="bg-BG"/>
        </w:rPr>
      </w:pPr>
      <w:r w:rsidRPr="00E62AF8">
        <w:rPr>
          <w:lang w:val="bg-BG"/>
        </w:rPr>
        <w:t xml:space="preserve">1. </w:t>
      </w:r>
      <w:r w:rsidR="002C50EE" w:rsidRPr="00E62AF8">
        <w:rPr>
          <w:lang w:val="bg-BG"/>
        </w:rPr>
        <w:t>ИМЕ НА ЛЕКАРСТВЕНИЯ ПРОДУКТ</w:t>
      </w:r>
    </w:p>
    <w:p w14:paraId="1B70E65F" w14:textId="77777777" w:rsidR="00A427BA" w:rsidRPr="00E62AF8" w:rsidRDefault="00A427BA" w:rsidP="00A427BA">
      <w:pPr>
        <w:rPr>
          <w:sz w:val="24"/>
          <w:szCs w:val="24"/>
          <w:lang w:val="bg-BG"/>
        </w:rPr>
      </w:pPr>
      <w:proofErr w:type="spellStart"/>
      <w:r w:rsidRPr="00E62AF8">
        <w:rPr>
          <w:lang w:val="bg-BG" w:eastAsia="bg-BG"/>
        </w:rPr>
        <w:t>Медокапрон</w:t>
      </w:r>
      <w:proofErr w:type="spellEnd"/>
      <w:r w:rsidRPr="00E62AF8">
        <w:rPr>
          <w:lang w:val="bg-BG" w:eastAsia="bg-BG"/>
        </w:rPr>
        <w:t xml:space="preserve"> 100 </w:t>
      </w:r>
      <w:proofErr w:type="spellStart"/>
      <w:r w:rsidRPr="00E62AF8">
        <w:rPr>
          <w:lang w:val="bg-BG"/>
        </w:rPr>
        <w:t>mg</w:t>
      </w:r>
      <w:proofErr w:type="spellEnd"/>
      <w:r w:rsidRPr="00E62AF8">
        <w:rPr>
          <w:lang w:val="bg-BG"/>
        </w:rPr>
        <w:t xml:space="preserve">/ml </w:t>
      </w:r>
      <w:r w:rsidRPr="00E62AF8">
        <w:rPr>
          <w:lang w:val="bg-BG" w:eastAsia="bg-BG"/>
        </w:rPr>
        <w:t>инжекционен разтвор</w:t>
      </w:r>
    </w:p>
    <w:p w14:paraId="579C94BE" w14:textId="55428A0D" w:rsidR="00A427BA" w:rsidRPr="00E62AF8" w:rsidRDefault="00A427BA" w:rsidP="00A427BA">
      <w:pPr>
        <w:rPr>
          <w:lang w:val="bg-BG"/>
        </w:rPr>
      </w:pPr>
      <w:proofErr w:type="spellStart"/>
      <w:r w:rsidRPr="00E62AF8">
        <w:rPr>
          <w:lang w:val="bg-BG"/>
        </w:rPr>
        <w:t>Medocapron</w:t>
      </w:r>
      <w:proofErr w:type="spellEnd"/>
      <w:r w:rsidRPr="00E62AF8">
        <w:rPr>
          <w:lang w:val="bg-BG"/>
        </w:rPr>
        <w:t xml:space="preserve"> </w:t>
      </w:r>
      <w:r w:rsidRPr="00E62AF8">
        <w:rPr>
          <w:lang w:val="bg-BG" w:eastAsia="bg-BG"/>
        </w:rPr>
        <w:t xml:space="preserve">100 </w:t>
      </w:r>
      <w:proofErr w:type="spellStart"/>
      <w:r w:rsidRPr="00E62AF8">
        <w:rPr>
          <w:lang w:val="bg-BG"/>
        </w:rPr>
        <w:t>mg</w:t>
      </w:r>
      <w:proofErr w:type="spellEnd"/>
      <w:r w:rsidRPr="00E62AF8">
        <w:rPr>
          <w:lang w:val="bg-BG"/>
        </w:rPr>
        <w:t xml:space="preserve">/ml </w:t>
      </w:r>
      <w:proofErr w:type="spellStart"/>
      <w:r w:rsidRPr="00E62AF8">
        <w:rPr>
          <w:lang w:val="bg-BG"/>
        </w:rPr>
        <w:t>solution</w:t>
      </w:r>
      <w:proofErr w:type="spellEnd"/>
      <w:r w:rsidRPr="00E62AF8">
        <w:rPr>
          <w:lang w:val="bg-BG"/>
        </w:rPr>
        <w:t xml:space="preserve"> </w:t>
      </w:r>
      <w:proofErr w:type="spellStart"/>
      <w:r w:rsidRPr="00E62AF8">
        <w:rPr>
          <w:lang w:val="bg-BG"/>
        </w:rPr>
        <w:t>for</w:t>
      </w:r>
      <w:proofErr w:type="spellEnd"/>
      <w:r w:rsidRPr="00E62AF8">
        <w:rPr>
          <w:lang w:val="bg-BG"/>
        </w:rPr>
        <w:t xml:space="preserve"> </w:t>
      </w:r>
      <w:proofErr w:type="spellStart"/>
      <w:r w:rsidRPr="00E62AF8">
        <w:rPr>
          <w:lang w:val="bg-BG"/>
        </w:rPr>
        <w:t>injection</w:t>
      </w:r>
      <w:proofErr w:type="spellEnd"/>
    </w:p>
    <w:p w14:paraId="5A36363A" w14:textId="27E8E6A4" w:rsidR="002C50EE" w:rsidRPr="00E62AF8" w:rsidRDefault="002C50EE" w:rsidP="002C50EE">
      <w:pPr>
        <w:pStyle w:val="Heading1"/>
        <w:rPr>
          <w:lang w:val="bg-BG"/>
        </w:rPr>
      </w:pPr>
      <w:r w:rsidRPr="00E62AF8">
        <w:rPr>
          <w:lang w:val="bg-BG"/>
        </w:rPr>
        <w:t>2. КАЧЕСТВЕН И КОЛИЧЕСТВЕН СЪСТАВ</w:t>
      </w:r>
    </w:p>
    <w:p w14:paraId="2CE4E34B" w14:textId="698B1D26" w:rsidR="00A427BA" w:rsidRPr="00E62AF8" w:rsidRDefault="00A427BA" w:rsidP="00A427BA">
      <w:pPr>
        <w:rPr>
          <w:lang w:val="bg-BG"/>
        </w:rPr>
      </w:pPr>
      <w:r w:rsidRPr="00E62AF8">
        <w:rPr>
          <w:lang w:val="bg-BG"/>
        </w:rPr>
        <w:t xml:space="preserve">1ml съдържа: 100 </w:t>
      </w:r>
      <w:proofErr w:type="spellStart"/>
      <w:r w:rsidRPr="00E62AF8">
        <w:rPr>
          <w:lang w:val="bg-BG"/>
        </w:rPr>
        <w:t>mg</w:t>
      </w:r>
      <w:proofErr w:type="spellEnd"/>
      <w:r w:rsidRPr="00E62AF8">
        <w:rPr>
          <w:lang w:val="bg-BG"/>
        </w:rPr>
        <w:t xml:space="preserve"> </w:t>
      </w:r>
      <w:proofErr w:type="spellStart"/>
      <w:r w:rsidRPr="00E62AF8">
        <w:rPr>
          <w:lang w:val="bg-BG"/>
        </w:rPr>
        <w:t>транексамова</w:t>
      </w:r>
      <w:proofErr w:type="spellEnd"/>
      <w:r w:rsidRPr="00E62AF8">
        <w:rPr>
          <w:lang w:val="bg-BG"/>
        </w:rPr>
        <w:t xml:space="preserve"> киселина (</w:t>
      </w:r>
      <w:proofErr w:type="spellStart"/>
      <w:r w:rsidRPr="00E62AF8">
        <w:rPr>
          <w:lang w:val="bg-BG"/>
        </w:rPr>
        <w:t>tranexamic</w:t>
      </w:r>
      <w:proofErr w:type="spellEnd"/>
      <w:r w:rsidRPr="00E62AF8">
        <w:rPr>
          <w:lang w:val="bg-BG"/>
        </w:rPr>
        <w:t xml:space="preserve"> </w:t>
      </w:r>
      <w:proofErr w:type="spellStart"/>
      <w:r w:rsidRPr="00E62AF8">
        <w:rPr>
          <w:lang w:val="bg-BG"/>
        </w:rPr>
        <w:t>acid</w:t>
      </w:r>
      <w:proofErr w:type="spellEnd"/>
      <w:r w:rsidRPr="00E62AF8">
        <w:rPr>
          <w:lang w:val="bg-BG"/>
        </w:rPr>
        <w:t>).</w:t>
      </w:r>
    </w:p>
    <w:p w14:paraId="6CCB29CE" w14:textId="18EA20DC" w:rsidR="002C50EE" w:rsidRPr="00E62AF8" w:rsidRDefault="002C50EE" w:rsidP="002C50EE">
      <w:pPr>
        <w:pStyle w:val="Heading1"/>
        <w:rPr>
          <w:lang w:val="bg-BG"/>
        </w:rPr>
      </w:pPr>
      <w:r w:rsidRPr="00E62AF8">
        <w:rPr>
          <w:lang w:val="bg-BG"/>
        </w:rPr>
        <w:t>3. ЛЕКАРСТВЕНА ФОРМА</w:t>
      </w:r>
    </w:p>
    <w:p w14:paraId="63063298" w14:textId="77777777" w:rsidR="00A427BA" w:rsidRPr="00E62AF8" w:rsidRDefault="00A427BA" w:rsidP="00A427BA">
      <w:pPr>
        <w:rPr>
          <w:sz w:val="24"/>
          <w:szCs w:val="24"/>
          <w:lang w:val="bg-BG"/>
        </w:rPr>
      </w:pPr>
      <w:r w:rsidRPr="00E62AF8">
        <w:rPr>
          <w:lang w:val="bg-BG" w:eastAsia="bg-BG"/>
        </w:rPr>
        <w:t>Инжекционен разтвор</w:t>
      </w:r>
    </w:p>
    <w:p w14:paraId="7FCFE521" w14:textId="77777777" w:rsidR="00A427BA" w:rsidRPr="00E62AF8" w:rsidRDefault="00A427BA" w:rsidP="00A427BA">
      <w:pPr>
        <w:rPr>
          <w:sz w:val="24"/>
          <w:szCs w:val="24"/>
          <w:lang w:val="bg-BG"/>
        </w:rPr>
      </w:pPr>
      <w:r w:rsidRPr="00E62AF8">
        <w:rPr>
          <w:lang w:val="bg-BG" w:eastAsia="bg-BG"/>
        </w:rPr>
        <w:t xml:space="preserve">Прозрачен, безцветен разтвор, </w:t>
      </w:r>
      <w:proofErr w:type="spellStart"/>
      <w:r w:rsidRPr="00E62AF8">
        <w:rPr>
          <w:lang w:val="bg-BG"/>
        </w:rPr>
        <w:t>pH</w:t>
      </w:r>
      <w:proofErr w:type="spellEnd"/>
      <w:r w:rsidRPr="00E62AF8">
        <w:rPr>
          <w:lang w:val="bg-BG"/>
        </w:rPr>
        <w:t xml:space="preserve"> </w:t>
      </w:r>
      <w:r w:rsidRPr="00E62AF8">
        <w:rPr>
          <w:lang w:val="bg-BG" w:eastAsia="bg-BG"/>
        </w:rPr>
        <w:t>6.5 до 8.0.</w:t>
      </w:r>
    </w:p>
    <w:p w14:paraId="68FB5A88" w14:textId="77777777" w:rsidR="00A427BA" w:rsidRPr="00E62AF8" w:rsidRDefault="00A427BA" w:rsidP="00A427BA">
      <w:pPr>
        <w:rPr>
          <w:lang w:val="bg-BG"/>
        </w:rPr>
      </w:pPr>
    </w:p>
    <w:p w14:paraId="490FC2C4" w14:textId="77777777" w:rsidR="002C50EE" w:rsidRPr="00E62AF8" w:rsidRDefault="002C50EE" w:rsidP="002C50EE">
      <w:pPr>
        <w:pStyle w:val="Heading1"/>
        <w:rPr>
          <w:lang w:val="bg-BG"/>
        </w:rPr>
      </w:pPr>
      <w:r w:rsidRPr="00E62AF8">
        <w:rPr>
          <w:lang w:val="bg-BG"/>
        </w:rPr>
        <w:t>4. КЛИНИЧНИ ДАННИ</w:t>
      </w:r>
    </w:p>
    <w:p w14:paraId="7CAFA7A6" w14:textId="6596231D" w:rsidR="002C50EE" w:rsidRPr="00E62AF8" w:rsidRDefault="002C50EE" w:rsidP="002C50EE">
      <w:pPr>
        <w:pStyle w:val="Heading2"/>
        <w:rPr>
          <w:lang w:val="bg-BG"/>
        </w:rPr>
      </w:pPr>
      <w:r w:rsidRPr="00E62AF8">
        <w:rPr>
          <w:lang w:val="bg-BG"/>
        </w:rPr>
        <w:t>4.1. Терапевтични показания</w:t>
      </w:r>
    </w:p>
    <w:p w14:paraId="0D737045" w14:textId="77777777" w:rsidR="00A427BA" w:rsidRPr="00E62AF8" w:rsidRDefault="00A427BA" w:rsidP="00A427BA">
      <w:pPr>
        <w:rPr>
          <w:sz w:val="24"/>
          <w:szCs w:val="24"/>
          <w:lang w:val="bg-BG"/>
        </w:rPr>
      </w:pPr>
      <w:r w:rsidRPr="00E62AF8">
        <w:rPr>
          <w:lang w:val="bg-BG" w:eastAsia="bg-BG"/>
        </w:rPr>
        <w:t xml:space="preserve">Профилактика и лечение на кръвоизливи, дължащи се на генерализирана или локализирана </w:t>
      </w:r>
      <w:proofErr w:type="spellStart"/>
      <w:r w:rsidRPr="00E62AF8">
        <w:rPr>
          <w:lang w:val="bg-BG" w:eastAsia="bg-BG"/>
        </w:rPr>
        <w:t>фибринолиза</w:t>
      </w:r>
      <w:proofErr w:type="spellEnd"/>
      <w:r w:rsidRPr="00E62AF8">
        <w:rPr>
          <w:lang w:val="bg-BG" w:eastAsia="bg-BG"/>
        </w:rPr>
        <w:t xml:space="preserve"> при възрастни и деца над 1 година.</w:t>
      </w:r>
    </w:p>
    <w:p w14:paraId="4BCE00C0" w14:textId="39F2B9C7" w:rsidR="00A427BA" w:rsidRPr="00E62AF8" w:rsidRDefault="00A427BA" w:rsidP="00A427BA">
      <w:pPr>
        <w:rPr>
          <w:lang w:val="bg-BG" w:eastAsia="bg-BG"/>
        </w:rPr>
      </w:pPr>
      <w:r w:rsidRPr="00E62AF8">
        <w:rPr>
          <w:lang w:val="bg-BG" w:eastAsia="bg-BG"/>
        </w:rPr>
        <w:t>Специфичните показания включват:</w:t>
      </w:r>
    </w:p>
    <w:p w14:paraId="5EEB44C8" w14:textId="0AF20C8F" w:rsidR="00A427BA" w:rsidRPr="00E62AF8" w:rsidRDefault="00A427BA" w:rsidP="00A427BA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62AF8">
        <w:rPr>
          <w:lang w:val="bg-BG" w:eastAsia="bg-BG"/>
        </w:rPr>
        <w:t xml:space="preserve">Кръвоизливи, причинени от генерализирана или локализирана </w:t>
      </w:r>
      <w:proofErr w:type="spellStart"/>
      <w:r w:rsidRPr="00E62AF8">
        <w:rPr>
          <w:lang w:val="bg-BG" w:eastAsia="bg-BG"/>
        </w:rPr>
        <w:t>фибринолиза</w:t>
      </w:r>
      <w:proofErr w:type="spellEnd"/>
      <w:r w:rsidRPr="00E62AF8">
        <w:rPr>
          <w:lang w:val="bg-BG" w:eastAsia="bg-BG"/>
        </w:rPr>
        <w:t xml:space="preserve"> като:</w:t>
      </w:r>
    </w:p>
    <w:p w14:paraId="33C6334A" w14:textId="77777777" w:rsidR="00A427BA" w:rsidRPr="00E62AF8" w:rsidRDefault="00A427BA" w:rsidP="00A427BA">
      <w:pPr>
        <w:pStyle w:val="ListParagraph"/>
        <w:numPr>
          <w:ilvl w:val="0"/>
          <w:numId w:val="13"/>
        </w:numPr>
        <w:rPr>
          <w:sz w:val="24"/>
          <w:szCs w:val="24"/>
          <w:lang w:val="bg-BG"/>
        </w:rPr>
      </w:pPr>
      <w:proofErr w:type="spellStart"/>
      <w:r w:rsidRPr="00E62AF8">
        <w:rPr>
          <w:lang w:val="bg-BG" w:eastAsia="bg-BG"/>
        </w:rPr>
        <w:t>Менорагия</w:t>
      </w:r>
      <w:proofErr w:type="spellEnd"/>
      <w:r w:rsidRPr="00E62AF8">
        <w:rPr>
          <w:lang w:val="bg-BG" w:eastAsia="bg-BG"/>
        </w:rPr>
        <w:t xml:space="preserve"> и </w:t>
      </w:r>
      <w:proofErr w:type="spellStart"/>
      <w:r w:rsidRPr="00E62AF8">
        <w:rPr>
          <w:lang w:val="bg-BG" w:eastAsia="bg-BG"/>
        </w:rPr>
        <w:t>метрорагия</w:t>
      </w:r>
      <w:proofErr w:type="spellEnd"/>
      <w:r w:rsidRPr="00E62AF8">
        <w:rPr>
          <w:lang w:val="bg-BG" w:eastAsia="bg-BG"/>
        </w:rPr>
        <w:t>,</w:t>
      </w:r>
    </w:p>
    <w:p w14:paraId="3C974D59" w14:textId="77777777" w:rsidR="00A427BA" w:rsidRPr="00E62AF8" w:rsidRDefault="00A427BA" w:rsidP="00A427BA">
      <w:pPr>
        <w:pStyle w:val="ListParagraph"/>
        <w:numPr>
          <w:ilvl w:val="0"/>
          <w:numId w:val="13"/>
        </w:numPr>
        <w:rPr>
          <w:sz w:val="24"/>
          <w:szCs w:val="24"/>
          <w:lang w:val="bg-BG"/>
        </w:rPr>
      </w:pPr>
      <w:r w:rsidRPr="00E62AF8">
        <w:rPr>
          <w:lang w:val="bg-BG" w:eastAsia="bg-BG"/>
        </w:rPr>
        <w:t>Стомашно-чревно кървене,</w:t>
      </w:r>
    </w:p>
    <w:p w14:paraId="4DADF02B" w14:textId="1A90B5B3" w:rsidR="00A427BA" w:rsidRPr="00E62AF8" w:rsidRDefault="00A427BA" w:rsidP="00A427BA">
      <w:pPr>
        <w:pStyle w:val="ListParagraph"/>
        <w:numPr>
          <w:ilvl w:val="0"/>
          <w:numId w:val="13"/>
        </w:numPr>
        <w:rPr>
          <w:sz w:val="24"/>
          <w:szCs w:val="24"/>
          <w:lang w:val="bg-BG"/>
        </w:rPr>
      </w:pPr>
      <w:r w:rsidRPr="00E62AF8">
        <w:rPr>
          <w:lang w:val="bg-BG" w:eastAsia="bg-BG"/>
        </w:rPr>
        <w:t>Хеморагични нарушения на пикочните пътища, вследствие операция на простатата или хирургични процедури, свързани с пикочните пътища</w:t>
      </w:r>
    </w:p>
    <w:p w14:paraId="7E7F43BA" w14:textId="46D9F7CF" w:rsidR="00A427BA" w:rsidRPr="00E62AF8" w:rsidRDefault="00A427BA" w:rsidP="00A427BA">
      <w:pPr>
        <w:pStyle w:val="ListParagraph"/>
        <w:numPr>
          <w:ilvl w:val="0"/>
          <w:numId w:val="12"/>
        </w:numPr>
        <w:rPr>
          <w:sz w:val="24"/>
          <w:szCs w:val="24"/>
          <w:lang w:val="bg-BG"/>
        </w:rPr>
      </w:pPr>
      <w:r w:rsidRPr="00E62AF8">
        <w:rPr>
          <w:lang w:val="bg-BG" w:eastAsia="bg-BG"/>
        </w:rPr>
        <w:t>Операция на уши, нос, гърло (</w:t>
      </w:r>
      <w:proofErr w:type="spellStart"/>
      <w:r w:rsidRPr="00E62AF8">
        <w:rPr>
          <w:lang w:val="bg-BG" w:eastAsia="bg-BG"/>
        </w:rPr>
        <w:t>аденоидектомия</w:t>
      </w:r>
      <w:proofErr w:type="spellEnd"/>
      <w:r w:rsidRPr="00E62AF8">
        <w:rPr>
          <w:lang w:val="bg-BG" w:eastAsia="bg-BG"/>
        </w:rPr>
        <w:t xml:space="preserve">, </w:t>
      </w:r>
      <w:proofErr w:type="spellStart"/>
      <w:r w:rsidRPr="00E62AF8">
        <w:rPr>
          <w:lang w:val="bg-BG" w:eastAsia="bg-BG"/>
        </w:rPr>
        <w:t>тонзилектомия</w:t>
      </w:r>
      <w:proofErr w:type="spellEnd"/>
      <w:r w:rsidRPr="00E62AF8">
        <w:rPr>
          <w:lang w:val="bg-BG" w:eastAsia="bg-BG"/>
        </w:rPr>
        <w:t>, зъбни екстракции);</w:t>
      </w:r>
    </w:p>
    <w:p w14:paraId="735625B0" w14:textId="1EF3DC61" w:rsidR="00A427BA" w:rsidRPr="00E62AF8" w:rsidRDefault="00A427BA" w:rsidP="00A427BA">
      <w:pPr>
        <w:pStyle w:val="ListParagraph"/>
        <w:numPr>
          <w:ilvl w:val="0"/>
          <w:numId w:val="12"/>
        </w:numPr>
        <w:rPr>
          <w:lang w:val="bg-BG" w:eastAsia="bg-BG"/>
        </w:rPr>
      </w:pPr>
      <w:r w:rsidRPr="00E62AF8">
        <w:rPr>
          <w:lang w:val="bg-BG" w:eastAsia="bg-BG"/>
        </w:rPr>
        <w:t>Гинекологични операции или нарушения от гинекологичен произход;</w:t>
      </w:r>
    </w:p>
    <w:p w14:paraId="5425065A" w14:textId="77777777" w:rsidR="00A427BA" w:rsidRPr="00E62AF8" w:rsidRDefault="00A427BA" w:rsidP="00A427BA">
      <w:pPr>
        <w:pStyle w:val="ListParagraph"/>
        <w:numPr>
          <w:ilvl w:val="0"/>
          <w:numId w:val="12"/>
        </w:numPr>
        <w:rPr>
          <w:lang w:val="bg-BG" w:eastAsia="bg-BG"/>
        </w:rPr>
      </w:pPr>
      <w:r w:rsidRPr="00E62AF8">
        <w:rPr>
          <w:lang w:val="bg-BG" w:eastAsia="bg-BG"/>
        </w:rPr>
        <w:t>Операция на гръдния кош и коремна операция и други големи хирургични интервенции като сърдечно-съдова операция;</w:t>
      </w:r>
    </w:p>
    <w:p w14:paraId="2FCDD751" w14:textId="011D17C1" w:rsidR="00A427BA" w:rsidRPr="00E62AF8" w:rsidRDefault="00A427BA" w:rsidP="00A427BA">
      <w:pPr>
        <w:pStyle w:val="ListParagraph"/>
        <w:numPr>
          <w:ilvl w:val="0"/>
          <w:numId w:val="12"/>
        </w:numPr>
        <w:rPr>
          <w:lang w:val="bg-BG" w:eastAsia="bg-BG"/>
        </w:rPr>
      </w:pPr>
      <w:r w:rsidRPr="00E62AF8">
        <w:rPr>
          <w:lang w:val="bg-BG" w:eastAsia="bg-BG"/>
        </w:rPr>
        <w:t xml:space="preserve">Лечение на кръвоизлив в резултат от приложение на </w:t>
      </w:r>
      <w:proofErr w:type="spellStart"/>
      <w:r w:rsidRPr="00E62AF8">
        <w:rPr>
          <w:lang w:val="bg-BG" w:eastAsia="bg-BG"/>
        </w:rPr>
        <w:t>фибринолитик</w:t>
      </w:r>
      <w:proofErr w:type="spellEnd"/>
      <w:r w:rsidRPr="00E62AF8">
        <w:rPr>
          <w:lang w:val="bg-BG" w:eastAsia="bg-BG"/>
        </w:rPr>
        <w:t>.</w:t>
      </w:r>
    </w:p>
    <w:p w14:paraId="79BF9253" w14:textId="2B71903A" w:rsidR="002C50EE" w:rsidRPr="00E62AF8" w:rsidRDefault="002C50EE" w:rsidP="002C50EE">
      <w:pPr>
        <w:pStyle w:val="Heading2"/>
        <w:rPr>
          <w:lang w:val="bg-BG"/>
        </w:rPr>
      </w:pPr>
      <w:r w:rsidRPr="00E62AF8">
        <w:rPr>
          <w:lang w:val="bg-BG"/>
        </w:rPr>
        <w:t>4.2. Дозировка и начин на приложение</w:t>
      </w:r>
    </w:p>
    <w:p w14:paraId="3C0FDAC4" w14:textId="77777777" w:rsidR="00A427BA" w:rsidRPr="00E62AF8" w:rsidRDefault="00A427BA" w:rsidP="00A427BA">
      <w:pPr>
        <w:rPr>
          <w:u w:val="single"/>
          <w:lang w:val="bg-BG"/>
        </w:rPr>
      </w:pPr>
    </w:p>
    <w:p w14:paraId="3EB6C4BB" w14:textId="474860DA" w:rsidR="00A427BA" w:rsidRPr="00BE732D" w:rsidRDefault="00A427BA" w:rsidP="00BE732D">
      <w:pPr>
        <w:pStyle w:val="Heading3"/>
        <w:rPr>
          <w:u w:val="single"/>
          <w:lang w:val="bg-BG"/>
        </w:rPr>
      </w:pPr>
      <w:r w:rsidRPr="00BE732D">
        <w:rPr>
          <w:u w:val="single"/>
          <w:lang w:val="bg-BG"/>
        </w:rPr>
        <w:t>Дозировка</w:t>
      </w:r>
    </w:p>
    <w:p w14:paraId="3EB86842" w14:textId="43847661" w:rsidR="00A427BA" w:rsidRPr="00E62AF8" w:rsidRDefault="00A427BA" w:rsidP="00A427BA">
      <w:pPr>
        <w:rPr>
          <w:u w:val="single"/>
          <w:lang w:val="bg-BG"/>
        </w:rPr>
      </w:pPr>
    </w:p>
    <w:p w14:paraId="4D30E48D" w14:textId="77777777" w:rsidR="00A427BA" w:rsidRPr="00E62AF8" w:rsidRDefault="00A427BA" w:rsidP="00A427BA">
      <w:pPr>
        <w:rPr>
          <w:i/>
          <w:iCs/>
          <w:sz w:val="24"/>
          <w:szCs w:val="24"/>
          <w:lang w:val="bg-BG"/>
        </w:rPr>
      </w:pPr>
      <w:r w:rsidRPr="00E62AF8">
        <w:rPr>
          <w:i/>
          <w:iCs/>
          <w:lang w:val="bg-BG" w:eastAsia="bg-BG"/>
        </w:rPr>
        <w:t>Възрастни</w:t>
      </w:r>
    </w:p>
    <w:p w14:paraId="4BBE4F3D" w14:textId="4F833FF4" w:rsidR="00A427BA" w:rsidRPr="00E62AF8" w:rsidRDefault="00A427BA" w:rsidP="00A427BA">
      <w:pPr>
        <w:rPr>
          <w:lang w:val="bg-BG" w:eastAsia="bg-BG"/>
        </w:rPr>
      </w:pPr>
      <w:r w:rsidRPr="00E62AF8">
        <w:rPr>
          <w:lang w:val="bg-BG" w:eastAsia="bg-BG"/>
        </w:rPr>
        <w:t>Освен ако не е предписано друго се препоръчват следните дози:</w:t>
      </w:r>
    </w:p>
    <w:p w14:paraId="694464F1" w14:textId="77777777" w:rsidR="00A427BA" w:rsidRPr="00E62AF8" w:rsidRDefault="00A427BA" w:rsidP="00A427BA">
      <w:pPr>
        <w:pStyle w:val="ListParagraph"/>
        <w:rPr>
          <w:lang w:val="bg-BG" w:eastAsia="bg-BG"/>
        </w:rPr>
      </w:pPr>
    </w:p>
    <w:p w14:paraId="521D7A9D" w14:textId="3A04E7FB" w:rsidR="00A427BA" w:rsidRPr="00E62AF8" w:rsidRDefault="00A427BA" w:rsidP="00A427BA">
      <w:pPr>
        <w:pStyle w:val="ListParagraph"/>
        <w:numPr>
          <w:ilvl w:val="0"/>
          <w:numId w:val="14"/>
        </w:numPr>
        <w:rPr>
          <w:lang w:val="bg-BG" w:eastAsia="bg-BG"/>
        </w:rPr>
      </w:pPr>
      <w:r w:rsidRPr="00E62AF8">
        <w:rPr>
          <w:lang w:val="bg-BG" w:eastAsia="bg-BG"/>
        </w:rPr>
        <w:t xml:space="preserve">Стандартно лечение на </w:t>
      </w:r>
      <w:proofErr w:type="spellStart"/>
      <w:r w:rsidRPr="00E62AF8">
        <w:rPr>
          <w:lang w:val="bg-BG" w:eastAsia="bg-BG"/>
        </w:rPr>
        <w:t>фибринолиза</w:t>
      </w:r>
      <w:proofErr w:type="spellEnd"/>
      <w:r w:rsidRPr="00E62AF8">
        <w:rPr>
          <w:lang w:val="bg-BG" w:eastAsia="bg-BG"/>
        </w:rPr>
        <w:t>:</w:t>
      </w:r>
    </w:p>
    <w:p w14:paraId="52817B6F" w14:textId="77777777" w:rsidR="00A427BA" w:rsidRPr="00E62AF8" w:rsidRDefault="00A427BA" w:rsidP="00A427BA">
      <w:pPr>
        <w:rPr>
          <w:sz w:val="24"/>
          <w:szCs w:val="24"/>
          <w:lang w:val="bg-BG"/>
        </w:rPr>
      </w:pPr>
      <w:r w:rsidRPr="00E62AF8">
        <w:rPr>
          <w:lang w:val="bg-BG" w:eastAsia="bg-BG"/>
        </w:rPr>
        <w:t xml:space="preserve">0,5 </w:t>
      </w:r>
      <w:r w:rsidRPr="00E62AF8">
        <w:rPr>
          <w:lang w:val="bg-BG"/>
        </w:rPr>
        <w:t xml:space="preserve">g </w:t>
      </w:r>
      <w:r w:rsidRPr="00E62AF8">
        <w:rPr>
          <w:lang w:val="bg-BG" w:eastAsia="bg-BG"/>
        </w:rPr>
        <w:t xml:space="preserve">(1 ампула от 5 </w:t>
      </w:r>
      <w:r w:rsidRPr="00E62AF8">
        <w:rPr>
          <w:lang w:val="bg-BG"/>
        </w:rPr>
        <w:t xml:space="preserve">ml) </w:t>
      </w:r>
      <w:r w:rsidRPr="00E62AF8">
        <w:rPr>
          <w:lang w:val="bg-BG" w:eastAsia="bg-BG"/>
        </w:rPr>
        <w:t xml:space="preserve">до 1 </w:t>
      </w:r>
      <w:r w:rsidRPr="00E62AF8">
        <w:rPr>
          <w:lang w:val="bg-BG"/>
        </w:rPr>
        <w:t xml:space="preserve">g </w:t>
      </w:r>
      <w:r w:rsidRPr="00E62AF8">
        <w:rPr>
          <w:lang w:val="bg-BG" w:eastAsia="bg-BG"/>
        </w:rPr>
        <w:t xml:space="preserve">(1 ампула от 10 </w:t>
      </w:r>
      <w:r w:rsidRPr="00E62AF8">
        <w:rPr>
          <w:lang w:val="bg-BG"/>
        </w:rPr>
        <w:t xml:space="preserve">ml </w:t>
      </w:r>
      <w:r w:rsidRPr="00E62AF8">
        <w:rPr>
          <w:lang w:val="bg-BG" w:eastAsia="bg-BG"/>
        </w:rPr>
        <w:t xml:space="preserve">или 2 ампули от 5 </w:t>
      </w:r>
      <w:r w:rsidRPr="00E62AF8">
        <w:rPr>
          <w:lang w:val="bg-BG"/>
        </w:rPr>
        <w:t xml:space="preserve">ml) </w:t>
      </w:r>
      <w:proofErr w:type="spellStart"/>
      <w:r w:rsidRPr="00E62AF8">
        <w:rPr>
          <w:lang w:val="bg-BG" w:eastAsia="bg-BG"/>
        </w:rPr>
        <w:t>транексамова</w:t>
      </w:r>
      <w:proofErr w:type="spellEnd"/>
      <w:r w:rsidRPr="00E62AF8">
        <w:rPr>
          <w:lang w:val="bg-BG" w:eastAsia="bg-BG"/>
        </w:rPr>
        <w:t xml:space="preserve"> киселина като бавна интравенозна инжекция (- 1 </w:t>
      </w:r>
      <w:r w:rsidRPr="00E62AF8">
        <w:rPr>
          <w:lang w:val="bg-BG"/>
        </w:rPr>
        <w:t xml:space="preserve">ml/ </w:t>
      </w:r>
      <w:r w:rsidRPr="00E62AF8">
        <w:rPr>
          <w:lang w:val="bg-BG" w:eastAsia="bg-BG"/>
        </w:rPr>
        <w:t>минута) два до три пъти дневно.</w:t>
      </w:r>
    </w:p>
    <w:p w14:paraId="618344BD" w14:textId="77777777" w:rsidR="00A427BA" w:rsidRPr="00E62AF8" w:rsidRDefault="00A427BA" w:rsidP="00A427BA">
      <w:pPr>
        <w:ind w:left="360"/>
        <w:rPr>
          <w:sz w:val="24"/>
          <w:szCs w:val="24"/>
          <w:lang w:val="bg-BG"/>
        </w:rPr>
      </w:pPr>
    </w:p>
    <w:p w14:paraId="1EB9BA1C" w14:textId="02787092" w:rsidR="00A427BA" w:rsidRPr="00E62AF8" w:rsidRDefault="00A427BA" w:rsidP="00A427BA">
      <w:pPr>
        <w:pStyle w:val="ListParagraph"/>
        <w:numPr>
          <w:ilvl w:val="0"/>
          <w:numId w:val="14"/>
        </w:numPr>
        <w:rPr>
          <w:sz w:val="24"/>
          <w:szCs w:val="24"/>
          <w:lang w:val="bg-BG"/>
        </w:rPr>
      </w:pPr>
      <w:r w:rsidRPr="00E62AF8">
        <w:rPr>
          <w:lang w:val="bg-BG" w:eastAsia="bg-BG"/>
        </w:rPr>
        <w:t xml:space="preserve">Стандартно лечение на генерализирана </w:t>
      </w:r>
      <w:proofErr w:type="spellStart"/>
      <w:r w:rsidRPr="00E62AF8">
        <w:rPr>
          <w:lang w:val="bg-BG" w:eastAsia="bg-BG"/>
        </w:rPr>
        <w:t>фибринолиза</w:t>
      </w:r>
      <w:proofErr w:type="spellEnd"/>
      <w:r w:rsidRPr="00E62AF8">
        <w:rPr>
          <w:lang w:val="bg-BG" w:eastAsia="bg-BG"/>
        </w:rPr>
        <w:t>:</w:t>
      </w:r>
    </w:p>
    <w:p w14:paraId="562597CA" w14:textId="7FE16CCE" w:rsidR="00A427BA" w:rsidRPr="00E62AF8" w:rsidRDefault="00A427BA" w:rsidP="00A427BA">
      <w:pPr>
        <w:rPr>
          <w:lang w:val="bg-BG" w:eastAsia="bg-BG"/>
        </w:rPr>
      </w:pPr>
      <w:r w:rsidRPr="00E62AF8">
        <w:rPr>
          <w:lang w:val="bg-BG" w:eastAsia="bg-BG"/>
        </w:rPr>
        <w:lastRenderedPageBreak/>
        <w:t xml:space="preserve">1 </w:t>
      </w:r>
      <w:r w:rsidRPr="00E62AF8">
        <w:rPr>
          <w:lang w:val="bg-BG"/>
        </w:rPr>
        <w:t xml:space="preserve">g </w:t>
      </w:r>
      <w:r w:rsidRPr="00E62AF8">
        <w:rPr>
          <w:lang w:val="bg-BG" w:eastAsia="bg-BG"/>
        </w:rPr>
        <w:t xml:space="preserve">(1 ампула от 10 </w:t>
      </w:r>
      <w:r w:rsidRPr="00E62AF8">
        <w:rPr>
          <w:lang w:val="bg-BG"/>
        </w:rPr>
        <w:t xml:space="preserve">ml </w:t>
      </w:r>
      <w:r w:rsidRPr="00E62AF8">
        <w:rPr>
          <w:lang w:val="bg-BG" w:eastAsia="bg-BG"/>
        </w:rPr>
        <w:t xml:space="preserve">или 2 ампули от 5 </w:t>
      </w:r>
      <w:r w:rsidRPr="00E62AF8">
        <w:rPr>
          <w:lang w:val="bg-BG"/>
        </w:rPr>
        <w:t xml:space="preserve">ml) </w:t>
      </w:r>
      <w:proofErr w:type="spellStart"/>
      <w:r w:rsidRPr="00E62AF8">
        <w:rPr>
          <w:lang w:val="bg-BG" w:eastAsia="bg-BG"/>
        </w:rPr>
        <w:t>транексамова</w:t>
      </w:r>
      <w:proofErr w:type="spellEnd"/>
      <w:r w:rsidRPr="00E62AF8">
        <w:rPr>
          <w:lang w:val="bg-BG" w:eastAsia="bg-BG"/>
        </w:rPr>
        <w:t xml:space="preserve"> киселина като бавна интравенозна инжекция (= 1 </w:t>
      </w:r>
      <w:r w:rsidRPr="00E62AF8">
        <w:rPr>
          <w:lang w:val="bg-BG"/>
        </w:rPr>
        <w:t xml:space="preserve">ml/ </w:t>
      </w:r>
      <w:r w:rsidRPr="00E62AF8">
        <w:rPr>
          <w:lang w:val="bg-BG" w:eastAsia="bg-BG"/>
        </w:rPr>
        <w:t xml:space="preserve">минута) на всеки 6 до 8 часа, еквивалентно на 15 </w:t>
      </w:r>
      <w:proofErr w:type="spellStart"/>
      <w:r w:rsidRPr="00E62AF8">
        <w:rPr>
          <w:lang w:val="bg-BG"/>
        </w:rPr>
        <w:t>mg</w:t>
      </w:r>
      <w:proofErr w:type="spellEnd"/>
      <w:r w:rsidRPr="00E62AF8">
        <w:rPr>
          <w:lang w:val="bg-BG"/>
        </w:rPr>
        <w:t>/</w:t>
      </w:r>
      <w:proofErr w:type="spellStart"/>
      <w:r w:rsidRPr="00E62AF8">
        <w:rPr>
          <w:lang w:val="bg-BG"/>
        </w:rPr>
        <w:t>kg</w:t>
      </w:r>
      <w:proofErr w:type="spellEnd"/>
      <w:r w:rsidRPr="00E62AF8">
        <w:rPr>
          <w:lang w:val="bg-BG"/>
        </w:rPr>
        <w:t xml:space="preserve"> </w:t>
      </w:r>
      <w:r w:rsidRPr="00E62AF8">
        <w:rPr>
          <w:lang w:val="bg-BG" w:eastAsia="bg-BG"/>
        </w:rPr>
        <w:t>телесно тегло.</w:t>
      </w:r>
    </w:p>
    <w:p w14:paraId="06181353" w14:textId="64AA0DA0" w:rsidR="00A427BA" w:rsidRPr="00E62AF8" w:rsidRDefault="00A427BA" w:rsidP="00A427BA">
      <w:pPr>
        <w:rPr>
          <w:lang w:val="bg-BG" w:eastAsia="bg-BG"/>
        </w:rPr>
      </w:pPr>
    </w:p>
    <w:p w14:paraId="0CED303B" w14:textId="77777777" w:rsidR="00A427BA" w:rsidRPr="00E62AF8" w:rsidRDefault="00A427BA" w:rsidP="00A427BA">
      <w:pPr>
        <w:rPr>
          <w:i/>
          <w:iCs/>
          <w:sz w:val="24"/>
          <w:szCs w:val="24"/>
          <w:lang w:val="bg-BG"/>
        </w:rPr>
      </w:pPr>
      <w:r w:rsidRPr="00E62AF8">
        <w:rPr>
          <w:i/>
          <w:iCs/>
          <w:lang w:val="bg-BG" w:eastAsia="bg-BG"/>
        </w:rPr>
        <w:t>Бъбречно увреждане</w:t>
      </w:r>
    </w:p>
    <w:p w14:paraId="025FF19F" w14:textId="225DD0DB" w:rsidR="00A427BA" w:rsidRPr="00E62AF8" w:rsidRDefault="00A427BA" w:rsidP="00A427BA">
      <w:pPr>
        <w:rPr>
          <w:sz w:val="24"/>
          <w:szCs w:val="24"/>
          <w:lang w:val="bg-BG"/>
        </w:rPr>
      </w:pPr>
      <w:r w:rsidRPr="00E62AF8">
        <w:rPr>
          <w:lang w:val="bg-BG" w:eastAsia="bg-BG"/>
        </w:rPr>
        <w:t>При бъбречна недостатъчност</w:t>
      </w:r>
      <w:r w:rsidR="00526745">
        <w:rPr>
          <w:lang w:eastAsia="bg-BG"/>
        </w:rPr>
        <w:t xml:space="preserve"> </w:t>
      </w:r>
      <w:r w:rsidRPr="00E62AF8">
        <w:rPr>
          <w:lang w:val="bg-BG" w:eastAsia="bg-BG"/>
        </w:rPr>
        <w:t xml:space="preserve">има риск от кумулиране, поради което употребата на </w:t>
      </w:r>
      <w:proofErr w:type="spellStart"/>
      <w:r w:rsidRPr="00E62AF8">
        <w:rPr>
          <w:lang w:val="bg-BG" w:eastAsia="bg-BG"/>
        </w:rPr>
        <w:t>транексамова</w:t>
      </w:r>
      <w:proofErr w:type="spellEnd"/>
      <w:r w:rsidRPr="00E62AF8">
        <w:rPr>
          <w:lang w:val="bg-BG" w:eastAsia="bg-BG"/>
        </w:rPr>
        <w:t xml:space="preserve"> киселина е противопоказана при пациенти с тежко бъбречно увреждане (вижте точка 4.3). При пациенти с леко до умерено бъбречно увреждане дозата </w:t>
      </w:r>
      <w:proofErr w:type="spellStart"/>
      <w:r w:rsidRPr="00E62AF8">
        <w:rPr>
          <w:lang w:val="bg-BG" w:eastAsia="bg-BG"/>
        </w:rPr>
        <w:t>транексамова</w:t>
      </w:r>
      <w:proofErr w:type="spellEnd"/>
      <w:r w:rsidRPr="00E62AF8">
        <w:rPr>
          <w:lang w:val="bg-BG" w:eastAsia="bg-BG"/>
        </w:rPr>
        <w:t xml:space="preserve"> киселина трябва да бъде понижена според стойностите на серумния </w:t>
      </w:r>
      <w:proofErr w:type="spellStart"/>
      <w:r w:rsidRPr="00E62AF8">
        <w:rPr>
          <w:lang w:val="bg-BG" w:eastAsia="bg-BG"/>
        </w:rPr>
        <w:t>креатинин</w:t>
      </w:r>
      <w:proofErr w:type="spellEnd"/>
      <w:r w:rsidRPr="00E62AF8">
        <w:rPr>
          <w:lang w:val="bg-BG" w:eastAsia="bg-BG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427BA" w:rsidRPr="00E62AF8" w14:paraId="501A5414" w14:textId="77777777" w:rsidTr="00094A54">
        <w:tc>
          <w:tcPr>
            <w:tcW w:w="4674" w:type="dxa"/>
            <w:gridSpan w:val="2"/>
          </w:tcPr>
          <w:p w14:paraId="3C0FAD97" w14:textId="461D0A3B" w:rsidR="00A427BA" w:rsidRPr="009F199B" w:rsidRDefault="00A427BA" w:rsidP="00A427BA">
            <w:pPr>
              <w:rPr>
                <w:sz w:val="24"/>
                <w:szCs w:val="24"/>
                <w:lang w:val="bg-BG"/>
              </w:rPr>
            </w:pPr>
            <w:r w:rsidRPr="009F199B">
              <w:rPr>
                <w:lang w:val="bg-BG"/>
              </w:rPr>
              <w:t xml:space="preserve">Серумен </w:t>
            </w:r>
            <w:proofErr w:type="spellStart"/>
            <w:r w:rsidRPr="009F199B">
              <w:rPr>
                <w:lang w:val="bg-BG"/>
              </w:rPr>
              <w:t>креатинин</w:t>
            </w:r>
            <w:proofErr w:type="spellEnd"/>
          </w:p>
        </w:tc>
        <w:tc>
          <w:tcPr>
            <w:tcW w:w="2338" w:type="dxa"/>
          </w:tcPr>
          <w:p w14:paraId="408345AF" w14:textId="631E50B9" w:rsidR="00A427BA" w:rsidRPr="009F199B" w:rsidRDefault="00A427BA" w:rsidP="00A427BA">
            <w:pPr>
              <w:rPr>
                <w:sz w:val="24"/>
                <w:szCs w:val="24"/>
                <w:lang w:val="bg-BG"/>
              </w:rPr>
            </w:pPr>
            <w:r w:rsidRPr="009F199B">
              <w:rPr>
                <w:lang w:val="bg-BG"/>
              </w:rPr>
              <w:t>Доза IV</w:t>
            </w:r>
          </w:p>
        </w:tc>
        <w:tc>
          <w:tcPr>
            <w:tcW w:w="2338" w:type="dxa"/>
          </w:tcPr>
          <w:p w14:paraId="07151D86" w14:textId="1D0BBA80" w:rsidR="00A427BA" w:rsidRPr="009F199B" w:rsidRDefault="00A427BA" w:rsidP="00A427BA">
            <w:pPr>
              <w:rPr>
                <w:sz w:val="24"/>
                <w:szCs w:val="24"/>
                <w:lang w:val="bg-BG"/>
              </w:rPr>
            </w:pPr>
            <w:r w:rsidRPr="009F199B">
              <w:rPr>
                <w:lang w:val="bg-BG"/>
              </w:rPr>
              <w:t>Приложение</w:t>
            </w:r>
          </w:p>
        </w:tc>
      </w:tr>
      <w:tr w:rsidR="00A427BA" w:rsidRPr="00E62AF8" w14:paraId="3216A863" w14:textId="77777777" w:rsidTr="00A427BA">
        <w:tc>
          <w:tcPr>
            <w:tcW w:w="2337" w:type="dxa"/>
          </w:tcPr>
          <w:p w14:paraId="1D185829" w14:textId="391CEBBC" w:rsidR="00A427BA" w:rsidRPr="00E62AF8" w:rsidRDefault="00A427BA" w:rsidP="00A427BA">
            <w:pPr>
              <w:rPr>
                <w:sz w:val="24"/>
                <w:szCs w:val="24"/>
                <w:lang w:val="bg-BG"/>
              </w:rPr>
            </w:pPr>
            <w:r w:rsidRPr="00E62AF8">
              <w:rPr>
                <w:lang w:val="bg-BG"/>
              </w:rPr>
              <w:t>µ</w:t>
            </w:r>
            <w:proofErr w:type="spellStart"/>
            <w:r w:rsidRPr="00E62AF8">
              <w:rPr>
                <w:lang w:val="bg-BG"/>
              </w:rPr>
              <w:t>mol</w:t>
            </w:r>
            <w:proofErr w:type="spellEnd"/>
            <w:r w:rsidRPr="00E62AF8">
              <w:rPr>
                <w:lang w:val="bg-BG"/>
              </w:rPr>
              <w:t>/1</w:t>
            </w:r>
          </w:p>
        </w:tc>
        <w:tc>
          <w:tcPr>
            <w:tcW w:w="2337" w:type="dxa"/>
          </w:tcPr>
          <w:p w14:paraId="49FAEF04" w14:textId="02496AA0" w:rsidR="00A427BA" w:rsidRPr="00E62AF8" w:rsidRDefault="00A427BA" w:rsidP="00A427BA">
            <w:pPr>
              <w:rPr>
                <w:sz w:val="24"/>
                <w:szCs w:val="24"/>
                <w:lang w:val="bg-BG"/>
              </w:rPr>
            </w:pPr>
            <w:proofErr w:type="spellStart"/>
            <w:r w:rsidRPr="00E62AF8">
              <w:rPr>
                <w:lang w:val="bg-BG"/>
              </w:rPr>
              <w:t>mg</w:t>
            </w:r>
            <w:proofErr w:type="spellEnd"/>
            <w:r w:rsidRPr="00E62AF8">
              <w:rPr>
                <w:lang w:val="bg-BG"/>
              </w:rPr>
              <w:t>/</w:t>
            </w:r>
            <w:r w:rsidRPr="00E62AF8">
              <w:rPr>
                <w:lang w:val="bg-BG" w:eastAsia="bg-BG"/>
              </w:rPr>
              <w:t xml:space="preserve">10 </w:t>
            </w:r>
            <w:r w:rsidRPr="00E62AF8">
              <w:rPr>
                <w:lang w:val="bg-BG"/>
              </w:rPr>
              <w:t>ml</w:t>
            </w:r>
          </w:p>
        </w:tc>
        <w:tc>
          <w:tcPr>
            <w:tcW w:w="2338" w:type="dxa"/>
          </w:tcPr>
          <w:p w14:paraId="3AB0494A" w14:textId="1E991223" w:rsidR="00A427BA" w:rsidRPr="00E62AF8" w:rsidRDefault="00A427BA" w:rsidP="00A427BA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338" w:type="dxa"/>
          </w:tcPr>
          <w:p w14:paraId="17F877BF" w14:textId="588CF867" w:rsidR="00A427BA" w:rsidRPr="00E62AF8" w:rsidRDefault="00A427BA" w:rsidP="00A427BA">
            <w:pPr>
              <w:rPr>
                <w:sz w:val="24"/>
                <w:szCs w:val="24"/>
                <w:lang w:val="bg-BG"/>
              </w:rPr>
            </w:pPr>
          </w:p>
        </w:tc>
      </w:tr>
      <w:tr w:rsidR="00A427BA" w:rsidRPr="00E62AF8" w14:paraId="730FDB39" w14:textId="77777777" w:rsidTr="00A427BA">
        <w:tc>
          <w:tcPr>
            <w:tcW w:w="2337" w:type="dxa"/>
          </w:tcPr>
          <w:p w14:paraId="2A46BB2D" w14:textId="6D98560F" w:rsidR="00A427BA" w:rsidRPr="00E62AF8" w:rsidRDefault="00A427BA" w:rsidP="00A427BA">
            <w:pPr>
              <w:rPr>
                <w:sz w:val="24"/>
                <w:szCs w:val="24"/>
                <w:lang w:val="bg-BG"/>
              </w:rPr>
            </w:pPr>
            <w:r w:rsidRPr="00E62AF8">
              <w:rPr>
                <w:lang w:val="bg-BG"/>
              </w:rPr>
              <w:t>120 до 249</w:t>
            </w:r>
          </w:p>
        </w:tc>
        <w:tc>
          <w:tcPr>
            <w:tcW w:w="2337" w:type="dxa"/>
          </w:tcPr>
          <w:p w14:paraId="768785AF" w14:textId="082A6D05" w:rsidR="00A427BA" w:rsidRPr="00E62AF8" w:rsidRDefault="00A427BA" w:rsidP="00A427BA">
            <w:pPr>
              <w:rPr>
                <w:sz w:val="24"/>
                <w:szCs w:val="24"/>
                <w:lang w:val="bg-BG"/>
              </w:rPr>
            </w:pPr>
            <w:r w:rsidRPr="00E62AF8">
              <w:rPr>
                <w:lang w:val="bg-BG"/>
              </w:rPr>
              <w:t>1,35 до 2,82</w:t>
            </w:r>
          </w:p>
        </w:tc>
        <w:tc>
          <w:tcPr>
            <w:tcW w:w="2338" w:type="dxa"/>
          </w:tcPr>
          <w:p w14:paraId="482090B2" w14:textId="2AC9965E" w:rsidR="00A427BA" w:rsidRPr="00E62AF8" w:rsidRDefault="00A427BA" w:rsidP="00A427BA">
            <w:pPr>
              <w:rPr>
                <w:sz w:val="24"/>
                <w:szCs w:val="24"/>
                <w:lang w:val="bg-BG"/>
              </w:rPr>
            </w:pPr>
            <w:r w:rsidRPr="00E62AF8">
              <w:rPr>
                <w:lang w:val="bg-BG"/>
              </w:rPr>
              <w:t xml:space="preserve">10 </w:t>
            </w:r>
            <w:proofErr w:type="spellStart"/>
            <w:r w:rsidRPr="00E62AF8">
              <w:rPr>
                <w:lang w:val="bg-BG"/>
              </w:rPr>
              <w:t>mg</w:t>
            </w:r>
            <w:proofErr w:type="spellEnd"/>
            <w:r w:rsidRPr="00E62AF8">
              <w:rPr>
                <w:lang w:val="bg-BG"/>
              </w:rPr>
              <w:t>/</w:t>
            </w:r>
            <w:proofErr w:type="spellStart"/>
            <w:r w:rsidRPr="00E62AF8">
              <w:rPr>
                <w:lang w:val="bg-BG"/>
              </w:rPr>
              <w:t>kg</w:t>
            </w:r>
            <w:proofErr w:type="spellEnd"/>
            <w:r w:rsidRPr="00E62AF8">
              <w:rPr>
                <w:lang w:val="bg-BG"/>
              </w:rPr>
              <w:t xml:space="preserve"> телесно тегло</w:t>
            </w:r>
          </w:p>
        </w:tc>
        <w:tc>
          <w:tcPr>
            <w:tcW w:w="2338" w:type="dxa"/>
          </w:tcPr>
          <w:p w14:paraId="245BDBE6" w14:textId="03EA8F6D" w:rsidR="00A427BA" w:rsidRPr="00E62AF8" w:rsidRDefault="00C910E8" w:rsidP="00A427BA">
            <w:pPr>
              <w:rPr>
                <w:sz w:val="24"/>
                <w:szCs w:val="24"/>
                <w:lang w:val="bg-BG"/>
              </w:rPr>
            </w:pPr>
            <w:r w:rsidRPr="00E62AF8">
              <w:rPr>
                <w:lang w:val="bg-BG"/>
              </w:rPr>
              <w:t>На всеки 12 часа</w:t>
            </w:r>
          </w:p>
        </w:tc>
      </w:tr>
      <w:tr w:rsidR="00A427BA" w:rsidRPr="00E62AF8" w14:paraId="353B262B" w14:textId="77777777" w:rsidTr="00A427BA">
        <w:tc>
          <w:tcPr>
            <w:tcW w:w="2337" w:type="dxa"/>
          </w:tcPr>
          <w:p w14:paraId="4259FD49" w14:textId="5EA51E20" w:rsidR="00A427BA" w:rsidRPr="00E62AF8" w:rsidRDefault="00A427BA" w:rsidP="00A427BA">
            <w:pPr>
              <w:rPr>
                <w:sz w:val="24"/>
                <w:szCs w:val="24"/>
                <w:lang w:val="bg-BG"/>
              </w:rPr>
            </w:pPr>
            <w:r w:rsidRPr="00E62AF8">
              <w:rPr>
                <w:lang w:val="bg-BG"/>
              </w:rPr>
              <w:t>250 до 500</w:t>
            </w:r>
          </w:p>
        </w:tc>
        <w:tc>
          <w:tcPr>
            <w:tcW w:w="2337" w:type="dxa"/>
          </w:tcPr>
          <w:p w14:paraId="1156C2CC" w14:textId="7F818C23" w:rsidR="00A427BA" w:rsidRPr="00E62AF8" w:rsidRDefault="00A427BA" w:rsidP="00A427BA">
            <w:pPr>
              <w:rPr>
                <w:sz w:val="24"/>
                <w:szCs w:val="24"/>
                <w:lang w:val="bg-BG"/>
              </w:rPr>
            </w:pPr>
            <w:r w:rsidRPr="00E62AF8">
              <w:rPr>
                <w:lang w:val="bg-BG"/>
              </w:rPr>
              <w:t>2,82 до 5,65</w:t>
            </w:r>
          </w:p>
        </w:tc>
        <w:tc>
          <w:tcPr>
            <w:tcW w:w="2338" w:type="dxa"/>
          </w:tcPr>
          <w:p w14:paraId="487BC774" w14:textId="10FB559B" w:rsidR="00A427BA" w:rsidRPr="00E62AF8" w:rsidRDefault="00C910E8" w:rsidP="00A427BA">
            <w:pPr>
              <w:rPr>
                <w:sz w:val="24"/>
                <w:szCs w:val="24"/>
                <w:lang w:val="bg-BG"/>
              </w:rPr>
            </w:pPr>
            <w:r w:rsidRPr="00E62AF8">
              <w:rPr>
                <w:lang w:val="bg-BG"/>
              </w:rPr>
              <w:t xml:space="preserve">10 </w:t>
            </w:r>
            <w:proofErr w:type="spellStart"/>
            <w:r w:rsidRPr="00E62AF8">
              <w:rPr>
                <w:lang w:val="bg-BG"/>
              </w:rPr>
              <w:t>mg</w:t>
            </w:r>
            <w:proofErr w:type="spellEnd"/>
            <w:r w:rsidRPr="00E62AF8">
              <w:rPr>
                <w:lang w:val="bg-BG"/>
              </w:rPr>
              <w:t>/</w:t>
            </w:r>
            <w:proofErr w:type="spellStart"/>
            <w:r w:rsidRPr="00E62AF8">
              <w:rPr>
                <w:lang w:val="bg-BG"/>
              </w:rPr>
              <w:t>kg</w:t>
            </w:r>
            <w:proofErr w:type="spellEnd"/>
            <w:r w:rsidRPr="00E62AF8">
              <w:rPr>
                <w:lang w:val="bg-BG"/>
              </w:rPr>
              <w:t xml:space="preserve"> телесно тегло</w:t>
            </w:r>
          </w:p>
        </w:tc>
        <w:tc>
          <w:tcPr>
            <w:tcW w:w="2338" w:type="dxa"/>
          </w:tcPr>
          <w:p w14:paraId="4F9F8196" w14:textId="05991236" w:rsidR="00A427BA" w:rsidRPr="00E62AF8" w:rsidRDefault="00A427BA" w:rsidP="00A427BA">
            <w:pPr>
              <w:rPr>
                <w:sz w:val="24"/>
                <w:szCs w:val="24"/>
                <w:lang w:val="bg-BG"/>
              </w:rPr>
            </w:pPr>
            <w:r w:rsidRPr="00E62AF8">
              <w:rPr>
                <w:lang w:val="bg-BG"/>
              </w:rPr>
              <w:t>На всеки 24 часа</w:t>
            </w:r>
          </w:p>
        </w:tc>
      </w:tr>
      <w:tr w:rsidR="00C910E8" w:rsidRPr="00E62AF8" w14:paraId="16A41BA4" w14:textId="77777777" w:rsidTr="00A427BA">
        <w:tc>
          <w:tcPr>
            <w:tcW w:w="2337" w:type="dxa"/>
          </w:tcPr>
          <w:p w14:paraId="39340ED2" w14:textId="27EA04BD" w:rsidR="00C910E8" w:rsidRPr="00E62AF8" w:rsidRDefault="00C910E8" w:rsidP="00C910E8">
            <w:pPr>
              <w:rPr>
                <w:sz w:val="24"/>
                <w:szCs w:val="24"/>
                <w:lang w:val="bg-BG"/>
              </w:rPr>
            </w:pPr>
            <w:r w:rsidRPr="00E62AF8">
              <w:rPr>
                <w:lang w:val="bg-BG"/>
              </w:rPr>
              <w:t>&gt;500</w:t>
            </w:r>
          </w:p>
        </w:tc>
        <w:tc>
          <w:tcPr>
            <w:tcW w:w="2337" w:type="dxa"/>
          </w:tcPr>
          <w:p w14:paraId="1D2967E8" w14:textId="57C4A166" w:rsidR="00C910E8" w:rsidRPr="00E62AF8" w:rsidRDefault="00C910E8" w:rsidP="00C910E8">
            <w:pPr>
              <w:rPr>
                <w:sz w:val="24"/>
                <w:szCs w:val="24"/>
                <w:lang w:val="bg-BG"/>
              </w:rPr>
            </w:pPr>
            <w:r w:rsidRPr="00E62AF8">
              <w:rPr>
                <w:lang w:val="bg-BG"/>
              </w:rPr>
              <w:t>&gt;5,65</w:t>
            </w:r>
          </w:p>
        </w:tc>
        <w:tc>
          <w:tcPr>
            <w:tcW w:w="2338" w:type="dxa"/>
          </w:tcPr>
          <w:p w14:paraId="5883EC0C" w14:textId="4130AE54" w:rsidR="00C910E8" w:rsidRPr="00E62AF8" w:rsidRDefault="00C910E8" w:rsidP="00C910E8">
            <w:pPr>
              <w:rPr>
                <w:sz w:val="24"/>
                <w:szCs w:val="24"/>
                <w:lang w:val="bg-BG"/>
              </w:rPr>
            </w:pPr>
            <w:r w:rsidRPr="00E62AF8">
              <w:rPr>
                <w:lang w:val="bg-BG"/>
              </w:rPr>
              <w:t xml:space="preserve">5 </w:t>
            </w:r>
            <w:proofErr w:type="spellStart"/>
            <w:r w:rsidRPr="00E62AF8">
              <w:rPr>
                <w:lang w:val="bg-BG"/>
              </w:rPr>
              <w:t>mg</w:t>
            </w:r>
            <w:proofErr w:type="spellEnd"/>
            <w:r w:rsidRPr="00E62AF8">
              <w:rPr>
                <w:lang w:val="bg-BG"/>
              </w:rPr>
              <w:t>/</w:t>
            </w:r>
            <w:proofErr w:type="spellStart"/>
            <w:r w:rsidRPr="00E62AF8">
              <w:rPr>
                <w:lang w:val="bg-BG"/>
              </w:rPr>
              <w:t>kg</w:t>
            </w:r>
            <w:proofErr w:type="spellEnd"/>
            <w:r w:rsidRPr="00E62AF8">
              <w:rPr>
                <w:lang w:val="bg-BG"/>
              </w:rPr>
              <w:t xml:space="preserve"> телесно тегло</w:t>
            </w:r>
          </w:p>
        </w:tc>
        <w:tc>
          <w:tcPr>
            <w:tcW w:w="2338" w:type="dxa"/>
          </w:tcPr>
          <w:p w14:paraId="58036E1C" w14:textId="339BF10D" w:rsidR="00C910E8" w:rsidRPr="00E62AF8" w:rsidRDefault="009F199B" w:rsidP="00C910E8">
            <w:pPr>
              <w:rPr>
                <w:sz w:val="24"/>
                <w:szCs w:val="24"/>
                <w:lang w:val="bg-BG"/>
              </w:rPr>
            </w:pPr>
            <w:r w:rsidRPr="00E62AF8">
              <w:rPr>
                <w:lang w:val="bg-BG"/>
              </w:rPr>
              <w:t>На всеки 24 часа</w:t>
            </w:r>
          </w:p>
        </w:tc>
      </w:tr>
    </w:tbl>
    <w:p w14:paraId="6AD98EFC" w14:textId="77777777" w:rsidR="00A427BA" w:rsidRPr="00E62AF8" w:rsidRDefault="00A427BA" w:rsidP="00A427BA">
      <w:pPr>
        <w:rPr>
          <w:sz w:val="24"/>
          <w:szCs w:val="24"/>
          <w:lang w:val="bg-BG"/>
        </w:rPr>
      </w:pPr>
    </w:p>
    <w:p w14:paraId="1E6B67D0" w14:textId="77777777" w:rsidR="00E62AF8" w:rsidRPr="00E62AF8" w:rsidRDefault="00E62AF8" w:rsidP="00E62AF8">
      <w:pPr>
        <w:rPr>
          <w:i/>
          <w:iCs/>
          <w:sz w:val="24"/>
          <w:szCs w:val="24"/>
          <w:lang w:val="bg-BG"/>
        </w:rPr>
      </w:pPr>
      <w:r w:rsidRPr="00E62AF8">
        <w:rPr>
          <w:i/>
          <w:iCs/>
          <w:lang w:val="bg-BG" w:eastAsia="bg-BG"/>
        </w:rPr>
        <w:t>Чернодробно увреждане</w:t>
      </w:r>
    </w:p>
    <w:p w14:paraId="79394695" w14:textId="05A7BA17" w:rsidR="00A427BA" w:rsidRPr="00E62AF8" w:rsidRDefault="00E62AF8" w:rsidP="00E62AF8">
      <w:pPr>
        <w:rPr>
          <w:lang w:val="bg-BG" w:eastAsia="bg-BG"/>
        </w:rPr>
      </w:pPr>
      <w:r w:rsidRPr="00E62AF8">
        <w:rPr>
          <w:lang w:val="bg-BG" w:eastAsia="bg-BG"/>
        </w:rPr>
        <w:t>Не се изисква адаптиране на дозата при пациенти с чернодробно увреждане.</w:t>
      </w:r>
    </w:p>
    <w:p w14:paraId="0E9AB968" w14:textId="60C79555" w:rsidR="00E62AF8" w:rsidRPr="00E62AF8" w:rsidRDefault="00E62AF8" w:rsidP="00E62AF8">
      <w:pPr>
        <w:rPr>
          <w:lang w:val="bg-BG" w:eastAsia="bg-BG"/>
        </w:rPr>
      </w:pPr>
    </w:p>
    <w:p w14:paraId="42015EAA" w14:textId="77777777" w:rsidR="00E62AF8" w:rsidRPr="00C73B38" w:rsidRDefault="00E62AF8" w:rsidP="00E62AF8">
      <w:pPr>
        <w:rPr>
          <w:i/>
          <w:iCs/>
          <w:sz w:val="24"/>
          <w:szCs w:val="24"/>
          <w:lang w:val="bg-BG"/>
        </w:rPr>
      </w:pPr>
      <w:r w:rsidRPr="00C73B38">
        <w:rPr>
          <w:i/>
          <w:iCs/>
          <w:lang w:val="bg-BG" w:eastAsia="bg-BG"/>
        </w:rPr>
        <w:t>Педиатрична популация</w:t>
      </w:r>
    </w:p>
    <w:p w14:paraId="499978D9" w14:textId="77777777" w:rsidR="00E62AF8" w:rsidRPr="00E62AF8" w:rsidRDefault="00E62AF8" w:rsidP="00E62AF8">
      <w:pPr>
        <w:rPr>
          <w:sz w:val="24"/>
          <w:szCs w:val="24"/>
          <w:lang w:val="bg-BG"/>
        </w:rPr>
      </w:pPr>
      <w:r w:rsidRPr="00E62AF8">
        <w:rPr>
          <w:lang w:val="bg-BG" w:eastAsia="bg-BG"/>
        </w:rPr>
        <w:t xml:space="preserve">При деца над 1 година, за одобрените към момента показания, посочени в точка 4.1, дозата е в рамките на 20 </w:t>
      </w:r>
      <w:proofErr w:type="spellStart"/>
      <w:r w:rsidRPr="00E62AF8">
        <w:rPr>
          <w:lang w:val="bg-BG"/>
        </w:rPr>
        <w:t>mg</w:t>
      </w:r>
      <w:proofErr w:type="spellEnd"/>
      <w:r w:rsidRPr="00E62AF8">
        <w:rPr>
          <w:lang w:val="bg-BG"/>
        </w:rPr>
        <w:t xml:space="preserve">/ </w:t>
      </w:r>
      <w:r w:rsidRPr="00E62AF8">
        <w:rPr>
          <w:lang w:val="bg-BG" w:eastAsia="bg-BG"/>
        </w:rPr>
        <w:t>кг дневно. Въпреки това, данните за ефикасност, дозировка и безопасност при тези показания са ограничени.</w:t>
      </w:r>
    </w:p>
    <w:p w14:paraId="5C94B97E" w14:textId="77777777" w:rsidR="00E62AF8" w:rsidRPr="00E62AF8" w:rsidRDefault="00E62AF8" w:rsidP="00E62AF8">
      <w:pPr>
        <w:rPr>
          <w:sz w:val="24"/>
          <w:szCs w:val="24"/>
          <w:lang w:val="bg-BG"/>
        </w:rPr>
      </w:pPr>
      <w:r w:rsidRPr="00E62AF8">
        <w:rPr>
          <w:lang w:val="bg-BG" w:eastAsia="bg-BG"/>
        </w:rPr>
        <w:t xml:space="preserve">Ефикасността, дозировката и безопасността на </w:t>
      </w:r>
      <w:proofErr w:type="spellStart"/>
      <w:r w:rsidRPr="00E62AF8">
        <w:rPr>
          <w:lang w:val="bg-BG" w:eastAsia="bg-BG"/>
        </w:rPr>
        <w:t>транексамовагга</w:t>
      </w:r>
      <w:proofErr w:type="spellEnd"/>
      <w:r w:rsidRPr="00E62AF8">
        <w:rPr>
          <w:lang w:val="bg-BG" w:eastAsia="bg-BG"/>
        </w:rPr>
        <w:t xml:space="preserve"> киселина при деца, подложени на сърдечна операция, не са напълно установени. Наличните към момента данни са ограничени и са описани в точка 5.1.</w:t>
      </w:r>
    </w:p>
    <w:p w14:paraId="3C2E15F3" w14:textId="77777777" w:rsidR="00E62AF8" w:rsidRPr="00E62AF8" w:rsidRDefault="00E62AF8" w:rsidP="00E62AF8">
      <w:pPr>
        <w:rPr>
          <w:lang w:val="bg-BG" w:eastAsia="bg-BG"/>
        </w:rPr>
      </w:pPr>
    </w:p>
    <w:p w14:paraId="509D0DE9" w14:textId="02601C66" w:rsidR="00E62AF8" w:rsidRPr="00C73B38" w:rsidRDefault="00E62AF8" w:rsidP="00E62AF8">
      <w:pPr>
        <w:rPr>
          <w:i/>
          <w:iCs/>
          <w:sz w:val="24"/>
          <w:szCs w:val="24"/>
          <w:lang w:val="bg-BG"/>
        </w:rPr>
      </w:pPr>
      <w:r w:rsidRPr="00C73B38">
        <w:rPr>
          <w:i/>
          <w:iCs/>
          <w:lang w:val="bg-BG" w:eastAsia="bg-BG"/>
        </w:rPr>
        <w:t>Пациенти в старческа възраст</w:t>
      </w:r>
    </w:p>
    <w:p w14:paraId="050176F1" w14:textId="77777777" w:rsidR="00E62AF8" w:rsidRPr="00E62AF8" w:rsidRDefault="00E62AF8" w:rsidP="00E62AF8">
      <w:pPr>
        <w:rPr>
          <w:sz w:val="24"/>
          <w:szCs w:val="24"/>
          <w:lang w:val="bg-BG"/>
        </w:rPr>
      </w:pPr>
      <w:r w:rsidRPr="00E62AF8">
        <w:rPr>
          <w:lang w:val="bg-BG" w:eastAsia="bg-BG"/>
        </w:rPr>
        <w:t>Не е необходимо понижаване на дозата, освен ако не са налични доказателства за бъбречна недостатъчност.</w:t>
      </w:r>
    </w:p>
    <w:p w14:paraId="7BA1FD89" w14:textId="77777777" w:rsidR="00E62AF8" w:rsidRPr="00E62AF8" w:rsidRDefault="00E62AF8" w:rsidP="00E62AF8">
      <w:pPr>
        <w:rPr>
          <w:u w:val="single"/>
          <w:lang w:val="bg-BG" w:eastAsia="bg-BG"/>
        </w:rPr>
      </w:pPr>
    </w:p>
    <w:p w14:paraId="243CB480" w14:textId="41FF5663" w:rsidR="00E62AF8" w:rsidRPr="00C73B38" w:rsidRDefault="00E62AF8" w:rsidP="00C73B38">
      <w:pPr>
        <w:pStyle w:val="Heading3"/>
        <w:rPr>
          <w:u w:val="single"/>
          <w:lang w:val="bg-BG"/>
        </w:rPr>
      </w:pPr>
      <w:r w:rsidRPr="00C73B38">
        <w:rPr>
          <w:u w:val="single"/>
          <w:lang w:val="bg-BG" w:eastAsia="bg-BG"/>
        </w:rPr>
        <w:t>Начин на приложение</w:t>
      </w:r>
    </w:p>
    <w:p w14:paraId="63B8D3D0" w14:textId="1F839B35" w:rsidR="00E62AF8" w:rsidRPr="00E62AF8" w:rsidRDefault="00E62AF8" w:rsidP="00E62AF8">
      <w:pPr>
        <w:rPr>
          <w:lang w:val="bg-BG" w:eastAsia="bg-BG"/>
        </w:rPr>
      </w:pPr>
      <w:r w:rsidRPr="00E62AF8">
        <w:rPr>
          <w:lang w:val="bg-BG" w:eastAsia="bg-BG"/>
        </w:rPr>
        <w:t xml:space="preserve">Начинът на приложение е строго ограничен до бавна </w:t>
      </w:r>
      <w:proofErr w:type="spellStart"/>
      <w:r w:rsidRPr="00E62AF8">
        <w:rPr>
          <w:lang w:val="bg-BG" w:eastAsia="bg-BG"/>
        </w:rPr>
        <w:t>ингравенозна</w:t>
      </w:r>
      <w:proofErr w:type="spellEnd"/>
      <w:r w:rsidRPr="00E62AF8">
        <w:rPr>
          <w:lang w:val="bg-BG" w:eastAsia="bg-BG"/>
        </w:rPr>
        <w:t xml:space="preserve"> инжекция.</w:t>
      </w:r>
    </w:p>
    <w:p w14:paraId="16E6015F" w14:textId="77777777" w:rsidR="00E62AF8" w:rsidRPr="00E62AF8" w:rsidRDefault="00E62AF8" w:rsidP="00E62AF8">
      <w:pPr>
        <w:rPr>
          <w:u w:val="single"/>
          <w:lang w:val="bg-BG"/>
        </w:rPr>
      </w:pPr>
    </w:p>
    <w:p w14:paraId="455D6048" w14:textId="10886E5A" w:rsidR="002C50EE" w:rsidRPr="00E62AF8" w:rsidRDefault="002C50EE" w:rsidP="002C50EE">
      <w:pPr>
        <w:pStyle w:val="Heading2"/>
        <w:rPr>
          <w:lang w:val="bg-BG"/>
        </w:rPr>
      </w:pPr>
      <w:r w:rsidRPr="00E62AF8">
        <w:rPr>
          <w:lang w:val="bg-BG"/>
        </w:rPr>
        <w:t>4.3. Противопоказания</w:t>
      </w:r>
    </w:p>
    <w:p w14:paraId="1282047A" w14:textId="159A2A75" w:rsidR="00E62AF8" w:rsidRPr="00E62AF8" w:rsidRDefault="00E62AF8" w:rsidP="00E62AF8">
      <w:pPr>
        <w:rPr>
          <w:sz w:val="24"/>
          <w:szCs w:val="24"/>
          <w:lang w:val="bg-BG"/>
        </w:rPr>
      </w:pPr>
      <w:r w:rsidRPr="00E62AF8">
        <w:rPr>
          <w:lang w:val="bg-BG" w:eastAsia="bg-BG"/>
        </w:rPr>
        <w:t>Свр</w:t>
      </w:r>
      <w:r w:rsidR="00AA6F25">
        <w:rPr>
          <w:lang w:val="bg-BG" w:eastAsia="bg-BG"/>
        </w:rPr>
        <w:t>ъ</w:t>
      </w:r>
      <w:r w:rsidRPr="00E62AF8">
        <w:rPr>
          <w:lang w:val="bg-BG" w:eastAsia="bg-BG"/>
        </w:rPr>
        <w:t>хчувствителност към активното вещество или към някое от помощните вещества, изброени в точка 6.1.</w:t>
      </w:r>
    </w:p>
    <w:p w14:paraId="20F2690E" w14:textId="77777777" w:rsidR="00E62AF8" w:rsidRPr="00E62AF8" w:rsidRDefault="00E62AF8" w:rsidP="00E62AF8">
      <w:pPr>
        <w:rPr>
          <w:sz w:val="24"/>
          <w:szCs w:val="24"/>
          <w:lang w:val="bg-BG"/>
        </w:rPr>
      </w:pPr>
      <w:r w:rsidRPr="00E62AF8">
        <w:rPr>
          <w:lang w:val="bg-BG" w:eastAsia="bg-BG"/>
        </w:rPr>
        <w:t>Остра венозна или артериална тромбоза (вижте точка 4.4).</w:t>
      </w:r>
    </w:p>
    <w:p w14:paraId="0EB5026D" w14:textId="77777777" w:rsidR="00E62AF8" w:rsidRPr="00E62AF8" w:rsidRDefault="00E62AF8" w:rsidP="00E62AF8">
      <w:pPr>
        <w:rPr>
          <w:sz w:val="24"/>
          <w:szCs w:val="24"/>
          <w:lang w:val="bg-BG"/>
        </w:rPr>
      </w:pPr>
      <w:r w:rsidRPr="00E62AF8">
        <w:rPr>
          <w:lang w:val="bg-BG" w:eastAsia="bg-BG"/>
        </w:rPr>
        <w:t xml:space="preserve">Състояние на </w:t>
      </w:r>
      <w:proofErr w:type="spellStart"/>
      <w:r w:rsidRPr="00E62AF8">
        <w:rPr>
          <w:lang w:val="bg-BG" w:eastAsia="bg-BG"/>
        </w:rPr>
        <w:t>фибринолиза</w:t>
      </w:r>
      <w:proofErr w:type="spellEnd"/>
      <w:r w:rsidRPr="00E62AF8">
        <w:rPr>
          <w:lang w:val="bg-BG" w:eastAsia="bg-BG"/>
        </w:rPr>
        <w:t xml:space="preserve"> след консумативна </w:t>
      </w:r>
      <w:proofErr w:type="spellStart"/>
      <w:r w:rsidRPr="00E62AF8">
        <w:rPr>
          <w:lang w:val="bg-BG" w:eastAsia="bg-BG"/>
        </w:rPr>
        <w:t>каогулопатия</w:t>
      </w:r>
      <w:proofErr w:type="spellEnd"/>
      <w:r w:rsidRPr="00E62AF8">
        <w:rPr>
          <w:lang w:val="bg-BG" w:eastAsia="bg-BG"/>
        </w:rPr>
        <w:t xml:space="preserve">, с изключение на тези с доминиращо активиране на </w:t>
      </w:r>
      <w:proofErr w:type="spellStart"/>
      <w:r w:rsidRPr="00E62AF8">
        <w:rPr>
          <w:lang w:val="bg-BG" w:eastAsia="bg-BG"/>
        </w:rPr>
        <w:t>фибринолитичната</w:t>
      </w:r>
      <w:proofErr w:type="spellEnd"/>
      <w:r w:rsidRPr="00E62AF8">
        <w:rPr>
          <w:lang w:val="bg-BG" w:eastAsia="bg-BG"/>
        </w:rPr>
        <w:t xml:space="preserve"> система с тежко остро кървене (вижте точка 4.4).</w:t>
      </w:r>
    </w:p>
    <w:p w14:paraId="512AB5E3" w14:textId="77777777" w:rsidR="00E62AF8" w:rsidRPr="00E62AF8" w:rsidRDefault="00E62AF8" w:rsidP="00E62AF8">
      <w:pPr>
        <w:rPr>
          <w:sz w:val="24"/>
          <w:szCs w:val="24"/>
          <w:lang w:val="bg-BG"/>
        </w:rPr>
      </w:pPr>
      <w:r w:rsidRPr="00E62AF8">
        <w:rPr>
          <w:lang w:val="bg-BG" w:eastAsia="bg-BG"/>
        </w:rPr>
        <w:t>Тежко бъбречно увреждане (риск от кумулиране).</w:t>
      </w:r>
    </w:p>
    <w:p w14:paraId="6E909855" w14:textId="77777777" w:rsidR="00E62AF8" w:rsidRPr="00E62AF8" w:rsidRDefault="00E62AF8" w:rsidP="00E62AF8">
      <w:pPr>
        <w:rPr>
          <w:sz w:val="24"/>
          <w:szCs w:val="24"/>
          <w:lang w:val="bg-BG"/>
        </w:rPr>
      </w:pPr>
      <w:r w:rsidRPr="00E62AF8">
        <w:rPr>
          <w:lang w:val="bg-BG" w:eastAsia="bg-BG"/>
        </w:rPr>
        <w:t>Анамнеза за гърчове.</w:t>
      </w:r>
    </w:p>
    <w:p w14:paraId="5CFE36A7" w14:textId="3C9BBF5C" w:rsidR="00E62AF8" w:rsidRPr="00E62AF8" w:rsidRDefault="00E62AF8" w:rsidP="00E62AF8">
      <w:pPr>
        <w:rPr>
          <w:lang w:val="bg-BG" w:eastAsia="bg-BG"/>
        </w:rPr>
      </w:pPr>
      <w:proofErr w:type="spellStart"/>
      <w:r w:rsidRPr="00E62AF8">
        <w:rPr>
          <w:lang w:val="bg-BG" w:eastAsia="bg-BG"/>
        </w:rPr>
        <w:lastRenderedPageBreak/>
        <w:t>Интратекална</w:t>
      </w:r>
      <w:proofErr w:type="spellEnd"/>
      <w:r w:rsidRPr="00E62AF8">
        <w:rPr>
          <w:lang w:val="bg-BG" w:eastAsia="bg-BG"/>
        </w:rPr>
        <w:t xml:space="preserve"> и </w:t>
      </w:r>
      <w:proofErr w:type="spellStart"/>
      <w:r w:rsidRPr="00E62AF8">
        <w:rPr>
          <w:lang w:val="bg-BG" w:eastAsia="bg-BG"/>
        </w:rPr>
        <w:t>интравентрикуларна</w:t>
      </w:r>
      <w:proofErr w:type="spellEnd"/>
      <w:r w:rsidRPr="00E62AF8">
        <w:rPr>
          <w:lang w:val="bg-BG" w:eastAsia="bg-BG"/>
        </w:rPr>
        <w:t xml:space="preserve"> инжекция, </w:t>
      </w:r>
      <w:proofErr w:type="spellStart"/>
      <w:r w:rsidRPr="00E62AF8">
        <w:rPr>
          <w:lang w:val="bg-BG" w:eastAsia="bg-BG"/>
        </w:rPr>
        <w:t>интрацеребрално</w:t>
      </w:r>
      <w:proofErr w:type="spellEnd"/>
      <w:r w:rsidRPr="00E62AF8">
        <w:rPr>
          <w:lang w:val="bg-BG" w:eastAsia="bg-BG"/>
        </w:rPr>
        <w:t xml:space="preserve"> приложение (риск от мозъчен оток и гърчове).</w:t>
      </w:r>
    </w:p>
    <w:p w14:paraId="3E090523" w14:textId="77777777" w:rsidR="00E62AF8" w:rsidRPr="00E62AF8" w:rsidRDefault="00E62AF8" w:rsidP="00E62AF8">
      <w:pPr>
        <w:rPr>
          <w:lang w:val="bg-BG"/>
        </w:rPr>
      </w:pPr>
    </w:p>
    <w:p w14:paraId="2A4373D0" w14:textId="7B16EBF3" w:rsidR="002C50EE" w:rsidRPr="00E62AF8" w:rsidRDefault="002C50EE" w:rsidP="002C50EE">
      <w:pPr>
        <w:pStyle w:val="Heading2"/>
        <w:rPr>
          <w:lang w:val="bg-BG"/>
        </w:rPr>
      </w:pPr>
      <w:r w:rsidRPr="00E62AF8">
        <w:rPr>
          <w:lang w:val="bg-BG"/>
        </w:rPr>
        <w:t>4.4. Специални предупреждения и предпазни мерки при употреба</w:t>
      </w:r>
    </w:p>
    <w:p w14:paraId="20F81D5E" w14:textId="77777777" w:rsidR="00E62AF8" w:rsidRPr="00E62AF8" w:rsidRDefault="00E62AF8" w:rsidP="00E62AF8">
      <w:pPr>
        <w:rPr>
          <w:sz w:val="24"/>
          <w:szCs w:val="24"/>
          <w:lang w:val="bg-BG"/>
        </w:rPr>
      </w:pPr>
      <w:r w:rsidRPr="00E62AF8">
        <w:rPr>
          <w:lang w:val="bg-BG" w:eastAsia="bg-BG"/>
        </w:rPr>
        <w:t>Показанията и начинът на приложение, посочени по-горе, трябва да бъдат стриктно следвани:</w:t>
      </w:r>
    </w:p>
    <w:p w14:paraId="63C55962" w14:textId="77777777" w:rsidR="00E62AF8" w:rsidRPr="00E62AF8" w:rsidRDefault="00E62AF8" w:rsidP="00E62AF8">
      <w:pPr>
        <w:pStyle w:val="ListParagraph"/>
        <w:numPr>
          <w:ilvl w:val="0"/>
          <w:numId w:val="16"/>
        </w:numPr>
        <w:rPr>
          <w:sz w:val="24"/>
          <w:szCs w:val="24"/>
          <w:lang w:val="bg-BG"/>
        </w:rPr>
      </w:pPr>
      <w:r w:rsidRPr="00E62AF8">
        <w:rPr>
          <w:lang w:val="bg-BG" w:eastAsia="bg-BG"/>
        </w:rPr>
        <w:t>Интравенозните инжекции трябва да се прилагат много бавно;</w:t>
      </w:r>
    </w:p>
    <w:p w14:paraId="213292B2" w14:textId="2502DE72" w:rsidR="00E62AF8" w:rsidRPr="00E62AF8" w:rsidRDefault="00E62AF8" w:rsidP="00E62AF8">
      <w:pPr>
        <w:pStyle w:val="ListParagraph"/>
        <w:numPr>
          <w:ilvl w:val="0"/>
          <w:numId w:val="16"/>
        </w:numPr>
        <w:rPr>
          <w:sz w:val="24"/>
          <w:szCs w:val="24"/>
          <w:lang w:val="bg-BG"/>
        </w:rPr>
      </w:pPr>
      <w:proofErr w:type="spellStart"/>
      <w:r w:rsidRPr="00E62AF8">
        <w:rPr>
          <w:lang w:val="bg-BG" w:eastAsia="bg-BG"/>
        </w:rPr>
        <w:t>Транексамовата</w:t>
      </w:r>
      <w:proofErr w:type="spellEnd"/>
      <w:r w:rsidRPr="00E62AF8">
        <w:rPr>
          <w:lang w:val="bg-BG" w:eastAsia="bg-BG"/>
        </w:rPr>
        <w:t xml:space="preserve"> киселина не трябва да бъде прилагана интрамускулно.</w:t>
      </w:r>
    </w:p>
    <w:p w14:paraId="7A1C7DB9" w14:textId="3133BB18" w:rsidR="00E62AF8" w:rsidRPr="00E62AF8" w:rsidRDefault="00E62AF8" w:rsidP="00E62AF8">
      <w:pPr>
        <w:rPr>
          <w:sz w:val="24"/>
          <w:szCs w:val="24"/>
          <w:lang w:val="bg-BG"/>
        </w:rPr>
      </w:pPr>
    </w:p>
    <w:p w14:paraId="08C7EBA9" w14:textId="77777777" w:rsidR="00E62AF8" w:rsidRPr="005E734F" w:rsidRDefault="00E62AF8" w:rsidP="005E734F">
      <w:pPr>
        <w:pStyle w:val="Heading3"/>
        <w:rPr>
          <w:u w:val="single"/>
          <w:lang w:val="bg-BG"/>
        </w:rPr>
      </w:pPr>
      <w:r w:rsidRPr="005E734F">
        <w:rPr>
          <w:u w:val="single"/>
          <w:lang w:val="bg-BG" w:eastAsia="bg-BG"/>
        </w:rPr>
        <w:t>Гърчове</w:t>
      </w:r>
    </w:p>
    <w:p w14:paraId="289D60E3" w14:textId="230608DA" w:rsidR="00E62AF8" w:rsidRPr="00E62AF8" w:rsidRDefault="00E62AF8" w:rsidP="00E62AF8">
      <w:pPr>
        <w:rPr>
          <w:sz w:val="24"/>
          <w:szCs w:val="24"/>
          <w:lang w:val="bg-BG"/>
        </w:rPr>
      </w:pPr>
      <w:r w:rsidRPr="00E62AF8">
        <w:rPr>
          <w:lang w:val="bg-BG" w:eastAsia="bg-BG"/>
        </w:rPr>
        <w:t xml:space="preserve">Съобщавани са случаи на гърчове, свързани с лечение с </w:t>
      </w:r>
      <w:proofErr w:type="spellStart"/>
      <w:r w:rsidRPr="00E62AF8">
        <w:rPr>
          <w:lang w:val="bg-BG" w:eastAsia="bg-BG"/>
        </w:rPr>
        <w:t>транексамова</w:t>
      </w:r>
      <w:proofErr w:type="spellEnd"/>
      <w:r w:rsidRPr="00E62AF8">
        <w:rPr>
          <w:lang w:val="bg-BG" w:eastAsia="bg-BG"/>
        </w:rPr>
        <w:t xml:space="preserve"> киселина. При операция за </w:t>
      </w:r>
      <w:proofErr w:type="spellStart"/>
      <w:r w:rsidRPr="00E62AF8">
        <w:rPr>
          <w:lang w:val="bg-BG" w:eastAsia="bg-BG"/>
        </w:rPr>
        <w:t>артерио</w:t>
      </w:r>
      <w:proofErr w:type="spellEnd"/>
      <w:r w:rsidRPr="00E62AF8">
        <w:rPr>
          <w:lang w:val="bg-BG" w:eastAsia="bg-BG"/>
        </w:rPr>
        <w:t xml:space="preserve">-коронарен байпас </w:t>
      </w:r>
      <w:r w:rsidRPr="00E62AF8">
        <w:rPr>
          <w:lang w:val="bg-BG"/>
        </w:rPr>
        <w:t xml:space="preserve">(CABG) </w:t>
      </w:r>
      <w:r w:rsidRPr="00E62AF8">
        <w:rPr>
          <w:lang w:val="bg-BG" w:eastAsia="bg-BG"/>
        </w:rPr>
        <w:t>повечето от тези случаи са съобщавани след ин</w:t>
      </w:r>
      <w:r w:rsidR="005E734F">
        <w:rPr>
          <w:lang w:val="bg-BG" w:eastAsia="bg-BG"/>
        </w:rPr>
        <w:t>т</w:t>
      </w:r>
      <w:r w:rsidRPr="00E62AF8">
        <w:rPr>
          <w:lang w:val="bg-BG" w:eastAsia="bg-BG"/>
        </w:rPr>
        <w:t xml:space="preserve">равенозна </w:t>
      </w:r>
      <w:r w:rsidRPr="00E62AF8">
        <w:rPr>
          <w:lang w:val="bg-BG"/>
        </w:rPr>
        <w:t>(</w:t>
      </w:r>
      <w:proofErr w:type="spellStart"/>
      <w:r w:rsidRPr="00E62AF8">
        <w:rPr>
          <w:lang w:val="bg-BG"/>
        </w:rPr>
        <w:t>i.v</w:t>
      </w:r>
      <w:proofErr w:type="spellEnd"/>
      <w:r w:rsidRPr="00E62AF8">
        <w:rPr>
          <w:lang w:val="bg-BG"/>
        </w:rPr>
        <w:t xml:space="preserve">.) </w:t>
      </w:r>
      <w:r w:rsidRPr="00E62AF8">
        <w:rPr>
          <w:lang w:val="bg-BG" w:eastAsia="bg-BG"/>
        </w:rPr>
        <w:t xml:space="preserve">инжекция на високи дози </w:t>
      </w:r>
      <w:proofErr w:type="spellStart"/>
      <w:r w:rsidRPr="00E62AF8">
        <w:rPr>
          <w:lang w:val="bg-BG" w:eastAsia="bg-BG"/>
        </w:rPr>
        <w:t>транексамова</w:t>
      </w:r>
      <w:proofErr w:type="spellEnd"/>
      <w:r w:rsidRPr="00E62AF8">
        <w:rPr>
          <w:lang w:val="bg-BG" w:eastAsia="bg-BG"/>
        </w:rPr>
        <w:t xml:space="preserve"> киселина. При употреба на препоръчителните по-ниски дози, честотата на постоперат</w:t>
      </w:r>
      <w:r w:rsidR="005E734F">
        <w:rPr>
          <w:lang w:val="bg-BG" w:eastAsia="bg-BG"/>
        </w:rPr>
        <w:t>и</w:t>
      </w:r>
      <w:r w:rsidRPr="00E62AF8">
        <w:rPr>
          <w:lang w:val="bg-BG" w:eastAsia="bg-BG"/>
        </w:rPr>
        <w:t xml:space="preserve">вни гърчове е идентична с тази при </w:t>
      </w:r>
      <w:proofErr w:type="spellStart"/>
      <w:r w:rsidRPr="00E62AF8">
        <w:rPr>
          <w:lang w:val="bg-BG" w:eastAsia="bg-BG"/>
        </w:rPr>
        <w:t>нелекувани</w:t>
      </w:r>
      <w:proofErr w:type="spellEnd"/>
      <w:r w:rsidRPr="00E62AF8">
        <w:rPr>
          <w:lang w:val="bg-BG" w:eastAsia="bg-BG"/>
        </w:rPr>
        <w:t xml:space="preserve"> пациенти.</w:t>
      </w:r>
    </w:p>
    <w:p w14:paraId="3966BA1F" w14:textId="70DFDC18" w:rsidR="00E62AF8" w:rsidRPr="00E62AF8" w:rsidRDefault="00E62AF8" w:rsidP="00E62AF8">
      <w:pPr>
        <w:rPr>
          <w:lang w:val="bg-BG"/>
        </w:rPr>
      </w:pPr>
    </w:p>
    <w:p w14:paraId="6520F166" w14:textId="77777777" w:rsidR="00E62AF8" w:rsidRPr="005E734F" w:rsidRDefault="00E62AF8" w:rsidP="005E734F">
      <w:pPr>
        <w:pStyle w:val="Heading3"/>
        <w:rPr>
          <w:u w:val="single"/>
          <w:lang w:val="bg-BG"/>
        </w:rPr>
      </w:pPr>
      <w:r w:rsidRPr="005E734F">
        <w:rPr>
          <w:u w:val="single"/>
          <w:lang w:val="bg-BG" w:eastAsia="bg-BG"/>
        </w:rPr>
        <w:t>Зрителни нарушения</w:t>
      </w:r>
    </w:p>
    <w:p w14:paraId="3BD9C433" w14:textId="77777777" w:rsidR="00E62AF8" w:rsidRPr="00E62AF8" w:rsidRDefault="00E62AF8" w:rsidP="00E62AF8">
      <w:pPr>
        <w:rPr>
          <w:sz w:val="24"/>
          <w:szCs w:val="24"/>
          <w:lang w:val="bg-BG"/>
        </w:rPr>
      </w:pPr>
      <w:r w:rsidRPr="00E62AF8">
        <w:rPr>
          <w:lang w:val="bg-BG" w:eastAsia="bg-BG"/>
        </w:rPr>
        <w:t>Необходимо е внимание за възможни зрителни нарушения, включително</w:t>
      </w:r>
      <w:r w:rsidRPr="00E62AF8">
        <w:rPr>
          <w:lang w:val="bg-BG"/>
        </w:rPr>
        <w:t xml:space="preserve"> </w:t>
      </w:r>
      <w:r w:rsidRPr="00E62AF8">
        <w:rPr>
          <w:lang w:val="bg-BG" w:eastAsia="bg-BG"/>
        </w:rPr>
        <w:t>увреждане на</w:t>
      </w:r>
    </w:p>
    <w:p w14:paraId="2C48BE48" w14:textId="77777777" w:rsidR="00E62AF8" w:rsidRPr="00E62AF8" w:rsidRDefault="00E62AF8" w:rsidP="00E62AF8">
      <w:pPr>
        <w:rPr>
          <w:sz w:val="24"/>
          <w:szCs w:val="24"/>
          <w:lang w:val="bg-BG"/>
        </w:rPr>
      </w:pPr>
      <w:r w:rsidRPr="00E62AF8">
        <w:rPr>
          <w:lang w:val="bg-BG" w:eastAsia="bg-BG"/>
        </w:rPr>
        <w:t>зрението, замъглено зрение, увредено цветно зрение и, ако е необходимо лечение трябва да бъде преустановено. При непрекъсната продължителна употреба на</w:t>
      </w:r>
    </w:p>
    <w:p w14:paraId="7DB89D41" w14:textId="18EFA368" w:rsidR="00E62AF8" w:rsidRPr="0096767C" w:rsidRDefault="00E62AF8" w:rsidP="00E62AF8">
      <w:pPr>
        <w:rPr>
          <w:lang w:val="bg-BG" w:eastAsia="bg-BG"/>
        </w:rPr>
      </w:pPr>
      <w:proofErr w:type="spellStart"/>
      <w:r w:rsidRPr="00E62AF8">
        <w:rPr>
          <w:lang w:val="bg-BG" w:eastAsia="bg-BG"/>
        </w:rPr>
        <w:t>транексамова</w:t>
      </w:r>
      <w:proofErr w:type="spellEnd"/>
      <w:r w:rsidRPr="00E62AF8">
        <w:rPr>
          <w:lang w:val="bg-BG" w:eastAsia="bg-BG"/>
        </w:rPr>
        <w:t xml:space="preserve"> киселина инжекционен разтвор са показани редовни </w:t>
      </w:r>
      <w:proofErr w:type="spellStart"/>
      <w:r w:rsidRPr="00E62AF8">
        <w:rPr>
          <w:lang w:val="bg-BG" w:eastAsia="bg-BG"/>
        </w:rPr>
        <w:t>офталмо</w:t>
      </w:r>
      <w:r w:rsidR="00216034">
        <w:rPr>
          <w:lang w:val="bg-BG" w:eastAsia="bg-BG"/>
        </w:rPr>
        <w:t>ло</w:t>
      </w:r>
      <w:r w:rsidRPr="00E62AF8">
        <w:rPr>
          <w:lang w:val="bg-BG" w:eastAsia="bg-BG"/>
        </w:rPr>
        <w:t>гични</w:t>
      </w:r>
      <w:proofErr w:type="spellEnd"/>
      <w:r w:rsidRPr="00E62AF8">
        <w:rPr>
          <w:lang w:val="bg-BG" w:eastAsia="bg-BG"/>
        </w:rPr>
        <w:t xml:space="preserve"> </w:t>
      </w:r>
      <w:r w:rsidRPr="00E62AF8">
        <w:rPr>
          <w:lang w:val="bg-BG"/>
        </w:rPr>
        <w:t xml:space="preserve">прегледи (прегледи на очите, включително зрителна острота, цветно зрение, очни дъна, зрително поле и др.). В случай на патологични </w:t>
      </w:r>
      <w:proofErr w:type="spellStart"/>
      <w:r w:rsidRPr="00E62AF8">
        <w:rPr>
          <w:lang w:val="bg-BG"/>
        </w:rPr>
        <w:t>офталмологични</w:t>
      </w:r>
      <w:proofErr w:type="spellEnd"/>
      <w:r w:rsidRPr="00E62AF8">
        <w:rPr>
          <w:lang w:val="bg-BG"/>
        </w:rPr>
        <w:t xml:space="preserve"> промени, особено заболявания на ретината, лекуващият лекар трябва да прецени необходимостта от дългосрочно лечение с </w:t>
      </w:r>
      <w:proofErr w:type="spellStart"/>
      <w:r w:rsidRPr="00E62AF8">
        <w:rPr>
          <w:lang w:val="bg-BG"/>
        </w:rPr>
        <w:t>транексамова</w:t>
      </w:r>
      <w:proofErr w:type="spellEnd"/>
      <w:r w:rsidRPr="00E62AF8">
        <w:rPr>
          <w:lang w:val="bg-BG"/>
        </w:rPr>
        <w:t xml:space="preserve"> киселина инжекционен разтвор при всеки индивидуален случай.</w:t>
      </w:r>
    </w:p>
    <w:p w14:paraId="570B6D3E" w14:textId="44D5D008" w:rsidR="00E62AF8" w:rsidRPr="00E62AF8" w:rsidRDefault="00E62AF8" w:rsidP="00E62AF8">
      <w:pPr>
        <w:rPr>
          <w:lang w:val="bg-BG"/>
        </w:rPr>
      </w:pPr>
    </w:p>
    <w:p w14:paraId="75A34762" w14:textId="77777777" w:rsidR="00E62AF8" w:rsidRPr="005E734F" w:rsidRDefault="00E62AF8" w:rsidP="005E734F">
      <w:pPr>
        <w:pStyle w:val="Heading3"/>
        <w:rPr>
          <w:u w:val="single"/>
          <w:lang w:val="bg-BG"/>
        </w:rPr>
      </w:pPr>
      <w:proofErr w:type="spellStart"/>
      <w:r w:rsidRPr="005E734F">
        <w:rPr>
          <w:u w:val="single"/>
          <w:lang w:val="bg-BG" w:eastAsia="bg-BG"/>
        </w:rPr>
        <w:t>Хематурия</w:t>
      </w:r>
      <w:proofErr w:type="spellEnd"/>
    </w:p>
    <w:p w14:paraId="13F66A3F" w14:textId="77777777" w:rsidR="00E62AF8" w:rsidRPr="00E62AF8" w:rsidRDefault="00E62AF8" w:rsidP="00E62AF8">
      <w:pPr>
        <w:rPr>
          <w:sz w:val="24"/>
          <w:szCs w:val="24"/>
          <w:lang w:val="bg-BG"/>
        </w:rPr>
      </w:pPr>
      <w:r w:rsidRPr="00E62AF8">
        <w:rPr>
          <w:lang w:val="bg-BG" w:eastAsia="bg-BG"/>
        </w:rPr>
        <w:t xml:space="preserve">В случай на </w:t>
      </w:r>
      <w:proofErr w:type="spellStart"/>
      <w:r w:rsidRPr="00E62AF8">
        <w:rPr>
          <w:lang w:val="bg-BG" w:eastAsia="bg-BG"/>
        </w:rPr>
        <w:t>хематурия</w:t>
      </w:r>
      <w:proofErr w:type="spellEnd"/>
      <w:r w:rsidRPr="00E62AF8">
        <w:rPr>
          <w:lang w:val="bg-BG" w:eastAsia="bg-BG"/>
        </w:rPr>
        <w:t xml:space="preserve"> от горните пикочни пътища има риск от </w:t>
      </w:r>
      <w:proofErr w:type="spellStart"/>
      <w:r w:rsidRPr="00E62AF8">
        <w:rPr>
          <w:lang w:val="bg-BG" w:eastAsia="bg-BG"/>
        </w:rPr>
        <w:t>уретрална</w:t>
      </w:r>
      <w:proofErr w:type="spellEnd"/>
      <w:r w:rsidRPr="00E62AF8">
        <w:rPr>
          <w:lang w:val="bg-BG" w:eastAsia="bg-BG"/>
        </w:rPr>
        <w:t xml:space="preserve"> обструкция.</w:t>
      </w:r>
    </w:p>
    <w:p w14:paraId="6C7D3A59" w14:textId="77777777" w:rsidR="00E62AF8" w:rsidRPr="00E62AF8" w:rsidRDefault="00E62AF8" w:rsidP="00E62AF8">
      <w:pPr>
        <w:rPr>
          <w:lang w:val="bg-BG" w:eastAsia="bg-BG"/>
        </w:rPr>
      </w:pPr>
    </w:p>
    <w:p w14:paraId="6F56BF3C" w14:textId="3E76BEA9" w:rsidR="00E62AF8" w:rsidRPr="005E734F" w:rsidRDefault="00E62AF8" w:rsidP="005E734F">
      <w:pPr>
        <w:pStyle w:val="Heading3"/>
        <w:rPr>
          <w:u w:val="single"/>
          <w:lang w:val="bg-BG"/>
        </w:rPr>
      </w:pPr>
      <w:proofErr w:type="spellStart"/>
      <w:r w:rsidRPr="005E734F">
        <w:rPr>
          <w:u w:val="single"/>
          <w:lang w:val="bg-BG" w:eastAsia="bg-BG"/>
        </w:rPr>
        <w:t>Тромбоемболизъм</w:t>
      </w:r>
      <w:proofErr w:type="spellEnd"/>
    </w:p>
    <w:p w14:paraId="6DF36485" w14:textId="77777777" w:rsidR="00E62AF8" w:rsidRPr="00E62AF8" w:rsidRDefault="00E62AF8" w:rsidP="00E62AF8">
      <w:pPr>
        <w:rPr>
          <w:sz w:val="24"/>
          <w:szCs w:val="24"/>
          <w:lang w:val="bg-BG"/>
        </w:rPr>
      </w:pPr>
      <w:r w:rsidRPr="00E62AF8">
        <w:rPr>
          <w:lang w:val="bg-BG" w:eastAsia="bg-BG"/>
        </w:rPr>
        <w:t xml:space="preserve">Преди употреба на </w:t>
      </w:r>
      <w:proofErr w:type="spellStart"/>
      <w:r w:rsidRPr="00E62AF8">
        <w:rPr>
          <w:lang w:val="bg-BG" w:eastAsia="bg-BG"/>
        </w:rPr>
        <w:t>транексамова</w:t>
      </w:r>
      <w:proofErr w:type="spellEnd"/>
      <w:r w:rsidRPr="00E62AF8">
        <w:rPr>
          <w:lang w:val="bg-BG" w:eastAsia="bg-BG"/>
        </w:rPr>
        <w:t xml:space="preserve"> киселина трябва да се оценят рисковите фактори за </w:t>
      </w:r>
      <w:proofErr w:type="spellStart"/>
      <w:r w:rsidRPr="00E62AF8">
        <w:rPr>
          <w:lang w:val="bg-BG" w:eastAsia="bg-BG"/>
        </w:rPr>
        <w:t>тромбо-емболитични</w:t>
      </w:r>
      <w:proofErr w:type="spellEnd"/>
      <w:r w:rsidRPr="00E62AF8">
        <w:rPr>
          <w:lang w:val="bg-BG" w:eastAsia="bg-BG"/>
        </w:rPr>
        <w:t xml:space="preserve"> заболявалия. При пациенти с анамнеза за </w:t>
      </w:r>
      <w:proofErr w:type="spellStart"/>
      <w:r w:rsidRPr="00E62AF8">
        <w:rPr>
          <w:lang w:val="bg-BG" w:eastAsia="bg-BG"/>
        </w:rPr>
        <w:t>тромбо-емболитични</w:t>
      </w:r>
      <w:proofErr w:type="spellEnd"/>
      <w:r w:rsidRPr="00E62AF8">
        <w:rPr>
          <w:lang w:val="bg-BG" w:eastAsia="bg-BG"/>
        </w:rPr>
        <w:t xml:space="preserve"> заболявалия или при тези с повишена честота на </w:t>
      </w:r>
      <w:proofErr w:type="spellStart"/>
      <w:r w:rsidRPr="00E62AF8">
        <w:rPr>
          <w:lang w:val="bg-BG" w:eastAsia="bg-BG"/>
        </w:rPr>
        <w:t>тромбо-емболитични</w:t>
      </w:r>
      <w:proofErr w:type="spellEnd"/>
      <w:r w:rsidRPr="00E62AF8">
        <w:rPr>
          <w:lang w:val="bg-BG" w:eastAsia="bg-BG"/>
        </w:rPr>
        <w:t xml:space="preserve"> събития във фамилната анамнеза (пациенти с висок риск от </w:t>
      </w:r>
      <w:proofErr w:type="spellStart"/>
      <w:r w:rsidRPr="00E62AF8">
        <w:rPr>
          <w:lang w:val="bg-BG" w:eastAsia="bg-BG"/>
        </w:rPr>
        <w:t>тромбофилия</w:t>
      </w:r>
      <w:proofErr w:type="spellEnd"/>
      <w:r w:rsidRPr="00E62AF8">
        <w:rPr>
          <w:lang w:val="bg-BG" w:eastAsia="bg-BG"/>
        </w:rPr>
        <w:t xml:space="preserve">) </w:t>
      </w:r>
      <w:proofErr w:type="spellStart"/>
      <w:r w:rsidRPr="00E62AF8">
        <w:rPr>
          <w:lang w:val="bg-BG" w:eastAsia="bg-BG"/>
        </w:rPr>
        <w:t>транексамова</w:t>
      </w:r>
      <w:proofErr w:type="spellEnd"/>
      <w:r w:rsidRPr="00E62AF8">
        <w:rPr>
          <w:lang w:val="bg-BG" w:eastAsia="bg-BG"/>
        </w:rPr>
        <w:t xml:space="preserve"> киселина инжекционен разтвор трябва да се прилага единствено, ако е налично строго медицинско показание, след консултация с лекар, опитен в </w:t>
      </w:r>
      <w:proofErr w:type="spellStart"/>
      <w:r w:rsidRPr="00E62AF8">
        <w:rPr>
          <w:lang w:val="bg-BG" w:eastAsia="bg-BG"/>
        </w:rPr>
        <w:t>хемостазеологията</w:t>
      </w:r>
      <w:proofErr w:type="spellEnd"/>
      <w:r w:rsidRPr="00E62AF8">
        <w:rPr>
          <w:lang w:val="bg-BG" w:eastAsia="bg-BG"/>
        </w:rPr>
        <w:t>, и под строго медицинско наблюдение (вижте точка 4.3).</w:t>
      </w:r>
    </w:p>
    <w:p w14:paraId="2D6428BF" w14:textId="77777777" w:rsidR="00E62AF8" w:rsidRPr="00E62AF8" w:rsidRDefault="00E62AF8" w:rsidP="00E62AF8">
      <w:pPr>
        <w:rPr>
          <w:sz w:val="24"/>
          <w:szCs w:val="24"/>
          <w:lang w:val="bg-BG"/>
        </w:rPr>
      </w:pPr>
      <w:proofErr w:type="spellStart"/>
      <w:r w:rsidRPr="00E62AF8">
        <w:rPr>
          <w:lang w:val="bg-BG" w:eastAsia="bg-BG"/>
        </w:rPr>
        <w:t>Транексамова</w:t>
      </w:r>
      <w:proofErr w:type="spellEnd"/>
      <w:r w:rsidRPr="00E62AF8">
        <w:rPr>
          <w:lang w:val="bg-BG" w:eastAsia="bg-BG"/>
        </w:rPr>
        <w:t xml:space="preserve"> киселина трябва да се прилага с внимание при пациенти, които приемат перорални контрацептиви, поради повишен риск от тромбоза (вижте точка 4.5).</w:t>
      </w:r>
    </w:p>
    <w:p w14:paraId="06DF456B" w14:textId="77777777" w:rsidR="00E62AF8" w:rsidRPr="00E62AF8" w:rsidRDefault="00E62AF8" w:rsidP="00E62AF8">
      <w:pPr>
        <w:rPr>
          <w:lang w:val="bg-BG" w:eastAsia="bg-BG"/>
        </w:rPr>
      </w:pPr>
    </w:p>
    <w:p w14:paraId="767BE68C" w14:textId="1930F979" w:rsidR="00E62AF8" w:rsidRPr="005E734F" w:rsidRDefault="00E62AF8" w:rsidP="005E734F">
      <w:pPr>
        <w:pStyle w:val="Heading3"/>
        <w:rPr>
          <w:u w:val="single"/>
          <w:lang w:val="bg-BG"/>
        </w:rPr>
      </w:pPr>
      <w:proofErr w:type="spellStart"/>
      <w:r w:rsidRPr="005E734F">
        <w:rPr>
          <w:u w:val="single"/>
          <w:lang w:val="bg-BG" w:eastAsia="bg-BG"/>
        </w:rPr>
        <w:t>Дисеминирана</w:t>
      </w:r>
      <w:proofErr w:type="spellEnd"/>
      <w:r w:rsidRPr="005E734F">
        <w:rPr>
          <w:u w:val="single"/>
          <w:lang w:val="bg-BG" w:eastAsia="bg-BG"/>
        </w:rPr>
        <w:t xml:space="preserve"> </w:t>
      </w:r>
      <w:proofErr w:type="spellStart"/>
      <w:r w:rsidRPr="005E734F">
        <w:rPr>
          <w:u w:val="single"/>
          <w:lang w:val="bg-BG" w:eastAsia="bg-BG"/>
        </w:rPr>
        <w:t>вътресъдова</w:t>
      </w:r>
      <w:proofErr w:type="spellEnd"/>
      <w:r w:rsidRPr="005E734F">
        <w:rPr>
          <w:u w:val="single"/>
          <w:lang w:val="bg-BG" w:eastAsia="bg-BG"/>
        </w:rPr>
        <w:t xml:space="preserve"> коагулация</w:t>
      </w:r>
    </w:p>
    <w:p w14:paraId="0A488DC9" w14:textId="77777777" w:rsidR="00E62AF8" w:rsidRPr="00E62AF8" w:rsidRDefault="00E62AF8" w:rsidP="00E62AF8">
      <w:pPr>
        <w:rPr>
          <w:sz w:val="24"/>
          <w:szCs w:val="24"/>
          <w:lang w:val="bg-BG"/>
        </w:rPr>
      </w:pPr>
      <w:r w:rsidRPr="00E62AF8">
        <w:rPr>
          <w:lang w:val="bg-BG" w:eastAsia="bg-BG"/>
        </w:rPr>
        <w:t xml:space="preserve">Пациентите с </w:t>
      </w:r>
      <w:proofErr w:type="spellStart"/>
      <w:r w:rsidRPr="00E62AF8">
        <w:rPr>
          <w:lang w:val="bg-BG" w:eastAsia="bg-BG"/>
        </w:rPr>
        <w:t>дисеминирана</w:t>
      </w:r>
      <w:proofErr w:type="spellEnd"/>
      <w:r w:rsidRPr="00E62AF8">
        <w:rPr>
          <w:lang w:val="bg-BG" w:eastAsia="bg-BG"/>
        </w:rPr>
        <w:t xml:space="preserve"> </w:t>
      </w:r>
      <w:proofErr w:type="spellStart"/>
      <w:r w:rsidRPr="00E62AF8">
        <w:rPr>
          <w:lang w:val="bg-BG" w:eastAsia="bg-BG"/>
        </w:rPr>
        <w:t>вътресъдова</w:t>
      </w:r>
      <w:proofErr w:type="spellEnd"/>
      <w:r w:rsidRPr="00E62AF8">
        <w:rPr>
          <w:lang w:val="bg-BG" w:eastAsia="bg-BG"/>
        </w:rPr>
        <w:t xml:space="preserve"> коагулация </w:t>
      </w:r>
      <w:r w:rsidRPr="00E62AF8">
        <w:rPr>
          <w:lang w:val="bg-BG"/>
        </w:rPr>
        <w:t xml:space="preserve">(DIC) </w:t>
      </w:r>
      <w:r w:rsidRPr="00E62AF8">
        <w:rPr>
          <w:lang w:val="bg-BG" w:eastAsia="bg-BG"/>
        </w:rPr>
        <w:t xml:space="preserve">в повечето случаи не трябва да бъдат лекувани с </w:t>
      </w:r>
      <w:proofErr w:type="spellStart"/>
      <w:r w:rsidRPr="00E62AF8">
        <w:rPr>
          <w:lang w:val="bg-BG" w:eastAsia="bg-BG"/>
        </w:rPr>
        <w:t>транексамова</w:t>
      </w:r>
      <w:proofErr w:type="spellEnd"/>
      <w:r w:rsidRPr="00E62AF8">
        <w:rPr>
          <w:lang w:val="bg-BG" w:eastAsia="bg-BG"/>
        </w:rPr>
        <w:t xml:space="preserve"> киселина (вижте точка 4.3). Ако е прилагана </w:t>
      </w:r>
      <w:proofErr w:type="spellStart"/>
      <w:r w:rsidRPr="00E62AF8">
        <w:rPr>
          <w:lang w:val="bg-BG" w:eastAsia="bg-BG"/>
        </w:rPr>
        <w:t>транексамова</w:t>
      </w:r>
      <w:proofErr w:type="spellEnd"/>
      <w:r w:rsidRPr="00E62AF8">
        <w:rPr>
          <w:lang w:val="bg-BG" w:eastAsia="bg-BG"/>
        </w:rPr>
        <w:t xml:space="preserve"> киселина, приложението трябва да бъде ограничено до тези пациенти, при които има доминиращо активиране на </w:t>
      </w:r>
      <w:proofErr w:type="spellStart"/>
      <w:r w:rsidRPr="00E62AF8">
        <w:rPr>
          <w:lang w:val="bg-BG" w:eastAsia="bg-BG"/>
        </w:rPr>
        <w:t>фибринолитичната</w:t>
      </w:r>
      <w:proofErr w:type="spellEnd"/>
      <w:r w:rsidRPr="00E62AF8">
        <w:rPr>
          <w:lang w:val="bg-BG" w:eastAsia="bg-BG"/>
        </w:rPr>
        <w:t xml:space="preserve"> система с тежко остро кървене. </w:t>
      </w:r>
      <w:r w:rsidRPr="00E62AF8">
        <w:rPr>
          <w:lang w:val="bg-BG" w:eastAsia="bg-BG"/>
        </w:rPr>
        <w:lastRenderedPageBreak/>
        <w:t xml:space="preserve">По отношение на характеристиките, хематологичният профил се доближава до следното: съкратено време на </w:t>
      </w:r>
      <w:proofErr w:type="spellStart"/>
      <w:r w:rsidRPr="00E62AF8">
        <w:rPr>
          <w:lang w:val="bg-BG" w:eastAsia="bg-BG"/>
        </w:rPr>
        <w:t>лизиране</w:t>
      </w:r>
      <w:proofErr w:type="spellEnd"/>
      <w:r w:rsidRPr="00E62AF8">
        <w:rPr>
          <w:lang w:val="bg-BG" w:eastAsia="bg-BG"/>
        </w:rPr>
        <w:t xml:space="preserve"> на </w:t>
      </w:r>
      <w:proofErr w:type="spellStart"/>
      <w:r w:rsidRPr="00E62AF8">
        <w:rPr>
          <w:lang w:val="bg-BG" w:eastAsia="bg-BG"/>
        </w:rPr>
        <w:t>еуглобулиновия</w:t>
      </w:r>
      <w:proofErr w:type="spellEnd"/>
      <w:r w:rsidRPr="00E62AF8">
        <w:rPr>
          <w:lang w:val="bg-BG" w:eastAsia="bg-BG"/>
        </w:rPr>
        <w:t xml:space="preserve"> съсирек, удължено </w:t>
      </w:r>
      <w:proofErr w:type="spellStart"/>
      <w:r w:rsidRPr="00E62AF8">
        <w:rPr>
          <w:lang w:val="bg-BG" w:eastAsia="bg-BG"/>
        </w:rPr>
        <w:t>протромбиново</w:t>
      </w:r>
      <w:proofErr w:type="spellEnd"/>
      <w:r w:rsidRPr="00E62AF8">
        <w:rPr>
          <w:lang w:val="bg-BG" w:eastAsia="bg-BG"/>
        </w:rPr>
        <w:t xml:space="preserve"> време, понижени плазмени нива на </w:t>
      </w:r>
      <w:proofErr w:type="spellStart"/>
      <w:r w:rsidRPr="00E62AF8">
        <w:rPr>
          <w:lang w:val="bg-BG" w:eastAsia="bg-BG"/>
        </w:rPr>
        <w:t>фибриноген</w:t>
      </w:r>
      <w:proofErr w:type="spellEnd"/>
      <w:r w:rsidRPr="00E62AF8">
        <w:rPr>
          <w:lang w:val="bg-BG" w:eastAsia="bg-BG"/>
        </w:rPr>
        <w:t xml:space="preserve">, фактори V и </w:t>
      </w:r>
      <w:r w:rsidRPr="00E62AF8">
        <w:rPr>
          <w:lang w:val="bg-BG"/>
        </w:rPr>
        <w:t>VIII</w:t>
      </w:r>
      <w:r w:rsidRPr="00E62AF8">
        <w:rPr>
          <w:lang w:val="bg-BG" w:eastAsia="bg-BG"/>
        </w:rPr>
        <w:t xml:space="preserve">, </w:t>
      </w:r>
      <w:proofErr w:type="spellStart"/>
      <w:r w:rsidRPr="00E62AF8">
        <w:rPr>
          <w:lang w:val="bg-BG" w:eastAsia="bg-BG"/>
        </w:rPr>
        <w:t>плазминогенфибринолизин</w:t>
      </w:r>
      <w:proofErr w:type="spellEnd"/>
      <w:r w:rsidRPr="00E62AF8">
        <w:rPr>
          <w:lang w:val="bg-BG" w:eastAsia="bg-BG"/>
        </w:rPr>
        <w:t xml:space="preserve"> и алфа-2 макроглобулин, нормални плазмени нива на Р и Р- комплекс, т.е. фактори П (</w:t>
      </w:r>
      <w:proofErr w:type="spellStart"/>
      <w:r w:rsidRPr="00E62AF8">
        <w:rPr>
          <w:lang w:val="bg-BG" w:eastAsia="bg-BG"/>
        </w:rPr>
        <w:t>протромбин</w:t>
      </w:r>
      <w:proofErr w:type="spellEnd"/>
      <w:r w:rsidRPr="00E62AF8">
        <w:rPr>
          <w:lang w:val="bg-BG" w:eastAsia="bg-BG"/>
        </w:rPr>
        <w:t xml:space="preserve">), </w:t>
      </w:r>
      <w:r w:rsidRPr="00E62AF8">
        <w:rPr>
          <w:lang w:val="bg-BG"/>
        </w:rPr>
        <w:t>VIII</w:t>
      </w:r>
      <w:r w:rsidRPr="00E62AF8">
        <w:rPr>
          <w:lang w:val="bg-BG" w:eastAsia="bg-BG"/>
        </w:rPr>
        <w:t xml:space="preserve"> и X; повишени плазмени нива на разпадни продукти на </w:t>
      </w:r>
      <w:proofErr w:type="spellStart"/>
      <w:r w:rsidRPr="00E62AF8">
        <w:rPr>
          <w:lang w:val="bg-BG" w:eastAsia="bg-BG"/>
        </w:rPr>
        <w:t>фибриногена</w:t>
      </w:r>
      <w:proofErr w:type="spellEnd"/>
      <w:r w:rsidRPr="00E62AF8">
        <w:rPr>
          <w:lang w:val="bg-BG" w:eastAsia="bg-BG"/>
        </w:rPr>
        <w:t xml:space="preserve">, нормален брой </w:t>
      </w:r>
      <w:proofErr w:type="spellStart"/>
      <w:r w:rsidRPr="00E62AF8">
        <w:rPr>
          <w:lang w:val="bg-BG" w:eastAsia="bg-BG"/>
        </w:rPr>
        <w:t>тромбоцити</w:t>
      </w:r>
      <w:proofErr w:type="spellEnd"/>
      <w:r w:rsidRPr="00E62AF8">
        <w:rPr>
          <w:lang w:val="bg-BG" w:eastAsia="bg-BG"/>
        </w:rPr>
        <w:t>. Това предполага, че самият статус на подлежащото заболяване не модифицира различните елементи</w:t>
      </w:r>
      <w:r w:rsidRPr="00E62AF8">
        <w:rPr>
          <w:lang w:val="bg-BG"/>
        </w:rPr>
        <w:t xml:space="preserve"> </w:t>
      </w:r>
      <w:r w:rsidRPr="00E62AF8">
        <w:rPr>
          <w:lang w:val="bg-BG" w:eastAsia="bg-BG"/>
        </w:rPr>
        <w:t>на този профил. При такива остри състояния често е достатъчна единична доза от 1</w:t>
      </w:r>
      <w:r w:rsidRPr="00E62AF8">
        <w:rPr>
          <w:lang w:val="bg-BG"/>
        </w:rPr>
        <w:t>g</w:t>
      </w:r>
      <w:r w:rsidRPr="00E62AF8">
        <w:rPr>
          <w:lang w:val="bg-BG" w:eastAsia="bg-BG"/>
        </w:rPr>
        <w:t xml:space="preserve"> </w:t>
      </w:r>
      <w:proofErr w:type="spellStart"/>
      <w:r w:rsidRPr="00E62AF8">
        <w:rPr>
          <w:lang w:val="bg-BG" w:eastAsia="bg-BG"/>
        </w:rPr>
        <w:t>транексамова</w:t>
      </w:r>
      <w:proofErr w:type="spellEnd"/>
      <w:r w:rsidRPr="00E62AF8">
        <w:rPr>
          <w:lang w:val="bg-BG" w:eastAsia="bg-BG"/>
        </w:rPr>
        <w:t xml:space="preserve"> киселина за контролиране на кървенето. Приложение на </w:t>
      </w:r>
      <w:proofErr w:type="spellStart"/>
      <w:r w:rsidRPr="00E62AF8">
        <w:rPr>
          <w:lang w:val="bg-BG" w:eastAsia="bg-BG"/>
        </w:rPr>
        <w:t>транексамова</w:t>
      </w:r>
      <w:proofErr w:type="spellEnd"/>
    </w:p>
    <w:p w14:paraId="1C74147D" w14:textId="77777777" w:rsidR="00E62AF8" w:rsidRPr="00E62AF8" w:rsidRDefault="00E62AF8" w:rsidP="00E62AF8">
      <w:pPr>
        <w:rPr>
          <w:sz w:val="24"/>
          <w:szCs w:val="24"/>
          <w:lang w:val="bg-BG"/>
        </w:rPr>
      </w:pPr>
      <w:r w:rsidRPr="00E62AF8">
        <w:rPr>
          <w:lang w:val="bg-BG" w:eastAsia="bg-BG"/>
        </w:rPr>
        <w:t>киселина при ДИК трябва да бъде обмислено само, когато има налични подходяща</w:t>
      </w:r>
    </w:p>
    <w:p w14:paraId="599A9DCB" w14:textId="1B346A2F" w:rsidR="00E62AF8" w:rsidRPr="00E62AF8" w:rsidRDefault="00E62AF8" w:rsidP="00E62AF8">
      <w:pPr>
        <w:rPr>
          <w:lang w:val="bg-BG" w:eastAsia="bg-BG"/>
        </w:rPr>
      </w:pPr>
      <w:r w:rsidRPr="00E62AF8">
        <w:rPr>
          <w:lang w:val="bg-BG" w:eastAsia="bg-BG"/>
        </w:rPr>
        <w:t>хематологична лабораторна апаратура и експертиза.</w:t>
      </w:r>
    </w:p>
    <w:p w14:paraId="44DA5EAC" w14:textId="77777777" w:rsidR="00E62AF8" w:rsidRPr="00E62AF8" w:rsidRDefault="00E62AF8" w:rsidP="00E62AF8">
      <w:pPr>
        <w:rPr>
          <w:lang w:val="bg-BG"/>
        </w:rPr>
      </w:pPr>
    </w:p>
    <w:p w14:paraId="78BEBB3D" w14:textId="086EBEE9" w:rsidR="002C50EE" w:rsidRPr="00E62AF8" w:rsidRDefault="002C50EE" w:rsidP="002C50EE">
      <w:pPr>
        <w:pStyle w:val="Heading2"/>
        <w:rPr>
          <w:lang w:val="bg-BG"/>
        </w:rPr>
      </w:pPr>
      <w:r w:rsidRPr="00E62AF8">
        <w:rPr>
          <w:lang w:val="bg-BG"/>
        </w:rPr>
        <w:t>4.5. Взаимодействие с други лекарствени продукти и други форми на взаимодействие</w:t>
      </w:r>
    </w:p>
    <w:p w14:paraId="12DF7DD7" w14:textId="39796EBA" w:rsidR="00E62AF8" w:rsidRPr="00E62AF8" w:rsidRDefault="00E62AF8" w:rsidP="00E62AF8">
      <w:pPr>
        <w:rPr>
          <w:sz w:val="24"/>
          <w:szCs w:val="24"/>
          <w:lang w:val="bg-BG"/>
        </w:rPr>
      </w:pPr>
      <w:r w:rsidRPr="00E62AF8">
        <w:rPr>
          <w:lang w:val="bg-BG" w:eastAsia="bg-BG"/>
        </w:rPr>
        <w:t xml:space="preserve">Не са провеждани проучвания за взаимодействие. Едновременното лечение с антикоагуланти трябва да става под стриктното наблюдение на специалист, който има опит в тази област. Лекарствените продукти, които повлияват </w:t>
      </w:r>
      <w:proofErr w:type="spellStart"/>
      <w:r w:rsidRPr="00E62AF8">
        <w:rPr>
          <w:lang w:val="bg-BG" w:eastAsia="bg-BG"/>
        </w:rPr>
        <w:t>хемостазата</w:t>
      </w:r>
      <w:proofErr w:type="spellEnd"/>
      <w:r w:rsidRPr="00E62AF8">
        <w:rPr>
          <w:lang w:val="bg-BG" w:eastAsia="bg-BG"/>
        </w:rPr>
        <w:t xml:space="preserve">, трябва да бъдат прилагани с внимание на пациенти, лекувани с </w:t>
      </w:r>
      <w:proofErr w:type="spellStart"/>
      <w:r w:rsidRPr="00E62AF8">
        <w:rPr>
          <w:lang w:val="bg-BG" w:eastAsia="bg-BG"/>
        </w:rPr>
        <w:t>транексамова</w:t>
      </w:r>
      <w:proofErr w:type="spellEnd"/>
      <w:r w:rsidRPr="00E62AF8">
        <w:rPr>
          <w:lang w:val="bg-BG" w:eastAsia="bg-BG"/>
        </w:rPr>
        <w:t xml:space="preserve"> киселина. Съществува теоретичен риск от повишен потенциал за образуване на тромби, както и при </w:t>
      </w:r>
      <w:proofErr w:type="spellStart"/>
      <w:r w:rsidRPr="00E62AF8">
        <w:rPr>
          <w:lang w:val="bg-BG" w:eastAsia="bg-BG"/>
        </w:rPr>
        <w:t>естрогените</w:t>
      </w:r>
      <w:proofErr w:type="spellEnd"/>
      <w:r w:rsidRPr="00E62AF8">
        <w:rPr>
          <w:lang w:val="bg-BG" w:eastAsia="bg-BG"/>
        </w:rPr>
        <w:t xml:space="preserve">. Освен това, </w:t>
      </w:r>
      <w:proofErr w:type="spellStart"/>
      <w:r w:rsidRPr="00E62AF8">
        <w:rPr>
          <w:lang w:val="bg-BG" w:eastAsia="bg-BG"/>
        </w:rPr>
        <w:t>антифибринолитичното</w:t>
      </w:r>
      <w:proofErr w:type="spellEnd"/>
      <w:r w:rsidRPr="00E62AF8">
        <w:rPr>
          <w:lang w:val="bg-BG" w:eastAsia="bg-BG"/>
        </w:rPr>
        <w:t xml:space="preserve"> действие на лекарството може да бъде </w:t>
      </w:r>
      <w:proofErr w:type="spellStart"/>
      <w:r w:rsidRPr="00E62AF8">
        <w:rPr>
          <w:lang w:val="bg-BG" w:eastAsia="bg-BG"/>
        </w:rPr>
        <w:t>антагонизирано</w:t>
      </w:r>
      <w:proofErr w:type="spellEnd"/>
      <w:r w:rsidRPr="00E62AF8">
        <w:rPr>
          <w:lang w:val="bg-BG" w:eastAsia="bg-BG"/>
        </w:rPr>
        <w:t xml:space="preserve"> от </w:t>
      </w:r>
      <w:proofErr w:type="spellStart"/>
      <w:r w:rsidRPr="00E62AF8">
        <w:rPr>
          <w:lang w:val="bg-BG" w:eastAsia="bg-BG"/>
        </w:rPr>
        <w:t>тромболи</w:t>
      </w:r>
      <w:r w:rsidR="00C1261B">
        <w:rPr>
          <w:lang w:val="bg-BG" w:eastAsia="bg-BG"/>
        </w:rPr>
        <w:t>т</w:t>
      </w:r>
      <w:r w:rsidRPr="00E62AF8">
        <w:rPr>
          <w:lang w:val="bg-BG" w:eastAsia="bg-BG"/>
        </w:rPr>
        <w:t>ичните</w:t>
      </w:r>
      <w:proofErr w:type="spellEnd"/>
      <w:r w:rsidRPr="00E62AF8">
        <w:rPr>
          <w:lang w:val="bg-BG" w:eastAsia="bg-BG"/>
        </w:rPr>
        <w:t xml:space="preserve"> лекарства.</w:t>
      </w:r>
    </w:p>
    <w:p w14:paraId="1B9E9CA1" w14:textId="77777777" w:rsidR="00E62AF8" w:rsidRPr="00E62AF8" w:rsidRDefault="00E62AF8" w:rsidP="00E62AF8">
      <w:pPr>
        <w:rPr>
          <w:lang w:val="bg-BG"/>
        </w:rPr>
      </w:pPr>
    </w:p>
    <w:p w14:paraId="48221AB5" w14:textId="22EB5FAC" w:rsidR="002C50EE" w:rsidRPr="00E62AF8" w:rsidRDefault="002C50EE" w:rsidP="002C50EE">
      <w:pPr>
        <w:pStyle w:val="Heading2"/>
        <w:rPr>
          <w:lang w:val="bg-BG"/>
        </w:rPr>
      </w:pPr>
      <w:r w:rsidRPr="00E62AF8">
        <w:rPr>
          <w:lang w:val="bg-BG"/>
        </w:rPr>
        <w:t>4.6. Фертилитет, бременност и кърмене</w:t>
      </w:r>
    </w:p>
    <w:p w14:paraId="6A109A31" w14:textId="77777777" w:rsidR="00E62AF8" w:rsidRPr="00E62AF8" w:rsidRDefault="00E62AF8" w:rsidP="00E62AF8">
      <w:pPr>
        <w:rPr>
          <w:sz w:val="24"/>
          <w:szCs w:val="24"/>
          <w:lang w:val="bg-BG"/>
        </w:rPr>
      </w:pPr>
      <w:r w:rsidRPr="00E62AF8">
        <w:rPr>
          <w:lang w:val="bg-BG" w:eastAsia="bg-BG"/>
        </w:rPr>
        <w:t>Жени с детероден потенциал трябва да използват ефективна контрацепция по време на лечението.</w:t>
      </w:r>
    </w:p>
    <w:p w14:paraId="6DEC0DBC" w14:textId="77777777" w:rsidR="00E62AF8" w:rsidRPr="00E62AF8" w:rsidRDefault="00E62AF8" w:rsidP="00E62AF8">
      <w:pPr>
        <w:rPr>
          <w:u w:val="single"/>
          <w:lang w:val="bg-BG" w:eastAsia="bg-BG"/>
        </w:rPr>
      </w:pPr>
    </w:p>
    <w:p w14:paraId="19F835ED" w14:textId="20761ABA" w:rsidR="00E62AF8" w:rsidRPr="00C1261B" w:rsidRDefault="00E62AF8" w:rsidP="00C1261B">
      <w:pPr>
        <w:pStyle w:val="Heading3"/>
        <w:rPr>
          <w:u w:val="single"/>
          <w:lang w:val="bg-BG"/>
        </w:rPr>
      </w:pPr>
      <w:r w:rsidRPr="00C1261B">
        <w:rPr>
          <w:u w:val="single"/>
          <w:lang w:val="bg-BG" w:eastAsia="bg-BG"/>
        </w:rPr>
        <w:t>Бременност</w:t>
      </w:r>
    </w:p>
    <w:p w14:paraId="62397CB1" w14:textId="77777777" w:rsidR="00E62AF8" w:rsidRPr="00E62AF8" w:rsidRDefault="00E62AF8" w:rsidP="00E62AF8">
      <w:pPr>
        <w:rPr>
          <w:sz w:val="24"/>
          <w:szCs w:val="24"/>
          <w:lang w:val="bg-BG"/>
        </w:rPr>
      </w:pPr>
      <w:r w:rsidRPr="00E62AF8">
        <w:rPr>
          <w:lang w:val="bg-BG" w:eastAsia="bg-BG"/>
        </w:rPr>
        <w:t xml:space="preserve">Няма достатъчно клинични данни за употребата на </w:t>
      </w:r>
      <w:proofErr w:type="spellStart"/>
      <w:r w:rsidRPr="00E62AF8">
        <w:rPr>
          <w:lang w:val="bg-BG" w:eastAsia="bg-BG"/>
        </w:rPr>
        <w:t>транексамова</w:t>
      </w:r>
      <w:proofErr w:type="spellEnd"/>
      <w:r w:rsidRPr="00E62AF8">
        <w:rPr>
          <w:lang w:val="bg-BG" w:eastAsia="bg-BG"/>
        </w:rPr>
        <w:t xml:space="preserve"> киселина при бременни жени. Ето защо, въпреки че проучванията при животни не показват тератогенни ефекти, като предпазна мярка при употреба, </w:t>
      </w:r>
      <w:proofErr w:type="spellStart"/>
      <w:r w:rsidRPr="00E62AF8">
        <w:rPr>
          <w:lang w:val="bg-BG" w:eastAsia="bg-BG"/>
        </w:rPr>
        <w:t>транексамовата</w:t>
      </w:r>
      <w:proofErr w:type="spellEnd"/>
      <w:r w:rsidRPr="00E62AF8">
        <w:rPr>
          <w:lang w:val="bg-BG" w:eastAsia="bg-BG"/>
        </w:rPr>
        <w:t xml:space="preserve"> киселина не се препоръчва през първия триместър от бременността. Ограничените клинични данни за употребата на </w:t>
      </w:r>
      <w:proofErr w:type="spellStart"/>
      <w:r w:rsidRPr="00E62AF8">
        <w:rPr>
          <w:lang w:val="bg-BG" w:eastAsia="bg-BG"/>
        </w:rPr>
        <w:t>транексамова</w:t>
      </w:r>
      <w:proofErr w:type="spellEnd"/>
      <w:r w:rsidRPr="00E62AF8">
        <w:rPr>
          <w:lang w:val="bg-BG" w:eastAsia="bg-BG"/>
        </w:rPr>
        <w:t xml:space="preserve"> киселина при различни клинични случаи на хеморагия, по време на втория и третия триместър от бременността, не показват вреден ефект за </w:t>
      </w:r>
      <w:proofErr w:type="spellStart"/>
      <w:r w:rsidRPr="00E62AF8">
        <w:rPr>
          <w:lang w:val="bg-BG" w:eastAsia="bg-BG"/>
        </w:rPr>
        <w:t>фетуса</w:t>
      </w:r>
      <w:proofErr w:type="spellEnd"/>
      <w:r w:rsidRPr="00E62AF8">
        <w:rPr>
          <w:lang w:val="bg-BG" w:eastAsia="bg-BG"/>
        </w:rPr>
        <w:t xml:space="preserve">. </w:t>
      </w:r>
      <w:proofErr w:type="spellStart"/>
      <w:r w:rsidRPr="00E62AF8">
        <w:rPr>
          <w:lang w:val="bg-BG" w:eastAsia="bg-BG"/>
        </w:rPr>
        <w:t>Транексамовата</w:t>
      </w:r>
      <w:proofErr w:type="spellEnd"/>
      <w:r w:rsidRPr="00E62AF8">
        <w:rPr>
          <w:lang w:val="bg-BG" w:eastAsia="bg-BG"/>
        </w:rPr>
        <w:t xml:space="preserve"> киселина трябва да се използва по време на бременност, само ако очакваната полза оправдава потенциалния риск.</w:t>
      </w:r>
    </w:p>
    <w:p w14:paraId="79AA83BD" w14:textId="77777777" w:rsidR="00E62AF8" w:rsidRPr="00E62AF8" w:rsidRDefault="00E62AF8" w:rsidP="00E62AF8">
      <w:pPr>
        <w:rPr>
          <w:u w:val="single"/>
          <w:lang w:val="bg-BG" w:eastAsia="bg-BG"/>
        </w:rPr>
      </w:pPr>
    </w:p>
    <w:p w14:paraId="527189F6" w14:textId="1CCCD8EB" w:rsidR="00E62AF8" w:rsidRPr="00C1261B" w:rsidRDefault="00E62AF8" w:rsidP="00C1261B">
      <w:pPr>
        <w:pStyle w:val="Heading3"/>
        <w:rPr>
          <w:u w:val="single"/>
          <w:lang w:val="bg-BG"/>
        </w:rPr>
      </w:pPr>
      <w:r w:rsidRPr="00C1261B">
        <w:rPr>
          <w:u w:val="single"/>
          <w:lang w:val="bg-BG" w:eastAsia="bg-BG"/>
        </w:rPr>
        <w:t>Кърмене</w:t>
      </w:r>
    </w:p>
    <w:p w14:paraId="68C67F47" w14:textId="77777777" w:rsidR="00E62AF8" w:rsidRPr="00E62AF8" w:rsidRDefault="00E62AF8" w:rsidP="00E62AF8">
      <w:pPr>
        <w:rPr>
          <w:sz w:val="24"/>
          <w:szCs w:val="24"/>
          <w:lang w:val="bg-BG"/>
        </w:rPr>
      </w:pPr>
      <w:proofErr w:type="spellStart"/>
      <w:r w:rsidRPr="00E62AF8">
        <w:rPr>
          <w:lang w:val="bg-BG" w:eastAsia="bg-BG"/>
        </w:rPr>
        <w:t>Транексамовата</w:t>
      </w:r>
      <w:proofErr w:type="spellEnd"/>
      <w:r w:rsidRPr="00E62AF8">
        <w:rPr>
          <w:lang w:val="bg-BG" w:eastAsia="bg-BG"/>
        </w:rPr>
        <w:t xml:space="preserve"> киселина се </w:t>
      </w:r>
      <w:proofErr w:type="spellStart"/>
      <w:r w:rsidRPr="00E62AF8">
        <w:rPr>
          <w:lang w:val="bg-BG" w:eastAsia="bg-BG"/>
        </w:rPr>
        <w:t>екскретира</w:t>
      </w:r>
      <w:proofErr w:type="spellEnd"/>
      <w:r w:rsidRPr="00E62AF8">
        <w:rPr>
          <w:lang w:val="bg-BG" w:eastAsia="bg-BG"/>
        </w:rPr>
        <w:t xml:space="preserve"> в кърмата при хора. Поради това, кърменето не се препоръчва.</w:t>
      </w:r>
    </w:p>
    <w:p w14:paraId="3F3CF454" w14:textId="77777777" w:rsidR="00E62AF8" w:rsidRPr="00E62AF8" w:rsidRDefault="00E62AF8" w:rsidP="00E62AF8">
      <w:pPr>
        <w:rPr>
          <w:u w:val="single"/>
          <w:lang w:val="bg-BG" w:eastAsia="bg-BG"/>
        </w:rPr>
      </w:pPr>
    </w:p>
    <w:p w14:paraId="220DA9A0" w14:textId="1D8CD7BB" w:rsidR="00E62AF8" w:rsidRPr="00C1261B" w:rsidRDefault="00E62AF8" w:rsidP="00C1261B">
      <w:pPr>
        <w:pStyle w:val="Heading3"/>
        <w:rPr>
          <w:u w:val="single"/>
          <w:lang w:val="bg-BG"/>
        </w:rPr>
      </w:pPr>
      <w:r w:rsidRPr="00C1261B">
        <w:rPr>
          <w:u w:val="single"/>
          <w:lang w:val="bg-BG" w:eastAsia="bg-BG"/>
        </w:rPr>
        <w:t>Фертилитет</w:t>
      </w:r>
    </w:p>
    <w:p w14:paraId="01312902" w14:textId="77777777" w:rsidR="00E62AF8" w:rsidRPr="00E62AF8" w:rsidRDefault="00E62AF8" w:rsidP="00E62AF8">
      <w:pPr>
        <w:rPr>
          <w:sz w:val="24"/>
          <w:szCs w:val="24"/>
          <w:lang w:val="bg-BG"/>
        </w:rPr>
      </w:pPr>
      <w:r w:rsidRPr="00E62AF8">
        <w:rPr>
          <w:lang w:val="bg-BG" w:eastAsia="bg-BG"/>
        </w:rPr>
        <w:t xml:space="preserve">Няма клинични данни за ефектите на </w:t>
      </w:r>
      <w:proofErr w:type="spellStart"/>
      <w:r w:rsidRPr="00E62AF8">
        <w:rPr>
          <w:lang w:val="bg-BG" w:eastAsia="bg-BG"/>
        </w:rPr>
        <w:t>транексамовата</w:t>
      </w:r>
      <w:proofErr w:type="spellEnd"/>
      <w:r w:rsidRPr="00E62AF8">
        <w:rPr>
          <w:lang w:val="bg-BG" w:eastAsia="bg-BG"/>
        </w:rPr>
        <w:t xml:space="preserve"> киселина върху </w:t>
      </w:r>
      <w:proofErr w:type="spellStart"/>
      <w:r w:rsidRPr="00E62AF8">
        <w:rPr>
          <w:lang w:val="bg-BG" w:eastAsia="bg-BG"/>
        </w:rPr>
        <w:t>фертилитета</w:t>
      </w:r>
      <w:proofErr w:type="spellEnd"/>
      <w:r w:rsidRPr="00E62AF8">
        <w:rPr>
          <w:lang w:val="bg-BG" w:eastAsia="bg-BG"/>
        </w:rPr>
        <w:t>.</w:t>
      </w:r>
    </w:p>
    <w:p w14:paraId="55FEE8F3" w14:textId="77777777" w:rsidR="00E62AF8" w:rsidRPr="00E62AF8" w:rsidRDefault="00E62AF8" w:rsidP="00E62AF8">
      <w:pPr>
        <w:rPr>
          <w:lang w:val="bg-BG" w:eastAsia="bg-BG"/>
        </w:rPr>
      </w:pPr>
      <w:r w:rsidRPr="00E62AF8">
        <w:rPr>
          <w:lang w:val="bg-BG" w:eastAsia="bg-BG"/>
        </w:rPr>
        <w:t>Ефекти върху способността за шофиране и работа с машини</w:t>
      </w:r>
    </w:p>
    <w:p w14:paraId="3AC216A9" w14:textId="28F4FBC6" w:rsidR="00E62AF8" w:rsidRPr="00E62AF8" w:rsidRDefault="00E62AF8" w:rsidP="00E62AF8">
      <w:pPr>
        <w:rPr>
          <w:lang w:val="bg-BG" w:eastAsia="bg-BG"/>
        </w:rPr>
      </w:pPr>
      <w:r w:rsidRPr="00E62AF8">
        <w:rPr>
          <w:lang w:val="bg-BG" w:eastAsia="bg-BG"/>
        </w:rPr>
        <w:t>Не са провеждани проучвания по отношение на ефектите върху способността за шофиране и работа с машини.</w:t>
      </w:r>
    </w:p>
    <w:p w14:paraId="596BA016" w14:textId="77777777" w:rsidR="00E62AF8" w:rsidRPr="00E62AF8" w:rsidRDefault="00E62AF8" w:rsidP="00E62AF8">
      <w:pPr>
        <w:rPr>
          <w:lang w:val="bg-BG"/>
        </w:rPr>
      </w:pPr>
    </w:p>
    <w:p w14:paraId="5F675BDB" w14:textId="36DE95D3" w:rsidR="002C50EE" w:rsidRPr="00E62AF8" w:rsidRDefault="002C50EE" w:rsidP="002C50EE">
      <w:pPr>
        <w:pStyle w:val="Heading2"/>
        <w:rPr>
          <w:lang w:val="bg-BG"/>
        </w:rPr>
      </w:pPr>
      <w:r w:rsidRPr="00E62AF8">
        <w:rPr>
          <w:lang w:val="bg-BG"/>
        </w:rPr>
        <w:lastRenderedPageBreak/>
        <w:t>4.7. Ефекти върху способността за шофиране и работа с машини</w:t>
      </w:r>
    </w:p>
    <w:p w14:paraId="1426A0D6" w14:textId="53EAD517" w:rsidR="00E62AF8" w:rsidRPr="00E62AF8" w:rsidRDefault="00E62AF8" w:rsidP="00E62AF8">
      <w:pPr>
        <w:rPr>
          <w:lang w:val="bg-BG"/>
        </w:rPr>
      </w:pPr>
      <w:r w:rsidRPr="00E62AF8">
        <w:rPr>
          <w:lang w:val="bg-BG"/>
        </w:rPr>
        <w:t>Не са провеждани проучвания по отношение на ефектите върху способността за шофиране и работа с машини.</w:t>
      </w:r>
    </w:p>
    <w:p w14:paraId="72FDB19D" w14:textId="77777777" w:rsidR="00E62AF8" w:rsidRPr="00E62AF8" w:rsidRDefault="00E62AF8" w:rsidP="00E62AF8">
      <w:pPr>
        <w:rPr>
          <w:lang w:val="bg-BG"/>
        </w:rPr>
      </w:pPr>
    </w:p>
    <w:p w14:paraId="1B3BD30D" w14:textId="0993C136" w:rsidR="002C50EE" w:rsidRPr="00E62AF8" w:rsidRDefault="002C50EE" w:rsidP="002C50EE">
      <w:pPr>
        <w:pStyle w:val="Heading2"/>
        <w:rPr>
          <w:lang w:val="bg-BG"/>
        </w:rPr>
      </w:pPr>
      <w:r w:rsidRPr="00E62AF8">
        <w:rPr>
          <w:lang w:val="bg-BG"/>
        </w:rPr>
        <w:t>4.8. Нежелани лекарствени реакции</w:t>
      </w:r>
    </w:p>
    <w:p w14:paraId="6277E5D1" w14:textId="77777777" w:rsidR="00E62AF8" w:rsidRPr="00E62AF8" w:rsidRDefault="00E62AF8" w:rsidP="00E62AF8">
      <w:pPr>
        <w:rPr>
          <w:sz w:val="24"/>
          <w:szCs w:val="24"/>
          <w:lang w:val="bg-BG"/>
        </w:rPr>
      </w:pPr>
      <w:r w:rsidRPr="00E62AF8">
        <w:rPr>
          <w:lang w:val="bg-BG" w:eastAsia="bg-BG"/>
        </w:rPr>
        <w:t xml:space="preserve">Нежеланите лекарствени реакции, съобщавани при клиничните проучвания и в </w:t>
      </w:r>
      <w:proofErr w:type="spellStart"/>
      <w:r w:rsidRPr="00E62AF8">
        <w:rPr>
          <w:lang w:val="bg-BG" w:eastAsia="bg-BG"/>
        </w:rPr>
        <w:t>постмаркетинговия</w:t>
      </w:r>
      <w:proofErr w:type="spellEnd"/>
      <w:r w:rsidRPr="00E62AF8">
        <w:rPr>
          <w:lang w:val="bg-BG" w:eastAsia="bg-BG"/>
        </w:rPr>
        <w:t xml:space="preserve"> опит са посочени по-долу според класификацията система орган клас.</w:t>
      </w:r>
    </w:p>
    <w:p w14:paraId="0467DAC2" w14:textId="2CB863F6" w:rsidR="00E62AF8" w:rsidRPr="00E62AF8" w:rsidRDefault="00E62AF8" w:rsidP="00E62AF8">
      <w:pPr>
        <w:rPr>
          <w:lang w:val="bg-BG"/>
        </w:rPr>
      </w:pPr>
    </w:p>
    <w:p w14:paraId="47A0A919" w14:textId="77777777" w:rsidR="00E62AF8" w:rsidRPr="00182083" w:rsidRDefault="00E62AF8" w:rsidP="00E62AF8">
      <w:pPr>
        <w:rPr>
          <w:sz w:val="24"/>
          <w:szCs w:val="24"/>
          <w:u w:val="single"/>
          <w:lang w:val="bg-BG"/>
        </w:rPr>
      </w:pPr>
      <w:r w:rsidRPr="00182083">
        <w:rPr>
          <w:u w:val="single"/>
          <w:lang w:val="bg-BG" w:eastAsia="bg-BG"/>
        </w:rPr>
        <w:t>Табличен списък на нежеланите реакции</w:t>
      </w:r>
    </w:p>
    <w:p w14:paraId="79840D6E" w14:textId="77777777" w:rsidR="00E62AF8" w:rsidRPr="00E62AF8" w:rsidRDefault="00E62AF8" w:rsidP="00E62AF8">
      <w:pPr>
        <w:rPr>
          <w:sz w:val="24"/>
          <w:szCs w:val="24"/>
          <w:lang w:val="bg-BG"/>
        </w:rPr>
      </w:pPr>
      <w:r w:rsidRPr="00E62AF8">
        <w:rPr>
          <w:lang w:val="bg-BG" w:eastAsia="bg-BG"/>
        </w:rPr>
        <w:t xml:space="preserve">Съобщаваните нежелани реакции са представени в таблицата по-долу. Нежеланите реакции са описани според </w:t>
      </w:r>
      <w:proofErr w:type="spellStart"/>
      <w:r w:rsidRPr="00E62AF8">
        <w:rPr>
          <w:lang w:val="bg-BG"/>
        </w:rPr>
        <w:t>MedDRA</w:t>
      </w:r>
      <w:proofErr w:type="spellEnd"/>
      <w:r w:rsidRPr="00E62AF8">
        <w:rPr>
          <w:lang w:val="bg-BG"/>
        </w:rPr>
        <w:t xml:space="preserve"> </w:t>
      </w:r>
      <w:r w:rsidRPr="00E62AF8">
        <w:rPr>
          <w:lang w:val="bg-BG" w:eastAsia="bg-BG"/>
        </w:rPr>
        <w:t>класификацията система орган клас. Във всяка от групите по система орган клас нежеланите реакции са подредени по честота. Във всяка от групите по честота нежеланите реакции са представени в низходящ ред според тяхната сериозност.</w:t>
      </w:r>
    </w:p>
    <w:p w14:paraId="5A041DA2" w14:textId="788C9938" w:rsidR="00E62AF8" w:rsidRPr="00E62AF8" w:rsidRDefault="00E62AF8" w:rsidP="00E62AF8">
      <w:pPr>
        <w:rPr>
          <w:lang w:val="bg-BG" w:eastAsia="bg-BG"/>
        </w:rPr>
      </w:pPr>
      <w:r w:rsidRPr="00E62AF8">
        <w:rPr>
          <w:lang w:val="bg-BG" w:eastAsia="bg-BG"/>
        </w:rPr>
        <w:t xml:space="preserve">Честотата е </w:t>
      </w:r>
      <w:proofErr w:type="spellStart"/>
      <w:r w:rsidRPr="00E62AF8">
        <w:rPr>
          <w:lang w:val="bg-BG" w:eastAsia="bg-BG"/>
        </w:rPr>
        <w:t>дифинирана</w:t>
      </w:r>
      <w:proofErr w:type="spellEnd"/>
      <w:r w:rsidRPr="00E62AF8">
        <w:rPr>
          <w:lang w:val="bg-BG" w:eastAsia="bg-BG"/>
        </w:rPr>
        <w:t xml:space="preserve"> както следва: Много чести (≥1/10); чести (≥1/100, но &lt;1/10); нечести (≥1/1 000, но &lt;1/100), с неизвестна честота (честотата не може да бъде установена от наличните данни).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62AF8" w:rsidRPr="00E62AF8" w14:paraId="15A3D6A9" w14:textId="77777777" w:rsidTr="00E62AF8">
        <w:tc>
          <w:tcPr>
            <w:tcW w:w="3116" w:type="dxa"/>
          </w:tcPr>
          <w:p w14:paraId="2DD9657E" w14:textId="77777777" w:rsidR="00E62AF8" w:rsidRPr="00E62AF8" w:rsidRDefault="00E62AF8" w:rsidP="00E62AF8">
            <w:pPr>
              <w:rPr>
                <w:b/>
                <w:bCs/>
                <w:lang w:val="bg-BG"/>
              </w:rPr>
            </w:pPr>
            <w:proofErr w:type="spellStart"/>
            <w:r w:rsidRPr="00E62AF8">
              <w:rPr>
                <w:b/>
                <w:bCs/>
                <w:lang w:val="bg-BG"/>
              </w:rPr>
              <w:t>MedDRA</w:t>
            </w:r>
            <w:proofErr w:type="spellEnd"/>
          </w:p>
          <w:p w14:paraId="0D8E27AA" w14:textId="08175DC8" w:rsidR="00E62AF8" w:rsidRPr="00E62AF8" w:rsidRDefault="00E62AF8" w:rsidP="00E62AF8">
            <w:pPr>
              <w:rPr>
                <w:b/>
                <w:bCs/>
                <w:sz w:val="24"/>
                <w:szCs w:val="24"/>
                <w:lang w:val="bg-BG"/>
              </w:rPr>
            </w:pPr>
            <w:r w:rsidRPr="00E62AF8">
              <w:rPr>
                <w:b/>
                <w:bCs/>
                <w:lang w:val="bg-BG"/>
              </w:rPr>
              <w:t>Система Орган Клас</w:t>
            </w:r>
          </w:p>
        </w:tc>
        <w:tc>
          <w:tcPr>
            <w:tcW w:w="3117" w:type="dxa"/>
          </w:tcPr>
          <w:p w14:paraId="21945D42" w14:textId="334AF17A" w:rsidR="00E62AF8" w:rsidRPr="00E62AF8" w:rsidRDefault="00E62AF8" w:rsidP="00E62AF8">
            <w:pPr>
              <w:rPr>
                <w:b/>
                <w:bCs/>
                <w:sz w:val="24"/>
                <w:szCs w:val="24"/>
                <w:lang w:val="bg-BG"/>
              </w:rPr>
            </w:pPr>
            <w:r w:rsidRPr="00E62AF8">
              <w:rPr>
                <w:b/>
                <w:bCs/>
                <w:lang w:val="bg-BG"/>
              </w:rPr>
              <w:t>Честота</w:t>
            </w:r>
          </w:p>
        </w:tc>
        <w:tc>
          <w:tcPr>
            <w:tcW w:w="3117" w:type="dxa"/>
          </w:tcPr>
          <w:p w14:paraId="53CA5ECE" w14:textId="5D1EB394" w:rsidR="00E62AF8" w:rsidRPr="00E62AF8" w:rsidRDefault="00E62AF8" w:rsidP="00E62AF8">
            <w:pPr>
              <w:rPr>
                <w:b/>
                <w:bCs/>
                <w:sz w:val="24"/>
                <w:szCs w:val="24"/>
                <w:lang w:val="bg-BG"/>
              </w:rPr>
            </w:pPr>
            <w:r w:rsidRPr="00E62AF8">
              <w:rPr>
                <w:b/>
                <w:bCs/>
                <w:lang w:val="bg-BG"/>
              </w:rPr>
              <w:t>Нежелана реакция</w:t>
            </w:r>
          </w:p>
        </w:tc>
      </w:tr>
      <w:tr w:rsidR="00E62AF8" w:rsidRPr="00E62AF8" w14:paraId="589AB074" w14:textId="77777777" w:rsidTr="00E62AF8">
        <w:tc>
          <w:tcPr>
            <w:tcW w:w="3116" w:type="dxa"/>
          </w:tcPr>
          <w:p w14:paraId="496ED25B" w14:textId="03756E51" w:rsidR="00E62AF8" w:rsidRPr="00E62AF8" w:rsidRDefault="00E62AF8" w:rsidP="00E62AF8">
            <w:pPr>
              <w:rPr>
                <w:b/>
                <w:bCs/>
                <w:sz w:val="24"/>
                <w:szCs w:val="24"/>
                <w:lang w:val="bg-BG"/>
              </w:rPr>
            </w:pPr>
            <w:r w:rsidRPr="00E62AF8">
              <w:rPr>
                <w:b/>
                <w:bCs/>
                <w:lang w:val="bg-BG"/>
              </w:rPr>
              <w:t>Нарушения на кожата и подкожната тъкан</w:t>
            </w:r>
          </w:p>
        </w:tc>
        <w:tc>
          <w:tcPr>
            <w:tcW w:w="3117" w:type="dxa"/>
          </w:tcPr>
          <w:p w14:paraId="3B88D968" w14:textId="0B991F60" w:rsidR="00E62AF8" w:rsidRPr="00E62AF8" w:rsidRDefault="00E62AF8" w:rsidP="00E62AF8">
            <w:pPr>
              <w:rPr>
                <w:sz w:val="24"/>
                <w:szCs w:val="24"/>
                <w:lang w:val="bg-BG"/>
              </w:rPr>
            </w:pPr>
            <w:r w:rsidRPr="00E62AF8">
              <w:rPr>
                <w:lang w:val="bg-BG"/>
              </w:rPr>
              <w:t>Нечести</w:t>
            </w:r>
          </w:p>
        </w:tc>
        <w:tc>
          <w:tcPr>
            <w:tcW w:w="3117" w:type="dxa"/>
          </w:tcPr>
          <w:p w14:paraId="0C093749" w14:textId="0C5565F1" w:rsidR="00E62AF8" w:rsidRPr="00E62AF8" w:rsidRDefault="00E62AF8" w:rsidP="00E62AF8">
            <w:pPr>
              <w:rPr>
                <w:sz w:val="24"/>
                <w:szCs w:val="24"/>
                <w:lang w:val="bg-BG"/>
              </w:rPr>
            </w:pPr>
            <w:r w:rsidRPr="00E62AF8">
              <w:rPr>
                <w:lang w:val="bg-BG"/>
              </w:rPr>
              <w:t>Алергичен дерматит</w:t>
            </w:r>
          </w:p>
        </w:tc>
      </w:tr>
      <w:tr w:rsidR="00E62AF8" w:rsidRPr="00E62AF8" w14:paraId="7C4CBADB" w14:textId="77777777" w:rsidTr="00E62AF8">
        <w:tc>
          <w:tcPr>
            <w:tcW w:w="3116" w:type="dxa"/>
          </w:tcPr>
          <w:p w14:paraId="4170302D" w14:textId="4B15D6CB" w:rsidR="00E62AF8" w:rsidRPr="00E62AF8" w:rsidRDefault="00E62AF8" w:rsidP="00E62AF8">
            <w:pPr>
              <w:rPr>
                <w:b/>
                <w:bCs/>
                <w:sz w:val="24"/>
                <w:szCs w:val="24"/>
                <w:lang w:val="bg-BG"/>
              </w:rPr>
            </w:pPr>
            <w:r w:rsidRPr="00E62AF8">
              <w:rPr>
                <w:b/>
                <w:bCs/>
                <w:lang w:val="bg-BG"/>
              </w:rPr>
              <w:t>Стомашно-чревни нарушения</w:t>
            </w:r>
          </w:p>
        </w:tc>
        <w:tc>
          <w:tcPr>
            <w:tcW w:w="3117" w:type="dxa"/>
          </w:tcPr>
          <w:p w14:paraId="07F5069E" w14:textId="43348DA4" w:rsidR="00E62AF8" w:rsidRPr="00E62AF8" w:rsidRDefault="00E62AF8" w:rsidP="00E62AF8">
            <w:pPr>
              <w:rPr>
                <w:sz w:val="24"/>
                <w:szCs w:val="24"/>
                <w:lang w:val="bg-BG"/>
              </w:rPr>
            </w:pPr>
            <w:r w:rsidRPr="00E62AF8">
              <w:rPr>
                <w:lang w:val="bg-BG"/>
              </w:rPr>
              <w:t>Чести</w:t>
            </w:r>
          </w:p>
        </w:tc>
        <w:tc>
          <w:tcPr>
            <w:tcW w:w="3117" w:type="dxa"/>
          </w:tcPr>
          <w:p w14:paraId="5E0B8DD3" w14:textId="522AA42B" w:rsidR="00E62AF8" w:rsidRPr="00E62AF8" w:rsidRDefault="00E62AF8" w:rsidP="00E62AF8">
            <w:pPr>
              <w:rPr>
                <w:sz w:val="24"/>
                <w:szCs w:val="24"/>
                <w:lang w:val="bg-BG"/>
              </w:rPr>
            </w:pPr>
            <w:r w:rsidRPr="00E62AF8">
              <w:rPr>
                <w:lang w:val="bg-BG"/>
              </w:rPr>
              <w:t>Диария Повръщане Гадене</w:t>
            </w:r>
          </w:p>
        </w:tc>
      </w:tr>
      <w:tr w:rsidR="00E62AF8" w:rsidRPr="00E62AF8" w14:paraId="5FEA7B94" w14:textId="77777777" w:rsidTr="00E62AF8">
        <w:tc>
          <w:tcPr>
            <w:tcW w:w="3116" w:type="dxa"/>
          </w:tcPr>
          <w:p w14:paraId="1FDDFA85" w14:textId="77777777" w:rsidR="00E62AF8" w:rsidRPr="00E62AF8" w:rsidRDefault="00E62AF8" w:rsidP="00E62AF8">
            <w:pPr>
              <w:rPr>
                <w:b/>
                <w:bCs/>
                <w:lang w:val="bg-BG"/>
              </w:rPr>
            </w:pPr>
            <w:r w:rsidRPr="00E62AF8">
              <w:rPr>
                <w:b/>
                <w:bCs/>
                <w:lang w:val="bg-BG"/>
              </w:rPr>
              <w:t>Нарушения на нервната</w:t>
            </w:r>
          </w:p>
          <w:p w14:paraId="26A95048" w14:textId="21E092D1" w:rsidR="00E62AF8" w:rsidRPr="00E62AF8" w:rsidRDefault="00E62AF8" w:rsidP="00E62AF8">
            <w:pPr>
              <w:rPr>
                <w:b/>
                <w:bCs/>
                <w:sz w:val="24"/>
                <w:szCs w:val="24"/>
                <w:lang w:val="bg-BG"/>
              </w:rPr>
            </w:pPr>
            <w:r w:rsidRPr="00E62AF8">
              <w:rPr>
                <w:b/>
                <w:bCs/>
                <w:lang w:val="bg-BG"/>
              </w:rPr>
              <w:t>система</w:t>
            </w:r>
          </w:p>
        </w:tc>
        <w:tc>
          <w:tcPr>
            <w:tcW w:w="3117" w:type="dxa"/>
          </w:tcPr>
          <w:p w14:paraId="4879A336" w14:textId="48E8EC6C" w:rsidR="00E62AF8" w:rsidRPr="00E62AF8" w:rsidRDefault="00E62AF8" w:rsidP="00E62AF8">
            <w:pPr>
              <w:rPr>
                <w:sz w:val="24"/>
                <w:szCs w:val="24"/>
                <w:lang w:val="bg-BG"/>
              </w:rPr>
            </w:pPr>
            <w:r w:rsidRPr="00E62AF8">
              <w:rPr>
                <w:lang w:val="bg-BG"/>
              </w:rPr>
              <w:t>С неизвестна честота</w:t>
            </w:r>
          </w:p>
        </w:tc>
        <w:tc>
          <w:tcPr>
            <w:tcW w:w="3117" w:type="dxa"/>
          </w:tcPr>
          <w:p w14:paraId="7D772C46" w14:textId="2AC2CD2B" w:rsidR="00E62AF8" w:rsidRPr="00E62AF8" w:rsidRDefault="00E62AF8" w:rsidP="00E62AF8">
            <w:pPr>
              <w:rPr>
                <w:sz w:val="24"/>
                <w:szCs w:val="24"/>
                <w:lang w:val="bg-BG"/>
              </w:rPr>
            </w:pPr>
            <w:r w:rsidRPr="00E62AF8">
              <w:rPr>
                <w:lang w:val="bg-BG"/>
              </w:rPr>
              <w:t>Гърчове, особено в случаи на неправилна употреба (вижте точка 4.3 и 4.4)</w:t>
            </w:r>
          </w:p>
        </w:tc>
      </w:tr>
      <w:tr w:rsidR="00E62AF8" w:rsidRPr="00E62AF8" w14:paraId="2A93F9C1" w14:textId="77777777" w:rsidTr="00E62AF8">
        <w:tc>
          <w:tcPr>
            <w:tcW w:w="3116" w:type="dxa"/>
          </w:tcPr>
          <w:p w14:paraId="4193CA3C" w14:textId="3F6D0EE1" w:rsidR="00E62AF8" w:rsidRPr="00E62AF8" w:rsidRDefault="00E62AF8" w:rsidP="00E62AF8">
            <w:pPr>
              <w:rPr>
                <w:b/>
                <w:bCs/>
                <w:sz w:val="24"/>
                <w:szCs w:val="24"/>
                <w:lang w:val="bg-BG"/>
              </w:rPr>
            </w:pPr>
            <w:r w:rsidRPr="00E62AF8">
              <w:rPr>
                <w:b/>
                <w:bCs/>
                <w:lang w:val="bg-BG"/>
              </w:rPr>
              <w:t>Нарушения на очите</w:t>
            </w:r>
          </w:p>
        </w:tc>
        <w:tc>
          <w:tcPr>
            <w:tcW w:w="3117" w:type="dxa"/>
          </w:tcPr>
          <w:p w14:paraId="5DC24818" w14:textId="0E45AD9C" w:rsidR="00E62AF8" w:rsidRPr="00E62AF8" w:rsidRDefault="00E62AF8" w:rsidP="00E62AF8">
            <w:pPr>
              <w:rPr>
                <w:sz w:val="24"/>
                <w:szCs w:val="24"/>
                <w:lang w:val="bg-BG"/>
              </w:rPr>
            </w:pPr>
            <w:r w:rsidRPr="00E62AF8">
              <w:rPr>
                <w:lang w:val="bg-BG"/>
              </w:rPr>
              <w:t>С неизвестна честота</w:t>
            </w:r>
          </w:p>
        </w:tc>
        <w:tc>
          <w:tcPr>
            <w:tcW w:w="3117" w:type="dxa"/>
          </w:tcPr>
          <w:p w14:paraId="0154BAEE" w14:textId="2221FBFC" w:rsidR="00E62AF8" w:rsidRPr="00E62AF8" w:rsidRDefault="00E62AF8" w:rsidP="00E62AF8">
            <w:pPr>
              <w:rPr>
                <w:sz w:val="24"/>
                <w:szCs w:val="24"/>
                <w:lang w:val="bg-BG"/>
              </w:rPr>
            </w:pPr>
            <w:r w:rsidRPr="00E62AF8">
              <w:rPr>
                <w:lang w:val="bg-BG"/>
              </w:rPr>
              <w:t>Зрителни нарушения, включително нарушено цветно зрение</w:t>
            </w:r>
          </w:p>
        </w:tc>
      </w:tr>
      <w:tr w:rsidR="00EB47BC" w:rsidRPr="00E62AF8" w14:paraId="622B7530" w14:textId="77777777" w:rsidTr="00443E1C">
        <w:trPr>
          <w:trHeight w:val="2968"/>
        </w:trPr>
        <w:tc>
          <w:tcPr>
            <w:tcW w:w="3116" w:type="dxa"/>
          </w:tcPr>
          <w:p w14:paraId="09E12AEC" w14:textId="55E094FE" w:rsidR="00EB47BC" w:rsidRPr="00E62AF8" w:rsidRDefault="00EB47BC" w:rsidP="00E62AF8">
            <w:pPr>
              <w:rPr>
                <w:b/>
                <w:bCs/>
                <w:sz w:val="24"/>
                <w:szCs w:val="24"/>
                <w:lang w:val="bg-BG"/>
              </w:rPr>
            </w:pPr>
            <w:r w:rsidRPr="00E62AF8">
              <w:rPr>
                <w:b/>
                <w:bCs/>
                <w:lang w:val="bg-BG"/>
              </w:rPr>
              <w:t>Съдови нарушения</w:t>
            </w:r>
          </w:p>
        </w:tc>
        <w:tc>
          <w:tcPr>
            <w:tcW w:w="3117" w:type="dxa"/>
          </w:tcPr>
          <w:p w14:paraId="1E385B7E" w14:textId="0CCCC2E0" w:rsidR="00EB47BC" w:rsidRPr="00E62AF8" w:rsidRDefault="00EB47BC" w:rsidP="00E62AF8">
            <w:pPr>
              <w:rPr>
                <w:sz w:val="24"/>
                <w:szCs w:val="24"/>
                <w:lang w:val="bg-BG"/>
              </w:rPr>
            </w:pPr>
            <w:r w:rsidRPr="00E62AF8">
              <w:rPr>
                <w:lang w:val="bg-BG"/>
              </w:rPr>
              <w:t>С неизвестна честота</w:t>
            </w:r>
          </w:p>
        </w:tc>
        <w:tc>
          <w:tcPr>
            <w:tcW w:w="3117" w:type="dxa"/>
          </w:tcPr>
          <w:p w14:paraId="265CB410" w14:textId="77777777" w:rsidR="00EB47BC" w:rsidRPr="00E62AF8" w:rsidRDefault="00EB47BC" w:rsidP="00E62AF8">
            <w:pPr>
              <w:rPr>
                <w:lang w:val="bg-BG"/>
              </w:rPr>
            </w:pPr>
            <w:r w:rsidRPr="00E62AF8">
              <w:rPr>
                <w:lang w:val="bg-BG"/>
              </w:rPr>
              <w:t>Неразположение с хипотония, с или без загуба на съзнание (обикновено след твърде бърза интравенозна инжекция, по</w:t>
            </w:r>
          </w:p>
          <w:p w14:paraId="0C97C7C9" w14:textId="7656BFC0" w:rsidR="00EB47BC" w:rsidRPr="00E62AF8" w:rsidRDefault="00EB47BC" w:rsidP="00E62AF8">
            <w:pPr>
              <w:rPr>
                <w:lang w:val="bg-BG"/>
              </w:rPr>
            </w:pPr>
            <w:r w:rsidRPr="00E62AF8">
              <w:rPr>
                <w:lang w:val="bg-BG"/>
              </w:rPr>
              <w:t xml:space="preserve">изключение след </w:t>
            </w:r>
            <w:proofErr w:type="spellStart"/>
            <w:r w:rsidRPr="00E62AF8">
              <w:rPr>
                <w:lang w:val="bg-BG"/>
              </w:rPr>
              <w:t>neрорално</w:t>
            </w:r>
            <w:proofErr w:type="spellEnd"/>
            <w:r w:rsidRPr="00E62AF8">
              <w:rPr>
                <w:lang w:val="bg-BG"/>
              </w:rPr>
              <w:t xml:space="preserve"> приложение)</w:t>
            </w:r>
          </w:p>
          <w:p w14:paraId="7EB298E2" w14:textId="77777777" w:rsidR="00EB47BC" w:rsidRPr="00E62AF8" w:rsidRDefault="00EB47BC" w:rsidP="00E62AF8">
            <w:pPr>
              <w:rPr>
                <w:sz w:val="24"/>
                <w:szCs w:val="24"/>
                <w:lang w:val="bg-BG"/>
              </w:rPr>
            </w:pPr>
            <w:r w:rsidRPr="00E62AF8">
              <w:rPr>
                <w:lang w:val="bg-BG"/>
              </w:rPr>
              <w:t>Артериална или венозна тромбоза с различна</w:t>
            </w:r>
          </w:p>
          <w:p w14:paraId="731AB1FF" w14:textId="24A00EAA" w:rsidR="00EB47BC" w:rsidRPr="00E62AF8" w:rsidRDefault="00EB47BC" w:rsidP="00E62AF8">
            <w:pPr>
              <w:rPr>
                <w:sz w:val="24"/>
                <w:szCs w:val="24"/>
                <w:lang w:val="bg-BG"/>
              </w:rPr>
            </w:pPr>
            <w:r w:rsidRPr="00E62AF8">
              <w:rPr>
                <w:lang w:val="bg-BG"/>
              </w:rPr>
              <w:t>локализация</w:t>
            </w:r>
          </w:p>
        </w:tc>
      </w:tr>
      <w:tr w:rsidR="00E62AF8" w:rsidRPr="00E62AF8" w14:paraId="12941009" w14:textId="77777777" w:rsidTr="00E62AF8">
        <w:tc>
          <w:tcPr>
            <w:tcW w:w="3116" w:type="dxa"/>
          </w:tcPr>
          <w:p w14:paraId="20D13AAD" w14:textId="299E237F" w:rsidR="00E62AF8" w:rsidRPr="00E62AF8" w:rsidRDefault="00E62AF8" w:rsidP="00E62AF8">
            <w:pPr>
              <w:rPr>
                <w:b/>
                <w:bCs/>
                <w:sz w:val="24"/>
                <w:szCs w:val="24"/>
                <w:lang w:val="bg-BG"/>
              </w:rPr>
            </w:pPr>
            <w:r w:rsidRPr="00E62AF8">
              <w:rPr>
                <w:b/>
                <w:bCs/>
                <w:lang w:val="bg-BG"/>
              </w:rPr>
              <w:t>Нарушения на имунната система</w:t>
            </w:r>
          </w:p>
        </w:tc>
        <w:tc>
          <w:tcPr>
            <w:tcW w:w="3117" w:type="dxa"/>
          </w:tcPr>
          <w:p w14:paraId="15C4BB3E" w14:textId="32C47D67" w:rsidR="00E62AF8" w:rsidRPr="00E62AF8" w:rsidRDefault="00E62AF8" w:rsidP="00E62AF8">
            <w:pPr>
              <w:rPr>
                <w:sz w:val="24"/>
                <w:szCs w:val="24"/>
                <w:lang w:val="bg-BG"/>
              </w:rPr>
            </w:pPr>
            <w:r w:rsidRPr="00E62AF8">
              <w:rPr>
                <w:lang w:val="bg-BG"/>
              </w:rPr>
              <w:t>С неизвестна честота</w:t>
            </w:r>
          </w:p>
        </w:tc>
        <w:tc>
          <w:tcPr>
            <w:tcW w:w="3117" w:type="dxa"/>
          </w:tcPr>
          <w:p w14:paraId="370BB016" w14:textId="77777777" w:rsidR="00E62AF8" w:rsidRPr="00E62AF8" w:rsidRDefault="00E62AF8" w:rsidP="00E62AF8">
            <w:pPr>
              <w:rPr>
                <w:lang w:val="bg-BG"/>
              </w:rPr>
            </w:pPr>
            <w:r w:rsidRPr="00E62AF8">
              <w:rPr>
                <w:lang w:val="bg-BG"/>
              </w:rPr>
              <w:t>Реакции на</w:t>
            </w:r>
          </w:p>
          <w:p w14:paraId="374FFC6F" w14:textId="566F0366" w:rsidR="00E62AF8" w:rsidRPr="00E62AF8" w:rsidRDefault="00E62AF8" w:rsidP="00E62AF8">
            <w:pPr>
              <w:rPr>
                <w:sz w:val="24"/>
                <w:szCs w:val="24"/>
                <w:lang w:val="bg-BG"/>
              </w:rPr>
            </w:pPr>
            <w:r w:rsidRPr="00E62AF8">
              <w:rPr>
                <w:lang w:val="bg-BG"/>
              </w:rPr>
              <w:t>свръхчувствителност, включително анафилаксия</w:t>
            </w:r>
          </w:p>
        </w:tc>
      </w:tr>
    </w:tbl>
    <w:p w14:paraId="38DF9E19" w14:textId="1EA0FEF5" w:rsidR="00E62AF8" w:rsidRDefault="00E62AF8" w:rsidP="00E62AF8">
      <w:pPr>
        <w:rPr>
          <w:lang w:val="bg-BG"/>
        </w:rPr>
      </w:pPr>
    </w:p>
    <w:p w14:paraId="2374CF6A" w14:textId="77777777" w:rsidR="00E62AF8" w:rsidRPr="00E62AF8" w:rsidRDefault="00E62AF8" w:rsidP="00E62AF8">
      <w:pPr>
        <w:rPr>
          <w:sz w:val="24"/>
          <w:szCs w:val="24"/>
          <w:u w:val="single"/>
          <w:lang w:val="bg-BG"/>
        </w:rPr>
      </w:pPr>
      <w:r w:rsidRPr="00E62AF8">
        <w:rPr>
          <w:u w:val="single"/>
          <w:lang w:val="bg-BG" w:eastAsia="bg-BG"/>
        </w:rPr>
        <w:t>Съобщаване на подозирани нежелани реакции</w:t>
      </w:r>
    </w:p>
    <w:p w14:paraId="5345CAEE" w14:textId="77777777" w:rsidR="00E62AF8" w:rsidRPr="00E62AF8" w:rsidRDefault="00E62AF8" w:rsidP="00E62AF8">
      <w:pPr>
        <w:rPr>
          <w:sz w:val="24"/>
          <w:szCs w:val="24"/>
          <w:lang w:val="bg-BG"/>
        </w:rPr>
      </w:pPr>
      <w:r w:rsidRPr="00E62AF8">
        <w:rPr>
          <w:lang w:val="bg-BG"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</w:t>
      </w:r>
      <w:r w:rsidRPr="00E62AF8">
        <w:rPr>
          <w:lang w:val="bg-BG" w:eastAsia="bg-BG"/>
        </w:rPr>
        <w:lastRenderedPageBreak/>
        <w:t>съотношението полза/ риск за лекарствения продукт. От медицинските специалисти се изисква да съобщават всяка подозирана нежелана реакция чрез националната система за съобщаване:</w:t>
      </w:r>
    </w:p>
    <w:p w14:paraId="3786F9DB" w14:textId="77777777" w:rsidR="00E62AF8" w:rsidRPr="00E62AF8" w:rsidRDefault="00E62AF8" w:rsidP="00E62AF8">
      <w:pPr>
        <w:rPr>
          <w:sz w:val="24"/>
          <w:szCs w:val="24"/>
          <w:lang w:val="bg-BG"/>
        </w:rPr>
      </w:pPr>
      <w:r w:rsidRPr="00E62AF8">
        <w:rPr>
          <w:lang w:val="bg-BG" w:eastAsia="bg-BG"/>
        </w:rPr>
        <w:t>Изпълнителна агенция по лекарствата</w:t>
      </w:r>
    </w:p>
    <w:p w14:paraId="502C27E4" w14:textId="77777777" w:rsidR="00E62AF8" w:rsidRPr="00E62AF8" w:rsidRDefault="00E62AF8" w:rsidP="00E62AF8">
      <w:pPr>
        <w:rPr>
          <w:sz w:val="24"/>
          <w:szCs w:val="24"/>
          <w:lang w:val="bg-BG"/>
        </w:rPr>
      </w:pPr>
      <w:r w:rsidRPr="00E62AF8">
        <w:rPr>
          <w:lang w:val="bg-BG" w:eastAsia="bg-BG"/>
        </w:rPr>
        <w:t>ул. «Дамян Груев” № 8</w:t>
      </w:r>
    </w:p>
    <w:p w14:paraId="49032DCB" w14:textId="77777777" w:rsidR="00E62AF8" w:rsidRPr="00E62AF8" w:rsidRDefault="00E62AF8" w:rsidP="00E62AF8">
      <w:pPr>
        <w:rPr>
          <w:sz w:val="24"/>
          <w:szCs w:val="24"/>
          <w:lang w:val="bg-BG"/>
        </w:rPr>
      </w:pPr>
      <w:r w:rsidRPr="00E62AF8">
        <w:rPr>
          <w:lang w:val="bg-BG" w:eastAsia="bg-BG"/>
        </w:rPr>
        <w:t>1303 София</w:t>
      </w:r>
    </w:p>
    <w:p w14:paraId="1A00A807" w14:textId="77777777" w:rsidR="00E62AF8" w:rsidRPr="00E62AF8" w:rsidRDefault="00E62AF8" w:rsidP="00E62AF8">
      <w:pPr>
        <w:rPr>
          <w:sz w:val="24"/>
          <w:szCs w:val="24"/>
          <w:lang w:val="bg-BG"/>
        </w:rPr>
      </w:pPr>
      <w:r w:rsidRPr="00E62AF8">
        <w:rPr>
          <w:lang w:val="bg-BG" w:eastAsia="bg-BG"/>
        </w:rPr>
        <w:t>Тел.:+359 2 890 3417</w:t>
      </w:r>
    </w:p>
    <w:p w14:paraId="263AE1DF" w14:textId="77777777" w:rsidR="00E62AF8" w:rsidRPr="00E62AF8" w:rsidRDefault="00E62AF8" w:rsidP="00E62AF8">
      <w:pPr>
        <w:rPr>
          <w:sz w:val="24"/>
          <w:szCs w:val="24"/>
          <w:lang w:val="bg-BG"/>
        </w:rPr>
      </w:pPr>
      <w:r w:rsidRPr="00E62AF8">
        <w:rPr>
          <w:lang w:val="bg-BG" w:eastAsia="bg-BG"/>
        </w:rPr>
        <w:t xml:space="preserve">уебсайт: </w:t>
      </w:r>
      <w:hyperlink r:id="rId7" w:history="1">
        <w:r w:rsidRPr="00E62AF8">
          <w:t>www.bda.bg</w:t>
        </w:r>
      </w:hyperlink>
    </w:p>
    <w:p w14:paraId="2161BFB1" w14:textId="77777777" w:rsidR="00E62AF8" w:rsidRPr="00E62AF8" w:rsidRDefault="00E62AF8" w:rsidP="00E62AF8">
      <w:pPr>
        <w:rPr>
          <w:lang w:val="bg-BG"/>
        </w:rPr>
      </w:pPr>
    </w:p>
    <w:p w14:paraId="611C622D" w14:textId="3BF7ECDF" w:rsidR="002C50EE" w:rsidRDefault="002C50EE" w:rsidP="002C50EE">
      <w:pPr>
        <w:pStyle w:val="Heading2"/>
        <w:rPr>
          <w:lang w:val="bg-BG"/>
        </w:rPr>
      </w:pPr>
      <w:r w:rsidRPr="00E62AF8">
        <w:rPr>
          <w:lang w:val="bg-BG"/>
        </w:rPr>
        <w:t>4.9. Предозиране</w:t>
      </w:r>
    </w:p>
    <w:p w14:paraId="08B8FA6F" w14:textId="77777777" w:rsidR="00E62AF8" w:rsidRPr="00E62AF8" w:rsidRDefault="00E62AF8" w:rsidP="00E62AF8">
      <w:pPr>
        <w:rPr>
          <w:sz w:val="24"/>
          <w:szCs w:val="24"/>
          <w:lang w:val="bg-BG"/>
        </w:rPr>
      </w:pPr>
      <w:r w:rsidRPr="00E62AF8">
        <w:rPr>
          <w:lang w:val="bg-BG" w:eastAsia="bg-BG"/>
        </w:rPr>
        <w:t>Не са съобщавани случаи на предозиране.</w:t>
      </w:r>
    </w:p>
    <w:p w14:paraId="3B6C2ADF" w14:textId="77777777" w:rsidR="00E62AF8" w:rsidRPr="00E62AF8" w:rsidRDefault="00E62AF8" w:rsidP="00E62AF8">
      <w:pPr>
        <w:rPr>
          <w:sz w:val="24"/>
          <w:szCs w:val="24"/>
          <w:lang w:val="bg-BG"/>
        </w:rPr>
      </w:pPr>
      <w:r w:rsidRPr="00E62AF8">
        <w:rPr>
          <w:lang w:val="bg-BG" w:eastAsia="bg-BG"/>
        </w:rPr>
        <w:t>Признаците и симптомите могат да включват замаяност, главоболие, хипотония и гърчове. Установено е, че гърчовете възникват с по-голяма честота с повишаване на дозата.</w:t>
      </w:r>
    </w:p>
    <w:p w14:paraId="3146FE14" w14:textId="3FB58FD8" w:rsidR="00E62AF8" w:rsidRPr="00E62AF8" w:rsidRDefault="00E62AF8" w:rsidP="00E62AF8">
      <w:pPr>
        <w:rPr>
          <w:lang w:val="bg-BG"/>
        </w:rPr>
      </w:pPr>
      <w:r w:rsidRPr="00E62AF8">
        <w:rPr>
          <w:lang w:val="bg-BG" w:eastAsia="bg-BG"/>
        </w:rPr>
        <w:t>Лечението на предозирането трябва да бъде поддържащо.</w:t>
      </w:r>
    </w:p>
    <w:p w14:paraId="316C3103" w14:textId="77777777" w:rsidR="00E62AF8" w:rsidRPr="00E62AF8" w:rsidRDefault="00E62AF8" w:rsidP="00E62AF8">
      <w:pPr>
        <w:rPr>
          <w:lang w:val="bg-BG"/>
        </w:rPr>
      </w:pPr>
    </w:p>
    <w:p w14:paraId="18EF4AFE" w14:textId="77777777" w:rsidR="002C50EE" w:rsidRPr="00E62AF8" w:rsidRDefault="002C50EE" w:rsidP="002C50EE">
      <w:pPr>
        <w:pStyle w:val="Heading1"/>
        <w:rPr>
          <w:lang w:val="bg-BG"/>
        </w:rPr>
      </w:pPr>
      <w:r w:rsidRPr="00E62AF8">
        <w:rPr>
          <w:lang w:val="bg-BG"/>
        </w:rPr>
        <w:t>5. ФАРМАКОЛОГИЧНИ СВОЙСТВА</w:t>
      </w:r>
    </w:p>
    <w:p w14:paraId="2F1CA24E" w14:textId="335C1B59" w:rsidR="002C50EE" w:rsidRDefault="002C50EE" w:rsidP="002C50EE">
      <w:pPr>
        <w:pStyle w:val="Heading2"/>
        <w:rPr>
          <w:lang w:val="bg-BG"/>
        </w:rPr>
      </w:pPr>
      <w:r w:rsidRPr="00E62AF8">
        <w:rPr>
          <w:lang w:val="bg-BG"/>
        </w:rPr>
        <w:t xml:space="preserve">5.1. </w:t>
      </w:r>
      <w:proofErr w:type="spellStart"/>
      <w:r w:rsidRPr="00E62AF8">
        <w:rPr>
          <w:lang w:val="bg-BG"/>
        </w:rPr>
        <w:t>Фармакодинамични</w:t>
      </w:r>
      <w:proofErr w:type="spellEnd"/>
      <w:r w:rsidRPr="00E62AF8">
        <w:rPr>
          <w:lang w:val="bg-BG"/>
        </w:rPr>
        <w:t xml:space="preserve"> свойства</w:t>
      </w:r>
    </w:p>
    <w:p w14:paraId="605CFF1C" w14:textId="77777777" w:rsidR="00E62AF8" w:rsidRPr="00E62AF8" w:rsidRDefault="00E62AF8" w:rsidP="00E62AF8">
      <w:pPr>
        <w:rPr>
          <w:sz w:val="24"/>
          <w:szCs w:val="24"/>
          <w:lang w:val="bg-BG"/>
        </w:rPr>
      </w:pPr>
      <w:proofErr w:type="spellStart"/>
      <w:r w:rsidRPr="00E62AF8">
        <w:rPr>
          <w:lang w:val="bg-BG" w:eastAsia="bg-BG"/>
        </w:rPr>
        <w:t>Фармакотерапевтична</w:t>
      </w:r>
      <w:proofErr w:type="spellEnd"/>
      <w:r w:rsidRPr="00E62AF8">
        <w:rPr>
          <w:lang w:val="bg-BG" w:eastAsia="bg-BG"/>
        </w:rPr>
        <w:t xml:space="preserve"> група: Антихеморагични лекарства, </w:t>
      </w:r>
      <w:proofErr w:type="spellStart"/>
      <w:r w:rsidRPr="00E62AF8">
        <w:rPr>
          <w:lang w:val="bg-BG" w:eastAsia="bg-BG"/>
        </w:rPr>
        <w:t>антифибринолитици</w:t>
      </w:r>
      <w:proofErr w:type="spellEnd"/>
    </w:p>
    <w:p w14:paraId="6AB3B813" w14:textId="77777777" w:rsidR="00E62AF8" w:rsidRPr="00E62AF8" w:rsidRDefault="00E62AF8" w:rsidP="00E62AF8">
      <w:pPr>
        <w:rPr>
          <w:sz w:val="24"/>
          <w:szCs w:val="24"/>
          <w:lang w:val="bg-BG"/>
        </w:rPr>
      </w:pPr>
      <w:r w:rsidRPr="00E62AF8">
        <w:rPr>
          <w:lang w:val="bg-BG" w:eastAsia="bg-BG"/>
        </w:rPr>
        <w:t>АТС код: В02АА02</w:t>
      </w:r>
    </w:p>
    <w:p w14:paraId="099ACE77" w14:textId="77777777" w:rsidR="00E62AF8" w:rsidRDefault="00E62AF8" w:rsidP="00E62AF8">
      <w:pPr>
        <w:rPr>
          <w:u w:val="single"/>
          <w:lang w:val="bg-BG" w:eastAsia="bg-BG"/>
        </w:rPr>
      </w:pPr>
    </w:p>
    <w:p w14:paraId="0BA9A81E" w14:textId="545630CB" w:rsidR="00E62AF8" w:rsidRPr="00EE7564" w:rsidRDefault="00E62AF8" w:rsidP="00EE7564">
      <w:pPr>
        <w:pStyle w:val="Heading3"/>
        <w:rPr>
          <w:u w:val="single"/>
          <w:lang w:val="bg-BG"/>
        </w:rPr>
      </w:pPr>
      <w:r w:rsidRPr="00EE7564">
        <w:rPr>
          <w:u w:val="single"/>
          <w:lang w:val="bg-BG" w:eastAsia="bg-BG"/>
        </w:rPr>
        <w:t>Механизъм на действие</w:t>
      </w:r>
    </w:p>
    <w:p w14:paraId="06A33A01" w14:textId="77777777" w:rsidR="00E62AF8" w:rsidRPr="00E62AF8" w:rsidRDefault="00E62AF8" w:rsidP="00E62AF8">
      <w:pPr>
        <w:rPr>
          <w:sz w:val="24"/>
          <w:szCs w:val="24"/>
          <w:lang w:val="bg-BG"/>
        </w:rPr>
      </w:pPr>
      <w:proofErr w:type="spellStart"/>
      <w:r w:rsidRPr="00E62AF8">
        <w:rPr>
          <w:lang w:val="bg-BG" w:eastAsia="bg-BG"/>
        </w:rPr>
        <w:t>Транексамовата</w:t>
      </w:r>
      <w:proofErr w:type="spellEnd"/>
      <w:r w:rsidRPr="00E62AF8">
        <w:rPr>
          <w:lang w:val="bg-BG" w:eastAsia="bg-BG"/>
        </w:rPr>
        <w:t xml:space="preserve"> киселина проявява антихеморагична активност чрез инхибиране на </w:t>
      </w:r>
      <w:proofErr w:type="spellStart"/>
      <w:r w:rsidRPr="00E62AF8">
        <w:rPr>
          <w:lang w:val="bg-BG" w:eastAsia="bg-BG"/>
        </w:rPr>
        <w:t>фибринолитичните</w:t>
      </w:r>
      <w:proofErr w:type="spellEnd"/>
      <w:r w:rsidRPr="00E62AF8">
        <w:rPr>
          <w:lang w:val="bg-BG" w:eastAsia="bg-BG"/>
        </w:rPr>
        <w:t xml:space="preserve"> свойства на </w:t>
      </w:r>
      <w:proofErr w:type="spellStart"/>
      <w:r w:rsidRPr="00E62AF8">
        <w:rPr>
          <w:lang w:val="bg-BG" w:eastAsia="bg-BG"/>
        </w:rPr>
        <w:t>плазмина</w:t>
      </w:r>
      <w:proofErr w:type="spellEnd"/>
      <w:r w:rsidRPr="00E62AF8">
        <w:rPr>
          <w:lang w:val="bg-BG" w:eastAsia="bg-BG"/>
        </w:rPr>
        <w:t>.</w:t>
      </w:r>
    </w:p>
    <w:p w14:paraId="6F9202EA" w14:textId="12EF623B" w:rsidR="00E62AF8" w:rsidRDefault="00E62AF8" w:rsidP="00E62AF8">
      <w:pPr>
        <w:rPr>
          <w:lang w:val="bg-BG" w:eastAsia="bg-BG"/>
        </w:rPr>
      </w:pPr>
      <w:proofErr w:type="spellStart"/>
      <w:r w:rsidRPr="00E62AF8">
        <w:rPr>
          <w:lang w:val="bg-BG" w:eastAsia="bg-BG"/>
        </w:rPr>
        <w:t>Транексамовата</w:t>
      </w:r>
      <w:proofErr w:type="spellEnd"/>
      <w:r w:rsidRPr="00E62AF8">
        <w:rPr>
          <w:lang w:val="bg-BG" w:eastAsia="bg-BG"/>
        </w:rPr>
        <w:t xml:space="preserve"> киселина се свързва с </w:t>
      </w:r>
      <w:proofErr w:type="spellStart"/>
      <w:r w:rsidRPr="00E62AF8">
        <w:rPr>
          <w:lang w:val="bg-BG" w:eastAsia="bg-BG"/>
        </w:rPr>
        <w:t>плазминогена</w:t>
      </w:r>
      <w:proofErr w:type="spellEnd"/>
      <w:r w:rsidRPr="00E62AF8">
        <w:rPr>
          <w:lang w:val="bg-BG" w:eastAsia="bg-BG"/>
        </w:rPr>
        <w:t xml:space="preserve"> и образува комплекс, </w:t>
      </w:r>
      <w:proofErr w:type="spellStart"/>
      <w:r w:rsidRPr="00E62AF8">
        <w:rPr>
          <w:lang w:val="bg-BG" w:eastAsia="bg-BG"/>
        </w:rPr>
        <w:t>транексамовата</w:t>
      </w:r>
      <w:proofErr w:type="spellEnd"/>
      <w:r w:rsidRPr="00E62AF8">
        <w:rPr>
          <w:lang w:val="bg-BG" w:eastAsia="bg-BG"/>
        </w:rPr>
        <w:t xml:space="preserve"> киселина се свързва с </w:t>
      </w:r>
      <w:proofErr w:type="spellStart"/>
      <w:r w:rsidRPr="00E62AF8">
        <w:rPr>
          <w:lang w:val="bg-BG" w:eastAsia="bg-BG"/>
        </w:rPr>
        <w:t>плазминогена</w:t>
      </w:r>
      <w:proofErr w:type="spellEnd"/>
      <w:r w:rsidRPr="00E62AF8">
        <w:rPr>
          <w:lang w:val="bg-BG" w:eastAsia="bg-BG"/>
        </w:rPr>
        <w:t xml:space="preserve">, когато се трансформира в </w:t>
      </w:r>
      <w:proofErr w:type="spellStart"/>
      <w:r w:rsidRPr="00E62AF8">
        <w:rPr>
          <w:lang w:val="bg-BG" w:eastAsia="bg-BG"/>
        </w:rPr>
        <w:t>плазмин</w:t>
      </w:r>
      <w:proofErr w:type="spellEnd"/>
      <w:r w:rsidRPr="00E62AF8">
        <w:rPr>
          <w:lang w:val="bg-BG" w:eastAsia="bg-BG"/>
        </w:rPr>
        <w:t>.</w:t>
      </w:r>
    </w:p>
    <w:p w14:paraId="0498315A" w14:textId="4582FDCF" w:rsidR="00E62AF8" w:rsidRDefault="00E62AF8" w:rsidP="00E62AF8">
      <w:pPr>
        <w:rPr>
          <w:lang w:val="bg-BG"/>
        </w:rPr>
      </w:pPr>
    </w:p>
    <w:p w14:paraId="0CFE9163" w14:textId="77777777" w:rsidR="00E62AF8" w:rsidRPr="00E62AF8" w:rsidRDefault="00E62AF8" w:rsidP="00E62AF8">
      <w:pPr>
        <w:rPr>
          <w:sz w:val="24"/>
          <w:szCs w:val="24"/>
          <w:lang w:val="bg-BG"/>
        </w:rPr>
      </w:pPr>
      <w:r w:rsidRPr="00E62AF8">
        <w:rPr>
          <w:lang w:val="bg-BG" w:eastAsia="bg-BG"/>
        </w:rPr>
        <w:t xml:space="preserve">Активността на комплекса </w:t>
      </w:r>
      <w:proofErr w:type="spellStart"/>
      <w:r w:rsidRPr="00E62AF8">
        <w:rPr>
          <w:lang w:val="bg-BG" w:eastAsia="bg-BG"/>
        </w:rPr>
        <w:t>транексамова</w:t>
      </w:r>
      <w:proofErr w:type="spellEnd"/>
      <w:r w:rsidRPr="00E62AF8">
        <w:rPr>
          <w:lang w:val="bg-BG" w:eastAsia="bg-BG"/>
        </w:rPr>
        <w:t xml:space="preserve"> киселина - </w:t>
      </w:r>
      <w:proofErr w:type="spellStart"/>
      <w:r w:rsidRPr="00E62AF8">
        <w:rPr>
          <w:lang w:val="bg-BG" w:eastAsia="bg-BG"/>
        </w:rPr>
        <w:t>плазмин</w:t>
      </w:r>
      <w:proofErr w:type="spellEnd"/>
      <w:r w:rsidRPr="00E62AF8">
        <w:rPr>
          <w:lang w:val="bg-BG" w:eastAsia="bg-BG"/>
        </w:rPr>
        <w:t xml:space="preserve"> върху активността на фибрина е по-ниска от самостоятелната активност на свободния </w:t>
      </w:r>
      <w:proofErr w:type="spellStart"/>
      <w:r w:rsidRPr="00E62AF8">
        <w:rPr>
          <w:lang w:val="bg-BG" w:eastAsia="bg-BG"/>
        </w:rPr>
        <w:t>плазмин</w:t>
      </w:r>
      <w:proofErr w:type="spellEnd"/>
      <w:r w:rsidRPr="00E62AF8">
        <w:rPr>
          <w:lang w:val="bg-BG" w:eastAsia="bg-BG"/>
        </w:rPr>
        <w:t>.</w:t>
      </w:r>
    </w:p>
    <w:p w14:paraId="1D1C4042" w14:textId="77777777" w:rsidR="00E62AF8" w:rsidRPr="00E62AF8" w:rsidRDefault="00E62AF8" w:rsidP="00E62AF8">
      <w:pPr>
        <w:rPr>
          <w:sz w:val="24"/>
          <w:szCs w:val="24"/>
          <w:lang w:val="bg-BG"/>
        </w:rPr>
      </w:pPr>
      <w:r w:rsidRPr="00E62AF8">
        <w:rPr>
          <w:i/>
          <w:iCs/>
        </w:rPr>
        <w:t>In vitro</w:t>
      </w:r>
      <w:r w:rsidRPr="00E62AF8">
        <w:t xml:space="preserve"> </w:t>
      </w:r>
      <w:r w:rsidRPr="00E62AF8">
        <w:rPr>
          <w:lang w:val="bg-BG" w:eastAsia="bg-BG"/>
        </w:rPr>
        <w:t xml:space="preserve">проучванията показват, че високи дози </w:t>
      </w:r>
      <w:proofErr w:type="spellStart"/>
      <w:r w:rsidRPr="00E62AF8">
        <w:rPr>
          <w:lang w:val="bg-BG" w:eastAsia="bg-BG"/>
        </w:rPr>
        <w:t>транексамова</w:t>
      </w:r>
      <w:proofErr w:type="spellEnd"/>
      <w:r w:rsidRPr="00E62AF8">
        <w:rPr>
          <w:lang w:val="bg-BG" w:eastAsia="bg-BG"/>
        </w:rPr>
        <w:t xml:space="preserve"> киселина понижават активността на </w:t>
      </w:r>
      <w:proofErr w:type="spellStart"/>
      <w:r w:rsidRPr="00E62AF8">
        <w:rPr>
          <w:lang w:val="bg-BG" w:eastAsia="bg-BG"/>
        </w:rPr>
        <w:t>комплемента</w:t>
      </w:r>
      <w:proofErr w:type="spellEnd"/>
      <w:r w:rsidRPr="00E62AF8">
        <w:rPr>
          <w:lang w:val="bg-BG" w:eastAsia="bg-BG"/>
        </w:rPr>
        <w:t>.</w:t>
      </w:r>
    </w:p>
    <w:p w14:paraId="7EB5B34E" w14:textId="77777777" w:rsidR="00E62AF8" w:rsidRDefault="00E62AF8" w:rsidP="00E62AF8">
      <w:pPr>
        <w:rPr>
          <w:u w:val="single"/>
          <w:lang w:val="bg-BG" w:eastAsia="bg-BG"/>
        </w:rPr>
      </w:pPr>
    </w:p>
    <w:p w14:paraId="5FD9EDC8" w14:textId="2BB94C6D" w:rsidR="00E62AF8" w:rsidRPr="00EE7564" w:rsidRDefault="00E62AF8" w:rsidP="00EE7564">
      <w:pPr>
        <w:pStyle w:val="Heading3"/>
        <w:rPr>
          <w:u w:val="single"/>
          <w:lang w:val="bg-BG"/>
        </w:rPr>
      </w:pPr>
      <w:r w:rsidRPr="00EE7564">
        <w:rPr>
          <w:u w:val="single"/>
          <w:lang w:val="bg-BG" w:eastAsia="bg-BG"/>
        </w:rPr>
        <w:t>Клинична ефикасност и безопасност</w:t>
      </w:r>
    </w:p>
    <w:p w14:paraId="4683E846" w14:textId="071E48A9" w:rsidR="00E62AF8" w:rsidRPr="00E62AF8" w:rsidRDefault="00E62AF8" w:rsidP="00E62AF8">
      <w:pPr>
        <w:rPr>
          <w:sz w:val="24"/>
          <w:szCs w:val="24"/>
          <w:lang w:val="bg-BG"/>
        </w:rPr>
      </w:pPr>
      <w:r w:rsidRPr="00E62AF8">
        <w:rPr>
          <w:u w:val="single"/>
          <w:lang w:val="bg-BG" w:eastAsia="bg-BG"/>
        </w:rPr>
        <w:t>Педиатрична популация</w:t>
      </w:r>
    </w:p>
    <w:p w14:paraId="4D729E5E" w14:textId="45050760" w:rsidR="00E62AF8" w:rsidRPr="00E62AF8" w:rsidRDefault="00E62AF8" w:rsidP="00E62AF8">
      <w:pPr>
        <w:rPr>
          <w:sz w:val="24"/>
          <w:szCs w:val="24"/>
          <w:lang w:val="bg-BG"/>
        </w:rPr>
      </w:pPr>
      <w:r w:rsidRPr="00E62AF8">
        <w:rPr>
          <w:u w:val="single"/>
          <w:lang w:val="bg-BG" w:eastAsia="bg-BG"/>
        </w:rPr>
        <w:t>Дена на възраст над 1 година:</w:t>
      </w:r>
    </w:p>
    <w:p w14:paraId="41326D4A" w14:textId="20153D84" w:rsidR="00E62AF8" w:rsidRPr="00E62AF8" w:rsidRDefault="00E62AF8" w:rsidP="00E62AF8">
      <w:pPr>
        <w:rPr>
          <w:sz w:val="24"/>
          <w:szCs w:val="24"/>
          <w:lang w:val="bg-BG"/>
        </w:rPr>
      </w:pPr>
      <w:r w:rsidRPr="00E62AF8">
        <w:rPr>
          <w:lang w:val="bg-BG" w:eastAsia="bg-BG"/>
        </w:rPr>
        <w:t xml:space="preserve">Литературен преглед установява 12 проучвания за ефикасност в педиатричната сърдечна хирургия, които включват 1073 деца, от които 631 са получавали </w:t>
      </w:r>
      <w:proofErr w:type="spellStart"/>
      <w:r w:rsidRPr="00E62AF8">
        <w:rPr>
          <w:lang w:val="bg-BG" w:eastAsia="bg-BG"/>
        </w:rPr>
        <w:t>транексамова</w:t>
      </w:r>
      <w:proofErr w:type="spellEnd"/>
      <w:r w:rsidRPr="00E62AF8">
        <w:rPr>
          <w:lang w:val="bg-BG" w:eastAsia="bg-BG"/>
        </w:rPr>
        <w:t xml:space="preserve"> киселина. Повечето от тях са контролирани срещу плацебо. Проучваната популация е хетерогенна по отношение на възраст, вид хирургия, схема на приложение. Резултатите от проучването с </w:t>
      </w:r>
      <w:proofErr w:type="spellStart"/>
      <w:r w:rsidRPr="00E62AF8">
        <w:rPr>
          <w:lang w:val="bg-BG" w:eastAsia="bg-BG"/>
        </w:rPr>
        <w:t>транексамова</w:t>
      </w:r>
      <w:proofErr w:type="spellEnd"/>
      <w:r w:rsidRPr="00E62AF8">
        <w:rPr>
          <w:lang w:val="bg-BG" w:eastAsia="bg-BG"/>
        </w:rPr>
        <w:t xml:space="preserve"> киселина показват намалена кръвозагуба и намалена необходимост от кръвни продукти в педиатричната сърдечна хирургия в условията на </w:t>
      </w:r>
      <w:proofErr w:type="spellStart"/>
      <w:r w:rsidRPr="00E62AF8">
        <w:rPr>
          <w:lang w:val="bg-BG" w:eastAsia="bg-BG"/>
        </w:rPr>
        <w:t>кардио-пулмонален</w:t>
      </w:r>
      <w:proofErr w:type="spellEnd"/>
      <w:r w:rsidRPr="00E62AF8">
        <w:rPr>
          <w:lang w:val="bg-BG" w:eastAsia="bg-BG"/>
        </w:rPr>
        <w:t xml:space="preserve"> байпас (СРВ), където има по-висок риск от кръвоизливи, особено при </w:t>
      </w:r>
      <w:proofErr w:type="spellStart"/>
      <w:r w:rsidRPr="00E62AF8">
        <w:rPr>
          <w:lang w:val="bg-BG" w:eastAsia="bg-BG"/>
        </w:rPr>
        <w:t>цианотични</w:t>
      </w:r>
      <w:proofErr w:type="spellEnd"/>
      <w:r w:rsidRPr="00E62AF8">
        <w:rPr>
          <w:lang w:val="bg-BG" w:eastAsia="bg-BG"/>
        </w:rPr>
        <w:t xml:space="preserve"> пациенти или пациенти, подложени на повторна операция. Най-подходяща схема на приложение се оказва:</w:t>
      </w:r>
    </w:p>
    <w:p w14:paraId="4697945D" w14:textId="16E9EC5B" w:rsidR="00E62AF8" w:rsidRPr="00FC074A" w:rsidRDefault="00E62AF8" w:rsidP="00FC074A">
      <w:pPr>
        <w:pStyle w:val="ListParagraph"/>
        <w:numPr>
          <w:ilvl w:val="0"/>
          <w:numId w:val="12"/>
        </w:numPr>
        <w:rPr>
          <w:lang w:val="bg-BG" w:eastAsia="bg-BG"/>
        </w:rPr>
      </w:pPr>
      <w:r w:rsidRPr="00FC074A">
        <w:rPr>
          <w:lang w:val="bg-BG" w:eastAsia="bg-BG"/>
        </w:rPr>
        <w:lastRenderedPageBreak/>
        <w:t xml:space="preserve">първоначален </w:t>
      </w:r>
      <w:proofErr w:type="spellStart"/>
      <w:r w:rsidRPr="00FC074A">
        <w:rPr>
          <w:lang w:val="bg-BG" w:eastAsia="bg-BG"/>
        </w:rPr>
        <w:t>болус</w:t>
      </w:r>
      <w:proofErr w:type="spellEnd"/>
      <w:r w:rsidRPr="00FC074A">
        <w:rPr>
          <w:lang w:val="bg-BG" w:eastAsia="bg-BG"/>
        </w:rPr>
        <w:t xml:space="preserve"> от 10 </w:t>
      </w:r>
      <w:r w:rsidRPr="00E62AF8">
        <w:t>mg</w:t>
      </w:r>
      <w:r w:rsidRPr="00FC074A">
        <w:rPr>
          <w:lang w:val="bg-BG" w:eastAsia="bg-BG"/>
        </w:rPr>
        <w:t xml:space="preserve">/кг след въвеждане в анестезия и преди кожна </w:t>
      </w:r>
      <w:proofErr w:type="spellStart"/>
      <w:r w:rsidRPr="00FC074A">
        <w:rPr>
          <w:lang w:val="bg-BG" w:eastAsia="bg-BG"/>
        </w:rPr>
        <w:t>инцизия</w:t>
      </w:r>
      <w:proofErr w:type="spellEnd"/>
      <w:r w:rsidRPr="00FC074A">
        <w:rPr>
          <w:lang w:val="bg-BG" w:eastAsia="bg-BG"/>
        </w:rPr>
        <w:t>,</w:t>
      </w:r>
    </w:p>
    <w:p w14:paraId="40237D84" w14:textId="5A19CEFB" w:rsidR="00E62AF8" w:rsidRPr="00FC074A" w:rsidRDefault="00E62AF8" w:rsidP="00FC074A">
      <w:pPr>
        <w:pStyle w:val="ListParagraph"/>
        <w:numPr>
          <w:ilvl w:val="0"/>
          <w:numId w:val="12"/>
        </w:numPr>
        <w:rPr>
          <w:lang w:val="bg-BG" w:eastAsia="bg-BG"/>
        </w:rPr>
      </w:pPr>
      <w:r w:rsidRPr="00FC074A">
        <w:rPr>
          <w:lang w:val="bg-BG" w:eastAsia="bg-BG"/>
        </w:rPr>
        <w:t xml:space="preserve">продължителна инфузия с 10 </w:t>
      </w:r>
      <w:r w:rsidRPr="00E62AF8">
        <w:t>mg</w:t>
      </w:r>
      <w:r w:rsidRPr="00FC074A">
        <w:rPr>
          <w:lang w:val="bg-BG" w:eastAsia="bg-BG"/>
        </w:rPr>
        <w:t xml:space="preserve">/кг/ час или инжектиране в основния разтвор за СРВ помпата на доза, съобразена с СРВ процедурата или с теглото на пациента на доза от 10 </w:t>
      </w:r>
      <w:r w:rsidRPr="00E62AF8">
        <w:t xml:space="preserve">mg/ </w:t>
      </w:r>
      <w:r w:rsidRPr="00FC074A">
        <w:rPr>
          <w:lang w:val="bg-BG" w:eastAsia="bg-BG"/>
        </w:rPr>
        <w:t xml:space="preserve">кг или според обема на основния разтвор за СРВ помпата, последно инжектиране на 10 </w:t>
      </w:r>
      <w:r w:rsidRPr="00E62AF8">
        <w:t xml:space="preserve">mg/ </w:t>
      </w:r>
      <w:r w:rsidRPr="00FC074A">
        <w:rPr>
          <w:lang w:val="bg-BG" w:eastAsia="bg-BG"/>
        </w:rPr>
        <w:t>кг в края на СРВ.</w:t>
      </w:r>
    </w:p>
    <w:p w14:paraId="2C93009A" w14:textId="77777777" w:rsidR="00E62AF8" w:rsidRPr="00E62AF8" w:rsidRDefault="00E62AF8" w:rsidP="00E62AF8">
      <w:pPr>
        <w:rPr>
          <w:sz w:val="24"/>
          <w:szCs w:val="24"/>
          <w:lang w:val="bg-BG"/>
        </w:rPr>
      </w:pPr>
      <w:r w:rsidRPr="00E62AF8">
        <w:rPr>
          <w:lang w:val="bg-BG" w:eastAsia="bg-BG"/>
        </w:rPr>
        <w:t>Въпреки, че проучването е при много малък брой пациенти, ограничените данни подсказват, че продължителната инфузия е за предпочитане, тъй като поддържа терапевтичните плазмени концентрации по време на операция.</w:t>
      </w:r>
    </w:p>
    <w:p w14:paraId="4D4FD72C" w14:textId="5381E847" w:rsidR="00E62AF8" w:rsidRDefault="00E62AF8" w:rsidP="00E62AF8">
      <w:pPr>
        <w:rPr>
          <w:lang w:val="bg-BG" w:eastAsia="bg-BG"/>
        </w:rPr>
      </w:pPr>
      <w:r w:rsidRPr="00E62AF8">
        <w:rPr>
          <w:lang w:val="bg-BG" w:eastAsia="bg-BG"/>
        </w:rPr>
        <w:t xml:space="preserve">При деца не са провеждани специфични доза-ефект и </w:t>
      </w:r>
      <w:proofErr w:type="spellStart"/>
      <w:r w:rsidRPr="00E62AF8">
        <w:rPr>
          <w:lang w:val="bg-BG" w:eastAsia="bg-BG"/>
        </w:rPr>
        <w:t>фармакокинетични</w:t>
      </w:r>
      <w:proofErr w:type="spellEnd"/>
      <w:r w:rsidRPr="00E62AF8">
        <w:rPr>
          <w:lang w:val="bg-BG" w:eastAsia="bg-BG"/>
        </w:rPr>
        <w:t xml:space="preserve"> проучвания.</w:t>
      </w:r>
    </w:p>
    <w:p w14:paraId="39B8BD51" w14:textId="77777777" w:rsidR="00FC074A" w:rsidRPr="00E62AF8" w:rsidRDefault="00FC074A" w:rsidP="00E62AF8">
      <w:pPr>
        <w:rPr>
          <w:lang w:val="bg-BG"/>
        </w:rPr>
      </w:pPr>
    </w:p>
    <w:p w14:paraId="788B4E5E" w14:textId="7F4397E0" w:rsidR="002C50EE" w:rsidRDefault="002C50EE" w:rsidP="002C50EE">
      <w:pPr>
        <w:pStyle w:val="Heading2"/>
        <w:rPr>
          <w:lang w:val="bg-BG"/>
        </w:rPr>
      </w:pPr>
      <w:r w:rsidRPr="00E62AF8">
        <w:rPr>
          <w:lang w:val="bg-BG"/>
        </w:rPr>
        <w:t xml:space="preserve">5.2. </w:t>
      </w:r>
      <w:proofErr w:type="spellStart"/>
      <w:r w:rsidRPr="00E62AF8">
        <w:rPr>
          <w:lang w:val="bg-BG"/>
        </w:rPr>
        <w:t>Фармакокинетични</w:t>
      </w:r>
      <w:proofErr w:type="spellEnd"/>
      <w:r w:rsidRPr="00E62AF8">
        <w:rPr>
          <w:lang w:val="bg-BG"/>
        </w:rPr>
        <w:t xml:space="preserve"> свойства</w:t>
      </w:r>
    </w:p>
    <w:p w14:paraId="2D524358" w14:textId="77777777" w:rsidR="00FC074A" w:rsidRPr="00EE7564" w:rsidRDefault="00FC074A" w:rsidP="00EE7564">
      <w:pPr>
        <w:pStyle w:val="Heading3"/>
        <w:rPr>
          <w:u w:val="single"/>
          <w:lang w:val="bg-BG"/>
        </w:rPr>
      </w:pPr>
      <w:r w:rsidRPr="00EE7564">
        <w:rPr>
          <w:u w:val="single"/>
          <w:lang w:val="bg-BG" w:eastAsia="bg-BG"/>
        </w:rPr>
        <w:t>Абсорбция</w:t>
      </w:r>
    </w:p>
    <w:p w14:paraId="47EE4862" w14:textId="77777777" w:rsidR="00FC074A" w:rsidRPr="00FC074A" w:rsidRDefault="00FC074A" w:rsidP="00FC074A">
      <w:pPr>
        <w:rPr>
          <w:sz w:val="24"/>
          <w:szCs w:val="24"/>
          <w:lang w:val="bg-BG"/>
        </w:rPr>
      </w:pPr>
      <w:r w:rsidRPr="00FC074A">
        <w:rPr>
          <w:lang w:val="bg-BG" w:eastAsia="bg-BG"/>
        </w:rPr>
        <w:t xml:space="preserve">Пиковите плазмени концентрации на </w:t>
      </w:r>
      <w:proofErr w:type="spellStart"/>
      <w:r w:rsidRPr="00FC074A">
        <w:rPr>
          <w:lang w:val="bg-BG" w:eastAsia="bg-BG"/>
        </w:rPr>
        <w:t>транексамова</w:t>
      </w:r>
      <w:proofErr w:type="spellEnd"/>
      <w:r w:rsidRPr="00FC074A">
        <w:rPr>
          <w:lang w:val="bg-BG" w:eastAsia="bg-BG"/>
        </w:rPr>
        <w:t xml:space="preserve"> киселина се достигат бързо след кратка интравенозна инфузия, след което плазмените концентрации намаляват в мултиекспоненциална зависимост.</w:t>
      </w:r>
    </w:p>
    <w:p w14:paraId="44E5B58B" w14:textId="77777777" w:rsidR="00FC074A" w:rsidRDefault="00FC074A" w:rsidP="00FC074A">
      <w:pPr>
        <w:rPr>
          <w:u w:val="single"/>
          <w:lang w:val="bg-BG" w:eastAsia="bg-BG"/>
        </w:rPr>
      </w:pPr>
    </w:p>
    <w:p w14:paraId="5F266934" w14:textId="3B725E67" w:rsidR="00FC074A" w:rsidRPr="00EE7564" w:rsidRDefault="00FC074A" w:rsidP="00EE7564">
      <w:pPr>
        <w:pStyle w:val="Heading3"/>
        <w:rPr>
          <w:u w:val="single"/>
          <w:lang w:val="bg-BG" w:eastAsia="bg-BG"/>
        </w:rPr>
      </w:pPr>
      <w:r w:rsidRPr="00EE7564">
        <w:rPr>
          <w:u w:val="single"/>
          <w:lang w:val="bg-BG" w:eastAsia="bg-BG"/>
        </w:rPr>
        <w:t>Разпределение</w:t>
      </w:r>
    </w:p>
    <w:p w14:paraId="608BDD80" w14:textId="77777777" w:rsidR="00FC074A" w:rsidRPr="00FC074A" w:rsidRDefault="00FC074A" w:rsidP="00FC074A">
      <w:pPr>
        <w:rPr>
          <w:sz w:val="24"/>
          <w:szCs w:val="24"/>
          <w:lang w:val="bg-BG"/>
        </w:rPr>
      </w:pPr>
      <w:r w:rsidRPr="00FC074A">
        <w:rPr>
          <w:lang w:val="bg-BG" w:eastAsia="bg-BG"/>
        </w:rPr>
        <w:t xml:space="preserve">При терапевтични плазмени нива свързването на </w:t>
      </w:r>
      <w:proofErr w:type="spellStart"/>
      <w:r w:rsidRPr="00FC074A">
        <w:rPr>
          <w:lang w:val="bg-BG" w:eastAsia="bg-BG"/>
        </w:rPr>
        <w:t>транексамовата</w:t>
      </w:r>
      <w:proofErr w:type="spellEnd"/>
      <w:r w:rsidRPr="00FC074A">
        <w:rPr>
          <w:lang w:val="bg-BG" w:eastAsia="bg-BG"/>
        </w:rPr>
        <w:t xml:space="preserve"> киселина с плазмените протеини е около 3%, като изглежда това се дължи изцяло на свързването й с </w:t>
      </w:r>
      <w:proofErr w:type="spellStart"/>
      <w:r w:rsidRPr="00FC074A">
        <w:rPr>
          <w:lang w:val="bg-BG" w:eastAsia="bg-BG"/>
        </w:rPr>
        <w:t>плазминогена</w:t>
      </w:r>
      <w:proofErr w:type="spellEnd"/>
      <w:r w:rsidRPr="00FC074A">
        <w:rPr>
          <w:lang w:val="bg-BG" w:eastAsia="bg-BG"/>
        </w:rPr>
        <w:t xml:space="preserve">. </w:t>
      </w:r>
      <w:proofErr w:type="spellStart"/>
      <w:r w:rsidRPr="00FC074A">
        <w:rPr>
          <w:lang w:val="bg-BG" w:eastAsia="bg-BG"/>
        </w:rPr>
        <w:t>Транексамовата</w:t>
      </w:r>
      <w:proofErr w:type="spellEnd"/>
      <w:r w:rsidRPr="00FC074A">
        <w:rPr>
          <w:lang w:val="bg-BG" w:eastAsia="bg-BG"/>
        </w:rPr>
        <w:t xml:space="preserve"> киселина не се свързва със серумния албумин. Първоначалният обем на разпределение е около 9 до 12 литра.</w:t>
      </w:r>
    </w:p>
    <w:p w14:paraId="70BD59E1" w14:textId="77777777" w:rsidR="00FC074A" w:rsidRPr="00FC074A" w:rsidRDefault="00FC074A" w:rsidP="00FC074A">
      <w:pPr>
        <w:rPr>
          <w:sz w:val="24"/>
          <w:szCs w:val="24"/>
          <w:lang w:val="bg-BG"/>
        </w:rPr>
      </w:pPr>
      <w:proofErr w:type="spellStart"/>
      <w:r w:rsidRPr="00FC074A">
        <w:rPr>
          <w:lang w:val="bg-BG" w:eastAsia="bg-BG"/>
        </w:rPr>
        <w:t>Транексамовата</w:t>
      </w:r>
      <w:proofErr w:type="spellEnd"/>
      <w:r w:rsidRPr="00FC074A">
        <w:rPr>
          <w:lang w:val="bg-BG" w:eastAsia="bg-BG"/>
        </w:rPr>
        <w:t xml:space="preserve"> киселина преминава през плацентата. След приложение на интравенозна инжекция от 10 </w:t>
      </w:r>
      <w:r w:rsidRPr="00FC074A">
        <w:t xml:space="preserve">mg/ </w:t>
      </w:r>
      <w:r w:rsidRPr="00FC074A">
        <w:rPr>
          <w:lang w:val="bg-BG" w:eastAsia="bg-BG"/>
        </w:rPr>
        <w:t xml:space="preserve">кг при 12 бременни жени, серумните концентрации на </w:t>
      </w:r>
      <w:proofErr w:type="spellStart"/>
      <w:r w:rsidRPr="00FC074A">
        <w:rPr>
          <w:lang w:val="bg-BG" w:eastAsia="bg-BG"/>
        </w:rPr>
        <w:t>транексамова</w:t>
      </w:r>
      <w:proofErr w:type="spellEnd"/>
      <w:r w:rsidRPr="00FC074A">
        <w:rPr>
          <w:lang w:val="bg-BG" w:eastAsia="bg-BG"/>
        </w:rPr>
        <w:t xml:space="preserve"> киселина са били в диапазона 10-53 </w:t>
      </w:r>
      <w:r w:rsidRPr="00FC074A">
        <w:t xml:space="preserve">µg/mL, </w:t>
      </w:r>
      <w:r w:rsidRPr="00FC074A">
        <w:rPr>
          <w:lang w:val="bg-BG" w:eastAsia="bg-BG"/>
        </w:rPr>
        <w:t xml:space="preserve">докато тези в пъпната връв са били в диапазона 4-31 </w:t>
      </w:r>
      <w:r w:rsidRPr="00FC074A">
        <w:t>µg/</w:t>
      </w:r>
      <w:proofErr w:type="spellStart"/>
      <w:r w:rsidRPr="00FC074A">
        <w:t>mL.</w:t>
      </w:r>
      <w:proofErr w:type="spellEnd"/>
      <w:r w:rsidRPr="00FC074A">
        <w:t xml:space="preserve"> </w:t>
      </w:r>
      <w:proofErr w:type="spellStart"/>
      <w:r w:rsidRPr="00FC074A">
        <w:rPr>
          <w:lang w:val="bg-BG" w:eastAsia="bg-BG"/>
        </w:rPr>
        <w:t>Транексамовата</w:t>
      </w:r>
      <w:proofErr w:type="spellEnd"/>
      <w:r w:rsidRPr="00FC074A">
        <w:rPr>
          <w:lang w:val="bg-BG" w:eastAsia="bg-BG"/>
        </w:rPr>
        <w:t xml:space="preserve"> киселина прониква бързо в ставната течност и </w:t>
      </w:r>
      <w:proofErr w:type="spellStart"/>
      <w:r w:rsidRPr="00FC074A">
        <w:rPr>
          <w:lang w:val="bg-BG" w:eastAsia="bg-BG"/>
        </w:rPr>
        <w:t>синовиалната</w:t>
      </w:r>
      <w:proofErr w:type="spellEnd"/>
      <w:r w:rsidRPr="00FC074A">
        <w:rPr>
          <w:lang w:val="bg-BG" w:eastAsia="bg-BG"/>
        </w:rPr>
        <w:t xml:space="preserve"> мембрана. След приложение на интравенозна инжекция от 10 </w:t>
      </w:r>
      <w:r w:rsidRPr="00FC074A">
        <w:t xml:space="preserve">mg/ </w:t>
      </w:r>
      <w:r w:rsidRPr="00FC074A">
        <w:rPr>
          <w:lang w:val="bg-BG" w:eastAsia="bg-BG"/>
        </w:rPr>
        <w:t xml:space="preserve">кг при 17 пациента, подложени на операция на коляното, концентрациите в ставната течност са сходни с тези, наблюдавани в съответните серумни проби. Концентрациите на </w:t>
      </w:r>
      <w:proofErr w:type="spellStart"/>
      <w:r w:rsidRPr="00FC074A">
        <w:rPr>
          <w:lang w:val="bg-BG" w:eastAsia="bg-BG"/>
        </w:rPr>
        <w:t>транексамова</w:t>
      </w:r>
      <w:proofErr w:type="spellEnd"/>
      <w:r w:rsidRPr="00FC074A">
        <w:rPr>
          <w:lang w:val="bg-BG" w:eastAsia="bg-BG"/>
        </w:rPr>
        <w:t xml:space="preserve"> киселина в редица други тъкани е част от тези, наблюдавани в кръвта (кърма - една стотна; </w:t>
      </w:r>
      <w:proofErr w:type="spellStart"/>
      <w:r w:rsidRPr="00FC074A">
        <w:rPr>
          <w:lang w:val="bg-BG" w:eastAsia="bg-BG"/>
        </w:rPr>
        <w:t>цереброспинална</w:t>
      </w:r>
      <w:proofErr w:type="spellEnd"/>
      <w:r w:rsidRPr="00FC074A">
        <w:rPr>
          <w:lang w:val="bg-BG" w:eastAsia="bg-BG"/>
        </w:rPr>
        <w:t xml:space="preserve"> течност - една десета; вътреочна течност - една десета). </w:t>
      </w:r>
      <w:proofErr w:type="spellStart"/>
      <w:r w:rsidRPr="00FC074A">
        <w:rPr>
          <w:lang w:val="bg-BG" w:eastAsia="bg-BG"/>
        </w:rPr>
        <w:t>Транексамова</w:t>
      </w:r>
      <w:proofErr w:type="spellEnd"/>
      <w:r w:rsidRPr="00FC074A">
        <w:rPr>
          <w:lang w:val="bg-BG" w:eastAsia="bg-BG"/>
        </w:rPr>
        <w:t xml:space="preserve"> киселина е открита в семенната течност, където инхибира </w:t>
      </w:r>
      <w:proofErr w:type="spellStart"/>
      <w:r w:rsidRPr="00FC074A">
        <w:rPr>
          <w:lang w:val="bg-BG" w:eastAsia="bg-BG"/>
        </w:rPr>
        <w:t>фибринолитичната</w:t>
      </w:r>
      <w:proofErr w:type="spellEnd"/>
      <w:r w:rsidRPr="00FC074A">
        <w:rPr>
          <w:lang w:val="bg-BG" w:eastAsia="bg-BG"/>
        </w:rPr>
        <w:t xml:space="preserve"> активност, но не повлиява движението на сперматозоидите.</w:t>
      </w:r>
    </w:p>
    <w:p w14:paraId="65D73B59" w14:textId="77777777" w:rsidR="00FC074A" w:rsidRDefault="00FC074A" w:rsidP="00FC074A">
      <w:pPr>
        <w:rPr>
          <w:u w:val="single"/>
          <w:lang w:val="bg-BG" w:eastAsia="bg-BG"/>
        </w:rPr>
      </w:pPr>
    </w:p>
    <w:p w14:paraId="2B2DF989" w14:textId="6207F1E1" w:rsidR="00FC074A" w:rsidRPr="00EE7564" w:rsidRDefault="00FC074A" w:rsidP="00EE7564">
      <w:pPr>
        <w:pStyle w:val="Heading3"/>
        <w:rPr>
          <w:u w:val="single"/>
          <w:lang w:val="bg-BG"/>
        </w:rPr>
      </w:pPr>
      <w:r w:rsidRPr="00EE7564">
        <w:rPr>
          <w:u w:val="single"/>
          <w:lang w:val="bg-BG" w:eastAsia="bg-BG"/>
        </w:rPr>
        <w:t>Елиминиране</w:t>
      </w:r>
    </w:p>
    <w:p w14:paraId="1DCACCB8" w14:textId="77777777" w:rsidR="00FC074A" w:rsidRPr="00FC074A" w:rsidRDefault="00FC074A" w:rsidP="00FC074A">
      <w:pPr>
        <w:rPr>
          <w:sz w:val="24"/>
          <w:szCs w:val="24"/>
          <w:lang w:val="bg-BG"/>
        </w:rPr>
      </w:pPr>
      <w:r w:rsidRPr="00FC074A">
        <w:rPr>
          <w:lang w:val="bg-BG" w:eastAsia="bg-BG"/>
        </w:rPr>
        <w:t xml:space="preserve">Екскрецията е главно чрез урината в непроменен вид. Бъбречната екскреция чрез </w:t>
      </w:r>
      <w:proofErr w:type="spellStart"/>
      <w:r w:rsidRPr="00FC074A">
        <w:rPr>
          <w:lang w:val="bg-BG" w:eastAsia="bg-BG"/>
        </w:rPr>
        <w:t>гломерулна</w:t>
      </w:r>
      <w:proofErr w:type="spellEnd"/>
      <w:r w:rsidRPr="00FC074A">
        <w:rPr>
          <w:lang w:val="bg-BG" w:eastAsia="bg-BG"/>
        </w:rPr>
        <w:t xml:space="preserve"> филтрация е основният път на елиминиране. Бъбречният клирънс е еднакъв с плазмения клирънс (110 до 116 </w:t>
      </w:r>
      <w:r w:rsidRPr="00FC074A">
        <w:t xml:space="preserve">mL/min). </w:t>
      </w:r>
      <w:r w:rsidRPr="00FC074A">
        <w:rPr>
          <w:lang w:val="bg-BG" w:eastAsia="bg-BG"/>
        </w:rPr>
        <w:t xml:space="preserve">Екскрецията на </w:t>
      </w:r>
      <w:proofErr w:type="spellStart"/>
      <w:r w:rsidRPr="00FC074A">
        <w:rPr>
          <w:lang w:val="bg-BG" w:eastAsia="bg-BG"/>
        </w:rPr>
        <w:t>транексамова</w:t>
      </w:r>
      <w:proofErr w:type="spellEnd"/>
      <w:r w:rsidRPr="00FC074A">
        <w:rPr>
          <w:lang w:val="bg-BG" w:eastAsia="bg-BG"/>
        </w:rPr>
        <w:t xml:space="preserve"> киселина е около 90% през първите 24 часа след интравенозно приложение на 10 </w:t>
      </w:r>
      <w:r w:rsidRPr="00FC074A">
        <w:t xml:space="preserve">mg/ </w:t>
      </w:r>
      <w:r w:rsidRPr="00FC074A">
        <w:rPr>
          <w:lang w:val="bg-BG" w:eastAsia="bg-BG"/>
        </w:rPr>
        <w:t xml:space="preserve">кг телесно тегло. Елиминационният полуживот на </w:t>
      </w:r>
      <w:proofErr w:type="spellStart"/>
      <w:r w:rsidRPr="00FC074A">
        <w:rPr>
          <w:lang w:val="bg-BG" w:eastAsia="bg-BG"/>
        </w:rPr>
        <w:t>транексамовата</w:t>
      </w:r>
      <w:proofErr w:type="spellEnd"/>
      <w:r w:rsidRPr="00FC074A">
        <w:rPr>
          <w:lang w:val="bg-BG" w:eastAsia="bg-BG"/>
        </w:rPr>
        <w:t xml:space="preserve"> киселина е приблизително 3 часа.</w:t>
      </w:r>
    </w:p>
    <w:p w14:paraId="3B59A918" w14:textId="77777777" w:rsidR="00FC074A" w:rsidRDefault="00FC074A" w:rsidP="00FC074A">
      <w:pPr>
        <w:rPr>
          <w:u w:val="single"/>
          <w:lang w:val="bg-BG" w:eastAsia="bg-BG"/>
        </w:rPr>
      </w:pPr>
    </w:p>
    <w:p w14:paraId="081C816B" w14:textId="0D0CB3C8" w:rsidR="00FC074A" w:rsidRPr="00EE7564" w:rsidRDefault="00FC074A" w:rsidP="00EE7564">
      <w:pPr>
        <w:pStyle w:val="Heading3"/>
        <w:rPr>
          <w:u w:val="single"/>
          <w:lang w:val="bg-BG"/>
        </w:rPr>
      </w:pPr>
      <w:r w:rsidRPr="00EE7564">
        <w:rPr>
          <w:u w:val="single"/>
          <w:lang w:val="bg-BG" w:eastAsia="bg-BG"/>
        </w:rPr>
        <w:t>Специални популации</w:t>
      </w:r>
    </w:p>
    <w:p w14:paraId="2D9C6525" w14:textId="489D9FCA" w:rsidR="00FC074A" w:rsidRPr="00FC074A" w:rsidRDefault="00FC074A" w:rsidP="00FC074A">
      <w:pPr>
        <w:rPr>
          <w:u w:val="single"/>
          <w:lang w:val="bg-BG"/>
        </w:rPr>
      </w:pPr>
      <w:r w:rsidRPr="00FC074A">
        <w:rPr>
          <w:lang w:val="bg-BG" w:eastAsia="bg-BG"/>
        </w:rPr>
        <w:t xml:space="preserve">Плазмените концентрации се повишават при пациенти с бъбречна недостатъчност. Не са провеждани специфични </w:t>
      </w:r>
      <w:proofErr w:type="spellStart"/>
      <w:r w:rsidRPr="00FC074A">
        <w:rPr>
          <w:lang w:val="bg-BG" w:eastAsia="bg-BG"/>
        </w:rPr>
        <w:t>фармакокинетични</w:t>
      </w:r>
      <w:proofErr w:type="spellEnd"/>
      <w:r w:rsidRPr="00FC074A">
        <w:rPr>
          <w:lang w:val="bg-BG" w:eastAsia="bg-BG"/>
        </w:rPr>
        <w:t xml:space="preserve"> проучвания при деца.</w:t>
      </w:r>
    </w:p>
    <w:p w14:paraId="5D0936AA" w14:textId="77777777" w:rsidR="00E62AF8" w:rsidRPr="00E62AF8" w:rsidRDefault="00E62AF8" w:rsidP="00E62AF8">
      <w:pPr>
        <w:rPr>
          <w:lang w:val="bg-BG"/>
        </w:rPr>
      </w:pPr>
    </w:p>
    <w:p w14:paraId="16A008D4" w14:textId="147F71E1" w:rsidR="00FC074A" w:rsidRDefault="002C50EE" w:rsidP="00FC074A">
      <w:pPr>
        <w:pStyle w:val="Heading2"/>
        <w:rPr>
          <w:lang w:val="bg-BG"/>
        </w:rPr>
      </w:pPr>
      <w:r w:rsidRPr="00E62AF8">
        <w:rPr>
          <w:lang w:val="bg-BG"/>
        </w:rPr>
        <w:lastRenderedPageBreak/>
        <w:t>5.3. Предклинични данни за безопасност</w:t>
      </w:r>
    </w:p>
    <w:p w14:paraId="78407570" w14:textId="18000AD7" w:rsidR="00FC074A" w:rsidRDefault="00FC074A" w:rsidP="00FC074A">
      <w:proofErr w:type="spellStart"/>
      <w:r>
        <w:t>Неклиничните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показват</w:t>
      </w:r>
      <w:proofErr w:type="spellEnd"/>
      <w:r>
        <w:t xml:space="preserve"> </w:t>
      </w:r>
      <w:proofErr w:type="spellStart"/>
      <w:r>
        <w:t>особен</w:t>
      </w:r>
      <w:proofErr w:type="spellEnd"/>
      <w:r>
        <w:t xml:space="preserve"> </w:t>
      </w:r>
      <w:proofErr w:type="spellStart"/>
      <w:r>
        <w:t>риск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базата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конвенционалните</w:t>
      </w:r>
      <w:proofErr w:type="spellEnd"/>
      <w:r>
        <w:t xml:space="preserve"> </w:t>
      </w:r>
      <w:proofErr w:type="spellStart"/>
      <w:r>
        <w:t>фармакологични</w:t>
      </w:r>
      <w:proofErr w:type="spellEnd"/>
      <w:r>
        <w:t xml:space="preserve"> </w:t>
      </w:r>
      <w:proofErr w:type="spellStart"/>
      <w:r>
        <w:t>проучвания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безопасност</w:t>
      </w:r>
      <w:proofErr w:type="spellEnd"/>
      <w:r>
        <w:t xml:space="preserve">, </w:t>
      </w:r>
      <w:proofErr w:type="spellStart"/>
      <w:r>
        <w:t>токсичност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многократно</w:t>
      </w:r>
      <w:proofErr w:type="spellEnd"/>
      <w:r>
        <w:t xml:space="preserve"> </w:t>
      </w:r>
      <w:proofErr w:type="spellStart"/>
      <w:r>
        <w:t>прилагане</w:t>
      </w:r>
      <w:proofErr w:type="spellEnd"/>
      <w:r>
        <w:t xml:space="preserve"> </w:t>
      </w:r>
      <w:proofErr w:type="spellStart"/>
      <w:r>
        <w:t>генотоксичност</w:t>
      </w:r>
      <w:proofErr w:type="spellEnd"/>
      <w:r>
        <w:t xml:space="preserve">, </w:t>
      </w:r>
      <w:proofErr w:type="spellStart"/>
      <w:r>
        <w:t>карциногенен</w:t>
      </w:r>
      <w:proofErr w:type="spellEnd"/>
      <w:r>
        <w:t xml:space="preserve"> </w:t>
      </w:r>
      <w:proofErr w:type="spellStart"/>
      <w:r>
        <w:t>потенциал</w:t>
      </w:r>
      <w:proofErr w:type="spellEnd"/>
      <w:r>
        <w:t xml:space="preserve"> и </w:t>
      </w:r>
      <w:proofErr w:type="spellStart"/>
      <w:r>
        <w:t>репродуктивна</w:t>
      </w:r>
      <w:proofErr w:type="spellEnd"/>
      <w:r>
        <w:t xml:space="preserve"> </w:t>
      </w:r>
      <w:proofErr w:type="spellStart"/>
      <w:r>
        <w:t>токсичност</w:t>
      </w:r>
      <w:proofErr w:type="spellEnd"/>
      <w:r>
        <w:t xml:space="preserve">. </w:t>
      </w:r>
      <w:proofErr w:type="spellStart"/>
      <w:r>
        <w:t>Наблюдавана</w:t>
      </w:r>
      <w:proofErr w:type="spellEnd"/>
      <w:r>
        <w:t xml:space="preserve"> с </w:t>
      </w:r>
      <w:proofErr w:type="spellStart"/>
      <w:r>
        <w:t>епилептогенна</w:t>
      </w:r>
      <w:proofErr w:type="spellEnd"/>
      <w:r>
        <w:t xml:space="preserve"> </w:t>
      </w:r>
      <w:proofErr w:type="spellStart"/>
      <w:r>
        <w:t>активност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животни</w:t>
      </w:r>
      <w:proofErr w:type="spellEnd"/>
      <w:r>
        <w:t xml:space="preserve"> с </w:t>
      </w:r>
      <w:proofErr w:type="spellStart"/>
      <w:r>
        <w:t>интратекално</w:t>
      </w:r>
      <w:proofErr w:type="spellEnd"/>
      <w:r>
        <w:t xml:space="preserve"> </w:t>
      </w:r>
      <w:proofErr w:type="spellStart"/>
      <w:r>
        <w:t>приложение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транексмовата</w:t>
      </w:r>
      <w:proofErr w:type="spellEnd"/>
      <w:r>
        <w:t xml:space="preserve"> </w:t>
      </w:r>
      <w:proofErr w:type="spellStart"/>
      <w:r>
        <w:t>киселина</w:t>
      </w:r>
      <w:proofErr w:type="spellEnd"/>
      <w:r>
        <w:t>.</w:t>
      </w:r>
    </w:p>
    <w:p w14:paraId="54AC8689" w14:textId="77777777" w:rsidR="00FC074A" w:rsidRPr="00FC074A" w:rsidRDefault="00FC074A" w:rsidP="00FC074A">
      <w:pPr>
        <w:rPr>
          <w:lang w:val="bg-BG"/>
        </w:rPr>
      </w:pPr>
    </w:p>
    <w:p w14:paraId="28C40F19" w14:textId="79B22AF4" w:rsidR="002C50EE" w:rsidRDefault="002C50EE" w:rsidP="00FC074A">
      <w:pPr>
        <w:pStyle w:val="Heading2"/>
        <w:rPr>
          <w:lang w:val="bg-BG"/>
        </w:rPr>
      </w:pPr>
      <w:r w:rsidRPr="00E62AF8">
        <w:rPr>
          <w:lang w:val="bg-BG"/>
        </w:rPr>
        <w:t>7. ПРИТЕЖАТЕЛ НА РАЗРЕШЕНИЕТО ЗА УПОТРЕБА</w:t>
      </w:r>
    </w:p>
    <w:p w14:paraId="4326D624" w14:textId="56053BB1" w:rsidR="00FC074A" w:rsidRPr="00FC074A" w:rsidRDefault="00FC074A" w:rsidP="00FC074A">
      <w:pPr>
        <w:rPr>
          <w:lang w:val="bg-BG"/>
        </w:rPr>
      </w:pPr>
      <w:proofErr w:type="spellStart"/>
      <w:r>
        <w:t>Medochemie</w:t>
      </w:r>
      <w:proofErr w:type="spellEnd"/>
      <w:r>
        <w:t xml:space="preserve"> Ltd., </w:t>
      </w:r>
      <w:r>
        <w:rPr>
          <w:lang w:val="bg-BG" w:eastAsia="bg-BG"/>
        </w:rPr>
        <w:t xml:space="preserve">1-10 </w:t>
      </w:r>
      <w:proofErr w:type="spellStart"/>
      <w:r>
        <w:t>Constantmoupoleos</w:t>
      </w:r>
      <w:proofErr w:type="spellEnd"/>
      <w:r>
        <w:t xml:space="preserve"> Str., 3011 Limassol, </w:t>
      </w:r>
      <w:r>
        <w:rPr>
          <w:lang w:val="bg-BG" w:eastAsia="bg-BG"/>
        </w:rPr>
        <w:t>Кипър</w:t>
      </w:r>
    </w:p>
    <w:p w14:paraId="04840D59" w14:textId="21CFE88B" w:rsidR="002C50EE" w:rsidRDefault="002C50EE" w:rsidP="002C50EE">
      <w:pPr>
        <w:pStyle w:val="Heading1"/>
        <w:rPr>
          <w:lang w:val="bg-BG"/>
        </w:rPr>
      </w:pPr>
      <w:r w:rsidRPr="00E62AF8">
        <w:rPr>
          <w:lang w:val="bg-BG"/>
        </w:rPr>
        <w:t>8. НОМЕР НА РАЗРЕШЕНИЕТО ЗА УПОТРЕБА</w:t>
      </w:r>
    </w:p>
    <w:p w14:paraId="4018DDE9" w14:textId="4C6A7BCC" w:rsidR="00FC074A" w:rsidRPr="00FC074A" w:rsidRDefault="00FC074A" w:rsidP="00FC074A">
      <w:pPr>
        <w:rPr>
          <w:lang w:val="bg-BG"/>
        </w:rPr>
      </w:pPr>
      <w:r>
        <w:t>Per. №: 20160156</w:t>
      </w:r>
    </w:p>
    <w:p w14:paraId="5900CBF3" w14:textId="2C1C24FE" w:rsidR="002C50EE" w:rsidRDefault="002C50EE" w:rsidP="002C50EE">
      <w:pPr>
        <w:pStyle w:val="Heading1"/>
        <w:rPr>
          <w:lang w:val="bg-BG"/>
        </w:rPr>
      </w:pPr>
      <w:r w:rsidRPr="00E62AF8">
        <w:rPr>
          <w:lang w:val="bg-BG"/>
        </w:rPr>
        <w:t>9. ДАТА НА ПЪРВО РАЗРЕШАВАНЕ/ПОДНОВЯВАНЕ НА РАЗРЕШЕНИЕТО ЗА УПОТРЕБА</w:t>
      </w:r>
    </w:p>
    <w:p w14:paraId="17519123" w14:textId="77777777" w:rsidR="00FC074A" w:rsidRPr="00FC074A" w:rsidRDefault="00FC074A" w:rsidP="00FC074A">
      <w:pPr>
        <w:rPr>
          <w:sz w:val="24"/>
          <w:szCs w:val="24"/>
          <w:lang w:val="bg-BG"/>
        </w:rPr>
      </w:pPr>
      <w:r w:rsidRPr="00FC074A">
        <w:rPr>
          <w:lang w:val="bg-BG" w:eastAsia="bg-BG"/>
        </w:rPr>
        <w:t>Дата на първо разрешаване: 12 май 2016 г.</w:t>
      </w:r>
    </w:p>
    <w:p w14:paraId="2F39B645" w14:textId="77777777" w:rsidR="00FC074A" w:rsidRPr="00FC074A" w:rsidRDefault="00FC074A" w:rsidP="00FC074A">
      <w:pPr>
        <w:rPr>
          <w:sz w:val="24"/>
          <w:szCs w:val="24"/>
          <w:lang w:val="bg-BG"/>
        </w:rPr>
      </w:pPr>
      <w:r w:rsidRPr="00FC074A">
        <w:rPr>
          <w:lang w:val="bg-BG" w:eastAsia="bg-BG"/>
        </w:rPr>
        <w:t>Дата на последно подновяване:</w:t>
      </w:r>
    </w:p>
    <w:p w14:paraId="4EC3DC9E" w14:textId="77777777" w:rsidR="00FC074A" w:rsidRPr="00FC074A" w:rsidRDefault="00FC074A" w:rsidP="00FC074A">
      <w:pPr>
        <w:rPr>
          <w:lang w:val="bg-BG"/>
        </w:rPr>
      </w:pPr>
    </w:p>
    <w:p w14:paraId="0E9D0119" w14:textId="541244A4" w:rsidR="002C50EE" w:rsidRDefault="002C50EE" w:rsidP="002C50EE">
      <w:pPr>
        <w:pStyle w:val="Heading1"/>
        <w:rPr>
          <w:lang w:val="bg-BG"/>
        </w:rPr>
      </w:pPr>
      <w:r w:rsidRPr="00E62AF8">
        <w:rPr>
          <w:lang w:val="bg-BG"/>
        </w:rPr>
        <w:t>10. ДАТА НА АКТУАЛИЗИРАНЕ НА ТЕКСТА</w:t>
      </w:r>
    </w:p>
    <w:p w14:paraId="5BE01DAB" w14:textId="6172356E" w:rsidR="00FC074A" w:rsidRPr="00FC074A" w:rsidRDefault="00FC074A" w:rsidP="00FC074A">
      <w:pPr>
        <w:rPr>
          <w:lang w:val="bg-BG"/>
        </w:rPr>
      </w:pPr>
      <w:r>
        <w:t>06/2016</w:t>
      </w:r>
    </w:p>
    <w:bookmarkEnd w:id="0"/>
    <w:p w14:paraId="383FCB10" w14:textId="77777777" w:rsidR="002C50EE" w:rsidRPr="00E62AF8" w:rsidRDefault="002C50EE" w:rsidP="002C50EE">
      <w:pPr>
        <w:rPr>
          <w:rFonts w:cs="Arial"/>
          <w:b/>
          <w:bCs/>
          <w:sz w:val="26"/>
          <w:szCs w:val="26"/>
          <w:lang w:val="bg-BG"/>
        </w:rPr>
      </w:pPr>
    </w:p>
    <w:p w14:paraId="423F4C2A" w14:textId="77777777" w:rsidR="00C87E90" w:rsidRPr="00E62AF8" w:rsidRDefault="00C87E90" w:rsidP="003E3126">
      <w:pPr>
        <w:rPr>
          <w:lang w:val="bg-BG"/>
        </w:rPr>
      </w:pPr>
    </w:p>
    <w:sectPr w:rsidR="00C87E90" w:rsidRPr="00E6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B9F81" w14:textId="77777777" w:rsidR="00C55DC5" w:rsidRDefault="00C55DC5" w:rsidP="00C55DC5">
      <w:pPr>
        <w:spacing w:line="240" w:lineRule="auto"/>
      </w:pPr>
      <w:r>
        <w:separator/>
      </w:r>
    </w:p>
  </w:endnote>
  <w:endnote w:type="continuationSeparator" w:id="0">
    <w:p w14:paraId="40FE7604" w14:textId="77777777" w:rsidR="00C55DC5" w:rsidRDefault="00C55DC5" w:rsidP="00C55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53E64" w14:textId="77777777" w:rsidR="00C55DC5" w:rsidRDefault="00C55DC5" w:rsidP="00C55DC5">
      <w:pPr>
        <w:spacing w:line="240" w:lineRule="auto"/>
      </w:pPr>
      <w:r>
        <w:separator/>
      </w:r>
    </w:p>
  </w:footnote>
  <w:footnote w:type="continuationSeparator" w:id="0">
    <w:p w14:paraId="74F262B9" w14:textId="77777777" w:rsidR="00C55DC5" w:rsidRDefault="00C55DC5" w:rsidP="00C55D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854097C"/>
    <w:multiLevelType w:val="hybridMultilevel"/>
    <w:tmpl w:val="13CA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17A54"/>
    <w:multiLevelType w:val="hybridMultilevel"/>
    <w:tmpl w:val="7D70BFEA"/>
    <w:lvl w:ilvl="0" w:tplc="F34AEA9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705CD"/>
    <w:multiLevelType w:val="hybridMultilevel"/>
    <w:tmpl w:val="BAA60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2416D53"/>
    <w:multiLevelType w:val="hybridMultilevel"/>
    <w:tmpl w:val="C05E7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6370E6"/>
    <w:multiLevelType w:val="hybridMultilevel"/>
    <w:tmpl w:val="8D4E8812"/>
    <w:lvl w:ilvl="0" w:tplc="F34AEA9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D2368"/>
    <w:multiLevelType w:val="hybridMultilevel"/>
    <w:tmpl w:val="97504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11"/>
  </w:num>
  <w:num w:numId="7">
    <w:abstractNumId w:val="8"/>
  </w:num>
  <w:num w:numId="8">
    <w:abstractNumId w:val="10"/>
  </w:num>
  <w:num w:numId="9">
    <w:abstractNumId w:val="2"/>
  </w:num>
  <w:num w:numId="10">
    <w:abstractNumId w:val="4"/>
  </w:num>
  <w:num w:numId="11">
    <w:abstractNumId w:val="15"/>
  </w:num>
  <w:num w:numId="12">
    <w:abstractNumId w:val="13"/>
  </w:num>
  <w:num w:numId="13">
    <w:abstractNumId w:val="12"/>
  </w:num>
  <w:num w:numId="14">
    <w:abstractNumId w:val="7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2083"/>
    <w:rsid w:val="00185A46"/>
    <w:rsid w:val="001D1B23"/>
    <w:rsid w:val="00216034"/>
    <w:rsid w:val="002C50EE"/>
    <w:rsid w:val="003E3126"/>
    <w:rsid w:val="00517A5B"/>
    <w:rsid w:val="00526745"/>
    <w:rsid w:val="00593A00"/>
    <w:rsid w:val="005E734F"/>
    <w:rsid w:val="006158A1"/>
    <w:rsid w:val="00617B1F"/>
    <w:rsid w:val="00672487"/>
    <w:rsid w:val="00672600"/>
    <w:rsid w:val="00681D4A"/>
    <w:rsid w:val="00685882"/>
    <w:rsid w:val="00814073"/>
    <w:rsid w:val="00826F0D"/>
    <w:rsid w:val="008C70A2"/>
    <w:rsid w:val="0096767C"/>
    <w:rsid w:val="009773E4"/>
    <w:rsid w:val="009F199B"/>
    <w:rsid w:val="00A20351"/>
    <w:rsid w:val="00A427BA"/>
    <w:rsid w:val="00AA6F25"/>
    <w:rsid w:val="00AE2107"/>
    <w:rsid w:val="00B275A8"/>
    <w:rsid w:val="00BE732D"/>
    <w:rsid w:val="00BF2600"/>
    <w:rsid w:val="00C1261B"/>
    <w:rsid w:val="00C33464"/>
    <w:rsid w:val="00C55DC5"/>
    <w:rsid w:val="00C73B38"/>
    <w:rsid w:val="00C87E90"/>
    <w:rsid w:val="00C910E8"/>
    <w:rsid w:val="00CE20EB"/>
    <w:rsid w:val="00E62AF8"/>
    <w:rsid w:val="00EB47BC"/>
    <w:rsid w:val="00EE7564"/>
    <w:rsid w:val="00F37B64"/>
    <w:rsid w:val="00FC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984B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7BA"/>
    <w:pPr>
      <w:spacing w:after="0" w:line="25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A42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5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DC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55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DC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d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2368</Words>
  <Characters>13503</Characters>
  <Application>Microsoft Office Word</Application>
  <DocSecurity>0</DocSecurity>
  <Lines>112</Lines>
  <Paragraphs>31</Paragraphs>
  <ScaleCrop>false</ScaleCrop>
  <Company/>
  <LinksUpToDate>false</LinksUpToDate>
  <CharactersWithSpaces>15840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2021-04-09T19:01:00Z</dcterms:created>
  <dcterms:modified xsi:type="dcterms:W3CDTF">2021-04-09T19:02:00Z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a77675-5364-4a28-8bd3-0390512b293d_Enabled">
    <vt:lpwstr>true</vt:lpwstr>
  </property>
  <property fmtid="{D5CDD505-2E9C-101B-9397-08002B2CF9AE}" pid="3" name="MSIP_Label_95a77675-5364-4a28-8bd3-0390512b293d_SetDate">
    <vt:lpwstr>2021-04-09T19:02:12Z</vt:lpwstr>
  </property>
  <property fmtid="{D5CDD505-2E9C-101B-9397-08002B2CF9AE}" pid="4" name="MSIP_Label_95a77675-5364-4a28-8bd3-0390512b293d_Method">
    <vt:lpwstr>Privileged</vt:lpwstr>
  </property>
  <property fmtid="{D5CDD505-2E9C-101B-9397-08002B2CF9AE}" pid="5" name="MSIP_Label_95a77675-5364-4a28-8bd3-0390512b293d_Name">
    <vt:lpwstr>Public</vt:lpwstr>
  </property>
  <property fmtid="{D5CDD505-2E9C-101B-9397-08002B2CF9AE}" pid="6" name="MSIP_Label_95a77675-5364-4a28-8bd3-0390512b293d_SiteId">
    <vt:lpwstr>6c7fadf5-6b9d-485a-85cb-f8112e9720ec</vt:lpwstr>
  </property>
  <property fmtid="{D5CDD505-2E9C-101B-9397-08002B2CF9AE}" pid="7" name="MSIP_Label_95a77675-5364-4a28-8bd3-0390512b293d_ActionId">
    <vt:lpwstr>1743da54-4710-4f79-89d3-4846b4ae1601</vt:lpwstr>
  </property>
  <property fmtid="{D5CDD505-2E9C-101B-9397-08002B2CF9AE}" pid="8" name="MSIP_Label_95a77675-5364-4a28-8bd3-0390512b293d_ContentBits">
    <vt:lpwstr>0</vt:lpwstr>
  </property>
</Properties>
</file>