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6A6663A0" w:rsidR="009F77A4" w:rsidRDefault="00DD466D" w:rsidP="00387A66">
      <w:pPr>
        <w:pStyle w:val="Heading1"/>
      </w:pPr>
      <w:r>
        <w:t>1.ИМЕ НА ЛЕКАРСТВЕНИЯ ПРОДУКТ</w:t>
      </w:r>
    </w:p>
    <w:p w14:paraId="7508EBA1" w14:textId="72447F03" w:rsidR="00FB73BD" w:rsidRDefault="00FB73BD" w:rsidP="00FB73BD"/>
    <w:p w14:paraId="2C0858F1" w14:textId="77777777" w:rsidR="00FB73BD" w:rsidRPr="00FB73BD" w:rsidRDefault="00FB73BD" w:rsidP="00FB73BD">
      <w:pPr>
        <w:rPr>
          <w:sz w:val="24"/>
          <w:szCs w:val="24"/>
          <w:lang w:val="en-US" w:eastAsia="bg-BG"/>
        </w:rPr>
      </w:pPr>
      <w:r w:rsidRPr="00FB73BD">
        <w:rPr>
          <w:lang w:eastAsia="bg-BG"/>
        </w:rPr>
        <w:t xml:space="preserve">Медоцеф 1 </w:t>
      </w:r>
      <w:r w:rsidRPr="00FB73BD">
        <w:rPr>
          <w:lang w:val="en-US"/>
        </w:rPr>
        <w:t xml:space="preserve">g </w:t>
      </w:r>
      <w:r w:rsidRPr="00FB73BD">
        <w:rPr>
          <w:lang w:eastAsia="bg-BG"/>
        </w:rPr>
        <w:t>прах за инжекционен разтвор</w:t>
      </w:r>
    </w:p>
    <w:p w14:paraId="5748EFC3" w14:textId="77777777" w:rsidR="00FB73BD" w:rsidRPr="00FB73BD" w:rsidRDefault="00FB73BD" w:rsidP="00FB73BD">
      <w:pPr>
        <w:rPr>
          <w:sz w:val="24"/>
          <w:szCs w:val="24"/>
          <w:lang w:val="en-US" w:eastAsia="bg-BG"/>
        </w:rPr>
      </w:pPr>
      <w:proofErr w:type="spellStart"/>
      <w:r w:rsidRPr="00FB73BD">
        <w:rPr>
          <w:lang w:val="en-US"/>
        </w:rPr>
        <w:t>Medocef</w:t>
      </w:r>
      <w:proofErr w:type="spellEnd"/>
      <w:r w:rsidRPr="00FB73BD">
        <w:rPr>
          <w:lang w:val="en-US"/>
        </w:rPr>
        <w:t xml:space="preserve"> </w:t>
      </w:r>
      <w:r w:rsidRPr="00FB73BD">
        <w:rPr>
          <w:lang w:eastAsia="bg-BG"/>
        </w:rPr>
        <w:t xml:space="preserve">1 </w:t>
      </w:r>
      <w:r w:rsidRPr="00FB73BD">
        <w:rPr>
          <w:lang w:val="en-US"/>
        </w:rPr>
        <w:t>g powder for solution for injection</w:t>
      </w:r>
    </w:p>
    <w:p w14:paraId="1704E4EA" w14:textId="77777777" w:rsidR="00FB73BD" w:rsidRDefault="00FB73BD" w:rsidP="00FB73BD">
      <w:pPr>
        <w:rPr>
          <w:lang w:eastAsia="bg-BG"/>
        </w:rPr>
      </w:pPr>
    </w:p>
    <w:p w14:paraId="103715AF" w14:textId="77777777" w:rsidR="00FB73BD" w:rsidRDefault="00FB73BD" w:rsidP="00FB73BD">
      <w:pPr>
        <w:rPr>
          <w:lang w:eastAsia="bg-BG"/>
        </w:rPr>
      </w:pPr>
      <w:r w:rsidRPr="00FB73BD">
        <w:rPr>
          <w:lang w:eastAsia="bg-BG"/>
        </w:rPr>
        <w:t xml:space="preserve">Медоцеф </w:t>
      </w:r>
      <w:r w:rsidRPr="00FB73BD">
        <w:rPr>
          <w:lang w:val="en-US"/>
        </w:rPr>
        <w:t xml:space="preserve">2 g </w:t>
      </w:r>
      <w:r w:rsidRPr="00FB73BD">
        <w:rPr>
          <w:lang w:eastAsia="bg-BG"/>
        </w:rPr>
        <w:t xml:space="preserve">прах за инжекционен разтвор </w:t>
      </w:r>
    </w:p>
    <w:p w14:paraId="48C99C49" w14:textId="618D9918" w:rsidR="00FB73BD" w:rsidRPr="00FB73BD" w:rsidRDefault="00FB73BD" w:rsidP="00FB73BD">
      <w:proofErr w:type="spellStart"/>
      <w:r w:rsidRPr="00FB73BD">
        <w:rPr>
          <w:lang w:val="en-US"/>
        </w:rPr>
        <w:t>Medocef</w:t>
      </w:r>
      <w:proofErr w:type="spellEnd"/>
      <w:r w:rsidRPr="00FB73BD">
        <w:rPr>
          <w:lang w:val="en-US"/>
        </w:rPr>
        <w:t xml:space="preserve"> </w:t>
      </w:r>
      <w:r w:rsidRPr="00FB73BD">
        <w:rPr>
          <w:lang w:eastAsia="bg-BG"/>
        </w:rPr>
        <w:t xml:space="preserve">2 </w:t>
      </w:r>
      <w:r w:rsidRPr="00FB73BD">
        <w:rPr>
          <w:lang w:val="en-US"/>
        </w:rPr>
        <w:t>g powder for solution for injection</w:t>
      </w:r>
    </w:p>
    <w:p w14:paraId="0DF202EC" w14:textId="2C47A235" w:rsidR="00F53FB7" w:rsidRDefault="00DD466D" w:rsidP="00A93499">
      <w:pPr>
        <w:pStyle w:val="Heading1"/>
      </w:pPr>
      <w:r>
        <w:t>2. КАЧЕСТВЕН И КОЛИЧЕСТВЕН СЪСТАВ</w:t>
      </w:r>
    </w:p>
    <w:p w14:paraId="5326979B" w14:textId="0A92F2AC" w:rsidR="00FB73BD" w:rsidRDefault="00FB73BD" w:rsidP="00FB73BD"/>
    <w:p w14:paraId="7BC8CBF2" w14:textId="77777777" w:rsidR="00FB73BD" w:rsidRPr="00FB73BD" w:rsidRDefault="00FB73BD" w:rsidP="00FB73BD">
      <w:pPr>
        <w:spacing w:line="240" w:lineRule="auto"/>
        <w:rPr>
          <w:rFonts w:eastAsia="Times New Roman" w:cs="Arial"/>
          <w:lang w:eastAsia="bg-BG"/>
        </w:rPr>
      </w:pPr>
      <w:r w:rsidRPr="00FB73BD">
        <w:rPr>
          <w:rFonts w:eastAsia="Times New Roman" w:cs="Arial"/>
          <w:color w:val="000000"/>
          <w:lang w:eastAsia="bg-BG"/>
        </w:rPr>
        <w:t xml:space="preserve">Всеки флакон съдържа 1 </w:t>
      </w:r>
      <w:r w:rsidRPr="00FB73BD">
        <w:rPr>
          <w:rFonts w:eastAsia="Times New Roman" w:cs="Arial"/>
          <w:color w:val="000000"/>
          <w:lang w:val="en-US"/>
        </w:rPr>
        <w:t xml:space="preserve">g </w:t>
      </w:r>
      <w:r w:rsidRPr="00FB73BD">
        <w:rPr>
          <w:rFonts w:eastAsia="Times New Roman" w:cs="Arial"/>
          <w:color w:val="000000"/>
          <w:lang w:eastAsia="bg-BG"/>
        </w:rPr>
        <w:t xml:space="preserve">или 2 </w:t>
      </w:r>
      <w:r w:rsidRPr="00FB73BD">
        <w:rPr>
          <w:rFonts w:eastAsia="Times New Roman" w:cs="Arial"/>
          <w:color w:val="000000"/>
          <w:lang w:val="en-US"/>
        </w:rPr>
        <w:t xml:space="preserve">g </w:t>
      </w:r>
      <w:r w:rsidRPr="00FB73BD">
        <w:rPr>
          <w:rFonts w:eastAsia="Times New Roman" w:cs="Arial"/>
          <w:color w:val="000000"/>
          <w:lang w:eastAsia="bg-BG"/>
        </w:rPr>
        <w:t xml:space="preserve">цефоперазон </w:t>
      </w:r>
      <w:r w:rsidRPr="00FB73BD">
        <w:rPr>
          <w:rFonts w:eastAsia="Times New Roman" w:cs="Arial"/>
          <w:i/>
          <w:iCs/>
          <w:color w:val="000000"/>
          <w:lang w:val="en-US"/>
        </w:rPr>
        <w:t>(</w:t>
      </w:r>
      <w:proofErr w:type="spellStart"/>
      <w:r w:rsidRPr="00FB73BD">
        <w:rPr>
          <w:rFonts w:eastAsia="Times New Roman" w:cs="Arial"/>
          <w:i/>
          <w:iCs/>
          <w:color w:val="000000"/>
          <w:lang w:val="en-US"/>
        </w:rPr>
        <w:t>cefoperazone</w:t>
      </w:r>
      <w:proofErr w:type="spellEnd"/>
      <w:r w:rsidRPr="00FB73BD">
        <w:rPr>
          <w:rFonts w:eastAsia="Times New Roman" w:cs="Arial"/>
          <w:i/>
          <w:iCs/>
          <w:color w:val="000000"/>
          <w:lang w:val="en-US"/>
        </w:rPr>
        <w:t>)</w:t>
      </w:r>
      <w:r w:rsidRPr="00FB73BD">
        <w:rPr>
          <w:rFonts w:eastAsia="Times New Roman" w:cs="Arial"/>
          <w:color w:val="000000"/>
          <w:lang w:val="en-US"/>
        </w:rPr>
        <w:t xml:space="preserve"> </w:t>
      </w:r>
      <w:r w:rsidRPr="00FB73BD">
        <w:rPr>
          <w:rFonts w:eastAsia="Times New Roman" w:cs="Arial"/>
          <w:color w:val="000000"/>
          <w:lang w:eastAsia="bg-BG"/>
        </w:rPr>
        <w:t xml:space="preserve">като цефоперазон натрий </w:t>
      </w:r>
      <w:r w:rsidRPr="00FB73BD">
        <w:rPr>
          <w:rFonts w:eastAsia="Times New Roman" w:cs="Arial"/>
          <w:i/>
          <w:iCs/>
          <w:color w:val="000000"/>
          <w:lang w:val="en-US"/>
        </w:rPr>
        <w:t>(</w:t>
      </w:r>
      <w:proofErr w:type="spellStart"/>
      <w:r w:rsidRPr="00FB73BD">
        <w:rPr>
          <w:rFonts w:eastAsia="Times New Roman" w:cs="Arial"/>
          <w:i/>
          <w:iCs/>
          <w:color w:val="000000"/>
          <w:lang w:val="en-US"/>
        </w:rPr>
        <w:t>cefoperazone</w:t>
      </w:r>
      <w:proofErr w:type="spellEnd"/>
      <w:r w:rsidRPr="00FB73BD">
        <w:rPr>
          <w:rFonts w:eastAsia="Times New Roman" w:cs="Arial"/>
          <w:i/>
          <w:iCs/>
          <w:color w:val="000000"/>
          <w:lang w:val="en-US"/>
        </w:rPr>
        <w:t xml:space="preserve"> sodium).</w:t>
      </w:r>
    </w:p>
    <w:p w14:paraId="137C8356" w14:textId="77777777" w:rsidR="00FB73BD" w:rsidRPr="00FB73BD" w:rsidRDefault="00FB73BD" w:rsidP="00FB73BD">
      <w:pPr>
        <w:spacing w:line="240" w:lineRule="auto"/>
        <w:rPr>
          <w:rFonts w:eastAsia="Times New Roman" w:cs="Arial"/>
          <w:color w:val="000000"/>
          <w:u w:val="single"/>
          <w:lang w:eastAsia="bg-BG"/>
        </w:rPr>
      </w:pPr>
    </w:p>
    <w:p w14:paraId="6144EE22" w14:textId="6E71815B" w:rsidR="00FB73BD" w:rsidRPr="00FB73BD" w:rsidRDefault="00FB73BD" w:rsidP="00FB73BD">
      <w:pPr>
        <w:spacing w:line="240" w:lineRule="auto"/>
        <w:rPr>
          <w:rFonts w:eastAsia="Times New Roman" w:cs="Arial"/>
          <w:lang w:eastAsia="bg-BG"/>
        </w:rPr>
      </w:pPr>
      <w:r w:rsidRPr="00FB73BD">
        <w:rPr>
          <w:rFonts w:eastAsia="Times New Roman" w:cs="Arial"/>
          <w:color w:val="000000"/>
          <w:u w:val="single"/>
          <w:lang w:eastAsia="bg-BG"/>
        </w:rPr>
        <w:t>Помощно вещество с известно действие: натрий.</w:t>
      </w:r>
    </w:p>
    <w:p w14:paraId="2C708BDC" w14:textId="77777777" w:rsidR="00FB73BD" w:rsidRPr="00FB73BD" w:rsidRDefault="00FB73BD" w:rsidP="00FB73BD">
      <w:pPr>
        <w:spacing w:line="240" w:lineRule="auto"/>
        <w:rPr>
          <w:rFonts w:eastAsia="Times New Roman" w:cs="Arial"/>
          <w:lang w:eastAsia="bg-BG"/>
        </w:rPr>
      </w:pPr>
      <w:r w:rsidRPr="00FB73BD">
        <w:rPr>
          <w:rFonts w:eastAsia="Times New Roman" w:cs="Arial"/>
          <w:color w:val="000000"/>
          <w:lang w:eastAsia="bg-BG"/>
        </w:rPr>
        <w:t xml:space="preserve">Всеки флакон от 1 </w:t>
      </w:r>
      <w:r w:rsidRPr="00FB73BD">
        <w:rPr>
          <w:rFonts w:eastAsia="Times New Roman" w:cs="Arial"/>
          <w:color w:val="000000"/>
          <w:lang w:val="en-US"/>
        </w:rPr>
        <w:t xml:space="preserve">g </w:t>
      </w:r>
      <w:r w:rsidRPr="00FB73BD">
        <w:rPr>
          <w:rFonts w:eastAsia="Times New Roman" w:cs="Arial"/>
          <w:color w:val="000000"/>
          <w:lang w:eastAsia="bg-BG"/>
        </w:rPr>
        <w:t xml:space="preserve">съдържа 34,4 </w:t>
      </w:r>
      <w:r w:rsidRPr="00FB73BD">
        <w:rPr>
          <w:rFonts w:eastAsia="Times New Roman" w:cs="Arial"/>
          <w:color w:val="000000"/>
          <w:lang w:val="en-US"/>
        </w:rPr>
        <w:t xml:space="preserve">mg </w:t>
      </w:r>
      <w:r w:rsidRPr="00FB73BD">
        <w:rPr>
          <w:rFonts w:eastAsia="Times New Roman" w:cs="Arial"/>
          <w:color w:val="000000"/>
          <w:lang w:eastAsia="bg-BG"/>
        </w:rPr>
        <w:t>натрий.</w:t>
      </w:r>
    </w:p>
    <w:p w14:paraId="74B233E9" w14:textId="77777777" w:rsidR="00FB73BD" w:rsidRPr="00FB73BD" w:rsidRDefault="00FB73BD" w:rsidP="00FB73BD">
      <w:pPr>
        <w:spacing w:line="240" w:lineRule="auto"/>
        <w:rPr>
          <w:rFonts w:eastAsia="Times New Roman" w:cs="Arial"/>
          <w:lang w:eastAsia="bg-BG"/>
        </w:rPr>
      </w:pPr>
      <w:r w:rsidRPr="00FB73BD">
        <w:rPr>
          <w:rFonts w:eastAsia="Times New Roman" w:cs="Arial"/>
          <w:color w:val="000000"/>
          <w:lang w:eastAsia="bg-BG"/>
        </w:rPr>
        <w:t xml:space="preserve">Всеки флакон от 2 </w:t>
      </w:r>
      <w:r w:rsidRPr="00FB73BD">
        <w:rPr>
          <w:rFonts w:eastAsia="Times New Roman" w:cs="Arial"/>
          <w:color w:val="000000"/>
          <w:lang w:val="en-US"/>
        </w:rPr>
        <w:t xml:space="preserve">g </w:t>
      </w:r>
      <w:r w:rsidRPr="00FB73BD">
        <w:rPr>
          <w:rFonts w:eastAsia="Times New Roman" w:cs="Arial"/>
          <w:color w:val="000000"/>
          <w:lang w:eastAsia="bg-BG"/>
        </w:rPr>
        <w:t xml:space="preserve">съдържа 68,8 </w:t>
      </w:r>
      <w:r w:rsidRPr="00FB73BD">
        <w:rPr>
          <w:rFonts w:eastAsia="Times New Roman" w:cs="Arial"/>
          <w:color w:val="000000"/>
          <w:lang w:val="en-US"/>
        </w:rPr>
        <w:t xml:space="preserve">mg </w:t>
      </w:r>
      <w:r w:rsidRPr="00FB73BD">
        <w:rPr>
          <w:rFonts w:eastAsia="Times New Roman" w:cs="Arial"/>
          <w:color w:val="000000"/>
          <w:lang w:eastAsia="bg-BG"/>
        </w:rPr>
        <w:t>натрий.</w:t>
      </w:r>
    </w:p>
    <w:p w14:paraId="42747066" w14:textId="77777777" w:rsidR="00FB73BD" w:rsidRPr="00FB73BD" w:rsidRDefault="00FB73BD" w:rsidP="00FB73BD">
      <w:pPr>
        <w:rPr>
          <w:rFonts w:cs="Arial"/>
        </w:rPr>
      </w:pPr>
    </w:p>
    <w:p w14:paraId="4CABB9ED" w14:textId="0BFF5966" w:rsidR="00F53FB7" w:rsidRDefault="00DD466D" w:rsidP="00A93499">
      <w:pPr>
        <w:pStyle w:val="Heading1"/>
      </w:pPr>
      <w:r>
        <w:t>3. ЛЕКАРСТВЕНА ФОРМА</w:t>
      </w:r>
    </w:p>
    <w:p w14:paraId="5E154252" w14:textId="709E1A54" w:rsidR="00FB73BD" w:rsidRDefault="00FB73BD" w:rsidP="00FB73BD"/>
    <w:p w14:paraId="1B165485" w14:textId="77777777" w:rsidR="00FB73BD" w:rsidRPr="00FB73BD" w:rsidRDefault="00FB73BD" w:rsidP="00FB73BD">
      <w:pPr>
        <w:rPr>
          <w:sz w:val="24"/>
          <w:szCs w:val="24"/>
          <w:lang w:eastAsia="bg-BG"/>
        </w:rPr>
      </w:pPr>
      <w:r w:rsidRPr="00FB73BD">
        <w:rPr>
          <w:lang w:eastAsia="bg-BG"/>
        </w:rPr>
        <w:t>Прах за инжекционен разтвор.</w:t>
      </w:r>
    </w:p>
    <w:p w14:paraId="7C6500D9" w14:textId="42B52771" w:rsidR="00FB73BD" w:rsidRPr="00FB73BD" w:rsidRDefault="00FB73BD" w:rsidP="00FB73BD">
      <w:r w:rsidRPr="00FB73BD">
        <w:rPr>
          <w:lang w:eastAsia="bg-BG"/>
        </w:rPr>
        <w:t>Бял до светло жълт хигроскопичен прах.</w:t>
      </w:r>
    </w:p>
    <w:p w14:paraId="490FC2C4" w14:textId="6899DE43" w:rsidR="002C50EE" w:rsidRDefault="002C50EE" w:rsidP="002C50EE">
      <w:pPr>
        <w:pStyle w:val="Heading1"/>
      </w:pPr>
      <w:r>
        <w:t>4. КЛИНИЧНИ ДАННИ</w:t>
      </w:r>
    </w:p>
    <w:p w14:paraId="461901E4" w14:textId="4AB24E43" w:rsidR="009F77A4" w:rsidRDefault="002C50EE" w:rsidP="00387A66">
      <w:pPr>
        <w:pStyle w:val="Heading2"/>
      </w:pPr>
      <w:r>
        <w:t>4.1. Терапевтични показания</w:t>
      </w:r>
    </w:p>
    <w:p w14:paraId="35714891" w14:textId="55F9AF8D" w:rsidR="00FB73BD" w:rsidRDefault="00FB73BD" w:rsidP="00FB73BD"/>
    <w:p w14:paraId="20C4290C" w14:textId="77777777" w:rsidR="00FB73BD" w:rsidRPr="00FB73BD" w:rsidRDefault="00FB73BD" w:rsidP="00FB73BD">
      <w:pPr>
        <w:spacing w:line="240" w:lineRule="auto"/>
        <w:rPr>
          <w:rFonts w:eastAsia="Times New Roman" w:cs="Arial"/>
          <w:lang w:eastAsia="bg-BG"/>
        </w:rPr>
      </w:pPr>
      <w:bookmarkStart w:id="1" w:name="bookmark0"/>
      <w:r w:rsidRPr="00FB73BD">
        <w:rPr>
          <w:rFonts w:eastAsia="Times New Roman" w:cs="Arial"/>
          <w:b/>
          <w:bCs/>
          <w:color w:val="000000"/>
          <w:lang w:eastAsia="bg-BG"/>
        </w:rPr>
        <w:t>Монотерапия</w:t>
      </w:r>
      <w:bookmarkEnd w:id="1"/>
    </w:p>
    <w:p w14:paraId="2067789E" w14:textId="77777777" w:rsidR="00FB73BD" w:rsidRPr="00FB73BD" w:rsidRDefault="00FB73BD" w:rsidP="00FB73BD">
      <w:pPr>
        <w:spacing w:line="240" w:lineRule="auto"/>
        <w:rPr>
          <w:rFonts w:eastAsia="Times New Roman" w:cs="Arial"/>
          <w:lang w:eastAsia="bg-BG"/>
        </w:rPr>
      </w:pPr>
      <w:r w:rsidRPr="00FB73BD">
        <w:rPr>
          <w:rFonts w:eastAsia="Times New Roman" w:cs="Arial"/>
          <w:color w:val="000000"/>
          <w:lang w:eastAsia="bg-BG"/>
        </w:rPr>
        <w:t>Цефоперазон е показан за лечение на следните инфекции, причинени от чувствителни към него микроорганизми:</w:t>
      </w:r>
    </w:p>
    <w:p w14:paraId="02341172" w14:textId="77777777" w:rsidR="00FB73BD" w:rsidRDefault="00FB73BD" w:rsidP="00FB73BD">
      <w:pPr>
        <w:pStyle w:val="ListParagraph"/>
        <w:numPr>
          <w:ilvl w:val="0"/>
          <w:numId w:val="40"/>
        </w:numPr>
        <w:spacing w:line="240" w:lineRule="auto"/>
        <w:rPr>
          <w:rFonts w:eastAsia="Times New Roman" w:cs="Arial"/>
          <w:color w:val="000000"/>
          <w:lang w:eastAsia="bg-BG"/>
        </w:rPr>
      </w:pPr>
      <w:r w:rsidRPr="00FB73BD">
        <w:rPr>
          <w:rFonts w:eastAsia="Times New Roman" w:cs="Arial"/>
          <w:color w:val="000000"/>
          <w:lang w:eastAsia="bg-BG"/>
        </w:rPr>
        <w:t>Инфекции на дихателните пътища (горни и долни);</w:t>
      </w:r>
    </w:p>
    <w:p w14:paraId="26BC4460" w14:textId="77777777" w:rsidR="00FB73BD" w:rsidRDefault="00FB73BD" w:rsidP="00FB73BD">
      <w:pPr>
        <w:pStyle w:val="ListParagraph"/>
        <w:numPr>
          <w:ilvl w:val="0"/>
          <w:numId w:val="40"/>
        </w:numPr>
        <w:spacing w:line="240" w:lineRule="auto"/>
        <w:rPr>
          <w:rFonts w:eastAsia="Times New Roman" w:cs="Arial"/>
          <w:color w:val="000000"/>
          <w:lang w:eastAsia="bg-BG"/>
        </w:rPr>
      </w:pPr>
      <w:r w:rsidRPr="00FB73BD">
        <w:rPr>
          <w:rFonts w:eastAsia="Times New Roman" w:cs="Arial"/>
          <w:color w:val="000000"/>
          <w:lang w:eastAsia="bg-BG"/>
        </w:rPr>
        <w:t>Инфекции на пикочните пътища (горни и долни);</w:t>
      </w:r>
    </w:p>
    <w:p w14:paraId="35C4585D" w14:textId="77777777" w:rsidR="00FB73BD" w:rsidRDefault="00FB73BD" w:rsidP="00FB73BD">
      <w:pPr>
        <w:pStyle w:val="ListParagraph"/>
        <w:numPr>
          <w:ilvl w:val="0"/>
          <w:numId w:val="40"/>
        </w:numPr>
        <w:spacing w:line="240" w:lineRule="auto"/>
        <w:rPr>
          <w:rFonts w:eastAsia="Times New Roman" w:cs="Arial"/>
          <w:color w:val="000000"/>
          <w:lang w:eastAsia="bg-BG"/>
        </w:rPr>
      </w:pPr>
      <w:r w:rsidRPr="00FB73BD">
        <w:rPr>
          <w:rFonts w:eastAsia="Times New Roman" w:cs="Arial"/>
          <w:color w:val="000000"/>
          <w:lang w:eastAsia="bg-BG"/>
        </w:rPr>
        <w:t>Перитонит, холецистит, холангит и други интраабдоминални инфекции;</w:t>
      </w:r>
    </w:p>
    <w:p w14:paraId="2ABD60C3" w14:textId="77777777" w:rsidR="00FB73BD" w:rsidRDefault="00FB73BD" w:rsidP="00FB73BD">
      <w:pPr>
        <w:pStyle w:val="ListParagraph"/>
        <w:numPr>
          <w:ilvl w:val="0"/>
          <w:numId w:val="40"/>
        </w:numPr>
        <w:spacing w:line="240" w:lineRule="auto"/>
        <w:rPr>
          <w:rFonts w:eastAsia="Times New Roman" w:cs="Arial"/>
          <w:color w:val="000000"/>
          <w:lang w:eastAsia="bg-BG"/>
        </w:rPr>
      </w:pPr>
      <w:r w:rsidRPr="00FB73BD">
        <w:rPr>
          <w:rFonts w:eastAsia="Times New Roman" w:cs="Arial"/>
          <w:color w:val="000000"/>
          <w:lang w:eastAsia="bg-BG"/>
        </w:rPr>
        <w:t>Септицемия;</w:t>
      </w:r>
    </w:p>
    <w:p w14:paraId="4836B6AA" w14:textId="77777777" w:rsidR="00FB73BD" w:rsidRDefault="00FB73BD" w:rsidP="00FB73BD">
      <w:pPr>
        <w:pStyle w:val="ListParagraph"/>
        <w:numPr>
          <w:ilvl w:val="0"/>
          <w:numId w:val="40"/>
        </w:numPr>
        <w:spacing w:line="240" w:lineRule="auto"/>
        <w:rPr>
          <w:rFonts w:eastAsia="Times New Roman" w:cs="Arial"/>
          <w:color w:val="000000"/>
          <w:lang w:eastAsia="bg-BG"/>
        </w:rPr>
      </w:pPr>
      <w:r w:rsidRPr="00FB73BD">
        <w:rPr>
          <w:rFonts w:eastAsia="Times New Roman" w:cs="Arial"/>
          <w:color w:val="000000"/>
          <w:lang w:eastAsia="bg-BG"/>
        </w:rPr>
        <w:t>Менингит;</w:t>
      </w:r>
    </w:p>
    <w:p w14:paraId="29D93742" w14:textId="77777777" w:rsidR="00FB73BD" w:rsidRDefault="00FB73BD" w:rsidP="00FB73BD">
      <w:pPr>
        <w:pStyle w:val="ListParagraph"/>
        <w:numPr>
          <w:ilvl w:val="0"/>
          <w:numId w:val="40"/>
        </w:numPr>
        <w:spacing w:line="240" w:lineRule="auto"/>
        <w:rPr>
          <w:rFonts w:eastAsia="Times New Roman" w:cs="Arial"/>
          <w:color w:val="000000"/>
          <w:lang w:eastAsia="bg-BG"/>
        </w:rPr>
      </w:pPr>
      <w:r w:rsidRPr="00FB73BD">
        <w:rPr>
          <w:rFonts w:eastAsia="Times New Roman" w:cs="Arial"/>
          <w:color w:val="000000"/>
          <w:lang w:eastAsia="bg-BG"/>
        </w:rPr>
        <w:t>Инфекции на кожата и меките тъкани;</w:t>
      </w:r>
    </w:p>
    <w:p w14:paraId="495C41D9" w14:textId="77777777" w:rsidR="00FB73BD" w:rsidRDefault="00FB73BD" w:rsidP="00FB73BD">
      <w:pPr>
        <w:pStyle w:val="ListParagraph"/>
        <w:numPr>
          <w:ilvl w:val="0"/>
          <w:numId w:val="40"/>
        </w:numPr>
        <w:spacing w:line="240" w:lineRule="auto"/>
        <w:rPr>
          <w:rFonts w:eastAsia="Times New Roman" w:cs="Arial"/>
          <w:color w:val="000000"/>
          <w:lang w:eastAsia="bg-BG"/>
        </w:rPr>
      </w:pPr>
      <w:r w:rsidRPr="00FB73BD">
        <w:rPr>
          <w:rFonts w:eastAsia="Times New Roman" w:cs="Arial"/>
          <w:color w:val="000000"/>
          <w:lang w:eastAsia="bg-BG"/>
        </w:rPr>
        <w:t>Инфекции на костите и ставите;</w:t>
      </w:r>
    </w:p>
    <w:p w14:paraId="2458B9A4" w14:textId="7DD0ABD0" w:rsidR="00FB73BD" w:rsidRPr="00FB73BD" w:rsidRDefault="00FB73BD" w:rsidP="00FB73BD">
      <w:pPr>
        <w:pStyle w:val="ListParagraph"/>
        <w:numPr>
          <w:ilvl w:val="0"/>
          <w:numId w:val="40"/>
        </w:numPr>
        <w:spacing w:line="240" w:lineRule="auto"/>
        <w:rPr>
          <w:rFonts w:eastAsia="Times New Roman" w:cs="Arial"/>
          <w:color w:val="000000"/>
          <w:lang w:eastAsia="bg-BG"/>
        </w:rPr>
      </w:pPr>
      <w:r w:rsidRPr="00FB73BD">
        <w:rPr>
          <w:rFonts w:eastAsia="Times New Roman" w:cs="Arial"/>
          <w:color w:val="000000"/>
          <w:lang w:eastAsia="bg-BG"/>
        </w:rPr>
        <w:t>Тазово-възпалителна болест, ендометрит, гонорея и други инфекции на гениталния тракт.</w:t>
      </w:r>
    </w:p>
    <w:p w14:paraId="4C6FE5B8" w14:textId="77777777" w:rsidR="00FB73BD" w:rsidRDefault="00FB73BD" w:rsidP="00FB73BD">
      <w:pPr>
        <w:spacing w:line="240" w:lineRule="auto"/>
        <w:rPr>
          <w:rFonts w:eastAsia="Times New Roman" w:cs="Arial"/>
          <w:b/>
          <w:bCs/>
          <w:color w:val="000000"/>
          <w:lang w:eastAsia="bg-BG"/>
        </w:rPr>
      </w:pPr>
      <w:bookmarkStart w:id="2" w:name="bookmark2"/>
    </w:p>
    <w:p w14:paraId="7AD67EAC" w14:textId="58B5AB0D" w:rsidR="00FB73BD" w:rsidRPr="00FB73BD" w:rsidRDefault="00FB73BD" w:rsidP="00FB73BD">
      <w:pPr>
        <w:spacing w:line="240" w:lineRule="auto"/>
        <w:rPr>
          <w:rFonts w:eastAsia="Times New Roman" w:cs="Arial"/>
          <w:lang w:eastAsia="bg-BG"/>
        </w:rPr>
      </w:pPr>
      <w:r w:rsidRPr="00FB73BD">
        <w:rPr>
          <w:rFonts w:eastAsia="Times New Roman" w:cs="Arial"/>
          <w:b/>
          <w:bCs/>
          <w:color w:val="000000"/>
          <w:lang w:eastAsia="bg-BG"/>
        </w:rPr>
        <w:t>Профилактика</w:t>
      </w:r>
      <w:bookmarkEnd w:id="2"/>
    </w:p>
    <w:p w14:paraId="11C6923C" w14:textId="77777777" w:rsidR="00FB73BD" w:rsidRPr="00FB73BD" w:rsidRDefault="00FB73BD" w:rsidP="00FB73BD">
      <w:pPr>
        <w:spacing w:line="240" w:lineRule="auto"/>
        <w:rPr>
          <w:rFonts w:eastAsia="Times New Roman" w:cs="Arial"/>
          <w:lang w:eastAsia="bg-BG"/>
        </w:rPr>
      </w:pPr>
      <w:r w:rsidRPr="00FB73BD">
        <w:rPr>
          <w:rFonts w:eastAsia="Times New Roman" w:cs="Arial"/>
          <w:color w:val="000000"/>
          <w:lang w:eastAsia="bg-BG"/>
        </w:rPr>
        <w:t>Цефоперазон може да бъде показан за профилактика на постоперативни инфекции при пациенти, подложени на коремни, гинекологични, сърдечно-съдови и ортопедични операции.</w:t>
      </w:r>
    </w:p>
    <w:p w14:paraId="71998D76" w14:textId="77777777" w:rsidR="00FB73BD" w:rsidRDefault="00FB73BD" w:rsidP="00FB73BD">
      <w:pPr>
        <w:spacing w:line="240" w:lineRule="auto"/>
        <w:rPr>
          <w:rFonts w:eastAsia="Times New Roman" w:cs="Arial"/>
          <w:b/>
          <w:bCs/>
          <w:color w:val="000000"/>
          <w:lang w:eastAsia="bg-BG"/>
        </w:rPr>
      </w:pPr>
      <w:bookmarkStart w:id="3" w:name="bookmark4"/>
    </w:p>
    <w:p w14:paraId="09E4C41E" w14:textId="7BCC8F12" w:rsidR="00FB73BD" w:rsidRPr="00FB73BD" w:rsidRDefault="00FB73BD" w:rsidP="00FB73BD">
      <w:pPr>
        <w:spacing w:line="240" w:lineRule="auto"/>
        <w:rPr>
          <w:rFonts w:eastAsia="Times New Roman" w:cs="Arial"/>
          <w:lang w:eastAsia="bg-BG"/>
        </w:rPr>
      </w:pPr>
      <w:r w:rsidRPr="00FB73BD">
        <w:rPr>
          <w:rFonts w:eastAsia="Times New Roman" w:cs="Arial"/>
          <w:b/>
          <w:bCs/>
          <w:color w:val="000000"/>
          <w:lang w:eastAsia="bg-BG"/>
        </w:rPr>
        <w:t>Комбинирана терапия</w:t>
      </w:r>
      <w:bookmarkEnd w:id="3"/>
    </w:p>
    <w:p w14:paraId="28446ED8" w14:textId="77777777" w:rsidR="00FB73BD" w:rsidRPr="00FB73BD" w:rsidRDefault="00FB73BD" w:rsidP="00FB73BD">
      <w:pPr>
        <w:spacing w:line="240" w:lineRule="auto"/>
        <w:rPr>
          <w:rFonts w:eastAsia="Times New Roman" w:cs="Arial"/>
          <w:lang w:eastAsia="bg-BG"/>
        </w:rPr>
      </w:pPr>
      <w:r w:rsidRPr="00FB73BD">
        <w:rPr>
          <w:rFonts w:eastAsia="Times New Roman" w:cs="Arial"/>
          <w:color w:val="000000"/>
          <w:lang w:eastAsia="bg-BG"/>
        </w:rPr>
        <w:t>Поради широкия спектър на активност на цефоперазон, повечето инфекции могат да бъдат лекувани адекватно само с този антибиотик. Въпреки това, цефоперазон може да бъде прилаган в комбинация с други антибиотици, когато такива комбинации са показани. Ако трябва да се прилага едновременно с аминогликозид, то по време на лечението трябва да се</w:t>
      </w:r>
      <w:r w:rsidRPr="00FB73BD">
        <w:rPr>
          <w:rFonts w:eastAsia="Times New Roman" w:cs="Arial"/>
          <w:color w:val="000000"/>
          <w:vertAlign w:val="superscript"/>
          <w:lang w:eastAsia="bg-BG"/>
        </w:rPr>
        <w:t xml:space="preserve"> </w:t>
      </w:r>
      <w:r w:rsidRPr="00FB73BD">
        <w:rPr>
          <w:rFonts w:eastAsia="Times New Roman" w:cs="Arial"/>
          <w:color w:val="000000"/>
          <w:lang w:eastAsia="bg-BG"/>
        </w:rPr>
        <w:t>мониторира бъбречната функция (вижте точка 6.2).</w:t>
      </w:r>
    </w:p>
    <w:p w14:paraId="66D09BFF" w14:textId="77777777" w:rsidR="00FB73BD" w:rsidRPr="00FB73BD" w:rsidRDefault="00FB73BD" w:rsidP="00FB73BD"/>
    <w:p w14:paraId="31744E5A" w14:textId="2AD4E5AC" w:rsidR="009F77A4" w:rsidRDefault="002C50EE" w:rsidP="00387A66">
      <w:pPr>
        <w:pStyle w:val="Heading2"/>
      </w:pPr>
      <w:r>
        <w:t>4.2. Дозировка и начин на приложение</w:t>
      </w:r>
    </w:p>
    <w:p w14:paraId="447BD06D" w14:textId="5CF7B060" w:rsidR="00FB73BD" w:rsidRDefault="00FB73BD" w:rsidP="00FB73BD"/>
    <w:p w14:paraId="286E0A98" w14:textId="77777777" w:rsidR="00FB73BD" w:rsidRPr="00FB73BD" w:rsidRDefault="00FB73BD" w:rsidP="00FB73BD">
      <w:pPr>
        <w:spacing w:line="240" w:lineRule="auto"/>
        <w:rPr>
          <w:rFonts w:eastAsia="Times New Roman" w:cs="Arial"/>
          <w:lang w:eastAsia="bg-BG"/>
        </w:rPr>
      </w:pPr>
      <w:r w:rsidRPr="00FB73BD">
        <w:rPr>
          <w:rFonts w:eastAsia="Times New Roman" w:cs="Arial"/>
          <w:color w:val="000000"/>
          <w:u w:val="single"/>
          <w:lang w:eastAsia="bg-BG"/>
        </w:rPr>
        <w:t>Дозировка</w:t>
      </w:r>
    </w:p>
    <w:p w14:paraId="209928AF" w14:textId="77777777" w:rsidR="00FB73BD" w:rsidRPr="00FB73BD" w:rsidRDefault="00FB73BD" w:rsidP="00FB73BD">
      <w:pPr>
        <w:spacing w:line="240" w:lineRule="auto"/>
        <w:rPr>
          <w:rFonts w:eastAsia="Times New Roman" w:cs="Arial"/>
          <w:lang w:eastAsia="bg-BG"/>
        </w:rPr>
      </w:pPr>
      <w:r w:rsidRPr="00FB73BD">
        <w:rPr>
          <w:rFonts w:eastAsia="Times New Roman" w:cs="Arial"/>
          <w:i/>
          <w:iCs/>
          <w:color w:val="000000"/>
          <w:lang w:eastAsia="bg-BG"/>
        </w:rPr>
        <w:t>Възрастни</w:t>
      </w:r>
    </w:p>
    <w:p w14:paraId="2EBA95A5" w14:textId="77777777" w:rsidR="00FB73BD" w:rsidRPr="00FB73BD" w:rsidRDefault="00FB73BD" w:rsidP="00FB73BD">
      <w:pPr>
        <w:spacing w:line="240" w:lineRule="auto"/>
        <w:rPr>
          <w:rFonts w:eastAsia="Times New Roman" w:cs="Arial"/>
          <w:lang w:eastAsia="bg-BG"/>
        </w:rPr>
      </w:pPr>
      <w:r w:rsidRPr="00FB73BD">
        <w:rPr>
          <w:rFonts w:eastAsia="Times New Roman" w:cs="Arial"/>
          <w:color w:val="000000"/>
          <w:lang w:eastAsia="bg-BG"/>
        </w:rPr>
        <w:t xml:space="preserve">Обичайната доза на цефоперазон при възрастни е 2 до 4 </w:t>
      </w:r>
      <w:r w:rsidRPr="00FB73BD">
        <w:rPr>
          <w:rFonts w:eastAsia="Times New Roman" w:cs="Arial"/>
          <w:color w:val="000000"/>
          <w:lang w:val="en-US"/>
        </w:rPr>
        <w:t xml:space="preserve">g </w:t>
      </w:r>
      <w:r w:rsidRPr="00FB73BD">
        <w:rPr>
          <w:rFonts w:eastAsia="Times New Roman" w:cs="Arial"/>
          <w:color w:val="000000"/>
          <w:lang w:eastAsia="bg-BG"/>
        </w:rPr>
        <w:t xml:space="preserve">дневно, разделени на равни дози и прилагани на всеки 12 часа. При тежки инфекции дневната доза може да бъде повишена до общо 8 </w:t>
      </w:r>
      <w:r w:rsidRPr="00FB73BD">
        <w:rPr>
          <w:rFonts w:eastAsia="Times New Roman" w:cs="Arial"/>
          <w:color w:val="000000"/>
          <w:lang w:val="en-US"/>
        </w:rPr>
        <w:t xml:space="preserve">g </w:t>
      </w:r>
      <w:r w:rsidRPr="00FB73BD">
        <w:rPr>
          <w:rFonts w:eastAsia="Times New Roman" w:cs="Arial"/>
          <w:color w:val="000000"/>
          <w:lang w:eastAsia="bg-BG"/>
        </w:rPr>
        <w:t xml:space="preserve">дневно, приложени като две равно разделени дози на всеки 12 часа. Приложението на 12 </w:t>
      </w:r>
      <w:r w:rsidRPr="00FB73BD">
        <w:rPr>
          <w:rFonts w:eastAsia="Times New Roman" w:cs="Arial"/>
          <w:color w:val="000000"/>
          <w:lang w:val="en-US"/>
        </w:rPr>
        <w:t xml:space="preserve">g </w:t>
      </w:r>
      <w:r w:rsidRPr="00FB73BD">
        <w:rPr>
          <w:rFonts w:eastAsia="Times New Roman" w:cs="Arial"/>
          <w:color w:val="000000"/>
          <w:lang w:eastAsia="bg-BG"/>
        </w:rPr>
        <w:t xml:space="preserve">дневно, разделени на равни дози през 8 часа, както и приложението до 16 </w:t>
      </w:r>
      <w:r w:rsidRPr="00FB73BD">
        <w:rPr>
          <w:rFonts w:eastAsia="Times New Roman" w:cs="Arial"/>
          <w:color w:val="000000"/>
          <w:lang w:val="en-US"/>
        </w:rPr>
        <w:t xml:space="preserve">g </w:t>
      </w:r>
      <w:r w:rsidRPr="00FB73BD">
        <w:rPr>
          <w:rFonts w:eastAsia="Times New Roman" w:cs="Arial"/>
          <w:color w:val="000000"/>
          <w:lang w:eastAsia="bg-BG"/>
        </w:rPr>
        <w:t>дневно, разделени в равни дози, не е довело до усложнения. Лечението може да бъде започнато и преди да са получени резултатите за чувствителност на причинителя.</w:t>
      </w:r>
    </w:p>
    <w:p w14:paraId="1153B8B4" w14:textId="77777777" w:rsidR="00FB73BD" w:rsidRDefault="00FB73BD" w:rsidP="00FB73BD">
      <w:pPr>
        <w:spacing w:line="240" w:lineRule="auto"/>
        <w:rPr>
          <w:rFonts w:eastAsia="Times New Roman" w:cs="Arial"/>
          <w:color w:val="000000"/>
          <w:lang w:eastAsia="bg-BG"/>
        </w:rPr>
      </w:pPr>
    </w:p>
    <w:p w14:paraId="470BAD23" w14:textId="07E90439" w:rsidR="00FB73BD" w:rsidRPr="00FB73BD" w:rsidRDefault="00FB73BD" w:rsidP="00FB73BD">
      <w:pPr>
        <w:spacing w:line="240" w:lineRule="auto"/>
        <w:rPr>
          <w:rFonts w:eastAsia="Times New Roman" w:cs="Arial"/>
          <w:lang w:eastAsia="bg-BG"/>
        </w:rPr>
      </w:pPr>
      <w:r w:rsidRPr="00FB73BD">
        <w:rPr>
          <w:rFonts w:eastAsia="Times New Roman" w:cs="Arial"/>
          <w:color w:val="000000"/>
          <w:lang w:eastAsia="bg-BG"/>
        </w:rPr>
        <w:t xml:space="preserve">Препоръчителната доза за лечение на неусложнен гонококов уретрит е 500 </w:t>
      </w:r>
      <w:r w:rsidRPr="00FB73BD">
        <w:rPr>
          <w:rFonts w:eastAsia="Times New Roman" w:cs="Arial"/>
          <w:color w:val="000000"/>
          <w:lang w:val="en-US"/>
        </w:rPr>
        <w:t xml:space="preserve">mg, </w:t>
      </w:r>
      <w:r w:rsidRPr="00FB73BD">
        <w:rPr>
          <w:rFonts w:eastAsia="Times New Roman" w:cs="Arial"/>
          <w:color w:val="000000"/>
          <w:lang w:eastAsia="bg-BG"/>
        </w:rPr>
        <w:t>приложени еднократно интрамускулно.</w:t>
      </w:r>
    </w:p>
    <w:p w14:paraId="11172344" w14:textId="77777777" w:rsidR="00FB73BD" w:rsidRDefault="00FB73BD" w:rsidP="00FB73BD">
      <w:pPr>
        <w:spacing w:line="240" w:lineRule="auto"/>
        <w:rPr>
          <w:rFonts w:eastAsia="Times New Roman" w:cs="Arial"/>
          <w:color w:val="000000"/>
          <w:lang w:eastAsia="bg-BG"/>
        </w:rPr>
      </w:pPr>
    </w:p>
    <w:p w14:paraId="25FDFB85" w14:textId="53E19B7E" w:rsidR="00FB73BD" w:rsidRPr="00FB73BD" w:rsidRDefault="00FB73BD" w:rsidP="00FB73BD">
      <w:pPr>
        <w:spacing w:line="240" w:lineRule="auto"/>
        <w:rPr>
          <w:rFonts w:eastAsia="Times New Roman" w:cs="Arial"/>
          <w:lang w:eastAsia="bg-BG"/>
        </w:rPr>
      </w:pPr>
      <w:r w:rsidRPr="00FB73BD">
        <w:rPr>
          <w:rFonts w:eastAsia="Times New Roman" w:cs="Arial"/>
          <w:color w:val="000000"/>
          <w:lang w:eastAsia="bg-BG"/>
        </w:rPr>
        <w:t>Лекарството трябва да се прилага дълбоко мускулно в голяма мускулна маса от големия седалищен мускул или предната част на бедрото.</w:t>
      </w:r>
    </w:p>
    <w:p w14:paraId="7862E12B" w14:textId="77777777" w:rsidR="00FB73BD" w:rsidRDefault="00FB73BD" w:rsidP="00FB73BD">
      <w:pPr>
        <w:spacing w:line="240" w:lineRule="auto"/>
        <w:rPr>
          <w:rFonts w:eastAsia="Times New Roman" w:cs="Arial"/>
          <w:i/>
          <w:iCs/>
          <w:color w:val="000000"/>
          <w:lang w:eastAsia="bg-BG"/>
        </w:rPr>
      </w:pPr>
    </w:p>
    <w:p w14:paraId="1BA6F50F" w14:textId="3FB0B029" w:rsidR="00FB73BD" w:rsidRPr="00FB73BD" w:rsidRDefault="00FB73BD" w:rsidP="00FB73BD">
      <w:pPr>
        <w:spacing w:line="240" w:lineRule="auto"/>
        <w:rPr>
          <w:rFonts w:eastAsia="Times New Roman" w:cs="Arial"/>
          <w:lang w:eastAsia="bg-BG"/>
        </w:rPr>
      </w:pPr>
      <w:r w:rsidRPr="00FB73BD">
        <w:rPr>
          <w:rFonts w:eastAsia="Times New Roman" w:cs="Arial"/>
          <w:i/>
          <w:iCs/>
          <w:color w:val="000000"/>
          <w:lang w:eastAsia="bg-BG"/>
        </w:rPr>
        <w:t>Чернодробна дисфункция</w:t>
      </w:r>
    </w:p>
    <w:p w14:paraId="6F140ED2" w14:textId="77777777" w:rsidR="00FB73BD" w:rsidRPr="00FB73BD" w:rsidRDefault="00FB73BD" w:rsidP="00FB73BD">
      <w:pPr>
        <w:spacing w:line="240" w:lineRule="auto"/>
        <w:rPr>
          <w:rFonts w:eastAsia="Times New Roman" w:cs="Arial"/>
          <w:lang w:eastAsia="bg-BG"/>
        </w:rPr>
      </w:pPr>
      <w:r w:rsidRPr="00FB73BD">
        <w:rPr>
          <w:rFonts w:eastAsia="Times New Roman" w:cs="Arial"/>
          <w:color w:val="000000"/>
          <w:lang w:eastAsia="bg-BG"/>
        </w:rPr>
        <w:t xml:space="preserve">Може да е необходима корекция на дозата в случаи на тежка жлъчна обструкция, тежко чернодробно заболяване или съпътстваща бъбречна недостатъчност. В тези случаи дозата не трябва да надвишава 2 </w:t>
      </w:r>
      <w:r w:rsidRPr="00FB73BD">
        <w:rPr>
          <w:rFonts w:eastAsia="Times New Roman" w:cs="Arial"/>
          <w:color w:val="000000"/>
          <w:lang w:val="en-US"/>
        </w:rPr>
        <w:t xml:space="preserve">g </w:t>
      </w:r>
      <w:r w:rsidRPr="00FB73BD">
        <w:rPr>
          <w:rFonts w:eastAsia="Times New Roman" w:cs="Arial"/>
          <w:color w:val="000000"/>
          <w:lang w:eastAsia="bg-BG"/>
        </w:rPr>
        <w:t>дневно без стриктно проследяване на серумните концентрации.</w:t>
      </w:r>
    </w:p>
    <w:p w14:paraId="383DEC59" w14:textId="77777777" w:rsidR="00FB73BD" w:rsidRDefault="00FB73BD" w:rsidP="00FB73BD">
      <w:pPr>
        <w:spacing w:line="240" w:lineRule="auto"/>
        <w:rPr>
          <w:rFonts w:eastAsia="Times New Roman" w:cs="Arial"/>
          <w:i/>
          <w:iCs/>
          <w:color w:val="000000"/>
          <w:lang w:eastAsia="bg-BG"/>
        </w:rPr>
      </w:pPr>
    </w:p>
    <w:p w14:paraId="6F898E57" w14:textId="04652B61" w:rsidR="00FB73BD" w:rsidRPr="00FB73BD" w:rsidRDefault="00FB73BD" w:rsidP="00FB73BD">
      <w:pPr>
        <w:spacing w:line="240" w:lineRule="auto"/>
        <w:rPr>
          <w:rFonts w:eastAsia="Times New Roman" w:cs="Arial"/>
          <w:lang w:eastAsia="bg-BG"/>
        </w:rPr>
      </w:pPr>
      <w:r w:rsidRPr="00FB73BD">
        <w:rPr>
          <w:rFonts w:eastAsia="Times New Roman" w:cs="Arial"/>
          <w:i/>
          <w:iCs/>
          <w:color w:val="000000"/>
          <w:lang w:eastAsia="bg-BG"/>
        </w:rPr>
        <w:t>Бъбречна дисфункция</w:t>
      </w:r>
    </w:p>
    <w:p w14:paraId="0B2689C8" w14:textId="77777777" w:rsidR="00FB73BD" w:rsidRPr="00FB73BD" w:rsidRDefault="00FB73BD" w:rsidP="00FB73BD">
      <w:pPr>
        <w:spacing w:line="240" w:lineRule="auto"/>
        <w:rPr>
          <w:rFonts w:eastAsia="Times New Roman" w:cs="Arial"/>
          <w:lang w:eastAsia="bg-BG"/>
        </w:rPr>
      </w:pPr>
      <w:r w:rsidRPr="00FB73BD">
        <w:rPr>
          <w:rFonts w:eastAsia="Times New Roman" w:cs="Arial"/>
          <w:color w:val="000000"/>
          <w:lang w:eastAsia="bg-BG"/>
        </w:rPr>
        <w:t xml:space="preserve">Тъй като бъбречната екскреция не е основния път на елиминиране на цефоперазон от организма, при пациенти с бъбречна недостатъчност не е необходима корекция на дозата, когато се прилагат обичайните дози (2 - 4 </w:t>
      </w:r>
      <w:r w:rsidRPr="00FB73BD">
        <w:rPr>
          <w:rFonts w:eastAsia="Times New Roman" w:cs="Arial"/>
          <w:color w:val="000000"/>
          <w:lang w:val="en-US"/>
        </w:rPr>
        <w:t xml:space="preserve">g </w:t>
      </w:r>
      <w:r w:rsidRPr="00FB73BD">
        <w:rPr>
          <w:rFonts w:eastAsia="Times New Roman" w:cs="Arial"/>
          <w:color w:val="000000"/>
          <w:lang w:eastAsia="bg-BG"/>
        </w:rPr>
        <w:t xml:space="preserve">дневно). При пациенти, при които скоростта на глумерулната филтрация е по-ниска от 18 </w:t>
      </w:r>
      <w:r w:rsidRPr="00FB73BD">
        <w:rPr>
          <w:rFonts w:eastAsia="Times New Roman" w:cs="Arial"/>
          <w:color w:val="000000"/>
          <w:lang w:val="en-US"/>
        </w:rPr>
        <w:t xml:space="preserve">ml/min </w:t>
      </w:r>
      <w:r w:rsidRPr="00FB73BD">
        <w:rPr>
          <w:rFonts w:eastAsia="Times New Roman" w:cs="Arial"/>
          <w:color w:val="000000"/>
          <w:lang w:eastAsia="bg-BG"/>
        </w:rPr>
        <w:t xml:space="preserve">или при които серумният креатинин е по- висок от 3,5 </w:t>
      </w:r>
      <w:r w:rsidRPr="00FB73BD">
        <w:rPr>
          <w:rFonts w:eastAsia="Times New Roman" w:cs="Arial"/>
          <w:color w:val="000000"/>
          <w:lang w:val="en-US"/>
        </w:rPr>
        <w:t xml:space="preserve">mg/dl, </w:t>
      </w:r>
      <w:r w:rsidRPr="00FB73BD">
        <w:rPr>
          <w:rFonts w:eastAsia="Times New Roman" w:cs="Arial"/>
          <w:color w:val="000000"/>
          <w:lang w:eastAsia="bg-BG"/>
        </w:rPr>
        <w:t xml:space="preserve">максималната доза цефоперазон трябва да бъде 4 </w:t>
      </w:r>
      <w:r w:rsidRPr="00FB73BD">
        <w:rPr>
          <w:rFonts w:eastAsia="Times New Roman" w:cs="Arial"/>
          <w:color w:val="000000"/>
          <w:lang w:val="en-US"/>
        </w:rPr>
        <w:t xml:space="preserve">g </w:t>
      </w:r>
      <w:r w:rsidRPr="00FB73BD">
        <w:rPr>
          <w:rFonts w:eastAsia="Times New Roman" w:cs="Arial"/>
          <w:color w:val="000000"/>
          <w:lang w:eastAsia="bg-BG"/>
        </w:rPr>
        <w:t>дневно.</w:t>
      </w:r>
    </w:p>
    <w:p w14:paraId="4B34FE49" w14:textId="77777777" w:rsidR="00FB73BD" w:rsidRDefault="00FB73BD" w:rsidP="00FB73BD">
      <w:pPr>
        <w:spacing w:line="240" w:lineRule="auto"/>
        <w:rPr>
          <w:rFonts w:eastAsia="Times New Roman" w:cs="Arial"/>
          <w:color w:val="000000"/>
          <w:lang w:eastAsia="bg-BG"/>
        </w:rPr>
      </w:pPr>
    </w:p>
    <w:p w14:paraId="60807FF7" w14:textId="3AA0F071" w:rsidR="00FB73BD" w:rsidRPr="00FB73BD" w:rsidRDefault="00FB73BD" w:rsidP="00FB73BD">
      <w:pPr>
        <w:spacing w:line="240" w:lineRule="auto"/>
        <w:rPr>
          <w:rFonts w:eastAsia="Times New Roman" w:cs="Arial"/>
          <w:lang w:eastAsia="bg-BG"/>
        </w:rPr>
      </w:pPr>
      <w:r w:rsidRPr="00FB73BD">
        <w:rPr>
          <w:rFonts w:eastAsia="Times New Roman" w:cs="Arial"/>
          <w:color w:val="000000"/>
          <w:lang w:eastAsia="bg-BG"/>
        </w:rPr>
        <w:t>Серумният полуживот на цефоперазон намалява слабо при хемодиализа. Ето защо съответната доза трябва да се планира за въвеждане след диализната процедура.</w:t>
      </w:r>
    </w:p>
    <w:p w14:paraId="28161405" w14:textId="77777777" w:rsidR="00FB73BD" w:rsidRDefault="00FB73BD" w:rsidP="00FB73BD">
      <w:pPr>
        <w:spacing w:line="240" w:lineRule="auto"/>
        <w:rPr>
          <w:rFonts w:eastAsia="Times New Roman" w:cs="Arial"/>
          <w:i/>
          <w:iCs/>
          <w:color w:val="000000"/>
          <w:lang w:eastAsia="bg-BG"/>
        </w:rPr>
      </w:pPr>
    </w:p>
    <w:p w14:paraId="3CBA1D6B" w14:textId="4B0C0B30" w:rsidR="00FB73BD" w:rsidRPr="00FB73BD" w:rsidRDefault="00FB73BD" w:rsidP="00FB73BD">
      <w:pPr>
        <w:spacing w:line="240" w:lineRule="auto"/>
        <w:rPr>
          <w:rFonts w:eastAsia="Times New Roman" w:cs="Arial"/>
          <w:lang w:eastAsia="bg-BG"/>
        </w:rPr>
      </w:pPr>
      <w:r w:rsidRPr="00FB73BD">
        <w:rPr>
          <w:rFonts w:eastAsia="Times New Roman" w:cs="Arial"/>
          <w:i/>
          <w:iCs/>
          <w:color w:val="000000"/>
          <w:lang w:eastAsia="bg-BG"/>
        </w:rPr>
        <w:t>Чернодробна и съпътстваща бъбречна дисфункция</w:t>
      </w:r>
    </w:p>
    <w:p w14:paraId="4B0760EC" w14:textId="77777777" w:rsidR="00FB73BD" w:rsidRPr="00FB73BD" w:rsidRDefault="00FB73BD" w:rsidP="00FB73BD">
      <w:pPr>
        <w:spacing w:line="240" w:lineRule="auto"/>
        <w:rPr>
          <w:rFonts w:eastAsia="Times New Roman" w:cs="Arial"/>
          <w:lang w:eastAsia="bg-BG"/>
        </w:rPr>
      </w:pPr>
      <w:r w:rsidRPr="00FB73BD">
        <w:rPr>
          <w:rFonts w:eastAsia="Times New Roman" w:cs="Arial"/>
          <w:color w:val="000000"/>
          <w:lang w:eastAsia="bg-BG"/>
        </w:rPr>
        <w:t xml:space="preserve">При пациенти и с чернодробна дисфункция, и със съпътстващо бъбречно увреждане трябва да се мониторират серумните концентрации на цефоперазон и при необходимост дозата трябва да се коригира. В тези случаи дозата не трябва да надвишава 2 </w:t>
      </w:r>
      <w:r w:rsidRPr="00FB73BD">
        <w:rPr>
          <w:rFonts w:eastAsia="Times New Roman" w:cs="Arial"/>
          <w:color w:val="000000"/>
          <w:lang w:val="en-US"/>
        </w:rPr>
        <w:t xml:space="preserve">g </w:t>
      </w:r>
      <w:r w:rsidRPr="00FB73BD">
        <w:rPr>
          <w:rFonts w:eastAsia="Times New Roman" w:cs="Arial"/>
          <w:color w:val="000000"/>
          <w:lang w:eastAsia="bg-BG"/>
        </w:rPr>
        <w:t>дневно без внимателно да се мониторират серумните концентрации.</w:t>
      </w:r>
    </w:p>
    <w:p w14:paraId="2273CF69" w14:textId="77777777" w:rsidR="00FB73BD" w:rsidRDefault="00FB73BD" w:rsidP="00FB73BD">
      <w:pPr>
        <w:spacing w:line="240" w:lineRule="auto"/>
        <w:rPr>
          <w:rFonts w:eastAsia="Times New Roman" w:cs="Arial"/>
          <w:i/>
          <w:iCs/>
          <w:color w:val="000000"/>
          <w:lang w:eastAsia="bg-BG"/>
        </w:rPr>
      </w:pPr>
    </w:p>
    <w:p w14:paraId="751E0969" w14:textId="720AC6A6" w:rsidR="00FB73BD" w:rsidRPr="00FB73BD" w:rsidRDefault="00FB73BD" w:rsidP="00FB73BD">
      <w:pPr>
        <w:spacing w:line="240" w:lineRule="auto"/>
        <w:rPr>
          <w:rFonts w:eastAsia="Times New Roman" w:cs="Arial"/>
          <w:lang w:eastAsia="bg-BG"/>
        </w:rPr>
      </w:pPr>
      <w:r w:rsidRPr="00FB73BD">
        <w:rPr>
          <w:rFonts w:eastAsia="Times New Roman" w:cs="Arial"/>
          <w:i/>
          <w:iCs/>
          <w:color w:val="000000"/>
          <w:lang w:eastAsia="bg-BG"/>
        </w:rPr>
        <w:t>Педиатрична популация</w:t>
      </w:r>
    </w:p>
    <w:p w14:paraId="2A858181" w14:textId="77777777" w:rsidR="00FB73BD" w:rsidRDefault="00FB73BD" w:rsidP="00FB73BD">
      <w:pPr>
        <w:spacing w:line="240" w:lineRule="auto"/>
        <w:rPr>
          <w:rFonts w:eastAsia="Times New Roman" w:cs="Arial"/>
          <w:color w:val="000000"/>
          <w:lang w:eastAsia="bg-BG"/>
        </w:rPr>
      </w:pPr>
      <w:r w:rsidRPr="00FB73BD">
        <w:rPr>
          <w:rFonts w:eastAsia="Times New Roman" w:cs="Arial"/>
          <w:color w:val="000000"/>
          <w:lang w:eastAsia="bg-BG"/>
        </w:rPr>
        <w:lastRenderedPageBreak/>
        <w:t xml:space="preserve">При кърмачета и деца трябва да бъдат давани от 50 до 200 </w:t>
      </w:r>
      <w:r w:rsidRPr="00FB73BD">
        <w:rPr>
          <w:rFonts w:eastAsia="Times New Roman" w:cs="Arial"/>
          <w:color w:val="000000"/>
          <w:lang w:val="en-US"/>
        </w:rPr>
        <w:t xml:space="preserve">mg/kg </w:t>
      </w:r>
      <w:r w:rsidRPr="00FB73BD">
        <w:rPr>
          <w:rFonts w:eastAsia="Times New Roman" w:cs="Arial"/>
          <w:color w:val="000000"/>
          <w:lang w:eastAsia="bg-BG"/>
        </w:rPr>
        <w:t xml:space="preserve">цефоперазон дневно, разделени на равни дози на всеки 8 до 12 часа. Максималната доза не трябва да </w:t>
      </w:r>
    </w:p>
    <w:p w14:paraId="1C5BEC85" w14:textId="4FE8A16C" w:rsidR="00FB73BD" w:rsidRPr="00FB73BD" w:rsidRDefault="00FB73BD" w:rsidP="00FB73BD">
      <w:pPr>
        <w:spacing w:line="240" w:lineRule="auto"/>
        <w:rPr>
          <w:rFonts w:eastAsia="Times New Roman" w:cs="Arial"/>
          <w:lang w:eastAsia="bg-BG"/>
        </w:rPr>
      </w:pPr>
      <w:r w:rsidRPr="00FB73BD">
        <w:rPr>
          <w:rFonts w:eastAsia="Times New Roman" w:cs="Arial"/>
          <w:color w:val="000000"/>
          <w:lang w:eastAsia="bg-BG"/>
        </w:rPr>
        <w:t xml:space="preserve">надвишава </w:t>
      </w:r>
      <w:r w:rsidRPr="00FB73BD">
        <w:rPr>
          <w:rFonts w:eastAsia="Times New Roman" w:cs="Arial"/>
          <w:color w:val="000000"/>
          <w:lang w:val="en-US"/>
        </w:rPr>
        <w:t xml:space="preserve">12g </w:t>
      </w:r>
      <w:r w:rsidRPr="00FB73BD">
        <w:rPr>
          <w:rFonts w:eastAsia="Times New Roman" w:cs="Arial"/>
          <w:color w:val="000000"/>
          <w:lang w:eastAsia="bg-BG"/>
        </w:rPr>
        <w:t>дневно (вижте точка 4.4).</w:t>
      </w:r>
    </w:p>
    <w:p w14:paraId="6D0C9D75" w14:textId="77777777" w:rsidR="00FB73BD" w:rsidRDefault="00FB73BD" w:rsidP="00FB73BD">
      <w:pPr>
        <w:spacing w:line="240" w:lineRule="auto"/>
        <w:rPr>
          <w:rFonts w:eastAsia="Times New Roman" w:cs="Arial"/>
          <w:i/>
          <w:iCs/>
          <w:color w:val="000000"/>
          <w:lang w:eastAsia="bg-BG"/>
        </w:rPr>
      </w:pPr>
    </w:p>
    <w:p w14:paraId="0D8D6909" w14:textId="5EC60076" w:rsidR="00FB73BD" w:rsidRPr="00FB73BD" w:rsidRDefault="00FB73BD" w:rsidP="00FB73BD">
      <w:pPr>
        <w:spacing w:line="240" w:lineRule="auto"/>
        <w:rPr>
          <w:rFonts w:eastAsia="Times New Roman" w:cs="Arial"/>
          <w:lang w:eastAsia="bg-BG"/>
        </w:rPr>
      </w:pPr>
      <w:r w:rsidRPr="00FB73BD">
        <w:rPr>
          <w:rFonts w:eastAsia="Times New Roman" w:cs="Arial"/>
          <w:i/>
          <w:iCs/>
          <w:color w:val="000000"/>
          <w:lang w:eastAsia="bg-BG"/>
        </w:rPr>
        <w:t>Приложение при новородени</w:t>
      </w:r>
    </w:p>
    <w:p w14:paraId="05033306" w14:textId="77777777" w:rsidR="00FB73BD" w:rsidRPr="00FB73BD" w:rsidRDefault="00FB73BD" w:rsidP="00FB73BD">
      <w:pPr>
        <w:spacing w:line="240" w:lineRule="auto"/>
        <w:rPr>
          <w:rFonts w:eastAsia="Times New Roman" w:cs="Arial"/>
          <w:lang w:eastAsia="bg-BG"/>
        </w:rPr>
      </w:pPr>
      <w:r w:rsidRPr="00FB73BD">
        <w:rPr>
          <w:rFonts w:eastAsia="Times New Roman" w:cs="Arial"/>
          <w:color w:val="000000"/>
          <w:lang w:eastAsia="bg-BG"/>
        </w:rPr>
        <w:t>При новородени на възраст по-малка от 8 дни, лекарството трябва да се прилага на всеки 12 часа.</w:t>
      </w:r>
    </w:p>
    <w:p w14:paraId="0FD517C7" w14:textId="77777777" w:rsidR="00FB73BD" w:rsidRDefault="00FB73BD" w:rsidP="00FB73BD">
      <w:pPr>
        <w:spacing w:line="240" w:lineRule="auto"/>
        <w:rPr>
          <w:rFonts w:eastAsia="Times New Roman" w:cs="Arial"/>
          <w:color w:val="000000"/>
          <w:u w:val="single"/>
          <w:lang w:eastAsia="bg-BG"/>
        </w:rPr>
      </w:pPr>
    </w:p>
    <w:p w14:paraId="66C91BDC" w14:textId="1801959B" w:rsidR="00FB73BD" w:rsidRPr="00FB73BD" w:rsidRDefault="00FB73BD" w:rsidP="00FB73BD">
      <w:pPr>
        <w:spacing w:line="240" w:lineRule="auto"/>
        <w:rPr>
          <w:rFonts w:eastAsia="Times New Roman" w:cs="Arial"/>
          <w:lang w:eastAsia="bg-BG"/>
        </w:rPr>
      </w:pPr>
      <w:r w:rsidRPr="00FB73BD">
        <w:rPr>
          <w:rFonts w:eastAsia="Times New Roman" w:cs="Arial"/>
          <w:color w:val="000000"/>
          <w:u w:val="single"/>
          <w:lang w:eastAsia="bg-BG"/>
        </w:rPr>
        <w:t>Начин на приложение</w:t>
      </w:r>
    </w:p>
    <w:p w14:paraId="4C3EA6FB" w14:textId="77777777" w:rsidR="00FB73BD" w:rsidRPr="00FB73BD" w:rsidRDefault="00FB73BD" w:rsidP="00FB73BD">
      <w:pPr>
        <w:spacing w:line="240" w:lineRule="auto"/>
        <w:rPr>
          <w:rFonts w:eastAsia="Times New Roman" w:cs="Arial"/>
          <w:lang w:eastAsia="bg-BG"/>
        </w:rPr>
      </w:pPr>
      <w:r w:rsidRPr="00FB73BD">
        <w:rPr>
          <w:rFonts w:eastAsia="Times New Roman" w:cs="Arial"/>
          <w:color w:val="000000"/>
          <w:lang w:eastAsia="bg-BG"/>
        </w:rPr>
        <w:t>Лекарственият продукт е предназначен за интравенозно или интрамускулно приложение.</w:t>
      </w:r>
    </w:p>
    <w:p w14:paraId="36003092" w14:textId="77777777" w:rsidR="00FB73BD" w:rsidRDefault="00FB73BD" w:rsidP="00FB73BD">
      <w:pPr>
        <w:spacing w:line="240" w:lineRule="auto"/>
        <w:rPr>
          <w:rFonts w:eastAsia="Times New Roman" w:cs="Arial"/>
          <w:i/>
          <w:iCs/>
          <w:color w:val="000000"/>
          <w:lang w:eastAsia="bg-BG"/>
        </w:rPr>
      </w:pPr>
    </w:p>
    <w:p w14:paraId="1A98BFC8" w14:textId="7CFDF72B" w:rsidR="00FB73BD" w:rsidRPr="00FB73BD" w:rsidRDefault="00FB73BD" w:rsidP="00FB73BD">
      <w:pPr>
        <w:spacing w:line="240" w:lineRule="auto"/>
        <w:rPr>
          <w:rFonts w:eastAsia="Times New Roman" w:cs="Arial"/>
          <w:lang w:eastAsia="bg-BG"/>
        </w:rPr>
      </w:pPr>
      <w:r w:rsidRPr="00FB73BD">
        <w:rPr>
          <w:rFonts w:eastAsia="Times New Roman" w:cs="Arial"/>
          <w:i/>
          <w:iCs/>
          <w:color w:val="000000"/>
          <w:lang w:eastAsia="bg-BG"/>
        </w:rPr>
        <w:t>Интравенозно приложение при възрастни и деца</w:t>
      </w:r>
    </w:p>
    <w:p w14:paraId="2536375B" w14:textId="405425EF" w:rsidR="00FB73BD" w:rsidRDefault="00FB73BD" w:rsidP="00FB73BD">
      <w:pPr>
        <w:rPr>
          <w:rFonts w:eastAsia="Times New Roman" w:cs="Arial"/>
          <w:color w:val="000000"/>
          <w:lang w:eastAsia="bg-BG"/>
        </w:rPr>
      </w:pPr>
      <w:r w:rsidRPr="00FB73BD">
        <w:rPr>
          <w:rFonts w:eastAsia="Times New Roman" w:cs="Arial"/>
          <w:color w:val="000000"/>
          <w:lang w:eastAsia="bg-BG"/>
        </w:rPr>
        <w:t xml:space="preserve">За краткотрайна интравенозна инфузия всеки флакон от 1 </w:t>
      </w:r>
      <w:r w:rsidRPr="00FB73BD">
        <w:rPr>
          <w:rFonts w:eastAsia="Times New Roman" w:cs="Arial"/>
          <w:color w:val="000000"/>
          <w:lang w:val="en-US"/>
        </w:rPr>
        <w:t xml:space="preserve">g </w:t>
      </w:r>
      <w:r w:rsidRPr="00FB73BD">
        <w:rPr>
          <w:rFonts w:eastAsia="Times New Roman" w:cs="Arial"/>
          <w:color w:val="000000"/>
          <w:lang w:eastAsia="bg-BG"/>
        </w:rPr>
        <w:t xml:space="preserve">или 2 </w:t>
      </w:r>
      <w:r w:rsidRPr="00FB73BD">
        <w:rPr>
          <w:rFonts w:eastAsia="Times New Roman" w:cs="Arial"/>
          <w:color w:val="000000"/>
          <w:lang w:val="en-US"/>
        </w:rPr>
        <w:t xml:space="preserve">g </w:t>
      </w:r>
      <w:r w:rsidRPr="00FB73BD">
        <w:rPr>
          <w:rFonts w:eastAsia="Times New Roman" w:cs="Arial"/>
          <w:color w:val="000000"/>
          <w:lang w:eastAsia="bg-BG"/>
        </w:rPr>
        <w:t xml:space="preserve">цефоперазон трябва да бъде разтварен в 20 до 100 </w:t>
      </w:r>
      <w:r w:rsidRPr="00FB73BD">
        <w:rPr>
          <w:rFonts w:eastAsia="Times New Roman" w:cs="Arial"/>
          <w:color w:val="000000"/>
          <w:lang w:val="en-US"/>
        </w:rPr>
        <w:t xml:space="preserve">ml </w:t>
      </w:r>
      <w:r w:rsidRPr="00FB73BD">
        <w:rPr>
          <w:rFonts w:eastAsia="Times New Roman" w:cs="Arial"/>
          <w:color w:val="000000"/>
          <w:lang w:eastAsia="bg-BG"/>
        </w:rPr>
        <w:t xml:space="preserve">съвместим интравенозен разтвор и да се влива за период от 15 минути до 1 час. Ако предпочитаният разредител е стерилна вода за инжекции трябва да се добавят не повече от 20 </w:t>
      </w:r>
      <w:r w:rsidRPr="00FB73BD">
        <w:rPr>
          <w:rFonts w:eastAsia="Times New Roman" w:cs="Arial"/>
          <w:color w:val="000000"/>
          <w:lang w:val="en-US"/>
        </w:rPr>
        <w:t xml:space="preserve">ml </w:t>
      </w:r>
      <w:r w:rsidRPr="00FB73BD">
        <w:rPr>
          <w:rFonts w:eastAsia="Times New Roman" w:cs="Arial"/>
          <w:color w:val="000000"/>
          <w:lang w:eastAsia="bg-BG"/>
        </w:rPr>
        <w:t>към флакона.</w:t>
      </w:r>
    </w:p>
    <w:p w14:paraId="774013F1" w14:textId="704A07BF" w:rsidR="00FB73BD" w:rsidRDefault="00FB73BD" w:rsidP="00FB73BD">
      <w:pPr>
        <w:rPr>
          <w:rFonts w:eastAsia="Times New Roman" w:cs="Arial"/>
          <w:color w:val="000000"/>
          <w:lang w:eastAsia="bg-BG"/>
        </w:rPr>
      </w:pPr>
    </w:p>
    <w:p w14:paraId="022A0F5E" w14:textId="77777777" w:rsidR="00FB73BD" w:rsidRPr="00FB73BD" w:rsidRDefault="00FB73BD" w:rsidP="00FB73BD">
      <w:pPr>
        <w:spacing w:line="240" w:lineRule="auto"/>
        <w:rPr>
          <w:rFonts w:eastAsia="Times New Roman" w:cs="Arial"/>
          <w:lang w:eastAsia="bg-BG"/>
        </w:rPr>
      </w:pPr>
      <w:r w:rsidRPr="00FB73BD">
        <w:rPr>
          <w:rFonts w:eastAsia="Times New Roman" w:cs="Arial"/>
          <w:color w:val="000000"/>
          <w:lang w:eastAsia="bg-BG"/>
        </w:rPr>
        <w:t xml:space="preserve">За продължителна интравенозна инфузия всеки грам цефоперазон трябва да се разтвори в 5 </w:t>
      </w:r>
      <w:r w:rsidRPr="00FB73BD">
        <w:rPr>
          <w:rFonts w:eastAsia="Times New Roman" w:cs="Arial"/>
          <w:color w:val="000000"/>
          <w:lang w:val="en-US"/>
        </w:rPr>
        <w:t xml:space="preserve">ml </w:t>
      </w:r>
      <w:r w:rsidRPr="00FB73BD">
        <w:rPr>
          <w:rFonts w:eastAsia="Times New Roman" w:cs="Arial"/>
          <w:color w:val="000000"/>
          <w:lang w:eastAsia="bg-BG"/>
        </w:rPr>
        <w:t>стерилна вода за инжекции или в бактериостатична вода за инжекции и разтворът да се добави към подходящ интравенозен разредител.</w:t>
      </w:r>
    </w:p>
    <w:p w14:paraId="38BAE18A" w14:textId="77777777" w:rsidR="00FB73BD" w:rsidRDefault="00FB73BD" w:rsidP="00FB73BD">
      <w:pPr>
        <w:spacing w:line="240" w:lineRule="auto"/>
        <w:rPr>
          <w:rFonts w:eastAsia="Times New Roman" w:cs="Arial"/>
          <w:color w:val="000000"/>
          <w:lang w:eastAsia="bg-BG"/>
        </w:rPr>
      </w:pPr>
    </w:p>
    <w:p w14:paraId="229C39B4" w14:textId="0AECC7D5" w:rsidR="00FB73BD" w:rsidRPr="00FB73BD" w:rsidRDefault="00FB73BD" w:rsidP="00FB73BD">
      <w:pPr>
        <w:spacing w:line="240" w:lineRule="auto"/>
        <w:rPr>
          <w:rFonts w:eastAsia="Times New Roman" w:cs="Arial"/>
          <w:lang w:eastAsia="bg-BG"/>
        </w:rPr>
      </w:pPr>
      <w:r w:rsidRPr="00FB73BD">
        <w:rPr>
          <w:rFonts w:eastAsia="Times New Roman" w:cs="Arial"/>
          <w:color w:val="000000"/>
          <w:lang w:eastAsia="bg-BG"/>
        </w:rPr>
        <w:t xml:space="preserve">За директно интравенозно инжектиране, максималната доза цефоперазон трябва да бъде 2 </w:t>
      </w:r>
      <w:r w:rsidRPr="00FB73BD">
        <w:rPr>
          <w:rFonts w:eastAsia="Times New Roman" w:cs="Arial"/>
          <w:color w:val="000000"/>
          <w:lang w:val="en-US"/>
        </w:rPr>
        <w:t xml:space="preserve">g </w:t>
      </w:r>
      <w:r w:rsidRPr="00FB73BD">
        <w:rPr>
          <w:rFonts w:eastAsia="Times New Roman" w:cs="Arial"/>
          <w:color w:val="000000"/>
          <w:lang w:eastAsia="bg-BG"/>
        </w:rPr>
        <w:t xml:space="preserve">при приложение на възрастни и 50 </w:t>
      </w:r>
      <w:r w:rsidRPr="00FB73BD">
        <w:rPr>
          <w:rFonts w:eastAsia="Times New Roman" w:cs="Arial"/>
          <w:color w:val="000000"/>
          <w:lang w:val="en-US"/>
        </w:rPr>
        <w:t xml:space="preserve">mg/kg </w:t>
      </w:r>
      <w:r w:rsidRPr="00FB73BD">
        <w:rPr>
          <w:rFonts w:eastAsia="Times New Roman" w:cs="Arial"/>
          <w:color w:val="000000"/>
          <w:lang w:eastAsia="bg-BG"/>
        </w:rPr>
        <w:t xml:space="preserve">при приложение на деца. Лекарството трябва да бъде разтворено в подходящ разредител, за да се получи крайна концентрация от 100 </w:t>
      </w:r>
      <w:r w:rsidRPr="00FB73BD">
        <w:rPr>
          <w:rFonts w:eastAsia="Times New Roman" w:cs="Arial"/>
          <w:color w:val="000000"/>
          <w:lang w:val="en-US"/>
        </w:rPr>
        <w:t xml:space="preserve">mg/ml, </w:t>
      </w:r>
      <w:r w:rsidRPr="00FB73BD">
        <w:rPr>
          <w:rFonts w:eastAsia="Times New Roman" w:cs="Arial"/>
          <w:color w:val="000000"/>
          <w:lang w:eastAsia="bg-BG"/>
        </w:rPr>
        <w:t>и да се прилага за период не по-малко от 3 до 5 минути.</w:t>
      </w:r>
    </w:p>
    <w:p w14:paraId="5019EEF5" w14:textId="77777777" w:rsidR="00FB73BD" w:rsidRDefault="00FB73BD" w:rsidP="00FB73BD">
      <w:pPr>
        <w:spacing w:line="240" w:lineRule="auto"/>
        <w:rPr>
          <w:rFonts w:eastAsia="Times New Roman" w:cs="Arial"/>
          <w:color w:val="000000"/>
          <w:lang w:eastAsia="bg-BG"/>
        </w:rPr>
      </w:pPr>
    </w:p>
    <w:p w14:paraId="5E5E7CD7" w14:textId="746B3695" w:rsidR="00FB73BD" w:rsidRPr="00FB73BD" w:rsidRDefault="00FB73BD" w:rsidP="00FB73BD">
      <w:pPr>
        <w:spacing w:line="240" w:lineRule="auto"/>
        <w:rPr>
          <w:rFonts w:eastAsia="Times New Roman" w:cs="Arial"/>
          <w:lang w:eastAsia="bg-BG"/>
        </w:rPr>
      </w:pPr>
      <w:r w:rsidRPr="00FB73BD">
        <w:rPr>
          <w:rFonts w:eastAsia="Times New Roman" w:cs="Arial"/>
          <w:color w:val="000000"/>
          <w:lang w:eastAsia="bg-BG"/>
        </w:rPr>
        <w:t xml:space="preserve">За антибиотична профилактика при хирургични процедури, 1 </w:t>
      </w:r>
      <w:r w:rsidRPr="00FB73BD">
        <w:rPr>
          <w:rFonts w:eastAsia="Times New Roman" w:cs="Arial"/>
          <w:color w:val="000000"/>
          <w:lang w:val="en-US"/>
        </w:rPr>
        <w:t xml:space="preserve">g </w:t>
      </w:r>
      <w:r w:rsidRPr="00FB73BD">
        <w:rPr>
          <w:rFonts w:eastAsia="Times New Roman" w:cs="Arial"/>
          <w:color w:val="000000"/>
          <w:lang w:eastAsia="bg-BG"/>
        </w:rPr>
        <w:t xml:space="preserve">или 2 </w:t>
      </w:r>
      <w:r w:rsidRPr="00FB73BD">
        <w:rPr>
          <w:rFonts w:eastAsia="Times New Roman" w:cs="Arial"/>
          <w:color w:val="000000"/>
          <w:lang w:val="en-US"/>
        </w:rPr>
        <w:t xml:space="preserve">g </w:t>
      </w:r>
      <w:r w:rsidRPr="00FB73BD">
        <w:rPr>
          <w:rFonts w:eastAsia="Times New Roman" w:cs="Arial"/>
          <w:color w:val="000000"/>
          <w:lang w:eastAsia="bg-BG"/>
        </w:rPr>
        <w:t>трябва да бъдат приложени интравенозно 30 до 90 минути преди началото на операцията. Дозата може да бъде повтаряна на всеки 12 часа в рамките на не по-дълго в повечето случаи от 24 часа. При операции, при които е известно, че честотата на инфекциите е повишена (например операция на дебелото черво), или при които появата на инфекции може да бъде особено опасна (например операция на сърцето или протезна артропластика), профилактичното приложение на цефоперазон може да бъде продължено до 72 часа след приключване на операцията.</w:t>
      </w:r>
    </w:p>
    <w:p w14:paraId="762CB545" w14:textId="77777777" w:rsidR="00FB73BD" w:rsidRDefault="00FB73BD" w:rsidP="00FB73BD">
      <w:pPr>
        <w:spacing w:line="240" w:lineRule="auto"/>
        <w:rPr>
          <w:rFonts w:eastAsia="Times New Roman" w:cs="Arial"/>
          <w:color w:val="000000"/>
          <w:lang w:eastAsia="bg-BG"/>
        </w:rPr>
      </w:pPr>
    </w:p>
    <w:p w14:paraId="69E83BC4" w14:textId="0DF11E86" w:rsidR="00FB73BD" w:rsidRPr="00FB73BD" w:rsidRDefault="00FB73BD" w:rsidP="00FB73BD">
      <w:pPr>
        <w:spacing w:line="240" w:lineRule="auto"/>
        <w:rPr>
          <w:rFonts w:eastAsia="Times New Roman" w:cs="Arial"/>
          <w:lang w:eastAsia="bg-BG"/>
        </w:rPr>
      </w:pPr>
      <w:r w:rsidRPr="00FB73BD">
        <w:rPr>
          <w:rFonts w:eastAsia="Times New Roman" w:cs="Arial"/>
          <w:color w:val="000000"/>
          <w:lang w:eastAsia="bg-BG"/>
        </w:rPr>
        <w:t>За инструкции относно приготвянето и разреждането на лекарствения продукт преди употреба, вижте точка 6.6.</w:t>
      </w:r>
    </w:p>
    <w:p w14:paraId="63182CAF" w14:textId="77777777" w:rsidR="00FB73BD" w:rsidRPr="00FB73BD" w:rsidRDefault="00FB73BD" w:rsidP="00FB73BD">
      <w:pPr>
        <w:rPr>
          <w:rFonts w:cs="Arial"/>
        </w:rPr>
      </w:pPr>
    </w:p>
    <w:p w14:paraId="5D9E65DA" w14:textId="05EBBF90" w:rsidR="009F77A4" w:rsidRDefault="002C50EE" w:rsidP="00387A66">
      <w:pPr>
        <w:pStyle w:val="Heading2"/>
      </w:pPr>
      <w:r>
        <w:t>4.3. Противопоказания</w:t>
      </w:r>
    </w:p>
    <w:p w14:paraId="4020A937" w14:textId="40087BC5" w:rsidR="006758C3" w:rsidRDefault="006758C3" w:rsidP="006758C3"/>
    <w:p w14:paraId="01971A62" w14:textId="77777777" w:rsidR="006758C3" w:rsidRPr="006758C3" w:rsidRDefault="006758C3" w:rsidP="006758C3">
      <w:pPr>
        <w:rPr>
          <w:sz w:val="24"/>
          <w:szCs w:val="24"/>
          <w:lang w:eastAsia="bg-BG"/>
        </w:rPr>
      </w:pPr>
      <w:r w:rsidRPr="006758C3">
        <w:rPr>
          <w:lang w:eastAsia="bg-BG"/>
        </w:rPr>
        <w:t>Свръхчувствителност към активното вещество или към някое от помощните вещества, изброени в точка 6.1, или към цефалоспоринови антибиотици.</w:t>
      </w:r>
    </w:p>
    <w:p w14:paraId="208117C6" w14:textId="77777777" w:rsidR="006758C3" w:rsidRPr="006758C3" w:rsidRDefault="006758C3" w:rsidP="006758C3"/>
    <w:p w14:paraId="1C27CE53" w14:textId="6D0B87C6" w:rsidR="009F77A4" w:rsidRDefault="002C50EE" w:rsidP="00387A66">
      <w:pPr>
        <w:pStyle w:val="Heading2"/>
      </w:pPr>
      <w:r>
        <w:t>4.4. Специални предупреждения и предпазни мерки при употреба</w:t>
      </w:r>
    </w:p>
    <w:p w14:paraId="6E64AED0" w14:textId="27935361" w:rsidR="006758C3" w:rsidRDefault="006758C3" w:rsidP="006758C3"/>
    <w:p w14:paraId="0B7B9F11" w14:textId="77777777" w:rsidR="006758C3" w:rsidRPr="006758C3" w:rsidRDefault="006758C3" w:rsidP="006758C3">
      <w:pPr>
        <w:spacing w:line="240" w:lineRule="auto"/>
        <w:rPr>
          <w:rFonts w:eastAsia="Times New Roman" w:cs="Arial"/>
          <w:lang w:eastAsia="bg-BG"/>
        </w:rPr>
      </w:pPr>
      <w:r w:rsidRPr="006758C3">
        <w:rPr>
          <w:rFonts w:eastAsia="Times New Roman" w:cs="Arial"/>
          <w:b/>
          <w:bCs/>
          <w:color w:val="000000"/>
          <w:lang w:eastAsia="bg-BG"/>
        </w:rPr>
        <w:t>Свръхчувствителност</w:t>
      </w:r>
    </w:p>
    <w:p w14:paraId="209216BC" w14:textId="77777777" w:rsidR="006758C3" w:rsidRPr="006758C3" w:rsidRDefault="006758C3" w:rsidP="006758C3">
      <w:pPr>
        <w:spacing w:line="240" w:lineRule="auto"/>
        <w:rPr>
          <w:rFonts w:eastAsia="Times New Roman" w:cs="Arial"/>
          <w:lang w:eastAsia="bg-BG"/>
        </w:rPr>
      </w:pPr>
      <w:r w:rsidRPr="006758C3">
        <w:rPr>
          <w:rFonts w:eastAsia="Times New Roman" w:cs="Arial"/>
          <w:color w:val="000000"/>
          <w:lang w:eastAsia="bg-BG"/>
        </w:rPr>
        <w:t xml:space="preserve">При пациенти, които получават бета-лактамни или цефалоспоринови антибиотици, включително цефоперазон са съобщавани сериозни, а понякога и фатални реакции на свръхчувствителност (анафилактични реакции). Тези реакции са по-вероятни при </w:t>
      </w:r>
      <w:r w:rsidRPr="006758C3">
        <w:rPr>
          <w:rFonts w:eastAsia="Times New Roman" w:cs="Arial"/>
          <w:color w:val="000000"/>
          <w:lang w:eastAsia="bg-BG"/>
        </w:rPr>
        <w:lastRenderedPageBreak/>
        <w:t>пациенти, които имат предходни прояви на реакции на свръхчувствителност към различни алергени.</w:t>
      </w:r>
    </w:p>
    <w:p w14:paraId="4D0923CA" w14:textId="77777777" w:rsidR="006758C3" w:rsidRDefault="006758C3" w:rsidP="006758C3">
      <w:pPr>
        <w:spacing w:line="240" w:lineRule="auto"/>
        <w:rPr>
          <w:rFonts w:eastAsia="Times New Roman" w:cs="Arial"/>
          <w:color w:val="000000"/>
          <w:lang w:eastAsia="bg-BG"/>
        </w:rPr>
      </w:pPr>
    </w:p>
    <w:p w14:paraId="1F7EEFAF" w14:textId="0E32C701" w:rsidR="006758C3" w:rsidRPr="006758C3" w:rsidRDefault="006758C3" w:rsidP="006758C3">
      <w:pPr>
        <w:spacing w:line="240" w:lineRule="auto"/>
        <w:rPr>
          <w:rFonts w:eastAsia="Times New Roman" w:cs="Arial"/>
          <w:lang w:eastAsia="bg-BG"/>
        </w:rPr>
      </w:pPr>
      <w:r w:rsidRPr="006758C3">
        <w:rPr>
          <w:rFonts w:eastAsia="Times New Roman" w:cs="Arial"/>
          <w:color w:val="000000"/>
          <w:lang w:eastAsia="bg-BG"/>
        </w:rPr>
        <w:t>Преди назначаване на лечение с цефоперазон трябва да се снеме щателна анамнеза, за да се определи дали пациентът е имал предшестващ реакции на свръхчувствителност към цефалоспорини, пеницилини и други лекарствени продукти. Този продукт трябва да се назначава с повишено внимание при пациенти със чувствителност към пеницилини. Антибиотиците трябва да се назначават с внимание при пациенти, които показват някаква форма на алергия, особено към лекарства.</w:t>
      </w:r>
    </w:p>
    <w:p w14:paraId="39C46A37" w14:textId="77777777" w:rsidR="006758C3" w:rsidRDefault="006758C3" w:rsidP="006758C3">
      <w:pPr>
        <w:spacing w:line="240" w:lineRule="auto"/>
        <w:rPr>
          <w:rFonts w:eastAsia="Times New Roman" w:cs="Arial"/>
          <w:color w:val="000000"/>
          <w:lang w:eastAsia="bg-BG"/>
        </w:rPr>
      </w:pPr>
    </w:p>
    <w:p w14:paraId="63BDC7B1" w14:textId="72AEDF96" w:rsidR="006758C3" w:rsidRPr="006758C3" w:rsidRDefault="006758C3" w:rsidP="006758C3">
      <w:pPr>
        <w:spacing w:line="240" w:lineRule="auto"/>
        <w:rPr>
          <w:rFonts w:eastAsia="Times New Roman" w:cs="Arial"/>
          <w:lang w:eastAsia="bg-BG"/>
        </w:rPr>
      </w:pPr>
      <w:r w:rsidRPr="006758C3">
        <w:rPr>
          <w:rFonts w:eastAsia="Times New Roman" w:cs="Arial"/>
          <w:color w:val="000000"/>
          <w:lang w:eastAsia="bg-BG"/>
        </w:rPr>
        <w:t>При поява на алергична реакция, лекарството трябва да бъде спряно и да се назначи подходящо лечение. Сериозните анафилактични реакции изискват незабавно спешно приложение на адреналин. Ако е показано, трябва да се приложат кислород, интравенозни стероиди и контрол на дихателните пътища, включително интубация.</w:t>
      </w:r>
    </w:p>
    <w:p w14:paraId="0434FBEF" w14:textId="77777777" w:rsidR="006758C3" w:rsidRDefault="006758C3" w:rsidP="006758C3">
      <w:pPr>
        <w:spacing w:line="240" w:lineRule="auto"/>
        <w:rPr>
          <w:rFonts w:eastAsia="Times New Roman" w:cs="Arial"/>
          <w:b/>
          <w:bCs/>
          <w:color w:val="000000"/>
          <w:lang w:eastAsia="bg-BG"/>
        </w:rPr>
      </w:pPr>
    </w:p>
    <w:p w14:paraId="02A2B735" w14:textId="3F2B8909" w:rsidR="006758C3" w:rsidRPr="006758C3" w:rsidRDefault="006758C3" w:rsidP="006758C3">
      <w:pPr>
        <w:spacing w:line="240" w:lineRule="auto"/>
        <w:rPr>
          <w:rFonts w:eastAsia="Times New Roman" w:cs="Arial"/>
          <w:lang w:eastAsia="bg-BG"/>
        </w:rPr>
      </w:pPr>
      <w:r w:rsidRPr="006758C3">
        <w:rPr>
          <w:rFonts w:eastAsia="Times New Roman" w:cs="Arial"/>
          <w:b/>
          <w:bCs/>
          <w:color w:val="000000"/>
          <w:lang w:eastAsia="bg-BG"/>
        </w:rPr>
        <w:t>Чернодробна дисфункция</w:t>
      </w:r>
    </w:p>
    <w:p w14:paraId="375B20EE" w14:textId="77777777" w:rsidR="006758C3" w:rsidRPr="006758C3" w:rsidRDefault="006758C3" w:rsidP="006758C3">
      <w:pPr>
        <w:spacing w:line="240" w:lineRule="auto"/>
        <w:rPr>
          <w:rFonts w:eastAsia="Times New Roman" w:cs="Arial"/>
          <w:lang w:eastAsia="bg-BG"/>
        </w:rPr>
      </w:pPr>
      <w:r w:rsidRPr="006758C3">
        <w:rPr>
          <w:rFonts w:eastAsia="Times New Roman" w:cs="Arial"/>
          <w:color w:val="000000"/>
          <w:lang w:eastAsia="bg-BG"/>
        </w:rPr>
        <w:t>Цефоперазон основно се екскретира чрез жлъчката. При пациенти с чернодробно заболяване и/или билиарна обструкция серумният полуживот на цефоперазон обикновено се удължава, а екскрецията с урината се увеличава. Дори при пациенти с тежка чернодробна дисфункция се достигат терапевтични концентрации на цефоперазон в жлъчката и се наблюдава само 2 до 4 пъти повишение на полуживота (вижте точка 4.2).</w:t>
      </w:r>
    </w:p>
    <w:p w14:paraId="5F831F48" w14:textId="77777777" w:rsidR="006758C3" w:rsidRDefault="006758C3" w:rsidP="006758C3">
      <w:pPr>
        <w:spacing w:line="240" w:lineRule="auto"/>
        <w:rPr>
          <w:rFonts w:eastAsia="Times New Roman" w:cs="Arial"/>
          <w:b/>
          <w:bCs/>
          <w:color w:val="000000"/>
          <w:lang w:eastAsia="bg-BG"/>
        </w:rPr>
      </w:pPr>
    </w:p>
    <w:p w14:paraId="3E0B188A" w14:textId="7FB1B53F" w:rsidR="006758C3" w:rsidRPr="006758C3" w:rsidRDefault="006758C3" w:rsidP="006758C3">
      <w:pPr>
        <w:spacing w:line="240" w:lineRule="auto"/>
        <w:rPr>
          <w:rFonts w:eastAsia="Times New Roman" w:cs="Arial"/>
          <w:lang w:eastAsia="bg-BG"/>
        </w:rPr>
      </w:pPr>
      <w:r w:rsidRPr="006758C3">
        <w:rPr>
          <w:rFonts w:eastAsia="Times New Roman" w:cs="Arial"/>
          <w:b/>
          <w:bCs/>
          <w:color w:val="000000"/>
          <w:lang w:eastAsia="bg-BG"/>
        </w:rPr>
        <w:t>Общи положения</w:t>
      </w:r>
    </w:p>
    <w:p w14:paraId="36E734C1" w14:textId="77777777" w:rsidR="006758C3" w:rsidRPr="006758C3" w:rsidRDefault="006758C3" w:rsidP="006758C3">
      <w:pPr>
        <w:rPr>
          <w:rFonts w:eastAsia="Times New Roman" w:cs="Arial"/>
          <w:lang w:eastAsia="bg-BG"/>
        </w:rPr>
      </w:pPr>
      <w:r w:rsidRPr="006758C3">
        <w:rPr>
          <w:rFonts w:eastAsia="Times New Roman" w:cs="Arial"/>
          <w:color w:val="000000"/>
          <w:lang w:eastAsia="bg-BG"/>
        </w:rPr>
        <w:t>Както и при други антибиотици, при някои пациенти, лекувани с цефоперазон се наблюдава</w:t>
      </w:r>
      <w:r w:rsidRPr="006758C3">
        <w:rPr>
          <w:rFonts w:eastAsia="Times New Roman" w:cs="Arial"/>
          <w:b/>
          <w:bCs/>
          <w:color w:val="000000"/>
          <w:lang w:eastAsia="bg-BG"/>
        </w:rPr>
        <w:t xml:space="preserve"> </w:t>
      </w:r>
      <w:r w:rsidRPr="006758C3">
        <w:rPr>
          <w:rFonts w:eastAsia="Times New Roman" w:cs="Arial"/>
          <w:color w:val="000000"/>
          <w:lang w:eastAsia="bg-BG"/>
        </w:rPr>
        <w:t>дефицит на витамин К. Механизмът може вероятно да е свързан с потискането на чревната</w:t>
      </w:r>
      <w:r>
        <w:rPr>
          <w:rFonts w:eastAsia="Times New Roman" w:cs="Arial"/>
          <w:lang w:eastAsia="bg-BG"/>
        </w:rPr>
        <w:t xml:space="preserve"> </w:t>
      </w:r>
      <w:r w:rsidRPr="006758C3">
        <w:rPr>
          <w:rFonts w:eastAsia="Times New Roman" w:cs="Arial"/>
          <w:color w:val="000000"/>
          <w:lang w:eastAsia="bg-BG"/>
        </w:rPr>
        <w:t>флора, която нормално синтезира витамин. Рискови са тези пациенти, коиото са с</w:t>
      </w:r>
      <w:r>
        <w:rPr>
          <w:rFonts w:eastAsia="Times New Roman" w:cs="Arial"/>
          <w:color w:val="000000"/>
          <w:lang w:eastAsia="bg-BG"/>
        </w:rPr>
        <w:t xml:space="preserve"> </w:t>
      </w:r>
      <w:r w:rsidRPr="006758C3">
        <w:rPr>
          <w:rFonts w:eastAsia="Times New Roman" w:cs="Arial"/>
          <w:color w:val="000000"/>
          <w:lang w:eastAsia="bg-BG"/>
        </w:rPr>
        <w:t>недохранване, състояние на малабсорбция (например кистична фиброза) и пациенти на режим на продължително интравнозно хранене. При тези пациенти трябва да се проследява протромбиновото време и да се прилага екзогенен витамин К, както е показано.</w:t>
      </w:r>
    </w:p>
    <w:p w14:paraId="3B45C3D0" w14:textId="77777777" w:rsidR="006758C3" w:rsidRDefault="006758C3" w:rsidP="006758C3">
      <w:pPr>
        <w:spacing w:line="240" w:lineRule="auto"/>
        <w:rPr>
          <w:rFonts w:eastAsia="Times New Roman" w:cs="Arial"/>
          <w:color w:val="000000"/>
          <w:lang w:eastAsia="bg-BG"/>
        </w:rPr>
      </w:pPr>
    </w:p>
    <w:p w14:paraId="5EDF9293" w14:textId="3F870E8B" w:rsidR="006758C3" w:rsidRPr="006758C3" w:rsidRDefault="006758C3" w:rsidP="006758C3">
      <w:pPr>
        <w:spacing w:line="240" w:lineRule="auto"/>
        <w:rPr>
          <w:rFonts w:eastAsia="Times New Roman" w:cs="Arial"/>
          <w:lang w:eastAsia="bg-BG"/>
        </w:rPr>
      </w:pPr>
      <w:r w:rsidRPr="006758C3">
        <w:rPr>
          <w:rFonts w:eastAsia="Times New Roman" w:cs="Arial"/>
          <w:color w:val="000000"/>
          <w:lang w:eastAsia="bg-BG"/>
        </w:rPr>
        <w:t>Както и при други антибиотици, може да настъпи свръхрастеж на резистентни микроорганизми при продължителна употреба на цефоперазон. Пациентите трябва да бъдат внимателно проследявани по време на лечението. Както и при други мощни системни средства, по време на продължително лечение е препоръчително да се проверява периодично за системна органна дисфункция, включително на бъбречната, чернодробната и хематопоетичната система. Това е от особена важност при новородените, особено при недоносените и кърмачетата.</w:t>
      </w:r>
    </w:p>
    <w:p w14:paraId="07CC4D2B" w14:textId="77777777" w:rsidR="006758C3" w:rsidRDefault="006758C3" w:rsidP="006758C3">
      <w:pPr>
        <w:spacing w:line="240" w:lineRule="auto"/>
        <w:rPr>
          <w:rFonts w:eastAsia="Times New Roman" w:cs="Arial"/>
          <w:color w:val="000000"/>
          <w:lang w:eastAsia="bg-BG"/>
        </w:rPr>
      </w:pPr>
    </w:p>
    <w:p w14:paraId="4206EFAA" w14:textId="7E75C9D1" w:rsidR="006758C3" w:rsidRPr="006758C3" w:rsidRDefault="006758C3" w:rsidP="006758C3">
      <w:pPr>
        <w:spacing w:line="240" w:lineRule="auto"/>
        <w:rPr>
          <w:rFonts w:eastAsia="Times New Roman" w:cs="Arial"/>
          <w:lang w:eastAsia="bg-BG"/>
        </w:rPr>
      </w:pPr>
      <w:r w:rsidRPr="006758C3">
        <w:rPr>
          <w:rFonts w:eastAsia="Times New Roman" w:cs="Arial"/>
          <w:color w:val="000000"/>
          <w:lang w:eastAsia="bg-BG"/>
        </w:rPr>
        <w:t xml:space="preserve">При почти всички антибактериални средства, включително цефоперазон са съобщавани случаи на диария, причинена от </w:t>
      </w:r>
      <w:r w:rsidRPr="006758C3">
        <w:rPr>
          <w:rFonts w:eastAsia="Times New Roman" w:cs="Arial"/>
          <w:i/>
          <w:iCs/>
          <w:color w:val="000000"/>
          <w:lang w:val="en-US"/>
        </w:rPr>
        <w:t>Clostridium difficile</w:t>
      </w:r>
      <w:r w:rsidRPr="006758C3">
        <w:rPr>
          <w:rFonts w:eastAsia="Times New Roman" w:cs="Arial"/>
          <w:color w:val="000000"/>
          <w:lang w:val="en-US"/>
        </w:rPr>
        <w:t xml:space="preserve"> (CDAD </w:t>
      </w:r>
      <w:r w:rsidRPr="006758C3">
        <w:rPr>
          <w:rFonts w:eastAsia="Times New Roman" w:cs="Arial"/>
          <w:color w:val="000000"/>
          <w:lang w:eastAsia="bg-BG"/>
        </w:rPr>
        <w:t xml:space="preserve">- диария, свързана с </w:t>
      </w:r>
      <w:r w:rsidRPr="006758C3">
        <w:rPr>
          <w:rFonts w:eastAsia="Times New Roman" w:cs="Arial"/>
          <w:i/>
          <w:iCs/>
          <w:color w:val="000000"/>
          <w:lang w:val="en-US"/>
        </w:rPr>
        <w:t>Clostridium difficile).</w:t>
      </w:r>
      <w:r w:rsidRPr="006758C3">
        <w:rPr>
          <w:rFonts w:eastAsia="Times New Roman" w:cs="Arial"/>
          <w:color w:val="000000"/>
          <w:lang w:val="en-US"/>
        </w:rPr>
        <w:t xml:space="preserve"> </w:t>
      </w:r>
      <w:r w:rsidRPr="006758C3">
        <w:rPr>
          <w:rFonts w:eastAsia="Times New Roman" w:cs="Arial"/>
          <w:color w:val="000000"/>
          <w:lang w:eastAsia="bg-BG"/>
        </w:rPr>
        <w:t xml:space="preserve">Тежестта на диарията може да варира от лека диария до фатален колит. Лечението с антибактериални продукти променя нормалната флора на дебелото черво като води до свръхрастеж на </w:t>
      </w:r>
      <w:r w:rsidRPr="006758C3">
        <w:rPr>
          <w:rFonts w:eastAsia="Times New Roman" w:cs="Arial"/>
          <w:i/>
          <w:iCs/>
          <w:color w:val="000000"/>
          <w:lang w:val="en-US"/>
        </w:rPr>
        <w:t>Clostridium difficile.</w:t>
      </w:r>
    </w:p>
    <w:p w14:paraId="2DA80F12" w14:textId="77777777" w:rsidR="006758C3" w:rsidRDefault="006758C3" w:rsidP="006758C3">
      <w:pPr>
        <w:spacing w:line="240" w:lineRule="auto"/>
        <w:rPr>
          <w:rFonts w:eastAsia="Times New Roman" w:cs="Arial"/>
          <w:i/>
          <w:iCs/>
          <w:color w:val="000000"/>
          <w:lang w:val="en-US"/>
        </w:rPr>
      </w:pPr>
    </w:p>
    <w:p w14:paraId="1F251391" w14:textId="43B91003" w:rsidR="006758C3" w:rsidRPr="006758C3" w:rsidRDefault="006758C3" w:rsidP="006758C3">
      <w:pPr>
        <w:spacing w:line="240" w:lineRule="auto"/>
        <w:rPr>
          <w:rFonts w:eastAsia="Times New Roman" w:cs="Arial"/>
          <w:lang w:eastAsia="bg-BG"/>
        </w:rPr>
      </w:pPr>
      <w:r w:rsidRPr="006758C3">
        <w:rPr>
          <w:rFonts w:eastAsia="Times New Roman" w:cs="Arial"/>
          <w:i/>
          <w:iCs/>
          <w:color w:val="000000"/>
          <w:lang w:val="en-US"/>
        </w:rPr>
        <w:t>Clostridium difficile</w:t>
      </w:r>
      <w:r w:rsidRPr="006758C3">
        <w:rPr>
          <w:rFonts w:eastAsia="Times New Roman" w:cs="Arial"/>
          <w:color w:val="000000"/>
          <w:lang w:val="en-US"/>
        </w:rPr>
        <w:t xml:space="preserve"> </w:t>
      </w:r>
      <w:r w:rsidRPr="006758C3">
        <w:rPr>
          <w:rFonts w:eastAsia="Times New Roman" w:cs="Arial"/>
          <w:color w:val="000000"/>
          <w:lang w:eastAsia="bg-BG"/>
        </w:rPr>
        <w:t xml:space="preserve">произвежда токсини А и В, които допринасят за развиване на </w:t>
      </w:r>
      <w:r w:rsidRPr="006758C3">
        <w:rPr>
          <w:rFonts w:eastAsia="Times New Roman" w:cs="Arial"/>
          <w:color w:val="000000"/>
          <w:lang w:val="en-US"/>
        </w:rPr>
        <w:t xml:space="preserve">CDAD. </w:t>
      </w:r>
      <w:r w:rsidRPr="006758C3">
        <w:rPr>
          <w:rFonts w:eastAsia="Times New Roman" w:cs="Arial"/>
          <w:color w:val="000000"/>
          <w:lang w:eastAsia="bg-BG"/>
        </w:rPr>
        <w:t xml:space="preserve">Хипертоксин-продуциращите щамове на </w:t>
      </w:r>
      <w:r w:rsidRPr="006758C3">
        <w:rPr>
          <w:rFonts w:eastAsia="Times New Roman" w:cs="Arial"/>
          <w:i/>
          <w:iCs/>
          <w:color w:val="000000"/>
          <w:lang w:val="en-US"/>
        </w:rPr>
        <w:t>Clostridium difficile</w:t>
      </w:r>
      <w:r w:rsidRPr="006758C3">
        <w:rPr>
          <w:rFonts w:eastAsia="Times New Roman" w:cs="Arial"/>
          <w:color w:val="000000"/>
          <w:lang w:val="en-US"/>
        </w:rPr>
        <w:t xml:space="preserve"> </w:t>
      </w:r>
      <w:r w:rsidRPr="006758C3">
        <w:rPr>
          <w:rFonts w:eastAsia="Times New Roman" w:cs="Arial"/>
          <w:color w:val="000000"/>
          <w:lang w:eastAsia="bg-BG"/>
        </w:rPr>
        <w:t xml:space="preserve">водят до повишена заболеваемост и смъртност, като тези инфекции могат са бъдат рефрактерни на антимикробна терапия и могат да изискват колектомия. </w:t>
      </w:r>
      <w:r w:rsidRPr="006758C3">
        <w:rPr>
          <w:rFonts w:eastAsia="Times New Roman" w:cs="Arial"/>
          <w:color w:val="000000"/>
          <w:lang w:val="en-US"/>
        </w:rPr>
        <w:t xml:space="preserve">CDAD </w:t>
      </w:r>
      <w:r w:rsidRPr="006758C3">
        <w:rPr>
          <w:rFonts w:eastAsia="Times New Roman" w:cs="Arial"/>
          <w:color w:val="000000"/>
          <w:lang w:eastAsia="bg-BG"/>
        </w:rPr>
        <w:t xml:space="preserve">трябва да се има предвид при всички пациенти с диария след употреба на антибиотик. Необходимо е внимателно </w:t>
      </w:r>
      <w:r w:rsidRPr="006758C3">
        <w:rPr>
          <w:rFonts w:eastAsia="Times New Roman" w:cs="Arial"/>
          <w:color w:val="000000"/>
          <w:lang w:eastAsia="bg-BG"/>
        </w:rPr>
        <w:lastRenderedPageBreak/>
        <w:t>снемане на анамнеза, тъй като са съобщавани случаи, при които появата на диария е настъпила след/ за повече от два месеца след приложение на антибактериални агенти.</w:t>
      </w:r>
    </w:p>
    <w:p w14:paraId="56DE73F8" w14:textId="77777777" w:rsidR="006758C3" w:rsidRDefault="006758C3" w:rsidP="006758C3">
      <w:pPr>
        <w:spacing w:line="240" w:lineRule="auto"/>
        <w:rPr>
          <w:rFonts w:eastAsia="Times New Roman" w:cs="Arial"/>
          <w:color w:val="000000"/>
          <w:lang w:eastAsia="bg-BG"/>
        </w:rPr>
      </w:pPr>
    </w:p>
    <w:p w14:paraId="6C6C6E1A" w14:textId="2356E00F" w:rsidR="006758C3" w:rsidRPr="006758C3" w:rsidRDefault="006758C3" w:rsidP="006758C3">
      <w:pPr>
        <w:spacing w:line="240" w:lineRule="auto"/>
        <w:rPr>
          <w:rFonts w:eastAsia="Times New Roman" w:cs="Arial"/>
          <w:lang w:eastAsia="bg-BG"/>
        </w:rPr>
      </w:pPr>
      <w:r w:rsidRPr="006758C3">
        <w:rPr>
          <w:rFonts w:eastAsia="Times New Roman" w:cs="Arial"/>
          <w:color w:val="000000"/>
          <w:lang w:eastAsia="bg-BG"/>
        </w:rPr>
        <w:t>Получени са съобщения за случаи на сериозни кръвоизливи, включително летални, при употреба на цефоперазон. Рискови са тези пациенти, които са с недохранване, състояния на малабсорбция и пациенти на режим на продължително интравенозно хранене. Тези паценти трябва да се проследяват за признаци на кървене, тромбоцитопения и хипопротромбинемия. Цефоперазон трябва да се спре, ако се наблюдава персистиращ кръвоизлив, за който не може да се намери друго обяснение.</w:t>
      </w:r>
    </w:p>
    <w:p w14:paraId="24BC0BBE" w14:textId="77777777" w:rsidR="006758C3" w:rsidRDefault="006758C3" w:rsidP="006758C3">
      <w:pPr>
        <w:spacing w:line="240" w:lineRule="auto"/>
        <w:rPr>
          <w:rFonts w:eastAsia="Times New Roman" w:cs="Arial"/>
          <w:color w:val="000000"/>
          <w:u w:val="single"/>
          <w:lang w:eastAsia="bg-BG"/>
        </w:rPr>
      </w:pPr>
    </w:p>
    <w:p w14:paraId="16C8BFC7" w14:textId="2F13C6BD" w:rsidR="006758C3" w:rsidRPr="006758C3" w:rsidRDefault="006758C3" w:rsidP="006758C3">
      <w:pPr>
        <w:spacing w:line="240" w:lineRule="auto"/>
        <w:rPr>
          <w:rFonts w:eastAsia="Times New Roman" w:cs="Arial"/>
          <w:lang w:eastAsia="bg-BG"/>
        </w:rPr>
      </w:pPr>
      <w:r w:rsidRPr="006758C3">
        <w:rPr>
          <w:rFonts w:eastAsia="Times New Roman" w:cs="Arial"/>
          <w:color w:val="000000"/>
          <w:u w:val="single"/>
          <w:lang w:eastAsia="bg-BG"/>
        </w:rPr>
        <w:t>Педиатрична популация</w:t>
      </w:r>
    </w:p>
    <w:p w14:paraId="2E71F129" w14:textId="77777777" w:rsidR="006758C3" w:rsidRPr="006758C3" w:rsidRDefault="006758C3" w:rsidP="006758C3">
      <w:pPr>
        <w:spacing w:line="240" w:lineRule="auto"/>
        <w:rPr>
          <w:rFonts w:eastAsia="Times New Roman" w:cs="Arial"/>
          <w:lang w:eastAsia="bg-BG"/>
        </w:rPr>
      </w:pPr>
      <w:r w:rsidRPr="006758C3">
        <w:rPr>
          <w:rFonts w:eastAsia="Times New Roman" w:cs="Arial"/>
          <w:color w:val="000000"/>
          <w:lang w:eastAsia="bg-BG"/>
        </w:rPr>
        <w:t>Цефоперазон се прилага успешно при малки деца. Той не е широко проучван при недоносени кърмачета и новородени деца. Ето защо, преди назначаване на терапия при недоносени кърмачета и новородени е необходимо да се оцени потенциалната полза спрямо потенциалния риск (вижте точка 5.3).</w:t>
      </w:r>
    </w:p>
    <w:p w14:paraId="76665EE9" w14:textId="77777777" w:rsidR="006758C3" w:rsidRDefault="006758C3" w:rsidP="006758C3">
      <w:pPr>
        <w:spacing w:line="240" w:lineRule="auto"/>
        <w:rPr>
          <w:rFonts w:eastAsia="Times New Roman" w:cs="Arial"/>
          <w:color w:val="000000"/>
          <w:lang w:eastAsia="bg-BG"/>
        </w:rPr>
      </w:pPr>
    </w:p>
    <w:p w14:paraId="643D90C0" w14:textId="5D1B2BA6" w:rsidR="006758C3" w:rsidRPr="006758C3" w:rsidRDefault="006758C3" w:rsidP="006758C3">
      <w:pPr>
        <w:spacing w:line="240" w:lineRule="auto"/>
        <w:rPr>
          <w:rFonts w:eastAsia="Times New Roman" w:cs="Arial"/>
          <w:lang w:eastAsia="bg-BG"/>
        </w:rPr>
      </w:pPr>
      <w:r w:rsidRPr="006758C3">
        <w:rPr>
          <w:rFonts w:eastAsia="Times New Roman" w:cs="Arial"/>
          <w:color w:val="000000"/>
          <w:lang w:eastAsia="bg-BG"/>
        </w:rPr>
        <w:t>При новородени с жълтеница цефоперазон не измества билирубина от местата му на свързване с плазмените протеини.</w:t>
      </w:r>
    </w:p>
    <w:p w14:paraId="42C9B595" w14:textId="77777777" w:rsidR="006758C3" w:rsidRDefault="006758C3" w:rsidP="006758C3">
      <w:pPr>
        <w:spacing w:line="240" w:lineRule="auto"/>
        <w:rPr>
          <w:rFonts w:eastAsia="Times New Roman" w:cs="Arial"/>
          <w:color w:val="000000"/>
          <w:lang w:eastAsia="bg-BG"/>
        </w:rPr>
      </w:pPr>
    </w:p>
    <w:p w14:paraId="59F286C7" w14:textId="50540828" w:rsidR="006758C3" w:rsidRPr="006758C3" w:rsidRDefault="006758C3" w:rsidP="006758C3">
      <w:pPr>
        <w:spacing w:line="240" w:lineRule="auto"/>
        <w:rPr>
          <w:rFonts w:eastAsia="Times New Roman" w:cs="Arial"/>
          <w:color w:val="000000"/>
          <w:lang w:eastAsia="bg-BG"/>
        </w:rPr>
      </w:pPr>
      <w:r w:rsidRPr="006758C3">
        <w:rPr>
          <w:rFonts w:eastAsia="Times New Roman" w:cs="Arial"/>
          <w:color w:val="000000"/>
          <w:lang w:eastAsia="bg-BG"/>
        </w:rPr>
        <w:t xml:space="preserve">Медоцеф съдържа 34,4 </w:t>
      </w:r>
      <w:r w:rsidRPr="006758C3">
        <w:rPr>
          <w:rFonts w:eastAsia="Times New Roman" w:cs="Arial"/>
          <w:color w:val="000000"/>
          <w:lang w:val="en-US"/>
        </w:rPr>
        <w:t xml:space="preserve">mg </w:t>
      </w:r>
      <w:r w:rsidRPr="006758C3">
        <w:rPr>
          <w:rFonts w:eastAsia="Times New Roman" w:cs="Arial"/>
          <w:color w:val="000000"/>
          <w:lang w:eastAsia="bg-BG"/>
        </w:rPr>
        <w:t xml:space="preserve">натрий на един флакон от 1 </w:t>
      </w:r>
      <w:r w:rsidRPr="006758C3">
        <w:rPr>
          <w:rFonts w:eastAsia="Times New Roman" w:cs="Arial"/>
          <w:color w:val="000000"/>
          <w:lang w:val="en-US"/>
        </w:rPr>
        <w:t xml:space="preserve">g </w:t>
      </w:r>
      <w:r w:rsidRPr="006758C3">
        <w:rPr>
          <w:rFonts w:eastAsia="Times New Roman" w:cs="Arial"/>
          <w:color w:val="000000"/>
          <w:lang w:eastAsia="bg-BG"/>
        </w:rPr>
        <w:t xml:space="preserve">и 68,8 </w:t>
      </w:r>
      <w:r w:rsidRPr="006758C3">
        <w:rPr>
          <w:rFonts w:eastAsia="Times New Roman" w:cs="Arial"/>
          <w:color w:val="000000"/>
          <w:lang w:val="en-US"/>
        </w:rPr>
        <w:t xml:space="preserve">mg </w:t>
      </w:r>
      <w:r w:rsidRPr="006758C3">
        <w:rPr>
          <w:rFonts w:eastAsia="Times New Roman" w:cs="Arial"/>
          <w:color w:val="000000"/>
          <w:lang w:eastAsia="bg-BG"/>
        </w:rPr>
        <w:t xml:space="preserve">натрий на един флакон от 2 </w:t>
      </w:r>
      <w:r w:rsidRPr="006758C3">
        <w:rPr>
          <w:rFonts w:eastAsia="Times New Roman" w:cs="Arial"/>
          <w:color w:val="000000"/>
          <w:lang w:val="en-US"/>
        </w:rPr>
        <w:t xml:space="preserve">g. </w:t>
      </w:r>
      <w:r w:rsidRPr="006758C3">
        <w:rPr>
          <w:rFonts w:eastAsia="Times New Roman" w:cs="Arial"/>
          <w:color w:val="000000"/>
          <w:lang w:eastAsia="bg-BG"/>
        </w:rPr>
        <w:t>Това трябва да се има предвид при пациенти на диета с ограничен прием на натрий.</w:t>
      </w:r>
    </w:p>
    <w:p w14:paraId="3602079A" w14:textId="77777777" w:rsidR="006758C3" w:rsidRPr="006758C3" w:rsidRDefault="006758C3" w:rsidP="006758C3">
      <w:pPr>
        <w:spacing w:line="240" w:lineRule="auto"/>
        <w:rPr>
          <w:rFonts w:eastAsia="Times New Roman" w:cs="Arial"/>
          <w:lang w:eastAsia="bg-BG"/>
        </w:rPr>
      </w:pPr>
    </w:p>
    <w:p w14:paraId="1DA47448" w14:textId="4F47E0CE"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13882A36" w14:textId="69C81841" w:rsidR="006758C3" w:rsidRDefault="006758C3" w:rsidP="006758C3"/>
    <w:p w14:paraId="3CBEA633" w14:textId="77777777" w:rsidR="006758C3" w:rsidRPr="006758C3" w:rsidRDefault="006758C3" w:rsidP="006758C3">
      <w:pPr>
        <w:spacing w:line="240" w:lineRule="auto"/>
        <w:rPr>
          <w:rFonts w:eastAsia="Times New Roman" w:cs="Arial"/>
          <w:lang w:eastAsia="bg-BG"/>
        </w:rPr>
      </w:pPr>
      <w:r w:rsidRPr="006758C3">
        <w:rPr>
          <w:rFonts w:eastAsia="Times New Roman" w:cs="Arial"/>
          <w:b/>
          <w:bCs/>
          <w:color w:val="000000"/>
          <w:lang w:eastAsia="bg-BG"/>
        </w:rPr>
        <w:t>Алкохол</w:t>
      </w:r>
    </w:p>
    <w:p w14:paraId="78FAB895" w14:textId="77777777" w:rsidR="006758C3" w:rsidRPr="006758C3" w:rsidRDefault="006758C3" w:rsidP="006758C3">
      <w:pPr>
        <w:spacing w:line="240" w:lineRule="auto"/>
        <w:rPr>
          <w:rFonts w:eastAsia="Times New Roman" w:cs="Arial"/>
          <w:lang w:eastAsia="bg-BG"/>
        </w:rPr>
      </w:pPr>
      <w:r w:rsidRPr="006758C3">
        <w:rPr>
          <w:rFonts w:eastAsia="Times New Roman" w:cs="Arial"/>
          <w:color w:val="000000"/>
          <w:lang w:eastAsia="bg-BG"/>
        </w:rPr>
        <w:t>При едновременен прием на алкохол или употребата му 5 дни след лечението с цефоперазон е съобщавана дисулфирам-подобна реакция, характеризираща се със зачервяване, изпотяване, главоболие и тахикардия. Подобна реакция е съобщавана и при някои други цефалоспорини и пациентите трябва да бъдат посъветвани за опа</w:t>
      </w:r>
      <w:r w:rsidRPr="006758C3">
        <w:rPr>
          <w:rFonts w:eastAsia="Times New Roman" w:cs="Arial"/>
          <w:color w:val="000000"/>
          <w:u w:val="single"/>
          <w:lang w:eastAsia="bg-BG"/>
        </w:rPr>
        <w:t>сност</w:t>
      </w:r>
      <w:r w:rsidRPr="006758C3">
        <w:rPr>
          <w:rFonts w:eastAsia="Times New Roman" w:cs="Arial"/>
          <w:color w:val="000000"/>
          <w:lang w:eastAsia="bg-BG"/>
        </w:rPr>
        <w:t>та от приема на алкохол по време на лечението с цефоперазон. При пациентите при които е необходимо изкуствено перорално и парентерално хранене, по време на лечението трябва да се избягват разтвори, които съдържат етанол.</w:t>
      </w:r>
    </w:p>
    <w:p w14:paraId="1FF48CEE" w14:textId="77777777" w:rsidR="006758C3" w:rsidRPr="006758C3" w:rsidRDefault="006758C3" w:rsidP="006758C3">
      <w:pPr>
        <w:spacing w:line="240" w:lineRule="auto"/>
        <w:rPr>
          <w:rFonts w:eastAsia="Times New Roman" w:cs="Arial"/>
          <w:b/>
          <w:bCs/>
          <w:color w:val="000000"/>
          <w:lang w:eastAsia="bg-BG"/>
        </w:rPr>
      </w:pPr>
    </w:p>
    <w:p w14:paraId="458825F6" w14:textId="3CB251AF" w:rsidR="006758C3" w:rsidRPr="006758C3" w:rsidRDefault="006758C3" w:rsidP="006758C3">
      <w:pPr>
        <w:spacing w:line="240" w:lineRule="auto"/>
        <w:rPr>
          <w:rFonts w:eastAsia="Times New Roman" w:cs="Arial"/>
          <w:lang w:eastAsia="bg-BG"/>
        </w:rPr>
      </w:pPr>
      <w:r w:rsidRPr="006758C3">
        <w:rPr>
          <w:rFonts w:eastAsia="Times New Roman" w:cs="Arial"/>
          <w:b/>
          <w:bCs/>
          <w:color w:val="000000"/>
          <w:lang w:eastAsia="bg-BG"/>
        </w:rPr>
        <w:t>Взаимодействия с лабораторни изследвания</w:t>
      </w:r>
    </w:p>
    <w:p w14:paraId="3C57701F" w14:textId="3B776050" w:rsidR="006758C3" w:rsidRDefault="006758C3" w:rsidP="006758C3">
      <w:r>
        <w:t>Може да се получи фалшиво положителен резултат от тест за глюкоза в урината по метода на Бенедикт и Фелинг.</w:t>
      </w:r>
    </w:p>
    <w:p w14:paraId="6DB6A4FE" w14:textId="77777777" w:rsidR="006758C3" w:rsidRPr="006758C3" w:rsidRDefault="006758C3" w:rsidP="006758C3"/>
    <w:p w14:paraId="48846BBA" w14:textId="2D96C524" w:rsidR="009F77A4" w:rsidRDefault="002C50EE" w:rsidP="00387A66">
      <w:pPr>
        <w:pStyle w:val="Heading2"/>
      </w:pPr>
      <w:r>
        <w:t>4.6. Фертилитет, бременност и кърмене</w:t>
      </w:r>
    </w:p>
    <w:p w14:paraId="0C15CD73" w14:textId="12E48C80" w:rsidR="006758C3" w:rsidRDefault="006758C3" w:rsidP="006758C3"/>
    <w:p w14:paraId="2CFCF8AA" w14:textId="77777777" w:rsidR="006758C3" w:rsidRPr="006758C3" w:rsidRDefault="006758C3" w:rsidP="006758C3">
      <w:pPr>
        <w:spacing w:line="240" w:lineRule="auto"/>
        <w:rPr>
          <w:rFonts w:eastAsia="Times New Roman" w:cs="Arial"/>
          <w:lang w:eastAsia="bg-BG"/>
        </w:rPr>
      </w:pPr>
      <w:r w:rsidRPr="006758C3">
        <w:rPr>
          <w:rFonts w:eastAsia="Times New Roman" w:cs="Arial"/>
          <w:color w:val="000000"/>
          <w:u w:val="single"/>
          <w:lang w:eastAsia="bg-BG"/>
        </w:rPr>
        <w:t>Бременност</w:t>
      </w:r>
    </w:p>
    <w:p w14:paraId="7FDC6334" w14:textId="77777777" w:rsidR="006758C3" w:rsidRPr="006758C3" w:rsidRDefault="006758C3" w:rsidP="006758C3">
      <w:pPr>
        <w:spacing w:line="240" w:lineRule="auto"/>
        <w:rPr>
          <w:rFonts w:eastAsia="Times New Roman" w:cs="Arial"/>
          <w:lang w:eastAsia="bg-BG"/>
        </w:rPr>
      </w:pPr>
      <w:r w:rsidRPr="006758C3">
        <w:rPr>
          <w:rFonts w:eastAsia="Times New Roman" w:cs="Arial"/>
          <w:color w:val="000000"/>
          <w:lang w:eastAsia="bg-BG"/>
        </w:rPr>
        <w:t>Проведени са репродуктивни проучвания при мишки, плъхове и маймуни с дози до 10 пъти по-високи дози от тези при хора, които не откриват доказателства за увреждане на фертилитета и не показват наличие на тератогенни свойства. Не са провеждани съответни и добре контролирани проучвания при бременни жени. Тъй като репродуктивните проучвания при животни не винаги предсказват отговора при хора, това лекарство трябва да се използва по време на бременност само при доказана необходимост.</w:t>
      </w:r>
    </w:p>
    <w:p w14:paraId="71EE3783" w14:textId="77777777" w:rsidR="006758C3" w:rsidRPr="006758C3" w:rsidRDefault="006758C3" w:rsidP="006758C3">
      <w:pPr>
        <w:spacing w:line="240" w:lineRule="auto"/>
        <w:rPr>
          <w:rFonts w:eastAsia="Times New Roman" w:cs="Arial"/>
          <w:color w:val="000000"/>
          <w:u w:val="single"/>
          <w:lang w:eastAsia="bg-BG"/>
        </w:rPr>
      </w:pPr>
    </w:p>
    <w:p w14:paraId="44D6ACBD" w14:textId="33201C66" w:rsidR="006758C3" w:rsidRPr="006758C3" w:rsidRDefault="006758C3" w:rsidP="006758C3">
      <w:pPr>
        <w:spacing w:line="240" w:lineRule="auto"/>
        <w:rPr>
          <w:rFonts w:eastAsia="Times New Roman" w:cs="Arial"/>
          <w:lang w:eastAsia="bg-BG"/>
        </w:rPr>
      </w:pPr>
      <w:r w:rsidRPr="006758C3">
        <w:rPr>
          <w:rFonts w:eastAsia="Times New Roman" w:cs="Arial"/>
          <w:color w:val="000000"/>
          <w:u w:val="single"/>
          <w:lang w:eastAsia="bg-BG"/>
        </w:rPr>
        <w:t>Кърмене</w:t>
      </w:r>
    </w:p>
    <w:p w14:paraId="7AADA965" w14:textId="77777777" w:rsidR="006758C3" w:rsidRPr="006758C3" w:rsidRDefault="006758C3" w:rsidP="006758C3">
      <w:pPr>
        <w:spacing w:line="240" w:lineRule="auto"/>
        <w:rPr>
          <w:rFonts w:eastAsia="Times New Roman" w:cs="Arial"/>
          <w:lang w:eastAsia="bg-BG"/>
        </w:rPr>
      </w:pPr>
      <w:r w:rsidRPr="006758C3">
        <w:rPr>
          <w:rFonts w:eastAsia="Times New Roman" w:cs="Arial"/>
          <w:color w:val="000000"/>
          <w:lang w:eastAsia="bg-BG"/>
        </w:rPr>
        <w:t>Цефоперазон се екскретира в малки количества в кърмата. Въпреки че цефоперазон преминава слабо в кърмата, той трябва да се прилага с внимание при жени, които кърмят.</w:t>
      </w:r>
    </w:p>
    <w:p w14:paraId="64EED773" w14:textId="77777777" w:rsidR="006758C3" w:rsidRPr="006758C3" w:rsidRDefault="006758C3" w:rsidP="006758C3"/>
    <w:p w14:paraId="321AAB00" w14:textId="518B1DA0" w:rsidR="009F77A4" w:rsidRDefault="002C50EE" w:rsidP="00387A66">
      <w:pPr>
        <w:pStyle w:val="Heading2"/>
      </w:pPr>
      <w:r>
        <w:t>4.7. Ефекти върху способността за шофиране и работа с машини</w:t>
      </w:r>
    </w:p>
    <w:p w14:paraId="60FC656E" w14:textId="4DCC12CA" w:rsidR="006758C3" w:rsidRDefault="006758C3" w:rsidP="006758C3"/>
    <w:p w14:paraId="52ECF10A" w14:textId="23AAFC6A" w:rsidR="006758C3" w:rsidRPr="00152B0C" w:rsidRDefault="006758C3" w:rsidP="006758C3">
      <w:r>
        <w:t>Клиничният опит с цефоперазон показва, че е малко вероятно той да повлияе способността на пациентите за шофиране и работа с машини.</w:t>
      </w:r>
    </w:p>
    <w:p w14:paraId="667D314B" w14:textId="77777777" w:rsidR="006758C3" w:rsidRPr="006758C3" w:rsidRDefault="006758C3" w:rsidP="006758C3"/>
    <w:p w14:paraId="136C86B8" w14:textId="71A22EA5" w:rsidR="009F77A4" w:rsidRDefault="002C50EE" w:rsidP="00387A66">
      <w:pPr>
        <w:pStyle w:val="Heading2"/>
      </w:pPr>
      <w:r>
        <w:t>4.8. Нежелани лекарствени реакции</w:t>
      </w:r>
    </w:p>
    <w:p w14:paraId="75E45C5C" w14:textId="54B82F54" w:rsidR="00152B0C" w:rsidRDefault="00152B0C" w:rsidP="00152B0C"/>
    <w:tbl>
      <w:tblPr>
        <w:tblStyle w:val="TableGrid"/>
        <w:tblW w:w="0" w:type="auto"/>
        <w:tblLook w:val="04A0" w:firstRow="1" w:lastRow="0" w:firstColumn="1" w:lastColumn="0" w:noHBand="0" w:noVBand="1"/>
      </w:tblPr>
      <w:tblGrid>
        <w:gridCol w:w="1758"/>
        <w:gridCol w:w="1679"/>
        <w:gridCol w:w="2266"/>
        <w:gridCol w:w="1690"/>
        <w:gridCol w:w="1957"/>
      </w:tblGrid>
      <w:tr w:rsidR="00152B0C" w14:paraId="79DFD70E" w14:textId="77777777" w:rsidTr="00152B0C">
        <w:tc>
          <w:tcPr>
            <w:tcW w:w="1816" w:type="dxa"/>
          </w:tcPr>
          <w:p w14:paraId="6F88F64B" w14:textId="39D66155" w:rsidR="00152B0C" w:rsidRPr="00152B0C" w:rsidRDefault="00152B0C" w:rsidP="00152B0C">
            <w:r w:rsidRPr="00152B0C">
              <w:rPr>
                <w:b/>
                <w:bCs/>
              </w:rPr>
              <w:t>Система орган клас</w:t>
            </w:r>
          </w:p>
        </w:tc>
        <w:tc>
          <w:tcPr>
            <w:tcW w:w="1769" w:type="dxa"/>
          </w:tcPr>
          <w:p w14:paraId="745D83B1" w14:textId="7060DAC2" w:rsidR="00152B0C" w:rsidRPr="00152B0C" w:rsidRDefault="00152B0C" w:rsidP="00152B0C">
            <w:r w:rsidRPr="00152B0C">
              <w:rPr>
                <w:b/>
                <w:bCs/>
              </w:rPr>
              <w:t xml:space="preserve">Много чести </w:t>
            </w:r>
            <w:r w:rsidRPr="00152B0C">
              <w:t>(≥1/10)</w:t>
            </w:r>
          </w:p>
        </w:tc>
        <w:tc>
          <w:tcPr>
            <w:tcW w:w="2266" w:type="dxa"/>
          </w:tcPr>
          <w:p w14:paraId="42922598" w14:textId="4EB53F5C" w:rsidR="00152B0C" w:rsidRPr="00152B0C" w:rsidRDefault="00152B0C" w:rsidP="00152B0C">
            <w:r w:rsidRPr="00152B0C">
              <w:rPr>
                <w:b/>
                <w:bCs/>
              </w:rPr>
              <w:t xml:space="preserve">Чести </w:t>
            </w:r>
            <w:r w:rsidRPr="00152B0C">
              <w:t>(≥1/100 до &lt;1/10)</w:t>
            </w:r>
          </w:p>
        </w:tc>
        <w:tc>
          <w:tcPr>
            <w:tcW w:w="1768" w:type="dxa"/>
          </w:tcPr>
          <w:p w14:paraId="1A4C8211" w14:textId="77777777" w:rsidR="00152B0C" w:rsidRPr="00152B0C" w:rsidRDefault="00152B0C" w:rsidP="00152B0C">
            <w:r w:rsidRPr="00152B0C">
              <w:rPr>
                <w:b/>
                <w:bCs/>
              </w:rPr>
              <w:t>Нечести</w:t>
            </w:r>
          </w:p>
          <w:p w14:paraId="04269142" w14:textId="77777777" w:rsidR="00152B0C" w:rsidRPr="00152B0C" w:rsidRDefault="00152B0C" w:rsidP="00152B0C">
            <w:r w:rsidRPr="00152B0C">
              <w:t>(≥1/1 000 до</w:t>
            </w:r>
          </w:p>
          <w:p w14:paraId="7BB921A4" w14:textId="569F449A" w:rsidR="00152B0C" w:rsidRPr="00152B0C" w:rsidRDefault="00152B0C" w:rsidP="00152B0C">
            <w:r w:rsidRPr="00152B0C">
              <w:t>&lt;1/100)</w:t>
            </w:r>
          </w:p>
        </w:tc>
        <w:tc>
          <w:tcPr>
            <w:tcW w:w="1957" w:type="dxa"/>
          </w:tcPr>
          <w:p w14:paraId="3717A78E" w14:textId="77777777" w:rsidR="00152B0C" w:rsidRPr="00152B0C" w:rsidRDefault="00152B0C" w:rsidP="00152B0C">
            <w:r w:rsidRPr="00152B0C">
              <w:rPr>
                <w:b/>
                <w:bCs/>
                <w:i/>
                <w:iCs/>
              </w:rPr>
              <w:t>С</w:t>
            </w:r>
            <w:r w:rsidRPr="00152B0C">
              <w:rPr>
                <w:b/>
                <w:bCs/>
              </w:rPr>
              <w:t xml:space="preserve"> неизвестна честота</w:t>
            </w:r>
          </w:p>
          <w:p w14:paraId="2183C3BC" w14:textId="77777777" w:rsidR="00152B0C" w:rsidRPr="00152B0C" w:rsidRDefault="00152B0C" w:rsidP="00152B0C">
            <w:r w:rsidRPr="00152B0C">
              <w:t>(не може да бъде направена</w:t>
            </w:r>
          </w:p>
          <w:p w14:paraId="56F8D245" w14:textId="77777777" w:rsidR="00152B0C" w:rsidRPr="00152B0C" w:rsidRDefault="00152B0C" w:rsidP="00152B0C">
            <w:r w:rsidRPr="00152B0C">
              <w:t>оценка</w:t>
            </w:r>
            <w:r w:rsidRPr="00152B0C">
              <w:tab/>
              <w:t>от</w:t>
            </w:r>
          </w:p>
          <w:p w14:paraId="084C803A" w14:textId="22A78C24" w:rsidR="00152B0C" w:rsidRPr="00152B0C" w:rsidRDefault="00152B0C" w:rsidP="00152B0C">
            <w:r w:rsidRPr="00152B0C">
              <w:t>наличните данни)</w:t>
            </w:r>
          </w:p>
        </w:tc>
      </w:tr>
      <w:tr w:rsidR="00152B0C" w14:paraId="4BC8ACDA" w14:textId="77777777" w:rsidTr="00152B0C">
        <w:tc>
          <w:tcPr>
            <w:tcW w:w="1816" w:type="dxa"/>
          </w:tcPr>
          <w:p w14:paraId="10B80A36" w14:textId="77777777" w:rsidR="00152B0C" w:rsidRPr="00152B0C" w:rsidRDefault="00152B0C" w:rsidP="00152B0C">
            <w:r w:rsidRPr="00152B0C">
              <w:t>Нарушения на кръвта</w:t>
            </w:r>
            <w:r w:rsidRPr="00152B0C">
              <w:tab/>
              <w:t>и</w:t>
            </w:r>
          </w:p>
          <w:p w14:paraId="1B4A37D0" w14:textId="7F6C77E1" w:rsidR="00152B0C" w:rsidRPr="00152B0C" w:rsidRDefault="00152B0C" w:rsidP="00152B0C">
            <w:r w:rsidRPr="00152B0C">
              <w:t>лимфната система</w:t>
            </w:r>
          </w:p>
        </w:tc>
        <w:tc>
          <w:tcPr>
            <w:tcW w:w="1769" w:type="dxa"/>
          </w:tcPr>
          <w:p w14:paraId="094BE6A1" w14:textId="7F3FF0C4" w:rsidR="00152B0C" w:rsidRPr="00152B0C" w:rsidRDefault="00152B0C" w:rsidP="00152B0C">
            <w:r w:rsidRPr="00152B0C">
              <w:t>Понижен хемоглобин Понижен хематокрит</w:t>
            </w:r>
          </w:p>
        </w:tc>
        <w:tc>
          <w:tcPr>
            <w:tcW w:w="2266" w:type="dxa"/>
          </w:tcPr>
          <w:p w14:paraId="53047D1F" w14:textId="77777777" w:rsidR="00152B0C" w:rsidRPr="00152B0C" w:rsidRDefault="00152B0C" w:rsidP="00152B0C">
            <w:r w:rsidRPr="00152B0C">
              <w:t>Неутропения, Положителни резултати от Тест на</w:t>
            </w:r>
            <w:r w:rsidRPr="00152B0C">
              <w:tab/>
              <w:t>Кумбс,</w:t>
            </w:r>
          </w:p>
          <w:p w14:paraId="3FDB6D94" w14:textId="6E40FA15" w:rsidR="00152B0C" w:rsidRPr="00152B0C" w:rsidRDefault="00152B0C" w:rsidP="00152B0C">
            <w:r w:rsidRPr="00152B0C">
              <w:t>Тромбоцитопения, Еозинофилия</w:t>
            </w:r>
          </w:p>
        </w:tc>
        <w:tc>
          <w:tcPr>
            <w:tcW w:w="1768" w:type="dxa"/>
          </w:tcPr>
          <w:p w14:paraId="60079E5B" w14:textId="77777777" w:rsidR="00152B0C" w:rsidRPr="00152B0C" w:rsidRDefault="00152B0C" w:rsidP="00152B0C"/>
        </w:tc>
        <w:tc>
          <w:tcPr>
            <w:tcW w:w="1957" w:type="dxa"/>
          </w:tcPr>
          <w:p w14:paraId="1F52EFDD" w14:textId="4DC6E014" w:rsidR="00152B0C" w:rsidRPr="00152B0C" w:rsidRDefault="00152B0C" w:rsidP="00152B0C">
            <w:r w:rsidRPr="00152B0C">
              <w:t>Хипопротромби- немия</w:t>
            </w:r>
          </w:p>
        </w:tc>
      </w:tr>
      <w:tr w:rsidR="00152B0C" w14:paraId="05A5F02D" w14:textId="77777777" w:rsidTr="00152B0C">
        <w:tc>
          <w:tcPr>
            <w:tcW w:w="1816" w:type="dxa"/>
          </w:tcPr>
          <w:p w14:paraId="6C9C108B" w14:textId="618F4132" w:rsidR="00152B0C" w:rsidRPr="00152B0C" w:rsidRDefault="00152B0C" w:rsidP="00152B0C">
            <w:r w:rsidRPr="00152B0C">
              <w:t>Нарушения на имунната система</w:t>
            </w:r>
          </w:p>
        </w:tc>
        <w:tc>
          <w:tcPr>
            <w:tcW w:w="1769" w:type="dxa"/>
          </w:tcPr>
          <w:p w14:paraId="3A338D2C" w14:textId="77777777" w:rsidR="00152B0C" w:rsidRPr="00152B0C" w:rsidRDefault="00152B0C" w:rsidP="00152B0C"/>
        </w:tc>
        <w:tc>
          <w:tcPr>
            <w:tcW w:w="2266" w:type="dxa"/>
          </w:tcPr>
          <w:p w14:paraId="66BBA161" w14:textId="77777777" w:rsidR="00152B0C" w:rsidRPr="00152B0C" w:rsidRDefault="00152B0C" w:rsidP="00152B0C"/>
        </w:tc>
        <w:tc>
          <w:tcPr>
            <w:tcW w:w="1768" w:type="dxa"/>
          </w:tcPr>
          <w:p w14:paraId="472B029E" w14:textId="77777777" w:rsidR="00152B0C" w:rsidRPr="00152B0C" w:rsidRDefault="00152B0C" w:rsidP="00152B0C"/>
        </w:tc>
        <w:tc>
          <w:tcPr>
            <w:tcW w:w="1957" w:type="dxa"/>
          </w:tcPr>
          <w:p w14:paraId="4FC50483" w14:textId="77777777" w:rsidR="00152B0C" w:rsidRPr="00152B0C" w:rsidRDefault="00152B0C" w:rsidP="00152B0C">
            <w:r w:rsidRPr="00152B0C">
              <w:t>Реакции</w:t>
            </w:r>
            <w:r w:rsidRPr="00152B0C">
              <w:tab/>
              <w:t>на</w:t>
            </w:r>
          </w:p>
          <w:p w14:paraId="58105551" w14:textId="544AFE44" w:rsidR="00152B0C" w:rsidRPr="00152B0C" w:rsidRDefault="00152B0C" w:rsidP="00152B0C">
            <w:r w:rsidRPr="00152B0C">
              <w:t>свръхчувствител ност, анафилактоидни реакции (включително анафилактичен шок)</w:t>
            </w:r>
          </w:p>
        </w:tc>
      </w:tr>
      <w:tr w:rsidR="00152B0C" w14:paraId="0F56219F" w14:textId="77777777" w:rsidTr="00152B0C">
        <w:tc>
          <w:tcPr>
            <w:tcW w:w="1816" w:type="dxa"/>
          </w:tcPr>
          <w:p w14:paraId="49FBA977" w14:textId="5C094706" w:rsidR="00152B0C" w:rsidRPr="00152B0C" w:rsidRDefault="00152B0C" w:rsidP="00152B0C">
            <w:r w:rsidRPr="00152B0C">
              <w:t>Съдови нарушения</w:t>
            </w:r>
          </w:p>
        </w:tc>
        <w:tc>
          <w:tcPr>
            <w:tcW w:w="1769" w:type="dxa"/>
          </w:tcPr>
          <w:p w14:paraId="56A12022" w14:textId="77777777" w:rsidR="00152B0C" w:rsidRPr="00152B0C" w:rsidRDefault="00152B0C" w:rsidP="00152B0C"/>
        </w:tc>
        <w:tc>
          <w:tcPr>
            <w:tcW w:w="2266" w:type="dxa"/>
          </w:tcPr>
          <w:p w14:paraId="7E5A9363" w14:textId="6AF6A697" w:rsidR="00152B0C" w:rsidRPr="00152B0C" w:rsidRDefault="00152B0C" w:rsidP="00152B0C">
            <w:r w:rsidRPr="00152B0C">
              <w:t>Флебит на мястото на инфузия</w:t>
            </w:r>
          </w:p>
        </w:tc>
        <w:tc>
          <w:tcPr>
            <w:tcW w:w="1768" w:type="dxa"/>
          </w:tcPr>
          <w:p w14:paraId="73D53167" w14:textId="77777777" w:rsidR="00152B0C" w:rsidRPr="00152B0C" w:rsidRDefault="00152B0C" w:rsidP="00152B0C"/>
        </w:tc>
        <w:tc>
          <w:tcPr>
            <w:tcW w:w="1957" w:type="dxa"/>
          </w:tcPr>
          <w:p w14:paraId="54D520BF" w14:textId="1361E0E6" w:rsidR="00152B0C" w:rsidRPr="00152B0C" w:rsidRDefault="00152B0C" w:rsidP="00152B0C">
            <w:r w:rsidRPr="00152B0C">
              <w:t>Кръвоизлив</w:t>
            </w:r>
          </w:p>
        </w:tc>
      </w:tr>
      <w:tr w:rsidR="00152B0C" w14:paraId="4F3D0069" w14:textId="77777777" w:rsidTr="00152B0C">
        <w:tc>
          <w:tcPr>
            <w:tcW w:w="1816" w:type="dxa"/>
          </w:tcPr>
          <w:p w14:paraId="76548941" w14:textId="2CFD9CB7" w:rsidR="00152B0C" w:rsidRPr="00152B0C" w:rsidRDefault="00152B0C" w:rsidP="00152B0C">
            <w:r w:rsidRPr="00152B0C">
              <w:t>Стомашно- чревни нарушения</w:t>
            </w:r>
          </w:p>
        </w:tc>
        <w:tc>
          <w:tcPr>
            <w:tcW w:w="1769" w:type="dxa"/>
          </w:tcPr>
          <w:p w14:paraId="2422812B" w14:textId="77777777" w:rsidR="00152B0C" w:rsidRPr="00152B0C" w:rsidRDefault="00152B0C" w:rsidP="00152B0C"/>
        </w:tc>
        <w:tc>
          <w:tcPr>
            <w:tcW w:w="2266" w:type="dxa"/>
          </w:tcPr>
          <w:p w14:paraId="5AC22084" w14:textId="1871E50F" w:rsidR="00152B0C" w:rsidRPr="00152B0C" w:rsidRDefault="00152B0C" w:rsidP="00152B0C">
            <w:r w:rsidRPr="00152B0C">
              <w:t>Диария</w:t>
            </w:r>
          </w:p>
        </w:tc>
        <w:tc>
          <w:tcPr>
            <w:tcW w:w="1768" w:type="dxa"/>
          </w:tcPr>
          <w:p w14:paraId="6466563F" w14:textId="646D3C5A" w:rsidR="00152B0C" w:rsidRPr="00152B0C" w:rsidRDefault="00152B0C" w:rsidP="00152B0C">
            <w:r w:rsidRPr="00152B0C">
              <w:t>Повръщане</w:t>
            </w:r>
          </w:p>
        </w:tc>
        <w:tc>
          <w:tcPr>
            <w:tcW w:w="1957" w:type="dxa"/>
          </w:tcPr>
          <w:p w14:paraId="4507971D" w14:textId="4DB1229C" w:rsidR="00152B0C" w:rsidRPr="00152B0C" w:rsidRDefault="00152B0C" w:rsidP="00152B0C">
            <w:r w:rsidRPr="00152B0C">
              <w:t>Псевдомембра- нозен колит</w:t>
            </w:r>
          </w:p>
        </w:tc>
      </w:tr>
      <w:tr w:rsidR="00152B0C" w14:paraId="37C7E5CA" w14:textId="77777777" w:rsidTr="00152B0C">
        <w:tc>
          <w:tcPr>
            <w:tcW w:w="1816" w:type="dxa"/>
          </w:tcPr>
          <w:p w14:paraId="7245A3EB" w14:textId="1F899350" w:rsidR="00152B0C" w:rsidRPr="00152B0C" w:rsidRDefault="00152B0C" w:rsidP="00152B0C">
            <w:r w:rsidRPr="00152B0C">
              <w:t>Чернодробни нарушения</w:t>
            </w:r>
          </w:p>
        </w:tc>
        <w:tc>
          <w:tcPr>
            <w:tcW w:w="1769" w:type="dxa"/>
          </w:tcPr>
          <w:p w14:paraId="74AE5E29" w14:textId="77777777" w:rsidR="00152B0C" w:rsidRPr="00152B0C" w:rsidRDefault="00152B0C" w:rsidP="00152B0C"/>
        </w:tc>
        <w:tc>
          <w:tcPr>
            <w:tcW w:w="2266" w:type="dxa"/>
          </w:tcPr>
          <w:p w14:paraId="605F4B65" w14:textId="7E38A603" w:rsidR="00152B0C" w:rsidRPr="00152B0C" w:rsidRDefault="00152B0C" w:rsidP="00152B0C">
            <w:pPr>
              <w:rPr>
                <w:rFonts w:eastAsia="Times New Roman" w:cs="Arial"/>
                <w:lang w:eastAsia="bg-BG"/>
              </w:rPr>
            </w:pPr>
            <w:r w:rsidRPr="00152B0C">
              <w:rPr>
                <w:rFonts w:cs="Arial"/>
              </w:rPr>
              <w:t>Повишени нива на аспартат аминотрансфераза, аланин аминотрансфераза и</w:t>
            </w:r>
            <w:r w:rsidRPr="00152B0C">
              <w:rPr>
                <w:rFonts w:cs="Arial"/>
                <w:lang w:val="en-US"/>
              </w:rPr>
              <w:t xml:space="preserve"> </w:t>
            </w:r>
            <w:r w:rsidRPr="00152B0C">
              <w:rPr>
                <w:rFonts w:cs="Arial"/>
              </w:rPr>
              <w:t>аланин</w:t>
            </w:r>
            <w:r w:rsidRPr="00152B0C">
              <w:rPr>
                <w:rFonts w:cs="Arial"/>
                <w:lang w:val="en-US"/>
              </w:rPr>
              <w:t xml:space="preserve"> </w:t>
            </w:r>
            <w:r w:rsidRPr="00152B0C">
              <w:rPr>
                <w:rFonts w:eastAsia="Times New Roman" w:cs="Arial"/>
                <w:color w:val="000000"/>
                <w:lang w:eastAsia="bg-BG"/>
              </w:rPr>
              <w:t>фосфатазата Жълтеница</w:t>
            </w:r>
          </w:p>
        </w:tc>
        <w:tc>
          <w:tcPr>
            <w:tcW w:w="1768" w:type="dxa"/>
          </w:tcPr>
          <w:p w14:paraId="42DC4F50" w14:textId="77777777" w:rsidR="00152B0C" w:rsidRPr="00152B0C" w:rsidRDefault="00152B0C" w:rsidP="00152B0C"/>
        </w:tc>
        <w:tc>
          <w:tcPr>
            <w:tcW w:w="1957" w:type="dxa"/>
            <w:textDirection w:val="btLr"/>
          </w:tcPr>
          <w:p w14:paraId="18DB7FF0" w14:textId="77777777" w:rsidR="00152B0C" w:rsidRPr="00152B0C" w:rsidRDefault="00152B0C" w:rsidP="00152B0C"/>
        </w:tc>
      </w:tr>
      <w:tr w:rsidR="00152B0C" w14:paraId="16DBEF96" w14:textId="77777777" w:rsidTr="00152B0C">
        <w:tc>
          <w:tcPr>
            <w:tcW w:w="1816" w:type="dxa"/>
          </w:tcPr>
          <w:p w14:paraId="53DB2021" w14:textId="77777777" w:rsidR="00152B0C" w:rsidRPr="00152B0C" w:rsidRDefault="00152B0C" w:rsidP="00152B0C">
            <w:r w:rsidRPr="00152B0C">
              <w:lastRenderedPageBreak/>
              <w:t>Нарушения на кожата</w:t>
            </w:r>
            <w:r w:rsidRPr="00152B0C">
              <w:tab/>
              <w:t>и</w:t>
            </w:r>
          </w:p>
          <w:p w14:paraId="0AC75ACA" w14:textId="186C860E" w:rsidR="00152B0C" w:rsidRPr="00152B0C" w:rsidRDefault="00152B0C" w:rsidP="00152B0C">
            <w:r w:rsidRPr="00152B0C">
              <w:t>подкожната тъкан</w:t>
            </w:r>
          </w:p>
        </w:tc>
        <w:tc>
          <w:tcPr>
            <w:tcW w:w="1769" w:type="dxa"/>
          </w:tcPr>
          <w:p w14:paraId="1CF2BA25" w14:textId="77777777" w:rsidR="00152B0C" w:rsidRPr="00152B0C" w:rsidRDefault="00152B0C" w:rsidP="00152B0C"/>
        </w:tc>
        <w:tc>
          <w:tcPr>
            <w:tcW w:w="2266" w:type="dxa"/>
          </w:tcPr>
          <w:p w14:paraId="26DBF137" w14:textId="165F886D" w:rsidR="00152B0C" w:rsidRPr="00152B0C" w:rsidRDefault="00152B0C" w:rsidP="00152B0C">
            <w:r w:rsidRPr="00152B0C">
              <w:t>Сърбеж Уртикария Макулопапулозен обрив</w:t>
            </w:r>
          </w:p>
        </w:tc>
        <w:tc>
          <w:tcPr>
            <w:tcW w:w="1768" w:type="dxa"/>
          </w:tcPr>
          <w:p w14:paraId="5EC1814D" w14:textId="77777777" w:rsidR="00152B0C" w:rsidRPr="00152B0C" w:rsidRDefault="00152B0C" w:rsidP="00152B0C"/>
        </w:tc>
        <w:tc>
          <w:tcPr>
            <w:tcW w:w="1957" w:type="dxa"/>
          </w:tcPr>
          <w:p w14:paraId="6A01800F" w14:textId="77777777" w:rsidR="00152B0C" w:rsidRPr="00152B0C" w:rsidRDefault="00152B0C" w:rsidP="00152B0C">
            <w:r w:rsidRPr="00152B0C">
              <w:t>Токсичен синдром</w:t>
            </w:r>
            <w:r w:rsidRPr="00152B0C">
              <w:tab/>
              <w:t>на</w:t>
            </w:r>
          </w:p>
          <w:p w14:paraId="408A5B43" w14:textId="569A9DB5" w:rsidR="00152B0C" w:rsidRPr="00152B0C" w:rsidRDefault="00152B0C" w:rsidP="00152B0C">
            <w:r w:rsidRPr="00152B0C">
              <w:t>Стивънс- Джонсън, Епидермална некролиза</w:t>
            </w:r>
          </w:p>
        </w:tc>
      </w:tr>
      <w:tr w:rsidR="00152B0C" w14:paraId="07E52054" w14:textId="77777777" w:rsidTr="00152B0C">
        <w:tc>
          <w:tcPr>
            <w:tcW w:w="1816" w:type="dxa"/>
          </w:tcPr>
          <w:p w14:paraId="0E830398" w14:textId="04A115EE" w:rsidR="00152B0C" w:rsidRPr="00152B0C" w:rsidRDefault="00152B0C" w:rsidP="00152B0C">
            <w:r w:rsidRPr="00152B0C">
              <w:t>Нарушения на бъбреците и пикочните пътища</w:t>
            </w:r>
          </w:p>
        </w:tc>
        <w:tc>
          <w:tcPr>
            <w:tcW w:w="1769" w:type="dxa"/>
          </w:tcPr>
          <w:p w14:paraId="532D973D" w14:textId="77777777" w:rsidR="00152B0C" w:rsidRPr="00152B0C" w:rsidRDefault="00152B0C" w:rsidP="00152B0C"/>
        </w:tc>
        <w:tc>
          <w:tcPr>
            <w:tcW w:w="2266" w:type="dxa"/>
          </w:tcPr>
          <w:p w14:paraId="170FE1C5" w14:textId="77777777" w:rsidR="00152B0C" w:rsidRPr="00152B0C" w:rsidRDefault="00152B0C" w:rsidP="00152B0C"/>
        </w:tc>
        <w:tc>
          <w:tcPr>
            <w:tcW w:w="1768" w:type="dxa"/>
          </w:tcPr>
          <w:p w14:paraId="5754F78A" w14:textId="77777777" w:rsidR="00152B0C" w:rsidRPr="00152B0C" w:rsidRDefault="00152B0C" w:rsidP="00152B0C"/>
        </w:tc>
        <w:tc>
          <w:tcPr>
            <w:tcW w:w="1957" w:type="dxa"/>
          </w:tcPr>
          <w:p w14:paraId="71A95314" w14:textId="32D2F187" w:rsidR="00152B0C" w:rsidRPr="00152B0C" w:rsidRDefault="00152B0C" w:rsidP="00152B0C">
            <w:r w:rsidRPr="00152B0C">
              <w:t>Хематурия</w:t>
            </w:r>
          </w:p>
        </w:tc>
      </w:tr>
      <w:tr w:rsidR="00152B0C" w14:paraId="06D46A40" w14:textId="77777777" w:rsidTr="00152B0C">
        <w:tc>
          <w:tcPr>
            <w:tcW w:w="1816" w:type="dxa"/>
          </w:tcPr>
          <w:p w14:paraId="7C15E5F1" w14:textId="61888602" w:rsidR="00152B0C" w:rsidRPr="00152B0C" w:rsidRDefault="00152B0C" w:rsidP="00152B0C">
            <w:r w:rsidRPr="00152B0C">
              <w:t>Общи нарушения и ефекти на мястото на приложение</w:t>
            </w:r>
          </w:p>
        </w:tc>
        <w:tc>
          <w:tcPr>
            <w:tcW w:w="1769" w:type="dxa"/>
          </w:tcPr>
          <w:p w14:paraId="6F234DED" w14:textId="77777777" w:rsidR="00152B0C" w:rsidRPr="00152B0C" w:rsidRDefault="00152B0C" w:rsidP="00152B0C"/>
        </w:tc>
        <w:tc>
          <w:tcPr>
            <w:tcW w:w="2266" w:type="dxa"/>
          </w:tcPr>
          <w:p w14:paraId="38717535" w14:textId="77777777" w:rsidR="00152B0C" w:rsidRPr="00152B0C" w:rsidRDefault="00152B0C" w:rsidP="00152B0C"/>
        </w:tc>
        <w:tc>
          <w:tcPr>
            <w:tcW w:w="1768" w:type="dxa"/>
          </w:tcPr>
          <w:p w14:paraId="4D89DCE2" w14:textId="77777777" w:rsidR="00152B0C" w:rsidRPr="00152B0C" w:rsidRDefault="00152B0C" w:rsidP="00152B0C">
            <w:r w:rsidRPr="00152B0C">
              <w:t>Болка</w:t>
            </w:r>
            <w:r w:rsidRPr="00152B0C">
              <w:tab/>
              <w:t>на</w:t>
            </w:r>
          </w:p>
          <w:p w14:paraId="3CEBA1FE" w14:textId="34BE9209" w:rsidR="00152B0C" w:rsidRPr="00152B0C" w:rsidRDefault="00152B0C" w:rsidP="00152B0C">
            <w:r w:rsidRPr="00152B0C">
              <w:t>мястото</w:t>
            </w:r>
            <w:r>
              <w:rPr>
                <w:lang w:val="en-US"/>
              </w:rPr>
              <w:t xml:space="preserve"> </w:t>
            </w:r>
            <w:r w:rsidRPr="00152B0C">
              <w:t>на</w:t>
            </w:r>
          </w:p>
          <w:p w14:paraId="73AA52AF" w14:textId="36B26996" w:rsidR="00152B0C" w:rsidRPr="00152B0C" w:rsidRDefault="00152B0C" w:rsidP="00152B0C">
            <w:r w:rsidRPr="00152B0C">
              <w:t>приложение Пирексия</w:t>
            </w:r>
          </w:p>
        </w:tc>
        <w:tc>
          <w:tcPr>
            <w:tcW w:w="1957" w:type="dxa"/>
          </w:tcPr>
          <w:p w14:paraId="6832FB02" w14:textId="77777777" w:rsidR="00152B0C" w:rsidRPr="00152B0C" w:rsidRDefault="00152B0C" w:rsidP="00152B0C"/>
        </w:tc>
      </w:tr>
    </w:tbl>
    <w:p w14:paraId="38FC97BC" w14:textId="3BA5EFDB" w:rsidR="00152B0C" w:rsidRDefault="00152B0C" w:rsidP="00152B0C"/>
    <w:p w14:paraId="23EEEDDC" w14:textId="77777777" w:rsidR="00152B0C" w:rsidRPr="00152B0C" w:rsidRDefault="00152B0C" w:rsidP="00152B0C">
      <w:pPr>
        <w:spacing w:line="240" w:lineRule="auto"/>
        <w:rPr>
          <w:rFonts w:eastAsia="Times New Roman" w:cs="Arial"/>
          <w:lang w:eastAsia="bg-BG"/>
        </w:rPr>
      </w:pPr>
      <w:r w:rsidRPr="00152B0C">
        <w:rPr>
          <w:rFonts w:eastAsia="Times New Roman" w:cs="Arial"/>
          <w:color w:val="000000"/>
          <w:u w:val="single"/>
          <w:lang w:eastAsia="bg-BG"/>
        </w:rPr>
        <w:t>Съобщаване на подозирани нежелани реакции</w:t>
      </w:r>
    </w:p>
    <w:p w14:paraId="2027DAF4" w14:textId="77777777" w:rsidR="00152B0C" w:rsidRPr="00152B0C" w:rsidRDefault="00152B0C" w:rsidP="00152B0C">
      <w:pPr>
        <w:spacing w:line="240" w:lineRule="auto"/>
        <w:rPr>
          <w:rFonts w:eastAsia="Times New Roman" w:cs="Arial"/>
          <w:lang w:eastAsia="bg-BG"/>
        </w:rPr>
      </w:pPr>
      <w:r w:rsidRPr="00152B0C">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 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340787CD" w14:textId="77777777" w:rsidR="00152B0C" w:rsidRPr="00152B0C" w:rsidRDefault="00152B0C" w:rsidP="00152B0C">
      <w:pPr>
        <w:spacing w:line="240" w:lineRule="auto"/>
        <w:rPr>
          <w:rFonts w:eastAsia="Times New Roman" w:cs="Arial"/>
          <w:lang w:eastAsia="bg-BG"/>
        </w:rPr>
      </w:pPr>
      <w:r w:rsidRPr="00152B0C">
        <w:rPr>
          <w:rFonts w:eastAsia="Times New Roman" w:cs="Arial"/>
          <w:color w:val="000000"/>
          <w:lang w:eastAsia="bg-BG"/>
        </w:rPr>
        <w:t>Изпълнителна агенция по лекарствата</w:t>
      </w:r>
    </w:p>
    <w:p w14:paraId="1FF1900D" w14:textId="77777777" w:rsidR="00152B0C" w:rsidRPr="00152B0C" w:rsidRDefault="00152B0C" w:rsidP="00152B0C">
      <w:pPr>
        <w:spacing w:line="240" w:lineRule="auto"/>
        <w:rPr>
          <w:rFonts w:eastAsia="Times New Roman" w:cs="Arial"/>
          <w:lang w:eastAsia="bg-BG"/>
        </w:rPr>
      </w:pPr>
      <w:r w:rsidRPr="00152B0C">
        <w:rPr>
          <w:rFonts w:eastAsia="Times New Roman" w:cs="Arial"/>
          <w:color w:val="000000"/>
          <w:lang w:eastAsia="bg-BG"/>
        </w:rPr>
        <w:t>ул., Дамян Груев” № 8</w:t>
      </w:r>
    </w:p>
    <w:p w14:paraId="11300EA1" w14:textId="77777777" w:rsidR="00152B0C" w:rsidRPr="00152B0C" w:rsidRDefault="00152B0C" w:rsidP="00152B0C">
      <w:pPr>
        <w:spacing w:line="240" w:lineRule="auto"/>
        <w:rPr>
          <w:rFonts w:eastAsia="Times New Roman" w:cs="Arial"/>
          <w:lang w:eastAsia="bg-BG"/>
        </w:rPr>
      </w:pPr>
      <w:r w:rsidRPr="00152B0C">
        <w:rPr>
          <w:rFonts w:eastAsia="Times New Roman" w:cs="Arial"/>
          <w:color w:val="000000"/>
          <w:lang w:eastAsia="bg-BG"/>
        </w:rPr>
        <w:t>1303 София</w:t>
      </w:r>
    </w:p>
    <w:p w14:paraId="7BADEA09" w14:textId="77777777" w:rsidR="00152B0C" w:rsidRPr="00152B0C" w:rsidRDefault="00152B0C" w:rsidP="00152B0C">
      <w:pPr>
        <w:spacing w:line="240" w:lineRule="auto"/>
        <w:rPr>
          <w:rFonts w:eastAsia="Times New Roman" w:cs="Arial"/>
          <w:lang w:eastAsia="bg-BG"/>
        </w:rPr>
      </w:pPr>
      <w:r w:rsidRPr="00152B0C">
        <w:rPr>
          <w:rFonts w:eastAsia="Times New Roman" w:cs="Arial"/>
          <w:color w:val="000000"/>
          <w:lang w:eastAsia="bg-BG"/>
        </w:rPr>
        <w:t>Тел.: +359 2 890 3417</w:t>
      </w:r>
    </w:p>
    <w:p w14:paraId="67EF787A" w14:textId="2C71B742" w:rsidR="00152B0C" w:rsidRDefault="00152B0C" w:rsidP="00152B0C">
      <w:pPr>
        <w:rPr>
          <w:rFonts w:eastAsia="Times New Roman" w:cs="Arial"/>
          <w:lang w:eastAsia="bg-BG"/>
        </w:rPr>
      </w:pPr>
      <w:r w:rsidRPr="00152B0C">
        <w:rPr>
          <w:rFonts w:eastAsia="Times New Roman" w:cs="Arial"/>
          <w:color w:val="000000"/>
          <w:lang w:eastAsia="bg-BG"/>
        </w:rPr>
        <w:t xml:space="preserve">уебсайт: </w:t>
      </w:r>
      <w:hyperlink r:id="rId5" w:history="1">
        <w:r w:rsidRPr="00152B0C">
          <w:rPr>
            <w:rFonts w:eastAsia="Times New Roman" w:cs="Arial"/>
            <w:color w:val="000000"/>
            <w:u w:val="single"/>
            <w:lang w:val="en-US"/>
          </w:rPr>
          <w:t>www.bda.bg</w:t>
        </w:r>
      </w:hyperlink>
    </w:p>
    <w:p w14:paraId="219037C5" w14:textId="77777777" w:rsidR="00152B0C" w:rsidRPr="00152B0C" w:rsidRDefault="00152B0C" w:rsidP="00152B0C">
      <w:pPr>
        <w:rPr>
          <w:rFonts w:cs="Arial"/>
        </w:rPr>
      </w:pPr>
    </w:p>
    <w:p w14:paraId="378A0F20" w14:textId="34B83D69" w:rsidR="001D095A" w:rsidRDefault="002C50EE" w:rsidP="00340E8D">
      <w:pPr>
        <w:pStyle w:val="Heading2"/>
      </w:pPr>
      <w:r>
        <w:t>4.9. Предозиране</w:t>
      </w:r>
    </w:p>
    <w:p w14:paraId="1B18AB81" w14:textId="1C783CD9" w:rsidR="00152B0C" w:rsidRDefault="00152B0C" w:rsidP="00152B0C"/>
    <w:p w14:paraId="730659DC" w14:textId="77777777" w:rsidR="00152B0C" w:rsidRPr="00152B0C" w:rsidRDefault="00152B0C" w:rsidP="00152B0C">
      <w:pPr>
        <w:spacing w:line="240" w:lineRule="auto"/>
        <w:rPr>
          <w:rFonts w:eastAsia="Times New Roman" w:cs="Arial"/>
          <w:lang w:eastAsia="bg-BG"/>
        </w:rPr>
      </w:pPr>
      <w:r w:rsidRPr="00152B0C">
        <w:rPr>
          <w:rFonts w:eastAsia="Times New Roman" w:cs="Arial"/>
          <w:color w:val="000000"/>
          <w:u w:val="single"/>
          <w:lang w:eastAsia="bg-BG"/>
        </w:rPr>
        <w:t>Симптоми</w:t>
      </w:r>
    </w:p>
    <w:p w14:paraId="55B2416F" w14:textId="77777777" w:rsidR="00152B0C" w:rsidRPr="00152B0C" w:rsidRDefault="00152B0C" w:rsidP="00152B0C">
      <w:pPr>
        <w:spacing w:line="240" w:lineRule="auto"/>
        <w:rPr>
          <w:rFonts w:eastAsia="Times New Roman" w:cs="Arial"/>
          <w:lang w:eastAsia="bg-BG"/>
        </w:rPr>
      </w:pPr>
      <w:r w:rsidRPr="00152B0C">
        <w:rPr>
          <w:rFonts w:eastAsia="Times New Roman" w:cs="Arial"/>
          <w:color w:val="000000"/>
          <w:lang w:eastAsia="bg-BG"/>
        </w:rPr>
        <w:t>Данните за остра токсичност на цефоперазон са ограничени. Очаква се при предозиране да възникнат реакции подобни на нежеланите лекарствени реакции, наблюдавани при нормално приложение, но по-силно проявени. Трябва да се вземе под внимание фактът, че високите концентрации на бета-лактамните антибиотици в цереброспиналната течност могат да предизвикат неврологични ефекти и да потенциират появата на гърчове.</w:t>
      </w:r>
    </w:p>
    <w:p w14:paraId="6C6E6EA8" w14:textId="77777777" w:rsidR="00152B0C" w:rsidRPr="00152B0C" w:rsidRDefault="00152B0C" w:rsidP="00152B0C">
      <w:pPr>
        <w:spacing w:line="240" w:lineRule="auto"/>
        <w:rPr>
          <w:rFonts w:eastAsia="Times New Roman" w:cs="Arial"/>
          <w:color w:val="000000"/>
          <w:u w:val="single"/>
          <w:lang w:eastAsia="bg-BG"/>
        </w:rPr>
      </w:pPr>
    </w:p>
    <w:p w14:paraId="32852A8C" w14:textId="25814CDD" w:rsidR="00152B0C" w:rsidRPr="00152B0C" w:rsidRDefault="00152B0C" w:rsidP="00152B0C">
      <w:pPr>
        <w:spacing w:line="240" w:lineRule="auto"/>
        <w:rPr>
          <w:rFonts w:eastAsia="Times New Roman" w:cs="Arial"/>
          <w:lang w:eastAsia="bg-BG"/>
        </w:rPr>
      </w:pPr>
      <w:r w:rsidRPr="00152B0C">
        <w:rPr>
          <w:rFonts w:eastAsia="Times New Roman" w:cs="Arial"/>
          <w:color w:val="000000"/>
          <w:u w:val="single"/>
          <w:lang w:eastAsia="bg-BG"/>
        </w:rPr>
        <w:t>Овладяване на симптомите</w:t>
      </w:r>
    </w:p>
    <w:p w14:paraId="39BE13ED" w14:textId="5E5BA8D1" w:rsidR="00152B0C" w:rsidRPr="00152B0C" w:rsidRDefault="00152B0C" w:rsidP="00152B0C">
      <w:pPr>
        <w:spacing w:line="240" w:lineRule="auto"/>
        <w:rPr>
          <w:rFonts w:ascii="Times New Roman" w:eastAsia="Times New Roman" w:hAnsi="Times New Roman" w:cs="Times New Roman"/>
          <w:sz w:val="24"/>
          <w:szCs w:val="24"/>
          <w:lang w:val="en-US" w:eastAsia="bg-BG"/>
        </w:rPr>
      </w:pPr>
      <w:r w:rsidRPr="00152B0C">
        <w:rPr>
          <w:rFonts w:eastAsia="Times New Roman" w:cs="Arial"/>
          <w:color w:val="000000"/>
          <w:lang w:eastAsia="bg-BG"/>
        </w:rPr>
        <w:t>Тъй като цефоперазон се отстранява от циркулацията при хемодиализа, тази процедура може да се използва, за да се ускори елиминирането на лекарствения продукт от организма в случай на предозиране при някои пациенти с увредена бъбречна функция</w:t>
      </w:r>
      <w:r w:rsidRPr="00152B0C">
        <w:rPr>
          <w:rFonts w:eastAsia="Times New Roman" w:cs="Arial"/>
          <w:color w:val="000000"/>
          <w:lang w:val="en-US" w:eastAsia="bg-BG"/>
        </w:rPr>
        <w:t>.</w:t>
      </w:r>
    </w:p>
    <w:p w14:paraId="4BC30129" w14:textId="77777777" w:rsidR="00152B0C" w:rsidRPr="00152B0C" w:rsidRDefault="00152B0C" w:rsidP="00152B0C"/>
    <w:p w14:paraId="02081B24" w14:textId="36FE76F4" w:rsidR="00395555" w:rsidRPr="00395555" w:rsidRDefault="002C50EE" w:rsidP="008A6AF2">
      <w:pPr>
        <w:pStyle w:val="Heading1"/>
      </w:pPr>
      <w:r>
        <w:t>5. ФАРМАКОЛОГИЧНИ СВОЙСТВА</w:t>
      </w:r>
    </w:p>
    <w:p w14:paraId="7F6CC5E1" w14:textId="3BF37D97" w:rsidR="00F62E44" w:rsidRDefault="002C50EE" w:rsidP="00387A66">
      <w:pPr>
        <w:pStyle w:val="Heading2"/>
      </w:pPr>
      <w:r>
        <w:t>5.1. Фармакодинамични свойства</w:t>
      </w:r>
    </w:p>
    <w:p w14:paraId="0725DC35" w14:textId="527D90A7" w:rsidR="00152B0C" w:rsidRDefault="00152B0C" w:rsidP="00152B0C"/>
    <w:p w14:paraId="711AB1CA" w14:textId="77777777" w:rsidR="00152B0C" w:rsidRPr="00152B0C" w:rsidRDefault="00152B0C" w:rsidP="00152B0C">
      <w:pPr>
        <w:spacing w:line="240" w:lineRule="auto"/>
        <w:rPr>
          <w:rFonts w:eastAsia="Times New Roman" w:cs="Arial"/>
          <w:lang w:eastAsia="bg-BG"/>
        </w:rPr>
      </w:pPr>
      <w:r w:rsidRPr="00152B0C">
        <w:rPr>
          <w:rFonts w:eastAsia="Times New Roman" w:cs="Arial"/>
          <w:color w:val="000000"/>
          <w:lang w:eastAsia="bg-BG"/>
        </w:rPr>
        <w:t xml:space="preserve">Фармакотерапевтична група: други беталактамни антибактериални средства, трета генерация цефалоспорини; АТС код: </w:t>
      </w:r>
      <w:r w:rsidRPr="00152B0C">
        <w:rPr>
          <w:rFonts w:eastAsia="Times New Roman" w:cs="Arial"/>
          <w:color w:val="000000"/>
          <w:lang w:val="en-US"/>
        </w:rPr>
        <w:t>J01DD12</w:t>
      </w:r>
    </w:p>
    <w:p w14:paraId="243E3E94" w14:textId="77777777" w:rsidR="00152B0C" w:rsidRPr="00152B0C" w:rsidRDefault="00152B0C" w:rsidP="00152B0C">
      <w:pPr>
        <w:spacing w:line="240" w:lineRule="auto"/>
        <w:rPr>
          <w:rFonts w:eastAsia="Times New Roman" w:cs="Arial"/>
          <w:color w:val="000000"/>
          <w:lang w:eastAsia="bg-BG"/>
        </w:rPr>
      </w:pPr>
    </w:p>
    <w:p w14:paraId="28239549" w14:textId="5B06858C" w:rsidR="00152B0C" w:rsidRPr="00152B0C" w:rsidRDefault="00152B0C" w:rsidP="00152B0C">
      <w:pPr>
        <w:spacing w:line="240" w:lineRule="auto"/>
        <w:rPr>
          <w:rFonts w:eastAsia="Times New Roman" w:cs="Arial"/>
          <w:lang w:eastAsia="bg-BG"/>
        </w:rPr>
      </w:pPr>
      <w:r w:rsidRPr="00152B0C">
        <w:rPr>
          <w:rFonts w:eastAsia="Times New Roman" w:cs="Arial"/>
          <w:color w:val="000000"/>
          <w:lang w:eastAsia="bg-BG"/>
        </w:rPr>
        <w:t>Бактерицидните ефекти на цефоперазон се дължат на инхибиран</w:t>
      </w:r>
      <w:r w:rsidRPr="00152B0C">
        <w:rPr>
          <w:rFonts w:eastAsia="Times New Roman" w:cs="Arial"/>
          <w:color w:val="000000"/>
          <w:lang w:val="en-US"/>
        </w:rPr>
        <w:t>a</w:t>
      </w:r>
      <w:r w:rsidRPr="00152B0C">
        <w:rPr>
          <w:rFonts w:eastAsia="Times New Roman" w:cs="Arial"/>
          <w:color w:val="000000"/>
          <w:lang w:eastAsia="bg-BG"/>
        </w:rPr>
        <w:t xml:space="preserve">та на синтета на  бактериалната клетъчна стена. Цефоперазон е </w:t>
      </w:r>
      <w:r w:rsidRPr="00152B0C">
        <w:rPr>
          <w:rFonts w:eastAsia="Times New Roman" w:cs="Arial"/>
          <w:i/>
          <w:iCs/>
          <w:color w:val="000000"/>
          <w:lang w:val="en-US"/>
        </w:rPr>
        <w:t>in vitro</w:t>
      </w:r>
      <w:r w:rsidRPr="00152B0C">
        <w:rPr>
          <w:rFonts w:eastAsia="Times New Roman" w:cs="Arial"/>
          <w:color w:val="000000"/>
          <w:lang w:val="en-US"/>
        </w:rPr>
        <w:t xml:space="preserve"> </w:t>
      </w:r>
      <w:r w:rsidRPr="00152B0C">
        <w:rPr>
          <w:rFonts w:eastAsia="Times New Roman" w:cs="Arial"/>
          <w:color w:val="000000"/>
          <w:lang w:eastAsia="bg-BG"/>
        </w:rPr>
        <w:t>активен спрямо голям брой клинично значими микроорганизми и е резистентен на разграждащото действие на редица бета- лактамази. Чувствителните организми включват:</w:t>
      </w:r>
    </w:p>
    <w:p w14:paraId="6F81A0E6" w14:textId="77777777" w:rsidR="00152B0C" w:rsidRPr="00152B0C" w:rsidRDefault="00152B0C" w:rsidP="00152B0C">
      <w:pPr>
        <w:spacing w:line="240" w:lineRule="auto"/>
        <w:rPr>
          <w:rFonts w:eastAsia="Times New Roman" w:cs="Arial"/>
          <w:b/>
          <w:bCs/>
          <w:color w:val="000000"/>
          <w:lang w:eastAsia="bg-BG"/>
        </w:rPr>
      </w:pPr>
    </w:p>
    <w:p w14:paraId="7822D195" w14:textId="60B73538" w:rsidR="00152B0C" w:rsidRPr="00152B0C" w:rsidRDefault="00152B0C" w:rsidP="00152B0C">
      <w:pPr>
        <w:spacing w:line="240" w:lineRule="auto"/>
        <w:rPr>
          <w:rFonts w:eastAsia="Times New Roman" w:cs="Arial"/>
          <w:lang w:eastAsia="bg-BG"/>
        </w:rPr>
      </w:pPr>
      <w:r w:rsidRPr="00152B0C">
        <w:rPr>
          <w:rFonts w:eastAsia="Times New Roman" w:cs="Arial"/>
          <w:b/>
          <w:bCs/>
          <w:color w:val="000000"/>
          <w:lang w:eastAsia="bg-BG"/>
        </w:rPr>
        <w:t>Грам-положителни бактерия</w:t>
      </w:r>
    </w:p>
    <w:p w14:paraId="0919918B" w14:textId="77777777" w:rsidR="00152B0C" w:rsidRPr="00152B0C" w:rsidRDefault="00152B0C" w:rsidP="00152B0C">
      <w:pPr>
        <w:spacing w:line="240" w:lineRule="auto"/>
        <w:rPr>
          <w:rFonts w:eastAsia="Times New Roman" w:cs="Arial"/>
          <w:lang w:val="en-US" w:eastAsia="bg-BG"/>
        </w:rPr>
      </w:pPr>
      <w:r w:rsidRPr="00152B0C">
        <w:rPr>
          <w:rFonts w:eastAsia="Times New Roman" w:cs="Arial"/>
          <w:i/>
          <w:iCs/>
          <w:color w:val="000000"/>
          <w:lang w:val="en-US"/>
        </w:rPr>
        <w:t>Staphylococcus aureus</w:t>
      </w:r>
      <w:r w:rsidRPr="00152B0C">
        <w:rPr>
          <w:rFonts w:eastAsia="Times New Roman" w:cs="Arial"/>
          <w:color w:val="000000"/>
          <w:lang w:val="en-US"/>
        </w:rPr>
        <w:t xml:space="preserve"> </w:t>
      </w:r>
      <w:r w:rsidRPr="00152B0C">
        <w:rPr>
          <w:rFonts w:eastAsia="Times New Roman" w:cs="Arial"/>
          <w:color w:val="000000"/>
          <w:lang w:eastAsia="bg-BG"/>
        </w:rPr>
        <w:t xml:space="preserve">(пеницилаза-продуциращи и пеницилаза-непродуцирящи щамове), </w:t>
      </w:r>
      <w:r w:rsidRPr="00152B0C">
        <w:rPr>
          <w:rFonts w:eastAsia="Times New Roman" w:cs="Arial"/>
          <w:i/>
          <w:iCs/>
          <w:color w:val="000000"/>
          <w:lang w:val="en-US"/>
        </w:rPr>
        <w:t>Staphylococcus epidermidis,</w:t>
      </w:r>
    </w:p>
    <w:p w14:paraId="34F141EF" w14:textId="77777777" w:rsidR="00152B0C" w:rsidRPr="00152B0C" w:rsidRDefault="00152B0C" w:rsidP="00152B0C">
      <w:pPr>
        <w:spacing w:line="240" w:lineRule="auto"/>
        <w:rPr>
          <w:rFonts w:eastAsia="Times New Roman" w:cs="Arial"/>
          <w:lang w:val="en-US" w:eastAsia="bg-BG"/>
        </w:rPr>
      </w:pPr>
      <w:r w:rsidRPr="00152B0C">
        <w:rPr>
          <w:rFonts w:eastAsia="Times New Roman" w:cs="Arial"/>
          <w:i/>
          <w:iCs/>
          <w:color w:val="000000"/>
          <w:lang w:val="en-US"/>
        </w:rPr>
        <w:t>Streptococcus pneumoniae</w:t>
      </w:r>
      <w:r w:rsidRPr="00152B0C">
        <w:rPr>
          <w:rFonts w:eastAsia="Times New Roman" w:cs="Arial"/>
          <w:color w:val="000000"/>
          <w:lang w:val="en-US"/>
        </w:rPr>
        <w:t xml:space="preserve"> </w:t>
      </w:r>
      <w:r w:rsidRPr="00152B0C">
        <w:rPr>
          <w:rFonts w:eastAsia="Times New Roman" w:cs="Arial"/>
          <w:color w:val="000000"/>
          <w:lang w:eastAsia="bg-BG"/>
        </w:rPr>
        <w:t xml:space="preserve">(предишен </w:t>
      </w:r>
      <w:r w:rsidRPr="00152B0C">
        <w:rPr>
          <w:rFonts w:eastAsia="Times New Roman" w:cs="Arial"/>
          <w:i/>
          <w:iCs/>
          <w:color w:val="000000"/>
          <w:lang w:val="en-US"/>
        </w:rPr>
        <w:t>Diplococcus pneumoniae</w:t>
      </w:r>
      <w:proofErr w:type="gramStart"/>
      <w:r w:rsidRPr="00152B0C">
        <w:rPr>
          <w:rFonts w:eastAsia="Times New Roman" w:cs="Arial"/>
          <w:i/>
          <w:iCs/>
          <w:color w:val="000000"/>
          <w:lang w:val="en-US"/>
        </w:rPr>
        <w:t>),.</w:t>
      </w:r>
      <w:proofErr w:type="gramEnd"/>
    </w:p>
    <w:p w14:paraId="267B4FC2" w14:textId="77777777" w:rsidR="00152B0C" w:rsidRPr="00152B0C" w:rsidRDefault="00152B0C" w:rsidP="00152B0C">
      <w:pPr>
        <w:spacing w:line="240" w:lineRule="auto"/>
        <w:rPr>
          <w:rFonts w:eastAsia="Times New Roman" w:cs="Arial"/>
          <w:lang w:val="en-US" w:eastAsia="bg-BG"/>
        </w:rPr>
      </w:pPr>
      <w:r w:rsidRPr="00152B0C">
        <w:rPr>
          <w:rFonts w:eastAsia="Times New Roman" w:cs="Arial"/>
          <w:i/>
          <w:iCs/>
          <w:color w:val="000000"/>
          <w:lang w:val="en-US"/>
        </w:rPr>
        <w:t>Streptococcus pyogenes</w:t>
      </w:r>
      <w:r w:rsidRPr="00152B0C">
        <w:rPr>
          <w:rFonts w:eastAsia="Times New Roman" w:cs="Arial"/>
          <w:color w:val="000000"/>
          <w:lang w:val="en-US"/>
        </w:rPr>
        <w:t xml:space="preserve"> </w:t>
      </w:r>
      <w:r w:rsidRPr="00152B0C">
        <w:rPr>
          <w:rFonts w:eastAsia="Times New Roman" w:cs="Arial"/>
          <w:color w:val="000000"/>
          <w:lang w:eastAsia="bg-BG"/>
        </w:rPr>
        <w:t>(група А бета-хемолитични стрептококи),</w:t>
      </w:r>
    </w:p>
    <w:p w14:paraId="63AF8876" w14:textId="77777777" w:rsidR="00152B0C" w:rsidRPr="00152B0C" w:rsidRDefault="00152B0C" w:rsidP="00152B0C">
      <w:pPr>
        <w:spacing w:line="240" w:lineRule="auto"/>
        <w:rPr>
          <w:rFonts w:eastAsia="Times New Roman" w:cs="Arial"/>
          <w:lang w:val="en-US" w:eastAsia="bg-BG"/>
        </w:rPr>
      </w:pPr>
      <w:r w:rsidRPr="00152B0C">
        <w:rPr>
          <w:rFonts w:eastAsia="Times New Roman" w:cs="Arial"/>
          <w:i/>
          <w:iCs/>
          <w:color w:val="000000"/>
          <w:lang w:val="en-US"/>
        </w:rPr>
        <w:t>Streptococcus agalactiae</w:t>
      </w:r>
      <w:r w:rsidRPr="00152B0C">
        <w:rPr>
          <w:rFonts w:eastAsia="Times New Roman" w:cs="Arial"/>
          <w:color w:val="000000"/>
          <w:lang w:val="en-US"/>
        </w:rPr>
        <w:t xml:space="preserve"> </w:t>
      </w:r>
      <w:r w:rsidRPr="00152B0C">
        <w:rPr>
          <w:rFonts w:eastAsia="Times New Roman" w:cs="Arial"/>
          <w:color w:val="000000"/>
          <w:lang w:eastAsia="bg-BG"/>
        </w:rPr>
        <w:t>(група В бета-хемолитични стрептококи),</w:t>
      </w:r>
    </w:p>
    <w:p w14:paraId="6012FF8A" w14:textId="77777777" w:rsidR="00152B0C" w:rsidRPr="00152B0C" w:rsidRDefault="00152B0C" w:rsidP="00152B0C">
      <w:pPr>
        <w:spacing w:line="240" w:lineRule="auto"/>
        <w:rPr>
          <w:rFonts w:eastAsia="Times New Roman" w:cs="Arial"/>
          <w:lang w:val="en-US" w:eastAsia="bg-BG"/>
        </w:rPr>
      </w:pPr>
      <w:r w:rsidRPr="00152B0C">
        <w:rPr>
          <w:rFonts w:eastAsia="Times New Roman" w:cs="Arial"/>
          <w:i/>
          <w:iCs/>
          <w:color w:val="000000"/>
          <w:lang w:val="en-US"/>
        </w:rPr>
        <w:t>Streptococcus faecalis</w:t>
      </w:r>
      <w:r w:rsidRPr="00152B0C">
        <w:rPr>
          <w:rFonts w:eastAsia="Times New Roman" w:cs="Arial"/>
          <w:color w:val="000000"/>
          <w:lang w:val="en-US"/>
        </w:rPr>
        <w:t xml:space="preserve"> (enterococcus)</w:t>
      </w:r>
    </w:p>
    <w:p w14:paraId="53E247D1" w14:textId="77777777" w:rsidR="00152B0C" w:rsidRPr="00152B0C" w:rsidRDefault="00152B0C" w:rsidP="00152B0C">
      <w:pPr>
        <w:spacing w:line="240" w:lineRule="auto"/>
        <w:rPr>
          <w:rFonts w:eastAsia="Times New Roman" w:cs="Arial"/>
          <w:lang w:val="en-US" w:eastAsia="bg-BG"/>
        </w:rPr>
      </w:pPr>
      <w:r w:rsidRPr="00152B0C">
        <w:rPr>
          <w:rFonts w:eastAsia="Times New Roman" w:cs="Arial"/>
          <w:i/>
          <w:iCs/>
          <w:color w:val="000000"/>
          <w:lang w:val="en-US"/>
        </w:rPr>
        <w:t xml:space="preserve">Beta </w:t>
      </w:r>
      <w:proofErr w:type="spellStart"/>
      <w:r w:rsidRPr="00152B0C">
        <w:rPr>
          <w:rFonts w:eastAsia="Times New Roman" w:cs="Arial"/>
          <w:i/>
          <w:iCs/>
          <w:color w:val="000000"/>
          <w:lang w:val="en-US"/>
        </w:rPr>
        <w:t>haemolitic</w:t>
      </w:r>
      <w:proofErr w:type="spellEnd"/>
      <w:r w:rsidRPr="00152B0C">
        <w:rPr>
          <w:rFonts w:eastAsia="Times New Roman" w:cs="Arial"/>
          <w:i/>
          <w:iCs/>
          <w:color w:val="000000"/>
          <w:lang w:val="en-US"/>
        </w:rPr>
        <w:t xml:space="preserve"> streptococci</w:t>
      </w:r>
    </w:p>
    <w:p w14:paraId="31298617" w14:textId="77777777" w:rsidR="00152B0C" w:rsidRDefault="00152B0C" w:rsidP="00152B0C">
      <w:pPr>
        <w:spacing w:line="240" w:lineRule="auto"/>
        <w:rPr>
          <w:rFonts w:eastAsia="Times New Roman" w:cs="Arial"/>
          <w:b/>
          <w:bCs/>
          <w:color w:val="000000"/>
          <w:lang w:eastAsia="bg-BG"/>
        </w:rPr>
      </w:pPr>
    </w:p>
    <w:p w14:paraId="2AEA1257" w14:textId="0B6808E2" w:rsidR="00152B0C" w:rsidRPr="00152B0C" w:rsidRDefault="00152B0C" w:rsidP="00152B0C">
      <w:pPr>
        <w:spacing w:line="240" w:lineRule="auto"/>
        <w:rPr>
          <w:rFonts w:eastAsia="Times New Roman" w:cs="Arial"/>
          <w:lang w:val="en-US" w:eastAsia="bg-BG"/>
        </w:rPr>
      </w:pPr>
      <w:r w:rsidRPr="00152B0C">
        <w:rPr>
          <w:rFonts w:eastAsia="Times New Roman" w:cs="Arial"/>
          <w:b/>
          <w:bCs/>
          <w:color w:val="000000"/>
          <w:lang w:eastAsia="bg-BG"/>
        </w:rPr>
        <w:t>Грам-отрицателни бактерии</w:t>
      </w:r>
    </w:p>
    <w:p w14:paraId="70CE5F48" w14:textId="77777777" w:rsidR="00152B0C" w:rsidRPr="00152B0C" w:rsidRDefault="00152B0C" w:rsidP="00152B0C">
      <w:pPr>
        <w:spacing w:line="240" w:lineRule="auto"/>
        <w:rPr>
          <w:rFonts w:eastAsia="Times New Roman" w:cs="Arial"/>
          <w:lang w:val="en-US" w:eastAsia="bg-BG"/>
        </w:rPr>
      </w:pPr>
      <w:r w:rsidRPr="00152B0C">
        <w:rPr>
          <w:rFonts w:eastAsia="Times New Roman" w:cs="Arial"/>
          <w:i/>
          <w:iCs/>
          <w:color w:val="000000"/>
          <w:lang w:val="en-US"/>
        </w:rPr>
        <w:t>Escherichia coli,</w:t>
      </w:r>
    </w:p>
    <w:p w14:paraId="382A3888" w14:textId="77777777" w:rsidR="00152B0C" w:rsidRPr="00152B0C" w:rsidRDefault="00152B0C" w:rsidP="00152B0C">
      <w:pPr>
        <w:spacing w:line="240" w:lineRule="auto"/>
        <w:rPr>
          <w:rFonts w:eastAsia="Times New Roman" w:cs="Arial"/>
          <w:lang w:val="en-US" w:eastAsia="bg-BG"/>
        </w:rPr>
      </w:pPr>
      <w:r w:rsidRPr="00152B0C">
        <w:rPr>
          <w:rFonts w:eastAsia="Times New Roman" w:cs="Arial"/>
          <w:i/>
          <w:iCs/>
          <w:color w:val="000000"/>
          <w:lang w:val="en-US"/>
        </w:rPr>
        <w:t>Klebsiella spp.,</w:t>
      </w:r>
    </w:p>
    <w:p w14:paraId="46C7781F" w14:textId="77777777" w:rsidR="00152B0C" w:rsidRPr="00152B0C" w:rsidRDefault="00152B0C" w:rsidP="00152B0C">
      <w:pPr>
        <w:spacing w:line="240" w:lineRule="auto"/>
        <w:rPr>
          <w:rFonts w:eastAsia="Times New Roman" w:cs="Arial"/>
          <w:lang w:val="en-US" w:eastAsia="bg-BG"/>
        </w:rPr>
      </w:pPr>
      <w:r w:rsidRPr="00152B0C">
        <w:rPr>
          <w:rFonts w:eastAsia="Times New Roman" w:cs="Arial"/>
          <w:i/>
          <w:iCs/>
          <w:color w:val="000000"/>
          <w:lang w:val="en-US"/>
        </w:rPr>
        <w:t>Enterobacter spp.,</w:t>
      </w:r>
    </w:p>
    <w:p w14:paraId="6D58185F" w14:textId="77777777" w:rsidR="00152B0C" w:rsidRPr="00152B0C" w:rsidRDefault="00152B0C" w:rsidP="00152B0C">
      <w:pPr>
        <w:spacing w:line="240" w:lineRule="auto"/>
        <w:rPr>
          <w:rFonts w:eastAsia="Times New Roman" w:cs="Arial"/>
          <w:lang w:val="en-US" w:eastAsia="bg-BG"/>
        </w:rPr>
      </w:pPr>
      <w:r w:rsidRPr="00152B0C">
        <w:rPr>
          <w:rFonts w:eastAsia="Times New Roman" w:cs="Arial"/>
          <w:i/>
          <w:iCs/>
          <w:color w:val="000000"/>
          <w:lang w:val="en-US"/>
        </w:rPr>
        <w:t>Citrobacter spp.,</w:t>
      </w:r>
    </w:p>
    <w:p w14:paraId="67ABEFEB" w14:textId="77777777" w:rsidR="00152B0C" w:rsidRPr="00152B0C" w:rsidRDefault="00152B0C" w:rsidP="00152B0C">
      <w:pPr>
        <w:spacing w:line="240" w:lineRule="auto"/>
        <w:rPr>
          <w:rFonts w:eastAsia="Times New Roman" w:cs="Arial"/>
          <w:lang w:val="en-US" w:eastAsia="bg-BG"/>
        </w:rPr>
      </w:pPr>
      <w:proofErr w:type="spellStart"/>
      <w:r w:rsidRPr="00152B0C">
        <w:rPr>
          <w:rFonts w:eastAsia="Times New Roman" w:cs="Arial"/>
          <w:i/>
          <w:iCs/>
          <w:color w:val="000000"/>
          <w:lang w:val="en-US"/>
        </w:rPr>
        <w:t>Haemophilis</w:t>
      </w:r>
      <w:proofErr w:type="spellEnd"/>
      <w:r w:rsidRPr="00152B0C">
        <w:rPr>
          <w:rFonts w:eastAsia="Times New Roman" w:cs="Arial"/>
          <w:i/>
          <w:iCs/>
          <w:color w:val="000000"/>
          <w:lang w:val="en-US"/>
        </w:rPr>
        <w:t xml:space="preserve"> influenzae,</w:t>
      </w:r>
    </w:p>
    <w:p w14:paraId="4A1FEA81" w14:textId="77777777" w:rsidR="00152B0C" w:rsidRPr="00152B0C" w:rsidRDefault="00152B0C" w:rsidP="00152B0C">
      <w:pPr>
        <w:spacing w:line="240" w:lineRule="auto"/>
        <w:rPr>
          <w:rFonts w:eastAsia="Times New Roman" w:cs="Arial"/>
          <w:lang w:val="en-US" w:eastAsia="bg-BG"/>
        </w:rPr>
      </w:pPr>
      <w:r w:rsidRPr="00152B0C">
        <w:rPr>
          <w:rFonts w:eastAsia="Times New Roman" w:cs="Arial"/>
          <w:i/>
          <w:iCs/>
          <w:color w:val="000000"/>
          <w:lang w:val="en-US"/>
        </w:rPr>
        <w:t>Proteus mirabilis,</w:t>
      </w:r>
    </w:p>
    <w:p w14:paraId="4574326D" w14:textId="77777777" w:rsidR="00152B0C" w:rsidRPr="00152B0C" w:rsidRDefault="00152B0C" w:rsidP="00152B0C">
      <w:pPr>
        <w:spacing w:line="240" w:lineRule="auto"/>
        <w:rPr>
          <w:rFonts w:eastAsia="Times New Roman" w:cs="Arial"/>
          <w:lang w:val="en-US" w:eastAsia="bg-BG"/>
        </w:rPr>
      </w:pPr>
      <w:r w:rsidRPr="00152B0C">
        <w:rPr>
          <w:rFonts w:eastAsia="Times New Roman" w:cs="Arial"/>
          <w:i/>
          <w:iCs/>
          <w:color w:val="000000"/>
          <w:lang w:val="en-US"/>
        </w:rPr>
        <w:t>Proteus vulgaris,</w:t>
      </w:r>
    </w:p>
    <w:p w14:paraId="15BF5817" w14:textId="77777777" w:rsidR="00152B0C" w:rsidRPr="00152B0C" w:rsidRDefault="00152B0C" w:rsidP="00152B0C">
      <w:pPr>
        <w:spacing w:line="240" w:lineRule="auto"/>
        <w:rPr>
          <w:rFonts w:eastAsia="Times New Roman" w:cs="Arial"/>
          <w:lang w:val="en-US" w:eastAsia="bg-BG"/>
        </w:rPr>
      </w:pPr>
      <w:proofErr w:type="spellStart"/>
      <w:r w:rsidRPr="00152B0C">
        <w:rPr>
          <w:rFonts w:eastAsia="Times New Roman" w:cs="Arial"/>
          <w:i/>
          <w:iCs/>
          <w:color w:val="000000"/>
          <w:lang w:val="en-US"/>
        </w:rPr>
        <w:t>Morganella</w:t>
      </w:r>
      <w:proofErr w:type="spellEnd"/>
      <w:r w:rsidRPr="00152B0C">
        <w:rPr>
          <w:rFonts w:eastAsia="Times New Roman" w:cs="Arial"/>
          <w:i/>
          <w:iCs/>
          <w:color w:val="000000"/>
          <w:lang w:val="en-US"/>
        </w:rPr>
        <w:t xml:space="preserve"> morganii</w:t>
      </w:r>
      <w:r w:rsidRPr="00152B0C">
        <w:rPr>
          <w:rFonts w:eastAsia="Times New Roman" w:cs="Arial"/>
          <w:color w:val="000000"/>
          <w:lang w:val="en-US"/>
        </w:rPr>
        <w:t xml:space="preserve"> </w:t>
      </w:r>
      <w:r w:rsidRPr="00152B0C">
        <w:rPr>
          <w:rFonts w:eastAsia="Times New Roman" w:cs="Arial"/>
          <w:color w:val="000000"/>
          <w:lang w:eastAsia="bg-BG"/>
        </w:rPr>
        <w:t xml:space="preserve">(предишен </w:t>
      </w:r>
      <w:r w:rsidRPr="00152B0C">
        <w:rPr>
          <w:rFonts w:eastAsia="Times New Roman" w:cs="Arial"/>
          <w:i/>
          <w:iCs/>
          <w:color w:val="000000"/>
          <w:lang w:val="en-US"/>
        </w:rPr>
        <w:t>Proteus morganii),</w:t>
      </w:r>
    </w:p>
    <w:p w14:paraId="68A331AF" w14:textId="77777777" w:rsidR="00152B0C" w:rsidRPr="00152B0C" w:rsidRDefault="00152B0C" w:rsidP="00152B0C">
      <w:pPr>
        <w:spacing w:line="240" w:lineRule="auto"/>
        <w:rPr>
          <w:rFonts w:eastAsia="Times New Roman" w:cs="Arial"/>
          <w:lang w:val="en-US" w:eastAsia="bg-BG"/>
        </w:rPr>
      </w:pPr>
      <w:r w:rsidRPr="00152B0C">
        <w:rPr>
          <w:rFonts w:eastAsia="Times New Roman" w:cs="Arial"/>
          <w:i/>
          <w:iCs/>
          <w:color w:val="000000"/>
          <w:lang w:val="en-US"/>
        </w:rPr>
        <w:t xml:space="preserve">Providencia </w:t>
      </w:r>
      <w:proofErr w:type="spellStart"/>
      <w:r w:rsidRPr="00152B0C">
        <w:rPr>
          <w:rFonts w:eastAsia="Times New Roman" w:cs="Arial"/>
          <w:i/>
          <w:iCs/>
          <w:color w:val="000000"/>
          <w:lang w:val="en-US"/>
        </w:rPr>
        <w:t>rettgeri</w:t>
      </w:r>
      <w:proofErr w:type="spellEnd"/>
      <w:r w:rsidRPr="00152B0C">
        <w:rPr>
          <w:rFonts w:eastAsia="Times New Roman" w:cs="Arial"/>
          <w:color w:val="000000"/>
          <w:lang w:val="en-US"/>
        </w:rPr>
        <w:t xml:space="preserve"> </w:t>
      </w:r>
      <w:r w:rsidRPr="00152B0C">
        <w:rPr>
          <w:rFonts w:eastAsia="Times New Roman" w:cs="Arial"/>
          <w:color w:val="000000"/>
          <w:lang w:eastAsia="bg-BG"/>
        </w:rPr>
        <w:t xml:space="preserve">(предишен </w:t>
      </w:r>
      <w:r w:rsidRPr="00152B0C">
        <w:rPr>
          <w:rFonts w:eastAsia="Times New Roman" w:cs="Arial"/>
          <w:i/>
          <w:iCs/>
          <w:color w:val="000000"/>
          <w:lang w:val="en-US"/>
        </w:rPr>
        <w:t xml:space="preserve">Proteus </w:t>
      </w:r>
      <w:proofErr w:type="spellStart"/>
      <w:r w:rsidRPr="00152B0C">
        <w:rPr>
          <w:rFonts w:eastAsia="Times New Roman" w:cs="Arial"/>
          <w:i/>
          <w:iCs/>
          <w:color w:val="000000"/>
          <w:lang w:val="en-US"/>
        </w:rPr>
        <w:t>rettgeri</w:t>
      </w:r>
      <w:proofErr w:type="spellEnd"/>
      <w:r w:rsidRPr="00152B0C">
        <w:rPr>
          <w:rFonts w:eastAsia="Times New Roman" w:cs="Arial"/>
          <w:i/>
          <w:iCs/>
          <w:color w:val="000000"/>
          <w:lang w:val="en-US"/>
        </w:rPr>
        <w:t>),</w:t>
      </w:r>
    </w:p>
    <w:p w14:paraId="57B603C7" w14:textId="77777777" w:rsidR="00152B0C" w:rsidRPr="00152B0C" w:rsidRDefault="00152B0C" w:rsidP="00152B0C">
      <w:pPr>
        <w:spacing w:line="240" w:lineRule="auto"/>
        <w:rPr>
          <w:rFonts w:eastAsia="Times New Roman" w:cs="Arial"/>
          <w:lang w:val="en-US" w:eastAsia="bg-BG"/>
        </w:rPr>
      </w:pPr>
      <w:r w:rsidRPr="00152B0C">
        <w:rPr>
          <w:rFonts w:eastAsia="Times New Roman" w:cs="Arial"/>
          <w:i/>
          <w:iCs/>
          <w:color w:val="000000"/>
          <w:lang w:val="en-US"/>
        </w:rPr>
        <w:t>Providencia spp.,</w:t>
      </w:r>
    </w:p>
    <w:p w14:paraId="7CBBD722" w14:textId="77777777" w:rsidR="00152B0C" w:rsidRPr="00152B0C" w:rsidRDefault="00152B0C" w:rsidP="00152B0C">
      <w:pPr>
        <w:spacing w:line="240" w:lineRule="auto"/>
        <w:rPr>
          <w:rFonts w:eastAsia="Times New Roman" w:cs="Arial"/>
          <w:lang w:val="en-US" w:eastAsia="bg-BG"/>
        </w:rPr>
      </w:pPr>
      <w:r w:rsidRPr="00152B0C">
        <w:rPr>
          <w:rFonts w:eastAsia="Times New Roman" w:cs="Arial"/>
          <w:i/>
          <w:iCs/>
          <w:color w:val="000000"/>
          <w:lang w:val="en-US"/>
        </w:rPr>
        <w:t>Serratia species</w:t>
      </w:r>
      <w:r w:rsidRPr="00152B0C">
        <w:rPr>
          <w:rFonts w:eastAsia="Times New Roman" w:cs="Arial"/>
          <w:color w:val="000000"/>
          <w:lang w:val="en-US"/>
        </w:rPr>
        <w:t xml:space="preserve"> </w:t>
      </w:r>
      <w:r w:rsidRPr="00152B0C">
        <w:rPr>
          <w:rFonts w:eastAsia="Times New Roman" w:cs="Arial"/>
          <w:color w:val="000000"/>
          <w:lang w:eastAsia="bg-BG"/>
        </w:rPr>
        <w:t xml:space="preserve">(включително </w:t>
      </w:r>
      <w:r w:rsidRPr="00152B0C">
        <w:rPr>
          <w:rFonts w:eastAsia="Times New Roman" w:cs="Arial"/>
          <w:i/>
          <w:iCs/>
          <w:color w:val="000000"/>
          <w:lang w:val="en-US"/>
        </w:rPr>
        <w:t>u Serratia marcescens)</w:t>
      </w:r>
    </w:p>
    <w:p w14:paraId="4D393E7E" w14:textId="77777777" w:rsidR="00152B0C" w:rsidRPr="00152B0C" w:rsidRDefault="00152B0C" w:rsidP="00152B0C">
      <w:pPr>
        <w:spacing w:line="240" w:lineRule="auto"/>
        <w:rPr>
          <w:rFonts w:eastAsia="Times New Roman" w:cs="Arial"/>
          <w:lang w:val="en-US" w:eastAsia="bg-BG"/>
        </w:rPr>
      </w:pPr>
      <w:proofErr w:type="spellStart"/>
      <w:r w:rsidRPr="00152B0C">
        <w:rPr>
          <w:rFonts w:eastAsia="Times New Roman" w:cs="Arial"/>
          <w:i/>
          <w:iCs/>
          <w:color w:val="000000"/>
          <w:lang w:val="en-US"/>
        </w:rPr>
        <w:t>Salmonela</w:t>
      </w:r>
      <w:proofErr w:type="spellEnd"/>
      <w:r w:rsidRPr="00152B0C">
        <w:rPr>
          <w:rFonts w:eastAsia="Times New Roman" w:cs="Arial"/>
          <w:i/>
          <w:iCs/>
          <w:color w:val="000000"/>
          <w:lang w:val="en-US"/>
        </w:rPr>
        <w:t xml:space="preserve"> spp.</w:t>
      </w:r>
      <w:r w:rsidRPr="00152B0C">
        <w:rPr>
          <w:rFonts w:eastAsia="Times New Roman" w:cs="Arial"/>
          <w:color w:val="000000"/>
          <w:lang w:val="en-US"/>
        </w:rPr>
        <w:t xml:space="preserve"> </w:t>
      </w:r>
      <w:r w:rsidRPr="00152B0C">
        <w:rPr>
          <w:rFonts w:eastAsia="Times New Roman" w:cs="Arial"/>
          <w:color w:val="000000"/>
          <w:lang w:eastAsia="bg-BG"/>
        </w:rPr>
        <w:t xml:space="preserve">и </w:t>
      </w:r>
      <w:r w:rsidRPr="00152B0C">
        <w:rPr>
          <w:rFonts w:eastAsia="Times New Roman" w:cs="Arial"/>
          <w:i/>
          <w:iCs/>
          <w:color w:val="000000"/>
          <w:lang w:val="en-US"/>
        </w:rPr>
        <w:t>Shigella spp.,</w:t>
      </w:r>
    </w:p>
    <w:p w14:paraId="281F4D74" w14:textId="7EBC8D59" w:rsidR="00152B0C" w:rsidRPr="00152B0C" w:rsidRDefault="00152B0C" w:rsidP="00152B0C">
      <w:pPr>
        <w:spacing w:line="240" w:lineRule="auto"/>
        <w:rPr>
          <w:rFonts w:eastAsia="Times New Roman" w:cs="Arial"/>
          <w:color w:val="000000"/>
          <w:lang w:eastAsia="bg-BG"/>
        </w:rPr>
      </w:pPr>
      <w:r w:rsidRPr="00152B0C">
        <w:rPr>
          <w:rFonts w:eastAsia="Times New Roman" w:cs="Arial"/>
          <w:i/>
          <w:iCs/>
          <w:color w:val="000000"/>
          <w:lang w:val="en-US"/>
        </w:rPr>
        <w:t>Pseudomonas aeruginosa</w:t>
      </w:r>
      <w:r w:rsidRPr="00152B0C">
        <w:rPr>
          <w:rFonts w:eastAsia="Times New Roman" w:cs="Arial"/>
          <w:color w:val="000000"/>
          <w:lang w:val="en-US"/>
        </w:rPr>
        <w:t xml:space="preserve"> </w:t>
      </w:r>
      <w:r w:rsidRPr="00152B0C">
        <w:rPr>
          <w:rFonts w:eastAsia="Times New Roman" w:cs="Arial"/>
          <w:color w:val="000000"/>
          <w:lang w:eastAsia="bg-BG"/>
        </w:rPr>
        <w:t xml:space="preserve">и някои други щамове </w:t>
      </w:r>
      <w:r w:rsidRPr="00152B0C">
        <w:rPr>
          <w:rFonts w:eastAsia="Times New Roman" w:cs="Arial"/>
          <w:i/>
          <w:iCs/>
          <w:color w:val="000000"/>
          <w:lang w:val="en-US"/>
        </w:rPr>
        <w:t>Pseudomonas,</w:t>
      </w:r>
    </w:p>
    <w:p w14:paraId="53EB2146" w14:textId="77777777" w:rsidR="00152B0C" w:rsidRPr="00152B0C" w:rsidRDefault="00152B0C" w:rsidP="00152B0C">
      <w:pPr>
        <w:spacing w:line="240" w:lineRule="auto"/>
        <w:rPr>
          <w:rFonts w:eastAsia="Times New Roman" w:cs="Arial"/>
          <w:lang w:val="en-US" w:eastAsia="bg-BG"/>
        </w:rPr>
      </w:pPr>
      <w:proofErr w:type="spellStart"/>
      <w:r w:rsidRPr="00152B0C">
        <w:rPr>
          <w:rFonts w:eastAsia="Times New Roman" w:cs="Arial"/>
          <w:i/>
          <w:iCs/>
          <w:color w:val="000000"/>
          <w:lang w:val="en-US"/>
        </w:rPr>
        <w:t>Acinotobacter</w:t>
      </w:r>
      <w:proofErr w:type="spellEnd"/>
      <w:r w:rsidRPr="00152B0C">
        <w:rPr>
          <w:rFonts w:eastAsia="Times New Roman" w:cs="Arial"/>
          <w:i/>
          <w:iCs/>
          <w:color w:val="000000"/>
          <w:lang w:val="en-US"/>
        </w:rPr>
        <w:t xml:space="preserve"> </w:t>
      </w:r>
      <w:proofErr w:type="spellStart"/>
      <w:r w:rsidRPr="00152B0C">
        <w:rPr>
          <w:rFonts w:eastAsia="Times New Roman" w:cs="Arial"/>
          <w:i/>
          <w:iCs/>
          <w:color w:val="000000"/>
          <w:lang w:val="en-US"/>
        </w:rPr>
        <w:t>calcoaceticus</w:t>
      </w:r>
      <w:proofErr w:type="spellEnd"/>
      <w:r w:rsidRPr="00152B0C">
        <w:rPr>
          <w:rFonts w:eastAsia="Times New Roman" w:cs="Arial"/>
          <w:i/>
          <w:iCs/>
          <w:color w:val="000000"/>
          <w:lang w:val="en-US"/>
        </w:rPr>
        <w:t>,</w:t>
      </w:r>
    </w:p>
    <w:p w14:paraId="7E6854DD" w14:textId="77777777" w:rsidR="00152B0C" w:rsidRPr="00152B0C" w:rsidRDefault="00152B0C" w:rsidP="00152B0C">
      <w:pPr>
        <w:spacing w:line="240" w:lineRule="auto"/>
        <w:rPr>
          <w:rFonts w:eastAsia="Times New Roman" w:cs="Arial"/>
          <w:lang w:val="en-US" w:eastAsia="bg-BG"/>
        </w:rPr>
      </w:pPr>
      <w:r w:rsidRPr="00152B0C">
        <w:rPr>
          <w:rFonts w:eastAsia="Times New Roman" w:cs="Arial"/>
          <w:i/>
          <w:iCs/>
          <w:color w:val="000000"/>
          <w:lang w:val="en-US"/>
        </w:rPr>
        <w:t>Neisseria gonorrhoeae,</w:t>
      </w:r>
    </w:p>
    <w:p w14:paraId="038CABB5" w14:textId="77777777" w:rsidR="00152B0C" w:rsidRPr="00152B0C" w:rsidRDefault="00152B0C" w:rsidP="00152B0C">
      <w:pPr>
        <w:spacing w:line="240" w:lineRule="auto"/>
        <w:rPr>
          <w:rFonts w:eastAsia="Times New Roman" w:cs="Arial"/>
          <w:lang w:val="en-US" w:eastAsia="bg-BG"/>
        </w:rPr>
      </w:pPr>
      <w:r w:rsidRPr="00152B0C">
        <w:rPr>
          <w:rFonts w:eastAsia="Times New Roman" w:cs="Arial"/>
          <w:i/>
          <w:iCs/>
          <w:color w:val="000000"/>
          <w:lang w:val="en-US"/>
        </w:rPr>
        <w:t>Neisseria meningitidis,</w:t>
      </w:r>
    </w:p>
    <w:p w14:paraId="46A3F753" w14:textId="77777777" w:rsidR="00152B0C" w:rsidRPr="00152B0C" w:rsidRDefault="00152B0C" w:rsidP="00152B0C">
      <w:pPr>
        <w:spacing w:line="240" w:lineRule="auto"/>
        <w:rPr>
          <w:rFonts w:eastAsia="Times New Roman" w:cs="Arial"/>
          <w:lang w:val="en-US" w:eastAsia="bg-BG"/>
        </w:rPr>
      </w:pPr>
      <w:r w:rsidRPr="00152B0C">
        <w:rPr>
          <w:rFonts w:eastAsia="Times New Roman" w:cs="Arial"/>
          <w:i/>
          <w:iCs/>
          <w:color w:val="000000"/>
          <w:lang w:val="en-US"/>
        </w:rPr>
        <w:t>Bordetella pertussis,</w:t>
      </w:r>
    </w:p>
    <w:p w14:paraId="1B540A50" w14:textId="77777777" w:rsidR="00152B0C" w:rsidRPr="00152B0C" w:rsidRDefault="00152B0C" w:rsidP="00152B0C">
      <w:pPr>
        <w:spacing w:line="240" w:lineRule="auto"/>
        <w:rPr>
          <w:rFonts w:eastAsia="Times New Roman" w:cs="Arial"/>
          <w:lang w:val="en-US" w:eastAsia="bg-BG"/>
        </w:rPr>
      </w:pPr>
      <w:r w:rsidRPr="00152B0C">
        <w:rPr>
          <w:rFonts w:eastAsia="Times New Roman" w:cs="Arial"/>
          <w:i/>
          <w:iCs/>
          <w:color w:val="000000"/>
          <w:lang w:val="en-US"/>
        </w:rPr>
        <w:t>Yersinia enterocolitica.</w:t>
      </w:r>
    </w:p>
    <w:p w14:paraId="3DE16838" w14:textId="77777777" w:rsidR="00152B0C" w:rsidRDefault="00152B0C" w:rsidP="00152B0C">
      <w:pPr>
        <w:spacing w:line="240" w:lineRule="auto"/>
        <w:rPr>
          <w:rFonts w:eastAsia="Times New Roman" w:cs="Arial"/>
          <w:b/>
          <w:bCs/>
          <w:color w:val="000000"/>
          <w:lang w:eastAsia="bg-BG"/>
        </w:rPr>
      </w:pPr>
    </w:p>
    <w:p w14:paraId="021C6CC4" w14:textId="55587731" w:rsidR="00152B0C" w:rsidRPr="00152B0C" w:rsidRDefault="00152B0C" w:rsidP="00152B0C">
      <w:pPr>
        <w:spacing w:line="240" w:lineRule="auto"/>
        <w:rPr>
          <w:rFonts w:eastAsia="Times New Roman" w:cs="Arial"/>
          <w:lang w:val="en-US" w:eastAsia="bg-BG"/>
        </w:rPr>
      </w:pPr>
      <w:r w:rsidRPr="00152B0C">
        <w:rPr>
          <w:rFonts w:eastAsia="Times New Roman" w:cs="Arial"/>
          <w:b/>
          <w:bCs/>
          <w:color w:val="000000"/>
          <w:lang w:eastAsia="bg-BG"/>
        </w:rPr>
        <w:t>Анаеробни бактерии</w:t>
      </w:r>
    </w:p>
    <w:p w14:paraId="17855C8B" w14:textId="77777777" w:rsidR="00152B0C" w:rsidRPr="00152B0C" w:rsidRDefault="00152B0C" w:rsidP="00152B0C">
      <w:pPr>
        <w:spacing w:line="240" w:lineRule="auto"/>
        <w:rPr>
          <w:rFonts w:eastAsia="Times New Roman" w:cs="Arial"/>
          <w:lang w:val="en-US" w:eastAsia="bg-BG"/>
        </w:rPr>
      </w:pPr>
      <w:r w:rsidRPr="00152B0C">
        <w:rPr>
          <w:rFonts w:eastAsia="Times New Roman" w:cs="Arial"/>
          <w:color w:val="000000"/>
          <w:lang w:eastAsia="bg-BG"/>
        </w:rPr>
        <w:t xml:space="preserve">Грам-положителни и Грам-отрицателни коки (в това число </w:t>
      </w:r>
      <w:proofErr w:type="spellStart"/>
      <w:r w:rsidRPr="00152B0C">
        <w:rPr>
          <w:rFonts w:eastAsia="Times New Roman" w:cs="Arial"/>
          <w:i/>
          <w:iCs/>
          <w:color w:val="000000"/>
          <w:lang w:val="en-US"/>
        </w:rPr>
        <w:t>Peptococcus</w:t>
      </w:r>
      <w:proofErr w:type="spellEnd"/>
      <w:r w:rsidRPr="00152B0C">
        <w:rPr>
          <w:rFonts w:eastAsia="Times New Roman" w:cs="Arial"/>
          <w:i/>
          <w:iCs/>
          <w:color w:val="000000"/>
          <w:lang w:val="en-US"/>
        </w:rPr>
        <w:t xml:space="preserve">, </w:t>
      </w:r>
      <w:proofErr w:type="spellStart"/>
      <w:r w:rsidRPr="00152B0C">
        <w:rPr>
          <w:rFonts w:eastAsia="Times New Roman" w:cs="Arial"/>
          <w:i/>
          <w:iCs/>
          <w:color w:val="000000"/>
          <w:lang w:val="en-US"/>
        </w:rPr>
        <w:t>Peptosteptococcus</w:t>
      </w:r>
      <w:proofErr w:type="spellEnd"/>
      <w:r w:rsidRPr="00152B0C">
        <w:rPr>
          <w:rFonts w:eastAsia="Times New Roman" w:cs="Arial"/>
          <w:color w:val="000000"/>
          <w:lang w:val="en-US"/>
        </w:rPr>
        <w:t xml:space="preserve"> </w:t>
      </w:r>
      <w:r w:rsidRPr="00152B0C">
        <w:rPr>
          <w:rFonts w:eastAsia="Times New Roman" w:cs="Arial"/>
          <w:color w:val="000000"/>
          <w:lang w:eastAsia="bg-BG"/>
        </w:rPr>
        <w:t xml:space="preserve">и </w:t>
      </w:r>
      <w:proofErr w:type="spellStart"/>
      <w:r w:rsidRPr="00152B0C">
        <w:rPr>
          <w:rFonts w:eastAsia="Times New Roman" w:cs="Arial"/>
          <w:i/>
          <w:iCs/>
          <w:color w:val="000000"/>
          <w:lang w:val="en-US"/>
        </w:rPr>
        <w:t>Veillonela</w:t>
      </w:r>
      <w:proofErr w:type="spellEnd"/>
      <w:r w:rsidRPr="00152B0C">
        <w:rPr>
          <w:rFonts w:eastAsia="Times New Roman" w:cs="Arial"/>
          <w:i/>
          <w:iCs/>
          <w:color w:val="000000"/>
          <w:lang w:val="en-US"/>
        </w:rPr>
        <w:t xml:space="preserve"> spp.)</w:t>
      </w:r>
    </w:p>
    <w:p w14:paraId="723C02F5" w14:textId="77777777" w:rsidR="00152B0C" w:rsidRPr="00152B0C" w:rsidRDefault="00152B0C" w:rsidP="00152B0C">
      <w:pPr>
        <w:spacing w:line="240" w:lineRule="auto"/>
        <w:rPr>
          <w:rFonts w:eastAsia="Times New Roman" w:cs="Arial"/>
          <w:lang w:val="en-US" w:eastAsia="bg-BG"/>
        </w:rPr>
      </w:pPr>
      <w:r w:rsidRPr="00152B0C">
        <w:rPr>
          <w:rFonts w:eastAsia="Times New Roman" w:cs="Arial"/>
          <w:color w:val="000000"/>
          <w:lang w:eastAsia="bg-BG"/>
        </w:rPr>
        <w:t xml:space="preserve">Грам-положителни бацили (в това число </w:t>
      </w:r>
      <w:r w:rsidRPr="00152B0C">
        <w:rPr>
          <w:rFonts w:eastAsia="Times New Roman" w:cs="Arial"/>
          <w:i/>
          <w:iCs/>
          <w:color w:val="000000"/>
          <w:lang w:val="en-US"/>
        </w:rPr>
        <w:t>Clostridium spp., Eubacterium</w:t>
      </w:r>
      <w:r w:rsidRPr="00152B0C">
        <w:rPr>
          <w:rFonts w:eastAsia="Times New Roman" w:cs="Arial"/>
          <w:color w:val="000000"/>
          <w:lang w:val="en-US"/>
        </w:rPr>
        <w:t xml:space="preserve"> </w:t>
      </w:r>
      <w:r w:rsidRPr="00152B0C">
        <w:rPr>
          <w:rFonts w:eastAsia="Times New Roman" w:cs="Arial"/>
          <w:color w:val="000000"/>
          <w:lang w:eastAsia="bg-BG"/>
        </w:rPr>
        <w:t xml:space="preserve">и </w:t>
      </w:r>
      <w:r w:rsidRPr="00152B0C">
        <w:rPr>
          <w:rFonts w:eastAsia="Times New Roman" w:cs="Arial"/>
          <w:i/>
          <w:iCs/>
          <w:color w:val="000000"/>
          <w:lang w:val="en-US"/>
        </w:rPr>
        <w:t>Lactobacillus</w:t>
      </w:r>
      <w:r w:rsidRPr="00152B0C">
        <w:rPr>
          <w:rFonts w:eastAsia="Times New Roman" w:cs="Arial"/>
          <w:color w:val="000000"/>
          <w:lang w:val="en-US"/>
        </w:rPr>
        <w:t xml:space="preserve"> spp.). </w:t>
      </w:r>
      <w:r w:rsidRPr="00152B0C">
        <w:rPr>
          <w:rFonts w:eastAsia="Times New Roman" w:cs="Arial"/>
          <w:color w:val="000000"/>
          <w:lang w:eastAsia="bg-BG"/>
        </w:rPr>
        <w:t xml:space="preserve">Грам-отрицателни бацили (в това число </w:t>
      </w:r>
      <w:r w:rsidRPr="00152B0C">
        <w:rPr>
          <w:rFonts w:eastAsia="Times New Roman" w:cs="Arial"/>
          <w:i/>
          <w:iCs/>
          <w:color w:val="000000"/>
          <w:lang w:val="en-US"/>
        </w:rPr>
        <w:t>Fusobacterium</w:t>
      </w:r>
      <w:r w:rsidRPr="00152B0C">
        <w:rPr>
          <w:rFonts w:eastAsia="Times New Roman" w:cs="Arial"/>
          <w:color w:val="000000"/>
          <w:lang w:val="en-US"/>
        </w:rPr>
        <w:t xml:space="preserve"> spp., </w:t>
      </w:r>
      <w:r w:rsidRPr="00152B0C">
        <w:rPr>
          <w:rFonts w:eastAsia="Times New Roman" w:cs="Arial"/>
          <w:color w:val="000000"/>
          <w:lang w:eastAsia="bg-BG"/>
        </w:rPr>
        <w:t xml:space="preserve">много щамове </w:t>
      </w:r>
      <w:r w:rsidRPr="00152B0C">
        <w:rPr>
          <w:rFonts w:eastAsia="Times New Roman" w:cs="Arial"/>
          <w:i/>
          <w:iCs/>
          <w:color w:val="000000"/>
          <w:lang w:val="en-US"/>
        </w:rPr>
        <w:t>Bacteroides fragilis</w:t>
      </w:r>
      <w:r w:rsidRPr="00152B0C">
        <w:rPr>
          <w:rFonts w:eastAsia="Times New Roman" w:cs="Arial"/>
          <w:color w:val="000000"/>
          <w:lang w:val="en-US"/>
        </w:rPr>
        <w:t xml:space="preserve"> </w:t>
      </w:r>
      <w:r w:rsidRPr="00152B0C">
        <w:rPr>
          <w:rFonts w:eastAsia="Times New Roman" w:cs="Arial"/>
          <w:color w:val="000000"/>
          <w:lang w:eastAsia="bg-BG"/>
        </w:rPr>
        <w:t xml:space="preserve">и други щамове </w:t>
      </w:r>
      <w:r w:rsidRPr="00152B0C">
        <w:rPr>
          <w:rFonts w:eastAsia="Times New Roman" w:cs="Arial"/>
          <w:i/>
          <w:iCs/>
          <w:color w:val="000000"/>
          <w:lang w:val="en-US"/>
        </w:rPr>
        <w:t xml:space="preserve">Bacteroides </w:t>
      </w:r>
      <w:proofErr w:type="spellStart"/>
      <w:r w:rsidRPr="00152B0C">
        <w:rPr>
          <w:rFonts w:eastAsia="Times New Roman" w:cs="Arial"/>
          <w:i/>
          <w:iCs/>
          <w:color w:val="000000"/>
          <w:lang w:val="en-US"/>
        </w:rPr>
        <w:t>spp</w:t>
      </w:r>
      <w:proofErr w:type="spellEnd"/>
      <w:r w:rsidRPr="00152B0C">
        <w:rPr>
          <w:rFonts w:eastAsia="Times New Roman" w:cs="Arial"/>
          <w:i/>
          <w:iCs/>
          <w:color w:val="000000"/>
          <w:lang w:val="en-US"/>
        </w:rPr>
        <w:t>).</w:t>
      </w:r>
    </w:p>
    <w:p w14:paraId="362347BC" w14:textId="77777777" w:rsidR="00152B0C" w:rsidRPr="00152B0C" w:rsidRDefault="00152B0C" w:rsidP="00152B0C"/>
    <w:p w14:paraId="544FFDAF" w14:textId="22879B26" w:rsidR="00F62E44" w:rsidRDefault="002C50EE" w:rsidP="00387A66">
      <w:pPr>
        <w:pStyle w:val="Heading2"/>
      </w:pPr>
      <w:r>
        <w:t>5.2. Фармакокинетични свойства</w:t>
      </w:r>
    </w:p>
    <w:p w14:paraId="4757D88C" w14:textId="101B413D" w:rsidR="00152B0C" w:rsidRDefault="00152B0C" w:rsidP="00152B0C"/>
    <w:p w14:paraId="17576B9F" w14:textId="77777777" w:rsidR="00152B0C" w:rsidRPr="00152B0C" w:rsidRDefault="00152B0C" w:rsidP="00152B0C">
      <w:pPr>
        <w:spacing w:line="240" w:lineRule="auto"/>
        <w:rPr>
          <w:rFonts w:eastAsia="Times New Roman" w:cs="Arial"/>
          <w:lang w:eastAsia="bg-BG"/>
        </w:rPr>
      </w:pPr>
      <w:r w:rsidRPr="00152B0C">
        <w:rPr>
          <w:rFonts w:eastAsia="Times New Roman" w:cs="Arial"/>
          <w:color w:val="000000"/>
          <w:u w:val="single"/>
          <w:lang w:eastAsia="bg-BG"/>
        </w:rPr>
        <w:t>Абсорбция</w:t>
      </w:r>
    </w:p>
    <w:p w14:paraId="0FC87C32" w14:textId="77777777" w:rsidR="00152B0C" w:rsidRPr="00152B0C" w:rsidRDefault="00152B0C" w:rsidP="00152B0C">
      <w:pPr>
        <w:spacing w:line="240" w:lineRule="auto"/>
        <w:rPr>
          <w:rFonts w:eastAsia="Times New Roman" w:cs="Arial"/>
          <w:lang w:eastAsia="bg-BG"/>
        </w:rPr>
      </w:pPr>
      <w:r w:rsidRPr="00152B0C">
        <w:rPr>
          <w:rFonts w:eastAsia="Times New Roman" w:cs="Arial"/>
          <w:color w:val="000000"/>
          <w:lang w:eastAsia="bg-BG"/>
        </w:rPr>
        <w:t xml:space="preserve">След еднократно приложение цефоперазон достига високи концентрации в жлъчния серум и урината. Таблица 1 показва серумните концентрации на цефоперазон при здрави доброволци както след еднократна интравенозна инфузия с постоянна скорост с продължителност 15 минути на 1 </w:t>
      </w:r>
      <w:r w:rsidRPr="00152B0C">
        <w:rPr>
          <w:rFonts w:eastAsia="Times New Roman" w:cs="Arial"/>
          <w:color w:val="000000"/>
          <w:lang w:val="en-US"/>
        </w:rPr>
        <w:t xml:space="preserve">g, </w:t>
      </w:r>
      <w:r w:rsidRPr="00152B0C">
        <w:rPr>
          <w:rFonts w:eastAsia="Times New Roman" w:cs="Arial"/>
          <w:color w:val="000000"/>
          <w:lang w:eastAsia="bg-BG"/>
        </w:rPr>
        <w:t xml:space="preserve">2 </w:t>
      </w:r>
      <w:r w:rsidRPr="00152B0C">
        <w:rPr>
          <w:rFonts w:eastAsia="Times New Roman" w:cs="Arial"/>
          <w:color w:val="000000"/>
          <w:lang w:val="en-US"/>
        </w:rPr>
        <w:t xml:space="preserve">g, </w:t>
      </w:r>
      <w:r w:rsidRPr="00152B0C">
        <w:rPr>
          <w:rFonts w:eastAsia="Times New Roman" w:cs="Arial"/>
          <w:color w:val="000000"/>
          <w:lang w:eastAsia="bg-BG"/>
        </w:rPr>
        <w:t xml:space="preserve">3 </w:t>
      </w:r>
      <w:r w:rsidRPr="00152B0C">
        <w:rPr>
          <w:rFonts w:eastAsia="Times New Roman" w:cs="Arial"/>
          <w:color w:val="000000"/>
          <w:lang w:val="en-US"/>
        </w:rPr>
        <w:t xml:space="preserve">g </w:t>
      </w:r>
      <w:r w:rsidRPr="00152B0C">
        <w:rPr>
          <w:rFonts w:eastAsia="Times New Roman" w:cs="Arial"/>
          <w:color w:val="000000"/>
          <w:lang w:eastAsia="bg-BG"/>
        </w:rPr>
        <w:t xml:space="preserve">и 4 </w:t>
      </w:r>
      <w:r w:rsidRPr="00152B0C">
        <w:rPr>
          <w:rFonts w:eastAsia="Times New Roman" w:cs="Arial"/>
          <w:color w:val="000000"/>
          <w:lang w:val="en-US"/>
        </w:rPr>
        <w:t xml:space="preserve">g </w:t>
      </w:r>
      <w:r w:rsidRPr="00152B0C">
        <w:rPr>
          <w:rFonts w:eastAsia="Times New Roman" w:cs="Arial"/>
          <w:color w:val="000000"/>
          <w:lang w:eastAsia="bg-BG"/>
        </w:rPr>
        <w:t xml:space="preserve">от лекарството, така и след еднократна интрамускулна инжекция на 1 </w:t>
      </w:r>
      <w:r w:rsidRPr="00152B0C">
        <w:rPr>
          <w:rFonts w:eastAsia="Times New Roman" w:cs="Arial"/>
          <w:color w:val="000000"/>
          <w:lang w:val="en-US"/>
        </w:rPr>
        <w:t xml:space="preserve">g </w:t>
      </w:r>
      <w:r w:rsidRPr="00152B0C">
        <w:rPr>
          <w:rFonts w:eastAsia="Times New Roman" w:cs="Arial"/>
          <w:color w:val="000000"/>
          <w:lang w:eastAsia="bg-BG"/>
        </w:rPr>
        <w:t xml:space="preserve">и 2 </w:t>
      </w:r>
      <w:r w:rsidRPr="00152B0C">
        <w:rPr>
          <w:rFonts w:eastAsia="Times New Roman" w:cs="Arial"/>
          <w:color w:val="000000"/>
          <w:lang w:val="en-US"/>
        </w:rPr>
        <w:t xml:space="preserve">g </w:t>
      </w:r>
      <w:r w:rsidRPr="00152B0C">
        <w:rPr>
          <w:rFonts w:eastAsia="Times New Roman" w:cs="Arial"/>
          <w:color w:val="000000"/>
          <w:lang w:eastAsia="bg-BG"/>
        </w:rPr>
        <w:t>от лекарството.</w:t>
      </w:r>
    </w:p>
    <w:p w14:paraId="19513DF1" w14:textId="77777777" w:rsidR="00152B0C" w:rsidRPr="00152B0C" w:rsidRDefault="00152B0C" w:rsidP="00152B0C">
      <w:pPr>
        <w:spacing w:line="240" w:lineRule="auto"/>
        <w:rPr>
          <w:rFonts w:eastAsia="Times New Roman" w:cs="Arial"/>
          <w:lang w:eastAsia="bg-BG"/>
        </w:rPr>
      </w:pPr>
      <w:r w:rsidRPr="00152B0C">
        <w:rPr>
          <w:rFonts w:eastAsia="Times New Roman" w:cs="Arial"/>
          <w:color w:val="000000"/>
          <w:lang w:eastAsia="bg-BG"/>
        </w:rPr>
        <w:lastRenderedPageBreak/>
        <w:t>Пробенецид не повлиява серумните концентрации на цефоперазон.</w:t>
      </w:r>
    </w:p>
    <w:p w14:paraId="3FD85691" w14:textId="77777777" w:rsidR="00152B0C" w:rsidRPr="00152B0C" w:rsidRDefault="00152B0C" w:rsidP="00152B0C">
      <w:pPr>
        <w:spacing w:line="240" w:lineRule="auto"/>
        <w:rPr>
          <w:rFonts w:eastAsia="Times New Roman" w:cs="Arial"/>
          <w:b/>
          <w:bCs/>
          <w:color w:val="000000"/>
          <w:lang w:eastAsia="bg-BG"/>
        </w:rPr>
      </w:pPr>
    </w:p>
    <w:p w14:paraId="5CC20DBB" w14:textId="44C47564" w:rsidR="00152B0C" w:rsidRPr="00152B0C" w:rsidRDefault="00152B0C" w:rsidP="00152B0C">
      <w:pPr>
        <w:spacing w:line="240" w:lineRule="auto"/>
        <w:rPr>
          <w:rFonts w:eastAsia="Times New Roman" w:cs="Arial"/>
          <w:lang w:eastAsia="bg-BG"/>
        </w:rPr>
      </w:pPr>
      <w:r w:rsidRPr="00152B0C">
        <w:rPr>
          <w:rFonts w:eastAsia="Times New Roman" w:cs="Arial"/>
          <w:b/>
          <w:bCs/>
          <w:color w:val="000000"/>
          <w:lang w:eastAsia="bg-BG"/>
        </w:rPr>
        <w:t>Таблица 1 Серумни концентрации на цефоперазон</w:t>
      </w:r>
    </w:p>
    <w:tbl>
      <w:tblPr>
        <w:tblStyle w:val="TableGrid"/>
        <w:tblW w:w="0" w:type="auto"/>
        <w:tblLook w:val="04A0" w:firstRow="1" w:lastRow="0" w:firstColumn="1" w:lastColumn="0" w:noHBand="0" w:noVBand="1"/>
      </w:tblPr>
      <w:tblGrid>
        <w:gridCol w:w="2961"/>
        <w:gridCol w:w="909"/>
        <w:gridCol w:w="913"/>
        <w:gridCol w:w="907"/>
        <w:gridCol w:w="915"/>
        <w:gridCol w:w="915"/>
        <w:gridCol w:w="915"/>
        <w:gridCol w:w="915"/>
      </w:tblGrid>
      <w:tr w:rsidR="00152B0C" w14:paraId="6C32E245" w14:textId="77777777" w:rsidTr="001B0040">
        <w:tc>
          <w:tcPr>
            <w:tcW w:w="9576" w:type="dxa"/>
            <w:gridSpan w:val="8"/>
          </w:tcPr>
          <w:p w14:paraId="3CD5ABF6" w14:textId="04D4CC4F" w:rsidR="00152B0C" w:rsidRPr="00152B0C" w:rsidRDefault="00152B0C" w:rsidP="00152B0C">
            <w:pPr>
              <w:rPr>
                <w:b/>
                <w:bCs/>
              </w:rPr>
            </w:pPr>
            <w:r w:rsidRPr="00152B0C">
              <w:rPr>
                <w:b/>
                <w:bCs/>
              </w:rPr>
              <w:t xml:space="preserve">Средни серумни концентрации </w:t>
            </w:r>
            <w:r w:rsidRPr="00152B0C">
              <w:rPr>
                <w:b/>
                <w:bCs/>
                <w:lang w:val="en-US"/>
              </w:rPr>
              <w:t>(</w:t>
            </w:r>
            <w:r w:rsidRPr="00152B0C">
              <w:rPr>
                <w:b/>
                <w:bCs/>
              </w:rPr>
              <w:t>μ</w:t>
            </w:r>
            <w:r w:rsidRPr="00152B0C">
              <w:rPr>
                <w:b/>
                <w:bCs/>
                <w:lang w:val="en-US"/>
              </w:rPr>
              <w:t xml:space="preserve">g </w:t>
            </w:r>
            <w:r w:rsidRPr="00152B0C">
              <w:rPr>
                <w:b/>
                <w:bCs/>
              </w:rPr>
              <w:t xml:space="preserve">/ </w:t>
            </w:r>
            <w:r w:rsidRPr="00152B0C">
              <w:rPr>
                <w:b/>
                <w:bCs/>
                <w:lang w:val="en-US"/>
              </w:rPr>
              <w:t>ml)</w:t>
            </w:r>
          </w:p>
        </w:tc>
      </w:tr>
      <w:tr w:rsidR="00152B0C" w14:paraId="30FEAB08" w14:textId="77777777" w:rsidTr="0078313D">
        <w:tc>
          <w:tcPr>
            <w:tcW w:w="3071" w:type="dxa"/>
            <w:vAlign w:val="bottom"/>
          </w:tcPr>
          <w:p w14:paraId="771F631B" w14:textId="2CE3DD53" w:rsidR="00152B0C" w:rsidRPr="00152B0C" w:rsidRDefault="00152B0C" w:rsidP="00152B0C">
            <w:r w:rsidRPr="00152B0C">
              <w:rPr>
                <w:lang w:eastAsia="bg-BG"/>
              </w:rPr>
              <w:t>Доза/ Път на въвеждане</w:t>
            </w:r>
          </w:p>
        </w:tc>
        <w:tc>
          <w:tcPr>
            <w:tcW w:w="928" w:type="dxa"/>
          </w:tcPr>
          <w:p w14:paraId="0A29EE56" w14:textId="3CAE8B80" w:rsidR="00152B0C" w:rsidRPr="00152B0C" w:rsidRDefault="00152B0C" w:rsidP="00152B0C">
            <w:r w:rsidRPr="00152B0C">
              <w:t>0*</w:t>
            </w:r>
          </w:p>
        </w:tc>
        <w:tc>
          <w:tcPr>
            <w:tcW w:w="928" w:type="dxa"/>
          </w:tcPr>
          <w:p w14:paraId="05A8FF89" w14:textId="0F2A78E2" w:rsidR="00152B0C" w:rsidRPr="00152B0C" w:rsidRDefault="00152B0C" w:rsidP="00152B0C">
            <w:r w:rsidRPr="00152B0C">
              <w:t xml:space="preserve">0,5 </w:t>
            </w:r>
            <w:r w:rsidRPr="00152B0C">
              <w:rPr>
                <w:lang w:eastAsia="bg-BG"/>
              </w:rPr>
              <w:t>часа</w:t>
            </w:r>
          </w:p>
        </w:tc>
        <w:tc>
          <w:tcPr>
            <w:tcW w:w="929" w:type="dxa"/>
          </w:tcPr>
          <w:p w14:paraId="3F5FD747" w14:textId="6B6C1F3C" w:rsidR="00152B0C" w:rsidRPr="00152B0C" w:rsidRDefault="00152B0C" w:rsidP="00152B0C">
            <w:r w:rsidRPr="00152B0C">
              <w:t xml:space="preserve">1 </w:t>
            </w:r>
            <w:r w:rsidRPr="00152B0C">
              <w:rPr>
                <w:lang w:eastAsia="bg-BG"/>
              </w:rPr>
              <w:t>час</w:t>
            </w:r>
          </w:p>
        </w:tc>
        <w:tc>
          <w:tcPr>
            <w:tcW w:w="930" w:type="dxa"/>
          </w:tcPr>
          <w:p w14:paraId="5AD29496" w14:textId="2DF73649" w:rsidR="00152B0C" w:rsidRPr="00152B0C" w:rsidRDefault="00152B0C" w:rsidP="00152B0C">
            <w:r w:rsidRPr="00152B0C">
              <w:t xml:space="preserve">2 </w:t>
            </w:r>
            <w:r w:rsidRPr="00152B0C">
              <w:rPr>
                <w:lang w:eastAsia="bg-BG"/>
              </w:rPr>
              <w:t>часа</w:t>
            </w:r>
          </w:p>
        </w:tc>
        <w:tc>
          <w:tcPr>
            <w:tcW w:w="930" w:type="dxa"/>
          </w:tcPr>
          <w:p w14:paraId="5B9B1781" w14:textId="7FEA6129" w:rsidR="00152B0C" w:rsidRPr="00152B0C" w:rsidRDefault="00152B0C" w:rsidP="00152B0C">
            <w:r w:rsidRPr="00152B0C">
              <w:t xml:space="preserve">4 </w:t>
            </w:r>
            <w:r w:rsidRPr="00152B0C">
              <w:rPr>
                <w:lang w:eastAsia="bg-BG"/>
              </w:rPr>
              <w:t>часа</w:t>
            </w:r>
          </w:p>
        </w:tc>
        <w:tc>
          <w:tcPr>
            <w:tcW w:w="930" w:type="dxa"/>
          </w:tcPr>
          <w:p w14:paraId="67E1A7F9" w14:textId="5D9E6F82" w:rsidR="00152B0C" w:rsidRPr="00152B0C" w:rsidRDefault="00152B0C" w:rsidP="00152B0C">
            <w:r w:rsidRPr="00152B0C">
              <w:rPr>
                <w:lang w:eastAsia="bg-BG"/>
              </w:rPr>
              <w:t>8 часа</w:t>
            </w:r>
          </w:p>
        </w:tc>
        <w:tc>
          <w:tcPr>
            <w:tcW w:w="930" w:type="dxa"/>
          </w:tcPr>
          <w:p w14:paraId="56F5DBD0" w14:textId="2228B3C2" w:rsidR="00152B0C" w:rsidRPr="00152B0C" w:rsidRDefault="00152B0C" w:rsidP="00152B0C">
            <w:r w:rsidRPr="00152B0C">
              <w:rPr>
                <w:lang w:eastAsia="bg-BG"/>
              </w:rPr>
              <w:t>12 часа</w:t>
            </w:r>
          </w:p>
        </w:tc>
      </w:tr>
      <w:tr w:rsidR="00152B0C" w14:paraId="2C822A8B" w14:textId="77777777" w:rsidTr="0078313D">
        <w:tc>
          <w:tcPr>
            <w:tcW w:w="3071" w:type="dxa"/>
            <w:vAlign w:val="bottom"/>
          </w:tcPr>
          <w:p w14:paraId="34F41E09" w14:textId="0E84D1AD" w:rsidR="00152B0C" w:rsidRPr="00152B0C" w:rsidRDefault="00152B0C" w:rsidP="00152B0C">
            <w:r w:rsidRPr="00152B0C">
              <w:rPr>
                <w:lang w:eastAsia="bg-BG"/>
              </w:rPr>
              <w:t xml:space="preserve">1 </w:t>
            </w:r>
            <w:r w:rsidRPr="00152B0C">
              <w:t>g iv.</w:t>
            </w:r>
          </w:p>
        </w:tc>
        <w:tc>
          <w:tcPr>
            <w:tcW w:w="928" w:type="dxa"/>
            <w:vAlign w:val="bottom"/>
          </w:tcPr>
          <w:p w14:paraId="143107BA" w14:textId="186C962B" w:rsidR="00152B0C" w:rsidRPr="00152B0C" w:rsidRDefault="00152B0C" w:rsidP="00152B0C">
            <w:r w:rsidRPr="00152B0C">
              <w:t>153</w:t>
            </w:r>
          </w:p>
        </w:tc>
        <w:tc>
          <w:tcPr>
            <w:tcW w:w="928" w:type="dxa"/>
            <w:vAlign w:val="bottom"/>
          </w:tcPr>
          <w:p w14:paraId="380236D9" w14:textId="18C9AB91" w:rsidR="00152B0C" w:rsidRPr="00152B0C" w:rsidRDefault="00152B0C" w:rsidP="00152B0C">
            <w:r w:rsidRPr="00152B0C">
              <w:t>114</w:t>
            </w:r>
          </w:p>
        </w:tc>
        <w:tc>
          <w:tcPr>
            <w:tcW w:w="929" w:type="dxa"/>
            <w:vAlign w:val="bottom"/>
          </w:tcPr>
          <w:p w14:paraId="47FEF939" w14:textId="0BC79925" w:rsidR="00152B0C" w:rsidRPr="00152B0C" w:rsidRDefault="00152B0C" w:rsidP="00152B0C">
            <w:r w:rsidRPr="00152B0C">
              <w:t>73</w:t>
            </w:r>
          </w:p>
        </w:tc>
        <w:tc>
          <w:tcPr>
            <w:tcW w:w="930" w:type="dxa"/>
            <w:vAlign w:val="bottom"/>
          </w:tcPr>
          <w:p w14:paraId="1BABEA1C" w14:textId="034ACE27" w:rsidR="00152B0C" w:rsidRPr="00152B0C" w:rsidRDefault="00152B0C" w:rsidP="00152B0C">
            <w:r w:rsidRPr="00152B0C">
              <w:t>38</w:t>
            </w:r>
          </w:p>
        </w:tc>
        <w:tc>
          <w:tcPr>
            <w:tcW w:w="930" w:type="dxa"/>
            <w:vAlign w:val="bottom"/>
          </w:tcPr>
          <w:p w14:paraId="2D40E4F4" w14:textId="67D35A00" w:rsidR="00152B0C" w:rsidRPr="00152B0C" w:rsidRDefault="00152B0C" w:rsidP="00152B0C">
            <w:r w:rsidRPr="00152B0C">
              <w:rPr>
                <w:lang w:eastAsia="bg-BG"/>
              </w:rPr>
              <w:t>16</w:t>
            </w:r>
          </w:p>
        </w:tc>
        <w:tc>
          <w:tcPr>
            <w:tcW w:w="930" w:type="dxa"/>
            <w:vAlign w:val="bottom"/>
          </w:tcPr>
          <w:p w14:paraId="2D9C21A2" w14:textId="323095CF" w:rsidR="00152B0C" w:rsidRPr="00152B0C" w:rsidRDefault="00152B0C" w:rsidP="00152B0C">
            <w:r w:rsidRPr="00152B0C">
              <w:rPr>
                <w:lang w:eastAsia="bg-BG"/>
              </w:rPr>
              <w:t>4</w:t>
            </w:r>
          </w:p>
        </w:tc>
        <w:tc>
          <w:tcPr>
            <w:tcW w:w="930" w:type="dxa"/>
            <w:vAlign w:val="bottom"/>
          </w:tcPr>
          <w:p w14:paraId="59C31825" w14:textId="0CEFEE95" w:rsidR="00152B0C" w:rsidRPr="00152B0C" w:rsidRDefault="00152B0C" w:rsidP="00152B0C">
            <w:r w:rsidRPr="00152B0C">
              <w:rPr>
                <w:lang w:eastAsia="bg-BG"/>
              </w:rPr>
              <w:t>0.5</w:t>
            </w:r>
          </w:p>
        </w:tc>
      </w:tr>
      <w:tr w:rsidR="00152B0C" w14:paraId="396BD0ED" w14:textId="77777777" w:rsidTr="0078313D">
        <w:tc>
          <w:tcPr>
            <w:tcW w:w="3071" w:type="dxa"/>
            <w:vAlign w:val="bottom"/>
          </w:tcPr>
          <w:p w14:paraId="18A6EDF1" w14:textId="6BA08F6F" w:rsidR="00152B0C" w:rsidRPr="00152B0C" w:rsidRDefault="00152B0C" w:rsidP="00152B0C">
            <w:r w:rsidRPr="00152B0C">
              <w:rPr>
                <w:lang w:eastAsia="bg-BG"/>
              </w:rPr>
              <w:t xml:space="preserve">2 </w:t>
            </w:r>
            <w:r w:rsidRPr="00152B0C">
              <w:t>g i.v.</w:t>
            </w:r>
          </w:p>
        </w:tc>
        <w:tc>
          <w:tcPr>
            <w:tcW w:w="928" w:type="dxa"/>
            <w:vAlign w:val="bottom"/>
          </w:tcPr>
          <w:p w14:paraId="5702E90D" w14:textId="09AB9634" w:rsidR="00152B0C" w:rsidRPr="00152B0C" w:rsidRDefault="00152B0C" w:rsidP="00152B0C">
            <w:r w:rsidRPr="00152B0C">
              <w:t>252</w:t>
            </w:r>
          </w:p>
        </w:tc>
        <w:tc>
          <w:tcPr>
            <w:tcW w:w="928" w:type="dxa"/>
            <w:vAlign w:val="bottom"/>
          </w:tcPr>
          <w:p w14:paraId="25B381E6" w14:textId="16AE0C8E" w:rsidR="00152B0C" w:rsidRPr="00152B0C" w:rsidRDefault="00152B0C" w:rsidP="00152B0C">
            <w:r w:rsidRPr="00152B0C">
              <w:t>153</w:t>
            </w:r>
          </w:p>
        </w:tc>
        <w:tc>
          <w:tcPr>
            <w:tcW w:w="929" w:type="dxa"/>
            <w:vAlign w:val="bottom"/>
          </w:tcPr>
          <w:p w14:paraId="728B16CA" w14:textId="2E2457E3" w:rsidR="00152B0C" w:rsidRPr="00152B0C" w:rsidRDefault="00152B0C" w:rsidP="00152B0C">
            <w:r w:rsidRPr="00152B0C">
              <w:t>114</w:t>
            </w:r>
          </w:p>
        </w:tc>
        <w:tc>
          <w:tcPr>
            <w:tcW w:w="930" w:type="dxa"/>
            <w:vAlign w:val="bottom"/>
          </w:tcPr>
          <w:p w14:paraId="5CF63319" w14:textId="434C7110" w:rsidR="00152B0C" w:rsidRPr="00152B0C" w:rsidRDefault="00152B0C" w:rsidP="00152B0C">
            <w:r w:rsidRPr="00152B0C">
              <w:t>70</w:t>
            </w:r>
          </w:p>
        </w:tc>
        <w:tc>
          <w:tcPr>
            <w:tcW w:w="930" w:type="dxa"/>
            <w:vAlign w:val="bottom"/>
          </w:tcPr>
          <w:p w14:paraId="6C133FB0" w14:textId="669A453B" w:rsidR="00152B0C" w:rsidRPr="00152B0C" w:rsidRDefault="00152B0C" w:rsidP="00152B0C">
            <w:r w:rsidRPr="00152B0C">
              <w:rPr>
                <w:lang w:eastAsia="bg-BG"/>
              </w:rPr>
              <w:t>32</w:t>
            </w:r>
          </w:p>
        </w:tc>
        <w:tc>
          <w:tcPr>
            <w:tcW w:w="930" w:type="dxa"/>
            <w:vAlign w:val="bottom"/>
          </w:tcPr>
          <w:p w14:paraId="397F3B93" w14:textId="475EE125" w:rsidR="00152B0C" w:rsidRPr="00152B0C" w:rsidRDefault="00152B0C" w:rsidP="00152B0C">
            <w:r w:rsidRPr="00152B0C">
              <w:rPr>
                <w:lang w:eastAsia="bg-BG"/>
              </w:rPr>
              <w:t>8</w:t>
            </w:r>
          </w:p>
        </w:tc>
        <w:tc>
          <w:tcPr>
            <w:tcW w:w="930" w:type="dxa"/>
          </w:tcPr>
          <w:p w14:paraId="611D3AF6" w14:textId="1DF013D2" w:rsidR="00152B0C" w:rsidRPr="00152B0C" w:rsidRDefault="00152B0C" w:rsidP="00152B0C">
            <w:r w:rsidRPr="00152B0C">
              <w:rPr>
                <w:lang w:eastAsia="bg-BG"/>
              </w:rPr>
              <w:t>2</w:t>
            </w:r>
          </w:p>
        </w:tc>
      </w:tr>
      <w:tr w:rsidR="00152B0C" w14:paraId="7EAD5085" w14:textId="77777777" w:rsidTr="0078313D">
        <w:tc>
          <w:tcPr>
            <w:tcW w:w="3071" w:type="dxa"/>
            <w:vAlign w:val="bottom"/>
          </w:tcPr>
          <w:p w14:paraId="783ADA9A" w14:textId="1E352ECA" w:rsidR="00152B0C" w:rsidRPr="00152B0C" w:rsidRDefault="00152B0C" w:rsidP="00152B0C">
            <w:r w:rsidRPr="00152B0C">
              <w:t>3 g i.v.</w:t>
            </w:r>
          </w:p>
        </w:tc>
        <w:tc>
          <w:tcPr>
            <w:tcW w:w="928" w:type="dxa"/>
            <w:vAlign w:val="bottom"/>
          </w:tcPr>
          <w:p w14:paraId="04E1433B" w14:textId="7950CA81" w:rsidR="00152B0C" w:rsidRPr="00152B0C" w:rsidRDefault="00152B0C" w:rsidP="00152B0C">
            <w:r w:rsidRPr="00152B0C">
              <w:t>340</w:t>
            </w:r>
          </w:p>
        </w:tc>
        <w:tc>
          <w:tcPr>
            <w:tcW w:w="928" w:type="dxa"/>
            <w:vAlign w:val="bottom"/>
          </w:tcPr>
          <w:p w14:paraId="50DCD685" w14:textId="2B75AFE0" w:rsidR="00152B0C" w:rsidRPr="00152B0C" w:rsidRDefault="00152B0C" w:rsidP="00152B0C">
            <w:r w:rsidRPr="00152B0C">
              <w:t>210</w:t>
            </w:r>
          </w:p>
        </w:tc>
        <w:tc>
          <w:tcPr>
            <w:tcW w:w="929" w:type="dxa"/>
            <w:vAlign w:val="bottom"/>
          </w:tcPr>
          <w:p w14:paraId="431E8CF9" w14:textId="5CE8E556" w:rsidR="00152B0C" w:rsidRPr="00152B0C" w:rsidRDefault="00152B0C" w:rsidP="00152B0C">
            <w:r w:rsidRPr="00152B0C">
              <w:t>142</w:t>
            </w:r>
          </w:p>
        </w:tc>
        <w:tc>
          <w:tcPr>
            <w:tcW w:w="930" w:type="dxa"/>
            <w:vAlign w:val="bottom"/>
          </w:tcPr>
          <w:p w14:paraId="06131270" w14:textId="6DB30096" w:rsidR="00152B0C" w:rsidRPr="00152B0C" w:rsidRDefault="00152B0C" w:rsidP="00152B0C">
            <w:r w:rsidRPr="00152B0C">
              <w:t>89</w:t>
            </w:r>
          </w:p>
        </w:tc>
        <w:tc>
          <w:tcPr>
            <w:tcW w:w="930" w:type="dxa"/>
            <w:vAlign w:val="bottom"/>
          </w:tcPr>
          <w:p w14:paraId="24B70E55" w14:textId="072A6D5C" w:rsidR="00152B0C" w:rsidRPr="00152B0C" w:rsidRDefault="00152B0C" w:rsidP="00152B0C">
            <w:r w:rsidRPr="00152B0C">
              <w:rPr>
                <w:lang w:eastAsia="bg-BG"/>
              </w:rPr>
              <w:t>41</w:t>
            </w:r>
          </w:p>
        </w:tc>
        <w:tc>
          <w:tcPr>
            <w:tcW w:w="930" w:type="dxa"/>
          </w:tcPr>
          <w:p w14:paraId="1DAD9CD6" w14:textId="01B2276F" w:rsidR="00152B0C" w:rsidRPr="00152B0C" w:rsidRDefault="00152B0C" w:rsidP="00152B0C">
            <w:r w:rsidRPr="00152B0C">
              <w:rPr>
                <w:lang w:eastAsia="bg-BG"/>
              </w:rPr>
              <w:t>9</w:t>
            </w:r>
          </w:p>
        </w:tc>
        <w:tc>
          <w:tcPr>
            <w:tcW w:w="930" w:type="dxa"/>
          </w:tcPr>
          <w:p w14:paraId="28667BEF" w14:textId="2A9F8BF7" w:rsidR="00152B0C" w:rsidRPr="00152B0C" w:rsidRDefault="00152B0C" w:rsidP="00152B0C">
            <w:r w:rsidRPr="00152B0C">
              <w:rPr>
                <w:lang w:eastAsia="bg-BG"/>
              </w:rPr>
              <w:t>2</w:t>
            </w:r>
          </w:p>
        </w:tc>
      </w:tr>
      <w:tr w:rsidR="00152B0C" w14:paraId="63DB207F" w14:textId="77777777" w:rsidTr="0078313D">
        <w:tc>
          <w:tcPr>
            <w:tcW w:w="3071" w:type="dxa"/>
            <w:vAlign w:val="bottom"/>
          </w:tcPr>
          <w:p w14:paraId="59F6F035" w14:textId="45C956E1" w:rsidR="00152B0C" w:rsidRPr="00152B0C" w:rsidRDefault="00152B0C" w:rsidP="00152B0C">
            <w:r w:rsidRPr="00152B0C">
              <w:t>4 g i.v.</w:t>
            </w:r>
          </w:p>
        </w:tc>
        <w:tc>
          <w:tcPr>
            <w:tcW w:w="928" w:type="dxa"/>
            <w:vAlign w:val="bottom"/>
          </w:tcPr>
          <w:p w14:paraId="7169FEB0" w14:textId="5816BF8B" w:rsidR="00152B0C" w:rsidRPr="00152B0C" w:rsidRDefault="00152B0C" w:rsidP="00152B0C">
            <w:r w:rsidRPr="00152B0C">
              <w:t>506</w:t>
            </w:r>
          </w:p>
        </w:tc>
        <w:tc>
          <w:tcPr>
            <w:tcW w:w="928" w:type="dxa"/>
            <w:vAlign w:val="bottom"/>
          </w:tcPr>
          <w:p w14:paraId="0A5C9330" w14:textId="7BBF0E1C" w:rsidR="00152B0C" w:rsidRPr="00152B0C" w:rsidRDefault="00152B0C" w:rsidP="00152B0C">
            <w:r w:rsidRPr="00152B0C">
              <w:t>325</w:t>
            </w:r>
          </w:p>
        </w:tc>
        <w:tc>
          <w:tcPr>
            <w:tcW w:w="929" w:type="dxa"/>
            <w:vAlign w:val="bottom"/>
          </w:tcPr>
          <w:p w14:paraId="1C87459F" w14:textId="6B8D4779" w:rsidR="00152B0C" w:rsidRPr="00152B0C" w:rsidRDefault="00152B0C" w:rsidP="00152B0C">
            <w:r w:rsidRPr="00152B0C">
              <w:t>251</w:t>
            </w:r>
          </w:p>
        </w:tc>
        <w:tc>
          <w:tcPr>
            <w:tcW w:w="930" w:type="dxa"/>
            <w:vAlign w:val="bottom"/>
          </w:tcPr>
          <w:p w14:paraId="0C86AC8C" w14:textId="25FBDE2D" w:rsidR="00152B0C" w:rsidRPr="00152B0C" w:rsidRDefault="00152B0C" w:rsidP="00152B0C">
            <w:r w:rsidRPr="00152B0C">
              <w:t>161</w:t>
            </w:r>
          </w:p>
        </w:tc>
        <w:tc>
          <w:tcPr>
            <w:tcW w:w="930" w:type="dxa"/>
            <w:vAlign w:val="bottom"/>
          </w:tcPr>
          <w:p w14:paraId="25962AC9" w14:textId="4A872982" w:rsidR="00152B0C" w:rsidRPr="00152B0C" w:rsidRDefault="00152B0C" w:rsidP="00152B0C">
            <w:r w:rsidRPr="00152B0C">
              <w:rPr>
                <w:lang w:eastAsia="bg-BG"/>
              </w:rPr>
              <w:t>71</w:t>
            </w:r>
          </w:p>
        </w:tc>
        <w:tc>
          <w:tcPr>
            <w:tcW w:w="930" w:type="dxa"/>
            <w:vAlign w:val="bottom"/>
          </w:tcPr>
          <w:p w14:paraId="0CF43624" w14:textId="3E502CCE" w:rsidR="00152B0C" w:rsidRPr="00152B0C" w:rsidRDefault="00152B0C" w:rsidP="00152B0C">
            <w:r w:rsidRPr="00152B0C">
              <w:rPr>
                <w:lang w:eastAsia="bg-BG"/>
              </w:rPr>
              <w:t>19</w:t>
            </w:r>
          </w:p>
        </w:tc>
        <w:tc>
          <w:tcPr>
            <w:tcW w:w="930" w:type="dxa"/>
          </w:tcPr>
          <w:p w14:paraId="0FCDC3BF" w14:textId="2C3E5EE1" w:rsidR="00152B0C" w:rsidRPr="00152B0C" w:rsidRDefault="00152B0C" w:rsidP="00152B0C">
            <w:pPr>
              <w:rPr>
                <w:lang w:val="en-US"/>
              </w:rPr>
            </w:pPr>
            <w:r>
              <w:rPr>
                <w:lang w:val="en-US"/>
              </w:rPr>
              <w:t>6</w:t>
            </w:r>
          </w:p>
        </w:tc>
      </w:tr>
      <w:tr w:rsidR="00152B0C" w14:paraId="677BE040" w14:textId="77777777" w:rsidTr="0078313D">
        <w:tc>
          <w:tcPr>
            <w:tcW w:w="3071" w:type="dxa"/>
            <w:vAlign w:val="bottom"/>
          </w:tcPr>
          <w:p w14:paraId="687A851F" w14:textId="66B07A92" w:rsidR="00152B0C" w:rsidRPr="00152B0C" w:rsidRDefault="00152B0C" w:rsidP="00152B0C">
            <w:r w:rsidRPr="00152B0C">
              <w:t>1 g i.m</w:t>
            </w:r>
          </w:p>
        </w:tc>
        <w:tc>
          <w:tcPr>
            <w:tcW w:w="928" w:type="dxa"/>
            <w:vAlign w:val="bottom"/>
          </w:tcPr>
          <w:p w14:paraId="3F51E010" w14:textId="1B5B320C" w:rsidR="00152B0C" w:rsidRPr="00152B0C" w:rsidRDefault="00152B0C" w:rsidP="00152B0C">
            <w:r w:rsidRPr="00152B0C">
              <w:t>32**</w:t>
            </w:r>
          </w:p>
        </w:tc>
        <w:tc>
          <w:tcPr>
            <w:tcW w:w="928" w:type="dxa"/>
            <w:vAlign w:val="bottom"/>
          </w:tcPr>
          <w:p w14:paraId="430D8B92" w14:textId="149BA544" w:rsidR="00152B0C" w:rsidRPr="00152B0C" w:rsidRDefault="00152B0C" w:rsidP="00152B0C">
            <w:r w:rsidRPr="00152B0C">
              <w:t>52</w:t>
            </w:r>
          </w:p>
        </w:tc>
        <w:tc>
          <w:tcPr>
            <w:tcW w:w="929" w:type="dxa"/>
            <w:vAlign w:val="bottom"/>
          </w:tcPr>
          <w:p w14:paraId="79B03DFF" w14:textId="321FF04E" w:rsidR="00152B0C" w:rsidRPr="00152B0C" w:rsidRDefault="00152B0C" w:rsidP="00152B0C">
            <w:r w:rsidRPr="00152B0C">
              <w:t>65</w:t>
            </w:r>
          </w:p>
        </w:tc>
        <w:tc>
          <w:tcPr>
            <w:tcW w:w="930" w:type="dxa"/>
            <w:vAlign w:val="bottom"/>
          </w:tcPr>
          <w:p w14:paraId="7947574B" w14:textId="0E52A892" w:rsidR="00152B0C" w:rsidRPr="00152B0C" w:rsidRDefault="00152B0C" w:rsidP="00152B0C">
            <w:r w:rsidRPr="00152B0C">
              <w:t>57</w:t>
            </w:r>
          </w:p>
        </w:tc>
        <w:tc>
          <w:tcPr>
            <w:tcW w:w="930" w:type="dxa"/>
            <w:vAlign w:val="bottom"/>
          </w:tcPr>
          <w:p w14:paraId="40ECDB98" w14:textId="1419A06A" w:rsidR="00152B0C" w:rsidRPr="00152B0C" w:rsidRDefault="00152B0C" w:rsidP="00152B0C">
            <w:r w:rsidRPr="00152B0C">
              <w:rPr>
                <w:lang w:eastAsia="bg-BG"/>
              </w:rPr>
              <w:t>33</w:t>
            </w:r>
          </w:p>
        </w:tc>
        <w:tc>
          <w:tcPr>
            <w:tcW w:w="930" w:type="dxa"/>
          </w:tcPr>
          <w:p w14:paraId="59B14017" w14:textId="362BBEE7" w:rsidR="00152B0C" w:rsidRPr="00152B0C" w:rsidRDefault="00152B0C" w:rsidP="00152B0C">
            <w:r w:rsidRPr="00152B0C">
              <w:rPr>
                <w:color w:val="141414"/>
                <w:lang w:eastAsia="bg-BG"/>
              </w:rPr>
              <w:t>7</w:t>
            </w:r>
          </w:p>
        </w:tc>
        <w:tc>
          <w:tcPr>
            <w:tcW w:w="930" w:type="dxa"/>
          </w:tcPr>
          <w:p w14:paraId="7FF4A571" w14:textId="474766D4" w:rsidR="00152B0C" w:rsidRPr="00152B0C" w:rsidRDefault="00152B0C" w:rsidP="00152B0C">
            <w:r w:rsidRPr="00152B0C">
              <w:rPr>
                <w:color w:val="141414"/>
                <w:lang w:eastAsia="bg-BG"/>
              </w:rPr>
              <w:t>1</w:t>
            </w:r>
          </w:p>
        </w:tc>
      </w:tr>
      <w:tr w:rsidR="00152B0C" w14:paraId="27A96937" w14:textId="77777777" w:rsidTr="0078313D">
        <w:tc>
          <w:tcPr>
            <w:tcW w:w="3071" w:type="dxa"/>
            <w:vAlign w:val="bottom"/>
          </w:tcPr>
          <w:p w14:paraId="1656EF5D" w14:textId="1940B4BA" w:rsidR="00152B0C" w:rsidRPr="00152B0C" w:rsidRDefault="00152B0C" w:rsidP="00152B0C">
            <w:r w:rsidRPr="00152B0C">
              <w:t>2 g i.m.</w:t>
            </w:r>
          </w:p>
        </w:tc>
        <w:tc>
          <w:tcPr>
            <w:tcW w:w="928" w:type="dxa"/>
            <w:vAlign w:val="bottom"/>
          </w:tcPr>
          <w:p w14:paraId="20297CC8" w14:textId="6261F1A6" w:rsidR="00152B0C" w:rsidRPr="00152B0C" w:rsidRDefault="00152B0C" w:rsidP="00152B0C">
            <w:r w:rsidRPr="00152B0C">
              <w:t>40**</w:t>
            </w:r>
          </w:p>
        </w:tc>
        <w:tc>
          <w:tcPr>
            <w:tcW w:w="928" w:type="dxa"/>
            <w:vAlign w:val="bottom"/>
          </w:tcPr>
          <w:p w14:paraId="72A4CEC2" w14:textId="62806257" w:rsidR="00152B0C" w:rsidRPr="00152B0C" w:rsidRDefault="00152B0C" w:rsidP="00152B0C">
            <w:r w:rsidRPr="00152B0C">
              <w:t>69</w:t>
            </w:r>
          </w:p>
        </w:tc>
        <w:tc>
          <w:tcPr>
            <w:tcW w:w="929" w:type="dxa"/>
            <w:vAlign w:val="bottom"/>
          </w:tcPr>
          <w:p w14:paraId="379CDAF8" w14:textId="7249992A" w:rsidR="00152B0C" w:rsidRPr="00152B0C" w:rsidRDefault="00152B0C" w:rsidP="00152B0C">
            <w:r w:rsidRPr="00152B0C">
              <w:t>93</w:t>
            </w:r>
          </w:p>
        </w:tc>
        <w:tc>
          <w:tcPr>
            <w:tcW w:w="930" w:type="dxa"/>
            <w:vAlign w:val="bottom"/>
          </w:tcPr>
          <w:p w14:paraId="1789248D" w14:textId="0C85E03D" w:rsidR="00152B0C" w:rsidRPr="00152B0C" w:rsidRDefault="00152B0C" w:rsidP="00152B0C">
            <w:r w:rsidRPr="00152B0C">
              <w:t>97</w:t>
            </w:r>
          </w:p>
        </w:tc>
        <w:tc>
          <w:tcPr>
            <w:tcW w:w="930" w:type="dxa"/>
            <w:vAlign w:val="bottom"/>
          </w:tcPr>
          <w:p w14:paraId="034C0181" w14:textId="06F840EE" w:rsidR="00152B0C" w:rsidRPr="00152B0C" w:rsidRDefault="00152B0C" w:rsidP="00152B0C">
            <w:r w:rsidRPr="00152B0C">
              <w:rPr>
                <w:lang w:eastAsia="bg-BG"/>
              </w:rPr>
              <w:t>58</w:t>
            </w:r>
          </w:p>
        </w:tc>
        <w:tc>
          <w:tcPr>
            <w:tcW w:w="930" w:type="dxa"/>
            <w:vAlign w:val="bottom"/>
          </w:tcPr>
          <w:p w14:paraId="15E261E5" w14:textId="7CDFA9D9" w:rsidR="00152B0C" w:rsidRPr="00152B0C" w:rsidRDefault="00152B0C" w:rsidP="00152B0C">
            <w:r w:rsidRPr="00152B0C">
              <w:rPr>
                <w:lang w:eastAsia="bg-BG"/>
              </w:rPr>
              <w:t>14</w:t>
            </w:r>
          </w:p>
        </w:tc>
        <w:tc>
          <w:tcPr>
            <w:tcW w:w="930" w:type="dxa"/>
          </w:tcPr>
          <w:p w14:paraId="28D2523B" w14:textId="2B83DD4C" w:rsidR="00152B0C" w:rsidRPr="00152B0C" w:rsidRDefault="00152B0C" w:rsidP="00152B0C">
            <w:r w:rsidRPr="00152B0C">
              <w:rPr>
                <w:lang w:eastAsia="bg-BG"/>
              </w:rPr>
              <w:t>4</w:t>
            </w:r>
          </w:p>
        </w:tc>
      </w:tr>
    </w:tbl>
    <w:p w14:paraId="74CB1C80" w14:textId="77777777" w:rsidR="00152B0C" w:rsidRPr="00152B0C" w:rsidRDefault="00152B0C" w:rsidP="00152B0C">
      <w:pPr>
        <w:spacing w:line="240" w:lineRule="auto"/>
        <w:rPr>
          <w:rFonts w:eastAsia="Times New Roman" w:cs="Arial"/>
          <w:lang w:eastAsia="bg-BG"/>
        </w:rPr>
      </w:pPr>
      <w:r w:rsidRPr="00152B0C">
        <w:rPr>
          <w:rFonts w:eastAsia="Times New Roman" w:cs="Arial"/>
          <w:color w:val="000000"/>
          <w:lang w:eastAsia="bg-BG"/>
        </w:rPr>
        <w:t>*Часове след приложение, време 0 се изчислява като момента на приключване на инфузията.</w:t>
      </w:r>
    </w:p>
    <w:p w14:paraId="2F114559" w14:textId="77777777" w:rsidR="00152B0C" w:rsidRPr="00152B0C" w:rsidRDefault="00152B0C" w:rsidP="00152B0C">
      <w:pPr>
        <w:spacing w:line="240" w:lineRule="auto"/>
        <w:rPr>
          <w:rFonts w:eastAsia="Times New Roman" w:cs="Arial"/>
          <w:lang w:eastAsia="bg-BG"/>
        </w:rPr>
      </w:pPr>
      <w:r w:rsidRPr="00152B0C">
        <w:rPr>
          <w:rFonts w:eastAsia="Times New Roman" w:cs="Arial"/>
          <w:color w:val="000000"/>
          <w:lang w:eastAsia="bg-BG"/>
        </w:rPr>
        <w:t>**Стойностите, установени 15 минути след инжектиране.</w:t>
      </w:r>
    </w:p>
    <w:p w14:paraId="1481E302" w14:textId="77777777" w:rsidR="00152B0C" w:rsidRDefault="00152B0C" w:rsidP="00152B0C">
      <w:pPr>
        <w:spacing w:line="240" w:lineRule="auto"/>
        <w:rPr>
          <w:rFonts w:eastAsia="Times New Roman" w:cs="Arial"/>
          <w:color w:val="000000"/>
          <w:u w:val="single"/>
          <w:lang w:eastAsia="bg-BG"/>
        </w:rPr>
      </w:pPr>
    </w:p>
    <w:p w14:paraId="449E4212" w14:textId="18C9E5CF" w:rsidR="00152B0C" w:rsidRPr="00152B0C" w:rsidRDefault="00152B0C" w:rsidP="00152B0C">
      <w:pPr>
        <w:spacing w:line="240" w:lineRule="auto"/>
        <w:rPr>
          <w:rFonts w:eastAsia="Times New Roman" w:cs="Arial"/>
          <w:lang w:eastAsia="bg-BG"/>
        </w:rPr>
      </w:pPr>
      <w:r w:rsidRPr="00152B0C">
        <w:rPr>
          <w:rFonts w:eastAsia="Times New Roman" w:cs="Arial"/>
          <w:color w:val="000000"/>
          <w:u w:val="single"/>
          <w:lang w:eastAsia="bg-BG"/>
        </w:rPr>
        <w:t>Разпределение</w:t>
      </w:r>
    </w:p>
    <w:p w14:paraId="0659851C" w14:textId="77777777" w:rsidR="00152B0C" w:rsidRPr="00152B0C" w:rsidRDefault="00152B0C" w:rsidP="00152B0C">
      <w:pPr>
        <w:spacing w:line="240" w:lineRule="auto"/>
        <w:rPr>
          <w:rFonts w:eastAsia="Times New Roman" w:cs="Arial"/>
          <w:lang w:eastAsia="bg-BG"/>
        </w:rPr>
      </w:pPr>
      <w:r w:rsidRPr="00152B0C">
        <w:rPr>
          <w:rFonts w:eastAsia="Times New Roman" w:cs="Arial"/>
          <w:color w:val="000000"/>
          <w:lang w:eastAsia="bg-BG"/>
        </w:rPr>
        <w:t>Средният серумен полуживот на цефоперазон е приблизително 2 часа, независимо от пътя на въвеждане.</w:t>
      </w:r>
    </w:p>
    <w:p w14:paraId="3BF1EE70" w14:textId="77777777" w:rsidR="00152B0C" w:rsidRDefault="00152B0C" w:rsidP="00152B0C">
      <w:pPr>
        <w:spacing w:line="240" w:lineRule="auto"/>
        <w:rPr>
          <w:rFonts w:eastAsia="Times New Roman" w:cs="Arial"/>
          <w:color w:val="000000"/>
          <w:lang w:eastAsia="bg-BG"/>
        </w:rPr>
      </w:pPr>
    </w:p>
    <w:p w14:paraId="33542B1C" w14:textId="55EE8F07" w:rsidR="00152B0C" w:rsidRPr="00152B0C" w:rsidRDefault="00152B0C" w:rsidP="00152B0C">
      <w:pPr>
        <w:spacing w:line="240" w:lineRule="auto"/>
        <w:rPr>
          <w:rFonts w:eastAsia="Times New Roman" w:cs="Arial"/>
          <w:lang w:eastAsia="bg-BG"/>
        </w:rPr>
      </w:pPr>
      <w:r w:rsidRPr="00152B0C">
        <w:rPr>
          <w:rFonts w:eastAsia="Times New Roman" w:cs="Arial"/>
          <w:color w:val="000000"/>
          <w:lang w:eastAsia="bg-BG"/>
        </w:rPr>
        <w:t>Цефоперазон достига терапевтични нива във всички проучени тъкани и телесни течности. Между последните са асцитна и церебро-спинална течност (при пациенти с възпалени менинги), урина, жлъчка и стена на жлъчния мехур, храчка и бял дроб, небна тонзила и синусна лигавична мембрана, ухо на предсърдието, бъбреци, уретер, простата, тестиси, матка и фалопиеви тръби, кости, пъпна връв и амниотична течност.</w:t>
      </w:r>
    </w:p>
    <w:p w14:paraId="199DD019" w14:textId="77777777" w:rsidR="00152B0C" w:rsidRDefault="00152B0C" w:rsidP="00152B0C">
      <w:pPr>
        <w:spacing w:line="240" w:lineRule="auto"/>
        <w:rPr>
          <w:rFonts w:eastAsia="Times New Roman" w:cs="Arial"/>
          <w:color w:val="000000"/>
          <w:u w:val="single"/>
          <w:lang w:eastAsia="bg-BG"/>
        </w:rPr>
      </w:pPr>
    </w:p>
    <w:p w14:paraId="3F06A3E5" w14:textId="4B5511EF" w:rsidR="00152B0C" w:rsidRPr="00152B0C" w:rsidRDefault="00152B0C" w:rsidP="00152B0C">
      <w:pPr>
        <w:spacing w:line="240" w:lineRule="auto"/>
        <w:rPr>
          <w:rFonts w:eastAsia="Times New Roman" w:cs="Arial"/>
          <w:lang w:eastAsia="bg-BG"/>
        </w:rPr>
      </w:pPr>
      <w:r w:rsidRPr="00152B0C">
        <w:rPr>
          <w:rFonts w:eastAsia="Times New Roman" w:cs="Arial"/>
          <w:color w:val="000000"/>
          <w:u w:val="single"/>
          <w:lang w:eastAsia="bg-BG"/>
        </w:rPr>
        <w:t>Елиминиране</w:t>
      </w:r>
    </w:p>
    <w:p w14:paraId="7CCA500B" w14:textId="77777777" w:rsidR="00152B0C" w:rsidRPr="00152B0C" w:rsidRDefault="00152B0C" w:rsidP="00152B0C">
      <w:pPr>
        <w:spacing w:line="240" w:lineRule="auto"/>
        <w:rPr>
          <w:rFonts w:eastAsia="Times New Roman" w:cs="Arial"/>
          <w:lang w:eastAsia="bg-BG"/>
        </w:rPr>
      </w:pPr>
      <w:r w:rsidRPr="00152B0C">
        <w:rPr>
          <w:rFonts w:eastAsia="Times New Roman" w:cs="Arial"/>
          <w:color w:val="000000"/>
          <w:lang w:eastAsia="bg-BG"/>
        </w:rPr>
        <w:t xml:space="preserve">Цефоперазон се екскретира както в урината, така и в жлъчката. Максимални концентрации в жлъчката се достигат обикновено между първия и третия час след приложение на лекарството и надвишават конкурентните серумни концентрации с до около 100 пъти. Съобщаваните концентрации на цефоперазон в жлъчката варират от 66 </w:t>
      </w:r>
      <w:r w:rsidRPr="00152B0C">
        <w:rPr>
          <w:rFonts w:eastAsia="Times New Roman" w:cs="Arial"/>
          <w:color w:val="000000"/>
          <w:lang w:val="en-US"/>
        </w:rPr>
        <w:t xml:space="preserve">mcg/ml </w:t>
      </w:r>
      <w:r w:rsidRPr="00152B0C">
        <w:rPr>
          <w:rFonts w:eastAsia="Times New Roman" w:cs="Arial"/>
          <w:color w:val="000000"/>
          <w:lang w:eastAsia="bg-BG"/>
        </w:rPr>
        <w:t xml:space="preserve">на 30-та минута до 6000 </w:t>
      </w:r>
      <w:r w:rsidRPr="00152B0C">
        <w:rPr>
          <w:rFonts w:eastAsia="Times New Roman" w:cs="Arial"/>
          <w:color w:val="000000"/>
          <w:lang w:val="en-US"/>
        </w:rPr>
        <w:t xml:space="preserve">mcg/ml </w:t>
      </w:r>
      <w:r w:rsidRPr="00152B0C">
        <w:rPr>
          <w:rFonts w:eastAsia="Times New Roman" w:cs="Arial"/>
          <w:color w:val="000000"/>
          <w:lang w:eastAsia="bg-BG"/>
        </w:rPr>
        <w:t xml:space="preserve">на 3-тия час след интравенозна болусна инжекция на 2 </w:t>
      </w:r>
      <w:r w:rsidRPr="00152B0C">
        <w:rPr>
          <w:rFonts w:eastAsia="Times New Roman" w:cs="Arial"/>
          <w:color w:val="000000"/>
          <w:lang w:val="en-US"/>
        </w:rPr>
        <w:t xml:space="preserve">g </w:t>
      </w:r>
      <w:r w:rsidRPr="00152B0C">
        <w:rPr>
          <w:rFonts w:eastAsia="Times New Roman" w:cs="Arial"/>
          <w:color w:val="000000"/>
          <w:lang w:eastAsia="bg-BG"/>
        </w:rPr>
        <w:t>при пациенти с обструкция на жлъчния тракт.</w:t>
      </w:r>
    </w:p>
    <w:p w14:paraId="33099C65" w14:textId="77777777" w:rsidR="00152B0C" w:rsidRDefault="00152B0C" w:rsidP="00152B0C">
      <w:pPr>
        <w:spacing w:line="240" w:lineRule="auto"/>
        <w:rPr>
          <w:rFonts w:eastAsia="Times New Roman" w:cs="Arial"/>
          <w:color w:val="000000"/>
          <w:lang w:eastAsia="bg-BG"/>
        </w:rPr>
      </w:pPr>
    </w:p>
    <w:p w14:paraId="786DBD9D" w14:textId="5645137E" w:rsidR="00152B0C" w:rsidRPr="00152B0C" w:rsidRDefault="00152B0C" w:rsidP="00152B0C">
      <w:pPr>
        <w:spacing w:line="240" w:lineRule="auto"/>
        <w:rPr>
          <w:rFonts w:eastAsia="Times New Roman" w:cs="Arial"/>
          <w:lang w:eastAsia="bg-BG"/>
        </w:rPr>
      </w:pPr>
      <w:r w:rsidRPr="00152B0C">
        <w:rPr>
          <w:rFonts w:eastAsia="Times New Roman" w:cs="Arial"/>
          <w:color w:val="000000"/>
          <w:lang w:eastAsia="bg-BG"/>
        </w:rPr>
        <w:t xml:space="preserve">След разнообразни дози и пътища на въвеждане средното количество цефоперазон, което се екскретира в урината при субекти с нормална бъбречна функция в рамките на 12-часовия интервал варира средно между 20-30% от приложената доза. След 15-минутна инфузия на 2 </w:t>
      </w:r>
      <w:r w:rsidRPr="00152B0C">
        <w:rPr>
          <w:rFonts w:eastAsia="Times New Roman" w:cs="Arial"/>
          <w:color w:val="000000"/>
          <w:lang w:val="en-US"/>
        </w:rPr>
        <w:t xml:space="preserve">g </w:t>
      </w:r>
      <w:r w:rsidRPr="00152B0C">
        <w:rPr>
          <w:rFonts w:eastAsia="Times New Roman" w:cs="Arial"/>
          <w:color w:val="000000"/>
          <w:lang w:eastAsia="bg-BG"/>
        </w:rPr>
        <w:t xml:space="preserve">в урината се откриват концентрации над 2200 </w:t>
      </w:r>
      <w:r w:rsidRPr="00152B0C">
        <w:rPr>
          <w:rFonts w:eastAsia="Times New Roman" w:cs="Arial"/>
          <w:color w:val="000000"/>
          <w:lang w:val="en-US"/>
        </w:rPr>
        <w:t xml:space="preserve">mcg/ml. </w:t>
      </w:r>
      <w:r w:rsidRPr="00152B0C">
        <w:rPr>
          <w:rFonts w:eastAsia="Times New Roman" w:cs="Arial"/>
          <w:color w:val="000000"/>
          <w:lang w:eastAsia="bg-BG"/>
        </w:rPr>
        <w:t xml:space="preserve">След интрамускулно инжектиране на 2 </w:t>
      </w:r>
      <w:r w:rsidRPr="00152B0C">
        <w:rPr>
          <w:rFonts w:eastAsia="Times New Roman" w:cs="Arial"/>
          <w:color w:val="000000"/>
          <w:lang w:val="en-US"/>
        </w:rPr>
        <w:t xml:space="preserve">g </w:t>
      </w:r>
      <w:r w:rsidRPr="00152B0C">
        <w:rPr>
          <w:rFonts w:eastAsia="Times New Roman" w:cs="Arial"/>
          <w:color w:val="000000"/>
          <w:lang w:eastAsia="bg-BG"/>
        </w:rPr>
        <w:t xml:space="preserve">в урината са отчетени пикови концентрации приблизително 1000 </w:t>
      </w:r>
      <w:r w:rsidRPr="00152B0C">
        <w:rPr>
          <w:rFonts w:eastAsia="Times New Roman" w:cs="Arial"/>
          <w:color w:val="000000"/>
          <w:lang w:val="en-US"/>
        </w:rPr>
        <w:t>mcg/ml.</w:t>
      </w:r>
    </w:p>
    <w:p w14:paraId="28C1CE38" w14:textId="77777777" w:rsidR="00152B0C" w:rsidRDefault="00152B0C" w:rsidP="00152B0C">
      <w:pPr>
        <w:spacing w:line="240" w:lineRule="auto"/>
        <w:rPr>
          <w:rFonts w:eastAsia="Times New Roman" w:cs="Arial"/>
          <w:color w:val="000000"/>
          <w:lang w:eastAsia="bg-BG"/>
        </w:rPr>
      </w:pPr>
    </w:p>
    <w:p w14:paraId="2510278C" w14:textId="12C19D72" w:rsidR="00152B0C" w:rsidRPr="00152B0C" w:rsidRDefault="00152B0C" w:rsidP="00152B0C">
      <w:pPr>
        <w:spacing w:line="240" w:lineRule="auto"/>
        <w:rPr>
          <w:rFonts w:eastAsia="Times New Roman" w:cs="Arial"/>
          <w:lang w:eastAsia="bg-BG"/>
        </w:rPr>
      </w:pPr>
      <w:r w:rsidRPr="00152B0C">
        <w:rPr>
          <w:rFonts w:eastAsia="Times New Roman" w:cs="Arial"/>
          <w:color w:val="000000"/>
          <w:lang w:eastAsia="bg-BG"/>
        </w:rPr>
        <w:t>След многократно дозиране с цефоперазон при здрави субекти не е настъпило акумулиране на лекарството.</w:t>
      </w:r>
    </w:p>
    <w:p w14:paraId="5F99683F" w14:textId="77777777" w:rsidR="00152B0C" w:rsidRDefault="00152B0C" w:rsidP="00152B0C">
      <w:pPr>
        <w:spacing w:line="240" w:lineRule="auto"/>
        <w:rPr>
          <w:rFonts w:eastAsia="Times New Roman" w:cs="Arial"/>
          <w:b/>
          <w:bCs/>
          <w:color w:val="000000"/>
          <w:lang w:eastAsia="bg-BG"/>
        </w:rPr>
      </w:pPr>
    </w:p>
    <w:p w14:paraId="77C9F4E8" w14:textId="2E110FD7" w:rsidR="00152B0C" w:rsidRPr="00152B0C" w:rsidRDefault="00152B0C" w:rsidP="00152B0C">
      <w:pPr>
        <w:spacing w:line="240" w:lineRule="auto"/>
        <w:rPr>
          <w:rFonts w:eastAsia="Times New Roman" w:cs="Arial"/>
          <w:lang w:eastAsia="bg-BG"/>
        </w:rPr>
      </w:pPr>
      <w:r w:rsidRPr="00152B0C">
        <w:rPr>
          <w:rFonts w:eastAsia="Times New Roman" w:cs="Arial"/>
          <w:b/>
          <w:bCs/>
          <w:color w:val="000000"/>
          <w:lang w:eastAsia="bg-BG"/>
        </w:rPr>
        <w:t>Чернодробна дисфункция</w:t>
      </w:r>
    </w:p>
    <w:p w14:paraId="19C55A53" w14:textId="77777777" w:rsidR="00152B0C" w:rsidRPr="00152B0C" w:rsidRDefault="00152B0C" w:rsidP="00152B0C">
      <w:pPr>
        <w:spacing w:line="240" w:lineRule="auto"/>
        <w:rPr>
          <w:rFonts w:eastAsia="Times New Roman" w:cs="Arial"/>
          <w:lang w:eastAsia="bg-BG"/>
        </w:rPr>
      </w:pPr>
      <w:r w:rsidRPr="00152B0C">
        <w:rPr>
          <w:rFonts w:eastAsia="Times New Roman" w:cs="Arial"/>
          <w:color w:val="000000"/>
          <w:lang w:eastAsia="bg-BG"/>
        </w:rPr>
        <w:t>При пациенти с чернодробна дисфункция серумният полуживот се удължава, а екскрецията с урината се увеличава. При пациенти с комбинирано бъбречно и чернодробно увреждане цефоперазон може да се акумулира в серума.</w:t>
      </w:r>
    </w:p>
    <w:p w14:paraId="2BBA2CC2" w14:textId="77777777" w:rsidR="00152B0C" w:rsidRDefault="00152B0C" w:rsidP="00152B0C">
      <w:pPr>
        <w:spacing w:line="240" w:lineRule="auto"/>
        <w:rPr>
          <w:rFonts w:eastAsia="Times New Roman" w:cs="Arial"/>
          <w:b/>
          <w:bCs/>
          <w:color w:val="000000"/>
          <w:lang w:eastAsia="bg-BG"/>
        </w:rPr>
      </w:pPr>
    </w:p>
    <w:p w14:paraId="4326E750" w14:textId="1B411B1F" w:rsidR="00152B0C" w:rsidRPr="00152B0C" w:rsidRDefault="00152B0C" w:rsidP="00152B0C">
      <w:pPr>
        <w:spacing w:line="240" w:lineRule="auto"/>
        <w:rPr>
          <w:rFonts w:eastAsia="Times New Roman" w:cs="Arial"/>
          <w:lang w:eastAsia="bg-BG"/>
        </w:rPr>
      </w:pPr>
      <w:r w:rsidRPr="00152B0C">
        <w:rPr>
          <w:rFonts w:eastAsia="Times New Roman" w:cs="Arial"/>
          <w:b/>
          <w:bCs/>
          <w:color w:val="000000"/>
          <w:lang w:eastAsia="bg-BG"/>
        </w:rPr>
        <w:t>Бъбречна дисфункция</w:t>
      </w:r>
    </w:p>
    <w:p w14:paraId="4684B4A4" w14:textId="77777777" w:rsidR="00152B0C" w:rsidRPr="00152B0C" w:rsidRDefault="00152B0C" w:rsidP="00152B0C">
      <w:pPr>
        <w:spacing w:line="240" w:lineRule="auto"/>
        <w:rPr>
          <w:rFonts w:eastAsia="Times New Roman" w:cs="Arial"/>
          <w:lang w:eastAsia="bg-BG"/>
        </w:rPr>
      </w:pPr>
      <w:r w:rsidRPr="00152B0C">
        <w:rPr>
          <w:rFonts w:eastAsia="Times New Roman" w:cs="Arial"/>
          <w:color w:val="000000"/>
          <w:lang w:eastAsia="bg-BG"/>
        </w:rPr>
        <w:lastRenderedPageBreak/>
        <w:t xml:space="preserve">Пиковите серумни концентрации, </w:t>
      </w:r>
      <w:r w:rsidRPr="00152B0C">
        <w:rPr>
          <w:rFonts w:eastAsia="Times New Roman" w:cs="Arial"/>
          <w:color w:val="000000"/>
          <w:lang w:val="en-US"/>
        </w:rPr>
        <w:t xml:space="preserve">AUC </w:t>
      </w:r>
      <w:r w:rsidRPr="00152B0C">
        <w:rPr>
          <w:rFonts w:eastAsia="Times New Roman" w:cs="Arial"/>
          <w:color w:val="000000"/>
          <w:lang w:eastAsia="bg-BG"/>
        </w:rPr>
        <w:t>и серумният полуживот са сходни при здрави субекти и пациенти с бъбречно увреждане.</w:t>
      </w:r>
    </w:p>
    <w:p w14:paraId="00A2747D" w14:textId="77777777" w:rsidR="00152B0C" w:rsidRPr="00152B0C" w:rsidRDefault="00152B0C" w:rsidP="00152B0C"/>
    <w:p w14:paraId="6925FEB0" w14:textId="2053E6AB" w:rsidR="00F62E44" w:rsidRDefault="002C50EE" w:rsidP="00387A66">
      <w:pPr>
        <w:pStyle w:val="Heading2"/>
      </w:pPr>
      <w:r>
        <w:t>5.3. Предклинични данни за безопасност</w:t>
      </w:r>
    </w:p>
    <w:p w14:paraId="4DC4FFF1" w14:textId="199BA7E1" w:rsidR="00152B0C" w:rsidRDefault="00152B0C" w:rsidP="00152B0C"/>
    <w:p w14:paraId="0D91B126" w14:textId="77777777" w:rsidR="00152B0C" w:rsidRPr="00152B0C" w:rsidRDefault="00152B0C" w:rsidP="00152B0C">
      <w:pPr>
        <w:rPr>
          <w:sz w:val="24"/>
          <w:szCs w:val="24"/>
          <w:lang w:eastAsia="bg-BG"/>
        </w:rPr>
      </w:pPr>
      <w:r w:rsidRPr="00152B0C">
        <w:rPr>
          <w:lang w:eastAsia="bg-BG"/>
        </w:rPr>
        <w:t xml:space="preserve">Нежелани ефекти на цефоперазон са наблюдавани при изследвани плъхове преди пубертета във всички изследвани дози. Подкожно приложение на 1000 </w:t>
      </w:r>
      <w:r w:rsidRPr="00152B0C">
        <w:rPr>
          <w:lang w:val="en-US"/>
        </w:rPr>
        <w:t xml:space="preserve">mg/kg </w:t>
      </w:r>
      <w:r w:rsidRPr="00152B0C">
        <w:rPr>
          <w:lang w:eastAsia="bg-BG"/>
        </w:rPr>
        <w:t xml:space="preserve">дневно (приблизително 16 пъти средната доза при възрастни хора) води до понижено тестикуларно тегло, прекъсване на сперматогенезата; намалена гъстота на семенните клетки и вакуолизация на цитоплазмата на клетките на Сертоли. Тежестта на лезиите е дозозависима в диапазона от 100 до 1000 </w:t>
      </w:r>
      <w:r w:rsidRPr="00152B0C">
        <w:rPr>
          <w:lang w:val="en-US"/>
        </w:rPr>
        <w:t xml:space="preserve">mg/kg </w:t>
      </w:r>
      <w:r w:rsidRPr="00152B0C">
        <w:rPr>
          <w:lang w:eastAsia="bg-BG"/>
        </w:rPr>
        <w:t>дневно. Ниски дози водят до леко понижение на сперматоцитите. Този ефект не е наблюдаван при възрастни плъхове. Обратими хистологични промени са наблюдавани при всички дози с изключение на високите дози. Тези проучвания не оценяват последващото развитие на репродуктивната функция при плъховете. Значениет</w:t>
      </w:r>
      <w:r w:rsidRPr="00152B0C">
        <w:rPr>
          <w:u w:val="single"/>
          <w:lang w:eastAsia="bg-BG"/>
        </w:rPr>
        <w:t>о на</w:t>
      </w:r>
      <w:r w:rsidRPr="00152B0C">
        <w:rPr>
          <w:lang w:eastAsia="bg-BG"/>
        </w:rPr>
        <w:t xml:space="preserve"> тези находки при хората не е известно.</w:t>
      </w:r>
    </w:p>
    <w:p w14:paraId="038428BA" w14:textId="77777777" w:rsidR="00152B0C" w:rsidRPr="00152B0C" w:rsidRDefault="00152B0C" w:rsidP="00152B0C"/>
    <w:p w14:paraId="357049A8" w14:textId="74E45351" w:rsidR="00BB22B4" w:rsidRDefault="002C50EE" w:rsidP="00471F10">
      <w:pPr>
        <w:pStyle w:val="Heading1"/>
      </w:pPr>
      <w:r>
        <w:t>7. ПРИТЕЖАТЕЛ НА РАЗРЕШЕНИЕТО ЗА УПОТРЕБА</w:t>
      </w:r>
    </w:p>
    <w:p w14:paraId="765D4382" w14:textId="72F3C071" w:rsidR="00152B0C" w:rsidRDefault="00152B0C" w:rsidP="00152B0C"/>
    <w:p w14:paraId="0C2AB6C0" w14:textId="6ED71592" w:rsidR="00152B0C" w:rsidRPr="00152B0C" w:rsidRDefault="00152B0C" w:rsidP="00152B0C">
      <w:r>
        <w:t xml:space="preserve">Medochemie Ltd., </w:t>
      </w:r>
      <w:r>
        <w:rPr>
          <w:lang w:eastAsia="bg-BG"/>
        </w:rPr>
        <w:t xml:space="preserve">1-10 </w:t>
      </w:r>
      <w:r>
        <w:t xml:space="preserve">Constantinoupoleos str., 3011 Limassol, </w:t>
      </w:r>
      <w:r>
        <w:rPr>
          <w:lang w:eastAsia="bg-BG"/>
        </w:rPr>
        <w:t>Кипър</w:t>
      </w:r>
    </w:p>
    <w:p w14:paraId="0A53321D" w14:textId="7E26E1DB" w:rsidR="00EE6C97" w:rsidRDefault="00936AD0" w:rsidP="00A93499">
      <w:pPr>
        <w:pStyle w:val="Heading1"/>
      </w:pPr>
      <w:r>
        <w:t>8.</w:t>
      </w:r>
      <w:r w:rsidR="002C50EE">
        <w:t>НОМЕР НА РАЗРЕШЕНИЕТО ЗА УПОТРЕБА</w:t>
      </w:r>
    </w:p>
    <w:p w14:paraId="34B392F5" w14:textId="68199958" w:rsidR="00152B0C" w:rsidRDefault="00152B0C" w:rsidP="00152B0C"/>
    <w:p w14:paraId="23F2E388" w14:textId="77777777" w:rsidR="00152B0C" w:rsidRDefault="00152B0C" w:rsidP="00152B0C">
      <w:pPr>
        <w:rPr>
          <w:u w:val="single"/>
          <w:lang w:val="en-US"/>
        </w:rPr>
      </w:pPr>
      <w:r w:rsidRPr="00152B0C">
        <w:rPr>
          <w:u w:val="single"/>
          <w:lang w:eastAsia="bg-BG"/>
        </w:rPr>
        <w:t xml:space="preserve">Медоцеф 1 </w:t>
      </w:r>
      <w:r w:rsidRPr="00152B0C">
        <w:rPr>
          <w:u w:val="single"/>
          <w:lang w:val="en-US"/>
        </w:rPr>
        <w:t xml:space="preserve">g </w:t>
      </w:r>
    </w:p>
    <w:p w14:paraId="2B8DD698" w14:textId="7C7B5EDB" w:rsidR="00152B0C" w:rsidRPr="00152B0C" w:rsidRDefault="00152B0C" w:rsidP="00152B0C">
      <w:pPr>
        <w:rPr>
          <w:sz w:val="24"/>
          <w:szCs w:val="24"/>
          <w:lang w:eastAsia="bg-BG"/>
        </w:rPr>
      </w:pPr>
      <w:r w:rsidRPr="00152B0C">
        <w:rPr>
          <w:lang w:val="en-US"/>
        </w:rPr>
        <w:t xml:space="preserve">Per. </w:t>
      </w:r>
      <w:r w:rsidRPr="00152B0C">
        <w:rPr>
          <w:lang w:eastAsia="bg-BG"/>
        </w:rPr>
        <w:t>№:.20050001</w:t>
      </w:r>
    </w:p>
    <w:p w14:paraId="4BC03D5F" w14:textId="77777777" w:rsidR="00152B0C" w:rsidRDefault="00152B0C" w:rsidP="00152B0C">
      <w:pPr>
        <w:rPr>
          <w:u w:val="single"/>
          <w:lang w:val="en-US"/>
        </w:rPr>
      </w:pPr>
      <w:r w:rsidRPr="00152B0C">
        <w:rPr>
          <w:u w:val="single"/>
          <w:lang w:eastAsia="bg-BG"/>
        </w:rPr>
        <w:t xml:space="preserve">Медоцеф 2 </w:t>
      </w:r>
      <w:r w:rsidRPr="00152B0C">
        <w:rPr>
          <w:u w:val="single"/>
          <w:lang w:val="en-US"/>
        </w:rPr>
        <w:t xml:space="preserve">g </w:t>
      </w:r>
    </w:p>
    <w:p w14:paraId="391CA4BA" w14:textId="380FA881" w:rsidR="00152B0C" w:rsidRPr="00152B0C" w:rsidRDefault="00152B0C" w:rsidP="00152B0C">
      <w:r w:rsidRPr="00152B0C">
        <w:rPr>
          <w:lang w:eastAsia="bg-BG"/>
        </w:rPr>
        <w:t>Рег.№: 20050002</w:t>
      </w:r>
    </w:p>
    <w:p w14:paraId="7C2688F5" w14:textId="6D610EDF" w:rsidR="00F62E44" w:rsidRDefault="00F62E44" w:rsidP="00F62E44"/>
    <w:p w14:paraId="00481C21" w14:textId="28FF3D8E" w:rsidR="00F62E44" w:rsidRDefault="002C50EE" w:rsidP="00387A66">
      <w:pPr>
        <w:pStyle w:val="Heading1"/>
      </w:pPr>
      <w:r>
        <w:t>9. ДАТА НА ПЪРВО РАЗРЕШАВАНЕ/ПОДНОВЯВАНЕ НА РАЗРЕШЕНИЕТО ЗА УПОТРЕБА</w:t>
      </w:r>
    </w:p>
    <w:p w14:paraId="62E93478" w14:textId="278ECF2A" w:rsidR="00152B0C" w:rsidRDefault="00152B0C" w:rsidP="00152B0C"/>
    <w:p w14:paraId="0366E33E" w14:textId="77777777" w:rsidR="00152B0C" w:rsidRPr="00152B0C" w:rsidRDefault="00152B0C" w:rsidP="00152B0C">
      <w:pPr>
        <w:rPr>
          <w:sz w:val="24"/>
          <w:szCs w:val="24"/>
          <w:lang w:eastAsia="bg-BG"/>
        </w:rPr>
      </w:pPr>
      <w:r w:rsidRPr="00152B0C">
        <w:rPr>
          <w:lang w:eastAsia="bg-BG"/>
        </w:rPr>
        <w:t>Дата на първо разрешаване: 05 януари 2005 г.</w:t>
      </w:r>
    </w:p>
    <w:p w14:paraId="2CAE437E" w14:textId="1D288530" w:rsidR="00152B0C" w:rsidRPr="00152B0C" w:rsidRDefault="00152B0C" w:rsidP="00152B0C">
      <w:r w:rsidRPr="00152B0C">
        <w:rPr>
          <w:lang w:eastAsia="bg-BG"/>
        </w:rPr>
        <w:t>Дата на последно подновяване: 04 ноември 2010 г.</w:t>
      </w:r>
    </w:p>
    <w:p w14:paraId="43FB38A2" w14:textId="0C18A683" w:rsidR="007C605B" w:rsidRDefault="002C50EE" w:rsidP="005726E3">
      <w:pPr>
        <w:pStyle w:val="Heading1"/>
      </w:pPr>
      <w:r>
        <w:t>10. ДАТА НА АКТУАЛИЗИРАНЕ НА ТЕКСТА</w:t>
      </w:r>
      <w:bookmarkEnd w:id="0"/>
    </w:p>
    <w:p w14:paraId="472617BD" w14:textId="7308F0A4" w:rsidR="00BB22B4" w:rsidRPr="00BB22B4" w:rsidRDefault="00152B0C" w:rsidP="00152B0C">
      <w:r>
        <w:t>11/2021</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8F250EB"/>
    <w:multiLevelType w:val="hybridMultilevel"/>
    <w:tmpl w:val="1AC2F1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1"/>
  </w:num>
  <w:num w:numId="2" w16cid:durableId="1612932146">
    <w:abstractNumId w:val="0"/>
  </w:num>
  <w:num w:numId="3" w16cid:durableId="1810323821">
    <w:abstractNumId w:val="16"/>
  </w:num>
  <w:num w:numId="4" w16cid:durableId="2135319613">
    <w:abstractNumId w:val="3"/>
  </w:num>
  <w:num w:numId="5" w16cid:durableId="740105516">
    <w:abstractNumId w:val="1"/>
  </w:num>
  <w:num w:numId="6" w16cid:durableId="1668363208">
    <w:abstractNumId w:val="20"/>
  </w:num>
  <w:num w:numId="7" w16cid:durableId="1241988161">
    <w:abstractNumId w:val="13"/>
  </w:num>
  <w:num w:numId="8" w16cid:durableId="2102022361">
    <w:abstractNumId w:val="19"/>
  </w:num>
  <w:num w:numId="9" w16cid:durableId="1154613663">
    <w:abstractNumId w:val="2"/>
  </w:num>
  <w:num w:numId="10" w16cid:durableId="1733848127">
    <w:abstractNumId w:val="4"/>
  </w:num>
  <w:num w:numId="11" w16cid:durableId="1861704680">
    <w:abstractNumId w:val="34"/>
  </w:num>
  <w:num w:numId="12" w16cid:durableId="1434934028">
    <w:abstractNumId w:val="17"/>
  </w:num>
  <w:num w:numId="13" w16cid:durableId="479157895">
    <w:abstractNumId w:val="23"/>
  </w:num>
  <w:num w:numId="14" w16cid:durableId="1670476636">
    <w:abstractNumId w:val="15"/>
  </w:num>
  <w:num w:numId="15" w16cid:durableId="1000155783">
    <w:abstractNumId w:val="33"/>
  </w:num>
  <w:num w:numId="16" w16cid:durableId="2056420707">
    <w:abstractNumId w:val="12"/>
  </w:num>
  <w:num w:numId="17" w16cid:durableId="1787119182">
    <w:abstractNumId w:val="28"/>
  </w:num>
  <w:num w:numId="18" w16cid:durableId="722945139">
    <w:abstractNumId w:val="9"/>
  </w:num>
  <w:num w:numId="19" w16cid:durableId="1678728408">
    <w:abstractNumId w:val="30"/>
  </w:num>
  <w:num w:numId="20" w16cid:durableId="1970816657">
    <w:abstractNumId w:val="27"/>
  </w:num>
  <w:num w:numId="21" w16cid:durableId="1531146514">
    <w:abstractNumId w:val="21"/>
  </w:num>
  <w:num w:numId="22" w16cid:durableId="1276465">
    <w:abstractNumId w:val="29"/>
  </w:num>
  <w:num w:numId="23" w16cid:durableId="1624310558">
    <w:abstractNumId w:val="22"/>
  </w:num>
  <w:num w:numId="24" w16cid:durableId="1692877547">
    <w:abstractNumId w:val="10"/>
  </w:num>
  <w:num w:numId="25" w16cid:durableId="50930855">
    <w:abstractNumId w:val="26"/>
  </w:num>
  <w:num w:numId="26" w16cid:durableId="176701536">
    <w:abstractNumId w:val="25"/>
  </w:num>
  <w:num w:numId="27" w16cid:durableId="2050564750">
    <w:abstractNumId w:val="35"/>
  </w:num>
  <w:num w:numId="28" w16cid:durableId="1820733422">
    <w:abstractNumId w:val="7"/>
  </w:num>
  <w:num w:numId="29" w16cid:durableId="973678124">
    <w:abstractNumId w:val="24"/>
  </w:num>
  <w:num w:numId="30" w16cid:durableId="154884452">
    <w:abstractNumId w:val="39"/>
  </w:num>
  <w:num w:numId="31" w16cid:durableId="1053964910">
    <w:abstractNumId w:val="6"/>
  </w:num>
  <w:num w:numId="32" w16cid:durableId="2073575793">
    <w:abstractNumId w:val="37"/>
  </w:num>
  <w:num w:numId="33" w16cid:durableId="1566643170">
    <w:abstractNumId w:val="32"/>
  </w:num>
  <w:num w:numId="34" w16cid:durableId="2060787732">
    <w:abstractNumId w:val="36"/>
  </w:num>
  <w:num w:numId="35" w16cid:durableId="34161354">
    <w:abstractNumId w:val="8"/>
  </w:num>
  <w:num w:numId="36" w16cid:durableId="1976908676">
    <w:abstractNumId w:val="11"/>
  </w:num>
  <w:num w:numId="37" w16cid:durableId="758528303">
    <w:abstractNumId w:val="18"/>
  </w:num>
  <w:num w:numId="38" w16cid:durableId="178396561">
    <w:abstractNumId w:val="38"/>
  </w:num>
  <w:num w:numId="39" w16cid:durableId="934825996">
    <w:abstractNumId w:val="14"/>
  </w:num>
  <w:num w:numId="40" w16cid:durableId="751587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52B0C"/>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758C3"/>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62E44"/>
    <w:rsid w:val="00FB73BD"/>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3043</Words>
  <Characters>17347</Characters>
  <Application>Microsoft Office Word</Application>
  <DocSecurity>0</DocSecurity>
  <Lines>144</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2023-03-21T22:11:00Z</dcterms:created>
  <dcterms:modified xsi:type="dcterms:W3CDTF">2023-03-21T22:11:00Z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