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321DC6AB" w14:textId="29528D87" w:rsidR="00F855C2" w:rsidRPr="00F855C2" w:rsidRDefault="006C4945" w:rsidP="00F855C2">
      <w:pPr>
        <w:spacing w:line="240" w:lineRule="auto"/>
        <w:rPr>
          <w:rFonts w:eastAsia="Times New Roman" w:cs="Arial"/>
          <w:sz w:val="24"/>
          <w:szCs w:val="24"/>
          <w:lang w:eastAsia="bg-BG"/>
        </w:rPr>
      </w:pPr>
      <w:r>
        <w:rPr>
          <w:rFonts w:eastAsia="Times New Roman" w:cs="Arial"/>
          <w:color w:val="000000"/>
          <w:lang w:eastAsia="bg-BG"/>
        </w:rPr>
        <w:t>МЕДОПЕКСОЛ 0,7</w:t>
      </w:r>
      <w:r w:rsidR="00F855C2" w:rsidRPr="00F855C2">
        <w:rPr>
          <w:rFonts w:eastAsia="Times New Roman" w:cs="Arial"/>
          <w:color w:val="000000"/>
          <w:lang w:eastAsia="bg-BG"/>
        </w:rPr>
        <w:t xml:space="preserve"> </w:t>
      </w:r>
      <w:r w:rsidR="00F855C2" w:rsidRPr="00F855C2">
        <w:rPr>
          <w:rFonts w:eastAsia="Times New Roman" w:cs="Arial"/>
          <w:color w:val="000000"/>
          <w:lang w:val="en-US"/>
        </w:rPr>
        <w:t xml:space="preserve">mg </w:t>
      </w:r>
      <w:r w:rsidR="00F855C2" w:rsidRPr="00F855C2">
        <w:rPr>
          <w:rFonts w:eastAsia="Times New Roman" w:cs="Arial"/>
          <w:color w:val="000000"/>
          <w:lang w:eastAsia="bg-BG"/>
        </w:rPr>
        <w:t>таблетки</w:t>
      </w:r>
    </w:p>
    <w:p w14:paraId="73D1D99C" w14:textId="2836F7A7" w:rsidR="0091385D" w:rsidRPr="00F855C2" w:rsidRDefault="00F855C2" w:rsidP="00F855C2">
      <w:pPr>
        <w:rPr>
          <w:rFonts w:cs="Arial"/>
        </w:rPr>
      </w:pPr>
      <w:r w:rsidRPr="00F855C2">
        <w:rPr>
          <w:rFonts w:eastAsia="Times New Roman" w:cs="Arial"/>
          <w:color w:val="000000"/>
          <w:lang w:val="en-US"/>
        </w:rPr>
        <w:t xml:space="preserve">MEDOPEXOL </w:t>
      </w:r>
      <w:r w:rsidR="006C4945">
        <w:rPr>
          <w:rFonts w:eastAsia="Times New Roman" w:cs="Arial"/>
          <w:color w:val="000000"/>
          <w:lang w:eastAsia="bg-BG"/>
        </w:rPr>
        <w:t>0</w:t>
      </w:r>
      <w:proofErr w:type="gramStart"/>
      <w:r w:rsidR="006C4945">
        <w:rPr>
          <w:rFonts w:eastAsia="Times New Roman" w:cs="Arial"/>
          <w:color w:val="000000"/>
          <w:lang w:eastAsia="bg-BG"/>
        </w:rPr>
        <w:t>,7</w:t>
      </w:r>
      <w:proofErr w:type="gramEnd"/>
      <w:r w:rsidRPr="00F855C2">
        <w:rPr>
          <w:rFonts w:eastAsia="Times New Roman" w:cs="Arial"/>
          <w:color w:val="000000"/>
          <w:lang w:eastAsia="bg-BG"/>
        </w:rPr>
        <w:t xml:space="preserve"> </w:t>
      </w:r>
      <w:r w:rsidRPr="00F855C2">
        <w:rPr>
          <w:rFonts w:eastAsia="Times New Roman" w:cs="Arial"/>
          <w:color w:val="000000"/>
          <w:lang w:val="en-US"/>
        </w:rPr>
        <w:t>mg tablets</w:t>
      </w:r>
    </w:p>
    <w:p w14:paraId="1E8447D1" w14:textId="77777777" w:rsidR="0091385D" w:rsidRPr="0091385D" w:rsidRDefault="0091385D" w:rsidP="0091385D">
      <w:bookmarkStart w:id="1" w:name="_GoBack"/>
      <w:bookmarkEnd w:id="1"/>
    </w:p>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06A26810" w14:textId="66945E45" w:rsidR="00F855C2" w:rsidRPr="00F855C2" w:rsidRDefault="006C4945" w:rsidP="00F855C2">
      <w:pPr>
        <w:spacing w:line="240" w:lineRule="auto"/>
        <w:rPr>
          <w:rFonts w:eastAsia="Times New Roman" w:cs="Arial"/>
          <w:sz w:val="24"/>
          <w:szCs w:val="24"/>
          <w:lang w:eastAsia="bg-BG"/>
        </w:rPr>
      </w:pPr>
      <w:r>
        <w:rPr>
          <w:rFonts w:eastAsia="Times New Roman" w:cs="Arial"/>
          <w:color w:val="000000"/>
          <w:lang w:eastAsia="bg-BG"/>
        </w:rPr>
        <w:t xml:space="preserve">Всяка таблетка съдържа </w:t>
      </w:r>
      <w:r>
        <w:rPr>
          <w:rFonts w:eastAsia="Times New Roman" w:cs="Arial"/>
          <w:color w:val="000000"/>
          <w:lang w:val="en-US" w:eastAsia="bg-BG"/>
        </w:rPr>
        <w:t>1,0</w:t>
      </w:r>
      <w:r w:rsidR="00F855C2" w:rsidRPr="00F855C2">
        <w:rPr>
          <w:rFonts w:eastAsia="Times New Roman" w:cs="Arial"/>
          <w:color w:val="000000"/>
          <w:lang w:eastAsia="bg-BG"/>
        </w:rPr>
        <w:t xml:space="preserve"> </w:t>
      </w:r>
      <w:r w:rsidR="00F855C2" w:rsidRPr="00F855C2">
        <w:rPr>
          <w:rFonts w:eastAsia="Times New Roman" w:cs="Arial"/>
          <w:color w:val="000000"/>
          <w:lang w:val="en-US"/>
        </w:rPr>
        <w:t xml:space="preserve">mg </w:t>
      </w:r>
      <w:r>
        <w:rPr>
          <w:rFonts w:eastAsia="Times New Roman" w:cs="Arial"/>
          <w:color w:val="000000"/>
          <w:lang w:eastAsia="bg-BG"/>
        </w:rPr>
        <w:t>прамипексол дихи</w:t>
      </w:r>
      <w:r w:rsidR="00F855C2" w:rsidRPr="00F855C2">
        <w:rPr>
          <w:rFonts w:eastAsia="Times New Roman" w:cs="Arial"/>
          <w:color w:val="000000"/>
          <w:lang w:eastAsia="bg-BG"/>
        </w:rPr>
        <w:t xml:space="preserve">дрохлорид монохидрат </w:t>
      </w:r>
      <w:r w:rsidR="00F855C2" w:rsidRPr="00F855C2">
        <w:rPr>
          <w:rFonts w:eastAsia="Times New Roman" w:cs="Arial"/>
          <w:i/>
          <w:iCs/>
          <w:color w:val="000000"/>
          <w:lang w:val="en-US"/>
        </w:rPr>
        <w:t>(</w:t>
      </w:r>
      <w:proofErr w:type="spellStart"/>
      <w:r w:rsidR="00F855C2" w:rsidRPr="00F855C2">
        <w:rPr>
          <w:rFonts w:eastAsia="Times New Roman" w:cs="Arial"/>
          <w:i/>
          <w:iCs/>
          <w:color w:val="000000"/>
          <w:lang w:val="en-US"/>
        </w:rPr>
        <w:t>pramipexole</w:t>
      </w:r>
      <w:proofErr w:type="spellEnd"/>
      <w:r w:rsidR="00F855C2" w:rsidRPr="00F855C2">
        <w:rPr>
          <w:rFonts w:eastAsia="Times New Roman" w:cs="Arial"/>
          <w:i/>
          <w:iCs/>
          <w:color w:val="000000"/>
          <w:lang w:val="en-US"/>
        </w:rPr>
        <w:t xml:space="preserve"> </w:t>
      </w:r>
      <w:proofErr w:type="spellStart"/>
      <w:r w:rsidR="00F855C2" w:rsidRPr="00F855C2">
        <w:rPr>
          <w:rFonts w:eastAsia="Times New Roman" w:cs="Arial"/>
          <w:i/>
          <w:iCs/>
          <w:color w:val="000000"/>
          <w:lang w:val="en-US"/>
        </w:rPr>
        <w:t>dihydrochloride</w:t>
      </w:r>
      <w:proofErr w:type="spellEnd"/>
      <w:r w:rsidR="00F855C2" w:rsidRPr="00F855C2">
        <w:rPr>
          <w:rFonts w:eastAsia="Times New Roman" w:cs="Arial"/>
          <w:i/>
          <w:iCs/>
          <w:color w:val="000000"/>
          <w:lang w:val="en-US"/>
        </w:rPr>
        <w:t xml:space="preserve"> monohydrate)</w:t>
      </w:r>
      <w:r w:rsidR="00F855C2" w:rsidRPr="00F855C2">
        <w:rPr>
          <w:rFonts w:eastAsia="Times New Roman" w:cs="Arial"/>
          <w:color w:val="000000"/>
          <w:lang w:val="en-US"/>
        </w:rPr>
        <w:t xml:space="preserve"> </w:t>
      </w:r>
      <w:r>
        <w:rPr>
          <w:rFonts w:eastAsia="Times New Roman" w:cs="Arial"/>
          <w:color w:val="000000"/>
          <w:lang w:eastAsia="bg-BG"/>
        </w:rPr>
        <w:t>еквивалентен на 0,7</w:t>
      </w:r>
      <w:r w:rsidR="00F855C2" w:rsidRPr="00F855C2">
        <w:rPr>
          <w:rFonts w:eastAsia="Times New Roman" w:cs="Arial"/>
          <w:color w:val="000000"/>
          <w:lang w:eastAsia="bg-BG"/>
        </w:rPr>
        <w:t xml:space="preserve"> </w:t>
      </w:r>
      <w:r w:rsidR="00F855C2" w:rsidRPr="00F855C2">
        <w:rPr>
          <w:rFonts w:eastAsia="Times New Roman" w:cs="Arial"/>
          <w:color w:val="000000"/>
          <w:lang w:val="en-US"/>
        </w:rPr>
        <w:t xml:space="preserve">mg </w:t>
      </w:r>
      <w:r w:rsidR="00F855C2" w:rsidRPr="00F855C2">
        <w:rPr>
          <w:rFonts w:eastAsia="Times New Roman" w:cs="Arial"/>
          <w:color w:val="000000"/>
          <w:lang w:eastAsia="bg-BG"/>
        </w:rPr>
        <w:t xml:space="preserve">прамипексол </w:t>
      </w:r>
      <w:r w:rsidR="00F855C2" w:rsidRPr="00F855C2">
        <w:rPr>
          <w:rFonts w:eastAsia="Times New Roman" w:cs="Arial"/>
          <w:i/>
          <w:iCs/>
          <w:color w:val="000000"/>
          <w:lang w:val="en-US"/>
        </w:rPr>
        <w:t>(</w:t>
      </w:r>
      <w:proofErr w:type="spellStart"/>
      <w:r w:rsidR="00F855C2" w:rsidRPr="00F855C2">
        <w:rPr>
          <w:rFonts w:eastAsia="Times New Roman" w:cs="Arial"/>
          <w:i/>
          <w:iCs/>
          <w:color w:val="000000"/>
          <w:lang w:val="en-US"/>
        </w:rPr>
        <w:t>pramipexole</w:t>
      </w:r>
      <w:proofErr w:type="spellEnd"/>
      <w:r w:rsidR="00F855C2" w:rsidRPr="00F855C2">
        <w:rPr>
          <w:rFonts w:eastAsia="Times New Roman" w:cs="Arial"/>
          <w:i/>
          <w:iCs/>
          <w:color w:val="000000"/>
          <w:lang w:val="en-US"/>
        </w:rPr>
        <w:t>).</w:t>
      </w:r>
    </w:p>
    <w:p w14:paraId="11D467B7" w14:textId="77777777" w:rsidR="00F855C2" w:rsidRPr="00F855C2" w:rsidRDefault="00F855C2" w:rsidP="00F855C2">
      <w:pPr>
        <w:spacing w:line="240" w:lineRule="auto"/>
        <w:rPr>
          <w:rFonts w:eastAsia="Times New Roman" w:cs="Arial"/>
          <w:i/>
          <w:iCs/>
          <w:color w:val="000000"/>
          <w:lang w:eastAsia="bg-BG"/>
        </w:rPr>
      </w:pPr>
    </w:p>
    <w:p w14:paraId="1F7EEEB4" w14:textId="6937841E"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Внимание:</w:t>
      </w:r>
    </w:p>
    <w:p w14:paraId="63982E6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Дозите прамипексол, публикувани в литературата се отнасят за неговата сол.</w:t>
      </w:r>
    </w:p>
    <w:p w14:paraId="60391C6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Поради това, дозите ще бъдат изразявани по-долу като прамипексол база и като прамипексол под формата на сол (в скоби).</w:t>
      </w:r>
    </w:p>
    <w:p w14:paraId="3D11A6C4" w14:textId="77777777" w:rsidR="00F855C2" w:rsidRPr="00F855C2" w:rsidRDefault="00F855C2" w:rsidP="00F855C2">
      <w:pPr>
        <w:rPr>
          <w:rFonts w:eastAsia="Times New Roman" w:cs="Arial"/>
          <w:color w:val="000000"/>
          <w:lang w:eastAsia="bg-BG"/>
        </w:rPr>
      </w:pPr>
    </w:p>
    <w:p w14:paraId="729D0A91" w14:textId="4445992A" w:rsidR="0091385D" w:rsidRPr="00F855C2" w:rsidRDefault="00F855C2" w:rsidP="00F855C2">
      <w:pPr>
        <w:rPr>
          <w:rFonts w:cs="Arial"/>
        </w:rPr>
      </w:pPr>
      <w:r w:rsidRPr="00F855C2">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4A991133" w14:textId="7C1FF1FC" w:rsidR="0091385D" w:rsidRPr="00F855C2" w:rsidRDefault="00F855C2" w:rsidP="0091385D">
      <w:pPr>
        <w:rPr>
          <w:rFonts w:cs="Arial"/>
        </w:rPr>
      </w:pPr>
      <w:r w:rsidRPr="00F855C2">
        <w:rPr>
          <w:rFonts w:cs="Arial"/>
        </w:rPr>
        <w:t>Таблетка</w:t>
      </w:r>
    </w:p>
    <w:p w14:paraId="709348CE" w14:textId="5D5CF534" w:rsidR="00F855C2" w:rsidRPr="00F855C2" w:rsidRDefault="00F855C2" w:rsidP="0091385D">
      <w:pPr>
        <w:rPr>
          <w:rFonts w:cs="Arial"/>
        </w:rPr>
      </w:pPr>
    </w:p>
    <w:tbl>
      <w:tblPr>
        <w:tblStyle w:val="TableGrid"/>
        <w:tblW w:w="0" w:type="auto"/>
        <w:tblLook w:val="04A0" w:firstRow="1" w:lastRow="0" w:firstColumn="1" w:lastColumn="0" w:noHBand="0" w:noVBand="1"/>
      </w:tblPr>
      <w:tblGrid>
        <w:gridCol w:w="4672"/>
        <w:gridCol w:w="4678"/>
      </w:tblGrid>
      <w:tr w:rsidR="00F855C2" w:rsidRPr="00F855C2" w14:paraId="2826D933" w14:textId="77777777" w:rsidTr="00F855C2">
        <w:tc>
          <w:tcPr>
            <w:tcW w:w="4750" w:type="dxa"/>
          </w:tcPr>
          <w:p w14:paraId="56B0451C" w14:textId="440801FC" w:rsidR="00F855C2" w:rsidRPr="00F855C2" w:rsidRDefault="00F855C2" w:rsidP="00F855C2">
            <w:pPr>
              <w:rPr>
                <w:rFonts w:cs="Arial"/>
              </w:rPr>
            </w:pPr>
            <w:r w:rsidRPr="00F855C2">
              <w:rPr>
                <w:rFonts w:cs="Arial"/>
              </w:rPr>
              <w:t xml:space="preserve">Концентрация </w:t>
            </w:r>
            <w:r w:rsidRPr="00F855C2">
              <w:rPr>
                <w:rFonts w:cs="Arial"/>
                <w:lang w:val="en-US"/>
              </w:rPr>
              <w:t xml:space="preserve">(mg </w:t>
            </w:r>
            <w:r w:rsidRPr="00F855C2">
              <w:rPr>
                <w:rFonts w:cs="Arial"/>
              </w:rPr>
              <w:t>база)</w:t>
            </w:r>
          </w:p>
        </w:tc>
        <w:tc>
          <w:tcPr>
            <w:tcW w:w="4750" w:type="dxa"/>
          </w:tcPr>
          <w:p w14:paraId="435828ED" w14:textId="0240FA9D" w:rsidR="00F855C2" w:rsidRPr="00F855C2" w:rsidRDefault="00F855C2" w:rsidP="00F855C2">
            <w:pPr>
              <w:rPr>
                <w:rFonts w:cs="Arial"/>
              </w:rPr>
            </w:pPr>
            <w:r w:rsidRPr="00F855C2">
              <w:rPr>
                <w:rFonts w:cs="Arial"/>
              </w:rPr>
              <w:t>Външен вид</w:t>
            </w:r>
          </w:p>
        </w:tc>
      </w:tr>
      <w:tr w:rsidR="00F855C2" w:rsidRPr="00F855C2" w14:paraId="16B5F6E5" w14:textId="77777777" w:rsidTr="00F855C2">
        <w:tc>
          <w:tcPr>
            <w:tcW w:w="4750" w:type="dxa"/>
          </w:tcPr>
          <w:p w14:paraId="75674FD8" w14:textId="51CCAF44" w:rsidR="00F855C2" w:rsidRPr="00F855C2" w:rsidRDefault="000676EC" w:rsidP="00F855C2">
            <w:pPr>
              <w:rPr>
                <w:rFonts w:cs="Arial"/>
              </w:rPr>
            </w:pPr>
            <w:r>
              <w:rPr>
                <w:rFonts w:cs="Arial"/>
              </w:rPr>
              <w:t>0,7</w:t>
            </w:r>
            <w:r w:rsidR="00F855C2" w:rsidRPr="00F855C2">
              <w:rPr>
                <w:rFonts w:cs="Arial"/>
              </w:rPr>
              <w:t xml:space="preserve"> </w:t>
            </w:r>
            <w:r w:rsidR="00F855C2" w:rsidRPr="00F855C2">
              <w:rPr>
                <w:rFonts w:cs="Arial"/>
                <w:lang w:val="en-US"/>
              </w:rPr>
              <w:t>mg</w:t>
            </w:r>
          </w:p>
        </w:tc>
        <w:tc>
          <w:tcPr>
            <w:tcW w:w="4750" w:type="dxa"/>
          </w:tcPr>
          <w:p w14:paraId="176EF4E7" w14:textId="5BE81565" w:rsidR="00F855C2" w:rsidRPr="00F855C2" w:rsidRDefault="00F855C2" w:rsidP="006C4945">
            <w:pPr>
              <w:rPr>
                <w:rFonts w:cs="Arial"/>
              </w:rPr>
            </w:pPr>
            <w:r w:rsidRPr="00F855C2">
              <w:rPr>
                <w:rFonts w:cs="Arial"/>
              </w:rPr>
              <w:t xml:space="preserve">Бели, </w:t>
            </w:r>
            <w:r w:rsidR="006C4945">
              <w:rPr>
                <w:rFonts w:cs="Arial"/>
              </w:rPr>
              <w:t>кръгли, плоски</w:t>
            </w:r>
            <w:r w:rsidRPr="00F855C2">
              <w:rPr>
                <w:rFonts w:cs="Arial"/>
              </w:rPr>
              <w:t xml:space="preserve"> таблетки с делителна черта от </w:t>
            </w:r>
            <w:r w:rsidR="006C4945">
              <w:rPr>
                <w:rFonts w:cs="Arial"/>
              </w:rPr>
              <w:t>едната страна</w:t>
            </w:r>
            <w:r w:rsidRPr="00F855C2">
              <w:rPr>
                <w:rFonts w:cs="Arial"/>
              </w:rPr>
              <w:t xml:space="preserve"> (</w:t>
            </w:r>
            <w:r w:rsidR="006C4945">
              <w:rPr>
                <w:rFonts w:cs="Arial"/>
              </w:rPr>
              <w:t>диаметър</w:t>
            </w:r>
            <w:r w:rsidRPr="00F855C2">
              <w:rPr>
                <w:rFonts w:cs="Arial"/>
              </w:rPr>
              <w:t xml:space="preserve">: </w:t>
            </w:r>
            <w:r w:rsidR="006C4945">
              <w:rPr>
                <w:rFonts w:cs="Arial"/>
                <w:lang w:val="en-US"/>
              </w:rPr>
              <w:t>9</w:t>
            </w:r>
            <w:r w:rsidR="006C4945">
              <w:rPr>
                <w:rFonts w:cs="Arial"/>
              </w:rPr>
              <w:t xml:space="preserve"> </w:t>
            </w:r>
            <w:r w:rsidR="006C4945">
              <w:rPr>
                <w:rFonts w:cs="Arial"/>
                <w:lang w:val="en-US"/>
              </w:rPr>
              <w:t xml:space="preserve">mm, </w:t>
            </w:r>
            <w:r w:rsidRPr="00F855C2">
              <w:rPr>
                <w:rFonts w:cs="Arial"/>
              </w:rPr>
              <w:t>приблизително).</w:t>
            </w:r>
          </w:p>
        </w:tc>
      </w:tr>
    </w:tbl>
    <w:p w14:paraId="7910086D" w14:textId="7189A7A5" w:rsidR="00F855C2" w:rsidRPr="00F855C2" w:rsidRDefault="00F855C2" w:rsidP="0091385D">
      <w:pPr>
        <w:rPr>
          <w:rFonts w:cs="Arial"/>
        </w:rPr>
      </w:pPr>
    </w:p>
    <w:p w14:paraId="2801750D" w14:textId="5E803EEC" w:rsidR="00F855C2" w:rsidRPr="00F855C2" w:rsidRDefault="00F855C2" w:rsidP="0091385D">
      <w:pPr>
        <w:rPr>
          <w:rFonts w:cs="Arial"/>
        </w:rPr>
      </w:pPr>
      <w:r w:rsidRPr="00F855C2">
        <w:rPr>
          <w:rFonts w:cs="Arial"/>
        </w:rPr>
        <w:t>Таблетките могат да бъдат разделени на две равни половини.</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19C1CBD0" w:rsidR="0091385D" w:rsidRPr="00F855C2" w:rsidRDefault="00F855C2" w:rsidP="0091385D">
      <w:pPr>
        <w:rPr>
          <w:rFonts w:cs="Arial"/>
        </w:rPr>
      </w:pPr>
      <w:r w:rsidRPr="00F855C2">
        <w:rPr>
          <w:rFonts w:cs="Arial"/>
        </w:rPr>
        <w:t xml:space="preserve">МЕДОПЕКСОЛ е предназначен за лечение при възрастни на признаците и симптомите на идиопатична болест на Паркинсон самостоятелно (без леводопа) или в комбинация с леводопа, т.е. в хода на заболяването през късните стадии, когато ефектът на леводопа намалява или става непостоянен и се наблюдават флуктуации в терапевтичния ефект (флуктуации при изчерпване на дозата или </w:t>
      </w:r>
      <w:r w:rsidRPr="00F855C2">
        <w:rPr>
          <w:rFonts w:cs="Arial"/>
          <w:lang w:val="en-US"/>
        </w:rPr>
        <w:t xml:space="preserve">“on off” </w:t>
      </w:r>
      <w:r w:rsidRPr="00F855C2">
        <w:rPr>
          <w:rFonts w:cs="Arial"/>
        </w:rPr>
        <w:t>флуктуации).</w:t>
      </w:r>
    </w:p>
    <w:p w14:paraId="6DFA4B9D" w14:textId="77777777" w:rsidR="0091385D" w:rsidRPr="0091385D" w:rsidRDefault="0091385D" w:rsidP="0091385D"/>
    <w:p w14:paraId="30BE2C7B" w14:textId="3633C1E4" w:rsidR="008134C8" w:rsidRDefault="002C50EE" w:rsidP="004A448E">
      <w:pPr>
        <w:pStyle w:val="Heading2"/>
      </w:pPr>
      <w:r>
        <w:lastRenderedPageBreak/>
        <w:t>4.2. Дозировка и начин на приложение</w:t>
      </w:r>
    </w:p>
    <w:p w14:paraId="7AA22B68" w14:textId="3A681DFB" w:rsidR="0091385D" w:rsidRDefault="0091385D" w:rsidP="0091385D"/>
    <w:p w14:paraId="5FA3D67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За дози, които не могат да се постигнат с МЕДОПЕКСОЛ, са налични други концентрации на други лекарствени продукти, които съдържат прамипексол.</w:t>
      </w:r>
    </w:p>
    <w:p w14:paraId="0DC87AEC" w14:textId="77777777" w:rsidR="00F855C2" w:rsidRPr="00F855C2" w:rsidRDefault="00F855C2" w:rsidP="00F855C2">
      <w:pPr>
        <w:spacing w:line="240" w:lineRule="auto"/>
        <w:rPr>
          <w:rFonts w:eastAsia="Times New Roman" w:cs="Arial"/>
          <w:color w:val="000000"/>
          <w:u w:val="single"/>
          <w:lang w:eastAsia="bg-BG"/>
        </w:rPr>
      </w:pPr>
    </w:p>
    <w:p w14:paraId="37DEA3AF" w14:textId="1DB39785" w:rsidR="00F855C2" w:rsidRPr="00831B9A" w:rsidRDefault="00F855C2" w:rsidP="00831B9A">
      <w:pPr>
        <w:pStyle w:val="Heading3"/>
        <w:rPr>
          <w:rFonts w:eastAsia="Times New Roman"/>
          <w:color w:val="auto"/>
          <w:u w:val="single"/>
          <w:lang w:eastAsia="bg-BG"/>
        </w:rPr>
      </w:pPr>
      <w:r w:rsidRPr="00831B9A">
        <w:rPr>
          <w:rFonts w:eastAsia="Times New Roman"/>
          <w:u w:val="single"/>
          <w:lang w:eastAsia="bg-BG"/>
        </w:rPr>
        <w:t>Дозировка</w:t>
      </w:r>
      <w:bookmarkStart w:id="2" w:name="bookmark0"/>
    </w:p>
    <w:p w14:paraId="79F50FFE" w14:textId="77777777" w:rsidR="00F855C2" w:rsidRPr="00F855C2" w:rsidRDefault="00F855C2" w:rsidP="00F855C2">
      <w:pPr>
        <w:spacing w:line="240" w:lineRule="auto"/>
        <w:rPr>
          <w:rFonts w:eastAsia="Times New Roman" w:cs="Arial"/>
          <w:b/>
          <w:bCs/>
          <w:color w:val="000000"/>
          <w:lang w:eastAsia="bg-BG"/>
        </w:rPr>
      </w:pPr>
    </w:p>
    <w:p w14:paraId="3C87BDEA" w14:textId="5F206CA6" w:rsidR="00F855C2" w:rsidRPr="00F855C2" w:rsidRDefault="00F855C2" w:rsidP="00F855C2">
      <w:pPr>
        <w:spacing w:line="240" w:lineRule="auto"/>
        <w:rPr>
          <w:rFonts w:eastAsia="Times New Roman" w:cs="Arial"/>
          <w:sz w:val="24"/>
          <w:szCs w:val="24"/>
          <w:lang w:eastAsia="bg-BG"/>
        </w:rPr>
      </w:pPr>
      <w:r w:rsidRPr="00F855C2">
        <w:rPr>
          <w:rFonts w:eastAsia="Times New Roman" w:cs="Arial"/>
          <w:b/>
          <w:bCs/>
          <w:color w:val="000000"/>
          <w:lang w:eastAsia="bg-BG"/>
        </w:rPr>
        <w:t>Болест на Паркинсон</w:t>
      </w:r>
      <w:bookmarkEnd w:id="2"/>
    </w:p>
    <w:p w14:paraId="3E8D938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Дневната доза се разпределя поравно на три отделни приема.</w:t>
      </w:r>
    </w:p>
    <w:p w14:paraId="02187773" w14:textId="77777777" w:rsidR="00F855C2" w:rsidRPr="00F855C2" w:rsidRDefault="00F855C2" w:rsidP="00F855C2">
      <w:pPr>
        <w:spacing w:line="240" w:lineRule="auto"/>
        <w:rPr>
          <w:rFonts w:eastAsia="Times New Roman" w:cs="Arial"/>
          <w:i/>
          <w:iCs/>
          <w:color w:val="000000"/>
          <w:u w:val="single"/>
          <w:lang w:eastAsia="bg-BG"/>
        </w:rPr>
      </w:pPr>
    </w:p>
    <w:p w14:paraId="58623E05" w14:textId="331685D1"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u w:val="single"/>
          <w:lang w:eastAsia="bg-BG"/>
        </w:rPr>
        <w:t>Начално лечение</w:t>
      </w:r>
    </w:p>
    <w:p w14:paraId="475300EC" w14:textId="3AA98130" w:rsidR="0091385D" w:rsidRPr="006C4945" w:rsidRDefault="00F855C2" w:rsidP="006C4945">
      <w:pPr>
        <w:spacing w:line="240" w:lineRule="auto"/>
        <w:rPr>
          <w:rFonts w:eastAsia="Times New Roman" w:cs="Arial"/>
          <w:sz w:val="24"/>
          <w:szCs w:val="24"/>
          <w:lang w:eastAsia="bg-BG"/>
        </w:rPr>
      </w:pPr>
      <w:r w:rsidRPr="00F855C2">
        <w:rPr>
          <w:rFonts w:eastAsia="Times New Roman" w:cs="Arial"/>
          <w:color w:val="000000"/>
          <w:lang w:eastAsia="bg-BG"/>
        </w:rPr>
        <w:t xml:space="preserve">Дозировката трябва постепенно да се повишава, като се започне с 0,264 </w:t>
      </w:r>
      <w:r w:rsidRPr="00F855C2">
        <w:rPr>
          <w:rFonts w:eastAsia="Times New Roman" w:cs="Arial"/>
          <w:color w:val="000000"/>
          <w:lang w:val="en-US"/>
        </w:rPr>
        <w:t>mg</w:t>
      </w:r>
      <w:r w:rsidRPr="00F855C2">
        <w:rPr>
          <w:rFonts w:eastAsia="Times New Roman" w:cs="Arial"/>
          <w:color w:val="000000"/>
          <w:lang w:eastAsia="bg-BG"/>
        </w:rPr>
        <w:t xml:space="preserve"> база, 0, 375 </w:t>
      </w:r>
      <w:r w:rsidRPr="00F855C2">
        <w:rPr>
          <w:rFonts w:eastAsia="Times New Roman" w:cs="Arial"/>
          <w:color w:val="000000"/>
          <w:lang w:val="en-US"/>
        </w:rPr>
        <w:t xml:space="preserve">mg </w:t>
      </w:r>
      <w:r w:rsidRPr="00F855C2">
        <w:rPr>
          <w:rFonts w:eastAsia="Times New Roman" w:cs="Arial"/>
          <w:color w:val="000000"/>
          <w:lang w:eastAsia="bg-BG"/>
        </w:rPr>
        <w:t>сол)</w:t>
      </w:r>
      <w:r w:rsidR="006C4945">
        <w:rPr>
          <w:rFonts w:eastAsia="Times New Roman" w:cs="Arial"/>
          <w:sz w:val="24"/>
          <w:szCs w:val="24"/>
          <w:lang w:eastAsia="bg-BG"/>
        </w:rPr>
        <w:t xml:space="preserve"> </w:t>
      </w:r>
      <w:r w:rsidRPr="00F855C2">
        <w:rPr>
          <w:rFonts w:eastAsia="Times New Roman" w:cs="Arial"/>
          <w:color w:val="000000"/>
          <w:lang w:eastAsia="bg-BG"/>
        </w:rPr>
        <w:t>дневно, след което се увеличава на всеки 5-7 дни. Ако при пациента</w:t>
      </w:r>
      <w:r w:rsidRPr="00F855C2">
        <w:rPr>
          <w:rFonts w:eastAsia="Times New Roman" w:cs="Arial"/>
          <w:color w:val="000000"/>
          <w:lang w:val="en-US"/>
        </w:rPr>
        <w:t xml:space="preserve"> </w:t>
      </w:r>
      <w:r w:rsidRPr="00F855C2">
        <w:rPr>
          <w:rFonts w:eastAsia="Times New Roman" w:cs="Arial"/>
          <w:color w:val="000000"/>
          <w:lang w:eastAsia="bg-BG"/>
        </w:rPr>
        <w:t>не се установяват</w:t>
      </w:r>
      <w:r w:rsidR="006C4945">
        <w:rPr>
          <w:rFonts w:eastAsia="Times New Roman" w:cs="Arial"/>
          <w:sz w:val="24"/>
          <w:szCs w:val="24"/>
          <w:lang w:eastAsia="bg-BG"/>
        </w:rPr>
        <w:t xml:space="preserve"> </w:t>
      </w:r>
      <w:r w:rsidRPr="00F855C2">
        <w:rPr>
          <w:rFonts w:eastAsia="Times New Roman" w:cs="Arial"/>
          <w:color w:val="000000"/>
          <w:lang w:eastAsia="bg-BG"/>
        </w:rPr>
        <w:t>непоносими нежелани лекарствени реакции, дозата следва да се титририране до постигане на</w:t>
      </w:r>
      <w:r w:rsidR="006C4945">
        <w:rPr>
          <w:rFonts w:eastAsia="Times New Roman" w:cs="Arial"/>
          <w:sz w:val="24"/>
          <w:szCs w:val="24"/>
          <w:lang w:eastAsia="bg-BG"/>
        </w:rPr>
        <w:t xml:space="preserve"> </w:t>
      </w:r>
      <w:r w:rsidRPr="00F855C2">
        <w:rPr>
          <w:rFonts w:eastAsia="Times New Roman" w:cs="Arial"/>
          <w:color w:val="000000"/>
          <w:lang w:eastAsia="bg-BG"/>
        </w:rPr>
        <w:t>максимален терапевтичен ефект.</w:t>
      </w:r>
    </w:p>
    <w:p w14:paraId="5F22C69B" w14:textId="542A1AA6" w:rsidR="00F855C2" w:rsidRDefault="00F855C2" w:rsidP="00F855C2">
      <w:pPr>
        <w:rPr>
          <w:rFonts w:eastAsia="Times New Roman" w:cs="Arial"/>
          <w:color w:val="000000"/>
          <w:lang w:eastAsia="bg-BG"/>
        </w:rPr>
      </w:pPr>
    </w:p>
    <w:tbl>
      <w:tblPr>
        <w:tblStyle w:val="TableGrid"/>
        <w:tblW w:w="0" w:type="auto"/>
        <w:tblLook w:val="04A0" w:firstRow="1" w:lastRow="0" w:firstColumn="1" w:lastColumn="0" w:noHBand="0" w:noVBand="1"/>
      </w:tblPr>
      <w:tblGrid>
        <w:gridCol w:w="1872"/>
        <w:gridCol w:w="1876"/>
        <w:gridCol w:w="1863"/>
        <w:gridCol w:w="1876"/>
        <w:gridCol w:w="1863"/>
      </w:tblGrid>
      <w:tr w:rsidR="00F855C2" w14:paraId="107968A6" w14:textId="77777777" w:rsidTr="000676EC">
        <w:tc>
          <w:tcPr>
            <w:tcW w:w="9500" w:type="dxa"/>
            <w:gridSpan w:val="5"/>
          </w:tcPr>
          <w:p w14:paraId="22B18CF5" w14:textId="77777777" w:rsidR="00F855C2" w:rsidRDefault="00F855C2" w:rsidP="000676EC">
            <w:r>
              <w:t>Схема на дозиране на МЕДОПЕКСОЛ чрез повишаване на дозите</w:t>
            </w:r>
          </w:p>
        </w:tc>
      </w:tr>
      <w:tr w:rsidR="00F855C2" w14:paraId="2FCC20B1" w14:textId="77777777" w:rsidTr="000676EC">
        <w:tc>
          <w:tcPr>
            <w:tcW w:w="1900" w:type="dxa"/>
          </w:tcPr>
          <w:p w14:paraId="1CB07363" w14:textId="77777777" w:rsidR="00F855C2" w:rsidRDefault="00F855C2" w:rsidP="000676EC">
            <w:r>
              <w:t>Седмица</w:t>
            </w:r>
          </w:p>
        </w:tc>
        <w:tc>
          <w:tcPr>
            <w:tcW w:w="1900" w:type="dxa"/>
          </w:tcPr>
          <w:p w14:paraId="38475097" w14:textId="77777777" w:rsidR="00F855C2" w:rsidRDefault="00F855C2" w:rsidP="000676EC">
            <w:r>
              <w:t xml:space="preserve">Дозировка </w:t>
            </w:r>
            <w:r>
              <w:rPr>
                <w:lang w:val="en-US"/>
              </w:rPr>
              <w:t xml:space="preserve">(mg </w:t>
            </w:r>
            <w:r>
              <w:t>база)</w:t>
            </w:r>
          </w:p>
        </w:tc>
        <w:tc>
          <w:tcPr>
            <w:tcW w:w="1900" w:type="dxa"/>
          </w:tcPr>
          <w:p w14:paraId="22EB9077" w14:textId="77777777" w:rsidR="00F855C2" w:rsidRDefault="00F855C2" w:rsidP="000676EC">
            <w:r>
              <w:t xml:space="preserve">Обща дневна доза </w:t>
            </w:r>
            <w:r>
              <w:rPr>
                <w:lang w:val="en-US"/>
              </w:rPr>
              <w:t xml:space="preserve">(mg </w:t>
            </w:r>
            <w:r>
              <w:t>база)</w:t>
            </w:r>
          </w:p>
        </w:tc>
        <w:tc>
          <w:tcPr>
            <w:tcW w:w="1900" w:type="dxa"/>
          </w:tcPr>
          <w:p w14:paraId="4211F661" w14:textId="77777777" w:rsidR="00F855C2" w:rsidRDefault="00F855C2" w:rsidP="000676EC">
            <w:r>
              <w:t xml:space="preserve">Дозировка </w:t>
            </w:r>
            <w:r>
              <w:rPr>
                <w:lang w:val="en-US"/>
              </w:rPr>
              <w:t xml:space="preserve">(mg </w:t>
            </w:r>
            <w:r>
              <w:t>сол)</w:t>
            </w:r>
          </w:p>
        </w:tc>
        <w:tc>
          <w:tcPr>
            <w:tcW w:w="1900" w:type="dxa"/>
          </w:tcPr>
          <w:p w14:paraId="4625B636" w14:textId="77777777" w:rsidR="00F855C2" w:rsidRDefault="00F855C2" w:rsidP="000676EC">
            <w:r>
              <w:t xml:space="preserve">Обща дневна доза </w:t>
            </w:r>
            <w:r>
              <w:rPr>
                <w:lang w:val="en-US"/>
              </w:rPr>
              <w:t xml:space="preserve">(mg </w:t>
            </w:r>
            <w:r>
              <w:t>сол)</w:t>
            </w:r>
          </w:p>
        </w:tc>
      </w:tr>
      <w:tr w:rsidR="00F855C2" w14:paraId="7BBD3E31" w14:textId="77777777" w:rsidTr="000676EC">
        <w:tc>
          <w:tcPr>
            <w:tcW w:w="1900" w:type="dxa"/>
          </w:tcPr>
          <w:p w14:paraId="450EEF6E" w14:textId="77777777" w:rsidR="00F855C2" w:rsidRDefault="00F855C2" w:rsidP="000676EC">
            <w:r>
              <w:t>1</w:t>
            </w:r>
          </w:p>
        </w:tc>
        <w:tc>
          <w:tcPr>
            <w:tcW w:w="1900" w:type="dxa"/>
          </w:tcPr>
          <w:p w14:paraId="69043396" w14:textId="77777777" w:rsidR="00F855C2" w:rsidRDefault="00F855C2" w:rsidP="000676EC">
            <w:r>
              <w:rPr>
                <w:lang w:val="en-US"/>
              </w:rPr>
              <w:t>3</w:t>
            </w:r>
            <w:r>
              <w:t xml:space="preserve"> </w:t>
            </w:r>
            <w:r>
              <w:rPr>
                <w:lang w:val="en-US"/>
              </w:rPr>
              <w:t>x</w:t>
            </w:r>
            <w:r>
              <w:t xml:space="preserve"> </w:t>
            </w:r>
            <w:r>
              <w:rPr>
                <w:lang w:val="en-US"/>
              </w:rPr>
              <w:t>0,088</w:t>
            </w:r>
          </w:p>
        </w:tc>
        <w:tc>
          <w:tcPr>
            <w:tcW w:w="1900" w:type="dxa"/>
          </w:tcPr>
          <w:p w14:paraId="613BFF85" w14:textId="77777777" w:rsidR="00F855C2" w:rsidRDefault="00F855C2" w:rsidP="000676EC">
            <w:r>
              <w:t>0,264</w:t>
            </w:r>
          </w:p>
        </w:tc>
        <w:tc>
          <w:tcPr>
            <w:tcW w:w="1900" w:type="dxa"/>
          </w:tcPr>
          <w:p w14:paraId="55C67F16" w14:textId="77777777" w:rsidR="00F855C2" w:rsidRDefault="00F855C2" w:rsidP="000676EC">
            <w:r>
              <w:rPr>
                <w:lang w:val="en-US"/>
              </w:rPr>
              <w:t>3</w:t>
            </w:r>
            <w:r>
              <w:t xml:space="preserve"> </w:t>
            </w:r>
            <w:r>
              <w:rPr>
                <w:lang w:val="en-US"/>
              </w:rPr>
              <w:t>x</w:t>
            </w:r>
            <w:r>
              <w:t xml:space="preserve"> </w:t>
            </w:r>
            <w:r>
              <w:rPr>
                <w:lang w:val="en-US"/>
              </w:rPr>
              <w:t>0,125</w:t>
            </w:r>
          </w:p>
        </w:tc>
        <w:tc>
          <w:tcPr>
            <w:tcW w:w="1900" w:type="dxa"/>
          </w:tcPr>
          <w:p w14:paraId="3B064CCE" w14:textId="77777777" w:rsidR="00F855C2" w:rsidRDefault="00F855C2" w:rsidP="000676EC">
            <w:r>
              <w:t>0,375</w:t>
            </w:r>
          </w:p>
        </w:tc>
      </w:tr>
      <w:tr w:rsidR="00F855C2" w14:paraId="40EE5D8B" w14:textId="77777777" w:rsidTr="000676EC">
        <w:tc>
          <w:tcPr>
            <w:tcW w:w="1900" w:type="dxa"/>
          </w:tcPr>
          <w:p w14:paraId="2607E952" w14:textId="77777777" w:rsidR="00F855C2" w:rsidRDefault="00F855C2" w:rsidP="000676EC">
            <w:r>
              <w:t>2</w:t>
            </w:r>
          </w:p>
        </w:tc>
        <w:tc>
          <w:tcPr>
            <w:tcW w:w="1900" w:type="dxa"/>
          </w:tcPr>
          <w:p w14:paraId="188EAAA9" w14:textId="77777777" w:rsidR="00F855C2" w:rsidRDefault="00F855C2" w:rsidP="000676EC">
            <w:r>
              <w:rPr>
                <w:lang w:val="en-US"/>
              </w:rPr>
              <w:t>3</w:t>
            </w:r>
            <w:r>
              <w:t xml:space="preserve"> </w:t>
            </w:r>
            <w:r>
              <w:rPr>
                <w:lang w:val="en-US"/>
              </w:rPr>
              <w:t>x</w:t>
            </w:r>
            <w:r>
              <w:t xml:space="preserve"> </w:t>
            </w:r>
            <w:r>
              <w:rPr>
                <w:lang w:val="en-US"/>
              </w:rPr>
              <w:t>0,18</w:t>
            </w:r>
          </w:p>
        </w:tc>
        <w:tc>
          <w:tcPr>
            <w:tcW w:w="1900" w:type="dxa"/>
          </w:tcPr>
          <w:p w14:paraId="3435CDE4" w14:textId="77777777" w:rsidR="00F855C2" w:rsidRDefault="00F855C2" w:rsidP="000676EC">
            <w:r>
              <w:t>0,54</w:t>
            </w:r>
          </w:p>
        </w:tc>
        <w:tc>
          <w:tcPr>
            <w:tcW w:w="1900" w:type="dxa"/>
          </w:tcPr>
          <w:p w14:paraId="0F287C06" w14:textId="77777777" w:rsidR="00F855C2" w:rsidRDefault="00F855C2" w:rsidP="000676EC">
            <w:r>
              <w:rPr>
                <w:lang w:val="en-US"/>
              </w:rPr>
              <w:t>3</w:t>
            </w:r>
            <w:r>
              <w:t xml:space="preserve"> </w:t>
            </w:r>
            <w:r>
              <w:rPr>
                <w:lang w:val="en-US"/>
              </w:rPr>
              <w:t>x</w:t>
            </w:r>
            <w:r>
              <w:t xml:space="preserve"> </w:t>
            </w:r>
            <w:r>
              <w:rPr>
                <w:lang w:val="en-US"/>
              </w:rPr>
              <w:t>0,25</w:t>
            </w:r>
          </w:p>
        </w:tc>
        <w:tc>
          <w:tcPr>
            <w:tcW w:w="1900" w:type="dxa"/>
          </w:tcPr>
          <w:p w14:paraId="1F2A9DA4" w14:textId="77777777" w:rsidR="00F855C2" w:rsidRDefault="00F855C2" w:rsidP="000676EC">
            <w:r>
              <w:t>0,75</w:t>
            </w:r>
          </w:p>
        </w:tc>
      </w:tr>
      <w:tr w:rsidR="00F855C2" w14:paraId="6E01556A" w14:textId="77777777" w:rsidTr="000676EC">
        <w:tc>
          <w:tcPr>
            <w:tcW w:w="1900" w:type="dxa"/>
          </w:tcPr>
          <w:p w14:paraId="1387637B" w14:textId="77777777" w:rsidR="00F855C2" w:rsidRDefault="00F855C2" w:rsidP="000676EC">
            <w:r>
              <w:t>3</w:t>
            </w:r>
          </w:p>
        </w:tc>
        <w:tc>
          <w:tcPr>
            <w:tcW w:w="1900" w:type="dxa"/>
          </w:tcPr>
          <w:p w14:paraId="4C00322F" w14:textId="77777777" w:rsidR="00F855C2" w:rsidRDefault="00F855C2" w:rsidP="000676EC">
            <w:r>
              <w:t>3 х 0,35</w:t>
            </w:r>
          </w:p>
        </w:tc>
        <w:tc>
          <w:tcPr>
            <w:tcW w:w="1900" w:type="dxa"/>
          </w:tcPr>
          <w:p w14:paraId="3E92205F" w14:textId="77777777" w:rsidR="00F855C2" w:rsidRDefault="00F855C2" w:rsidP="000676EC">
            <w:r>
              <w:t>1,1</w:t>
            </w:r>
          </w:p>
        </w:tc>
        <w:tc>
          <w:tcPr>
            <w:tcW w:w="1900" w:type="dxa"/>
          </w:tcPr>
          <w:p w14:paraId="06F0BA8D" w14:textId="77777777" w:rsidR="00F855C2" w:rsidRDefault="00F855C2" w:rsidP="000676EC">
            <w:r>
              <w:rPr>
                <w:lang w:val="en-US"/>
              </w:rPr>
              <w:t>3</w:t>
            </w:r>
            <w:r>
              <w:t xml:space="preserve"> </w:t>
            </w:r>
            <w:r>
              <w:rPr>
                <w:lang w:val="en-US"/>
              </w:rPr>
              <w:t>x</w:t>
            </w:r>
            <w:r>
              <w:t xml:space="preserve"> </w:t>
            </w:r>
            <w:r>
              <w:rPr>
                <w:lang w:val="en-US"/>
              </w:rPr>
              <w:t>0,5</w:t>
            </w:r>
          </w:p>
        </w:tc>
        <w:tc>
          <w:tcPr>
            <w:tcW w:w="1900" w:type="dxa"/>
          </w:tcPr>
          <w:p w14:paraId="5C316520" w14:textId="77777777" w:rsidR="00F855C2" w:rsidRDefault="00F855C2" w:rsidP="000676EC">
            <w:r>
              <w:t>1,50</w:t>
            </w:r>
          </w:p>
        </w:tc>
      </w:tr>
    </w:tbl>
    <w:p w14:paraId="4436A6B7" w14:textId="77777777" w:rsidR="00F855C2" w:rsidRDefault="00F855C2" w:rsidP="00F855C2"/>
    <w:p w14:paraId="7FA680D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Ако се налага по-нататъшно увеличаване на дозата, дневната доза следва да се повишава с 0,54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(0,75 </w:t>
      </w:r>
      <w:r w:rsidRPr="00F855C2">
        <w:rPr>
          <w:rFonts w:eastAsia="Times New Roman" w:cs="Arial"/>
          <w:color w:val="000000"/>
          <w:lang w:val="en-US"/>
        </w:rPr>
        <w:t xml:space="preserve">mg </w:t>
      </w:r>
      <w:r w:rsidRPr="00F855C2">
        <w:rPr>
          <w:rFonts w:eastAsia="Times New Roman" w:cs="Arial"/>
          <w:color w:val="000000"/>
          <w:lang w:eastAsia="bg-BG"/>
        </w:rPr>
        <w:t xml:space="preserve">сол) на седмица до достигане на максимална дневна доза 3,3 </w:t>
      </w:r>
      <w:r w:rsidRPr="00F855C2">
        <w:rPr>
          <w:rFonts w:eastAsia="Times New Roman" w:cs="Arial"/>
          <w:color w:val="000000"/>
          <w:lang w:val="en-US"/>
        </w:rPr>
        <w:t xml:space="preserve">mg </w:t>
      </w:r>
      <w:r w:rsidRPr="00F855C2">
        <w:rPr>
          <w:rFonts w:eastAsia="Times New Roman" w:cs="Arial"/>
          <w:color w:val="000000"/>
          <w:lang w:eastAsia="bg-BG"/>
        </w:rPr>
        <w:t xml:space="preserve">база (4,5 </w:t>
      </w:r>
      <w:r w:rsidRPr="00F855C2">
        <w:rPr>
          <w:rFonts w:eastAsia="Times New Roman" w:cs="Arial"/>
          <w:color w:val="000000"/>
          <w:lang w:val="en-US"/>
        </w:rPr>
        <w:t xml:space="preserve">mg </w:t>
      </w:r>
      <w:r w:rsidRPr="00F855C2">
        <w:rPr>
          <w:rFonts w:eastAsia="Times New Roman" w:cs="Arial"/>
          <w:color w:val="000000"/>
          <w:lang w:eastAsia="bg-BG"/>
        </w:rPr>
        <w:t>сол).</w:t>
      </w:r>
    </w:p>
    <w:p w14:paraId="31A9811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Все пак трябва да се отбележи, че случаите на сънливост се увеличават при дози по-високи от 1,5 </w:t>
      </w:r>
      <w:r w:rsidRPr="00F855C2">
        <w:rPr>
          <w:rFonts w:eastAsia="Times New Roman" w:cs="Arial"/>
          <w:color w:val="000000"/>
          <w:lang w:val="en-US"/>
        </w:rPr>
        <w:t xml:space="preserve">mg </w:t>
      </w:r>
      <w:r w:rsidRPr="00F855C2">
        <w:rPr>
          <w:rFonts w:eastAsia="Times New Roman" w:cs="Arial"/>
          <w:color w:val="000000"/>
          <w:lang w:eastAsia="bg-BG"/>
        </w:rPr>
        <w:t>(сол) на ден (вижте точка 4.8).</w:t>
      </w:r>
    </w:p>
    <w:p w14:paraId="4EC9FFD5" w14:textId="77777777" w:rsidR="00F855C2" w:rsidRPr="00F855C2" w:rsidRDefault="00F855C2" w:rsidP="00F855C2">
      <w:pPr>
        <w:spacing w:line="240" w:lineRule="auto"/>
        <w:rPr>
          <w:rFonts w:eastAsia="Times New Roman" w:cs="Arial"/>
          <w:i/>
          <w:iCs/>
          <w:color w:val="000000"/>
          <w:u w:val="single"/>
          <w:lang w:eastAsia="bg-BG"/>
        </w:rPr>
      </w:pPr>
    </w:p>
    <w:p w14:paraId="36687C3A"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u w:val="single"/>
          <w:lang w:eastAsia="bg-BG"/>
        </w:rPr>
        <w:t>Поддържащо лечение</w:t>
      </w:r>
    </w:p>
    <w:p w14:paraId="61727B7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Индивидуалната доза прамипексол трябва да бъде в рамките на 0,264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(0,375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до максимална доза 3,3 </w:t>
      </w:r>
      <w:r w:rsidRPr="00F855C2">
        <w:rPr>
          <w:rFonts w:eastAsia="Times New Roman" w:cs="Arial"/>
          <w:color w:val="000000"/>
          <w:lang w:val="en-US"/>
        </w:rPr>
        <w:t xml:space="preserve">mg </w:t>
      </w:r>
      <w:r w:rsidRPr="00F855C2">
        <w:rPr>
          <w:rFonts w:eastAsia="Times New Roman" w:cs="Arial"/>
          <w:color w:val="000000"/>
          <w:lang w:eastAsia="bg-BG"/>
        </w:rPr>
        <w:t xml:space="preserve">база (4,5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дневно. По време на основни проучвания с повишаване на дозата началото на ефекта е наблюдавано при дневна доза 1,1 </w:t>
      </w:r>
      <w:r w:rsidRPr="00F855C2">
        <w:rPr>
          <w:rFonts w:eastAsia="Times New Roman" w:cs="Arial"/>
          <w:color w:val="000000"/>
          <w:lang w:val="en-US"/>
        </w:rPr>
        <w:t xml:space="preserve">mg </w:t>
      </w:r>
      <w:r w:rsidRPr="00F855C2">
        <w:rPr>
          <w:rFonts w:eastAsia="Times New Roman" w:cs="Arial"/>
          <w:color w:val="000000"/>
          <w:lang w:eastAsia="bg-BG"/>
        </w:rPr>
        <w:t xml:space="preserve">база (1,5 </w:t>
      </w:r>
      <w:r w:rsidRPr="00F855C2">
        <w:rPr>
          <w:rFonts w:eastAsia="Times New Roman" w:cs="Arial"/>
          <w:color w:val="000000"/>
          <w:lang w:val="en-US"/>
        </w:rPr>
        <w:t xml:space="preserve">mg </w:t>
      </w:r>
      <w:r w:rsidRPr="00F855C2">
        <w:rPr>
          <w:rFonts w:eastAsia="Times New Roman" w:cs="Arial"/>
          <w:color w:val="000000"/>
          <w:lang w:eastAsia="bg-BG"/>
        </w:rPr>
        <w:t xml:space="preserve">сол). По-нататък дозата следва да се адаптира в зависимост от клиничния отговор и появата на нежелани реакции. В клинични изпитвания около 5% от пациентите са получавали дози под 1,1 </w:t>
      </w:r>
      <w:r w:rsidRPr="00F855C2">
        <w:rPr>
          <w:rFonts w:eastAsia="Times New Roman" w:cs="Arial"/>
          <w:color w:val="000000"/>
          <w:lang w:val="en-US"/>
        </w:rPr>
        <w:t xml:space="preserve">mg </w:t>
      </w:r>
      <w:r w:rsidRPr="00F855C2">
        <w:rPr>
          <w:rFonts w:eastAsia="Times New Roman" w:cs="Arial"/>
          <w:color w:val="000000"/>
          <w:lang w:eastAsia="bg-BG"/>
        </w:rPr>
        <w:t xml:space="preserve">база (1,5 </w:t>
      </w:r>
      <w:r w:rsidRPr="00F855C2">
        <w:rPr>
          <w:rFonts w:eastAsia="Times New Roman" w:cs="Arial"/>
          <w:color w:val="000000"/>
          <w:lang w:val="en-US"/>
        </w:rPr>
        <w:t xml:space="preserve">mg </w:t>
      </w:r>
      <w:r w:rsidRPr="00F855C2">
        <w:rPr>
          <w:rFonts w:eastAsia="Times New Roman" w:cs="Arial"/>
          <w:color w:val="000000"/>
          <w:lang w:eastAsia="bg-BG"/>
        </w:rPr>
        <w:t xml:space="preserve">сол). При напреднала болест на Паркинсон дози прамипексол по-високи от 1,1 </w:t>
      </w:r>
      <w:r w:rsidRPr="00F855C2">
        <w:rPr>
          <w:rFonts w:eastAsia="Times New Roman" w:cs="Arial"/>
          <w:color w:val="000000"/>
          <w:lang w:val="en-US"/>
        </w:rPr>
        <w:t xml:space="preserve">mg </w:t>
      </w:r>
      <w:r w:rsidRPr="00F855C2">
        <w:rPr>
          <w:rFonts w:eastAsia="Times New Roman" w:cs="Arial"/>
          <w:color w:val="000000"/>
          <w:lang w:eastAsia="bg-BG"/>
        </w:rPr>
        <w:t xml:space="preserve">база (1,5 </w:t>
      </w:r>
      <w:r w:rsidRPr="00F855C2">
        <w:rPr>
          <w:rFonts w:eastAsia="Times New Roman" w:cs="Arial"/>
          <w:color w:val="000000"/>
          <w:lang w:val="en-US"/>
        </w:rPr>
        <w:t xml:space="preserve">mg </w:t>
      </w:r>
      <w:r w:rsidRPr="00F855C2">
        <w:rPr>
          <w:rFonts w:eastAsia="Times New Roman" w:cs="Arial"/>
          <w:color w:val="000000"/>
          <w:lang w:eastAsia="bg-BG"/>
        </w:rPr>
        <w:t>сол) на ден може да са подходящи за болни, при които ще бъде намалявана дозата на леводопа. Препоръчва се дозировката на леводопа да се понижава както по време на повишаване на дозата, така и по време на поддържащото лечение с МЕДОПЕКСОЛ, в зависимост от реакциите на отделните пациенти (вижте точка 4.5).</w:t>
      </w:r>
    </w:p>
    <w:p w14:paraId="7FF829A5" w14:textId="77777777" w:rsidR="00F855C2" w:rsidRPr="00F855C2" w:rsidRDefault="00F855C2" w:rsidP="00F855C2">
      <w:pPr>
        <w:spacing w:line="240" w:lineRule="auto"/>
        <w:rPr>
          <w:rFonts w:eastAsia="Times New Roman" w:cs="Arial"/>
          <w:i/>
          <w:iCs/>
          <w:color w:val="000000"/>
          <w:u w:val="single"/>
          <w:lang w:eastAsia="bg-BG"/>
        </w:rPr>
      </w:pPr>
    </w:p>
    <w:p w14:paraId="6E62AAD4"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u w:val="single"/>
          <w:lang w:eastAsia="bg-BG"/>
        </w:rPr>
        <w:t>Прекратяване на лечението</w:t>
      </w:r>
    </w:p>
    <w:p w14:paraId="5A408C03"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Внезапното прекратяване на допаминергичното лечение може да доведе до развитието на невролептичен малигнен синдром или синдром на отнемане на допаминов агонист. Прамипексол трябва да бъде намаляван постепенно с 0,54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(0,75 </w:t>
      </w:r>
      <w:r w:rsidRPr="00F855C2">
        <w:rPr>
          <w:rFonts w:eastAsia="Times New Roman" w:cs="Arial"/>
          <w:color w:val="000000"/>
          <w:lang w:val="en-US"/>
        </w:rPr>
        <w:t xml:space="preserve">mg </w:t>
      </w:r>
      <w:r w:rsidRPr="00F855C2">
        <w:rPr>
          <w:rFonts w:eastAsia="Times New Roman" w:cs="Arial"/>
          <w:color w:val="000000"/>
          <w:lang w:eastAsia="bg-BG"/>
        </w:rPr>
        <w:t xml:space="preserve">сол) на ден, докато дневната доза се редуцира до 0,54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(0,75 </w:t>
      </w:r>
      <w:r w:rsidRPr="00F855C2">
        <w:rPr>
          <w:rFonts w:eastAsia="Times New Roman" w:cs="Arial"/>
          <w:color w:val="000000"/>
          <w:lang w:val="en-US"/>
        </w:rPr>
        <w:t xml:space="preserve">mg </w:t>
      </w:r>
      <w:r w:rsidRPr="00F855C2">
        <w:rPr>
          <w:rFonts w:eastAsia="Times New Roman" w:cs="Arial"/>
          <w:color w:val="000000"/>
          <w:lang w:eastAsia="bg-BG"/>
        </w:rPr>
        <w:t xml:space="preserve">сол). След това дозата се понижава с по 0,264 </w:t>
      </w:r>
      <w:r w:rsidRPr="00F855C2">
        <w:rPr>
          <w:rFonts w:eastAsia="Times New Roman" w:cs="Arial"/>
          <w:color w:val="000000"/>
          <w:lang w:val="en-US"/>
        </w:rPr>
        <w:t xml:space="preserve">mg </w:t>
      </w:r>
      <w:r w:rsidRPr="00F855C2">
        <w:rPr>
          <w:rFonts w:eastAsia="Times New Roman" w:cs="Arial"/>
          <w:color w:val="000000"/>
          <w:lang w:eastAsia="bg-BG"/>
        </w:rPr>
        <w:t xml:space="preserve">база (0,375 </w:t>
      </w:r>
      <w:r w:rsidRPr="00F855C2">
        <w:rPr>
          <w:rFonts w:eastAsia="Times New Roman" w:cs="Arial"/>
          <w:color w:val="000000"/>
          <w:lang w:val="en-US"/>
        </w:rPr>
        <w:t xml:space="preserve">mg </w:t>
      </w:r>
      <w:r w:rsidRPr="00F855C2">
        <w:rPr>
          <w:rFonts w:eastAsia="Times New Roman" w:cs="Arial"/>
          <w:color w:val="000000"/>
          <w:lang w:eastAsia="bg-BG"/>
        </w:rPr>
        <w:t>сол) на ден (вижте точка 4.4).</w:t>
      </w:r>
    </w:p>
    <w:p w14:paraId="794838CF"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lastRenderedPageBreak/>
        <w:t>Синдром на отнемане на допаминов агонист може да се появи и по време на постепенното намаляване на дозата и може да е необходимо временно увеличаване на дозата преди постепенното намаляване да се възобнови (вижте точка 4.4).</w:t>
      </w:r>
    </w:p>
    <w:p w14:paraId="62B868B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Пациенти с бъбречни увреждания</w:t>
      </w:r>
    </w:p>
    <w:p w14:paraId="579616B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Елиминирането на прамипексол зависи от бъбречната функция. За започване на лечението се препоръчва следната схема на дозиране:</w:t>
      </w:r>
    </w:p>
    <w:p w14:paraId="33F222FA"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При пациенти с креатининов клирънс над 50 </w:t>
      </w:r>
      <w:r w:rsidRPr="00F855C2">
        <w:rPr>
          <w:rFonts w:eastAsia="Times New Roman" w:cs="Arial"/>
          <w:color w:val="000000"/>
          <w:lang w:val="en-US"/>
        </w:rPr>
        <w:t xml:space="preserve">ml/min </w:t>
      </w:r>
      <w:r w:rsidRPr="00F855C2">
        <w:rPr>
          <w:rFonts w:eastAsia="Times New Roman" w:cs="Arial"/>
          <w:color w:val="000000"/>
          <w:lang w:eastAsia="bg-BG"/>
        </w:rPr>
        <w:t>не е необходимо намаляване на дневната доза или на честотата на прилагане.</w:t>
      </w:r>
    </w:p>
    <w:p w14:paraId="6B34A902" w14:textId="77777777" w:rsidR="00F855C2" w:rsidRPr="00F855C2" w:rsidRDefault="00F855C2" w:rsidP="00F855C2">
      <w:pPr>
        <w:spacing w:line="240" w:lineRule="auto"/>
        <w:rPr>
          <w:rFonts w:eastAsia="Times New Roman" w:cs="Arial"/>
          <w:color w:val="000000"/>
          <w:lang w:eastAsia="bg-BG"/>
        </w:rPr>
      </w:pPr>
    </w:p>
    <w:p w14:paraId="5E44A9E9"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При пациенти с креатининов клирънс между 20 и 50 </w:t>
      </w:r>
      <w:r w:rsidRPr="00F855C2">
        <w:rPr>
          <w:rFonts w:eastAsia="Times New Roman" w:cs="Arial"/>
          <w:color w:val="000000"/>
          <w:lang w:val="en-US"/>
        </w:rPr>
        <w:t xml:space="preserve">ml/min, </w:t>
      </w:r>
      <w:r w:rsidRPr="00F855C2">
        <w:rPr>
          <w:rFonts w:eastAsia="Times New Roman" w:cs="Arial"/>
          <w:color w:val="000000"/>
          <w:lang w:eastAsia="bg-BG"/>
        </w:rPr>
        <w:t xml:space="preserve">началната дневна доза МЕДОПЕКСОЛ трябва да се разпредели в два отделни приема, като се започне с 0,088 </w:t>
      </w:r>
      <w:r w:rsidRPr="00F855C2">
        <w:rPr>
          <w:rFonts w:eastAsia="Times New Roman" w:cs="Arial"/>
          <w:color w:val="000000"/>
          <w:lang w:val="en-US"/>
        </w:rPr>
        <w:t xml:space="preserve">mg </w:t>
      </w:r>
      <w:r w:rsidRPr="00F855C2">
        <w:rPr>
          <w:rFonts w:eastAsia="Times New Roman" w:cs="Arial"/>
          <w:color w:val="000000"/>
          <w:lang w:eastAsia="bg-BG"/>
        </w:rPr>
        <w:t xml:space="preserve">база (0,125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два пъти дневно (0,176 </w:t>
      </w:r>
      <w:r w:rsidRPr="00F855C2">
        <w:rPr>
          <w:rFonts w:eastAsia="Times New Roman" w:cs="Arial"/>
          <w:color w:val="000000"/>
          <w:lang w:val="en-US"/>
        </w:rPr>
        <w:t xml:space="preserve">mg </w:t>
      </w:r>
      <w:r w:rsidRPr="00F855C2">
        <w:rPr>
          <w:rFonts w:eastAsia="Times New Roman" w:cs="Arial"/>
          <w:color w:val="000000"/>
          <w:lang w:eastAsia="bg-BG"/>
        </w:rPr>
        <w:t xml:space="preserve">база/0,25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дневно). Не трябва да се надвишава максимална дневна доза от 1,57 </w:t>
      </w:r>
      <w:r w:rsidRPr="00F855C2">
        <w:rPr>
          <w:rFonts w:eastAsia="Times New Roman" w:cs="Arial"/>
          <w:color w:val="000000"/>
          <w:lang w:val="en-US"/>
        </w:rPr>
        <w:t xml:space="preserve">mg </w:t>
      </w:r>
      <w:r w:rsidRPr="00F855C2">
        <w:rPr>
          <w:rFonts w:eastAsia="Times New Roman" w:cs="Arial"/>
          <w:color w:val="000000"/>
          <w:lang w:eastAsia="bg-BG"/>
        </w:rPr>
        <w:t xml:space="preserve">прамипексол база (2,25 </w:t>
      </w:r>
      <w:r w:rsidRPr="00F855C2">
        <w:rPr>
          <w:rFonts w:eastAsia="Times New Roman" w:cs="Arial"/>
          <w:color w:val="000000"/>
          <w:lang w:val="en-US"/>
        </w:rPr>
        <w:t xml:space="preserve">mg </w:t>
      </w:r>
      <w:r w:rsidRPr="00F855C2">
        <w:rPr>
          <w:rFonts w:eastAsia="Times New Roman" w:cs="Arial"/>
          <w:color w:val="000000"/>
          <w:lang w:eastAsia="bg-BG"/>
        </w:rPr>
        <w:t>сол).</w:t>
      </w:r>
    </w:p>
    <w:p w14:paraId="0B3736F9" w14:textId="77777777" w:rsidR="00F855C2" w:rsidRPr="00F855C2" w:rsidRDefault="00F855C2" w:rsidP="00F855C2">
      <w:pPr>
        <w:spacing w:line="240" w:lineRule="auto"/>
        <w:rPr>
          <w:rFonts w:eastAsia="Times New Roman" w:cs="Arial"/>
          <w:color w:val="000000"/>
          <w:lang w:eastAsia="bg-BG"/>
        </w:rPr>
      </w:pPr>
    </w:p>
    <w:p w14:paraId="6044B470"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При пациенти с креатининов клирънс под 20 </w:t>
      </w:r>
      <w:r w:rsidRPr="00F855C2">
        <w:rPr>
          <w:rFonts w:eastAsia="Times New Roman" w:cs="Arial"/>
          <w:color w:val="000000"/>
          <w:lang w:val="en-US"/>
        </w:rPr>
        <w:t xml:space="preserve">ml/min </w:t>
      </w:r>
      <w:r w:rsidRPr="00F855C2">
        <w:rPr>
          <w:rFonts w:eastAsia="Times New Roman" w:cs="Arial"/>
          <w:color w:val="000000"/>
          <w:lang w:eastAsia="bg-BG"/>
        </w:rPr>
        <w:t xml:space="preserve">дневната доза на МЕДОПЕКСОЛ се прилага веднъж дневно, с начална доза от 0,088 </w:t>
      </w:r>
      <w:r w:rsidRPr="00F855C2">
        <w:rPr>
          <w:rFonts w:eastAsia="Times New Roman" w:cs="Arial"/>
          <w:color w:val="000000"/>
          <w:lang w:val="en-US"/>
        </w:rPr>
        <w:t xml:space="preserve">mg </w:t>
      </w:r>
      <w:r w:rsidRPr="00F855C2">
        <w:rPr>
          <w:rFonts w:eastAsia="Times New Roman" w:cs="Arial"/>
          <w:color w:val="000000"/>
          <w:lang w:eastAsia="bg-BG"/>
        </w:rPr>
        <w:t xml:space="preserve">база (0,125 </w:t>
      </w:r>
      <w:r w:rsidRPr="00F855C2">
        <w:rPr>
          <w:rFonts w:eastAsia="Times New Roman" w:cs="Arial"/>
          <w:color w:val="000000"/>
          <w:lang w:val="en-US"/>
        </w:rPr>
        <w:t xml:space="preserve">mg </w:t>
      </w:r>
      <w:r w:rsidRPr="00F855C2">
        <w:rPr>
          <w:rFonts w:eastAsia="Times New Roman" w:cs="Arial"/>
          <w:color w:val="000000"/>
          <w:lang w:eastAsia="bg-BG"/>
        </w:rPr>
        <w:t xml:space="preserve">сол) дневно. Не трябва да се надвишава максимална дневна доза от 1,1 </w:t>
      </w:r>
      <w:r w:rsidRPr="00F855C2">
        <w:rPr>
          <w:rFonts w:eastAsia="Times New Roman" w:cs="Arial"/>
          <w:color w:val="000000"/>
          <w:lang w:val="en-US"/>
        </w:rPr>
        <w:t xml:space="preserve">mg </w:t>
      </w:r>
      <w:r w:rsidRPr="00F855C2">
        <w:rPr>
          <w:rFonts w:eastAsia="Times New Roman" w:cs="Arial"/>
          <w:color w:val="000000"/>
          <w:lang w:eastAsia="bg-BG"/>
        </w:rPr>
        <w:t xml:space="preserve">прамипексол база (1,5 </w:t>
      </w:r>
      <w:r w:rsidRPr="00F855C2">
        <w:rPr>
          <w:rFonts w:eastAsia="Times New Roman" w:cs="Arial"/>
          <w:color w:val="000000"/>
          <w:lang w:val="en-US"/>
        </w:rPr>
        <w:t xml:space="preserve">mg </w:t>
      </w:r>
      <w:r w:rsidRPr="00F855C2">
        <w:rPr>
          <w:rFonts w:eastAsia="Times New Roman" w:cs="Arial"/>
          <w:color w:val="000000"/>
          <w:lang w:eastAsia="bg-BG"/>
        </w:rPr>
        <w:t>сол).</w:t>
      </w:r>
    </w:p>
    <w:p w14:paraId="46CB1F8D" w14:textId="77777777" w:rsidR="00F855C2" w:rsidRPr="00F855C2" w:rsidRDefault="00F855C2" w:rsidP="00F855C2">
      <w:pPr>
        <w:spacing w:line="240" w:lineRule="auto"/>
        <w:rPr>
          <w:rFonts w:eastAsia="Times New Roman" w:cs="Arial"/>
          <w:color w:val="000000"/>
          <w:lang w:eastAsia="bg-BG"/>
        </w:rPr>
      </w:pPr>
    </w:p>
    <w:p w14:paraId="79864F84" w14:textId="77777777" w:rsidR="00F855C2" w:rsidRPr="00F855C2" w:rsidRDefault="00F855C2" w:rsidP="00F855C2">
      <w:pPr>
        <w:rPr>
          <w:rFonts w:eastAsia="Times New Roman" w:cs="Arial"/>
          <w:sz w:val="24"/>
          <w:szCs w:val="24"/>
          <w:lang w:eastAsia="bg-BG"/>
        </w:rPr>
      </w:pPr>
      <w:r w:rsidRPr="00F855C2">
        <w:rPr>
          <w:rFonts w:eastAsia="Times New Roman" w:cs="Arial"/>
          <w:color w:val="000000"/>
          <w:lang w:eastAsia="bg-BG"/>
        </w:rPr>
        <w:t>Ако бъбречната функция намалява по време на поддържащото лечение, дневната доза на</w:t>
      </w:r>
      <w:r>
        <w:rPr>
          <w:rFonts w:eastAsia="Times New Roman" w:cs="Arial"/>
          <w:sz w:val="24"/>
          <w:szCs w:val="24"/>
          <w:lang w:eastAsia="bg-BG"/>
        </w:rPr>
        <w:t xml:space="preserve"> </w:t>
      </w:r>
      <w:r w:rsidRPr="00F855C2">
        <w:rPr>
          <w:rFonts w:eastAsia="Times New Roman" w:cs="Arial"/>
          <w:color w:val="000000"/>
          <w:lang w:eastAsia="bg-BG"/>
        </w:rPr>
        <w:t>МЕДОПЕКСОЛ трябва да бъде понижена с толкова процента, с колкото се е понижил креатининовият клирънс, т.е. при спадане на креатининовия клирънс с 30%,</w:t>
      </w:r>
      <w:r w:rsidRPr="00F855C2">
        <w:rPr>
          <w:rFonts w:eastAsia="Times New Roman" w:cs="Arial"/>
          <w:color w:val="000000"/>
          <w:lang w:val="en-US"/>
        </w:rPr>
        <w:t xml:space="preserve"> </w:t>
      </w:r>
      <w:r w:rsidRPr="00F855C2">
        <w:rPr>
          <w:rFonts w:eastAsia="Times New Roman" w:cs="Arial"/>
          <w:color w:val="000000"/>
          <w:lang w:eastAsia="bg-BG"/>
        </w:rPr>
        <w:t>дневната доза</w:t>
      </w:r>
      <w:r>
        <w:rPr>
          <w:rFonts w:eastAsia="Times New Roman" w:cs="Arial"/>
          <w:sz w:val="24"/>
          <w:szCs w:val="24"/>
          <w:lang w:eastAsia="bg-BG"/>
        </w:rPr>
        <w:t xml:space="preserve"> </w:t>
      </w:r>
      <w:r w:rsidRPr="00F855C2">
        <w:rPr>
          <w:rFonts w:eastAsia="Times New Roman" w:cs="Arial"/>
          <w:color w:val="000000"/>
          <w:lang w:eastAsia="bg-BG"/>
        </w:rPr>
        <w:t>МЕДОПЕКСОЛ трябва да бъде понижена с 30%. Дневната доза може да се раздели на два</w:t>
      </w:r>
      <w:r>
        <w:rPr>
          <w:rFonts w:eastAsia="Times New Roman" w:cs="Arial"/>
          <w:color w:val="000000"/>
          <w:lang w:eastAsia="bg-BG"/>
        </w:rPr>
        <w:t xml:space="preserve"> </w:t>
      </w:r>
      <w:r w:rsidRPr="00F855C2">
        <w:rPr>
          <w:rFonts w:eastAsia="Times New Roman" w:cs="Arial"/>
          <w:color w:val="000000"/>
          <w:lang w:eastAsia="bg-BG"/>
        </w:rPr>
        <w:t xml:space="preserve">отделни приема при креатининов клирънс между 20 и 50 </w:t>
      </w:r>
      <w:r w:rsidRPr="00F855C2">
        <w:rPr>
          <w:rFonts w:eastAsia="Times New Roman" w:cs="Arial"/>
          <w:color w:val="000000"/>
          <w:lang w:val="en-US"/>
        </w:rPr>
        <w:t xml:space="preserve">ml/min </w:t>
      </w:r>
      <w:r w:rsidRPr="00F855C2">
        <w:rPr>
          <w:rFonts w:eastAsia="Times New Roman" w:cs="Arial"/>
          <w:color w:val="000000"/>
          <w:lang w:eastAsia="bg-BG"/>
        </w:rPr>
        <w:t xml:space="preserve">и да се приема еднократно при креатининов клирънс под 20 </w:t>
      </w:r>
      <w:r w:rsidRPr="00F855C2">
        <w:rPr>
          <w:rFonts w:eastAsia="Times New Roman" w:cs="Arial"/>
          <w:color w:val="000000"/>
          <w:lang w:val="en-US"/>
        </w:rPr>
        <w:t>ml/min.</w:t>
      </w:r>
    </w:p>
    <w:p w14:paraId="30A57F5A" w14:textId="77777777" w:rsidR="00F855C2" w:rsidRPr="00F855C2" w:rsidRDefault="00F855C2" w:rsidP="00F855C2">
      <w:pPr>
        <w:spacing w:line="240" w:lineRule="auto"/>
        <w:rPr>
          <w:rFonts w:eastAsia="Times New Roman" w:cs="Arial"/>
          <w:i/>
          <w:iCs/>
          <w:color w:val="000000"/>
          <w:lang w:eastAsia="bg-BG"/>
        </w:rPr>
      </w:pPr>
    </w:p>
    <w:p w14:paraId="58137809"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Пациенти с чернодробни увреждания</w:t>
      </w:r>
    </w:p>
    <w:p w14:paraId="7DF0D10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Вероятно не е необходимо адаптиране на дозата при пациенти с чернодробна недостатъчност, тъй като приблизително 90% от абсорбираното активно вещество се екскретира през бъбреците. Потенциалното влияние на чернодробната недостатъчност върху фармакокинетиката на прамипексол обаче не е проучено.</w:t>
      </w:r>
    </w:p>
    <w:p w14:paraId="1A8FD8A1" w14:textId="77777777" w:rsidR="00F855C2" w:rsidRPr="00F855C2" w:rsidRDefault="00F855C2" w:rsidP="00F855C2">
      <w:pPr>
        <w:spacing w:line="240" w:lineRule="auto"/>
        <w:rPr>
          <w:rFonts w:eastAsia="Times New Roman" w:cs="Arial"/>
          <w:i/>
          <w:iCs/>
          <w:color w:val="000000"/>
          <w:lang w:eastAsia="bg-BG"/>
        </w:rPr>
      </w:pPr>
    </w:p>
    <w:p w14:paraId="1B765F4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Педиатрична популация</w:t>
      </w:r>
    </w:p>
    <w:p w14:paraId="2732B30A"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Безопасността и ефикасността на МЕДОПЕКСОЛ при деца под 18 години не са установени. Употребата на МЕДОПЕКСОЛ при болест на Паркинсон няма практическо приложение в педиатричната популация.</w:t>
      </w:r>
    </w:p>
    <w:p w14:paraId="5F0B4499" w14:textId="77777777" w:rsidR="00F855C2" w:rsidRPr="00F855C2" w:rsidRDefault="00F855C2" w:rsidP="00F855C2">
      <w:pPr>
        <w:spacing w:line="240" w:lineRule="auto"/>
        <w:rPr>
          <w:rFonts w:eastAsia="Times New Roman" w:cs="Arial"/>
          <w:b/>
          <w:bCs/>
          <w:color w:val="000000"/>
          <w:lang w:eastAsia="bg-BG"/>
        </w:rPr>
      </w:pPr>
    </w:p>
    <w:p w14:paraId="4E5383BD"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b/>
          <w:bCs/>
          <w:color w:val="000000"/>
          <w:lang w:eastAsia="bg-BG"/>
        </w:rPr>
        <w:t>Синдром на Торет</w:t>
      </w:r>
    </w:p>
    <w:p w14:paraId="74F1C18C" w14:textId="77777777" w:rsidR="00F855C2" w:rsidRPr="00F855C2" w:rsidRDefault="00F855C2" w:rsidP="00F855C2">
      <w:pPr>
        <w:spacing w:line="240" w:lineRule="auto"/>
        <w:rPr>
          <w:rFonts w:eastAsia="Times New Roman" w:cs="Arial"/>
          <w:i/>
          <w:iCs/>
          <w:color w:val="000000"/>
          <w:lang w:eastAsia="bg-BG"/>
        </w:rPr>
      </w:pPr>
    </w:p>
    <w:p w14:paraId="799B1A88"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i/>
          <w:iCs/>
          <w:color w:val="000000"/>
          <w:lang w:eastAsia="bg-BG"/>
        </w:rPr>
        <w:t>Педиатрична популация</w:t>
      </w:r>
    </w:p>
    <w:p w14:paraId="4E55CB3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МЕДОПЕКСОЛ не се препоръчва за употреба при деца и юноши под 18 години, той като ефикасността и безопасността при тази популация </w:t>
      </w:r>
      <w:r w:rsidRPr="00F855C2">
        <w:rPr>
          <w:rFonts w:eastAsia="Times New Roman" w:cs="Arial"/>
          <w:i/>
          <w:iCs/>
          <w:color w:val="000000"/>
          <w:lang w:eastAsia="bg-BG"/>
        </w:rPr>
        <w:t>не</w:t>
      </w:r>
      <w:r w:rsidRPr="00F855C2">
        <w:rPr>
          <w:rFonts w:eastAsia="Times New Roman" w:cs="Arial"/>
          <w:color w:val="000000"/>
          <w:lang w:eastAsia="bg-BG"/>
        </w:rPr>
        <w:t xml:space="preserve"> са установени. МЕДОПЕКСОЛ не трябва да бъде прилаган на деца или юноши за Синдром на Торет, поради отрицателното съотношение полза/ риск при това заболяване (вижте точка 5.1).</w:t>
      </w:r>
    </w:p>
    <w:p w14:paraId="4C61E7E7" w14:textId="77777777" w:rsidR="00F855C2" w:rsidRPr="00F855C2" w:rsidRDefault="00F855C2" w:rsidP="00F855C2">
      <w:pPr>
        <w:spacing w:line="240" w:lineRule="auto"/>
        <w:rPr>
          <w:rFonts w:eastAsia="Times New Roman" w:cs="Arial"/>
          <w:color w:val="000000"/>
          <w:u w:val="single"/>
          <w:lang w:eastAsia="bg-BG"/>
        </w:rPr>
      </w:pPr>
    </w:p>
    <w:p w14:paraId="630A6A79" w14:textId="77777777" w:rsidR="00F855C2" w:rsidRPr="00831B9A" w:rsidRDefault="00F855C2" w:rsidP="00831B9A">
      <w:pPr>
        <w:pStyle w:val="Heading3"/>
        <w:rPr>
          <w:rFonts w:eastAsia="Times New Roman"/>
          <w:u w:val="single"/>
          <w:lang w:eastAsia="bg-BG"/>
        </w:rPr>
      </w:pPr>
      <w:r w:rsidRPr="00831B9A">
        <w:rPr>
          <w:rFonts w:eastAsia="Times New Roman"/>
          <w:u w:val="single"/>
          <w:lang w:eastAsia="bg-BG"/>
        </w:rPr>
        <w:t>Начин на приложение</w:t>
      </w:r>
    </w:p>
    <w:p w14:paraId="6ACAF645" w14:textId="3180C5F9" w:rsidR="0091385D"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Таблетките се приемат през устата, като се гълтат с течност и могат да се приемат какго с храна, така и без храна.</w:t>
      </w:r>
    </w:p>
    <w:p w14:paraId="34379D1A" w14:textId="77777777" w:rsidR="00F855C2" w:rsidRPr="00F855C2" w:rsidRDefault="00F855C2" w:rsidP="00F855C2">
      <w:pPr>
        <w:spacing w:line="240" w:lineRule="auto"/>
        <w:rPr>
          <w:rFonts w:eastAsia="Times New Roman" w:cs="Arial"/>
          <w:sz w:val="24"/>
          <w:szCs w:val="24"/>
          <w:lang w:eastAsia="bg-BG"/>
        </w:rPr>
      </w:pPr>
    </w:p>
    <w:p w14:paraId="28C984E8" w14:textId="0756AE28" w:rsidR="008134C8" w:rsidRDefault="002C50EE" w:rsidP="004A448E">
      <w:pPr>
        <w:pStyle w:val="Heading2"/>
      </w:pPr>
      <w:r>
        <w:lastRenderedPageBreak/>
        <w:t>4.3. Противопоказания</w:t>
      </w:r>
    </w:p>
    <w:p w14:paraId="2363D607" w14:textId="48168570" w:rsidR="0091385D" w:rsidRDefault="0091385D" w:rsidP="0091385D"/>
    <w:p w14:paraId="31B39DC6" w14:textId="70BF4A43" w:rsidR="0091385D" w:rsidRPr="00F855C2" w:rsidRDefault="00F855C2" w:rsidP="0091385D">
      <w:pPr>
        <w:rPr>
          <w:rFonts w:cs="Arial"/>
        </w:rPr>
      </w:pPr>
      <w:r w:rsidRPr="00F855C2">
        <w:rPr>
          <w:rFonts w:cs="Arial"/>
        </w:rPr>
        <w:t>Свръхчувствителност към активното вещество или към някое от помощните вещества, изброени в точка 6.1.</w:t>
      </w:r>
    </w:p>
    <w:p w14:paraId="1BB9059C" w14:textId="77777777" w:rsidR="00F855C2" w:rsidRPr="0091385D" w:rsidRDefault="00F855C2"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7941C214"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Когато се предписва МЕДОПЕКСОЛ на пациенти с бъбречно увреждане за лечение на болест на Паркинсон се препоръчва понижаване на дозата като се следват указанията в точка 4.2.</w:t>
      </w:r>
    </w:p>
    <w:p w14:paraId="485FD787" w14:textId="77777777" w:rsidR="00F855C2" w:rsidRPr="00F855C2" w:rsidRDefault="00F855C2" w:rsidP="00F855C2">
      <w:pPr>
        <w:spacing w:line="240" w:lineRule="auto"/>
        <w:rPr>
          <w:rFonts w:eastAsia="Times New Roman" w:cs="Arial"/>
          <w:color w:val="000000"/>
          <w:u w:val="single"/>
          <w:lang w:eastAsia="bg-BG"/>
        </w:rPr>
      </w:pPr>
    </w:p>
    <w:p w14:paraId="6ABF812F" w14:textId="260FD4B4"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Халюцинации</w:t>
      </w:r>
    </w:p>
    <w:p w14:paraId="4FCBD518" w14:textId="6D8F2057" w:rsidR="00F855C2" w:rsidRPr="00F855C2" w:rsidRDefault="00F855C2" w:rsidP="00F855C2">
      <w:pPr>
        <w:spacing w:line="240" w:lineRule="auto"/>
        <w:rPr>
          <w:rFonts w:eastAsia="Times New Roman" w:cs="Arial"/>
          <w:color w:val="000000"/>
          <w:lang w:eastAsia="bg-BG"/>
        </w:rPr>
      </w:pPr>
      <w:r w:rsidRPr="00F855C2">
        <w:rPr>
          <w:rFonts w:eastAsia="Times New Roman" w:cs="Arial"/>
          <w:color w:val="000000"/>
          <w:lang w:eastAsia="bg-BG"/>
        </w:rPr>
        <w:t>Известно е, че при лечение с допаминови агонисти и леводопа като нежелани реакции биха могли да се появят халюцинации. Пациентите трябва да бъдат предупредени за възможността от поява на халюцинации (предимно зрителни).</w:t>
      </w:r>
    </w:p>
    <w:p w14:paraId="5E08FDC6" w14:textId="77777777" w:rsidR="00F855C2" w:rsidRPr="00F855C2" w:rsidRDefault="00F855C2" w:rsidP="00F855C2">
      <w:pPr>
        <w:spacing w:line="240" w:lineRule="auto"/>
        <w:rPr>
          <w:rFonts w:eastAsia="Times New Roman" w:cs="Arial"/>
          <w:color w:val="000000"/>
          <w:u w:val="single"/>
          <w:lang w:eastAsia="bg-BG"/>
        </w:rPr>
      </w:pPr>
    </w:p>
    <w:p w14:paraId="59BADE92" w14:textId="26D89641"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Дискинезия</w:t>
      </w:r>
    </w:p>
    <w:p w14:paraId="70F9739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При напреднала болест на Паркинсон при комбинирано лечение с леводопа е възможна появата на дискинезия по време на първоначалното титриране на дозата МЕДОПЕКСОЛ. При появата им трябва да се намали дозата на леводопа.</w:t>
      </w:r>
    </w:p>
    <w:p w14:paraId="066E5382" w14:textId="77777777" w:rsidR="00F855C2" w:rsidRPr="00F855C2" w:rsidRDefault="00F855C2" w:rsidP="00F855C2">
      <w:pPr>
        <w:spacing w:line="240" w:lineRule="auto"/>
        <w:rPr>
          <w:rFonts w:eastAsia="Times New Roman" w:cs="Arial"/>
          <w:color w:val="000000"/>
          <w:u w:val="single"/>
          <w:lang w:eastAsia="bg-BG"/>
        </w:rPr>
      </w:pPr>
    </w:p>
    <w:p w14:paraId="2CD50915" w14:textId="19FC7DAF"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Дистония</w:t>
      </w:r>
    </w:p>
    <w:p w14:paraId="0B3BEE35" w14:textId="162917A8" w:rsidR="0091385D"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При пациенти с болест на Паркинсон понякога се съобщава за аксиална дистония, включваща антеколис, камптокормия и плеврототонус (синром на </w:t>
      </w:r>
      <w:r w:rsidRPr="00F855C2">
        <w:rPr>
          <w:rFonts w:eastAsia="Times New Roman" w:cs="Arial"/>
          <w:color w:val="000000"/>
          <w:lang w:val="en-US"/>
        </w:rPr>
        <w:t xml:space="preserve">Pisa) </w:t>
      </w:r>
      <w:r w:rsidRPr="00F855C2">
        <w:rPr>
          <w:rFonts w:eastAsia="Times New Roman" w:cs="Arial"/>
          <w:color w:val="000000"/>
          <w:lang w:eastAsia="bg-BG"/>
        </w:rPr>
        <w:t>при започване или при постепенно повишаване на дозата прамипексол. Въпреки че дистонията може да е симптом на болестта на Паркинсон, симптомите при тези пациенти са се подобрили след намаляване или</w:t>
      </w:r>
      <w:r>
        <w:rPr>
          <w:rFonts w:eastAsia="Times New Roman" w:cs="Arial"/>
          <w:sz w:val="24"/>
          <w:szCs w:val="24"/>
          <w:lang w:eastAsia="bg-BG"/>
        </w:rPr>
        <w:t xml:space="preserve"> </w:t>
      </w:r>
      <w:r w:rsidRPr="00F855C2">
        <w:rPr>
          <w:rFonts w:eastAsia="Times New Roman" w:cs="Arial"/>
          <w:color w:val="000000"/>
          <w:lang w:eastAsia="bg-BG"/>
        </w:rPr>
        <w:t>преустановяване на приема на прамипексол. Ако възникне дистония, схемата на</w:t>
      </w:r>
      <w:r>
        <w:rPr>
          <w:rFonts w:eastAsia="Times New Roman" w:cs="Arial"/>
          <w:sz w:val="24"/>
          <w:szCs w:val="24"/>
          <w:lang w:eastAsia="bg-BG"/>
        </w:rPr>
        <w:t xml:space="preserve"> </w:t>
      </w:r>
      <w:r w:rsidRPr="00F855C2">
        <w:rPr>
          <w:rFonts w:eastAsia="Times New Roman" w:cs="Arial"/>
          <w:color w:val="000000"/>
          <w:lang w:eastAsia="bg-BG"/>
        </w:rPr>
        <w:t>допаминергичната медикация трябва да се преразгледа и да се обмисли корекция на дозата</w:t>
      </w:r>
      <w:r>
        <w:rPr>
          <w:rFonts w:eastAsia="Times New Roman" w:cs="Arial"/>
          <w:sz w:val="24"/>
          <w:szCs w:val="24"/>
          <w:lang w:eastAsia="bg-BG"/>
        </w:rPr>
        <w:t xml:space="preserve"> </w:t>
      </w:r>
      <w:r w:rsidRPr="00F855C2">
        <w:rPr>
          <w:rFonts w:eastAsia="Times New Roman" w:cs="Arial"/>
          <w:color w:val="000000"/>
          <w:lang w:eastAsia="bg-BG"/>
        </w:rPr>
        <w:t>прамипексол.</w:t>
      </w:r>
    </w:p>
    <w:p w14:paraId="24E3E82F" w14:textId="417D41CD" w:rsidR="0091385D" w:rsidRDefault="0091385D" w:rsidP="0091385D"/>
    <w:p w14:paraId="43A05D3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Епизоди на внезапно заспиване и сомнолентност</w:t>
      </w:r>
    </w:p>
    <w:p w14:paraId="7A24B3DC"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Прамипексол се свързва със сомнолентност и епизоди на внезапно заспиване, особено при пациенти с болест на Паркинсон. Нечесто се съобщава за внезапно заспиване през деня, понякога без пациентът да го осъзнава или без предупредителни признаци. Пациентите трябва да бъдат предупредени за това и да бъдат посъветвани да са внимателни при шофиране или работа с машини по време на терапия с МЕДОПЕКСОЛ. Пациентите, при които се появяват сънливост и/ или епизод на внезапно заспиване, трябва да се въздържат да шофират или работят с машини. В допълнение трябва да се има предвид намаляване на дозата или прекратяване на терапията. Поради възможен адитивен ефект пациентите, приемащи други седативни лекарствени продукти или алкохол в комбинация с прамипексол, трябва да бъдат посъветвани да бъдат предпазливи (вижте точка 4.5, точка 4.7 и точка 4.8).</w:t>
      </w:r>
    </w:p>
    <w:p w14:paraId="2E3BD336" w14:textId="77777777" w:rsidR="00F855C2" w:rsidRPr="00F855C2" w:rsidRDefault="00F855C2" w:rsidP="00F855C2">
      <w:pPr>
        <w:spacing w:line="240" w:lineRule="auto"/>
        <w:rPr>
          <w:rFonts w:eastAsia="Times New Roman" w:cs="Arial"/>
          <w:color w:val="000000"/>
          <w:u w:val="single"/>
          <w:lang w:eastAsia="bg-BG"/>
        </w:rPr>
      </w:pPr>
    </w:p>
    <w:p w14:paraId="6D14F78E" w14:textId="576DE6CB"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Нарушения в контрола на импулсите</w:t>
      </w:r>
    </w:p>
    <w:p w14:paraId="5869ED82"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Пациентите трябва да бъдат редовно наблюдавани за развитие на нарушения в контрола на импулсите. Пациентите и болногледачите трябва да бъдат запознати, че могат да се появят поведенчески симптоми на нарушения в контрола на импулсите, включващи патологична склонност към хазарт, повишено либидо, хиперсексуалност, компулсивно харчене и пазаруване, преяждане и компулсивно преяждане при пациенти, лекувани с </w:t>
      </w:r>
      <w:r w:rsidRPr="00F855C2">
        <w:rPr>
          <w:rFonts w:eastAsia="Times New Roman" w:cs="Arial"/>
          <w:color w:val="000000"/>
          <w:lang w:eastAsia="bg-BG"/>
        </w:rPr>
        <w:lastRenderedPageBreak/>
        <w:t>допаминови агонисти, включително МЕДОПЕКСОЛ. Трябва да се обсъди намаляване на дозата/ постепенно спиране, ако се развият такива симптоми.</w:t>
      </w:r>
    </w:p>
    <w:p w14:paraId="718D5A31" w14:textId="77777777" w:rsidR="00F855C2" w:rsidRPr="00F855C2" w:rsidRDefault="00F855C2" w:rsidP="00F855C2">
      <w:pPr>
        <w:spacing w:line="240" w:lineRule="auto"/>
        <w:rPr>
          <w:rFonts w:eastAsia="Times New Roman" w:cs="Arial"/>
          <w:color w:val="000000"/>
          <w:u w:val="single"/>
          <w:lang w:eastAsia="bg-BG"/>
        </w:rPr>
      </w:pPr>
    </w:p>
    <w:p w14:paraId="72C975DB" w14:textId="482293CF"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Мания и делириум</w:t>
      </w:r>
    </w:p>
    <w:p w14:paraId="35BB466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Пациентите трябва да бъдат редовно наблюдавани за развитие на мания и делириум. Пациентите и болногледачите трябва да бъдат запознати, че при пациенти, лекувани с прамипексол може да възникнат мания и делириум. Трябва да се обсъди намаляване на дозата/ постепенно спиране, ако се развият такива симптоми.</w:t>
      </w:r>
    </w:p>
    <w:p w14:paraId="1DE93164" w14:textId="77777777" w:rsidR="00F855C2" w:rsidRPr="00F855C2" w:rsidRDefault="00F855C2" w:rsidP="00F855C2">
      <w:pPr>
        <w:spacing w:line="240" w:lineRule="auto"/>
        <w:rPr>
          <w:rFonts w:eastAsia="Times New Roman" w:cs="Arial"/>
          <w:color w:val="000000"/>
          <w:u w:val="single"/>
          <w:lang w:eastAsia="bg-BG"/>
        </w:rPr>
      </w:pPr>
    </w:p>
    <w:p w14:paraId="6C8889FF" w14:textId="56C9FC84"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Пациенти с психотични нарушения</w:t>
      </w:r>
    </w:p>
    <w:p w14:paraId="4D22FEC3"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Пациентите с психотични нарушения трябва да се лекуват с допаминови агонисти само в случаите, когато очакваната полза е по-голяма от потенциалния риск. Едновременната употреба на антипсихотични лекарствени продукти и прамипексол трябва да се избягва (вж.точка 4.5).</w:t>
      </w:r>
    </w:p>
    <w:p w14:paraId="529453E2"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Офталмологични прегледи</w:t>
      </w:r>
    </w:p>
    <w:p w14:paraId="1F62E529"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Препоръчват се офталмологични прегледи на редовни интервали или при поява на аномалии в зрението.</w:t>
      </w:r>
    </w:p>
    <w:p w14:paraId="47613B03" w14:textId="77777777" w:rsidR="00F855C2" w:rsidRPr="00F855C2" w:rsidRDefault="00F855C2" w:rsidP="00F855C2">
      <w:pPr>
        <w:spacing w:line="240" w:lineRule="auto"/>
        <w:rPr>
          <w:rFonts w:eastAsia="Times New Roman" w:cs="Arial"/>
          <w:color w:val="000000"/>
          <w:u w:val="single"/>
          <w:lang w:eastAsia="bg-BG"/>
        </w:rPr>
      </w:pPr>
    </w:p>
    <w:p w14:paraId="2FFE2A7D" w14:textId="1618903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Тежко сърдечно-съдово заболяване</w:t>
      </w:r>
    </w:p>
    <w:p w14:paraId="44B0DA06"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При тежко сърдечно-съдово заболяване лекарството трябва да се прилага внимателно. Препоръчва се мониториране на кръвното налягане, особено при започване на лечението, поради риск от ортостатична хипотония във връзка с лечението с допаминергични лекарства.</w:t>
      </w:r>
    </w:p>
    <w:p w14:paraId="4227C024" w14:textId="77777777" w:rsidR="00F855C2" w:rsidRPr="00F855C2" w:rsidRDefault="00F855C2" w:rsidP="00F855C2">
      <w:pPr>
        <w:spacing w:line="240" w:lineRule="auto"/>
        <w:rPr>
          <w:rFonts w:eastAsia="Times New Roman" w:cs="Arial"/>
          <w:color w:val="000000"/>
          <w:u w:val="single"/>
          <w:lang w:eastAsia="bg-BG"/>
        </w:rPr>
      </w:pPr>
    </w:p>
    <w:p w14:paraId="4FA8DF23" w14:textId="7821C24B"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Невролептичен малигнен синдром</w:t>
      </w:r>
    </w:p>
    <w:p w14:paraId="1C851C15"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Симптоми, предполагащи невролептичен малигнен синдром са описани при внезапното спиране на допаминергичното лечение (вижте точка 4.2).</w:t>
      </w:r>
    </w:p>
    <w:p w14:paraId="2F2B585B" w14:textId="77777777" w:rsidR="00F855C2" w:rsidRPr="00F855C2" w:rsidRDefault="00F855C2" w:rsidP="00F855C2">
      <w:pPr>
        <w:spacing w:line="240" w:lineRule="auto"/>
        <w:rPr>
          <w:rFonts w:eastAsia="Times New Roman" w:cs="Arial"/>
          <w:color w:val="000000"/>
          <w:u w:val="single"/>
          <w:lang w:eastAsia="bg-BG"/>
        </w:rPr>
      </w:pPr>
    </w:p>
    <w:p w14:paraId="12B13C7C" w14:textId="77777777" w:rsidR="00F855C2" w:rsidRPr="00F855C2" w:rsidRDefault="00F855C2" w:rsidP="00F855C2">
      <w:pPr>
        <w:rPr>
          <w:rFonts w:eastAsia="Times New Roman" w:cs="Arial"/>
          <w:sz w:val="24"/>
          <w:szCs w:val="24"/>
          <w:lang w:eastAsia="bg-BG"/>
        </w:rPr>
      </w:pPr>
      <w:r w:rsidRPr="00F855C2">
        <w:rPr>
          <w:rFonts w:eastAsia="Times New Roman" w:cs="Arial"/>
          <w:color w:val="000000"/>
          <w:u w:val="single"/>
          <w:lang w:eastAsia="bg-BG"/>
        </w:rPr>
        <w:t xml:space="preserve">Синдром на отнемане на допаминов агонист </w:t>
      </w:r>
      <w:r w:rsidRPr="00F855C2">
        <w:rPr>
          <w:rFonts w:eastAsia="Times New Roman" w:cs="Arial"/>
          <w:color w:val="000000"/>
          <w:u w:val="single"/>
          <w:lang w:val="en-US"/>
        </w:rPr>
        <w:t xml:space="preserve">(Dopamine agonist withdrawal syndrome (DAWS)) </w:t>
      </w:r>
      <w:r w:rsidRPr="00F855C2">
        <w:rPr>
          <w:rFonts w:eastAsia="Times New Roman" w:cs="Arial"/>
          <w:color w:val="000000"/>
          <w:lang w:eastAsia="bg-BG"/>
        </w:rPr>
        <w:t xml:space="preserve">Има съобщения за </w:t>
      </w:r>
      <w:r w:rsidRPr="00F855C2">
        <w:rPr>
          <w:rFonts w:eastAsia="Times New Roman" w:cs="Arial"/>
          <w:color w:val="000000"/>
          <w:lang w:val="en-US"/>
        </w:rPr>
        <w:t xml:space="preserve">DAWS </w:t>
      </w:r>
      <w:r w:rsidRPr="00F855C2">
        <w:rPr>
          <w:rFonts w:eastAsia="Times New Roman" w:cs="Arial"/>
          <w:color w:val="000000"/>
          <w:lang w:eastAsia="bg-BG"/>
        </w:rPr>
        <w:t xml:space="preserve">при прием на допаминови агонисти, включително прамипексол (вж. точка 4.8). За прекратяване на лечението при пациенти с болест на </w:t>
      </w:r>
      <w:r w:rsidRPr="00F855C2">
        <w:rPr>
          <w:rFonts w:eastAsia="Times New Roman" w:cs="Arial"/>
          <w:color w:val="000000"/>
          <w:lang w:val="en-US"/>
        </w:rPr>
        <w:t xml:space="preserve">Parkinson, </w:t>
      </w:r>
      <w:r w:rsidRPr="00F855C2">
        <w:rPr>
          <w:rFonts w:eastAsia="Times New Roman" w:cs="Arial"/>
          <w:color w:val="000000"/>
          <w:lang w:eastAsia="bg-BG"/>
        </w:rPr>
        <w:t xml:space="preserve">приемът на прамипексол трябва да се намали постепенно (вж. точка 4.2). Ограничени данни предполагат, че пациенти с разстройства в контрола на импулсите и тези, които получават висока дневна доза и/или високи кумулативни дози допаминови агонисти, може да са с по-висок риск от развитие на </w:t>
      </w:r>
      <w:r w:rsidRPr="00F855C2">
        <w:rPr>
          <w:rFonts w:eastAsia="Times New Roman" w:cs="Arial"/>
          <w:color w:val="000000"/>
          <w:lang w:val="en-US"/>
        </w:rPr>
        <w:t xml:space="preserve">DAWS. </w:t>
      </w:r>
      <w:r w:rsidRPr="00F855C2">
        <w:rPr>
          <w:rFonts w:eastAsia="Times New Roman" w:cs="Arial"/>
          <w:color w:val="000000"/>
          <w:lang w:eastAsia="bg-BG"/>
        </w:rPr>
        <w:t>Симптомите на отнемане може да включват апатия, тревожност, депресия</w:t>
      </w:r>
      <w:r w:rsidRPr="00F855C2">
        <w:rPr>
          <w:rFonts w:eastAsia="Times New Roman" w:cs="Arial"/>
          <w:color w:val="000000"/>
          <w:vertAlign w:val="subscript"/>
          <w:lang w:eastAsia="bg-BG"/>
        </w:rPr>
        <w:t xml:space="preserve"> </w:t>
      </w:r>
      <w:r w:rsidRPr="00F855C2">
        <w:rPr>
          <w:rFonts w:eastAsia="Times New Roman" w:cs="Arial"/>
          <w:color w:val="000000"/>
          <w:lang w:eastAsia="bg-BG"/>
        </w:rPr>
        <w:t>умора, изпотяване и болка и не се повлияват от леводопа. Преди постепенно намаляване и</w:t>
      </w:r>
      <w:r w:rsidRPr="00F855C2">
        <w:rPr>
          <w:rFonts w:eastAsia="Times New Roman" w:cs="Arial"/>
          <w:sz w:val="24"/>
          <w:szCs w:val="24"/>
          <w:lang w:eastAsia="bg-BG"/>
        </w:rPr>
        <w:t xml:space="preserve"> </w:t>
      </w:r>
      <w:r w:rsidRPr="00F855C2">
        <w:rPr>
          <w:rFonts w:eastAsia="Times New Roman" w:cs="Arial"/>
          <w:color w:val="000000"/>
          <w:lang w:eastAsia="bg-BG"/>
        </w:rPr>
        <w:t>прекратяване на приема на прамипексол пациентите трябва да бъдат информирани за възможните симптоми на отнемане. По време на постепенно намаляване и прекратяване на</w:t>
      </w:r>
      <w:r>
        <w:rPr>
          <w:rFonts w:eastAsia="Times New Roman" w:cs="Arial"/>
          <w:color w:val="000000"/>
          <w:lang w:eastAsia="bg-BG"/>
        </w:rPr>
        <w:t xml:space="preserve"> </w:t>
      </w:r>
      <w:r w:rsidRPr="00F855C2">
        <w:rPr>
          <w:rFonts w:eastAsia="Times New Roman" w:cs="Arial"/>
          <w:color w:val="000000"/>
          <w:lang w:eastAsia="bg-BG"/>
        </w:rPr>
        <w:t>приема пациентите трябва да бъдат внимателно проследявани. В случай на тежки и/или персистиращи симптоми на отнемане може да се обмисли временно повторно приложение на прамипексол при най-ниската ефективна доза.</w:t>
      </w:r>
    </w:p>
    <w:p w14:paraId="2C38747C" w14:textId="77777777" w:rsidR="00F855C2" w:rsidRPr="00F855C2" w:rsidRDefault="00F855C2" w:rsidP="00F855C2">
      <w:pPr>
        <w:spacing w:line="240" w:lineRule="auto"/>
        <w:rPr>
          <w:rFonts w:eastAsia="Times New Roman" w:cs="Arial"/>
          <w:color w:val="000000"/>
          <w:u w:val="single"/>
          <w:lang w:eastAsia="bg-BG"/>
        </w:rPr>
      </w:pPr>
    </w:p>
    <w:p w14:paraId="346A1DBD" w14:textId="0464DB29"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Влошаване</w:t>
      </w:r>
    </w:p>
    <w:p w14:paraId="6603BA71"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Има сведения в литературата, които показват, че лечението на друго показание с допаминергични лекарствени продукти може да доведе до влошаване. Влошаването се свързва с по-ранно начало на симптоматиката вечер (или дори следобед), нарастване на симптомите и разпростирането им до включване на други крайници.</w:t>
      </w:r>
    </w:p>
    <w:p w14:paraId="7D523108" w14:textId="381478A3"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Влошаването е специално изследвано в контролирано клинично изпитване с продължителност 26 седмици. Влошаване е наблюдавано при 11,8% от пациентите в </w:t>
      </w:r>
      <w:r w:rsidRPr="00F855C2">
        <w:rPr>
          <w:rFonts w:eastAsia="Times New Roman" w:cs="Arial"/>
          <w:color w:val="000000"/>
          <w:lang w:eastAsia="bg-BG"/>
        </w:rPr>
        <w:lastRenderedPageBreak/>
        <w:t xml:space="preserve">групата, лекувана с прамипексол </w:t>
      </w:r>
      <w:r w:rsidRPr="00F855C2">
        <w:rPr>
          <w:rFonts w:eastAsia="Times New Roman" w:cs="Arial"/>
          <w:color w:val="000000"/>
          <w:lang w:val="en-US"/>
        </w:rPr>
        <w:t xml:space="preserve">(N=152) </w:t>
      </w:r>
      <w:r w:rsidRPr="00F855C2">
        <w:rPr>
          <w:rFonts w:eastAsia="Times New Roman" w:cs="Arial"/>
          <w:color w:val="000000"/>
          <w:lang w:eastAsia="bg-BG"/>
        </w:rPr>
        <w:t xml:space="preserve">и 9,4% от пациентите в групата, лекувана с плацебо </w:t>
      </w:r>
      <w:r w:rsidRPr="00F855C2">
        <w:rPr>
          <w:rFonts w:eastAsia="Times New Roman" w:cs="Arial"/>
          <w:color w:val="000000"/>
          <w:lang w:val="en-US"/>
        </w:rPr>
        <w:t xml:space="preserve">(N=149). </w:t>
      </w:r>
      <w:r w:rsidRPr="00F855C2">
        <w:rPr>
          <w:rFonts w:eastAsia="Times New Roman" w:cs="Arial"/>
          <w:color w:val="000000"/>
          <w:lang w:eastAsia="bg-BG"/>
        </w:rPr>
        <w:t>Анализът по Каплан-Мейер за времето до настъпване на влошаване, не показва значима разлика между групите, лекувани с прамипексол и плацебо.</w:t>
      </w:r>
    </w:p>
    <w:p w14:paraId="2D4D463F" w14:textId="14F6B8F7" w:rsidR="00F855C2" w:rsidRPr="0091385D" w:rsidRDefault="00F855C2" w:rsidP="0091385D">
      <w:r>
        <w:t xml:space="preserve"> </w:t>
      </w:r>
    </w:p>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4E394EB0"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Свързване с плазмения протеин</w:t>
      </w:r>
    </w:p>
    <w:p w14:paraId="078CA1FD"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Прамипексол се свързва в много ниска степен с плазмени протеини (&lt; 20%) и при хора претърпява малка биотрансформация. Поради това не се очакват взаимодействия с други лекарствени продукти, повлияващи свързването с плазмени протеини или елиминирането чрез биотрансформация. Тъй като антихолинергичните лекарства се елиминират главно посредством биотрансформация, възможността за взаимодействие с тях е ограничена, но не са проведени проучвания за взаимодействие с антихолинергични лекарствени продукти. Няма фармакокинетично взаимодействие със селегилин и леводопа.</w:t>
      </w:r>
    </w:p>
    <w:p w14:paraId="2E8EC85F" w14:textId="77777777" w:rsidR="00F855C2" w:rsidRPr="00F855C2" w:rsidRDefault="00F855C2" w:rsidP="00F855C2">
      <w:pPr>
        <w:spacing w:line="240" w:lineRule="auto"/>
        <w:rPr>
          <w:rFonts w:eastAsia="Times New Roman" w:cs="Arial"/>
          <w:color w:val="000000"/>
          <w:u w:val="single"/>
          <w:lang w:eastAsia="bg-BG"/>
        </w:rPr>
      </w:pPr>
    </w:p>
    <w:p w14:paraId="392F178A" w14:textId="7C1E3972"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Инхибитори/ конкуренти на активния път за елиминиране през бъбреците</w:t>
      </w:r>
    </w:p>
    <w:p w14:paraId="5EA6DE8D"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Циметидин понижава бъбречния клирънс на прамипексол с приблизително 34%, вероятно поради инхибиране на катийонната секреторна транспортна система в бъбречните тубули. Поради това лекарствени продукти, които са инхибитори на този активен път за елиминиране през бъбреците или, които се елиминират посредством него, такива като циметидин, амантадин, мексилетин, зидовудин, циспластин, хинин и прокаинамид могат да взаимодействат с прамипексол, в резултат на което да се понижи клирънсът на прамипексол. Понижаване на дозата на прамипексол следва да се има предвид при едновременна употреба на тези лекарствени продукти с МЕДОПЕКСОЛ.</w:t>
      </w:r>
    </w:p>
    <w:p w14:paraId="252CC015" w14:textId="77777777" w:rsidR="00F855C2" w:rsidRPr="00F855C2" w:rsidRDefault="00F855C2" w:rsidP="00F855C2">
      <w:pPr>
        <w:spacing w:line="240" w:lineRule="auto"/>
        <w:rPr>
          <w:rFonts w:eastAsia="Times New Roman" w:cs="Arial"/>
          <w:color w:val="000000"/>
          <w:u w:val="single"/>
          <w:lang w:eastAsia="bg-BG"/>
        </w:rPr>
      </w:pPr>
    </w:p>
    <w:p w14:paraId="42B4A3C2" w14:textId="36A9A50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Комбинация с леводопа</w:t>
      </w:r>
    </w:p>
    <w:p w14:paraId="26FB2FD5"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Когато МЕДОПЕКСОЛ се дава в комбинация с леводопа се препоръчва намаляване на дозата на леводопа и запазване на дозировката на другите антипаркинсонови лекарствени продукти докато се повишава дозата на МЕДОПЕКСОЛ.</w:t>
      </w:r>
    </w:p>
    <w:p w14:paraId="0D66B681"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Поради възможен адитивен ефект пациентите, приемащи други седативни лекарствени продукти или алкохол в комбинация с прамипексол, трябва да бъдат посъветвани да бъдат предпазливи (вижте точка 4.4, точка 4.7 и точка 4.8).</w:t>
      </w:r>
    </w:p>
    <w:p w14:paraId="45A05ED3" w14:textId="77777777" w:rsidR="00F855C2" w:rsidRPr="00F855C2" w:rsidRDefault="00F855C2" w:rsidP="00F855C2">
      <w:pPr>
        <w:spacing w:line="240" w:lineRule="auto"/>
        <w:rPr>
          <w:rFonts w:eastAsia="Times New Roman" w:cs="Arial"/>
          <w:color w:val="000000"/>
          <w:u w:val="single"/>
          <w:lang w:eastAsia="bg-BG"/>
        </w:rPr>
      </w:pPr>
    </w:p>
    <w:p w14:paraId="38742837" w14:textId="40D1A47E"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Антипсихотични лекарствени продукти</w:t>
      </w:r>
    </w:p>
    <w:p w14:paraId="172AE819" w14:textId="5B37860B" w:rsidR="0091385D" w:rsidRPr="00F855C2" w:rsidRDefault="00F855C2" w:rsidP="00F855C2">
      <w:pPr>
        <w:rPr>
          <w:rFonts w:cs="Arial"/>
        </w:rPr>
      </w:pPr>
      <w:r w:rsidRPr="00F855C2">
        <w:rPr>
          <w:rFonts w:eastAsia="Times New Roman" w:cs="Arial"/>
          <w:color w:val="000000"/>
          <w:lang w:eastAsia="bg-BG"/>
        </w:rPr>
        <w:t>Едновременната употреба на антипсихотични лекарствени продукти и прамипексол трябва да се избягва (вижте точка 4.4), ако могат да се очакват антагонистични ефекти.</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46F571E6" w14:textId="77777777" w:rsidR="00F855C2" w:rsidRPr="00F855C2" w:rsidRDefault="00F855C2" w:rsidP="00F855C2">
      <w:pPr>
        <w:pStyle w:val="Heading3"/>
        <w:rPr>
          <w:rFonts w:eastAsia="Times New Roman"/>
          <w:u w:val="single"/>
          <w:lang w:eastAsia="bg-BG"/>
        </w:rPr>
      </w:pPr>
      <w:r w:rsidRPr="00F855C2">
        <w:rPr>
          <w:rFonts w:eastAsia="Times New Roman"/>
          <w:u w:val="single"/>
          <w:lang w:eastAsia="bg-BG"/>
        </w:rPr>
        <w:t>Бременност</w:t>
      </w:r>
    </w:p>
    <w:p w14:paraId="09DD564A" w14:textId="308ABFB1" w:rsidR="00F855C2" w:rsidRPr="00F855C2" w:rsidRDefault="00F855C2" w:rsidP="006C4945">
      <w:pPr>
        <w:spacing w:line="240" w:lineRule="auto"/>
        <w:rPr>
          <w:rFonts w:eastAsia="Times New Roman" w:cs="Arial"/>
          <w:sz w:val="24"/>
          <w:szCs w:val="24"/>
          <w:lang w:eastAsia="bg-BG"/>
        </w:rPr>
      </w:pPr>
      <w:r w:rsidRPr="00F855C2">
        <w:rPr>
          <w:rFonts w:eastAsia="Times New Roman" w:cs="Arial"/>
          <w:color w:val="000000"/>
          <w:lang w:eastAsia="bg-BG"/>
        </w:rPr>
        <w:t>Ефектът при хора по време на бременност и кърмене не е проучен. Прамипексол не е имал тератогенен ефект при плъхове и зайци, но е бил ембриотоксичен при плъхове в дози, токсични</w:t>
      </w:r>
      <w:r w:rsidR="006C4945">
        <w:rPr>
          <w:rFonts w:eastAsia="Times New Roman" w:cs="Arial"/>
          <w:sz w:val="24"/>
          <w:szCs w:val="24"/>
          <w:lang w:eastAsia="bg-BG"/>
        </w:rPr>
        <w:t xml:space="preserve"> </w:t>
      </w:r>
      <w:r w:rsidRPr="00F855C2">
        <w:rPr>
          <w:rFonts w:eastAsia="Times New Roman" w:cs="Arial"/>
          <w:color w:val="000000"/>
          <w:lang w:eastAsia="bg-BG"/>
        </w:rPr>
        <w:t>за майката (вижте точка 5.3). МЕДОПЕКСОЛ не трябва да се използва по време на бременност, освен в случай на категорична необходимост, т.е. когато потенциалната полза надвишава очаквания риск по отношение на фетуса.</w:t>
      </w:r>
    </w:p>
    <w:p w14:paraId="3C74D789" w14:textId="77777777" w:rsidR="00F855C2" w:rsidRPr="00F855C2" w:rsidRDefault="00F855C2" w:rsidP="00F855C2">
      <w:pPr>
        <w:spacing w:line="240" w:lineRule="auto"/>
        <w:rPr>
          <w:rFonts w:eastAsia="Times New Roman" w:cs="Arial"/>
          <w:color w:val="000000"/>
          <w:u w:val="single"/>
          <w:lang w:eastAsia="bg-BG"/>
        </w:rPr>
      </w:pPr>
    </w:p>
    <w:p w14:paraId="0B43FFE5" w14:textId="69BAC06C" w:rsidR="00F855C2" w:rsidRPr="00F855C2" w:rsidRDefault="00F855C2" w:rsidP="00F855C2">
      <w:pPr>
        <w:pStyle w:val="Heading3"/>
        <w:rPr>
          <w:rFonts w:eastAsia="Times New Roman"/>
          <w:u w:val="single"/>
          <w:lang w:eastAsia="bg-BG"/>
        </w:rPr>
      </w:pPr>
      <w:r w:rsidRPr="00F855C2">
        <w:rPr>
          <w:rFonts w:eastAsia="Times New Roman"/>
          <w:u w:val="single"/>
          <w:lang w:eastAsia="bg-BG"/>
        </w:rPr>
        <w:lastRenderedPageBreak/>
        <w:t>Кърмене</w:t>
      </w:r>
    </w:p>
    <w:p w14:paraId="4ABCB1B5"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Тъй като лечението с прамипексол инхибира секрецията на пролактин, при хора се очаква спиране на кърмата. Не са проведени проучвания при жени по отношение на екскрецията на прамипексол в кърмата. При плъхове концентрацията на свързаната с активното вещество радиоактивност в кърмата е по-висока от тази в плазмата.</w:t>
      </w:r>
    </w:p>
    <w:p w14:paraId="43FA4B77"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Тъй като липсват данни при хора, МЕДОПЕКСОЛ не бива да се прилага в периода на кърмене. При наложителна употреба, трябва да се преустанови кърменето.</w:t>
      </w:r>
    </w:p>
    <w:p w14:paraId="5FEB8784" w14:textId="77777777" w:rsidR="00F855C2" w:rsidRPr="00F855C2" w:rsidRDefault="00F855C2" w:rsidP="00F855C2">
      <w:pPr>
        <w:spacing w:line="240" w:lineRule="auto"/>
        <w:rPr>
          <w:rFonts w:eastAsia="Times New Roman" w:cs="Arial"/>
          <w:color w:val="000000"/>
          <w:u w:val="single"/>
          <w:lang w:eastAsia="bg-BG"/>
        </w:rPr>
      </w:pPr>
    </w:p>
    <w:p w14:paraId="742DDE7B" w14:textId="56DFB9E6" w:rsidR="00F855C2" w:rsidRPr="00F855C2" w:rsidRDefault="00F855C2" w:rsidP="00F855C2">
      <w:pPr>
        <w:pStyle w:val="Heading3"/>
        <w:rPr>
          <w:rFonts w:eastAsia="Times New Roman"/>
          <w:u w:val="single"/>
          <w:lang w:eastAsia="bg-BG"/>
        </w:rPr>
      </w:pPr>
      <w:r w:rsidRPr="00F855C2">
        <w:rPr>
          <w:rFonts w:eastAsia="Times New Roman"/>
          <w:u w:val="single"/>
          <w:lang w:eastAsia="bg-BG"/>
        </w:rPr>
        <w:t>Фертилитет</w:t>
      </w:r>
    </w:p>
    <w:p w14:paraId="776662C5" w14:textId="1EBD151D" w:rsidR="0091385D" w:rsidRPr="00F855C2" w:rsidRDefault="00F855C2" w:rsidP="00F855C2">
      <w:pPr>
        <w:rPr>
          <w:rFonts w:cs="Arial"/>
        </w:rPr>
      </w:pPr>
      <w:r w:rsidRPr="00F855C2">
        <w:rPr>
          <w:rFonts w:eastAsia="Times New Roman" w:cs="Arial"/>
          <w:color w:val="000000"/>
          <w:lang w:eastAsia="bg-BG"/>
        </w:rPr>
        <w:t>Не са провеждани проучвания за ефекта върху фертилитета при хора. При проучвания при животни прамипексол повлиява еструс циклите и намалява фертилитета при женските, както се очаква за допаминов агонист. Тези проучвания не показват преки или косвени вредни ефекти по отношение на фертилитета при мъжките.</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4BE6962E"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МЕДОПЕКСОЛ може да повлияе в значителна степен способността за шофиране и работа с машини.</w:t>
      </w:r>
    </w:p>
    <w:p w14:paraId="3B6EAEB9" w14:textId="77777777" w:rsidR="00F855C2" w:rsidRPr="00F855C2" w:rsidRDefault="00F855C2" w:rsidP="00F855C2">
      <w:pPr>
        <w:spacing w:line="240" w:lineRule="auto"/>
        <w:rPr>
          <w:rFonts w:eastAsia="Times New Roman" w:cs="Arial"/>
          <w:color w:val="000000"/>
          <w:lang w:eastAsia="bg-BG"/>
        </w:rPr>
      </w:pPr>
    </w:p>
    <w:p w14:paraId="681C411E" w14:textId="21AE6BEA"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Възможна е поява на халюцинации или сънливост.</w:t>
      </w:r>
    </w:p>
    <w:p w14:paraId="312B80D5" w14:textId="77777777" w:rsidR="00F855C2" w:rsidRPr="00F855C2" w:rsidRDefault="00F855C2" w:rsidP="00F855C2">
      <w:pPr>
        <w:rPr>
          <w:rFonts w:eastAsia="Times New Roman" w:cs="Arial"/>
          <w:color w:val="000000"/>
          <w:lang w:eastAsia="bg-BG"/>
        </w:rPr>
      </w:pPr>
    </w:p>
    <w:p w14:paraId="2B4135A6" w14:textId="2031CA52" w:rsidR="0091385D" w:rsidRPr="00F855C2" w:rsidRDefault="00F855C2" w:rsidP="00F855C2">
      <w:pPr>
        <w:rPr>
          <w:rFonts w:cs="Arial"/>
        </w:rPr>
      </w:pPr>
      <w:r w:rsidRPr="00F855C2">
        <w:rPr>
          <w:rFonts w:eastAsia="Times New Roman" w:cs="Arial"/>
          <w:color w:val="000000"/>
          <w:lang w:eastAsia="bg-BG"/>
        </w:rPr>
        <w:t>Пациентите, лекувани с МЕДОПЕКСОЛ, при които се наблюдава сънливост и/ или внезапно заспиване през деня, трябва да бъдат предупредени да не шофират и да не упражняват дейности, при които нарушената бдителност би изложила тях или околните на риск от сериозно нараняване или смърт (например работа с машини) до изчезването на тези повтарящи се епизоди и сънливост (вижте също точки 4.4,4.5 и 4.8).</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BCBF0EB" w14:textId="7777777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Въз основа на анализи на сборни плацебо контролирани проучвания, в които са участвали 1923 пациенти на прамипексол и 1354 пациента на плацебо, нежелани лекарствени реакции са съобщавани често и в двете групи. 63% от пациентите на прамипексол и 52% от пациентите на плацебо съобщават поне една нежелана лекарствена реакция.</w:t>
      </w:r>
    </w:p>
    <w:p w14:paraId="499C2BAD" w14:textId="77777777" w:rsidR="00F855C2" w:rsidRPr="00F855C2" w:rsidRDefault="00F855C2" w:rsidP="00F855C2">
      <w:pPr>
        <w:spacing w:line="240" w:lineRule="auto"/>
        <w:rPr>
          <w:rFonts w:eastAsia="Times New Roman" w:cs="Arial"/>
          <w:color w:val="000000"/>
          <w:lang w:eastAsia="bg-BG"/>
        </w:rPr>
      </w:pPr>
    </w:p>
    <w:p w14:paraId="59E66639" w14:textId="5F93F147"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По-голямата част от нежеланите лекарствени реакции обикновено започват в началото на лечението и повечето са с тенденция да изчезват дори при продължаване на лечението.</w:t>
      </w:r>
    </w:p>
    <w:p w14:paraId="655CE9DA" w14:textId="77777777" w:rsidR="00F855C2" w:rsidRPr="00F855C2" w:rsidRDefault="00F855C2" w:rsidP="00F855C2">
      <w:pPr>
        <w:spacing w:line="240" w:lineRule="auto"/>
        <w:rPr>
          <w:rFonts w:eastAsia="Times New Roman" w:cs="Arial"/>
          <w:color w:val="000000"/>
          <w:lang w:eastAsia="bg-BG"/>
        </w:rPr>
      </w:pPr>
    </w:p>
    <w:p w14:paraId="76EC8679" w14:textId="0744617F"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В рамките на системо-органните класове нежеланите лекарствени реакции са изброени според честотата (броят пациенти, при които се очаква да се прояви реакцията), като са използвани следните категории: много чести (≥ 1/10), чести (≥ 1/100 до &lt; 1/10), нечести (≥ 1/1 000 до &lt; 1/100), редки (≥ 1/10 000 до &lt; 1/1 000), много редки (&lt; 1/10 000), с неизвестна честота (честотата не може да бъде оценена от наличните данни).</w:t>
      </w:r>
    </w:p>
    <w:p w14:paraId="4FDADF90" w14:textId="77777777" w:rsidR="006C4945" w:rsidRDefault="006C4945" w:rsidP="00F855C2">
      <w:pPr>
        <w:spacing w:line="240" w:lineRule="auto"/>
        <w:rPr>
          <w:rFonts w:eastAsia="Times New Roman" w:cs="Arial"/>
          <w:color w:val="000000"/>
          <w:u w:val="single"/>
          <w:lang w:eastAsia="bg-BG"/>
        </w:rPr>
      </w:pPr>
    </w:p>
    <w:p w14:paraId="2A10BF9F" w14:textId="3CF77BC1" w:rsidR="00F855C2" w:rsidRPr="006C4945" w:rsidRDefault="00F855C2" w:rsidP="00F855C2">
      <w:pPr>
        <w:spacing w:line="240" w:lineRule="auto"/>
        <w:rPr>
          <w:rFonts w:eastAsia="Times New Roman" w:cs="Arial"/>
          <w:sz w:val="24"/>
          <w:szCs w:val="24"/>
          <w:lang w:eastAsia="bg-BG"/>
        </w:rPr>
      </w:pPr>
      <w:r w:rsidRPr="00F855C2">
        <w:rPr>
          <w:rFonts w:eastAsia="Times New Roman" w:cs="Arial"/>
          <w:color w:val="000000"/>
          <w:u w:val="single"/>
          <w:lang w:eastAsia="bg-BG"/>
        </w:rPr>
        <w:t>Най-чести нежелани реакции при Паркинсонова болест</w:t>
      </w:r>
    </w:p>
    <w:p w14:paraId="0DA9DFB7" w14:textId="7416CF04" w:rsidR="00F855C2" w:rsidRPr="00F855C2" w:rsidRDefault="00F855C2" w:rsidP="00F855C2">
      <w:pPr>
        <w:spacing w:line="240" w:lineRule="auto"/>
        <w:rPr>
          <w:rFonts w:eastAsia="Times New Roman" w:cs="Arial"/>
          <w:sz w:val="24"/>
          <w:szCs w:val="24"/>
          <w:lang w:eastAsia="bg-BG"/>
        </w:rPr>
      </w:pPr>
      <w:r w:rsidRPr="00F855C2">
        <w:rPr>
          <w:rFonts w:eastAsia="Times New Roman" w:cs="Arial"/>
          <w:color w:val="000000"/>
          <w:lang w:eastAsia="bg-BG"/>
        </w:rPr>
        <w:t xml:space="preserve">Най-често (≥ 5%) съобщаваните нежелани реакции при пациенти с болест на Паркинсон, по- често при лечение с прамипексол в сравнение с плацебо са гадене, дискинезия, </w:t>
      </w:r>
      <w:r w:rsidRPr="00F855C2">
        <w:rPr>
          <w:rFonts w:eastAsia="Times New Roman" w:cs="Arial"/>
          <w:color w:val="000000"/>
          <w:lang w:eastAsia="bg-BG"/>
        </w:rPr>
        <w:lastRenderedPageBreak/>
        <w:t xml:space="preserve">хипотония, замаяност, сънливост, безсъние, запек, халюцинации, главоболие и умора. Слуховете на сънливост нарастват при дози по-високи от 1,5 </w:t>
      </w:r>
      <w:r w:rsidRPr="00F855C2">
        <w:rPr>
          <w:rFonts w:eastAsia="Times New Roman" w:cs="Arial"/>
          <w:color w:val="000000"/>
          <w:lang w:val="en-US"/>
        </w:rPr>
        <w:t xml:space="preserve">mg </w:t>
      </w:r>
      <w:r w:rsidRPr="00F855C2">
        <w:rPr>
          <w:rFonts w:eastAsia="Times New Roman" w:cs="Arial"/>
          <w:color w:val="000000"/>
          <w:lang w:eastAsia="bg-BG"/>
        </w:rPr>
        <w:t>прамипексол сол на ден (вижте точка 4.2).</w:t>
      </w:r>
    </w:p>
    <w:p w14:paraId="570508C4" w14:textId="48F82E58" w:rsidR="0091385D" w:rsidRPr="00F855C2" w:rsidRDefault="00F855C2" w:rsidP="00F855C2">
      <w:pPr>
        <w:rPr>
          <w:rFonts w:cs="Arial"/>
        </w:rPr>
      </w:pPr>
      <w:r w:rsidRPr="00F855C2">
        <w:rPr>
          <w:rFonts w:eastAsia="Times New Roman" w:cs="Arial"/>
          <w:color w:val="000000"/>
          <w:lang w:eastAsia="bg-BG"/>
        </w:rPr>
        <w:t>По-честа нежелана реакция при комбинация с леводопа е дискинезията. В началото на лечението може да се наблюдава поява на хипотония, особено при  бързо титриране на прамипексол.</w:t>
      </w:r>
    </w:p>
    <w:p w14:paraId="43E3C48F" w14:textId="7D63A3C3" w:rsidR="0091385D" w:rsidRDefault="0091385D" w:rsidP="0091385D"/>
    <w:p w14:paraId="4ABFF7B7" w14:textId="77777777" w:rsidR="00831B9A" w:rsidRDefault="00831B9A" w:rsidP="00831B9A">
      <w:r>
        <w:t>Таблица 1: Болест на Паркинсон</w:t>
      </w:r>
    </w:p>
    <w:tbl>
      <w:tblPr>
        <w:tblStyle w:val="TableGrid"/>
        <w:tblW w:w="0" w:type="auto"/>
        <w:tblLook w:val="04A0" w:firstRow="1" w:lastRow="0" w:firstColumn="1" w:lastColumn="0" w:noHBand="0" w:noVBand="1"/>
      </w:tblPr>
      <w:tblGrid>
        <w:gridCol w:w="4660"/>
        <w:gridCol w:w="4690"/>
      </w:tblGrid>
      <w:tr w:rsidR="00831B9A" w14:paraId="69908B51" w14:textId="77777777" w:rsidTr="000676EC">
        <w:tc>
          <w:tcPr>
            <w:tcW w:w="4750" w:type="dxa"/>
          </w:tcPr>
          <w:p w14:paraId="418EFF39" w14:textId="77777777" w:rsidR="00831B9A" w:rsidRPr="00131E5B" w:rsidRDefault="00831B9A" w:rsidP="000676EC">
            <w:pPr>
              <w:rPr>
                <w:rFonts w:cs="Arial"/>
              </w:rPr>
            </w:pPr>
            <w:r w:rsidRPr="00131E5B">
              <w:rPr>
                <w:rFonts w:cs="Arial"/>
              </w:rPr>
              <w:t>Системо-органни класове</w:t>
            </w:r>
          </w:p>
        </w:tc>
        <w:tc>
          <w:tcPr>
            <w:tcW w:w="4750" w:type="dxa"/>
          </w:tcPr>
          <w:p w14:paraId="25E1FC15" w14:textId="77777777" w:rsidR="00831B9A" w:rsidRPr="00131E5B" w:rsidRDefault="00831B9A" w:rsidP="000676EC">
            <w:pPr>
              <w:rPr>
                <w:rFonts w:cs="Arial"/>
              </w:rPr>
            </w:pPr>
            <w:r w:rsidRPr="00131E5B">
              <w:rPr>
                <w:rFonts w:cs="Arial"/>
              </w:rPr>
              <w:t>Нежелани лекарствени реакции</w:t>
            </w:r>
          </w:p>
        </w:tc>
      </w:tr>
      <w:tr w:rsidR="00831B9A" w14:paraId="60451489" w14:textId="77777777" w:rsidTr="000676EC">
        <w:tc>
          <w:tcPr>
            <w:tcW w:w="9500" w:type="dxa"/>
            <w:gridSpan w:val="2"/>
          </w:tcPr>
          <w:p w14:paraId="693D8C86" w14:textId="77777777" w:rsidR="00831B9A" w:rsidRPr="00F855C2" w:rsidRDefault="00831B9A" w:rsidP="000676EC">
            <w:pPr>
              <w:spacing w:line="240" w:lineRule="auto"/>
              <w:rPr>
                <w:rFonts w:eastAsia="Times New Roman" w:cs="Arial"/>
                <w:lang w:eastAsia="bg-BG"/>
              </w:rPr>
            </w:pPr>
            <w:r w:rsidRPr="00F855C2">
              <w:rPr>
                <w:rFonts w:eastAsia="Times New Roman" w:cs="Arial"/>
                <w:color w:val="000000"/>
                <w:lang w:eastAsia="bg-BG"/>
              </w:rPr>
              <w:t>Инфекции и инфестации</w:t>
            </w:r>
          </w:p>
          <w:p w14:paraId="7944D24F" w14:textId="77777777" w:rsidR="00831B9A" w:rsidRPr="00131E5B" w:rsidRDefault="00831B9A" w:rsidP="000676EC">
            <w:pPr>
              <w:rPr>
                <w:rFonts w:cs="Arial"/>
              </w:rPr>
            </w:pPr>
          </w:p>
        </w:tc>
      </w:tr>
      <w:tr w:rsidR="00831B9A" w14:paraId="67FD7A6F" w14:textId="77777777" w:rsidTr="000676EC">
        <w:tc>
          <w:tcPr>
            <w:tcW w:w="4750" w:type="dxa"/>
          </w:tcPr>
          <w:p w14:paraId="5531C514" w14:textId="77777777" w:rsidR="00831B9A" w:rsidRPr="00131E5B" w:rsidRDefault="00831B9A" w:rsidP="000676EC">
            <w:pPr>
              <w:rPr>
                <w:rFonts w:cs="Arial"/>
              </w:rPr>
            </w:pPr>
            <w:r w:rsidRPr="00131E5B">
              <w:rPr>
                <w:rFonts w:cs="Arial"/>
              </w:rPr>
              <w:t>Нечести</w:t>
            </w:r>
          </w:p>
        </w:tc>
        <w:tc>
          <w:tcPr>
            <w:tcW w:w="4750" w:type="dxa"/>
          </w:tcPr>
          <w:p w14:paraId="71626D06" w14:textId="77777777" w:rsidR="00831B9A" w:rsidRPr="00131E5B" w:rsidRDefault="00831B9A" w:rsidP="000676EC">
            <w:pPr>
              <w:rPr>
                <w:rFonts w:cs="Arial"/>
              </w:rPr>
            </w:pPr>
            <w:r w:rsidRPr="00131E5B">
              <w:rPr>
                <w:rFonts w:cs="Arial"/>
              </w:rPr>
              <w:t>пневмония</w:t>
            </w:r>
          </w:p>
        </w:tc>
      </w:tr>
      <w:tr w:rsidR="00831B9A" w14:paraId="14050507" w14:textId="77777777" w:rsidTr="000676EC">
        <w:tc>
          <w:tcPr>
            <w:tcW w:w="9500" w:type="dxa"/>
            <w:gridSpan w:val="2"/>
          </w:tcPr>
          <w:p w14:paraId="024EECE3" w14:textId="77777777" w:rsidR="00831B9A" w:rsidRPr="00F855C2" w:rsidRDefault="00831B9A" w:rsidP="000676EC">
            <w:pPr>
              <w:spacing w:line="240" w:lineRule="auto"/>
              <w:rPr>
                <w:rFonts w:eastAsia="Times New Roman" w:cs="Arial"/>
                <w:lang w:eastAsia="bg-BG"/>
              </w:rPr>
            </w:pPr>
            <w:r w:rsidRPr="00F855C2">
              <w:rPr>
                <w:rFonts w:eastAsia="Times New Roman" w:cs="Arial"/>
                <w:color w:val="000000"/>
                <w:lang w:eastAsia="bg-BG"/>
              </w:rPr>
              <w:t>Нарушения на ендокринната система</w:t>
            </w:r>
          </w:p>
          <w:p w14:paraId="28E27DE8" w14:textId="77777777" w:rsidR="00831B9A" w:rsidRPr="00131E5B" w:rsidRDefault="00831B9A" w:rsidP="000676EC">
            <w:pPr>
              <w:rPr>
                <w:rFonts w:cs="Arial"/>
              </w:rPr>
            </w:pPr>
          </w:p>
        </w:tc>
      </w:tr>
      <w:tr w:rsidR="00831B9A" w14:paraId="5C7BCDF6" w14:textId="77777777" w:rsidTr="000676EC">
        <w:tc>
          <w:tcPr>
            <w:tcW w:w="4750" w:type="dxa"/>
          </w:tcPr>
          <w:p w14:paraId="1F9E9C8F" w14:textId="77777777" w:rsidR="00831B9A" w:rsidRPr="00131E5B" w:rsidRDefault="00831B9A" w:rsidP="000676EC">
            <w:pPr>
              <w:rPr>
                <w:rFonts w:cs="Arial"/>
              </w:rPr>
            </w:pPr>
            <w:r w:rsidRPr="00131E5B">
              <w:rPr>
                <w:rFonts w:cs="Arial"/>
              </w:rPr>
              <w:t>Нечести</w:t>
            </w:r>
          </w:p>
        </w:tc>
        <w:tc>
          <w:tcPr>
            <w:tcW w:w="4750" w:type="dxa"/>
          </w:tcPr>
          <w:p w14:paraId="22E8EA93" w14:textId="77777777" w:rsidR="00831B9A" w:rsidRPr="00131E5B" w:rsidRDefault="00831B9A" w:rsidP="000676EC">
            <w:pPr>
              <w:rPr>
                <w:rFonts w:cs="Arial"/>
              </w:rPr>
            </w:pPr>
            <w:r w:rsidRPr="00131E5B">
              <w:rPr>
                <w:rFonts w:cs="Arial"/>
              </w:rPr>
              <w:t>нарушена секреция на антидиуретичен хормон</w:t>
            </w:r>
            <w:r w:rsidRPr="00131E5B">
              <w:rPr>
                <w:rFonts w:cs="Arial"/>
                <w:vertAlign w:val="superscript"/>
              </w:rPr>
              <w:t>1</w:t>
            </w:r>
          </w:p>
        </w:tc>
      </w:tr>
      <w:tr w:rsidR="00831B9A" w14:paraId="5503459B" w14:textId="77777777" w:rsidTr="000676EC">
        <w:tc>
          <w:tcPr>
            <w:tcW w:w="9500" w:type="dxa"/>
            <w:gridSpan w:val="2"/>
          </w:tcPr>
          <w:p w14:paraId="149937ED" w14:textId="77777777" w:rsidR="00831B9A" w:rsidRPr="00131E5B" w:rsidRDefault="00831B9A" w:rsidP="000676EC">
            <w:pPr>
              <w:rPr>
                <w:rFonts w:cs="Arial"/>
              </w:rPr>
            </w:pPr>
            <w:r w:rsidRPr="00131E5B">
              <w:rPr>
                <w:rFonts w:cs="Arial"/>
              </w:rPr>
              <w:t>Психични нарушения</w:t>
            </w:r>
          </w:p>
        </w:tc>
      </w:tr>
      <w:tr w:rsidR="00831B9A" w14:paraId="48C24D61" w14:textId="77777777" w:rsidTr="000676EC">
        <w:tc>
          <w:tcPr>
            <w:tcW w:w="4750" w:type="dxa"/>
          </w:tcPr>
          <w:p w14:paraId="79922239" w14:textId="77777777" w:rsidR="00831B9A" w:rsidRPr="00131E5B" w:rsidRDefault="00831B9A" w:rsidP="000676EC">
            <w:pPr>
              <w:rPr>
                <w:rFonts w:cs="Arial"/>
              </w:rPr>
            </w:pPr>
            <w:r w:rsidRPr="00131E5B">
              <w:rPr>
                <w:rFonts w:cs="Arial"/>
              </w:rPr>
              <w:t>Чести</w:t>
            </w:r>
          </w:p>
        </w:tc>
        <w:tc>
          <w:tcPr>
            <w:tcW w:w="4750" w:type="dxa"/>
          </w:tcPr>
          <w:p w14:paraId="7637D984" w14:textId="77777777" w:rsidR="00831B9A" w:rsidRPr="00131E5B" w:rsidRDefault="00831B9A" w:rsidP="000676EC">
            <w:pPr>
              <w:rPr>
                <w:rFonts w:cs="Arial"/>
              </w:rPr>
            </w:pPr>
            <w:r w:rsidRPr="00131E5B">
              <w:rPr>
                <w:rFonts w:cs="Arial"/>
              </w:rPr>
              <w:t>патологични</w:t>
            </w:r>
            <w:r w:rsidRPr="00131E5B">
              <w:rPr>
                <w:rFonts w:cs="Arial"/>
              </w:rPr>
              <w:tab/>
              <w:t>сънища,</w:t>
            </w:r>
            <w:r w:rsidRPr="00131E5B">
              <w:rPr>
                <w:rFonts w:cs="Arial"/>
              </w:rPr>
              <w:tab/>
              <w:t>поведенчески</w:t>
            </w:r>
          </w:p>
          <w:p w14:paraId="57A0A40C" w14:textId="77777777" w:rsidR="00831B9A" w:rsidRPr="00131E5B" w:rsidRDefault="00831B9A" w:rsidP="000676EC">
            <w:pPr>
              <w:rPr>
                <w:rFonts w:cs="Arial"/>
              </w:rPr>
            </w:pPr>
            <w:r w:rsidRPr="00131E5B">
              <w:rPr>
                <w:rFonts w:cs="Arial"/>
              </w:rPr>
              <w:t>симптоми на нарушения в контролирането на импулсите и натрапчивости, обърканост, халюцинации, безсъние</w:t>
            </w:r>
          </w:p>
        </w:tc>
      </w:tr>
      <w:tr w:rsidR="00831B9A" w14:paraId="27C96A82" w14:textId="77777777" w:rsidTr="000676EC">
        <w:tc>
          <w:tcPr>
            <w:tcW w:w="4750" w:type="dxa"/>
          </w:tcPr>
          <w:p w14:paraId="611F6717" w14:textId="77777777" w:rsidR="00831B9A" w:rsidRPr="00131E5B" w:rsidRDefault="00831B9A" w:rsidP="000676EC">
            <w:pPr>
              <w:rPr>
                <w:rFonts w:cs="Arial"/>
              </w:rPr>
            </w:pPr>
            <w:r w:rsidRPr="00131E5B">
              <w:rPr>
                <w:rFonts w:cs="Arial"/>
              </w:rPr>
              <w:t>Нечести</w:t>
            </w:r>
          </w:p>
        </w:tc>
        <w:tc>
          <w:tcPr>
            <w:tcW w:w="4750" w:type="dxa"/>
          </w:tcPr>
          <w:p w14:paraId="0CC2C9EE" w14:textId="77777777" w:rsidR="00831B9A" w:rsidRPr="00131E5B" w:rsidRDefault="00831B9A" w:rsidP="000676EC">
            <w:pPr>
              <w:rPr>
                <w:rFonts w:cs="Arial"/>
              </w:rPr>
            </w:pPr>
            <w:r w:rsidRPr="00131E5B">
              <w:rPr>
                <w:rFonts w:cs="Arial"/>
              </w:rPr>
              <w:t>склонност към преяждане</w:t>
            </w:r>
            <w:r w:rsidRPr="00131E5B">
              <w:rPr>
                <w:rFonts w:cs="Arial"/>
                <w:vertAlign w:val="superscript"/>
              </w:rPr>
              <w:t>1</w:t>
            </w:r>
            <w:r w:rsidRPr="00131E5B">
              <w:rPr>
                <w:rFonts w:cs="Arial"/>
              </w:rPr>
              <w:t>, прекомерна склонност към пазаруване, налудничавост, хиперфагия</w:t>
            </w:r>
            <w:r w:rsidRPr="00131E5B">
              <w:rPr>
                <w:rFonts w:cs="Arial"/>
                <w:vertAlign w:val="superscript"/>
              </w:rPr>
              <w:t>1</w:t>
            </w:r>
            <w:r w:rsidRPr="00131E5B">
              <w:rPr>
                <w:rFonts w:cs="Arial"/>
              </w:rPr>
              <w:t>, хиперсексуалност, нарушение на либидото, параноя, патологична склонност към хазарт, безпокойство, делириум</w:t>
            </w:r>
          </w:p>
        </w:tc>
      </w:tr>
      <w:tr w:rsidR="00831B9A" w14:paraId="0B534EEC" w14:textId="77777777" w:rsidTr="000676EC">
        <w:tc>
          <w:tcPr>
            <w:tcW w:w="4750" w:type="dxa"/>
          </w:tcPr>
          <w:p w14:paraId="7507B5CB" w14:textId="77777777" w:rsidR="00831B9A" w:rsidRPr="00131E5B" w:rsidRDefault="00831B9A" w:rsidP="000676EC">
            <w:pPr>
              <w:rPr>
                <w:rFonts w:cs="Arial"/>
              </w:rPr>
            </w:pPr>
            <w:r w:rsidRPr="00131E5B">
              <w:rPr>
                <w:rFonts w:cs="Arial"/>
              </w:rPr>
              <w:t>Редки</w:t>
            </w:r>
          </w:p>
        </w:tc>
        <w:tc>
          <w:tcPr>
            <w:tcW w:w="4750" w:type="dxa"/>
          </w:tcPr>
          <w:p w14:paraId="43D63245" w14:textId="77777777" w:rsidR="00831B9A" w:rsidRPr="00131E5B" w:rsidRDefault="00831B9A" w:rsidP="000676EC">
            <w:pPr>
              <w:rPr>
                <w:rFonts w:cs="Arial"/>
              </w:rPr>
            </w:pPr>
            <w:r w:rsidRPr="00131E5B">
              <w:rPr>
                <w:rFonts w:cs="Arial"/>
              </w:rPr>
              <w:t>мания</w:t>
            </w:r>
          </w:p>
        </w:tc>
      </w:tr>
      <w:tr w:rsidR="00831B9A" w14:paraId="337A0686" w14:textId="77777777" w:rsidTr="000676EC">
        <w:tc>
          <w:tcPr>
            <w:tcW w:w="9500" w:type="dxa"/>
            <w:gridSpan w:val="2"/>
          </w:tcPr>
          <w:p w14:paraId="16075CA6" w14:textId="77777777" w:rsidR="00831B9A" w:rsidRPr="00131E5B" w:rsidRDefault="00831B9A" w:rsidP="000676EC">
            <w:pPr>
              <w:rPr>
                <w:rFonts w:cs="Arial"/>
              </w:rPr>
            </w:pPr>
            <w:r w:rsidRPr="00131E5B">
              <w:rPr>
                <w:rFonts w:cs="Arial"/>
              </w:rPr>
              <w:t>Нарушения на нервната система</w:t>
            </w:r>
          </w:p>
        </w:tc>
      </w:tr>
      <w:tr w:rsidR="00831B9A" w14:paraId="020FACD6" w14:textId="77777777" w:rsidTr="000676EC">
        <w:tc>
          <w:tcPr>
            <w:tcW w:w="4750" w:type="dxa"/>
          </w:tcPr>
          <w:p w14:paraId="6B5921B0" w14:textId="77777777" w:rsidR="00831B9A" w:rsidRPr="00131E5B" w:rsidRDefault="00831B9A" w:rsidP="000676EC">
            <w:pPr>
              <w:rPr>
                <w:rFonts w:cs="Arial"/>
              </w:rPr>
            </w:pPr>
            <w:r w:rsidRPr="00131E5B">
              <w:rPr>
                <w:rFonts w:cs="Arial"/>
              </w:rPr>
              <w:t>Много чести</w:t>
            </w:r>
          </w:p>
        </w:tc>
        <w:tc>
          <w:tcPr>
            <w:tcW w:w="4750" w:type="dxa"/>
          </w:tcPr>
          <w:p w14:paraId="556E4310" w14:textId="77777777" w:rsidR="00831B9A" w:rsidRPr="00131E5B" w:rsidRDefault="00831B9A" w:rsidP="000676EC">
            <w:pPr>
              <w:rPr>
                <w:rFonts w:cs="Arial"/>
              </w:rPr>
            </w:pPr>
            <w:r w:rsidRPr="00131E5B">
              <w:rPr>
                <w:rFonts w:cs="Arial"/>
              </w:rPr>
              <w:t>замаяност, дискинезия, сънливост</w:t>
            </w:r>
          </w:p>
        </w:tc>
      </w:tr>
      <w:tr w:rsidR="00831B9A" w14:paraId="5E0F77E2" w14:textId="77777777" w:rsidTr="000676EC">
        <w:tc>
          <w:tcPr>
            <w:tcW w:w="4750" w:type="dxa"/>
          </w:tcPr>
          <w:p w14:paraId="2E663010" w14:textId="77777777" w:rsidR="00831B9A" w:rsidRPr="00131E5B" w:rsidRDefault="00831B9A" w:rsidP="000676EC">
            <w:pPr>
              <w:rPr>
                <w:rFonts w:cs="Arial"/>
              </w:rPr>
            </w:pPr>
            <w:r w:rsidRPr="00131E5B">
              <w:rPr>
                <w:rFonts w:cs="Arial"/>
              </w:rPr>
              <w:t>Чести</w:t>
            </w:r>
          </w:p>
        </w:tc>
        <w:tc>
          <w:tcPr>
            <w:tcW w:w="4750" w:type="dxa"/>
          </w:tcPr>
          <w:p w14:paraId="214E90A3" w14:textId="77777777" w:rsidR="00831B9A" w:rsidRPr="00131E5B" w:rsidRDefault="00831B9A" w:rsidP="000676EC">
            <w:pPr>
              <w:rPr>
                <w:rFonts w:cs="Arial"/>
              </w:rPr>
            </w:pPr>
            <w:r w:rsidRPr="00131E5B">
              <w:rPr>
                <w:rFonts w:cs="Arial"/>
              </w:rPr>
              <w:t>главоболие</w:t>
            </w:r>
          </w:p>
        </w:tc>
      </w:tr>
      <w:tr w:rsidR="00831B9A" w14:paraId="2705CA86" w14:textId="77777777" w:rsidTr="000676EC">
        <w:tc>
          <w:tcPr>
            <w:tcW w:w="4750" w:type="dxa"/>
          </w:tcPr>
          <w:p w14:paraId="1276FB8F" w14:textId="77777777" w:rsidR="00831B9A" w:rsidRPr="00131E5B" w:rsidRDefault="00831B9A" w:rsidP="000676EC">
            <w:pPr>
              <w:rPr>
                <w:rFonts w:cs="Arial"/>
              </w:rPr>
            </w:pPr>
            <w:r w:rsidRPr="00131E5B">
              <w:rPr>
                <w:rFonts w:cs="Arial"/>
              </w:rPr>
              <w:t>Нечести</w:t>
            </w:r>
          </w:p>
        </w:tc>
        <w:tc>
          <w:tcPr>
            <w:tcW w:w="4750" w:type="dxa"/>
          </w:tcPr>
          <w:p w14:paraId="799D6A59" w14:textId="77777777" w:rsidR="00831B9A" w:rsidRPr="00131E5B" w:rsidRDefault="00831B9A" w:rsidP="000676EC">
            <w:pPr>
              <w:rPr>
                <w:rFonts w:cs="Arial"/>
              </w:rPr>
            </w:pPr>
            <w:r w:rsidRPr="00131E5B">
              <w:rPr>
                <w:rFonts w:cs="Arial"/>
              </w:rPr>
              <w:t>амнезия, хиперкинезия, епизоди на внезапно заспиване, синкоп</w:t>
            </w:r>
          </w:p>
        </w:tc>
      </w:tr>
      <w:tr w:rsidR="00831B9A" w14:paraId="26A1E85C" w14:textId="77777777" w:rsidTr="000676EC">
        <w:tc>
          <w:tcPr>
            <w:tcW w:w="9500" w:type="dxa"/>
            <w:gridSpan w:val="2"/>
          </w:tcPr>
          <w:p w14:paraId="243749A1" w14:textId="77777777" w:rsidR="00831B9A" w:rsidRPr="00131E5B" w:rsidRDefault="00831B9A" w:rsidP="000676EC">
            <w:pPr>
              <w:spacing w:line="240" w:lineRule="auto"/>
              <w:rPr>
                <w:rFonts w:eastAsia="Times New Roman" w:cs="Arial"/>
                <w:lang w:eastAsia="bg-BG"/>
              </w:rPr>
            </w:pPr>
            <w:r w:rsidRPr="00131E5B">
              <w:rPr>
                <w:rFonts w:eastAsia="Times New Roman" w:cs="Arial"/>
                <w:color w:val="000000"/>
                <w:lang w:eastAsia="bg-BG"/>
              </w:rPr>
              <w:t>Нарушения на очите</w:t>
            </w:r>
          </w:p>
          <w:p w14:paraId="78105BE2" w14:textId="77777777" w:rsidR="00831B9A" w:rsidRPr="00131E5B" w:rsidRDefault="00831B9A" w:rsidP="000676EC">
            <w:pPr>
              <w:rPr>
                <w:rFonts w:cs="Arial"/>
              </w:rPr>
            </w:pPr>
          </w:p>
        </w:tc>
      </w:tr>
      <w:tr w:rsidR="00831B9A" w14:paraId="3F96373A" w14:textId="77777777" w:rsidTr="000676EC">
        <w:tc>
          <w:tcPr>
            <w:tcW w:w="4750" w:type="dxa"/>
          </w:tcPr>
          <w:p w14:paraId="2C5BE39F" w14:textId="77777777" w:rsidR="00831B9A" w:rsidRPr="00131E5B" w:rsidRDefault="00831B9A" w:rsidP="000676EC">
            <w:pPr>
              <w:rPr>
                <w:rFonts w:cs="Arial"/>
              </w:rPr>
            </w:pPr>
            <w:r w:rsidRPr="00131E5B">
              <w:rPr>
                <w:rFonts w:cs="Arial"/>
              </w:rPr>
              <w:t>Чести</w:t>
            </w:r>
          </w:p>
        </w:tc>
        <w:tc>
          <w:tcPr>
            <w:tcW w:w="4750" w:type="dxa"/>
          </w:tcPr>
          <w:p w14:paraId="5C380834" w14:textId="77777777" w:rsidR="00831B9A" w:rsidRPr="00131E5B" w:rsidRDefault="00831B9A" w:rsidP="000676EC">
            <w:pPr>
              <w:rPr>
                <w:rFonts w:cs="Arial"/>
              </w:rPr>
            </w:pPr>
            <w:r w:rsidRPr="00131E5B">
              <w:rPr>
                <w:rFonts w:cs="Arial"/>
              </w:rPr>
              <w:t>зрително</w:t>
            </w:r>
            <w:r w:rsidRPr="00131E5B">
              <w:rPr>
                <w:rFonts w:cs="Arial"/>
              </w:rPr>
              <w:tab/>
              <w:t>нарушение,</w:t>
            </w:r>
            <w:r w:rsidRPr="00131E5B">
              <w:rPr>
                <w:rFonts w:cs="Arial"/>
              </w:rPr>
              <w:tab/>
              <w:t>включително</w:t>
            </w:r>
          </w:p>
          <w:p w14:paraId="6C9F8AA1" w14:textId="77777777" w:rsidR="00831B9A" w:rsidRPr="00131E5B" w:rsidRDefault="00831B9A" w:rsidP="000676EC">
            <w:pPr>
              <w:rPr>
                <w:rFonts w:cs="Arial"/>
              </w:rPr>
            </w:pPr>
            <w:r w:rsidRPr="00131E5B">
              <w:rPr>
                <w:rFonts w:cs="Arial"/>
              </w:rPr>
              <w:t>диплопия, замъглено виждане и намалена зрителна острота</w:t>
            </w:r>
          </w:p>
        </w:tc>
      </w:tr>
      <w:tr w:rsidR="00831B9A" w14:paraId="200AB5D2" w14:textId="77777777" w:rsidTr="000676EC">
        <w:tc>
          <w:tcPr>
            <w:tcW w:w="9500" w:type="dxa"/>
            <w:gridSpan w:val="2"/>
          </w:tcPr>
          <w:p w14:paraId="00D185EA" w14:textId="77777777" w:rsidR="00831B9A" w:rsidRPr="00131E5B" w:rsidRDefault="00831B9A" w:rsidP="000676EC">
            <w:pPr>
              <w:spacing w:line="240" w:lineRule="auto"/>
              <w:rPr>
                <w:rFonts w:eastAsia="Times New Roman" w:cs="Arial"/>
                <w:lang w:eastAsia="bg-BG"/>
              </w:rPr>
            </w:pPr>
            <w:r w:rsidRPr="00131E5B">
              <w:rPr>
                <w:rFonts w:eastAsia="Times New Roman" w:cs="Arial"/>
                <w:color w:val="000000"/>
                <w:lang w:eastAsia="bg-BG"/>
              </w:rPr>
              <w:t>Сърдечни нарушения</w:t>
            </w:r>
          </w:p>
          <w:p w14:paraId="010B0D52" w14:textId="77777777" w:rsidR="00831B9A" w:rsidRPr="00131E5B" w:rsidRDefault="00831B9A" w:rsidP="000676EC">
            <w:pPr>
              <w:rPr>
                <w:rFonts w:cs="Arial"/>
              </w:rPr>
            </w:pPr>
          </w:p>
        </w:tc>
      </w:tr>
      <w:tr w:rsidR="00831B9A" w14:paraId="46D00F98" w14:textId="77777777" w:rsidTr="000676EC">
        <w:tc>
          <w:tcPr>
            <w:tcW w:w="4750" w:type="dxa"/>
          </w:tcPr>
          <w:p w14:paraId="55EDECA6" w14:textId="77777777" w:rsidR="00831B9A" w:rsidRPr="00131E5B" w:rsidRDefault="00831B9A" w:rsidP="000676EC">
            <w:pPr>
              <w:rPr>
                <w:rFonts w:cs="Arial"/>
              </w:rPr>
            </w:pPr>
            <w:r w:rsidRPr="00131E5B">
              <w:rPr>
                <w:rFonts w:cs="Arial"/>
              </w:rPr>
              <w:t>Нечести</w:t>
            </w:r>
          </w:p>
        </w:tc>
        <w:tc>
          <w:tcPr>
            <w:tcW w:w="4750" w:type="dxa"/>
          </w:tcPr>
          <w:p w14:paraId="239C8611" w14:textId="77777777" w:rsidR="00831B9A" w:rsidRPr="00131E5B" w:rsidRDefault="00831B9A" w:rsidP="000676EC">
            <w:pPr>
              <w:rPr>
                <w:rFonts w:cs="Arial"/>
              </w:rPr>
            </w:pPr>
            <w:r w:rsidRPr="00131E5B">
              <w:rPr>
                <w:rFonts w:cs="Arial"/>
              </w:rPr>
              <w:t>сърдечна недостатъчност</w:t>
            </w:r>
            <w:r w:rsidRPr="00131E5B">
              <w:rPr>
                <w:rFonts w:cs="Arial"/>
                <w:vertAlign w:val="superscript"/>
              </w:rPr>
              <w:t>1</w:t>
            </w:r>
          </w:p>
        </w:tc>
      </w:tr>
      <w:tr w:rsidR="00831B9A" w14:paraId="26BCD078" w14:textId="77777777" w:rsidTr="000676EC">
        <w:tc>
          <w:tcPr>
            <w:tcW w:w="9500" w:type="dxa"/>
            <w:gridSpan w:val="2"/>
          </w:tcPr>
          <w:p w14:paraId="36F316C2" w14:textId="77777777" w:rsidR="00831B9A" w:rsidRPr="00131E5B" w:rsidRDefault="00831B9A" w:rsidP="000676EC">
            <w:pPr>
              <w:rPr>
                <w:rFonts w:cs="Arial"/>
              </w:rPr>
            </w:pPr>
            <w:r w:rsidRPr="00131E5B">
              <w:rPr>
                <w:rFonts w:cs="Arial"/>
              </w:rPr>
              <w:t>Съдови нарушения</w:t>
            </w:r>
          </w:p>
        </w:tc>
      </w:tr>
      <w:tr w:rsidR="00831B9A" w14:paraId="29D8013B" w14:textId="77777777" w:rsidTr="000676EC">
        <w:tc>
          <w:tcPr>
            <w:tcW w:w="4750" w:type="dxa"/>
          </w:tcPr>
          <w:p w14:paraId="349643B7" w14:textId="77777777" w:rsidR="00831B9A" w:rsidRPr="00131E5B" w:rsidRDefault="00831B9A" w:rsidP="000676EC">
            <w:pPr>
              <w:rPr>
                <w:rFonts w:cs="Arial"/>
              </w:rPr>
            </w:pPr>
            <w:r w:rsidRPr="00131E5B">
              <w:rPr>
                <w:rFonts w:cs="Arial"/>
              </w:rPr>
              <w:t>Чести</w:t>
            </w:r>
          </w:p>
        </w:tc>
        <w:tc>
          <w:tcPr>
            <w:tcW w:w="4750" w:type="dxa"/>
          </w:tcPr>
          <w:p w14:paraId="03B09F32" w14:textId="77777777" w:rsidR="00831B9A" w:rsidRPr="00131E5B" w:rsidRDefault="00831B9A" w:rsidP="000676EC">
            <w:pPr>
              <w:rPr>
                <w:rFonts w:cs="Arial"/>
              </w:rPr>
            </w:pPr>
            <w:r w:rsidRPr="00131E5B">
              <w:rPr>
                <w:rFonts w:cs="Arial"/>
              </w:rPr>
              <w:t>хипотония</w:t>
            </w:r>
          </w:p>
        </w:tc>
      </w:tr>
      <w:tr w:rsidR="00831B9A" w14:paraId="5BC5C4DE" w14:textId="77777777" w:rsidTr="000676EC">
        <w:tc>
          <w:tcPr>
            <w:tcW w:w="9500" w:type="dxa"/>
            <w:gridSpan w:val="2"/>
          </w:tcPr>
          <w:p w14:paraId="5EB3F386" w14:textId="77777777" w:rsidR="00831B9A" w:rsidRPr="00131E5B" w:rsidRDefault="00831B9A" w:rsidP="000676EC">
            <w:pPr>
              <w:spacing w:line="240" w:lineRule="auto"/>
              <w:rPr>
                <w:rFonts w:eastAsia="Times New Roman" w:cs="Arial"/>
                <w:lang w:eastAsia="bg-BG"/>
              </w:rPr>
            </w:pPr>
            <w:r w:rsidRPr="00131E5B">
              <w:rPr>
                <w:rFonts w:eastAsia="Times New Roman" w:cs="Arial"/>
                <w:color w:val="000000"/>
                <w:lang w:eastAsia="bg-BG"/>
              </w:rPr>
              <w:t>Респираторни, гръдни и медиастинални нарушения</w:t>
            </w:r>
          </w:p>
          <w:p w14:paraId="38923346" w14:textId="77777777" w:rsidR="00831B9A" w:rsidRPr="00131E5B" w:rsidRDefault="00831B9A" w:rsidP="000676EC">
            <w:pPr>
              <w:rPr>
                <w:rFonts w:cs="Arial"/>
              </w:rPr>
            </w:pPr>
          </w:p>
        </w:tc>
      </w:tr>
      <w:tr w:rsidR="00831B9A" w14:paraId="47814636" w14:textId="77777777" w:rsidTr="000676EC">
        <w:tc>
          <w:tcPr>
            <w:tcW w:w="4750" w:type="dxa"/>
          </w:tcPr>
          <w:p w14:paraId="4D1E5A94" w14:textId="77777777" w:rsidR="00831B9A" w:rsidRPr="00131E5B" w:rsidRDefault="00831B9A" w:rsidP="000676EC">
            <w:pPr>
              <w:rPr>
                <w:rFonts w:cs="Arial"/>
              </w:rPr>
            </w:pPr>
            <w:r w:rsidRPr="00131E5B">
              <w:rPr>
                <w:rFonts w:cs="Arial"/>
              </w:rPr>
              <w:t>Нечести</w:t>
            </w:r>
          </w:p>
        </w:tc>
        <w:tc>
          <w:tcPr>
            <w:tcW w:w="4750" w:type="dxa"/>
          </w:tcPr>
          <w:p w14:paraId="2085C91E" w14:textId="77777777" w:rsidR="00831B9A" w:rsidRPr="00131E5B" w:rsidRDefault="00831B9A" w:rsidP="000676EC">
            <w:pPr>
              <w:rPr>
                <w:rFonts w:cs="Arial"/>
              </w:rPr>
            </w:pPr>
            <w:r w:rsidRPr="00131E5B">
              <w:rPr>
                <w:rFonts w:cs="Arial"/>
              </w:rPr>
              <w:t>диспнея, хълцане</w:t>
            </w:r>
          </w:p>
        </w:tc>
      </w:tr>
      <w:tr w:rsidR="00831B9A" w14:paraId="5B40CD99" w14:textId="77777777" w:rsidTr="000676EC">
        <w:tc>
          <w:tcPr>
            <w:tcW w:w="9500" w:type="dxa"/>
            <w:gridSpan w:val="2"/>
          </w:tcPr>
          <w:p w14:paraId="456F55F1" w14:textId="77777777" w:rsidR="00831B9A" w:rsidRPr="00131E5B" w:rsidRDefault="00831B9A" w:rsidP="000676EC">
            <w:pPr>
              <w:rPr>
                <w:rFonts w:cs="Arial"/>
              </w:rPr>
            </w:pPr>
            <w:r w:rsidRPr="00131E5B">
              <w:rPr>
                <w:rFonts w:cs="Arial"/>
              </w:rPr>
              <w:t>Стомашно-чревни нарушения</w:t>
            </w:r>
          </w:p>
        </w:tc>
      </w:tr>
      <w:tr w:rsidR="00831B9A" w14:paraId="76FE785A" w14:textId="77777777" w:rsidTr="000676EC">
        <w:tc>
          <w:tcPr>
            <w:tcW w:w="4750" w:type="dxa"/>
          </w:tcPr>
          <w:p w14:paraId="601C589F" w14:textId="77777777" w:rsidR="00831B9A" w:rsidRPr="00131E5B" w:rsidRDefault="00831B9A" w:rsidP="000676EC">
            <w:pPr>
              <w:rPr>
                <w:rFonts w:cs="Arial"/>
              </w:rPr>
            </w:pPr>
            <w:r w:rsidRPr="00131E5B">
              <w:rPr>
                <w:rFonts w:cs="Arial"/>
              </w:rPr>
              <w:lastRenderedPageBreak/>
              <w:t>Много чести</w:t>
            </w:r>
          </w:p>
        </w:tc>
        <w:tc>
          <w:tcPr>
            <w:tcW w:w="4750" w:type="dxa"/>
          </w:tcPr>
          <w:p w14:paraId="3A80B722" w14:textId="77777777" w:rsidR="00831B9A" w:rsidRPr="00131E5B" w:rsidRDefault="00831B9A" w:rsidP="000676EC">
            <w:pPr>
              <w:rPr>
                <w:rFonts w:cs="Arial"/>
              </w:rPr>
            </w:pPr>
            <w:r w:rsidRPr="00131E5B">
              <w:rPr>
                <w:rFonts w:cs="Arial"/>
              </w:rPr>
              <w:t>гадене</w:t>
            </w:r>
          </w:p>
        </w:tc>
      </w:tr>
      <w:tr w:rsidR="00831B9A" w14:paraId="254433A4" w14:textId="77777777" w:rsidTr="000676EC">
        <w:tc>
          <w:tcPr>
            <w:tcW w:w="4750" w:type="dxa"/>
          </w:tcPr>
          <w:p w14:paraId="1B5C0F35" w14:textId="77777777" w:rsidR="00831B9A" w:rsidRPr="00131E5B" w:rsidRDefault="00831B9A" w:rsidP="000676EC">
            <w:pPr>
              <w:rPr>
                <w:rFonts w:cs="Arial"/>
              </w:rPr>
            </w:pPr>
            <w:r w:rsidRPr="00131E5B">
              <w:rPr>
                <w:rFonts w:cs="Arial"/>
              </w:rPr>
              <w:t>Чести</w:t>
            </w:r>
          </w:p>
        </w:tc>
        <w:tc>
          <w:tcPr>
            <w:tcW w:w="4750" w:type="dxa"/>
          </w:tcPr>
          <w:p w14:paraId="35C01722" w14:textId="77777777" w:rsidR="00831B9A" w:rsidRPr="00131E5B" w:rsidRDefault="00831B9A" w:rsidP="000676EC">
            <w:pPr>
              <w:rPr>
                <w:rFonts w:cs="Arial"/>
              </w:rPr>
            </w:pPr>
            <w:r w:rsidRPr="00131E5B">
              <w:rPr>
                <w:rFonts w:cs="Arial"/>
              </w:rPr>
              <w:t>запек, повръщане</w:t>
            </w:r>
          </w:p>
        </w:tc>
      </w:tr>
      <w:tr w:rsidR="00831B9A" w14:paraId="2E3648A2" w14:textId="77777777" w:rsidTr="000676EC">
        <w:tc>
          <w:tcPr>
            <w:tcW w:w="9500" w:type="dxa"/>
            <w:gridSpan w:val="2"/>
          </w:tcPr>
          <w:p w14:paraId="447DEE93" w14:textId="77777777" w:rsidR="00831B9A" w:rsidRPr="00131E5B" w:rsidRDefault="00831B9A" w:rsidP="000676EC">
            <w:pPr>
              <w:rPr>
                <w:rFonts w:cs="Arial"/>
              </w:rPr>
            </w:pPr>
            <w:r w:rsidRPr="00131E5B">
              <w:rPr>
                <w:rFonts w:cs="Arial"/>
              </w:rPr>
              <w:t>Нарушения на кожата и подкожната тъкан</w:t>
            </w:r>
          </w:p>
        </w:tc>
      </w:tr>
      <w:tr w:rsidR="00831B9A" w14:paraId="7E5E486B" w14:textId="77777777" w:rsidTr="000676EC">
        <w:tc>
          <w:tcPr>
            <w:tcW w:w="4750" w:type="dxa"/>
          </w:tcPr>
          <w:p w14:paraId="738D3069" w14:textId="77777777" w:rsidR="00831B9A" w:rsidRPr="00131E5B" w:rsidRDefault="00831B9A" w:rsidP="000676EC">
            <w:pPr>
              <w:rPr>
                <w:rFonts w:cs="Arial"/>
              </w:rPr>
            </w:pPr>
            <w:r w:rsidRPr="00131E5B">
              <w:rPr>
                <w:rFonts w:cs="Arial"/>
              </w:rPr>
              <w:t>Нечести</w:t>
            </w:r>
          </w:p>
        </w:tc>
        <w:tc>
          <w:tcPr>
            <w:tcW w:w="4750" w:type="dxa"/>
          </w:tcPr>
          <w:p w14:paraId="0A8729E1" w14:textId="77777777" w:rsidR="00831B9A" w:rsidRPr="00131E5B" w:rsidRDefault="00831B9A" w:rsidP="000676EC">
            <w:pPr>
              <w:rPr>
                <w:rFonts w:cs="Arial"/>
              </w:rPr>
            </w:pPr>
            <w:r w:rsidRPr="00131E5B">
              <w:rPr>
                <w:rFonts w:cs="Arial"/>
              </w:rPr>
              <w:t>реакции на свръхчувствителност, сърбеж, обрив</w:t>
            </w:r>
          </w:p>
        </w:tc>
      </w:tr>
      <w:tr w:rsidR="00831B9A" w14:paraId="4E881E94" w14:textId="77777777" w:rsidTr="000676EC">
        <w:tc>
          <w:tcPr>
            <w:tcW w:w="9500" w:type="dxa"/>
            <w:gridSpan w:val="2"/>
          </w:tcPr>
          <w:p w14:paraId="020D2D1B" w14:textId="77777777" w:rsidR="00831B9A" w:rsidRPr="00131E5B" w:rsidRDefault="00831B9A" w:rsidP="000676EC">
            <w:pPr>
              <w:rPr>
                <w:rFonts w:cs="Arial"/>
              </w:rPr>
            </w:pPr>
            <w:r w:rsidRPr="00131E5B">
              <w:rPr>
                <w:rFonts w:cs="Arial"/>
              </w:rPr>
              <w:t>Общи нарушения и ефекти на мястото на приложение</w:t>
            </w:r>
          </w:p>
        </w:tc>
      </w:tr>
      <w:tr w:rsidR="00831B9A" w14:paraId="3A76865B" w14:textId="77777777" w:rsidTr="000676EC">
        <w:tc>
          <w:tcPr>
            <w:tcW w:w="4750" w:type="dxa"/>
          </w:tcPr>
          <w:p w14:paraId="5709EF54" w14:textId="77777777" w:rsidR="00831B9A" w:rsidRPr="00131E5B" w:rsidRDefault="00831B9A" w:rsidP="000676EC">
            <w:pPr>
              <w:rPr>
                <w:rFonts w:cs="Arial"/>
              </w:rPr>
            </w:pPr>
            <w:r w:rsidRPr="00131E5B">
              <w:rPr>
                <w:rFonts w:cs="Arial"/>
              </w:rPr>
              <w:t>Чести</w:t>
            </w:r>
          </w:p>
        </w:tc>
        <w:tc>
          <w:tcPr>
            <w:tcW w:w="4750" w:type="dxa"/>
          </w:tcPr>
          <w:p w14:paraId="332F5903" w14:textId="77777777" w:rsidR="00831B9A" w:rsidRPr="00131E5B" w:rsidRDefault="00831B9A" w:rsidP="000676EC">
            <w:pPr>
              <w:rPr>
                <w:rFonts w:cs="Arial"/>
              </w:rPr>
            </w:pPr>
            <w:r w:rsidRPr="00131E5B">
              <w:rPr>
                <w:rFonts w:cs="Arial"/>
              </w:rPr>
              <w:t>умора, периферен оток</w:t>
            </w:r>
          </w:p>
        </w:tc>
      </w:tr>
      <w:tr w:rsidR="00831B9A" w14:paraId="0A770AB6" w14:textId="77777777" w:rsidTr="000676EC">
        <w:tc>
          <w:tcPr>
            <w:tcW w:w="4750" w:type="dxa"/>
          </w:tcPr>
          <w:p w14:paraId="700D28B9" w14:textId="77777777" w:rsidR="00831B9A" w:rsidRPr="00131E5B" w:rsidRDefault="00831B9A" w:rsidP="000676EC">
            <w:pPr>
              <w:rPr>
                <w:rFonts w:cs="Arial"/>
              </w:rPr>
            </w:pPr>
            <w:r w:rsidRPr="00131E5B">
              <w:rPr>
                <w:rFonts w:cs="Arial"/>
              </w:rPr>
              <w:t>С неизвестна честота</w:t>
            </w:r>
          </w:p>
        </w:tc>
        <w:tc>
          <w:tcPr>
            <w:tcW w:w="4750" w:type="dxa"/>
          </w:tcPr>
          <w:p w14:paraId="43E02EFA" w14:textId="77777777" w:rsidR="00831B9A" w:rsidRPr="00131E5B" w:rsidRDefault="00831B9A" w:rsidP="000676EC">
            <w:pPr>
              <w:rPr>
                <w:rFonts w:cs="Arial"/>
              </w:rPr>
            </w:pPr>
            <w:r w:rsidRPr="00131E5B">
              <w:rPr>
                <w:rFonts w:cs="Arial"/>
              </w:rPr>
              <w:t>Синдром на отнемане на допаминов агонист, включващ апатия, безпокойство, депресия, умора, изпотяване и болка.</w:t>
            </w:r>
          </w:p>
        </w:tc>
      </w:tr>
      <w:tr w:rsidR="00831B9A" w14:paraId="7524E2A8" w14:textId="77777777" w:rsidTr="000676EC">
        <w:tc>
          <w:tcPr>
            <w:tcW w:w="9500" w:type="dxa"/>
            <w:gridSpan w:val="2"/>
          </w:tcPr>
          <w:p w14:paraId="13E28C16" w14:textId="77777777" w:rsidR="00831B9A" w:rsidRPr="00131E5B" w:rsidRDefault="00831B9A" w:rsidP="000676EC">
            <w:pPr>
              <w:rPr>
                <w:rFonts w:cs="Arial"/>
              </w:rPr>
            </w:pPr>
            <w:r w:rsidRPr="00131E5B">
              <w:rPr>
                <w:rFonts w:cs="Arial"/>
              </w:rPr>
              <w:t>Изследвания</w:t>
            </w:r>
          </w:p>
        </w:tc>
      </w:tr>
      <w:tr w:rsidR="00831B9A" w14:paraId="5B965B05" w14:textId="77777777" w:rsidTr="000676EC">
        <w:tc>
          <w:tcPr>
            <w:tcW w:w="4750" w:type="dxa"/>
          </w:tcPr>
          <w:p w14:paraId="23184FDA" w14:textId="77777777" w:rsidR="00831B9A" w:rsidRPr="00131E5B" w:rsidRDefault="00831B9A" w:rsidP="000676EC">
            <w:pPr>
              <w:rPr>
                <w:rFonts w:cs="Arial"/>
              </w:rPr>
            </w:pPr>
            <w:r w:rsidRPr="00131E5B">
              <w:rPr>
                <w:rFonts w:cs="Arial"/>
              </w:rPr>
              <w:t>Чести</w:t>
            </w:r>
          </w:p>
        </w:tc>
        <w:tc>
          <w:tcPr>
            <w:tcW w:w="4750" w:type="dxa"/>
          </w:tcPr>
          <w:p w14:paraId="76BC2BBE" w14:textId="77777777" w:rsidR="00831B9A" w:rsidRPr="00131E5B" w:rsidRDefault="00831B9A" w:rsidP="000676EC">
            <w:pPr>
              <w:rPr>
                <w:rFonts w:cs="Arial"/>
              </w:rPr>
            </w:pPr>
            <w:r w:rsidRPr="00131E5B">
              <w:rPr>
                <w:rFonts w:cs="Arial"/>
              </w:rPr>
              <w:t>понижаване на теглото, включително</w:t>
            </w:r>
          </w:p>
          <w:p w14:paraId="2BE71827" w14:textId="77777777" w:rsidR="00831B9A" w:rsidRPr="00131E5B" w:rsidRDefault="00831B9A" w:rsidP="000676EC">
            <w:pPr>
              <w:rPr>
                <w:rFonts w:cs="Arial"/>
              </w:rPr>
            </w:pPr>
            <w:r w:rsidRPr="00131E5B">
              <w:rPr>
                <w:rFonts w:cs="Arial"/>
              </w:rPr>
              <w:t>понижен апетит</w:t>
            </w:r>
          </w:p>
        </w:tc>
      </w:tr>
      <w:tr w:rsidR="00831B9A" w14:paraId="06F63517" w14:textId="77777777" w:rsidTr="000676EC">
        <w:tc>
          <w:tcPr>
            <w:tcW w:w="4750" w:type="dxa"/>
          </w:tcPr>
          <w:p w14:paraId="322EBA44" w14:textId="77777777" w:rsidR="00831B9A" w:rsidRPr="00131E5B" w:rsidRDefault="00831B9A" w:rsidP="000676EC">
            <w:pPr>
              <w:rPr>
                <w:rFonts w:cs="Arial"/>
              </w:rPr>
            </w:pPr>
            <w:r w:rsidRPr="00131E5B">
              <w:rPr>
                <w:rFonts w:cs="Arial"/>
              </w:rPr>
              <w:t>Нечести</w:t>
            </w:r>
          </w:p>
        </w:tc>
        <w:tc>
          <w:tcPr>
            <w:tcW w:w="4750" w:type="dxa"/>
          </w:tcPr>
          <w:p w14:paraId="45AC8850" w14:textId="77777777" w:rsidR="00831B9A" w:rsidRPr="00131E5B" w:rsidRDefault="00831B9A" w:rsidP="000676EC">
            <w:pPr>
              <w:rPr>
                <w:rFonts w:cs="Arial"/>
              </w:rPr>
            </w:pPr>
            <w:r w:rsidRPr="00131E5B">
              <w:rPr>
                <w:rFonts w:cs="Arial"/>
              </w:rPr>
              <w:t>покачване на теглото</w:t>
            </w:r>
          </w:p>
        </w:tc>
      </w:tr>
    </w:tbl>
    <w:p w14:paraId="2E5F6688" w14:textId="77777777" w:rsidR="00831B9A" w:rsidRPr="00131E5B" w:rsidRDefault="00831B9A" w:rsidP="00831B9A">
      <w:pPr>
        <w:spacing w:line="240" w:lineRule="auto"/>
        <w:rPr>
          <w:rFonts w:eastAsia="Times New Roman" w:cs="Arial"/>
          <w:sz w:val="24"/>
          <w:szCs w:val="24"/>
          <w:lang w:eastAsia="bg-BG"/>
        </w:rPr>
      </w:pPr>
      <w:r w:rsidRPr="00131E5B">
        <w:rPr>
          <w:rFonts w:eastAsia="Times New Roman" w:cs="Arial"/>
          <w:color w:val="000000"/>
          <w:vertAlign w:val="superscript"/>
          <w:lang w:eastAsia="bg-BG"/>
        </w:rPr>
        <w:t>1</w:t>
      </w:r>
      <w:r w:rsidRPr="00131E5B">
        <w:rPr>
          <w:rFonts w:eastAsia="Times New Roman" w:cs="Arial"/>
          <w:color w:val="000000"/>
          <w:lang w:eastAsia="bg-BG"/>
        </w:rPr>
        <w:t xml:space="preserve"> Тази нежелана реакция е наблюдавана по време постмаркетинговия опит. С 95% точност, Групата на честотата е не повече от нечеста, но може да бъде и по-ниска. Прецизно изчисляване на честотата не е възможно, тъй като нежеланата реакция не се е появявала в базата данни от клинични изпитвания на 2 762 пациенти с болестта на Паркинсон, лекувани с прамипексол.</w:t>
      </w:r>
    </w:p>
    <w:p w14:paraId="1CED4B92" w14:textId="77777777" w:rsidR="00831B9A" w:rsidRPr="00131E5B" w:rsidRDefault="00831B9A" w:rsidP="00831B9A">
      <w:pPr>
        <w:spacing w:line="240" w:lineRule="auto"/>
        <w:rPr>
          <w:rFonts w:eastAsia="Times New Roman" w:cs="Arial"/>
          <w:color w:val="000000"/>
          <w:u w:val="single"/>
          <w:lang w:eastAsia="bg-BG"/>
        </w:rPr>
      </w:pPr>
    </w:p>
    <w:p w14:paraId="5678E38C" w14:textId="77777777" w:rsidR="00831B9A" w:rsidRPr="00131E5B" w:rsidRDefault="00831B9A" w:rsidP="00831B9A">
      <w:pPr>
        <w:spacing w:line="240" w:lineRule="auto"/>
        <w:rPr>
          <w:rFonts w:eastAsia="Times New Roman" w:cs="Arial"/>
          <w:sz w:val="24"/>
          <w:szCs w:val="24"/>
          <w:lang w:eastAsia="bg-BG"/>
        </w:rPr>
      </w:pPr>
      <w:r w:rsidRPr="00131E5B">
        <w:rPr>
          <w:rFonts w:eastAsia="Times New Roman" w:cs="Arial"/>
          <w:color w:val="000000"/>
          <w:u w:val="single"/>
          <w:lang w:eastAsia="bg-BG"/>
        </w:rPr>
        <w:t>Синдром на неспокойни крака, най-чести нежелани събития</w:t>
      </w:r>
    </w:p>
    <w:p w14:paraId="76BE64F2" w14:textId="77777777" w:rsidR="00831B9A" w:rsidRPr="00131E5B" w:rsidRDefault="00831B9A" w:rsidP="00831B9A">
      <w:pPr>
        <w:spacing w:line="240" w:lineRule="auto"/>
        <w:rPr>
          <w:rFonts w:eastAsia="Times New Roman" w:cs="Arial"/>
          <w:sz w:val="24"/>
          <w:szCs w:val="24"/>
          <w:lang w:eastAsia="bg-BG"/>
        </w:rPr>
      </w:pPr>
      <w:r w:rsidRPr="00131E5B">
        <w:rPr>
          <w:rFonts w:eastAsia="Times New Roman" w:cs="Arial"/>
          <w:color w:val="000000"/>
          <w:lang w:eastAsia="bg-BG"/>
        </w:rPr>
        <w:t xml:space="preserve">Най-често </w:t>
      </w:r>
      <w:r w:rsidRPr="00131E5B">
        <w:rPr>
          <w:rFonts w:eastAsia="Times New Roman" w:cs="Arial"/>
          <w:i/>
          <w:iCs/>
          <w:color w:val="000000"/>
          <w:lang w:eastAsia="bg-BG"/>
        </w:rPr>
        <w:t>(≥ 5%)</w:t>
      </w:r>
      <w:r w:rsidRPr="00131E5B">
        <w:rPr>
          <w:rFonts w:eastAsia="Times New Roman" w:cs="Arial"/>
          <w:color w:val="000000"/>
          <w:lang w:eastAsia="bg-BG"/>
        </w:rPr>
        <w:t xml:space="preserve"> съобщаваните нежелани реакции при пациенти с друго показание, лекувани с прамипексол са гадене, главоболие, замаяност и умора. Гадене и умора се съобщават по-често при жени, лекувани с прамипексол (съответно 20,8% и 10,5%) в сравнение с мъже (съответно 6,7% и 7,3%).</w:t>
      </w:r>
    </w:p>
    <w:p w14:paraId="0133981F" w14:textId="77777777" w:rsidR="00831B9A" w:rsidRPr="00131E5B" w:rsidRDefault="00831B9A" w:rsidP="00831B9A">
      <w:pPr>
        <w:rPr>
          <w:rFonts w:eastAsia="Times New Roman" w:cs="Arial"/>
          <w:color w:val="000000"/>
          <w:lang w:eastAsia="bg-BG"/>
        </w:rPr>
      </w:pPr>
    </w:p>
    <w:p w14:paraId="335F88A5" w14:textId="77777777" w:rsidR="00831B9A" w:rsidRPr="00131E5B" w:rsidRDefault="00831B9A" w:rsidP="00831B9A">
      <w:pPr>
        <w:rPr>
          <w:rFonts w:cs="Arial"/>
        </w:rPr>
      </w:pPr>
      <w:r w:rsidRPr="00131E5B">
        <w:rPr>
          <w:rFonts w:eastAsia="Times New Roman" w:cs="Arial"/>
          <w:color w:val="000000"/>
          <w:lang w:eastAsia="bg-BG"/>
        </w:rPr>
        <w:t>Таблиц</w:t>
      </w:r>
      <w:r w:rsidRPr="00131E5B">
        <w:rPr>
          <w:rFonts w:eastAsia="Times New Roman" w:cs="Arial"/>
          <w:color w:val="000000"/>
          <w:u w:val="single"/>
          <w:lang w:eastAsia="bg-BG"/>
        </w:rPr>
        <w:t>а 2: Синдром на неспокойни крака</w:t>
      </w:r>
    </w:p>
    <w:tbl>
      <w:tblPr>
        <w:tblStyle w:val="TableGrid"/>
        <w:tblW w:w="0" w:type="auto"/>
        <w:tblLook w:val="04A0" w:firstRow="1" w:lastRow="0" w:firstColumn="1" w:lastColumn="0" w:noHBand="0" w:noVBand="1"/>
      </w:tblPr>
      <w:tblGrid>
        <w:gridCol w:w="4656"/>
        <w:gridCol w:w="4694"/>
      </w:tblGrid>
      <w:tr w:rsidR="00831B9A" w14:paraId="456D1DA7" w14:textId="77777777" w:rsidTr="000676EC">
        <w:tc>
          <w:tcPr>
            <w:tcW w:w="4750" w:type="dxa"/>
          </w:tcPr>
          <w:p w14:paraId="730A024C" w14:textId="77777777" w:rsidR="00831B9A" w:rsidRPr="00831B9A" w:rsidRDefault="00831B9A" w:rsidP="000676EC">
            <w:pPr>
              <w:rPr>
                <w:rFonts w:cs="Arial"/>
              </w:rPr>
            </w:pPr>
            <w:r w:rsidRPr="00831B9A">
              <w:rPr>
                <w:rFonts w:cs="Arial"/>
              </w:rPr>
              <w:t>Системо-органни класове</w:t>
            </w:r>
          </w:p>
        </w:tc>
        <w:tc>
          <w:tcPr>
            <w:tcW w:w="4750" w:type="dxa"/>
          </w:tcPr>
          <w:p w14:paraId="62071994" w14:textId="77777777" w:rsidR="00831B9A" w:rsidRPr="00831B9A" w:rsidRDefault="00831B9A" w:rsidP="000676EC">
            <w:pPr>
              <w:rPr>
                <w:rFonts w:cs="Arial"/>
              </w:rPr>
            </w:pPr>
            <w:r w:rsidRPr="00831B9A">
              <w:rPr>
                <w:rFonts w:cs="Arial"/>
              </w:rPr>
              <w:t>Нежелани лекарствени реакции</w:t>
            </w:r>
          </w:p>
        </w:tc>
      </w:tr>
      <w:tr w:rsidR="00831B9A" w14:paraId="4D1D3C0B" w14:textId="77777777" w:rsidTr="000676EC">
        <w:tc>
          <w:tcPr>
            <w:tcW w:w="9500" w:type="dxa"/>
            <w:gridSpan w:val="2"/>
          </w:tcPr>
          <w:p w14:paraId="0617762C" w14:textId="77777777" w:rsidR="00831B9A" w:rsidRPr="00831B9A" w:rsidRDefault="00831B9A" w:rsidP="000676EC">
            <w:pPr>
              <w:rPr>
                <w:rFonts w:cs="Arial"/>
              </w:rPr>
            </w:pPr>
          </w:p>
        </w:tc>
      </w:tr>
      <w:tr w:rsidR="00831B9A" w14:paraId="0652ED45" w14:textId="77777777" w:rsidTr="000676EC">
        <w:tc>
          <w:tcPr>
            <w:tcW w:w="4750" w:type="dxa"/>
          </w:tcPr>
          <w:p w14:paraId="75954577" w14:textId="77777777" w:rsidR="00831B9A" w:rsidRPr="00831B9A" w:rsidRDefault="00831B9A" w:rsidP="000676EC">
            <w:pPr>
              <w:rPr>
                <w:rFonts w:cs="Arial"/>
              </w:rPr>
            </w:pPr>
            <w:r w:rsidRPr="00831B9A">
              <w:rPr>
                <w:rFonts w:cs="Arial"/>
              </w:rPr>
              <w:t>Нечести</w:t>
            </w:r>
          </w:p>
        </w:tc>
        <w:tc>
          <w:tcPr>
            <w:tcW w:w="4750" w:type="dxa"/>
          </w:tcPr>
          <w:p w14:paraId="7A96CD67" w14:textId="77777777" w:rsidR="00831B9A" w:rsidRPr="00831B9A" w:rsidRDefault="00831B9A" w:rsidP="000676EC">
            <w:pPr>
              <w:rPr>
                <w:rFonts w:cs="Arial"/>
              </w:rPr>
            </w:pPr>
            <w:r w:rsidRPr="00831B9A">
              <w:rPr>
                <w:rFonts w:cs="Arial"/>
              </w:rPr>
              <w:t>пневмония</w:t>
            </w:r>
            <w:r w:rsidRPr="00831B9A">
              <w:rPr>
                <w:rFonts w:cs="Arial"/>
                <w:vertAlign w:val="superscript"/>
              </w:rPr>
              <w:t>1</w:t>
            </w:r>
          </w:p>
        </w:tc>
      </w:tr>
      <w:tr w:rsidR="00831B9A" w14:paraId="615C19CE" w14:textId="77777777" w:rsidTr="000676EC">
        <w:tc>
          <w:tcPr>
            <w:tcW w:w="9500" w:type="dxa"/>
            <w:gridSpan w:val="2"/>
          </w:tcPr>
          <w:p w14:paraId="3665257E" w14:textId="77777777" w:rsidR="00831B9A" w:rsidRPr="00831B9A" w:rsidRDefault="00831B9A" w:rsidP="000676EC">
            <w:pPr>
              <w:rPr>
                <w:rFonts w:cs="Arial"/>
              </w:rPr>
            </w:pPr>
          </w:p>
        </w:tc>
      </w:tr>
      <w:tr w:rsidR="00831B9A" w14:paraId="25691FC6" w14:textId="77777777" w:rsidTr="000676EC">
        <w:tc>
          <w:tcPr>
            <w:tcW w:w="4750" w:type="dxa"/>
          </w:tcPr>
          <w:p w14:paraId="2556D52B" w14:textId="77777777" w:rsidR="00831B9A" w:rsidRPr="00831B9A" w:rsidRDefault="00831B9A" w:rsidP="000676EC">
            <w:pPr>
              <w:rPr>
                <w:rFonts w:cs="Arial"/>
              </w:rPr>
            </w:pPr>
            <w:r w:rsidRPr="00831B9A">
              <w:rPr>
                <w:rFonts w:cs="Arial"/>
              </w:rPr>
              <w:t>Нечести</w:t>
            </w:r>
          </w:p>
        </w:tc>
        <w:tc>
          <w:tcPr>
            <w:tcW w:w="4750" w:type="dxa"/>
            <w:vAlign w:val="bottom"/>
          </w:tcPr>
          <w:p w14:paraId="0F3CAA97" w14:textId="77777777" w:rsidR="00831B9A" w:rsidRPr="00831B9A" w:rsidRDefault="00831B9A" w:rsidP="000676EC">
            <w:pPr>
              <w:rPr>
                <w:rFonts w:cs="Arial"/>
              </w:rPr>
            </w:pPr>
            <w:r w:rsidRPr="00831B9A">
              <w:rPr>
                <w:rFonts w:cs="Arial"/>
              </w:rPr>
              <w:t>нарушена секреция на антидиуретичен хормон</w:t>
            </w:r>
            <w:r w:rsidRPr="00831B9A">
              <w:rPr>
                <w:rFonts w:cs="Arial"/>
                <w:vertAlign w:val="superscript"/>
              </w:rPr>
              <w:t>1</w:t>
            </w:r>
          </w:p>
        </w:tc>
      </w:tr>
      <w:tr w:rsidR="00831B9A" w14:paraId="63E6F4D5" w14:textId="77777777" w:rsidTr="000676EC">
        <w:tc>
          <w:tcPr>
            <w:tcW w:w="9500" w:type="dxa"/>
            <w:gridSpan w:val="2"/>
          </w:tcPr>
          <w:p w14:paraId="4CF4BC41" w14:textId="77777777" w:rsidR="00831B9A" w:rsidRPr="00831B9A" w:rsidRDefault="00831B9A" w:rsidP="000676EC">
            <w:pPr>
              <w:rPr>
                <w:rFonts w:cs="Arial"/>
              </w:rPr>
            </w:pPr>
          </w:p>
        </w:tc>
      </w:tr>
      <w:tr w:rsidR="00831B9A" w14:paraId="1126FBE9" w14:textId="77777777" w:rsidTr="000676EC">
        <w:tc>
          <w:tcPr>
            <w:tcW w:w="4750" w:type="dxa"/>
            <w:vAlign w:val="bottom"/>
          </w:tcPr>
          <w:p w14:paraId="2E4B8CCF" w14:textId="77777777" w:rsidR="00831B9A" w:rsidRPr="00831B9A" w:rsidRDefault="00831B9A" w:rsidP="000676EC">
            <w:pPr>
              <w:rPr>
                <w:rFonts w:cs="Arial"/>
              </w:rPr>
            </w:pPr>
            <w:r w:rsidRPr="00831B9A">
              <w:rPr>
                <w:rFonts w:cs="Arial"/>
              </w:rPr>
              <w:t>Чести</w:t>
            </w:r>
          </w:p>
        </w:tc>
        <w:tc>
          <w:tcPr>
            <w:tcW w:w="4750" w:type="dxa"/>
            <w:vAlign w:val="bottom"/>
          </w:tcPr>
          <w:p w14:paraId="2365BD96" w14:textId="77777777" w:rsidR="00831B9A" w:rsidRPr="00831B9A" w:rsidRDefault="00831B9A" w:rsidP="000676EC">
            <w:pPr>
              <w:rPr>
                <w:rFonts w:cs="Arial"/>
              </w:rPr>
            </w:pPr>
            <w:r w:rsidRPr="00831B9A">
              <w:rPr>
                <w:rFonts w:cs="Arial"/>
              </w:rPr>
              <w:t>патологични сънища, безсъние</w:t>
            </w:r>
          </w:p>
        </w:tc>
      </w:tr>
      <w:tr w:rsidR="00831B9A" w14:paraId="45ADF179" w14:textId="77777777" w:rsidTr="000676EC">
        <w:tc>
          <w:tcPr>
            <w:tcW w:w="4750" w:type="dxa"/>
          </w:tcPr>
          <w:p w14:paraId="1F9ADA03" w14:textId="77777777" w:rsidR="00831B9A" w:rsidRPr="00831B9A" w:rsidRDefault="00831B9A" w:rsidP="000676EC">
            <w:pPr>
              <w:rPr>
                <w:rFonts w:cs="Arial"/>
              </w:rPr>
            </w:pPr>
            <w:r w:rsidRPr="00831B9A">
              <w:rPr>
                <w:rFonts w:cs="Arial"/>
              </w:rPr>
              <w:t>Нечести</w:t>
            </w:r>
          </w:p>
        </w:tc>
        <w:tc>
          <w:tcPr>
            <w:tcW w:w="4750" w:type="dxa"/>
            <w:vAlign w:val="bottom"/>
          </w:tcPr>
          <w:p w14:paraId="12AA59B1" w14:textId="77777777" w:rsidR="00831B9A" w:rsidRPr="00831B9A" w:rsidRDefault="00831B9A" w:rsidP="000676EC">
            <w:pPr>
              <w:rPr>
                <w:rFonts w:cs="Arial"/>
              </w:rPr>
            </w:pPr>
            <w:r w:rsidRPr="00831B9A">
              <w:rPr>
                <w:rFonts w:cs="Arial"/>
              </w:rPr>
              <w:t>поведенчески симптоми на нарушения в контролирането на импулсите и натрапчивости като склонност към преяждане и прекомерна склонност към пазаруване,</w:t>
            </w:r>
            <w:r w:rsidRPr="00831B9A">
              <w:rPr>
                <w:rFonts w:cs="Arial"/>
              </w:rPr>
              <w:tab/>
              <w:t>хиперсексуалност</w:t>
            </w:r>
            <w:r w:rsidRPr="00831B9A">
              <w:rPr>
                <w:rFonts w:cs="Arial"/>
              </w:rPr>
              <w:tab/>
              <w:t>и</w:t>
            </w:r>
          </w:p>
          <w:p w14:paraId="2C3FA269" w14:textId="77777777" w:rsidR="00831B9A" w:rsidRPr="00831B9A" w:rsidRDefault="00831B9A" w:rsidP="000676EC">
            <w:pPr>
              <w:rPr>
                <w:rFonts w:cs="Arial"/>
              </w:rPr>
            </w:pPr>
            <w:r w:rsidRPr="00831B9A">
              <w:rPr>
                <w:rFonts w:cs="Arial"/>
              </w:rPr>
              <w:t>патологична склонност към хазарт</w:t>
            </w:r>
            <w:r w:rsidRPr="00831B9A">
              <w:rPr>
                <w:rFonts w:cs="Arial"/>
                <w:vertAlign w:val="superscript"/>
              </w:rPr>
              <w:t>1</w:t>
            </w:r>
            <w:r w:rsidRPr="00831B9A">
              <w:rPr>
                <w:rFonts w:cs="Arial"/>
              </w:rPr>
              <w:t>, обърканост,</w:t>
            </w:r>
            <w:r w:rsidRPr="00831B9A">
              <w:rPr>
                <w:rFonts w:cs="Arial"/>
              </w:rPr>
              <w:tab/>
              <w:t>налудничавост</w:t>
            </w:r>
            <w:r w:rsidRPr="00831B9A">
              <w:rPr>
                <w:rFonts w:cs="Arial"/>
                <w:vertAlign w:val="superscript"/>
              </w:rPr>
              <w:t>1</w:t>
            </w:r>
            <w:r w:rsidRPr="00831B9A">
              <w:rPr>
                <w:rFonts w:cs="Arial"/>
              </w:rPr>
              <w:t>,</w:t>
            </w:r>
          </w:p>
          <w:p w14:paraId="20465815" w14:textId="77777777" w:rsidR="00831B9A" w:rsidRPr="00831B9A" w:rsidRDefault="00831B9A" w:rsidP="000676EC">
            <w:pPr>
              <w:rPr>
                <w:rFonts w:cs="Arial"/>
              </w:rPr>
            </w:pPr>
            <w:r w:rsidRPr="00831B9A">
              <w:rPr>
                <w:rFonts w:cs="Arial"/>
              </w:rPr>
              <w:t>халюцинации, хиперфагия</w:t>
            </w:r>
            <w:r w:rsidRPr="00831B9A">
              <w:rPr>
                <w:rFonts w:cs="Arial"/>
                <w:vertAlign w:val="superscript"/>
              </w:rPr>
              <w:t>1</w:t>
            </w:r>
            <w:r w:rsidRPr="00831B9A">
              <w:rPr>
                <w:rFonts w:cs="Arial"/>
              </w:rPr>
              <w:t>, нарушение на либидото, параноя</w:t>
            </w:r>
            <w:r w:rsidRPr="00831B9A">
              <w:rPr>
                <w:rFonts w:cs="Arial"/>
                <w:vertAlign w:val="superscript"/>
              </w:rPr>
              <w:t>1</w:t>
            </w:r>
            <w:r w:rsidRPr="00831B9A">
              <w:rPr>
                <w:rFonts w:cs="Arial"/>
              </w:rPr>
              <w:t>, безпокойство, мания</w:t>
            </w:r>
            <w:r w:rsidRPr="00831B9A">
              <w:rPr>
                <w:rFonts w:cs="Arial"/>
                <w:vertAlign w:val="superscript"/>
              </w:rPr>
              <w:t>1</w:t>
            </w:r>
            <w:r w:rsidRPr="00831B9A">
              <w:rPr>
                <w:rFonts w:cs="Arial"/>
              </w:rPr>
              <w:t>, делириум</w:t>
            </w:r>
            <w:r w:rsidRPr="00831B9A">
              <w:rPr>
                <w:rFonts w:cs="Arial"/>
                <w:vertAlign w:val="superscript"/>
              </w:rPr>
              <w:t>1</w:t>
            </w:r>
          </w:p>
        </w:tc>
      </w:tr>
      <w:tr w:rsidR="00831B9A" w14:paraId="7FA65AD6" w14:textId="77777777" w:rsidTr="000676EC">
        <w:tc>
          <w:tcPr>
            <w:tcW w:w="9500" w:type="dxa"/>
            <w:gridSpan w:val="2"/>
          </w:tcPr>
          <w:p w14:paraId="3D15929D" w14:textId="77777777" w:rsidR="00831B9A" w:rsidRPr="00831B9A" w:rsidRDefault="00831B9A" w:rsidP="000676EC">
            <w:pPr>
              <w:rPr>
                <w:rFonts w:cs="Arial"/>
              </w:rPr>
            </w:pPr>
            <w:r w:rsidRPr="00831B9A">
              <w:rPr>
                <w:rFonts w:cs="Arial"/>
              </w:rPr>
              <w:t>Нарушения на нервната система</w:t>
            </w:r>
          </w:p>
        </w:tc>
      </w:tr>
      <w:tr w:rsidR="00831B9A" w14:paraId="2CC14696" w14:textId="77777777" w:rsidTr="000676EC">
        <w:tc>
          <w:tcPr>
            <w:tcW w:w="4750" w:type="dxa"/>
            <w:vAlign w:val="bottom"/>
          </w:tcPr>
          <w:p w14:paraId="2BF7C0B9" w14:textId="77777777" w:rsidR="00831B9A" w:rsidRPr="00831B9A" w:rsidRDefault="00831B9A" w:rsidP="000676EC">
            <w:pPr>
              <w:rPr>
                <w:rFonts w:cs="Arial"/>
              </w:rPr>
            </w:pPr>
            <w:r w:rsidRPr="00831B9A">
              <w:rPr>
                <w:rFonts w:cs="Arial"/>
              </w:rPr>
              <w:t>Чести</w:t>
            </w:r>
          </w:p>
        </w:tc>
        <w:tc>
          <w:tcPr>
            <w:tcW w:w="4750" w:type="dxa"/>
            <w:vAlign w:val="bottom"/>
          </w:tcPr>
          <w:p w14:paraId="5AA95225" w14:textId="77777777" w:rsidR="00831B9A" w:rsidRPr="00831B9A" w:rsidRDefault="00831B9A" w:rsidP="000676EC">
            <w:pPr>
              <w:rPr>
                <w:rFonts w:cs="Arial"/>
              </w:rPr>
            </w:pPr>
            <w:r w:rsidRPr="00831B9A">
              <w:rPr>
                <w:rFonts w:cs="Arial"/>
              </w:rPr>
              <w:t>замаяност, главоболие, сънливост</w:t>
            </w:r>
          </w:p>
        </w:tc>
      </w:tr>
      <w:tr w:rsidR="00831B9A" w14:paraId="7CF0D710" w14:textId="77777777" w:rsidTr="000676EC">
        <w:tc>
          <w:tcPr>
            <w:tcW w:w="4750" w:type="dxa"/>
          </w:tcPr>
          <w:p w14:paraId="0DBDA69C" w14:textId="77777777" w:rsidR="00831B9A" w:rsidRPr="00831B9A" w:rsidRDefault="00831B9A" w:rsidP="000676EC">
            <w:pPr>
              <w:rPr>
                <w:rFonts w:cs="Arial"/>
              </w:rPr>
            </w:pPr>
            <w:r w:rsidRPr="00831B9A">
              <w:rPr>
                <w:rFonts w:cs="Arial"/>
              </w:rPr>
              <w:lastRenderedPageBreak/>
              <w:t>Нечести</w:t>
            </w:r>
          </w:p>
        </w:tc>
        <w:tc>
          <w:tcPr>
            <w:tcW w:w="4750" w:type="dxa"/>
            <w:vAlign w:val="bottom"/>
          </w:tcPr>
          <w:p w14:paraId="3FAD7867" w14:textId="77777777" w:rsidR="00831B9A" w:rsidRPr="00831B9A" w:rsidRDefault="00831B9A" w:rsidP="000676EC">
            <w:pPr>
              <w:rPr>
                <w:rFonts w:cs="Arial"/>
              </w:rPr>
            </w:pPr>
            <w:r w:rsidRPr="00831B9A">
              <w:rPr>
                <w:rFonts w:cs="Arial"/>
              </w:rPr>
              <w:t>амнезия</w:t>
            </w:r>
            <w:r w:rsidRPr="00831B9A">
              <w:rPr>
                <w:rFonts w:cs="Arial"/>
                <w:vertAlign w:val="superscript"/>
              </w:rPr>
              <w:t>1</w:t>
            </w:r>
            <w:r w:rsidRPr="00831B9A">
              <w:rPr>
                <w:rFonts w:cs="Arial"/>
              </w:rPr>
              <w:t>, дискинезия, хиперкинезия</w:t>
            </w:r>
            <w:r w:rsidRPr="00831B9A">
              <w:rPr>
                <w:rFonts w:cs="Arial"/>
                <w:vertAlign w:val="superscript"/>
              </w:rPr>
              <w:t>1</w:t>
            </w:r>
            <w:r w:rsidRPr="00831B9A">
              <w:rPr>
                <w:rFonts w:cs="Arial"/>
              </w:rPr>
              <w:t>, епизоди на внезапно заспиване, синкоп</w:t>
            </w:r>
          </w:p>
        </w:tc>
      </w:tr>
      <w:tr w:rsidR="00831B9A" w14:paraId="77BE560D" w14:textId="77777777" w:rsidTr="000676EC">
        <w:tc>
          <w:tcPr>
            <w:tcW w:w="9500" w:type="dxa"/>
            <w:gridSpan w:val="2"/>
          </w:tcPr>
          <w:p w14:paraId="3E77843D" w14:textId="77777777" w:rsidR="00831B9A" w:rsidRPr="00131E5B" w:rsidRDefault="00831B9A" w:rsidP="000676EC">
            <w:pPr>
              <w:spacing w:line="240" w:lineRule="auto"/>
              <w:rPr>
                <w:rFonts w:eastAsia="Times New Roman" w:cs="Arial"/>
                <w:lang w:eastAsia="bg-BG"/>
              </w:rPr>
            </w:pPr>
            <w:r w:rsidRPr="00131E5B">
              <w:rPr>
                <w:rFonts w:eastAsia="Times New Roman" w:cs="Arial"/>
                <w:color w:val="000000"/>
                <w:lang w:eastAsia="bg-BG"/>
              </w:rPr>
              <w:t>Нарушения на очите</w:t>
            </w:r>
          </w:p>
          <w:p w14:paraId="0A18E2B8" w14:textId="77777777" w:rsidR="00831B9A" w:rsidRPr="00831B9A" w:rsidRDefault="00831B9A" w:rsidP="000676EC">
            <w:pPr>
              <w:rPr>
                <w:rFonts w:cs="Arial"/>
              </w:rPr>
            </w:pPr>
          </w:p>
        </w:tc>
      </w:tr>
      <w:tr w:rsidR="00831B9A" w14:paraId="5FE7214B" w14:textId="77777777" w:rsidTr="000676EC">
        <w:tc>
          <w:tcPr>
            <w:tcW w:w="4750" w:type="dxa"/>
          </w:tcPr>
          <w:p w14:paraId="5BF82D2D" w14:textId="77777777" w:rsidR="00831B9A" w:rsidRPr="00831B9A" w:rsidRDefault="00831B9A" w:rsidP="000676EC">
            <w:pPr>
              <w:rPr>
                <w:rFonts w:cs="Arial"/>
              </w:rPr>
            </w:pPr>
            <w:r w:rsidRPr="00831B9A">
              <w:rPr>
                <w:rFonts w:cs="Arial"/>
              </w:rPr>
              <w:t>Нечести</w:t>
            </w:r>
          </w:p>
        </w:tc>
        <w:tc>
          <w:tcPr>
            <w:tcW w:w="4750" w:type="dxa"/>
            <w:vAlign w:val="bottom"/>
          </w:tcPr>
          <w:p w14:paraId="5AEA0C4F" w14:textId="77777777" w:rsidR="00831B9A" w:rsidRPr="00831B9A" w:rsidRDefault="00831B9A" w:rsidP="000676EC">
            <w:pPr>
              <w:rPr>
                <w:rFonts w:cs="Arial"/>
              </w:rPr>
            </w:pPr>
            <w:r w:rsidRPr="00831B9A">
              <w:rPr>
                <w:rFonts w:cs="Arial"/>
              </w:rPr>
              <w:t>зрително нарушение, включително диплопия, замъглено виждане и намалена зрителна острота</w:t>
            </w:r>
          </w:p>
        </w:tc>
      </w:tr>
      <w:tr w:rsidR="00831B9A" w14:paraId="16CD1277" w14:textId="77777777" w:rsidTr="000676EC">
        <w:tc>
          <w:tcPr>
            <w:tcW w:w="9500" w:type="dxa"/>
            <w:gridSpan w:val="2"/>
          </w:tcPr>
          <w:p w14:paraId="40F517FB" w14:textId="77777777" w:rsidR="00831B9A" w:rsidRPr="00831B9A" w:rsidRDefault="00831B9A" w:rsidP="000676EC">
            <w:pPr>
              <w:spacing w:line="240" w:lineRule="auto"/>
              <w:rPr>
                <w:rFonts w:eastAsia="Times New Roman" w:cs="Arial"/>
                <w:lang w:eastAsia="bg-BG"/>
              </w:rPr>
            </w:pPr>
            <w:r w:rsidRPr="00831B9A">
              <w:rPr>
                <w:rFonts w:eastAsia="Times New Roman" w:cs="Arial"/>
                <w:color w:val="000000"/>
                <w:lang w:eastAsia="bg-BG"/>
              </w:rPr>
              <w:t>Сърдечни нарушения</w:t>
            </w:r>
          </w:p>
          <w:p w14:paraId="15A5DAF1" w14:textId="77777777" w:rsidR="00831B9A" w:rsidRPr="00831B9A" w:rsidRDefault="00831B9A" w:rsidP="000676EC">
            <w:pPr>
              <w:rPr>
                <w:rFonts w:cs="Arial"/>
              </w:rPr>
            </w:pPr>
          </w:p>
        </w:tc>
      </w:tr>
      <w:tr w:rsidR="00831B9A" w14:paraId="6CB94C81" w14:textId="77777777" w:rsidTr="000676EC">
        <w:tc>
          <w:tcPr>
            <w:tcW w:w="4750" w:type="dxa"/>
            <w:vAlign w:val="bottom"/>
          </w:tcPr>
          <w:p w14:paraId="544A1A93" w14:textId="77777777" w:rsidR="00831B9A" w:rsidRPr="00831B9A" w:rsidRDefault="00831B9A" w:rsidP="000676EC">
            <w:pPr>
              <w:rPr>
                <w:rFonts w:cs="Arial"/>
              </w:rPr>
            </w:pPr>
            <w:r w:rsidRPr="00831B9A">
              <w:rPr>
                <w:rFonts w:cs="Arial"/>
              </w:rPr>
              <w:t>Нечести</w:t>
            </w:r>
          </w:p>
        </w:tc>
        <w:tc>
          <w:tcPr>
            <w:tcW w:w="4750" w:type="dxa"/>
            <w:vAlign w:val="bottom"/>
          </w:tcPr>
          <w:p w14:paraId="39EA4DD9" w14:textId="77777777" w:rsidR="00831B9A" w:rsidRPr="00831B9A" w:rsidRDefault="00831B9A" w:rsidP="000676EC">
            <w:pPr>
              <w:rPr>
                <w:rFonts w:cs="Arial"/>
              </w:rPr>
            </w:pPr>
            <w:r w:rsidRPr="00831B9A">
              <w:rPr>
                <w:rFonts w:cs="Arial"/>
              </w:rPr>
              <w:t>сърдечна недостатъчност</w:t>
            </w:r>
            <w:r w:rsidRPr="00831B9A">
              <w:rPr>
                <w:rFonts w:cs="Arial"/>
                <w:vertAlign w:val="superscript"/>
              </w:rPr>
              <w:t>1</w:t>
            </w:r>
          </w:p>
        </w:tc>
      </w:tr>
      <w:tr w:rsidR="00831B9A" w14:paraId="29A6839F" w14:textId="77777777" w:rsidTr="000676EC">
        <w:tc>
          <w:tcPr>
            <w:tcW w:w="9500" w:type="dxa"/>
            <w:gridSpan w:val="2"/>
          </w:tcPr>
          <w:p w14:paraId="1BB8E66E" w14:textId="77777777" w:rsidR="00831B9A" w:rsidRPr="00831B9A" w:rsidRDefault="00831B9A" w:rsidP="000676EC">
            <w:pPr>
              <w:spacing w:line="240" w:lineRule="auto"/>
              <w:rPr>
                <w:rFonts w:eastAsia="Times New Roman" w:cs="Arial"/>
                <w:lang w:eastAsia="bg-BG"/>
              </w:rPr>
            </w:pPr>
            <w:r w:rsidRPr="00831B9A">
              <w:rPr>
                <w:rFonts w:eastAsia="Times New Roman" w:cs="Arial"/>
                <w:color w:val="000000"/>
                <w:lang w:eastAsia="bg-BG"/>
              </w:rPr>
              <w:t>Съдови нарушения</w:t>
            </w:r>
          </w:p>
          <w:p w14:paraId="1F6CBD4A" w14:textId="77777777" w:rsidR="00831B9A" w:rsidRPr="00831B9A" w:rsidRDefault="00831B9A" w:rsidP="000676EC">
            <w:pPr>
              <w:rPr>
                <w:rFonts w:cs="Arial"/>
              </w:rPr>
            </w:pPr>
          </w:p>
        </w:tc>
      </w:tr>
      <w:tr w:rsidR="00831B9A" w14:paraId="6111588C" w14:textId="77777777" w:rsidTr="000676EC">
        <w:tc>
          <w:tcPr>
            <w:tcW w:w="4750" w:type="dxa"/>
            <w:vAlign w:val="bottom"/>
          </w:tcPr>
          <w:p w14:paraId="74142607" w14:textId="77777777" w:rsidR="00831B9A" w:rsidRPr="00831B9A" w:rsidRDefault="00831B9A" w:rsidP="000676EC">
            <w:pPr>
              <w:rPr>
                <w:rFonts w:cs="Arial"/>
              </w:rPr>
            </w:pPr>
            <w:r w:rsidRPr="00831B9A">
              <w:rPr>
                <w:rFonts w:cs="Arial"/>
              </w:rPr>
              <w:t>Нечести</w:t>
            </w:r>
          </w:p>
        </w:tc>
        <w:tc>
          <w:tcPr>
            <w:tcW w:w="4750" w:type="dxa"/>
            <w:vAlign w:val="bottom"/>
          </w:tcPr>
          <w:p w14:paraId="4403CE62" w14:textId="77777777" w:rsidR="00831B9A" w:rsidRPr="00831B9A" w:rsidRDefault="00831B9A" w:rsidP="000676EC">
            <w:pPr>
              <w:rPr>
                <w:rFonts w:cs="Arial"/>
              </w:rPr>
            </w:pPr>
            <w:r w:rsidRPr="00831B9A">
              <w:rPr>
                <w:rFonts w:cs="Arial"/>
              </w:rPr>
              <w:t>хипотония</w:t>
            </w:r>
          </w:p>
        </w:tc>
      </w:tr>
      <w:tr w:rsidR="00831B9A" w14:paraId="28EFDBA8" w14:textId="77777777" w:rsidTr="000676EC">
        <w:tc>
          <w:tcPr>
            <w:tcW w:w="9500" w:type="dxa"/>
            <w:gridSpan w:val="2"/>
          </w:tcPr>
          <w:p w14:paraId="717ECF9E" w14:textId="77777777" w:rsidR="00831B9A" w:rsidRPr="00831B9A" w:rsidRDefault="00831B9A" w:rsidP="000676EC">
            <w:pPr>
              <w:rPr>
                <w:rFonts w:cs="Arial"/>
              </w:rPr>
            </w:pPr>
            <w:r w:rsidRPr="00831B9A">
              <w:rPr>
                <w:rFonts w:cs="Arial"/>
              </w:rPr>
              <w:t>Респираторни, гръдни и медиастинални нарушения</w:t>
            </w:r>
          </w:p>
        </w:tc>
      </w:tr>
      <w:tr w:rsidR="00831B9A" w14:paraId="75DCAB1D" w14:textId="77777777" w:rsidTr="000676EC">
        <w:tc>
          <w:tcPr>
            <w:tcW w:w="4750" w:type="dxa"/>
            <w:vAlign w:val="bottom"/>
          </w:tcPr>
          <w:p w14:paraId="14CA8E3B" w14:textId="77777777" w:rsidR="00831B9A" w:rsidRPr="00831B9A" w:rsidRDefault="00831B9A" w:rsidP="000676EC">
            <w:pPr>
              <w:rPr>
                <w:rFonts w:cs="Arial"/>
              </w:rPr>
            </w:pPr>
            <w:r w:rsidRPr="00831B9A">
              <w:rPr>
                <w:rFonts w:cs="Arial"/>
              </w:rPr>
              <w:t>Нечести</w:t>
            </w:r>
          </w:p>
        </w:tc>
        <w:tc>
          <w:tcPr>
            <w:tcW w:w="4750" w:type="dxa"/>
            <w:vAlign w:val="bottom"/>
          </w:tcPr>
          <w:p w14:paraId="39BF2AE0" w14:textId="77777777" w:rsidR="00831B9A" w:rsidRPr="00831B9A" w:rsidRDefault="00831B9A" w:rsidP="000676EC">
            <w:pPr>
              <w:rPr>
                <w:rFonts w:cs="Arial"/>
              </w:rPr>
            </w:pPr>
            <w:r w:rsidRPr="00831B9A">
              <w:rPr>
                <w:rFonts w:cs="Arial"/>
              </w:rPr>
              <w:t>диспнея, хълцане</w:t>
            </w:r>
          </w:p>
        </w:tc>
      </w:tr>
      <w:tr w:rsidR="00831B9A" w14:paraId="0B4F9346" w14:textId="77777777" w:rsidTr="000676EC">
        <w:tc>
          <w:tcPr>
            <w:tcW w:w="9500" w:type="dxa"/>
            <w:gridSpan w:val="2"/>
          </w:tcPr>
          <w:p w14:paraId="2D9D6C46" w14:textId="77777777" w:rsidR="00831B9A" w:rsidRPr="00831B9A" w:rsidRDefault="00831B9A" w:rsidP="000676EC">
            <w:pPr>
              <w:rPr>
                <w:rFonts w:cs="Arial"/>
              </w:rPr>
            </w:pPr>
            <w:r w:rsidRPr="00831B9A">
              <w:rPr>
                <w:rFonts w:cs="Arial"/>
              </w:rPr>
              <w:t>Стомашно-чревни нарушения</w:t>
            </w:r>
          </w:p>
        </w:tc>
      </w:tr>
      <w:tr w:rsidR="00831B9A" w14:paraId="57A803F2" w14:textId="77777777" w:rsidTr="000676EC">
        <w:tc>
          <w:tcPr>
            <w:tcW w:w="4750" w:type="dxa"/>
            <w:vAlign w:val="bottom"/>
          </w:tcPr>
          <w:p w14:paraId="06D18FBE" w14:textId="77777777" w:rsidR="00831B9A" w:rsidRPr="00831B9A" w:rsidRDefault="00831B9A" w:rsidP="000676EC">
            <w:pPr>
              <w:rPr>
                <w:rFonts w:cs="Arial"/>
              </w:rPr>
            </w:pPr>
            <w:r w:rsidRPr="00831B9A">
              <w:rPr>
                <w:rFonts w:cs="Arial"/>
              </w:rPr>
              <w:t>Много чести</w:t>
            </w:r>
          </w:p>
        </w:tc>
        <w:tc>
          <w:tcPr>
            <w:tcW w:w="4750" w:type="dxa"/>
            <w:vAlign w:val="bottom"/>
          </w:tcPr>
          <w:p w14:paraId="30841F0D" w14:textId="77777777" w:rsidR="00831B9A" w:rsidRPr="00831B9A" w:rsidRDefault="00831B9A" w:rsidP="000676EC">
            <w:pPr>
              <w:rPr>
                <w:rFonts w:cs="Arial"/>
              </w:rPr>
            </w:pPr>
            <w:r w:rsidRPr="00831B9A">
              <w:rPr>
                <w:rFonts w:cs="Arial"/>
              </w:rPr>
              <w:t>гадене</w:t>
            </w:r>
          </w:p>
        </w:tc>
      </w:tr>
      <w:tr w:rsidR="00831B9A" w14:paraId="6D1979FB" w14:textId="77777777" w:rsidTr="000676EC">
        <w:tc>
          <w:tcPr>
            <w:tcW w:w="4750" w:type="dxa"/>
          </w:tcPr>
          <w:p w14:paraId="63AC4D07" w14:textId="77777777" w:rsidR="00831B9A" w:rsidRPr="00831B9A" w:rsidRDefault="00831B9A" w:rsidP="000676EC">
            <w:pPr>
              <w:rPr>
                <w:rFonts w:cs="Arial"/>
              </w:rPr>
            </w:pPr>
            <w:r w:rsidRPr="00831B9A">
              <w:rPr>
                <w:rFonts w:cs="Arial"/>
              </w:rPr>
              <w:t>Чести</w:t>
            </w:r>
          </w:p>
        </w:tc>
        <w:tc>
          <w:tcPr>
            <w:tcW w:w="4750" w:type="dxa"/>
          </w:tcPr>
          <w:p w14:paraId="6413F7E2" w14:textId="77777777" w:rsidR="00831B9A" w:rsidRPr="00831B9A" w:rsidRDefault="00831B9A" w:rsidP="000676EC">
            <w:pPr>
              <w:rPr>
                <w:rFonts w:cs="Arial"/>
              </w:rPr>
            </w:pPr>
            <w:r w:rsidRPr="00831B9A">
              <w:rPr>
                <w:rFonts w:cs="Arial"/>
              </w:rPr>
              <w:t>запек, повръщане</w:t>
            </w:r>
          </w:p>
        </w:tc>
      </w:tr>
      <w:tr w:rsidR="00831B9A" w14:paraId="3D559AD2" w14:textId="77777777" w:rsidTr="000676EC">
        <w:tc>
          <w:tcPr>
            <w:tcW w:w="9500" w:type="dxa"/>
            <w:gridSpan w:val="2"/>
          </w:tcPr>
          <w:p w14:paraId="05698D12" w14:textId="77777777" w:rsidR="00831B9A" w:rsidRPr="00831B9A" w:rsidRDefault="00831B9A" w:rsidP="000676EC">
            <w:pPr>
              <w:rPr>
                <w:rFonts w:cs="Arial"/>
              </w:rPr>
            </w:pPr>
            <w:r w:rsidRPr="00831B9A">
              <w:rPr>
                <w:rFonts w:cs="Arial"/>
              </w:rPr>
              <w:t>Нарушения на кожата и подкожната тъкан</w:t>
            </w:r>
          </w:p>
        </w:tc>
      </w:tr>
      <w:tr w:rsidR="00831B9A" w14:paraId="74AEEB52" w14:textId="77777777" w:rsidTr="000676EC">
        <w:tc>
          <w:tcPr>
            <w:tcW w:w="4750" w:type="dxa"/>
          </w:tcPr>
          <w:p w14:paraId="1821355F" w14:textId="77777777" w:rsidR="00831B9A" w:rsidRPr="00831B9A" w:rsidRDefault="00831B9A" w:rsidP="000676EC">
            <w:pPr>
              <w:rPr>
                <w:rFonts w:cs="Arial"/>
              </w:rPr>
            </w:pPr>
            <w:r w:rsidRPr="00831B9A">
              <w:rPr>
                <w:rFonts w:cs="Arial"/>
              </w:rPr>
              <w:t>Нечести</w:t>
            </w:r>
          </w:p>
        </w:tc>
        <w:tc>
          <w:tcPr>
            <w:tcW w:w="4750" w:type="dxa"/>
          </w:tcPr>
          <w:p w14:paraId="4D093123" w14:textId="77777777" w:rsidR="00831B9A" w:rsidRPr="00831B9A" w:rsidRDefault="00831B9A" w:rsidP="000676EC">
            <w:pPr>
              <w:rPr>
                <w:rFonts w:cs="Arial"/>
              </w:rPr>
            </w:pPr>
            <w:r w:rsidRPr="00831B9A">
              <w:rPr>
                <w:rFonts w:cs="Arial"/>
              </w:rPr>
              <w:t>реакции на свръхчувствителност, сърбеж, обрив</w:t>
            </w:r>
          </w:p>
        </w:tc>
      </w:tr>
      <w:tr w:rsidR="00831B9A" w14:paraId="48C07906" w14:textId="77777777" w:rsidTr="000676EC">
        <w:tc>
          <w:tcPr>
            <w:tcW w:w="9500" w:type="dxa"/>
            <w:gridSpan w:val="2"/>
          </w:tcPr>
          <w:p w14:paraId="7586A04C" w14:textId="77777777" w:rsidR="00831B9A" w:rsidRPr="00831B9A" w:rsidRDefault="00831B9A" w:rsidP="000676EC">
            <w:pPr>
              <w:rPr>
                <w:rFonts w:cs="Arial"/>
              </w:rPr>
            </w:pPr>
            <w:r w:rsidRPr="00831B9A">
              <w:rPr>
                <w:rFonts w:cs="Arial"/>
              </w:rPr>
              <w:t>Общи нарушения и ефекти на мястото на приложение</w:t>
            </w:r>
          </w:p>
        </w:tc>
      </w:tr>
      <w:tr w:rsidR="00831B9A" w14:paraId="20B39B5B" w14:textId="77777777" w:rsidTr="000676EC">
        <w:tc>
          <w:tcPr>
            <w:tcW w:w="4750" w:type="dxa"/>
          </w:tcPr>
          <w:p w14:paraId="1AEFA6EF" w14:textId="77777777" w:rsidR="00831B9A" w:rsidRPr="00831B9A" w:rsidRDefault="00831B9A" w:rsidP="000676EC">
            <w:pPr>
              <w:rPr>
                <w:rFonts w:cs="Arial"/>
              </w:rPr>
            </w:pPr>
            <w:r w:rsidRPr="00831B9A">
              <w:rPr>
                <w:rFonts w:cs="Arial"/>
              </w:rPr>
              <w:t>Чести</w:t>
            </w:r>
          </w:p>
        </w:tc>
        <w:tc>
          <w:tcPr>
            <w:tcW w:w="4750" w:type="dxa"/>
          </w:tcPr>
          <w:p w14:paraId="76E3EACC" w14:textId="77777777" w:rsidR="00831B9A" w:rsidRPr="00831B9A" w:rsidRDefault="00831B9A" w:rsidP="000676EC">
            <w:pPr>
              <w:rPr>
                <w:rFonts w:cs="Arial"/>
              </w:rPr>
            </w:pPr>
            <w:r w:rsidRPr="00831B9A">
              <w:rPr>
                <w:rFonts w:cs="Arial"/>
              </w:rPr>
              <w:t>умора</w:t>
            </w:r>
          </w:p>
        </w:tc>
      </w:tr>
      <w:tr w:rsidR="00831B9A" w14:paraId="67C97E1C" w14:textId="77777777" w:rsidTr="000676EC">
        <w:tc>
          <w:tcPr>
            <w:tcW w:w="4750" w:type="dxa"/>
          </w:tcPr>
          <w:p w14:paraId="255BC6A8" w14:textId="77777777" w:rsidR="00831B9A" w:rsidRPr="00831B9A" w:rsidRDefault="00831B9A" w:rsidP="000676EC">
            <w:pPr>
              <w:rPr>
                <w:rFonts w:cs="Arial"/>
              </w:rPr>
            </w:pPr>
            <w:r w:rsidRPr="00831B9A">
              <w:rPr>
                <w:rFonts w:cs="Arial"/>
              </w:rPr>
              <w:t>Нечести</w:t>
            </w:r>
          </w:p>
        </w:tc>
        <w:tc>
          <w:tcPr>
            <w:tcW w:w="4750" w:type="dxa"/>
          </w:tcPr>
          <w:p w14:paraId="4CE0D147" w14:textId="77777777" w:rsidR="00831B9A" w:rsidRPr="00831B9A" w:rsidRDefault="00831B9A" w:rsidP="000676EC">
            <w:pPr>
              <w:rPr>
                <w:rFonts w:cs="Arial"/>
              </w:rPr>
            </w:pPr>
            <w:r w:rsidRPr="00831B9A">
              <w:rPr>
                <w:rFonts w:cs="Arial"/>
              </w:rPr>
              <w:t>периферен оток</w:t>
            </w:r>
          </w:p>
        </w:tc>
      </w:tr>
      <w:tr w:rsidR="00831B9A" w14:paraId="011A98A9" w14:textId="77777777" w:rsidTr="000676EC">
        <w:tc>
          <w:tcPr>
            <w:tcW w:w="4750" w:type="dxa"/>
          </w:tcPr>
          <w:p w14:paraId="37F7F8E6" w14:textId="77777777" w:rsidR="00831B9A" w:rsidRPr="00831B9A" w:rsidRDefault="00831B9A" w:rsidP="000676EC">
            <w:pPr>
              <w:rPr>
                <w:rFonts w:cs="Arial"/>
              </w:rPr>
            </w:pPr>
            <w:r w:rsidRPr="00831B9A">
              <w:rPr>
                <w:rFonts w:cs="Arial"/>
              </w:rPr>
              <w:t>С неизвестна честота</w:t>
            </w:r>
          </w:p>
        </w:tc>
        <w:tc>
          <w:tcPr>
            <w:tcW w:w="4750" w:type="dxa"/>
          </w:tcPr>
          <w:p w14:paraId="3F146BA4" w14:textId="77777777" w:rsidR="00831B9A" w:rsidRPr="00831B9A" w:rsidRDefault="00831B9A" w:rsidP="000676EC">
            <w:pPr>
              <w:rPr>
                <w:rFonts w:cs="Arial"/>
              </w:rPr>
            </w:pPr>
            <w:r w:rsidRPr="00831B9A">
              <w:rPr>
                <w:rFonts w:cs="Arial"/>
              </w:rPr>
              <w:t>Синдром на отнемане на допаминов агонист,</w:t>
            </w:r>
            <w:r w:rsidRPr="00831B9A">
              <w:rPr>
                <w:rFonts w:cs="Arial"/>
              </w:rPr>
              <w:tab/>
              <w:t>включващ</w:t>
            </w:r>
            <w:r w:rsidRPr="00831B9A">
              <w:rPr>
                <w:rFonts w:cs="Arial"/>
              </w:rPr>
              <w:tab/>
              <w:t>апатия,</w:t>
            </w:r>
          </w:p>
          <w:p w14:paraId="0D72557D" w14:textId="77777777" w:rsidR="00831B9A" w:rsidRPr="00831B9A" w:rsidRDefault="00831B9A" w:rsidP="000676EC">
            <w:pPr>
              <w:rPr>
                <w:rFonts w:cs="Arial"/>
              </w:rPr>
            </w:pPr>
            <w:r w:rsidRPr="00831B9A">
              <w:rPr>
                <w:rFonts w:cs="Arial"/>
              </w:rPr>
              <w:t>безпокойство,</w:t>
            </w:r>
            <w:r w:rsidRPr="00831B9A">
              <w:rPr>
                <w:rFonts w:cs="Arial"/>
              </w:rPr>
              <w:tab/>
              <w:t>депресия,</w:t>
            </w:r>
            <w:r w:rsidRPr="00831B9A">
              <w:rPr>
                <w:rFonts w:cs="Arial"/>
              </w:rPr>
              <w:tab/>
              <w:t>умора,</w:t>
            </w:r>
          </w:p>
          <w:p w14:paraId="764646E4" w14:textId="77777777" w:rsidR="00831B9A" w:rsidRPr="00831B9A" w:rsidRDefault="00831B9A" w:rsidP="000676EC">
            <w:pPr>
              <w:rPr>
                <w:rFonts w:cs="Arial"/>
              </w:rPr>
            </w:pPr>
            <w:r w:rsidRPr="00831B9A">
              <w:rPr>
                <w:rFonts w:cs="Arial"/>
              </w:rPr>
              <w:t>изпотяване и болка.</w:t>
            </w:r>
          </w:p>
        </w:tc>
      </w:tr>
      <w:tr w:rsidR="00831B9A" w14:paraId="044F4A73" w14:textId="77777777" w:rsidTr="000676EC">
        <w:tc>
          <w:tcPr>
            <w:tcW w:w="9500" w:type="dxa"/>
            <w:gridSpan w:val="2"/>
          </w:tcPr>
          <w:p w14:paraId="745F3A5F" w14:textId="77777777" w:rsidR="00831B9A" w:rsidRPr="00831B9A" w:rsidRDefault="00831B9A" w:rsidP="000676EC">
            <w:pPr>
              <w:rPr>
                <w:rFonts w:cs="Arial"/>
              </w:rPr>
            </w:pPr>
            <w:r w:rsidRPr="00831B9A">
              <w:rPr>
                <w:rFonts w:cs="Arial"/>
              </w:rPr>
              <w:t>Изследвания</w:t>
            </w:r>
          </w:p>
        </w:tc>
      </w:tr>
      <w:tr w:rsidR="00831B9A" w14:paraId="6A3D3E08" w14:textId="77777777" w:rsidTr="000676EC">
        <w:tc>
          <w:tcPr>
            <w:tcW w:w="4750" w:type="dxa"/>
          </w:tcPr>
          <w:p w14:paraId="70E7C70F" w14:textId="77777777" w:rsidR="00831B9A" w:rsidRPr="00831B9A" w:rsidRDefault="00831B9A" w:rsidP="000676EC">
            <w:pPr>
              <w:rPr>
                <w:rFonts w:cs="Arial"/>
              </w:rPr>
            </w:pPr>
            <w:r w:rsidRPr="00831B9A">
              <w:rPr>
                <w:rFonts w:cs="Arial"/>
              </w:rPr>
              <w:t>Нечести</w:t>
            </w:r>
          </w:p>
        </w:tc>
        <w:tc>
          <w:tcPr>
            <w:tcW w:w="4750" w:type="dxa"/>
          </w:tcPr>
          <w:p w14:paraId="06CC8DE1" w14:textId="77777777" w:rsidR="00831B9A" w:rsidRPr="00831B9A" w:rsidRDefault="00831B9A" w:rsidP="000676EC">
            <w:pPr>
              <w:rPr>
                <w:rFonts w:cs="Arial"/>
              </w:rPr>
            </w:pPr>
            <w:r w:rsidRPr="00831B9A">
              <w:rPr>
                <w:rFonts w:cs="Arial"/>
              </w:rPr>
              <w:t>Понижаване на теглото,</w:t>
            </w:r>
          </w:p>
          <w:p w14:paraId="706B94ED" w14:textId="77777777" w:rsidR="00831B9A" w:rsidRPr="00831B9A" w:rsidRDefault="00831B9A" w:rsidP="000676EC">
            <w:pPr>
              <w:rPr>
                <w:rFonts w:cs="Arial"/>
              </w:rPr>
            </w:pPr>
            <w:r w:rsidRPr="00831B9A">
              <w:rPr>
                <w:rFonts w:cs="Arial"/>
              </w:rPr>
              <w:t>включителнопонижен апетит, покачване на теглото</w:t>
            </w:r>
          </w:p>
        </w:tc>
      </w:tr>
    </w:tbl>
    <w:p w14:paraId="4A81B583"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vertAlign w:val="superscript"/>
          <w:lang w:eastAsia="bg-BG"/>
        </w:rPr>
        <w:t>1</w:t>
      </w:r>
      <w:r w:rsidRPr="00831B9A">
        <w:rPr>
          <w:rFonts w:eastAsia="Times New Roman" w:cs="Arial"/>
          <w:color w:val="000000"/>
          <w:lang w:eastAsia="bg-BG"/>
        </w:rPr>
        <w:t xml:space="preserve"> Тази нежелана реакция е наблюдавана по време постмаркетинговия опит. С 95% точност, Групата на честотата е не повече от нечеста, но може да бъде и по-ниска. Прецизно изчисляване на честотата не е възможно, тъй като нежеланата реакция не се е появявала в базата данни от клинични изпитвания на 1 395 пациенти с друго показание, лекувани с прамипексол.</w:t>
      </w:r>
    </w:p>
    <w:p w14:paraId="6D1D3F0D" w14:textId="77777777" w:rsidR="00831B9A" w:rsidRPr="00831B9A" w:rsidRDefault="00831B9A" w:rsidP="00831B9A">
      <w:pPr>
        <w:spacing w:line="240" w:lineRule="auto"/>
        <w:rPr>
          <w:rFonts w:eastAsia="Times New Roman" w:cs="Arial"/>
          <w:color w:val="000000"/>
          <w:u w:val="single"/>
          <w:lang w:eastAsia="bg-BG"/>
        </w:rPr>
      </w:pPr>
    </w:p>
    <w:p w14:paraId="1608B51C"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Сънливост</w:t>
      </w:r>
    </w:p>
    <w:p w14:paraId="6718AF7D"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Прамипексол е свързан често със сънливост и нечесто се свързва с прекомерна сънливост през деня и епизоди на внезапно заспиване (вижте също точка 4.4).</w:t>
      </w:r>
    </w:p>
    <w:p w14:paraId="391130B8" w14:textId="77777777" w:rsidR="00831B9A" w:rsidRPr="00831B9A" w:rsidRDefault="00831B9A" w:rsidP="00831B9A">
      <w:pPr>
        <w:spacing w:line="240" w:lineRule="auto"/>
        <w:rPr>
          <w:rFonts w:eastAsia="Times New Roman" w:cs="Arial"/>
          <w:color w:val="000000"/>
          <w:u w:val="single"/>
          <w:lang w:eastAsia="bg-BG"/>
        </w:rPr>
      </w:pPr>
    </w:p>
    <w:p w14:paraId="6386C24E"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Нарушения в либидото</w:t>
      </w:r>
    </w:p>
    <w:p w14:paraId="43D924C5"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Прамипексол може да бъде свързан нечесто с нарушения в либидото (повишаване или понижаване).</w:t>
      </w:r>
    </w:p>
    <w:p w14:paraId="7C646BC2" w14:textId="77777777" w:rsidR="00831B9A" w:rsidRPr="00831B9A" w:rsidRDefault="00831B9A" w:rsidP="00831B9A">
      <w:pPr>
        <w:spacing w:line="240" w:lineRule="auto"/>
        <w:rPr>
          <w:rFonts w:eastAsia="Times New Roman" w:cs="Arial"/>
          <w:color w:val="000000"/>
          <w:u w:val="single"/>
          <w:lang w:eastAsia="bg-BG"/>
        </w:rPr>
      </w:pPr>
    </w:p>
    <w:p w14:paraId="3386FBA5"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Нарушения в контрола на импулсите</w:t>
      </w:r>
    </w:p>
    <w:p w14:paraId="5C70C0AE"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lastRenderedPageBreak/>
        <w:t>Патологична склонност към хазарт, повишено либидо, хиперсексуалност, компулсивно харчене и пазаруване, преяждане и компулсивно преяждане могат да се появят при пациенти, лекувани с допаминови агонисти, включително МЕДОПЕКСОЛ (вижте точка 4.4).</w:t>
      </w:r>
    </w:p>
    <w:p w14:paraId="6C9CC7F2" w14:textId="77777777" w:rsidR="00831B9A" w:rsidRPr="00831B9A" w:rsidRDefault="00831B9A" w:rsidP="00831B9A">
      <w:pPr>
        <w:spacing w:line="240" w:lineRule="auto"/>
        <w:rPr>
          <w:rFonts w:eastAsia="Times New Roman" w:cs="Arial"/>
          <w:color w:val="000000"/>
          <w:lang w:eastAsia="bg-BG"/>
        </w:rPr>
      </w:pPr>
    </w:p>
    <w:p w14:paraId="55AF8EF7"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В ретроспективен скрининг на представителна извадка и проучване случай-контрола, включващи 3090 пациенти с Парконсонова болест, 13,6% от всички пациенти, подложени на допаминергично лечение или не-допаминергично лечение имат симптоми на нарушение в контрола на импулсите в периода на последните шест месеца. Наблюдаваните прояви включват патологична склонност към хазарт, прекомерна склонност към пазаруване, компулсивно преяждане и натрапчиво сексуално поведение (повишена сексуалност). Възможните независими рискови фактори за нарушения в контрола на импулсите включват допаминергично лечение и по-високи дози на допаминергично лечение, по-млада възраст (≤ 65 години), безбрачие и съобщена фамилна анамнеза за склонност към хазарт.</w:t>
      </w:r>
    </w:p>
    <w:p w14:paraId="4B0C83E7" w14:textId="77777777" w:rsidR="00831B9A" w:rsidRPr="00831B9A" w:rsidRDefault="00831B9A" w:rsidP="00831B9A">
      <w:pPr>
        <w:spacing w:line="240" w:lineRule="auto"/>
        <w:rPr>
          <w:rFonts w:eastAsia="Times New Roman" w:cs="Arial"/>
          <w:color w:val="000000"/>
          <w:u w:val="single"/>
          <w:lang w:eastAsia="bg-BG"/>
        </w:rPr>
      </w:pPr>
    </w:p>
    <w:p w14:paraId="3A2D1D85"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Синдром на отнемане на допаминов агонист</w:t>
      </w:r>
    </w:p>
    <w:p w14:paraId="6FD240AB"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При намаляване или прекратяване на приема на допаминови агонисти, включително прамипексол, може да възникнат немоторни нежелани реакции. Симптомите включват апатия, безпокойство, депресия, умора, изпотяване и болка (вж. точка 4.4),</w:t>
      </w:r>
    </w:p>
    <w:p w14:paraId="7007D9A7" w14:textId="77777777" w:rsidR="00831B9A" w:rsidRPr="00831B9A" w:rsidRDefault="00831B9A" w:rsidP="00831B9A">
      <w:pPr>
        <w:spacing w:line="240" w:lineRule="auto"/>
        <w:rPr>
          <w:rFonts w:eastAsia="Times New Roman" w:cs="Arial"/>
          <w:color w:val="000000"/>
          <w:u w:val="single"/>
          <w:lang w:eastAsia="bg-BG"/>
        </w:rPr>
      </w:pPr>
    </w:p>
    <w:p w14:paraId="7835CD7B"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Сърдечна недостатъчност</w:t>
      </w:r>
    </w:p>
    <w:p w14:paraId="4318E497"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По време на клинични проучвания и постмаркетинговия опит е съобщавана с</w:t>
      </w:r>
      <w:r w:rsidRPr="00831B9A">
        <w:rPr>
          <w:rFonts w:eastAsia="Times New Roman" w:cs="Arial"/>
          <w:color w:val="000000"/>
          <w:u w:val="single"/>
          <w:lang w:eastAsia="bg-BG"/>
        </w:rPr>
        <w:t>ърдеч</w:t>
      </w:r>
      <w:r w:rsidRPr="00831B9A">
        <w:rPr>
          <w:rFonts w:eastAsia="Times New Roman" w:cs="Arial"/>
          <w:color w:val="000000"/>
          <w:lang w:eastAsia="bg-BG"/>
        </w:rPr>
        <w:t>на недостатъчност при пациенти с прамипексол. По време на фармакоепидемиологичните проучвания приложението на прамипексол е свързано с повишен риск от сърдечна недостатъчност в сравнение с неприлагането на прамипексол (наблюдавана степен на риска 1,86; 95%С1,1,21 -2,85).</w:t>
      </w:r>
    </w:p>
    <w:p w14:paraId="2D0646E7" w14:textId="77777777" w:rsidR="00831B9A" w:rsidRPr="00831B9A" w:rsidRDefault="00831B9A" w:rsidP="00831B9A">
      <w:pPr>
        <w:rPr>
          <w:rFonts w:eastAsia="Times New Roman" w:cs="Arial"/>
          <w:color w:val="000000"/>
          <w:u w:val="single"/>
          <w:lang w:eastAsia="bg-BG"/>
        </w:rPr>
      </w:pPr>
    </w:p>
    <w:p w14:paraId="64DAE1C9" w14:textId="77777777" w:rsidR="00831B9A" w:rsidRPr="00831B9A" w:rsidRDefault="00831B9A" w:rsidP="00831B9A">
      <w:pPr>
        <w:rPr>
          <w:rFonts w:cs="Arial"/>
        </w:rPr>
      </w:pPr>
      <w:r w:rsidRPr="00831B9A">
        <w:rPr>
          <w:rFonts w:eastAsia="Times New Roman" w:cs="Arial"/>
          <w:color w:val="000000"/>
          <w:u w:val="single"/>
          <w:lang w:eastAsia="bg-BG"/>
        </w:rPr>
        <w:t>Съобщаване на подозирани нежелани реакции</w:t>
      </w:r>
    </w:p>
    <w:p w14:paraId="3C14BC01" w14:textId="77777777" w:rsidR="00831B9A" w:rsidRDefault="00831B9A" w:rsidP="00831B9A">
      <w:pPr>
        <w:spacing w:line="240" w:lineRule="auto"/>
        <w:rPr>
          <w:rFonts w:eastAsia="Times New Roman" w:cs="Arial"/>
          <w:color w:val="000000"/>
          <w:lang w:eastAsia="bg-BG"/>
        </w:rPr>
      </w:pPr>
      <w:r w:rsidRPr="00831B9A">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 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w:t>
      </w:r>
    </w:p>
    <w:p w14:paraId="027D3FFE" w14:textId="77777777" w:rsidR="00831B9A" w:rsidRDefault="00831B9A" w:rsidP="00831B9A">
      <w:pPr>
        <w:spacing w:line="240" w:lineRule="auto"/>
        <w:rPr>
          <w:rFonts w:eastAsia="Times New Roman" w:cs="Arial"/>
          <w:color w:val="000000"/>
          <w:lang w:eastAsia="bg-BG"/>
        </w:rPr>
      </w:pPr>
      <w:r w:rsidRPr="00831B9A">
        <w:rPr>
          <w:rFonts w:eastAsia="Times New Roman" w:cs="Arial"/>
          <w:color w:val="000000"/>
          <w:lang w:eastAsia="bg-BG"/>
        </w:rPr>
        <w:t xml:space="preserve">Изпълнителна агенция по лекарствата </w:t>
      </w:r>
    </w:p>
    <w:p w14:paraId="1A0CADA5" w14:textId="77777777" w:rsidR="00831B9A" w:rsidRPr="00831B9A" w:rsidRDefault="00831B9A" w:rsidP="00831B9A">
      <w:pPr>
        <w:spacing w:line="240" w:lineRule="auto"/>
        <w:rPr>
          <w:rFonts w:eastAsia="Times New Roman" w:cs="Arial"/>
          <w:lang w:eastAsia="bg-BG"/>
        </w:rPr>
      </w:pPr>
      <w:r w:rsidRPr="00831B9A">
        <w:rPr>
          <w:rFonts w:eastAsia="Times New Roman" w:cs="Arial"/>
          <w:color w:val="000000"/>
          <w:lang w:eastAsia="bg-BG"/>
        </w:rPr>
        <w:t>ул. „Дамян Груев” № 8</w:t>
      </w:r>
    </w:p>
    <w:p w14:paraId="736E5986" w14:textId="77777777" w:rsidR="00831B9A" w:rsidRPr="00831B9A" w:rsidRDefault="00831B9A" w:rsidP="00831B9A">
      <w:pPr>
        <w:spacing w:line="240" w:lineRule="auto"/>
        <w:rPr>
          <w:rFonts w:eastAsia="Times New Roman" w:cs="Arial"/>
          <w:lang w:eastAsia="bg-BG"/>
        </w:rPr>
      </w:pPr>
      <w:r w:rsidRPr="00831B9A">
        <w:rPr>
          <w:rFonts w:eastAsia="Times New Roman" w:cs="Arial"/>
          <w:color w:val="000000"/>
          <w:lang w:eastAsia="bg-BG"/>
        </w:rPr>
        <w:t>1303 София</w:t>
      </w:r>
    </w:p>
    <w:p w14:paraId="6B6D5E91" w14:textId="77777777" w:rsidR="00831B9A" w:rsidRPr="00831B9A" w:rsidRDefault="00831B9A" w:rsidP="00831B9A">
      <w:pPr>
        <w:spacing w:line="240" w:lineRule="auto"/>
        <w:rPr>
          <w:rFonts w:eastAsia="Times New Roman" w:cs="Arial"/>
          <w:lang w:eastAsia="bg-BG"/>
        </w:rPr>
      </w:pPr>
      <w:r w:rsidRPr="00831B9A">
        <w:rPr>
          <w:rFonts w:eastAsia="Times New Roman" w:cs="Arial"/>
          <w:color w:val="000000"/>
          <w:lang w:eastAsia="bg-BG"/>
        </w:rPr>
        <w:t>Тел.:+359 2 8903417</w:t>
      </w:r>
    </w:p>
    <w:p w14:paraId="5DD1C84D" w14:textId="77777777" w:rsidR="00831B9A" w:rsidRPr="00831B9A" w:rsidRDefault="00831B9A" w:rsidP="00831B9A">
      <w:pPr>
        <w:rPr>
          <w:rFonts w:cs="Arial"/>
        </w:rPr>
      </w:pPr>
      <w:r w:rsidRPr="00831B9A">
        <w:rPr>
          <w:rFonts w:eastAsia="Times New Roman" w:cs="Arial"/>
          <w:color w:val="000000"/>
          <w:lang w:eastAsia="bg-BG"/>
        </w:rPr>
        <w:t xml:space="preserve">уебсайт: </w:t>
      </w:r>
      <w:hyperlink r:id="rId5" w:history="1">
        <w:r w:rsidRPr="00831B9A">
          <w:rPr>
            <w:rFonts w:eastAsia="Times New Roman" w:cs="Arial"/>
            <w:color w:val="000000"/>
            <w:u w:val="single"/>
            <w:lang w:val="en-US"/>
          </w:rPr>
          <w:t>www.bda.bg</w:t>
        </w:r>
      </w:hyperlink>
    </w:p>
    <w:p w14:paraId="495B32FD" w14:textId="53FE13E7" w:rsidR="00831B9A" w:rsidRPr="0091385D" w:rsidRDefault="00831B9A" w:rsidP="0091385D"/>
    <w:p w14:paraId="0A023CE0" w14:textId="13F87CFD" w:rsidR="00CF77F7" w:rsidRDefault="002C50EE" w:rsidP="004A448E">
      <w:pPr>
        <w:pStyle w:val="Heading2"/>
      </w:pPr>
      <w:r>
        <w:t>4.9. Предозиране</w:t>
      </w:r>
    </w:p>
    <w:p w14:paraId="3EDFC3FC" w14:textId="12BDDE77" w:rsidR="0091385D" w:rsidRDefault="0091385D" w:rsidP="0091385D"/>
    <w:p w14:paraId="190C403E" w14:textId="00E90923" w:rsidR="00831B9A" w:rsidRDefault="00831B9A" w:rsidP="0091385D">
      <w:r>
        <w:t>Няма клиничен опит с тежки случаи на предозиране. Очакваните нежелани реакции са тези, съответстващи на фармакодинамичния профил на допаминов агонист, включващи гадене, повръщане, хиперкинезия, халюцинации, възбуда и хипотония. Не е установен антидот при предозиране с допаминов агонист. При наличие на симптоми за стимулиране на централната нервна система може да се приложат невролептици. При предозиране може да са необходими общи поддържащи мероприятия в комбинация със стомашна промивка, интравенозни инфузии, прилагане на активен въглен и мониториране на ЕКГ.</w:t>
      </w:r>
    </w:p>
    <w:p w14:paraId="3CE90F61" w14:textId="77777777" w:rsidR="00831B9A" w:rsidRDefault="00831B9A"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C373E36"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Фармакотерапевтична група: антипаркинсонови лекарства, допаминови агонисти, АТС код: </w:t>
      </w:r>
      <w:r w:rsidRPr="00831B9A">
        <w:rPr>
          <w:rFonts w:eastAsia="Times New Roman" w:cs="Arial"/>
          <w:color w:val="000000"/>
          <w:lang w:val="en-US"/>
        </w:rPr>
        <w:t xml:space="preserve">N04B </w:t>
      </w:r>
      <w:r w:rsidRPr="00831B9A">
        <w:rPr>
          <w:rFonts w:eastAsia="Times New Roman" w:cs="Arial"/>
          <w:color w:val="000000"/>
          <w:lang w:eastAsia="bg-BG"/>
        </w:rPr>
        <w:t>С05</w:t>
      </w:r>
    </w:p>
    <w:p w14:paraId="67574062" w14:textId="77777777" w:rsidR="00831B9A" w:rsidRPr="00831B9A" w:rsidRDefault="00831B9A" w:rsidP="00831B9A">
      <w:pPr>
        <w:spacing w:line="240" w:lineRule="auto"/>
        <w:rPr>
          <w:rFonts w:eastAsia="Times New Roman" w:cs="Arial"/>
          <w:color w:val="000000"/>
          <w:u w:val="single"/>
          <w:lang w:eastAsia="bg-BG"/>
        </w:rPr>
      </w:pPr>
    </w:p>
    <w:p w14:paraId="7E5A688B" w14:textId="4421FF98"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Механизъм на действие</w:t>
      </w:r>
    </w:p>
    <w:p w14:paraId="6D698EE9"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Прамипексол е допаминов агонист, който се свързва с висока селективност и специфичност с </w:t>
      </w:r>
      <w:r w:rsidRPr="00831B9A">
        <w:rPr>
          <w:rFonts w:eastAsia="Times New Roman" w:cs="Arial"/>
          <w:color w:val="000000"/>
          <w:lang w:val="en-US"/>
        </w:rPr>
        <w:t xml:space="preserve">D2 </w:t>
      </w:r>
      <w:r w:rsidRPr="00831B9A">
        <w:rPr>
          <w:rFonts w:eastAsia="Times New Roman" w:cs="Arial"/>
          <w:color w:val="000000"/>
          <w:lang w:eastAsia="bg-BG"/>
        </w:rPr>
        <w:t xml:space="preserve">субгрупата на допаминовите рецептори, и по-специално има афинитет към техния подтип </w:t>
      </w:r>
      <w:r w:rsidRPr="00831B9A">
        <w:rPr>
          <w:rFonts w:eastAsia="Times New Roman" w:cs="Arial"/>
          <w:color w:val="000000"/>
          <w:lang w:val="en-US"/>
        </w:rPr>
        <w:t xml:space="preserve">D3, </w:t>
      </w:r>
      <w:r w:rsidRPr="00831B9A">
        <w:rPr>
          <w:rFonts w:eastAsia="Times New Roman" w:cs="Arial"/>
          <w:color w:val="000000"/>
          <w:lang w:eastAsia="bg-BG"/>
        </w:rPr>
        <w:t>и има пълна вътрешна активност.</w:t>
      </w:r>
    </w:p>
    <w:p w14:paraId="5D4ECB02" w14:textId="77777777" w:rsidR="00831B9A" w:rsidRPr="00831B9A" w:rsidRDefault="00831B9A" w:rsidP="00831B9A">
      <w:pPr>
        <w:spacing w:line="240" w:lineRule="auto"/>
        <w:rPr>
          <w:rFonts w:eastAsia="Times New Roman" w:cs="Arial"/>
          <w:color w:val="000000"/>
          <w:lang w:eastAsia="bg-BG"/>
        </w:rPr>
      </w:pPr>
    </w:p>
    <w:p w14:paraId="059C6893" w14:textId="194DEB76"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Прамипексол облекчава проявите на Паркинсонова моторна недостатъчност чрез стимулиране на допаминовите рецептори в стриатума. Проучвания при животни сочат, че прамипексол инхибира синтеза, отделянето и метаболизма на допамина.</w:t>
      </w:r>
    </w:p>
    <w:p w14:paraId="124A36B9" w14:textId="77777777" w:rsidR="00831B9A" w:rsidRPr="00831B9A" w:rsidRDefault="00831B9A" w:rsidP="00831B9A">
      <w:pPr>
        <w:spacing w:line="240" w:lineRule="auto"/>
        <w:rPr>
          <w:rFonts w:eastAsia="Times New Roman" w:cs="Arial"/>
          <w:color w:val="000000"/>
          <w:u w:val="single"/>
          <w:lang w:eastAsia="bg-BG"/>
        </w:rPr>
      </w:pPr>
    </w:p>
    <w:p w14:paraId="5C64807B" w14:textId="50456BED"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Фармакодинамични ефекти</w:t>
      </w:r>
    </w:p>
    <w:p w14:paraId="16A1C78D"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При доброволци е наблюдавано дозозависимо намаление на пролактин. При клинично изпитване със здрави доброволци, в което прамипексол таблетки с удължено освобождаване е титриран по-бързо (на всеки 3 дни) от препоръчваните 3,15 </w:t>
      </w:r>
      <w:r w:rsidRPr="00831B9A">
        <w:rPr>
          <w:rFonts w:eastAsia="Times New Roman" w:cs="Arial"/>
          <w:color w:val="000000"/>
          <w:lang w:val="en-US"/>
        </w:rPr>
        <w:t xml:space="preserve">mg </w:t>
      </w:r>
      <w:r w:rsidRPr="00831B9A">
        <w:rPr>
          <w:rFonts w:eastAsia="Times New Roman" w:cs="Arial"/>
          <w:color w:val="000000"/>
          <w:lang w:eastAsia="bg-BG"/>
        </w:rPr>
        <w:t xml:space="preserve">прамипексол база (4,5 </w:t>
      </w:r>
      <w:r w:rsidRPr="00831B9A">
        <w:rPr>
          <w:rFonts w:eastAsia="Times New Roman" w:cs="Arial"/>
          <w:color w:val="000000"/>
          <w:lang w:val="en-US"/>
        </w:rPr>
        <w:t xml:space="preserve">mg </w:t>
      </w:r>
      <w:r w:rsidRPr="00831B9A">
        <w:rPr>
          <w:rFonts w:eastAsia="Times New Roman" w:cs="Arial"/>
          <w:color w:val="000000"/>
          <w:lang w:eastAsia="bg-BG"/>
        </w:rPr>
        <w:t>сол) на ден, е наблюдавано повишаване на кръвното налягане и ускоряване на сърдечния ритъм. Такива ефекти не се наблюдават при изпитване с пациенти.</w:t>
      </w:r>
    </w:p>
    <w:p w14:paraId="5ED94553" w14:textId="77777777" w:rsidR="00831B9A" w:rsidRPr="00831B9A" w:rsidRDefault="00831B9A" w:rsidP="00831B9A">
      <w:pPr>
        <w:spacing w:line="240" w:lineRule="auto"/>
        <w:rPr>
          <w:rFonts w:eastAsia="Times New Roman" w:cs="Arial"/>
          <w:color w:val="000000"/>
          <w:u w:val="single"/>
          <w:lang w:eastAsia="bg-BG"/>
        </w:rPr>
      </w:pPr>
    </w:p>
    <w:p w14:paraId="57713008" w14:textId="0B4B326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Клинична ефикасност и безопасност при болест на Паркинсон</w:t>
      </w:r>
    </w:p>
    <w:p w14:paraId="2C4C8B82"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При пациентите прамипексол намалява признаците и симптомите на идиопатичната болест на Паркинсон. Проведени са плацебо контролирани клинични проучвания, включващи 1 800 пациента в стадий на заболяване </w:t>
      </w:r>
      <w:r w:rsidRPr="00831B9A">
        <w:rPr>
          <w:rFonts w:eastAsia="Times New Roman" w:cs="Arial"/>
          <w:color w:val="000000"/>
          <w:lang w:val="en-US"/>
        </w:rPr>
        <w:t xml:space="preserve">I-V </w:t>
      </w:r>
      <w:r w:rsidRPr="00831B9A">
        <w:rPr>
          <w:rFonts w:eastAsia="Times New Roman" w:cs="Arial"/>
          <w:color w:val="000000"/>
          <w:lang w:eastAsia="bg-BG"/>
        </w:rPr>
        <w:t xml:space="preserve">по </w:t>
      </w:r>
      <w:proofErr w:type="spellStart"/>
      <w:r w:rsidRPr="00831B9A">
        <w:rPr>
          <w:rFonts w:eastAsia="Times New Roman" w:cs="Arial"/>
          <w:color w:val="000000"/>
          <w:lang w:val="en-US"/>
        </w:rPr>
        <w:t>Hoehn</w:t>
      </w:r>
      <w:proofErr w:type="spellEnd"/>
      <w:r w:rsidRPr="00831B9A">
        <w:rPr>
          <w:rFonts w:eastAsia="Times New Roman" w:cs="Arial"/>
          <w:color w:val="000000"/>
          <w:lang w:val="en-US"/>
        </w:rPr>
        <w:t xml:space="preserve"> </w:t>
      </w:r>
      <w:r w:rsidRPr="00831B9A">
        <w:rPr>
          <w:rFonts w:eastAsia="Times New Roman" w:cs="Arial"/>
          <w:color w:val="000000"/>
          <w:lang w:eastAsia="bg-BG"/>
        </w:rPr>
        <w:t xml:space="preserve">и </w:t>
      </w:r>
      <w:proofErr w:type="spellStart"/>
      <w:r w:rsidRPr="00831B9A">
        <w:rPr>
          <w:rFonts w:eastAsia="Times New Roman" w:cs="Arial"/>
          <w:color w:val="000000"/>
          <w:lang w:val="en-US"/>
        </w:rPr>
        <w:t>Yahr</w:t>
      </w:r>
      <w:proofErr w:type="spellEnd"/>
      <w:r w:rsidRPr="00831B9A">
        <w:rPr>
          <w:rFonts w:eastAsia="Times New Roman" w:cs="Arial"/>
          <w:color w:val="000000"/>
          <w:lang w:val="en-US"/>
        </w:rPr>
        <w:t xml:space="preserve">, </w:t>
      </w:r>
      <w:r w:rsidRPr="00831B9A">
        <w:rPr>
          <w:rFonts w:eastAsia="Times New Roman" w:cs="Arial"/>
          <w:color w:val="000000"/>
          <w:lang w:eastAsia="bg-BG"/>
        </w:rPr>
        <w:t>лекувани с прамипексол. Извън тях, около 1 000, които са били в напреднал стадий на заболяването са приемали едновременно леводопа и са страдали от моторни усложнения.</w:t>
      </w:r>
    </w:p>
    <w:p w14:paraId="0A1CBB54" w14:textId="77777777" w:rsidR="00831B9A" w:rsidRPr="00831B9A" w:rsidRDefault="00831B9A" w:rsidP="00831B9A">
      <w:pPr>
        <w:spacing w:line="240" w:lineRule="auto"/>
        <w:rPr>
          <w:rFonts w:eastAsia="Times New Roman" w:cs="Arial"/>
          <w:color w:val="000000"/>
          <w:lang w:eastAsia="bg-BG"/>
        </w:rPr>
      </w:pPr>
    </w:p>
    <w:p w14:paraId="28252AA0" w14:textId="52994A67" w:rsidR="0091385D"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Ефикасността на прамипексол при ранна и напреднала болест на Паркинсон се поддържа в</w:t>
      </w:r>
      <w:r>
        <w:rPr>
          <w:rFonts w:eastAsia="Times New Roman" w:cs="Arial"/>
          <w:sz w:val="24"/>
          <w:szCs w:val="24"/>
          <w:lang w:eastAsia="bg-BG"/>
        </w:rPr>
        <w:t xml:space="preserve"> </w:t>
      </w:r>
      <w:r w:rsidRPr="00831B9A">
        <w:rPr>
          <w:rFonts w:eastAsia="Times New Roman" w:cs="Arial"/>
          <w:color w:val="000000"/>
          <w:lang w:eastAsia="bg-BG"/>
        </w:rPr>
        <w:t>контролирани клинични проучвания за период от около шест месеца. В отворени допълнителни проучвания за период над три години не са отбелязани признаци на понижаване на ефикасността.</w:t>
      </w:r>
    </w:p>
    <w:p w14:paraId="36152471" w14:textId="5DC83DD6" w:rsidR="0091385D" w:rsidRDefault="0091385D" w:rsidP="0091385D"/>
    <w:p w14:paraId="35B92864"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 xml:space="preserve">При контролирано двойносляпо клинично проучване с продължителност 2 години, начална терапия с прамипексол значимо отлага настъпването на моторни усложнения и сравнено с начална терапия с леводопа редуцира тяхната поява. Това отлагане на моторните усложнения при прамипексол следва да се балансира спрямо по-голямото подобрение на моторната функция при леводопа (измерено чрез средната промяна по </w:t>
      </w:r>
      <w:r w:rsidRPr="00831B9A">
        <w:rPr>
          <w:rFonts w:eastAsia="Times New Roman" w:cs="Arial"/>
          <w:color w:val="000000"/>
          <w:lang w:val="en-US"/>
        </w:rPr>
        <w:t>UPDR</w:t>
      </w:r>
      <w:r w:rsidRPr="00831B9A">
        <w:rPr>
          <w:rFonts w:eastAsia="Times New Roman" w:cs="Arial"/>
          <w:color w:val="000000"/>
          <w:lang w:eastAsia="bg-BG"/>
        </w:rPr>
        <w:t>-скала). Общата честота на халюцинации и сънливост принципно е по-висока във фазата на увеличаване на дозата при групата с прамипексол. Въпреки това, не е имало значителна разлика през поддържащата фаза. Тези данни трябва да се имат предвид при започване на лечението с прамипексол при пациенти с болест на Паркинсон.</w:t>
      </w:r>
    </w:p>
    <w:p w14:paraId="269E6F01" w14:textId="77777777" w:rsidR="00831B9A" w:rsidRPr="00831B9A" w:rsidRDefault="00831B9A" w:rsidP="00831B9A">
      <w:pPr>
        <w:spacing w:line="240" w:lineRule="auto"/>
        <w:rPr>
          <w:rFonts w:eastAsia="Times New Roman" w:cs="Arial"/>
          <w:color w:val="000000"/>
          <w:u w:val="single"/>
          <w:lang w:eastAsia="bg-BG"/>
        </w:rPr>
      </w:pPr>
    </w:p>
    <w:p w14:paraId="1B4F4C90" w14:textId="0760C62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Педиатрична популация</w:t>
      </w:r>
    </w:p>
    <w:p w14:paraId="4C38E7AF"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lastRenderedPageBreak/>
        <w:t xml:space="preserve">Европейската агенция по лекарствата освобождава от задължението за предоставяне на резултатите от проучванията с прамипексол във всички подгрупи на педиатричната популация при болест на Паркинсон (вижте точка 4.2 за информация относно употреба </w:t>
      </w:r>
      <w:r w:rsidRPr="00831B9A">
        <w:rPr>
          <w:rFonts w:eastAsia="Times New Roman" w:cs="Arial"/>
          <w:i/>
          <w:iCs/>
          <w:color w:val="000000"/>
          <w:lang w:eastAsia="bg-BG"/>
        </w:rPr>
        <w:t>в</w:t>
      </w:r>
      <w:r w:rsidRPr="00831B9A">
        <w:rPr>
          <w:rFonts w:eastAsia="Times New Roman" w:cs="Arial"/>
          <w:color w:val="000000"/>
          <w:lang w:eastAsia="bg-BG"/>
        </w:rPr>
        <w:t xml:space="preserve"> педиатрията).</w:t>
      </w:r>
    </w:p>
    <w:p w14:paraId="65584BCC" w14:textId="77777777" w:rsidR="00831B9A" w:rsidRPr="00831B9A" w:rsidRDefault="00831B9A" w:rsidP="00831B9A">
      <w:pPr>
        <w:spacing w:line="240" w:lineRule="auto"/>
        <w:rPr>
          <w:rFonts w:eastAsia="Times New Roman" w:cs="Arial"/>
          <w:color w:val="000000"/>
          <w:u w:val="single"/>
          <w:lang w:eastAsia="bg-BG"/>
        </w:rPr>
      </w:pPr>
    </w:p>
    <w:p w14:paraId="3E1D0755" w14:textId="283DC91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u w:val="single"/>
          <w:lang w:eastAsia="bg-BG"/>
        </w:rPr>
        <w:t>Клинична ефикасност и безопасност при Синдром на Торет</w:t>
      </w:r>
    </w:p>
    <w:p w14:paraId="65F93493" w14:textId="7AAF0AC9" w:rsidR="00831B9A" w:rsidRPr="00831B9A" w:rsidRDefault="00831B9A" w:rsidP="00831B9A">
      <w:pPr>
        <w:rPr>
          <w:rFonts w:cs="Arial"/>
        </w:rPr>
      </w:pPr>
      <w:r w:rsidRPr="00831B9A">
        <w:rPr>
          <w:rFonts w:eastAsia="Times New Roman" w:cs="Arial"/>
          <w:color w:val="000000"/>
          <w:lang w:eastAsia="bg-BG"/>
        </w:rPr>
        <w:t xml:space="preserve">Ефикасността на прамипексол (0,0625 - 0,5 </w:t>
      </w:r>
      <w:r w:rsidRPr="00831B9A">
        <w:rPr>
          <w:rFonts w:eastAsia="Times New Roman" w:cs="Arial"/>
          <w:color w:val="000000"/>
          <w:lang w:val="en-US"/>
        </w:rPr>
        <w:t xml:space="preserve">mg </w:t>
      </w:r>
      <w:r w:rsidRPr="00831B9A">
        <w:rPr>
          <w:rFonts w:eastAsia="Times New Roman" w:cs="Arial"/>
          <w:color w:val="000000"/>
          <w:lang w:eastAsia="bg-BG"/>
        </w:rPr>
        <w:t xml:space="preserve">на ден) при педиатрични пациенти на възраст от 6 до 17 години със Синдром на Торет е оценена чрез 6-седмично, двойносляпо, рандомизирано, плацебо контролирано изпитване с променлива доза, Рандомизирани са общо 63 пациенти (43 на прамипексол, 20 на плацебо). Първичната крайна точка е промяната на Общия тик скор </w:t>
      </w:r>
      <w:r w:rsidRPr="00831B9A">
        <w:rPr>
          <w:rFonts w:eastAsia="Times New Roman" w:cs="Arial"/>
          <w:color w:val="000000"/>
          <w:lang w:val="en-US"/>
        </w:rPr>
        <w:t xml:space="preserve">(Total Tic Score (TTS)) </w:t>
      </w:r>
      <w:r w:rsidRPr="00831B9A">
        <w:rPr>
          <w:rFonts w:eastAsia="Times New Roman" w:cs="Arial"/>
          <w:color w:val="000000"/>
          <w:lang w:eastAsia="bg-BG"/>
        </w:rPr>
        <w:t xml:space="preserve">по Скалата Иеил за глобална тежест на тиковете </w:t>
      </w:r>
      <w:r w:rsidRPr="00831B9A">
        <w:rPr>
          <w:rFonts w:eastAsia="Times New Roman" w:cs="Arial"/>
          <w:color w:val="000000"/>
          <w:lang w:val="en-US"/>
        </w:rPr>
        <w:t xml:space="preserve">(Yale Global Tic Severity Scale (YGTSS)), </w:t>
      </w:r>
      <w:r w:rsidRPr="00831B9A">
        <w:rPr>
          <w:rFonts w:eastAsia="Times New Roman" w:cs="Arial"/>
          <w:color w:val="000000"/>
          <w:lang w:eastAsia="bg-BG"/>
        </w:rPr>
        <w:t xml:space="preserve">в сравнение </w:t>
      </w:r>
      <w:r w:rsidRPr="00831B9A">
        <w:rPr>
          <w:rFonts w:eastAsia="Times New Roman" w:cs="Arial"/>
          <w:color w:val="000000"/>
          <w:lang w:val="en-US"/>
        </w:rPr>
        <w:t xml:space="preserve">c </w:t>
      </w:r>
      <w:r w:rsidRPr="00831B9A">
        <w:rPr>
          <w:rFonts w:eastAsia="Times New Roman" w:cs="Arial"/>
          <w:color w:val="000000"/>
          <w:lang w:eastAsia="bg-BG"/>
        </w:rPr>
        <w:t xml:space="preserve">изходното ниво. </w:t>
      </w:r>
      <w:r w:rsidRPr="00831B9A">
        <w:rPr>
          <w:rFonts w:eastAsia="Times New Roman" w:cs="Arial"/>
          <w:color w:val="000000"/>
          <w:lang w:val="en-US"/>
        </w:rPr>
        <w:t xml:space="preserve">He </w:t>
      </w:r>
      <w:r w:rsidRPr="00831B9A">
        <w:rPr>
          <w:rFonts w:eastAsia="Times New Roman" w:cs="Arial"/>
          <w:color w:val="000000"/>
          <w:lang w:eastAsia="bg-BG"/>
        </w:rPr>
        <w:t xml:space="preserve">е установена разлика между прамипексол и плацебо какго по отношение на първичната крайна точка, така и по отношение на никоя от вторичните крайни точки за ефикасност, включително Общия </w:t>
      </w:r>
      <w:r w:rsidRPr="00831B9A">
        <w:rPr>
          <w:rFonts w:eastAsia="Times New Roman" w:cs="Arial"/>
          <w:color w:val="000000"/>
          <w:lang w:val="en-US"/>
        </w:rPr>
        <w:t xml:space="preserve">YGTSS </w:t>
      </w:r>
      <w:r w:rsidRPr="00831B9A">
        <w:rPr>
          <w:rFonts w:eastAsia="Times New Roman" w:cs="Arial"/>
          <w:color w:val="000000"/>
          <w:lang w:eastAsia="bg-BG"/>
        </w:rPr>
        <w:t xml:space="preserve">скор, Общото впечатление на пациента за подобрение </w:t>
      </w:r>
      <w:r w:rsidRPr="00831B9A">
        <w:rPr>
          <w:rFonts w:eastAsia="Times New Roman" w:cs="Arial"/>
          <w:color w:val="000000"/>
          <w:lang w:val="en-US"/>
        </w:rPr>
        <w:t xml:space="preserve">(Patient Global Impression of Improvement (PGI-I)), </w:t>
      </w:r>
      <w:r w:rsidRPr="00831B9A">
        <w:rPr>
          <w:rFonts w:eastAsia="Times New Roman" w:cs="Arial"/>
          <w:color w:val="000000"/>
          <w:lang w:eastAsia="bg-BG"/>
        </w:rPr>
        <w:t xml:space="preserve">Клиничното общо впечатление за подобрение </w:t>
      </w:r>
      <w:r w:rsidRPr="00831B9A">
        <w:rPr>
          <w:rFonts w:eastAsia="Times New Roman" w:cs="Arial"/>
          <w:color w:val="000000"/>
          <w:lang w:val="en-US"/>
        </w:rPr>
        <w:t xml:space="preserve">(Clinical Global Impression of Improvement (CGI- I)) </w:t>
      </w:r>
      <w:r w:rsidRPr="00831B9A">
        <w:rPr>
          <w:rFonts w:eastAsia="Times New Roman" w:cs="Arial"/>
          <w:color w:val="000000"/>
          <w:lang w:eastAsia="bg-BG"/>
        </w:rPr>
        <w:t xml:space="preserve">или Клиничните общи впечатления за тежестта на заболяването </w:t>
      </w:r>
      <w:r w:rsidRPr="00831B9A">
        <w:rPr>
          <w:rFonts w:eastAsia="Times New Roman" w:cs="Arial"/>
          <w:color w:val="000000"/>
          <w:lang w:val="en-US"/>
        </w:rPr>
        <w:t xml:space="preserve">(Clinical Global Impressions of Severity of Illness (CGI-S)). </w:t>
      </w:r>
      <w:r w:rsidRPr="00831B9A">
        <w:rPr>
          <w:rFonts w:eastAsia="Times New Roman" w:cs="Arial"/>
          <w:color w:val="000000"/>
          <w:lang w:eastAsia="bg-BG"/>
        </w:rPr>
        <w:t>Нежелани събития, възникнали при най-малко 5% от пациентите в групата на прамипексол, и по-чести при пациентите, лекувани с прамипексол, в сравнение с пациентите на плацебо, са: главоболие (27,9%, плацебо - 25%), сънливост (7,0%, плацебо - 5%), гадене (18,6%, плацебо - 10,0%), повръщане (11,6%, плацебо - 0,0%), болка в горната абдоминална област (7,0%, плацебо - 5,0%), ортостатична хипотония (9,3%, плацебо - 5,0%), миалгия (9,3%, плацебо - 5,0%), нарушения на съня (7,0%, плацебо - 0,0%), диспнея (7,0%, плацебо - 0,0%), инфекция на горните дихателни пътища (7,0%, плацебо - 5,0%). Други значими нежелани събития, водещи до прекъсване на лечението при пациентите, приемащи прамипексол, са състояние на обърканост, смущения в говора и влошаване на състоянието (вижте точка 4.2).</w:t>
      </w:r>
    </w:p>
    <w:p w14:paraId="7E35562C" w14:textId="77777777" w:rsidR="00831B9A" w:rsidRPr="0091385D" w:rsidRDefault="00831B9A"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333661E7" w14:textId="77777777" w:rsidR="00831B9A" w:rsidRPr="00831B9A" w:rsidRDefault="00831B9A" w:rsidP="00831B9A">
      <w:pPr>
        <w:pStyle w:val="Heading3"/>
        <w:rPr>
          <w:rFonts w:eastAsia="Times New Roman"/>
          <w:u w:val="single"/>
          <w:lang w:eastAsia="bg-BG"/>
        </w:rPr>
      </w:pPr>
      <w:r w:rsidRPr="00831B9A">
        <w:rPr>
          <w:rFonts w:eastAsia="Times New Roman"/>
          <w:u w:val="single"/>
          <w:lang w:eastAsia="bg-BG"/>
        </w:rPr>
        <w:t>Абсорбция</w:t>
      </w:r>
    </w:p>
    <w:p w14:paraId="4856A300"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Прамипексол се резорбира бързо и изцяло след перорален прием. Абсолютната бионаличност е повече от 90% и максимални плазмени концентрации се достигат между 1 и 3 часа. Приемът с храна не намалява степента на абсорбция на прамипексол, но понижава нейната скорост. Прамипексол е с линейна кинетика и с малки различия в плазмените концентрации при различните пациенти.</w:t>
      </w:r>
    </w:p>
    <w:p w14:paraId="3DBC6A96" w14:textId="77777777" w:rsidR="00831B9A" w:rsidRPr="00831B9A" w:rsidRDefault="00831B9A" w:rsidP="00831B9A">
      <w:pPr>
        <w:spacing w:line="240" w:lineRule="auto"/>
        <w:rPr>
          <w:rFonts w:eastAsia="Times New Roman" w:cs="Arial"/>
          <w:color w:val="000000"/>
          <w:u w:val="single"/>
          <w:lang w:eastAsia="bg-BG"/>
        </w:rPr>
      </w:pPr>
    </w:p>
    <w:p w14:paraId="3EB806CD" w14:textId="198FD3C8" w:rsidR="00831B9A" w:rsidRPr="00831B9A" w:rsidRDefault="00831B9A" w:rsidP="00831B9A">
      <w:pPr>
        <w:pStyle w:val="Heading3"/>
        <w:rPr>
          <w:rFonts w:eastAsia="Times New Roman"/>
          <w:u w:val="single"/>
          <w:lang w:eastAsia="bg-BG"/>
        </w:rPr>
      </w:pPr>
      <w:r w:rsidRPr="00831B9A">
        <w:rPr>
          <w:rFonts w:eastAsia="Times New Roman"/>
          <w:u w:val="single"/>
          <w:lang w:eastAsia="bg-BG"/>
        </w:rPr>
        <w:t>Разпределение</w:t>
      </w:r>
    </w:p>
    <w:p w14:paraId="34E9AB1C" w14:textId="61A668AA"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Свързването на прамипексол с протеините при хора е много ниско (&lt; 20%), а обемът</w:t>
      </w:r>
      <w:r w:rsidR="006C4945">
        <w:rPr>
          <w:rFonts w:eastAsia="Times New Roman" w:cs="Arial"/>
          <w:color w:val="000000"/>
          <w:lang w:eastAsia="bg-BG"/>
        </w:rPr>
        <w:t xml:space="preserve"> на разпределение е голям (400 </w:t>
      </w:r>
      <w:r w:rsidR="006C4945">
        <w:rPr>
          <w:rFonts w:eastAsia="Times New Roman" w:cs="Arial"/>
          <w:color w:val="000000"/>
          <w:lang w:val="en-US" w:eastAsia="bg-BG"/>
        </w:rPr>
        <w:t>l</w:t>
      </w:r>
      <w:r w:rsidRPr="00831B9A">
        <w:rPr>
          <w:rFonts w:eastAsia="Times New Roman" w:cs="Arial"/>
          <w:color w:val="000000"/>
          <w:lang w:eastAsia="bg-BG"/>
        </w:rPr>
        <w:t>). При плъхове са наблюдавани високи концентрации в мозъчната тъкан (около 8 пъти по-високи от тези в плазмата),</w:t>
      </w:r>
    </w:p>
    <w:p w14:paraId="5C876458" w14:textId="77777777" w:rsidR="00831B9A" w:rsidRPr="00831B9A" w:rsidRDefault="00831B9A" w:rsidP="00831B9A">
      <w:pPr>
        <w:spacing w:line="240" w:lineRule="auto"/>
        <w:rPr>
          <w:rFonts w:eastAsia="Times New Roman" w:cs="Arial"/>
          <w:color w:val="000000"/>
          <w:u w:val="single"/>
          <w:lang w:eastAsia="bg-BG"/>
        </w:rPr>
      </w:pPr>
    </w:p>
    <w:p w14:paraId="03561356" w14:textId="0051C88C" w:rsidR="00831B9A" w:rsidRPr="00831B9A" w:rsidRDefault="00831B9A" w:rsidP="00831B9A">
      <w:pPr>
        <w:pStyle w:val="Heading3"/>
        <w:rPr>
          <w:rFonts w:eastAsia="Times New Roman"/>
          <w:u w:val="single"/>
          <w:lang w:eastAsia="bg-BG"/>
        </w:rPr>
      </w:pPr>
      <w:r w:rsidRPr="00831B9A">
        <w:rPr>
          <w:rFonts w:eastAsia="Times New Roman"/>
          <w:u w:val="single"/>
          <w:lang w:eastAsia="bg-BG"/>
        </w:rPr>
        <w:t>Биотрансформация</w:t>
      </w:r>
    </w:p>
    <w:p w14:paraId="148BA3FC" w14:textId="18308CA2" w:rsidR="0091385D" w:rsidRPr="00831B9A" w:rsidRDefault="00831B9A" w:rsidP="00831B9A">
      <w:pPr>
        <w:rPr>
          <w:rFonts w:cs="Arial"/>
        </w:rPr>
      </w:pPr>
      <w:r w:rsidRPr="00831B9A">
        <w:rPr>
          <w:rFonts w:eastAsia="Times New Roman" w:cs="Arial"/>
          <w:color w:val="000000"/>
          <w:lang w:eastAsia="bg-BG"/>
        </w:rPr>
        <w:t>Прамипексол се метаболизира в ниска степен в човешкия организъм.</w:t>
      </w:r>
    </w:p>
    <w:p w14:paraId="4EE1BB0B" w14:textId="4A711135" w:rsidR="0091385D" w:rsidRDefault="0091385D" w:rsidP="0091385D"/>
    <w:p w14:paraId="65F271A6" w14:textId="77777777" w:rsidR="00831B9A" w:rsidRPr="00831B9A" w:rsidRDefault="00831B9A" w:rsidP="00831B9A">
      <w:pPr>
        <w:pStyle w:val="Heading3"/>
        <w:rPr>
          <w:rFonts w:eastAsia="Times New Roman"/>
          <w:u w:val="single"/>
          <w:lang w:eastAsia="bg-BG"/>
        </w:rPr>
      </w:pPr>
      <w:r w:rsidRPr="00831B9A">
        <w:rPr>
          <w:rFonts w:eastAsia="Times New Roman"/>
          <w:u w:val="single"/>
          <w:lang w:eastAsia="bg-BG"/>
        </w:rPr>
        <w:lastRenderedPageBreak/>
        <w:t>Елиминиране</w:t>
      </w:r>
    </w:p>
    <w:p w14:paraId="6EADFA1D" w14:textId="424302E9" w:rsidR="00831B9A" w:rsidRPr="00831B9A" w:rsidRDefault="00831B9A" w:rsidP="00831B9A">
      <w:pPr>
        <w:rPr>
          <w:rFonts w:cs="Arial"/>
        </w:rPr>
      </w:pPr>
      <w:r w:rsidRPr="00831B9A">
        <w:rPr>
          <w:rFonts w:eastAsia="Times New Roman" w:cs="Arial"/>
          <w:color w:val="000000"/>
          <w:lang w:eastAsia="bg-BG"/>
        </w:rPr>
        <w:t xml:space="preserve">Основният начин на елиминиране е бъбречната екскреция на непроменен прамипексол. Приблизително 90% от белязаната с 14С доза се екскретира чрез бъбреците, а по-малко от 2% се откриват във фекалиите. Тоталният клирънс на прамипексол е около 500 </w:t>
      </w:r>
      <w:r w:rsidRPr="00831B9A">
        <w:rPr>
          <w:rFonts w:eastAsia="Times New Roman" w:cs="Arial"/>
          <w:color w:val="000000"/>
          <w:lang w:val="en-US"/>
        </w:rPr>
        <w:t xml:space="preserve">ml/min, </w:t>
      </w:r>
      <w:r w:rsidRPr="00831B9A">
        <w:rPr>
          <w:rFonts w:eastAsia="Times New Roman" w:cs="Arial"/>
          <w:color w:val="000000"/>
          <w:lang w:eastAsia="bg-BG"/>
        </w:rPr>
        <w:t xml:space="preserve">а бъбречният клирънс - приблизително 400 </w:t>
      </w:r>
      <w:r w:rsidRPr="00831B9A">
        <w:rPr>
          <w:rFonts w:eastAsia="Times New Roman" w:cs="Arial"/>
          <w:color w:val="000000"/>
          <w:lang w:val="en-US"/>
        </w:rPr>
        <w:t xml:space="preserve">ml/min. </w:t>
      </w:r>
      <w:r w:rsidRPr="00831B9A">
        <w:rPr>
          <w:rFonts w:eastAsia="Times New Roman" w:cs="Arial"/>
          <w:color w:val="000000"/>
          <w:lang w:eastAsia="bg-BG"/>
        </w:rPr>
        <w:t xml:space="preserve">Елиминационният полуживот </w:t>
      </w:r>
      <w:r w:rsidR="006C4945">
        <w:rPr>
          <w:rFonts w:eastAsia="Times New Roman" w:cs="Arial"/>
          <w:color w:val="000000"/>
          <w:lang w:val="en-US"/>
        </w:rPr>
        <w:t>(t1/2</w:t>
      </w:r>
      <w:r w:rsidRPr="00831B9A">
        <w:rPr>
          <w:rFonts w:eastAsia="Times New Roman" w:cs="Arial"/>
          <w:color w:val="000000"/>
          <w:lang w:val="en-US"/>
        </w:rPr>
        <w:t xml:space="preserve">) </w:t>
      </w:r>
      <w:r w:rsidRPr="00831B9A">
        <w:rPr>
          <w:rFonts w:eastAsia="Times New Roman" w:cs="Arial"/>
          <w:color w:val="000000"/>
          <w:lang w:eastAsia="bg-BG"/>
        </w:rPr>
        <w:t>варира от 8 часа при млади хора до 12 часа при пациенти в старческа възраст.</w:t>
      </w:r>
    </w:p>
    <w:p w14:paraId="5FEB3AD7" w14:textId="77777777" w:rsidR="00831B9A" w:rsidRPr="0091385D" w:rsidRDefault="00831B9A"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330CE78D"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Проучванията за токсичност при многократно приложение показват, че прамипексол влияе главно върху функциите на ЦНС и женската репродуктивна система и вероятно се дължат на прекадено силен фармакодинамичен ефект на прамипексол.</w:t>
      </w:r>
    </w:p>
    <w:p w14:paraId="10479E2E" w14:textId="77777777" w:rsidR="00831B9A" w:rsidRPr="00831B9A" w:rsidRDefault="00831B9A" w:rsidP="00831B9A">
      <w:pPr>
        <w:spacing w:line="240" w:lineRule="auto"/>
        <w:rPr>
          <w:rFonts w:eastAsia="Times New Roman" w:cs="Arial"/>
          <w:color w:val="000000"/>
          <w:lang w:eastAsia="bg-BG"/>
        </w:rPr>
      </w:pPr>
    </w:p>
    <w:p w14:paraId="111BD86E" w14:textId="399E7DA9"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При малки прасенца е наблюдавано понижение на диастолното и систолно налягане и на сърдечната честота, а тенденция за хипотоничен ефект е забелязана при маймуни.</w:t>
      </w:r>
    </w:p>
    <w:p w14:paraId="15996AAF" w14:textId="77777777" w:rsidR="00831B9A" w:rsidRPr="00831B9A" w:rsidRDefault="00831B9A" w:rsidP="00831B9A">
      <w:pPr>
        <w:spacing w:line="240" w:lineRule="auto"/>
        <w:rPr>
          <w:rFonts w:eastAsia="Times New Roman" w:cs="Arial"/>
          <w:color w:val="000000"/>
          <w:lang w:eastAsia="bg-BG"/>
        </w:rPr>
      </w:pPr>
    </w:p>
    <w:p w14:paraId="744A9D05" w14:textId="6555548C"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Потенциалният ефект на прамипексол по отношение на репродуктивната функция е проучен при изследвания върху плъхове и зайци. При плъхове и зайци прамипексол не показва тератогенен ефект, но е ембриотоксичен при плъхове в дози, токсични за майката. Поради подбора на вида животни и ограничените изследвани параметри нежеланите реакции на прамипексол по отношение на бременността и мъжката репродуктивна способност не са напълно изяснени.</w:t>
      </w:r>
    </w:p>
    <w:p w14:paraId="63DFA664" w14:textId="77777777" w:rsidR="00831B9A" w:rsidRPr="00831B9A" w:rsidRDefault="00831B9A" w:rsidP="00831B9A">
      <w:pPr>
        <w:spacing w:line="240" w:lineRule="auto"/>
        <w:rPr>
          <w:rFonts w:eastAsia="Times New Roman" w:cs="Arial"/>
          <w:color w:val="000000"/>
          <w:lang w:eastAsia="bg-BG"/>
        </w:rPr>
      </w:pPr>
    </w:p>
    <w:p w14:paraId="6D76B755" w14:textId="268BFFC3"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При плъхове е наблюдавано забавяне на половото развитие (т.е. разделяне на препуциума и вагинално отваряне). Значението на процеса при хора не е известно.</w:t>
      </w:r>
    </w:p>
    <w:p w14:paraId="7C5146CB" w14:textId="77777777" w:rsidR="00831B9A" w:rsidRPr="00831B9A" w:rsidRDefault="00831B9A" w:rsidP="00831B9A">
      <w:pPr>
        <w:rPr>
          <w:rFonts w:eastAsia="Times New Roman" w:cs="Arial"/>
          <w:color w:val="000000"/>
          <w:lang w:eastAsia="bg-BG"/>
        </w:rPr>
      </w:pPr>
    </w:p>
    <w:p w14:paraId="52E4D01A" w14:textId="15FF4045" w:rsidR="0091385D" w:rsidRPr="00831B9A" w:rsidRDefault="00831B9A" w:rsidP="00831B9A">
      <w:pPr>
        <w:rPr>
          <w:rFonts w:cs="Arial"/>
        </w:rPr>
      </w:pPr>
      <w:r w:rsidRPr="00831B9A">
        <w:rPr>
          <w:rFonts w:eastAsia="Times New Roman" w:cs="Arial"/>
          <w:color w:val="000000"/>
          <w:lang w:eastAsia="bg-BG"/>
        </w:rPr>
        <w:t xml:space="preserve">Прамипексол не е генотоксичен. При проучвания за карциногенен потенциал мъжки плъхове развиват хиперплазия на клетките на </w:t>
      </w:r>
      <w:proofErr w:type="spellStart"/>
      <w:r w:rsidRPr="00831B9A">
        <w:rPr>
          <w:rFonts w:eastAsia="Times New Roman" w:cs="Arial"/>
          <w:color w:val="000000"/>
          <w:lang w:val="en-US"/>
        </w:rPr>
        <w:t>Leydig</w:t>
      </w:r>
      <w:proofErr w:type="spellEnd"/>
      <w:r w:rsidRPr="00831B9A">
        <w:rPr>
          <w:rFonts w:eastAsia="Times New Roman" w:cs="Arial"/>
          <w:color w:val="000000"/>
          <w:lang w:val="en-US"/>
        </w:rPr>
        <w:t xml:space="preserve"> </w:t>
      </w:r>
      <w:r w:rsidRPr="00831B9A">
        <w:rPr>
          <w:rFonts w:eastAsia="Times New Roman" w:cs="Arial"/>
          <w:color w:val="000000"/>
          <w:lang w:eastAsia="bg-BG"/>
        </w:rPr>
        <w:t xml:space="preserve">и аденоми, което се обяснява с инхибиращия ефект на прамипексол върху пролакгина. Тази находка не е релевантна към клиничната употреба. Същото проучване показва, че в дози 2 </w:t>
      </w:r>
      <w:r w:rsidRPr="00831B9A">
        <w:rPr>
          <w:rFonts w:eastAsia="Times New Roman" w:cs="Arial"/>
          <w:color w:val="000000"/>
          <w:lang w:val="en-US"/>
        </w:rPr>
        <w:t xml:space="preserve">mg/kg </w:t>
      </w:r>
      <w:r w:rsidRPr="00831B9A">
        <w:rPr>
          <w:rFonts w:eastAsia="Times New Roman" w:cs="Arial"/>
          <w:color w:val="000000"/>
          <w:lang w:eastAsia="bg-BG"/>
        </w:rPr>
        <w:t xml:space="preserve">(сол) и по-високи от тях прамипексол се свързва с дегенерация на ретината при плъхове албиноси. Последната находка не се среща при пигментирани плъхове и не е наблюдавана </w:t>
      </w:r>
      <w:r w:rsidRPr="006C4945">
        <w:rPr>
          <w:rFonts w:eastAsia="Times New Roman" w:cs="Arial"/>
          <w:iCs/>
          <w:color w:val="000000"/>
          <w:lang w:eastAsia="bg-BG"/>
        </w:rPr>
        <w:t>при</w:t>
      </w:r>
      <w:r w:rsidRPr="00831B9A">
        <w:rPr>
          <w:rFonts w:eastAsia="Times New Roman" w:cs="Arial"/>
          <w:color w:val="000000"/>
          <w:lang w:eastAsia="bg-BG"/>
        </w:rPr>
        <w:t xml:space="preserve"> 2-годишно проучване за канцерогенност при мишки албиноси, както и при нито един от другите изследвани видове.</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3FD825DB" w14:textId="19F8B73F" w:rsidR="0091385D" w:rsidRPr="00831B9A" w:rsidRDefault="00831B9A" w:rsidP="0091385D">
      <w:pPr>
        <w:rPr>
          <w:rFonts w:cs="Arial"/>
        </w:rPr>
      </w:pPr>
      <w:r w:rsidRPr="00831B9A">
        <w:rPr>
          <w:rFonts w:cs="Arial"/>
        </w:rPr>
        <w:t xml:space="preserve">Medochemie Ltd., </w:t>
      </w:r>
      <w:r w:rsidRPr="00831B9A">
        <w:rPr>
          <w:rFonts w:cs="Arial"/>
          <w:lang w:eastAsia="bg-BG"/>
        </w:rPr>
        <w:t xml:space="preserve">1-10 </w:t>
      </w:r>
      <w:r w:rsidRPr="00831B9A">
        <w:rPr>
          <w:rFonts w:cs="Arial"/>
        </w:rPr>
        <w:t xml:space="preserve">Constantinoupoleos street, 3011, Limassol, </w:t>
      </w:r>
      <w:r w:rsidRPr="00831B9A">
        <w:rPr>
          <w:rFonts w:cs="Arial"/>
          <w:lang w:eastAsia="bg-BG"/>
        </w:rPr>
        <w:t>Кипър</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77719EFC" w:rsidR="0091385D" w:rsidRPr="00831B9A" w:rsidRDefault="00831B9A" w:rsidP="0091385D">
      <w:pPr>
        <w:rPr>
          <w:rFonts w:cs="Arial"/>
        </w:rPr>
      </w:pPr>
      <w:r w:rsidRPr="00831B9A">
        <w:rPr>
          <w:rFonts w:cs="Arial"/>
          <w:lang w:val="en-US"/>
        </w:rPr>
        <w:t xml:space="preserve">Per. </w:t>
      </w:r>
      <w:r w:rsidR="006C4945">
        <w:rPr>
          <w:rFonts w:cs="Arial"/>
        </w:rPr>
        <w:t>№ 20090336</w:t>
      </w:r>
    </w:p>
    <w:p w14:paraId="62EF7F8B" w14:textId="77777777" w:rsidR="0091385D" w:rsidRPr="0091385D" w:rsidRDefault="0091385D" w:rsidP="0091385D"/>
    <w:p w14:paraId="2CCB5832" w14:textId="18FCD95B" w:rsidR="007C605B" w:rsidRDefault="002C50EE" w:rsidP="007C605B">
      <w:pPr>
        <w:pStyle w:val="Heading1"/>
      </w:pPr>
      <w:r>
        <w:lastRenderedPageBreak/>
        <w:t>9. ДАТА НА ПЪРВО РАЗРЕШАВАНЕ/ПОДНОВЯВАНЕ НА РАЗРЕШЕНИЕТО ЗА УПОТРЕБА</w:t>
      </w:r>
    </w:p>
    <w:p w14:paraId="372B3414" w14:textId="0F79A9B4" w:rsidR="0091385D" w:rsidRDefault="0091385D" w:rsidP="0091385D"/>
    <w:p w14:paraId="527C1EF8" w14:textId="77777777" w:rsidR="00831B9A" w:rsidRPr="00831B9A" w:rsidRDefault="00831B9A" w:rsidP="00831B9A">
      <w:pPr>
        <w:spacing w:line="240" w:lineRule="auto"/>
        <w:rPr>
          <w:rFonts w:eastAsia="Times New Roman" w:cs="Arial"/>
          <w:sz w:val="24"/>
          <w:szCs w:val="24"/>
          <w:lang w:eastAsia="bg-BG"/>
        </w:rPr>
      </w:pPr>
      <w:r w:rsidRPr="00831B9A">
        <w:rPr>
          <w:rFonts w:eastAsia="Times New Roman" w:cs="Arial"/>
          <w:color w:val="000000"/>
          <w:lang w:eastAsia="bg-BG"/>
        </w:rPr>
        <w:t>Дата на първо разрешаване за употреба: 13 юли 2009 г.</w:t>
      </w:r>
    </w:p>
    <w:p w14:paraId="497007FA" w14:textId="7EBD019B" w:rsidR="0091385D" w:rsidRPr="00831B9A" w:rsidRDefault="00831B9A" w:rsidP="00831B9A">
      <w:pPr>
        <w:rPr>
          <w:rFonts w:cs="Arial"/>
        </w:rPr>
      </w:pPr>
      <w:r w:rsidRPr="00831B9A">
        <w:rPr>
          <w:rFonts w:eastAsia="Times New Roman" w:cs="Arial"/>
          <w:color w:val="000000"/>
          <w:lang w:eastAsia="bg-BG"/>
        </w:rPr>
        <w:t>Дата на последно подновяване: 4 май 2018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053F30E1" w:rsidR="0091385D" w:rsidRPr="00831B9A" w:rsidRDefault="00831B9A" w:rsidP="0091385D">
      <w:pPr>
        <w:rPr>
          <w:rFonts w:cs="Arial"/>
        </w:rPr>
      </w:pPr>
      <w:r w:rsidRPr="00831B9A">
        <w:rPr>
          <w:rFonts w:cs="Arial"/>
        </w:rPr>
        <w:t>04/2020</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3"/>
  </w:num>
  <w:num w:numId="31">
    <w:abstractNumId w:val="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676EC"/>
    <w:rsid w:val="00131E5B"/>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C4945"/>
    <w:rsid w:val="0075649D"/>
    <w:rsid w:val="007C605B"/>
    <w:rsid w:val="008134C8"/>
    <w:rsid w:val="00814073"/>
    <w:rsid w:val="00826F0D"/>
    <w:rsid w:val="00831B9A"/>
    <w:rsid w:val="00893B92"/>
    <w:rsid w:val="008A6AF2"/>
    <w:rsid w:val="008C70A2"/>
    <w:rsid w:val="0091385D"/>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855C2"/>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4828</Words>
  <Characters>27524</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2022-09-03T02:57:00Z</dcterms:created>
  <dcterms:modified xsi:type="dcterms:W3CDTF">2022-09-03T02:57:00Z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