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14008A99" w:rsidR="0091385D" w:rsidRDefault="0091385D" w:rsidP="0091385D"/>
    <w:p w14:paraId="3B20D5D2" w14:textId="77777777" w:rsidR="008F1AF3" w:rsidRPr="008F1AF3" w:rsidRDefault="008F1AF3" w:rsidP="008F1AF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F1AF3">
        <w:rPr>
          <w:rFonts w:eastAsia="Times New Roman" w:cs="Arial"/>
          <w:color w:val="000000"/>
          <w:lang w:eastAsia="bg-BG"/>
        </w:rPr>
        <w:t xml:space="preserve">МЕДОСУЛПИД 400 </w:t>
      </w:r>
      <w:r w:rsidRPr="008F1AF3">
        <w:rPr>
          <w:rFonts w:eastAsia="Times New Roman" w:cs="Arial"/>
          <w:color w:val="000000"/>
          <w:lang w:val="en-US"/>
        </w:rPr>
        <w:t xml:space="preserve">mg </w:t>
      </w:r>
      <w:r w:rsidRPr="008F1AF3">
        <w:rPr>
          <w:rFonts w:eastAsia="Times New Roman" w:cs="Arial"/>
          <w:color w:val="000000"/>
          <w:lang w:eastAsia="bg-BG"/>
        </w:rPr>
        <w:t>таблетки</w:t>
      </w:r>
    </w:p>
    <w:p w14:paraId="73D1D99C" w14:textId="75B7BFA3" w:rsidR="0091385D" w:rsidRPr="008F1AF3" w:rsidRDefault="008F1AF3" w:rsidP="008F1AF3">
      <w:pPr>
        <w:rPr>
          <w:rFonts w:cs="Arial"/>
        </w:rPr>
      </w:pPr>
      <w:r w:rsidRPr="008F1AF3">
        <w:rPr>
          <w:rFonts w:eastAsia="Times New Roman" w:cs="Arial"/>
          <w:color w:val="000000"/>
          <w:lang w:val="en-US"/>
        </w:rPr>
        <w:t xml:space="preserve">MEDOSULPIDE </w:t>
      </w:r>
      <w:r w:rsidRPr="008F1AF3">
        <w:rPr>
          <w:rFonts w:eastAsia="Times New Roman" w:cs="Arial"/>
          <w:color w:val="000000"/>
          <w:lang w:eastAsia="bg-BG"/>
        </w:rPr>
        <w:t xml:space="preserve">400 </w:t>
      </w:r>
      <w:r w:rsidRPr="008F1AF3">
        <w:rPr>
          <w:rFonts w:eastAsia="Times New Roman" w:cs="Arial"/>
          <w:color w:val="000000"/>
          <w:lang w:val="en-US"/>
        </w:rPr>
        <w:t>mg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48BDE77B" w14:textId="77777777" w:rsidR="008F1AF3" w:rsidRPr="008F1AF3" w:rsidRDefault="008F1AF3" w:rsidP="008F1AF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F1AF3">
        <w:rPr>
          <w:rFonts w:eastAsia="Times New Roman" w:cs="Arial"/>
          <w:color w:val="000000"/>
          <w:lang w:eastAsia="bg-BG"/>
        </w:rPr>
        <w:t xml:space="preserve">Всяка таблетка съдържа 400 </w:t>
      </w:r>
      <w:r w:rsidRPr="008F1AF3">
        <w:rPr>
          <w:rFonts w:eastAsia="Times New Roman" w:cs="Arial"/>
          <w:color w:val="000000"/>
          <w:lang w:val="en-US"/>
        </w:rPr>
        <w:t xml:space="preserve">mg </w:t>
      </w:r>
      <w:r w:rsidRPr="008F1AF3">
        <w:rPr>
          <w:rFonts w:eastAsia="Times New Roman" w:cs="Arial"/>
          <w:color w:val="000000"/>
          <w:lang w:eastAsia="bg-BG"/>
        </w:rPr>
        <w:t xml:space="preserve">амисулприд </w:t>
      </w:r>
      <w:r w:rsidRPr="008F1AF3">
        <w:rPr>
          <w:rFonts w:eastAsia="Times New Roman" w:cs="Arial"/>
          <w:color w:val="000000"/>
          <w:lang w:val="en-US"/>
        </w:rPr>
        <w:t>(</w:t>
      </w:r>
      <w:proofErr w:type="spellStart"/>
      <w:r w:rsidRPr="008F1AF3">
        <w:rPr>
          <w:rFonts w:eastAsia="Times New Roman" w:cs="Arial"/>
          <w:color w:val="000000"/>
          <w:lang w:val="en-US"/>
        </w:rPr>
        <w:t>amisulpride</w:t>
      </w:r>
      <w:proofErr w:type="spellEnd"/>
      <w:r w:rsidRPr="008F1AF3">
        <w:rPr>
          <w:rFonts w:eastAsia="Times New Roman" w:cs="Arial"/>
          <w:color w:val="000000"/>
          <w:lang w:val="en-US"/>
        </w:rPr>
        <w:t>).</w:t>
      </w:r>
    </w:p>
    <w:p w14:paraId="5DA1CBAB" w14:textId="77777777" w:rsidR="008F1AF3" w:rsidRPr="008F1AF3" w:rsidRDefault="008F1AF3" w:rsidP="008F1AF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6640C9" w14:textId="3B985280" w:rsidR="008F1AF3" w:rsidRPr="008F1AF3" w:rsidRDefault="008F1AF3" w:rsidP="008F1AF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F1AF3">
        <w:rPr>
          <w:rFonts w:eastAsia="Times New Roman" w:cs="Arial"/>
          <w:color w:val="000000"/>
          <w:lang w:eastAsia="bg-BG"/>
        </w:rPr>
        <w:t>Помощно вещество с известно действие: лактоза монохидрат.</w:t>
      </w:r>
    </w:p>
    <w:p w14:paraId="45D03676" w14:textId="77777777" w:rsidR="008F1AF3" w:rsidRPr="008F1AF3" w:rsidRDefault="008F1AF3" w:rsidP="008F1AF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F1AF3">
        <w:rPr>
          <w:rFonts w:eastAsia="Times New Roman" w:cs="Arial"/>
          <w:color w:val="000000"/>
          <w:lang w:eastAsia="bg-BG"/>
        </w:rPr>
        <w:t xml:space="preserve">Всяка таблетка съдържа 200.00 </w:t>
      </w:r>
      <w:r w:rsidRPr="008F1AF3">
        <w:rPr>
          <w:rFonts w:eastAsia="Times New Roman" w:cs="Arial"/>
          <w:color w:val="000000"/>
          <w:lang w:val="en-US"/>
        </w:rPr>
        <w:t xml:space="preserve">mg </w:t>
      </w:r>
      <w:r w:rsidRPr="008F1AF3">
        <w:rPr>
          <w:rFonts w:eastAsia="Times New Roman" w:cs="Arial"/>
          <w:color w:val="000000"/>
          <w:lang w:eastAsia="bg-BG"/>
        </w:rPr>
        <w:t>лактоза монохидрат.</w:t>
      </w:r>
    </w:p>
    <w:p w14:paraId="23743169" w14:textId="77777777" w:rsidR="008F1AF3" w:rsidRPr="008F1AF3" w:rsidRDefault="008F1AF3" w:rsidP="008F1AF3">
      <w:pPr>
        <w:rPr>
          <w:rFonts w:eastAsia="Times New Roman" w:cs="Arial"/>
          <w:color w:val="000000"/>
          <w:lang w:eastAsia="bg-BG"/>
        </w:rPr>
      </w:pPr>
    </w:p>
    <w:p w14:paraId="729D0A91" w14:textId="4FA2611B" w:rsidR="0091385D" w:rsidRPr="008F1AF3" w:rsidRDefault="008F1AF3" w:rsidP="008F1AF3">
      <w:pPr>
        <w:rPr>
          <w:rFonts w:cs="Arial"/>
        </w:rPr>
      </w:pPr>
      <w:r w:rsidRPr="008F1AF3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03110A50" w14:textId="77777777" w:rsidR="0091385D" w:rsidRPr="0091385D" w:rsidRDefault="0091385D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7F657498" w14:textId="77777777" w:rsidR="008F1AF3" w:rsidRPr="008F1AF3" w:rsidRDefault="008F1AF3" w:rsidP="008F1AF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F1AF3">
        <w:rPr>
          <w:rFonts w:eastAsia="Times New Roman" w:cs="Arial"/>
          <w:color w:val="000000"/>
          <w:lang w:eastAsia="bg-BG"/>
        </w:rPr>
        <w:t>Таблетка.</w:t>
      </w:r>
    </w:p>
    <w:p w14:paraId="0FA3C8CD" w14:textId="77777777" w:rsidR="008F1AF3" w:rsidRPr="008F1AF3" w:rsidRDefault="008F1AF3" w:rsidP="008F1AF3">
      <w:pPr>
        <w:rPr>
          <w:rFonts w:eastAsia="Times New Roman" w:cs="Arial"/>
          <w:color w:val="000000"/>
          <w:lang w:eastAsia="bg-BG"/>
        </w:rPr>
      </w:pPr>
    </w:p>
    <w:p w14:paraId="4A991133" w14:textId="3E48F31F" w:rsidR="0091385D" w:rsidRPr="008F1AF3" w:rsidRDefault="008F1AF3" w:rsidP="008F1AF3">
      <w:pPr>
        <w:rPr>
          <w:rFonts w:cs="Arial"/>
        </w:rPr>
      </w:pPr>
      <w:r w:rsidRPr="008F1AF3">
        <w:rPr>
          <w:rFonts w:eastAsia="Times New Roman" w:cs="Arial"/>
          <w:color w:val="000000"/>
          <w:lang w:eastAsia="bg-BG"/>
        </w:rPr>
        <w:t xml:space="preserve">Бели, двойно изпъкнали, продълговати таблетки, с делителна черта от двете страни и размери </w:t>
      </w:r>
      <w:r w:rsidRPr="008F1AF3">
        <w:rPr>
          <w:rFonts w:eastAsia="Times New Roman" w:cs="Arial"/>
          <w:color w:val="000000"/>
          <w:lang w:val="en-US"/>
        </w:rPr>
        <w:t xml:space="preserve">19x10 mm. </w:t>
      </w:r>
      <w:r w:rsidRPr="008F1AF3">
        <w:rPr>
          <w:rFonts w:eastAsia="Times New Roman" w:cs="Arial"/>
          <w:color w:val="000000"/>
          <w:lang w:eastAsia="bg-BG"/>
        </w:rPr>
        <w:t>Делителната черта е само за улесняване на счупването с цел по-лесно поглъщане, а не за разделяне на равни дози.</w:t>
      </w:r>
    </w:p>
    <w:p w14:paraId="4129ADBB" w14:textId="77777777" w:rsidR="0091385D" w:rsidRPr="0091385D" w:rsidRDefault="0091385D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5BE197F8" w14:textId="132CE926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МЕДОСУЛПИД е показан за лечение на остри и хронични шизофрении разстройства с:</w:t>
      </w:r>
    </w:p>
    <w:p w14:paraId="788FE97F" w14:textId="77777777" w:rsidR="00777289" w:rsidRPr="00777289" w:rsidRDefault="00777289" w:rsidP="00777289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позитивни симптоми (като налудности, халюцинации, мисловни разстройства, враждебност и параноидни налудности),</w:t>
      </w:r>
    </w:p>
    <w:p w14:paraId="04B2E99C" w14:textId="43FD9643" w:rsidR="0091385D" w:rsidRPr="00777289" w:rsidRDefault="00777289" w:rsidP="00777289">
      <w:pPr>
        <w:pStyle w:val="ListParagraph"/>
        <w:numPr>
          <w:ilvl w:val="0"/>
          <w:numId w:val="35"/>
        </w:num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t>негативни симптоми (като притъпени емоции, емоционално и социално отдръпване).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1A4FCB70" w14:textId="77777777" w:rsidR="00777289" w:rsidRPr="00F93F45" w:rsidRDefault="00777289" w:rsidP="00F93F45">
      <w:pPr>
        <w:pStyle w:val="Heading3"/>
        <w:rPr>
          <w:rFonts w:eastAsia="Times New Roman"/>
          <w:u w:val="single"/>
          <w:lang w:eastAsia="bg-BG"/>
        </w:rPr>
      </w:pPr>
      <w:r w:rsidRPr="00F93F45">
        <w:rPr>
          <w:rFonts w:eastAsia="Times New Roman"/>
          <w:u w:val="single"/>
          <w:lang w:eastAsia="bg-BG"/>
        </w:rPr>
        <w:t>Дозировка</w:t>
      </w:r>
    </w:p>
    <w:p w14:paraId="023C5624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За остри психотични епизоди се препоръчват перорални дози между 400 </w:t>
      </w:r>
      <w:r w:rsidRPr="00777289">
        <w:rPr>
          <w:rFonts w:eastAsia="Times New Roman" w:cs="Arial"/>
          <w:color w:val="000000"/>
          <w:lang w:val="en-US"/>
        </w:rPr>
        <w:t xml:space="preserve">mg </w:t>
      </w:r>
      <w:r w:rsidRPr="00777289">
        <w:rPr>
          <w:rFonts w:eastAsia="Times New Roman" w:cs="Arial"/>
          <w:color w:val="000000"/>
          <w:lang w:eastAsia="bg-BG"/>
        </w:rPr>
        <w:t xml:space="preserve">дневно и 800 </w:t>
      </w:r>
      <w:r w:rsidRPr="00777289">
        <w:rPr>
          <w:rFonts w:eastAsia="Times New Roman" w:cs="Arial"/>
          <w:color w:val="000000"/>
          <w:lang w:val="en-US"/>
        </w:rPr>
        <w:t xml:space="preserve">mg </w:t>
      </w:r>
      <w:r w:rsidRPr="00777289">
        <w:rPr>
          <w:rFonts w:eastAsia="Times New Roman" w:cs="Arial"/>
          <w:color w:val="000000"/>
          <w:lang w:eastAsia="bg-BG"/>
        </w:rPr>
        <w:t xml:space="preserve">дневно. В индивидуални случаи дневната доза може да бъде повишена до 1200 </w:t>
      </w:r>
      <w:r w:rsidRPr="00777289">
        <w:rPr>
          <w:rFonts w:eastAsia="Times New Roman" w:cs="Arial"/>
          <w:color w:val="000000"/>
          <w:lang w:val="en-US"/>
        </w:rPr>
        <w:t xml:space="preserve">mg </w:t>
      </w:r>
      <w:r w:rsidRPr="00777289">
        <w:rPr>
          <w:rFonts w:eastAsia="Times New Roman" w:cs="Arial"/>
          <w:color w:val="000000"/>
          <w:lang w:eastAsia="bg-BG"/>
        </w:rPr>
        <w:t xml:space="preserve">дневно. Дози над 1200 </w:t>
      </w:r>
      <w:r w:rsidRPr="00777289">
        <w:rPr>
          <w:rFonts w:eastAsia="Times New Roman" w:cs="Arial"/>
          <w:color w:val="000000"/>
          <w:lang w:val="en-US"/>
        </w:rPr>
        <w:t xml:space="preserve">mg </w:t>
      </w:r>
      <w:r w:rsidRPr="00777289">
        <w:rPr>
          <w:rFonts w:eastAsia="Times New Roman" w:cs="Arial"/>
          <w:color w:val="000000"/>
          <w:lang w:eastAsia="bg-BG"/>
        </w:rPr>
        <w:t xml:space="preserve">дневно не са били обширно оценявани по отношение на </w:t>
      </w:r>
      <w:r w:rsidRPr="00777289">
        <w:rPr>
          <w:rFonts w:eastAsia="Times New Roman" w:cs="Arial"/>
          <w:color w:val="000000"/>
          <w:lang w:eastAsia="bg-BG"/>
        </w:rPr>
        <w:lastRenderedPageBreak/>
        <w:t>безопасността и поради тази причина не трябва да бъдат прилагани. Не се изисква специфично титриране при започване на лечение с МЕДОСУЛПИД. Дозите трябва да бъдат адаптирани съобразно</w:t>
      </w:r>
    </w:p>
    <w:p w14:paraId="475300EC" w14:textId="1827EB7F" w:rsidR="0091385D" w:rsidRPr="00777289" w:rsidRDefault="00777289" w:rsidP="00777289">
      <w:pPr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индивидуалния отговор.</w:t>
      </w:r>
    </w:p>
    <w:p w14:paraId="4E82136B" w14:textId="6F2FD71F" w:rsidR="00777289" w:rsidRPr="00777289" w:rsidRDefault="00777289" w:rsidP="00777289">
      <w:pPr>
        <w:rPr>
          <w:rFonts w:eastAsia="Times New Roman" w:cs="Arial"/>
          <w:color w:val="000000"/>
          <w:lang w:eastAsia="bg-BG"/>
        </w:rPr>
      </w:pPr>
    </w:p>
    <w:p w14:paraId="006FF900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При пациенти със смесени позитивни и негативни симптоми, дозата трябва да бъде адаптирана за постигане на оптимален контрол на позитивните симптоми.</w:t>
      </w:r>
    </w:p>
    <w:p w14:paraId="3BA10D30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B0143E" w14:textId="7766BE5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Поддържащото лечение трябва да бъде индивидуализирано с най-ниската ефективна доза.</w:t>
      </w:r>
    </w:p>
    <w:p w14:paraId="52C64F3A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0584EA" w14:textId="2C83AE66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При пациенти, при които преобладават негативните симпотми се препоръчват перорални дози между 50 </w:t>
      </w:r>
      <w:r w:rsidRPr="00777289">
        <w:rPr>
          <w:rFonts w:eastAsia="Times New Roman" w:cs="Arial"/>
          <w:color w:val="000000"/>
          <w:lang w:val="en-US"/>
        </w:rPr>
        <w:t xml:space="preserve">mg </w:t>
      </w:r>
      <w:r w:rsidRPr="00777289">
        <w:rPr>
          <w:rFonts w:eastAsia="Times New Roman" w:cs="Arial"/>
          <w:color w:val="000000"/>
          <w:lang w:eastAsia="bg-BG"/>
        </w:rPr>
        <w:t xml:space="preserve">дневно и 300 </w:t>
      </w:r>
      <w:r w:rsidRPr="00777289">
        <w:rPr>
          <w:rFonts w:eastAsia="Times New Roman" w:cs="Arial"/>
          <w:color w:val="000000"/>
          <w:lang w:val="en-US"/>
        </w:rPr>
        <w:t xml:space="preserve">mg </w:t>
      </w:r>
      <w:r w:rsidRPr="00777289">
        <w:rPr>
          <w:rFonts w:eastAsia="Times New Roman" w:cs="Arial"/>
          <w:color w:val="000000"/>
          <w:lang w:eastAsia="bg-BG"/>
        </w:rPr>
        <w:t>дневно. Дозите трябва да бъдат адаптирани индивидуално.</w:t>
      </w:r>
    </w:p>
    <w:p w14:paraId="7D910DC7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C8C3A6" w14:textId="1CDA4B8C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МЕДОСУЛПИД може да бъде приеман веднъж дневно перорално в дози до 400 </w:t>
      </w:r>
      <w:r w:rsidRPr="00777289">
        <w:rPr>
          <w:rFonts w:eastAsia="Times New Roman" w:cs="Arial"/>
          <w:color w:val="000000"/>
          <w:lang w:val="en-US"/>
        </w:rPr>
        <w:t xml:space="preserve">mg, </w:t>
      </w:r>
      <w:r w:rsidRPr="00777289">
        <w:rPr>
          <w:rFonts w:eastAsia="Times New Roman" w:cs="Arial"/>
          <w:color w:val="000000"/>
          <w:lang w:eastAsia="bg-BG"/>
        </w:rPr>
        <w:t>по- високите дози трябва да бъдат разделени в отделни дози.</w:t>
      </w:r>
    </w:p>
    <w:p w14:paraId="321A7E21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068B72" w14:textId="40CA75EB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Трябва да се прилага най-ниската ефективна доза.</w:t>
      </w:r>
    </w:p>
    <w:p w14:paraId="7D365C92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92093F1" w14:textId="3D6595F3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31D86463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Безопасността на амисулприд е проучвана при ограничен брой пациенти в старческа възраст. Амисулприд трябва да се прилага с особено внимание поради потенциален риск от хипотония и седация.</w:t>
      </w:r>
    </w:p>
    <w:p w14:paraId="558FE9A7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Може да се наложи намаляване на дозата и поради бъбречна недостатъчност.</w:t>
      </w:r>
    </w:p>
    <w:p w14:paraId="4B8C0620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D0394A5" w14:textId="0EFAEE13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5D6A43C6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Ефикасността и безопасността на амисулприд от пубертета до 18-годишна възраст не са установени. Налични са ограничени данни за употребата на амисулприд при юноши с шизофрения. Поради тази причина употребата на амисулприд от пубертета до 18-годишна възраст не се препоръчва; при деца преди пубертета амисулприд е противопоказан, тъй като неговата безопасност не е установена (вижте Точка 4.3).</w:t>
      </w:r>
    </w:p>
    <w:p w14:paraId="3A37EFE5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0B6E7DB" w14:textId="298A5051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lang w:eastAsia="bg-BG"/>
        </w:rPr>
        <w:t>Бъбречна недостатъчност</w:t>
      </w:r>
    </w:p>
    <w:p w14:paraId="13E9B01A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Амисулпирид се елиминира чрез бъбреците. При бъбречна недостатъчност дозата трябва да се намали наполовина при пациенти с креатининов клирънс </w:t>
      </w:r>
      <w:r w:rsidRPr="00777289">
        <w:rPr>
          <w:rFonts w:eastAsia="Times New Roman" w:cs="Arial"/>
          <w:color w:val="000000"/>
          <w:lang w:val="en-US"/>
        </w:rPr>
        <w:t xml:space="preserve">(CRCL) </w:t>
      </w:r>
      <w:r w:rsidRPr="00777289">
        <w:rPr>
          <w:rFonts w:eastAsia="Times New Roman" w:cs="Arial"/>
          <w:color w:val="000000"/>
          <w:lang w:eastAsia="bg-BG"/>
        </w:rPr>
        <w:t xml:space="preserve">между 30-60 </w:t>
      </w:r>
      <w:r w:rsidRPr="00777289">
        <w:rPr>
          <w:rFonts w:eastAsia="Times New Roman" w:cs="Arial"/>
          <w:color w:val="000000"/>
          <w:lang w:val="en-US"/>
        </w:rPr>
        <w:t xml:space="preserve">ml/min </w:t>
      </w:r>
      <w:r w:rsidRPr="00777289">
        <w:rPr>
          <w:rFonts w:eastAsia="Times New Roman" w:cs="Arial"/>
          <w:color w:val="000000"/>
          <w:lang w:eastAsia="bg-BG"/>
        </w:rPr>
        <w:t xml:space="preserve">и до една трета при пациенти с </w:t>
      </w:r>
      <w:r w:rsidRPr="00777289">
        <w:rPr>
          <w:rFonts w:eastAsia="Times New Roman" w:cs="Arial"/>
          <w:color w:val="000000"/>
          <w:lang w:val="en-US"/>
        </w:rPr>
        <w:t xml:space="preserve">CRCL </w:t>
      </w:r>
      <w:r w:rsidRPr="00777289">
        <w:rPr>
          <w:rFonts w:eastAsia="Times New Roman" w:cs="Arial"/>
          <w:color w:val="000000"/>
          <w:lang w:eastAsia="bg-BG"/>
        </w:rPr>
        <w:t xml:space="preserve">между 10-30 </w:t>
      </w:r>
      <w:r w:rsidRPr="00777289">
        <w:rPr>
          <w:rFonts w:eastAsia="Times New Roman" w:cs="Arial"/>
          <w:color w:val="000000"/>
          <w:lang w:val="en-US"/>
        </w:rPr>
        <w:t>ml/</w:t>
      </w:r>
      <w:r w:rsidRPr="00777289">
        <w:rPr>
          <w:rFonts w:eastAsia="Times New Roman" w:cs="Arial"/>
          <w:color w:val="000000"/>
          <w:u w:val="single"/>
          <w:lang w:val="en-US"/>
        </w:rPr>
        <w:t>min</w:t>
      </w:r>
      <w:r w:rsidRPr="00777289">
        <w:rPr>
          <w:rFonts w:eastAsia="Times New Roman" w:cs="Arial"/>
          <w:color w:val="000000"/>
          <w:lang w:val="en-US"/>
        </w:rPr>
        <w:t xml:space="preserve">. </w:t>
      </w:r>
      <w:r w:rsidRPr="00777289">
        <w:rPr>
          <w:rFonts w:eastAsia="Times New Roman" w:cs="Arial"/>
          <w:color w:val="000000"/>
          <w:lang w:eastAsia="bg-BG"/>
        </w:rPr>
        <w:t xml:space="preserve">Тъй като няма наличен опит при пациенти с тежко бъбречно увреждане </w:t>
      </w:r>
      <w:r w:rsidRPr="00777289">
        <w:rPr>
          <w:rFonts w:eastAsia="Times New Roman" w:cs="Arial"/>
          <w:color w:val="000000"/>
          <w:lang w:val="en-US"/>
        </w:rPr>
        <w:t xml:space="preserve">(CRCL </w:t>
      </w:r>
      <w:r w:rsidRPr="00777289">
        <w:rPr>
          <w:rFonts w:eastAsia="Times New Roman" w:cs="Arial"/>
          <w:color w:val="000000"/>
          <w:lang w:eastAsia="bg-BG"/>
        </w:rPr>
        <w:t xml:space="preserve">&lt; 10 </w:t>
      </w:r>
      <w:r w:rsidRPr="00777289">
        <w:rPr>
          <w:rFonts w:eastAsia="Times New Roman" w:cs="Arial"/>
          <w:color w:val="000000"/>
          <w:lang w:val="en-US"/>
        </w:rPr>
        <w:t xml:space="preserve">ml/min), </w:t>
      </w:r>
      <w:r w:rsidRPr="00777289">
        <w:rPr>
          <w:rFonts w:eastAsia="Times New Roman" w:cs="Arial"/>
          <w:color w:val="000000"/>
          <w:lang w:eastAsia="bg-BG"/>
        </w:rPr>
        <w:t>при тези пациенти се препоръчва специална грижа (вижте Точка 4.4).</w:t>
      </w:r>
    </w:p>
    <w:p w14:paraId="39A3B691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7158C5F" w14:textId="55D3CE71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lang w:eastAsia="bg-BG"/>
        </w:rPr>
        <w:t>Чернодробна недостатъчност</w:t>
      </w:r>
    </w:p>
    <w:p w14:paraId="60B6D175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Тъй като лекарството се метаболизира слабо, не би трябвало да е необходимо намаляване на</w:t>
      </w:r>
    </w:p>
    <w:p w14:paraId="195CA5A4" w14:textId="4ECBB189" w:rsidR="00777289" w:rsidRPr="00777289" w:rsidRDefault="00777289" w:rsidP="00777289">
      <w:p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t xml:space="preserve">дозата. </w:t>
      </w:r>
    </w:p>
    <w:p w14:paraId="6ACAF645" w14:textId="02A07622" w:rsidR="0091385D" w:rsidRDefault="0091385D" w:rsidP="0091385D"/>
    <w:p w14:paraId="0FA33DC0" w14:textId="77777777" w:rsidR="00777289" w:rsidRPr="00F93F45" w:rsidRDefault="00777289" w:rsidP="00F93F45">
      <w:pPr>
        <w:pStyle w:val="Heading3"/>
        <w:rPr>
          <w:rFonts w:eastAsia="Times New Roman"/>
          <w:u w:val="single"/>
          <w:lang w:eastAsia="bg-BG"/>
        </w:rPr>
      </w:pPr>
      <w:r w:rsidRPr="00F93F45">
        <w:rPr>
          <w:rFonts w:eastAsia="Times New Roman"/>
          <w:u w:val="single"/>
          <w:lang w:eastAsia="bg-BG"/>
        </w:rPr>
        <w:t>Начин на приложение</w:t>
      </w:r>
    </w:p>
    <w:p w14:paraId="60E09B71" w14:textId="0484AD79" w:rsidR="00777289" w:rsidRDefault="00777289" w:rsidP="00777289">
      <w:r w:rsidRPr="00777289">
        <w:rPr>
          <w:rFonts w:ascii="Times New Roman" w:eastAsia="Times New Roman" w:hAnsi="Times New Roman" w:cs="Times New Roman"/>
          <w:color w:val="000000"/>
          <w:lang w:eastAsia="bg-BG"/>
        </w:rPr>
        <w:t>Перорално приложение.</w:t>
      </w:r>
    </w:p>
    <w:p w14:paraId="6B6A479C" w14:textId="77777777" w:rsidR="00777289" w:rsidRPr="0091385D" w:rsidRDefault="00777289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24C961DA" w14:textId="77777777" w:rsidR="00777289" w:rsidRPr="00777289" w:rsidRDefault="00777289" w:rsidP="0077728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lastRenderedPageBreak/>
        <w:t>Свръхчувствителност към активното вещество или към някое от помощните вещества, изброени в точка 6.1.</w:t>
      </w:r>
    </w:p>
    <w:p w14:paraId="0C33496D" w14:textId="77777777" w:rsidR="00777289" w:rsidRPr="00777289" w:rsidRDefault="00777289" w:rsidP="0077728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Наличие на пролактин-зависими тумори (напр. хипофизни пролактиноми или рак на гърдата).</w:t>
      </w:r>
    </w:p>
    <w:p w14:paraId="4E715CDA" w14:textId="77777777" w:rsidR="00777289" w:rsidRPr="00777289" w:rsidRDefault="00777289" w:rsidP="0077728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Феохромоцитом.</w:t>
      </w:r>
    </w:p>
    <w:p w14:paraId="54070246" w14:textId="77777777" w:rsidR="00777289" w:rsidRPr="00777289" w:rsidRDefault="00777289" w:rsidP="0077728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Деца преди започване на пубертета (вижте точка 4.2).</w:t>
      </w:r>
    </w:p>
    <w:p w14:paraId="2051A06B" w14:textId="0CA293A6" w:rsidR="00777289" w:rsidRPr="00777289" w:rsidRDefault="00777289" w:rsidP="0077728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Вродено удължаване на </w:t>
      </w:r>
      <w:r w:rsidRPr="00777289">
        <w:rPr>
          <w:rFonts w:eastAsia="Times New Roman" w:cs="Arial"/>
          <w:color w:val="000000"/>
          <w:lang w:val="en-US"/>
        </w:rPr>
        <w:t xml:space="preserve">QT </w:t>
      </w:r>
      <w:r w:rsidRPr="00777289">
        <w:rPr>
          <w:rFonts w:eastAsia="Times New Roman" w:cs="Arial"/>
          <w:color w:val="000000"/>
          <w:lang w:eastAsia="bg-BG"/>
        </w:rPr>
        <w:t>интервала</w:t>
      </w:r>
    </w:p>
    <w:p w14:paraId="410DFD01" w14:textId="77777777" w:rsidR="00777289" w:rsidRPr="00777289" w:rsidRDefault="00777289" w:rsidP="0077728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Кърмене (вижте точка 4.6).</w:t>
      </w:r>
    </w:p>
    <w:p w14:paraId="5E34B822" w14:textId="77777777" w:rsidR="00777289" w:rsidRPr="00777289" w:rsidRDefault="00777289" w:rsidP="0077728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Комбинация с леводопа (вижте Точка 4.5)</w:t>
      </w:r>
    </w:p>
    <w:p w14:paraId="30FE8819" w14:textId="77777777" w:rsidR="00777289" w:rsidRPr="00777289" w:rsidRDefault="00777289" w:rsidP="0077728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Съвместно лечение с лекарства, които могат да удължат </w:t>
      </w:r>
      <w:r w:rsidRPr="00777289">
        <w:rPr>
          <w:rFonts w:eastAsia="Times New Roman" w:cs="Arial"/>
          <w:color w:val="000000"/>
          <w:lang w:val="en-US"/>
        </w:rPr>
        <w:t xml:space="preserve">QT </w:t>
      </w:r>
      <w:r w:rsidRPr="00777289">
        <w:rPr>
          <w:rFonts w:eastAsia="Times New Roman" w:cs="Arial"/>
          <w:color w:val="000000"/>
          <w:lang w:eastAsia="bg-BG"/>
        </w:rPr>
        <w:t>интервала.</w:t>
      </w:r>
    </w:p>
    <w:p w14:paraId="4CF9F55B" w14:textId="12D28329" w:rsidR="00777289" w:rsidRPr="00777289" w:rsidRDefault="00777289" w:rsidP="0077728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Съпътстващо лечение със следните лекарства, които могат да отключат полиморфна камерна тахикардия </w:t>
      </w:r>
      <w:r w:rsidRPr="00777289">
        <w:rPr>
          <w:rFonts w:eastAsia="Times New Roman" w:cs="Arial"/>
          <w:color w:val="000000"/>
          <w:lang w:val="en-US"/>
        </w:rPr>
        <w:t>(torsade de pointes):</w:t>
      </w:r>
    </w:p>
    <w:p w14:paraId="042EC2F3" w14:textId="77777777" w:rsidR="00777289" w:rsidRPr="00777289" w:rsidRDefault="00777289" w:rsidP="0077728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Антиаритмици клас </w:t>
      </w:r>
      <w:r w:rsidRPr="00777289">
        <w:rPr>
          <w:rFonts w:eastAsia="Times New Roman" w:cs="Arial"/>
          <w:color w:val="000000"/>
          <w:lang w:val="en-US"/>
        </w:rPr>
        <w:t xml:space="preserve">la </w:t>
      </w:r>
      <w:r w:rsidRPr="00777289">
        <w:rPr>
          <w:rFonts w:eastAsia="Times New Roman" w:cs="Arial"/>
          <w:color w:val="000000"/>
          <w:lang w:eastAsia="bg-BG"/>
        </w:rPr>
        <w:t>като хинидин и дизопирамид.</w:t>
      </w:r>
    </w:p>
    <w:p w14:paraId="29D115C7" w14:textId="56AE9FA1" w:rsidR="00777289" w:rsidRPr="00777289" w:rsidRDefault="00777289" w:rsidP="0077728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Клас Ш антиаритмични лекарства като амиодарон и соталол.</w:t>
      </w:r>
    </w:p>
    <w:p w14:paraId="2309EAB0" w14:textId="553D3468" w:rsidR="0091385D" w:rsidRPr="00777289" w:rsidRDefault="00777289" w:rsidP="00777289">
      <w:pPr>
        <w:pStyle w:val="ListParagraph"/>
        <w:numPr>
          <w:ilvl w:val="0"/>
          <w:numId w:val="37"/>
        </w:num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t xml:space="preserve">Други лекарства като бепридил, цизаприд, султоприд, тиоридазин, метадон, еритромицин IV, винкамин </w:t>
      </w:r>
      <w:r w:rsidRPr="00777289">
        <w:rPr>
          <w:rFonts w:eastAsia="Times New Roman" w:cs="Arial"/>
          <w:color w:val="000000"/>
          <w:lang w:val="en-US"/>
        </w:rPr>
        <w:t xml:space="preserve">iv, </w:t>
      </w:r>
      <w:r w:rsidRPr="00777289">
        <w:rPr>
          <w:rFonts w:eastAsia="Times New Roman" w:cs="Arial"/>
          <w:color w:val="000000"/>
          <w:lang w:eastAsia="bg-BG"/>
        </w:rPr>
        <w:t>халофантрин, пентамидин, спарфлоксацин (вижте Точка 4.5).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4D803E85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Невролептичен малигнен синдром</w:t>
      </w:r>
    </w:p>
    <w:p w14:paraId="4BEB6588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Какго и при другите невролептици, може да се появи Невролептичен Малигнен Синдром, потенциално фатално усложнение, което се характеризира с хипертермия, мускулна ригидност, автономна нестабилност и повишение на креатинин фосфокиназана (СРК). В случай на хипертермия, особено при високи дневни дози, приемът на всички антипсихотични лекарства, включително МЕДОСУЛПИД, трябва да бъде преустановен.</w:t>
      </w:r>
    </w:p>
    <w:p w14:paraId="74E7B07A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0A2FDDB" w14:textId="76CEC1A4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Хипергликемия</w:t>
      </w:r>
    </w:p>
    <w:p w14:paraId="0B3BEE35" w14:textId="776A3AEB" w:rsidR="0091385D" w:rsidRPr="00777289" w:rsidRDefault="00777289" w:rsidP="00777289">
      <w:pPr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Хипергликемия е съобщавана при някои пациенти, лекувани с някои атипични антипсихотични агенти, поради тази причина при пациентите с установена диагноза захарен диабет или рискови фактори за диабет, които започват лечение с амисулприд, трябва да бъде установено подходящо гликемично проследяване.</w:t>
      </w:r>
    </w:p>
    <w:p w14:paraId="41633A4A" w14:textId="16BFF889" w:rsidR="00777289" w:rsidRPr="00777289" w:rsidRDefault="00777289" w:rsidP="00777289">
      <w:pPr>
        <w:rPr>
          <w:rFonts w:eastAsia="Times New Roman" w:cs="Arial"/>
          <w:color w:val="000000"/>
          <w:lang w:eastAsia="bg-BG"/>
        </w:rPr>
      </w:pPr>
    </w:p>
    <w:p w14:paraId="5278BFC9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Бъбречна недостатъчност</w:t>
      </w:r>
    </w:p>
    <w:p w14:paraId="7D625975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Амисулпирид се елеминира чрез бъбреците. В случай на бъбречна недостатъчност дозата трябва да бъде понижена или трябва да се обмисли преустановяване на предписаното лечение (вижте Точка 4.2).</w:t>
      </w:r>
    </w:p>
    <w:p w14:paraId="6388F3DA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10EDCBB" w14:textId="6326D36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Епилепсия</w:t>
      </w:r>
    </w:p>
    <w:p w14:paraId="7236DC41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Амисулпирид може да понижи гърчовия пръг. Поради тази причина пациентите с анамнеза за епилепсия трябва да бъдат проследявани отблизо по време на лечението с МЕДОСУЛПИД.</w:t>
      </w:r>
    </w:p>
    <w:p w14:paraId="4E2BC572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DACA026" w14:textId="17FFDF72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</w:t>
      </w:r>
    </w:p>
    <w:p w14:paraId="2288B96F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При пациенти в старческа възраст, както и при другите невролептици, амисулпирид трябва да бъде прилаган с особено внимание, поради възможен риск от хипотония и седация. Може да се наложи понижаване на дозата също и поради бъбречна недостатъчност.</w:t>
      </w:r>
    </w:p>
    <w:p w14:paraId="0595E961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23E92D1" w14:textId="168EF691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lastRenderedPageBreak/>
        <w:t>Болест на Паркинсон</w:t>
      </w:r>
    </w:p>
    <w:p w14:paraId="65933E4E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Както и при останалите антидопаминергични агенти е необходимо внимание, когато МЕДОСУЛПИД е предписван на пациенти с болестта на Паркинсон, тъй като може да влоши заболяването. МЕДОСУЛПИД трябва да се прилага само когато лечението с невролептици не може да бъде избегнато.</w:t>
      </w:r>
    </w:p>
    <w:p w14:paraId="4AAAD3DF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CCA2335" w14:textId="695A5CE6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Симптоми на отнемане</w:t>
      </w:r>
    </w:p>
    <w:p w14:paraId="51B57F2C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Остри симптоми на отнемане, включително гадене, повръщане и безсъние са описвани рядко след внезапно преустановяване на високи дози антипсихотични лекарства. Възобновяване на психотичните симптоми също е възможно, както е докладвана и поява на неволеви двигателни нарушения (като акатизия, дистония и дискинезия). Поради тази причина се препоръчва постепенно преустановяване на амисулприд.</w:t>
      </w:r>
    </w:p>
    <w:p w14:paraId="1333644C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ADC896F" w14:textId="004286A0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Удължаване на ОТ интервала</w:t>
      </w:r>
    </w:p>
    <w:p w14:paraId="399147FC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Изисква се внимание, когато амисулприд е предписан на пациенти с известно сърдечно-съдово заболяване или фамилна анамнеза за удължаване на </w:t>
      </w:r>
      <w:r w:rsidRPr="00777289">
        <w:rPr>
          <w:rFonts w:eastAsia="Times New Roman" w:cs="Arial"/>
          <w:color w:val="000000"/>
          <w:lang w:val="en-US"/>
        </w:rPr>
        <w:t xml:space="preserve">QT </w:t>
      </w:r>
      <w:r w:rsidRPr="00777289">
        <w:rPr>
          <w:rFonts w:eastAsia="Times New Roman" w:cs="Arial"/>
          <w:color w:val="000000"/>
          <w:lang w:eastAsia="bg-BG"/>
        </w:rPr>
        <w:t>интервала, а съвместната употреба с невролептици трябва да се избягва.</w:t>
      </w:r>
    </w:p>
    <w:p w14:paraId="25963479" w14:textId="77777777" w:rsidR="00777289" w:rsidRPr="00777289" w:rsidRDefault="00777289" w:rsidP="00777289">
      <w:pPr>
        <w:rPr>
          <w:rFonts w:eastAsia="Times New Roman" w:cs="Arial"/>
          <w:color w:val="000000"/>
          <w:lang w:eastAsia="bg-BG"/>
        </w:rPr>
      </w:pPr>
    </w:p>
    <w:p w14:paraId="5DAE5677" w14:textId="7A29D912" w:rsidR="00777289" w:rsidRDefault="00777289" w:rsidP="00777289">
      <w:pPr>
        <w:rPr>
          <w:rFonts w:eastAsia="Times New Roman" w:cs="Arial"/>
          <w:color w:val="000000"/>
          <w:lang w:val="en-US"/>
        </w:rPr>
      </w:pPr>
      <w:r w:rsidRPr="00777289">
        <w:rPr>
          <w:rFonts w:eastAsia="Times New Roman" w:cs="Arial"/>
          <w:color w:val="000000"/>
          <w:lang w:eastAsia="bg-BG"/>
        </w:rPr>
        <w:t xml:space="preserve">Амисулприд предизвиква дозозависимо удължаване на </w:t>
      </w:r>
      <w:r w:rsidRPr="00777289">
        <w:rPr>
          <w:rFonts w:eastAsia="Times New Roman" w:cs="Arial"/>
          <w:color w:val="000000"/>
          <w:lang w:val="en-US"/>
        </w:rPr>
        <w:t xml:space="preserve">QT </w:t>
      </w:r>
      <w:r w:rsidRPr="00777289">
        <w:rPr>
          <w:rFonts w:eastAsia="Times New Roman" w:cs="Arial"/>
          <w:color w:val="000000"/>
          <w:lang w:eastAsia="bg-BG"/>
        </w:rPr>
        <w:t xml:space="preserve">интервала (вижте Точка 4.8). Известно е, че този ефект може да повиши риска от сериозни вентрикулни аритмии като полиморфна камерна тахикардия </w:t>
      </w:r>
      <w:r w:rsidRPr="00777289">
        <w:rPr>
          <w:rFonts w:eastAsia="Times New Roman" w:cs="Arial"/>
          <w:color w:val="000000"/>
          <w:lang w:val="en-US"/>
        </w:rPr>
        <w:t>(</w:t>
      </w:r>
      <w:proofErr w:type="spellStart"/>
      <w:r w:rsidRPr="00777289">
        <w:rPr>
          <w:rFonts w:eastAsia="Times New Roman" w:cs="Arial"/>
          <w:color w:val="000000"/>
          <w:lang w:val="en-US"/>
        </w:rPr>
        <w:t>torsades</w:t>
      </w:r>
      <w:proofErr w:type="spellEnd"/>
      <w:r w:rsidRPr="00777289">
        <w:rPr>
          <w:rFonts w:eastAsia="Times New Roman" w:cs="Arial"/>
          <w:color w:val="000000"/>
          <w:lang w:val="en-US"/>
        </w:rPr>
        <w:t xml:space="preserve"> de pointes).</w:t>
      </w:r>
    </w:p>
    <w:p w14:paraId="32799142" w14:textId="7CC6656B" w:rsidR="00777289" w:rsidRDefault="00777289" w:rsidP="00777289">
      <w:pPr>
        <w:rPr>
          <w:rFonts w:eastAsia="Times New Roman" w:cs="Arial"/>
          <w:color w:val="000000"/>
          <w:lang w:val="en-US"/>
        </w:rPr>
      </w:pPr>
    </w:p>
    <w:p w14:paraId="55863DF1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Преди прием, и ако клиничното състояние на пациента го позволява, се препоръчва да се проследят факторите, които могат да повишат риска от поява на тези ритъмни нарушения, например:</w:t>
      </w:r>
    </w:p>
    <w:p w14:paraId="1A032C9B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•</w:t>
      </w:r>
      <w:r w:rsidRPr="00777289">
        <w:rPr>
          <w:rFonts w:eastAsia="Times New Roman" w:cs="Arial"/>
          <w:color w:val="000000"/>
          <w:lang w:eastAsia="bg-BG"/>
        </w:rPr>
        <w:tab/>
        <w:t>Брадикардия под 55 удара/ мин.</w:t>
      </w:r>
    </w:p>
    <w:p w14:paraId="06D2F8EC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•</w:t>
      </w:r>
      <w:r w:rsidRPr="00777289">
        <w:rPr>
          <w:rFonts w:eastAsia="Times New Roman" w:cs="Arial"/>
          <w:color w:val="000000"/>
          <w:lang w:eastAsia="bg-BG"/>
        </w:rPr>
        <w:tab/>
        <w:t>Електролитен дисбаланс, в частност хипокалиемия</w:t>
      </w:r>
    </w:p>
    <w:p w14:paraId="66A43B91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•</w:t>
      </w:r>
      <w:r w:rsidRPr="00777289">
        <w:rPr>
          <w:rFonts w:eastAsia="Times New Roman" w:cs="Arial"/>
          <w:color w:val="000000"/>
          <w:lang w:eastAsia="bg-BG"/>
        </w:rPr>
        <w:tab/>
        <w:t xml:space="preserve">Вродено удължаване на </w:t>
      </w:r>
      <w:r w:rsidRPr="00777289">
        <w:rPr>
          <w:rFonts w:eastAsia="Times New Roman" w:cs="Arial"/>
          <w:color w:val="000000"/>
          <w:lang w:val="en-US"/>
        </w:rPr>
        <w:t xml:space="preserve">QT </w:t>
      </w:r>
      <w:r w:rsidRPr="00777289">
        <w:rPr>
          <w:rFonts w:eastAsia="Times New Roman" w:cs="Arial"/>
          <w:color w:val="000000"/>
          <w:lang w:eastAsia="bg-BG"/>
        </w:rPr>
        <w:t>интервала</w:t>
      </w:r>
    </w:p>
    <w:p w14:paraId="458E0E9B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•</w:t>
      </w:r>
      <w:r w:rsidRPr="00777289">
        <w:rPr>
          <w:rFonts w:eastAsia="Times New Roman" w:cs="Arial"/>
          <w:color w:val="000000"/>
          <w:lang w:eastAsia="bg-BG"/>
        </w:rPr>
        <w:tab/>
        <w:t xml:space="preserve">Съпътстващи медикаменти, които могат да причинят тежка брадикардия (&lt;55 удара/ мин.), хипокалиемия, понижена вътресърдечна проводимост или удължаване на </w:t>
      </w:r>
      <w:r w:rsidRPr="00777289">
        <w:rPr>
          <w:rFonts w:eastAsia="Times New Roman" w:cs="Arial"/>
          <w:color w:val="000000"/>
          <w:lang w:val="en-US"/>
        </w:rPr>
        <w:t xml:space="preserve">QT </w:t>
      </w:r>
      <w:r w:rsidRPr="00777289">
        <w:rPr>
          <w:rFonts w:eastAsia="Times New Roman" w:cs="Arial"/>
          <w:color w:val="000000"/>
          <w:lang w:eastAsia="bg-BG"/>
        </w:rPr>
        <w:t>интервала (вижте Точка 4.5).</w:t>
      </w:r>
    </w:p>
    <w:p w14:paraId="51AF188D" w14:textId="77777777" w:rsidR="00777289" w:rsidRDefault="00777289" w:rsidP="00777289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bg-BG"/>
        </w:rPr>
      </w:pPr>
    </w:p>
    <w:p w14:paraId="75D31D7B" w14:textId="1EF9012F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Инсулт</w:t>
      </w:r>
    </w:p>
    <w:p w14:paraId="3F1EFB55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При проведени рандомизирани плацебо-контролирани клинични проучвания при пациенти в старческа възраст с деменция и лекувани с определени атипични антипсихотици е наблюдавано трикратно повишение на риска от мозъчно-съдови събития. Механизмът на такова повишение на риска не е известен. Повишение на риска при други антипсихотични лекарства или други популации пациенти не може да бъде изключено. МЕДОСУЛПИД трябва да се прилага с внимание при пациети с рискови фактори за инсулт.</w:t>
      </w:r>
    </w:p>
    <w:p w14:paraId="5DABB2D8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29CCB44" w14:textId="0097E152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Пациенти в старческа възраст с деменция</w:t>
      </w:r>
    </w:p>
    <w:p w14:paraId="742EABF1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Пациентите в старческа възраст с деменция и свързана с нея психоза, лекувани с антипсихотични лекарства са с повишен риск от смърт. Анализи на 17 плацебо-контролирани проучвания (с продължителност 10 седмици), основно при пациенти, приемащи атипични антипсихотици, показват риск от смърт при лекуваните пациенти между 1.6 и 1.7 пъти в сравнение с риска от смърт при пациентите, приемали плацебо. При проведено типично 10- седмично контролирано проучване честотата на смърт при лекуваните пациенти е била около 4.5% в сравнение с честота от 2.6% в плацебо групата. Въпреки, че причините за смърт при клиничните проучвания на атипични антипсихотици </w:t>
      </w:r>
      <w:r w:rsidRPr="00777289">
        <w:rPr>
          <w:rFonts w:eastAsia="Times New Roman" w:cs="Arial"/>
          <w:color w:val="000000"/>
          <w:lang w:eastAsia="bg-BG"/>
        </w:rPr>
        <w:lastRenderedPageBreak/>
        <w:t>са различни, най-много смъртни случаи се дължат или на кардиоваскуларни (напр. сърдечна недостатъчност, внезапна смърт), или на инфекциозни (напр. пневмония) причини. Обсервационните проучвания предполагат, че подобно на атипичните антипсихотици, лечението с конвенционални антипсихотични лекарства може да повиши смъртността.</w:t>
      </w:r>
    </w:p>
    <w:p w14:paraId="335FE318" w14:textId="77777777" w:rsidR="00777289" w:rsidRPr="00777289" w:rsidRDefault="00777289" w:rsidP="00777289">
      <w:pPr>
        <w:rPr>
          <w:rFonts w:eastAsia="Times New Roman" w:cs="Arial"/>
          <w:color w:val="000000"/>
          <w:lang w:eastAsia="bg-BG"/>
        </w:rPr>
      </w:pPr>
    </w:p>
    <w:p w14:paraId="622DAEE8" w14:textId="0969653F" w:rsidR="00777289" w:rsidRDefault="00777289" w:rsidP="00777289">
      <w:pPr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Не е ясна степента, до която данните за повишена смъртност при обсервационните проучвания могат да се отнесат към антипсихотичните лекарства в сравнение с някои от характеристиките на пациентите.</w:t>
      </w:r>
    </w:p>
    <w:p w14:paraId="2B5DE10E" w14:textId="4B8F8E48" w:rsidR="00777289" w:rsidRDefault="00777289" w:rsidP="00777289">
      <w:pPr>
        <w:rPr>
          <w:rFonts w:eastAsia="Times New Roman" w:cs="Arial"/>
          <w:color w:val="000000"/>
          <w:lang w:eastAsia="bg-BG"/>
        </w:rPr>
      </w:pPr>
    </w:p>
    <w:p w14:paraId="2E3DF012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МЕДОСУЛПИД не е разрешен за употреба при лечение на свързани с деменция поведенчески нарушения.</w:t>
      </w:r>
    </w:p>
    <w:p w14:paraId="0C452FF8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92F9F4F" w14:textId="0F4CB194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Венозен тромбемболизъм</w:t>
      </w:r>
    </w:p>
    <w:p w14:paraId="52FF5916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При употреба на антипсихотични лекарства са докладвани случаи на венозен тромбемболизъм (ВТЕ). Тъй като пациентите, лекувани с антипсихотици, често са с придобити рискови фактори за ВТЕ, се препоръчва всички рискови фактори за ВТЕ да бъдат идентифицирани преди и по време на лечението с МЕДОСУЛПИД, както и да бъдат взети съответните предпазни мерки.</w:t>
      </w:r>
    </w:p>
    <w:p w14:paraId="29DF250A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9099475" w14:textId="554DEF38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Левкопения, неутропения и агранулоиитоза</w:t>
      </w:r>
    </w:p>
    <w:p w14:paraId="6F9122D2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При лечение с антипсихотици, включително амисулпирид, са докладвани левкопения, неутропения и агранулоцитоза. Необяснима инфекция или треска могат да бъдат доказателство за промени в кръвната картина (вижте Точка 4.8) и изискват незабавно хематологично изследване.</w:t>
      </w:r>
    </w:p>
    <w:p w14:paraId="499D5ACD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DF1B5B8" w14:textId="709CC779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Рак на гърдата</w:t>
      </w:r>
    </w:p>
    <w:p w14:paraId="2CD52F2F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Амисулприд може да повиши нивата на пролактин и поради това е необходимо внимание. Пациентите с анамнеза за рак на гърдата или фамилна анамнеза за рак на гърдата трябва да бъдат проследявани отблизо по време на лечението с амисулприд.</w:t>
      </w:r>
    </w:p>
    <w:p w14:paraId="113FEF99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97FE1AA" w14:textId="34B14F6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Доброкачествен тумор на хипофизата</w:t>
      </w:r>
    </w:p>
    <w:p w14:paraId="0A00E418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Амисулприд може да увеличи нивата на пролактин. По време на лечение с амисулприд са наблюдавани случаи на доброкачествени тумори на хипофизата като пролактином (вижте точка 4.8). В случай на много високи нива на пролактин или клинични признаци на тумор на хипофизата (като дефекти на зрителното поле и главоболие), трябва да се направи рентгенова снимка на хипофизата. Ако се потвърди диагноза тумор на хипофизата, лечението с амисулприд трябва да бъде спряно (вижте точка 4.3).</w:t>
      </w:r>
    </w:p>
    <w:p w14:paraId="51106F2C" w14:textId="77777777" w:rsidR="00777289" w:rsidRPr="00777289" w:rsidRDefault="00777289" w:rsidP="0077728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F3B1C12" w14:textId="5CD77781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Чернодробна токсичност</w:t>
      </w:r>
    </w:p>
    <w:p w14:paraId="79B0D6F2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При употреба на амисулприд е съобщавана тежка чернодробна токсичност. Пациентите трябва да бъдат инструктирани незабавно да съобщават на лекаря за признаци като астения, анорексия, гадене, повръщане, болка в корема или жълтеница. Изследвания, включително клиничен преглед и биологична оценка на чернодробната функция, трябва да бъдат незабавно проведени (вижте точка 4.8).</w:t>
      </w:r>
    </w:p>
    <w:p w14:paraId="6D21A138" w14:textId="77777777" w:rsidR="00777289" w:rsidRPr="00777289" w:rsidRDefault="00777289" w:rsidP="00777289">
      <w:pPr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D5242D6" w14:textId="7E85C69E" w:rsidR="00777289" w:rsidRPr="00777289" w:rsidRDefault="00777289" w:rsidP="00777289">
      <w:pPr>
        <w:rPr>
          <w:rFonts w:cs="Arial"/>
        </w:rPr>
      </w:pPr>
      <w:r w:rsidRPr="00777289">
        <w:rPr>
          <w:rFonts w:eastAsia="Times New Roman" w:cs="Arial"/>
          <w:i/>
          <w:iCs/>
          <w:color w:val="000000"/>
          <w:u w:val="single"/>
          <w:lang w:eastAsia="bg-BG"/>
        </w:rPr>
        <w:t>Лактоза</w:t>
      </w:r>
    </w:p>
    <w:p w14:paraId="24E3E82F" w14:textId="7DB85C7C" w:rsidR="0091385D" w:rsidRPr="0091385D" w:rsidRDefault="00777289" w:rsidP="0091385D">
      <w:r>
        <w:t>Този лекарствен продукт съдържа лактоза монохидрат. Пациентите с редки наследствени проблеми на галактозна непоносимост, пълен лактазен дефицит или глюкозо-галактозна малабсорбция не трябва да приемат това лекарство.</w:t>
      </w:r>
    </w:p>
    <w:p w14:paraId="619DED1E" w14:textId="564F257F" w:rsidR="004F498A" w:rsidRDefault="002C50EE" w:rsidP="004A448E">
      <w:pPr>
        <w:pStyle w:val="Heading2"/>
      </w:pPr>
      <w:r>
        <w:lastRenderedPageBreak/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77467307" w14:textId="77777777" w:rsidR="00777289" w:rsidRPr="00777289" w:rsidRDefault="00777289" w:rsidP="0077728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77289">
        <w:rPr>
          <w:rFonts w:eastAsia="Times New Roman" w:cs="Arial"/>
          <w:i/>
          <w:iCs/>
          <w:color w:val="000000"/>
          <w:lang w:eastAsia="bg-BG"/>
        </w:rPr>
        <w:t>Противопоказани комбинации</w:t>
      </w:r>
    </w:p>
    <w:p w14:paraId="64B7C3B5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Леводопа: реципрочен антагонизъм на ефектите между леводопа и невролептиците. Амисулприд може да възпрепятства ефекта на допаминовите агонисти, например бромокриптин, ропинирол.</w:t>
      </w:r>
    </w:p>
    <w:p w14:paraId="3B814678" w14:textId="77777777" w:rsidR="00777289" w:rsidRPr="00777289" w:rsidRDefault="00777289" w:rsidP="00777289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Лекарства, които могат да предизвикат полиморфна камерна тахикардия </w:t>
      </w:r>
      <w:r w:rsidRPr="00777289">
        <w:rPr>
          <w:rFonts w:eastAsia="Times New Roman" w:cs="Arial"/>
          <w:color w:val="000000"/>
          <w:lang w:val="en-US"/>
        </w:rPr>
        <w:t>(</w:t>
      </w:r>
      <w:proofErr w:type="spellStart"/>
      <w:r w:rsidRPr="00777289">
        <w:rPr>
          <w:rFonts w:eastAsia="Times New Roman" w:cs="Arial"/>
          <w:color w:val="000000"/>
          <w:lang w:val="en-US"/>
        </w:rPr>
        <w:t>torsades</w:t>
      </w:r>
      <w:proofErr w:type="spellEnd"/>
      <w:r w:rsidRPr="00777289">
        <w:rPr>
          <w:rFonts w:eastAsia="Times New Roman" w:cs="Arial"/>
          <w:color w:val="000000"/>
          <w:lang w:val="en-US"/>
        </w:rPr>
        <w:t xml:space="preserve"> de pointes) </w:t>
      </w:r>
      <w:r w:rsidRPr="00777289">
        <w:rPr>
          <w:rFonts w:eastAsia="Times New Roman" w:cs="Arial"/>
          <w:color w:val="000000"/>
          <w:lang w:eastAsia="bg-BG"/>
        </w:rPr>
        <w:t xml:space="preserve">или удължаване на </w:t>
      </w:r>
      <w:r w:rsidRPr="00777289">
        <w:rPr>
          <w:rFonts w:eastAsia="Times New Roman" w:cs="Arial"/>
          <w:color w:val="000000"/>
          <w:lang w:val="en-US"/>
        </w:rPr>
        <w:t xml:space="preserve">QT </w:t>
      </w:r>
      <w:r w:rsidRPr="00777289">
        <w:rPr>
          <w:rFonts w:eastAsia="Times New Roman" w:cs="Arial"/>
          <w:color w:val="000000"/>
          <w:lang w:eastAsia="bg-BG"/>
        </w:rPr>
        <w:t>интервала (вижте Точка 4.4 и Точка 4.3): Клас Iа антиаригмици като хинидин и дизопирамид.</w:t>
      </w:r>
    </w:p>
    <w:p w14:paraId="16EE7D75" w14:textId="77777777" w:rsidR="00777289" w:rsidRPr="00777289" w:rsidRDefault="00777289" w:rsidP="00777289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Клас III антиаритмични лекарства като амиодарон и соталол.</w:t>
      </w:r>
    </w:p>
    <w:p w14:paraId="1219F4D5" w14:textId="0878A214" w:rsidR="00777289" w:rsidRPr="00777289" w:rsidRDefault="00777289" w:rsidP="00777289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Други лекарства като бепридил, цизаприд, султоприд, тиоридазин, метадон, еритромицин IV, винкамин </w:t>
      </w:r>
      <w:r w:rsidRPr="00777289">
        <w:rPr>
          <w:rFonts w:eastAsia="Times New Roman" w:cs="Arial"/>
          <w:color w:val="000000"/>
          <w:lang w:val="en-US"/>
        </w:rPr>
        <w:t xml:space="preserve">iv, </w:t>
      </w:r>
      <w:r w:rsidRPr="00777289">
        <w:rPr>
          <w:rFonts w:eastAsia="Times New Roman" w:cs="Arial"/>
          <w:color w:val="000000"/>
          <w:lang w:eastAsia="bg-BG"/>
        </w:rPr>
        <w:t>халофантрин, пентамидин, спарфлоксацин (вижте Точка 4.5).</w:t>
      </w:r>
    </w:p>
    <w:p w14:paraId="08D24DDF" w14:textId="77777777" w:rsidR="00777289" w:rsidRPr="00777289" w:rsidRDefault="00777289" w:rsidP="0077728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77289">
        <w:rPr>
          <w:rFonts w:eastAsia="Times New Roman" w:cs="Arial"/>
          <w:i/>
          <w:iCs/>
          <w:color w:val="000000"/>
          <w:lang w:eastAsia="bg-BG"/>
        </w:rPr>
        <w:t>Комбинации, които не се препоръчват</w:t>
      </w:r>
    </w:p>
    <w:p w14:paraId="07022A39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амисулпирид може да засили ефектите на алкохола върху централната нервна система.</w:t>
      </w:r>
    </w:p>
    <w:p w14:paraId="791A87BF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Лекарства, които могат да предизвикат полиморфна камерна тахикардия </w:t>
      </w:r>
      <w:r w:rsidRPr="00777289">
        <w:rPr>
          <w:rFonts w:eastAsia="Times New Roman" w:cs="Arial"/>
          <w:color w:val="000000"/>
          <w:lang w:val="en-US"/>
        </w:rPr>
        <w:t>(</w:t>
      </w:r>
      <w:proofErr w:type="spellStart"/>
      <w:r w:rsidRPr="00777289">
        <w:rPr>
          <w:rFonts w:eastAsia="Times New Roman" w:cs="Arial"/>
          <w:color w:val="000000"/>
          <w:lang w:val="en-US"/>
        </w:rPr>
        <w:t>torsades</w:t>
      </w:r>
      <w:proofErr w:type="spellEnd"/>
      <w:r w:rsidRPr="00777289">
        <w:rPr>
          <w:rFonts w:eastAsia="Times New Roman" w:cs="Arial"/>
          <w:color w:val="000000"/>
          <w:lang w:val="en-US"/>
        </w:rPr>
        <w:t xml:space="preserve"> de pointes) </w:t>
      </w:r>
      <w:r w:rsidRPr="00777289">
        <w:rPr>
          <w:rFonts w:eastAsia="Times New Roman" w:cs="Arial"/>
          <w:color w:val="000000"/>
          <w:lang w:eastAsia="bg-BG"/>
        </w:rPr>
        <w:t xml:space="preserve">или удължаване на </w:t>
      </w:r>
      <w:r w:rsidRPr="00777289">
        <w:rPr>
          <w:rFonts w:eastAsia="Times New Roman" w:cs="Arial"/>
          <w:color w:val="000000"/>
          <w:lang w:val="en-US"/>
        </w:rPr>
        <w:t xml:space="preserve">QT </w:t>
      </w:r>
      <w:r w:rsidRPr="00777289">
        <w:rPr>
          <w:rFonts w:eastAsia="Times New Roman" w:cs="Arial"/>
          <w:color w:val="000000"/>
          <w:lang w:eastAsia="bg-BG"/>
        </w:rPr>
        <w:t>интервала:</w:t>
      </w:r>
    </w:p>
    <w:p w14:paraId="09D6AFB0" w14:textId="77777777" w:rsidR="00777289" w:rsidRPr="00777289" w:rsidRDefault="00777289" w:rsidP="00777289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Лекарства, които могат да предизвикат брадикардия, включително бета-блокери, брадикардия-индуциращ калций като дилтиазем, верапамил, клонидин, гуанфацин и дигоксин. Лекарства, които предизвикват електролитен дисбаланс: хипокалиемични диуретици, стимулиращи лаксативи, IV амфотерицин В, глюкокортикоиди и тетракозактиди. Хипокалиемията трябва да бъде коригирана. Антипсихотични лекарства като пимозид и халоперидол, имипрамин антидепресанти, литий.</w:t>
      </w:r>
    </w:p>
    <w:p w14:paraId="0C1EABD0" w14:textId="77777777" w:rsidR="00777289" w:rsidRPr="00777289" w:rsidRDefault="00777289" w:rsidP="0077728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77289">
        <w:rPr>
          <w:rFonts w:eastAsia="Times New Roman" w:cs="Arial"/>
          <w:i/>
          <w:iCs/>
          <w:color w:val="000000"/>
          <w:lang w:eastAsia="bg-BG"/>
        </w:rPr>
        <w:t>Комбинации, които трябва да се вземат под внимание</w:t>
      </w:r>
    </w:p>
    <w:p w14:paraId="0FB1F8DF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Депресанти на ЦНС, включително наркотични продукти, анестетици, аналгетици, седативни Н1 антихистамини, барбитурати, бензодиазепини и други анксиолитици, клонидин и деривати. Антихипертензивни лекарства и други хипотензивни лекарства.</w:t>
      </w:r>
    </w:p>
    <w:p w14:paraId="29CB63CE" w14:textId="77777777" w:rsidR="00777289" w:rsidRPr="00777289" w:rsidRDefault="00777289" w:rsidP="00777289">
      <w:pPr>
        <w:rPr>
          <w:rFonts w:eastAsia="Times New Roman" w:cs="Arial"/>
          <w:color w:val="000000"/>
          <w:lang w:eastAsia="bg-BG"/>
        </w:rPr>
      </w:pPr>
    </w:p>
    <w:p w14:paraId="172AE819" w14:textId="139DDA46" w:rsidR="0091385D" w:rsidRPr="00777289" w:rsidRDefault="00777289" w:rsidP="00777289">
      <w:p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t>Съвместно лечение с амисулприд и клозапин може да доведе до повишени плазмени концентрации на амисулприд.</w:t>
      </w:r>
    </w:p>
    <w:p w14:paraId="5B2761C5" w14:textId="77777777" w:rsidR="0091385D" w:rsidRPr="0091385D" w:rsidRDefault="0091385D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2D4FD251" w14:textId="31D5B79B" w:rsidR="00777289" w:rsidRPr="00777289" w:rsidRDefault="00777289" w:rsidP="00777289">
      <w:pPr>
        <w:pStyle w:val="Heading3"/>
        <w:rPr>
          <w:rFonts w:eastAsia="Times New Roman"/>
          <w:u w:val="single"/>
          <w:lang w:eastAsia="bg-BG"/>
        </w:rPr>
      </w:pPr>
      <w:r w:rsidRPr="00777289">
        <w:rPr>
          <w:rFonts w:eastAsia="Times New Roman"/>
          <w:u w:val="single"/>
          <w:lang w:eastAsia="bg-BG"/>
        </w:rPr>
        <w:t>Бременно</w:t>
      </w:r>
      <w:bookmarkStart w:id="1" w:name="_GoBack"/>
      <w:bookmarkEnd w:id="1"/>
      <w:r w:rsidRPr="00777289">
        <w:rPr>
          <w:rFonts w:eastAsia="Times New Roman"/>
          <w:u w:val="single"/>
          <w:lang w:eastAsia="bg-BG"/>
        </w:rPr>
        <w:t>ст</w:t>
      </w:r>
      <w:r w:rsidRPr="00777289">
        <w:rPr>
          <w:rFonts w:eastAsia="Times New Roman"/>
          <w:u w:val="single"/>
          <w:lang w:eastAsia="bg-BG"/>
        </w:rPr>
        <w:tab/>
      </w:r>
    </w:p>
    <w:p w14:paraId="44CE0DD0" w14:textId="1177ED0F" w:rsidR="00777289" w:rsidRPr="00777289" w:rsidRDefault="00777289" w:rsidP="00777289">
      <w:pPr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Проучвания при животни показват репродуктивна токсичност</w:t>
      </w:r>
      <w:r w:rsidRPr="00777289">
        <w:rPr>
          <w:rFonts w:eastAsia="Times New Roman" w:cs="Arial"/>
          <w:color w:val="000000"/>
          <w:lang w:val="en-US"/>
        </w:rPr>
        <w:t xml:space="preserve"> </w:t>
      </w:r>
      <w:r w:rsidRPr="00777289">
        <w:rPr>
          <w:rFonts w:eastAsia="Times New Roman" w:cs="Arial"/>
          <w:color w:val="000000"/>
          <w:lang w:eastAsia="bg-BG"/>
        </w:rPr>
        <w:t>(вижте точка 5.3).</w:t>
      </w:r>
    </w:p>
    <w:p w14:paraId="1C3AE45D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Налични са само ограничени данни за употребата на амисулприд при бременни жени. Безопасността на амисулприд при бременни жени не е установена.</w:t>
      </w:r>
    </w:p>
    <w:p w14:paraId="1A579097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Амисулприд преминава през плацентата.</w:t>
      </w:r>
    </w:p>
    <w:p w14:paraId="2C52AB4D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Употребата на лекарството не е препоръчителна по време на бременност и при жени с детероден потенциал, които не използват ефективна контрацепция, освен ако ползите не оправдават потенциалните рискове.</w:t>
      </w:r>
    </w:p>
    <w:p w14:paraId="7A827685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При новородени, изложени на антипсихотици (включително амисулпирид) през третия триместър от бременността съществува риск от нежелани реакции, включително екстрапирамидни и/ или симптоми на отнемане, които могат да варират по тежест и продължителност след раждането (вижте Точка 4.8). Докладвани са случаи на възбуда, хипертония, хипотония, тремор, сънливост, респираторен дистрес или нарушения в </w:t>
      </w:r>
      <w:r w:rsidRPr="00777289">
        <w:rPr>
          <w:rFonts w:eastAsia="Times New Roman" w:cs="Arial"/>
          <w:color w:val="000000"/>
          <w:lang w:eastAsia="bg-BG"/>
        </w:rPr>
        <w:lastRenderedPageBreak/>
        <w:t>храненето. Поради тази причина новородените трябва да бъдат внимателно проследявани.</w:t>
      </w:r>
    </w:p>
    <w:p w14:paraId="1A2DB42C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09CC71" w14:textId="6CFBFD34" w:rsidR="00777289" w:rsidRPr="00777289" w:rsidRDefault="00777289" w:rsidP="00777289">
      <w:pPr>
        <w:pStyle w:val="Heading3"/>
        <w:rPr>
          <w:rFonts w:eastAsia="Times New Roman"/>
          <w:u w:val="single"/>
          <w:lang w:eastAsia="bg-BG"/>
        </w:rPr>
      </w:pPr>
      <w:r w:rsidRPr="00777289">
        <w:rPr>
          <w:rFonts w:eastAsia="Times New Roman"/>
          <w:u w:val="single"/>
          <w:lang w:eastAsia="bg-BG"/>
        </w:rPr>
        <w:t>Кърмене</w:t>
      </w:r>
    </w:p>
    <w:p w14:paraId="64F4FC44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В някои случаи амисулприд се екскретира в кърмата в относително големи количества, надвишаващи 10% от коригираната спрямо теглото на майката доза, но концентрацията в кръвта на кърмачетата не е оценена. Няма достатъчно информация за ефектите на амисулприд върху новородените/ кърмачетата. Трябва да се вземе решение дали да се прекрати кърменето или да се преустанови лечението с амисулприд по време на кърмене като се вземат предвид ползите от кърменето за детето и ползите от лечението за жената.</w:t>
      </w:r>
    </w:p>
    <w:p w14:paraId="65DB159B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7EA83A" w14:textId="6665AE42" w:rsidR="00777289" w:rsidRPr="00777289" w:rsidRDefault="00777289" w:rsidP="00777289">
      <w:pPr>
        <w:pStyle w:val="Heading3"/>
        <w:rPr>
          <w:rFonts w:eastAsia="Times New Roman"/>
          <w:u w:val="single"/>
          <w:lang w:eastAsia="bg-BG"/>
        </w:rPr>
      </w:pPr>
      <w:r w:rsidRPr="00777289">
        <w:rPr>
          <w:rFonts w:eastAsia="Times New Roman"/>
          <w:u w:val="single"/>
          <w:lang w:eastAsia="bg-BG"/>
        </w:rPr>
        <w:t>Фертилитет</w:t>
      </w:r>
    </w:p>
    <w:p w14:paraId="5A0894CC" w14:textId="070885A7" w:rsidR="00777289" w:rsidRPr="00777289" w:rsidRDefault="00777289" w:rsidP="00777289">
      <w:p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t>При третирани животни е установено понижаване на фертилитета, свързано с фармакологичните ефекти на лекарството (пролактин-медииран ефект).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7B022D70" w:rsidR="0091385D" w:rsidRDefault="00777289" w:rsidP="0091385D">
      <w:r>
        <w:t>Дори при употреба както е препоръчано, амисулпирид може да причини сънливост и замъглено зрение, която да повлияе способността за шофиране или работа с машини (вижте Точка 4.8).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1854FB0F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Нежеланите лекарствени реакции са подредени по честота като е използвана следната класификация:</w:t>
      </w:r>
    </w:p>
    <w:p w14:paraId="76B3A6E5" w14:textId="77777777" w:rsidR="00777289" w:rsidRPr="00777289" w:rsidRDefault="00777289" w:rsidP="0077728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Много чести (≥1/10);</w:t>
      </w:r>
    </w:p>
    <w:p w14:paraId="041BD0A3" w14:textId="77777777" w:rsidR="00777289" w:rsidRPr="00777289" w:rsidRDefault="00777289" w:rsidP="0077728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 Чести (≥1/100 до &lt;1/10);</w:t>
      </w:r>
    </w:p>
    <w:p w14:paraId="283D6285" w14:textId="77777777" w:rsidR="00777289" w:rsidRPr="00777289" w:rsidRDefault="00777289" w:rsidP="0077728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Нечести</w:t>
      </w:r>
      <w:r w:rsidRPr="00777289">
        <w:rPr>
          <w:rFonts w:eastAsia="Times New Roman" w:cs="Arial"/>
          <w:color w:val="000000"/>
          <w:lang w:val="en-US"/>
        </w:rPr>
        <w:t xml:space="preserve"> (</w:t>
      </w:r>
      <w:r w:rsidRPr="00777289">
        <w:rPr>
          <w:rFonts w:eastAsia="Times New Roman" w:cs="Arial"/>
          <w:color w:val="000000"/>
          <w:lang w:eastAsia="bg-BG"/>
        </w:rPr>
        <w:t>≥1/1 000 до</w:t>
      </w:r>
      <w:r w:rsidRPr="00777289">
        <w:rPr>
          <w:rFonts w:eastAsia="Times New Roman" w:cs="Arial"/>
          <w:color w:val="000000"/>
          <w:lang w:val="en-US"/>
        </w:rPr>
        <w:t xml:space="preserve"> </w:t>
      </w:r>
      <w:r w:rsidRPr="00777289">
        <w:rPr>
          <w:rFonts w:eastAsia="Times New Roman" w:cs="Arial"/>
          <w:color w:val="000000"/>
          <w:lang w:eastAsia="bg-BG"/>
        </w:rPr>
        <w:t>&lt;1/100);</w:t>
      </w:r>
    </w:p>
    <w:p w14:paraId="071D295C" w14:textId="77777777" w:rsidR="00777289" w:rsidRPr="00777289" w:rsidRDefault="00777289" w:rsidP="0077728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Редки (≥1/10 000 до &lt;1/1 000);</w:t>
      </w:r>
    </w:p>
    <w:p w14:paraId="01067DD7" w14:textId="77777777" w:rsidR="00777289" w:rsidRPr="00777289" w:rsidRDefault="00777289" w:rsidP="0077728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Много редки (&lt;1/10 000);</w:t>
      </w:r>
    </w:p>
    <w:p w14:paraId="5A123765" w14:textId="665C611D" w:rsidR="00777289" w:rsidRPr="00777289" w:rsidRDefault="00777289" w:rsidP="0077728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С неизвестна честота (честотата не може да бъде оценена от наличните данни).</w:t>
      </w:r>
    </w:p>
    <w:p w14:paraId="4F4B71B3" w14:textId="71164E96" w:rsidR="00777289" w:rsidRDefault="00777289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3F45" w14:paraId="4568EE47" w14:textId="77777777" w:rsidTr="00777289">
        <w:tc>
          <w:tcPr>
            <w:tcW w:w="3116" w:type="dxa"/>
          </w:tcPr>
          <w:p w14:paraId="1581422F" w14:textId="10222B6E" w:rsidR="00F93F45" w:rsidRDefault="00F93F45" w:rsidP="00F93F45">
            <w:r>
              <w:rPr>
                <w:i/>
                <w:iCs/>
              </w:rPr>
              <w:t>Система Орган Клас</w:t>
            </w:r>
          </w:p>
        </w:tc>
        <w:tc>
          <w:tcPr>
            <w:tcW w:w="3117" w:type="dxa"/>
          </w:tcPr>
          <w:p w14:paraId="1AD4C7D7" w14:textId="5A1EDDBA" w:rsidR="00F93F45" w:rsidRDefault="00F93F45" w:rsidP="00F93F45">
            <w:r>
              <w:rPr>
                <w:i/>
                <w:iCs/>
              </w:rPr>
              <w:t>Честота</w:t>
            </w:r>
          </w:p>
        </w:tc>
        <w:tc>
          <w:tcPr>
            <w:tcW w:w="3117" w:type="dxa"/>
          </w:tcPr>
          <w:p w14:paraId="70033082" w14:textId="6D2D118B" w:rsidR="00F93F45" w:rsidRDefault="00F93F45" w:rsidP="00F93F45">
            <w:r>
              <w:rPr>
                <w:i/>
                <w:iCs/>
              </w:rPr>
              <w:t>Нежелана реакция</w:t>
            </w:r>
          </w:p>
        </w:tc>
      </w:tr>
      <w:tr w:rsidR="00F93F45" w14:paraId="75A20DCD" w14:textId="77777777" w:rsidTr="00777289">
        <w:tc>
          <w:tcPr>
            <w:tcW w:w="3116" w:type="dxa"/>
            <w:vMerge w:val="restart"/>
          </w:tcPr>
          <w:p w14:paraId="6589E7CB" w14:textId="09E8E478" w:rsidR="00F93F45" w:rsidRDefault="00F93F45" w:rsidP="00F93F45">
            <w:r>
              <w:rPr>
                <w:i/>
                <w:iCs/>
              </w:rPr>
              <w:t>Нарушения на кръвта и лимфната система</w:t>
            </w:r>
          </w:p>
        </w:tc>
        <w:tc>
          <w:tcPr>
            <w:tcW w:w="3117" w:type="dxa"/>
          </w:tcPr>
          <w:p w14:paraId="768E33F4" w14:textId="7506EDB1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486C1658" w14:textId="25D9843B" w:rsidR="00F93F45" w:rsidRDefault="00F93F45" w:rsidP="00F93F45">
            <w:r>
              <w:t>Левкопения, неутропения (вижте точка 4.4)</w:t>
            </w:r>
          </w:p>
        </w:tc>
      </w:tr>
      <w:tr w:rsidR="00F93F45" w14:paraId="12F118FF" w14:textId="77777777" w:rsidTr="00777289">
        <w:tc>
          <w:tcPr>
            <w:tcW w:w="3116" w:type="dxa"/>
            <w:vMerge/>
          </w:tcPr>
          <w:p w14:paraId="64F85786" w14:textId="77777777" w:rsidR="00F93F45" w:rsidRDefault="00F93F45" w:rsidP="00F93F45"/>
        </w:tc>
        <w:tc>
          <w:tcPr>
            <w:tcW w:w="3117" w:type="dxa"/>
          </w:tcPr>
          <w:p w14:paraId="264298CE" w14:textId="24B298B0" w:rsidR="00F93F45" w:rsidRDefault="00F93F45" w:rsidP="00F93F45">
            <w:r>
              <w:t>Редки</w:t>
            </w:r>
          </w:p>
        </w:tc>
        <w:tc>
          <w:tcPr>
            <w:tcW w:w="3117" w:type="dxa"/>
          </w:tcPr>
          <w:p w14:paraId="63ECEA9B" w14:textId="729855D3" w:rsidR="00F93F45" w:rsidRDefault="00F93F45" w:rsidP="00F93F45">
            <w:r>
              <w:t>Агранулоцитоза (вижте точка 4.4)</w:t>
            </w:r>
          </w:p>
        </w:tc>
      </w:tr>
      <w:tr w:rsidR="00F93F45" w14:paraId="7AB0A5BD" w14:textId="77777777" w:rsidTr="00777289">
        <w:tc>
          <w:tcPr>
            <w:tcW w:w="3116" w:type="dxa"/>
          </w:tcPr>
          <w:p w14:paraId="4658BC90" w14:textId="46918A56" w:rsidR="00F93F45" w:rsidRDefault="00F93F45" w:rsidP="00F93F45">
            <w:r>
              <w:rPr>
                <w:i/>
                <w:iCs/>
              </w:rPr>
              <w:t>Нарушения на имунната система</w:t>
            </w:r>
          </w:p>
        </w:tc>
        <w:tc>
          <w:tcPr>
            <w:tcW w:w="3117" w:type="dxa"/>
          </w:tcPr>
          <w:p w14:paraId="5546B68E" w14:textId="59218134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14D6420D" w14:textId="756683F9" w:rsidR="00F93F45" w:rsidRDefault="00F93F45" w:rsidP="00F93F45">
            <w:r>
              <w:t>Алергична реакция</w:t>
            </w:r>
          </w:p>
        </w:tc>
      </w:tr>
      <w:tr w:rsidR="00F93F45" w14:paraId="2D59DECB" w14:textId="77777777" w:rsidTr="00777289">
        <w:tc>
          <w:tcPr>
            <w:tcW w:w="3116" w:type="dxa"/>
            <w:vMerge w:val="restart"/>
          </w:tcPr>
          <w:p w14:paraId="65D34CA1" w14:textId="5874EEAA" w:rsidR="00F93F45" w:rsidRDefault="00F93F45" w:rsidP="00F93F45">
            <w:r>
              <w:rPr>
                <w:i/>
                <w:iCs/>
              </w:rPr>
              <w:t>Ендокринни нарушения</w:t>
            </w:r>
          </w:p>
        </w:tc>
        <w:tc>
          <w:tcPr>
            <w:tcW w:w="3117" w:type="dxa"/>
          </w:tcPr>
          <w:p w14:paraId="762F97D3" w14:textId="78E1F0B9" w:rsidR="00F93F45" w:rsidRDefault="00F93F45" w:rsidP="00F93F45">
            <w:r>
              <w:t>Чести</w:t>
            </w:r>
          </w:p>
        </w:tc>
        <w:tc>
          <w:tcPr>
            <w:tcW w:w="3117" w:type="dxa"/>
          </w:tcPr>
          <w:p w14:paraId="1AE0639B" w14:textId="0EDCE06C" w:rsidR="00F93F45" w:rsidRDefault="00F93F45" w:rsidP="00F93F45">
            <w:r>
              <w:t>Хиперпролактинемия, галакторея, аменорея, гинекомастия, болка в гърдите и еректилна дисфункция.</w:t>
            </w:r>
          </w:p>
        </w:tc>
      </w:tr>
      <w:tr w:rsidR="00F93F45" w14:paraId="15248839" w14:textId="77777777" w:rsidTr="00777289">
        <w:tc>
          <w:tcPr>
            <w:tcW w:w="3116" w:type="dxa"/>
            <w:vMerge/>
          </w:tcPr>
          <w:p w14:paraId="6BC4CF09" w14:textId="77777777" w:rsidR="00F93F45" w:rsidRDefault="00F93F45" w:rsidP="00F93F45"/>
        </w:tc>
        <w:tc>
          <w:tcPr>
            <w:tcW w:w="3117" w:type="dxa"/>
          </w:tcPr>
          <w:p w14:paraId="78477C6F" w14:textId="4A9A4269" w:rsidR="00F93F45" w:rsidRDefault="00F93F45" w:rsidP="00F93F45">
            <w:r>
              <w:t>Редки</w:t>
            </w:r>
          </w:p>
        </w:tc>
        <w:tc>
          <w:tcPr>
            <w:tcW w:w="3117" w:type="dxa"/>
          </w:tcPr>
          <w:p w14:paraId="697DAB61" w14:textId="1AF2924F" w:rsidR="00F93F45" w:rsidRDefault="00F93F45" w:rsidP="00F93F45">
            <w:r>
              <w:t xml:space="preserve">Доброкачествен тумор на хипофизата като </w:t>
            </w:r>
            <w:r>
              <w:lastRenderedPageBreak/>
              <w:t>пролактином (вижте точки 4.3 и 4.4)</w:t>
            </w:r>
          </w:p>
        </w:tc>
      </w:tr>
      <w:tr w:rsidR="00F93F45" w14:paraId="5F7D8948" w14:textId="77777777" w:rsidTr="00777289">
        <w:tc>
          <w:tcPr>
            <w:tcW w:w="3116" w:type="dxa"/>
            <w:vMerge w:val="restart"/>
          </w:tcPr>
          <w:p w14:paraId="2E3F34FC" w14:textId="77777777" w:rsidR="00F93F45" w:rsidRDefault="00F93F45" w:rsidP="00F93F45">
            <w:r>
              <w:rPr>
                <w:i/>
                <w:iCs/>
              </w:rPr>
              <w:lastRenderedPageBreak/>
              <w:t>Нарушения на метаболизма и</w:t>
            </w:r>
          </w:p>
          <w:p w14:paraId="358AC055" w14:textId="49E06789" w:rsidR="00F93F45" w:rsidRDefault="00F93F45" w:rsidP="00F93F45">
            <w:r>
              <w:rPr>
                <w:i/>
                <w:iCs/>
              </w:rPr>
              <w:t>храненето</w:t>
            </w:r>
          </w:p>
        </w:tc>
        <w:tc>
          <w:tcPr>
            <w:tcW w:w="3117" w:type="dxa"/>
          </w:tcPr>
          <w:p w14:paraId="27015D9D" w14:textId="6118C82A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7A71169D" w14:textId="0EC3EA3F" w:rsidR="00F93F45" w:rsidRDefault="00F93F45" w:rsidP="00F93F45">
            <w:r>
              <w:t>Хипергликемия (вижте точка 4.4), хипертриглицеридемия и хиперхолестеролемия</w:t>
            </w:r>
          </w:p>
        </w:tc>
      </w:tr>
      <w:tr w:rsidR="00F93F45" w14:paraId="7DC35EA0" w14:textId="77777777" w:rsidTr="00777289">
        <w:tc>
          <w:tcPr>
            <w:tcW w:w="3116" w:type="dxa"/>
            <w:vMerge/>
          </w:tcPr>
          <w:p w14:paraId="6E087FEC" w14:textId="77777777" w:rsidR="00F93F45" w:rsidRDefault="00F93F45" w:rsidP="00F93F45"/>
        </w:tc>
        <w:tc>
          <w:tcPr>
            <w:tcW w:w="3117" w:type="dxa"/>
          </w:tcPr>
          <w:p w14:paraId="572068BC" w14:textId="0CFE3773" w:rsidR="00F93F45" w:rsidRDefault="00F93F45" w:rsidP="00F93F45">
            <w:r>
              <w:t>Редки</w:t>
            </w:r>
          </w:p>
        </w:tc>
        <w:tc>
          <w:tcPr>
            <w:tcW w:w="3117" w:type="dxa"/>
          </w:tcPr>
          <w:p w14:paraId="115ED2A3" w14:textId="0FA1F1F9" w:rsidR="00F93F45" w:rsidRDefault="00F93F45" w:rsidP="00F93F45">
            <w:r>
              <w:t xml:space="preserve">Хипонатриемия, синдром на неподходящата секреция на антидиуретичен хормон </w:t>
            </w:r>
            <w:r>
              <w:rPr>
                <w:lang w:val="en-US"/>
              </w:rPr>
              <w:t>(SIADH).</w:t>
            </w:r>
          </w:p>
        </w:tc>
      </w:tr>
      <w:tr w:rsidR="00F93F45" w14:paraId="768A97AE" w14:textId="77777777" w:rsidTr="00777289">
        <w:tc>
          <w:tcPr>
            <w:tcW w:w="3116" w:type="dxa"/>
            <w:vMerge w:val="restart"/>
          </w:tcPr>
          <w:p w14:paraId="4B120ECB" w14:textId="40F0D141" w:rsidR="00F93F45" w:rsidRDefault="00F93F45" w:rsidP="00F93F45">
            <w:r>
              <w:rPr>
                <w:i/>
                <w:iCs/>
              </w:rPr>
              <w:t>Психични нарушения</w:t>
            </w:r>
          </w:p>
        </w:tc>
        <w:tc>
          <w:tcPr>
            <w:tcW w:w="3117" w:type="dxa"/>
          </w:tcPr>
          <w:p w14:paraId="0ECE6687" w14:textId="52CCA3F7" w:rsidR="00F93F45" w:rsidRDefault="00F93F45" w:rsidP="00F93F45">
            <w:r>
              <w:t>Чести</w:t>
            </w:r>
          </w:p>
        </w:tc>
        <w:tc>
          <w:tcPr>
            <w:tcW w:w="3117" w:type="dxa"/>
          </w:tcPr>
          <w:p w14:paraId="1F400849" w14:textId="0FBB11A7" w:rsidR="00F93F45" w:rsidRDefault="00F93F45" w:rsidP="00F93F45">
            <w:r>
              <w:t>Безсъние, тревожност, възбуда, нарушения на оргазма</w:t>
            </w:r>
          </w:p>
        </w:tc>
      </w:tr>
      <w:tr w:rsidR="00F93F45" w14:paraId="73B44439" w14:textId="77777777" w:rsidTr="00777289">
        <w:tc>
          <w:tcPr>
            <w:tcW w:w="3116" w:type="dxa"/>
            <w:vMerge/>
          </w:tcPr>
          <w:p w14:paraId="3DE9F322" w14:textId="77777777" w:rsidR="00F93F45" w:rsidRDefault="00F93F45" w:rsidP="00F93F45"/>
        </w:tc>
        <w:tc>
          <w:tcPr>
            <w:tcW w:w="3117" w:type="dxa"/>
          </w:tcPr>
          <w:p w14:paraId="5321422E" w14:textId="16A0DBC2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3DF4CEF4" w14:textId="341B5BC6" w:rsidR="00F93F45" w:rsidRDefault="00F93F45" w:rsidP="00F93F45">
            <w:r>
              <w:t>Обърканост</w:t>
            </w:r>
          </w:p>
        </w:tc>
      </w:tr>
      <w:tr w:rsidR="00F93F45" w14:paraId="3CB88091" w14:textId="77777777" w:rsidTr="00777289">
        <w:tc>
          <w:tcPr>
            <w:tcW w:w="3116" w:type="dxa"/>
            <w:vMerge w:val="restart"/>
          </w:tcPr>
          <w:p w14:paraId="65AA39E3" w14:textId="34DABB5B" w:rsidR="00F93F45" w:rsidRDefault="00F93F45" w:rsidP="00F93F45">
            <w:r>
              <w:rPr>
                <w:i/>
                <w:iCs/>
              </w:rPr>
              <w:t>Нарушения на нервната система</w:t>
            </w:r>
          </w:p>
        </w:tc>
        <w:tc>
          <w:tcPr>
            <w:tcW w:w="3117" w:type="dxa"/>
          </w:tcPr>
          <w:p w14:paraId="4E7BAAFB" w14:textId="189C7A8C" w:rsidR="00F93F45" w:rsidRDefault="00F93F45" w:rsidP="00F93F45">
            <w:r>
              <w:t>Много чести</w:t>
            </w:r>
          </w:p>
        </w:tc>
        <w:tc>
          <w:tcPr>
            <w:tcW w:w="3117" w:type="dxa"/>
          </w:tcPr>
          <w:p w14:paraId="795B4023" w14:textId="46160881" w:rsidR="00F93F45" w:rsidRDefault="00F93F45" w:rsidP="00F93F45">
            <w:r>
              <w:t>Екстрапирамидни симптоми: тремор, ригидност, хипокинезия, хиперсаливация, акатазия, дискинезия.</w:t>
            </w:r>
          </w:p>
        </w:tc>
      </w:tr>
      <w:tr w:rsidR="00F93F45" w14:paraId="5E034BF3" w14:textId="77777777" w:rsidTr="00777289">
        <w:tc>
          <w:tcPr>
            <w:tcW w:w="3116" w:type="dxa"/>
            <w:vMerge/>
          </w:tcPr>
          <w:p w14:paraId="0D290C47" w14:textId="77777777" w:rsidR="00F93F45" w:rsidRDefault="00F93F45" w:rsidP="00F93F45"/>
        </w:tc>
        <w:tc>
          <w:tcPr>
            <w:tcW w:w="3117" w:type="dxa"/>
          </w:tcPr>
          <w:p w14:paraId="7AC8ABD9" w14:textId="565106D1" w:rsidR="00F93F45" w:rsidRDefault="00F93F45" w:rsidP="00F93F45">
            <w:r>
              <w:t>Чести</w:t>
            </w:r>
          </w:p>
        </w:tc>
        <w:tc>
          <w:tcPr>
            <w:tcW w:w="3117" w:type="dxa"/>
          </w:tcPr>
          <w:p w14:paraId="7F759C8A" w14:textId="7D7F647A" w:rsidR="00F93F45" w:rsidRDefault="00F93F45" w:rsidP="00F93F45">
            <w:r>
              <w:t>Могат да се появят сънливост, остра дистония (спазъм тортиколис, окулогирична криза, тризъм). Те са обратими без преустановяване на амисулприд и при лечение с антипаркинсонов агент.</w:t>
            </w:r>
          </w:p>
        </w:tc>
      </w:tr>
      <w:tr w:rsidR="00F93F45" w14:paraId="4AD47257" w14:textId="77777777" w:rsidTr="00777289">
        <w:tc>
          <w:tcPr>
            <w:tcW w:w="3116" w:type="dxa"/>
            <w:vMerge/>
          </w:tcPr>
          <w:p w14:paraId="3F857FD2" w14:textId="77777777" w:rsidR="00F93F45" w:rsidRDefault="00F93F45" w:rsidP="00F93F45"/>
        </w:tc>
        <w:tc>
          <w:tcPr>
            <w:tcW w:w="3117" w:type="dxa"/>
          </w:tcPr>
          <w:p w14:paraId="7F856D42" w14:textId="43C3F2DD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4F48E858" w14:textId="77777777" w:rsidR="00F93F45" w:rsidRDefault="00F93F45" w:rsidP="00F93F45">
            <w:r>
              <w:t>Гърчове, съобщавана е тардивна дискинезия, характеризираща се с ритмични, неволеви движения основно на езика и/или лицето обичайно след дългосрочно приложение.</w:t>
            </w:r>
          </w:p>
          <w:p w14:paraId="3CBD723D" w14:textId="3B064C90" w:rsidR="00F93F45" w:rsidRDefault="00F93F45" w:rsidP="00F93F45">
            <w:r>
              <w:t>Антипаркинсоновите лекарства са неефективни или могат да индуцират обострянето на симптомите.</w:t>
            </w:r>
          </w:p>
        </w:tc>
      </w:tr>
      <w:tr w:rsidR="00F93F45" w14:paraId="40494FC5" w14:textId="77777777" w:rsidTr="00777289">
        <w:tc>
          <w:tcPr>
            <w:tcW w:w="3116" w:type="dxa"/>
            <w:vMerge/>
          </w:tcPr>
          <w:p w14:paraId="533347D3" w14:textId="77777777" w:rsidR="00F93F45" w:rsidRDefault="00F93F45" w:rsidP="00F93F45"/>
        </w:tc>
        <w:tc>
          <w:tcPr>
            <w:tcW w:w="3117" w:type="dxa"/>
          </w:tcPr>
          <w:p w14:paraId="715749C8" w14:textId="7BB40CEC" w:rsidR="00F93F45" w:rsidRDefault="00F93F45" w:rsidP="00F93F45">
            <w:r>
              <w:t>Редки</w:t>
            </w:r>
          </w:p>
        </w:tc>
        <w:tc>
          <w:tcPr>
            <w:tcW w:w="3117" w:type="dxa"/>
          </w:tcPr>
          <w:p w14:paraId="3CB67F95" w14:textId="30CFAC3C" w:rsidR="00F93F45" w:rsidRDefault="00F93F45" w:rsidP="00F93F45">
            <w:r>
              <w:t>Невролептичен малигнен синдром (вижте точка 4.4), който е потенциално фатално усложнение.</w:t>
            </w:r>
          </w:p>
        </w:tc>
      </w:tr>
      <w:tr w:rsidR="00F93F45" w14:paraId="0CB5BB44" w14:textId="77777777" w:rsidTr="00777289">
        <w:tc>
          <w:tcPr>
            <w:tcW w:w="3116" w:type="dxa"/>
            <w:vMerge w:val="restart"/>
          </w:tcPr>
          <w:p w14:paraId="57860DD5" w14:textId="401A943D" w:rsidR="00F93F45" w:rsidRDefault="00F93F45" w:rsidP="00F93F45">
            <w:r>
              <w:rPr>
                <w:i/>
                <w:iCs/>
              </w:rPr>
              <w:t>Система Орган Клас</w:t>
            </w:r>
          </w:p>
        </w:tc>
        <w:tc>
          <w:tcPr>
            <w:tcW w:w="3117" w:type="dxa"/>
          </w:tcPr>
          <w:p w14:paraId="4CCD9957" w14:textId="56B5C106" w:rsidR="00F93F45" w:rsidRDefault="00F93F45" w:rsidP="00F93F45">
            <w:r>
              <w:rPr>
                <w:i/>
                <w:iCs/>
              </w:rPr>
              <w:t>Честота</w:t>
            </w:r>
          </w:p>
        </w:tc>
        <w:tc>
          <w:tcPr>
            <w:tcW w:w="3117" w:type="dxa"/>
          </w:tcPr>
          <w:p w14:paraId="06808D34" w14:textId="15BAED5B" w:rsidR="00F93F45" w:rsidRDefault="00F93F45" w:rsidP="00F93F45">
            <w:r>
              <w:rPr>
                <w:i/>
                <w:iCs/>
              </w:rPr>
              <w:t>Нежелана реакция</w:t>
            </w:r>
          </w:p>
        </w:tc>
      </w:tr>
      <w:tr w:rsidR="00F93F45" w14:paraId="60E193A0" w14:textId="77777777" w:rsidTr="00777289">
        <w:tc>
          <w:tcPr>
            <w:tcW w:w="3116" w:type="dxa"/>
            <w:vMerge/>
          </w:tcPr>
          <w:p w14:paraId="32DDDC19" w14:textId="77777777" w:rsidR="00F93F45" w:rsidRDefault="00F93F45" w:rsidP="00F93F45"/>
        </w:tc>
        <w:tc>
          <w:tcPr>
            <w:tcW w:w="3117" w:type="dxa"/>
          </w:tcPr>
          <w:p w14:paraId="04516DFF" w14:textId="3F307E4C" w:rsidR="00F93F45" w:rsidRDefault="00F93F45" w:rsidP="00F93F45">
            <w:r>
              <w:t>С неизвестна честота</w:t>
            </w:r>
          </w:p>
        </w:tc>
        <w:tc>
          <w:tcPr>
            <w:tcW w:w="3117" w:type="dxa"/>
          </w:tcPr>
          <w:p w14:paraId="42F58AFB" w14:textId="4269F2F7" w:rsidR="00F93F45" w:rsidRDefault="00F93F45" w:rsidP="00F93F45">
            <w:r>
              <w:t>Синдром на неспокойните крака</w:t>
            </w:r>
          </w:p>
        </w:tc>
      </w:tr>
      <w:tr w:rsidR="00F93F45" w14:paraId="53971407" w14:textId="77777777" w:rsidTr="00777289">
        <w:tc>
          <w:tcPr>
            <w:tcW w:w="3116" w:type="dxa"/>
          </w:tcPr>
          <w:p w14:paraId="48E9562A" w14:textId="759AC0E6" w:rsidR="00F93F45" w:rsidRDefault="00F93F45" w:rsidP="00F93F45">
            <w:r>
              <w:rPr>
                <w:i/>
                <w:iCs/>
              </w:rPr>
              <w:t>Нарушения на очите</w:t>
            </w:r>
          </w:p>
        </w:tc>
        <w:tc>
          <w:tcPr>
            <w:tcW w:w="3117" w:type="dxa"/>
          </w:tcPr>
          <w:p w14:paraId="3A9B5875" w14:textId="4CE72938" w:rsidR="00F93F45" w:rsidRDefault="00F93F45" w:rsidP="00F93F45">
            <w:r>
              <w:t>Чести</w:t>
            </w:r>
          </w:p>
        </w:tc>
        <w:tc>
          <w:tcPr>
            <w:tcW w:w="3117" w:type="dxa"/>
          </w:tcPr>
          <w:p w14:paraId="749D5A1E" w14:textId="5B253850" w:rsidR="00F93F45" w:rsidRDefault="00F93F45" w:rsidP="00F93F45">
            <w:r>
              <w:t>Замъглено зрение (вижте точка 4.7).</w:t>
            </w:r>
          </w:p>
        </w:tc>
      </w:tr>
      <w:tr w:rsidR="00F93F45" w14:paraId="4B4ABFF5" w14:textId="77777777" w:rsidTr="00777289">
        <w:tc>
          <w:tcPr>
            <w:tcW w:w="3116" w:type="dxa"/>
            <w:vMerge w:val="restart"/>
          </w:tcPr>
          <w:p w14:paraId="65E8365E" w14:textId="0B45DFF3" w:rsidR="00F93F45" w:rsidRDefault="00F93F45" w:rsidP="00F93F45">
            <w:r>
              <w:rPr>
                <w:i/>
                <w:iCs/>
              </w:rPr>
              <w:t>Сърдечни нарушения</w:t>
            </w:r>
          </w:p>
        </w:tc>
        <w:tc>
          <w:tcPr>
            <w:tcW w:w="3117" w:type="dxa"/>
          </w:tcPr>
          <w:p w14:paraId="187AAE96" w14:textId="0E297545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35885C54" w14:textId="6784973B" w:rsidR="00F93F45" w:rsidRDefault="00F93F45" w:rsidP="00F93F45">
            <w:r>
              <w:t>Брадикардия</w:t>
            </w:r>
          </w:p>
        </w:tc>
      </w:tr>
      <w:tr w:rsidR="00F93F45" w14:paraId="27DBF925" w14:textId="77777777" w:rsidTr="00777289">
        <w:tc>
          <w:tcPr>
            <w:tcW w:w="3116" w:type="dxa"/>
            <w:vMerge/>
          </w:tcPr>
          <w:p w14:paraId="0DB2F1C0" w14:textId="77777777" w:rsidR="00F93F45" w:rsidRDefault="00F93F45" w:rsidP="00F93F45"/>
        </w:tc>
        <w:tc>
          <w:tcPr>
            <w:tcW w:w="3117" w:type="dxa"/>
          </w:tcPr>
          <w:p w14:paraId="24F0FAC4" w14:textId="64AA90FE" w:rsidR="00F93F45" w:rsidRDefault="00F93F45" w:rsidP="00F93F45">
            <w:r>
              <w:t>Редки</w:t>
            </w:r>
          </w:p>
        </w:tc>
        <w:tc>
          <w:tcPr>
            <w:tcW w:w="3117" w:type="dxa"/>
          </w:tcPr>
          <w:p w14:paraId="4BD0E487" w14:textId="7E8942F3" w:rsidR="00F93F45" w:rsidRDefault="00F93F45" w:rsidP="00F93F45">
            <w:r>
              <w:t xml:space="preserve">Удължен </w:t>
            </w:r>
            <w:r>
              <w:rPr>
                <w:lang w:val="en-US"/>
              </w:rPr>
              <w:t xml:space="preserve">QT </w:t>
            </w:r>
            <w:r>
              <w:t xml:space="preserve">интервал, вентрикулна аритмия като полиморфна камерна тахикардия </w:t>
            </w:r>
            <w:r>
              <w:rPr>
                <w:lang w:val="en-US"/>
              </w:rPr>
              <w:t xml:space="preserve">(torsade de pointes), </w:t>
            </w:r>
            <w:r>
              <w:t>вентрикулна тахикардия, вентрикулни фибрилации, сърдечен арест, внезапна смърт (вижте точка 4.4).</w:t>
            </w:r>
          </w:p>
        </w:tc>
      </w:tr>
      <w:tr w:rsidR="00F93F45" w14:paraId="0126EC48" w14:textId="77777777" w:rsidTr="00777289">
        <w:tc>
          <w:tcPr>
            <w:tcW w:w="3116" w:type="dxa"/>
            <w:vMerge w:val="restart"/>
          </w:tcPr>
          <w:p w14:paraId="3CF1BBB6" w14:textId="12AD1F2F" w:rsidR="00F93F45" w:rsidRDefault="00F93F45" w:rsidP="00F93F45">
            <w:r>
              <w:rPr>
                <w:i/>
                <w:iCs/>
              </w:rPr>
              <w:t>Съдови нарушения</w:t>
            </w:r>
          </w:p>
        </w:tc>
        <w:tc>
          <w:tcPr>
            <w:tcW w:w="3117" w:type="dxa"/>
          </w:tcPr>
          <w:p w14:paraId="20BB0298" w14:textId="72DA6CF2" w:rsidR="00F93F45" w:rsidRDefault="00F93F45" w:rsidP="00F93F45">
            <w:r>
              <w:t>Чести</w:t>
            </w:r>
          </w:p>
        </w:tc>
        <w:tc>
          <w:tcPr>
            <w:tcW w:w="3117" w:type="dxa"/>
          </w:tcPr>
          <w:p w14:paraId="415F5404" w14:textId="409265BE" w:rsidR="00F93F45" w:rsidRDefault="00F93F45" w:rsidP="00F93F45">
            <w:r>
              <w:t>Хипотония</w:t>
            </w:r>
          </w:p>
        </w:tc>
      </w:tr>
      <w:tr w:rsidR="00F93F45" w14:paraId="08DF80E7" w14:textId="77777777" w:rsidTr="00777289">
        <w:tc>
          <w:tcPr>
            <w:tcW w:w="3116" w:type="dxa"/>
            <w:vMerge/>
          </w:tcPr>
          <w:p w14:paraId="4D433CEE" w14:textId="77777777" w:rsidR="00F93F45" w:rsidRDefault="00F93F45" w:rsidP="00F93F45"/>
        </w:tc>
        <w:tc>
          <w:tcPr>
            <w:tcW w:w="3117" w:type="dxa"/>
          </w:tcPr>
          <w:p w14:paraId="278547D6" w14:textId="4B55FE2B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3F21A5B9" w14:textId="3D0490C9" w:rsidR="00F93F45" w:rsidRDefault="00F93F45" w:rsidP="00F93F45">
            <w:r>
              <w:t>Повишено кръвно налягане</w:t>
            </w:r>
          </w:p>
        </w:tc>
      </w:tr>
      <w:tr w:rsidR="00F93F45" w14:paraId="5E0CA689" w14:textId="77777777" w:rsidTr="00777289">
        <w:tc>
          <w:tcPr>
            <w:tcW w:w="3116" w:type="dxa"/>
            <w:vMerge/>
          </w:tcPr>
          <w:p w14:paraId="0160D778" w14:textId="77777777" w:rsidR="00F93F45" w:rsidRDefault="00F93F45" w:rsidP="00F93F45"/>
        </w:tc>
        <w:tc>
          <w:tcPr>
            <w:tcW w:w="3117" w:type="dxa"/>
          </w:tcPr>
          <w:p w14:paraId="7B36B6E2" w14:textId="73334EB3" w:rsidR="00F93F45" w:rsidRDefault="00F93F45" w:rsidP="00F93F45">
            <w:r>
              <w:t>Редки</w:t>
            </w:r>
          </w:p>
        </w:tc>
        <w:tc>
          <w:tcPr>
            <w:tcW w:w="3117" w:type="dxa"/>
          </w:tcPr>
          <w:p w14:paraId="7D130751" w14:textId="125F2782" w:rsidR="00F93F45" w:rsidRDefault="00F93F45" w:rsidP="00F93F45">
            <w:r>
              <w:t>Венозен тромбеемболизъм, включително белодробен емболизъм, понякога фатален, и дълбока венозна томбоза (вижте точка 4.4).</w:t>
            </w:r>
          </w:p>
        </w:tc>
      </w:tr>
      <w:tr w:rsidR="00F93F45" w14:paraId="77031B90" w14:textId="77777777" w:rsidTr="00777289">
        <w:tc>
          <w:tcPr>
            <w:tcW w:w="3116" w:type="dxa"/>
          </w:tcPr>
          <w:p w14:paraId="265DB634" w14:textId="16920081" w:rsidR="00F93F45" w:rsidRDefault="00F93F45" w:rsidP="00F93F45">
            <w:r>
              <w:rPr>
                <w:i/>
                <w:iCs/>
              </w:rPr>
              <w:t>Респираторни, гръдни и медиастинални нарушения</w:t>
            </w:r>
          </w:p>
        </w:tc>
        <w:tc>
          <w:tcPr>
            <w:tcW w:w="3117" w:type="dxa"/>
          </w:tcPr>
          <w:p w14:paraId="7423B9F6" w14:textId="677B7114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19A200BD" w14:textId="05ADF7B7" w:rsidR="00F93F45" w:rsidRDefault="00F93F45" w:rsidP="00F93F45">
            <w:r>
              <w:t>Запушен нос, аспирационна пневмония (основно свързана с други антипсихотици и ЦНС депресанти)</w:t>
            </w:r>
          </w:p>
        </w:tc>
      </w:tr>
      <w:tr w:rsidR="00F93F45" w14:paraId="06D501F5" w14:textId="77777777" w:rsidTr="00777289">
        <w:tc>
          <w:tcPr>
            <w:tcW w:w="3116" w:type="dxa"/>
          </w:tcPr>
          <w:p w14:paraId="4D455966" w14:textId="5FC8197D" w:rsidR="00F93F45" w:rsidRDefault="00F93F45" w:rsidP="00F93F45">
            <w:r>
              <w:rPr>
                <w:i/>
                <w:iCs/>
              </w:rPr>
              <w:t>Стомашно-чревни нарушения</w:t>
            </w:r>
          </w:p>
        </w:tc>
        <w:tc>
          <w:tcPr>
            <w:tcW w:w="3117" w:type="dxa"/>
          </w:tcPr>
          <w:p w14:paraId="78838215" w14:textId="6E72BCAD" w:rsidR="00F93F45" w:rsidRDefault="00F93F45" w:rsidP="00F93F45">
            <w:r>
              <w:t>Чести</w:t>
            </w:r>
          </w:p>
        </w:tc>
        <w:tc>
          <w:tcPr>
            <w:tcW w:w="3117" w:type="dxa"/>
          </w:tcPr>
          <w:p w14:paraId="68224C46" w14:textId="42BD360E" w:rsidR="00F93F45" w:rsidRDefault="00F93F45" w:rsidP="00F93F45">
            <w:r>
              <w:t>Запек, гадене, повръщане, сухота в устата.</w:t>
            </w:r>
          </w:p>
        </w:tc>
      </w:tr>
      <w:tr w:rsidR="00F93F45" w14:paraId="7854915A" w14:textId="77777777" w:rsidTr="00777289">
        <w:tc>
          <w:tcPr>
            <w:tcW w:w="3116" w:type="dxa"/>
          </w:tcPr>
          <w:p w14:paraId="34B8D664" w14:textId="1A86AF59" w:rsidR="00F93F45" w:rsidRDefault="00F93F45" w:rsidP="00F93F45">
            <w:r>
              <w:rPr>
                <w:i/>
                <w:iCs/>
              </w:rPr>
              <w:t>Чернодробни нарушения</w:t>
            </w:r>
          </w:p>
        </w:tc>
        <w:tc>
          <w:tcPr>
            <w:tcW w:w="3117" w:type="dxa"/>
          </w:tcPr>
          <w:p w14:paraId="3205919F" w14:textId="6FCF7EA4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1AB04BB1" w14:textId="063A4554" w:rsidR="00F93F45" w:rsidRDefault="00F93F45" w:rsidP="00F93F45">
            <w:r>
              <w:t>Увреждане на хепатоцитите.</w:t>
            </w:r>
          </w:p>
        </w:tc>
      </w:tr>
      <w:tr w:rsidR="00F93F45" w14:paraId="58E3BF20" w14:textId="77777777" w:rsidTr="00777289">
        <w:tc>
          <w:tcPr>
            <w:tcW w:w="3116" w:type="dxa"/>
            <w:vMerge w:val="restart"/>
          </w:tcPr>
          <w:p w14:paraId="5F59118B" w14:textId="3C01AFC4" w:rsidR="00F93F45" w:rsidRDefault="00F93F45" w:rsidP="00F93F45">
            <w:r>
              <w:rPr>
                <w:i/>
                <w:iCs/>
              </w:rPr>
              <w:t>Нарушения на кожата и подкожната тъкан</w:t>
            </w:r>
          </w:p>
        </w:tc>
        <w:tc>
          <w:tcPr>
            <w:tcW w:w="3117" w:type="dxa"/>
          </w:tcPr>
          <w:p w14:paraId="7702F867" w14:textId="048262CA" w:rsidR="00F93F45" w:rsidRDefault="00F93F45" w:rsidP="00F93F45">
            <w:r>
              <w:t>Редки</w:t>
            </w:r>
          </w:p>
        </w:tc>
        <w:tc>
          <w:tcPr>
            <w:tcW w:w="3117" w:type="dxa"/>
          </w:tcPr>
          <w:p w14:paraId="480091BC" w14:textId="19148680" w:rsidR="00F93F45" w:rsidRDefault="00F93F45" w:rsidP="00F93F45">
            <w:r>
              <w:t>Ангиоедем, уртикария</w:t>
            </w:r>
          </w:p>
        </w:tc>
      </w:tr>
      <w:tr w:rsidR="00F93F45" w14:paraId="31B33E50" w14:textId="77777777" w:rsidTr="00777289">
        <w:tc>
          <w:tcPr>
            <w:tcW w:w="3116" w:type="dxa"/>
            <w:vMerge/>
          </w:tcPr>
          <w:p w14:paraId="342802B2" w14:textId="77777777" w:rsidR="00F93F45" w:rsidRDefault="00F93F45" w:rsidP="00F93F45"/>
        </w:tc>
        <w:tc>
          <w:tcPr>
            <w:tcW w:w="3117" w:type="dxa"/>
          </w:tcPr>
          <w:p w14:paraId="7DFC38DB" w14:textId="437888EF" w:rsidR="00F93F45" w:rsidRDefault="00F93F45" w:rsidP="00F93F45">
            <w:r>
              <w:t>С неизвестна честота</w:t>
            </w:r>
          </w:p>
        </w:tc>
        <w:tc>
          <w:tcPr>
            <w:tcW w:w="3117" w:type="dxa"/>
          </w:tcPr>
          <w:p w14:paraId="501E33BA" w14:textId="022A07A7" w:rsidR="00F93F45" w:rsidRDefault="00F93F45" w:rsidP="00F93F45">
            <w:r>
              <w:t>Реакция на фоточувствителност</w:t>
            </w:r>
          </w:p>
        </w:tc>
      </w:tr>
      <w:tr w:rsidR="00F93F45" w14:paraId="329E9517" w14:textId="77777777" w:rsidTr="00777289">
        <w:tc>
          <w:tcPr>
            <w:tcW w:w="3116" w:type="dxa"/>
          </w:tcPr>
          <w:p w14:paraId="446A5170" w14:textId="27C0C227" w:rsidR="00F93F45" w:rsidRDefault="00F93F45" w:rsidP="00F93F45">
            <w:r>
              <w:rPr>
                <w:i/>
                <w:iCs/>
              </w:rPr>
              <w:t>Нарушения на мускулно- скелетната система и съудинителната тъкан</w:t>
            </w:r>
          </w:p>
        </w:tc>
        <w:tc>
          <w:tcPr>
            <w:tcW w:w="3117" w:type="dxa"/>
          </w:tcPr>
          <w:p w14:paraId="3DC30F61" w14:textId="21744871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7F31BFF8" w14:textId="050BE86E" w:rsidR="00F93F45" w:rsidRDefault="00F93F45" w:rsidP="00F93F45">
            <w:r>
              <w:t>Остеопения, остеопороза.</w:t>
            </w:r>
          </w:p>
        </w:tc>
      </w:tr>
      <w:tr w:rsidR="00F93F45" w14:paraId="62C30C52" w14:textId="77777777" w:rsidTr="00777289">
        <w:tc>
          <w:tcPr>
            <w:tcW w:w="3116" w:type="dxa"/>
          </w:tcPr>
          <w:p w14:paraId="08CA60E9" w14:textId="28E524BE" w:rsidR="00F93F45" w:rsidRDefault="00F93F45" w:rsidP="00F93F45">
            <w:r>
              <w:rPr>
                <w:i/>
                <w:iCs/>
              </w:rPr>
              <w:t>Нарушения на бъбреците и пикочните пътища</w:t>
            </w:r>
          </w:p>
        </w:tc>
        <w:tc>
          <w:tcPr>
            <w:tcW w:w="3117" w:type="dxa"/>
          </w:tcPr>
          <w:p w14:paraId="56F47E0B" w14:textId="34E0721E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7C945D0F" w14:textId="2186BE8B" w:rsidR="00F93F45" w:rsidRDefault="00F93F45" w:rsidP="00F93F45">
            <w:r>
              <w:t>Задържане на урина.</w:t>
            </w:r>
          </w:p>
        </w:tc>
      </w:tr>
      <w:tr w:rsidR="00F93F45" w14:paraId="0F3888DD" w14:textId="77777777" w:rsidTr="00777289">
        <w:tc>
          <w:tcPr>
            <w:tcW w:w="3116" w:type="dxa"/>
          </w:tcPr>
          <w:p w14:paraId="6FBC9A00" w14:textId="5AECFA5B" w:rsidR="00F93F45" w:rsidRDefault="00F93F45" w:rsidP="00F93F45">
            <w:r>
              <w:rPr>
                <w:i/>
                <w:iCs/>
                <w:u w:val="single"/>
              </w:rPr>
              <w:t>Състояния, свързани с бременността, родовия и послеродовия период</w:t>
            </w:r>
          </w:p>
        </w:tc>
        <w:tc>
          <w:tcPr>
            <w:tcW w:w="3117" w:type="dxa"/>
          </w:tcPr>
          <w:p w14:paraId="316CE7A3" w14:textId="7D74C87D" w:rsidR="00F93F45" w:rsidRDefault="00F93F45" w:rsidP="00F93F45">
            <w:r>
              <w:t>С неизвестна честата</w:t>
            </w:r>
          </w:p>
        </w:tc>
        <w:tc>
          <w:tcPr>
            <w:tcW w:w="3117" w:type="dxa"/>
          </w:tcPr>
          <w:p w14:paraId="39FF38F3" w14:textId="043C4E69" w:rsidR="00F93F45" w:rsidRDefault="00F93F45" w:rsidP="00F93F45">
            <w:r>
              <w:t>Синдром на отнемане при новороденото (вижте Точка 4.6)</w:t>
            </w:r>
          </w:p>
        </w:tc>
      </w:tr>
      <w:tr w:rsidR="00F93F45" w14:paraId="0FA39F70" w14:textId="77777777" w:rsidTr="00777289">
        <w:tc>
          <w:tcPr>
            <w:tcW w:w="3116" w:type="dxa"/>
            <w:vMerge w:val="restart"/>
          </w:tcPr>
          <w:p w14:paraId="06E73DD0" w14:textId="504D6B5F" w:rsidR="00F93F45" w:rsidRDefault="00F93F45" w:rsidP="00F93F45">
            <w:r>
              <w:rPr>
                <w:i/>
                <w:iCs/>
              </w:rPr>
              <w:t>Изследвания</w:t>
            </w:r>
          </w:p>
        </w:tc>
        <w:tc>
          <w:tcPr>
            <w:tcW w:w="3117" w:type="dxa"/>
          </w:tcPr>
          <w:p w14:paraId="703AF887" w14:textId="1898D44F" w:rsidR="00F93F45" w:rsidRDefault="00F93F45" w:rsidP="00F93F45">
            <w:r>
              <w:t>Чести</w:t>
            </w:r>
          </w:p>
        </w:tc>
        <w:tc>
          <w:tcPr>
            <w:tcW w:w="3117" w:type="dxa"/>
          </w:tcPr>
          <w:p w14:paraId="215D3414" w14:textId="3A159D16" w:rsidR="00F93F45" w:rsidRDefault="00F93F45" w:rsidP="00F93F45">
            <w:r>
              <w:t>Повишаване на теглото</w:t>
            </w:r>
          </w:p>
        </w:tc>
      </w:tr>
      <w:tr w:rsidR="00F93F45" w14:paraId="3E2A689E" w14:textId="77777777" w:rsidTr="00777289">
        <w:tc>
          <w:tcPr>
            <w:tcW w:w="3116" w:type="dxa"/>
            <w:vMerge/>
          </w:tcPr>
          <w:p w14:paraId="132839B2" w14:textId="77777777" w:rsidR="00F93F45" w:rsidRDefault="00F93F45" w:rsidP="00F93F45"/>
        </w:tc>
        <w:tc>
          <w:tcPr>
            <w:tcW w:w="3117" w:type="dxa"/>
          </w:tcPr>
          <w:p w14:paraId="093A2960" w14:textId="6A382C48" w:rsidR="00F93F45" w:rsidRDefault="00F93F45" w:rsidP="00F93F45">
            <w:r>
              <w:t>Нечести</w:t>
            </w:r>
          </w:p>
        </w:tc>
        <w:tc>
          <w:tcPr>
            <w:tcW w:w="3117" w:type="dxa"/>
          </w:tcPr>
          <w:p w14:paraId="1751F4D6" w14:textId="0807B774" w:rsidR="00F93F45" w:rsidRDefault="00F93F45" w:rsidP="00F93F45">
            <w:r>
              <w:t>Повишени стойности на чернодробните ензими основно на трансаминазите.</w:t>
            </w:r>
          </w:p>
        </w:tc>
      </w:tr>
    </w:tbl>
    <w:p w14:paraId="2A61E673" w14:textId="451CEE15" w:rsidR="00777289" w:rsidRDefault="00777289" w:rsidP="0091385D"/>
    <w:p w14:paraId="54B5DAC8" w14:textId="77777777" w:rsidR="00777289" w:rsidRPr="00777289" w:rsidRDefault="00777289" w:rsidP="00777289">
      <w:pPr>
        <w:spacing w:line="240" w:lineRule="auto"/>
        <w:rPr>
          <w:rFonts w:eastAsia="Times New Roman" w:cs="Arial"/>
          <w:lang w:eastAsia="bg-BG"/>
        </w:rPr>
      </w:pPr>
      <w:bookmarkStart w:id="2" w:name="bookmark0"/>
      <w:r w:rsidRPr="00777289">
        <w:rPr>
          <w:rFonts w:eastAsia="Times New Roman" w:cs="Arial"/>
          <w:b/>
          <w:bCs/>
          <w:color w:val="000000"/>
          <w:lang w:eastAsia="bg-BG"/>
        </w:rPr>
        <w:t>Съобщаване на подозирани нежелани реакции</w:t>
      </w:r>
      <w:bookmarkEnd w:id="2"/>
    </w:p>
    <w:p w14:paraId="5F970B9D" w14:textId="77777777" w:rsidR="00777289" w:rsidRPr="00777289" w:rsidRDefault="00777289" w:rsidP="00777289">
      <w:pPr>
        <w:spacing w:line="240" w:lineRule="auto"/>
        <w:rPr>
          <w:rFonts w:eastAsia="Times New Roman" w:cs="Arial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 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40A56186" w14:textId="77777777" w:rsidR="00777289" w:rsidRPr="00777289" w:rsidRDefault="00777289" w:rsidP="00777289">
      <w:pPr>
        <w:spacing w:line="240" w:lineRule="auto"/>
        <w:rPr>
          <w:rFonts w:eastAsia="Times New Roman" w:cs="Arial"/>
          <w:lang w:eastAsia="bg-BG"/>
        </w:rPr>
      </w:pPr>
      <w:bookmarkStart w:id="3" w:name="bookmark2"/>
      <w:r w:rsidRPr="00777289">
        <w:rPr>
          <w:rFonts w:eastAsia="Times New Roman" w:cs="Arial"/>
          <w:b/>
          <w:bCs/>
          <w:color w:val="000000"/>
          <w:lang w:eastAsia="bg-BG"/>
        </w:rPr>
        <w:t>Изпълнителна агенция по лекарствата</w:t>
      </w:r>
      <w:bookmarkEnd w:id="3"/>
    </w:p>
    <w:p w14:paraId="239B2334" w14:textId="77777777" w:rsidR="00777289" w:rsidRPr="00777289" w:rsidRDefault="00777289" w:rsidP="00777289">
      <w:pPr>
        <w:spacing w:line="240" w:lineRule="auto"/>
        <w:rPr>
          <w:rFonts w:eastAsia="Times New Roman" w:cs="Arial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ул. ,,Дамян Груев” № 8</w:t>
      </w:r>
    </w:p>
    <w:p w14:paraId="11A24D59" w14:textId="77777777" w:rsidR="00777289" w:rsidRPr="00777289" w:rsidRDefault="00777289" w:rsidP="00777289">
      <w:pPr>
        <w:spacing w:line="240" w:lineRule="auto"/>
        <w:rPr>
          <w:rFonts w:eastAsia="Times New Roman" w:cs="Arial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1303 София</w:t>
      </w:r>
    </w:p>
    <w:p w14:paraId="1A7DFF70" w14:textId="77777777" w:rsidR="00777289" w:rsidRPr="00777289" w:rsidRDefault="00777289" w:rsidP="00777289">
      <w:pPr>
        <w:spacing w:line="240" w:lineRule="auto"/>
        <w:rPr>
          <w:rFonts w:eastAsia="Times New Roman" w:cs="Arial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Тел.:+359 2 890 3417</w:t>
      </w:r>
    </w:p>
    <w:p w14:paraId="11A56F8D" w14:textId="6EBD36B0" w:rsidR="00777289" w:rsidRPr="00777289" w:rsidRDefault="00777289" w:rsidP="00777289">
      <w:p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777289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B9E25BE" w14:textId="77777777" w:rsidR="00777289" w:rsidRPr="0091385D" w:rsidRDefault="00777289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51C6062B" w14:textId="77777777" w:rsidR="00777289" w:rsidRPr="00777289" w:rsidRDefault="00777289" w:rsidP="00777289">
      <w:pPr>
        <w:pStyle w:val="Heading3"/>
        <w:rPr>
          <w:rFonts w:eastAsia="Times New Roman"/>
          <w:u w:val="single"/>
          <w:lang w:eastAsia="bg-BG"/>
        </w:rPr>
      </w:pPr>
      <w:r w:rsidRPr="00777289">
        <w:rPr>
          <w:rFonts w:eastAsia="Times New Roman"/>
          <w:u w:val="single"/>
          <w:lang w:eastAsia="bg-BG"/>
        </w:rPr>
        <w:t>Симптоми</w:t>
      </w:r>
    </w:p>
    <w:p w14:paraId="34E7727E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Опитът с амисулпирид при предозиране е ограничен. Съобщавано е засилване на известните фармакологични ефекти на лекарството. Те включват сънливост и седация, кома, хипотония и екстрапирамидни симптоми. Случаи с фатален изход са докладвани основно при комбинирано лечение с други психотропни агенти.</w:t>
      </w:r>
    </w:p>
    <w:p w14:paraId="02FB6B3C" w14:textId="77777777" w:rsidR="00777289" w:rsidRPr="00777289" w:rsidRDefault="00777289" w:rsidP="0077728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E202191" w14:textId="2C603C70" w:rsidR="00777289" w:rsidRPr="00777289" w:rsidRDefault="00777289" w:rsidP="00777289">
      <w:pPr>
        <w:pStyle w:val="Heading3"/>
        <w:rPr>
          <w:rFonts w:eastAsia="Times New Roman"/>
          <w:u w:val="single"/>
          <w:lang w:eastAsia="bg-BG"/>
        </w:rPr>
      </w:pPr>
      <w:r w:rsidRPr="00777289">
        <w:rPr>
          <w:rFonts w:eastAsia="Times New Roman"/>
          <w:u w:val="single"/>
          <w:lang w:eastAsia="bg-BG"/>
        </w:rPr>
        <w:t>Овладяване</w:t>
      </w:r>
    </w:p>
    <w:p w14:paraId="21B490B1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В случай на остро предозиране, трябва да се има предвид възможността да са били приети и други лекарствени продукти.</w:t>
      </w:r>
    </w:p>
    <w:p w14:paraId="271FA80D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Тъй като амисулпирид се диализира слабо, хемодализата няма да е от полза за елиминиране на лекарството.</w:t>
      </w:r>
    </w:p>
    <w:p w14:paraId="047EB4B9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Не съществува специфичен антидот на амисулпирид.</w:t>
      </w:r>
    </w:p>
    <w:p w14:paraId="0BE7C0F4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Следователно трябва да се предприемат подходящи поддържащи мерки: мониториране отблизо на жизнените функции и продължително сърдечно мониториране (риск от удължаване на </w:t>
      </w:r>
      <w:r w:rsidRPr="00777289">
        <w:rPr>
          <w:rFonts w:eastAsia="Times New Roman" w:cs="Arial"/>
          <w:color w:val="000000"/>
          <w:lang w:val="en-US"/>
        </w:rPr>
        <w:t xml:space="preserve">QT </w:t>
      </w:r>
      <w:r w:rsidRPr="00777289">
        <w:rPr>
          <w:rFonts w:eastAsia="Times New Roman" w:cs="Arial"/>
          <w:color w:val="000000"/>
          <w:lang w:eastAsia="bg-BG"/>
        </w:rPr>
        <w:t>интервала) до възстановяване на пациента.</w:t>
      </w:r>
    </w:p>
    <w:p w14:paraId="54E1F667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Ако се появят тежки екстрапирамидни симптоми, трябва да бъдат приложени антихолинергични агенти.</w:t>
      </w:r>
    </w:p>
    <w:p w14:paraId="0F0079CB" w14:textId="7BB6BC3C" w:rsidR="0091385D" w:rsidRPr="00777289" w:rsidRDefault="00777289" w:rsidP="00777289">
      <w:p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t>При пациенти, при които се подозира предозиране, трябва да се извърши ЕКГ проследяване.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28252AA0" w14:textId="05D2E69E" w:rsidR="0091385D" w:rsidRDefault="00777289" w:rsidP="0091385D">
      <w:r>
        <w:t xml:space="preserve">Фармакотерапевтична група: Психолептици, антипсихотици, бензамиди АТС код </w:t>
      </w:r>
      <w:r>
        <w:rPr>
          <w:lang w:val="en-US"/>
        </w:rPr>
        <w:t>N05A</w:t>
      </w:r>
      <w:r>
        <w:t xml:space="preserve"> </w:t>
      </w:r>
      <w:r>
        <w:rPr>
          <w:lang w:val="en-US"/>
        </w:rPr>
        <w:t>L05</w:t>
      </w:r>
    </w:p>
    <w:p w14:paraId="36152471" w14:textId="06E5E703" w:rsidR="0091385D" w:rsidRDefault="0091385D" w:rsidP="0091385D"/>
    <w:p w14:paraId="5FCBCCC0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Амисулприд се свързва селективно с висок афинитет към човешките допаминергични рецептори, подтипове </w:t>
      </w:r>
      <w:r w:rsidRPr="00777289">
        <w:rPr>
          <w:rFonts w:eastAsia="Times New Roman" w:cs="Arial"/>
          <w:color w:val="000000"/>
          <w:lang w:val="en-US"/>
        </w:rPr>
        <w:t xml:space="preserve">D2/D3, </w:t>
      </w:r>
      <w:r w:rsidRPr="00777289">
        <w:rPr>
          <w:rFonts w:eastAsia="Times New Roman" w:cs="Arial"/>
          <w:color w:val="000000"/>
          <w:lang w:eastAsia="bg-BG"/>
        </w:rPr>
        <w:t xml:space="preserve">докато такъв афинитет липсва за </w:t>
      </w:r>
      <w:r w:rsidRPr="00777289">
        <w:rPr>
          <w:rFonts w:eastAsia="Times New Roman" w:cs="Arial"/>
          <w:color w:val="000000"/>
          <w:lang w:val="en-US"/>
        </w:rPr>
        <w:t xml:space="preserve">D1, D4 </w:t>
      </w:r>
      <w:r w:rsidRPr="00777289">
        <w:rPr>
          <w:rFonts w:eastAsia="Times New Roman" w:cs="Arial"/>
          <w:color w:val="000000"/>
          <w:lang w:eastAsia="bg-BG"/>
        </w:rPr>
        <w:t xml:space="preserve">и </w:t>
      </w:r>
      <w:r w:rsidRPr="00777289">
        <w:rPr>
          <w:rFonts w:eastAsia="Times New Roman" w:cs="Arial"/>
          <w:color w:val="000000"/>
          <w:lang w:val="en-US"/>
        </w:rPr>
        <w:t xml:space="preserve">D5 </w:t>
      </w:r>
      <w:r w:rsidRPr="00777289">
        <w:rPr>
          <w:rFonts w:eastAsia="Times New Roman" w:cs="Arial"/>
          <w:color w:val="000000"/>
          <w:lang w:eastAsia="bg-BG"/>
        </w:rPr>
        <w:t>рецепторните подтипове.</w:t>
      </w:r>
    </w:p>
    <w:p w14:paraId="176A716C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7AD1EB" w14:textId="2B9BE9F0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lastRenderedPageBreak/>
        <w:t>За разлика от класическите и атипичните невролептици, амисулприд не притежава афинитет към серотониновите, адренергичните, хистамин Н1 и холинергичните рецептори. В допълнение, амисулприд не се свързва със сигма местата.</w:t>
      </w:r>
    </w:p>
    <w:p w14:paraId="05DCF319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D3FAFE" w14:textId="698DF42B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В проучванията при животни, във високи дози амисулприд блокира пост-синаптичните </w:t>
      </w:r>
      <w:r w:rsidRPr="00777289">
        <w:rPr>
          <w:rFonts w:eastAsia="Times New Roman" w:cs="Arial"/>
          <w:color w:val="000000"/>
          <w:lang w:val="en-US"/>
        </w:rPr>
        <w:t xml:space="preserve">D2 </w:t>
      </w:r>
      <w:r w:rsidRPr="00777289">
        <w:rPr>
          <w:rFonts w:eastAsia="Times New Roman" w:cs="Arial"/>
          <w:color w:val="000000"/>
          <w:lang w:eastAsia="bg-BG"/>
        </w:rPr>
        <w:t xml:space="preserve">рецептори в лимбичните структури в по-голяма степен, отколкото в стриатума. За разлика от класическите невролептици не предизвиква каталепсия и не се развива свръхчувствителност на </w:t>
      </w:r>
      <w:r w:rsidRPr="00777289">
        <w:rPr>
          <w:rFonts w:eastAsia="Times New Roman" w:cs="Arial"/>
          <w:color w:val="000000"/>
          <w:lang w:val="en-US"/>
        </w:rPr>
        <w:t xml:space="preserve">D2 </w:t>
      </w:r>
      <w:r w:rsidRPr="00777289">
        <w:rPr>
          <w:rFonts w:eastAsia="Times New Roman" w:cs="Arial"/>
          <w:color w:val="000000"/>
          <w:lang w:eastAsia="bg-BG"/>
        </w:rPr>
        <w:t>допами новите рецептори след повторно лечение.</w:t>
      </w:r>
    </w:p>
    <w:p w14:paraId="68764E48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5094DB" w14:textId="0866BD3C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Приложен в ниски дози, той блокира предимно пресинаптичните </w:t>
      </w:r>
      <w:r w:rsidRPr="00777289">
        <w:rPr>
          <w:rFonts w:eastAsia="Times New Roman" w:cs="Arial"/>
          <w:color w:val="000000"/>
          <w:lang w:val="en-US"/>
        </w:rPr>
        <w:t xml:space="preserve">D2/D3 </w:t>
      </w:r>
      <w:r w:rsidRPr="00777289">
        <w:rPr>
          <w:rFonts w:eastAsia="Times New Roman" w:cs="Arial"/>
          <w:color w:val="000000"/>
          <w:lang w:eastAsia="bg-BG"/>
        </w:rPr>
        <w:t>рецептори, като предизвиква освобождаване на допамин, с което се свързват дисинхибиращите му ефекти.</w:t>
      </w:r>
    </w:p>
    <w:p w14:paraId="079EED55" w14:textId="77777777" w:rsidR="00777289" w:rsidRPr="00777289" w:rsidRDefault="00777289" w:rsidP="00777289">
      <w:pPr>
        <w:rPr>
          <w:rFonts w:eastAsia="Times New Roman" w:cs="Arial"/>
          <w:color w:val="000000"/>
          <w:lang w:eastAsia="bg-BG"/>
        </w:rPr>
      </w:pPr>
    </w:p>
    <w:p w14:paraId="3CDC06A0" w14:textId="1DA615CC" w:rsidR="00777289" w:rsidRPr="00777289" w:rsidRDefault="00777289" w:rsidP="00777289">
      <w:p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t>Този атипичен фармакологичен профил може да обясни антипсихотичния ефект на амисулприд във високи дози посредством блокада на пост-синаптичните допаминови рецептори и неговата ефикасност срещу негативни симптоми в ниски дози, чрез блокада на пре-синаптичните допаминови рецептори. В допълнение, понижената склонност на амисулприд да предизвиква екстрапирамидни нежелани реакции може да е свързана с предимно лимбичната му активност.</w:t>
      </w:r>
    </w:p>
    <w:p w14:paraId="239D00B0" w14:textId="77777777" w:rsidR="00777289" w:rsidRPr="0091385D" w:rsidRDefault="00777289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76F370F0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При хора амисулприд достига два пика на абсорбция: единият настъпва бързо, един час след дозиране, а вторият - в раките на 3 до 4 часа след прием. Съответните плазмени концентрации са 39 ± 3 и 54 ± 4 </w:t>
      </w:r>
      <w:r w:rsidRPr="00777289">
        <w:rPr>
          <w:rFonts w:eastAsia="Times New Roman" w:cs="Arial"/>
          <w:color w:val="000000"/>
          <w:lang w:val="en-US"/>
        </w:rPr>
        <w:t xml:space="preserve">ng/ ml </w:t>
      </w:r>
      <w:r w:rsidRPr="00777289">
        <w:rPr>
          <w:rFonts w:eastAsia="Times New Roman" w:cs="Arial"/>
          <w:color w:val="000000"/>
          <w:lang w:eastAsia="bg-BG"/>
        </w:rPr>
        <w:t xml:space="preserve">след доза от 50 </w:t>
      </w:r>
      <w:r w:rsidRPr="00777289">
        <w:rPr>
          <w:rFonts w:eastAsia="Times New Roman" w:cs="Arial"/>
          <w:color w:val="000000"/>
          <w:lang w:val="en-US"/>
        </w:rPr>
        <w:t>mg.</w:t>
      </w:r>
    </w:p>
    <w:p w14:paraId="6BD49B45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40B074" w14:textId="4C04B65B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Обемът на разпределение е 5.8 1/ </w:t>
      </w:r>
      <w:r w:rsidRPr="00777289">
        <w:rPr>
          <w:rFonts w:eastAsia="Times New Roman" w:cs="Arial"/>
          <w:color w:val="000000"/>
          <w:lang w:val="en-US"/>
        </w:rPr>
        <w:t xml:space="preserve">kg, </w:t>
      </w:r>
      <w:r w:rsidRPr="00777289">
        <w:rPr>
          <w:rFonts w:eastAsia="Times New Roman" w:cs="Arial"/>
          <w:color w:val="000000"/>
          <w:lang w:eastAsia="bg-BG"/>
        </w:rPr>
        <w:t>свързването с плазмените протеини е слабо (16%) и не се очакват лекарствени взаимодействия.</w:t>
      </w:r>
    </w:p>
    <w:p w14:paraId="2D180AFD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BE4959" w14:textId="56559A94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Абсолютната бионаличност е 48%.</w:t>
      </w:r>
    </w:p>
    <w:p w14:paraId="2263ED36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8BA3FC" w14:textId="6D5DB8BD" w:rsidR="0091385D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Амисулприд се метаболизира слабо: установени са два неактивни метаболита, които представляват около 4% от дозата. Амисулприд не акумулира и фармакокинетиката му остава непроменена след прием на повторяеми дози. Елиминационният полуживот на амисулприд е</w:t>
      </w:r>
      <w:r w:rsidRPr="00777289">
        <w:rPr>
          <w:rFonts w:eastAsia="Times New Roman" w:cs="Arial"/>
          <w:sz w:val="24"/>
          <w:szCs w:val="24"/>
          <w:lang w:eastAsia="bg-BG"/>
        </w:rPr>
        <w:t xml:space="preserve"> </w:t>
      </w:r>
      <w:r w:rsidRPr="00777289">
        <w:rPr>
          <w:rFonts w:eastAsia="Times New Roman" w:cs="Arial"/>
          <w:color w:val="000000"/>
          <w:lang w:eastAsia="bg-BG"/>
        </w:rPr>
        <w:t>приблизително 12 часа след приложение на перорална доза.</w:t>
      </w:r>
    </w:p>
    <w:p w14:paraId="4EE1BB0B" w14:textId="1E6863B0" w:rsidR="0091385D" w:rsidRDefault="0091385D" w:rsidP="0091385D"/>
    <w:p w14:paraId="7EBC59CB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Амисулприд се елиминира в непроменен вид с урината. 50% от интравенозна доза се екскретира с урината, от които 90% се елиминират през първите 24 часа. Бъбречният клирънс е от порядъка на 20 </w:t>
      </w:r>
      <w:r w:rsidRPr="00777289">
        <w:rPr>
          <w:rFonts w:eastAsia="Times New Roman" w:cs="Arial"/>
          <w:color w:val="000000"/>
          <w:lang w:val="en-US"/>
        </w:rPr>
        <w:t>l</w:t>
      </w:r>
      <w:r w:rsidRPr="00777289">
        <w:rPr>
          <w:rFonts w:eastAsia="Times New Roman" w:cs="Arial"/>
          <w:color w:val="000000"/>
          <w:lang w:eastAsia="bg-BG"/>
        </w:rPr>
        <w:t xml:space="preserve">/ </w:t>
      </w:r>
      <w:r w:rsidRPr="00777289">
        <w:rPr>
          <w:rFonts w:eastAsia="Times New Roman" w:cs="Arial"/>
          <w:color w:val="000000"/>
          <w:lang w:val="en-US"/>
        </w:rPr>
        <w:t xml:space="preserve">h </w:t>
      </w:r>
      <w:r w:rsidRPr="00777289">
        <w:rPr>
          <w:rFonts w:eastAsia="Times New Roman" w:cs="Arial"/>
          <w:color w:val="000000"/>
          <w:lang w:eastAsia="bg-BG"/>
        </w:rPr>
        <w:t xml:space="preserve">или 330 </w:t>
      </w:r>
      <w:r w:rsidRPr="00777289">
        <w:rPr>
          <w:rFonts w:eastAsia="Times New Roman" w:cs="Arial"/>
          <w:color w:val="000000"/>
          <w:lang w:val="en-US"/>
        </w:rPr>
        <w:t>ml/ min.</w:t>
      </w:r>
    </w:p>
    <w:p w14:paraId="58A1031D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CDBD94" w14:textId="6EDABD6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Храната, богата на въгрехидрати (със съдържание на течности 68%), съществено понижава </w:t>
      </w:r>
      <w:r w:rsidRPr="00777289">
        <w:rPr>
          <w:rFonts w:eastAsia="Times New Roman" w:cs="Arial"/>
          <w:color w:val="000000"/>
          <w:lang w:val="en-US"/>
        </w:rPr>
        <w:t xml:space="preserve">AUC, </w:t>
      </w:r>
      <w:r w:rsidRPr="00777289">
        <w:rPr>
          <w:rFonts w:eastAsia="Times New Roman" w:cs="Arial"/>
          <w:color w:val="000000"/>
          <w:lang w:eastAsia="bg-BG"/>
        </w:rPr>
        <w:t>Т</w:t>
      </w:r>
      <w:r w:rsidRPr="00777289">
        <w:rPr>
          <w:rFonts w:eastAsia="Times New Roman" w:cs="Arial"/>
          <w:color w:val="000000"/>
          <w:lang w:val="en-US"/>
        </w:rPr>
        <w:t>max</w:t>
      </w:r>
      <w:r w:rsidRPr="00777289">
        <w:rPr>
          <w:rFonts w:eastAsia="Times New Roman" w:cs="Arial"/>
          <w:color w:val="000000"/>
          <w:lang w:eastAsia="bg-BG"/>
        </w:rPr>
        <w:t xml:space="preserve"> и С</w:t>
      </w:r>
      <w:r w:rsidRPr="00777289">
        <w:rPr>
          <w:rFonts w:eastAsia="Times New Roman" w:cs="Arial"/>
          <w:color w:val="000000"/>
          <w:lang w:val="en-US"/>
        </w:rPr>
        <w:t>max</w:t>
      </w:r>
      <w:r w:rsidRPr="00777289">
        <w:rPr>
          <w:rFonts w:eastAsia="Times New Roman" w:cs="Arial"/>
          <w:color w:val="000000"/>
          <w:lang w:eastAsia="bg-BG"/>
        </w:rPr>
        <w:t xml:space="preserve"> на амисулприд, но не са наблюдавани промени при богата на мазнини храна. Въпреки това, значението на тези открития за обичайното клинично приложение не е известно.</w:t>
      </w:r>
    </w:p>
    <w:p w14:paraId="4A7A8150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EEA1EB" w14:textId="3389D9EF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u w:val="single"/>
          <w:lang w:eastAsia="bg-BG"/>
        </w:rPr>
        <w:t>Чернодробна недостатъчност:</w:t>
      </w:r>
    </w:p>
    <w:p w14:paraId="1AC69555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Тъй като лекарството се метаболизира слабо, не би следвало да е необходимо понижаване на дозата при пациенти с чернодробна недостатъчност.</w:t>
      </w:r>
    </w:p>
    <w:p w14:paraId="4C2664F2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F5B9301" w14:textId="58BFAB95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u w:val="single"/>
          <w:lang w:eastAsia="bg-BG"/>
        </w:rPr>
        <w:t>Бъбречна недостатъчност:</w:t>
      </w:r>
    </w:p>
    <w:p w14:paraId="07235EE4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lastRenderedPageBreak/>
        <w:t xml:space="preserve">Елиминационният полуживот остава непроменен при пациенти с бъбречна недостатъчност, но системният клирънс се понижава 2.5 до 3 пъти. </w:t>
      </w:r>
      <w:r w:rsidRPr="00777289">
        <w:rPr>
          <w:rFonts w:eastAsia="Times New Roman" w:cs="Arial"/>
          <w:color w:val="000000"/>
          <w:lang w:val="en-US"/>
        </w:rPr>
        <w:t xml:space="preserve">AUC </w:t>
      </w:r>
      <w:r w:rsidRPr="00777289">
        <w:rPr>
          <w:rFonts w:eastAsia="Times New Roman" w:cs="Arial"/>
          <w:color w:val="000000"/>
          <w:lang w:eastAsia="bg-BG"/>
        </w:rPr>
        <w:t xml:space="preserve">на амисулприд при лека бъбречна недостатъчност се повишава два пъти и почти 10 пъти при умерена бъбречна недостатъчност (вижте Точка 4.2). Въпреки това, опитът е ограничен и няма налични данни при дози по-високи от 50 </w:t>
      </w:r>
      <w:r w:rsidRPr="00777289">
        <w:rPr>
          <w:rFonts w:eastAsia="Times New Roman" w:cs="Arial"/>
          <w:color w:val="000000"/>
          <w:lang w:val="en-US"/>
        </w:rPr>
        <w:t>mg.</w:t>
      </w:r>
    </w:p>
    <w:p w14:paraId="72FBF5EA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Амисулприд се диализира изключително слабо.</w:t>
      </w:r>
    </w:p>
    <w:p w14:paraId="03C6709C" w14:textId="77777777" w:rsidR="00777289" w:rsidRPr="00777289" w:rsidRDefault="00777289" w:rsidP="0077728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160ED7" w14:textId="77FB6E61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u w:val="single"/>
          <w:lang w:eastAsia="bg-BG"/>
        </w:rPr>
        <w:t>Пациенти в старческа възраст:</w:t>
      </w:r>
    </w:p>
    <w:p w14:paraId="25C512A9" w14:textId="34441942" w:rsidR="00777289" w:rsidRPr="00777289" w:rsidRDefault="00777289" w:rsidP="00777289">
      <w:p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t xml:space="preserve">Ограничените фармакокинетични данни при пациенти в старческа възраст (&gt; 65 години) показват повишение с 10-30 % на </w:t>
      </w:r>
      <w:proofErr w:type="spellStart"/>
      <w:r w:rsidRPr="00777289">
        <w:rPr>
          <w:rFonts w:eastAsia="Times New Roman" w:cs="Arial"/>
          <w:color w:val="000000"/>
          <w:lang w:val="en-US"/>
        </w:rPr>
        <w:t>Cmax</w:t>
      </w:r>
      <w:proofErr w:type="spellEnd"/>
      <w:r w:rsidRPr="00777289">
        <w:rPr>
          <w:rFonts w:eastAsia="Times New Roman" w:cs="Arial"/>
          <w:color w:val="000000"/>
          <w:lang w:val="en-US"/>
        </w:rPr>
        <w:t xml:space="preserve">, </w:t>
      </w:r>
      <w:r w:rsidRPr="00777289">
        <w:rPr>
          <w:rFonts w:eastAsia="Times New Roman" w:cs="Arial"/>
          <w:color w:val="000000"/>
          <w:lang w:eastAsia="bg-BG"/>
        </w:rPr>
        <w:t xml:space="preserve">Т1/2 и </w:t>
      </w:r>
      <w:r w:rsidRPr="00777289">
        <w:rPr>
          <w:rFonts w:eastAsia="Times New Roman" w:cs="Arial"/>
          <w:color w:val="000000"/>
          <w:lang w:val="en-US"/>
        </w:rPr>
        <w:t xml:space="preserve">AUC </w:t>
      </w:r>
      <w:r w:rsidRPr="00777289">
        <w:rPr>
          <w:rFonts w:eastAsia="Times New Roman" w:cs="Arial"/>
          <w:color w:val="000000"/>
          <w:lang w:eastAsia="bg-BG"/>
        </w:rPr>
        <w:t xml:space="preserve">след единична перорална доза от 50 </w:t>
      </w:r>
      <w:r w:rsidRPr="00777289">
        <w:rPr>
          <w:rFonts w:eastAsia="Times New Roman" w:cs="Arial"/>
          <w:color w:val="000000"/>
          <w:lang w:val="en-US"/>
        </w:rPr>
        <w:t xml:space="preserve">mg. </w:t>
      </w:r>
      <w:r w:rsidRPr="00777289">
        <w:rPr>
          <w:rFonts w:eastAsia="Times New Roman" w:cs="Arial"/>
          <w:color w:val="000000"/>
          <w:lang w:eastAsia="bg-BG"/>
        </w:rPr>
        <w:t>Няма налични данни при повторяеми дози.</w:t>
      </w:r>
    </w:p>
    <w:p w14:paraId="31B9633E" w14:textId="77777777" w:rsidR="00777289" w:rsidRPr="0091385D" w:rsidRDefault="00777289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52E4D01A" w14:textId="1446822A" w:rsidR="0091385D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 xml:space="preserve">Цялостен преглед на проведените проучвания за безопасност показва, че амисулпирид не показва общ, органо-специфичен, тератогенен, мутагенен или карциногенен риск. Наблюдаваните промени при плъхове и кучета при дози под максимално толерираните са или фармакологични ефекти, или са лишени от токсикологична значимост при тези условия. В сравнение с максималната препоръчителна доза при хора, максималните толерирани дози са 2 и 7 пъти по-високи при плъхове (200 </w:t>
      </w:r>
      <w:r w:rsidRPr="00777289">
        <w:rPr>
          <w:rFonts w:eastAsia="Times New Roman" w:cs="Arial"/>
          <w:color w:val="000000"/>
          <w:lang w:val="en-US"/>
        </w:rPr>
        <w:t xml:space="preserve">mg/ kg/ </w:t>
      </w:r>
      <w:r w:rsidRPr="00777289">
        <w:rPr>
          <w:rFonts w:eastAsia="Times New Roman" w:cs="Arial"/>
          <w:color w:val="000000"/>
          <w:lang w:eastAsia="bg-BG"/>
        </w:rPr>
        <w:t xml:space="preserve">дневно) и кучета (120 </w:t>
      </w:r>
      <w:r w:rsidRPr="00777289">
        <w:rPr>
          <w:rFonts w:eastAsia="Times New Roman" w:cs="Arial"/>
          <w:color w:val="000000"/>
          <w:lang w:val="en-US"/>
        </w:rPr>
        <w:t xml:space="preserve">mg/ kg/ </w:t>
      </w:r>
      <w:r w:rsidRPr="00777289">
        <w:rPr>
          <w:rFonts w:eastAsia="Times New Roman" w:cs="Arial"/>
          <w:color w:val="000000"/>
          <w:lang w:eastAsia="bg-BG"/>
        </w:rPr>
        <w:t xml:space="preserve">дневно) по отношение на </w:t>
      </w:r>
      <w:r w:rsidRPr="00777289">
        <w:rPr>
          <w:rFonts w:eastAsia="Times New Roman" w:cs="Arial"/>
          <w:color w:val="000000"/>
          <w:lang w:val="en-US"/>
        </w:rPr>
        <w:t xml:space="preserve">AUC. </w:t>
      </w:r>
      <w:r w:rsidRPr="00777289">
        <w:rPr>
          <w:rFonts w:eastAsia="Times New Roman" w:cs="Arial"/>
          <w:color w:val="000000"/>
          <w:lang w:eastAsia="bg-BG"/>
        </w:rPr>
        <w:t xml:space="preserve">Не е установен карциногенен риск за хора при проучванията при мишки (до 120 </w:t>
      </w:r>
      <w:r w:rsidRPr="00777289">
        <w:rPr>
          <w:rFonts w:eastAsia="Times New Roman" w:cs="Arial"/>
          <w:color w:val="000000"/>
          <w:lang w:val="en-US"/>
        </w:rPr>
        <w:t xml:space="preserve">mg/ </w:t>
      </w:r>
      <w:r w:rsidRPr="00777289">
        <w:rPr>
          <w:rFonts w:eastAsia="Times New Roman" w:cs="Arial"/>
          <w:color w:val="000000"/>
          <w:lang w:eastAsia="bg-BG"/>
        </w:rPr>
        <w:t xml:space="preserve">кг/ дневно) и плъхове (до 240 </w:t>
      </w:r>
      <w:r w:rsidRPr="00777289">
        <w:rPr>
          <w:rFonts w:eastAsia="Times New Roman" w:cs="Arial"/>
          <w:color w:val="000000"/>
          <w:lang w:val="en-US"/>
        </w:rPr>
        <w:t xml:space="preserve">mg/ </w:t>
      </w:r>
      <w:r w:rsidRPr="00777289">
        <w:rPr>
          <w:rFonts w:eastAsia="Times New Roman" w:cs="Arial"/>
          <w:color w:val="000000"/>
          <w:lang w:eastAsia="bg-BG"/>
        </w:rPr>
        <w:t>кг/ дневно), които съответстват при плъхове на 1.5 до 4.5</w:t>
      </w:r>
      <w:r w:rsidRPr="00777289">
        <w:rPr>
          <w:rFonts w:eastAsia="Times New Roman" w:cs="Arial"/>
          <w:color w:val="000000"/>
          <w:vertAlign w:val="subscript"/>
          <w:lang w:eastAsia="bg-BG"/>
        </w:rPr>
        <w:t xml:space="preserve"> </w:t>
      </w:r>
      <w:r w:rsidRPr="00777289">
        <w:rPr>
          <w:rFonts w:eastAsia="Times New Roman" w:cs="Arial"/>
          <w:color w:val="000000"/>
          <w:lang w:eastAsia="bg-BG"/>
        </w:rPr>
        <w:t xml:space="preserve">пъти очакваната </w:t>
      </w:r>
      <w:r w:rsidRPr="00777289">
        <w:rPr>
          <w:rFonts w:eastAsia="Times New Roman" w:cs="Arial"/>
          <w:color w:val="000000"/>
          <w:lang w:val="en-US"/>
        </w:rPr>
        <w:t xml:space="preserve">AUC </w:t>
      </w:r>
      <w:r w:rsidRPr="00777289">
        <w:rPr>
          <w:rFonts w:eastAsia="Times New Roman" w:cs="Arial"/>
          <w:color w:val="000000"/>
          <w:lang w:eastAsia="bg-BG"/>
        </w:rPr>
        <w:t>при хора. Репродуктивните проучвания, проведени при плъхове, зайци и мишки, не показват никакъв тератогенен потенциал.</w:t>
      </w:r>
    </w:p>
    <w:p w14:paraId="20E967BE" w14:textId="6525302B" w:rsidR="0091385D" w:rsidRDefault="0091385D" w:rsidP="0091385D"/>
    <w:p w14:paraId="5EB5DA67" w14:textId="0FC29A6B" w:rsidR="00777289" w:rsidRDefault="00777289" w:rsidP="0091385D">
      <w:r>
        <w:t xml:space="preserve">При изпитванията при животни, амисулприд предизвиква ефект върху феталното развитие при дози, съответстващи на еквивалентна доза прихораот 2000 </w:t>
      </w:r>
      <w:r>
        <w:rPr>
          <w:lang w:val="en-US"/>
        </w:rPr>
        <w:t xml:space="preserve">mg </w:t>
      </w:r>
      <w:r>
        <w:t>дневно и повече при пациент с тегло 50 кг. Няма доказателства за тератогенен потенциал на амисулприд. Не са провеждани проучвания за въздействието на амисулприд върху поведението на поколението.</w:t>
      </w:r>
    </w:p>
    <w:p w14:paraId="37AAA608" w14:textId="77777777" w:rsidR="00777289" w:rsidRPr="0091385D" w:rsidRDefault="00777289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3FD825DB" w14:textId="0CC1DA98" w:rsidR="0091385D" w:rsidRPr="00777289" w:rsidRDefault="00777289" w:rsidP="0091385D">
      <w:pPr>
        <w:rPr>
          <w:rFonts w:cs="Arial"/>
        </w:rPr>
      </w:pPr>
      <w:r w:rsidRPr="00777289">
        <w:rPr>
          <w:rFonts w:cs="Arial"/>
        </w:rPr>
        <w:t xml:space="preserve">MEDOCHEMIE LTD, </w:t>
      </w:r>
      <w:r w:rsidRPr="00777289">
        <w:rPr>
          <w:rFonts w:cs="Arial"/>
          <w:lang w:eastAsia="bg-BG"/>
        </w:rPr>
        <w:t xml:space="preserve">1-10 </w:t>
      </w:r>
      <w:r w:rsidRPr="00777289">
        <w:rPr>
          <w:rFonts w:cs="Arial"/>
        </w:rPr>
        <w:t xml:space="preserve">Constantinoupoleos street, </w:t>
      </w:r>
      <w:r w:rsidRPr="00777289">
        <w:rPr>
          <w:rFonts w:cs="Arial"/>
          <w:lang w:eastAsia="bg-BG"/>
        </w:rPr>
        <w:t xml:space="preserve">3011 </w:t>
      </w:r>
      <w:r w:rsidRPr="00777289">
        <w:rPr>
          <w:rFonts w:cs="Arial"/>
        </w:rPr>
        <w:t xml:space="preserve">Limassol, </w:t>
      </w:r>
      <w:r w:rsidRPr="00777289">
        <w:rPr>
          <w:rFonts w:cs="Arial"/>
          <w:lang w:eastAsia="bg-BG"/>
        </w:rPr>
        <w:t>Кипър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6E892CE5" w14:textId="38B1F3AA" w:rsidR="0091385D" w:rsidRPr="00777289" w:rsidRDefault="00777289" w:rsidP="0091385D">
      <w:pPr>
        <w:rPr>
          <w:rFonts w:cs="Arial"/>
        </w:rPr>
      </w:pPr>
      <w:proofErr w:type="spellStart"/>
      <w:r w:rsidRPr="00777289">
        <w:rPr>
          <w:rFonts w:cs="Arial"/>
          <w:lang w:val="en-US"/>
        </w:rPr>
        <w:t>Pe</w:t>
      </w:r>
      <w:proofErr w:type="spellEnd"/>
      <w:r w:rsidRPr="00777289">
        <w:rPr>
          <w:rFonts w:cs="Arial"/>
        </w:rPr>
        <w:t>г</w:t>
      </w:r>
      <w:r w:rsidRPr="00777289">
        <w:rPr>
          <w:rFonts w:cs="Arial"/>
          <w:lang w:val="en-US"/>
        </w:rPr>
        <w:t xml:space="preserve">. </w:t>
      </w:r>
      <w:r w:rsidRPr="00777289">
        <w:rPr>
          <w:rFonts w:cs="Arial"/>
        </w:rPr>
        <w:t>№20150209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4FD33126" w14:textId="77777777" w:rsidR="00777289" w:rsidRPr="00777289" w:rsidRDefault="00777289" w:rsidP="00777289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777289">
        <w:rPr>
          <w:rFonts w:eastAsia="Times New Roman" w:cs="Arial"/>
          <w:color w:val="000000"/>
          <w:lang w:eastAsia="bg-BG"/>
        </w:rPr>
        <w:t>Дата на първо разрешаване: 24 юни 2015 г.</w:t>
      </w:r>
    </w:p>
    <w:p w14:paraId="497007FA" w14:textId="74115C9D" w:rsidR="0091385D" w:rsidRPr="00777289" w:rsidRDefault="00777289" w:rsidP="00777289">
      <w:pPr>
        <w:rPr>
          <w:rFonts w:cs="Arial"/>
        </w:rPr>
      </w:pPr>
      <w:r w:rsidRPr="00777289">
        <w:rPr>
          <w:rFonts w:eastAsia="Times New Roman" w:cs="Arial"/>
          <w:color w:val="000000"/>
          <w:lang w:eastAsia="bg-BG"/>
        </w:rPr>
        <w:lastRenderedPageBreak/>
        <w:t>Дата на последно подновяване: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3AAA3A37" w:rsidR="0091385D" w:rsidRPr="00777289" w:rsidRDefault="00777289" w:rsidP="0091385D">
      <w:pPr>
        <w:rPr>
          <w:rFonts w:cs="Arial"/>
        </w:rPr>
      </w:pPr>
      <w:r w:rsidRPr="00777289">
        <w:rPr>
          <w:rFonts w:cs="Arial"/>
        </w:rPr>
        <w:t>11/2020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6A15D51"/>
    <w:multiLevelType w:val="hybridMultilevel"/>
    <w:tmpl w:val="7C22A85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80F1481"/>
    <w:multiLevelType w:val="hybridMultilevel"/>
    <w:tmpl w:val="57DC1A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5161"/>
    <w:multiLevelType w:val="hybridMultilevel"/>
    <w:tmpl w:val="21F2A934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83814"/>
    <w:multiLevelType w:val="hybridMultilevel"/>
    <w:tmpl w:val="EA2656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790D"/>
    <w:multiLevelType w:val="hybridMultilevel"/>
    <w:tmpl w:val="2D520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C7E"/>
    <w:multiLevelType w:val="hybridMultilevel"/>
    <w:tmpl w:val="0FCE92E6"/>
    <w:lvl w:ilvl="0" w:tplc="E20A4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F4CAE"/>
    <w:multiLevelType w:val="hybridMultilevel"/>
    <w:tmpl w:val="230007A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F4CEE"/>
    <w:multiLevelType w:val="hybridMultilevel"/>
    <w:tmpl w:val="326CE96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3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19"/>
  </w:num>
  <w:num w:numId="7">
    <w:abstractNumId w:val="11"/>
  </w:num>
  <w:num w:numId="8">
    <w:abstractNumId w:val="18"/>
  </w:num>
  <w:num w:numId="9">
    <w:abstractNumId w:val="2"/>
  </w:num>
  <w:num w:numId="10">
    <w:abstractNumId w:val="4"/>
  </w:num>
  <w:num w:numId="11">
    <w:abstractNumId w:val="36"/>
  </w:num>
  <w:num w:numId="12">
    <w:abstractNumId w:val="16"/>
  </w:num>
  <w:num w:numId="13">
    <w:abstractNumId w:val="23"/>
  </w:num>
  <w:num w:numId="14">
    <w:abstractNumId w:val="14"/>
  </w:num>
  <w:num w:numId="15">
    <w:abstractNumId w:val="35"/>
  </w:num>
  <w:num w:numId="16">
    <w:abstractNumId w:val="10"/>
  </w:num>
  <w:num w:numId="17">
    <w:abstractNumId w:val="29"/>
  </w:num>
  <w:num w:numId="18">
    <w:abstractNumId w:val="8"/>
  </w:num>
  <w:num w:numId="19">
    <w:abstractNumId w:val="31"/>
  </w:num>
  <w:num w:numId="20">
    <w:abstractNumId w:val="28"/>
  </w:num>
  <w:num w:numId="21">
    <w:abstractNumId w:val="20"/>
  </w:num>
  <w:num w:numId="22">
    <w:abstractNumId w:val="30"/>
  </w:num>
  <w:num w:numId="23">
    <w:abstractNumId w:val="21"/>
  </w:num>
  <w:num w:numId="24">
    <w:abstractNumId w:val="9"/>
  </w:num>
  <w:num w:numId="25">
    <w:abstractNumId w:val="27"/>
  </w:num>
  <w:num w:numId="26">
    <w:abstractNumId w:val="26"/>
  </w:num>
  <w:num w:numId="27">
    <w:abstractNumId w:val="37"/>
  </w:num>
  <w:num w:numId="28">
    <w:abstractNumId w:val="6"/>
  </w:num>
  <w:num w:numId="29">
    <w:abstractNumId w:val="25"/>
  </w:num>
  <w:num w:numId="30">
    <w:abstractNumId w:val="41"/>
  </w:num>
  <w:num w:numId="31">
    <w:abstractNumId w:val="5"/>
  </w:num>
  <w:num w:numId="32">
    <w:abstractNumId w:val="40"/>
  </w:num>
  <w:num w:numId="33">
    <w:abstractNumId w:val="34"/>
  </w:num>
  <w:num w:numId="34">
    <w:abstractNumId w:val="38"/>
  </w:num>
  <w:num w:numId="35">
    <w:abstractNumId w:val="17"/>
  </w:num>
  <w:num w:numId="36">
    <w:abstractNumId w:val="12"/>
  </w:num>
  <w:num w:numId="37">
    <w:abstractNumId w:val="13"/>
  </w:num>
  <w:num w:numId="38">
    <w:abstractNumId w:val="39"/>
  </w:num>
  <w:num w:numId="39">
    <w:abstractNumId w:val="24"/>
  </w:num>
  <w:num w:numId="40">
    <w:abstractNumId w:val="22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77289"/>
    <w:rsid w:val="007C605B"/>
    <w:rsid w:val="008134C8"/>
    <w:rsid w:val="00814073"/>
    <w:rsid w:val="0082363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A23EC"/>
    <w:rsid w:val="00AC63CE"/>
    <w:rsid w:val="00AE2107"/>
    <w:rsid w:val="00AF78FD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93F45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3683</Words>
  <Characters>20999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2022-09-04T15:26:00Z</dcterms:created>
  <dcterms:modified xsi:type="dcterms:W3CDTF">2022-09-04T15:26:00Z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