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1899B1E5" w:rsidR="009F77A4" w:rsidRDefault="00DD466D" w:rsidP="00387A66">
      <w:pPr>
        <w:pStyle w:val="Heading1"/>
      </w:pPr>
      <w:r>
        <w:t>1.ИМЕ НА ЛЕКАРСТВЕНИЯ ПРОДУКТ</w:t>
      </w:r>
    </w:p>
    <w:p w14:paraId="5B4A68D2" w14:textId="50A416D5" w:rsidR="007A2722" w:rsidRDefault="007A2722" w:rsidP="007A2722"/>
    <w:p w14:paraId="541CD4BE" w14:textId="77777777" w:rsidR="007A2722" w:rsidRDefault="007A2722" w:rsidP="007A2722">
      <w:pPr>
        <w:rPr>
          <w:lang w:eastAsia="bg-BG"/>
        </w:rPr>
      </w:pPr>
      <w:r w:rsidRPr="007A2722">
        <w:rPr>
          <w:lang w:eastAsia="bg-BG"/>
        </w:rPr>
        <w:t xml:space="preserve">МЕЛОКС 10 </w:t>
      </w:r>
      <w:r w:rsidRPr="007A2722">
        <w:rPr>
          <w:lang w:val="en-US"/>
        </w:rPr>
        <w:t xml:space="preserve">mg/ml </w:t>
      </w:r>
      <w:r w:rsidRPr="007A2722">
        <w:rPr>
          <w:lang w:eastAsia="bg-BG"/>
        </w:rPr>
        <w:t xml:space="preserve">инжекционен разтвор </w:t>
      </w:r>
    </w:p>
    <w:p w14:paraId="456A47AD" w14:textId="793DD4E2" w:rsidR="007A2722" w:rsidRPr="007A2722" w:rsidRDefault="007A2722" w:rsidP="007A2722">
      <w:pPr>
        <w:rPr>
          <w:sz w:val="24"/>
          <w:szCs w:val="24"/>
          <w:lang w:val="en-US" w:eastAsia="bg-BG"/>
        </w:rPr>
      </w:pPr>
      <w:r w:rsidRPr="007A2722">
        <w:rPr>
          <w:lang w:val="en-US"/>
        </w:rPr>
        <w:t xml:space="preserve">MELOX </w:t>
      </w:r>
      <w:r w:rsidRPr="007A2722">
        <w:rPr>
          <w:lang w:eastAsia="bg-BG"/>
        </w:rPr>
        <w:t xml:space="preserve">10 </w:t>
      </w:r>
      <w:r w:rsidRPr="007A2722">
        <w:rPr>
          <w:lang w:val="en-US"/>
        </w:rPr>
        <w:t>mg/ml solution for injection</w:t>
      </w:r>
    </w:p>
    <w:p w14:paraId="420CBB5A" w14:textId="77777777" w:rsidR="007A2722" w:rsidRPr="007A2722" w:rsidRDefault="007A2722" w:rsidP="007A2722"/>
    <w:p w14:paraId="0DF202EC" w14:textId="6C01137C" w:rsidR="00F53FB7" w:rsidRDefault="00DD466D" w:rsidP="00A93499">
      <w:pPr>
        <w:pStyle w:val="Heading1"/>
      </w:pPr>
      <w:r>
        <w:t>2. КАЧЕСТВЕН И КОЛИЧЕСТВЕН СЪСТАВ</w:t>
      </w:r>
    </w:p>
    <w:p w14:paraId="00556780" w14:textId="677038E5" w:rsidR="007A2722" w:rsidRDefault="007A2722" w:rsidP="007A2722"/>
    <w:p w14:paraId="5C1090D2" w14:textId="77777777" w:rsidR="007A2722" w:rsidRPr="007A2722" w:rsidRDefault="007A2722" w:rsidP="007A2722">
      <w:pPr>
        <w:rPr>
          <w:sz w:val="24"/>
          <w:szCs w:val="24"/>
          <w:lang w:eastAsia="bg-BG"/>
        </w:rPr>
      </w:pPr>
      <w:r w:rsidRPr="007A2722">
        <w:rPr>
          <w:lang w:eastAsia="bg-BG"/>
        </w:rPr>
        <w:t xml:space="preserve">Един милилитър от разтвора съдържа 10 </w:t>
      </w:r>
      <w:r w:rsidRPr="007A2722">
        <w:rPr>
          <w:lang w:val="en-US"/>
        </w:rPr>
        <w:t xml:space="preserve">mg </w:t>
      </w:r>
      <w:r w:rsidRPr="007A2722">
        <w:rPr>
          <w:lang w:eastAsia="bg-BG"/>
        </w:rPr>
        <w:t xml:space="preserve">мелоксикам </w:t>
      </w:r>
      <w:r w:rsidRPr="007A2722">
        <w:rPr>
          <w:lang w:val="en-US"/>
        </w:rPr>
        <w:t>(meloxicam).</w:t>
      </w:r>
    </w:p>
    <w:p w14:paraId="0290BAEF" w14:textId="77777777" w:rsidR="007A2722" w:rsidRPr="007A2722" w:rsidRDefault="007A2722" w:rsidP="007A2722">
      <w:pPr>
        <w:rPr>
          <w:sz w:val="24"/>
          <w:szCs w:val="24"/>
          <w:lang w:eastAsia="bg-BG"/>
        </w:rPr>
      </w:pPr>
      <w:r w:rsidRPr="007A2722">
        <w:rPr>
          <w:lang w:eastAsia="bg-BG"/>
        </w:rPr>
        <w:t xml:space="preserve">Всяка ампула с 1.5 </w:t>
      </w:r>
      <w:r w:rsidRPr="007A2722">
        <w:rPr>
          <w:lang w:val="en-US"/>
        </w:rPr>
        <w:t xml:space="preserve">ml </w:t>
      </w:r>
      <w:r w:rsidRPr="007A2722">
        <w:rPr>
          <w:lang w:eastAsia="bg-BG"/>
        </w:rPr>
        <w:t xml:space="preserve">инжекционен разтвор съдържа 15 </w:t>
      </w:r>
      <w:r w:rsidRPr="007A2722">
        <w:rPr>
          <w:lang w:val="en-US"/>
        </w:rPr>
        <w:t xml:space="preserve">mg </w:t>
      </w:r>
      <w:r w:rsidRPr="007A2722">
        <w:rPr>
          <w:lang w:eastAsia="bg-BG"/>
        </w:rPr>
        <w:t>мелоксикам.</w:t>
      </w:r>
    </w:p>
    <w:p w14:paraId="410DB4B9" w14:textId="77777777" w:rsidR="007A2722" w:rsidRDefault="007A2722" w:rsidP="007A2722">
      <w:pPr>
        <w:rPr>
          <w:u w:val="single"/>
          <w:lang w:eastAsia="bg-BG"/>
        </w:rPr>
      </w:pPr>
    </w:p>
    <w:p w14:paraId="056012DB" w14:textId="63F17476" w:rsidR="007A2722" w:rsidRPr="007A2722" w:rsidRDefault="007A2722" w:rsidP="007A2722">
      <w:pPr>
        <w:rPr>
          <w:sz w:val="24"/>
          <w:szCs w:val="24"/>
          <w:lang w:eastAsia="bg-BG"/>
        </w:rPr>
      </w:pPr>
      <w:r w:rsidRPr="007A2722">
        <w:rPr>
          <w:u w:val="single"/>
          <w:lang w:eastAsia="bg-BG"/>
        </w:rPr>
        <w:t>Помощно вещество с известно действие</w:t>
      </w:r>
      <w:r w:rsidRPr="007A2722">
        <w:rPr>
          <w:lang w:eastAsia="bg-BG"/>
        </w:rPr>
        <w:t>: Натрий</w:t>
      </w:r>
    </w:p>
    <w:p w14:paraId="57438727" w14:textId="51C01F98" w:rsidR="007A2722" w:rsidRPr="007A2722" w:rsidRDefault="007A2722" w:rsidP="007A2722">
      <w:r w:rsidRPr="007A2722">
        <w:rPr>
          <w:lang w:eastAsia="bg-BG"/>
        </w:rPr>
        <w:t xml:space="preserve">Всеки милилитър от разтвора съдържа 1.29 </w:t>
      </w:r>
      <w:r w:rsidRPr="007A2722">
        <w:rPr>
          <w:lang w:val="en-US"/>
        </w:rPr>
        <w:t xml:space="preserve">mg </w:t>
      </w:r>
      <w:r w:rsidRPr="007A2722">
        <w:rPr>
          <w:lang w:eastAsia="bg-BG"/>
        </w:rPr>
        <w:t xml:space="preserve">до 1.41 </w:t>
      </w:r>
      <w:r w:rsidRPr="007A2722">
        <w:rPr>
          <w:lang w:val="en-US"/>
        </w:rPr>
        <w:t xml:space="preserve">mg </w:t>
      </w:r>
      <w:r w:rsidRPr="007A2722">
        <w:rPr>
          <w:lang w:eastAsia="bg-BG"/>
        </w:rPr>
        <w:t>натрий.</w:t>
      </w:r>
    </w:p>
    <w:p w14:paraId="4CABB9ED" w14:textId="1EC6853F" w:rsidR="00F53FB7" w:rsidRDefault="00DD466D" w:rsidP="00A93499">
      <w:pPr>
        <w:pStyle w:val="Heading1"/>
      </w:pPr>
      <w:r>
        <w:t>3. ЛЕКАРСТВЕНА ФОРМА</w:t>
      </w:r>
    </w:p>
    <w:p w14:paraId="40F275BD" w14:textId="309BA1D0" w:rsidR="007A2722" w:rsidRDefault="007A2722" w:rsidP="007A2722"/>
    <w:p w14:paraId="714AEA17" w14:textId="77777777" w:rsidR="007A2722" w:rsidRPr="007A2722" w:rsidRDefault="007A2722" w:rsidP="007A2722">
      <w:pPr>
        <w:rPr>
          <w:sz w:val="24"/>
          <w:szCs w:val="24"/>
          <w:lang w:eastAsia="bg-BG"/>
        </w:rPr>
      </w:pPr>
      <w:r w:rsidRPr="007A2722">
        <w:rPr>
          <w:lang w:eastAsia="bg-BG"/>
        </w:rPr>
        <w:t>Инжекционен разтвор.</w:t>
      </w:r>
    </w:p>
    <w:p w14:paraId="620369B1" w14:textId="77777777" w:rsidR="007A2722" w:rsidRPr="007A2722" w:rsidRDefault="007A2722" w:rsidP="007A2722">
      <w:pPr>
        <w:rPr>
          <w:sz w:val="24"/>
          <w:szCs w:val="24"/>
          <w:lang w:eastAsia="bg-BG"/>
        </w:rPr>
      </w:pPr>
      <w:r w:rsidRPr="007A2722">
        <w:rPr>
          <w:lang w:eastAsia="bg-BG"/>
        </w:rPr>
        <w:t>Бистър, жълт до зеленикаво-жълт разтвор без видими частици.</w:t>
      </w:r>
    </w:p>
    <w:p w14:paraId="5D9B6D58" w14:textId="6CC06FFE" w:rsidR="007A2722" w:rsidRPr="007A2722" w:rsidRDefault="007A2722" w:rsidP="007A2722">
      <w:pPr>
        <w:rPr>
          <w:sz w:val="24"/>
          <w:szCs w:val="24"/>
          <w:lang w:eastAsia="bg-BG"/>
        </w:rPr>
      </w:pPr>
      <w:r w:rsidRPr="007A2722">
        <w:rPr>
          <w:lang w:val="en-US"/>
        </w:rPr>
        <w:t xml:space="preserve">pH </w:t>
      </w:r>
      <w:r w:rsidRPr="007A2722">
        <w:rPr>
          <w:lang w:eastAsia="bg-BG"/>
        </w:rPr>
        <w:t>в разтвора е 8.4 - 8.9.</w:t>
      </w:r>
    </w:p>
    <w:p w14:paraId="490FC2C4" w14:textId="6899DE43" w:rsidR="002C50EE" w:rsidRDefault="002C50EE" w:rsidP="002C50EE">
      <w:pPr>
        <w:pStyle w:val="Heading1"/>
      </w:pPr>
      <w:r>
        <w:t>4. КЛИНИЧНИ ДАННИ</w:t>
      </w:r>
    </w:p>
    <w:p w14:paraId="461901E4" w14:textId="5A0E9007" w:rsidR="009F77A4" w:rsidRDefault="002C50EE" w:rsidP="00387A66">
      <w:pPr>
        <w:pStyle w:val="Heading2"/>
      </w:pPr>
      <w:r>
        <w:t>4.1. Терапевтични показания</w:t>
      </w:r>
    </w:p>
    <w:p w14:paraId="7BB84BCF" w14:textId="68413A49" w:rsidR="007A2722" w:rsidRDefault="007A2722" w:rsidP="007A2722"/>
    <w:p w14:paraId="2965E68D" w14:textId="7FA1DE8D" w:rsidR="007A2722" w:rsidRDefault="007A2722" w:rsidP="007A2722">
      <w:pPr>
        <w:rPr>
          <w:lang w:eastAsia="bg-BG"/>
        </w:rPr>
      </w:pPr>
      <w:r w:rsidRPr="007A2722">
        <w:rPr>
          <w:lang w:eastAsia="bg-BG"/>
        </w:rPr>
        <w:t>Краткосрочно симптоматично лечение на остри екзацербации на ревматоиден артрит и анкилозиращ спондилит, когато употребата на перорални и ректални продукти не е възможна. МЕЛОКС е показан при възрастни.</w:t>
      </w:r>
    </w:p>
    <w:p w14:paraId="7FE3C0E7" w14:textId="77777777" w:rsidR="007A2722" w:rsidRPr="007A2722" w:rsidRDefault="007A2722" w:rsidP="007A2722">
      <w:pPr>
        <w:rPr>
          <w:sz w:val="24"/>
          <w:szCs w:val="24"/>
          <w:lang w:eastAsia="bg-BG"/>
        </w:rPr>
      </w:pPr>
    </w:p>
    <w:p w14:paraId="31744E5A" w14:textId="5E315592" w:rsidR="009F77A4" w:rsidRDefault="002C50EE" w:rsidP="00387A66">
      <w:pPr>
        <w:pStyle w:val="Heading2"/>
      </w:pPr>
      <w:r>
        <w:t>4.2. Дозировка и начин на приложение</w:t>
      </w:r>
    </w:p>
    <w:p w14:paraId="25ACB940" w14:textId="6E4BA5B6" w:rsidR="007A2722" w:rsidRDefault="007A2722" w:rsidP="007A2722"/>
    <w:p w14:paraId="5812828D" w14:textId="77777777" w:rsidR="007A2722" w:rsidRPr="007A2722" w:rsidRDefault="007A2722" w:rsidP="007A2722">
      <w:pPr>
        <w:pStyle w:val="Heading3"/>
        <w:rPr>
          <w:rFonts w:eastAsia="Times New Roman"/>
          <w:u w:val="single"/>
          <w:lang w:eastAsia="bg-BG"/>
        </w:rPr>
      </w:pPr>
      <w:r w:rsidRPr="007A2722">
        <w:rPr>
          <w:rFonts w:eastAsia="Times New Roman"/>
          <w:u w:val="single"/>
          <w:lang w:eastAsia="bg-BG"/>
        </w:rPr>
        <w:t>Дозировка</w:t>
      </w:r>
    </w:p>
    <w:p w14:paraId="59273A01"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Една ампула от 15 </w:t>
      </w:r>
      <w:r w:rsidRPr="007A2722">
        <w:rPr>
          <w:rFonts w:eastAsia="Times New Roman" w:cs="Arial"/>
          <w:color w:val="000000"/>
          <w:lang w:val="en-US"/>
        </w:rPr>
        <w:t xml:space="preserve">mg </w:t>
      </w:r>
      <w:r w:rsidRPr="007A2722">
        <w:rPr>
          <w:rFonts w:eastAsia="Times New Roman" w:cs="Arial"/>
          <w:color w:val="000000"/>
          <w:lang w:eastAsia="bg-BG"/>
        </w:rPr>
        <w:t>веднъж дневно, приложена интрамускулно.</w:t>
      </w:r>
    </w:p>
    <w:p w14:paraId="50E92FF3"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ДА НЕ СЕ ПРЕВИШАВА ДОЗАТА ОТ 15 </w:t>
      </w:r>
      <w:r w:rsidRPr="007A2722">
        <w:rPr>
          <w:rFonts w:eastAsia="Times New Roman" w:cs="Arial"/>
          <w:color w:val="000000"/>
          <w:lang w:val="en-US"/>
        </w:rPr>
        <w:t xml:space="preserve">mg </w:t>
      </w:r>
      <w:r w:rsidRPr="007A2722">
        <w:rPr>
          <w:rFonts w:eastAsia="Times New Roman" w:cs="Arial"/>
          <w:color w:val="000000"/>
          <w:lang w:eastAsia="bg-BG"/>
        </w:rPr>
        <w:t>дневно.</w:t>
      </w:r>
    </w:p>
    <w:p w14:paraId="1CE15339"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Лечението обикновено е ограничено до една инжекция в началото на лечението, с максимална продължителност на приложението 2 до 3 дни при особени случаи (например, когато употребата на перорални и ректални продукти не е възможна).</w:t>
      </w:r>
    </w:p>
    <w:p w14:paraId="0B42724C"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Нежеланите лекарствени реакции могат да бъдат намалени като за контролиране на симптомите се прилага възможно най-ниската ефективна доза за възможно най-кратък период от време (вижте точка 4.4). Нуждите на пациента от облекчаване на симптомите и неговият отговор на лечението трябва да бъдат преоценявани периодично.</w:t>
      </w:r>
    </w:p>
    <w:p w14:paraId="784695E0" w14:textId="77777777" w:rsidR="007A2722" w:rsidRPr="007A2722" w:rsidRDefault="007A2722" w:rsidP="007A2722">
      <w:pPr>
        <w:spacing w:line="240" w:lineRule="auto"/>
        <w:rPr>
          <w:rFonts w:eastAsia="Times New Roman" w:cs="Arial"/>
          <w:color w:val="000000"/>
          <w:u w:val="single"/>
          <w:lang w:eastAsia="bg-BG"/>
        </w:rPr>
      </w:pPr>
    </w:p>
    <w:p w14:paraId="0F27971E" w14:textId="6F4D01AF" w:rsidR="007A2722" w:rsidRPr="007A2722" w:rsidRDefault="007A2722" w:rsidP="007A2722">
      <w:pPr>
        <w:spacing w:line="240" w:lineRule="auto"/>
        <w:rPr>
          <w:rFonts w:eastAsia="Times New Roman" w:cs="Arial"/>
          <w:color w:val="000000"/>
          <w:u w:val="single"/>
          <w:lang w:eastAsia="bg-BG"/>
        </w:rPr>
      </w:pPr>
      <w:r w:rsidRPr="007A2722">
        <w:rPr>
          <w:rFonts w:eastAsia="Times New Roman" w:cs="Arial"/>
          <w:color w:val="000000"/>
          <w:u w:val="single"/>
          <w:lang w:eastAsia="bg-BG"/>
        </w:rPr>
        <w:t>Специални популации</w:t>
      </w:r>
    </w:p>
    <w:p w14:paraId="7CDD14A4"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Пациенти в старческа възраст и пациенти с повишен риск от нежелани реакции (вижте точка 5.2).</w:t>
      </w:r>
    </w:p>
    <w:p w14:paraId="486DC101"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lastRenderedPageBreak/>
        <w:t xml:space="preserve">При пациентите в старческа възраст препоръчителната доза е 7.5 </w:t>
      </w:r>
      <w:r w:rsidRPr="007A2722">
        <w:rPr>
          <w:rFonts w:eastAsia="Times New Roman" w:cs="Arial"/>
          <w:color w:val="000000"/>
          <w:lang w:val="en-US"/>
        </w:rPr>
        <w:t xml:space="preserve">mg </w:t>
      </w:r>
      <w:r w:rsidRPr="007A2722">
        <w:rPr>
          <w:rFonts w:eastAsia="Times New Roman" w:cs="Arial"/>
          <w:color w:val="000000"/>
          <w:lang w:eastAsia="bg-BG"/>
        </w:rPr>
        <w:t xml:space="preserve">дневно. При пациенти с повишен риск от нежелани реакции лечението трябва да бъде започнато с доза от 7.5 </w:t>
      </w:r>
      <w:r w:rsidRPr="007A2722">
        <w:rPr>
          <w:rFonts w:eastAsia="Times New Roman" w:cs="Arial"/>
          <w:color w:val="000000"/>
          <w:lang w:val="en-US"/>
        </w:rPr>
        <w:t xml:space="preserve">mg </w:t>
      </w:r>
      <w:r w:rsidRPr="007A2722">
        <w:rPr>
          <w:rFonts w:eastAsia="Times New Roman" w:cs="Arial"/>
          <w:color w:val="000000"/>
          <w:lang w:eastAsia="bg-BG"/>
        </w:rPr>
        <w:t xml:space="preserve">дневно (1/2 ампула от 15 </w:t>
      </w:r>
      <w:r w:rsidRPr="007A2722">
        <w:rPr>
          <w:rFonts w:eastAsia="Times New Roman" w:cs="Arial"/>
          <w:color w:val="000000"/>
          <w:lang w:val="en-US"/>
        </w:rPr>
        <w:t xml:space="preserve">mg) </w:t>
      </w:r>
      <w:r w:rsidRPr="007A2722">
        <w:rPr>
          <w:rFonts w:eastAsia="Times New Roman" w:cs="Arial"/>
          <w:color w:val="000000"/>
          <w:lang w:eastAsia="bg-BG"/>
        </w:rPr>
        <w:t>(вижте точка 4.4).</w:t>
      </w:r>
    </w:p>
    <w:p w14:paraId="18C0C361" w14:textId="77777777" w:rsidR="007A2722" w:rsidRPr="007A2722" w:rsidRDefault="007A2722" w:rsidP="007A2722">
      <w:pPr>
        <w:spacing w:line="240" w:lineRule="auto"/>
        <w:rPr>
          <w:rFonts w:eastAsia="Times New Roman" w:cs="Arial"/>
          <w:i/>
          <w:iCs/>
          <w:color w:val="000000"/>
          <w:lang w:eastAsia="bg-BG"/>
        </w:rPr>
      </w:pPr>
    </w:p>
    <w:p w14:paraId="35920CB8" w14:textId="46F0A397"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Бъбречно увреждане (вижте точка 5.2)</w:t>
      </w:r>
    </w:p>
    <w:p w14:paraId="3EFEC204"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При пациенти с бъбречно увреждане, които са подложени на хемодиализа, дозата не трябва да превишава 7.5 </w:t>
      </w:r>
      <w:r w:rsidRPr="007A2722">
        <w:rPr>
          <w:rFonts w:eastAsia="Times New Roman" w:cs="Arial"/>
          <w:color w:val="000000"/>
          <w:lang w:val="en-US"/>
        </w:rPr>
        <w:t xml:space="preserve">mg </w:t>
      </w:r>
      <w:r w:rsidRPr="007A2722">
        <w:rPr>
          <w:rFonts w:eastAsia="Times New Roman" w:cs="Arial"/>
          <w:color w:val="000000"/>
          <w:lang w:eastAsia="bg-BG"/>
        </w:rPr>
        <w:t xml:space="preserve">дневно (1/2 ампула от 15 </w:t>
      </w:r>
      <w:r w:rsidRPr="007A2722">
        <w:rPr>
          <w:rFonts w:eastAsia="Times New Roman" w:cs="Arial"/>
          <w:color w:val="000000"/>
          <w:lang w:val="en-US"/>
        </w:rPr>
        <w:t xml:space="preserve">mg). </w:t>
      </w:r>
      <w:r w:rsidRPr="007A2722">
        <w:rPr>
          <w:rFonts w:eastAsia="Times New Roman" w:cs="Arial"/>
          <w:color w:val="000000"/>
          <w:lang w:eastAsia="bg-BG"/>
        </w:rPr>
        <w:t>Не се изисква намаляване на дозата при</w:t>
      </w:r>
    </w:p>
    <w:p w14:paraId="51DFC8F7" w14:textId="77777777" w:rsidR="007A2722" w:rsidRPr="007A2722" w:rsidRDefault="007A2722" w:rsidP="007A2722">
      <w:pPr>
        <w:rPr>
          <w:rFonts w:eastAsia="Times New Roman" w:cs="Arial"/>
          <w:sz w:val="24"/>
          <w:szCs w:val="24"/>
          <w:lang w:eastAsia="bg-BG"/>
        </w:rPr>
      </w:pPr>
      <w:r w:rsidRPr="007A2722">
        <w:rPr>
          <w:rFonts w:eastAsia="Times New Roman" w:cs="Arial"/>
          <w:color w:val="000000"/>
          <w:lang w:eastAsia="bg-BG"/>
        </w:rPr>
        <w:t>пациенти с леко до умерено бъбречно увреждане (например, при пациенти с креатининов</w:t>
      </w:r>
      <w:r w:rsidRPr="007A2722">
        <w:rPr>
          <w:rFonts w:eastAsia="Times New Roman" w:cs="Arial"/>
          <w:color w:val="000000"/>
          <w:lang w:val="en-US" w:eastAsia="bg-BG"/>
        </w:rPr>
        <w:t xml:space="preserve"> </w:t>
      </w:r>
      <w:r w:rsidRPr="007A2722">
        <w:rPr>
          <w:rFonts w:eastAsia="Times New Roman" w:cs="Arial"/>
          <w:color w:val="000000"/>
          <w:lang w:eastAsia="bg-BG"/>
        </w:rPr>
        <w:t xml:space="preserve">клирънс над 25 </w:t>
      </w:r>
      <w:r w:rsidRPr="007A2722">
        <w:rPr>
          <w:rFonts w:eastAsia="Times New Roman" w:cs="Arial"/>
          <w:color w:val="000000"/>
          <w:lang w:val="en-US"/>
        </w:rPr>
        <w:t xml:space="preserve">ml/min). </w:t>
      </w:r>
      <w:r w:rsidRPr="007A2722">
        <w:rPr>
          <w:rFonts w:eastAsia="Times New Roman" w:cs="Arial"/>
          <w:color w:val="000000"/>
          <w:lang w:eastAsia="bg-BG"/>
        </w:rPr>
        <w:t>За лечение на пациенти с тежка бъбречна недостатъчност, които не подлежат на диализа, вижте точка 4.3.</w:t>
      </w:r>
    </w:p>
    <w:p w14:paraId="721BEA64" w14:textId="77777777" w:rsidR="007A2722" w:rsidRPr="007A2722" w:rsidRDefault="007A2722" w:rsidP="007A2722">
      <w:pPr>
        <w:spacing w:line="240" w:lineRule="auto"/>
        <w:rPr>
          <w:rFonts w:eastAsia="Times New Roman" w:cs="Arial"/>
          <w:i/>
          <w:iCs/>
          <w:color w:val="000000"/>
          <w:lang w:eastAsia="bg-BG"/>
        </w:rPr>
      </w:pPr>
    </w:p>
    <w:p w14:paraId="112D9336" w14:textId="0CF36FFD"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Чернодробно увреждане (вижте точка 5.2)</w:t>
      </w:r>
    </w:p>
    <w:p w14:paraId="1C752C2D"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Не се изисква намаляване на дозата при пациенти с леко до умерено чернодробно увреждане. За лечение на пациенти с тежко чернодробно увреждане, вижте точка 4.3.</w:t>
      </w:r>
    </w:p>
    <w:p w14:paraId="648B66B6" w14:textId="77777777" w:rsidR="007A2722" w:rsidRPr="007A2722" w:rsidRDefault="007A2722" w:rsidP="007A2722">
      <w:pPr>
        <w:spacing w:line="240" w:lineRule="auto"/>
        <w:rPr>
          <w:rFonts w:eastAsia="Times New Roman" w:cs="Arial"/>
          <w:i/>
          <w:iCs/>
          <w:color w:val="000000"/>
          <w:lang w:eastAsia="bg-BG"/>
        </w:rPr>
      </w:pPr>
    </w:p>
    <w:p w14:paraId="562C7E9B" w14:textId="33FBF8FA"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Педиатрична популация:</w:t>
      </w:r>
    </w:p>
    <w:p w14:paraId="0401EC5C"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МЕЛОКС 10 </w:t>
      </w:r>
      <w:r w:rsidRPr="007A2722">
        <w:rPr>
          <w:rFonts w:eastAsia="Times New Roman" w:cs="Arial"/>
          <w:color w:val="000000"/>
          <w:lang w:val="en-US"/>
        </w:rPr>
        <w:t xml:space="preserve">mg/ ml </w:t>
      </w:r>
      <w:r w:rsidRPr="007A2722">
        <w:rPr>
          <w:rFonts w:eastAsia="Times New Roman" w:cs="Arial"/>
          <w:color w:val="000000"/>
          <w:lang w:eastAsia="bg-BG"/>
        </w:rPr>
        <w:t>инжекционен разтвор е противопоказан при деца и юноши под 18-годишна възраст (вижте точка 4.3).</w:t>
      </w:r>
    </w:p>
    <w:p w14:paraId="637EBD68" w14:textId="77777777" w:rsidR="007A2722" w:rsidRPr="007A2722" w:rsidRDefault="007A2722" w:rsidP="007A2722">
      <w:pPr>
        <w:spacing w:line="240" w:lineRule="auto"/>
        <w:rPr>
          <w:rFonts w:eastAsia="Times New Roman" w:cs="Arial"/>
          <w:color w:val="000000"/>
          <w:u w:val="single"/>
          <w:lang w:eastAsia="bg-BG"/>
        </w:rPr>
      </w:pPr>
    </w:p>
    <w:p w14:paraId="58D5360D" w14:textId="52F0306E" w:rsidR="007A2722" w:rsidRPr="007A2722" w:rsidRDefault="007A2722" w:rsidP="007A2722">
      <w:pPr>
        <w:pStyle w:val="Heading3"/>
        <w:rPr>
          <w:rFonts w:eastAsia="Times New Roman"/>
          <w:u w:val="single"/>
          <w:lang w:eastAsia="bg-BG"/>
        </w:rPr>
      </w:pPr>
      <w:r w:rsidRPr="007A2722">
        <w:rPr>
          <w:rFonts w:eastAsia="Times New Roman"/>
          <w:u w:val="single"/>
          <w:lang w:eastAsia="bg-BG"/>
        </w:rPr>
        <w:t>Начин на приложение</w:t>
      </w:r>
    </w:p>
    <w:p w14:paraId="06876625"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Интрамускулна инжекция.</w:t>
      </w:r>
    </w:p>
    <w:p w14:paraId="13664F9E"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Инжекциите трябва да се правят в строго асептични условия и да се поставят във външната част на горния външен квадрант на седалището, дълбоко в мускула и бавно. При повторение на инжекцията се препоръчва да се редуват двете страни на седалището. Преди инжектирането е важно да се аспирира, за да се потвърди, че иглата не е попаднала в съд.</w:t>
      </w:r>
    </w:p>
    <w:p w14:paraId="57092063" w14:textId="77777777" w:rsidR="007A2722" w:rsidRPr="007A2722" w:rsidRDefault="007A2722" w:rsidP="007A2722">
      <w:pPr>
        <w:spacing w:line="240" w:lineRule="auto"/>
        <w:rPr>
          <w:rFonts w:ascii="Times New Roman" w:eastAsia="Times New Roman" w:hAnsi="Times New Roman" w:cs="Times New Roman"/>
          <w:sz w:val="24"/>
          <w:szCs w:val="24"/>
          <w:lang w:eastAsia="bg-BG"/>
        </w:rPr>
      </w:pPr>
      <w:r w:rsidRPr="007A2722">
        <w:rPr>
          <w:rFonts w:eastAsia="Times New Roman" w:cs="Arial"/>
          <w:color w:val="000000"/>
          <w:lang w:eastAsia="bg-BG"/>
        </w:rPr>
        <w:t>В случай на силна болка при инжекцията, инжектирането трябва да се преустанови незабавно. Ако пациентът е със сменена тазобедрена става, инжекцията трябва да се поставя в противоположната страна на седалището.</w:t>
      </w:r>
    </w:p>
    <w:p w14:paraId="5B4C9E0B" w14:textId="142C5474" w:rsidR="007A2722" w:rsidRPr="007A2722" w:rsidRDefault="007A2722" w:rsidP="007A2722">
      <w:pPr>
        <w:rPr>
          <w:lang w:val="en-US"/>
        </w:rPr>
      </w:pPr>
    </w:p>
    <w:p w14:paraId="5D9E65DA" w14:textId="68FCFB9D" w:rsidR="009F77A4" w:rsidRDefault="002C50EE" w:rsidP="00387A66">
      <w:pPr>
        <w:pStyle w:val="Heading2"/>
      </w:pPr>
      <w:r>
        <w:t>4.3. Противопоказания</w:t>
      </w:r>
    </w:p>
    <w:p w14:paraId="4C4DB7A9" w14:textId="5C8BB160" w:rsidR="007A2722" w:rsidRDefault="007A2722" w:rsidP="007A2722"/>
    <w:p w14:paraId="40CDD8CD"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Този лекарствен продукт е противопоказан в следните случаи:</w:t>
      </w:r>
    </w:p>
    <w:p w14:paraId="0FBC0400"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свръхчувствителност към активното вещество или някое от помощните вещества, посочени в точка 6</w:t>
      </w:r>
    </w:p>
    <w:p w14:paraId="3444E60B"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през третия триместър от бременността (вижте точка 4.6);</w:t>
      </w:r>
    </w:p>
    <w:p w14:paraId="5DD37995"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при деца и юноши под 18-годишна възраст;</w:t>
      </w:r>
    </w:p>
    <w:p w14:paraId="21B13CFC"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свръхчувствителност към активни молекули със сходно действие, като НСПВС и ацетилсалицилова киселина. МЕЛОКС не трябва да се прилага при пациенти, които са развили астматични симптоми, назални полипи, ангионевротичен едем или уртикария след прием на ацетилсалицилова киселина или други НСПВС;</w:t>
      </w:r>
    </w:p>
    <w:p w14:paraId="42D65836"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анамнеза за стомашно-чревно кървене или перфорация, свързани с предходно лечение с НСПВС;</w:t>
      </w:r>
    </w:p>
    <w:p w14:paraId="58FD9A9B"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активна или анамнеза за рецидивираща пептична язва/ кръвоизлив (два или повече отделни епизода на доказани язва или кървене);</w:t>
      </w:r>
    </w:p>
    <w:p w14:paraId="085749C2"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lastRenderedPageBreak/>
        <w:t>гастроинтестинално кървене, анамнеза за мозъчен кръвоизлив или други нарушения на кръвосъсирването;</w:t>
      </w:r>
    </w:p>
    <w:p w14:paraId="5A105E32"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тежко увреждане на чернодробната функция;</w:t>
      </w:r>
    </w:p>
    <w:p w14:paraId="03A58292"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тежка бъбречна недостатъчност, неподложена на диализа;</w:t>
      </w:r>
    </w:p>
    <w:p w14:paraId="672FBB4E"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тежка сърдечна недостатъчност;</w:t>
      </w:r>
    </w:p>
    <w:p w14:paraId="5D5F1AFD" w14:textId="33D0AAA8"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нарушения на кръвосъсирването или антикоагулантна терапия (противопоказанието е свързано с интрамускулния начин на приложение).</w:t>
      </w:r>
    </w:p>
    <w:p w14:paraId="762087B0" w14:textId="77777777" w:rsidR="007A2722" w:rsidRPr="007A2722" w:rsidRDefault="007A2722" w:rsidP="007A2722"/>
    <w:p w14:paraId="1C27CE53" w14:textId="1C95533E" w:rsidR="009F77A4" w:rsidRDefault="002C50EE" w:rsidP="00387A66">
      <w:pPr>
        <w:pStyle w:val="Heading2"/>
      </w:pPr>
      <w:r>
        <w:t>4.4. Специални предупреждения и предпазни мерки при употреба</w:t>
      </w:r>
    </w:p>
    <w:p w14:paraId="27A72407" w14:textId="521DE45A" w:rsidR="007A2722" w:rsidRDefault="007A2722" w:rsidP="007A2722"/>
    <w:p w14:paraId="225C831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Нежеланите лекарствени реакции могат да бъдат намалени като за контролиране на симптомите се прилага възможно най-ниската ефективна доза за възможно най-кратък период от време (вижте точка 4.2 и посочените по-долу гастроинтестинални, кардиоваскуларни и мозъчно-съдови рискове).</w:t>
      </w:r>
    </w:p>
    <w:p w14:paraId="5FCE394B" w14:textId="05CA33C5" w:rsidR="007A2722" w:rsidRPr="007A2722" w:rsidRDefault="007A2722" w:rsidP="007A2722">
      <w:pPr>
        <w:rPr>
          <w:rFonts w:eastAsia="Times New Roman" w:cs="Arial"/>
          <w:color w:val="000000"/>
          <w:lang w:eastAsia="bg-BG"/>
        </w:rPr>
      </w:pPr>
      <w:r w:rsidRPr="007A2722">
        <w:rPr>
          <w:rFonts w:eastAsia="Times New Roman" w:cs="Arial"/>
          <w:color w:val="000000"/>
          <w:lang w:eastAsia="bg-BG"/>
        </w:rPr>
        <w:t>Препоръчителната максимална дневна доза не трябва да бъде превишавана в случай на недостатъчен терапевтичен ефект, както не трябва да се включва към терапията друго НСПВС, тъй като това може да повиши токсичността, а терапевтичните предимства не са доказани</w:t>
      </w:r>
    </w:p>
    <w:p w14:paraId="6D9C8CFC" w14:textId="29D9A18D" w:rsidR="007A2722" w:rsidRPr="007A2722" w:rsidRDefault="007A2722" w:rsidP="007A2722">
      <w:pPr>
        <w:rPr>
          <w:rFonts w:cs="Arial"/>
        </w:rPr>
      </w:pPr>
    </w:p>
    <w:p w14:paraId="04BBD803"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Съвместната употреба на мелоксикам с други НСПВС, включително селективни инхибитори на циклооксигеназа-2 трябва да се избягва.</w:t>
      </w:r>
    </w:p>
    <w:p w14:paraId="355A8EFB"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МЕЛОКС не е подходящ за облекчаване на симптомите при пациенти с остра болка.</w:t>
      </w:r>
    </w:p>
    <w:p w14:paraId="6E2C0D3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липса на подобрение след няколко дни, клиничната полза от лечението трябва да бъде преоценена.</w:t>
      </w:r>
    </w:p>
    <w:p w14:paraId="2B051077"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Преди започване на лечение с мелоксикам е необходимо проследяване за анамнеза за езофагит, гастрит и/ или пептична язва, с цел да се осигури тяхното пълно излекуване преди лечението. Необходимо е рутинно проследвяване за поява на рецидиви при пациенти, лекувани с мелоксикам и с анамнеза за такива разстройства.</w:t>
      </w:r>
    </w:p>
    <w:p w14:paraId="02DFAE8A" w14:textId="77777777" w:rsidR="007A2722" w:rsidRPr="007A2722" w:rsidRDefault="007A2722" w:rsidP="007A2722">
      <w:pPr>
        <w:spacing w:line="240" w:lineRule="auto"/>
        <w:rPr>
          <w:rFonts w:eastAsia="Times New Roman" w:cs="Arial"/>
          <w:color w:val="000000"/>
          <w:u w:val="single"/>
          <w:lang w:eastAsia="bg-BG"/>
        </w:rPr>
      </w:pPr>
    </w:p>
    <w:p w14:paraId="7C557254" w14:textId="7C6D298B"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Гастроинтестинални ефекти</w:t>
      </w:r>
    </w:p>
    <w:p w14:paraId="750FFD32"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употреба на НСПВС са докладвани гастроинтестинално кървене, язви и перфорации, които може да са фатални, по всяко време на лечението, със или без наличието на предупреждаващи симптоми или предишна анамнеза за сериозни гастроинтестинални събития.</w:t>
      </w:r>
    </w:p>
    <w:p w14:paraId="01714A99"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пациенти с анамнеза за язва, особено ако е усложнена от кръвоизливи или перфорация (вижте точка 4.3), както и при пациенти в старческа възраст, рискът от гастроинтестинално кървене, язви или перфорация се увеличава с повишаването на дозата НСПВС. При тези пациенти лечението трябва да бъде започвано с най-ниската възможна доза. При тези пациенти, както и при пациентите, при които се изисква съвместен прием на ниски дози аспирин или други лекарства, които могат да повишат гастроинтестиналния риск, може да се обмисли комбинирана терапия със защитни агенти (например, мизопростол или инхибитори на протонната помпа) (вижте по-долу и точка 4.5).</w:t>
      </w:r>
    </w:p>
    <w:p w14:paraId="7247848E"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Пациентите с анамнеза за гастроинтестинална токсичност, особено ако са в старческа възраст, трябва да докладват всички необичайни абдоминални симптоми (особено гастроинтестинално кървене) особено в началните етапи на лечението.</w:t>
      </w:r>
    </w:p>
    <w:p w14:paraId="3CB52589"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 xml:space="preserve">Изисква се внимание при пациенти, които приемат съвместно лекарства, които могат да повишат риска от язви или кървене, като хепарин, прилаган за самостоятелно лечение или в гериатрията, антикоагуланти като варфарин или други нестероидни </w:t>
      </w:r>
      <w:r w:rsidRPr="007A2722">
        <w:rPr>
          <w:rFonts w:eastAsia="Times New Roman" w:cs="Arial"/>
          <w:color w:val="000000"/>
          <w:lang w:eastAsia="bg-BG"/>
        </w:rPr>
        <w:lastRenderedPageBreak/>
        <w:t xml:space="preserve">противовъзпалителни лекарства, включително ацетилсалицилова киселина, приемана в противовъзпалителни дози (&gt; 500 </w:t>
      </w:r>
      <w:r w:rsidRPr="007A2722">
        <w:rPr>
          <w:rFonts w:eastAsia="Times New Roman" w:cs="Arial"/>
          <w:color w:val="000000"/>
          <w:lang w:val="en-US"/>
        </w:rPr>
        <w:t xml:space="preserve">mg </w:t>
      </w:r>
      <w:r w:rsidRPr="007A2722">
        <w:rPr>
          <w:rFonts w:eastAsia="Times New Roman" w:cs="Arial"/>
          <w:color w:val="000000"/>
          <w:lang w:eastAsia="bg-BG"/>
        </w:rPr>
        <w:t xml:space="preserve">на доза или ≥ 3 </w:t>
      </w:r>
      <w:r w:rsidRPr="007A2722">
        <w:rPr>
          <w:rFonts w:eastAsia="Times New Roman" w:cs="Arial"/>
          <w:color w:val="000000"/>
          <w:lang w:val="en-US"/>
        </w:rPr>
        <w:t xml:space="preserve">g </w:t>
      </w:r>
      <w:r w:rsidRPr="007A2722">
        <w:rPr>
          <w:rFonts w:eastAsia="Times New Roman" w:cs="Arial"/>
          <w:color w:val="000000"/>
          <w:lang w:eastAsia="bg-BG"/>
        </w:rPr>
        <w:t>дневно) (вижте точка 4.5).</w:t>
      </w:r>
    </w:p>
    <w:p w14:paraId="0C6DD802"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Когато при пациенти, лекувани с мелоксикам се появи гастроинтестинално кървене или язва, лечението трябва да се преустанови.</w:t>
      </w:r>
    </w:p>
    <w:p w14:paraId="6D04730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НСПВС трябва да се прилагат с внимание при пациенти с анамнеза за гастроинтестинално заболяване (улцерозен колит, Болест на Крон), тъй като тези състояния могат да се обострят (вижте точка 4.8).</w:t>
      </w:r>
    </w:p>
    <w:p w14:paraId="202D9F74" w14:textId="77777777" w:rsidR="007A2722" w:rsidRPr="007A2722" w:rsidRDefault="007A2722" w:rsidP="007A2722">
      <w:pPr>
        <w:spacing w:line="240" w:lineRule="auto"/>
        <w:rPr>
          <w:rFonts w:eastAsia="Times New Roman" w:cs="Arial"/>
          <w:color w:val="000000"/>
          <w:u w:val="single"/>
          <w:lang w:eastAsia="bg-BG"/>
        </w:rPr>
      </w:pPr>
    </w:p>
    <w:p w14:paraId="5EBDDD7C" w14:textId="5A378D1E"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Кардиоваскуларни и мозъчно-съдови ефекти</w:t>
      </w:r>
    </w:p>
    <w:p w14:paraId="34E6C752"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Необходимо е да се осигурят подходящо наблюдение и съвет за пациенти с анамнеза за хипертония и/ или лека до умерена конгестивна сърдечна недостатъчност, тъй като при употребата на НСПВС са докладвани задържане на течности и отоци.</w:t>
      </w:r>
    </w:p>
    <w:p w14:paraId="14797680"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Преди и особено в началото на лечението с мелоксикам се препоръчва клинично мониториране на кръвното налягане при пациенти, изложени на риск.</w:t>
      </w:r>
    </w:p>
    <w:p w14:paraId="12C3BA96"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Клиничните проучвания и епидемиологичните данни показват, че употребата на някои НСПВС, включително и мелоксикам (особено във високи дози и при продължително приложение), може да бъде свързана с леко повишен риск от артериални тромботични събития (например, инфаркт на миокарда или инсулт). Няма достатъчно налични данни, за да се изключи такъв риск при мелоксикам.</w:t>
      </w:r>
    </w:p>
    <w:p w14:paraId="1D175765" w14:textId="114AF0AC" w:rsidR="007A2722" w:rsidRPr="007A2722" w:rsidRDefault="007A2722" w:rsidP="007A2722">
      <w:pPr>
        <w:rPr>
          <w:rFonts w:eastAsia="Times New Roman" w:cs="Arial"/>
          <w:color w:val="000000"/>
          <w:lang w:eastAsia="bg-BG"/>
        </w:rPr>
      </w:pPr>
      <w:r w:rsidRPr="007A2722">
        <w:rPr>
          <w:rFonts w:eastAsia="Times New Roman" w:cs="Arial"/>
          <w:color w:val="000000"/>
          <w:lang w:eastAsia="bg-BG"/>
        </w:rPr>
        <w:t>Пациенти с неконтролирана хипертония, конгестивна сърдечна недостатъчност, доказана исхемична болест на сърцето, периферна артериална болест и/ или мозъчно-съдово заболяване трябва да бъдат лекувани с мелоксикам само след внимателна преценка. Подобна преценка трябва да се направи и преди започване на дългосрочно лечение при пациенти с рискови</w:t>
      </w:r>
      <w:r w:rsidRPr="007A2722">
        <w:rPr>
          <w:rFonts w:eastAsia="Times New Roman" w:cs="Arial"/>
          <w:color w:val="000000"/>
          <w:vertAlign w:val="subscript"/>
          <w:lang w:eastAsia="bg-BG"/>
        </w:rPr>
        <w:t xml:space="preserve"> </w:t>
      </w:r>
      <w:r w:rsidRPr="007A2722">
        <w:rPr>
          <w:rFonts w:eastAsia="Times New Roman" w:cs="Arial"/>
          <w:color w:val="000000"/>
          <w:lang w:eastAsia="bg-BG"/>
        </w:rPr>
        <w:t>фактори за сърдечно-съдово заболяване (например хипертония, хиперлипдемия захарен диабет, тютюнопушене).</w:t>
      </w:r>
    </w:p>
    <w:p w14:paraId="02FFAD90" w14:textId="25B20DD5" w:rsidR="007A2722" w:rsidRPr="007A2722" w:rsidRDefault="007A2722" w:rsidP="007A2722">
      <w:pPr>
        <w:rPr>
          <w:rFonts w:eastAsia="Times New Roman" w:cs="Arial"/>
          <w:color w:val="000000"/>
          <w:lang w:eastAsia="bg-BG"/>
        </w:rPr>
      </w:pPr>
    </w:p>
    <w:p w14:paraId="1E7C73B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Кожни реакции</w:t>
      </w:r>
    </w:p>
    <w:p w14:paraId="27713224"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употребата на мелоксикам са докладвани животозастрашаващи кожни реакции (Синдром на Стивънс-Джонсън и токсична епидермална некролиза). Пациентите трябва да бъдат посъветвани за проявите и симптомите и да бъдат проследявани отблизо за кожни реакции. Рискът от поява на Синдром на Стивънс-Джонсън или токсична епидермална некролиза е най- висок през първите седмици от лечението.</w:t>
      </w:r>
    </w:p>
    <w:p w14:paraId="3C9D5B0E"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Ако се появят симптоми на тези заболявания (например прогресиращ кожен обрив, често с образуване на мехури или мукозни лезии) лечението с мелоксикам трябва да бъде преустановено.</w:t>
      </w:r>
    </w:p>
    <w:p w14:paraId="7BBB08F7"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Най-добри резултати при овладяването на Синдрома на Стивънс-Джонсън и токсичната епидермална некролиза се постигат с ранна диагностика и незабавно преустановяване на лечението с лекарствата, за които се подозира, че са отключили реакцията. Ранното преустановяване на лечението е свързано с по-добра прогноза.</w:t>
      </w:r>
    </w:p>
    <w:p w14:paraId="5153E69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Ако пациентът е развил някое от тези състояния по време на лечение с мелоксикам, не трябва да му се прилага мелоксикам в бъдеще.</w:t>
      </w:r>
    </w:p>
    <w:p w14:paraId="358AE693" w14:textId="77777777" w:rsidR="007A2722" w:rsidRPr="007A2722" w:rsidRDefault="007A2722" w:rsidP="007A2722">
      <w:pPr>
        <w:spacing w:line="240" w:lineRule="auto"/>
        <w:rPr>
          <w:rFonts w:eastAsia="Times New Roman" w:cs="Arial"/>
          <w:color w:val="000000"/>
          <w:u w:val="single"/>
          <w:lang w:eastAsia="bg-BG"/>
        </w:rPr>
      </w:pPr>
    </w:p>
    <w:p w14:paraId="1AC2EAAE" w14:textId="4F817C50"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Параметри на чернодробната и бъбречната функция</w:t>
      </w:r>
    </w:p>
    <w:p w14:paraId="42B1E04A"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Както и при повечето НСПВС понякога са докладвани повишени нива на серумните трансаминази, повишен серумен билирубин или други параметри на чернодробната функция, както и повишени нива на серумен креатинин и урея в кръвта и други нарушения при лабораторни изследвания. В повечето случаи това са били незначителни и преходни повишения над нормалните стойности. Ако някоя от тези аномалии е съществена или продължителна, лечението с МЕЛОКС трябва да бъде преустановено и трябва да се проведат съответните изследвания.</w:t>
      </w:r>
    </w:p>
    <w:p w14:paraId="523883E3" w14:textId="77777777" w:rsidR="007A2722" w:rsidRPr="007A2722" w:rsidRDefault="007A2722" w:rsidP="007A2722">
      <w:pPr>
        <w:spacing w:line="240" w:lineRule="auto"/>
        <w:rPr>
          <w:rFonts w:eastAsia="Times New Roman" w:cs="Arial"/>
          <w:color w:val="000000"/>
          <w:u w:val="single"/>
          <w:lang w:eastAsia="bg-BG"/>
        </w:rPr>
      </w:pPr>
    </w:p>
    <w:p w14:paraId="3CF650DF" w14:textId="2CBC6341"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Функционална бъбречна недостатъчност</w:t>
      </w:r>
    </w:p>
    <w:p w14:paraId="50895A9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НСПВС, чрез инхибиране на съдоразширяващия ефект на бъбречните простагландини, може да предизвикат функционална бъбречна недостатъчност чрез намаляване на гломерулната филтрация. Тази нежелана реакция е дозозависима. В началото на лечението и при повишаване на дозата се препоръчва внимателно проследяване на диурезата и бъбречната функция при пациенти със следните рискови фактори:</w:t>
      </w:r>
    </w:p>
    <w:p w14:paraId="21E48140"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Пациенти в старческа възраст</w:t>
      </w:r>
    </w:p>
    <w:p w14:paraId="15F3CBD4"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Пациенти, които приемат съвместно лекарства като АСЕ инхибитори, ангиотензин-</w:t>
      </w:r>
      <w:r w:rsidRPr="007A2722">
        <w:rPr>
          <w:rFonts w:eastAsia="Times New Roman" w:cs="Arial"/>
          <w:color w:val="000000"/>
          <w:lang w:val="en-US"/>
        </w:rPr>
        <w:t>II</w:t>
      </w:r>
      <w:r w:rsidRPr="007A2722">
        <w:rPr>
          <w:rFonts w:eastAsia="Times New Roman" w:cs="Arial"/>
          <w:color w:val="000000"/>
          <w:lang w:eastAsia="bg-BG"/>
        </w:rPr>
        <w:t xml:space="preserve"> антагонисти, сартани, диуретици (вижте точка 4.5 Взаимодействие с други лекарствени продукти и други форми на взаимодействие)</w:t>
      </w:r>
    </w:p>
    <w:p w14:paraId="6884BF49"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Хиповолемия (независимо от причината)</w:t>
      </w:r>
    </w:p>
    <w:p w14:paraId="5AB67E43"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Застойна сърдечна недостатъчност</w:t>
      </w:r>
    </w:p>
    <w:p w14:paraId="11A40043"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Бъбречна недостатъчност</w:t>
      </w:r>
    </w:p>
    <w:p w14:paraId="65FFDADB"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Нефротичен синдром</w:t>
      </w:r>
    </w:p>
    <w:p w14:paraId="34F51B90" w14:textId="77777777"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Лупусна нефропатия</w:t>
      </w:r>
    </w:p>
    <w:p w14:paraId="2DBC3009" w14:textId="6A400462" w:rsidR="007A2722" w:rsidRPr="007A2722" w:rsidRDefault="007A2722" w:rsidP="007A2722">
      <w:pPr>
        <w:pStyle w:val="ListParagraph"/>
        <w:numPr>
          <w:ilvl w:val="0"/>
          <w:numId w:val="40"/>
        </w:numPr>
        <w:spacing w:line="240" w:lineRule="auto"/>
        <w:rPr>
          <w:rFonts w:eastAsia="Times New Roman" w:cs="Arial"/>
          <w:color w:val="000000"/>
          <w:lang w:eastAsia="bg-BG"/>
        </w:rPr>
      </w:pPr>
      <w:r w:rsidRPr="007A2722">
        <w:rPr>
          <w:rFonts w:eastAsia="Times New Roman" w:cs="Arial"/>
          <w:color w:val="000000"/>
          <w:lang w:eastAsia="bg-BG"/>
        </w:rPr>
        <w:t xml:space="preserve">Тежка чернодробна дисфункция (серумен албумин &lt;25 </w:t>
      </w:r>
      <w:r w:rsidRPr="007A2722">
        <w:rPr>
          <w:rFonts w:eastAsia="Times New Roman" w:cs="Arial"/>
          <w:color w:val="000000"/>
          <w:lang w:val="en-US"/>
        </w:rPr>
        <w:t xml:space="preserve">g/l </w:t>
      </w:r>
      <w:r w:rsidRPr="007A2722">
        <w:rPr>
          <w:rFonts w:eastAsia="Times New Roman" w:cs="Arial"/>
          <w:color w:val="000000"/>
          <w:lang w:eastAsia="bg-BG"/>
        </w:rPr>
        <w:t xml:space="preserve">или резултат по </w:t>
      </w:r>
      <w:r w:rsidRPr="007A2722">
        <w:rPr>
          <w:rFonts w:eastAsia="Times New Roman" w:cs="Arial"/>
          <w:color w:val="000000"/>
          <w:lang w:val="en-US"/>
        </w:rPr>
        <w:t xml:space="preserve">Child-Pugh </w:t>
      </w:r>
      <w:r w:rsidRPr="007A2722">
        <w:rPr>
          <w:rFonts w:eastAsia="Times New Roman" w:cs="Arial"/>
          <w:color w:val="000000"/>
          <w:lang w:eastAsia="bg-BG"/>
        </w:rPr>
        <w:t>≥ 10)</w:t>
      </w:r>
    </w:p>
    <w:p w14:paraId="278B939A"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В редки случаи употребата на НСПВС може да причини интерстициален нефрит, гломерулонефрит, бъбречна медуларна некроза или нефротичен синдром.</w:t>
      </w:r>
    </w:p>
    <w:p w14:paraId="30AA359E"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 xml:space="preserve">Дозата мелоксикам при пациенти в краен стадий на бъбречна недостатъчност на хемодиализа не трябва да превишава 7.5 </w:t>
      </w:r>
      <w:r w:rsidRPr="007A2722">
        <w:rPr>
          <w:rFonts w:eastAsia="Times New Roman" w:cs="Arial"/>
          <w:color w:val="000000"/>
          <w:lang w:val="en-US"/>
        </w:rPr>
        <w:t xml:space="preserve">mg. </w:t>
      </w:r>
      <w:r w:rsidRPr="007A2722">
        <w:rPr>
          <w:rFonts w:eastAsia="Times New Roman" w:cs="Arial"/>
          <w:color w:val="000000"/>
          <w:lang w:eastAsia="bg-BG"/>
        </w:rPr>
        <w:t xml:space="preserve">Не се изисква намаляване на дозата при пациенти с леко до умерено бъбречно увреждане (при пациенти с креатининов клирънс над 25 </w:t>
      </w:r>
      <w:r w:rsidRPr="007A2722">
        <w:rPr>
          <w:rFonts w:eastAsia="Times New Roman" w:cs="Arial"/>
          <w:color w:val="000000"/>
          <w:lang w:val="en-US"/>
        </w:rPr>
        <w:t>ml/min).</w:t>
      </w:r>
    </w:p>
    <w:p w14:paraId="402D3FA5" w14:textId="77777777" w:rsidR="007A2722" w:rsidRPr="007A2722" w:rsidRDefault="007A2722" w:rsidP="007A2722">
      <w:pPr>
        <w:spacing w:line="240" w:lineRule="auto"/>
        <w:rPr>
          <w:rFonts w:eastAsia="Times New Roman" w:cs="Arial"/>
          <w:color w:val="000000"/>
          <w:u w:val="single"/>
          <w:lang w:eastAsia="bg-BG"/>
        </w:rPr>
      </w:pPr>
    </w:p>
    <w:p w14:paraId="0CD7AA7F" w14:textId="3A2F35BC"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Натрий, калий и задържане на вода</w:t>
      </w:r>
    </w:p>
    <w:p w14:paraId="48B4712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употреба на НСПВС е възможна индукция на натрий, калий и задържане на вода, както и интерференция с натриуритичният ефект на диуретиците. В допълнение мож</w:t>
      </w:r>
      <w:r w:rsidRPr="007A2722">
        <w:rPr>
          <w:rFonts w:eastAsia="Times New Roman" w:cs="Arial"/>
          <w:color w:val="000000"/>
          <w:lang w:val="en-US"/>
        </w:rPr>
        <w:t xml:space="preserve">e </w:t>
      </w:r>
      <w:r w:rsidRPr="007A2722">
        <w:rPr>
          <w:rFonts w:eastAsia="Times New Roman" w:cs="Arial"/>
          <w:color w:val="000000"/>
          <w:lang w:eastAsia="bg-BG"/>
        </w:rPr>
        <w:t>да се появи и понижаване на антихипергензивния ефект на антихипертензивните лекарства (вижте точка 4.5). Следователно при податливи пациенти могат да се появят едем, сърдечна недостатъчност или хипертония или тези състояния да се задълбочат. Поради тази причина е необходимо клинично</w:t>
      </w:r>
    </w:p>
    <w:p w14:paraId="3AC977C7" w14:textId="22EF6852" w:rsidR="007A2722" w:rsidRPr="007A2722" w:rsidRDefault="007A2722" w:rsidP="007A2722">
      <w:pPr>
        <w:rPr>
          <w:rFonts w:eastAsia="Times New Roman" w:cs="Arial"/>
          <w:color w:val="000000"/>
          <w:lang w:eastAsia="bg-BG"/>
        </w:rPr>
      </w:pPr>
      <w:r w:rsidRPr="007A2722">
        <w:rPr>
          <w:rFonts w:eastAsia="Times New Roman" w:cs="Arial"/>
          <w:color w:val="000000"/>
          <w:lang w:eastAsia="bg-BG"/>
        </w:rPr>
        <w:t>проследяване на пациентите в риск (вижте точка 4.2 и точка 4.3).</w:t>
      </w:r>
    </w:p>
    <w:p w14:paraId="5581E149" w14:textId="72ACA301" w:rsidR="007A2722" w:rsidRPr="007A2722" w:rsidRDefault="007A2722" w:rsidP="007A2722">
      <w:pPr>
        <w:rPr>
          <w:rFonts w:eastAsia="Times New Roman" w:cs="Arial"/>
          <w:color w:val="000000"/>
          <w:lang w:eastAsia="bg-BG"/>
        </w:rPr>
      </w:pPr>
    </w:p>
    <w:p w14:paraId="6799608C"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Хиперкалиемия</w:t>
      </w:r>
    </w:p>
    <w:p w14:paraId="0219D00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Хиперкалиемията може да бъде повлияна от диабет или съвместно лечение с лекарства, за които е известно, че повишават калиемията (вижте точка 4.5). При такива случаи трябва да се извършва редовно проследвяне на нивата на калий.</w:t>
      </w:r>
    </w:p>
    <w:p w14:paraId="7CEF7FB8" w14:textId="77777777" w:rsidR="007A2722" w:rsidRPr="007A2722" w:rsidRDefault="007A2722" w:rsidP="007A2722">
      <w:pPr>
        <w:spacing w:line="240" w:lineRule="auto"/>
        <w:rPr>
          <w:rFonts w:eastAsia="Times New Roman" w:cs="Arial"/>
          <w:color w:val="000000"/>
          <w:u w:val="single"/>
          <w:lang w:eastAsia="bg-BG"/>
        </w:rPr>
      </w:pPr>
    </w:p>
    <w:p w14:paraId="334F397F" w14:textId="5BE86174"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Други предупреждения и предпазни мерки</w:t>
      </w:r>
    </w:p>
    <w:p w14:paraId="015D8E84"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Нежеланите реакции често се понасят по-тежко от пациенти в старческа възраст, немощни или слаби пациенти, които поради тази причина трябва да бъдат внимателно проследявани. Както и при останалите НСПВС се изисква особено внимание при пациенти в старческа възраст, при които бъбречната, чернодробната и сърдечната функции често са увредени. При пациентите в старческа възраст се наблюдава по-висока честота на нежеланите реакции към НСПВС, особено гастроинтестинално кървене и перфорация, които могат да са фатални (вижте точка 4.2).</w:t>
      </w:r>
    </w:p>
    <w:p w14:paraId="7D310C1B"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Мелоксикам, както и останалите НСПВС, може да маскира симптомите на вече съществуващо инфекциозно заболяване.</w:t>
      </w:r>
    </w:p>
    <w:p w14:paraId="5DAA63D1"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lastRenderedPageBreak/>
        <w:t>Както и при останалите НСПВС, прилагани интрамускулно, на мястото на инжектиране могат да се появят абсцеси и некроза. Употребата на мелоксикам, както и на всяко друго лекарство, за което е известно, че инхибира циклооксигеназата/ простагландиновия синтез, може да наруши фертилитета и не се препоръчва при жени, които се опитват да заченат. При жените, които имат затруднения да забременеят, или които са подложени на изследвания за стерилитет, преустановяване на лечението с мелоксикам трябва да бъде обмислено.</w:t>
      </w:r>
    </w:p>
    <w:p w14:paraId="2932131C" w14:textId="77777777" w:rsidR="007A2722" w:rsidRPr="007A2722" w:rsidRDefault="007A2722" w:rsidP="007A2722">
      <w:pPr>
        <w:spacing w:line="240" w:lineRule="auto"/>
        <w:rPr>
          <w:rFonts w:eastAsia="Times New Roman" w:cs="Arial"/>
          <w:color w:val="000000"/>
          <w:u w:val="single"/>
          <w:lang w:eastAsia="bg-BG"/>
        </w:rPr>
      </w:pPr>
    </w:p>
    <w:p w14:paraId="6CC41F9E" w14:textId="0B03BB38"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МЕЛОКС съдържа натрий.</w:t>
      </w:r>
    </w:p>
    <w:p w14:paraId="3AFDD04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 xml:space="preserve">Това лекарство съдържа по-малко от 1 </w:t>
      </w:r>
      <w:r w:rsidRPr="007A2722">
        <w:rPr>
          <w:rFonts w:eastAsia="Times New Roman" w:cs="Arial"/>
          <w:color w:val="000000"/>
          <w:lang w:val="en-US"/>
        </w:rPr>
        <w:t xml:space="preserve">mmol </w:t>
      </w:r>
      <w:r w:rsidRPr="007A2722">
        <w:rPr>
          <w:rFonts w:eastAsia="Times New Roman" w:cs="Arial"/>
          <w:color w:val="000000"/>
          <w:lang w:eastAsia="bg-BG"/>
        </w:rPr>
        <w:t xml:space="preserve">натрий (23 </w:t>
      </w:r>
      <w:r w:rsidRPr="007A2722">
        <w:rPr>
          <w:rFonts w:eastAsia="Times New Roman" w:cs="Arial"/>
          <w:color w:val="000000"/>
          <w:lang w:val="en-US"/>
        </w:rPr>
        <w:t xml:space="preserve">mg) </w:t>
      </w:r>
      <w:r w:rsidRPr="007A2722">
        <w:rPr>
          <w:rFonts w:eastAsia="Times New Roman" w:cs="Arial"/>
          <w:color w:val="000000"/>
          <w:lang w:eastAsia="bg-BG"/>
        </w:rPr>
        <w:t>в една ампула, т.е, практически не съдържа натрий.</w:t>
      </w:r>
    </w:p>
    <w:p w14:paraId="63F6565F" w14:textId="77777777" w:rsidR="007A2722" w:rsidRPr="007A2722" w:rsidRDefault="007A2722" w:rsidP="007A2722"/>
    <w:p w14:paraId="1DA47448" w14:textId="0853D8D2"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3B19D79" w14:textId="1FF2F2BE" w:rsidR="007A2722" w:rsidRDefault="007A2722" w:rsidP="007A2722"/>
    <w:p w14:paraId="6652DB85"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Проучвания за взаимодействията са провеждани само при възрастни.</w:t>
      </w:r>
    </w:p>
    <w:p w14:paraId="0067C077" w14:textId="77777777" w:rsidR="007A2722" w:rsidRPr="007A2722" w:rsidRDefault="007A2722" w:rsidP="007A2722">
      <w:pPr>
        <w:spacing w:line="240" w:lineRule="auto"/>
        <w:rPr>
          <w:rFonts w:eastAsia="Times New Roman" w:cs="Arial"/>
          <w:color w:val="000000"/>
          <w:u w:val="single"/>
          <w:lang w:eastAsia="bg-BG"/>
        </w:rPr>
      </w:pPr>
    </w:p>
    <w:p w14:paraId="13BC743B" w14:textId="051E8F2F"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u w:val="single"/>
          <w:lang w:eastAsia="bg-BG"/>
        </w:rPr>
        <w:t>Фармакодинамични взаимодействия:</w:t>
      </w:r>
    </w:p>
    <w:p w14:paraId="3FC3B906" w14:textId="274F4629"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 xml:space="preserve">Други нестероидни противовъзпалителни средства (НСПВС) и ацетилсалицилова киселина </w:t>
      </w:r>
      <w:r w:rsidRPr="007A2722">
        <w:rPr>
          <w:rFonts w:eastAsia="Times New Roman" w:cs="Arial"/>
          <w:color w:val="000000"/>
          <w:lang w:eastAsia="bg-BG"/>
        </w:rPr>
        <w:t>≥ 3</w:t>
      </w:r>
      <w:r w:rsidRPr="007A2722">
        <w:rPr>
          <w:rFonts w:eastAsia="Times New Roman" w:cs="Arial"/>
          <w:color w:val="000000"/>
          <w:lang w:val="en-US"/>
        </w:rPr>
        <w:t>g</w:t>
      </w:r>
      <w:r w:rsidRPr="007A2722">
        <w:rPr>
          <w:rFonts w:eastAsia="Times New Roman" w:cs="Arial"/>
          <w:i/>
          <w:iCs/>
          <w:color w:val="000000"/>
          <w:lang w:eastAsia="bg-BG"/>
        </w:rPr>
        <w:t xml:space="preserve"> дневно:</w:t>
      </w:r>
    </w:p>
    <w:p w14:paraId="529E00DB"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Съвместното приложение (вижте точка 4.4) с други нестероидни противовъзпалителни средства, включително ацетилсалицилова киселина, приемана в противовъзпалителни дози (≥ 1 </w:t>
      </w:r>
      <w:r w:rsidRPr="007A2722">
        <w:rPr>
          <w:rFonts w:eastAsia="Times New Roman" w:cs="Arial"/>
          <w:color w:val="000000"/>
          <w:lang w:val="en-US"/>
        </w:rPr>
        <w:t xml:space="preserve">g </w:t>
      </w:r>
      <w:r w:rsidRPr="007A2722">
        <w:rPr>
          <w:rFonts w:eastAsia="Times New Roman" w:cs="Arial"/>
          <w:color w:val="000000"/>
          <w:lang w:eastAsia="bg-BG"/>
        </w:rPr>
        <w:t xml:space="preserve">на доза или ≥ 3 </w:t>
      </w:r>
      <w:r w:rsidRPr="007A2722">
        <w:rPr>
          <w:rFonts w:eastAsia="Times New Roman" w:cs="Arial"/>
          <w:color w:val="000000"/>
          <w:lang w:val="en-US"/>
        </w:rPr>
        <w:t xml:space="preserve">g </w:t>
      </w:r>
      <w:r w:rsidRPr="007A2722">
        <w:rPr>
          <w:rFonts w:eastAsia="Times New Roman" w:cs="Arial"/>
          <w:color w:val="000000"/>
          <w:lang w:eastAsia="bg-BG"/>
        </w:rPr>
        <w:t>дневно) не се препоръчва (вижте точка 4.4).</w:t>
      </w:r>
    </w:p>
    <w:p w14:paraId="06BB4F6A" w14:textId="77777777" w:rsidR="007A2722" w:rsidRPr="007A2722" w:rsidRDefault="007A2722" w:rsidP="007A2722">
      <w:pPr>
        <w:spacing w:line="240" w:lineRule="auto"/>
        <w:rPr>
          <w:rFonts w:eastAsia="Times New Roman" w:cs="Arial"/>
          <w:i/>
          <w:iCs/>
          <w:color w:val="000000"/>
          <w:lang w:eastAsia="bg-BG"/>
        </w:rPr>
      </w:pPr>
    </w:p>
    <w:p w14:paraId="1293BE0F" w14:textId="5E734217"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Кортикостероиди (например глюкокортикоиди):</w:t>
      </w:r>
    </w:p>
    <w:p w14:paraId="48EEF986"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Съвместната употреба с кортикостероиди изисква внимание, поради повишен риск от кървене или гастроинтестинални язви.</w:t>
      </w:r>
    </w:p>
    <w:p w14:paraId="36D474AF" w14:textId="77777777" w:rsidR="007A2722" w:rsidRPr="007A2722" w:rsidRDefault="007A2722" w:rsidP="007A2722">
      <w:pPr>
        <w:spacing w:line="240" w:lineRule="auto"/>
        <w:rPr>
          <w:rFonts w:eastAsia="Times New Roman" w:cs="Arial"/>
          <w:i/>
          <w:iCs/>
          <w:color w:val="000000"/>
          <w:lang w:eastAsia="bg-BG"/>
        </w:rPr>
      </w:pPr>
    </w:p>
    <w:p w14:paraId="12E76CBD" w14:textId="5AE24DED"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Антикоагуланти и хепарин, приемани в гериатрията или в лечебни дози:</w:t>
      </w:r>
    </w:p>
    <w:p w14:paraId="53434715"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Налице е съществено повишен риск от кървене, чрез инхибиране на тромбоцитната функция и увреждане на гастродуоденалната лигавица. НСПВС могат да засилят ефекта на антикоагулантите като варфарин (вижте. точка 4.4). Съвместното приложение на НСПВС и антикоагуланти или хепарин при пациенти в старческа възраст или в лечебна доза не се препоръчва (вижте точка 4.4).</w:t>
      </w:r>
    </w:p>
    <w:p w14:paraId="570AC1DA"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В останалите случаи на прием на хепарин се изисква внимание поради повиш</w:t>
      </w:r>
      <w:r w:rsidRPr="007A2722">
        <w:rPr>
          <w:rFonts w:eastAsia="Times New Roman" w:cs="Arial"/>
          <w:color w:val="000000"/>
          <w:u w:val="single"/>
          <w:lang w:eastAsia="bg-BG"/>
        </w:rPr>
        <w:t>ен рис</w:t>
      </w:r>
      <w:r w:rsidRPr="007A2722">
        <w:rPr>
          <w:rFonts w:eastAsia="Times New Roman" w:cs="Arial"/>
          <w:color w:val="000000"/>
          <w:lang w:eastAsia="bg-BG"/>
        </w:rPr>
        <w:t>к от кървене.</w:t>
      </w:r>
    </w:p>
    <w:p w14:paraId="52BB9E23"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Внимателно проследяване на протромбиновото време е необходимо,</w:t>
      </w:r>
      <w:r w:rsidRPr="007A2722">
        <w:rPr>
          <w:rFonts w:eastAsia="Times New Roman" w:cs="Arial"/>
          <w:color w:val="000000"/>
          <w:lang w:val="en-US"/>
        </w:rPr>
        <w:t xml:space="preserve"> </w:t>
      </w:r>
      <w:r w:rsidRPr="007A2722">
        <w:rPr>
          <w:rFonts w:eastAsia="Times New Roman" w:cs="Arial"/>
          <w:color w:val="000000"/>
          <w:lang w:eastAsia="bg-BG"/>
        </w:rPr>
        <w:t>ако съвместното приложение не може да се избегне.</w:t>
      </w:r>
    </w:p>
    <w:p w14:paraId="36FE35E8" w14:textId="77777777" w:rsidR="007A2722" w:rsidRPr="007A2722" w:rsidRDefault="007A2722" w:rsidP="007A2722">
      <w:pPr>
        <w:spacing w:line="240" w:lineRule="auto"/>
        <w:rPr>
          <w:rFonts w:eastAsia="Times New Roman" w:cs="Arial"/>
          <w:i/>
          <w:iCs/>
          <w:color w:val="000000"/>
          <w:lang w:eastAsia="bg-BG"/>
        </w:rPr>
      </w:pPr>
    </w:p>
    <w:p w14:paraId="02AE8BAC" w14:textId="0F8D3385"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Тромболитици и антитромбоцитни лекарства:</w:t>
      </w:r>
    </w:p>
    <w:p w14:paraId="530203C7"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Повишен риск от кървене, чрез инхибиране на тромбоцитната функция и увреждане на гастродуоденалната лигавица.</w:t>
      </w:r>
    </w:p>
    <w:p w14:paraId="00C1B6D6" w14:textId="77777777" w:rsidR="007A2722" w:rsidRPr="007A2722" w:rsidRDefault="007A2722" w:rsidP="007A2722">
      <w:pPr>
        <w:spacing w:line="240" w:lineRule="auto"/>
        <w:rPr>
          <w:rFonts w:eastAsia="Times New Roman" w:cs="Arial"/>
          <w:i/>
          <w:iCs/>
          <w:color w:val="000000"/>
          <w:lang w:eastAsia="bg-BG"/>
        </w:rPr>
      </w:pPr>
    </w:p>
    <w:p w14:paraId="0F57C169" w14:textId="48F52CBA"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 xml:space="preserve">Селективни инхибитори на обратното захващане на серотонина </w:t>
      </w:r>
      <w:r w:rsidRPr="007A2722">
        <w:rPr>
          <w:rFonts w:eastAsia="Times New Roman" w:cs="Arial"/>
          <w:i/>
          <w:iCs/>
          <w:color w:val="000000"/>
          <w:lang w:val="en-US"/>
        </w:rPr>
        <w:t>(C</w:t>
      </w:r>
      <w:r w:rsidRPr="007A2722">
        <w:rPr>
          <w:rFonts w:eastAsia="Times New Roman" w:cs="Arial"/>
          <w:i/>
          <w:iCs/>
          <w:color w:val="000000"/>
          <w:lang w:eastAsia="bg-BG"/>
        </w:rPr>
        <w:t>И</w:t>
      </w:r>
      <w:r w:rsidRPr="007A2722">
        <w:rPr>
          <w:rFonts w:eastAsia="Times New Roman" w:cs="Arial"/>
          <w:i/>
          <w:iCs/>
          <w:color w:val="000000"/>
          <w:lang w:val="en-US"/>
        </w:rPr>
        <w:t xml:space="preserve">O3C,SSRIs): </w:t>
      </w:r>
      <w:r w:rsidRPr="007A2722">
        <w:rPr>
          <w:rFonts w:eastAsia="Times New Roman" w:cs="Arial"/>
          <w:color w:val="000000"/>
          <w:lang w:eastAsia="bg-BG"/>
        </w:rPr>
        <w:t>Повишен риск от гастроинтестинално кървене.</w:t>
      </w:r>
    </w:p>
    <w:p w14:paraId="066B5D3E" w14:textId="77777777" w:rsidR="007A2722" w:rsidRPr="007A2722" w:rsidRDefault="007A2722" w:rsidP="007A2722">
      <w:pPr>
        <w:spacing w:line="240" w:lineRule="auto"/>
        <w:rPr>
          <w:rFonts w:eastAsia="Times New Roman" w:cs="Arial"/>
          <w:i/>
          <w:iCs/>
          <w:color w:val="000000"/>
          <w:lang w:eastAsia="bg-BG"/>
        </w:rPr>
      </w:pPr>
    </w:p>
    <w:p w14:paraId="34A3A400" w14:textId="228FEC5C"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Диуретици, АСЕ инхибитори и Ангиотензин-</w:t>
      </w:r>
      <w:r w:rsidRPr="007A2722">
        <w:rPr>
          <w:rFonts w:eastAsia="Times New Roman" w:cs="Arial"/>
          <w:i/>
          <w:iCs/>
          <w:color w:val="000000"/>
          <w:lang w:val="en-US"/>
        </w:rPr>
        <w:t>II</w:t>
      </w:r>
      <w:r w:rsidRPr="007A2722">
        <w:rPr>
          <w:rFonts w:eastAsia="Times New Roman" w:cs="Arial"/>
          <w:i/>
          <w:iCs/>
          <w:color w:val="000000"/>
          <w:lang w:eastAsia="bg-BG"/>
        </w:rPr>
        <w:t xml:space="preserve"> антагонисти:</w:t>
      </w:r>
    </w:p>
    <w:p w14:paraId="04D75916"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НСПВС могат да намалят ефекта на диуретиците и другите антихипертензивни лекарства. При някои пациенти с увредена бъбречна функция (например, дехидратирани пациенти или пациенти в старческа възраст с увредена бъбречна функция) съвместното </w:t>
      </w:r>
      <w:r w:rsidRPr="007A2722">
        <w:rPr>
          <w:rFonts w:eastAsia="Times New Roman" w:cs="Arial"/>
          <w:color w:val="000000"/>
          <w:lang w:eastAsia="bg-BG"/>
        </w:rPr>
        <w:lastRenderedPageBreak/>
        <w:t>приложение на АСЕ инхибитор или ангиотензин-</w:t>
      </w:r>
      <w:r w:rsidRPr="007A2722">
        <w:rPr>
          <w:rFonts w:eastAsia="Times New Roman" w:cs="Arial"/>
          <w:color w:val="000000"/>
          <w:lang w:val="en-US"/>
        </w:rPr>
        <w:t>II</w:t>
      </w:r>
      <w:r w:rsidRPr="007A2722">
        <w:rPr>
          <w:rFonts w:eastAsia="Times New Roman" w:cs="Arial"/>
          <w:color w:val="000000"/>
          <w:lang w:eastAsia="bg-BG"/>
        </w:rPr>
        <w:t xml:space="preserve"> рецепторни антагонисти и агенти, които инхибират циклооксигеназата може да има за резултат допълнително влошаване на бъбречната функция, включително възможна остра бъбречна недостатъчност, които обикновено са обратими. Поради тази причина комбинацията трябва да се прилага с внимание, особено при пациенти в старческа възраст. Пациентите трябва да са адекватно хидратирани и трябва да се обмисли допълнително проследяване на бъбречната функция при започване на съвместно лечение и периодично след това (вижте също точка 4.4).</w:t>
      </w:r>
    </w:p>
    <w:p w14:paraId="67BFE094" w14:textId="77777777" w:rsidR="007A2722" w:rsidRPr="007A2722" w:rsidRDefault="007A2722" w:rsidP="007A2722">
      <w:pPr>
        <w:spacing w:line="240" w:lineRule="auto"/>
        <w:rPr>
          <w:rFonts w:eastAsia="Times New Roman" w:cs="Arial"/>
          <w:i/>
          <w:iCs/>
          <w:color w:val="000000"/>
          <w:lang w:eastAsia="bg-BG"/>
        </w:rPr>
      </w:pPr>
    </w:p>
    <w:p w14:paraId="5481669A" w14:textId="5FE4CE01"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Други антихипертензивни агенти (включително бета-блокери):</w:t>
      </w:r>
    </w:p>
    <w:p w14:paraId="0349F1F9"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Както при инхибиторите на ангиотензин конвертиращия езним и ангиотензин-</w:t>
      </w:r>
      <w:r w:rsidRPr="007A2722">
        <w:rPr>
          <w:rFonts w:eastAsia="Times New Roman" w:cs="Arial"/>
          <w:color w:val="000000"/>
          <w:lang w:val="en-US"/>
        </w:rPr>
        <w:t>II</w:t>
      </w:r>
      <w:r w:rsidRPr="007A2722">
        <w:rPr>
          <w:rFonts w:eastAsia="Times New Roman" w:cs="Arial"/>
          <w:color w:val="000000"/>
          <w:lang w:eastAsia="bg-BG"/>
        </w:rPr>
        <w:t xml:space="preserve"> антагонистите, може да се появи намаляване на антихипертензивния ефект на бета-блокерите (поради инхибиране на простагландини с вазодилативен ефект).</w:t>
      </w:r>
    </w:p>
    <w:p w14:paraId="6A7AF99F" w14:textId="77777777" w:rsidR="007A2722" w:rsidRPr="007A2722" w:rsidRDefault="007A2722" w:rsidP="007A2722">
      <w:pPr>
        <w:spacing w:line="240" w:lineRule="auto"/>
        <w:rPr>
          <w:rFonts w:eastAsia="Times New Roman" w:cs="Arial"/>
          <w:i/>
          <w:iCs/>
          <w:color w:val="000000"/>
          <w:lang w:eastAsia="bg-BG"/>
        </w:rPr>
      </w:pPr>
    </w:p>
    <w:p w14:paraId="46D490A2" w14:textId="4717789D"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Калциневринови инхибитори (например циклоспорин, такролимус):</w:t>
      </w:r>
    </w:p>
    <w:p w14:paraId="63BD7304"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Нефротоксичностга на </w:t>
      </w:r>
      <w:r w:rsidRPr="007A2722">
        <w:rPr>
          <w:rFonts w:eastAsia="Times New Roman" w:cs="Arial"/>
          <w:i/>
          <w:iCs/>
          <w:color w:val="000000"/>
          <w:lang w:eastAsia="bg-BG"/>
        </w:rPr>
        <w:t>калциневриновите инхибитори</w:t>
      </w:r>
      <w:r w:rsidRPr="007A2722">
        <w:rPr>
          <w:rFonts w:eastAsia="Times New Roman" w:cs="Arial"/>
          <w:color w:val="000000"/>
          <w:lang w:eastAsia="bg-BG"/>
        </w:rPr>
        <w:t xml:space="preserve"> може да се увеличи от НСПВС чрез бъбречните простагландинови медиирани ефекти. Когато се прилагат в комбинация е необходимо проследяване на бъбречната функция, особено при пациенти в старческа възраст.</w:t>
      </w:r>
    </w:p>
    <w:p w14:paraId="17FF77A9" w14:textId="77777777" w:rsidR="007A2722" w:rsidRPr="007A2722" w:rsidRDefault="007A2722" w:rsidP="007A2722">
      <w:pPr>
        <w:spacing w:line="240" w:lineRule="auto"/>
        <w:rPr>
          <w:rFonts w:eastAsia="Times New Roman" w:cs="Arial"/>
          <w:i/>
          <w:iCs/>
          <w:color w:val="000000"/>
          <w:lang w:eastAsia="bg-BG"/>
        </w:rPr>
      </w:pPr>
    </w:p>
    <w:p w14:paraId="75F23AF7" w14:textId="0AC739C2"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Вътрематочни средства:</w:t>
      </w:r>
    </w:p>
    <w:p w14:paraId="68CCFFC0"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Докладвано е, че НСПВС намаляват ефикасността на вътрематочните средства.</w:t>
      </w:r>
    </w:p>
    <w:p w14:paraId="1B7C69DB"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Намалената ефикасност на вътрематочните средства от НСПВС е съобщавана, но има необходимост от допълнително потвърждение.</w:t>
      </w:r>
    </w:p>
    <w:p w14:paraId="57240743" w14:textId="77777777" w:rsidR="007A2722" w:rsidRPr="007A2722" w:rsidRDefault="007A2722" w:rsidP="007A2722">
      <w:pPr>
        <w:spacing w:line="240" w:lineRule="auto"/>
        <w:rPr>
          <w:rFonts w:eastAsia="Times New Roman" w:cs="Arial"/>
          <w:color w:val="000000"/>
          <w:u w:val="single"/>
          <w:lang w:eastAsia="bg-BG"/>
        </w:rPr>
      </w:pPr>
    </w:p>
    <w:p w14:paraId="0EF5A8C4" w14:textId="3E9E3A01"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u w:val="single"/>
          <w:lang w:eastAsia="bg-BG"/>
        </w:rPr>
        <w:t>Фармакокинетични взаимодействия: Ефекти на мелоксикам върху фармакокинетиката на други лекарства</w:t>
      </w:r>
    </w:p>
    <w:p w14:paraId="01580F25" w14:textId="1C377972"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Литий:</w:t>
      </w:r>
    </w:p>
    <w:p w14:paraId="2A49AACD"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Съобщавано е, че НСПВС повишават плазмените нива на литий в кръвта (поради намалената бъбречна екскреция на литий), които могат да достигнат токсични стойности. Съвместното приложение на литий и НСПВС не се препоръчва (вижте точка 4.4). Ако такова приложение е необходимо, плазмените концентрации на литий трябва да бъдат проследявани внимателно при започване на лечението, адаптиране на дозата и преустановяване на лечението с мелоксикам.</w:t>
      </w:r>
    </w:p>
    <w:p w14:paraId="40DF4347" w14:textId="77777777" w:rsidR="007A2722" w:rsidRPr="007A2722" w:rsidRDefault="007A2722" w:rsidP="007A2722">
      <w:pPr>
        <w:spacing w:line="240" w:lineRule="auto"/>
        <w:rPr>
          <w:rFonts w:eastAsia="Times New Roman" w:cs="Arial"/>
          <w:i/>
          <w:iCs/>
          <w:color w:val="000000"/>
          <w:lang w:eastAsia="bg-BG"/>
        </w:rPr>
      </w:pPr>
    </w:p>
    <w:p w14:paraId="672A4254" w14:textId="47707903"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Метотрексат:</w:t>
      </w:r>
    </w:p>
    <w:p w14:paraId="5B3F7D46"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НСПВС могат да намалят тубулната секреция на метотрексат и по този начин да повишат плазмените му концентрации. Поради тази причина, при пациенти, лекувани с високи дози метотрексат (повече от 15 </w:t>
      </w:r>
      <w:r w:rsidRPr="007A2722">
        <w:rPr>
          <w:rFonts w:eastAsia="Times New Roman" w:cs="Arial"/>
          <w:color w:val="000000"/>
          <w:lang w:val="en-US"/>
        </w:rPr>
        <w:t xml:space="preserve">mg </w:t>
      </w:r>
      <w:r w:rsidRPr="007A2722">
        <w:rPr>
          <w:rFonts w:eastAsia="Times New Roman" w:cs="Arial"/>
          <w:color w:val="000000"/>
          <w:lang w:eastAsia="bg-BG"/>
        </w:rPr>
        <w:t>седмично) съвместната употреба на НСПВС не се препоръчва (вижте точка 4.4).</w:t>
      </w:r>
    </w:p>
    <w:p w14:paraId="2DB5C60A"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Рискът от взаимодействие между НСПВС и метотрексат трябва да бъде обмислен и при пациенти, които приемат ниска доза метотрексат, особено при пациенти с увредена бъбречна функция. Когато се прилагат съвместно е необходимо проследяване на броя кръвни клетки и бъбречната функция. Специални предпазни мерки са необходими в слуай на съвместно приложение на метотрексат и НСПВС в продължение на три последователни дни, поради риск от токсичност, свързан с повишените плазмени нива на метотрексат.</w:t>
      </w:r>
    </w:p>
    <w:p w14:paraId="465716F3" w14:textId="5024D6CE" w:rsidR="007A2722" w:rsidRPr="007A2722" w:rsidRDefault="007A2722" w:rsidP="007A2722">
      <w:pPr>
        <w:rPr>
          <w:rFonts w:cs="Arial"/>
        </w:rPr>
      </w:pPr>
    </w:p>
    <w:p w14:paraId="355B3C4D"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Въпреки че фармакокинетиката на метотрексат (15 </w:t>
      </w:r>
      <w:r w:rsidRPr="007A2722">
        <w:rPr>
          <w:rFonts w:eastAsia="Times New Roman" w:cs="Arial"/>
          <w:color w:val="000000"/>
          <w:lang w:val="en-US"/>
        </w:rPr>
        <w:t xml:space="preserve">mg </w:t>
      </w:r>
      <w:r w:rsidRPr="007A2722">
        <w:rPr>
          <w:rFonts w:eastAsia="Times New Roman" w:cs="Arial"/>
          <w:color w:val="000000"/>
          <w:lang w:eastAsia="bg-BG"/>
        </w:rPr>
        <w:t xml:space="preserve">седмично) не е повлияна съществено от съвместната употреба с мелоксикам, трябва да се отчете, че </w:t>
      </w:r>
      <w:r w:rsidRPr="007A2722">
        <w:rPr>
          <w:rFonts w:eastAsia="Times New Roman" w:cs="Arial"/>
          <w:color w:val="000000"/>
          <w:lang w:eastAsia="bg-BG"/>
        </w:rPr>
        <w:lastRenderedPageBreak/>
        <w:t>хематологичната токсичност на метотрексат може да бъде повишена от лечение с НСПВС (вижте, по-горе) (вижте точка 4.8).</w:t>
      </w:r>
    </w:p>
    <w:p w14:paraId="30172723" w14:textId="77777777" w:rsidR="007A2722" w:rsidRPr="007A2722" w:rsidRDefault="007A2722" w:rsidP="007A2722">
      <w:pPr>
        <w:spacing w:line="240" w:lineRule="auto"/>
        <w:rPr>
          <w:rFonts w:eastAsia="Times New Roman" w:cs="Arial"/>
          <w:color w:val="000000"/>
          <w:u w:val="single"/>
          <w:lang w:eastAsia="bg-BG"/>
        </w:rPr>
      </w:pPr>
    </w:p>
    <w:p w14:paraId="08252D0B" w14:textId="6624E2A1"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u w:val="single"/>
          <w:lang w:eastAsia="bg-BG"/>
        </w:rPr>
        <w:t>Фармакокинетични взаимодействия: Ефекти на други лекарства върху фармакокинетиката на мелоксикам</w:t>
      </w:r>
    </w:p>
    <w:p w14:paraId="153DB506" w14:textId="2F82CDBD" w:rsidR="007A2722" w:rsidRPr="007A2722" w:rsidRDefault="007A2722" w:rsidP="007A2722">
      <w:pPr>
        <w:spacing w:line="240" w:lineRule="auto"/>
        <w:rPr>
          <w:rFonts w:eastAsia="Times New Roman" w:cs="Arial"/>
          <w:sz w:val="24"/>
          <w:szCs w:val="24"/>
          <w:lang w:eastAsia="bg-BG"/>
        </w:rPr>
      </w:pPr>
      <w:r w:rsidRPr="007A2722">
        <w:rPr>
          <w:rFonts w:eastAsia="Times New Roman" w:cs="Arial"/>
          <w:i/>
          <w:iCs/>
          <w:color w:val="000000"/>
          <w:lang w:eastAsia="bg-BG"/>
        </w:rPr>
        <w:t>Холестирамин:</w:t>
      </w:r>
    </w:p>
    <w:p w14:paraId="7B56593A"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Холестираминът ускорява елиминирането на мелоксикам чрез прекъсване на ентерохепаталната циркулация. Този ефект причинява повишаване на клирьнса на мелоксикам с 50% и понижаване на полуживота с 13 ± 3 часа.</w:t>
      </w:r>
    </w:p>
    <w:p w14:paraId="3AAA1329"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Това взаимодействие е от клинично значение.</w:t>
      </w:r>
    </w:p>
    <w:p w14:paraId="29ADE6EF"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Не са установени клинично значими фармакокинетични взаимодействия по отношение на съвместното приложение на антиациди, циметидин и дигоксин.</w:t>
      </w:r>
    </w:p>
    <w:p w14:paraId="305178C6" w14:textId="77777777" w:rsidR="007A2722" w:rsidRPr="007A2722" w:rsidRDefault="007A2722" w:rsidP="007A2722"/>
    <w:p w14:paraId="48846BBA" w14:textId="58EBF650" w:rsidR="009F77A4" w:rsidRDefault="002C50EE" w:rsidP="00387A66">
      <w:pPr>
        <w:pStyle w:val="Heading2"/>
      </w:pPr>
      <w:r>
        <w:t>4.6. Фертилитет, бременност и кърмене</w:t>
      </w:r>
    </w:p>
    <w:p w14:paraId="6F55387F" w14:textId="33654D62" w:rsidR="007A2722" w:rsidRDefault="007A2722" w:rsidP="007A2722"/>
    <w:p w14:paraId="2A82060E" w14:textId="77777777" w:rsidR="007A2722" w:rsidRPr="007A2722" w:rsidRDefault="007A2722" w:rsidP="007A2722">
      <w:pPr>
        <w:pStyle w:val="Heading3"/>
        <w:rPr>
          <w:rFonts w:eastAsia="Times New Roman"/>
          <w:u w:val="single"/>
          <w:lang w:eastAsia="bg-BG"/>
        </w:rPr>
      </w:pPr>
      <w:r w:rsidRPr="007A2722">
        <w:rPr>
          <w:rFonts w:eastAsia="Times New Roman"/>
          <w:u w:val="single"/>
          <w:lang w:eastAsia="bg-BG"/>
        </w:rPr>
        <w:t>Бременност</w:t>
      </w:r>
    </w:p>
    <w:p w14:paraId="592F0487"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Инхибирането на простагландиновия синтез може нежелано да повлияе бременността и/ или ембрио/феталното развитие. Данните от епидемиологични проучвания показват повишен риск от спонтанен аборт и сърдечни малформации и гастрохиза след употребата на инхибитори на простагландиновия синтез в ранните стадии на бременността. Абсолютният риск от сърдечно</w:t>
      </w:r>
      <w:r w:rsidRPr="007A2722">
        <w:rPr>
          <w:rFonts w:eastAsia="Times New Roman" w:cs="Arial"/>
          <w:color w:val="000000"/>
          <w:lang w:eastAsia="bg-BG"/>
        </w:rPr>
        <w:softHyphen/>
        <w:t>съдови малформации се повишава с по-малко от 1%, до около 1.5%. Предполага се, че рискът се повишава с дозата и продължителността на лечение.</w:t>
      </w:r>
    </w:p>
    <w:p w14:paraId="7BCD86C8"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Прилагането на инхибитори на простагландиновия синтез при животни показва повишение на пре- и постнидационните загуби и ембриофетална смъртност. В допълнение, при животни, лекувани с инхибитори на простагландиновия синтез по време на органогенезата е наблюдавана повишена честота на различни малформации, включително сърдечно-съдови.</w:t>
      </w:r>
    </w:p>
    <w:p w14:paraId="16B89B66"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Освен ако не е доказано необходимо, употребата на мелоксикам през първия и втория триместър на бременността трябва да се избягва. Ако мелоксикам се приема от жени, които се опитват да заченат или през първия и втория триместър от бременността, приеманата доза трябва да бъде възможно най-ниска, а продължителността на лечение възможно най-кратка.</w:t>
      </w:r>
    </w:p>
    <w:p w14:paraId="432E4B88" w14:textId="638AADD9"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През третия триместър от бременността всички инхибитори на простагландиновия синтез могат да причинят на фетуса:</w:t>
      </w:r>
    </w:p>
    <w:p w14:paraId="372AA0A0" w14:textId="77777777" w:rsidR="007A2722" w:rsidRPr="007A2722" w:rsidRDefault="007A2722" w:rsidP="007A2722">
      <w:pPr>
        <w:pStyle w:val="ListParagraph"/>
        <w:numPr>
          <w:ilvl w:val="0"/>
          <w:numId w:val="41"/>
        </w:numPr>
        <w:spacing w:line="240" w:lineRule="auto"/>
        <w:rPr>
          <w:rFonts w:eastAsia="Times New Roman" w:cs="Arial"/>
          <w:color w:val="000000"/>
          <w:lang w:eastAsia="bg-BG"/>
        </w:rPr>
      </w:pPr>
      <w:r w:rsidRPr="007A2722">
        <w:rPr>
          <w:rFonts w:eastAsia="Times New Roman" w:cs="Arial"/>
          <w:color w:val="000000"/>
          <w:lang w:eastAsia="bg-BG"/>
        </w:rPr>
        <w:t>кардио-пулмонална токсичност (с преждевременно затваряне на дуктус артериозус и пулмонална хипертония).</w:t>
      </w:r>
    </w:p>
    <w:p w14:paraId="456942A8" w14:textId="2BF6D3DD" w:rsidR="007A2722" w:rsidRPr="007A2722" w:rsidRDefault="007A2722" w:rsidP="007A2722">
      <w:pPr>
        <w:pStyle w:val="ListParagraph"/>
        <w:numPr>
          <w:ilvl w:val="0"/>
          <w:numId w:val="41"/>
        </w:numPr>
        <w:spacing w:line="240" w:lineRule="auto"/>
        <w:rPr>
          <w:rFonts w:eastAsia="Times New Roman" w:cs="Arial"/>
          <w:color w:val="000000"/>
          <w:lang w:eastAsia="bg-BG"/>
        </w:rPr>
      </w:pPr>
      <w:r w:rsidRPr="007A2722">
        <w:rPr>
          <w:rFonts w:eastAsia="Times New Roman" w:cs="Arial"/>
          <w:color w:val="000000"/>
          <w:lang w:eastAsia="bg-BG"/>
        </w:rPr>
        <w:t>нарушена бъбречна функция, която може да прогресира до бъбречна недостатъчност с олигохидроамниоза.</w:t>
      </w:r>
    </w:p>
    <w:p w14:paraId="722EF541" w14:textId="1FA99B5C" w:rsidR="007A2722" w:rsidRPr="007A2722" w:rsidRDefault="007A2722" w:rsidP="007A2722">
      <w:pPr>
        <w:pStyle w:val="ListParagraph"/>
        <w:numPr>
          <w:ilvl w:val="0"/>
          <w:numId w:val="2"/>
        </w:numPr>
        <w:spacing w:line="240" w:lineRule="auto"/>
        <w:rPr>
          <w:rFonts w:eastAsia="Times New Roman" w:cs="Arial"/>
          <w:sz w:val="24"/>
          <w:szCs w:val="24"/>
          <w:lang w:eastAsia="bg-BG"/>
        </w:rPr>
      </w:pPr>
      <w:r w:rsidRPr="007A2722">
        <w:rPr>
          <w:rFonts w:eastAsia="Times New Roman" w:cs="Arial"/>
          <w:color w:val="000000"/>
          <w:lang w:eastAsia="bg-BG"/>
        </w:rPr>
        <w:t>на майката и плода в края на бременността:</w:t>
      </w:r>
    </w:p>
    <w:p w14:paraId="6B6DE115" w14:textId="77777777" w:rsidR="007A2722" w:rsidRPr="007A2722" w:rsidRDefault="007A2722" w:rsidP="007A2722">
      <w:pPr>
        <w:pStyle w:val="ListParagraph"/>
        <w:numPr>
          <w:ilvl w:val="0"/>
          <w:numId w:val="42"/>
        </w:numPr>
        <w:spacing w:line="240" w:lineRule="auto"/>
        <w:rPr>
          <w:rFonts w:eastAsia="Times New Roman" w:cs="Arial"/>
          <w:color w:val="000000"/>
          <w:lang w:eastAsia="bg-BG"/>
        </w:rPr>
      </w:pPr>
      <w:r w:rsidRPr="007A2722">
        <w:rPr>
          <w:rFonts w:eastAsia="Times New Roman" w:cs="Arial"/>
          <w:color w:val="000000"/>
          <w:lang w:eastAsia="bg-BG"/>
        </w:rPr>
        <w:t>възможно удължаване на времето на кървене, ангиагрегационен ефект, който може да се прояви дори при много ниски дози.</w:t>
      </w:r>
    </w:p>
    <w:p w14:paraId="6D1FC1FC" w14:textId="059CCCEA" w:rsidR="007A2722" w:rsidRPr="007A2722" w:rsidRDefault="007A2722" w:rsidP="007A2722">
      <w:pPr>
        <w:pStyle w:val="ListParagraph"/>
        <w:numPr>
          <w:ilvl w:val="0"/>
          <w:numId w:val="42"/>
        </w:numPr>
        <w:spacing w:line="240" w:lineRule="auto"/>
        <w:rPr>
          <w:rFonts w:eastAsia="Times New Roman" w:cs="Arial"/>
          <w:color w:val="000000"/>
          <w:lang w:eastAsia="bg-BG"/>
        </w:rPr>
      </w:pPr>
      <w:r w:rsidRPr="007A2722">
        <w:rPr>
          <w:rFonts w:eastAsia="Times New Roman" w:cs="Arial"/>
          <w:color w:val="000000"/>
          <w:lang w:eastAsia="bg-BG"/>
        </w:rPr>
        <w:t>инхибиране на маточните контракции, което да доведе до забавяне или удължаване на раждането.</w:t>
      </w:r>
    </w:p>
    <w:p w14:paraId="7661C865"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Следователно мелоксикам е противопоказан през третия триместър от бременността (вижте точка 4.3).</w:t>
      </w:r>
    </w:p>
    <w:p w14:paraId="0DA0EC9D" w14:textId="77777777" w:rsidR="007A2722" w:rsidRPr="007A2722" w:rsidRDefault="007A2722" w:rsidP="007A2722">
      <w:pPr>
        <w:spacing w:line="240" w:lineRule="auto"/>
        <w:rPr>
          <w:rFonts w:eastAsia="Times New Roman" w:cs="Arial"/>
          <w:color w:val="000000"/>
          <w:u w:val="single"/>
          <w:lang w:eastAsia="bg-BG"/>
        </w:rPr>
      </w:pPr>
    </w:p>
    <w:p w14:paraId="2051C19B" w14:textId="15162548" w:rsidR="007A2722" w:rsidRPr="007A2722" w:rsidRDefault="007A2722" w:rsidP="007A2722">
      <w:pPr>
        <w:pStyle w:val="Heading3"/>
        <w:rPr>
          <w:rFonts w:eastAsia="Times New Roman"/>
          <w:u w:val="single"/>
          <w:lang w:eastAsia="bg-BG"/>
        </w:rPr>
      </w:pPr>
      <w:r w:rsidRPr="007A2722">
        <w:rPr>
          <w:rFonts w:eastAsia="Times New Roman"/>
          <w:u w:val="single"/>
          <w:lang w:eastAsia="bg-BG"/>
        </w:rPr>
        <w:lastRenderedPageBreak/>
        <w:t>Кърмене</w:t>
      </w:r>
    </w:p>
    <w:p w14:paraId="7B7D14F9"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Мелоксикам се екскретира в кърмата. Ползата от лечението за майката и ползата на детето от кърменето трябва да се оценят спрямо възможните нежелани реакции при детето.</w:t>
      </w:r>
    </w:p>
    <w:p w14:paraId="6CCE5905" w14:textId="77777777" w:rsidR="007A2722" w:rsidRPr="007A2722" w:rsidRDefault="007A2722" w:rsidP="007A2722">
      <w:pPr>
        <w:spacing w:line="240" w:lineRule="auto"/>
        <w:rPr>
          <w:rFonts w:eastAsia="Times New Roman" w:cs="Arial"/>
          <w:color w:val="000000"/>
          <w:u w:val="single"/>
          <w:lang w:eastAsia="bg-BG"/>
        </w:rPr>
      </w:pPr>
    </w:p>
    <w:p w14:paraId="089A811B" w14:textId="71A1F203" w:rsidR="007A2722" w:rsidRPr="007A2722" w:rsidRDefault="007A2722" w:rsidP="007A2722">
      <w:pPr>
        <w:pStyle w:val="Heading3"/>
        <w:rPr>
          <w:rFonts w:eastAsia="Times New Roman"/>
          <w:u w:val="single"/>
          <w:lang w:eastAsia="bg-BG"/>
        </w:rPr>
      </w:pPr>
      <w:r w:rsidRPr="007A2722">
        <w:rPr>
          <w:rFonts w:eastAsia="Times New Roman"/>
          <w:u w:val="single"/>
          <w:lang w:eastAsia="bg-BG"/>
        </w:rPr>
        <w:t>Фертилитет</w:t>
      </w:r>
    </w:p>
    <w:p w14:paraId="2A57AAF9"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Ако мелоксикам се прилага при жени, които се опитват да заченат, дозата трябва да бъде възможно най-ниска, а продължителността на лечение възможно най-кратка.</w:t>
      </w:r>
    </w:p>
    <w:p w14:paraId="50567C25" w14:textId="77777777" w:rsidR="007A2722" w:rsidRPr="007A2722" w:rsidRDefault="007A2722" w:rsidP="007A2722"/>
    <w:p w14:paraId="321AAB00" w14:textId="2DC4577F" w:rsidR="009F77A4" w:rsidRDefault="002C50EE" w:rsidP="00387A66">
      <w:pPr>
        <w:pStyle w:val="Heading2"/>
      </w:pPr>
      <w:r>
        <w:t>4.7. Ефекти върху способността за шофиране и работа с машини</w:t>
      </w:r>
    </w:p>
    <w:p w14:paraId="605D79FA" w14:textId="7D1D59A9" w:rsidR="007A2722" w:rsidRDefault="007A2722" w:rsidP="007A2722"/>
    <w:p w14:paraId="142E606A" w14:textId="77777777" w:rsidR="007A2722" w:rsidRPr="007A2722" w:rsidRDefault="007A2722" w:rsidP="007A2722">
      <w:pPr>
        <w:rPr>
          <w:sz w:val="24"/>
          <w:szCs w:val="24"/>
          <w:lang w:eastAsia="bg-BG"/>
        </w:rPr>
      </w:pPr>
      <w:r w:rsidRPr="007A2722">
        <w:rPr>
          <w:lang w:eastAsia="bg-BG"/>
        </w:rPr>
        <w:t>Не са провеждани проучвания върху способността за шофиране и работа с машини. Въпреки това, въз основа на фармакодинамичния профил и докладваните нежелани лекарствени реакции е малко вероятно мелоксикам да повлияе способността за шофиране и работа с машини. Независимо от това, ако се появят зрителни нарушени или замаяност, вертиго или други нарушения на централната нервна система се препоръчва шофирането и работата с машини да се избягва.</w:t>
      </w:r>
    </w:p>
    <w:p w14:paraId="6A05B389" w14:textId="77777777" w:rsidR="007A2722" w:rsidRPr="007A2722" w:rsidRDefault="007A2722" w:rsidP="007A2722"/>
    <w:p w14:paraId="136C86B8" w14:textId="76E66F2C" w:rsidR="009F77A4" w:rsidRDefault="002C50EE" w:rsidP="00387A66">
      <w:pPr>
        <w:pStyle w:val="Heading2"/>
      </w:pPr>
      <w:r>
        <w:t>4.8. Нежелани лекарствени реакции</w:t>
      </w:r>
    </w:p>
    <w:p w14:paraId="0143D7EF" w14:textId="22BFA380" w:rsidR="007A2722" w:rsidRDefault="007A2722" w:rsidP="007A2722"/>
    <w:p w14:paraId="33834AB2" w14:textId="77777777" w:rsidR="007A2722" w:rsidRPr="007A2722" w:rsidRDefault="007A2722" w:rsidP="007A2722">
      <w:pPr>
        <w:spacing w:line="240" w:lineRule="auto"/>
        <w:rPr>
          <w:rFonts w:eastAsia="Times New Roman" w:cs="Arial"/>
          <w:lang w:eastAsia="bg-BG"/>
        </w:rPr>
      </w:pPr>
      <w:bookmarkStart w:id="1" w:name="bookmark0"/>
      <w:r w:rsidRPr="007A2722">
        <w:rPr>
          <w:rFonts w:eastAsia="Times New Roman" w:cs="Arial"/>
          <w:b/>
          <w:bCs/>
          <w:color w:val="000000"/>
          <w:lang w:eastAsia="bg-BG"/>
        </w:rPr>
        <w:t>Общо описание</w:t>
      </w:r>
      <w:bookmarkEnd w:id="1"/>
    </w:p>
    <w:p w14:paraId="4ED565CE"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Клиничните проучвания и епидемиологичните данни показват, че употребата на някои НСПВС (особено във високи дози и за продължителен период от време) може да се асоциира с леко повишен риск от артериални тромботични събития (например инфаркт на миокарда или инсулт) (вижте точка 4.4).</w:t>
      </w:r>
    </w:p>
    <w:p w14:paraId="6BAF7330"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Във връзка с лечение с НСПВС са докладвани оток, хипертония и сърдечна недостатъчност.</w:t>
      </w:r>
    </w:p>
    <w:p w14:paraId="44E2F31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Най-често наблюдаваните нежелани реакции по природа са гастроинтестинални. Могат да се появят пептични язви, перфорация или гастроинтестинално кървене, понякога фатални, особено при пациенти в старческа възраст (вижте точка 4.4). След употреба на НСПВС са докладвани гадене, повръщане, диария, метеоризъм, запек, диспепсия, болки в корема, мелена, хематемеза, улцерозен стоматит, обострен колит и болест на Крон (вижте точка 4.4). По-рядко е наблюдаван гастрит.</w:t>
      </w:r>
    </w:p>
    <w:p w14:paraId="5194C6E5"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 xml:space="preserve">Честотата на нежеланите лекарствени реакции, посочени по-долу се основава на съответните появи на докладвани нежелани реакции в рамките на 27 клинични проучвания е продължителност на лечението поне 14 дни. Информацията се основава на клинични проучвания, включващи 15 197 пациента, лекувани с перорални дневни дози от 7.5 </w:t>
      </w:r>
      <w:r w:rsidRPr="007A2722">
        <w:rPr>
          <w:rFonts w:eastAsia="Times New Roman" w:cs="Arial"/>
          <w:color w:val="000000"/>
          <w:lang w:val="en-US"/>
        </w:rPr>
        <w:t xml:space="preserve">mg </w:t>
      </w:r>
      <w:r w:rsidRPr="007A2722">
        <w:rPr>
          <w:rFonts w:eastAsia="Times New Roman" w:cs="Arial"/>
          <w:color w:val="000000"/>
          <w:lang w:eastAsia="bg-BG"/>
        </w:rPr>
        <w:t xml:space="preserve">или 15 </w:t>
      </w:r>
      <w:r w:rsidRPr="007A2722">
        <w:rPr>
          <w:rFonts w:eastAsia="Times New Roman" w:cs="Arial"/>
          <w:color w:val="000000"/>
          <w:lang w:val="en-US"/>
        </w:rPr>
        <w:t xml:space="preserve">mg </w:t>
      </w:r>
      <w:r w:rsidRPr="007A2722">
        <w:rPr>
          <w:rFonts w:eastAsia="Times New Roman" w:cs="Arial"/>
          <w:color w:val="000000"/>
          <w:lang w:eastAsia="bg-BG"/>
        </w:rPr>
        <w:t>мелоксикам таблетки или капсули за период до една година.</w:t>
      </w:r>
    </w:p>
    <w:p w14:paraId="539F1D9A"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Нежеланите лекарствени реакции, които са станали известни в резултат на съобщения в постмаркетинговия период са включени.</w:t>
      </w:r>
    </w:p>
    <w:p w14:paraId="1A3F71B1"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Нежеланите лекарствени реакции са подредени по честота съобразно следната класификация:</w:t>
      </w:r>
    </w:p>
    <w:p w14:paraId="29E10639"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много чести (≥1/10);</w:t>
      </w:r>
    </w:p>
    <w:p w14:paraId="2C45CB12"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чести (≥1/100 до &lt;1/10);</w:t>
      </w:r>
    </w:p>
    <w:p w14:paraId="7B3398E0"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нечести (≥1/1 000 до &lt;1/100);</w:t>
      </w:r>
    </w:p>
    <w:p w14:paraId="71206BF9"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редки (≥1/10 000 до &lt;1/1 000);</w:t>
      </w:r>
    </w:p>
    <w:p w14:paraId="0DFBAD6E" w14:textId="77777777"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t>много редки (&lt;1/10 000),</w:t>
      </w:r>
    </w:p>
    <w:p w14:paraId="7D72E75E" w14:textId="5A79CEB4" w:rsidR="007A2722" w:rsidRPr="007A2722" w:rsidRDefault="007A2722" w:rsidP="007A2722">
      <w:pPr>
        <w:pStyle w:val="ListParagraph"/>
        <w:numPr>
          <w:ilvl w:val="0"/>
          <w:numId w:val="2"/>
        </w:numPr>
        <w:spacing w:line="240" w:lineRule="auto"/>
        <w:rPr>
          <w:rFonts w:eastAsia="Times New Roman" w:cs="Arial"/>
          <w:color w:val="000000"/>
          <w:lang w:eastAsia="bg-BG"/>
        </w:rPr>
      </w:pPr>
      <w:r w:rsidRPr="007A2722">
        <w:rPr>
          <w:rFonts w:eastAsia="Times New Roman" w:cs="Arial"/>
          <w:color w:val="000000"/>
          <w:lang w:eastAsia="bg-BG"/>
        </w:rPr>
        <w:lastRenderedPageBreak/>
        <w:t>с неизвестна честота (честотата не може да бъде установена от наличните данни)</w:t>
      </w:r>
    </w:p>
    <w:p w14:paraId="20301295" w14:textId="77777777" w:rsidR="007A2722" w:rsidRPr="007A2722" w:rsidRDefault="007A2722" w:rsidP="007A2722">
      <w:pPr>
        <w:spacing w:line="240" w:lineRule="auto"/>
        <w:rPr>
          <w:rFonts w:eastAsia="Times New Roman" w:cs="Arial"/>
          <w:b/>
          <w:bCs/>
          <w:color w:val="000000"/>
          <w:lang w:eastAsia="bg-BG"/>
        </w:rPr>
      </w:pPr>
      <w:bookmarkStart w:id="2" w:name="bookmark2"/>
    </w:p>
    <w:p w14:paraId="3C230420" w14:textId="7BAFBE9A" w:rsidR="007A2722" w:rsidRPr="007A2722" w:rsidRDefault="007A2722" w:rsidP="007A2722">
      <w:pPr>
        <w:spacing w:line="240" w:lineRule="auto"/>
        <w:rPr>
          <w:rFonts w:eastAsia="Times New Roman" w:cs="Arial"/>
          <w:lang w:eastAsia="bg-BG"/>
        </w:rPr>
      </w:pPr>
      <w:r w:rsidRPr="007A2722">
        <w:rPr>
          <w:rFonts w:eastAsia="Times New Roman" w:cs="Arial"/>
          <w:b/>
          <w:bCs/>
          <w:color w:val="000000"/>
          <w:lang w:eastAsia="bg-BG"/>
        </w:rPr>
        <w:t>Таблица на нежеланите лекарствени реакции</w:t>
      </w:r>
      <w:bookmarkEnd w:id="2"/>
    </w:p>
    <w:p w14:paraId="26620695" w14:textId="71F71ACA"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кръвта и лимфната система</w:t>
      </w:r>
    </w:p>
    <w:p w14:paraId="19A35C7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Анемия</w:t>
      </w:r>
    </w:p>
    <w:p w14:paraId="2B2029D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Нарушения в кръвната картина (включително в диференциалното броене на белите кръвни клетки), левкопения, тромбоцитопения</w:t>
      </w:r>
    </w:p>
    <w:p w14:paraId="0BF2BFD5"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рядко са докладвани случаи на агранулоцитоза.</w:t>
      </w:r>
    </w:p>
    <w:p w14:paraId="779402C9" w14:textId="77777777" w:rsidR="007A2722" w:rsidRPr="007A2722" w:rsidRDefault="007A2722" w:rsidP="007A2722">
      <w:pPr>
        <w:spacing w:line="240" w:lineRule="auto"/>
        <w:rPr>
          <w:rFonts w:eastAsia="Times New Roman" w:cs="Arial"/>
          <w:color w:val="000000"/>
          <w:u w:val="single"/>
          <w:lang w:eastAsia="bg-BG"/>
        </w:rPr>
      </w:pPr>
    </w:p>
    <w:p w14:paraId="7AB5F8DC" w14:textId="3218AC3A"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имунната система</w:t>
      </w:r>
    </w:p>
    <w:p w14:paraId="32190FC0"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Алергични реакции, различни от анафилактични и анафилактоидни реакции С неизвестна честота: Анафилактичен шок, анафилактични/ анафилактоидни реакции</w:t>
      </w:r>
    </w:p>
    <w:p w14:paraId="05DE3EE8" w14:textId="77777777" w:rsidR="007A2722" w:rsidRPr="007A2722" w:rsidRDefault="007A2722" w:rsidP="007A2722">
      <w:pPr>
        <w:spacing w:line="240" w:lineRule="auto"/>
        <w:rPr>
          <w:rFonts w:eastAsia="Times New Roman" w:cs="Arial"/>
          <w:color w:val="000000"/>
          <w:u w:val="single"/>
          <w:lang w:eastAsia="bg-BG"/>
        </w:rPr>
      </w:pPr>
    </w:p>
    <w:p w14:paraId="067E0E19" w14:textId="043BD16F"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Психични нарушения</w:t>
      </w:r>
    </w:p>
    <w:p w14:paraId="2CEF844A"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Промяна в настроението, кошмари</w:t>
      </w:r>
    </w:p>
    <w:p w14:paraId="7BB2CEF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С неизвестна честота: Обърканост, дезориентация</w:t>
      </w:r>
    </w:p>
    <w:p w14:paraId="7A4DD683" w14:textId="77777777" w:rsidR="007A2722" w:rsidRPr="007A2722" w:rsidRDefault="007A2722" w:rsidP="007A2722">
      <w:pPr>
        <w:spacing w:line="240" w:lineRule="auto"/>
        <w:rPr>
          <w:rFonts w:eastAsia="Times New Roman" w:cs="Arial"/>
          <w:color w:val="000000"/>
          <w:u w:val="single"/>
          <w:lang w:eastAsia="bg-BG"/>
        </w:rPr>
      </w:pPr>
    </w:p>
    <w:p w14:paraId="15BBC463" w14:textId="3A200ADF"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нервната система</w:t>
      </w:r>
    </w:p>
    <w:p w14:paraId="48CA719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Чести: Главоболие</w:t>
      </w:r>
    </w:p>
    <w:p w14:paraId="1975BE33"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Замаяност, сънливост</w:t>
      </w:r>
    </w:p>
    <w:p w14:paraId="02EE0843" w14:textId="77777777" w:rsidR="007A2722" w:rsidRPr="007A2722" w:rsidRDefault="007A2722" w:rsidP="007A2722">
      <w:pPr>
        <w:spacing w:line="240" w:lineRule="auto"/>
        <w:rPr>
          <w:rFonts w:eastAsia="Times New Roman" w:cs="Arial"/>
          <w:color w:val="000000"/>
          <w:u w:val="single"/>
          <w:lang w:eastAsia="bg-BG"/>
        </w:rPr>
      </w:pPr>
    </w:p>
    <w:p w14:paraId="550E7169" w14:textId="50F5DB61"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Очни нарушения</w:t>
      </w:r>
    </w:p>
    <w:p w14:paraId="26219C8B"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Зрителни нарушения, включително замъглено зрение; конюнктивит</w:t>
      </w:r>
    </w:p>
    <w:p w14:paraId="50B6D237" w14:textId="77777777" w:rsidR="007A2722" w:rsidRPr="007A2722" w:rsidRDefault="007A2722" w:rsidP="007A2722">
      <w:pPr>
        <w:spacing w:line="240" w:lineRule="auto"/>
        <w:rPr>
          <w:rFonts w:eastAsia="Times New Roman" w:cs="Arial"/>
          <w:color w:val="000000"/>
          <w:u w:val="single"/>
          <w:lang w:eastAsia="bg-BG"/>
        </w:rPr>
      </w:pPr>
    </w:p>
    <w:p w14:paraId="727F3A57" w14:textId="00BF94A9"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ухото и лабиринта</w:t>
      </w:r>
    </w:p>
    <w:p w14:paraId="15EDFE24"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Вертиго</w:t>
      </w:r>
    </w:p>
    <w:p w14:paraId="663B592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Тинитус</w:t>
      </w:r>
    </w:p>
    <w:p w14:paraId="1AE84114" w14:textId="77777777" w:rsidR="007A2722" w:rsidRPr="007A2722" w:rsidRDefault="007A2722" w:rsidP="007A2722">
      <w:pPr>
        <w:spacing w:line="240" w:lineRule="auto"/>
        <w:rPr>
          <w:rFonts w:eastAsia="Times New Roman" w:cs="Arial"/>
          <w:color w:val="000000"/>
          <w:u w:val="single"/>
          <w:lang w:eastAsia="bg-BG"/>
        </w:rPr>
      </w:pPr>
    </w:p>
    <w:p w14:paraId="0DD84893" w14:textId="10AB6903"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Сърдечни нарушения</w:t>
      </w:r>
    </w:p>
    <w:p w14:paraId="3D64D83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Палпитации</w:t>
      </w:r>
    </w:p>
    <w:p w14:paraId="60C875C6"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Във връзка с лечение с НСПВС е съобщавана сърдечна недостатъчност.</w:t>
      </w:r>
    </w:p>
    <w:p w14:paraId="5DAF0607" w14:textId="77777777" w:rsidR="007A2722" w:rsidRPr="007A2722" w:rsidRDefault="007A2722" w:rsidP="007A2722">
      <w:pPr>
        <w:spacing w:line="240" w:lineRule="auto"/>
        <w:rPr>
          <w:rFonts w:eastAsia="Times New Roman" w:cs="Arial"/>
          <w:color w:val="000000"/>
          <w:u w:val="single"/>
          <w:lang w:eastAsia="bg-BG"/>
        </w:rPr>
      </w:pPr>
    </w:p>
    <w:p w14:paraId="055B1010" w14:textId="5B155D74"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Съдови нарушения</w:t>
      </w:r>
    </w:p>
    <w:p w14:paraId="1183F534"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Повишено кръвно налягане (вижте точка 4.4), зачервяване</w:t>
      </w:r>
    </w:p>
    <w:p w14:paraId="410B8F6B" w14:textId="77777777" w:rsidR="007A2722" w:rsidRPr="007A2722" w:rsidRDefault="007A2722" w:rsidP="007A2722">
      <w:pPr>
        <w:spacing w:line="240" w:lineRule="auto"/>
        <w:rPr>
          <w:rFonts w:eastAsia="Times New Roman" w:cs="Arial"/>
          <w:color w:val="000000"/>
          <w:u w:val="single"/>
          <w:lang w:eastAsia="bg-BG"/>
        </w:rPr>
      </w:pPr>
    </w:p>
    <w:p w14:paraId="0E6298FF" w14:textId="1E87210C"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Респираторни, гръдни и медиастинални нарушения</w:t>
      </w:r>
    </w:p>
    <w:p w14:paraId="77941E96"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Астма при пациенти с алергия към аспирин или други НСПВС</w:t>
      </w:r>
    </w:p>
    <w:p w14:paraId="08E423C9" w14:textId="77777777" w:rsidR="007A2722" w:rsidRPr="007A2722" w:rsidRDefault="007A2722" w:rsidP="007A2722">
      <w:pPr>
        <w:spacing w:line="240" w:lineRule="auto"/>
        <w:rPr>
          <w:rFonts w:eastAsia="Times New Roman" w:cs="Arial"/>
          <w:color w:val="000000"/>
          <w:u w:val="single"/>
          <w:lang w:eastAsia="bg-BG"/>
        </w:rPr>
      </w:pPr>
    </w:p>
    <w:p w14:paraId="08666A4A" w14:textId="7389CF57"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Гастроинтестинални нарушения</w:t>
      </w:r>
    </w:p>
    <w:p w14:paraId="5C084DDB"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чести: Диспепсия, гадене, повръщане, болки в корема, запек, метеоризъм, диария</w:t>
      </w:r>
    </w:p>
    <w:p w14:paraId="459FB482"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Окултен или микроскопичен гастроинтестинален кръвоизлив, стоматит, гастрит, оригване</w:t>
      </w:r>
    </w:p>
    <w:p w14:paraId="1ADCB2E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Колит, гастродуоденална язва, езофагит</w:t>
      </w:r>
    </w:p>
    <w:p w14:paraId="1FC8DD74"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редки: Гастроинтестинална перфорация</w:t>
      </w:r>
    </w:p>
    <w:p w14:paraId="77E47D2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Гастроинтестиналният кръвоизлив, язви или перфорация понякога могат да бъдат тежки и потенциално фатални, особено при пациенти в старческа възраст (вижте точка 4.4).</w:t>
      </w:r>
    </w:p>
    <w:p w14:paraId="13A3704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С неизвестна честота: Панкреатит</w:t>
      </w:r>
    </w:p>
    <w:p w14:paraId="5B82D6CA" w14:textId="77777777" w:rsidR="007A2722" w:rsidRPr="007A2722" w:rsidRDefault="007A2722" w:rsidP="007A2722">
      <w:pPr>
        <w:spacing w:line="240" w:lineRule="auto"/>
        <w:rPr>
          <w:rFonts w:eastAsia="Times New Roman" w:cs="Arial"/>
          <w:color w:val="000000"/>
          <w:u w:val="single"/>
          <w:lang w:eastAsia="bg-BG"/>
        </w:rPr>
      </w:pPr>
    </w:p>
    <w:p w14:paraId="00184079" w14:textId="333D8E24"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Хепатобилиарни нарушения</w:t>
      </w:r>
    </w:p>
    <w:p w14:paraId="3D6E172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lastRenderedPageBreak/>
        <w:t>Нечести: Увредена чернодробна функция (например повишени трансаминази или билирубин)</w:t>
      </w:r>
    </w:p>
    <w:p w14:paraId="437B3206"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редки: Хепатит</w:t>
      </w:r>
    </w:p>
    <w:p w14:paraId="7DF48FA6" w14:textId="77777777" w:rsidR="007A2722" w:rsidRPr="007A2722" w:rsidRDefault="007A2722" w:rsidP="007A2722">
      <w:pPr>
        <w:spacing w:line="240" w:lineRule="auto"/>
        <w:rPr>
          <w:rFonts w:eastAsia="Times New Roman" w:cs="Arial"/>
          <w:color w:val="000000"/>
          <w:u w:val="single"/>
          <w:lang w:eastAsia="bg-BG"/>
        </w:rPr>
      </w:pPr>
    </w:p>
    <w:p w14:paraId="683AE525" w14:textId="4576E9CF"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кожата и подкожната тъкан</w:t>
      </w:r>
    </w:p>
    <w:p w14:paraId="3675BBE5"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Ангиоедем, пруритус, обрив</w:t>
      </w:r>
    </w:p>
    <w:p w14:paraId="5DB618E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Редки: Уртикария</w:t>
      </w:r>
    </w:p>
    <w:p w14:paraId="2DE65885"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редки: Булозен дерматит, еритема мултиформе; Тежки кожни нежелани реакции: докладвани са Синдром на Стивънс-Джонсън и токсична епидермална некролиза (вижте, точка 4.)-</w:t>
      </w:r>
    </w:p>
    <w:p w14:paraId="78DEB0CB"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С неизвестна честота: Реакции на фото чувствителност</w:t>
      </w:r>
    </w:p>
    <w:p w14:paraId="3A63B7DB" w14:textId="77777777" w:rsidR="007A2722" w:rsidRPr="007A2722" w:rsidRDefault="007A2722" w:rsidP="007A2722">
      <w:pPr>
        <w:spacing w:line="240" w:lineRule="auto"/>
        <w:rPr>
          <w:rFonts w:eastAsia="Times New Roman" w:cs="Arial"/>
          <w:color w:val="000000"/>
          <w:u w:val="single"/>
          <w:lang w:eastAsia="bg-BG"/>
        </w:rPr>
      </w:pPr>
    </w:p>
    <w:p w14:paraId="12314AB8" w14:textId="2A37D143"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Нарушения на бъбреците и уринарния тракт</w:t>
      </w:r>
    </w:p>
    <w:p w14:paraId="080C28C6"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Задържане на натрий и вода, хиперкалиемия (вижте точка 4.4 и точка 4.5), аномалии в изследванията на бъбречната функция (повишен серумен креатинин и/ или урея)</w:t>
      </w:r>
    </w:p>
    <w:p w14:paraId="5584E2AF"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Много редки: Остра бъбречна недостатъчност, в частност при пациенти с рискови фактори (вижте точка 4.4).</w:t>
      </w:r>
    </w:p>
    <w:p w14:paraId="3DFCF0F3" w14:textId="77777777" w:rsidR="007A2722" w:rsidRPr="007A2722" w:rsidRDefault="007A2722" w:rsidP="007A2722">
      <w:pPr>
        <w:spacing w:line="240" w:lineRule="auto"/>
        <w:rPr>
          <w:rFonts w:eastAsia="Times New Roman" w:cs="Arial"/>
          <w:color w:val="000000"/>
          <w:u w:val="single"/>
          <w:lang w:eastAsia="bg-BG"/>
        </w:rPr>
      </w:pPr>
    </w:p>
    <w:p w14:paraId="65F93A99" w14:textId="1E910F19"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Общи нарушения и ефекти на мястото на приложение</w:t>
      </w:r>
    </w:p>
    <w:p w14:paraId="2549F66C"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Чести: образуване на маса на мястото на инжектиране, болка на мястото на инжектиране</w:t>
      </w:r>
    </w:p>
    <w:p w14:paraId="217F43DC"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Нечести: Едем, включително едем на долните крайници.</w:t>
      </w:r>
    </w:p>
    <w:p w14:paraId="415F3C88" w14:textId="77777777" w:rsidR="007A2722" w:rsidRPr="007A2722" w:rsidRDefault="007A2722" w:rsidP="007A2722">
      <w:pPr>
        <w:spacing w:line="240" w:lineRule="auto"/>
        <w:rPr>
          <w:rFonts w:eastAsia="Times New Roman" w:cs="Arial"/>
          <w:i/>
          <w:iCs/>
          <w:color w:val="000000"/>
          <w:u w:val="single"/>
          <w:lang w:eastAsia="bg-BG"/>
        </w:rPr>
      </w:pPr>
    </w:p>
    <w:p w14:paraId="2A5B125C" w14:textId="2BB45CF7" w:rsidR="007A2722" w:rsidRPr="007A2722" w:rsidRDefault="007A2722" w:rsidP="007A2722">
      <w:pPr>
        <w:spacing w:line="240" w:lineRule="auto"/>
        <w:rPr>
          <w:rFonts w:eastAsia="Times New Roman" w:cs="Arial"/>
          <w:lang w:eastAsia="bg-BG"/>
        </w:rPr>
      </w:pPr>
      <w:r w:rsidRPr="007A2722">
        <w:rPr>
          <w:rFonts w:eastAsia="Times New Roman" w:cs="Arial"/>
          <w:i/>
          <w:iCs/>
          <w:color w:val="000000"/>
          <w:u w:val="single"/>
          <w:lang w:eastAsia="bg-BG"/>
        </w:rPr>
        <w:t>Информация, характеризираща индивидуални сериозни и/ или чести нежелани лекарствени реакции</w:t>
      </w:r>
    </w:p>
    <w:p w14:paraId="73735E15"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При пациенти, лекувани с мелоксикам или други потенциално миелотоксични лекарства много рядко е съобщавана агранулоцитоза (вижте точка 4.5).</w:t>
      </w:r>
    </w:p>
    <w:p w14:paraId="32C32FDE" w14:textId="77777777" w:rsidR="007A2722" w:rsidRPr="007A2722" w:rsidRDefault="007A2722" w:rsidP="007A2722">
      <w:pPr>
        <w:spacing w:line="240" w:lineRule="auto"/>
        <w:rPr>
          <w:rFonts w:eastAsia="Times New Roman" w:cs="Arial"/>
          <w:i/>
          <w:iCs/>
          <w:color w:val="000000"/>
          <w:u w:val="single"/>
          <w:lang w:eastAsia="bg-BG"/>
        </w:rPr>
      </w:pPr>
    </w:p>
    <w:p w14:paraId="2BED447D" w14:textId="0ECEE8BC" w:rsidR="007A2722" w:rsidRPr="007A2722" w:rsidRDefault="007A2722" w:rsidP="007A2722">
      <w:pPr>
        <w:spacing w:line="240" w:lineRule="auto"/>
        <w:rPr>
          <w:rFonts w:eastAsia="Times New Roman" w:cs="Arial"/>
          <w:lang w:eastAsia="bg-BG"/>
        </w:rPr>
      </w:pPr>
      <w:r w:rsidRPr="007A2722">
        <w:rPr>
          <w:rFonts w:eastAsia="Times New Roman" w:cs="Arial"/>
          <w:i/>
          <w:iCs/>
          <w:color w:val="000000"/>
          <w:u w:val="single"/>
          <w:lang w:eastAsia="bg-BG"/>
        </w:rPr>
        <w:t>Нежелани реакции, които все още не са наблюдавани при лекарствения продукт, но за които общо се приема, че са относими към другите продукти от класа</w:t>
      </w:r>
    </w:p>
    <w:p w14:paraId="486948CD"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Бъбречно увреждане, което може да има за резултат остра бъбречна недостатъчност: докладвани са много редки случаи на интерстициален нефрит, остра тубулна некроза, нефротичен синдром и папиларна некроза (вижте точка 4.4).</w:t>
      </w:r>
    </w:p>
    <w:p w14:paraId="7D5A5DD6" w14:textId="77777777" w:rsidR="007A2722" w:rsidRPr="007A2722" w:rsidRDefault="007A2722" w:rsidP="007A2722">
      <w:pPr>
        <w:spacing w:line="240" w:lineRule="auto"/>
        <w:rPr>
          <w:rFonts w:eastAsia="Times New Roman" w:cs="Arial"/>
          <w:color w:val="000000"/>
          <w:u w:val="single"/>
          <w:lang w:eastAsia="bg-BG"/>
        </w:rPr>
      </w:pPr>
    </w:p>
    <w:p w14:paraId="0A1AAEB4" w14:textId="7BD033A6" w:rsidR="007A2722" w:rsidRPr="007A2722" w:rsidRDefault="007A2722" w:rsidP="007A2722">
      <w:pPr>
        <w:spacing w:line="240" w:lineRule="auto"/>
        <w:rPr>
          <w:rFonts w:eastAsia="Times New Roman" w:cs="Arial"/>
          <w:lang w:eastAsia="bg-BG"/>
        </w:rPr>
      </w:pPr>
      <w:r w:rsidRPr="007A2722">
        <w:rPr>
          <w:rFonts w:eastAsia="Times New Roman" w:cs="Arial"/>
          <w:color w:val="000000"/>
          <w:u w:val="single"/>
          <w:lang w:eastAsia="bg-BG"/>
        </w:rPr>
        <w:t>Съобщаване на подозирани нежелани реакции</w:t>
      </w:r>
    </w:p>
    <w:p w14:paraId="3CACD4C8"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4D6BC8A2" w14:textId="77777777" w:rsidR="007A2722" w:rsidRPr="007A2722" w:rsidRDefault="007A2722" w:rsidP="007A2722">
      <w:pPr>
        <w:spacing w:line="240" w:lineRule="auto"/>
        <w:rPr>
          <w:rFonts w:eastAsia="Times New Roman" w:cs="Arial"/>
          <w:lang w:eastAsia="bg-BG"/>
        </w:rPr>
      </w:pPr>
      <w:r w:rsidRPr="007A2722">
        <w:rPr>
          <w:rFonts w:eastAsia="Times New Roman" w:cs="Arial"/>
          <w:b/>
          <w:bCs/>
          <w:color w:val="000000"/>
          <w:lang w:eastAsia="bg-BG"/>
        </w:rPr>
        <w:t>Изпълнителна агенция по лекарствата</w:t>
      </w:r>
    </w:p>
    <w:p w14:paraId="3AFCCFBC"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ул. „Дамян Груев” № 8</w:t>
      </w:r>
    </w:p>
    <w:p w14:paraId="0FBA33D2"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1303 София</w:t>
      </w:r>
    </w:p>
    <w:p w14:paraId="7562AE91"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Тел.: +359 2 890 3417</w:t>
      </w:r>
    </w:p>
    <w:p w14:paraId="65CFE21E" w14:textId="77777777" w:rsidR="007A2722" w:rsidRPr="007A2722" w:rsidRDefault="007A2722" w:rsidP="007A2722">
      <w:pPr>
        <w:spacing w:line="240" w:lineRule="auto"/>
        <w:rPr>
          <w:rFonts w:eastAsia="Times New Roman" w:cs="Arial"/>
          <w:lang w:eastAsia="bg-BG"/>
        </w:rPr>
      </w:pPr>
      <w:r w:rsidRPr="007A2722">
        <w:rPr>
          <w:rFonts w:eastAsia="Times New Roman" w:cs="Arial"/>
          <w:color w:val="000000"/>
          <w:lang w:eastAsia="bg-BG"/>
        </w:rPr>
        <w:t xml:space="preserve">уебсайт: </w:t>
      </w:r>
      <w:hyperlink r:id="rId5" w:history="1">
        <w:r w:rsidRPr="007A2722">
          <w:rPr>
            <w:rFonts w:eastAsia="Times New Roman" w:cs="Arial"/>
            <w:color w:val="000000"/>
            <w:u w:val="single"/>
            <w:lang w:val="en-US"/>
          </w:rPr>
          <w:t>www.bda.bg</w:t>
        </w:r>
      </w:hyperlink>
    </w:p>
    <w:p w14:paraId="2CF01768" w14:textId="77777777" w:rsidR="007A2722" w:rsidRPr="007A2722" w:rsidRDefault="007A2722" w:rsidP="007A2722"/>
    <w:p w14:paraId="378A0F20" w14:textId="6E8D24A3" w:rsidR="001D095A" w:rsidRDefault="002C50EE" w:rsidP="00340E8D">
      <w:pPr>
        <w:pStyle w:val="Heading2"/>
      </w:pPr>
      <w:r>
        <w:t>4.9. Предозиране</w:t>
      </w:r>
    </w:p>
    <w:p w14:paraId="37C38278" w14:textId="6270F5CE" w:rsidR="007A2722" w:rsidRDefault="007A2722" w:rsidP="007A2722"/>
    <w:p w14:paraId="5D9F7288" w14:textId="77777777"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 xml:space="preserve">Симптомите след остро предозиране с НСПВС обикновено са ограничени до летаргия, сънливост, гадене, повръщане и епигастрална болка, които в общия случаи са обратими с </w:t>
      </w:r>
      <w:r w:rsidRPr="007A2722">
        <w:rPr>
          <w:rFonts w:eastAsia="Times New Roman" w:cs="Arial"/>
          <w:color w:val="000000"/>
          <w:lang w:eastAsia="bg-BG"/>
        </w:rPr>
        <w:lastRenderedPageBreak/>
        <w:t>поддържащо лечение. Може да се появи стомашно-чревно кървене. Тежкото предозиране може да има за резултат хипертония, остра бъбречна недостатъчност, чернодробна дисфункция, респираторна депресия, кома, гърчове, кардиоваскуларен колапс и сърдечен арест. По време на лечение с НСПВС са докладвани анафилактоидни реакции, които могат да се появят и при предозиране.</w:t>
      </w:r>
    </w:p>
    <w:p w14:paraId="5910934F" w14:textId="77777777" w:rsidR="007A2722" w:rsidRPr="007A2722" w:rsidRDefault="007A2722" w:rsidP="007A2722">
      <w:pPr>
        <w:spacing w:line="240" w:lineRule="auto"/>
        <w:rPr>
          <w:rFonts w:eastAsia="Times New Roman" w:cs="Arial"/>
          <w:color w:val="000000"/>
          <w:lang w:eastAsia="bg-BG"/>
        </w:rPr>
      </w:pPr>
    </w:p>
    <w:p w14:paraId="48F9C40A" w14:textId="4B0D5206" w:rsidR="007A2722" w:rsidRPr="007A2722" w:rsidRDefault="007A2722" w:rsidP="007A2722">
      <w:pPr>
        <w:spacing w:line="240" w:lineRule="auto"/>
        <w:rPr>
          <w:rFonts w:eastAsia="Times New Roman" w:cs="Arial"/>
          <w:sz w:val="24"/>
          <w:szCs w:val="24"/>
          <w:lang w:eastAsia="bg-BG"/>
        </w:rPr>
      </w:pPr>
      <w:r w:rsidRPr="007A2722">
        <w:rPr>
          <w:rFonts w:eastAsia="Times New Roman" w:cs="Arial"/>
          <w:color w:val="000000"/>
          <w:lang w:eastAsia="bg-BG"/>
        </w:rPr>
        <w:t>След предозиране с НСПВС пациентите трябва да бъдат подложени на симптоматично и поддържащо лечение.</w:t>
      </w:r>
    </w:p>
    <w:p w14:paraId="2292D33A" w14:textId="30E29E68" w:rsidR="007A2722" w:rsidRPr="007A2722" w:rsidRDefault="007A2722" w:rsidP="007A2722">
      <w:r w:rsidRPr="007A2722">
        <w:rPr>
          <w:rFonts w:eastAsia="Times New Roman" w:cs="Arial"/>
          <w:color w:val="000000"/>
          <w:lang w:eastAsia="bg-BG"/>
        </w:rPr>
        <w:t xml:space="preserve">По време на клиничните изпитвания е наблюдавано повишено елиминиране на мелоксикам след перорален прием на холестирамин (4 </w:t>
      </w:r>
      <w:r w:rsidRPr="007A2722">
        <w:rPr>
          <w:rFonts w:eastAsia="Times New Roman" w:cs="Arial"/>
          <w:color w:val="000000"/>
          <w:lang w:val="en-US"/>
        </w:rPr>
        <w:t xml:space="preserve">g </w:t>
      </w:r>
      <w:r w:rsidRPr="007A2722">
        <w:rPr>
          <w:rFonts w:eastAsia="Times New Roman" w:cs="Arial"/>
          <w:color w:val="000000"/>
          <w:lang w:eastAsia="bg-BG"/>
        </w:rPr>
        <w:t>три пъти дневно).</w:t>
      </w:r>
    </w:p>
    <w:p w14:paraId="02081B24" w14:textId="36FE76F4" w:rsidR="00395555" w:rsidRPr="00395555" w:rsidRDefault="002C50EE" w:rsidP="008A6AF2">
      <w:pPr>
        <w:pStyle w:val="Heading1"/>
      </w:pPr>
      <w:r>
        <w:t>5. ФАРМАКОЛОГИЧНИ СВОЙСТВА</w:t>
      </w:r>
    </w:p>
    <w:p w14:paraId="7F6CC5E1" w14:textId="0E14E542" w:rsidR="00F62E44" w:rsidRDefault="002C50EE" w:rsidP="00387A66">
      <w:pPr>
        <w:pStyle w:val="Heading2"/>
      </w:pPr>
      <w:r>
        <w:t>5.1. Фармакодинамични свойства</w:t>
      </w:r>
    </w:p>
    <w:p w14:paraId="52ABD45D" w14:textId="24FEE740" w:rsidR="007A2722" w:rsidRDefault="007A2722" w:rsidP="007A2722"/>
    <w:p w14:paraId="11CDA577" w14:textId="77777777" w:rsidR="007A2722" w:rsidRPr="007A2722" w:rsidRDefault="007A2722" w:rsidP="007A2722">
      <w:pPr>
        <w:rPr>
          <w:sz w:val="24"/>
          <w:szCs w:val="24"/>
          <w:lang w:eastAsia="bg-BG"/>
        </w:rPr>
      </w:pPr>
      <w:r w:rsidRPr="007A2722">
        <w:rPr>
          <w:lang w:eastAsia="bg-BG"/>
        </w:rPr>
        <w:t>Фармакотерапевтична група: Нестероидни противовъзпалителни средства и антиревматични продукти, оксиками</w:t>
      </w:r>
    </w:p>
    <w:p w14:paraId="195178F6" w14:textId="77777777" w:rsidR="007A2722" w:rsidRPr="007A2722" w:rsidRDefault="007A2722" w:rsidP="007A2722">
      <w:pPr>
        <w:rPr>
          <w:sz w:val="24"/>
          <w:szCs w:val="24"/>
          <w:lang w:eastAsia="bg-BG"/>
        </w:rPr>
      </w:pPr>
      <w:r w:rsidRPr="007A2722">
        <w:rPr>
          <w:lang w:eastAsia="bg-BG"/>
        </w:rPr>
        <w:t>АТС код: М01АС06</w:t>
      </w:r>
    </w:p>
    <w:p w14:paraId="09EF3CB1" w14:textId="77777777" w:rsidR="007A2722" w:rsidRDefault="007A2722" w:rsidP="007A2722">
      <w:pPr>
        <w:rPr>
          <w:lang w:eastAsia="bg-BG"/>
        </w:rPr>
      </w:pPr>
    </w:p>
    <w:p w14:paraId="659A27B8" w14:textId="0676783C" w:rsidR="007A2722" w:rsidRPr="007A2722" w:rsidRDefault="007A2722" w:rsidP="007A2722">
      <w:pPr>
        <w:rPr>
          <w:sz w:val="24"/>
          <w:szCs w:val="24"/>
          <w:lang w:eastAsia="bg-BG"/>
        </w:rPr>
      </w:pPr>
      <w:r w:rsidRPr="007A2722">
        <w:rPr>
          <w:lang w:eastAsia="bg-BG"/>
        </w:rPr>
        <w:t>Мелоксикам е нестероидно противовъзпалително средство (НСПВС) от групата на оксикамите, което има противовъзпалителни, аналгетични и антипиретични свойства.</w:t>
      </w:r>
    </w:p>
    <w:p w14:paraId="65F29A14" w14:textId="77777777" w:rsidR="007A2722" w:rsidRPr="007A2722" w:rsidRDefault="007A2722" w:rsidP="007A2722">
      <w:pPr>
        <w:rPr>
          <w:sz w:val="24"/>
          <w:szCs w:val="24"/>
          <w:lang w:eastAsia="bg-BG"/>
        </w:rPr>
      </w:pPr>
      <w:r w:rsidRPr="007A2722">
        <w:rPr>
          <w:lang w:eastAsia="bg-BG"/>
        </w:rPr>
        <w:t>Противовъзпалителната активност на мелоксикам е доказана при стандартни модели на възпаление. Както и при останалите НСПВС, неговият точен механизъм на действие остава неизвестен. Въпреки това, има поне един общ начин иа действие на всички НСПВС (включително мелоксикам): инхибиране на биосинтеза на простагландините, известни медиатори на възпалението.</w:t>
      </w:r>
    </w:p>
    <w:p w14:paraId="0E1094B6" w14:textId="77777777" w:rsidR="007A2722" w:rsidRPr="007A2722" w:rsidRDefault="007A2722" w:rsidP="007A2722"/>
    <w:p w14:paraId="544FFDAF" w14:textId="2D25BF9E" w:rsidR="00F62E44" w:rsidRDefault="002C50EE" w:rsidP="00387A66">
      <w:pPr>
        <w:pStyle w:val="Heading2"/>
      </w:pPr>
      <w:r>
        <w:t>5.2. Фармакокинетични свойства</w:t>
      </w:r>
    </w:p>
    <w:p w14:paraId="1C34DE67" w14:textId="3344CC44" w:rsidR="007A2722" w:rsidRDefault="007A2722" w:rsidP="007A2722"/>
    <w:p w14:paraId="1C042BCB"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u w:val="single"/>
          <w:lang w:eastAsia="bg-BG"/>
        </w:rPr>
        <w:t>Абсорбция</w:t>
      </w:r>
    </w:p>
    <w:p w14:paraId="19BECED4"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Мелоксикам се абсорбира изцяло след интрамускулна инжекция. За сравнение, след перорално приложение бионаличностга е приблизително 89%. Не се изисква адаптиране на дозата при преминаване от парентерално към перорално приложение. След интрамускулно приложение на доза от 15 </w:t>
      </w:r>
      <w:r w:rsidRPr="006E5B1C">
        <w:rPr>
          <w:rFonts w:eastAsia="Times New Roman" w:cs="Arial"/>
          <w:color w:val="000000"/>
          <w:lang w:val="en-US"/>
        </w:rPr>
        <w:t xml:space="preserve">mg </w:t>
      </w:r>
      <w:r w:rsidRPr="006E5B1C">
        <w:rPr>
          <w:rFonts w:eastAsia="Times New Roman" w:cs="Arial"/>
          <w:color w:val="000000"/>
          <w:lang w:eastAsia="bg-BG"/>
        </w:rPr>
        <w:t xml:space="preserve">пиковите плазмени концентрации са около 1.62 </w:t>
      </w:r>
      <w:r w:rsidRPr="006E5B1C">
        <w:rPr>
          <w:rFonts w:eastAsia="Times New Roman" w:cs="Arial"/>
          <w:color w:val="000000"/>
          <w:lang w:val="en-US"/>
        </w:rPr>
        <w:t>mg/l</w:t>
      </w:r>
      <w:r w:rsidRPr="006E5B1C">
        <w:rPr>
          <w:rFonts w:eastAsia="Times New Roman" w:cs="Arial"/>
          <w:color w:val="000000"/>
          <w:lang w:eastAsia="bg-BG"/>
        </w:rPr>
        <w:t xml:space="preserve"> и те се достигат в рамките на 60 минути.</w:t>
      </w:r>
    </w:p>
    <w:p w14:paraId="061BB2BD" w14:textId="77777777" w:rsidR="006E5B1C" w:rsidRPr="006E5B1C" w:rsidRDefault="006E5B1C" w:rsidP="006E5B1C">
      <w:pPr>
        <w:spacing w:line="240" w:lineRule="auto"/>
        <w:rPr>
          <w:rFonts w:eastAsia="Times New Roman" w:cs="Arial"/>
          <w:color w:val="000000"/>
          <w:u w:val="single"/>
          <w:lang w:eastAsia="bg-BG"/>
        </w:rPr>
      </w:pPr>
    </w:p>
    <w:p w14:paraId="48116652" w14:textId="12D4BB22"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u w:val="single"/>
          <w:lang w:eastAsia="bg-BG"/>
        </w:rPr>
        <w:t>Разпределение</w:t>
      </w:r>
    </w:p>
    <w:p w14:paraId="5E8F2051"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Мелоксикам се свързва в много голяма степен с плазмените протеини, основно с албумин (99%). Мелоксикам прониква в синовиалната течност, където дава концентрации приблизително наполовина от тези в плазмата.</w:t>
      </w:r>
    </w:p>
    <w:p w14:paraId="33D7BD09"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Обемът на разпределение е нисък, средно </w:t>
      </w:r>
      <w:r w:rsidRPr="006E5B1C">
        <w:rPr>
          <w:rFonts w:eastAsia="Times New Roman" w:cs="Arial"/>
          <w:color w:val="000000"/>
          <w:lang w:val="en-US"/>
        </w:rPr>
        <w:t xml:space="preserve">11L. </w:t>
      </w:r>
      <w:r w:rsidRPr="006E5B1C">
        <w:rPr>
          <w:rFonts w:eastAsia="Times New Roman" w:cs="Arial"/>
          <w:color w:val="000000"/>
          <w:lang w:eastAsia="bg-BG"/>
        </w:rPr>
        <w:t>Индивидуалните вариации са приблизително 30% -40%.</w:t>
      </w:r>
    </w:p>
    <w:p w14:paraId="1D001523" w14:textId="77777777" w:rsidR="006E5B1C" w:rsidRPr="006E5B1C" w:rsidRDefault="006E5B1C" w:rsidP="006E5B1C">
      <w:pPr>
        <w:spacing w:line="240" w:lineRule="auto"/>
        <w:rPr>
          <w:rFonts w:eastAsia="Times New Roman" w:cs="Arial"/>
          <w:color w:val="000000"/>
          <w:u w:val="single"/>
          <w:lang w:eastAsia="bg-BG"/>
        </w:rPr>
      </w:pPr>
    </w:p>
    <w:p w14:paraId="767BD48A" w14:textId="6FA4B6A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u w:val="single"/>
          <w:lang w:eastAsia="bg-BG"/>
        </w:rPr>
        <w:t>Биотрансформация</w:t>
      </w:r>
    </w:p>
    <w:p w14:paraId="07959CE9"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Мелоксикам се метаболизира интензивно в черния дроб. В урината се откриват четири различни метаболита, всички от които фармакологично неактивни. Основният метаболит 5'- карбоксимелоксикам (съответстващ на 60% от дозата) се формира чрез окисление на междинния метаболит 5'-?сидроксиметилмелоксикам, който се екскретира в по-малка степен (съотвестваща на 9% от дозата). Проведените </w:t>
      </w:r>
      <w:r w:rsidRPr="006E5B1C">
        <w:rPr>
          <w:rFonts w:eastAsia="Times New Roman" w:cs="Arial"/>
          <w:color w:val="000000"/>
          <w:lang w:val="en-US"/>
        </w:rPr>
        <w:t xml:space="preserve">in vitro </w:t>
      </w:r>
      <w:r w:rsidRPr="006E5B1C">
        <w:rPr>
          <w:rFonts w:eastAsia="Times New Roman" w:cs="Arial"/>
          <w:color w:val="000000"/>
          <w:lang w:eastAsia="bg-BG"/>
        </w:rPr>
        <w:t xml:space="preserve">проучвания предполагат, че </w:t>
      </w:r>
      <w:r w:rsidRPr="006E5B1C">
        <w:rPr>
          <w:rFonts w:eastAsia="Times New Roman" w:cs="Arial"/>
          <w:color w:val="000000"/>
          <w:lang w:val="en-US"/>
        </w:rPr>
        <w:lastRenderedPageBreak/>
        <w:t xml:space="preserve">CYP2C9 </w:t>
      </w:r>
      <w:r w:rsidRPr="006E5B1C">
        <w:rPr>
          <w:rFonts w:eastAsia="Times New Roman" w:cs="Arial"/>
          <w:color w:val="000000"/>
          <w:lang w:eastAsia="bg-BG"/>
        </w:rPr>
        <w:t xml:space="preserve">играе важна роля в този метаболитен път с минимален принос на </w:t>
      </w:r>
      <w:r w:rsidRPr="006E5B1C">
        <w:rPr>
          <w:rFonts w:eastAsia="Times New Roman" w:cs="Arial"/>
          <w:color w:val="000000"/>
          <w:lang w:val="en-US"/>
        </w:rPr>
        <w:t xml:space="preserve">CYP3A4. </w:t>
      </w:r>
      <w:r w:rsidRPr="006E5B1C">
        <w:rPr>
          <w:rFonts w:eastAsia="Times New Roman" w:cs="Arial"/>
          <w:color w:val="000000"/>
          <w:lang w:eastAsia="bg-BG"/>
        </w:rPr>
        <w:t>По всяка вероятност пероксидазната активност е източникът на другите два метаболита, които съответстват на 16% и 4% от приложената доза.</w:t>
      </w:r>
    </w:p>
    <w:p w14:paraId="3E3A4026" w14:textId="77777777" w:rsidR="006E5B1C" w:rsidRPr="006E5B1C" w:rsidRDefault="006E5B1C" w:rsidP="006E5B1C">
      <w:pPr>
        <w:spacing w:line="240" w:lineRule="auto"/>
        <w:rPr>
          <w:rFonts w:eastAsia="Times New Roman" w:cs="Arial"/>
          <w:color w:val="000000"/>
          <w:u w:val="single"/>
          <w:lang w:eastAsia="bg-BG"/>
        </w:rPr>
      </w:pPr>
    </w:p>
    <w:p w14:paraId="11B143FB" w14:textId="533548E4" w:rsidR="006E5B1C" w:rsidRPr="006E5B1C" w:rsidRDefault="006E5B1C" w:rsidP="006E5B1C">
      <w:pPr>
        <w:spacing w:line="240" w:lineRule="auto"/>
        <w:rPr>
          <w:rFonts w:eastAsia="Times New Roman" w:cs="Arial"/>
          <w:color w:val="000000"/>
          <w:u w:val="single"/>
          <w:lang w:eastAsia="bg-BG"/>
        </w:rPr>
      </w:pPr>
      <w:r w:rsidRPr="006E5B1C">
        <w:rPr>
          <w:rFonts w:eastAsia="Times New Roman" w:cs="Arial"/>
          <w:color w:val="000000"/>
          <w:u w:val="single"/>
          <w:lang w:eastAsia="bg-BG"/>
        </w:rPr>
        <w:t>Елиминиране</w:t>
      </w:r>
    </w:p>
    <w:p w14:paraId="5889A389"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Мелоксикам се елиминира основно под формата на метаболити, наполовина в урината и наполовина в изпражненията. По-малко от 5% от дневната доза се екскретира непроменена в изпражненията, а в урината се откриват само следи от непроменено количество.</w:t>
      </w:r>
    </w:p>
    <w:p w14:paraId="3353B72E"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Средният елиминационен полуживот е приблизително 20 часа. Общият плазмен клирънс е средно 8 </w:t>
      </w:r>
      <w:r w:rsidRPr="006E5B1C">
        <w:rPr>
          <w:rFonts w:eastAsia="Times New Roman" w:cs="Arial"/>
          <w:color w:val="000000"/>
          <w:lang w:val="en-US"/>
        </w:rPr>
        <w:t>ml/ min.</w:t>
      </w:r>
    </w:p>
    <w:p w14:paraId="4E9469B5" w14:textId="77777777" w:rsidR="006E5B1C" w:rsidRPr="006E5B1C" w:rsidRDefault="006E5B1C" w:rsidP="006E5B1C">
      <w:pPr>
        <w:spacing w:line="240" w:lineRule="auto"/>
        <w:rPr>
          <w:rFonts w:eastAsia="Times New Roman" w:cs="Arial"/>
          <w:color w:val="000000"/>
          <w:u w:val="single"/>
          <w:lang w:eastAsia="bg-BG"/>
        </w:rPr>
      </w:pPr>
    </w:p>
    <w:p w14:paraId="2DA73595" w14:textId="5BBBCC2B"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u w:val="single"/>
          <w:lang w:eastAsia="bg-BG"/>
        </w:rPr>
        <w:t>Линейност/ нелинейност</w:t>
      </w:r>
    </w:p>
    <w:p w14:paraId="02BF4EC1"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Мелоксикам демонстрира линейна фармакокинетика в терапевтичен дозов диапазон 7.5 </w:t>
      </w:r>
      <w:r w:rsidRPr="006E5B1C">
        <w:rPr>
          <w:rFonts w:eastAsia="Times New Roman" w:cs="Arial"/>
          <w:color w:val="000000"/>
          <w:lang w:val="en-US"/>
        </w:rPr>
        <w:t xml:space="preserve">mg </w:t>
      </w:r>
      <w:r w:rsidRPr="006E5B1C">
        <w:rPr>
          <w:rFonts w:eastAsia="Times New Roman" w:cs="Arial"/>
          <w:color w:val="000000"/>
          <w:lang w:eastAsia="bg-BG"/>
        </w:rPr>
        <w:t xml:space="preserve">до 15 </w:t>
      </w:r>
      <w:r w:rsidRPr="006E5B1C">
        <w:rPr>
          <w:rFonts w:eastAsia="Times New Roman" w:cs="Arial"/>
          <w:color w:val="000000"/>
          <w:lang w:val="en-US"/>
        </w:rPr>
        <w:t xml:space="preserve">mg </w:t>
      </w:r>
      <w:r w:rsidRPr="006E5B1C">
        <w:rPr>
          <w:rFonts w:eastAsia="Times New Roman" w:cs="Arial"/>
          <w:color w:val="000000"/>
          <w:lang w:eastAsia="bg-BG"/>
        </w:rPr>
        <w:t>след перорално или интрамускулно приложение.</w:t>
      </w:r>
    </w:p>
    <w:p w14:paraId="04064F3F" w14:textId="77777777" w:rsidR="006E5B1C" w:rsidRPr="006E5B1C" w:rsidRDefault="006E5B1C" w:rsidP="006E5B1C">
      <w:pPr>
        <w:spacing w:line="240" w:lineRule="auto"/>
        <w:rPr>
          <w:rFonts w:eastAsia="Times New Roman" w:cs="Arial"/>
          <w:color w:val="000000"/>
          <w:u w:val="single"/>
          <w:lang w:eastAsia="bg-BG"/>
        </w:rPr>
      </w:pPr>
    </w:p>
    <w:p w14:paraId="003CE961" w14:textId="2EA827A9"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u w:val="single"/>
          <w:lang w:eastAsia="bg-BG"/>
        </w:rPr>
        <w:t>Специфични популации</w:t>
      </w:r>
    </w:p>
    <w:p w14:paraId="3BD1E89C" w14:textId="011AD6FE" w:rsidR="006E5B1C" w:rsidRPr="006E5B1C" w:rsidRDefault="006E5B1C" w:rsidP="006E5B1C">
      <w:pPr>
        <w:spacing w:line="240" w:lineRule="auto"/>
        <w:rPr>
          <w:rFonts w:eastAsia="Times New Roman" w:cs="Arial"/>
          <w:sz w:val="24"/>
          <w:szCs w:val="24"/>
          <w:lang w:eastAsia="bg-BG"/>
        </w:rPr>
      </w:pPr>
      <w:r w:rsidRPr="006E5B1C">
        <w:rPr>
          <w:rFonts w:eastAsia="Times New Roman" w:cs="Arial"/>
          <w:i/>
          <w:iCs/>
          <w:color w:val="000000"/>
          <w:lang w:eastAsia="bg-BG"/>
        </w:rPr>
        <w:t>Чернодробна/ бъбречна недостатъчност:</w:t>
      </w:r>
      <w:r w:rsidRPr="006E5B1C">
        <w:rPr>
          <w:rFonts w:eastAsia="Times New Roman" w:cs="Arial"/>
          <w:color w:val="000000"/>
          <w:lang w:eastAsia="bg-BG"/>
        </w:rPr>
        <w:t xml:space="preserve"> Пито чернодробната, нито леката до умерена бъбречна недостатъчност имат сериозен ефект върху фармакокинетиката на мелоксикам.</w:t>
      </w:r>
    </w:p>
    <w:p w14:paraId="7ED58640" w14:textId="77777777" w:rsidR="006E5B1C" w:rsidRPr="006E5B1C" w:rsidRDefault="006E5B1C" w:rsidP="006E5B1C">
      <w:pPr>
        <w:spacing w:line="240" w:lineRule="auto"/>
        <w:rPr>
          <w:rFonts w:eastAsia="Times New Roman" w:cs="Arial"/>
          <w:sz w:val="24"/>
          <w:szCs w:val="24"/>
          <w:lang w:eastAsia="bg-BG"/>
        </w:rPr>
      </w:pPr>
      <w:r w:rsidRPr="006E5B1C">
        <w:rPr>
          <w:rFonts w:eastAsia="Times New Roman" w:cs="Arial"/>
          <w:color w:val="000000"/>
          <w:lang w:eastAsia="bg-BG"/>
        </w:rPr>
        <w:t xml:space="preserve">При тежка бъбречна недостатъчност повишение в обема на разпределение може да доведе до по-високи концентрации на несвързан мелоксикам. В този случай не трябва да се превишава дозата от 7.5 </w:t>
      </w:r>
      <w:r w:rsidRPr="006E5B1C">
        <w:rPr>
          <w:rFonts w:eastAsia="Times New Roman" w:cs="Arial"/>
          <w:color w:val="000000"/>
          <w:lang w:val="en-US"/>
        </w:rPr>
        <w:t xml:space="preserve">mg </w:t>
      </w:r>
      <w:r w:rsidRPr="006E5B1C">
        <w:rPr>
          <w:rFonts w:eastAsia="Times New Roman" w:cs="Arial"/>
          <w:color w:val="000000"/>
          <w:lang w:eastAsia="bg-BG"/>
        </w:rPr>
        <w:t>дневно (вижте точка 4.2).</w:t>
      </w:r>
    </w:p>
    <w:p w14:paraId="211D92F2" w14:textId="77777777" w:rsidR="006E5B1C" w:rsidRPr="006E5B1C" w:rsidRDefault="006E5B1C" w:rsidP="006E5B1C">
      <w:pPr>
        <w:spacing w:line="240" w:lineRule="auto"/>
        <w:rPr>
          <w:rFonts w:eastAsia="Times New Roman" w:cs="Arial"/>
          <w:i/>
          <w:iCs/>
          <w:color w:val="000000"/>
          <w:lang w:eastAsia="bg-BG"/>
        </w:rPr>
      </w:pPr>
    </w:p>
    <w:p w14:paraId="608C302C" w14:textId="5CEA3C71" w:rsidR="006E5B1C" w:rsidRPr="006E5B1C" w:rsidRDefault="006E5B1C" w:rsidP="006E5B1C">
      <w:pPr>
        <w:spacing w:line="240" w:lineRule="auto"/>
        <w:rPr>
          <w:rFonts w:eastAsia="Times New Roman" w:cs="Arial"/>
          <w:sz w:val="24"/>
          <w:szCs w:val="24"/>
          <w:lang w:eastAsia="bg-BG"/>
        </w:rPr>
      </w:pPr>
      <w:r w:rsidRPr="006E5B1C">
        <w:rPr>
          <w:rFonts w:eastAsia="Times New Roman" w:cs="Arial"/>
          <w:i/>
          <w:iCs/>
          <w:color w:val="000000"/>
          <w:lang w:eastAsia="bg-BG"/>
        </w:rPr>
        <w:t>Пациенти в старческа възраст:</w:t>
      </w:r>
      <w:r w:rsidRPr="006E5B1C">
        <w:rPr>
          <w:rFonts w:eastAsia="Times New Roman" w:cs="Arial"/>
          <w:color w:val="000000"/>
          <w:lang w:eastAsia="bg-BG"/>
        </w:rPr>
        <w:t xml:space="preserve"> Средният плазмен клирънс в равновесно състояние при пациенти в старческа възраст е малко по-нисък от този, докладван при по-млади пациенти.</w:t>
      </w:r>
    </w:p>
    <w:p w14:paraId="715D250A" w14:textId="77777777" w:rsidR="007A2722" w:rsidRPr="007A2722" w:rsidRDefault="007A2722" w:rsidP="007A2722"/>
    <w:p w14:paraId="6925FEB0" w14:textId="30365F3F" w:rsidR="00F62E44" w:rsidRDefault="002C50EE" w:rsidP="00387A66">
      <w:pPr>
        <w:pStyle w:val="Heading2"/>
      </w:pPr>
      <w:r>
        <w:t>5.3. Предклинични данни за безопасност</w:t>
      </w:r>
    </w:p>
    <w:p w14:paraId="30F0CB2E" w14:textId="20AF6EA4" w:rsidR="006E5B1C" w:rsidRDefault="006E5B1C" w:rsidP="006E5B1C"/>
    <w:p w14:paraId="053455A2" w14:textId="0DDF1D26" w:rsidR="006E5B1C" w:rsidRDefault="006E5B1C" w:rsidP="006E5B1C">
      <w:pPr>
        <w:rPr>
          <w:lang w:eastAsia="bg-BG"/>
        </w:rPr>
      </w:pPr>
      <w:r w:rsidRPr="006E5B1C">
        <w:rPr>
          <w:lang w:eastAsia="bg-BG"/>
        </w:rPr>
        <w:t>Няма предклинични данни, които се считат значими по отношение на клиничната безопасност освен тези, посочени в другите раздели на Кратката характеристика на продукта.</w:t>
      </w:r>
    </w:p>
    <w:p w14:paraId="436DEEBB" w14:textId="77777777" w:rsidR="006E5B1C" w:rsidRPr="006E5B1C" w:rsidRDefault="006E5B1C" w:rsidP="006E5B1C">
      <w:pPr>
        <w:rPr>
          <w:sz w:val="24"/>
          <w:szCs w:val="24"/>
          <w:lang w:eastAsia="bg-BG"/>
        </w:rPr>
      </w:pPr>
    </w:p>
    <w:p w14:paraId="357049A8" w14:textId="6B6C510D" w:rsidR="00BB22B4" w:rsidRDefault="002C50EE" w:rsidP="00471F10">
      <w:pPr>
        <w:pStyle w:val="Heading1"/>
      </w:pPr>
      <w:r>
        <w:t>7. ПРИТЕЖАТЕЛ НА РАЗРЕШЕНИЕТО ЗА УПОТРЕБА</w:t>
      </w:r>
    </w:p>
    <w:p w14:paraId="356E46C0" w14:textId="629D044C" w:rsidR="006E5B1C" w:rsidRDefault="006E5B1C" w:rsidP="006E5B1C"/>
    <w:p w14:paraId="3CBABB90" w14:textId="60BA6A69" w:rsidR="006E5B1C" w:rsidRPr="006E5B1C" w:rsidRDefault="006E5B1C" w:rsidP="006E5B1C">
      <w:r>
        <w:t xml:space="preserve">MEDOCHEMIE Ltd., </w:t>
      </w:r>
      <w:r>
        <w:rPr>
          <w:lang w:eastAsia="bg-BG"/>
        </w:rPr>
        <w:t xml:space="preserve">1-10 </w:t>
      </w:r>
      <w:r>
        <w:t xml:space="preserve">Constantinoupoleos street, </w:t>
      </w:r>
      <w:r>
        <w:rPr>
          <w:lang w:eastAsia="bg-BG"/>
        </w:rPr>
        <w:t xml:space="preserve">3011 </w:t>
      </w:r>
      <w:r>
        <w:t xml:space="preserve">Limassol, </w:t>
      </w:r>
      <w:r>
        <w:rPr>
          <w:lang w:eastAsia="bg-BG"/>
        </w:rPr>
        <w:t>Кипър</w:t>
      </w:r>
    </w:p>
    <w:p w14:paraId="0A53321D" w14:textId="61DC0A21" w:rsidR="00EE6C97" w:rsidRDefault="00936AD0" w:rsidP="00A93499">
      <w:pPr>
        <w:pStyle w:val="Heading1"/>
      </w:pPr>
      <w:r>
        <w:t>8.</w:t>
      </w:r>
      <w:r w:rsidR="002C50EE">
        <w:t>НОМЕР НА РАЗРЕШЕНИЕТО ЗА УПОТРЕБА</w:t>
      </w:r>
    </w:p>
    <w:p w14:paraId="517D7325" w14:textId="54B74681" w:rsidR="006E5B1C" w:rsidRDefault="006E5B1C" w:rsidP="006E5B1C"/>
    <w:p w14:paraId="1618AA91" w14:textId="62D78C9D" w:rsidR="006E5B1C" w:rsidRPr="006E5B1C" w:rsidRDefault="006E5B1C" w:rsidP="006E5B1C">
      <w:pPr>
        <w:rPr>
          <w:sz w:val="24"/>
          <w:szCs w:val="24"/>
          <w:lang w:eastAsia="bg-BG"/>
        </w:rPr>
      </w:pPr>
      <w:r w:rsidRPr="006E5B1C">
        <w:rPr>
          <w:lang w:val="en-US"/>
        </w:rPr>
        <w:t xml:space="preserve">Per. </w:t>
      </w:r>
      <w:r w:rsidRPr="006E5B1C">
        <w:rPr>
          <w:lang w:eastAsia="bg-BG"/>
        </w:rPr>
        <w:t>№: 20140060</w:t>
      </w:r>
    </w:p>
    <w:p w14:paraId="7C2688F5" w14:textId="6D610EDF" w:rsidR="00F62E44" w:rsidRDefault="00F62E44" w:rsidP="00F62E44"/>
    <w:p w14:paraId="00481C21" w14:textId="7B2B487F" w:rsidR="00F62E44" w:rsidRDefault="002C50EE" w:rsidP="00387A66">
      <w:pPr>
        <w:pStyle w:val="Heading1"/>
      </w:pPr>
      <w:r>
        <w:t>9. ДАТА НА ПЪРВО РАЗРЕШАВАНЕ/ПОДНОВЯВАНЕ НА РАЗРЕШЕНИЕТО ЗА УПОТРЕБА</w:t>
      </w:r>
    </w:p>
    <w:p w14:paraId="6A742227" w14:textId="77777777" w:rsidR="006E5B1C" w:rsidRPr="006E5B1C" w:rsidRDefault="006E5B1C" w:rsidP="006E5B1C">
      <w:pPr>
        <w:rPr>
          <w:sz w:val="24"/>
          <w:szCs w:val="24"/>
          <w:lang w:eastAsia="bg-BG"/>
        </w:rPr>
      </w:pPr>
      <w:r w:rsidRPr="006E5B1C">
        <w:rPr>
          <w:lang w:eastAsia="bg-BG"/>
        </w:rPr>
        <w:t>Дата на първо разрешаване: 24 март 2014 г.</w:t>
      </w:r>
    </w:p>
    <w:p w14:paraId="044F21AA" w14:textId="77777777" w:rsidR="006E5B1C" w:rsidRPr="006E5B1C" w:rsidRDefault="006E5B1C" w:rsidP="006E5B1C">
      <w:pPr>
        <w:rPr>
          <w:sz w:val="24"/>
          <w:szCs w:val="24"/>
          <w:lang w:eastAsia="bg-BG"/>
        </w:rPr>
      </w:pPr>
      <w:r w:rsidRPr="006E5B1C">
        <w:rPr>
          <w:lang w:eastAsia="bg-BG"/>
        </w:rPr>
        <w:t>Дата на последно подновяване:</w:t>
      </w:r>
    </w:p>
    <w:p w14:paraId="468922DA" w14:textId="77777777" w:rsidR="006E5B1C" w:rsidRPr="006E5B1C" w:rsidRDefault="006E5B1C" w:rsidP="006E5B1C"/>
    <w:p w14:paraId="43FB38A2" w14:textId="0C18A683" w:rsidR="007C605B" w:rsidRDefault="002C50EE" w:rsidP="005726E3">
      <w:pPr>
        <w:pStyle w:val="Heading1"/>
      </w:pPr>
      <w:r>
        <w:t>10. ДАТА НА АКТУАЛИЗИРАНЕ НА ТЕКСТА</w:t>
      </w:r>
      <w:bookmarkEnd w:id="0"/>
    </w:p>
    <w:p w14:paraId="472617BD" w14:textId="53F19D73" w:rsidR="00BB22B4" w:rsidRPr="00BB22B4" w:rsidRDefault="006E5B1C" w:rsidP="006E5B1C">
      <w:r>
        <w:t>09 януари 2019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5D0E33"/>
    <w:multiLevelType w:val="hybridMultilevel"/>
    <w:tmpl w:val="C9EABF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917CF"/>
    <w:multiLevelType w:val="hybridMultilevel"/>
    <w:tmpl w:val="28D618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457D6"/>
    <w:multiLevelType w:val="hybridMultilevel"/>
    <w:tmpl w:val="04AA3D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5"/>
  </w:num>
  <w:num w:numId="12" w16cid:durableId="1434934028">
    <w:abstractNumId w:val="17"/>
  </w:num>
  <w:num w:numId="13" w16cid:durableId="479157895">
    <w:abstractNumId w:val="23"/>
  </w:num>
  <w:num w:numId="14" w16cid:durableId="1670476636">
    <w:abstractNumId w:val="15"/>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7"/>
  </w:num>
  <w:num w:numId="28" w16cid:durableId="1820733422">
    <w:abstractNumId w:val="6"/>
  </w:num>
  <w:num w:numId="29" w16cid:durableId="973678124">
    <w:abstractNumId w:val="24"/>
  </w:num>
  <w:num w:numId="30" w16cid:durableId="154884452">
    <w:abstractNumId w:val="41"/>
  </w:num>
  <w:num w:numId="31" w16cid:durableId="1053964910">
    <w:abstractNumId w:val="5"/>
  </w:num>
  <w:num w:numId="32" w16cid:durableId="2073575793">
    <w:abstractNumId w:val="39"/>
  </w:num>
  <w:num w:numId="33" w16cid:durableId="1566643170">
    <w:abstractNumId w:val="32"/>
  </w:num>
  <w:num w:numId="34" w16cid:durableId="2060787732">
    <w:abstractNumId w:val="38"/>
  </w:num>
  <w:num w:numId="35" w16cid:durableId="34161354">
    <w:abstractNumId w:val="7"/>
  </w:num>
  <w:num w:numId="36" w16cid:durableId="1976908676">
    <w:abstractNumId w:val="10"/>
  </w:num>
  <w:num w:numId="37" w16cid:durableId="758528303">
    <w:abstractNumId w:val="18"/>
  </w:num>
  <w:num w:numId="38" w16cid:durableId="178396561">
    <w:abstractNumId w:val="40"/>
  </w:num>
  <w:num w:numId="39" w16cid:durableId="934825996">
    <w:abstractNumId w:val="13"/>
  </w:num>
  <w:num w:numId="40" w16cid:durableId="320931128">
    <w:abstractNumId w:val="36"/>
  </w:num>
  <w:num w:numId="41" w16cid:durableId="2076736811">
    <w:abstractNumId w:val="14"/>
  </w:num>
  <w:num w:numId="42" w16cid:durableId="11871329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6E5B1C"/>
    <w:rsid w:val="007122AD"/>
    <w:rsid w:val="0075649D"/>
    <w:rsid w:val="007A2722"/>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4723</Words>
  <Characters>26922</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2023-03-23T21:24:00Z</dcterms:created>
  <dcterms:modified xsi:type="dcterms:W3CDTF">2023-03-23T21:24:00Z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