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67527D41" w:rsidR="009F77A4" w:rsidRDefault="00DD466D" w:rsidP="00387A66">
      <w:pPr>
        <w:pStyle w:val="Heading1"/>
      </w:pPr>
      <w:r>
        <w:t>1.ИМЕ НА ЛЕКАРСТВЕНИЯ ПРОДУКТ</w:t>
      </w:r>
    </w:p>
    <w:p w14:paraId="629C1714" w14:textId="192E4CC2" w:rsidR="00C40DD0" w:rsidRDefault="00C40DD0" w:rsidP="00C40DD0"/>
    <w:p w14:paraId="263B3D06" w14:textId="77777777" w:rsidR="00C40DD0" w:rsidRDefault="00C40DD0" w:rsidP="00C40DD0">
      <w:pPr>
        <w:rPr>
          <w:lang w:eastAsia="bg-BG"/>
        </w:rPr>
      </w:pPr>
      <w:r w:rsidRPr="00C40DD0">
        <w:rPr>
          <w:lang w:eastAsia="bg-BG"/>
        </w:rPr>
        <w:t xml:space="preserve">Мелокс 15 </w:t>
      </w:r>
      <w:r w:rsidRPr="00C40DD0">
        <w:rPr>
          <w:lang w:val="en-US"/>
        </w:rPr>
        <w:t xml:space="preserve">mg </w:t>
      </w:r>
      <w:r w:rsidRPr="00C40DD0">
        <w:rPr>
          <w:lang w:eastAsia="bg-BG"/>
        </w:rPr>
        <w:t xml:space="preserve">таблетки </w:t>
      </w:r>
    </w:p>
    <w:p w14:paraId="5846A201" w14:textId="1BDA715A" w:rsidR="00C40DD0" w:rsidRPr="00C40DD0" w:rsidRDefault="00C40DD0" w:rsidP="00C40DD0">
      <w:pPr>
        <w:rPr>
          <w:sz w:val="24"/>
          <w:szCs w:val="24"/>
          <w:lang w:eastAsia="bg-BG"/>
        </w:rPr>
      </w:pPr>
      <w:proofErr w:type="spellStart"/>
      <w:r w:rsidRPr="00C40DD0">
        <w:rPr>
          <w:lang w:val="en-US"/>
        </w:rPr>
        <w:t>Melox</w:t>
      </w:r>
      <w:proofErr w:type="spellEnd"/>
      <w:r w:rsidRPr="00C40DD0">
        <w:rPr>
          <w:lang w:val="en-US"/>
        </w:rPr>
        <w:t xml:space="preserve"> </w:t>
      </w:r>
      <w:r w:rsidRPr="00C40DD0">
        <w:rPr>
          <w:lang w:eastAsia="bg-BG"/>
        </w:rPr>
        <w:t xml:space="preserve">15 </w:t>
      </w:r>
      <w:r w:rsidRPr="00C40DD0">
        <w:rPr>
          <w:lang w:val="en-US"/>
        </w:rPr>
        <w:t>mg tablets</w:t>
      </w:r>
    </w:p>
    <w:p w14:paraId="204376EF" w14:textId="77777777" w:rsidR="00C40DD0" w:rsidRPr="00C40DD0" w:rsidRDefault="00C40DD0" w:rsidP="00C40DD0"/>
    <w:p w14:paraId="0DF202EC" w14:textId="5DB63237" w:rsidR="00F53FB7" w:rsidRDefault="00DD466D" w:rsidP="00A93499">
      <w:pPr>
        <w:pStyle w:val="Heading1"/>
      </w:pPr>
      <w:r>
        <w:t>2. КАЧЕСТВЕН И КОЛИЧЕСТВЕН СЪСТАВ</w:t>
      </w:r>
    </w:p>
    <w:p w14:paraId="31B14CAF" w14:textId="79D7B435" w:rsidR="00C40DD0" w:rsidRDefault="00C40DD0" w:rsidP="00C40DD0"/>
    <w:p w14:paraId="5BD4B43C" w14:textId="77777777" w:rsidR="00C40DD0" w:rsidRPr="00C40DD0" w:rsidRDefault="00C40DD0" w:rsidP="00C40DD0">
      <w:pPr>
        <w:rPr>
          <w:sz w:val="24"/>
          <w:szCs w:val="24"/>
          <w:lang w:eastAsia="bg-BG"/>
        </w:rPr>
      </w:pPr>
      <w:r w:rsidRPr="00C40DD0">
        <w:rPr>
          <w:lang w:eastAsia="bg-BG"/>
        </w:rPr>
        <w:t xml:space="preserve">Всяка таблетка съдържа 15 </w:t>
      </w:r>
      <w:r w:rsidRPr="00C40DD0">
        <w:rPr>
          <w:lang w:val="en-US"/>
        </w:rPr>
        <w:t xml:space="preserve">mg </w:t>
      </w:r>
      <w:r w:rsidRPr="00C40DD0">
        <w:rPr>
          <w:lang w:eastAsia="bg-BG"/>
        </w:rPr>
        <w:t xml:space="preserve">мелоксикам </w:t>
      </w:r>
      <w:r w:rsidRPr="00C40DD0">
        <w:rPr>
          <w:lang w:val="en-US"/>
        </w:rPr>
        <w:t>(meloxicam).</w:t>
      </w:r>
    </w:p>
    <w:p w14:paraId="35D0F3A0" w14:textId="77777777" w:rsidR="00C40DD0" w:rsidRDefault="00C40DD0" w:rsidP="00C40DD0">
      <w:pPr>
        <w:rPr>
          <w:u w:val="single"/>
          <w:lang w:eastAsia="bg-BG"/>
        </w:rPr>
      </w:pPr>
    </w:p>
    <w:p w14:paraId="0A1339FE" w14:textId="74A33FBC" w:rsidR="00C40DD0" w:rsidRPr="00C40DD0" w:rsidRDefault="00C40DD0" w:rsidP="00C40DD0">
      <w:pPr>
        <w:rPr>
          <w:sz w:val="24"/>
          <w:szCs w:val="24"/>
          <w:lang w:eastAsia="bg-BG"/>
        </w:rPr>
      </w:pPr>
      <w:r w:rsidRPr="00C40DD0">
        <w:rPr>
          <w:u w:val="single"/>
          <w:lang w:eastAsia="bg-BG"/>
        </w:rPr>
        <w:t>Помощно вещество с известно действие</w:t>
      </w:r>
      <w:r w:rsidRPr="00C40DD0">
        <w:rPr>
          <w:lang w:eastAsia="bg-BG"/>
        </w:rPr>
        <w:t>: лактоза монохидрат.</w:t>
      </w:r>
    </w:p>
    <w:p w14:paraId="1EA470BC" w14:textId="77777777" w:rsidR="00C40DD0" w:rsidRPr="00C40DD0" w:rsidRDefault="00C40DD0" w:rsidP="00C40DD0">
      <w:pPr>
        <w:rPr>
          <w:sz w:val="24"/>
          <w:szCs w:val="24"/>
          <w:lang w:eastAsia="bg-BG"/>
        </w:rPr>
      </w:pPr>
      <w:r w:rsidRPr="00C40DD0">
        <w:rPr>
          <w:lang w:eastAsia="bg-BG"/>
        </w:rPr>
        <w:t xml:space="preserve">Всяка таблетка от 15 </w:t>
      </w:r>
      <w:r w:rsidRPr="00C40DD0">
        <w:rPr>
          <w:lang w:val="en-US"/>
        </w:rPr>
        <w:t xml:space="preserve">mg </w:t>
      </w:r>
      <w:r w:rsidRPr="00C40DD0">
        <w:rPr>
          <w:lang w:eastAsia="bg-BG"/>
        </w:rPr>
        <w:t xml:space="preserve">съдържа 37,5 </w:t>
      </w:r>
      <w:r w:rsidRPr="00C40DD0">
        <w:rPr>
          <w:lang w:val="en-US"/>
        </w:rPr>
        <w:t xml:space="preserve">mg </w:t>
      </w:r>
      <w:r w:rsidRPr="00C40DD0">
        <w:rPr>
          <w:lang w:eastAsia="bg-BG"/>
        </w:rPr>
        <w:t>лактоза монохидрат.</w:t>
      </w:r>
    </w:p>
    <w:p w14:paraId="63293EE7" w14:textId="77777777" w:rsidR="00C40DD0" w:rsidRPr="00C40DD0" w:rsidRDefault="00C40DD0" w:rsidP="00C40DD0"/>
    <w:p w14:paraId="4CABB9ED" w14:textId="03328380" w:rsidR="00F53FB7" w:rsidRDefault="00DD466D" w:rsidP="00A93499">
      <w:pPr>
        <w:pStyle w:val="Heading1"/>
      </w:pPr>
      <w:r>
        <w:t>3. ЛЕКАРСТВЕНА ФОРМА</w:t>
      </w:r>
    </w:p>
    <w:p w14:paraId="43EB81BE" w14:textId="3CDD315D" w:rsidR="00C40DD0" w:rsidRDefault="00C40DD0" w:rsidP="00C40DD0"/>
    <w:p w14:paraId="031AA925" w14:textId="77777777" w:rsidR="00C40DD0" w:rsidRPr="00C40DD0" w:rsidRDefault="00C40DD0" w:rsidP="00C40DD0">
      <w:pPr>
        <w:rPr>
          <w:sz w:val="24"/>
          <w:szCs w:val="24"/>
          <w:lang w:eastAsia="bg-BG"/>
        </w:rPr>
      </w:pPr>
      <w:r w:rsidRPr="00C40DD0">
        <w:rPr>
          <w:lang w:eastAsia="bg-BG"/>
        </w:rPr>
        <w:t>Таблетка</w:t>
      </w:r>
    </w:p>
    <w:p w14:paraId="68517C2C" w14:textId="77777777" w:rsidR="00C40DD0" w:rsidRDefault="00C40DD0" w:rsidP="00C40DD0">
      <w:pPr>
        <w:rPr>
          <w:lang w:eastAsia="bg-BG"/>
        </w:rPr>
      </w:pPr>
    </w:p>
    <w:p w14:paraId="30D79888" w14:textId="6860E581" w:rsidR="00C40DD0" w:rsidRPr="00C40DD0" w:rsidRDefault="00C40DD0" w:rsidP="00C40DD0">
      <w:pPr>
        <w:rPr>
          <w:sz w:val="24"/>
          <w:szCs w:val="24"/>
          <w:lang w:eastAsia="bg-BG"/>
        </w:rPr>
      </w:pPr>
      <w:r w:rsidRPr="00C40DD0">
        <w:rPr>
          <w:lang w:eastAsia="bg-BG"/>
        </w:rPr>
        <w:t xml:space="preserve">Мелокс 15 </w:t>
      </w:r>
      <w:r w:rsidRPr="00C40DD0">
        <w:rPr>
          <w:lang w:val="en-US"/>
        </w:rPr>
        <w:t xml:space="preserve">mg: </w:t>
      </w:r>
      <w:r w:rsidRPr="00C40DD0">
        <w:rPr>
          <w:lang w:eastAsia="bg-BG"/>
        </w:rPr>
        <w:t xml:space="preserve">светло жълти, кръгли, плоски таблетки с делителна черта едностранно и с диаметър 10,5 </w:t>
      </w:r>
      <w:r w:rsidRPr="00C40DD0">
        <w:rPr>
          <w:lang w:val="en-US"/>
        </w:rPr>
        <w:t xml:space="preserve">mm. </w:t>
      </w:r>
      <w:r w:rsidRPr="00C40DD0">
        <w:rPr>
          <w:lang w:eastAsia="bg-BG"/>
        </w:rPr>
        <w:t>Таблетката може да бъде разделена на равни дози.</w:t>
      </w:r>
    </w:p>
    <w:p w14:paraId="0CBB9760" w14:textId="77777777" w:rsidR="00C40DD0" w:rsidRPr="00C40DD0" w:rsidRDefault="00C40DD0" w:rsidP="00C40DD0"/>
    <w:p w14:paraId="490FC2C4" w14:textId="6899DE43" w:rsidR="002C50EE" w:rsidRDefault="002C50EE" w:rsidP="002C50EE">
      <w:pPr>
        <w:pStyle w:val="Heading1"/>
      </w:pPr>
      <w:r>
        <w:t>4. КЛИНИЧНИ ДАННИ</w:t>
      </w:r>
    </w:p>
    <w:p w14:paraId="461901E4" w14:textId="6DB1566E" w:rsidR="009F77A4" w:rsidRDefault="002C50EE" w:rsidP="00387A66">
      <w:pPr>
        <w:pStyle w:val="Heading2"/>
      </w:pPr>
      <w:r>
        <w:t>4.1. Терапевтични показания</w:t>
      </w:r>
    </w:p>
    <w:p w14:paraId="474DAD33" w14:textId="09FA6575" w:rsidR="00C40DD0" w:rsidRDefault="00C40DD0" w:rsidP="00C40DD0"/>
    <w:p w14:paraId="4F1C2565" w14:textId="77777777" w:rsidR="00C40DD0" w:rsidRPr="00C40DD0" w:rsidRDefault="00C40DD0" w:rsidP="00C40DD0">
      <w:pPr>
        <w:pStyle w:val="ListParagraph"/>
        <w:numPr>
          <w:ilvl w:val="0"/>
          <w:numId w:val="40"/>
        </w:numPr>
        <w:spacing w:line="240" w:lineRule="auto"/>
        <w:rPr>
          <w:rFonts w:eastAsia="Times New Roman" w:cs="Arial"/>
          <w:lang w:eastAsia="bg-BG"/>
        </w:rPr>
      </w:pPr>
      <w:r w:rsidRPr="00C40DD0">
        <w:rPr>
          <w:rFonts w:eastAsia="Times New Roman" w:cs="Arial"/>
          <w:color w:val="000000"/>
          <w:lang w:eastAsia="bg-BG"/>
        </w:rPr>
        <w:t>Краткотрайно симптоматично лечение на обостряния на остеоартрит</w:t>
      </w:r>
    </w:p>
    <w:p w14:paraId="46AC4CB6" w14:textId="77777777" w:rsidR="00C40DD0" w:rsidRPr="00C40DD0" w:rsidRDefault="00C40DD0" w:rsidP="00C40DD0">
      <w:pPr>
        <w:pStyle w:val="ListParagraph"/>
        <w:numPr>
          <w:ilvl w:val="0"/>
          <w:numId w:val="40"/>
        </w:numPr>
        <w:spacing w:line="240" w:lineRule="auto"/>
        <w:rPr>
          <w:rFonts w:eastAsia="Times New Roman" w:cs="Arial"/>
          <w:lang w:eastAsia="bg-BG"/>
        </w:rPr>
      </w:pPr>
      <w:r w:rsidRPr="00C40DD0">
        <w:rPr>
          <w:rFonts w:eastAsia="Times New Roman" w:cs="Arial"/>
          <w:color w:val="000000"/>
          <w:lang w:eastAsia="bg-BG"/>
        </w:rPr>
        <w:t>Дългосрочно симптоматично лечение на ревматоиден артрит или анкилозиращ спондилит.</w:t>
      </w:r>
    </w:p>
    <w:p w14:paraId="439FD77A" w14:textId="1257A046" w:rsidR="00C40DD0" w:rsidRPr="00C40DD0" w:rsidRDefault="00C40DD0" w:rsidP="00C40DD0">
      <w:pPr>
        <w:pStyle w:val="ListParagraph"/>
        <w:numPr>
          <w:ilvl w:val="0"/>
          <w:numId w:val="40"/>
        </w:numPr>
        <w:spacing w:line="240" w:lineRule="auto"/>
        <w:rPr>
          <w:rFonts w:eastAsia="Times New Roman" w:cs="Arial"/>
          <w:lang w:eastAsia="bg-BG"/>
        </w:rPr>
      </w:pPr>
      <w:r w:rsidRPr="00C40DD0">
        <w:rPr>
          <w:rFonts w:eastAsia="Times New Roman" w:cs="Arial"/>
          <w:color w:val="000000"/>
          <w:lang w:eastAsia="bg-BG"/>
        </w:rPr>
        <w:t>Мелокс е предназначен за възрастни и деца на възраст 16 години и повече.</w:t>
      </w:r>
    </w:p>
    <w:p w14:paraId="6612EA81" w14:textId="77777777" w:rsidR="00C40DD0" w:rsidRPr="00C40DD0" w:rsidRDefault="00C40DD0" w:rsidP="00C40DD0"/>
    <w:p w14:paraId="31744E5A" w14:textId="5B07AD32" w:rsidR="009F77A4" w:rsidRDefault="002C50EE" w:rsidP="00387A66">
      <w:pPr>
        <w:pStyle w:val="Heading2"/>
      </w:pPr>
      <w:r>
        <w:t>4.2. Дозировка и начин на приложение</w:t>
      </w:r>
    </w:p>
    <w:p w14:paraId="508C3127" w14:textId="2D4684C7" w:rsidR="00C40DD0" w:rsidRDefault="00C40DD0" w:rsidP="00C40DD0"/>
    <w:p w14:paraId="0E0C6929" w14:textId="77777777" w:rsidR="00C40DD0" w:rsidRPr="00C40DD0" w:rsidRDefault="00C40DD0" w:rsidP="00C40DD0">
      <w:pPr>
        <w:pStyle w:val="Heading3"/>
        <w:rPr>
          <w:u w:val="single"/>
        </w:rPr>
      </w:pPr>
      <w:r w:rsidRPr="00C40DD0">
        <w:rPr>
          <w:u w:val="single"/>
        </w:rPr>
        <w:t>Дозировка</w:t>
      </w:r>
    </w:p>
    <w:p w14:paraId="0D2AFC8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Общата дневна доза трябва да се приема еднократно.</w:t>
      </w:r>
    </w:p>
    <w:p w14:paraId="4527589B"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период от време (вижте точк 4.4). Нуждите на пациентите от симптоматично лечение и терапевтичния отговор трябва да се оценяват периодично, особено при пациенти с остеоартрит.</w:t>
      </w:r>
    </w:p>
    <w:p w14:paraId="7BE4B1AE" w14:textId="77777777" w:rsidR="00C40DD0" w:rsidRDefault="00C40DD0" w:rsidP="00C40DD0">
      <w:pPr>
        <w:spacing w:line="240" w:lineRule="auto"/>
        <w:rPr>
          <w:rFonts w:eastAsia="Times New Roman" w:cs="Arial"/>
          <w:color w:val="000000"/>
          <w:lang w:eastAsia="bg-BG"/>
        </w:rPr>
      </w:pPr>
    </w:p>
    <w:p w14:paraId="117F12AB" w14:textId="73B29079" w:rsidR="00C40DD0" w:rsidRPr="00C40DD0" w:rsidRDefault="00C40DD0" w:rsidP="00C40DD0">
      <w:pPr>
        <w:pStyle w:val="ListParagraph"/>
        <w:numPr>
          <w:ilvl w:val="0"/>
          <w:numId w:val="40"/>
        </w:numPr>
        <w:spacing w:line="240" w:lineRule="auto"/>
        <w:rPr>
          <w:rFonts w:eastAsia="Times New Roman" w:cs="Arial"/>
          <w:lang w:eastAsia="bg-BG"/>
        </w:rPr>
      </w:pPr>
      <w:r w:rsidRPr="00C40DD0">
        <w:rPr>
          <w:rFonts w:eastAsia="Times New Roman" w:cs="Arial"/>
          <w:color w:val="000000"/>
          <w:lang w:eastAsia="bg-BG"/>
        </w:rPr>
        <w:t xml:space="preserve">Обостряния на остеоартрит: 7,5 </w:t>
      </w:r>
      <w:r w:rsidRPr="00C40DD0">
        <w:rPr>
          <w:rFonts w:eastAsia="Times New Roman" w:cs="Arial"/>
          <w:color w:val="000000"/>
          <w:lang w:val="en-US"/>
        </w:rPr>
        <w:t xml:space="preserve">mg </w:t>
      </w:r>
      <w:r w:rsidRPr="00C40DD0">
        <w:rPr>
          <w:rFonts w:eastAsia="Times New Roman" w:cs="Arial"/>
          <w:color w:val="000000"/>
          <w:lang w:eastAsia="bg-BG"/>
        </w:rPr>
        <w:t xml:space="preserve">дневно (половин таблетка Мелокс 15 </w:t>
      </w:r>
      <w:r w:rsidRPr="00C40DD0">
        <w:rPr>
          <w:rFonts w:eastAsia="Times New Roman" w:cs="Arial"/>
          <w:color w:val="000000"/>
          <w:lang w:val="en-US"/>
        </w:rPr>
        <w:t>mg).</w:t>
      </w:r>
    </w:p>
    <w:p w14:paraId="60173686" w14:textId="77777777" w:rsid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Ако е необходимо, прн липса на подобрение, дозата може да бъде повишена до 15 </w:t>
      </w:r>
      <w:r w:rsidRPr="00C40DD0">
        <w:rPr>
          <w:rFonts w:eastAsia="Times New Roman" w:cs="Arial"/>
          <w:color w:val="000000"/>
          <w:lang w:val="en-US"/>
        </w:rPr>
        <w:t xml:space="preserve">mg </w:t>
      </w:r>
      <w:r w:rsidRPr="00C40DD0">
        <w:rPr>
          <w:rFonts w:eastAsia="Times New Roman" w:cs="Arial"/>
          <w:color w:val="000000"/>
          <w:lang w:eastAsia="bg-BG"/>
        </w:rPr>
        <w:t xml:space="preserve">дневно (една таблетка Мелокс 15 </w:t>
      </w:r>
      <w:r w:rsidRPr="00C40DD0">
        <w:rPr>
          <w:rFonts w:eastAsia="Times New Roman" w:cs="Arial"/>
          <w:color w:val="000000"/>
          <w:lang w:val="en-US"/>
        </w:rPr>
        <w:t>mg).</w:t>
      </w:r>
    </w:p>
    <w:p w14:paraId="26D52133" w14:textId="53CBA3BF" w:rsidR="00C40DD0" w:rsidRPr="00C40DD0" w:rsidRDefault="00C40DD0" w:rsidP="00C40DD0">
      <w:pPr>
        <w:pStyle w:val="ListParagraph"/>
        <w:numPr>
          <w:ilvl w:val="0"/>
          <w:numId w:val="40"/>
        </w:numPr>
        <w:spacing w:line="240" w:lineRule="auto"/>
        <w:rPr>
          <w:rFonts w:eastAsia="Times New Roman" w:cs="Arial"/>
          <w:lang w:eastAsia="bg-BG"/>
        </w:rPr>
      </w:pPr>
      <w:r w:rsidRPr="00C40DD0">
        <w:rPr>
          <w:rFonts w:eastAsia="Times New Roman" w:cs="Arial"/>
          <w:color w:val="000000"/>
          <w:lang w:eastAsia="bg-BG"/>
        </w:rPr>
        <w:lastRenderedPageBreak/>
        <w:t xml:space="preserve">Ревматоиден артрит, анкилозиращ спондилит: 15 </w:t>
      </w:r>
      <w:r w:rsidRPr="00C40DD0">
        <w:rPr>
          <w:rFonts w:eastAsia="Times New Roman" w:cs="Arial"/>
          <w:color w:val="000000"/>
          <w:lang w:val="en-US"/>
        </w:rPr>
        <w:t xml:space="preserve">mg </w:t>
      </w:r>
      <w:r w:rsidRPr="00C40DD0">
        <w:rPr>
          <w:rFonts w:eastAsia="Times New Roman" w:cs="Arial"/>
          <w:color w:val="000000"/>
          <w:lang w:eastAsia="bg-BG"/>
        </w:rPr>
        <w:t xml:space="preserve">дневно (една таблетка Мелокс 15 </w:t>
      </w:r>
      <w:r w:rsidRPr="00C40DD0">
        <w:rPr>
          <w:rFonts w:eastAsia="Times New Roman" w:cs="Arial"/>
          <w:color w:val="000000"/>
          <w:lang w:val="en-US"/>
        </w:rPr>
        <w:t xml:space="preserve">mg) </w:t>
      </w:r>
      <w:r w:rsidRPr="00C40DD0">
        <w:rPr>
          <w:rFonts w:eastAsia="Times New Roman" w:cs="Arial"/>
          <w:color w:val="000000"/>
          <w:lang w:eastAsia="bg-BG"/>
        </w:rPr>
        <w:t>(вижте също точка „Специални популации“ по-долу).</w:t>
      </w:r>
    </w:p>
    <w:p w14:paraId="05609772" w14:textId="3048D27F" w:rsidR="00C40DD0" w:rsidRDefault="00C40DD0" w:rsidP="00C40DD0"/>
    <w:p w14:paraId="5205DF70"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В зависимост от терапевтичния отговор, дозата може да бъде намалена до 7,5 </w:t>
      </w:r>
      <w:r w:rsidRPr="00C40DD0">
        <w:rPr>
          <w:rFonts w:eastAsia="Times New Roman" w:cs="Arial"/>
          <w:color w:val="000000"/>
          <w:lang w:val="en-US"/>
        </w:rPr>
        <w:t xml:space="preserve">mg </w:t>
      </w:r>
      <w:r w:rsidRPr="00C40DD0">
        <w:rPr>
          <w:rFonts w:eastAsia="Times New Roman" w:cs="Arial"/>
          <w:color w:val="000000"/>
          <w:lang w:eastAsia="bg-BG"/>
        </w:rPr>
        <w:t xml:space="preserve">(половин таблетка Мелокс 15 </w:t>
      </w:r>
      <w:r w:rsidRPr="00C40DD0">
        <w:rPr>
          <w:rFonts w:eastAsia="Times New Roman" w:cs="Arial"/>
          <w:color w:val="000000"/>
          <w:lang w:val="en-US"/>
        </w:rPr>
        <w:t>mg).</w:t>
      </w:r>
    </w:p>
    <w:p w14:paraId="0F63FF65" w14:textId="77777777" w:rsidR="00C40DD0" w:rsidRDefault="00C40DD0" w:rsidP="00C40DD0">
      <w:pPr>
        <w:spacing w:line="240" w:lineRule="auto"/>
        <w:rPr>
          <w:rFonts w:eastAsia="Times New Roman" w:cs="Arial"/>
          <w:color w:val="000000"/>
          <w:lang w:eastAsia="bg-BG"/>
        </w:rPr>
      </w:pPr>
    </w:p>
    <w:p w14:paraId="4659A201" w14:textId="60FAC4FD"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Максималната препоръчителна дневна доза мелоксикам е 15 </w:t>
      </w:r>
      <w:r w:rsidRPr="00C40DD0">
        <w:rPr>
          <w:rFonts w:eastAsia="Times New Roman" w:cs="Arial"/>
          <w:color w:val="000000"/>
          <w:lang w:val="en-US"/>
        </w:rPr>
        <w:t xml:space="preserve">mg </w:t>
      </w:r>
      <w:r w:rsidRPr="00C40DD0">
        <w:rPr>
          <w:rFonts w:eastAsia="Times New Roman" w:cs="Arial"/>
          <w:color w:val="000000"/>
          <w:lang w:eastAsia="bg-BG"/>
        </w:rPr>
        <w:t>и не зависи от лекарствената форма.</w:t>
      </w:r>
    </w:p>
    <w:p w14:paraId="41890379" w14:textId="77777777" w:rsidR="00C40DD0" w:rsidRDefault="00C40DD0" w:rsidP="00C40DD0">
      <w:pPr>
        <w:spacing w:line="240" w:lineRule="auto"/>
        <w:rPr>
          <w:rFonts w:eastAsia="Times New Roman" w:cs="Arial"/>
          <w:color w:val="000000"/>
          <w:lang w:eastAsia="bg-BG"/>
        </w:rPr>
      </w:pPr>
    </w:p>
    <w:p w14:paraId="77A8E3CA" w14:textId="0A49853C"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ДА НЕ СЕ ПРЕВИШАВА ДОЗАТА ОТ 15 </w:t>
      </w:r>
      <w:r w:rsidRPr="00C40DD0">
        <w:rPr>
          <w:rFonts w:eastAsia="Times New Roman" w:cs="Arial"/>
          <w:color w:val="000000"/>
          <w:lang w:val="en-US"/>
        </w:rPr>
        <w:t xml:space="preserve">mg </w:t>
      </w:r>
      <w:r w:rsidRPr="00C40DD0">
        <w:rPr>
          <w:rFonts w:eastAsia="Times New Roman" w:cs="Arial"/>
          <w:color w:val="000000"/>
          <w:lang w:eastAsia="bg-BG"/>
        </w:rPr>
        <w:t>ДНЕВНО.</w:t>
      </w:r>
    </w:p>
    <w:p w14:paraId="65B5A215" w14:textId="77777777" w:rsidR="00C40DD0" w:rsidRDefault="00C40DD0" w:rsidP="00C40DD0">
      <w:pPr>
        <w:spacing w:line="240" w:lineRule="auto"/>
        <w:rPr>
          <w:rFonts w:eastAsia="Times New Roman" w:cs="Arial"/>
          <w:color w:val="000000"/>
          <w:u w:val="single"/>
          <w:lang w:eastAsia="bg-BG"/>
        </w:rPr>
      </w:pPr>
    </w:p>
    <w:p w14:paraId="2537BE03" w14:textId="40570708"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Специални популации</w:t>
      </w:r>
    </w:p>
    <w:p w14:paraId="26E6C9C1" w14:textId="77777777" w:rsidR="00C40DD0" w:rsidRDefault="00C40DD0" w:rsidP="00C40DD0">
      <w:pPr>
        <w:spacing w:line="240" w:lineRule="auto"/>
        <w:rPr>
          <w:rFonts w:eastAsia="Times New Roman" w:cs="Arial"/>
          <w:i/>
          <w:iCs/>
          <w:color w:val="000000"/>
          <w:lang w:eastAsia="bg-BG"/>
        </w:rPr>
      </w:pPr>
    </w:p>
    <w:p w14:paraId="668135DB" w14:textId="0417FA37"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Пациенти в старческа възраст (вижте точка 5.2)</w:t>
      </w:r>
    </w:p>
    <w:p w14:paraId="05FBF851"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Препоръчителната доза за дългосрочно лечение на ревматоиден артрит и анкилозиращ спондилит при пациенти в старческа възраст е 7,5 </w:t>
      </w:r>
      <w:r w:rsidRPr="00C40DD0">
        <w:rPr>
          <w:rFonts w:eastAsia="Times New Roman" w:cs="Arial"/>
          <w:color w:val="000000"/>
          <w:lang w:val="en-US"/>
        </w:rPr>
        <w:t xml:space="preserve">mg </w:t>
      </w:r>
      <w:r w:rsidRPr="00C40DD0">
        <w:rPr>
          <w:rFonts w:eastAsia="Times New Roman" w:cs="Arial"/>
          <w:color w:val="000000"/>
          <w:lang w:eastAsia="bg-BG"/>
        </w:rPr>
        <w:t>дневно (вижте също точка 4.2 „Пациенти с повишен риск от нежелани реакции“ и точка 4.4).</w:t>
      </w:r>
    </w:p>
    <w:p w14:paraId="0BB7238E" w14:textId="77777777" w:rsidR="00C40DD0" w:rsidRDefault="00C40DD0" w:rsidP="00C40DD0">
      <w:pPr>
        <w:spacing w:line="240" w:lineRule="auto"/>
        <w:rPr>
          <w:rFonts w:eastAsia="Times New Roman" w:cs="Arial"/>
          <w:i/>
          <w:iCs/>
          <w:color w:val="000000"/>
          <w:lang w:eastAsia="bg-BG"/>
        </w:rPr>
      </w:pPr>
    </w:p>
    <w:p w14:paraId="2E71E22A" w14:textId="7ED6A64F"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Пациенти с повишен риск от нежелани реакции (вижте точка 4.4)</w:t>
      </w:r>
    </w:p>
    <w:p w14:paraId="61FE3B93"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При пациенти с повишен риск от нежелани реакции, например анамнеза за стомашно- чревно заболяване или с рискови фактори за сърдечно-съдово заболяване, лечението трябва да се започне с доза от 7,5 </w:t>
      </w:r>
      <w:r w:rsidRPr="00C40DD0">
        <w:rPr>
          <w:rFonts w:eastAsia="Times New Roman" w:cs="Arial"/>
          <w:color w:val="000000"/>
          <w:lang w:val="en-US"/>
        </w:rPr>
        <w:t xml:space="preserve">mg </w:t>
      </w:r>
      <w:r w:rsidRPr="00C40DD0">
        <w:rPr>
          <w:rFonts w:eastAsia="Times New Roman" w:cs="Arial"/>
          <w:color w:val="000000"/>
          <w:lang w:eastAsia="bg-BG"/>
        </w:rPr>
        <w:t>дневно.</w:t>
      </w:r>
    </w:p>
    <w:p w14:paraId="09477F16" w14:textId="77777777" w:rsidR="00C40DD0" w:rsidRDefault="00C40DD0" w:rsidP="00C40DD0">
      <w:pPr>
        <w:spacing w:line="240" w:lineRule="auto"/>
        <w:rPr>
          <w:rFonts w:eastAsia="Times New Roman" w:cs="Arial"/>
          <w:i/>
          <w:iCs/>
          <w:color w:val="000000"/>
          <w:lang w:eastAsia="bg-BG"/>
        </w:rPr>
      </w:pPr>
    </w:p>
    <w:p w14:paraId="714059D4" w14:textId="0BDBC5FF"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Бъбречно увреждане (вижте точка 5.2)</w:t>
      </w:r>
    </w:p>
    <w:p w14:paraId="4CC31BA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Това лекарство е противопоказано при пациенти с тежка бъбречна недостатъчност, които не са на диализа. (вижте точка 4.3).</w:t>
      </w:r>
    </w:p>
    <w:p w14:paraId="740845B5"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При пациенти в краен стадий на бъбречна недостатъчност, подложени на хемодиализа, дозата не трябва да надвишава 7,5 </w:t>
      </w:r>
      <w:r w:rsidRPr="00C40DD0">
        <w:rPr>
          <w:rFonts w:eastAsia="Times New Roman" w:cs="Arial"/>
          <w:color w:val="000000"/>
          <w:lang w:val="en-US"/>
        </w:rPr>
        <w:t xml:space="preserve">mg </w:t>
      </w:r>
      <w:r w:rsidRPr="00C40DD0">
        <w:rPr>
          <w:rFonts w:eastAsia="Times New Roman" w:cs="Arial"/>
          <w:color w:val="000000"/>
          <w:lang w:eastAsia="bg-BG"/>
        </w:rPr>
        <w:t>дневно.</w:t>
      </w:r>
    </w:p>
    <w:p w14:paraId="7C671681"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При пациенти с леко до умерено бъбречно увреждане не се налага намаляване на дозата (т.е. пациенти с креатининов клирънс над 25 </w:t>
      </w:r>
      <w:r w:rsidRPr="00C40DD0">
        <w:rPr>
          <w:rFonts w:eastAsia="Times New Roman" w:cs="Arial"/>
          <w:color w:val="000000"/>
          <w:lang w:val="en-US"/>
        </w:rPr>
        <w:t>ml/min).</w:t>
      </w:r>
    </w:p>
    <w:p w14:paraId="250F8BDA" w14:textId="77777777" w:rsidR="00C40DD0" w:rsidRDefault="00C40DD0" w:rsidP="00C40DD0">
      <w:pPr>
        <w:spacing w:line="240" w:lineRule="auto"/>
        <w:rPr>
          <w:rFonts w:eastAsia="Times New Roman" w:cs="Arial"/>
          <w:i/>
          <w:iCs/>
          <w:color w:val="000000"/>
          <w:lang w:eastAsia="bg-BG"/>
        </w:rPr>
      </w:pPr>
    </w:p>
    <w:p w14:paraId="19D7467B" w14:textId="16E3325B"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Чернодробно увреждане (вижте точка 5.2)</w:t>
      </w:r>
    </w:p>
    <w:p w14:paraId="72B79AA6"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 се налага намаляване на дозата при пациенти с леко до умерено чернодробно увреждане. (За пациенти със силно нарушена чернодробна функция вижте точка 4.3).</w:t>
      </w:r>
    </w:p>
    <w:p w14:paraId="7FA512ED" w14:textId="77777777" w:rsidR="00C40DD0" w:rsidRDefault="00C40DD0" w:rsidP="00C40DD0">
      <w:pPr>
        <w:spacing w:line="240" w:lineRule="auto"/>
        <w:rPr>
          <w:rFonts w:eastAsia="Times New Roman" w:cs="Arial"/>
          <w:i/>
          <w:iCs/>
          <w:color w:val="000000"/>
          <w:lang w:eastAsia="bg-BG"/>
        </w:rPr>
      </w:pPr>
    </w:p>
    <w:p w14:paraId="08B4B477" w14:textId="6074E5E9"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Педиатрична популация</w:t>
      </w:r>
    </w:p>
    <w:p w14:paraId="177BEAE9"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Мелокс е противопоказан при деца и юноши под 16-годишна възраст (вижте точка 4.3).</w:t>
      </w:r>
    </w:p>
    <w:p w14:paraId="35326657" w14:textId="77777777" w:rsidR="00C40DD0" w:rsidRDefault="00C40DD0" w:rsidP="00C40DD0">
      <w:pPr>
        <w:spacing w:line="240" w:lineRule="auto"/>
        <w:rPr>
          <w:rFonts w:eastAsia="Times New Roman" w:cs="Arial"/>
          <w:color w:val="000000"/>
          <w:u w:val="single"/>
          <w:lang w:eastAsia="bg-BG"/>
        </w:rPr>
      </w:pPr>
    </w:p>
    <w:p w14:paraId="07EFB089" w14:textId="7AD414E4"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Дозировката при юноши над 16 години е същата, като пои възрастни.</w:t>
      </w:r>
    </w:p>
    <w:p w14:paraId="5D7986B5" w14:textId="77777777" w:rsidR="00C40DD0" w:rsidRDefault="00C40DD0" w:rsidP="00C40DD0">
      <w:pPr>
        <w:spacing w:line="240" w:lineRule="auto"/>
        <w:rPr>
          <w:rFonts w:eastAsia="Times New Roman" w:cs="Arial"/>
          <w:color w:val="000000"/>
          <w:u w:val="single"/>
          <w:lang w:eastAsia="bg-BG"/>
        </w:rPr>
      </w:pPr>
    </w:p>
    <w:p w14:paraId="11541A9D" w14:textId="698CE6A7" w:rsidR="00C40DD0" w:rsidRPr="00C40DD0" w:rsidRDefault="00C40DD0" w:rsidP="00C40DD0">
      <w:pPr>
        <w:pStyle w:val="Heading3"/>
        <w:rPr>
          <w:rFonts w:eastAsia="Times New Roman"/>
          <w:u w:val="single"/>
          <w:lang w:eastAsia="bg-BG"/>
        </w:rPr>
      </w:pPr>
      <w:r w:rsidRPr="00C40DD0">
        <w:rPr>
          <w:rFonts w:eastAsia="Times New Roman"/>
          <w:u w:val="single"/>
          <w:lang w:eastAsia="bg-BG"/>
        </w:rPr>
        <w:t>Начин на приложение</w:t>
      </w:r>
    </w:p>
    <w:p w14:paraId="628DBE4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Перорално приложение.</w:t>
      </w:r>
    </w:p>
    <w:p w14:paraId="74C029CD" w14:textId="77777777" w:rsidR="00C40DD0" w:rsidRPr="00C40DD0" w:rsidRDefault="00C40DD0" w:rsidP="00C40DD0"/>
    <w:p w14:paraId="5D9E65DA" w14:textId="0FE41D19" w:rsidR="009F77A4" w:rsidRDefault="002C50EE" w:rsidP="00387A66">
      <w:pPr>
        <w:pStyle w:val="Heading2"/>
      </w:pPr>
      <w:r>
        <w:t>4.3. Противопоказания</w:t>
      </w:r>
    </w:p>
    <w:p w14:paraId="3D3CF4BD" w14:textId="6685DA63" w:rsidR="00C40DD0" w:rsidRDefault="00C40DD0" w:rsidP="00C40DD0"/>
    <w:p w14:paraId="4ED3C68C"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Този лекарствен продукти е противопоказан в следните ситуации:</w:t>
      </w:r>
    </w:p>
    <w:p w14:paraId="1DD39F07"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7097A100"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трети триместър на бременността (вижте точка 4.6 Фертилитет, бременност и кърмене);</w:t>
      </w:r>
    </w:p>
    <w:p w14:paraId="1B0B94DF"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lastRenderedPageBreak/>
        <w:t>деца и юноши под 16 години;</w:t>
      </w:r>
    </w:p>
    <w:p w14:paraId="583B6673"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свръхчувствителност към вещества с подобно действие, например нестероидни противовъзпалителни средства (НСПВС), ацетилсалицилова киселина. Мелоксикам не</w:t>
      </w:r>
      <w:r>
        <w:rPr>
          <w:rFonts w:eastAsia="Times New Roman" w:cs="Arial"/>
          <w:color w:val="000000"/>
          <w:lang w:eastAsia="bg-BG"/>
        </w:rPr>
        <w:t xml:space="preserve"> </w:t>
      </w:r>
      <w:r w:rsidRPr="00C40DD0">
        <w:rPr>
          <w:rFonts w:eastAsia="Times New Roman" w:cs="Arial"/>
          <w:color w:val="000000"/>
          <w:lang w:eastAsia="bg-BG"/>
        </w:rPr>
        <w:t>трябва да бъде прилаган при пациенти с изявени симптоми на астма, назални полипи, ангиоедем или уртикария след прием на ацетилсалицилова киселина или други НСПВС, поради риск от прояви на кръстосана чувствителност;</w:t>
      </w:r>
    </w:p>
    <w:p w14:paraId="3FEE640C"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анамнеза за стомашно-чревно кървене или перфорация, свързани с предходно лечение с НСПВС;</w:t>
      </w:r>
    </w:p>
    <w:p w14:paraId="452546BD"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активна или анамнеза за повтаряща се пептична язва/ хеморагия (два или повече отделни епизода с доказана азвя или кървене);</w:t>
      </w:r>
    </w:p>
    <w:p w14:paraId="34D428BA"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силно нарушена чернодробна функция;</w:t>
      </w:r>
    </w:p>
    <w:p w14:paraId="47CB3023"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тежка бъбречна недостатъчност без диализа;</w:t>
      </w:r>
    </w:p>
    <w:p w14:paraId="3AB4373B"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стомашно-чревно кървене, анамнеза за мозъчно-съдово кървене или други нарушения, свързани с кървене;</w:t>
      </w:r>
    </w:p>
    <w:p w14:paraId="7D17DF7C"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периоперативна болка след аорто-коронарен байпас;</w:t>
      </w:r>
    </w:p>
    <w:p w14:paraId="75AC1E0A" w14:textId="77777777" w:rsid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тежка сърдечна недостатъчност;</w:t>
      </w:r>
    </w:p>
    <w:p w14:paraId="52E94B8A" w14:textId="3BB3A41F" w:rsidR="00C40DD0" w:rsidRPr="00C40DD0" w:rsidRDefault="00C40DD0" w:rsidP="00C40DD0">
      <w:pPr>
        <w:pStyle w:val="ListParagraph"/>
        <w:numPr>
          <w:ilvl w:val="0"/>
          <w:numId w:val="41"/>
        </w:numPr>
        <w:spacing w:line="240" w:lineRule="auto"/>
        <w:rPr>
          <w:rFonts w:eastAsia="Times New Roman" w:cs="Arial"/>
          <w:color w:val="000000"/>
          <w:lang w:eastAsia="bg-BG"/>
        </w:rPr>
      </w:pPr>
      <w:r w:rsidRPr="00C40DD0">
        <w:rPr>
          <w:rFonts w:eastAsia="Times New Roman" w:cs="Arial"/>
          <w:color w:val="000000"/>
          <w:lang w:eastAsia="bg-BG"/>
        </w:rPr>
        <w:t>редки наследствени заболявалия, които може да са несъвместими с някое от помощните вещетва (вижте точка 4.4 Специални предупреждения и предпазни мерки при употреба).</w:t>
      </w:r>
    </w:p>
    <w:p w14:paraId="1879F604" w14:textId="77777777" w:rsidR="00C40DD0" w:rsidRPr="00C40DD0" w:rsidRDefault="00C40DD0" w:rsidP="00C40DD0">
      <w:pPr>
        <w:spacing w:line="240" w:lineRule="auto"/>
        <w:rPr>
          <w:rFonts w:eastAsia="Times New Roman" w:cs="Arial"/>
          <w:color w:val="000000"/>
          <w:lang w:eastAsia="bg-BG"/>
        </w:rPr>
      </w:pPr>
    </w:p>
    <w:p w14:paraId="1C27CE53" w14:textId="64331E91" w:rsidR="009F77A4" w:rsidRDefault="002C50EE" w:rsidP="00387A66">
      <w:pPr>
        <w:pStyle w:val="Heading2"/>
      </w:pPr>
      <w:r>
        <w:t>4.4. Специални предупреждения и предпазни мерки при употреба</w:t>
      </w:r>
    </w:p>
    <w:p w14:paraId="18288322" w14:textId="653B7CC0" w:rsidR="00C40DD0" w:rsidRDefault="00C40DD0" w:rsidP="00C40DD0"/>
    <w:p w14:paraId="545D5669" w14:textId="77777777" w:rsidR="00C40DD0" w:rsidRDefault="00C40DD0" w:rsidP="00C40DD0">
      <w:pPr>
        <w:spacing w:line="240" w:lineRule="auto"/>
        <w:rPr>
          <w:rFonts w:eastAsia="Times New Roman" w:cs="Arial"/>
          <w:color w:val="000000"/>
          <w:lang w:eastAsia="bg-BG"/>
        </w:rPr>
      </w:pPr>
      <w:r w:rsidRPr="00C40DD0">
        <w:rPr>
          <w:rFonts w:eastAsia="Times New Roman" w:cs="Arial"/>
          <w:color w:val="000000"/>
          <w:lang w:eastAsia="bg-BG"/>
        </w:rPr>
        <w:t xml:space="preserve">Нежеланите лекарствени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(вижте точка 4.4 и гастроинтестинални и сърдечно-съдови рискове </w:t>
      </w:r>
    </w:p>
    <w:p w14:paraId="6ACE9056" w14:textId="02E989EF"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по-долу).</w:t>
      </w:r>
    </w:p>
    <w:p w14:paraId="05C66D34" w14:textId="77777777" w:rsidR="00C40DD0" w:rsidRDefault="00C40DD0" w:rsidP="00C40DD0">
      <w:pPr>
        <w:spacing w:line="240" w:lineRule="auto"/>
        <w:rPr>
          <w:rFonts w:eastAsia="Times New Roman" w:cs="Arial"/>
          <w:color w:val="000000"/>
          <w:lang w:eastAsia="bg-BG"/>
        </w:rPr>
      </w:pPr>
    </w:p>
    <w:p w14:paraId="1184236A" w14:textId="1BC8EA04"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Препоръчваната максимална дневна доза не трябва да се превишава в случай на недостатъчен терапевтичен ефект </w:t>
      </w:r>
      <w:r w:rsidRPr="00C40DD0">
        <w:rPr>
          <w:rFonts w:eastAsia="Times New Roman" w:cs="Arial"/>
          <w:i/>
          <w:iCs/>
          <w:color w:val="000000"/>
          <w:lang w:eastAsia="bg-BG"/>
        </w:rPr>
        <w:t>и</w:t>
      </w:r>
      <w:r w:rsidRPr="00C40DD0">
        <w:rPr>
          <w:rFonts w:eastAsia="Times New Roman" w:cs="Arial"/>
          <w:color w:val="000000"/>
          <w:lang w:eastAsia="bg-BG"/>
        </w:rPr>
        <w:t xml:space="preserve"> не трябва да се добавя допълнително НСПВС към лечението, тъй като това може да повиши токсичността, докато терапевтичното преимущество не е доказано. Едновременната употреба на мелоксикам с НСПВС, включително селективни инхибитори на циклооксигеназа-2, трябва да се избягва.</w:t>
      </w:r>
    </w:p>
    <w:p w14:paraId="577F5791" w14:textId="77777777" w:rsidR="00C40DD0" w:rsidRDefault="00C40DD0" w:rsidP="00C40DD0">
      <w:pPr>
        <w:spacing w:line="240" w:lineRule="auto"/>
        <w:rPr>
          <w:rFonts w:eastAsia="Times New Roman" w:cs="Arial"/>
          <w:color w:val="000000"/>
          <w:lang w:eastAsia="bg-BG"/>
        </w:rPr>
      </w:pPr>
    </w:p>
    <w:p w14:paraId="154F49D7" w14:textId="28581DE3"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Мелоксикам не е подходящ за лечението на пациенти, нуждаещи се от облекчение на остра болка.</w:t>
      </w:r>
    </w:p>
    <w:p w14:paraId="3B906214" w14:textId="77777777" w:rsidR="00C40DD0" w:rsidRDefault="00C40DD0" w:rsidP="00C40DD0">
      <w:pPr>
        <w:spacing w:line="240" w:lineRule="auto"/>
        <w:rPr>
          <w:rFonts w:eastAsia="Times New Roman" w:cs="Arial"/>
          <w:color w:val="000000"/>
          <w:lang w:eastAsia="bg-BG"/>
        </w:rPr>
      </w:pPr>
    </w:p>
    <w:p w14:paraId="1DD076A7" w14:textId="4B4F482A"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Клиничната полза от лечението трябва да се преосмисля при липсата на подобрение след няколко дни.</w:t>
      </w:r>
    </w:p>
    <w:p w14:paraId="42B75BE3" w14:textId="77777777" w:rsidR="00C40DD0" w:rsidRDefault="00C40DD0" w:rsidP="00C40DD0">
      <w:pPr>
        <w:spacing w:line="240" w:lineRule="auto"/>
        <w:rPr>
          <w:rFonts w:eastAsia="Times New Roman" w:cs="Arial"/>
          <w:color w:val="000000"/>
          <w:lang w:eastAsia="bg-BG"/>
        </w:rPr>
      </w:pPr>
    </w:p>
    <w:p w14:paraId="6164AB53" w14:textId="2D0F658B"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При анамнеза за езофагит, гастрит и/ или гастро-интестинална язва, трябва да се осигури тяхното пълно излекуване преди започване на лечение с мелоксикам. Периодично трябва да се следи за възможно възобновяване при пациенти, лекувани с мелоксикам, имащи анамнеза.</w:t>
      </w:r>
    </w:p>
    <w:p w14:paraId="17B3DE6E" w14:textId="77777777" w:rsidR="00C40DD0" w:rsidRDefault="00C40DD0" w:rsidP="00C40DD0">
      <w:pPr>
        <w:spacing w:line="240" w:lineRule="auto"/>
        <w:rPr>
          <w:rFonts w:eastAsia="Times New Roman" w:cs="Arial"/>
          <w:color w:val="000000"/>
          <w:u w:val="single"/>
          <w:lang w:eastAsia="bg-BG"/>
        </w:rPr>
      </w:pPr>
    </w:p>
    <w:p w14:paraId="6E0D7401" w14:textId="0F4CFDDE"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Гастроинтестинални ефекти</w:t>
      </w:r>
    </w:p>
    <w:p w14:paraId="152836F0"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Както и при другите НСПВС, гастроинтестинално (ГИ) кървене, язва или перфорация, които може да са фатални, могат да се проявят във всеки момент от лечението, със или без предупредителни симптоми, или предшестващо сериозно гастро-интестинално нарушение.</w:t>
      </w:r>
    </w:p>
    <w:p w14:paraId="543E0AEF" w14:textId="77777777" w:rsidR="00C40DD0" w:rsidRDefault="00C40DD0" w:rsidP="00C40DD0">
      <w:pPr>
        <w:rPr>
          <w:rFonts w:eastAsia="Times New Roman" w:cs="Arial"/>
          <w:color w:val="000000"/>
          <w:lang w:eastAsia="bg-BG"/>
        </w:rPr>
      </w:pPr>
    </w:p>
    <w:p w14:paraId="394069D8" w14:textId="77777777" w:rsidR="00C40DD0" w:rsidRPr="00C40DD0" w:rsidRDefault="00C40DD0" w:rsidP="00C40DD0">
      <w:pPr>
        <w:rPr>
          <w:rFonts w:eastAsia="Times New Roman" w:cs="Arial"/>
          <w:lang w:eastAsia="bg-BG"/>
        </w:rPr>
      </w:pPr>
      <w:r w:rsidRPr="00C40DD0">
        <w:rPr>
          <w:rFonts w:eastAsia="Times New Roman" w:cs="Arial"/>
          <w:color w:val="000000"/>
          <w:lang w:eastAsia="bg-BG"/>
        </w:rPr>
        <w:t>Рискът от стомашно-чревно кървене, язва или перфорация се повишава с увеличаване на дозата на НСПВС, при пациенти с анамнеза за язва, особено ако е усложнена от хеморагияили перфорация (вижте точка 43), както и при по-възрастни пациенти. Тези пациенти трябва да започнат лечение с най-ниската възможна доза. Едновременно лечение с предпазни средства (например мизопростол или инхибитори на протонната помпа)</w:t>
      </w:r>
      <w:r>
        <w:rPr>
          <w:rFonts w:eastAsia="Times New Roman" w:cs="Arial"/>
          <w:color w:val="000000"/>
          <w:lang w:eastAsia="bg-BG"/>
        </w:rPr>
        <w:t xml:space="preserve"> </w:t>
      </w:r>
      <w:r w:rsidRPr="00C40DD0">
        <w:rPr>
          <w:rFonts w:eastAsia="Times New Roman" w:cs="Arial"/>
          <w:color w:val="000000"/>
          <w:lang w:eastAsia="bg-BG"/>
        </w:rPr>
        <w:t>трябва да се обмисли при подобни пациенти, както и при пациенти, нуждаещи се от едновременно лечение с ниски дози ацетилсалицилова киселина или други лекарства, с вероятност да повишат стомашно-чревния риск (вижте точка 4.5 по-долу).</w:t>
      </w:r>
    </w:p>
    <w:p w14:paraId="5C8874DF" w14:textId="77777777" w:rsidR="00C40DD0" w:rsidRDefault="00C40DD0" w:rsidP="00C40DD0">
      <w:pPr>
        <w:spacing w:line="240" w:lineRule="auto"/>
        <w:rPr>
          <w:rFonts w:eastAsia="Times New Roman" w:cs="Arial"/>
          <w:color w:val="000000"/>
          <w:lang w:eastAsia="bg-BG"/>
        </w:rPr>
      </w:pPr>
    </w:p>
    <w:p w14:paraId="77296313" w14:textId="4C25ADC6"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Пациенти с анамнеза за стомашно-чревна токсичност, особено пациенти в старческа възраст, трябва да съобщават за всякакви необичайни абдоминални симптоми (по- специално ГИ кървене), особено в началната фаза на лечението.</w:t>
      </w:r>
    </w:p>
    <w:p w14:paraId="09F176CA" w14:textId="77777777" w:rsidR="00C40DD0" w:rsidRDefault="00C40DD0" w:rsidP="00C40DD0">
      <w:pPr>
        <w:spacing w:line="240" w:lineRule="auto"/>
        <w:rPr>
          <w:rFonts w:eastAsia="Times New Roman" w:cs="Arial"/>
          <w:color w:val="000000"/>
          <w:lang w:eastAsia="bg-BG"/>
        </w:rPr>
      </w:pPr>
    </w:p>
    <w:p w14:paraId="09CAC76B" w14:textId="60431E62" w:rsidR="00C40DD0" w:rsidRPr="00C40DD0" w:rsidRDefault="00C40DD0" w:rsidP="00C40DD0">
      <w:pPr>
        <w:spacing w:line="240" w:lineRule="auto"/>
        <w:rPr>
          <w:rFonts w:eastAsia="Times New Roman" w:cs="Arial"/>
          <w:color w:val="000000"/>
          <w:lang w:eastAsia="bg-BG"/>
        </w:rPr>
      </w:pPr>
      <w:r w:rsidRPr="00C40DD0">
        <w:rPr>
          <w:rFonts w:eastAsia="Times New Roman" w:cs="Arial"/>
          <w:color w:val="000000"/>
          <w:lang w:eastAsia="bg-BG"/>
        </w:rPr>
        <w:t xml:space="preserve">При пациенти, едновременно приемащи лекарства, които могат да увеличат риска от язва или кървене, като хепарин за терапевтично лечение или прилаган в гериатрията, антикоагуланти като варфарин, или други нестероидни противовъзпалителни средства, включително и ацетилсалицилова киселина, прилагана в дози ≥500 </w:t>
      </w:r>
      <w:r w:rsidRPr="00C40DD0">
        <w:rPr>
          <w:rFonts w:eastAsia="Times New Roman" w:cs="Arial"/>
          <w:color w:val="000000"/>
          <w:lang w:val="en-US"/>
        </w:rPr>
        <w:t xml:space="preserve">mg </w:t>
      </w:r>
      <w:r w:rsidRPr="00C40DD0">
        <w:rPr>
          <w:rFonts w:eastAsia="Times New Roman" w:cs="Arial"/>
          <w:color w:val="000000"/>
          <w:lang w:eastAsia="bg-BG"/>
        </w:rPr>
        <w:t xml:space="preserve">като еднократен прием или ≥3 </w:t>
      </w:r>
      <w:r w:rsidRPr="00C40DD0">
        <w:rPr>
          <w:rFonts w:eastAsia="Times New Roman" w:cs="Arial"/>
          <w:color w:val="000000"/>
          <w:lang w:val="en-US"/>
        </w:rPr>
        <w:t xml:space="preserve">g </w:t>
      </w:r>
      <w:r w:rsidRPr="00C40DD0">
        <w:rPr>
          <w:rFonts w:eastAsia="Times New Roman" w:cs="Arial"/>
          <w:color w:val="000000"/>
          <w:lang w:eastAsia="bg-BG"/>
        </w:rPr>
        <w:t>като обща дневна доза, не се препоръчва комбиниране с мелоксикам (вижте точка 4.5).</w:t>
      </w:r>
    </w:p>
    <w:p w14:paraId="74EF02E1" w14:textId="77777777" w:rsidR="00C40DD0" w:rsidRDefault="00C40DD0" w:rsidP="00C40DD0">
      <w:pPr>
        <w:spacing w:line="240" w:lineRule="auto"/>
        <w:rPr>
          <w:rFonts w:eastAsia="Times New Roman" w:cs="Arial"/>
          <w:color w:val="000000"/>
          <w:lang w:eastAsia="bg-BG"/>
        </w:rPr>
      </w:pPr>
    </w:p>
    <w:p w14:paraId="4350FC8F" w14:textId="0F66C70D"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При поява на стомашно-чревно кървене или язва при пациенти, приемащи мелоксикам, лечението трябва да бъде спряно.</w:t>
      </w:r>
    </w:p>
    <w:p w14:paraId="2A793344" w14:textId="77777777" w:rsidR="00C40DD0" w:rsidRDefault="00C40DD0" w:rsidP="00C40DD0">
      <w:pPr>
        <w:spacing w:line="240" w:lineRule="auto"/>
        <w:rPr>
          <w:rFonts w:eastAsia="Times New Roman" w:cs="Arial"/>
          <w:color w:val="000000"/>
          <w:lang w:eastAsia="bg-BG"/>
        </w:rPr>
      </w:pPr>
    </w:p>
    <w:p w14:paraId="14F5C5A1" w14:textId="104E64AE"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НСПВС трябва да се прилагат с внимание на пациенти с анамнеза за ГИ заболявания (улцерозен колит, болест на Кроя), тъй като възпалението при тези състояния може да се активира (вижте точка 4.8 Нежелани лекарствени реакции).</w:t>
      </w:r>
    </w:p>
    <w:p w14:paraId="3B261D33" w14:textId="77777777" w:rsidR="00C40DD0" w:rsidRDefault="00C40DD0" w:rsidP="00C40DD0">
      <w:pPr>
        <w:spacing w:line="240" w:lineRule="auto"/>
        <w:rPr>
          <w:rFonts w:eastAsia="Times New Roman" w:cs="Arial"/>
          <w:color w:val="000000"/>
          <w:u w:val="single"/>
          <w:lang w:eastAsia="bg-BG"/>
        </w:rPr>
      </w:pPr>
    </w:p>
    <w:p w14:paraId="33AB7680" w14:textId="06B07932"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Сърдечно-съдови и мозъчно-съдови ефекти</w:t>
      </w:r>
    </w:p>
    <w:p w14:paraId="53EDCB2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Необходимо е да се осигурят подходящо наблюдение и съвет за пациенти с анамнеза за хипертония и/или лека до умерена застойна сърдечна недостатъчност, тъй като има съобщения за отоци и задържане на течности, свързани с лечението с НСПВС.</w:t>
      </w:r>
    </w:p>
    <w:p w14:paraId="6496F838"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Препоръчва се клинично наблюдение на кръвното налягане при пациенти в риск, преди лечението и особено при започване на лечение с мелоксикам.</w:t>
      </w:r>
    </w:p>
    <w:p w14:paraId="3303D96B" w14:textId="77777777" w:rsidR="00C40DD0" w:rsidRDefault="00C40DD0" w:rsidP="00C40DD0">
      <w:pPr>
        <w:spacing w:line="240" w:lineRule="auto"/>
        <w:rPr>
          <w:rFonts w:eastAsia="Times New Roman" w:cs="Arial"/>
          <w:color w:val="000000"/>
          <w:lang w:eastAsia="bg-BG"/>
        </w:rPr>
      </w:pPr>
    </w:p>
    <w:p w14:paraId="0EBD7BE0" w14:textId="403B038C"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Клинични проучвания и епидемиологични данни показват, че употребата на някои НСПВС (особено във високи дози и при продължително приложение) може да бъде свързана с леко повишен риск от артериални тромботични събития (например миокарден инфаркт или инсулт). Няма достатъчно данни, за да се изключи такъв риск при мелоксикам.</w:t>
      </w:r>
    </w:p>
    <w:p w14:paraId="075BD619" w14:textId="77777777" w:rsidR="00C40DD0" w:rsidRDefault="00C40DD0" w:rsidP="00C40DD0">
      <w:pPr>
        <w:spacing w:line="240" w:lineRule="auto"/>
        <w:rPr>
          <w:rFonts w:eastAsia="Times New Roman" w:cs="Arial"/>
          <w:color w:val="000000"/>
          <w:lang w:eastAsia="bg-BG"/>
        </w:rPr>
      </w:pPr>
    </w:p>
    <w:p w14:paraId="1645F9B3" w14:textId="35B8A341"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Пациенти с неконтролирана хипертония, застойна сърдечна недостатъчност, установена исхемична болест на сърцето, заболяване на периферните артерии и/или мозъчно-съдова болест трябва да се лекуват с мелоксикам само след внимателно обмисляне. Такова обмисляне трябва да се прави преди започване на дългосрочно лечение на пациенти с рискови фактори за сърдечно-съдови събития (например хипертония, хиперлипидемия, захарен диабет, тютюнопушене).</w:t>
      </w:r>
    </w:p>
    <w:p w14:paraId="20EF7ACD" w14:textId="77777777" w:rsidR="00C40DD0" w:rsidRDefault="00C40DD0" w:rsidP="00C40DD0">
      <w:pPr>
        <w:spacing w:line="240" w:lineRule="auto"/>
        <w:rPr>
          <w:rFonts w:eastAsia="Times New Roman" w:cs="Arial"/>
          <w:color w:val="000000"/>
          <w:u w:val="single"/>
          <w:lang w:eastAsia="bg-BG"/>
        </w:rPr>
      </w:pPr>
    </w:p>
    <w:p w14:paraId="1588F9C8" w14:textId="69313C9E"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Кожни реакции</w:t>
      </w:r>
    </w:p>
    <w:p w14:paraId="46568658" w14:textId="77777777" w:rsidR="00C40DD0" w:rsidRPr="00C40DD0" w:rsidRDefault="00C40DD0" w:rsidP="00C40DD0">
      <w:pPr>
        <w:rPr>
          <w:rFonts w:eastAsia="Times New Roman" w:cs="Arial"/>
          <w:lang w:eastAsia="bg-BG"/>
        </w:rPr>
      </w:pPr>
      <w:r w:rsidRPr="00C40DD0">
        <w:rPr>
          <w:rFonts w:eastAsia="Times New Roman" w:cs="Arial"/>
          <w:color w:val="000000"/>
          <w:lang w:eastAsia="bg-BG"/>
        </w:rPr>
        <w:t xml:space="preserve">Съобщава се за животозастрашаващи кожни реакции като Синдром на Стивънс-Джонсън и токсична епидермална некролиза при употребата на мелоксикам. Необходимо е </w:t>
      </w:r>
      <w:r w:rsidRPr="00C40DD0">
        <w:rPr>
          <w:rFonts w:eastAsia="Times New Roman" w:cs="Arial"/>
          <w:color w:val="000000"/>
          <w:lang w:eastAsia="bg-BG"/>
        </w:rPr>
        <w:lastRenderedPageBreak/>
        <w:t>пациентите да бъдат предупредени за признаците и симптомите и внимателно наблюдавани за появата на такива кожни реакции. Рискът от поява на Синдром на Стивънс-Джонсън или токсична епидермална некролиза е най-висок през първите седмици от лечението. Ако са налице признаци или симптоми на токсична епидермална некролиза или Синдром на Стивънс-Джонсън (например прогресиращ кожен обрив, често с мехури и мукозни лезии), лечението с мелоксикам трябва да се преустанови. Най-добри резултати и овладяването на Синдром на Стивънс-Джонсън и токсична епидермална некролиза са</w:t>
      </w:r>
      <w:r>
        <w:rPr>
          <w:rFonts w:eastAsia="Times New Roman" w:cs="Arial"/>
          <w:color w:val="000000"/>
          <w:lang w:eastAsia="bg-BG"/>
        </w:rPr>
        <w:t xml:space="preserve"> </w:t>
      </w:r>
      <w:r w:rsidRPr="00C40DD0">
        <w:rPr>
          <w:rFonts w:eastAsia="Times New Roman" w:cs="Arial"/>
          <w:i/>
          <w:iCs/>
          <w:color w:val="000000"/>
          <w:lang w:eastAsia="bg-BG"/>
        </w:rPr>
        <w:t>налице</w:t>
      </w:r>
      <w:r w:rsidRPr="00C40DD0">
        <w:rPr>
          <w:rFonts w:eastAsia="Times New Roman" w:cs="Arial"/>
          <w:color w:val="000000"/>
          <w:lang w:eastAsia="bg-BG"/>
        </w:rPr>
        <w:t xml:space="preserve"> при ранното диагностициране и незабавно прекратяване на всяко подозирано лекарство. Ранното спиране на лечението е свързано с по-добра прогноза. Ако пациентът развие Синдром на Стивънс-Джонсън или токсична епидермална некролиза по време на приема на мелоксикам, този лекарствен продукт не трябва да се прилага отново на този пациент.</w:t>
      </w:r>
    </w:p>
    <w:p w14:paraId="006CA9C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Параметри на чернодробната и бъбречната функция</w:t>
      </w:r>
    </w:p>
    <w:p w14:paraId="63BACA0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Както при повечето НСПВС, рядко са съобщавани повишени нива на серумните трансаминази, повишен серумен билирубин или други параметри на чернодробната функция, както и увеличаване на серумния креатинин и азота от уреяга в кръвта, </w:t>
      </w:r>
      <w:r w:rsidRPr="00C40DD0">
        <w:rPr>
          <w:rFonts w:eastAsia="Times New Roman" w:cs="Arial"/>
          <w:i/>
          <w:iCs/>
          <w:color w:val="000000"/>
          <w:lang w:eastAsia="bg-BG"/>
        </w:rPr>
        <w:t>и</w:t>
      </w:r>
      <w:r w:rsidRPr="00C40DD0">
        <w:rPr>
          <w:rFonts w:eastAsia="Times New Roman" w:cs="Arial"/>
          <w:color w:val="000000"/>
          <w:lang w:eastAsia="bg-BG"/>
        </w:rPr>
        <w:t xml:space="preserve"> други лабораторни нарушения. В повечето случаи това са били незначителни и преходни повишения над нормалните стойности. Ако промените са значителни или постоянни, лечението с мелоксикам трябва да бъде прекъснато и да бъдат проведени съответните изследвания.</w:t>
      </w:r>
    </w:p>
    <w:p w14:paraId="1C50E69A" w14:textId="77777777" w:rsidR="00C40DD0" w:rsidRDefault="00C40DD0" w:rsidP="00C40DD0">
      <w:pPr>
        <w:spacing w:line="240" w:lineRule="auto"/>
        <w:rPr>
          <w:rFonts w:eastAsia="Times New Roman" w:cs="Arial"/>
          <w:color w:val="000000"/>
          <w:u w:val="single"/>
          <w:lang w:eastAsia="bg-BG"/>
        </w:rPr>
      </w:pPr>
    </w:p>
    <w:p w14:paraId="0FE657DA" w14:textId="23A216C9"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Функционална бъбречна недостатъчност</w:t>
      </w:r>
    </w:p>
    <w:p w14:paraId="507357FA" w14:textId="77777777" w:rsidR="00C40DD0" w:rsidRDefault="00C40DD0" w:rsidP="00C40DD0">
      <w:pPr>
        <w:spacing w:line="240" w:lineRule="auto"/>
        <w:rPr>
          <w:rFonts w:eastAsia="Times New Roman" w:cs="Arial"/>
          <w:color w:val="000000"/>
          <w:lang w:eastAsia="bg-BG"/>
        </w:rPr>
      </w:pPr>
      <w:r w:rsidRPr="00C40DD0">
        <w:rPr>
          <w:rFonts w:eastAsia="Times New Roman" w:cs="Arial"/>
          <w:color w:val="000000"/>
          <w:lang w:eastAsia="bg-BG"/>
        </w:rPr>
        <w:t>Посредством инхибиране на вазодилатиращия ефект на бъбречните простагландини, НСПВС могат да предизвикат функционална бъбречна недостатъчност чрез намаляване на гломерулната филтрация. Този нежелан ефект е дозозависим. В началото на лечението или след увеличаване на дозата се препоръчва внимателно мониториране на бъбречната функция, включително обема на диурезата, при пациенти със следните рискови фактори:</w:t>
      </w:r>
    </w:p>
    <w:p w14:paraId="523A6A00"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пациенти в старческа възраст,</w:t>
      </w:r>
    </w:p>
    <w:p w14:paraId="36AB0ABE"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съпъстващо лечение с лекарства като АСЕ инхибитори, ангиотензин II антагонисти, сартани, диуретици (вижте точка 4.5 Взаимодействие с други лекарствени продукти и други форми на взаимодействие),</w:t>
      </w:r>
    </w:p>
    <w:p w14:paraId="2C32D99C"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хиповолемия (с различен произход),</w:t>
      </w:r>
    </w:p>
    <w:p w14:paraId="764845A6"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застойна сърдечна недостатъчност,</w:t>
      </w:r>
    </w:p>
    <w:p w14:paraId="38A6E597"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бъбречна недостатъчност,</w:t>
      </w:r>
    </w:p>
    <w:p w14:paraId="6259886F"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нефротичен синдром,</w:t>
      </w:r>
    </w:p>
    <w:p w14:paraId="0B627CB5" w14:textId="77777777"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лупусна нефропатия,</w:t>
      </w:r>
    </w:p>
    <w:p w14:paraId="56F30202" w14:textId="3723DAE9" w:rsidR="00C40DD0" w:rsidRPr="00C40DD0" w:rsidRDefault="00C40DD0" w:rsidP="00C40DD0">
      <w:pPr>
        <w:pStyle w:val="ListParagraph"/>
        <w:numPr>
          <w:ilvl w:val="0"/>
          <w:numId w:val="42"/>
        </w:numPr>
        <w:spacing w:line="240" w:lineRule="auto"/>
        <w:rPr>
          <w:rFonts w:eastAsia="Times New Roman" w:cs="Arial"/>
          <w:lang w:eastAsia="bg-BG"/>
        </w:rPr>
      </w:pPr>
      <w:r w:rsidRPr="00C40DD0">
        <w:rPr>
          <w:rFonts w:eastAsia="Times New Roman" w:cs="Arial"/>
          <w:color w:val="000000"/>
          <w:lang w:eastAsia="bg-BG"/>
        </w:rPr>
        <w:t xml:space="preserve">тежка чернодробна дисфункция (серумен албумин &lt;25 </w:t>
      </w:r>
      <w:r w:rsidRPr="00C40DD0">
        <w:rPr>
          <w:rFonts w:eastAsia="Times New Roman" w:cs="Arial"/>
          <w:color w:val="000000"/>
          <w:lang w:val="en-US"/>
        </w:rPr>
        <w:t xml:space="preserve">g/l </w:t>
      </w:r>
      <w:r w:rsidRPr="00C40DD0">
        <w:rPr>
          <w:rFonts w:eastAsia="Times New Roman" w:cs="Arial"/>
          <w:color w:val="000000"/>
          <w:lang w:eastAsia="bg-BG"/>
        </w:rPr>
        <w:t xml:space="preserve">или </w:t>
      </w:r>
      <w:r w:rsidRPr="00C40DD0">
        <w:rPr>
          <w:rFonts w:eastAsia="Times New Roman" w:cs="Arial"/>
          <w:color w:val="000000"/>
          <w:lang w:val="en-US"/>
        </w:rPr>
        <w:t>Child-Pugh score</w:t>
      </w:r>
      <w:r>
        <w:rPr>
          <w:rFonts w:eastAsia="Times New Roman" w:cs="Arial"/>
          <w:color w:val="000000"/>
        </w:rPr>
        <w:t xml:space="preserve"> </w:t>
      </w:r>
      <w:r w:rsidRPr="00C40DD0">
        <w:rPr>
          <w:rFonts w:eastAsia="Times New Roman" w:cs="Arial"/>
          <w:color w:val="000000"/>
          <w:lang w:eastAsia="bg-BG"/>
        </w:rPr>
        <w:t>≥10).</w:t>
      </w:r>
    </w:p>
    <w:p w14:paraId="7C871AC2" w14:textId="77777777" w:rsidR="00C40DD0" w:rsidRDefault="00C40DD0" w:rsidP="00C40DD0">
      <w:pPr>
        <w:spacing w:line="240" w:lineRule="auto"/>
        <w:rPr>
          <w:rFonts w:eastAsia="Times New Roman" w:cs="Arial"/>
          <w:color w:val="000000"/>
          <w:lang w:eastAsia="bg-BG"/>
        </w:rPr>
      </w:pPr>
    </w:p>
    <w:p w14:paraId="43A0DB05" w14:textId="7591FC40"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В редки случаи НСПВС могат да причинят интерстициален нефрит, гломерулонефрит, бъбречна медуларна некроза или нефротичен синдром.</w:t>
      </w:r>
    </w:p>
    <w:p w14:paraId="20C2EB95" w14:textId="77777777" w:rsidR="00C40DD0" w:rsidRDefault="00C40DD0" w:rsidP="00C40DD0">
      <w:pPr>
        <w:spacing w:line="240" w:lineRule="auto"/>
        <w:rPr>
          <w:rFonts w:eastAsia="Times New Roman" w:cs="Arial"/>
          <w:color w:val="000000"/>
          <w:lang w:eastAsia="bg-BG"/>
        </w:rPr>
      </w:pPr>
    </w:p>
    <w:p w14:paraId="0CFF35EC" w14:textId="661A79E3"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Дозата мелоксикам при пациенти с краен стадий на бъбречна недостатъчност, подложени на хемодиализа, не трябва да надвишава 7,5 </w:t>
      </w:r>
      <w:r w:rsidRPr="00C40DD0">
        <w:rPr>
          <w:rFonts w:eastAsia="Times New Roman" w:cs="Arial"/>
          <w:color w:val="000000"/>
          <w:lang w:val="en-US"/>
        </w:rPr>
        <w:t xml:space="preserve">mg. </w:t>
      </w:r>
      <w:r w:rsidRPr="00C40DD0">
        <w:rPr>
          <w:rFonts w:eastAsia="Times New Roman" w:cs="Arial"/>
          <w:color w:val="000000"/>
          <w:lang w:eastAsia="bg-BG"/>
        </w:rPr>
        <w:t xml:space="preserve">При пациенти с леко до умерено бъбречно нарушение не се налага намаляване на дозата (например пациенти с креатининов клирьнс по-висок от 25 </w:t>
      </w:r>
      <w:r w:rsidRPr="00C40DD0">
        <w:rPr>
          <w:rFonts w:eastAsia="Times New Roman" w:cs="Arial"/>
          <w:color w:val="000000"/>
          <w:lang w:val="en-US"/>
        </w:rPr>
        <w:t>ml/min).</w:t>
      </w:r>
    </w:p>
    <w:p w14:paraId="231D0FB1" w14:textId="77777777" w:rsidR="00C40DD0" w:rsidRDefault="00C40DD0" w:rsidP="00C40DD0">
      <w:pPr>
        <w:spacing w:line="240" w:lineRule="auto"/>
        <w:rPr>
          <w:rFonts w:eastAsia="Times New Roman" w:cs="Arial"/>
          <w:color w:val="000000"/>
          <w:u w:val="single"/>
          <w:lang w:eastAsia="bg-BG"/>
        </w:rPr>
      </w:pPr>
    </w:p>
    <w:p w14:paraId="35C44FD0" w14:textId="70D47F1B"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Задържане на натрий, калий и вода</w:t>
      </w:r>
    </w:p>
    <w:p w14:paraId="4736B76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lastRenderedPageBreak/>
        <w:t>При приложение на НСПВС е възможно възникване на задръжка на натрий, калий и вода, както и взаимодействие с натриуретичния ефект на диуретиците. Освен това може да се появи понижаване иа антихипертензивния ефект на антихипертензивните лекарства. При податливи пациенти вероятния резултат е задълбочаване или обостряне на сърдечна недостатъчност, хипертония или едем. За рискови пациенти се препоръчва клинично мониториране (вижте точки 4.2 и 4.3).</w:t>
      </w:r>
    </w:p>
    <w:p w14:paraId="06BAA6CE" w14:textId="77777777" w:rsidR="00C40DD0" w:rsidRDefault="00C40DD0" w:rsidP="00C40DD0">
      <w:pPr>
        <w:spacing w:line="240" w:lineRule="auto"/>
        <w:rPr>
          <w:rFonts w:eastAsia="Times New Roman" w:cs="Arial"/>
          <w:color w:val="000000"/>
          <w:u w:val="single"/>
          <w:lang w:eastAsia="bg-BG"/>
        </w:rPr>
      </w:pPr>
    </w:p>
    <w:p w14:paraId="1927BAC6" w14:textId="2CEFCDE5"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Хиперкалиемия</w:t>
      </w:r>
    </w:p>
    <w:p w14:paraId="4087226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Хиперкалиемията може да се благоприятства при болни от диабет или при съпровождаща терапия, водеща до повишени нива на калий (вижте точка 4.5). В такива случаи трябва да се извършва редовно мониториране на нивата на калий.</w:t>
      </w:r>
    </w:p>
    <w:p w14:paraId="63D8E10E" w14:textId="77777777" w:rsidR="00C40DD0" w:rsidRDefault="00C40DD0" w:rsidP="00C40DD0">
      <w:pPr>
        <w:spacing w:line="240" w:lineRule="auto"/>
        <w:rPr>
          <w:rFonts w:eastAsia="Times New Roman" w:cs="Arial"/>
          <w:color w:val="000000"/>
          <w:u w:val="single"/>
          <w:lang w:eastAsia="bg-BG"/>
        </w:rPr>
      </w:pPr>
    </w:p>
    <w:p w14:paraId="1B3F2814" w14:textId="333A6F9E"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Комбинация с пеметрексед</w:t>
      </w:r>
    </w:p>
    <w:p w14:paraId="60F14142"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При пациенти с леко до умерено бъбречно увреждане, приемащи пеметрексед, мелоксикам трябва да бъде прекъснат най-малко за период от 5 дни преди приложението му, в деня на приложението и 2 дни след приложението на пеметрексед (вижте точка 4.5).</w:t>
      </w:r>
    </w:p>
    <w:p w14:paraId="0BC193D2" w14:textId="77777777" w:rsidR="00C40DD0" w:rsidRDefault="00C40DD0" w:rsidP="00C40DD0">
      <w:pPr>
        <w:spacing w:line="240" w:lineRule="auto"/>
        <w:rPr>
          <w:rFonts w:eastAsia="Times New Roman" w:cs="Arial"/>
          <w:color w:val="000000"/>
          <w:u w:val="single"/>
          <w:lang w:eastAsia="bg-BG"/>
        </w:rPr>
      </w:pPr>
    </w:p>
    <w:p w14:paraId="22617172" w14:textId="123EBC11"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Други предупреждения и предпазни мерки</w:t>
      </w:r>
    </w:p>
    <w:p w14:paraId="0F49EE8B"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Пациенти в старческа възраст, слаби или немощни пациенти, обикновено понасят нежеланите лекарствени реакции по-трудно и такива болни трябва да бъдат внимателно наблюдавани. Както и при другите НСПВС, лекарственият продукт трябва да се прилага внимателно при пациенти в напреднала възраст, за които съществува по-голяма вероятност да страдат от нарушения на бъбречната, чернодробната или сърдечната функции. При пациентите в старческа възраст нежеланите лекарствени реакции на НСПВС могат да бъдат по-чести, особено гастроинтестинално кървене и перфорация, които могат да бъдат фатални (вижте точка 4.2).</w:t>
      </w:r>
    </w:p>
    <w:p w14:paraId="5D799413" w14:textId="77777777" w:rsidR="00C40DD0" w:rsidRDefault="00C40DD0" w:rsidP="00C40DD0">
      <w:pPr>
        <w:spacing w:line="240" w:lineRule="auto"/>
        <w:rPr>
          <w:rFonts w:eastAsia="Times New Roman" w:cs="Arial"/>
          <w:color w:val="000000"/>
          <w:lang w:eastAsia="bg-BG"/>
        </w:rPr>
      </w:pPr>
    </w:p>
    <w:p w14:paraId="225112F4" w14:textId="1C50A93F"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Мелоксикам, както и другите НСПВС, може да маскира симптомите на вече съществуващо инфекциозно заболяване.</w:t>
      </w:r>
    </w:p>
    <w:p w14:paraId="5B633642" w14:textId="77777777" w:rsidR="00C40DD0" w:rsidRDefault="00C40DD0" w:rsidP="00C40DD0">
      <w:pPr>
        <w:spacing w:line="240" w:lineRule="auto"/>
        <w:rPr>
          <w:rFonts w:eastAsia="Times New Roman" w:cs="Arial"/>
          <w:color w:val="000000"/>
          <w:lang w:eastAsia="bg-BG"/>
        </w:rPr>
      </w:pPr>
    </w:p>
    <w:p w14:paraId="1B50E6EC" w14:textId="1C3293F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Употребата на мелоксикам може да наруши женския фертилитет и не се препоръчва при жени, които правят опити да заченат. По тази причина при жените, които имат затруднения да забременият или провеждат изследвания за стерилитет, трябва да се прекрати употребата на мелоксикам.</w:t>
      </w:r>
    </w:p>
    <w:p w14:paraId="1CCA2C64" w14:textId="77777777" w:rsidR="00C40DD0" w:rsidRDefault="00C40DD0" w:rsidP="00C40DD0">
      <w:pPr>
        <w:spacing w:line="240" w:lineRule="auto"/>
        <w:rPr>
          <w:rFonts w:eastAsia="Times New Roman" w:cs="Arial"/>
          <w:b/>
          <w:bCs/>
          <w:color w:val="000000"/>
          <w:lang w:eastAsia="bg-BG"/>
        </w:rPr>
      </w:pPr>
    </w:p>
    <w:p w14:paraId="09B79BC4" w14:textId="08255F6A" w:rsidR="00C40DD0" w:rsidRPr="00C40DD0" w:rsidRDefault="00C40DD0" w:rsidP="00C40DD0">
      <w:pPr>
        <w:spacing w:line="240" w:lineRule="auto"/>
        <w:rPr>
          <w:rFonts w:eastAsia="Times New Roman" w:cs="Arial"/>
          <w:lang w:eastAsia="bg-BG"/>
        </w:rPr>
      </w:pPr>
      <w:r w:rsidRPr="00C40DD0">
        <w:rPr>
          <w:rFonts w:eastAsia="Times New Roman" w:cs="Arial"/>
          <w:b/>
          <w:bCs/>
          <w:color w:val="000000"/>
          <w:lang w:eastAsia="bg-BG"/>
        </w:rPr>
        <w:t xml:space="preserve">Мелокс съдържа лактоза. </w:t>
      </w:r>
      <w:r w:rsidRPr="00C40DD0">
        <w:rPr>
          <w:rFonts w:eastAsia="Times New Roman" w:cs="Arial"/>
          <w:color w:val="000000"/>
          <w:lang w:eastAsia="bg-BG"/>
        </w:rPr>
        <w:t xml:space="preserve">Пациентите с редки наследствени проблеми като галакгозна непоносимост, </w:t>
      </w:r>
      <w:r w:rsidRPr="00C40DD0">
        <w:rPr>
          <w:rFonts w:eastAsia="Times New Roman" w:cs="Arial"/>
          <w:color w:val="000000"/>
          <w:lang w:val="en-US"/>
        </w:rPr>
        <w:t>Lapp</w:t>
      </w:r>
      <w:r w:rsidRPr="00C40DD0">
        <w:rPr>
          <w:rFonts w:eastAsia="Times New Roman" w:cs="Arial"/>
          <w:color w:val="000000"/>
          <w:lang w:eastAsia="bg-BG"/>
        </w:rPr>
        <w:t>-лактазен дефицит или покозо-галактозна малабсорбция не трябва да приемат това лекарство.</w:t>
      </w:r>
    </w:p>
    <w:p w14:paraId="4635586A" w14:textId="77777777" w:rsidR="00C40DD0" w:rsidRDefault="00C40DD0" w:rsidP="00C40DD0">
      <w:pPr>
        <w:spacing w:line="240" w:lineRule="auto"/>
        <w:rPr>
          <w:rFonts w:eastAsia="Times New Roman" w:cs="Arial"/>
          <w:color w:val="000000"/>
          <w:lang w:eastAsia="bg-BG"/>
        </w:rPr>
      </w:pPr>
    </w:p>
    <w:p w14:paraId="63DF723C" w14:textId="1315CBBA"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Това лекарство съдържа по-малко от 1 </w:t>
      </w:r>
      <w:r w:rsidRPr="00C40DD0">
        <w:rPr>
          <w:rFonts w:eastAsia="Times New Roman" w:cs="Arial"/>
          <w:color w:val="000000"/>
          <w:lang w:val="en-US"/>
        </w:rPr>
        <w:t xml:space="preserve">mmol </w:t>
      </w:r>
      <w:r w:rsidRPr="00C40DD0">
        <w:rPr>
          <w:rFonts w:eastAsia="Times New Roman" w:cs="Arial"/>
          <w:color w:val="000000"/>
          <w:lang w:eastAsia="bg-BG"/>
        </w:rPr>
        <w:t xml:space="preserve">натрий (23 </w:t>
      </w:r>
      <w:r w:rsidRPr="00C40DD0">
        <w:rPr>
          <w:rFonts w:eastAsia="Times New Roman" w:cs="Arial"/>
          <w:color w:val="000000"/>
          <w:lang w:val="en-US"/>
        </w:rPr>
        <w:t>m</w:t>
      </w:r>
      <w:r w:rsidRPr="00C40DD0">
        <w:rPr>
          <w:rFonts w:eastAsia="Times New Roman" w:cs="Arial"/>
          <w:color w:val="000000"/>
          <w:lang w:eastAsia="bg-BG"/>
        </w:rPr>
        <w:t>) на таблетка, т.е. се счита, че практически не съдържа натрий.</w:t>
      </w:r>
    </w:p>
    <w:p w14:paraId="6C9386CB" w14:textId="77777777" w:rsidR="00C40DD0" w:rsidRPr="00C40DD0" w:rsidRDefault="00C40DD0" w:rsidP="00C40DD0"/>
    <w:p w14:paraId="1DA47448" w14:textId="078DBD0B"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6399FD00" w14:textId="258BD712" w:rsidR="00C40DD0" w:rsidRDefault="00C40DD0" w:rsidP="00C40DD0"/>
    <w:p w14:paraId="71879FDC"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Рискове, свързани с хиперкалиемия</w:t>
      </w:r>
    </w:p>
    <w:p w14:paraId="7B0CAD2F"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Определени лекарстевни продукти или терапевтични групи могат да предизвикат хиперкалиемия: калиеви соли, калий-съхраняващи диуретици, инхибитори на ангиотензин- конвертиращия ензим (АСЕ), ангиотензин-</w:t>
      </w:r>
      <w:r w:rsidRPr="00C40DD0">
        <w:rPr>
          <w:rFonts w:eastAsia="Times New Roman" w:cs="Arial"/>
          <w:color w:val="000000"/>
          <w:lang w:val="en-US"/>
        </w:rPr>
        <w:t>II</w:t>
      </w:r>
      <w:r w:rsidRPr="00C40DD0">
        <w:rPr>
          <w:rFonts w:eastAsia="Times New Roman" w:cs="Arial"/>
          <w:color w:val="000000"/>
          <w:lang w:eastAsia="bg-BG"/>
        </w:rPr>
        <w:t xml:space="preserve"> рецепторни антагонисти, </w:t>
      </w:r>
      <w:r w:rsidRPr="00C40DD0">
        <w:rPr>
          <w:rFonts w:eastAsia="Times New Roman" w:cs="Arial"/>
          <w:color w:val="000000"/>
          <w:lang w:eastAsia="bg-BG"/>
        </w:rPr>
        <w:lastRenderedPageBreak/>
        <w:t>нестероидни противовъзпалителни средства, (нискомолекулни или нефракциониранн) хепарини, циклоспорин, такролимус и триметоприм.</w:t>
      </w:r>
    </w:p>
    <w:p w14:paraId="305CE46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Възникването на хиперкалиемия може да зависи от наличието на взаимно свързани фактори. Този риск се повишава като горепосочените лекарствени продукти се прилагат едновременно с мелоксикам.</w:t>
      </w:r>
    </w:p>
    <w:p w14:paraId="37125E59" w14:textId="77777777" w:rsidR="00C40DD0" w:rsidRPr="00C40DD0" w:rsidRDefault="00C40DD0" w:rsidP="00C40DD0">
      <w:pPr>
        <w:spacing w:line="240" w:lineRule="auto"/>
        <w:rPr>
          <w:rFonts w:eastAsia="Times New Roman" w:cs="Arial"/>
          <w:color w:val="000000"/>
          <w:u w:val="single"/>
          <w:lang w:eastAsia="bg-BG"/>
        </w:rPr>
      </w:pPr>
    </w:p>
    <w:p w14:paraId="76B40947" w14:textId="0C2308B9"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Фармакодинамични взаимодействия</w:t>
      </w:r>
    </w:p>
    <w:p w14:paraId="22CA612C" w14:textId="77777777" w:rsidR="00C40DD0" w:rsidRPr="00C40DD0" w:rsidRDefault="00C40DD0" w:rsidP="00C40DD0">
      <w:pPr>
        <w:spacing w:line="240" w:lineRule="auto"/>
        <w:rPr>
          <w:rFonts w:eastAsia="Times New Roman" w:cs="Arial"/>
          <w:i/>
          <w:iCs/>
          <w:color w:val="000000"/>
          <w:lang w:eastAsia="bg-BG"/>
        </w:rPr>
      </w:pPr>
    </w:p>
    <w:p w14:paraId="73D4E745" w14:textId="37F943D8" w:rsidR="00C40DD0" w:rsidRPr="00C40DD0" w:rsidRDefault="00C40DD0" w:rsidP="00C40DD0">
      <w:pPr>
        <w:spacing w:line="240" w:lineRule="auto"/>
        <w:rPr>
          <w:rFonts w:eastAsia="Times New Roman" w:cs="Arial"/>
          <w:i/>
          <w:iCs/>
          <w:color w:val="000000"/>
          <w:lang w:eastAsia="bg-BG"/>
        </w:rPr>
      </w:pPr>
      <w:r w:rsidRPr="00C40DD0">
        <w:rPr>
          <w:rFonts w:eastAsia="Times New Roman" w:cs="Arial"/>
          <w:i/>
          <w:iCs/>
          <w:color w:val="000000"/>
          <w:lang w:eastAsia="bg-BG"/>
        </w:rPr>
        <w:t>Д</w:t>
      </w:r>
      <w:r w:rsidRPr="00C40DD0">
        <w:rPr>
          <w:rFonts w:eastAsia="Times New Roman" w:cs="Arial"/>
          <w:i/>
          <w:iCs/>
          <w:color w:val="000000"/>
          <w:lang w:eastAsia="bg-BG"/>
        </w:rPr>
        <w:t>руги нестероидни противовъзпалителни срества (НСПВС) и ацетилсалицилова киселина</w:t>
      </w:r>
    </w:p>
    <w:p w14:paraId="713D643F"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Едновременното приложение (вижте точка 4.4) с други нестероидни противовъзпалителни средства, включително ацетилсалицилова киселина, прилагана в дози ≥ 500 </w:t>
      </w:r>
      <w:r w:rsidRPr="00C40DD0">
        <w:rPr>
          <w:rFonts w:eastAsia="Times New Roman" w:cs="Arial"/>
          <w:color w:val="000000"/>
          <w:lang w:val="en-US"/>
        </w:rPr>
        <w:t xml:space="preserve">mg </w:t>
      </w:r>
      <w:r w:rsidRPr="00C40DD0">
        <w:rPr>
          <w:rFonts w:eastAsia="Times New Roman" w:cs="Arial"/>
          <w:color w:val="000000"/>
          <w:lang w:eastAsia="bg-BG"/>
        </w:rPr>
        <w:t xml:space="preserve">като еднократен прием или ≥ 3 </w:t>
      </w:r>
      <w:r w:rsidRPr="00C40DD0">
        <w:rPr>
          <w:rFonts w:eastAsia="Times New Roman" w:cs="Arial"/>
          <w:color w:val="000000"/>
          <w:lang w:val="en-US"/>
        </w:rPr>
        <w:t xml:space="preserve">g </w:t>
      </w:r>
      <w:r w:rsidRPr="00C40DD0">
        <w:rPr>
          <w:rFonts w:eastAsia="Times New Roman" w:cs="Arial"/>
          <w:color w:val="000000"/>
          <w:lang w:eastAsia="bg-BG"/>
        </w:rPr>
        <w:t>като обща дневна доза) не се препоръчва.</w:t>
      </w:r>
    </w:p>
    <w:p w14:paraId="1BE90C6B" w14:textId="77777777" w:rsidR="00C40DD0" w:rsidRDefault="00C40DD0" w:rsidP="00C40DD0">
      <w:pPr>
        <w:spacing w:line="240" w:lineRule="auto"/>
        <w:rPr>
          <w:rFonts w:eastAsia="Times New Roman" w:cs="Arial"/>
          <w:i/>
          <w:iCs/>
          <w:color w:val="000000"/>
          <w:lang w:eastAsia="bg-BG"/>
        </w:rPr>
      </w:pPr>
    </w:p>
    <w:p w14:paraId="5B3BB98C" w14:textId="335696EF"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Кортикостероиди (например глюкокортикоиди):</w:t>
      </w:r>
    </w:p>
    <w:p w14:paraId="1D4A2905"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Едновременната употреба с кортикостероиди изисква внимание поради повишен риск от кървене или гастроинтестинална язва.</w:t>
      </w:r>
    </w:p>
    <w:p w14:paraId="260F0B93" w14:textId="77777777" w:rsidR="00C40DD0" w:rsidRDefault="00C40DD0" w:rsidP="00C40DD0">
      <w:pPr>
        <w:spacing w:line="240" w:lineRule="auto"/>
        <w:rPr>
          <w:rFonts w:eastAsia="Times New Roman" w:cs="Arial"/>
          <w:i/>
          <w:iCs/>
          <w:color w:val="000000"/>
          <w:lang w:eastAsia="bg-BG"/>
        </w:rPr>
      </w:pPr>
    </w:p>
    <w:p w14:paraId="411473A4" w14:textId="568E242F"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Антикоагуланти или хепарин</w:t>
      </w:r>
    </w:p>
    <w:p w14:paraId="48A537B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Съществува повишен риск от кървене, поради потискане на функциите на тромбоцитите и увреждане на лигавицата на стомаха и дванадесетопръстника. НСПВС могат да повишат ефектите на антикоагулантите като варфарин (вижте точка 4.4). Едновременното приложение на НСПВС с антикоагуланти или хепарин, прилагани в гериатрията, или при терапевтични дози не се препоръчва (вижте точка 4.4).</w:t>
      </w:r>
    </w:p>
    <w:p w14:paraId="055738DB"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В оставащите случаи на употреба (например профилактични дози) с хепарин е необходимо внимание, поради повишен риск от кървене.</w:t>
      </w:r>
    </w:p>
    <w:p w14:paraId="7E2CE712"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Ако не може да бъде избегнато едновременното предписване на такива лекарствени продукти е необходимо внимателно мониториране на ефектите на антикоагулантите.</w:t>
      </w:r>
    </w:p>
    <w:p w14:paraId="506DBD60" w14:textId="77777777" w:rsidR="00C40DD0" w:rsidRDefault="00C40DD0" w:rsidP="00C40DD0">
      <w:pPr>
        <w:spacing w:line="240" w:lineRule="auto"/>
        <w:rPr>
          <w:rFonts w:eastAsia="Times New Roman" w:cs="Arial"/>
          <w:i/>
          <w:iCs/>
          <w:color w:val="000000"/>
          <w:lang w:eastAsia="bg-BG"/>
        </w:rPr>
      </w:pPr>
    </w:p>
    <w:p w14:paraId="1BA9A29D" w14:textId="2A3BBA7B"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Трамболитици и антитромботични лекарства</w:t>
      </w:r>
    </w:p>
    <w:p w14:paraId="55D02B4A"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Повишен риск от кървене, поради потискане на функциите на тромбоцитите и увреждане на лигавицата на стомаха и дванадесетопръстника.</w:t>
      </w:r>
    </w:p>
    <w:p w14:paraId="2D65269E" w14:textId="77777777" w:rsidR="00C40DD0" w:rsidRDefault="00C40DD0" w:rsidP="00C40DD0">
      <w:pPr>
        <w:spacing w:line="240" w:lineRule="auto"/>
        <w:rPr>
          <w:rFonts w:eastAsia="Times New Roman" w:cs="Arial"/>
          <w:i/>
          <w:iCs/>
          <w:color w:val="000000"/>
          <w:lang w:eastAsia="bg-BG"/>
        </w:rPr>
      </w:pPr>
    </w:p>
    <w:p w14:paraId="2E198FF3" w14:textId="1D06EAA9"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 xml:space="preserve">Селективни инхибитори на обратното захващане на серотонина </w:t>
      </w:r>
      <w:r w:rsidRPr="00C40DD0">
        <w:rPr>
          <w:rFonts w:eastAsia="Times New Roman" w:cs="Arial"/>
          <w:i/>
          <w:iCs/>
          <w:color w:val="000000"/>
          <w:lang w:val="en-US"/>
        </w:rPr>
        <w:t xml:space="preserve">(SSRIs): </w:t>
      </w:r>
      <w:r w:rsidRPr="00C40DD0">
        <w:rPr>
          <w:rFonts w:eastAsia="Times New Roman" w:cs="Arial"/>
          <w:color w:val="000000"/>
          <w:lang w:eastAsia="bg-BG"/>
        </w:rPr>
        <w:t>Повишен риск от стомашно-чревно кървене.</w:t>
      </w:r>
    </w:p>
    <w:p w14:paraId="0E485D8F" w14:textId="77777777" w:rsidR="00C40DD0" w:rsidRDefault="00C40DD0" w:rsidP="00C40DD0">
      <w:pPr>
        <w:spacing w:line="240" w:lineRule="auto"/>
        <w:rPr>
          <w:rFonts w:eastAsia="Times New Roman" w:cs="Arial"/>
          <w:i/>
          <w:iCs/>
          <w:color w:val="000000"/>
          <w:lang w:eastAsia="bg-BG"/>
        </w:rPr>
      </w:pPr>
    </w:p>
    <w:p w14:paraId="25B41D7E" w14:textId="1C875158"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Диуретици, АСЕ инхибитори и ангиотензин-</w:t>
      </w:r>
      <w:r w:rsidRPr="00C40DD0">
        <w:rPr>
          <w:rFonts w:eastAsia="Times New Roman" w:cs="Arial"/>
          <w:i/>
          <w:iCs/>
          <w:color w:val="000000"/>
          <w:lang w:val="en-US"/>
        </w:rPr>
        <w:t xml:space="preserve">II </w:t>
      </w:r>
      <w:r w:rsidRPr="00C40DD0">
        <w:rPr>
          <w:rFonts w:eastAsia="Times New Roman" w:cs="Arial"/>
          <w:i/>
          <w:iCs/>
          <w:color w:val="000000"/>
          <w:lang w:eastAsia="bg-BG"/>
        </w:rPr>
        <w:t>рецепторни антагонисти</w:t>
      </w:r>
    </w:p>
    <w:p w14:paraId="09DC37C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НСПВС могат да понижат ефекта на диуретиците и другите антихипергензивни лекарствени продукти. При някои пациенти с компрометирана бъбречна функция (например, дехидратирани пациенти или пациенти в старческа възраст с компрометирана бъбречна функция) едновременната употреба с АСЕ инхибитори или ангиотензин-П рецепторни антагонисти и средства, които инхибират циклооксигеназата, може да доведе до допълнително влошаване на бъбречната функция, включително е възможна остра бъбречна недостатъчност, която обикновено е обратима. Поради това, при едновременното предписване трябва да се внимава, особено при пациенти в старческа възраст. Пациентите трябва да бъдат адекватно хидратирани и да се обмисли мониториране на тяхната бъбречна функция след започване на съпътстващото лечение, и това да продължи да се извършва периодично (вижте точка 4.4).</w:t>
      </w:r>
    </w:p>
    <w:p w14:paraId="11304340" w14:textId="77777777" w:rsidR="00C40DD0" w:rsidRDefault="00C40DD0" w:rsidP="00C40DD0">
      <w:pPr>
        <w:spacing w:line="240" w:lineRule="auto"/>
        <w:rPr>
          <w:rFonts w:eastAsia="Times New Roman" w:cs="Arial"/>
          <w:i/>
          <w:iCs/>
          <w:color w:val="000000"/>
          <w:lang w:eastAsia="bg-BG"/>
        </w:rPr>
      </w:pPr>
    </w:p>
    <w:p w14:paraId="605582D2" w14:textId="093A0075"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Други антихипертензивни средства (напр. бета-блокери)</w:t>
      </w:r>
    </w:p>
    <w:p w14:paraId="4B8899D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lastRenderedPageBreak/>
        <w:t>Както и за последните, може да настъпи понижаване на ефекта на бета-блокерите (поради инхибиране на простаглан дините, причиняващи вазодилатация).</w:t>
      </w:r>
    </w:p>
    <w:p w14:paraId="60EF1357" w14:textId="77777777" w:rsidR="00C40DD0" w:rsidRDefault="00C40DD0" w:rsidP="00C40DD0">
      <w:pPr>
        <w:spacing w:line="240" w:lineRule="auto"/>
        <w:rPr>
          <w:rFonts w:eastAsia="Times New Roman" w:cs="Arial"/>
          <w:i/>
          <w:iCs/>
          <w:color w:val="000000"/>
          <w:lang w:eastAsia="bg-BG"/>
        </w:rPr>
      </w:pPr>
    </w:p>
    <w:p w14:paraId="5282A7FE" w14:textId="0390B151"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Инхибитори на калциневрин (например циклоспорин, такролимус)</w:t>
      </w:r>
    </w:p>
    <w:p w14:paraId="7973A1C6"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НСПВС могат да благоприятстват нефротоксичността на инхибиторите на калциневрин чрез медиаторните си ефекти върху бъбречните простагландини. По време на комбинираното лечение трябва да се измерва бъбречната функция. Препоръчва се внимателно мониториране на бъбречната функция, особено при пациенти в старческа възраст.</w:t>
      </w:r>
    </w:p>
    <w:p w14:paraId="18A8DE69" w14:textId="77777777" w:rsidR="00C40DD0" w:rsidRDefault="00C40DD0" w:rsidP="00C40DD0">
      <w:pPr>
        <w:spacing w:line="240" w:lineRule="auto"/>
        <w:rPr>
          <w:rFonts w:eastAsia="Times New Roman" w:cs="Arial"/>
          <w:i/>
          <w:iCs/>
          <w:color w:val="000000"/>
          <w:lang w:eastAsia="bg-BG"/>
        </w:rPr>
      </w:pPr>
    </w:p>
    <w:p w14:paraId="64121559" w14:textId="4EC5E32C"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Деферасирокс</w:t>
      </w:r>
    </w:p>
    <w:p w14:paraId="16A60358" w14:textId="77777777"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Едновременното приложение на мелоксикам с деферасирокс може да повиши риска от възникване на стомашно-чревни нежелани реакции. Необходимо е повишено внимание при комбинирането на тези лекарствени продукти.</w:t>
      </w:r>
    </w:p>
    <w:p w14:paraId="08D1B70C" w14:textId="77777777" w:rsidR="00C40DD0" w:rsidRDefault="00C40DD0" w:rsidP="00C40DD0">
      <w:pPr>
        <w:spacing w:line="240" w:lineRule="auto"/>
        <w:rPr>
          <w:rFonts w:eastAsia="Times New Roman" w:cs="Arial"/>
          <w:color w:val="000000"/>
          <w:u w:val="single"/>
          <w:lang w:eastAsia="bg-BG"/>
        </w:rPr>
      </w:pPr>
    </w:p>
    <w:p w14:paraId="79DB10D8" w14:textId="6FD63C3C"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Фармакокинетични взаимодействия: ефект на мелоксикам върху Фармакокинетиката на други лекарства</w:t>
      </w:r>
    </w:p>
    <w:p w14:paraId="6422326A" w14:textId="77777777"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Литий</w:t>
      </w:r>
    </w:p>
    <w:p w14:paraId="0EF507C5" w14:textId="77777777"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Съобщавано</w:t>
      </w:r>
      <w:r w:rsidRPr="00C40DD0">
        <w:rPr>
          <w:rFonts w:eastAsia="Times New Roman" w:cs="Arial"/>
          <w:color w:val="000000"/>
          <w:lang w:eastAsia="bg-BG"/>
        </w:rPr>
        <w:t xml:space="preserve"> е, че НСПВС повишават литиевите плазмени нива (поради намалената бъбречна екскреция на литий), които могат да достигнат токсични стойности. Не се препоръчва едновременната употреба на литий с НСПВС (вижте точка 4.4), Ако такава комбинация е наложителна, трябва внимателно да бъдат мониторирани литиевите плазмени концентрации при започване на лечението </w:t>
      </w:r>
      <w:r w:rsidRPr="00C40DD0">
        <w:rPr>
          <w:rFonts w:eastAsia="Times New Roman" w:cs="Arial"/>
          <w:i/>
          <w:iCs/>
          <w:color w:val="000000"/>
          <w:lang w:eastAsia="bg-BG"/>
        </w:rPr>
        <w:t>с</w:t>
      </w:r>
      <w:r w:rsidRPr="00C40DD0">
        <w:rPr>
          <w:rFonts w:eastAsia="Times New Roman" w:cs="Arial"/>
          <w:color w:val="000000"/>
          <w:lang w:eastAsia="bg-BG"/>
        </w:rPr>
        <w:t xml:space="preserve"> мелоксикам, при определяне на дозировката му и при преустановяване на лечението с лекарствения продукт.</w:t>
      </w:r>
    </w:p>
    <w:p w14:paraId="5F1D4047" w14:textId="77777777" w:rsidR="00C40DD0" w:rsidRDefault="00C40DD0" w:rsidP="00C40DD0">
      <w:pPr>
        <w:spacing w:line="240" w:lineRule="auto"/>
        <w:rPr>
          <w:rFonts w:eastAsia="Times New Roman" w:cs="Arial"/>
          <w:i/>
          <w:iCs/>
          <w:color w:val="000000"/>
          <w:lang w:eastAsia="bg-BG"/>
        </w:rPr>
      </w:pPr>
    </w:p>
    <w:p w14:paraId="6937BC53" w14:textId="7067F48A"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Метотрексат</w:t>
      </w:r>
    </w:p>
    <w:p w14:paraId="1A4098F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НСПВС могат да намалят тубулната секреция на метотрексат и по този начин да повишат плазмената му концентрация. Поради тази причина при пациенти на високи дози метотрексат (над 15 </w:t>
      </w:r>
      <w:r w:rsidRPr="00C40DD0">
        <w:rPr>
          <w:rFonts w:eastAsia="Times New Roman" w:cs="Arial"/>
          <w:color w:val="000000"/>
          <w:lang w:val="en-US"/>
        </w:rPr>
        <w:t xml:space="preserve">mg </w:t>
      </w:r>
      <w:r w:rsidRPr="00C40DD0">
        <w:rPr>
          <w:rFonts w:eastAsia="Times New Roman" w:cs="Arial"/>
          <w:color w:val="000000"/>
          <w:lang w:eastAsia="bg-BG"/>
        </w:rPr>
        <w:t>седмично) не се препоръчва едновременното прилагане с НСПВС (вижте точка 4.4). Трябва да се има предвид риска от взаимодействие между НСПВС и метотрексат и при пациенти на ниски дози метотрексат, особено при тези с нарушена бъбречна функция. В случай, че е необходимо комбинирано лечение, трябва да се проследяват броят на кръвните клетки и бъбречната функция. Особено внимание се изисква в случай че НСПВС и метотрексат са приети в рамките на 3 дни, като в този случай плазмените нива на метотрексат може да се повишат и да причинят по-висока токсичност.</w:t>
      </w:r>
    </w:p>
    <w:p w14:paraId="3B39FDC6"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Въпреки че фармакокинетиката на метотрексат (15 </w:t>
      </w:r>
      <w:r w:rsidRPr="00C40DD0">
        <w:rPr>
          <w:rFonts w:eastAsia="Times New Roman" w:cs="Arial"/>
          <w:color w:val="000000"/>
          <w:lang w:val="en-US"/>
        </w:rPr>
        <w:t xml:space="preserve">mg </w:t>
      </w:r>
      <w:r w:rsidRPr="00C40DD0">
        <w:rPr>
          <w:rFonts w:eastAsia="Times New Roman" w:cs="Arial"/>
          <w:color w:val="000000"/>
          <w:lang w:eastAsia="bg-BG"/>
        </w:rPr>
        <w:t>седмично) не се повлиява значимо от едновременното лечение с мелоксикам, трябва да се има предвид, че хематологичната токсичност на метотрексат може да се засили от лечението с НСПВС (вижте по-горе) (вижте точка 4.8).</w:t>
      </w:r>
    </w:p>
    <w:p w14:paraId="7589C07C" w14:textId="77777777" w:rsidR="00C40DD0" w:rsidRDefault="00C40DD0" w:rsidP="00C40DD0">
      <w:pPr>
        <w:spacing w:line="240" w:lineRule="auto"/>
        <w:rPr>
          <w:rFonts w:eastAsia="Times New Roman" w:cs="Arial"/>
          <w:i/>
          <w:iCs/>
          <w:color w:val="000000"/>
          <w:lang w:eastAsia="bg-BG"/>
        </w:rPr>
      </w:pPr>
    </w:p>
    <w:p w14:paraId="3AC962EE" w14:textId="0037BE3C"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Пеметрексед</w:t>
      </w:r>
    </w:p>
    <w:p w14:paraId="5AE521AC"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При едновременната употреба на мелоксикам и пеметрексед при пациенти с креатининов клирънс от 45 до 79 </w:t>
      </w:r>
      <w:r w:rsidRPr="00C40DD0">
        <w:rPr>
          <w:rFonts w:eastAsia="Times New Roman" w:cs="Arial"/>
          <w:color w:val="000000"/>
          <w:lang w:val="en-US"/>
        </w:rPr>
        <w:t xml:space="preserve">ml/min, </w:t>
      </w:r>
      <w:r w:rsidRPr="00C40DD0">
        <w:rPr>
          <w:rFonts w:eastAsia="Times New Roman" w:cs="Arial"/>
          <w:color w:val="000000"/>
          <w:lang w:eastAsia="bg-BG"/>
        </w:rPr>
        <w:t xml:space="preserve">приложението на мелоксикам трябва да бъде спряно най-малко за период от 5 дни преди приложението му, в деня на приложението и 2 дни след приложението на пеметрексед. Ако е необходимо комбинирането на мелоксикам и пеметрексед, пациентите трябва да бъдат внимателно проследявани, особено за наличие на миелосуприя и стомашно-чревни нежелани реакции. При пациенти с тежко бъбречно увреждане (креатининов клирънс под 45 </w:t>
      </w:r>
      <w:r w:rsidRPr="00C40DD0">
        <w:rPr>
          <w:rFonts w:eastAsia="Times New Roman" w:cs="Arial"/>
          <w:color w:val="000000"/>
          <w:lang w:val="en-US"/>
        </w:rPr>
        <w:t xml:space="preserve">ml/min), </w:t>
      </w:r>
      <w:r w:rsidRPr="00C40DD0">
        <w:rPr>
          <w:rFonts w:eastAsia="Times New Roman" w:cs="Arial"/>
          <w:color w:val="000000"/>
          <w:lang w:eastAsia="bg-BG"/>
        </w:rPr>
        <w:t>едновременното приложение на мелоксикам и пеметрексед не се препоръчва.</w:t>
      </w:r>
    </w:p>
    <w:p w14:paraId="23499BD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lastRenderedPageBreak/>
        <w:t xml:space="preserve">При пациенти </w:t>
      </w:r>
      <w:r w:rsidRPr="00C40DD0">
        <w:rPr>
          <w:rFonts w:eastAsia="Times New Roman" w:cs="Arial"/>
          <w:i/>
          <w:iCs/>
          <w:color w:val="000000"/>
          <w:lang w:eastAsia="bg-BG"/>
        </w:rPr>
        <w:t>с</w:t>
      </w:r>
      <w:r w:rsidRPr="00C40DD0">
        <w:rPr>
          <w:rFonts w:eastAsia="Times New Roman" w:cs="Arial"/>
          <w:color w:val="000000"/>
          <w:lang w:eastAsia="bg-BG"/>
        </w:rPr>
        <w:t xml:space="preserve"> нормална бъбречна функция (креатининов клирънс ≥80 </w:t>
      </w:r>
      <w:r w:rsidRPr="00C40DD0">
        <w:rPr>
          <w:rFonts w:eastAsia="Times New Roman" w:cs="Arial"/>
          <w:color w:val="000000"/>
          <w:lang w:val="en-US"/>
        </w:rPr>
        <w:t xml:space="preserve">ml/min), </w:t>
      </w:r>
      <w:r w:rsidRPr="00C40DD0">
        <w:rPr>
          <w:rFonts w:eastAsia="Times New Roman" w:cs="Arial"/>
          <w:color w:val="000000"/>
          <w:lang w:eastAsia="bg-BG"/>
        </w:rPr>
        <w:t xml:space="preserve">дози от 15 </w:t>
      </w:r>
      <w:r w:rsidRPr="00C40DD0">
        <w:rPr>
          <w:rFonts w:eastAsia="Times New Roman" w:cs="Arial"/>
          <w:color w:val="000000"/>
          <w:lang w:val="en-US"/>
        </w:rPr>
        <w:t xml:space="preserve">mg </w:t>
      </w:r>
      <w:r w:rsidRPr="00C40DD0">
        <w:rPr>
          <w:rFonts w:eastAsia="Times New Roman" w:cs="Arial"/>
          <w:color w:val="000000"/>
          <w:lang w:eastAsia="bg-BG"/>
        </w:rPr>
        <w:t xml:space="preserve">мелоксикам могат да понижат елиминирането на пеметрексед и вследствие на това да увеличат появата на нежелани реакции, свързани с пеметрексед. Затова е необходимо повишено внимание, когато се прилага мелоксикам в доза 15 </w:t>
      </w:r>
      <w:r w:rsidRPr="00C40DD0">
        <w:rPr>
          <w:rFonts w:eastAsia="Times New Roman" w:cs="Arial"/>
          <w:color w:val="000000"/>
          <w:lang w:val="en-US"/>
        </w:rPr>
        <w:t xml:space="preserve">mg </w:t>
      </w:r>
      <w:r w:rsidRPr="00C40DD0">
        <w:rPr>
          <w:rFonts w:eastAsia="Times New Roman" w:cs="Arial"/>
          <w:color w:val="000000"/>
          <w:lang w:eastAsia="bg-BG"/>
        </w:rPr>
        <w:t xml:space="preserve">едновременно с пеметрексед при пациенти с нормална бъбречна функция (креатининов клирънс ≥80 </w:t>
      </w:r>
      <w:r w:rsidRPr="00C40DD0">
        <w:rPr>
          <w:rFonts w:eastAsia="Times New Roman" w:cs="Arial"/>
          <w:color w:val="000000"/>
          <w:lang w:val="en-US"/>
        </w:rPr>
        <w:t>ml/min).</w:t>
      </w:r>
    </w:p>
    <w:p w14:paraId="62530FD9" w14:textId="77777777" w:rsidR="00C40DD0" w:rsidRDefault="00C40DD0" w:rsidP="00C40DD0">
      <w:pPr>
        <w:spacing w:line="240" w:lineRule="auto"/>
        <w:rPr>
          <w:rFonts w:eastAsia="Times New Roman" w:cs="Arial"/>
          <w:color w:val="000000"/>
          <w:u w:val="single"/>
          <w:lang w:eastAsia="bg-BG"/>
        </w:rPr>
      </w:pPr>
    </w:p>
    <w:p w14:paraId="59EBCD69" w14:textId="40AA5A32"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Фармакокинетични взаимодействия: ефект на други лекарства върху фармакокинетиката на мелоксикам</w:t>
      </w:r>
    </w:p>
    <w:p w14:paraId="4634143A" w14:textId="77777777"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Холестирамин</w:t>
      </w:r>
    </w:p>
    <w:p w14:paraId="6813CBF3" w14:textId="77777777" w:rsidR="00C40DD0" w:rsidRPr="00C40DD0" w:rsidRDefault="00C40DD0" w:rsidP="00C40DD0">
      <w:pPr>
        <w:rPr>
          <w:rFonts w:eastAsia="Times New Roman" w:cs="Arial"/>
          <w:lang w:eastAsia="bg-BG"/>
        </w:rPr>
      </w:pPr>
      <w:r w:rsidRPr="00C40DD0">
        <w:rPr>
          <w:rFonts w:eastAsia="Times New Roman" w:cs="Arial"/>
          <w:color w:val="000000"/>
          <w:lang w:eastAsia="bg-BG"/>
        </w:rPr>
        <w:t xml:space="preserve">Холестираминът ускорява елиминирането на мелоксикам чрез прекъсване на ентерохепаталнага циркулация, така че клирънсът на мелоксикам се повишава с </w:t>
      </w:r>
      <w:r w:rsidRPr="00C40DD0">
        <w:rPr>
          <w:rFonts w:eastAsia="Times New Roman" w:cs="Arial"/>
          <w:color w:val="000000"/>
          <w:lang w:val="en-US"/>
        </w:rPr>
        <w:t>50%</w:t>
      </w:r>
      <w:r w:rsidRPr="00C40DD0">
        <w:rPr>
          <w:rFonts w:eastAsia="Times New Roman" w:cs="Arial"/>
          <w:color w:val="000000"/>
          <w:lang w:eastAsia="bg-BG"/>
        </w:rPr>
        <w:t xml:space="preserve"> и</w:t>
      </w:r>
      <w:r>
        <w:rPr>
          <w:rFonts w:eastAsia="Times New Roman" w:cs="Arial"/>
          <w:color w:val="000000"/>
          <w:lang w:eastAsia="bg-BG"/>
        </w:rPr>
        <w:t xml:space="preserve"> </w:t>
      </w:r>
      <w:r w:rsidRPr="00C40DD0">
        <w:rPr>
          <w:rFonts w:eastAsia="Times New Roman" w:cs="Arial"/>
          <w:color w:val="000000"/>
          <w:lang w:eastAsia="bg-BG"/>
        </w:rPr>
        <w:t>времето на полуживот намалява до 13±3 часа. Това взаимодействие има клинична значимост.</w:t>
      </w:r>
    </w:p>
    <w:p w14:paraId="5580753D" w14:textId="77777777" w:rsidR="00C40DD0" w:rsidRDefault="00C40DD0" w:rsidP="00C40DD0">
      <w:pPr>
        <w:spacing w:line="240" w:lineRule="auto"/>
        <w:rPr>
          <w:rFonts w:eastAsia="Times New Roman" w:cs="Arial"/>
          <w:color w:val="000000"/>
          <w:u w:val="single"/>
          <w:lang w:eastAsia="bg-BG"/>
        </w:rPr>
      </w:pPr>
    </w:p>
    <w:p w14:paraId="5A840D88" w14:textId="13CDB409"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Фармакокинетични взаимодействия: ефект на комбинация на мелоксикам и други лекарства върху Фармакокинетиката</w:t>
      </w:r>
    </w:p>
    <w:p w14:paraId="7CEBE746" w14:textId="77777777" w:rsidR="00C40DD0" w:rsidRDefault="00C40DD0" w:rsidP="00C40DD0">
      <w:pPr>
        <w:spacing w:line="240" w:lineRule="auto"/>
        <w:rPr>
          <w:rFonts w:eastAsia="Times New Roman" w:cs="Arial"/>
          <w:i/>
          <w:iCs/>
          <w:color w:val="000000"/>
          <w:lang w:eastAsia="bg-BG"/>
        </w:rPr>
      </w:pPr>
    </w:p>
    <w:p w14:paraId="1707F599" w14:textId="3C1E994D"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Перорални противодиабетни средства (сулфонилурейни средства, натеглинид)</w:t>
      </w:r>
    </w:p>
    <w:p w14:paraId="2765A43C"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Мелоксикам се елиминира почти напълно чрез чернодробен метаболизъм, като почти две трети се медиират от цитохром </w:t>
      </w:r>
      <w:r w:rsidRPr="00C40DD0">
        <w:rPr>
          <w:rFonts w:eastAsia="Times New Roman" w:cs="Arial"/>
          <w:color w:val="000000"/>
          <w:lang w:val="en-US"/>
        </w:rPr>
        <w:t xml:space="preserve">(CYP) </w:t>
      </w:r>
      <w:r w:rsidRPr="00C40DD0">
        <w:rPr>
          <w:rFonts w:eastAsia="Times New Roman" w:cs="Arial"/>
          <w:color w:val="000000"/>
          <w:lang w:eastAsia="bg-BG"/>
        </w:rPr>
        <w:t xml:space="preserve">Р450 ензими </w:t>
      </w:r>
      <w:r w:rsidRPr="00C40DD0">
        <w:rPr>
          <w:rFonts w:eastAsia="Times New Roman" w:cs="Arial"/>
          <w:color w:val="000000"/>
          <w:lang w:val="en-US"/>
        </w:rPr>
        <w:t xml:space="preserve">(CYP2C9 </w:t>
      </w:r>
      <w:r w:rsidRPr="00C40DD0">
        <w:rPr>
          <w:rFonts w:eastAsia="Times New Roman" w:cs="Arial"/>
          <w:color w:val="000000"/>
          <w:lang w:eastAsia="bg-BG"/>
        </w:rPr>
        <w:t xml:space="preserve">основен път и </w:t>
      </w:r>
      <w:r w:rsidRPr="00C40DD0">
        <w:rPr>
          <w:rFonts w:eastAsia="Times New Roman" w:cs="Arial"/>
          <w:color w:val="000000"/>
          <w:lang w:val="en-US"/>
        </w:rPr>
        <w:t xml:space="preserve">CYP3A4 </w:t>
      </w:r>
      <w:r w:rsidRPr="00C40DD0">
        <w:rPr>
          <w:rFonts w:eastAsia="Times New Roman" w:cs="Arial"/>
          <w:color w:val="000000"/>
          <w:lang w:eastAsia="bg-BG"/>
        </w:rPr>
        <w:t xml:space="preserve">минорен път), а една трета се медиира по други пътища, като пероксидазна оксидация. Трябва да се има предвид възможността за фармакокинетично взаимодействие, когато се прилагат едновременно мелоксикам и лекарства, за които е известно, че се инхибират или метаболизират от </w:t>
      </w:r>
      <w:r w:rsidRPr="00C40DD0">
        <w:rPr>
          <w:rFonts w:eastAsia="Times New Roman" w:cs="Arial"/>
          <w:color w:val="000000"/>
          <w:lang w:val="en-US"/>
        </w:rPr>
        <w:t xml:space="preserve">CYP2C9 </w:t>
      </w:r>
      <w:r w:rsidRPr="00C40DD0">
        <w:rPr>
          <w:rFonts w:eastAsia="Times New Roman" w:cs="Arial"/>
          <w:color w:val="000000"/>
          <w:lang w:eastAsia="bg-BG"/>
        </w:rPr>
        <w:t xml:space="preserve">и/или </w:t>
      </w:r>
      <w:r w:rsidRPr="00C40DD0">
        <w:rPr>
          <w:rFonts w:eastAsia="Times New Roman" w:cs="Arial"/>
          <w:color w:val="000000"/>
          <w:lang w:val="en-US"/>
        </w:rPr>
        <w:t xml:space="preserve">CYP3A4. </w:t>
      </w:r>
      <w:r w:rsidRPr="00C40DD0">
        <w:rPr>
          <w:rFonts w:eastAsia="Times New Roman" w:cs="Arial"/>
          <w:color w:val="000000"/>
          <w:lang w:eastAsia="bg-BG"/>
        </w:rPr>
        <w:t xml:space="preserve">Взаимодействия чрез </w:t>
      </w:r>
      <w:r w:rsidRPr="00C40DD0">
        <w:rPr>
          <w:rFonts w:eastAsia="Times New Roman" w:cs="Arial"/>
          <w:color w:val="000000"/>
          <w:lang w:val="en-US"/>
        </w:rPr>
        <w:t xml:space="preserve">CYP2C9 </w:t>
      </w:r>
      <w:r w:rsidRPr="00C40DD0">
        <w:rPr>
          <w:rFonts w:eastAsia="Times New Roman" w:cs="Arial"/>
          <w:color w:val="000000"/>
          <w:lang w:eastAsia="bg-BG"/>
        </w:rPr>
        <w:t>може да се очакват при комбинация с лекарствени продукти като перорални противодиабетни средства (сулфонилурейни средства, натеглинид), което може да доведе до повишени плазмени нива на тези лекарства и на мелоксикам. Пациентите, които приемат едновременно мелоксикам и сулфонилурейни средства и натеглинид, трябва да се наблюдават внимателно за хипогликемия.</w:t>
      </w:r>
    </w:p>
    <w:p w14:paraId="089FADC6" w14:textId="77777777" w:rsidR="00C40DD0" w:rsidRDefault="00C40DD0" w:rsidP="00C40DD0">
      <w:pPr>
        <w:spacing w:line="240" w:lineRule="auto"/>
        <w:rPr>
          <w:rFonts w:eastAsia="Times New Roman" w:cs="Arial"/>
          <w:color w:val="000000"/>
          <w:lang w:eastAsia="bg-BG"/>
        </w:rPr>
      </w:pPr>
    </w:p>
    <w:p w14:paraId="015A4760" w14:textId="01147380"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 са открити клинично значими фармакокинетични лекарствени взаимодействия по отношение на едновременната употреба с антиациди, циметицит и дигоксин.</w:t>
      </w:r>
    </w:p>
    <w:p w14:paraId="01114FAC" w14:textId="77777777" w:rsidR="00C40DD0" w:rsidRDefault="00C40DD0" w:rsidP="00C40DD0">
      <w:pPr>
        <w:spacing w:line="240" w:lineRule="auto"/>
        <w:rPr>
          <w:rFonts w:eastAsia="Times New Roman" w:cs="Arial"/>
          <w:color w:val="000000"/>
          <w:u w:val="single"/>
          <w:lang w:eastAsia="bg-BG"/>
        </w:rPr>
      </w:pPr>
    </w:p>
    <w:p w14:paraId="7F70DC7A" w14:textId="70DA4837"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Педиатрична популация</w:t>
      </w:r>
    </w:p>
    <w:p w14:paraId="27C733C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Изпитвания за взаимодействия са провеждани само при възрастни</w:t>
      </w:r>
    </w:p>
    <w:p w14:paraId="00C6A0DD" w14:textId="77777777" w:rsidR="00C40DD0" w:rsidRPr="00C40DD0" w:rsidRDefault="00C40DD0" w:rsidP="00C40DD0"/>
    <w:p w14:paraId="48846BBA" w14:textId="102A21B9" w:rsidR="009F77A4" w:rsidRDefault="002C50EE" w:rsidP="00387A66">
      <w:pPr>
        <w:pStyle w:val="Heading2"/>
      </w:pPr>
      <w:r>
        <w:t>4.6. Фертилитет, бременност и кърмене</w:t>
      </w:r>
    </w:p>
    <w:p w14:paraId="3B5C7E71" w14:textId="666B77EC" w:rsidR="00C40DD0" w:rsidRDefault="00C40DD0" w:rsidP="00C40DD0"/>
    <w:p w14:paraId="14F8ADB0"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Бременност</w:t>
      </w:r>
    </w:p>
    <w:p w14:paraId="232BEB3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Инхибирането на простагландиновия синтез може нежелано да повлияе на бременността и/или ембриофеталното развитие. Данни от епидемиологични проучвания предполагат повишен риск от спонтанен аборт и от сърдечни малформациии гастросхиза след употребата на инхибитори на простагландиновия синтез в ранна бременност. Абсолютният риск от сърдечно-съдови малформации е повишен от по-малко от 1% до приблизително 1,5%. Счита се, че рискът се повишава с дозата и продължителността на лечение. Прилагането на инхибитори на простагландиновия синтез при животни води до повишаване на пре- и постимплантационните загуби и ембриофетална смъртност. В допълнение се съобщава повишена честота иа различни малформации, включително </w:t>
      </w:r>
      <w:r w:rsidRPr="00C40DD0">
        <w:rPr>
          <w:rFonts w:eastAsia="Times New Roman" w:cs="Arial"/>
          <w:color w:val="000000"/>
          <w:lang w:eastAsia="bg-BG"/>
        </w:rPr>
        <w:lastRenderedPageBreak/>
        <w:t>сърдечно-съдови, при животни, на които са прилагани инхибитори на простагландиновия синтез по време на органогенезата.</w:t>
      </w:r>
    </w:p>
    <w:p w14:paraId="6F1E323A" w14:textId="77777777" w:rsidR="00C40DD0" w:rsidRDefault="00C40DD0" w:rsidP="00C40DD0">
      <w:pPr>
        <w:spacing w:line="240" w:lineRule="auto"/>
        <w:rPr>
          <w:rFonts w:eastAsia="Times New Roman" w:cs="Arial"/>
          <w:color w:val="000000"/>
          <w:lang w:eastAsia="bg-BG"/>
        </w:rPr>
      </w:pPr>
    </w:p>
    <w:p w14:paraId="66EB723F" w14:textId="7479CB89" w:rsidR="00C40DD0" w:rsidRDefault="00C40DD0" w:rsidP="00C40DD0">
      <w:pPr>
        <w:spacing w:line="240" w:lineRule="auto"/>
        <w:rPr>
          <w:rFonts w:eastAsia="Times New Roman" w:cs="Arial"/>
          <w:color w:val="000000"/>
          <w:lang w:eastAsia="bg-BG"/>
        </w:rPr>
      </w:pPr>
      <w:r w:rsidRPr="00C40DD0">
        <w:rPr>
          <w:rFonts w:eastAsia="Times New Roman" w:cs="Arial"/>
          <w:color w:val="000000"/>
          <w:lang w:eastAsia="bg-BG"/>
        </w:rPr>
        <w:t xml:space="preserve">От 20-ата седмица от бременността нататък употребата на мелоксикам може да причини олигохидрамнион, дължащ се на нарушение на бъбречната функция на фетуса. Това може да се появи скоро след започване на лечението и обикновено е обратимо при прекратяване му. В допълнение, има съобщения за стесняване на </w:t>
      </w:r>
      <w:r w:rsidRPr="00C40DD0">
        <w:rPr>
          <w:rFonts w:eastAsia="Times New Roman" w:cs="Arial"/>
          <w:color w:val="000000"/>
          <w:lang w:val="en-US"/>
        </w:rPr>
        <w:t xml:space="preserve">ductus arteriosus </w:t>
      </w:r>
      <w:r w:rsidRPr="00C40DD0">
        <w:rPr>
          <w:rFonts w:eastAsia="Times New Roman" w:cs="Arial"/>
          <w:color w:val="000000"/>
          <w:lang w:eastAsia="bg-BG"/>
        </w:rPr>
        <w:t>след лечение през втория триместьр, повечето от които отзвучават след прекратяване на лечението. Поради това, през първия и втория триместьр от бременността мелоксикам не трябва да се прилага, освен ако не е абсолютно необходимо. Ако мелоксикам се употребява от жена, която се опитва да зачене, или през първия и втория триместьр на бременността, дозата трябва да бъде възможно най-ниска, а продължителността на лечение възможно най- кратка.</w:t>
      </w:r>
    </w:p>
    <w:p w14:paraId="7F823955" w14:textId="41DE67BE" w:rsidR="00C40DD0" w:rsidRDefault="00C40DD0" w:rsidP="00C40DD0">
      <w:pPr>
        <w:spacing w:line="240" w:lineRule="auto"/>
        <w:rPr>
          <w:rFonts w:eastAsia="Times New Roman" w:cs="Arial"/>
          <w:color w:val="000000"/>
          <w:lang w:eastAsia="bg-BG"/>
        </w:rPr>
      </w:pPr>
    </w:p>
    <w:p w14:paraId="3C4D8FD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По време на третия триместьр на бременността всички инхибитори на простагландиновия синтез могат да изложат плода на:</w:t>
      </w:r>
    </w:p>
    <w:p w14:paraId="3C62D106" w14:textId="77777777" w:rsidR="00C40DD0" w:rsidRDefault="00C40DD0" w:rsidP="00C40DD0">
      <w:pPr>
        <w:pStyle w:val="ListParagraph"/>
        <w:numPr>
          <w:ilvl w:val="0"/>
          <w:numId w:val="43"/>
        </w:numPr>
        <w:spacing w:line="240" w:lineRule="auto"/>
        <w:rPr>
          <w:rFonts w:eastAsia="Times New Roman" w:cs="Arial"/>
          <w:color w:val="000000"/>
          <w:lang w:eastAsia="bg-BG"/>
        </w:rPr>
      </w:pPr>
      <w:r w:rsidRPr="00C40DD0">
        <w:rPr>
          <w:rFonts w:eastAsia="Times New Roman" w:cs="Arial"/>
          <w:color w:val="000000"/>
          <w:lang w:eastAsia="bg-BG"/>
        </w:rPr>
        <w:t>кардиопулмонална токсичност (преждевременно стесняване/ затваряне на дуктус артериозус и белодробна хипертония),</w:t>
      </w:r>
    </w:p>
    <w:p w14:paraId="763B58D8" w14:textId="4C6AE869" w:rsidR="00C40DD0" w:rsidRPr="00C40DD0" w:rsidRDefault="00C40DD0" w:rsidP="00C40DD0">
      <w:pPr>
        <w:pStyle w:val="ListParagraph"/>
        <w:numPr>
          <w:ilvl w:val="0"/>
          <w:numId w:val="43"/>
        </w:numPr>
        <w:spacing w:line="240" w:lineRule="auto"/>
        <w:rPr>
          <w:rFonts w:eastAsia="Times New Roman" w:cs="Arial"/>
          <w:color w:val="000000"/>
          <w:lang w:eastAsia="bg-BG"/>
        </w:rPr>
      </w:pPr>
      <w:r w:rsidRPr="00C40DD0">
        <w:rPr>
          <w:rFonts w:eastAsia="Times New Roman" w:cs="Arial"/>
          <w:color w:val="000000"/>
          <w:lang w:eastAsia="bg-BG"/>
        </w:rPr>
        <w:t>бъбречна дисфункция (вижте по-горе);</w:t>
      </w:r>
    </w:p>
    <w:p w14:paraId="5DCC49C8"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Могат да изложат майката и плода в края на бременността на:</w:t>
      </w:r>
    </w:p>
    <w:p w14:paraId="35085793" w14:textId="77777777" w:rsidR="00C40DD0" w:rsidRDefault="00C40DD0" w:rsidP="00C40DD0">
      <w:pPr>
        <w:pStyle w:val="ListParagraph"/>
        <w:numPr>
          <w:ilvl w:val="0"/>
          <w:numId w:val="44"/>
        </w:numPr>
        <w:spacing w:line="240" w:lineRule="auto"/>
        <w:rPr>
          <w:rFonts w:eastAsia="Times New Roman" w:cs="Arial"/>
          <w:color w:val="000000"/>
          <w:lang w:eastAsia="bg-BG"/>
        </w:rPr>
      </w:pPr>
      <w:r w:rsidRPr="00C40DD0">
        <w:rPr>
          <w:rFonts w:eastAsia="Times New Roman" w:cs="Arial"/>
          <w:color w:val="000000"/>
          <w:lang w:eastAsia="bg-BG"/>
        </w:rPr>
        <w:t>възможно удължаване на времето на кървене, антиагрегантен ефект, който може да се появи дори при много ниски дози;</w:t>
      </w:r>
    </w:p>
    <w:p w14:paraId="46495099" w14:textId="62FD934A" w:rsidR="00C40DD0" w:rsidRPr="00C40DD0" w:rsidRDefault="00C40DD0" w:rsidP="00C40DD0">
      <w:pPr>
        <w:pStyle w:val="ListParagraph"/>
        <w:numPr>
          <w:ilvl w:val="0"/>
          <w:numId w:val="44"/>
        </w:numPr>
        <w:spacing w:line="240" w:lineRule="auto"/>
        <w:rPr>
          <w:rFonts w:eastAsia="Times New Roman" w:cs="Arial"/>
          <w:color w:val="000000"/>
          <w:lang w:eastAsia="bg-BG"/>
        </w:rPr>
      </w:pPr>
      <w:r w:rsidRPr="00C40DD0">
        <w:rPr>
          <w:rFonts w:eastAsia="Times New Roman" w:cs="Arial"/>
          <w:color w:val="000000"/>
          <w:lang w:eastAsia="bg-BG"/>
        </w:rPr>
        <w:t>инхибиране на маточните контракции, водещо до забавяне или удължаване на раждането (вижте точка 4.3 и точка 5.3).</w:t>
      </w:r>
    </w:p>
    <w:p w14:paraId="1CCB1C57" w14:textId="77777777" w:rsidR="00C40DD0" w:rsidRDefault="00C40DD0" w:rsidP="00C40DD0">
      <w:pPr>
        <w:spacing w:line="240" w:lineRule="auto"/>
        <w:rPr>
          <w:rFonts w:eastAsia="Times New Roman" w:cs="Arial"/>
          <w:color w:val="000000"/>
          <w:lang w:eastAsia="bg-BG"/>
        </w:rPr>
      </w:pPr>
    </w:p>
    <w:p w14:paraId="05A5D3FB" w14:textId="1DE607EF"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Поради това, мелоксикам е противопоказан през третия триместьр на бременността.</w:t>
      </w:r>
    </w:p>
    <w:p w14:paraId="3ADE624F" w14:textId="77777777" w:rsidR="00C40DD0" w:rsidRDefault="00C40DD0" w:rsidP="00C40DD0">
      <w:pPr>
        <w:spacing w:line="240" w:lineRule="auto"/>
        <w:rPr>
          <w:rFonts w:eastAsia="Times New Roman" w:cs="Arial"/>
          <w:color w:val="000000"/>
          <w:u w:val="single"/>
          <w:lang w:eastAsia="bg-BG"/>
        </w:rPr>
      </w:pPr>
    </w:p>
    <w:p w14:paraId="45C1ED52" w14:textId="370AF825"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Кърмене</w:t>
      </w:r>
    </w:p>
    <w:p w14:paraId="3BBA31EA"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Известно е, че НСПВС преминават в кърмата, въпреки че няма такъв опит с мелоксикам при хора. Мелоксикам се открива в кърмата на кърмещи животни.</w:t>
      </w:r>
    </w:p>
    <w:p w14:paraId="7119B0A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По тази причина употребата му не се препоръчва при кърмачки.</w:t>
      </w:r>
    </w:p>
    <w:p w14:paraId="1EB629C5" w14:textId="77777777" w:rsidR="00C40DD0" w:rsidRDefault="00C40DD0" w:rsidP="00C40DD0">
      <w:pPr>
        <w:spacing w:line="240" w:lineRule="auto"/>
        <w:rPr>
          <w:rFonts w:eastAsia="Times New Roman" w:cs="Arial"/>
          <w:color w:val="000000"/>
          <w:u w:val="single"/>
          <w:lang w:eastAsia="bg-BG"/>
        </w:rPr>
      </w:pPr>
    </w:p>
    <w:p w14:paraId="019ADDEC" w14:textId="006E3364"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Фертилитет</w:t>
      </w:r>
    </w:p>
    <w:p w14:paraId="2D4065E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Употребата на мелоксикам, както и на което и да е друго лекарство, за което е известно, че инхибира циклооксигеназата/ простагландиновия синтез, може да наруши женския фертилитет и не се препоръчва при жени, които правят опити да забременеят. По тази причина при жените, които имат затруднения да забременият или провеждат изследвания за стерилитет трябва да се обмисли прекратяване на употребата на мелоксикам.</w:t>
      </w:r>
    </w:p>
    <w:p w14:paraId="3A1F9B6E" w14:textId="77777777" w:rsidR="00C40DD0" w:rsidRPr="00C40DD0" w:rsidRDefault="00C40DD0" w:rsidP="00C40DD0"/>
    <w:p w14:paraId="321AAB00" w14:textId="4D6D2503" w:rsidR="009F77A4" w:rsidRDefault="002C50EE" w:rsidP="00387A66">
      <w:pPr>
        <w:pStyle w:val="Heading2"/>
      </w:pPr>
      <w:r>
        <w:t>4.7. Ефекти върху способността за шофиране и работа с машини</w:t>
      </w:r>
    </w:p>
    <w:p w14:paraId="6F31BD24" w14:textId="6231F687" w:rsidR="00C40DD0" w:rsidRDefault="00C40DD0" w:rsidP="00C40DD0"/>
    <w:p w14:paraId="31CB7AFA" w14:textId="37C406AC"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Не са провеждани проучвания на ефекта върху способността за шофиране и работа с машини. Въпреки това, на базата на фармакодинамичния профил и съобщаваните нежелани лекарствени реакции, по-вероятно е мелоксикам да няма никакво или да оказва незначително влияние върху тези способности. Въпреки това, пациентите, при които се появят зрителни нарушения, включително замъглено виждане, световъртеж, сънливост, замаяност или други оплаквания от страна на централната нервна система, трябва да се въздържат от шофиране </w:t>
      </w:r>
      <w:r w:rsidRPr="00C40DD0">
        <w:rPr>
          <w:rFonts w:eastAsia="Times New Roman" w:cs="Arial"/>
          <w:i/>
          <w:iCs/>
          <w:color w:val="000000"/>
          <w:lang w:eastAsia="bg-BG"/>
        </w:rPr>
        <w:t>и</w:t>
      </w:r>
      <w:r w:rsidRPr="00C40DD0">
        <w:rPr>
          <w:rFonts w:eastAsia="Times New Roman" w:cs="Arial"/>
          <w:color w:val="000000"/>
          <w:lang w:eastAsia="bg-BG"/>
        </w:rPr>
        <w:t xml:space="preserve"> работа с машини.</w:t>
      </w:r>
    </w:p>
    <w:p w14:paraId="136C86B8" w14:textId="5C09F25B" w:rsidR="009F77A4" w:rsidRDefault="002C50EE" w:rsidP="00387A66">
      <w:pPr>
        <w:pStyle w:val="Heading2"/>
      </w:pPr>
      <w:r>
        <w:lastRenderedPageBreak/>
        <w:t>4.8. Нежелани лекарствени реакции</w:t>
      </w:r>
    </w:p>
    <w:p w14:paraId="04A370DE" w14:textId="0D2DA608" w:rsidR="00C40DD0" w:rsidRDefault="00C40DD0" w:rsidP="00C40DD0"/>
    <w:p w14:paraId="02D8BE5C" w14:textId="655E126F" w:rsidR="00C40DD0" w:rsidRPr="00C40DD0" w:rsidRDefault="00C40DD0" w:rsidP="00C40DD0">
      <w:pPr>
        <w:spacing w:line="240" w:lineRule="auto"/>
        <w:rPr>
          <w:rFonts w:eastAsia="Times New Roman" w:cs="Arial"/>
          <w:i/>
          <w:iCs/>
          <w:color w:val="000000"/>
          <w:lang w:eastAsia="bg-BG"/>
        </w:rPr>
      </w:pPr>
      <w:r w:rsidRPr="00C40DD0">
        <w:rPr>
          <w:rFonts w:eastAsia="Times New Roman" w:cs="Arial"/>
          <w:i/>
          <w:iCs/>
          <w:color w:val="000000"/>
          <w:lang w:eastAsia="bg-BG"/>
        </w:rPr>
        <w:t xml:space="preserve">а) </w:t>
      </w:r>
      <w:r w:rsidRPr="00C40DD0">
        <w:rPr>
          <w:rFonts w:eastAsia="Times New Roman" w:cs="Arial"/>
          <w:i/>
          <w:iCs/>
          <w:color w:val="000000"/>
          <w:lang w:eastAsia="bg-BG"/>
        </w:rPr>
        <w:t>Общо описание</w:t>
      </w:r>
    </w:p>
    <w:p w14:paraId="22D7BA98" w14:textId="77777777" w:rsidR="00C40DD0" w:rsidRPr="00C40DD0" w:rsidRDefault="00C40DD0" w:rsidP="00C40DD0">
      <w:pPr>
        <w:spacing w:line="240" w:lineRule="auto"/>
        <w:rPr>
          <w:rFonts w:eastAsia="Times New Roman" w:cs="Arial"/>
          <w:color w:val="000000"/>
          <w:lang w:eastAsia="bg-BG"/>
        </w:rPr>
      </w:pPr>
    </w:p>
    <w:p w14:paraId="500B86A5" w14:textId="1A11402D"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Клинични проучвания и епидемиологични данни показват, че употребата на някои НСПВС (особено във високи дози и при продължително приложение) може да се свърже с леко повишен риск от артериални тромботични събития (например миокарден инфаркт или инсулт) (вижте точка 4.4).</w:t>
      </w:r>
    </w:p>
    <w:p w14:paraId="66490352" w14:textId="77777777" w:rsidR="00C40DD0" w:rsidRPr="00C40DD0" w:rsidRDefault="00C40DD0" w:rsidP="00C40DD0">
      <w:pPr>
        <w:spacing w:line="240" w:lineRule="auto"/>
        <w:rPr>
          <w:rFonts w:eastAsia="Times New Roman" w:cs="Arial"/>
          <w:color w:val="000000"/>
          <w:lang w:eastAsia="bg-BG"/>
        </w:rPr>
      </w:pPr>
    </w:p>
    <w:p w14:paraId="65393CC3" w14:textId="69791C8C"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Има съобщения за отоци, хипертония и сърдечна недостатъчност, свързани с употребата на НСПВС.</w:t>
      </w:r>
    </w:p>
    <w:p w14:paraId="1ADE9EA7" w14:textId="77777777" w:rsidR="00C40DD0" w:rsidRPr="00C40DD0" w:rsidRDefault="00C40DD0" w:rsidP="00C40DD0">
      <w:pPr>
        <w:rPr>
          <w:rFonts w:eastAsia="Times New Roman" w:cs="Arial"/>
          <w:color w:val="000000"/>
          <w:lang w:eastAsia="bg-BG"/>
        </w:rPr>
      </w:pPr>
    </w:p>
    <w:p w14:paraId="424D5BE3" w14:textId="77777777" w:rsidR="00C40DD0" w:rsidRPr="00C40DD0" w:rsidRDefault="00C40DD0" w:rsidP="00C40DD0">
      <w:pPr>
        <w:rPr>
          <w:rFonts w:eastAsia="Times New Roman" w:cs="Arial"/>
          <w:lang w:eastAsia="bg-BG"/>
        </w:rPr>
      </w:pPr>
      <w:r w:rsidRPr="00C40DD0">
        <w:rPr>
          <w:rFonts w:eastAsia="Times New Roman" w:cs="Arial"/>
          <w:color w:val="000000"/>
          <w:lang w:eastAsia="bg-BG"/>
        </w:rPr>
        <w:t>Най-често наблюдаваните нежелани реакции са от страна на стомашно-чревния тракт. Могат да се появят пептична язва, перфорация или гастроинтестинално кървене, които</w:t>
      </w:r>
      <w:r w:rsidRPr="00C40DD0">
        <w:rPr>
          <w:rFonts w:eastAsia="Times New Roman" w:cs="Arial"/>
          <w:color w:val="000000"/>
          <w:lang w:eastAsia="bg-BG"/>
        </w:rPr>
        <w:t xml:space="preserve"> </w:t>
      </w:r>
      <w:r w:rsidRPr="00C40DD0">
        <w:rPr>
          <w:rFonts w:eastAsia="Times New Roman" w:cs="Arial"/>
          <w:color w:val="000000"/>
          <w:lang w:eastAsia="bg-BG"/>
        </w:rPr>
        <w:t>понякога са фатални, особено при пациенти в старческа възраст (вижте точка 4.4). След употреба са съобщавани гадене, повръщане, диария, метеоризъм, констипация, диспепсия, болка в стомаха, мелена, хематемеза, улцерозен стоматит, обостряне на колит и Болест на Крон (вижте точка 4.4 Специални предупреждения и предпазни мерки при употреба). С по- малка честота е наблюдаван гастрит.</w:t>
      </w:r>
    </w:p>
    <w:p w14:paraId="2385F1BA" w14:textId="77777777" w:rsidR="00C40DD0" w:rsidRPr="00C40DD0" w:rsidRDefault="00C40DD0" w:rsidP="00C40DD0">
      <w:pPr>
        <w:spacing w:line="240" w:lineRule="auto"/>
        <w:rPr>
          <w:rFonts w:eastAsia="Times New Roman" w:cs="Arial"/>
          <w:color w:val="000000"/>
          <w:lang w:eastAsia="bg-BG"/>
        </w:rPr>
      </w:pPr>
    </w:p>
    <w:p w14:paraId="2CCADF5E" w14:textId="15CAE37D"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Тежки кожни нежелани реакции </w:t>
      </w:r>
      <w:r w:rsidRPr="00C40DD0">
        <w:rPr>
          <w:rFonts w:eastAsia="Times New Roman" w:cs="Arial"/>
          <w:color w:val="000000"/>
          <w:lang w:val="en-US"/>
        </w:rPr>
        <w:t xml:space="preserve">(SCARs): </w:t>
      </w:r>
      <w:r w:rsidRPr="00C40DD0">
        <w:rPr>
          <w:rFonts w:eastAsia="Times New Roman" w:cs="Arial"/>
          <w:color w:val="000000"/>
          <w:lang w:eastAsia="bg-BG"/>
        </w:rPr>
        <w:t xml:space="preserve">докладвани са Синдром на Стивънс-Джонсън </w:t>
      </w:r>
      <w:r w:rsidRPr="00C40DD0">
        <w:rPr>
          <w:rFonts w:eastAsia="Times New Roman" w:cs="Arial"/>
          <w:color w:val="000000"/>
          <w:lang w:val="en-US"/>
        </w:rPr>
        <w:t xml:space="preserve">(SIS) </w:t>
      </w:r>
      <w:r w:rsidRPr="00C40DD0">
        <w:rPr>
          <w:rFonts w:eastAsia="Times New Roman" w:cs="Arial"/>
          <w:color w:val="000000"/>
          <w:lang w:eastAsia="bg-BG"/>
        </w:rPr>
        <w:t xml:space="preserve">и токсична епидермална некролиза </w:t>
      </w:r>
      <w:r w:rsidRPr="00C40DD0">
        <w:rPr>
          <w:rFonts w:eastAsia="Times New Roman" w:cs="Arial"/>
          <w:color w:val="000000"/>
          <w:lang w:val="en-US"/>
        </w:rPr>
        <w:t xml:space="preserve">(TEN) </w:t>
      </w:r>
      <w:r w:rsidRPr="00C40DD0">
        <w:rPr>
          <w:rFonts w:eastAsia="Times New Roman" w:cs="Arial"/>
          <w:color w:val="000000"/>
          <w:lang w:eastAsia="bg-BG"/>
        </w:rPr>
        <w:t>(вижте точка 4.4).</w:t>
      </w:r>
    </w:p>
    <w:p w14:paraId="1780FDD5" w14:textId="77777777" w:rsidR="00C40DD0" w:rsidRPr="00C40DD0" w:rsidRDefault="00C40DD0" w:rsidP="00C40DD0">
      <w:pPr>
        <w:spacing w:line="240" w:lineRule="auto"/>
        <w:rPr>
          <w:rFonts w:eastAsia="Times New Roman" w:cs="Arial"/>
          <w:color w:val="000000"/>
          <w:lang w:eastAsia="bg-BG"/>
        </w:rPr>
      </w:pPr>
    </w:p>
    <w:p w14:paraId="7DE7F30F" w14:textId="649732B4"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Честотата на наблюдаваните нежелани лекарствени реакции, посочени по-долу се базира на съответната проява на съобщаваните нежелани реакции от 27 клинични изпитвания с продължителност на лечението най-малко 14 дни. Информацията се основава на клинични изпитвания, включващи 15 197 пациенти, които са приемали дози от 7,5 </w:t>
      </w:r>
      <w:r w:rsidRPr="00C40DD0">
        <w:rPr>
          <w:rFonts w:eastAsia="Times New Roman" w:cs="Arial"/>
          <w:color w:val="000000"/>
          <w:lang w:val="en-US"/>
        </w:rPr>
        <w:t xml:space="preserve">mg </w:t>
      </w:r>
      <w:r w:rsidRPr="00C40DD0">
        <w:rPr>
          <w:rFonts w:eastAsia="Times New Roman" w:cs="Arial"/>
          <w:color w:val="000000"/>
          <w:lang w:eastAsia="bg-BG"/>
        </w:rPr>
        <w:t xml:space="preserve">или 15 </w:t>
      </w:r>
      <w:r w:rsidRPr="00C40DD0">
        <w:rPr>
          <w:rFonts w:eastAsia="Times New Roman" w:cs="Arial"/>
          <w:color w:val="000000"/>
          <w:lang w:val="en-US"/>
        </w:rPr>
        <w:t xml:space="preserve">mg </w:t>
      </w:r>
      <w:r w:rsidRPr="00C40DD0">
        <w:rPr>
          <w:rFonts w:eastAsia="Times New Roman" w:cs="Arial"/>
          <w:color w:val="000000"/>
          <w:lang w:eastAsia="bg-BG"/>
        </w:rPr>
        <w:t>мелоксикам таблетки или капсули за период до една година.</w:t>
      </w:r>
    </w:p>
    <w:p w14:paraId="4664857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Включени са нежелани лекарствени реакции, проявили се в резултат на съобщения, получени във връзка с употреба на продукта от пазара.</w:t>
      </w:r>
    </w:p>
    <w:p w14:paraId="0D483E54" w14:textId="77777777" w:rsidR="00C40DD0" w:rsidRPr="00C40DD0" w:rsidRDefault="00C40DD0" w:rsidP="00C40DD0">
      <w:pPr>
        <w:spacing w:line="240" w:lineRule="auto"/>
        <w:rPr>
          <w:rFonts w:eastAsia="Times New Roman" w:cs="Arial"/>
          <w:color w:val="000000"/>
          <w:lang w:eastAsia="bg-BG"/>
        </w:rPr>
      </w:pPr>
    </w:p>
    <w:p w14:paraId="1960887D" w14:textId="4A969112"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Нежеланите реакции са класифицирани според честотата, използвайки следната конвенция: много чести (≥1/10), чести (≥ 1/100 до &lt; 1/10), нечести (≥ 1/1 000 до &lt; 1/100), редки (≥1/10000 до &lt; 1/1 000); много редки (&lt; 1/10 000), с неизвестна честота (не може да бъде направена оценка от наличните данни).</w:t>
      </w:r>
    </w:p>
    <w:p w14:paraId="386C83D2" w14:textId="77777777" w:rsidR="00C40DD0" w:rsidRPr="00C40DD0" w:rsidRDefault="00C40DD0" w:rsidP="00C40DD0">
      <w:pPr>
        <w:spacing w:line="240" w:lineRule="auto"/>
        <w:rPr>
          <w:rFonts w:eastAsia="Times New Roman" w:cs="Arial"/>
          <w:i/>
          <w:iCs/>
          <w:color w:val="000000"/>
          <w:lang w:eastAsia="bg-BG"/>
        </w:rPr>
      </w:pPr>
    </w:p>
    <w:p w14:paraId="2760D29E" w14:textId="3609CFE1"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б)Таблица на нежеланите реакции</w:t>
      </w:r>
    </w:p>
    <w:p w14:paraId="7EA78FA1" w14:textId="77777777" w:rsidR="00C40DD0" w:rsidRPr="00C40DD0" w:rsidRDefault="00C40DD0" w:rsidP="00C40DD0">
      <w:pPr>
        <w:spacing w:line="240" w:lineRule="auto"/>
        <w:rPr>
          <w:rFonts w:eastAsia="Times New Roman" w:cs="Arial"/>
          <w:color w:val="000000"/>
          <w:u w:val="single"/>
          <w:lang w:eastAsia="bg-BG"/>
        </w:rPr>
      </w:pPr>
    </w:p>
    <w:p w14:paraId="487CBB82" w14:textId="3178B43F"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кръвта и лимфната система</w:t>
      </w:r>
    </w:p>
    <w:p w14:paraId="74324855"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анемия</w:t>
      </w:r>
    </w:p>
    <w:p w14:paraId="480DEA7A"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Редки: промени в броя на кръвните клетки (включително в диференциалното броене на белите кръвни клетки), левкопения и тромбоцитопения.</w:t>
      </w:r>
    </w:p>
    <w:p w14:paraId="4E1C665D" w14:textId="77777777" w:rsidR="00C40DD0" w:rsidRPr="00C40DD0" w:rsidRDefault="00C40DD0" w:rsidP="00C40DD0">
      <w:pPr>
        <w:spacing w:line="240" w:lineRule="auto"/>
        <w:rPr>
          <w:rFonts w:eastAsia="Times New Roman" w:cs="Arial"/>
          <w:color w:val="000000"/>
          <w:lang w:eastAsia="bg-BG"/>
        </w:rPr>
      </w:pPr>
    </w:p>
    <w:p w14:paraId="58E91F10" w14:textId="7D3DFCE9"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Съобщавани са много редки случаи на агранулоцитоза (вижте точка </w:t>
      </w:r>
      <w:r w:rsidRPr="00C40DD0">
        <w:rPr>
          <w:rFonts w:eastAsia="Times New Roman" w:cs="Arial"/>
          <w:i/>
          <w:iCs/>
          <w:color w:val="000000"/>
          <w:lang w:eastAsia="bg-BG"/>
        </w:rPr>
        <w:t>в)).</w:t>
      </w:r>
    </w:p>
    <w:p w14:paraId="5252F22D" w14:textId="77777777" w:rsidR="00C40DD0" w:rsidRPr="00C40DD0" w:rsidRDefault="00C40DD0" w:rsidP="00C40DD0">
      <w:pPr>
        <w:spacing w:line="240" w:lineRule="auto"/>
        <w:rPr>
          <w:rFonts w:eastAsia="Times New Roman" w:cs="Arial"/>
          <w:color w:val="000000"/>
          <w:u w:val="single"/>
          <w:lang w:eastAsia="bg-BG"/>
        </w:rPr>
      </w:pPr>
    </w:p>
    <w:p w14:paraId="0259935D" w14:textId="328FD108"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имунната система</w:t>
      </w:r>
    </w:p>
    <w:p w14:paraId="41771580"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алергични реакции, различни от анафилактични или анафилактоидни реакции.</w:t>
      </w:r>
    </w:p>
    <w:p w14:paraId="1080AA9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 неизвестна честота: анафилактични реакции или анафилактоидни реакции.</w:t>
      </w:r>
    </w:p>
    <w:p w14:paraId="4A15DFE2" w14:textId="77777777" w:rsidR="00C40DD0" w:rsidRPr="00C40DD0" w:rsidRDefault="00C40DD0" w:rsidP="00C40DD0">
      <w:pPr>
        <w:spacing w:line="240" w:lineRule="auto"/>
        <w:rPr>
          <w:rFonts w:eastAsia="Times New Roman" w:cs="Arial"/>
          <w:color w:val="000000"/>
          <w:u w:val="single"/>
          <w:lang w:eastAsia="bg-BG"/>
        </w:rPr>
      </w:pPr>
    </w:p>
    <w:p w14:paraId="331E3515" w14:textId="5321931F"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Психични нарушения</w:t>
      </w:r>
    </w:p>
    <w:p w14:paraId="28E73D9F"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lastRenderedPageBreak/>
        <w:t>Редки: промени в настроението, сънуване на кошмари</w:t>
      </w:r>
    </w:p>
    <w:p w14:paraId="4A33D22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 неизвестна честота: чувство на обърканост, дезориентация.</w:t>
      </w:r>
    </w:p>
    <w:p w14:paraId="1A79145E" w14:textId="77777777" w:rsidR="00C40DD0" w:rsidRPr="00C40DD0" w:rsidRDefault="00C40DD0" w:rsidP="00C40DD0">
      <w:pPr>
        <w:spacing w:line="240" w:lineRule="auto"/>
        <w:rPr>
          <w:rFonts w:eastAsia="Times New Roman" w:cs="Arial"/>
          <w:color w:val="000000"/>
          <w:u w:val="single"/>
          <w:lang w:eastAsia="bg-BG"/>
        </w:rPr>
      </w:pPr>
    </w:p>
    <w:p w14:paraId="41130B3F" w14:textId="443AAFDA"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нервната система</w:t>
      </w:r>
    </w:p>
    <w:p w14:paraId="12A3563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Чести: главоболие</w:t>
      </w:r>
    </w:p>
    <w:p w14:paraId="1F3040A6"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замаяност, сънливост</w:t>
      </w:r>
    </w:p>
    <w:p w14:paraId="05E3CC4D" w14:textId="77777777" w:rsidR="00C40DD0" w:rsidRPr="00C40DD0" w:rsidRDefault="00C40DD0" w:rsidP="00C40DD0">
      <w:pPr>
        <w:spacing w:line="240" w:lineRule="auto"/>
        <w:rPr>
          <w:rFonts w:eastAsia="Times New Roman" w:cs="Arial"/>
          <w:color w:val="000000"/>
          <w:u w:val="single"/>
          <w:lang w:eastAsia="bg-BG"/>
        </w:rPr>
      </w:pPr>
    </w:p>
    <w:p w14:paraId="192CD5A8" w14:textId="320F0948"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очите</w:t>
      </w:r>
    </w:p>
    <w:p w14:paraId="680D4E18"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Редки: нарушения в зрението, включително замъглено зрение; конюнктивит.</w:t>
      </w:r>
    </w:p>
    <w:p w14:paraId="0EB353F8" w14:textId="77777777" w:rsidR="00C40DD0" w:rsidRPr="00C40DD0" w:rsidRDefault="00C40DD0" w:rsidP="00C40DD0">
      <w:pPr>
        <w:spacing w:line="240" w:lineRule="auto"/>
        <w:rPr>
          <w:rFonts w:eastAsia="Times New Roman" w:cs="Arial"/>
          <w:color w:val="000000"/>
          <w:u w:val="single"/>
          <w:lang w:eastAsia="bg-BG"/>
        </w:rPr>
      </w:pPr>
    </w:p>
    <w:p w14:paraId="6179D42C" w14:textId="0F2161D8"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ухото и лабиринта</w:t>
      </w:r>
    </w:p>
    <w:p w14:paraId="19CD739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световъртеж Редки: шум в ушите</w:t>
      </w:r>
    </w:p>
    <w:p w14:paraId="3EE1E98E" w14:textId="77777777" w:rsidR="00C40DD0" w:rsidRPr="00C40DD0" w:rsidRDefault="00C40DD0" w:rsidP="00C40DD0">
      <w:pPr>
        <w:spacing w:line="240" w:lineRule="auto"/>
        <w:rPr>
          <w:rFonts w:eastAsia="Times New Roman" w:cs="Arial"/>
          <w:color w:val="000000"/>
          <w:u w:val="single"/>
          <w:lang w:eastAsia="bg-BG"/>
        </w:rPr>
      </w:pPr>
    </w:p>
    <w:p w14:paraId="79D7B533" w14:textId="10A902ED"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Сърдечни нарушения</w:t>
      </w:r>
    </w:p>
    <w:p w14:paraId="70925AE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Редки:сърцебиене</w:t>
      </w:r>
    </w:p>
    <w:p w14:paraId="39B5E2F3"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Съобщавана е сърдечна недостатъчност, във връзка с лечение с НСПВС.</w:t>
      </w:r>
    </w:p>
    <w:p w14:paraId="227F1CD1" w14:textId="77777777" w:rsidR="00C40DD0" w:rsidRPr="00C40DD0" w:rsidRDefault="00C40DD0" w:rsidP="00C40DD0">
      <w:pPr>
        <w:spacing w:line="240" w:lineRule="auto"/>
        <w:rPr>
          <w:rFonts w:eastAsia="Times New Roman" w:cs="Arial"/>
          <w:color w:val="000000"/>
          <w:u w:val="single"/>
          <w:lang w:eastAsia="bg-BG"/>
        </w:rPr>
      </w:pPr>
    </w:p>
    <w:p w14:paraId="11D06384" w14:textId="043C9079"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Съдови нарушения</w:t>
      </w:r>
    </w:p>
    <w:p w14:paraId="02866D43"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повишено кръвно налягане (вижте точка 4.4), зачервяване.</w:t>
      </w:r>
    </w:p>
    <w:p w14:paraId="597B5299" w14:textId="77777777" w:rsidR="00C40DD0" w:rsidRPr="00C40DD0" w:rsidRDefault="00C40DD0" w:rsidP="00C40DD0">
      <w:pPr>
        <w:spacing w:line="240" w:lineRule="auto"/>
        <w:rPr>
          <w:rFonts w:eastAsia="Times New Roman" w:cs="Arial"/>
          <w:color w:val="000000"/>
          <w:u w:val="single"/>
          <w:lang w:eastAsia="bg-BG"/>
        </w:rPr>
      </w:pPr>
    </w:p>
    <w:p w14:paraId="7A1A608E" w14:textId="018153DF"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Респираторни, гръдни и медиастинални нарушения</w:t>
      </w:r>
    </w:p>
    <w:p w14:paraId="60F710C9"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Редки: поява на астма при индивиди, алергични към аспирин или други НСПВС.</w:t>
      </w:r>
    </w:p>
    <w:p w14:paraId="4550D359" w14:textId="77777777" w:rsidR="00C40DD0" w:rsidRPr="00C40DD0" w:rsidRDefault="00C40DD0" w:rsidP="00C40DD0">
      <w:pPr>
        <w:spacing w:line="240" w:lineRule="auto"/>
        <w:rPr>
          <w:rFonts w:eastAsia="Times New Roman" w:cs="Arial"/>
          <w:color w:val="000000"/>
          <w:u w:val="single"/>
          <w:lang w:eastAsia="bg-BG"/>
        </w:rPr>
      </w:pPr>
    </w:p>
    <w:p w14:paraId="014BE0D7" w14:textId="6B1CA773"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Стомашно-чревни нарушения</w:t>
      </w:r>
    </w:p>
    <w:p w14:paraId="56FD4835"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Много чести: стомашно-чревни нежелани събития като цяло, включващи диспепсия, гадене, повръщане, стомашна болка, констипация, метеоризъм, диария</w:t>
      </w:r>
    </w:p>
    <w:p w14:paraId="4DC80A9F"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окултна или макроскопска гастроинтестинална хеморагия, стоматит, гастрит, оригване</w:t>
      </w:r>
    </w:p>
    <w:p w14:paraId="0E4C5440"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Редки: колит, гастродуоденална язва, езофагит</w:t>
      </w:r>
    </w:p>
    <w:p w14:paraId="2148D09A"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Много редки: гастроинтестинална перфорация</w:t>
      </w:r>
    </w:p>
    <w:p w14:paraId="01776403"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 неизвестна честота: панкреатит.</w:t>
      </w:r>
    </w:p>
    <w:p w14:paraId="5D18B777" w14:textId="77777777" w:rsidR="00C40DD0" w:rsidRPr="00C40DD0" w:rsidRDefault="00C40DD0" w:rsidP="00C40DD0">
      <w:pPr>
        <w:spacing w:line="240" w:lineRule="auto"/>
        <w:rPr>
          <w:rFonts w:eastAsia="Times New Roman" w:cs="Arial"/>
          <w:color w:val="000000"/>
          <w:lang w:eastAsia="bg-BG"/>
        </w:rPr>
      </w:pPr>
    </w:p>
    <w:p w14:paraId="5C44862E" w14:textId="48C8DED0"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Гастроинтестиналното кървене, язва или перфорация е възможно понякога да бъдат тежки и потенциално фатални, особено при пациенти в старческа възраст (вижте точка 4.4).</w:t>
      </w:r>
    </w:p>
    <w:p w14:paraId="63DFC424" w14:textId="77777777" w:rsidR="00C40DD0" w:rsidRPr="00C40DD0" w:rsidRDefault="00C40DD0" w:rsidP="00C40DD0">
      <w:pPr>
        <w:spacing w:line="240" w:lineRule="auto"/>
        <w:rPr>
          <w:rFonts w:eastAsia="Times New Roman" w:cs="Arial"/>
          <w:color w:val="000000"/>
          <w:u w:val="single"/>
          <w:lang w:eastAsia="bg-BG"/>
        </w:rPr>
      </w:pPr>
    </w:p>
    <w:p w14:paraId="4BDC6A4E" w14:textId="18432B45"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Хепатобилиарни нарушения</w:t>
      </w:r>
    </w:p>
    <w:p w14:paraId="61E6FE3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нарушения на чернодробната функция (например повишени нива на трансаминазите или билирубин)</w:t>
      </w:r>
    </w:p>
    <w:p w14:paraId="75B44412"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Много редки: хепатит.</w:t>
      </w:r>
    </w:p>
    <w:p w14:paraId="01F62133" w14:textId="77777777" w:rsidR="00C40DD0" w:rsidRPr="00C40DD0" w:rsidRDefault="00C40DD0" w:rsidP="00C40DD0">
      <w:pPr>
        <w:spacing w:line="240" w:lineRule="auto"/>
        <w:rPr>
          <w:rFonts w:eastAsia="Times New Roman" w:cs="Arial"/>
          <w:color w:val="000000"/>
          <w:u w:val="single"/>
          <w:lang w:eastAsia="bg-BG"/>
        </w:rPr>
      </w:pPr>
    </w:p>
    <w:p w14:paraId="1FA4658B" w14:textId="1A747D43"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кожата и подкожната тъкан</w:t>
      </w:r>
    </w:p>
    <w:p w14:paraId="00D85AD8"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ангиодем, пруритус, обрив</w:t>
      </w:r>
    </w:p>
    <w:p w14:paraId="0721BFA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Редки: Синдром на Стивънс-Джонсън, токсична епидермална некролиза, уртикария</w:t>
      </w:r>
    </w:p>
    <w:p w14:paraId="34C313F6"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Много редки: булозен дерматит, еритема мултиформе</w:t>
      </w:r>
    </w:p>
    <w:p w14:paraId="3AE1879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 неизвестна честота: реакции на фоточувствителност.</w:t>
      </w:r>
    </w:p>
    <w:p w14:paraId="570F4E2C" w14:textId="77777777" w:rsidR="00C40DD0" w:rsidRPr="00C40DD0" w:rsidRDefault="00C40DD0" w:rsidP="00C40DD0">
      <w:pPr>
        <w:spacing w:line="240" w:lineRule="auto"/>
        <w:rPr>
          <w:rFonts w:eastAsia="Times New Roman" w:cs="Arial"/>
          <w:color w:val="000000"/>
          <w:u w:val="single"/>
          <w:lang w:eastAsia="bg-BG"/>
        </w:rPr>
      </w:pPr>
    </w:p>
    <w:p w14:paraId="791C7FEA" w14:textId="5A645B4C"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бъбреците и пикочните пътища</w:t>
      </w:r>
    </w:p>
    <w:p w14:paraId="55642F7D"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задържка на натрий и вода, хиперкалиемия (вижте точка 4.4 Специални предупреждения и предпазни мерки при употреба и точка 4.5), абнормни параметри на бъбречната функция (повишен серумен креатинин и/ или серумна урея).</w:t>
      </w:r>
    </w:p>
    <w:p w14:paraId="7F7EB56F"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lastRenderedPageBreak/>
        <w:t>Много редки: остра бъбречна недостатъчност, особено при пациенти с рискови фактори (вижте точка 4.4).</w:t>
      </w:r>
    </w:p>
    <w:p w14:paraId="30DB75F3" w14:textId="77777777" w:rsidR="00C40DD0" w:rsidRPr="00C40DD0" w:rsidRDefault="00C40DD0" w:rsidP="00C40DD0">
      <w:pPr>
        <w:spacing w:line="240" w:lineRule="auto"/>
        <w:rPr>
          <w:rFonts w:eastAsia="Times New Roman" w:cs="Arial"/>
          <w:color w:val="000000"/>
          <w:u w:val="single"/>
          <w:lang w:eastAsia="bg-BG"/>
        </w:rPr>
      </w:pPr>
    </w:p>
    <w:p w14:paraId="3B035A29" w14:textId="0136DD7B"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Нарушения на въпроизводителната система и гърдата</w:t>
      </w:r>
    </w:p>
    <w:p w14:paraId="0AA6B409"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 неизвестна честота: безплодие при жените, забавена овулация.</w:t>
      </w:r>
    </w:p>
    <w:p w14:paraId="786B90D2" w14:textId="77777777" w:rsidR="00C40DD0" w:rsidRPr="00C40DD0" w:rsidRDefault="00C40DD0" w:rsidP="00C40DD0">
      <w:pPr>
        <w:spacing w:line="240" w:lineRule="auto"/>
        <w:rPr>
          <w:rFonts w:eastAsia="Times New Roman" w:cs="Arial"/>
          <w:color w:val="000000"/>
          <w:u w:val="single"/>
          <w:lang w:eastAsia="bg-BG"/>
        </w:rPr>
      </w:pPr>
    </w:p>
    <w:p w14:paraId="38556847" w14:textId="6E48C2F1"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Общи нарушения и такива на мястото на приложение</w:t>
      </w:r>
    </w:p>
    <w:p w14:paraId="3F8E4FAC"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Нечести: едем, включително едем на долните крайници.</w:t>
      </w:r>
    </w:p>
    <w:p w14:paraId="76EA3D67" w14:textId="77777777" w:rsidR="00C40DD0" w:rsidRPr="00C40DD0" w:rsidRDefault="00C40DD0" w:rsidP="00C40DD0">
      <w:pPr>
        <w:spacing w:line="240" w:lineRule="auto"/>
        <w:rPr>
          <w:rFonts w:eastAsia="Times New Roman" w:cs="Arial"/>
          <w:i/>
          <w:iCs/>
          <w:color w:val="000000"/>
          <w:lang w:eastAsia="bg-BG"/>
        </w:rPr>
      </w:pPr>
    </w:p>
    <w:p w14:paraId="51935831" w14:textId="4D811BF9"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в)</w:t>
      </w:r>
      <w:r w:rsidRPr="00C40DD0">
        <w:rPr>
          <w:rFonts w:eastAsia="Times New Roman" w:cs="Arial"/>
          <w:i/>
          <w:iCs/>
          <w:color w:val="000000"/>
          <w:lang w:eastAsia="bg-BG"/>
        </w:rPr>
        <w:t xml:space="preserve"> </w:t>
      </w:r>
      <w:r w:rsidRPr="00C40DD0">
        <w:rPr>
          <w:rFonts w:eastAsia="Times New Roman" w:cs="Arial"/>
          <w:i/>
          <w:iCs/>
          <w:color w:val="000000"/>
          <w:lang w:eastAsia="bg-BG"/>
        </w:rPr>
        <w:t>Информация, характеризираща определени сериозни и/или често появяващи се нежелани реакции</w:t>
      </w:r>
    </w:p>
    <w:p w14:paraId="41502DF6" w14:textId="77777777" w:rsidR="00C40DD0" w:rsidRPr="00C40DD0" w:rsidRDefault="00C40DD0" w:rsidP="00C40DD0">
      <w:pPr>
        <w:rPr>
          <w:rFonts w:eastAsia="Times New Roman" w:cs="Arial"/>
          <w:color w:val="000000"/>
          <w:lang w:eastAsia="bg-BG"/>
        </w:rPr>
      </w:pPr>
    </w:p>
    <w:p w14:paraId="2B4728EB" w14:textId="6D1B09B4" w:rsidR="00C40DD0" w:rsidRPr="00C40DD0" w:rsidRDefault="00C40DD0" w:rsidP="00C40DD0">
      <w:pPr>
        <w:rPr>
          <w:rFonts w:eastAsia="Times New Roman" w:cs="Arial"/>
          <w:color w:val="000000"/>
          <w:lang w:eastAsia="bg-BG"/>
        </w:rPr>
      </w:pPr>
      <w:r w:rsidRPr="00C40DD0">
        <w:rPr>
          <w:rFonts w:eastAsia="Times New Roman" w:cs="Arial"/>
          <w:color w:val="000000"/>
          <w:lang w:eastAsia="bg-BG"/>
        </w:rPr>
        <w:t>Много редки случаи на агранулоцитоза са съобщавани при пациенти, лекувани с мелоксикам и други потенциални миелотоксични лекарства (вижте точка 4.5).</w:t>
      </w:r>
    </w:p>
    <w:p w14:paraId="67BF51E0" w14:textId="3BFFFBAD" w:rsidR="00C40DD0" w:rsidRPr="00C40DD0" w:rsidRDefault="00C40DD0" w:rsidP="00C40DD0">
      <w:pPr>
        <w:rPr>
          <w:rFonts w:cs="Arial"/>
        </w:rPr>
      </w:pPr>
    </w:p>
    <w:p w14:paraId="597033A6" w14:textId="7B72AD1E" w:rsidR="00C40DD0" w:rsidRPr="00C40DD0" w:rsidRDefault="00C40DD0" w:rsidP="00C40DD0">
      <w:pPr>
        <w:spacing w:line="240" w:lineRule="auto"/>
        <w:rPr>
          <w:rFonts w:eastAsia="Times New Roman" w:cs="Arial"/>
          <w:lang w:eastAsia="bg-BG"/>
        </w:rPr>
      </w:pPr>
      <w:r w:rsidRPr="00C40DD0">
        <w:rPr>
          <w:rFonts w:eastAsia="Times New Roman" w:cs="Arial"/>
          <w:i/>
          <w:iCs/>
          <w:color w:val="000000"/>
          <w:lang w:eastAsia="bg-BG"/>
        </w:rPr>
        <w:t>г)</w:t>
      </w:r>
      <w:r w:rsidRPr="00C40DD0">
        <w:rPr>
          <w:rFonts w:eastAsia="Times New Roman" w:cs="Arial"/>
          <w:i/>
          <w:iCs/>
          <w:color w:val="000000"/>
          <w:lang w:eastAsia="bg-BG"/>
        </w:rPr>
        <w:t xml:space="preserve"> </w:t>
      </w:r>
      <w:r w:rsidRPr="00C40DD0">
        <w:rPr>
          <w:rFonts w:eastAsia="Times New Roman" w:cs="Arial"/>
          <w:i/>
          <w:iCs/>
          <w:color w:val="000000"/>
          <w:lang w:eastAsia="bg-BG"/>
        </w:rPr>
        <w:t>Нежелани реакции, които не са наблюдавани във връзка с продукта, но които като цяло са приети да се свързват с други съединения от този клас</w:t>
      </w:r>
    </w:p>
    <w:p w14:paraId="37B4890A" w14:textId="77777777" w:rsidR="00C40DD0" w:rsidRPr="00C40DD0" w:rsidRDefault="00C40DD0" w:rsidP="00C40DD0">
      <w:pPr>
        <w:spacing w:line="240" w:lineRule="auto"/>
        <w:rPr>
          <w:rFonts w:eastAsia="Times New Roman" w:cs="Arial"/>
          <w:color w:val="000000"/>
          <w:lang w:eastAsia="bg-BG"/>
        </w:rPr>
      </w:pPr>
    </w:p>
    <w:p w14:paraId="407A474A" w14:textId="28113896"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Съобщавано е органно бъбречно увреждане, водещо до остра бъбречна недостатъчност: много редки случаи на интестициален нефрит, остра тубулна некроза, нефротичен синдром и папиларна некроза (вижте точка 4.4).</w:t>
      </w:r>
    </w:p>
    <w:p w14:paraId="3489DDDD" w14:textId="77777777" w:rsidR="00C40DD0" w:rsidRPr="00C40DD0" w:rsidRDefault="00C40DD0" w:rsidP="00C40DD0">
      <w:pPr>
        <w:spacing w:line="240" w:lineRule="auto"/>
        <w:rPr>
          <w:rFonts w:eastAsia="Times New Roman" w:cs="Arial"/>
          <w:color w:val="000000"/>
          <w:u w:val="single"/>
          <w:lang w:eastAsia="bg-BG"/>
        </w:rPr>
      </w:pPr>
    </w:p>
    <w:p w14:paraId="2E0DAF83" w14:textId="79686223"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Съобщаване на подозирани нежелани реакпии</w:t>
      </w:r>
    </w:p>
    <w:p w14:paraId="5E12EEF5"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176619F4"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Изпълнителна агенция по лекарствата</w:t>
      </w:r>
    </w:p>
    <w:p w14:paraId="42FE5D2A"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ул., Дамян Груев” № 8,</w:t>
      </w:r>
    </w:p>
    <w:p w14:paraId="3348DE96"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1303 София,</w:t>
      </w:r>
    </w:p>
    <w:p w14:paraId="0D90018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Тел.:+359 2 8903417</w:t>
      </w:r>
    </w:p>
    <w:p w14:paraId="68975422"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уебсайт: </w:t>
      </w:r>
      <w:hyperlink r:id="rId5" w:history="1">
        <w:r w:rsidRPr="00C40DD0">
          <w:rPr>
            <w:rFonts w:eastAsia="Times New Roman" w:cs="Arial"/>
            <w:color w:val="000000"/>
            <w:u w:val="single"/>
            <w:lang w:val="en-US"/>
          </w:rPr>
          <w:t>www.bda.bg</w:t>
        </w:r>
      </w:hyperlink>
    </w:p>
    <w:p w14:paraId="6666F65C" w14:textId="77777777" w:rsidR="00C40DD0" w:rsidRPr="00C40DD0" w:rsidRDefault="00C40DD0" w:rsidP="00C40DD0">
      <w:pPr>
        <w:rPr>
          <w:rFonts w:cs="Arial"/>
        </w:rPr>
      </w:pPr>
    </w:p>
    <w:p w14:paraId="378A0F20" w14:textId="4F0FD810" w:rsidR="001D095A" w:rsidRDefault="002C50EE" w:rsidP="00340E8D">
      <w:pPr>
        <w:pStyle w:val="Heading2"/>
      </w:pPr>
      <w:r>
        <w:t>4.9. Предозиране</w:t>
      </w:r>
    </w:p>
    <w:p w14:paraId="2DE0CC98" w14:textId="2415BF3C" w:rsidR="00C40DD0" w:rsidRDefault="00C40DD0" w:rsidP="00C40DD0"/>
    <w:p w14:paraId="3A5D5F17"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Симптоми</w:t>
      </w:r>
    </w:p>
    <w:p w14:paraId="2B15D21E"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Симптомите на остро предозиране с НСПВС обикновено се ограничават до летаргия, сънливост, гадене, повръщане и епигастрална болка, които в повечето случаи са обратими при съответните мерки. Може да се появи гастроинтестинално кървене. Тежко отравяне може да предизвика хипертония, остра бъбречна недостатъчност, чернодробна дисфункция, респираторна депресия, кома, гърчове, сърдечно-съдов колапс и сърдечен арест. При терапевтично поглъщане на НСПВС са съобщавани анафилактоидните реакции, които могат да се появят и след предозиране.</w:t>
      </w:r>
    </w:p>
    <w:p w14:paraId="0C95EA35" w14:textId="77777777" w:rsidR="00C40DD0" w:rsidRDefault="00C40DD0" w:rsidP="00C40DD0">
      <w:pPr>
        <w:spacing w:line="240" w:lineRule="auto"/>
        <w:rPr>
          <w:rFonts w:eastAsia="Times New Roman" w:cs="Arial"/>
          <w:color w:val="000000"/>
          <w:u w:val="single"/>
          <w:lang w:eastAsia="bg-BG"/>
        </w:rPr>
      </w:pPr>
    </w:p>
    <w:p w14:paraId="7F2A9DCA" w14:textId="77622E44" w:rsidR="00C40DD0" w:rsidRPr="00C40DD0" w:rsidRDefault="00C40DD0" w:rsidP="00C40DD0">
      <w:pPr>
        <w:spacing w:line="240" w:lineRule="auto"/>
        <w:rPr>
          <w:rFonts w:eastAsia="Times New Roman" w:cs="Arial"/>
          <w:lang w:eastAsia="bg-BG"/>
        </w:rPr>
      </w:pPr>
      <w:r w:rsidRPr="00C40DD0">
        <w:rPr>
          <w:rFonts w:eastAsia="Times New Roman" w:cs="Arial"/>
          <w:color w:val="000000"/>
          <w:u w:val="single"/>
          <w:lang w:eastAsia="bg-BG"/>
        </w:rPr>
        <w:t>Лечение</w:t>
      </w:r>
    </w:p>
    <w:p w14:paraId="20F446DF"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 xml:space="preserve">В случай на предозиране, пациентите трябва да бъдат подложени на симптоматично лечение и да бъдат приложени някои общо подкрепящи мерки. В клинично изпитване е било установено, че перорална доза от 4 </w:t>
      </w:r>
      <w:r w:rsidRPr="00C40DD0">
        <w:rPr>
          <w:rFonts w:eastAsia="Times New Roman" w:cs="Arial"/>
          <w:color w:val="000000"/>
          <w:lang w:val="en-US"/>
        </w:rPr>
        <w:t xml:space="preserve">g </w:t>
      </w:r>
      <w:r w:rsidRPr="00C40DD0">
        <w:rPr>
          <w:rFonts w:eastAsia="Times New Roman" w:cs="Arial"/>
          <w:color w:val="000000"/>
          <w:lang w:eastAsia="bg-BG"/>
        </w:rPr>
        <w:t>холестирамин, приемана три пъти дневно, ускорява елиминирането на мелоксикам.</w:t>
      </w:r>
    </w:p>
    <w:p w14:paraId="7156165E" w14:textId="77777777" w:rsidR="00C40DD0" w:rsidRPr="00C40DD0" w:rsidRDefault="00C40DD0" w:rsidP="00C40DD0"/>
    <w:p w14:paraId="02081B24" w14:textId="36FE76F4" w:rsidR="00395555" w:rsidRPr="00395555" w:rsidRDefault="002C50EE" w:rsidP="008A6AF2">
      <w:pPr>
        <w:pStyle w:val="Heading1"/>
      </w:pPr>
      <w:r>
        <w:t>5. ФАРМАКОЛОГИЧНИ СВОЙСТВА</w:t>
      </w:r>
    </w:p>
    <w:p w14:paraId="7F6CC5E1" w14:textId="6E469E56" w:rsidR="00F62E44" w:rsidRDefault="002C50EE" w:rsidP="00387A66">
      <w:pPr>
        <w:pStyle w:val="Heading2"/>
      </w:pPr>
      <w:r>
        <w:t>5.1. Фармакодинамични свойства</w:t>
      </w:r>
    </w:p>
    <w:p w14:paraId="26353418" w14:textId="621C3118" w:rsidR="00C40DD0" w:rsidRDefault="00C40DD0" w:rsidP="00C40DD0"/>
    <w:p w14:paraId="717BB709" w14:textId="77777777"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Фармакотерапевтична група: Противовъзпалителни и антиревматични лекарства, нестероидни, Оксиками. АТС код: М01АС06</w:t>
      </w:r>
    </w:p>
    <w:p w14:paraId="058A332E" w14:textId="77777777" w:rsidR="00C40DD0" w:rsidRDefault="00C40DD0" w:rsidP="00C40DD0">
      <w:pPr>
        <w:spacing w:line="240" w:lineRule="auto"/>
        <w:rPr>
          <w:rFonts w:eastAsia="Times New Roman" w:cs="Arial"/>
          <w:color w:val="000000"/>
          <w:lang w:eastAsia="bg-BG"/>
        </w:rPr>
      </w:pPr>
    </w:p>
    <w:p w14:paraId="3229B72D" w14:textId="3A8E70CD" w:rsidR="00C40DD0" w:rsidRPr="00C40DD0" w:rsidRDefault="00C40DD0" w:rsidP="00C40DD0">
      <w:pPr>
        <w:spacing w:line="240" w:lineRule="auto"/>
        <w:rPr>
          <w:rFonts w:eastAsia="Times New Roman" w:cs="Arial"/>
          <w:lang w:eastAsia="bg-BG"/>
        </w:rPr>
      </w:pPr>
      <w:r w:rsidRPr="00C40DD0">
        <w:rPr>
          <w:rFonts w:eastAsia="Times New Roman" w:cs="Arial"/>
          <w:color w:val="000000"/>
          <w:lang w:eastAsia="bg-BG"/>
        </w:rPr>
        <w:t>Мелоксикам е нестероидно противовъзпалително средство (НСПВС) от класа на оксикамите, което има противовъзпалителни, аналгетични и антипиретични свойства.</w:t>
      </w:r>
    </w:p>
    <w:p w14:paraId="3051509D" w14:textId="77777777" w:rsidR="00C40DD0" w:rsidRDefault="00C40DD0" w:rsidP="00C40DD0">
      <w:pPr>
        <w:rPr>
          <w:rFonts w:eastAsia="Times New Roman" w:cs="Arial"/>
          <w:color w:val="000000"/>
          <w:lang w:eastAsia="bg-BG"/>
        </w:rPr>
      </w:pPr>
    </w:p>
    <w:p w14:paraId="6E943E48" w14:textId="5185291E" w:rsidR="00C40DD0" w:rsidRPr="00B44839" w:rsidRDefault="00C40DD0" w:rsidP="00C40DD0">
      <w:pPr>
        <w:rPr>
          <w:rFonts w:ascii="Times New Roman" w:eastAsia="Times New Roman" w:hAnsi="Times New Roman" w:cs="Times New Roman"/>
          <w:sz w:val="24"/>
          <w:szCs w:val="24"/>
          <w:lang w:eastAsia="bg-BG"/>
        </w:rPr>
      </w:pPr>
      <w:r w:rsidRPr="00C40DD0">
        <w:rPr>
          <w:rFonts w:eastAsia="Times New Roman" w:cs="Arial"/>
          <w:color w:val="000000"/>
          <w:lang w:eastAsia="bg-BG"/>
        </w:rPr>
        <w:t>Противовъзпалителната активност на мелоксикам е доказана при класически модели на възпаление. Както и при другите НСПВС, точният механизъм на действие остава неизвестен. Въпреки това съществува поне един общ начин на действие, характерен за</w:t>
      </w:r>
      <w:r w:rsidR="00B44839">
        <w:rPr>
          <w:rFonts w:eastAsia="Times New Roman" w:cs="Arial"/>
          <w:color w:val="000000"/>
          <w:lang w:eastAsia="bg-BG"/>
        </w:rPr>
        <w:t xml:space="preserve"> </w:t>
      </w:r>
      <w:r w:rsidR="00B44839" w:rsidRPr="00B44839">
        <w:rPr>
          <w:lang w:eastAsia="bg-BG"/>
        </w:rPr>
        <w:t>всички НСПВС (включително мелоксикам): инхибиране на биосинтезата на простагландини - известни медиатори на възпалението.</w:t>
      </w:r>
    </w:p>
    <w:p w14:paraId="13345526" w14:textId="77777777" w:rsidR="00C40DD0" w:rsidRPr="00C40DD0" w:rsidRDefault="00C40DD0" w:rsidP="00C40DD0"/>
    <w:p w14:paraId="544FFDAF" w14:textId="2115E907" w:rsidR="00F62E44" w:rsidRDefault="002C50EE" w:rsidP="00387A66">
      <w:pPr>
        <w:pStyle w:val="Heading2"/>
      </w:pPr>
      <w:r>
        <w:t>5.2. Фармакокинетични свойства</w:t>
      </w:r>
    </w:p>
    <w:p w14:paraId="609962C5" w14:textId="776F065D" w:rsidR="00B44839" w:rsidRDefault="00B44839" w:rsidP="00B44839"/>
    <w:p w14:paraId="6780E301"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u w:val="single"/>
          <w:lang w:eastAsia="bg-BG"/>
        </w:rPr>
        <w:t>Абсорбция</w:t>
      </w:r>
    </w:p>
    <w:p w14:paraId="56918FDA"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Мелоксикам се абсорбира добре от стомашно-чревния тракт, което рефлектира като висока абсолютна бионаличност от 90% след перорално приложение (капсули). Таблетките, пероралната суспензия и капсулите са биоеквивалентни.</w:t>
      </w:r>
    </w:p>
    <w:p w14:paraId="29488D04"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След прилагане на единична доза мелоксикам, средните максимални плазмени концентрации се достигат в рамките на 2 часа за суспензията и 5-6 часа за твърдите перорални форми (таблетки и капсули).</w:t>
      </w:r>
    </w:p>
    <w:p w14:paraId="5F569EBB"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При прилагане на многократни дози, </w:t>
      </w:r>
      <w:r w:rsidRPr="00B44839">
        <w:rPr>
          <w:rFonts w:eastAsia="Times New Roman" w:cs="Arial"/>
          <w:color w:val="000000"/>
          <w:lang w:val="en-US"/>
        </w:rPr>
        <w:t xml:space="preserve">steady-state </w:t>
      </w:r>
      <w:r w:rsidRPr="00B44839">
        <w:rPr>
          <w:rFonts w:eastAsia="Times New Roman" w:cs="Arial"/>
          <w:color w:val="000000"/>
          <w:lang w:eastAsia="bg-BG"/>
        </w:rPr>
        <w:t>е постигат за 3 до 5 дни.</w:t>
      </w:r>
    </w:p>
    <w:p w14:paraId="19144254"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Дозирането веднъж дневно довежда до средни плазмени концентрации на лекарството с относително по-малко отклонение на Р/Т концентрации в порядъка от 0,4 - 1,0 μ</w:t>
      </w:r>
      <w:r w:rsidRPr="00B44839">
        <w:rPr>
          <w:rFonts w:eastAsia="Times New Roman" w:cs="Arial"/>
          <w:color w:val="000000"/>
          <w:lang w:val="en-US"/>
        </w:rPr>
        <w:t xml:space="preserve">g/ml </w:t>
      </w:r>
      <w:r w:rsidRPr="00B44839">
        <w:rPr>
          <w:rFonts w:eastAsia="Times New Roman" w:cs="Arial"/>
          <w:color w:val="000000"/>
          <w:lang w:eastAsia="bg-BG"/>
        </w:rPr>
        <w:t xml:space="preserve">за дози 7,5 </w:t>
      </w:r>
      <w:r w:rsidRPr="00B44839">
        <w:rPr>
          <w:rFonts w:eastAsia="Times New Roman" w:cs="Arial"/>
          <w:color w:val="000000"/>
          <w:lang w:val="en-US"/>
        </w:rPr>
        <w:t xml:space="preserve">mg </w:t>
      </w:r>
      <w:r w:rsidRPr="00B44839">
        <w:rPr>
          <w:rFonts w:eastAsia="Times New Roman" w:cs="Arial"/>
          <w:color w:val="000000"/>
          <w:lang w:eastAsia="bg-BG"/>
        </w:rPr>
        <w:t>и 0,8 - 2,0 μ</w:t>
      </w:r>
      <w:r w:rsidRPr="00B44839">
        <w:rPr>
          <w:rFonts w:eastAsia="Times New Roman" w:cs="Arial"/>
          <w:color w:val="000000"/>
          <w:lang w:val="en-US"/>
        </w:rPr>
        <w:t xml:space="preserve">g/ml </w:t>
      </w:r>
      <w:r w:rsidRPr="00B44839">
        <w:rPr>
          <w:rFonts w:eastAsia="Times New Roman" w:cs="Arial"/>
          <w:color w:val="000000"/>
          <w:lang w:eastAsia="bg-BG"/>
        </w:rPr>
        <w:t xml:space="preserve">за дози 15 </w:t>
      </w:r>
      <w:r w:rsidRPr="00B44839">
        <w:rPr>
          <w:rFonts w:eastAsia="Times New Roman" w:cs="Arial"/>
          <w:color w:val="000000"/>
          <w:lang w:val="en-US"/>
        </w:rPr>
        <w:t xml:space="preserve">mg, </w:t>
      </w:r>
      <w:r w:rsidRPr="00B44839">
        <w:rPr>
          <w:rFonts w:eastAsia="Times New Roman" w:cs="Arial"/>
          <w:color w:val="000000"/>
          <w:lang w:eastAsia="bg-BG"/>
        </w:rPr>
        <w:t xml:space="preserve">съответно (съответно </w:t>
      </w:r>
      <w:proofErr w:type="spellStart"/>
      <w:r w:rsidRPr="00B44839">
        <w:rPr>
          <w:rFonts w:eastAsia="Times New Roman" w:cs="Arial"/>
          <w:color w:val="000000"/>
          <w:lang w:val="en-US"/>
        </w:rPr>
        <w:t>Cmin</w:t>
      </w:r>
      <w:proofErr w:type="spellEnd"/>
      <w:r w:rsidRPr="00B44839">
        <w:rPr>
          <w:rFonts w:eastAsia="Times New Roman" w:cs="Arial"/>
          <w:color w:val="000000"/>
          <w:lang w:val="en-US"/>
        </w:rPr>
        <w:t xml:space="preserve"> </w:t>
      </w:r>
      <w:r w:rsidRPr="00B44839">
        <w:rPr>
          <w:rFonts w:eastAsia="Times New Roman" w:cs="Arial"/>
          <w:color w:val="000000"/>
          <w:lang w:eastAsia="bg-BG"/>
        </w:rPr>
        <w:t xml:space="preserve">и </w:t>
      </w:r>
      <w:proofErr w:type="spellStart"/>
      <w:r w:rsidRPr="00B44839">
        <w:rPr>
          <w:rFonts w:eastAsia="Times New Roman" w:cs="Arial"/>
          <w:color w:val="000000"/>
          <w:lang w:val="en-US"/>
        </w:rPr>
        <w:t>Cmax</w:t>
      </w:r>
      <w:proofErr w:type="spellEnd"/>
      <w:r w:rsidRPr="00B44839">
        <w:rPr>
          <w:rFonts w:eastAsia="Times New Roman" w:cs="Arial"/>
          <w:color w:val="000000"/>
          <w:lang w:val="en-US"/>
        </w:rPr>
        <w:t xml:space="preserve"> steady-state). </w:t>
      </w:r>
      <w:r w:rsidRPr="00B44839">
        <w:rPr>
          <w:rFonts w:eastAsia="Times New Roman" w:cs="Arial"/>
          <w:color w:val="000000"/>
          <w:lang w:eastAsia="bg-BG"/>
        </w:rPr>
        <w:t xml:space="preserve">Средните максимални плазмени концентрации при </w:t>
      </w:r>
      <w:r w:rsidRPr="00B44839">
        <w:rPr>
          <w:rFonts w:eastAsia="Times New Roman" w:cs="Arial"/>
          <w:color w:val="000000"/>
          <w:lang w:val="en-US"/>
        </w:rPr>
        <w:t xml:space="preserve">steady-state </w:t>
      </w:r>
      <w:r w:rsidRPr="00B44839">
        <w:rPr>
          <w:rFonts w:eastAsia="Times New Roman" w:cs="Arial"/>
          <w:color w:val="000000"/>
          <w:lang w:eastAsia="bg-BG"/>
        </w:rPr>
        <w:t>се достигат в рамките на 5 до 6 часа за таблетките, капсулите и пероралната суспензия, респективно. Степента на абсорбиране на мелоксикам след перорално приложение не се променя при едновременнно приемане на храна или употребата на неорганични антиациди.</w:t>
      </w:r>
    </w:p>
    <w:p w14:paraId="1298A10C" w14:textId="77777777" w:rsidR="00B44839" w:rsidRDefault="00B44839" w:rsidP="00B44839">
      <w:pPr>
        <w:spacing w:line="240" w:lineRule="auto"/>
        <w:rPr>
          <w:rFonts w:eastAsia="Times New Roman" w:cs="Arial"/>
          <w:color w:val="000000"/>
          <w:u w:val="single"/>
          <w:lang w:eastAsia="bg-BG"/>
        </w:rPr>
      </w:pPr>
    </w:p>
    <w:p w14:paraId="3941548D" w14:textId="75F9FE2B" w:rsidR="00B44839" w:rsidRPr="00B44839" w:rsidRDefault="00B44839" w:rsidP="00B44839">
      <w:pPr>
        <w:spacing w:line="240" w:lineRule="auto"/>
        <w:rPr>
          <w:rFonts w:eastAsia="Times New Roman" w:cs="Arial"/>
          <w:lang w:eastAsia="bg-BG"/>
        </w:rPr>
      </w:pPr>
      <w:r w:rsidRPr="00B44839">
        <w:rPr>
          <w:rFonts w:eastAsia="Times New Roman" w:cs="Arial"/>
          <w:color w:val="000000"/>
          <w:u w:val="single"/>
          <w:lang w:eastAsia="bg-BG"/>
        </w:rPr>
        <w:t>Разпределение</w:t>
      </w:r>
    </w:p>
    <w:p w14:paraId="1A557C5E"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Мелоксикам се свързва много здраво с плазмените протеини, основно с албумин (99%).</w:t>
      </w:r>
    </w:p>
    <w:p w14:paraId="5C90DF23"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Мелоксикам прониква добре в синовиалната течност, за да даде концентрации приблизително половината от тези в плазмата.</w:t>
      </w:r>
    </w:p>
    <w:p w14:paraId="3CCD3C5F"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Обемът на разпределение е малък, т.е. приблизително 11 </w:t>
      </w:r>
      <w:r w:rsidRPr="00B44839">
        <w:rPr>
          <w:rFonts w:eastAsia="Times New Roman" w:cs="Arial"/>
          <w:color w:val="000000"/>
          <w:lang w:val="en-US"/>
        </w:rPr>
        <w:t xml:space="preserve">L </w:t>
      </w:r>
      <w:r w:rsidRPr="00B44839">
        <w:rPr>
          <w:rFonts w:eastAsia="Times New Roman" w:cs="Arial"/>
          <w:color w:val="000000"/>
          <w:lang w:eastAsia="bg-BG"/>
        </w:rPr>
        <w:t xml:space="preserve">след интрамускулно или интравенозно приложение и показва индивидуални отклонения от порядъка на 7-20%. Обемът на разпределение след прием на многократни перорални дози мелоксикам (7,5 </w:t>
      </w:r>
      <w:r w:rsidRPr="00B44839">
        <w:rPr>
          <w:rFonts w:eastAsia="Times New Roman" w:cs="Arial"/>
          <w:color w:val="000000"/>
          <w:lang w:val="en-US"/>
        </w:rPr>
        <w:t xml:space="preserve">mg </w:t>
      </w:r>
      <w:r w:rsidRPr="00B44839">
        <w:rPr>
          <w:rFonts w:eastAsia="Times New Roman" w:cs="Arial"/>
          <w:color w:val="000000"/>
          <w:lang w:eastAsia="bg-BG"/>
        </w:rPr>
        <w:t xml:space="preserve">до 15 </w:t>
      </w:r>
      <w:r w:rsidRPr="00B44839">
        <w:rPr>
          <w:rFonts w:eastAsia="Times New Roman" w:cs="Arial"/>
          <w:color w:val="000000"/>
          <w:lang w:val="en-US"/>
        </w:rPr>
        <w:t xml:space="preserve">mg) </w:t>
      </w:r>
      <w:r w:rsidRPr="00B44839">
        <w:rPr>
          <w:rFonts w:eastAsia="Times New Roman" w:cs="Arial"/>
          <w:color w:val="000000"/>
          <w:lang w:eastAsia="bg-BG"/>
        </w:rPr>
        <w:t xml:space="preserve">е около 16 </w:t>
      </w:r>
      <w:r w:rsidRPr="00B44839">
        <w:rPr>
          <w:rFonts w:eastAsia="Times New Roman" w:cs="Arial"/>
          <w:color w:val="000000"/>
          <w:lang w:val="en-US"/>
        </w:rPr>
        <w:t xml:space="preserve">L, </w:t>
      </w:r>
      <w:r w:rsidRPr="00B44839">
        <w:rPr>
          <w:rFonts w:eastAsia="Times New Roman" w:cs="Arial"/>
          <w:color w:val="000000"/>
          <w:lang w:eastAsia="bg-BG"/>
        </w:rPr>
        <w:t>с коефициенти на отклонение, вариращи от 11 до 32%.</w:t>
      </w:r>
    </w:p>
    <w:p w14:paraId="0145C9A8" w14:textId="77777777" w:rsidR="00B44839" w:rsidRDefault="00B44839" w:rsidP="00B44839">
      <w:pPr>
        <w:spacing w:line="240" w:lineRule="auto"/>
        <w:rPr>
          <w:rFonts w:eastAsia="Times New Roman" w:cs="Arial"/>
          <w:color w:val="000000"/>
          <w:u w:val="single"/>
          <w:lang w:eastAsia="bg-BG"/>
        </w:rPr>
      </w:pPr>
    </w:p>
    <w:p w14:paraId="2891EF9D" w14:textId="046712B8" w:rsidR="00B44839" w:rsidRPr="00B44839" w:rsidRDefault="00B44839" w:rsidP="00B44839">
      <w:pPr>
        <w:spacing w:line="240" w:lineRule="auto"/>
        <w:rPr>
          <w:rFonts w:eastAsia="Times New Roman" w:cs="Arial"/>
          <w:lang w:eastAsia="bg-BG"/>
        </w:rPr>
      </w:pPr>
      <w:r w:rsidRPr="00B44839">
        <w:rPr>
          <w:rFonts w:eastAsia="Times New Roman" w:cs="Arial"/>
          <w:color w:val="000000"/>
          <w:u w:val="single"/>
          <w:lang w:eastAsia="bg-BG"/>
        </w:rPr>
        <w:t>Биотрансформация</w:t>
      </w:r>
    </w:p>
    <w:p w14:paraId="01A2317B"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Мелоксикам претърпява екстензивна чернодробна биотрансформация.</w:t>
      </w:r>
    </w:p>
    <w:p w14:paraId="4650EE2F"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В урината се откриват четири различни метаболита на мелоксикам, всички от които са фармакодинамично неактивни. Основният метаболит, 5’-карбоксимелоксикам (60% от дозата) се образува посредством окисление на междинния метаболит 5’- </w:t>
      </w:r>
      <w:r w:rsidRPr="00B44839">
        <w:rPr>
          <w:rFonts w:eastAsia="Times New Roman" w:cs="Arial"/>
          <w:color w:val="000000"/>
          <w:lang w:eastAsia="bg-BG"/>
        </w:rPr>
        <w:lastRenderedPageBreak/>
        <w:t xml:space="preserve">хидроксиметилмелоксикам, който също се екскретира, но в по-ниска степен (9% от дозата). Проведените </w:t>
      </w:r>
      <w:r w:rsidRPr="00B44839">
        <w:rPr>
          <w:rFonts w:eastAsia="Times New Roman" w:cs="Arial"/>
          <w:i/>
          <w:iCs/>
          <w:color w:val="000000"/>
          <w:lang w:val="en-US"/>
        </w:rPr>
        <w:t>in vitro</w:t>
      </w:r>
      <w:r w:rsidRPr="00B44839">
        <w:rPr>
          <w:rFonts w:eastAsia="Times New Roman" w:cs="Arial"/>
          <w:color w:val="000000"/>
          <w:lang w:val="en-US"/>
        </w:rPr>
        <w:t xml:space="preserve"> </w:t>
      </w:r>
      <w:r w:rsidRPr="00B44839">
        <w:rPr>
          <w:rFonts w:eastAsia="Times New Roman" w:cs="Arial"/>
          <w:color w:val="000000"/>
          <w:lang w:eastAsia="bg-BG"/>
        </w:rPr>
        <w:t xml:space="preserve">проучвания предполагат, че </w:t>
      </w:r>
      <w:r w:rsidRPr="00B44839">
        <w:rPr>
          <w:rFonts w:eastAsia="Times New Roman" w:cs="Arial"/>
          <w:color w:val="000000"/>
          <w:lang w:val="en-US"/>
        </w:rPr>
        <w:t xml:space="preserve">CYP2C9 </w:t>
      </w:r>
      <w:r w:rsidRPr="00B44839">
        <w:rPr>
          <w:rFonts w:eastAsia="Times New Roman" w:cs="Arial"/>
          <w:color w:val="000000"/>
          <w:lang w:eastAsia="bg-BG"/>
        </w:rPr>
        <w:t xml:space="preserve">играе важна роля в този метаболитен път, с минимален принос на </w:t>
      </w:r>
      <w:r w:rsidRPr="00B44839">
        <w:rPr>
          <w:rFonts w:eastAsia="Times New Roman" w:cs="Arial"/>
          <w:color w:val="000000"/>
          <w:lang w:val="en-US"/>
        </w:rPr>
        <w:t xml:space="preserve">CYP3A4 </w:t>
      </w:r>
      <w:r w:rsidRPr="00B44839">
        <w:rPr>
          <w:rFonts w:eastAsia="Times New Roman" w:cs="Arial"/>
          <w:color w:val="000000"/>
          <w:lang w:eastAsia="bg-BG"/>
        </w:rPr>
        <w:t>изоензим. Вероятно от пероксидазната активност на пациента зависят другите два метаболита, които представляват съответно 16% и 4% от приложената доза.</w:t>
      </w:r>
    </w:p>
    <w:p w14:paraId="1124D6FE" w14:textId="77777777" w:rsidR="00B44839" w:rsidRDefault="00B44839" w:rsidP="00B44839">
      <w:pPr>
        <w:spacing w:line="240" w:lineRule="auto"/>
        <w:rPr>
          <w:rFonts w:eastAsia="Times New Roman" w:cs="Arial"/>
          <w:color w:val="000000"/>
          <w:u w:val="single"/>
          <w:lang w:eastAsia="bg-BG"/>
        </w:rPr>
      </w:pPr>
    </w:p>
    <w:p w14:paraId="29CE6B40" w14:textId="6D55D6F8" w:rsidR="00B44839" w:rsidRPr="00B44839" w:rsidRDefault="00B44839" w:rsidP="00B44839">
      <w:pPr>
        <w:spacing w:line="240" w:lineRule="auto"/>
        <w:rPr>
          <w:rFonts w:eastAsia="Times New Roman" w:cs="Arial"/>
          <w:lang w:eastAsia="bg-BG"/>
        </w:rPr>
      </w:pPr>
      <w:r w:rsidRPr="00B44839">
        <w:rPr>
          <w:rFonts w:eastAsia="Times New Roman" w:cs="Arial"/>
          <w:color w:val="000000"/>
          <w:u w:val="single"/>
          <w:lang w:eastAsia="bg-BG"/>
        </w:rPr>
        <w:t>Елиминиране</w:t>
      </w:r>
    </w:p>
    <w:p w14:paraId="6EF543F3"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Мелоксикам се екскретира основно под формата на метаболити, които се откриват в еднаква степен в урината и фекалиите. По-малко от 5% от дневната доза се екскретира непроменена във фекалиите и само следи от непроменено количество се екскретират в урината.</w:t>
      </w:r>
    </w:p>
    <w:p w14:paraId="523CA8FA"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Средният елиминационен полуживот варира между 13-25 часа след перорално, интрамускулно и интравенозно приложение. Общият плазмен клиърънс е около 7-12 </w:t>
      </w:r>
      <w:r w:rsidRPr="00B44839">
        <w:rPr>
          <w:rFonts w:eastAsia="Times New Roman" w:cs="Arial"/>
          <w:color w:val="000000"/>
          <w:lang w:val="en-US"/>
        </w:rPr>
        <w:t xml:space="preserve">ml/min </w:t>
      </w:r>
      <w:r w:rsidRPr="00B44839">
        <w:rPr>
          <w:rFonts w:eastAsia="Times New Roman" w:cs="Arial"/>
          <w:color w:val="000000"/>
          <w:lang w:eastAsia="bg-BG"/>
        </w:rPr>
        <w:t>след еднократни дози, приложени перорално, интравенозно или ректално.</w:t>
      </w:r>
    </w:p>
    <w:p w14:paraId="58342BE3" w14:textId="77777777" w:rsidR="00B44839" w:rsidRDefault="00B44839" w:rsidP="00B44839">
      <w:pPr>
        <w:spacing w:line="240" w:lineRule="auto"/>
        <w:rPr>
          <w:rFonts w:eastAsia="Times New Roman" w:cs="Arial"/>
          <w:color w:val="000000"/>
          <w:u w:val="single"/>
          <w:lang w:eastAsia="bg-BG"/>
        </w:rPr>
      </w:pPr>
    </w:p>
    <w:p w14:paraId="7C2B67A4" w14:textId="4D5886B2" w:rsidR="00B44839" w:rsidRPr="00B44839" w:rsidRDefault="00B44839" w:rsidP="00B44839">
      <w:pPr>
        <w:spacing w:line="240" w:lineRule="auto"/>
        <w:rPr>
          <w:rFonts w:eastAsia="Times New Roman" w:cs="Arial"/>
          <w:lang w:eastAsia="bg-BG"/>
        </w:rPr>
      </w:pPr>
      <w:r w:rsidRPr="00B44839">
        <w:rPr>
          <w:rFonts w:eastAsia="Times New Roman" w:cs="Arial"/>
          <w:color w:val="000000"/>
          <w:u w:val="single"/>
          <w:lang w:eastAsia="bg-BG"/>
        </w:rPr>
        <w:t>Линейност / нелинейност</w:t>
      </w:r>
    </w:p>
    <w:p w14:paraId="1B8C062B"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Мелоксикам показва линейна фармакокиненика в терапевтичния дозов диапазон 7,5 </w:t>
      </w:r>
      <w:r w:rsidRPr="00B44839">
        <w:rPr>
          <w:rFonts w:eastAsia="Times New Roman" w:cs="Arial"/>
          <w:color w:val="000000"/>
          <w:lang w:val="en-US"/>
        </w:rPr>
        <w:t xml:space="preserve">mg </w:t>
      </w:r>
      <w:r w:rsidRPr="00B44839">
        <w:rPr>
          <w:rFonts w:eastAsia="Times New Roman" w:cs="Arial"/>
          <w:color w:val="000000"/>
          <w:lang w:eastAsia="bg-BG"/>
        </w:rPr>
        <w:t xml:space="preserve">до 15 </w:t>
      </w:r>
      <w:r w:rsidRPr="00B44839">
        <w:rPr>
          <w:rFonts w:eastAsia="Times New Roman" w:cs="Arial"/>
          <w:color w:val="000000"/>
          <w:lang w:val="en-US"/>
        </w:rPr>
        <w:t xml:space="preserve">mg </w:t>
      </w:r>
      <w:r w:rsidRPr="00B44839">
        <w:rPr>
          <w:rFonts w:eastAsia="Times New Roman" w:cs="Arial"/>
          <w:color w:val="000000"/>
          <w:lang w:eastAsia="bg-BG"/>
        </w:rPr>
        <w:t>след перорално или интрамускулно приложение.</w:t>
      </w:r>
    </w:p>
    <w:p w14:paraId="537D2A3B" w14:textId="77777777" w:rsidR="00B44839" w:rsidRDefault="00B44839" w:rsidP="00B44839">
      <w:pPr>
        <w:spacing w:line="240" w:lineRule="auto"/>
        <w:rPr>
          <w:rFonts w:eastAsia="Times New Roman" w:cs="Arial"/>
          <w:color w:val="000000"/>
          <w:u w:val="single"/>
          <w:lang w:eastAsia="bg-BG"/>
        </w:rPr>
      </w:pPr>
    </w:p>
    <w:p w14:paraId="65D56F0B" w14:textId="1BDEF582" w:rsidR="00B44839" w:rsidRPr="00B44839" w:rsidRDefault="00B44839" w:rsidP="00B44839">
      <w:pPr>
        <w:spacing w:line="240" w:lineRule="auto"/>
        <w:rPr>
          <w:rFonts w:eastAsia="Times New Roman" w:cs="Arial"/>
          <w:lang w:eastAsia="bg-BG"/>
        </w:rPr>
      </w:pPr>
      <w:r w:rsidRPr="00B44839">
        <w:rPr>
          <w:rFonts w:eastAsia="Times New Roman" w:cs="Arial"/>
          <w:color w:val="000000"/>
          <w:u w:val="single"/>
          <w:lang w:eastAsia="bg-BG"/>
        </w:rPr>
        <w:t>Специфични популации</w:t>
      </w:r>
    </w:p>
    <w:p w14:paraId="4811E784" w14:textId="77777777" w:rsidR="00B44839" w:rsidRPr="00B44839" w:rsidRDefault="00B44839" w:rsidP="00B44839">
      <w:pPr>
        <w:spacing w:line="240" w:lineRule="auto"/>
        <w:rPr>
          <w:rFonts w:eastAsia="Times New Roman" w:cs="Arial"/>
          <w:lang w:eastAsia="bg-BG"/>
        </w:rPr>
      </w:pPr>
      <w:r w:rsidRPr="00B44839">
        <w:rPr>
          <w:rFonts w:eastAsia="Times New Roman" w:cs="Arial"/>
          <w:i/>
          <w:iCs/>
          <w:color w:val="000000"/>
          <w:lang w:eastAsia="bg-BG"/>
        </w:rPr>
        <w:t>Пациенти с чернодробна / бъбречна недостатъчност</w:t>
      </w:r>
    </w:p>
    <w:p w14:paraId="71EB89B8"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Фармакокинетиката на мелоксикам не се повлиява съществено нито от чернодробна, нито от лека до умерено тежка бъбречна увреда. Пациенти с умерено тежко бъбречно увреждане са имали значително по-висок общ лекарствен клирънс. Намалено сврьзване с белтъците се наблюдава при пациенти с терминална бъбречна недостатъчност. При терминална бъбречна недостатъчност повишаването на обема на разпределение може да доведе до по- висока концентрация на свободен мелоксикам. (вижте точка 4.2 и точка 4.3)</w:t>
      </w:r>
    </w:p>
    <w:p w14:paraId="788EB32E" w14:textId="77777777" w:rsidR="00B44839" w:rsidRDefault="00B44839" w:rsidP="00B44839">
      <w:pPr>
        <w:spacing w:line="240" w:lineRule="auto"/>
        <w:rPr>
          <w:rFonts w:eastAsia="Times New Roman" w:cs="Arial"/>
          <w:i/>
          <w:iCs/>
          <w:color w:val="000000"/>
          <w:lang w:eastAsia="bg-BG"/>
        </w:rPr>
      </w:pPr>
    </w:p>
    <w:p w14:paraId="740F3EB8" w14:textId="03CA0782" w:rsidR="00B44839" w:rsidRPr="00B44839" w:rsidRDefault="00B44839" w:rsidP="00B44839">
      <w:pPr>
        <w:spacing w:line="240" w:lineRule="auto"/>
        <w:rPr>
          <w:rFonts w:eastAsia="Times New Roman" w:cs="Arial"/>
          <w:lang w:eastAsia="bg-BG"/>
        </w:rPr>
      </w:pPr>
      <w:r w:rsidRPr="00B44839">
        <w:rPr>
          <w:rFonts w:eastAsia="Times New Roman" w:cs="Arial"/>
          <w:i/>
          <w:iCs/>
          <w:color w:val="000000"/>
          <w:lang w:eastAsia="bg-BG"/>
        </w:rPr>
        <w:t>Пациенти в старческа възраст</w:t>
      </w:r>
    </w:p>
    <w:p w14:paraId="07E601D2"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Пациентите в старческа възраст от мъжки пол проявяват подобни фармакокинетични параметри в сравнение с тези при млади индивиди от мъжки пол. Пациентите в старческа възраст от женски пол са показали по-високи </w:t>
      </w:r>
      <w:r w:rsidRPr="00B44839">
        <w:rPr>
          <w:rFonts w:eastAsia="Times New Roman" w:cs="Arial"/>
          <w:color w:val="000000"/>
          <w:lang w:val="en-US"/>
        </w:rPr>
        <w:t xml:space="preserve">AUC </w:t>
      </w:r>
      <w:r w:rsidRPr="00B44839">
        <w:rPr>
          <w:rFonts w:eastAsia="Times New Roman" w:cs="Arial"/>
          <w:color w:val="000000"/>
          <w:lang w:eastAsia="bg-BG"/>
        </w:rPr>
        <w:t>стойности и по-дълъг елиминационен полуживот в сравнение с тези при млади пациенти от двата пола.</w:t>
      </w:r>
    </w:p>
    <w:p w14:paraId="1DE09B33"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Средният плазмен клирънс при </w:t>
      </w:r>
      <w:r w:rsidRPr="00B44839">
        <w:rPr>
          <w:rFonts w:eastAsia="Times New Roman" w:cs="Arial"/>
          <w:color w:val="000000"/>
          <w:lang w:val="en-US"/>
        </w:rPr>
        <w:t xml:space="preserve">steady-state </w:t>
      </w:r>
      <w:r w:rsidRPr="00B44839">
        <w:rPr>
          <w:rFonts w:eastAsia="Times New Roman" w:cs="Arial"/>
          <w:color w:val="000000"/>
          <w:lang w:eastAsia="bg-BG"/>
        </w:rPr>
        <w:t>при пациенти в напреднала възраст е малко по- нисък от този, който се съобщава при по-младите пациенти (вижте точка 4.2).</w:t>
      </w:r>
    </w:p>
    <w:p w14:paraId="488443DB" w14:textId="77777777" w:rsidR="00B44839" w:rsidRPr="00B44839" w:rsidRDefault="00B44839" w:rsidP="00B44839"/>
    <w:p w14:paraId="6925FEB0" w14:textId="157CEB51" w:rsidR="00F62E44" w:rsidRDefault="002C50EE" w:rsidP="00387A66">
      <w:pPr>
        <w:pStyle w:val="Heading2"/>
      </w:pPr>
      <w:r>
        <w:t>5.3. Предклинични данни за безопасност</w:t>
      </w:r>
    </w:p>
    <w:p w14:paraId="745C42C9" w14:textId="127B1A59" w:rsidR="00B44839" w:rsidRDefault="00B44839" w:rsidP="00B44839"/>
    <w:p w14:paraId="6CD61B93" w14:textId="7777777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В предали ничии изпитвания при повтарящи се високи дози, при два животински вида е установено, че токсикологичният профил на мелоксикам е идентичен с този на другите НСПВС: гастроинтестинални язви и ерозии, бъбречна папиларна некроза.</w:t>
      </w:r>
    </w:p>
    <w:p w14:paraId="44483617" w14:textId="77777777" w:rsidR="00B44839" w:rsidRDefault="00B44839" w:rsidP="00B44839">
      <w:pPr>
        <w:spacing w:line="240" w:lineRule="auto"/>
        <w:rPr>
          <w:rFonts w:eastAsia="Times New Roman" w:cs="Arial"/>
          <w:color w:val="000000"/>
          <w:lang w:eastAsia="bg-BG"/>
        </w:rPr>
      </w:pPr>
    </w:p>
    <w:p w14:paraId="6CECCA17" w14:textId="452C01A7"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t xml:space="preserve">Репродуктивните проучвания с перорални дози при плъхове показват намаляване на броя на овулациите и инхибиране на имплантирането и ембриотоксични ефекти (повишена резорбция) при токсични за майката дозови нива от 1 </w:t>
      </w:r>
      <w:r w:rsidRPr="00B44839">
        <w:rPr>
          <w:rFonts w:eastAsia="Times New Roman" w:cs="Arial"/>
          <w:color w:val="000000"/>
          <w:lang w:val="en-US"/>
        </w:rPr>
        <w:t xml:space="preserve">mg/kg </w:t>
      </w:r>
      <w:r w:rsidRPr="00B44839">
        <w:rPr>
          <w:rFonts w:eastAsia="Times New Roman" w:cs="Arial"/>
          <w:color w:val="000000"/>
          <w:lang w:eastAsia="bg-BG"/>
        </w:rPr>
        <w:t xml:space="preserve">или по-високи. Изпитвания за токсичността върху възпроизводството на плъхове и зайци не показват тератогенност до перорални дози от 4 </w:t>
      </w:r>
      <w:r w:rsidRPr="00B44839">
        <w:rPr>
          <w:rFonts w:eastAsia="Times New Roman" w:cs="Arial"/>
          <w:color w:val="000000"/>
          <w:lang w:val="en-US"/>
        </w:rPr>
        <w:t xml:space="preserve">mg/kg </w:t>
      </w:r>
      <w:r w:rsidRPr="00B44839">
        <w:rPr>
          <w:rFonts w:eastAsia="Times New Roman" w:cs="Arial"/>
          <w:color w:val="000000"/>
          <w:lang w:eastAsia="bg-BG"/>
        </w:rPr>
        <w:t xml:space="preserve">при плъхове и 80 </w:t>
      </w:r>
      <w:r w:rsidRPr="00B44839">
        <w:rPr>
          <w:rFonts w:eastAsia="Times New Roman" w:cs="Arial"/>
          <w:color w:val="000000"/>
          <w:lang w:val="en-US"/>
        </w:rPr>
        <w:t xml:space="preserve">mg/kg </w:t>
      </w:r>
      <w:r w:rsidRPr="00B44839">
        <w:rPr>
          <w:rFonts w:eastAsia="Times New Roman" w:cs="Arial"/>
          <w:color w:val="000000"/>
          <w:lang w:eastAsia="bg-BG"/>
        </w:rPr>
        <w:t>при зайци.</w:t>
      </w:r>
    </w:p>
    <w:p w14:paraId="142B5712" w14:textId="77777777" w:rsidR="00B44839" w:rsidRDefault="00B44839" w:rsidP="00B44839">
      <w:pPr>
        <w:spacing w:line="240" w:lineRule="auto"/>
        <w:rPr>
          <w:rFonts w:eastAsia="Times New Roman" w:cs="Arial"/>
          <w:color w:val="000000"/>
          <w:lang w:eastAsia="bg-BG"/>
        </w:rPr>
      </w:pPr>
    </w:p>
    <w:p w14:paraId="5311BF94" w14:textId="214FF9B5" w:rsidR="00B44839" w:rsidRPr="00B44839" w:rsidRDefault="00B44839" w:rsidP="00B44839">
      <w:pPr>
        <w:spacing w:line="240" w:lineRule="auto"/>
        <w:rPr>
          <w:rFonts w:eastAsia="Times New Roman" w:cs="Arial"/>
          <w:lang w:eastAsia="bg-BG"/>
        </w:rPr>
      </w:pPr>
      <w:r w:rsidRPr="00B44839">
        <w:rPr>
          <w:rFonts w:eastAsia="Times New Roman" w:cs="Arial"/>
          <w:color w:val="000000"/>
          <w:lang w:eastAsia="bg-BG"/>
        </w:rPr>
        <w:lastRenderedPageBreak/>
        <w:t xml:space="preserve">Изследваните дозови нива надвишават клиничната доза (7,5 - 15 </w:t>
      </w:r>
      <w:r w:rsidRPr="00B44839">
        <w:rPr>
          <w:rFonts w:eastAsia="Times New Roman" w:cs="Arial"/>
          <w:color w:val="000000"/>
          <w:lang w:val="en-US"/>
        </w:rPr>
        <w:t xml:space="preserve">mg) </w:t>
      </w:r>
      <w:r w:rsidRPr="00B44839">
        <w:rPr>
          <w:rFonts w:eastAsia="Times New Roman" w:cs="Arial"/>
          <w:color w:val="000000"/>
          <w:lang w:eastAsia="bg-BG"/>
        </w:rPr>
        <w:t xml:space="preserve">с коефициент от 10 до 5 пъти, изчислен за </w:t>
      </w:r>
      <w:r w:rsidRPr="00B44839">
        <w:rPr>
          <w:rFonts w:eastAsia="Times New Roman" w:cs="Arial"/>
          <w:color w:val="000000"/>
          <w:lang w:val="en-US"/>
        </w:rPr>
        <w:t xml:space="preserve">mg/kg </w:t>
      </w:r>
      <w:r w:rsidRPr="00B44839">
        <w:rPr>
          <w:rFonts w:eastAsia="Times New Roman" w:cs="Arial"/>
          <w:color w:val="000000"/>
          <w:lang w:eastAsia="bg-BG"/>
        </w:rPr>
        <w:t xml:space="preserve">от базовата доза (при човек с телесно тегло 75 </w:t>
      </w:r>
      <w:r w:rsidRPr="00B44839">
        <w:rPr>
          <w:rFonts w:eastAsia="Times New Roman" w:cs="Arial"/>
          <w:color w:val="000000"/>
          <w:lang w:val="en-US"/>
        </w:rPr>
        <w:t xml:space="preserve">kg). </w:t>
      </w:r>
      <w:r w:rsidRPr="00B44839">
        <w:rPr>
          <w:rFonts w:eastAsia="Times New Roman" w:cs="Arial"/>
          <w:color w:val="000000"/>
          <w:lang w:eastAsia="bg-BG"/>
        </w:rPr>
        <w:t xml:space="preserve">Фетотоксичният ефект в края на бременността, изразен при всички инхибитори на простагландиновия синтез е описан. Неклиничните изследвания показват, че мелоксикам не може да бъде открит в кърмата на животни. Не са открити данни за мутагенен ефект </w:t>
      </w:r>
      <w:r w:rsidRPr="00B44839">
        <w:rPr>
          <w:rFonts w:eastAsia="Times New Roman" w:cs="Arial"/>
          <w:i/>
          <w:iCs/>
          <w:color w:val="000000"/>
          <w:lang w:val="en-US"/>
        </w:rPr>
        <w:t>in vitro,</w:t>
      </w:r>
      <w:r w:rsidRPr="00B44839">
        <w:rPr>
          <w:rFonts w:eastAsia="Times New Roman" w:cs="Arial"/>
          <w:color w:val="000000"/>
          <w:lang w:val="en-US"/>
        </w:rPr>
        <w:t xml:space="preserve"> </w:t>
      </w:r>
      <w:r w:rsidRPr="00B44839">
        <w:rPr>
          <w:rFonts w:eastAsia="Times New Roman" w:cs="Arial"/>
          <w:color w:val="000000"/>
          <w:lang w:eastAsia="bg-BG"/>
        </w:rPr>
        <w:t xml:space="preserve">нито </w:t>
      </w:r>
      <w:r w:rsidRPr="00B44839">
        <w:rPr>
          <w:rFonts w:eastAsia="Times New Roman" w:cs="Arial"/>
          <w:i/>
          <w:iCs/>
          <w:color w:val="000000"/>
          <w:lang w:val="en-US"/>
        </w:rPr>
        <w:t>in vivo.</w:t>
      </w:r>
      <w:r w:rsidRPr="00B44839">
        <w:rPr>
          <w:rFonts w:eastAsia="Times New Roman" w:cs="Arial"/>
          <w:color w:val="000000"/>
          <w:lang w:val="en-US"/>
        </w:rPr>
        <w:t xml:space="preserve"> </w:t>
      </w:r>
      <w:r w:rsidRPr="00B44839">
        <w:rPr>
          <w:rFonts w:eastAsia="Times New Roman" w:cs="Arial"/>
          <w:color w:val="000000"/>
          <w:lang w:eastAsia="bg-BG"/>
        </w:rPr>
        <w:t>Няма открит карциногенен риск при плъхове и мишки при дози значително надвишаващи клиничните.</w:t>
      </w:r>
    </w:p>
    <w:p w14:paraId="17AE8F97" w14:textId="77777777" w:rsidR="00B44839" w:rsidRPr="00B44839" w:rsidRDefault="00B44839" w:rsidP="00B44839"/>
    <w:p w14:paraId="357049A8" w14:textId="5DB7F77F" w:rsidR="00BB22B4" w:rsidRDefault="002C50EE" w:rsidP="00471F10">
      <w:pPr>
        <w:pStyle w:val="Heading1"/>
      </w:pPr>
      <w:r>
        <w:t>7. ПРИТЕЖАТЕЛ НА РАЗРЕШЕНИЕТО ЗА УПОТРЕБА</w:t>
      </w:r>
    </w:p>
    <w:p w14:paraId="759EB88C" w14:textId="651AC4E6" w:rsidR="00B44839" w:rsidRDefault="00B44839" w:rsidP="00B44839"/>
    <w:p w14:paraId="1799E249" w14:textId="77777777" w:rsidR="00B44839" w:rsidRPr="00B44839" w:rsidRDefault="00B44839" w:rsidP="00B44839">
      <w:pPr>
        <w:rPr>
          <w:sz w:val="24"/>
          <w:szCs w:val="24"/>
          <w:lang w:val="en-US" w:eastAsia="bg-BG"/>
        </w:rPr>
      </w:pPr>
      <w:proofErr w:type="spellStart"/>
      <w:r w:rsidRPr="00B44839">
        <w:rPr>
          <w:lang w:val="en-US"/>
        </w:rPr>
        <w:t>Medochemie</w:t>
      </w:r>
      <w:proofErr w:type="spellEnd"/>
      <w:r w:rsidRPr="00B44839">
        <w:rPr>
          <w:lang w:val="en-US"/>
        </w:rPr>
        <w:t xml:space="preserve"> Ltd, </w:t>
      </w:r>
      <w:r w:rsidRPr="00B44839">
        <w:rPr>
          <w:lang w:eastAsia="bg-BG"/>
        </w:rPr>
        <w:t xml:space="preserve">1-10 </w:t>
      </w:r>
      <w:proofErr w:type="spellStart"/>
      <w:r w:rsidRPr="00B44839">
        <w:rPr>
          <w:lang w:val="en-US"/>
        </w:rPr>
        <w:t>Constantinoupoleos</w:t>
      </w:r>
      <w:proofErr w:type="spellEnd"/>
      <w:r w:rsidRPr="00B44839">
        <w:rPr>
          <w:lang w:val="en-US"/>
        </w:rPr>
        <w:t xml:space="preserve"> str., 3011 Limassol, </w:t>
      </w:r>
      <w:r w:rsidRPr="00B44839">
        <w:rPr>
          <w:lang w:eastAsia="bg-BG"/>
        </w:rPr>
        <w:t>Кипър</w:t>
      </w:r>
    </w:p>
    <w:p w14:paraId="4F009714" w14:textId="77777777" w:rsidR="00B44839" w:rsidRPr="00B44839" w:rsidRDefault="00B44839" w:rsidP="00B44839"/>
    <w:p w14:paraId="0A53321D" w14:textId="61FBB0E1" w:rsidR="00EE6C97" w:rsidRDefault="00936AD0" w:rsidP="00A93499">
      <w:pPr>
        <w:pStyle w:val="Heading1"/>
      </w:pPr>
      <w:r>
        <w:t>8.</w:t>
      </w:r>
      <w:r w:rsidR="002C50EE">
        <w:t>НОМЕР НА РАЗРЕШЕНИЕТО ЗА УПОТРЕБА</w:t>
      </w:r>
    </w:p>
    <w:p w14:paraId="0FBD822E" w14:textId="7437DB66" w:rsidR="00B44839" w:rsidRDefault="00B44839" w:rsidP="00B44839"/>
    <w:p w14:paraId="1DE8DD34" w14:textId="0057B39F" w:rsidR="00B44839" w:rsidRPr="00B44839" w:rsidRDefault="00B44839" w:rsidP="00B44839">
      <w:pPr>
        <w:rPr>
          <w:sz w:val="24"/>
          <w:szCs w:val="24"/>
          <w:lang w:eastAsia="bg-BG"/>
        </w:rPr>
      </w:pPr>
      <w:r w:rsidRPr="00B44839">
        <w:rPr>
          <w:lang w:val="en-US"/>
        </w:rPr>
        <w:t xml:space="preserve">Per. </w:t>
      </w:r>
      <w:r w:rsidRPr="00B44839">
        <w:rPr>
          <w:lang w:eastAsia="bg-BG"/>
        </w:rPr>
        <w:t>№: 20050140</w:t>
      </w:r>
    </w:p>
    <w:p w14:paraId="7C2688F5" w14:textId="6D610EDF" w:rsidR="00F62E44" w:rsidRDefault="00F62E44" w:rsidP="00F62E44"/>
    <w:p w14:paraId="00481C21" w14:textId="54F4AE70" w:rsidR="00F62E44" w:rsidRDefault="002C50EE" w:rsidP="00387A66">
      <w:pPr>
        <w:pStyle w:val="Heading1"/>
      </w:pPr>
      <w:r>
        <w:t>9. ДАТА НА ПЪРВО РАЗРЕШАВАНЕ/ПОДНОВЯВАНЕ НА РАЗРЕШЕНИЕТО ЗА УПОТРЕБА</w:t>
      </w:r>
    </w:p>
    <w:p w14:paraId="49D4DCB9" w14:textId="06247D7A" w:rsidR="00B44839" w:rsidRDefault="00B44839" w:rsidP="00B44839"/>
    <w:p w14:paraId="4F56A178" w14:textId="77777777" w:rsidR="00B44839" w:rsidRPr="00B44839" w:rsidRDefault="00B44839" w:rsidP="00B44839">
      <w:pPr>
        <w:rPr>
          <w:sz w:val="24"/>
          <w:szCs w:val="24"/>
          <w:lang w:eastAsia="bg-BG"/>
        </w:rPr>
      </w:pPr>
      <w:r w:rsidRPr="00B44839">
        <w:rPr>
          <w:lang w:eastAsia="bg-BG"/>
        </w:rPr>
        <w:t>Дата на първо разрешаване: 08 март 2005 г.</w:t>
      </w:r>
    </w:p>
    <w:p w14:paraId="40EE63BF" w14:textId="652488AE" w:rsidR="00B44839" w:rsidRPr="00B44839" w:rsidRDefault="00B44839" w:rsidP="00B44839">
      <w:pPr>
        <w:rPr>
          <w:sz w:val="24"/>
          <w:szCs w:val="24"/>
          <w:lang w:eastAsia="bg-BG"/>
        </w:rPr>
      </w:pPr>
      <w:r w:rsidRPr="00B44839">
        <w:rPr>
          <w:lang w:eastAsia="bg-BG"/>
        </w:rPr>
        <w:t>Дата на последно подновяване: 09 септември 2010 г.</w:t>
      </w:r>
    </w:p>
    <w:p w14:paraId="43FB38A2" w14:textId="0C18A683" w:rsidR="007C605B" w:rsidRDefault="002C50EE" w:rsidP="005726E3">
      <w:pPr>
        <w:pStyle w:val="Heading1"/>
      </w:pPr>
      <w:r>
        <w:t>10. ДАТА НА АКТУАЛИЗИРАНЕ НА ТЕКСТА</w:t>
      </w:r>
      <w:bookmarkEnd w:id="0"/>
    </w:p>
    <w:p w14:paraId="472617BD" w14:textId="573FACC7" w:rsidR="00BB22B4" w:rsidRPr="00BB22B4" w:rsidRDefault="00B44839" w:rsidP="00B44839">
      <w:r>
        <w:t>08/2022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77A0D13"/>
    <w:multiLevelType w:val="hybridMultilevel"/>
    <w:tmpl w:val="6E08950E"/>
    <w:lvl w:ilvl="0" w:tplc="6B180006">
      <w:start w:val="4"/>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8931ACA"/>
    <w:multiLevelType w:val="hybridMultilevel"/>
    <w:tmpl w:val="D86A1D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42D89"/>
    <w:multiLevelType w:val="hybridMultilevel"/>
    <w:tmpl w:val="2C529D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7"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70108"/>
    <w:multiLevelType w:val="hybridMultilevel"/>
    <w:tmpl w:val="90CED8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A2B65E1"/>
    <w:multiLevelType w:val="hybridMultilevel"/>
    <w:tmpl w:val="6DD26D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5"/>
  </w:num>
  <w:num w:numId="2" w16cid:durableId="1612932146">
    <w:abstractNumId w:val="0"/>
  </w:num>
  <w:num w:numId="3" w16cid:durableId="1810323821">
    <w:abstractNumId w:val="18"/>
  </w:num>
  <w:num w:numId="4" w16cid:durableId="2135319613">
    <w:abstractNumId w:val="3"/>
  </w:num>
  <w:num w:numId="5" w16cid:durableId="740105516">
    <w:abstractNumId w:val="1"/>
  </w:num>
  <w:num w:numId="6" w16cid:durableId="1668363208">
    <w:abstractNumId w:val="22"/>
  </w:num>
  <w:num w:numId="7" w16cid:durableId="1241988161">
    <w:abstractNumId w:val="15"/>
  </w:num>
  <w:num w:numId="8" w16cid:durableId="2102022361">
    <w:abstractNumId w:val="21"/>
  </w:num>
  <w:num w:numId="9" w16cid:durableId="1154613663">
    <w:abstractNumId w:val="2"/>
  </w:num>
  <w:num w:numId="10" w16cid:durableId="1733848127">
    <w:abstractNumId w:val="4"/>
  </w:num>
  <w:num w:numId="11" w16cid:durableId="1861704680">
    <w:abstractNumId w:val="38"/>
  </w:num>
  <w:num w:numId="12" w16cid:durableId="1434934028">
    <w:abstractNumId w:val="19"/>
  </w:num>
  <w:num w:numId="13" w16cid:durableId="479157895">
    <w:abstractNumId w:val="25"/>
  </w:num>
  <w:num w:numId="14" w16cid:durableId="1670476636">
    <w:abstractNumId w:val="17"/>
  </w:num>
  <w:num w:numId="15" w16cid:durableId="1000155783">
    <w:abstractNumId w:val="37"/>
  </w:num>
  <w:num w:numId="16" w16cid:durableId="2056420707">
    <w:abstractNumId w:val="14"/>
  </w:num>
  <w:num w:numId="17" w16cid:durableId="1787119182">
    <w:abstractNumId w:val="30"/>
  </w:num>
  <w:num w:numId="18" w16cid:durableId="722945139">
    <w:abstractNumId w:val="11"/>
  </w:num>
  <w:num w:numId="19" w16cid:durableId="1678728408">
    <w:abstractNumId w:val="32"/>
  </w:num>
  <w:num w:numId="20" w16cid:durableId="1970816657">
    <w:abstractNumId w:val="29"/>
  </w:num>
  <w:num w:numId="21" w16cid:durableId="1531146514">
    <w:abstractNumId w:val="23"/>
  </w:num>
  <w:num w:numId="22" w16cid:durableId="1276465">
    <w:abstractNumId w:val="31"/>
  </w:num>
  <w:num w:numId="23" w16cid:durableId="1624310558">
    <w:abstractNumId w:val="24"/>
  </w:num>
  <w:num w:numId="24" w16cid:durableId="1692877547">
    <w:abstractNumId w:val="12"/>
  </w:num>
  <w:num w:numId="25" w16cid:durableId="50930855">
    <w:abstractNumId w:val="28"/>
  </w:num>
  <w:num w:numId="26" w16cid:durableId="176701536">
    <w:abstractNumId w:val="27"/>
  </w:num>
  <w:num w:numId="27" w16cid:durableId="2050564750">
    <w:abstractNumId w:val="39"/>
  </w:num>
  <w:num w:numId="28" w16cid:durableId="1820733422">
    <w:abstractNumId w:val="9"/>
  </w:num>
  <w:num w:numId="29" w16cid:durableId="973678124">
    <w:abstractNumId w:val="26"/>
  </w:num>
  <w:num w:numId="30" w16cid:durableId="154884452">
    <w:abstractNumId w:val="43"/>
  </w:num>
  <w:num w:numId="31" w16cid:durableId="1053964910">
    <w:abstractNumId w:val="7"/>
  </w:num>
  <w:num w:numId="32" w16cid:durableId="2073575793">
    <w:abstractNumId w:val="41"/>
  </w:num>
  <w:num w:numId="33" w16cid:durableId="1566643170">
    <w:abstractNumId w:val="36"/>
  </w:num>
  <w:num w:numId="34" w16cid:durableId="2060787732">
    <w:abstractNumId w:val="40"/>
  </w:num>
  <w:num w:numId="35" w16cid:durableId="34161354">
    <w:abstractNumId w:val="10"/>
  </w:num>
  <w:num w:numId="36" w16cid:durableId="1976908676">
    <w:abstractNumId w:val="13"/>
  </w:num>
  <w:num w:numId="37" w16cid:durableId="758528303">
    <w:abstractNumId w:val="20"/>
  </w:num>
  <w:num w:numId="38" w16cid:durableId="178396561">
    <w:abstractNumId w:val="42"/>
  </w:num>
  <w:num w:numId="39" w16cid:durableId="934825996">
    <w:abstractNumId w:val="16"/>
  </w:num>
  <w:num w:numId="40" w16cid:durableId="626544773">
    <w:abstractNumId w:val="5"/>
  </w:num>
  <w:num w:numId="41" w16cid:durableId="1662417974">
    <w:abstractNumId w:val="6"/>
  </w:num>
  <w:num w:numId="42" w16cid:durableId="1616793867">
    <w:abstractNumId w:val="33"/>
  </w:num>
  <w:num w:numId="43" w16cid:durableId="149253040">
    <w:abstractNumId w:val="8"/>
  </w:num>
  <w:num w:numId="44" w16cid:durableId="12532745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44839"/>
    <w:rsid w:val="00B6672E"/>
    <w:rsid w:val="00BA5B74"/>
    <w:rsid w:val="00BB22B4"/>
    <w:rsid w:val="00BF2600"/>
    <w:rsid w:val="00C0049F"/>
    <w:rsid w:val="00C07B84"/>
    <w:rsid w:val="00C33464"/>
    <w:rsid w:val="00C40420"/>
    <w:rsid w:val="00C40DD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5753</Words>
  <Characters>32796</Characters>
  <Application>Microsoft Office Word</Application>
  <DocSecurity>0</DocSecurity>
  <Lines>273</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2023-03-23T22:02:00Z</dcterms:created>
  <dcterms:modified xsi:type="dcterms:W3CDTF">2023-03-23T22:02:00Z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