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A328C" w14:textId="09CEB67B" w:rsidR="002C50EE" w:rsidRDefault="002C50EE" w:rsidP="002C50EE">
      <w:pPr>
        <w:pStyle w:val="Heading1"/>
        <w:jc w:val="center"/>
      </w:pPr>
      <w:bookmarkStart w:id="0" w:name="_Hlk63124480"/>
      <w:r>
        <w:t>КРАТКА ХАРАКТЕРИСТИКА НА ПРОДУКТА</w:t>
      </w:r>
    </w:p>
    <w:p w14:paraId="5A3B4435" w14:textId="77777777" w:rsidR="0091385D" w:rsidRPr="0091385D" w:rsidRDefault="0091385D" w:rsidP="0091385D"/>
    <w:p w14:paraId="3320F4BE" w14:textId="2EB48694" w:rsidR="00C40420" w:rsidRDefault="00DD466D" w:rsidP="004A448E">
      <w:pPr>
        <w:pStyle w:val="Heading1"/>
      </w:pPr>
      <w:r>
        <w:t>1.ИМЕ НА ЛЕКАРСТВЕНИЯ ПРОДУКТ</w:t>
      </w:r>
    </w:p>
    <w:p w14:paraId="5E9BA472" w14:textId="14008A99" w:rsidR="0091385D" w:rsidRDefault="0091385D" w:rsidP="0091385D"/>
    <w:p w14:paraId="21C42B7F"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МЕНДИЛЕКС 2 </w:t>
      </w:r>
      <w:r w:rsidRPr="00D96AAB">
        <w:rPr>
          <w:rFonts w:eastAsia="Times New Roman" w:cs="Arial"/>
          <w:color w:val="000000"/>
          <w:lang w:val="en-US"/>
        </w:rPr>
        <w:t xml:space="preserve">mg </w:t>
      </w:r>
      <w:r w:rsidRPr="00D96AAB">
        <w:rPr>
          <w:rFonts w:eastAsia="Times New Roman" w:cs="Arial"/>
          <w:color w:val="000000"/>
          <w:lang w:eastAsia="bg-BG"/>
        </w:rPr>
        <w:t>таблетки</w:t>
      </w:r>
    </w:p>
    <w:p w14:paraId="73D1D99C" w14:textId="7DC57881" w:rsidR="0091385D" w:rsidRPr="00D96AAB" w:rsidRDefault="00D96AAB" w:rsidP="00D96AAB">
      <w:pPr>
        <w:rPr>
          <w:rFonts w:cs="Arial"/>
        </w:rPr>
      </w:pPr>
      <w:r w:rsidRPr="00D96AAB">
        <w:rPr>
          <w:rFonts w:eastAsia="Times New Roman" w:cs="Arial"/>
          <w:color w:val="000000"/>
          <w:lang w:val="en-US"/>
        </w:rPr>
        <w:t xml:space="preserve">MENDILEX </w:t>
      </w:r>
      <w:r w:rsidRPr="00D96AAB">
        <w:rPr>
          <w:rFonts w:eastAsia="Times New Roman" w:cs="Arial"/>
          <w:color w:val="000000"/>
          <w:lang w:eastAsia="bg-BG"/>
        </w:rPr>
        <w:t xml:space="preserve">2 </w:t>
      </w:r>
      <w:r w:rsidRPr="00D96AAB">
        <w:rPr>
          <w:rFonts w:eastAsia="Times New Roman" w:cs="Arial"/>
          <w:color w:val="000000"/>
          <w:lang w:val="en-US"/>
        </w:rPr>
        <w:t>mg tablets</w:t>
      </w:r>
    </w:p>
    <w:p w14:paraId="1E8447D1" w14:textId="77777777" w:rsidR="0091385D" w:rsidRPr="0091385D" w:rsidRDefault="0091385D" w:rsidP="0091385D"/>
    <w:p w14:paraId="6920A680" w14:textId="53C3EFCC" w:rsidR="00C40420" w:rsidRDefault="00DD466D" w:rsidP="004A448E">
      <w:pPr>
        <w:pStyle w:val="Heading1"/>
      </w:pPr>
      <w:r>
        <w:t>2. КАЧЕСТВЕН И КОЛИЧЕСТВЕН СЪСТАВ</w:t>
      </w:r>
    </w:p>
    <w:p w14:paraId="1ED33AE8" w14:textId="288788EF" w:rsidR="0091385D" w:rsidRDefault="0091385D" w:rsidP="0091385D"/>
    <w:p w14:paraId="4C47A918"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Всяка таблетка съдържа 2 </w:t>
      </w:r>
      <w:r w:rsidRPr="00D96AAB">
        <w:rPr>
          <w:rFonts w:eastAsia="Times New Roman" w:cs="Arial"/>
          <w:color w:val="000000"/>
          <w:lang w:val="en-US"/>
        </w:rPr>
        <w:t xml:space="preserve">mg </w:t>
      </w:r>
      <w:r w:rsidRPr="00D96AAB">
        <w:rPr>
          <w:rFonts w:eastAsia="Times New Roman" w:cs="Arial"/>
          <w:color w:val="000000"/>
          <w:lang w:eastAsia="bg-BG"/>
        </w:rPr>
        <w:t>биперидинов хидрохлорид (</w:t>
      </w:r>
      <w:proofErr w:type="spellStart"/>
      <w:r w:rsidRPr="00D96AAB">
        <w:rPr>
          <w:rFonts w:eastAsia="Times New Roman" w:cs="Arial"/>
          <w:i/>
          <w:iCs/>
          <w:color w:val="000000"/>
          <w:lang w:val="en-US"/>
        </w:rPr>
        <w:t>biperiden</w:t>
      </w:r>
      <w:proofErr w:type="spellEnd"/>
      <w:r w:rsidRPr="00D96AAB">
        <w:rPr>
          <w:rFonts w:eastAsia="Times New Roman" w:cs="Arial"/>
          <w:i/>
          <w:iCs/>
          <w:color w:val="000000"/>
          <w:lang w:val="en-US"/>
        </w:rPr>
        <w:t xml:space="preserve"> hydrochloride).</w:t>
      </w:r>
    </w:p>
    <w:p w14:paraId="729D0A91" w14:textId="742EE112" w:rsidR="0091385D" w:rsidRPr="00D96AAB" w:rsidRDefault="00D96AAB" w:rsidP="00D96AAB">
      <w:pPr>
        <w:rPr>
          <w:rFonts w:cs="Arial"/>
        </w:rPr>
      </w:pPr>
      <w:r w:rsidRPr="00D96AAB">
        <w:rPr>
          <w:rFonts w:eastAsia="Times New Roman" w:cs="Arial"/>
          <w:color w:val="000000"/>
          <w:lang w:eastAsia="bg-BG"/>
        </w:rPr>
        <w:t>За пълния списък на помощните вещества вижте точка 6.1.</w:t>
      </w:r>
    </w:p>
    <w:p w14:paraId="03110A50" w14:textId="77777777" w:rsidR="0091385D" w:rsidRPr="0091385D" w:rsidRDefault="0091385D" w:rsidP="0091385D"/>
    <w:p w14:paraId="614984C4" w14:textId="3FC552C3" w:rsidR="008A6AF2" w:rsidRDefault="00DD466D" w:rsidP="002C50EE">
      <w:pPr>
        <w:pStyle w:val="Heading1"/>
      </w:pPr>
      <w:r>
        <w:t>3. ЛЕКАРСТВЕНА ФОРМА</w:t>
      </w:r>
    </w:p>
    <w:p w14:paraId="1004E96C" w14:textId="277B91E7" w:rsidR="0091385D" w:rsidRDefault="0091385D" w:rsidP="0091385D"/>
    <w:p w14:paraId="5331BE0F"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Таблетка</w:t>
      </w:r>
    </w:p>
    <w:p w14:paraId="4634B327" w14:textId="77777777" w:rsidR="00D96AAB" w:rsidRPr="00D96AAB" w:rsidRDefault="00D96AAB" w:rsidP="00D96AAB">
      <w:pPr>
        <w:rPr>
          <w:rFonts w:eastAsia="Times New Roman" w:cs="Arial"/>
          <w:color w:val="000000"/>
          <w:lang w:eastAsia="bg-BG"/>
        </w:rPr>
      </w:pPr>
    </w:p>
    <w:p w14:paraId="4A991133" w14:textId="7BBABEC0" w:rsidR="0091385D" w:rsidRPr="00D96AAB" w:rsidRDefault="00D96AAB" w:rsidP="00D96AAB">
      <w:pPr>
        <w:rPr>
          <w:rFonts w:cs="Arial"/>
        </w:rPr>
      </w:pPr>
      <w:r w:rsidRPr="00D96AAB">
        <w:rPr>
          <w:rFonts w:eastAsia="Times New Roman" w:cs="Arial"/>
          <w:color w:val="000000"/>
          <w:lang w:eastAsia="bg-BG"/>
        </w:rPr>
        <w:t>Бели, кръгли, двойно изпъкнали таблетки е делителна черта от едната страна. Таблетката може да бъде разделена на две равни дози.</w:t>
      </w:r>
    </w:p>
    <w:p w14:paraId="4129ADBB" w14:textId="77777777" w:rsidR="0091385D" w:rsidRPr="0091385D" w:rsidRDefault="0091385D" w:rsidP="0091385D"/>
    <w:p w14:paraId="490FC2C4" w14:textId="76FABE77" w:rsidR="002C50EE" w:rsidRDefault="002C50EE" w:rsidP="002C50EE">
      <w:pPr>
        <w:pStyle w:val="Heading1"/>
      </w:pPr>
      <w:r>
        <w:t>4. КЛИНИЧНИ ДАННИ</w:t>
      </w:r>
    </w:p>
    <w:p w14:paraId="0C69CBC7" w14:textId="77777777" w:rsidR="0091385D" w:rsidRPr="0091385D" w:rsidRDefault="0091385D" w:rsidP="0091385D"/>
    <w:p w14:paraId="0C8E6903" w14:textId="51BB3E2D" w:rsidR="008134C8" w:rsidRDefault="002C50EE" w:rsidP="004A448E">
      <w:pPr>
        <w:pStyle w:val="Heading2"/>
      </w:pPr>
      <w:r>
        <w:t>4.1. Терапевтични показания</w:t>
      </w:r>
    </w:p>
    <w:p w14:paraId="174D169F" w14:textId="0369962D" w:rsidR="0091385D" w:rsidRDefault="0091385D" w:rsidP="0091385D"/>
    <w:p w14:paraId="0927E273"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Най-честото приложение на Мендилекс е като допълнителна терапия на всички форми на паркинсонизма (идиопатичен, постенцефалитен, атеросклеротичен). Прилаган в комбинация, той подобрява терапевтичния ефект на Ел-Допа. Мендилекс може да се прилага самостоятелно за лечение на леки форми на паркинсонов синдром.</w:t>
      </w:r>
    </w:p>
    <w:p w14:paraId="04B2E99C" w14:textId="5A270BCD" w:rsidR="0091385D" w:rsidRPr="00D96AAB" w:rsidRDefault="00D96AAB" w:rsidP="00D96AAB">
      <w:pPr>
        <w:rPr>
          <w:rFonts w:cs="Arial"/>
        </w:rPr>
      </w:pPr>
      <w:r w:rsidRPr="00D96AAB">
        <w:rPr>
          <w:rFonts w:eastAsia="Times New Roman" w:cs="Arial"/>
          <w:color w:val="000000"/>
          <w:lang w:eastAsia="bg-BG"/>
        </w:rPr>
        <w:t>Мендилекс намира друго приложение при лечението на екстрапирамидни реакции, провокирани от терапия с невролептици, или от друг произход.</w:t>
      </w:r>
    </w:p>
    <w:p w14:paraId="6DFA4B9D" w14:textId="77777777" w:rsidR="0091385D" w:rsidRPr="0091385D" w:rsidRDefault="0091385D" w:rsidP="0091385D"/>
    <w:p w14:paraId="30BE2C7B" w14:textId="3633C1E4" w:rsidR="008134C8" w:rsidRDefault="002C50EE" w:rsidP="004A448E">
      <w:pPr>
        <w:pStyle w:val="Heading2"/>
      </w:pPr>
      <w:r>
        <w:t>4.2. Дозировка и начин на приложение</w:t>
      </w:r>
    </w:p>
    <w:p w14:paraId="7AA22B68" w14:textId="3A681DFB" w:rsidR="0091385D" w:rsidRDefault="0091385D" w:rsidP="0091385D"/>
    <w:p w14:paraId="6B5A3092" w14:textId="77777777" w:rsidR="00D96AAB" w:rsidRPr="00D96AAB" w:rsidRDefault="00D96AAB" w:rsidP="00D96AAB">
      <w:pPr>
        <w:pStyle w:val="Heading3"/>
        <w:rPr>
          <w:rFonts w:eastAsia="Times New Roman"/>
          <w:u w:val="single"/>
          <w:lang w:eastAsia="bg-BG"/>
        </w:rPr>
      </w:pPr>
      <w:r w:rsidRPr="00D96AAB">
        <w:rPr>
          <w:rFonts w:eastAsia="Times New Roman"/>
          <w:u w:val="single"/>
          <w:lang w:eastAsia="bg-BG"/>
        </w:rPr>
        <w:t>Дозировка</w:t>
      </w:r>
    </w:p>
    <w:p w14:paraId="7E062F98"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Лечението започва с постепенно повишаващи се дози до достигане на оптималната доза. Препоръчителната начална доза при терапия на паркинсонизъм е 2 </w:t>
      </w:r>
      <w:r w:rsidRPr="00D96AAB">
        <w:rPr>
          <w:rFonts w:eastAsia="Times New Roman" w:cs="Arial"/>
          <w:color w:val="000000"/>
          <w:lang w:val="en-US"/>
        </w:rPr>
        <w:t xml:space="preserve">mg </w:t>
      </w:r>
      <w:r w:rsidRPr="00D96AAB">
        <w:rPr>
          <w:rFonts w:eastAsia="Times New Roman" w:cs="Arial"/>
          <w:color w:val="000000"/>
          <w:lang w:eastAsia="bg-BG"/>
        </w:rPr>
        <w:t xml:space="preserve">дневно, разделени на 2 самостоятелни приема. Дозата се увеличава постепенно до достигане на оптимална дневна доза (обикновено 3-12 </w:t>
      </w:r>
      <w:r w:rsidRPr="00D96AAB">
        <w:rPr>
          <w:rFonts w:eastAsia="Times New Roman" w:cs="Arial"/>
          <w:color w:val="000000"/>
          <w:lang w:val="en-US"/>
        </w:rPr>
        <w:t xml:space="preserve">mg </w:t>
      </w:r>
      <w:r w:rsidRPr="00D96AAB">
        <w:rPr>
          <w:rFonts w:eastAsia="Times New Roman" w:cs="Arial"/>
          <w:color w:val="000000"/>
          <w:lang w:eastAsia="bg-BG"/>
        </w:rPr>
        <w:t>за повечето пациенти), разделена на 3-4 самостоятелни приема.</w:t>
      </w:r>
    </w:p>
    <w:p w14:paraId="4E5CE369"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Максималната дневна доза е 16 </w:t>
      </w:r>
      <w:r w:rsidRPr="00D96AAB">
        <w:rPr>
          <w:rFonts w:eastAsia="Times New Roman" w:cs="Arial"/>
          <w:color w:val="000000"/>
          <w:lang w:val="en-US"/>
        </w:rPr>
        <w:t>mg.</w:t>
      </w:r>
    </w:p>
    <w:p w14:paraId="5C8D2376"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lastRenderedPageBreak/>
        <w:t xml:space="preserve">Препоръчителната дневна доза за възрастни при овладяване на вторични екстрапирамидни разстройства, провокирани от лечение с други медикаменти (невролептици) е 2 </w:t>
      </w:r>
      <w:r w:rsidRPr="00D96AAB">
        <w:rPr>
          <w:rFonts w:eastAsia="Times New Roman" w:cs="Arial"/>
          <w:color w:val="000000"/>
          <w:lang w:val="en-US"/>
        </w:rPr>
        <w:t xml:space="preserve">mg, </w:t>
      </w:r>
      <w:r w:rsidRPr="00D96AAB">
        <w:rPr>
          <w:rFonts w:eastAsia="Times New Roman" w:cs="Arial"/>
          <w:color w:val="000000"/>
          <w:lang w:eastAsia="bg-BG"/>
        </w:rPr>
        <w:t>веднъж до три пъти дневно.</w:t>
      </w:r>
    </w:p>
    <w:p w14:paraId="2D964A6C"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В случаи на спастичност препоръчителната доза е 2 </w:t>
      </w:r>
      <w:r w:rsidRPr="00D96AAB">
        <w:rPr>
          <w:rFonts w:eastAsia="Times New Roman" w:cs="Arial"/>
          <w:color w:val="000000"/>
          <w:lang w:val="en-US"/>
        </w:rPr>
        <w:t xml:space="preserve">mg, </w:t>
      </w:r>
      <w:r w:rsidRPr="00D96AAB">
        <w:rPr>
          <w:rFonts w:eastAsia="Times New Roman" w:cs="Arial"/>
          <w:color w:val="000000"/>
          <w:lang w:eastAsia="bg-BG"/>
        </w:rPr>
        <w:t>2-3 пъти дневно.</w:t>
      </w:r>
    </w:p>
    <w:p w14:paraId="1B633B58" w14:textId="77777777" w:rsidR="00D96AAB" w:rsidRPr="00D96AAB" w:rsidRDefault="00D96AAB" w:rsidP="00D96AAB">
      <w:pPr>
        <w:spacing w:line="240" w:lineRule="auto"/>
        <w:rPr>
          <w:rFonts w:eastAsia="Times New Roman" w:cs="Arial"/>
          <w:color w:val="000000"/>
          <w:u w:val="single"/>
          <w:lang w:eastAsia="bg-BG"/>
        </w:rPr>
      </w:pPr>
    </w:p>
    <w:p w14:paraId="79B1E1EE" w14:textId="4898723C"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u w:val="single"/>
          <w:lang w:eastAsia="bg-BG"/>
        </w:rPr>
        <w:t>Педиатрична популация</w:t>
      </w:r>
    </w:p>
    <w:p w14:paraId="3835595A"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Безопасността и ефикасността на Мандилекс при деца на възраст под 18 години все още не са установени.</w:t>
      </w:r>
    </w:p>
    <w:p w14:paraId="16BAAE0B" w14:textId="77777777" w:rsidR="00D96AAB" w:rsidRPr="00D96AAB" w:rsidRDefault="00D96AAB" w:rsidP="00D96AAB">
      <w:pPr>
        <w:rPr>
          <w:rFonts w:eastAsia="Times New Roman" w:cs="Arial"/>
          <w:color w:val="000000"/>
          <w:u w:val="single"/>
          <w:lang w:eastAsia="bg-BG"/>
        </w:rPr>
      </w:pPr>
    </w:p>
    <w:p w14:paraId="475300EC" w14:textId="48E866C0" w:rsidR="0091385D" w:rsidRPr="00D96AAB" w:rsidRDefault="00D96AAB" w:rsidP="00D96AAB">
      <w:pPr>
        <w:pStyle w:val="Heading3"/>
        <w:rPr>
          <w:u w:val="single"/>
        </w:rPr>
      </w:pPr>
      <w:r w:rsidRPr="00D96AAB">
        <w:rPr>
          <w:rFonts w:eastAsia="Times New Roman"/>
          <w:u w:val="single"/>
          <w:lang w:eastAsia="bg-BG"/>
        </w:rPr>
        <w:t>Начин на прил</w:t>
      </w:r>
      <w:bookmarkStart w:id="1" w:name="_GoBack"/>
      <w:bookmarkEnd w:id="1"/>
      <w:r w:rsidRPr="00D96AAB">
        <w:rPr>
          <w:rFonts w:eastAsia="Times New Roman"/>
          <w:u w:val="single"/>
          <w:lang w:eastAsia="bg-BG"/>
        </w:rPr>
        <w:t>ожение</w:t>
      </w:r>
    </w:p>
    <w:p w14:paraId="6ACAF645" w14:textId="2CC0AC7F" w:rsidR="0091385D" w:rsidRDefault="00D96AAB" w:rsidP="0091385D">
      <w:r>
        <w:t>Перорално.</w:t>
      </w:r>
    </w:p>
    <w:p w14:paraId="7095BB53" w14:textId="77777777" w:rsidR="00D96AAB" w:rsidRPr="0091385D" w:rsidRDefault="00D96AAB" w:rsidP="0091385D"/>
    <w:p w14:paraId="28C984E8" w14:textId="0756AE28" w:rsidR="008134C8" w:rsidRDefault="002C50EE" w:rsidP="004A448E">
      <w:pPr>
        <w:pStyle w:val="Heading2"/>
      </w:pPr>
      <w:r>
        <w:t>4.3. Противопоказания</w:t>
      </w:r>
    </w:p>
    <w:p w14:paraId="2363D607" w14:textId="48168570" w:rsidR="0091385D" w:rsidRDefault="0091385D" w:rsidP="0091385D"/>
    <w:p w14:paraId="49BE236C"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Свръхчувствителност към активното или някое от помощните вещества, изброени в точка 6.1;</w:t>
      </w:r>
    </w:p>
    <w:p w14:paraId="12DCEFB7"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Миастения гравис;</w:t>
      </w:r>
    </w:p>
    <w:p w14:paraId="7F85BE17"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Закригоъгьлна глаукома;</w:t>
      </w:r>
    </w:p>
    <w:p w14:paraId="0DBDFBA7"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Обструктивни гастроинтестинални нарушения;</w:t>
      </w:r>
    </w:p>
    <w:p w14:paraId="20353C92"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Обструктивна уропатия;</w:t>
      </w:r>
    </w:p>
    <w:p w14:paraId="442DFA99"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Паралитичен илеус или чревна атония;</w:t>
      </w:r>
    </w:p>
    <w:p w14:paraId="5AE221E0"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Рефлукс езофагит;</w:t>
      </w:r>
    </w:p>
    <w:p w14:paraId="5001C1C2"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Улцерозен колит или токсичен мегаколон;</w:t>
      </w:r>
    </w:p>
    <w:p w14:paraId="3EA87F63" w14:textId="77777777" w:rsidR="00D96AAB"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Хипертрофия на простата;</w:t>
      </w:r>
    </w:p>
    <w:p w14:paraId="2309EAB0" w14:textId="42652E28" w:rsidR="0091385D" w:rsidRPr="00D96AAB" w:rsidRDefault="00D96AAB" w:rsidP="00D96AAB">
      <w:pPr>
        <w:pStyle w:val="ListParagraph"/>
        <w:numPr>
          <w:ilvl w:val="0"/>
          <w:numId w:val="35"/>
        </w:numPr>
        <w:spacing w:line="240" w:lineRule="auto"/>
        <w:rPr>
          <w:rFonts w:eastAsia="Times New Roman" w:cs="Arial"/>
          <w:sz w:val="24"/>
          <w:szCs w:val="24"/>
          <w:lang w:eastAsia="bg-BG"/>
        </w:rPr>
      </w:pPr>
      <w:r w:rsidRPr="00D96AAB">
        <w:rPr>
          <w:rFonts w:eastAsia="Times New Roman" w:cs="Arial"/>
          <w:color w:val="000000"/>
          <w:lang w:eastAsia="bg-BG"/>
        </w:rPr>
        <w:t>Нестабилни сърдечно-съдови състояния при остра кръвозагуба.</w:t>
      </w:r>
    </w:p>
    <w:p w14:paraId="31B39DC6" w14:textId="77777777" w:rsidR="0091385D" w:rsidRPr="0091385D" w:rsidRDefault="0091385D" w:rsidP="0091385D"/>
    <w:p w14:paraId="212F509C" w14:textId="52B87D4F" w:rsidR="004F498A" w:rsidRDefault="002C50EE" w:rsidP="004A448E">
      <w:pPr>
        <w:pStyle w:val="Heading2"/>
      </w:pPr>
      <w:r>
        <w:t>4.4. Специални предупреждения и предпазни мерки при употреба</w:t>
      </w:r>
    </w:p>
    <w:p w14:paraId="0AAC2B60" w14:textId="0A08B607" w:rsidR="0091385D" w:rsidRDefault="0091385D" w:rsidP="0091385D"/>
    <w:p w14:paraId="5001EE61"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Мендилекс трябва да се прилага внимателно при индивиди в напреднала възраст и при пациенти с тахиаритмия, застойна сърдечна недостатъчност, коронарна болест, хипертония, илеостома/колостома. Бипериден може да предизвика невро-мускулна блокада </w:t>
      </w:r>
      <w:r w:rsidRPr="00D96AAB">
        <w:rPr>
          <w:rFonts w:eastAsia="Times New Roman" w:cs="Arial"/>
          <w:i/>
          <w:iCs/>
          <w:color w:val="000000"/>
          <w:lang w:eastAsia="bg-BG"/>
        </w:rPr>
        <w:t>и</w:t>
      </w:r>
      <w:r w:rsidRPr="00D96AAB">
        <w:rPr>
          <w:rFonts w:eastAsia="Times New Roman" w:cs="Arial"/>
          <w:color w:val="000000"/>
          <w:lang w:eastAsia="bg-BG"/>
        </w:rPr>
        <w:t xml:space="preserve"> като резултат от нея слабост и парализа.</w:t>
      </w:r>
    </w:p>
    <w:p w14:paraId="7522DB52"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Безвредностга и ефектът при деца не са установени.</w:t>
      </w:r>
    </w:p>
    <w:p w14:paraId="5544E20F"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Съобщава се за изолирани случаи на умствено объркване, повишено настроение, тревожност или неадекватно поведение (централен антихолинергичен синдром) при податливи пациенти, приемащи правилно предписано лечение с антихолинергични медикаменти.</w:t>
      </w:r>
    </w:p>
    <w:p w14:paraId="4EA12A4C"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Бипериден може да подтисне потоотделянето. Това от своя страна може да доведе до топлинен удар при горещо време или при физическо натоварване.</w:t>
      </w:r>
    </w:p>
    <w:p w14:paraId="17E07F14"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Понякога може да настъпи сънливост и затова пациенти, които управляват моторни превозни средства или работят с машини трябва да бъдат предупреждавани за това.</w:t>
      </w:r>
    </w:p>
    <w:p w14:paraId="1A77D119"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Като и при другите медикаменти с ефект върху централната нервна система, приемът на алокохол по време на лечение с бипериден трябва да се избягва.</w:t>
      </w:r>
    </w:p>
    <w:p w14:paraId="019D73B8"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i/>
          <w:iCs/>
          <w:color w:val="000000"/>
          <w:lang w:eastAsia="bg-BG"/>
        </w:rPr>
        <w:t>Важна информация относно някои от съставките на Мендилекс</w:t>
      </w:r>
    </w:p>
    <w:p w14:paraId="0B3BEE35" w14:textId="106CFFD6" w:rsidR="0091385D" w:rsidRPr="00D96AAB" w:rsidRDefault="00D96AAB" w:rsidP="00D96AAB">
      <w:pPr>
        <w:rPr>
          <w:rFonts w:cs="Arial"/>
        </w:rPr>
      </w:pPr>
      <w:r w:rsidRPr="00D96AAB">
        <w:rPr>
          <w:rFonts w:eastAsia="Times New Roman" w:cs="Arial"/>
          <w:color w:val="000000"/>
          <w:lang w:eastAsia="bg-BG"/>
        </w:rPr>
        <w:t xml:space="preserve">Мендилекс съдържа лактоза. Пациенти с редки наследствени проблеми на галактозна непоносимост, </w:t>
      </w:r>
      <w:r w:rsidRPr="00D96AAB">
        <w:rPr>
          <w:rFonts w:eastAsia="Times New Roman" w:cs="Arial"/>
          <w:color w:val="000000"/>
          <w:lang w:val="en-US"/>
        </w:rPr>
        <w:t xml:space="preserve">Lapp </w:t>
      </w:r>
      <w:r w:rsidRPr="00D96AAB">
        <w:rPr>
          <w:rFonts w:eastAsia="Times New Roman" w:cs="Arial"/>
          <w:color w:val="000000"/>
          <w:lang w:eastAsia="bg-BG"/>
        </w:rPr>
        <w:t>лактазен дефицит или глюкозо-галактозна малабсорбция не трябва да приемат това лекарство.</w:t>
      </w:r>
    </w:p>
    <w:p w14:paraId="24E3E82F" w14:textId="77777777" w:rsidR="0091385D" w:rsidRPr="0091385D" w:rsidRDefault="0091385D" w:rsidP="0091385D"/>
    <w:p w14:paraId="619DED1E" w14:textId="564F257F" w:rsidR="004F498A" w:rsidRDefault="002C50EE" w:rsidP="004A448E">
      <w:pPr>
        <w:pStyle w:val="Heading2"/>
      </w:pPr>
      <w:r>
        <w:lastRenderedPageBreak/>
        <w:t>4.5. Взаимодействие с други лекарствени продукти и други форми на</w:t>
      </w:r>
      <w:r w:rsidR="004F1CE7" w:rsidRPr="004F1CE7">
        <w:rPr>
          <w:lang w:val="ru-RU"/>
        </w:rPr>
        <w:t xml:space="preserve"> </w:t>
      </w:r>
      <w:r w:rsidR="004F1CE7">
        <w:t>взаимодействие</w:t>
      </w:r>
      <w:r>
        <w:t xml:space="preserve"> </w:t>
      </w:r>
    </w:p>
    <w:p w14:paraId="355E4B7C" w14:textId="7D829F6C" w:rsidR="0091385D" w:rsidRDefault="0091385D" w:rsidP="0091385D"/>
    <w:p w14:paraId="6CADFEEB"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При едновременно приложение на антихолинергични средства от типа на бипериден и лекарства, притежаващи вторичен антихолинергичен ефект (напр. някои наркотични аналгетици като меперидин, фенотиазини и други антипсихотици, трициклични антидепресанти, някои антиаритмични средства като хинидинови соли или антихистамини), може да се прояви централен антихолинергичен синдром.</w:t>
      </w:r>
    </w:p>
    <w:p w14:paraId="172AE819" w14:textId="6A19666B" w:rsidR="0091385D" w:rsidRPr="00D96AAB" w:rsidRDefault="00D96AAB" w:rsidP="00D96AAB">
      <w:pPr>
        <w:rPr>
          <w:rFonts w:cs="Arial"/>
        </w:rPr>
      </w:pPr>
      <w:r w:rsidRPr="00D96AAB">
        <w:rPr>
          <w:rFonts w:eastAsia="Times New Roman" w:cs="Arial"/>
          <w:color w:val="000000"/>
          <w:lang w:eastAsia="bg-BG"/>
        </w:rPr>
        <w:t>Едновременният прием на леводопа и бипериден може да потенцира дискинезията. Съобщавано е за генерализирани хореични движения при паркинсоници след</w:t>
      </w:r>
      <w:r w:rsidRPr="00D96AAB">
        <w:rPr>
          <w:rFonts w:eastAsia="Times New Roman" w:cs="Arial"/>
          <w:color w:val="000000"/>
          <w:u w:val="single"/>
          <w:lang w:eastAsia="bg-BG"/>
        </w:rPr>
        <w:t xml:space="preserve"> </w:t>
      </w:r>
      <w:r w:rsidRPr="00D96AAB">
        <w:rPr>
          <w:rFonts w:eastAsia="Times New Roman" w:cs="Arial"/>
          <w:color w:val="000000"/>
          <w:lang w:eastAsia="bg-BG"/>
        </w:rPr>
        <w:t>едновременно приложение на карбидопа/леводопа и бипериден. Тардивната дискинезия, предизвикана от невролептици, може да се усили след бипериден. Симптомите на паркинсонова болест при наличие на предхождаща тардивна дискинезия понякога са толкова сериозни, че налагат непрекъсната антихолинергична терапия.</w:t>
      </w:r>
    </w:p>
    <w:p w14:paraId="5B2761C5" w14:textId="08F1FE8D" w:rsidR="0091385D" w:rsidRDefault="0091385D" w:rsidP="0091385D"/>
    <w:p w14:paraId="2DDC0477"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Ефектът на метоклопрамид и на съединенията с подобна активност върху стомашно- чревния тракт отслабва при едновременно приложение на анихолинергици като бипериден.</w:t>
      </w:r>
    </w:p>
    <w:p w14:paraId="6CA416DB"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Какго при всички останали медикаменти с ефект върху централната нервна система, в хода на лечението с бипериден употребата на алкохол трябва да се избягва.</w:t>
      </w:r>
    </w:p>
    <w:p w14:paraId="2D915702" w14:textId="77777777" w:rsidR="00D96AAB" w:rsidRPr="00D96AAB" w:rsidRDefault="00D96AAB" w:rsidP="00D96AAB">
      <w:pPr>
        <w:spacing w:line="240" w:lineRule="auto"/>
        <w:rPr>
          <w:rFonts w:eastAsia="Times New Roman" w:cs="Arial"/>
          <w:color w:val="000000"/>
          <w:u w:val="single"/>
          <w:lang w:eastAsia="bg-BG"/>
        </w:rPr>
      </w:pPr>
    </w:p>
    <w:p w14:paraId="6E0DB04A" w14:textId="5709C9D8"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u w:val="single"/>
          <w:lang w:eastAsia="bg-BG"/>
        </w:rPr>
        <w:t>Педиатрична популация</w:t>
      </w:r>
    </w:p>
    <w:p w14:paraId="6069E366" w14:textId="77777777" w:rsidR="00D96AAB" w:rsidRPr="00D96AAB" w:rsidRDefault="00D96AAB" w:rsidP="00D96AAB">
      <w:pPr>
        <w:rPr>
          <w:rFonts w:eastAsia="Times New Roman" w:cs="Arial"/>
          <w:color w:val="000000"/>
          <w:lang w:eastAsia="bg-BG"/>
        </w:rPr>
      </w:pPr>
    </w:p>
    <w:p w14:paraId="46BF2D21" w14:textId="3BC3C503" w:rsidR="00D96AAB" w:rsidRPr="00D96AAB" w:rsidRDefault="00D96AAB" w:rsidP="00D96AAB">
      <w:pPr>
        <w:rPr>
          <w:rFonts w:cs="Arial"/>
        </w:rPr>
      </w:pPr>
      <w:r w:rsidRPr="00D96AAB">
        <w:rPr>
          <w:rFonts w:eastAsia="Times New Roman" w:cs="Arial"/>
          <w:color w:val="000000"/>
          <w:lang w:eastAsia="bg-BG"/>
        </w:rPr>
        <w:t>Проучвания за взаимодействията са провеждани само при възрастни.</w:t>
      </w:r>
    </w:p>
    <w:p w14:paraId="5ACD6B85" w14:textId="77777777" w:rsidR="00D96AAB" w:rsidRPr="0091385D" w:rsidRDefault="00D96AAB" w:rsidP="0091385D"/>
    <w:p w14:paraId="394A7584" w14:textId="10DEA5B3" w:rsidR="004F498A" w:rsidRDefault="002C50EE" w:rsidP="004A448E">
      <w:pPr>
        <w:pStyle w:val="Heading2"/>
      </w:pPr>
      <w:r>
        <w:t>4.6. Фертилитет, бременност и кърмене</w:t>
      </w:r>
    </w:p>
    <w:p w14:paraId="4887836B" w14:textId="11C96CFA" w:rsidR="0091385D" w:rsidRDefault="0091385D" w:rsidP="0091385D"/>
    <w:p w14:paraId="10C02638" w14:textId="77777777" w:rsidR="00D96AAB" w:rsidRPr="00D96AAB" w:rsidRDefault="00D96AAB" w:rsidP="00D96AAB">
      <w:pPr>
        <w:pStyle w:val="Heading3"/>
        <w:rPr>
          <w:rFonts w:eastAsia="Times New Roman"/>
          <w:u w:val="single"/>
          <w:lang w:eastAsia="bg-BG"/>
        </w:rPr>
      </w:pPr>
      <w:r w:rsidRPr="00D96AAB">
        <w:rPr>
          <w:rFonts w:eastAsia="Times New Roman"/>
          <w:u w:val="single"/>
          <w:lang w:eastAsia="bg-BG"/>
        </w:rPr>
        <w:t>Бременност</w:t>
      </w:r>
    </w:p>
    <w:p w14:paraId="3686F4F5"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Не са провеждани изследвания на репродуктивността у животни при прилагане на бипериден. Не е известно и дали бипериден уврежда плода или репродуктивните възможности. Бипериден може да се прилага в периода на бременност, само ако употребата му е крайно наложителна.</w:t>
      </w:r>
    </w:p>
    <w:p w14:paraId="727020D6" w14:textId="77777777" w:rsidR="00D96AAB" w:rsidRPr="00D96AAB" w:rsidRDefault="00D96AAB" w:rsidP="00D96AAB">
      <w:pPr>
        <w:pStyle w:val="Heading3"/>
        <w:rPr>
          <w:rFonts w:eastAsia="Times New Roman"/>
          <w:u w:val="single"/>
          <w:lang w:eastAsia="bg-BG"/>
        </w:rPr>
      </w:pPr>
      <w:r w:rsidRPr="00D96AAB">
        <w:rPr>
          <w:rFonts w:eastAsia="Times New Roman"/>
          <w:u w:val="single"/>
          <w:lang w:eastAsia="bg-BG"/>
        </w:rPr>
        <w:t>Кърмене</w:t>
      </w:r>
    </w:p>
    <w:p w14:paraId="776662C5" w14:textId="52A896AB" w:rsidR="0091385D" w:rsidRPr="00D96AAB" w:rsidRDefault="00D96AAB" w:rsidP="00D96AAB">
      <w:pPr>
        <w:rPr>
          <w:rFonts w:cs="Arial"/>
        </w:rPr>
      </w:pPr>
      <w:r w:rsidRPr="00D96AAB">
        <w:rPr>
          <w:rFonts w:eastAsia="Times New Roman" w:cs="Arial"/>
          <w:color w:val="000000"/>
          <w:lang w:eastAsia="bg-BG"/>
        </w:rPr>
        <w:t>Бипериден трябва да се предписва внимателно при кърмещи майки, тъй като се излъчва чрез майчиното мляко и може да доведе до неприятни антихолинергични ефекти у кърмачето.</w:t>
      </w:r>
    </w:p>
    <w:p w14:paraId="3E8789C3" w14:textId="77777777" w:rsidR="0091385D" w:rsidRPr="0091385D" w:rsidRDefault="0091385D" w:rsidP="0091385D"/>
    <w:p w14:paraId="064DF1DE" w14:textId="70BCC16C" w:rsidR="00CF77F7" w:rsidRDefault="002C50EE" w:rsidP="004A448E">
      <w:pPr>
        <w:pStyle w:val="Heading2"/>
      </w:pPr>
      <w:r>
        <w:t>4.7. Ефекти върху способността за шофиране и работа с машини</w:t>
      </w:r>
    </w:p>
    <w:p w14:paraId="1455464C" w14:textId="2676810A" w:rsidR="0091385D" w:rsidRDefault="0091385D" w:rsidP="0091385D"/>
    <w:p w14:paraId="76568C5F"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Мендилекс повлиява в значителна степен способността за шофиране и работа с машини.</w:t>
      </w:r>
    </w:p>
    <w:p w14:paraId="2B4135A6" w14:textId="7154095A" w:rsidR="0091385D" w:rsidRPr="00D96AAB" w:rsidRDefault="00D96AAB" w:rsidP="00D96AAB">
      <w:pPr>
        <w:rPr>
          <w:rFonts w:cs="Arial"/>
        </w:rPr>
      </w:pPr>
      <w:r w:rsidRPr="00D96AAB">
        <w:rPr>
          <w:rFonts w:eastAsia="Times New Roman" w:cs="Arial"/>
          <w:color w:val="000000"/>
          <w:lang w:eastAsia="bg-BG"/>
        </w:rPr>
        <w:t>Шофирането и работата с машини се забранява по време на лечебния курс с бипериден.</w:t>
      </w:r>
    </w:p>
    <w:p w14:paraId="35801A15" w14:textId="77777777" w:rsidR="0091385D" w:rsidRPr="0091385D" w:rsidRDefault="0091385D" w:rsidP="0091385D"/>
    <w:p w14:paraId="37A3FD9F" w14:textId="0E7561E3" w:rsidR="00CF77F7" w:rsidRDefault="002C50EE" w:rsidP="004A448E">
      <w:pPr>
        <w:pStyle w:val="Heading2"/>
      </w:pPr>
      <w:r>
        <w:t>4.8. Нежелани лекарствени реакции</w:t>
      </w:r>
    </w:p>
    <w:p w14:paraId="4838F52A" w14:textId="4C2232D6" w:rsidR="0091385D" w:rsidRDefault="0091385D" w:rsidP="0091385D"/>
    <w:p w14:paraId="573269D5"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При оценката на нежеланите лекарствени реакции са използвани следните честоти:</w:t>
      </w:r>
    </w:p>
    <w:p w14:paraId="713B5C42" w14:textId="77777777" w:rsidR="00D96AAB" w:rsidRPr="00D96AAB" w:rsidRDefault="00D96AAB" w:rsidP="00D96AAB">
      <w:pPr>
        <w:spacing w:line="240" w:lineRule="auto"/>
        <w:rPr>
          <w:rFonts w:eastAsia="Times New Roman" w:cs="Arial"/>
          <w:color w:val="000000"/>
          <w:lang w:eastAsia="bg-BG"/>
        </w:rPr>
      </w:pPr>
    </w:p>
    <w:p w14:paraId="4412F65B" w14:textId="1901B2F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много чести (&gt;1/10)</w:t>
      </w:r>
    </w:p>
    <w:p w14:paraId="359BB3B4" w14:textId="77777777" w:rsidR="00D96AAB" w:rsidRPr="00D96AAB" w:rsidRDefault="00D96AAB" w:rsidP="00D96AAB">
      <w:pPr>
        <w:spacing w:line="240" w:lineRule="auto"/>
        <w:rPr>
          <w:rFonts w:eastAsia="Times New Roman" w:cs="Arial"/>
          <w:color w:val="000000"/>
          <w:lang w:eastAsia="bg-BG"/>
        </w:rPr>
      </w:pPr>
    </w:p>
    <w:p w14:paraId="2681E311" w14:textId="0D4F48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чести (&gt; 1/100 до &lt; 1/10)</w:t>
      </w:r>
    </w:p>
    <w:p w14:paraId="7993779C" w14:textId="77777777" w:rsidR="00D96AAB" w:rsidRPr="00D96AAB" w:rsidRDefault="00D96AAB" w:rsidP="00D96AAB">
      <w:pPr>
        <w:spacing w:line="240" w:lineRule="auto"/>
        <w:rPr>
          <w:rFonts w:eastAsia="Times New Roman" w:cs="Arial"/>
          <w:color w:val="000000"/>
          <w:lang w:eastAsia="bg-BG"/>
        </w:rPr>
      </w:pPr>
    </w:p>
    <w:p w14:paraId="5FF0CD21" w14:textId="3149DC41"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нечести (≥ 1/1000 до &lt; 1/100)</w:t>
      </w:r>
    </w:p>
    <w:p w14:paraId="7ACA0C39" w14:textId="77777777" w:rsidR="00D96AAB" w:rsidRPr="00D96AAB" w:rsidRDefault="00D96AAB" w:rsidP="00D96AAB">
      <w:pPr>
        <w:spacing w:line="240" w:lineRule="auto"/>
        <w:rPr>
          <w:rFonts w:eastAsia="Times New Roman" w:cs="Arial"/>
          <w:color w:val="000000"/>
          <w:lang w:eastAsia="bg-BG"/>
        </w:rPr>
      </w:pPr>
    </w:p>
    <w:p w14:paraId="33FA4F8B" w14:textId="29609F3F"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редки (≥ 1/10 000 до &lt; 1/1000)</w:t>
      </w:r>
    </w:p>
    <w:p w14:paraId="2CE16040" w14:textId="77777777" w:rsidR="00D96AAB" w:rsidRPr="00D96AAB" w:rsidRDefault="00D96AAB" w:rsidP="00D96AAB">
      <w:pPr>
        <w:spacing w:line="240" w:lineRule="auto"/>
        <w:rPr>
          <w:rFonts w:eastAsia="Times New Roman" w:cs="Arial"/>
          <w:color w:val="000000"/>
          <w:lang w:eastAsia="bg-BG"/>
        </w:rPr>
      </w:pPr>
    </w:p>
    <w:p w14:paraId="24CA5832" w14:textId="3443ECD4"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много редки (&lt; 1/10 000)</w:t>
      </w:r>
    </w:p>
    <w:p w14:paraId="070B59F4" w14:textId="77777777" w:rsidR="00D96AAB" w:rsidRPr="00D96AAB" w:rsidRDefault="00D96AAB" w:rsidP="00D96AAB">
      <w:pPr>
        <w:spacing w:line="240" w:lineRule="auto"/>
        <w:rPr>
          <w:rFonts w:eastAsia="Times New Roman" w:cs="Arial"/>
          <w:color w:val="000000"/>
          <w:lang w:eastAsia="bg-BG"/>
        </w:rPr>
      </w:pPr>
    </w:p>
    <w:p w14:paraId="01A641B2" w14:textId="5D364BEB"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с неизвестна честота (от наличните данни не може да бъде направена оценка).</w:t>
      </w:r>
    </w:p>
    <w:p w14:paraId="340E05CF" w14:textId="77777777" w:rsidR="00D96AAB" w:rsidRPr="00D96AAB" w:rsidRDefault="00D96AAB" w:rsidP="00D96AAB">
      <w:pPr>
        <w:spacing w:line="240" w:lineRule="auto"/>
        <w:rPr>
          <w:rFonts w:eastAsia="Times New Roman" w:cs="Arial"/>
          <w:color w:val="000000"/>
          <w:lang w:eastAsia="bg-BG"/>
        </w:rPr>
      </w:pPr>
    </w:p>
    <w:p w14:paraId="623300BC" w14:textId="524B7681"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Нежеланите лекарствени реакции могат да възникнат особено в началото на лечението и когато дозата се повишава твърде бързо. Поради неизвестния брой потребители процентната честота на спонтанно регистрираните нежелани реакции не може </w:t>
      </w:r>
      <w:r w:rsidRPr="00D96AAB">
        <w:rPr>
          <w:rFonts w:eastAsia="Times New Roman" w:cs="Arial"/>
          <w:color w:val="000000"/>
          <w:u w:val="single"/>
          <w:lang w:eastAsia="bg-BG"/>
        </w:rPr>
        <w:t>да бъд</w:t>
      </w:r>
      <w:r w:rsidRPr="00D96AAB">
        <w:rPr>
          <w:rFonts w:eastAsia="Times New Roman" w:cs="Arial"/>
          <w:color w:val="000000"/>
          <w:lang w:eastAsia="bg-BG"/>
        </w:rPr>
        <w:t>е определен с точност.</w:t>
      </w:r>
    </w:p>
    <w:p w14:paraId="6E33BFA1" w14:textId="77777777" w:rsidR="00D96AAB" w:rsidRPr="00D96AAB" w:rsidRDefault="00D96AAB" w:rsidP="00D96AAB">
      <w:pPr>
        <w:spacing w:line="240" w:lineRule="auto"/>
        <w:rPr>
          <w:rFonts w:eastAsia="Times New Roman" w:cs="Arial"/>
          <w:b/>
          <w:bCs/>
          <w:color w:val="000000"/>
          <w:u w:val="single"/>
          <w:lang w:eastAsia="bg-BG"/>
        </w:rPr>
      </w:pPr>
    </w:p>
    <w:p w14:paraId="59B0198B" w14:textId="76B739DD"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Инфекции и инфсстации</w:t>
      </w:r>
    </w:p>
    <w:p w14:paraId="0C8C2013" w14:textId="77777777" w:rsidR="00D96AAB" w:rsidRPr="00D96AAB" w:rsidRDefault="00D96AAB" w:rsidP="00D96AAB">
      <w:pPr>
        <w:rPr>
          <w:rFonts w:eastAsia="Times New Roman" w:cs="Arial"/>
          <w:b/>
          <w:bCs/>
          <w:color w:val="000000"/>
          <w:lang w:eastAsia="bg-BG"/>
        </w:rPr>
      </w:pPr>
    </w:p>
    <w:p w14:paraId="570508C4" w14:textId="0BA32341" w:rsidR="0091385D" w:rsidRPr="00D96AAB" w:rsidRDefault="00D96AAB" w:rsidP="00D96AAB">
      <w:pPr>
        <w:rPr>
          <w:rFonts w:cs="Arial"/>
        </w:rPr>
      </w:pPr>
      <w:r w:rsidRPr="00D96AAB">
        <w:rPr>
          <w:rFonts w:eastAsia="Times New Roman" w:cs="Arial"/>
          <w:b/>
          <w:bCs/>
          <w:color w:val="000000"/>
          <w:lang w:eastAsia="bg-BG"/>
        </w:rPr>
        <w:t xml:space="preserve">С неизвестна честота: </w:t>
      </w:r>
      <w:r w:rsidRPr="00D96AAB">
        <w:rPr>
          <w:rFonts w:eastAsia="Times New Roman" w:cs="Arial"/>
          <w:color w:val="000000"/>
          <w:lang w:eastAsia="bg-BG"/>
        </w:rPr>
        <w:t>паротит.</w:t>
      </w:r>
    </w:p>
    <w:p w14:paraId="43E3C48F" w14:textId="2152B704" w:rsidR="0091385D" w:rsidRDefault="0091385D" w:rsidP="0091385D"/>
    <w:p w14:paraId="5FF79FE5"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Нарушения на имунната система</w:t>
      </w:r>
    </w:p>
    <w:p w14:paraId="39BDF85F"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Много редки: Свръхчувствителност</w:t>
      </w:r>
    </w:p>
    <w:p w14:paraId="5EDCE352" w14:textId="77777777" w:rsidR="00D96AAB" w:rsidRPr="00D96AAB" w:rsidRDefault="00D96AAB" w:rsidP="00D96AAB">
      <w:pPr>
        <w:spacing w:line="240" w:lineRule="auto"/>
        <w:rPr>
          <w:rFonts w:eastAsia="Times New Roman" w:cs="Arial"/>
          <w:b/>
          <w:bCs/>
          <w:color w:val="000000"/>
          <w:u w:val="single"/>
          <w:lang w:eastAsia="bg-BG"/>
        </w:rPr>
      </w:pPr>
      <w:bookmarkStart w:id="2" w:name="bookmark0"/>
    </w:p>
    <w:p w14:paraId="47EE28BB" w14:textId="468E5EEF"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Психични нарушения</w:t>
      </w:r>
      <w:bookmarkEnd w:id="2"/>
    </w:p>
    <w:p w14:paraId="37408A5E" w14:textId="77777777" w:rsidR="00D96AAB" w:rsidRPr="00D96AAB" w:rsidRDefault="00D96AAB" w:rsidP="00D96AAB">
      <w:pPr>
        <w:spacing w:line="240" w:lineRule="auto"/>
        <w:rPr>
          <w:rFonts w:eastAsia="Times New Roman" w:cs="Arial"/>
          <w:b/>
          <w:bCs/>
          <w:color w:val="000000"/>
          <w:lang w:eastAsia="bg-BG"/>
        </w:rPr>
      </w:pPr>
    </w:p>
    <w:p w14:paraId="169D6E12" w14:textId="5CDA2168"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Редки: </w:t>
      </w:r>
      <w:r w:rsidRPr="00D96AAB">
        <w:rPr>
          <w:rFonts w:eastAsia="Times New Roman" w:cs="Arial"/>
          <w:color w:val="000000"/>
          <w:lang w:eastAsia="bg-BG"/>
        </w:rPr>
        <w:t xml:space="preserve">при високи дози вълнение, възбуда, страх, объркване, делирен синдром, халюцинации, безсъние. Централни ефекти на възбуда се срещат често при пациенти със симптоми на церебрален дефицит, което може да наложи понижаване на дозата. Съобщавани са случаи на временно намален </w:t>
      </w:r>
      <w:r w:rsidRPr="00D96AAB">
        <w:rPr>
          <w:rFonts w:eastAsia="Times New Roman" w:cs="Arial"/>
          <w:i/>
          <w:iCs/>
          <w:color w:val="000000"/>
          <w:lang w:val="en-US"/>
        </w:rPr>
        <w:t>REM</w:t>
      </w:r>
      <w:r w:rsidRPr="00D96AAB">
        <w:rPr>
          <w:rFonts w:eastAsia="Times New Roman" w:cs="Arial"/>
          <w:color w:val="000000"/>
          <w:lang w:val="en-US"/>
        </w:rPr>
        <w:t xml:space="preserve"> </w:t>
      </w:r>
      <w:r w:rsidRPr="00D96AAB">
        <w:rPr>
          <w:rFonts w:eastAsia="Times New Roman" w:cs="Arial"/>
          <w:color w:val="000000"/>
          <w:lang w:eastAsia="bg-BG"/>
        </w:rPr>
        <w:t>сън (фазата от съня с бързи очни движения), характеризиращи се с удължаване на времето, необходимо за достигане на тази фаза и процентно скъсяване на продължителността на тази фаза в общия период на сън.</w:t>
      </w:r>
    </w:p>
    <w:p w14:paraId="30945DBD"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Много редки: </w:t>
      </w:r>
      <w:r w:rsidRPr="00D96AAB">
        <w:rPr>
          <w:rFonts w:eastAsia="Times New Roman" w:cs="Arial"/>
          <w:color w:val="000000"/>
          <w:lang w:eastAsia="bg-BG"/>
        </w:rPr>
        <w:t>безпокойство, еуфория.</w:t>
      </w:r>
    </w:p>
    <w:p w14:paraId="6199062A" w14:textId="77777777" w:rsidR="00D96AAB" w:rsidRPr="00D96AAB" w:rsidRDefault="00D96AAB" w:rsidP="00D96AAB">
      <w:pPr>
        <w:spacing w:line="240" w:lineRule="auto"/>
        <w:rPr>
          <w:rFonts w:eastAsia="Times New Roman" w:cs="Arial"/>
          <w:b/>
          <w:bCs/>
          <w:color w:val="000000"/>
          <w:u w:val="single"/>
          <w:lang w:eastAsia="bg-BG"/>
        </w:rPr>
      </w:pPr>
      <w:bookmarkStart w:id="3" w:name="bookmark2"/>
    </w:p>
    <w:p w14:paraId="46DCF426" w14:textId="6DF16ABF"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Нарушения на нервната система</w:t>
      </w:r>
      <w:bookmarkEnd w:id="3"/>
    </w:p>
    <w:p w14:paraId="1A94E321" w14:textId="77777777" w:rsidR="00D96AAB" w:rsidRPr="00D96AAB" w:rsidRDefault="00D96AAB" w:rsidP="00D96AAB">
      <w:pPr>
        <w:spacing w:line="240" w:lineRule="auto"/>
        <w:rPr>
          <w:rFonts w:eastAsia="Times New Roman" w:cs="Arial"/>
          <w:b/>
          <w:bCs/>
          <w:color w:val="000000"/>
          <w:lang w:eastAsia="bg-BG"/>
        </w:rPr>
      </w:pPr>
    </w:p>
    <w:p w14:paraId="258F4380" w14:textId="5B099B3A"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Редки: </w:t>
      </w:r>
      <w:r w:rsidRPr="00D96AAB">
        <w:rPr>
          <w:rFonts w:eastAsia="Times New Roman" w:cs="Arial"/>
          <w:color w:val="000000"/>
          <w:lang w:eastAsia="bg-BG"/>
        </w:rPr>
        <w:t>умора, замаяност и нарушения в паметта.</w:t>
      </w:r>
    </w:p>
    <w:p w14:paraId="041D5C59"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Много редки: </w:t>
      </w:r>
      <w:r w:rsidRPr="00D96AAB">
        <w:rPr>
          <w:rFonts w:eastAsia="Times New Roman" w:cs="Arial"/>
          <w:color w:val="000000"/>
          <w:lang w:eastAsia="bg-BG"/>
        </w:rPr>
        <w:t>главоболие, дискинезия, атаксия и нарушения на речта, повишено предразположение към гърчове и конвулсии.</w:t>
      </w:r>
    </w:p>
    <w:p w14:paraId="41D8F50D" w14:textId="77777777" w:rsidR="00D96AAB" w:rsidRPr="00D96AAB" w:rsidRDefault="00D96AAB" w:rsidP="00D96AAB">
      <w:pPr>
        <w:spacing w:line="240" w:lineRule="auto"/>
        <w:rPr>
          <w:rFonts w:eastAsia="Times New Roman" w:cs="Arial"/>
          <w:b/>
          <w:bCs/>
          <w:color w:val="000000"/>
          <w:u w:val="single"/>
          <w:lang w:eastAsia="bg-BG"/>
        </w:rPr>
      </w:pPr>
      <w:bookmarkStart w:id="4" w:name="bookmark4"/>
    </w:p>
    <w:p w14:paraId="756C6373" w14:textId="62E9E3E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Нарушения на очите</w:t>
      </w:r>
      <w:bookmarkEnd w:id="4"/>
    </w:p>
    <w:p w14:paraId="5A30178E"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Много редки: </w:t>
      </w:r>
      <w:r w:rsidRPr="00D96AAB">
        <w:rPr>
          <w:rFonts w:eastAsia="Times New Roman" w:cs="Arial"/>
          <w:color w:val="000000"/>
          <w:lang w:eastAsia="bg-BG"/>
        </w:rPr>
        <w:t>нарушения в акомодацията, мидриаза и фоточувствителност. Може да възникне закритоъгълна глаукома (необходим е контрол на вътреочното налягане).</w:t>
      </w:r>
    </w:p>
    <w:p w14:paraId="4D45FC02" w14:textId="77777777" w:rsidR="00D96AAB" w:rsidRPr="00D96AAB" w:rsidRDefault="00D96AAB" w:rsidP="00D96AAB">
      <w:pPr>
        <w:spacing w:line="240" w:lineRule="auto"/>
        <w:rPr>
          <w:rFonts w:eastAsia="Times New Roman" w:cs="Arial"/>
          <w:b/>
          <w:bCs/>
          <w:color w:val="000000"/>
          <w:u w:val="single"/>
          <w:lang w:eastAsia="bg-BG"/>
        </w:rPr>
      </w:pPr>
      <w:bookmarkStart w:id="5" w:name="bookmark6"/>
    </w:p>
    <w:p w14:paraId="02048845" w14:textId="3B3DCF49"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Сърдечни нарушения</w:t>
      </w:r>
      <w:bookmarkEnd w:id="5"/>
    </w:p>
    <w:p w14:paraId="02EC5ED7"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Редки: </w:t>
      </w:r>
      <w:r w:rsidRPr="00D96AAB">
        <w:rPr>
          <w:rFonts w:eastAsia="Times New Roman" w:cs="Arial"/>
          <w:color w:val="000000"/>
          <w:lang w:eastAsia="bg-BG"/>
        </w:rPr>
        <w:t>тахикардия.</w:t>
      </w:r>
    </w:p>
    <w:p w14:paraId="40FF122F"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Много редеки: </w:t>
      </w:r>
      <w:r w:rsidRPr="00D96AAB">
        <w:rPr>
          <w:rFonts w:eastAsia="Times New Roman" w:cs="Arial"/>
          <w:color w:val="000000"/>
          <w:lang w:eastAsia="bg-BG"/>
        </w:rPr>
        <w:t>брадикардия. Може да възникне спадане на кръвното налягане след парентерално приложение.</w:t>
      </w:r>
    </w:p>
    <w:p w14:paraId="4085F414" w14:textId="77777777" w:rsidR="00D96AAB" w:rsidRPr="00D96AAB" w:rsidRDefault="00D96AAB" w:rsidP="00D96AAB">
      <w:pPr>
        <w:spacing w:line="240" w:lineRule="auto"/>
        <w:rPr>
          <w:rFonts w:eastAsia="Times New Roman" w:cs="Arial"/>
          <w:b/>
          <w:bCs/>
          <w:color w:val="000000"/>
          <w:u w:val="single"/>
          <w:lang w:eastAsia="bg-BG"/>
        </w:rPr>
      </w:pPr>
      <w:bookmarkStart w:id="6" w:name="bookmark8"/>
    </w:p>
    <w:p w14:paraId="146968C4" w14:textId="10E1C66D"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Стомашно-чревни нарушения</w:t>
      </w:r>
      <w:bookmarkEnd w:id="6"/>
    </w:p>
    <w:p w14:paraId="2AE4F548"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Редки: </w:t>
      </w:r>
      <w:r w:rsidRPr="00D96AAB">
        <w:rPr>
          <w:rFonts w:eastAsia="Times New Roman" w:cs="Arial"/>
          <w:color w:val="000000"/>
          <w:lang w:eastAsia="bg-BG"/>
        </w:rPr>
        <w:t>сухота в устата, гадене, стомашен дискомфорт.</w:t>
      </w:r>
    </w:p>
    <w:p w14:paraId="2CA288F9"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lastRenderedPageBreak/>
        <w:t xml:space="preserve">Много редки: </w:t>
      </w:r>
      <w:r w:rsidRPr="00D96AAB">
        <w:rPr>
          <w:rFonts w:eastAsia="Times New Roman" w:cs="Arial"/>
          <w:color w:val="000000"/>
          <w:lang w:eastAsia="bg-BG"/>
        </w:rPr>
        <w:t>запек.</w:t>
      </w:r>
    </w:p>
    <w:p w14:paraId="726D8CAC"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Нарушения на кожата и подкожната тъкан</w:t>
      </w:r>
    </w:p>
    <w:p w14:paraId="6FBAA8FA"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Много редки: </w:t>
      </w:r>
      <w:r w:rsidRPr="00D96AAB">
        <w:rPr>
          <w:rFonts w:eastAsia="Times New Roman" w:cs="Arial"/>
          <w:color w:val="000000"/>
          <w:lang w:eastAsia="bg-BG"/>
        </w:rPr>
        <w:t>намалено изпотяване, алергичен обрив.</w:t>
      </w:r>
    </w:p>
    <w:p w14:paraId="66F180D2" w14:textId="77777777" w:rsidR="00D96AAB" w:rsidRPr="00D96AAB" w:rsidRDefault="00D96AAB" w:rsidP="00D96AAB">
      <w:pPr>
        <w:spacing w:line="240" w:lineRule="auto"/>
        <w:rPr>
          <w:rFonts w:eastAsia="Times New Roman" w:cs="Arial"/>
          <w:sz w:val="24"/>
          <w:szCs w:val="24"/>
          <w:lang w:eastAsia="bg-BG"/>
        </w:rPr>
      </w:pPr>
      <w:bookmarkStart w:id="7" w:name="bookmark10"/>
      <w:r w:rsidRPr="00D96AAB">
        <w:rPr>
          <w:rFonts w:eastAsia="Times New Roman" w:cs="Arial"/>
          <w:b/>
          <w:bCs/>
          <w:color w:val="000000"/>
          <w:lang w:eastAsia="bg-BG"/>
        </w:rPr>
        <w:t>Нарушения на мускулно-скелетната система и съединителната тъкан</w:t>
      </w:r>
      <w:bookmarkEnd w:id="7"/>
    </w:p>
    <w:p w14:paraId="59E7D7D2"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Редки: </w:t>
      </w:r>
      <w:r w:rsidRPr="00D96AAB">
        <w:rPr>
          <w:rFonts w:eastAsia="Times New Roman" w:cs="Arial"/>
          <w:color w:val="000000"/>
          <w:lang w:eastAsia="bg-BG"/>
        </w:rPr>
        <w:t>мускулни потрепвания.</w:t>
      </w:r>
    </w:p>
    <w:p w14:paraId="1C0152C3" w14:textId="77777777" w:rsidR="00D96AAB" w:rsidRPr="00D96AAB" w:rsidRDefault="00D96AAB" w:rsidP="00D96AAB">
      <w:pPr>
        <w:spacing w:line="240" w:lineRule="auto"/>
        <w:rPr>
          <w:rFonts w:eastAsia="Times New Roman" w:cs="Arial"/>
          <w:b/>
          <w:bCs/>
          <w:color w:val="000000"/>
          <w:u w:val="single"/>
          <w:lang w:eastAsia="bg-BG"/>
        </w:rPr>
      </w:pPr>
      <w:bookmarkStart w:id="8" w:name="bookmark12"/>
    </w:p>
    <w:p w14:paraId="2E4F83D5" w14:textId="19603C98"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u w:val="single"/>
          <w:lang w:eastAsia="bg-BG"/>
        </w:rPr>
        <w:t>Нарушения на бъбреците и пикочните нътища</w:t>
      </w:r>
      <w:bookmarkEnd w:id="8"/>
    </w:p>
    <w:p w14:paraId="3B81557A"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Много редки: </w:t>
      </w:r>
      <w:r w:rsidRPr="00D96AAB">
        <w:rPr>
          <w:rFonts w:eastAsia="Times New Roman" w:cs="Arial"/>
          <w:color w:val="000000"/>
          <w:lang w:eastAsia="bg-BG"/>
        </w:rPr>
        <w:t>нарушения при изпразването особено при пациенти с аденом на простатата (намаляване на дозата), по-рядко: ретенция на урината.</w:t>
      </w:r>
    </w:p>
    <w:p w14:paraId="5A8F8953" w14:textId="77777777" w:rsidR="00D96AAB" w:rsidRPr="00D96AAB" w:rsidRDefault="00D96AAB" w:rsidP="00D96AAB">
      <w:pPr>
        <w:spacing w:line="240" w:lineRule="auto"/>
        <w:rPr>
          <w:rFonts w:eastAsia="Times New Roman" w:cs="Arial"/>
          <w:b/>
          <w:bCs/>
          <w:color w:val="000000"/>
          <w:lang w:eastAsia="bg-BG"/>
        </w:rPr>
      </w:pPr>
      <w:bookmarkStart w:id="9" w:name="bookmark14"/>
    </w:p>
    <w:p w14:paraId="6BB8EDA7" w14:textId="79D0CE84" w:rsidR="00D96AAB" w:rsidRPr="00D96AAB" w:rsidRDefault="00D96AAB" w:rsidP="00D96AAB">
      <w:pPr>
        <w:spacing w:line="240" w:lineRule="auto"/>
        <w:rPr>
          <w:rFonts w:eastAsia="Times New Roman" w:cs="Arial"/>
          <w:sz w:val="24"/>
          <w:szCs w:val="24"/>
          <w:lang w:eastAsia="bg-BG"/>
        </w:rPr>
      </w:pPr>
      <w:r w:rsidRPr="00D96AAB">
        <w:rPr>
          <w:rFonts w:eastAsia="Times New Roman" w:cs="Arial"/>
          <w:b/>
          <w:bCs/>
          <w:color w:val="000000"/>
          <w:lang w:eastAsia="bg-BG"/>
        </w:rPr>
        <w:t xml:space="preserve">Общи нарушения и ефекти на мястото на приложение Редки: </w:t>
      </w:r>
      <w:r w:rsidRPr="00D96AAB">
        <w:rPr>
          <w:rFonts w:eastAsia="Times New Roman" w:cs="Arial"/>
          <w:color w:val="000000"/>
          <w:lang w:eastAsia="bg-BG"/>
        </w:rPr>
        <w:t>сънливост.</w:t>
      </w:r>
      <w:bookmarkEnd w:id="9"/>
    </w:p>
    <w:p w14:paraId="7FBF248B" w14:textId="77777777" w:rsidR="00D96AAB" w:rsidRPr="00D96AAB" w:rsidRDefault="00D96AAB" w:rsidP="00D96AAB">
      <w:pPr>
        <w:spacing w:line="240" w:lineRule="auto"/>
        <w:rPr>
          <w:rFonts w:eastAsia="Times New Roman" w:cs="Arial"/>
          <w:color w:val="000000"/>
          <w:u w:val="single"/>
          <w:lang w:eastAsia="bg-BG"/>
        </w:rPr>
      </w:pPr>
    </w:p>
    <w:p w14:paraId="308212AF" w14:textId="4F941A3B"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u w:val="single"/>
          <w:lang w:eastAsia="bg-BG"/>
        </w:rPr>
        <w:t>Съобщаване на подозирани нежелани реакции</w:t>
      </w:r>
    </w:p>
    <w:p w14:paraId="09139686"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Съобщаването на подозирани нежелани реакции след разрешаване за употребата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национална система за съобщаване:</w:t>
      </w:r>
    </w:p>
    <w:p w14:paraId="7D43E2C0" w14:textId="4F824914" w:rsidR="00D96AAB" w:rsidRPr="00D96AAB" w:rsidRDefault="00D96AAB" w:rsidP="00D96AAB">
      <w:pPr>
        <w:rPr>
          <w:rFonts w:cs="Arial"/>
        </w:rPr>
      </w:pPr>
      <w:r w:rsidRPr="00D96AAB">
        <w:rPr>
          <w:rFonts w:eastAsia="Times New Roman" w:cs="Arial"/>
          <w:color w:val="000000"/>
          <w:lang w:eastAsia="bg-BG"/>
        </w:rPr>
        <w:t>Изпълнителна агенция по лекарствата</w:t>
      </w:r>
    </w:p>
    <w:p w14:paraId="3A704BFC" w14:textId="77777777" w:rsidR="00D96AAB" w:rsidRPr="00D96AAB" w:rsidRDefault="00D96AAB" w:rsidP="00D96AAB">
      <w:pPr>
        <w:spacing w:line="240" w:lineRule="auto"/>
        <w:rPr>
          <w:rFonts w:eastAsia="Times New Roman" w:cs="Arial"/>
          <w:lang w:eastAsia="bg-BG"/>
        </w:rPr>
      </w:pPr>
      <w:r w:rsidRPr="00D96AAB">
        <w:rPr>
          <w:rFonts w:eastAsia="Times New Roman" w:cs="Arial"/>
          <w:color w:val="000000"/>
          <w:lang w:eastAsia="bg-BG"/>
        </w:rPr>
        <w:t>ул. .Дамян Груев” № 8</w:t>
      </w:r>
    </w:p>
    <w:p w14:paraId="011FC876" w14:textId="77777777" w:rsidR="00D96AAB" w:rsidRPr="00D96AAB" w:rsidRDefault="00D96AAB" w:rsidP="00D96AAB">
      <w:pPr>
        <w:spacing w:line="240" w:lineRule="auto"/>
        <w:rPr>
          <w:rFonts w:eastAsia="Times New Roman" w:cs="Arial"/>
          <w:lang w:eastAsia="bg-BG"/>
        </w:rPr>
      </w:pPr>
      <w:r w:rsidRPr="00D96AAB">
        <w:rPr>
          <w:rFonts w:eastAsia="Times New Roman" w:cs="Arial"/>
          <w:color w:val="000000"/>
          <w:lang w:eastAsia="bg-BG"/>
        </w:rPr>
        <w:t>1303 София</w:t>
      </w:r>
    </w:p>
    <w:p w14:paraId="41B15199" w14:textId="0540A6B1" w:rsidR="00D96AAB" w:rsidRPr="00D96AAB" w:rsidRDefault="00D96AAB" w:rsidP="00D96AAB">
      <w:pPr>
        <w:rPr>
          <w:rFonts w:eastAsia="Times New Roman" w:cs="Arial"/>
          <w:lang w:eastAsia="bg-BG"/>
        </w:rPr>
      </w:pPr>
      <w:r w:rsidRPr="00D96AAB">
        <w:rPr>
          <w:rFonts w:eastAsia="Times New Roman" w:cs="Arial"/>
          <w:color w:val="000000"/>
          <w:lang w:eastAsia="bg-BG"/>
        </w:rPr>
        <w:t xml:space="preserve">Тел.:+359 2 8903417 уебсайт: </w:t>
      </w:r>
      <w:r w:rsidRPr="00D96AAB">
        <w:rPr>
          <w:rFonts w:eastAsia="Times New Roman" w:cs="Arial"/>
          <w:lang w:eastAsia="bg-BG"/>
        </w:rPr>
        <w:fldChar w:fldCharType="begin"/>
      </w:r>
      <w:r w:rsidRPr="00D96AAB">
        <w:rPr>
          <w:rFonts w:eastAsia="Times New Roman" w:cs="Arial"/>
          <w:lang w:eastAsia="bg-BG"/>
        </w:rPr>
        <w:instrText xml:space="preserve"> HYPERLINK "http://www.bda.bg" </w:instrText>
      </w:r>
      <w:r w:rsidRPr="00D96AAB">
        <w:rPr>
          <w:rFonts w:eastAsia="Times New Roman" w:cs="Arial"/>
          <w:lang w:eastAsia="bg-BG"/>
        </w:rPr>
      </w:r>
      <w:r w:rsidRPr="00D96AAB">
        <w:rPr>
          <w:rFonts w:eastAsia="Times New Roman" w:cs="Arial"/>
          <w:lang w:eastAsia="bg-BG"/>
        </w:rPr>
        <w:fldChar w:fldCharType="separate"/>
      </w:r>
      <w:r w:rsidRPr="00D96AAB">
        <w:rPr>
          <w:rFonts w:eastAsia="Times New Roman" w:cs="Arial"/>
          <w:color w:val="000000"/>
          <w:lang w:val="en-US"/>
        </w:rPr>
        <w:t>www.bda.bg</w:t>
      </w:r>
      <w:r w:rsidRPr="00D96AAB">
        <w:rPr>
          <w:rFonts w:eastAsia="Times New Roman" w:cs="Arial"/>
          <w:lang w:eastAsia="bg-BG"/>
        </w:rPr>
        <w:fldChar w:fldCharType="end"/>
      </w:r>
    </w:p>
    <w:p w14:paraId="1C479710" w14:textId="77777777" w:rsidR="00D96AAB" w:rsidRPr="0091385D" w:rsidRDefault="00D96AAB" w:rsidP="00D96AAB"/>
    <w:p w14:paraId="0A023CE0" w14:textId="13F87CFD" w:rsidR="00CF77F7" w:rsidRDefault="002C50EE" w:rsidP="004A448E">
      <w:pPr>
        <w:pStyle w:val="Heading2"/>
      </w:pPr>
      <w:r>
        <w:t>4.9. Предозиране</w:t>
      </w:r>
    </w:p>
    <w:p w14:paraId="3EDFC3FC" w14:textId="296E7EBA" w:rsidR="0091385D" w:rsidRDefault="0091385D" w:rsidP="0091385D"/>
    <w:p w14:paraId="0BA2B43E"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Предозирането с бипериден се изразява с типични симптоми на атропинова интоксикация с преобладаване на периферната симптоматика на парасимпатикусовата блокада - разширени и бавно реагиращи зеници, топла и суха кожа, зачервяване на лицето, сухост в устата и горните дихателни пътища, повишена температура, тахикардия, сърдечна аритмия, забавена чревна перисталтика и задръжка на урината. Могат да се наблюдават и невропсихиатрични симптоми като делир, дезориентация, тревожност, халюцинации, объркване, раздразнителност (заядливост), хиперактивност, атаксия и припадъци. Такива състояния могат да прогресира до ступор, кома, парализа, спиране на сърдечната и дихателната дейност и смърт.</w:t>
      </w:r>
    </w:p>
    <w:p w14:paraId="0F0079CB" w14:textId="7BE963B8" w:rsidR="0091385D" w:rsidRPr="00D96AAB" w:rsidRDefault="00D96AAB" w:rsidP="00D96AAB">
      <w:pPr>
        <w:rPr>
          <w:rFonts w:cs="Arial"/>
        </w:rPr>
      </w:pPr>
      <w:r w:rsidRPr="00D96AAB">
        <w:rPr>
          <w:rFonts w:eastAsia="Times New Roman" w:cs="Arial"/>
          <w:color w:val="000000"/>
          <w:lang w:eastAsia="bg-BG"/>
        </w:rPr>
        <w:t xml:space="preserve">Лечението на острото предозиране включва стомашна промивка и симптоматично лечение на високата температура, дихателните и сърдечно-съдовите нарушения. Като специфичен антидот се прилага физостигмин в доза 1 </w:t>
      </w:r>
      <w:r w:rsidRPr="00D96AAB">
        <w:rPr>
          <w:rFonts w:eastAsia="Times New Roman" w:cs="Arial"/>
          <w:color w:val="000000"/>
          <w:lang w:val="en-US"/>
        </w:rPr>
        <w:t xml:space="preserve">mg </w:t>
      </w:r>
      <w:r w:rsidRPr="00D96AAB">
        <w:rPr>
          <w:rFonts w:eastAsia="Times New Roman" w:cs="Arial"/>
          <w:color w:val="000000"/>
          <w:lang w:eastAsia="bg-BG"/>
        </w:rPr>
        <w:t xml:space="preserve">вътремускулно или чрез бавно венозно вливане. Тази доза може да се повтаря на всеки 20 минути до достигане на общо 4 </w:t>
      </w:r>
      <w:r w:rsidRPr="00D96AAB">
        <w:rPr>
          <w:rFonts w:eastAsia="Times New Roman" w:cs="Arial"/>
          <w:color w:val="000000"/>
          <w:lang w:val="en-US"/>
        </w:rPr>
        <w:t xml:space="preserve">mg. </w:t>
      </w:r>
      <w:r w:rsidRPr="00D96AAB">
        <w:rPr>
          <w:rFonts w:eastAsia="Times New Roman" w:cs="Arial"/>
          <w:color w:val="000000"/>
          <w:lang w:eastAsia="bg-BG"/>
        </w:rPr>
        <w:t>При деца и пациенти в напреднала възраст се прилага половината от тази доза. Тъй като физостигмин се разпада много бързо, може да се наложат допълнителни инжекции на всеки един или два часа. Пациентът трябва да остане под наблюдение 8 до 12 часа след последната криза.</w:t>
      </w:r>
    </w:p>
    <w:p w14:paraId="48FF1584" w14:textId="77777777" w:rsidR="0091385D" w:rsidRPr="0091385D" w:rsidRDefault="0091385D" w:rsidP="0091385D"/>
    <w:p w14:paraId="02081B24" w14:textId="7CE94171" w:rsidR="00395555" w:rsidRDefault="002C50EE" w:rsidP="008A6AF2">
      <w:pPr>
        <w:pStyle w:val="Heading1"/>
      </w:pPr>
      <w:r>
        <w:t>5. ФАРМАКОЛОГИЧНИ СВОЙСТВА</w:t>
      </w:r>
    </w:p>
    <w:p w14:paraId="1B8079C0" w14:textId="77777777" w:rsidR="0091385D" w:rsidRPr="0091385D" w:rsidRDefault="0091385D" w:rsidP="0091385D"/>
    <w:p w14:paraId="32B6DE66" w14:textId="2ACB6B3B" w:rsidR="00CF77F7" w:rsidRDefault="002C50EE" w:rsidP="004A448E">
      <w:pPr>
        <w:pStyle w:val="Heading2"/>
      </w:pPr>
      <w:r>
        <w:t>5.1. Фармакодинамични свойства</w:t>
      </w:r>
    </w:p>
    <w:p w14:paraId="58DD7DEA" w14:textId="44345EC9" w:rsidR="0091385D" w:rsidRDefault="0091385D" w:rsidP="0091385D"/>
    <w:p w14:paraId="5527FC93"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lastRenderedPageBreak/>
        <w:t xml:space="preserve">Фармакотерапевтична група: Антипаркинсоново средство, АТС код: </w:t>
      </w:r>
      <w:r w:rsidRPr="00D96AAB">
        <w:rPr>
          <w:rFonts w:eastAsia="Times New Roman" w:cs="Arial"/>
          <w:color w:val="000000"/>
          <w:lang w:val="en-US"/>
        </w:rPr>
        <w:t>N04AA02</w:t>
      </w:r>
    </w:p>
    <w:p w14:paraId="1F41DE78" w14:textId="77777777" w:rsidR="00D96AAB" w:rsidRPr="00D96AAB" w:rsidRDefault="00D96AAB" w:rsidP="00D96AAB">
      <w:pPr>
        <w:spacing w:line="240" w:lineRule="auto"/>
        <w:rPr>
          <w:rFonts w:eastAsia="Times New Roman" w:cs="Arial"/>
          <w:color w:val="000000"/>
          <w:u w:val="single"/>
          <w:lang w:eastAsia="bg-BG"/>
        </w:rPr>
      </w:pPr>
    </w:p>
    <w:p w14:paraId="7A117F25" w14:textId="271D047C"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u w:val="single"/>
          <w:lang w:eastAsia="bg-BG"/>
        </w:rPr>
        <w:t>Механизъм на действие</w:t>
      </w:r>
    </w:p>
    <w:p w14:paraId="0C47B64A"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Бипериден е антихолинергичен агент с централно действие и слабо изразени периферни ефекти. В допълнение на антиспазматичния, антисекреторния и мидриатичния ефект, бипериден притежава антиникотинова потенция около 6 пъти по- висока от тази на атропин и 5 пъти по-висока от тази на трихексилфенидил, пресметнато според теглото в килограми на експерименталните животни.</w:t>
      </w:r>
    </w:p>
    <w:p w14:paraId="5133E08E" w14:textId="77777777" w:rsidR="00D96AAB" w:rsidRPr="00D96AAB" w:rsidRDefault="00D96AAB" w:rsidP="00D96AAB">
      <w:pPr>
        <w:spacing w:line="240" w:lineRule="auto"/>
        <w:rPr>
          <w:rFonts w:eastAsia="Times New Roman" w:cs="Arial"/>
          <w:color w:val="000000"/>
          <w:u w:val="single"/>
          <w:lang w:eastAsia="bg-BG"/>
        </w:rPr>
      </w:pPr>
    </w:p>
    <w:p w14:paraId="3628F47F" w14:textId="3D0057C4"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u w:val="single"/>
          <w:lang w:eastAsia="bg-BG"/>
        </w:rPr>
        <w:t>Фармакодинамични ефекти</w:t>
      </w:r>
    </w:p>
    <w:p w14:paraId="5C388E24"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Счита се, че паркинсоновата болест е резултат на нарушено равновесие между възбудните холинергични и инхибиращите допаминергични неврони в </w:t>
      </w:r>
      <w:r w:rsidRPr="00D96AAB">
        <w:rPr>
          <w:rFonts w:eastAsia="Times New Roman" w:cs="Arial"/>
          <w:color w:val="000000"/>
          <w:lang w:val="en-US"/>
        </w:rPr>
        <w:t xml:space="preserve">corpus striatum. </w:t>
      </w:r>
      <w:r w:rsidRPr="00D96AAB">
        <w:rPr>
          <w:rFonts w:eastAsia="Times New Roman" w:cs="Arial"/>
          <w:color w:val="000000"/>
          <w:lang w:eastAsia="bg-BG"/>
        </w:rPr>
        <w:t xml:space="preserve">Счита се, че механизмът на действие на централните антихолинергични средства от типа на бипериден се дължи на компетитивен антагонизъм спрямо ацетилхолина при холинергичните рецептори в </w:t>
      </w:r>
      <w:r w:rsidRPr="00D96AAB">
        <w:rPr>
          <w:rFonts w:eastAsia="Times New Roman" w:cs="Arial"/>
          <w:color w:val="000000"/>
          <w:lang w:val="en-US"/>
        </w:rPr>
        <w:t xml:space="preserve">corpus striatum. </w:t>
      </w:r>
      <w:r w:rsidRPr="00D96AAB">
        <w:rPr>
          <w:rFonts w:eastAsia="Times New Roman" w:cs="Arial"/>
          <w:color w:val="000000"/>
          <w:lang w:eastAsia="bg-BG"/>
        </w:rPr>
        <w:t>В резултат равновесието се възстановява и могат да се постигнат благоприятни ефекти при лечението на паркинсонова болест и екстрапирамидни реакции.</w:t>
      </w:r>
    </w:p>
    <w:p w14:paraId="00B1EB66"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u w:val="single"/>
          <w:lang w:eastAsia="bg-BG"/>
        </w:rPr>
        <w:t>Клинична ефикасност и безопасност</w:t>
      </w:r>
    </w:p>
    <w:p w14:paraId="44A0663F"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Бипериден се използва като допълнително средство за лечение на всички форми на</w:t>
      </w:r>
    </w:p>
    <w:p w14:paraId="28252AA0" w14:textId="59B249AD" w:rsidR="0091385D" w:rsidRDefault="00D96AAB" w:rsidP="00D96AAB">
      <w:pPr>
        <w:rPr>
          <w:rFonts w:eastAsia="Times New Roman" w:cs="Arial"/>
          <w:color w:val="000000"/>
          <w:lang w:eastAsia="bg-BG"/>
        </w:rPr>
      </w:pPr>
      <w:r w:rsidRPr="00D96AAB">
        <w:rPr>
          <w:rFonts w:eastAsia="Times New Roman" w:cs="Arial"/>
          <w:color w:val="000000"/>
          <w:lang w:eastAsia="bg-BG"/>
        </w:rPr>
        <w:t>паркинсонов синдром като препаратът показва по-добра ефикасност при</w:t>
      </w:r>
      <w:r w:rsidRPr="00D96AAB">
        <w:rPr>
          <w:rFonts w:eastAsia="Times New Roman" w:cs="Arial"/>
          <w:i/>
          <w:iCs/>
          <w:color w:val="000000"/>
          <w:lang w:eastAsia="bg-BG"/>
        </w:rPr>
        <w:t xml:space="preserve"> </w:t>
      </w:r>
      <w:r w:rsidRPr="00D96AAB">
        <w:rPr>
          <w:rFonts w:eastAsia="Times New Roman" w:cs="Arial"/>
          <w:color w:val="000000"/>
          <w:lang w:eastAsia="bg-BG"/>
        </w:rPr>
        <w:t>постенцефалитните и идиопатичните форми, отколкото при атеросклеротичните.</w:t>
      </w:r>
    </w:p>
    <w:p w14:paraId="27C1574D" w14:textId="3F3EFC90" w:rsidR="00D96AAB" w:rsidRDefault="00D96AAB" w:rsidP="00D96AAB">
      <w:pPr>
        <w:rPr>
          <w:rFonts w:eastAsia="Times New Roman" w:cs="Arial"/>
          <w:color w:val="000000"/>
          <w:lang w:eastAsia="bg-BG"/>
        </w:rPr>
      </w:pPr>
    </w:p>
    <w:p w14:paraId="6E6C071D" w14:textId="1F889E36" w:rsidR="00D96AAB" w:rsidRPr="00D96AAB" w:rsidRDefault="00D96AAB" w:rsidP="00D96AAB">
      <w:pPr>
        <w:rPr>
          <w:rFonts w:cs="Arial"/>
        </w:rPr>
      </w:pPr>
      <w:r>
        <w:t>Бипериден обикновено успява да облекчи мускулната ригидност, намалява слюно- и потоотделянето, подобрява походката и в по-малка степен облекчава тремора. Лекарственият продукт има благоприятен ефект при лекарствено предизвиканите екстрапирамидни реакции, както и при екстрапирамидни реакции от друг произход. Въпреки че се използва като придружаваща терапия за овладяване на спастичните състояния с друг произход (множествена склероза, церебрална парализа, травми на гръбначния стълб) изясняването на ролята на медикамента за лечение на тези състояния изисква по-нататъшни изследвания.</w:t>
      </w:r>
    </w:p>
    <w:p w14:paraId="36152471" w14:textId="77777777" w:rsidR="0091385D" w:rsidRPr="0091385D" w:rsidRDefault="0091385D" w:rsidP="0091385D"/>
    <w:p w14:paraId="35F84B81" w14:textId="6423E5BB" w:rsidR="00CF77F7" w:rsidRDefault="002C50EE" w:rsidP="004A448E">
      <w:pPr>
        <w:pStyle w:val="Heading2"/>
      </w:pPr>
      <w:r>
        <w:t>5.2. Фармакокинетични свойства</w:t>
      </w:r>
    </w:p>
    <w:p w14:paraId="5031193D" w14:textId="06A21EFE" w:rsidR="0091385D" w:rsidRDefault="0091385D" w:rsidP="0091385D"/>
    <w:p w14:paraId="7FB169E2"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Фармакокинетичните изследвания у хора са ограничени.</w:t>
      </w:r>
    </w:p>
    <w:p w14:paraId="5438040D" w14:textId="77777777" w:rsidR="00D96AAB" w:rsidRPr="00D96AAB" w:rsidRDefault="00D96AAB" w:rsidP="00D96AAB">
      <w:pPr>
        <w:pStyle w:val="Heading3"/>
        <w:rPr>
          <w:rFonts w:eastAsia="Times New Roman"/>
          <w:u w:val="single"/>
          <w:lang w:eastAsia="bg-BG"/>
        </w:rPr>
      </w:pPr>
      <w:r w:rsidRPr="00D96AAB">
        <w:rPr>
          <w:rFonts w:eastAsia="Times New Roman"/>
          <w:u w:val="single"/>
          <w:lang w:eastAsia="bg-BG"/>
        </w:rPr>
        <w:t>Абсорбция</w:t>
      </w:r>
    </w:p>
    <w:p w14:paraId="040057CB"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Бипериден се абсорбира бързо в стомашно-чревния тракт, но бионаличността му е само 30%, което предполага екстензивен първичен метаболизъм.</w:t>
      </w:r>
    </w:p>
    <w:p w14:paraId="1C34BDE5" w14:textId="77777777" w:rsidR="00D96AAB" w:rsidRPr="00D96AAB" w:rsidRDefault="00D96AAB" w:rsidP="00D96AAB">
      <w:pPr>
        <w:pStyle w:val="Heading3"/>
        <w:rPr>
          <w:rFonts w:eastAsia="Times New Roman"/>
          <w:u w:val="single"/>
          <w:lang w:eastAsia="bg-BG"/>
        </w:rPr>
      </w:pPr>
      <w:r w:rsidRPr="00D96AAB">
        <w:rPr>
          <w:rFonts w:eastAsia="Times New Roman"/>
          <w:u w:val="single"/>
          <w:lang w:eastAsia="bg-BG"/>
        </w:rPr>
        <w:t>Разпределение</w:t>
      </w:r>
    </w:p>
    <w:p w14:paraId="2E65C80B"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Серумната концентрация 1-1.5 часа след еднократна перорална доза 4 </w:t>
      </w:r>
      <w:r w:rsidRPr="00D96AAB">
        <w:rPr>
          <w:rFonts w:eastAsia="Times New Roman" w:cs="Arial"/>
          <w:color w:val="000000"/>
          <w:lang w:val="en-US"/>
        </w:rPr>
        <w:t xml:space="preserve">mg </w:t>
      </w:r>
      <w:r w:rsidRPr="00D96AAB">
        <w:rPr>
          <w:rFonts w:eastAsia="Times New Roman" w:cs="Arial"/>
          <w:color w:val="000000"/>
          <w:lang w:eastAsia="bg-BG"/>
        </w:rPr>
        <w:t xml:space="preserve">е 4-5 </w:t>
      </w:r>
      <w:r w:rsidRPr="00D96AAB">
        <w:rPr>
          <w:rFonts w:eastAsia="Times New Roman" w:cs="Arial"/>
          <w:color w:val="000000"/>
          <w:lang w:val="en-US"/>
        </w:rPr>
        <w:t>ng/ml.</w:t>
      </w:r>
    </w:p>
    <w:p w14:paraId="11B81D46"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Свързването на бипериден с плазмените белтъци е 93%, а обемът на разпределение е 24 + 4.1 </w:t>
      </w:r>
      <w:r w:rsidRPr="00D96AAB">
        <w:rPr>
          <w:rFonts w:eastAsia="Times New Roman" w:cs="Arial"/>
          <w:color w:val="000000"/>
          <w:lang w:val="en-US"/>
        </w:rPr>
        <w:t>l/kg.</w:t>
      </w:r>
    </w:p>
    <w:p w14:paraId="5F47C0A6" w14:textId="77777777" w:rsidR="00D96AAB" w:rsidRPr="00D96AAB" w:rsidRDefault="00D96AAB" w:rsidP="00D96AAB">
      <w:pPr>
        <w:pStyle w:val="Heading3"/>
        <w:rPr>
          <w:rFonts w:eastAsia="Times New Roman"/>
          <w:u w:val="single"/>
          <w:lang w:eastAsia="bg-BG"/>
        </w:rPr>
      </w:pPr>
      <w:r w:rsidRPr="00D96AAB">
        <w:rPr>
          <w:rFonts w:eastAsia="Times New Roman"/>
          <w:u w:val="single"/>
          <w:lang w:eastAsia="bg-BG"/>
        </w:rPr>
        <w:t>Биотрансформация</w:t>
      </w:r>
    </w:p>
    <w:p w14:paraId="5EB67F50"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Метаболизмът на бипериден също е ненапълно изяснен, но е известно, че е налице хидроксилиране.</w:t>
      </w:r>
    </w:p>
    <w:p w14:paraId="1A3F0631" w14:textId="77777777" w:rsidR="00D96AAB" w:rsidRPr="00D96AAB" w:rsidRDefault="00D96AAB" w:rsidP="00D96AAB">
      <w:pPr>
        <w:pStyle w:val="Heading3"/>
        <w:rPr>
          <w:rFonts w:eastAsia="Times New Roman"/>
          <w:u w:val="single"/>
          <w:lang w:eastAsia="bg-BG"/>
        </w:rPr>
      </w:pPr>
      <w:r w:rsidRPr="00D96AAB">
        <w:rPr>
          <w:rFonts w:eastAsia="Times New Roman"/>
          <w:u w:val="single"/>
          <w:lang w:eastAsia="bg-BG"/>
        </w:rPr>
        <w:t>Елиминиране</w:t>
      </w:r>
    </w:p>
    <w:p w14:paraId="148BA3FC" w14:textId="7EDD4F60" w:rsidR="0091385D" w:rsidRPr="00D96AAB" w:rsidRDefault="00D96AAB" w:rsidP="00D96AAB">
      <w:pPr>
        <w:rPr>
          <w:rFonts w:cs="Arial"/>
        </w:rPr>
      </w:pPr>
      <w:r w:rsidRPr="00D96AAB">
        <w:rPr>
          <w:rFonts w:eastAsia="Times New Roman" w:cs="Arial"/>
          <w:color w:val="000000"/>
          <w:lang w:eastAsia="bg-BG"/>
        </w:rPr>
        <w:t xml:space="preserve">Бипериден има време на полуживот от около 20 часа. Плазмени нива (0.1-0.2 </w:t>
      </w:r>
      <w:r w:rsidRPr="00D96AAB">
        <w:rPr>
          <w:rFonts w:eastAsia="Times New Roman" w:cs="Arial"/>
          <w:color w:val="000000"/>
          <w:lang w:val="en-US"/>
        </w:rPr>
        <w:t xml:space="preserve">ng/ml) </w:t>
      </w:r>
      <w:r w:rsidRPr="00D96AAB">
        <w:rPr>
          <w:rFonts w:eastAsia="Times New Roman" w:cs="Arial"/>
          <w:color w:val="000000"/>
          <w:lang w:eastAsia="bg-BG"/>
        </w:rPr>
        <w:t>могат да се определят до 48 часа след приема.</w:t>
      </w:r>
    </w:p>
    <w:p w14:paraId="4EE1BB0B" w14:textId="77777777" w:rsidR="0091385D" w:rsidRPr="0091385D" w:rsidRDefault="0091385D" w:rsidP="0091385D"/>
    <w:p w14:paraId="648E39DA" w14:textId="44D16CBD" w:rsidR="00CF77F7" w:rsidRDefault="002C50EE" w:rsidP="004A448E">
      <w:pPr>
        <w:pStyle w:val="Heading2"/>
      </w:pPr>
      <w:r>
        <w:lastRenderedPageBreak/>
        <w:t>5.3. Предклинични данни за безопасност</w:t>
      </w:r>
    </w:p>
    <w:p w14:paraId="31455D09" w14:textId="4D0EFBF5" w:rsidR="0091385D" w:rsidRDefault="0091385D" w:rsidP="0091385D"/>
    <w:p w14:paraId="0543C9CB"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Неклиничните данни не показват особен риск за хора на базата на конвенционалните фармакологични проучвания за безопасност, токсичност при многократно прилагане, генотоксичност, карциногенен потенциал, репродуктивна токсичност и токсичност за развитието.</w:t>
      </w:r>
    </w:p>
    <w:p w14:paraId="6BFD32AF" w14:textId="77777777" w:rsidR="00D96AAB" w:rsidRPr="00D96AAB" w:rsidRDefault="00D96AAB" w:rsidP="00D96AAB">
      <w:pPr>
        <w:spacing w:line="240" w:lineRule="auto"/>
        <w:rPr>
          <w:rFonts w:eastAsia="Times New Roman" w:cs="Arial"/>
          <w:color w:val="000000"/>
          <w:lang w:val="en-US"/>
        </w:rPr>
      </w:pPr>
    </w:p>
    <w:p w14:paraId="14A135FC" w14:textId="3640B8C5"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val="en-US"/>
        </w:rPr>
        <w:t>LD</w:t>
      </w:r>
      <w:r w:rsidRPr="00D96AAB">
        <w:rPr>
          <w:rFonts w:eastAsia="Times New Roman" w:cs="Arial"/>
          <w:color w:val="000000"/>
          <w:vertAlign w:val="subscript"/>
          <w:lang w:val="en-US"/>
        </w:rPr>
        <w:t>50</w:t>
      </w:r>
      <w:r w:rsidRPr="00D96AAB">
        <w:rPr>
          <w:rFonts w:eastAsia="Times New Roman" w:cs="Arial"/>
          <w:color w:val="000000"/>
          <w:lang w:val="en-US"/>
        </w:rPr>
        <w:t xml:space="preserve"> </w:t>
      </w:r>
      <w:r w:rsidRPr="00D96AAB">
        <w:rPr>
          <w:rFonts w:eastAsia="Times New Roman" w:cs="Arial"/>
          <w:color w:val="000000"/>
          <w:lang w:eastAsia="bg-BG"/>
        </w:rPr>
        <w:t xml:space="preserve">на бипериден в бели мишки е 545 </w:t>
      </w:r>
      <w:r w:rsidRPr="00D96AAB">
        <w:rPr>
          <w:rFonts w:eastAsia="Times New Roman" w:cs="Arial"/>
          <w:color w:val="000000"/>
          <w:lang w:val="en-US"/>
        </w:rPr>
        <w:t xml:space="preserve">mg/kg </w:t>
      </w:r>
      <w:r w:rsidRPr="00D96AAB">
        <w:rPr>
          <w:rFonts w:eastAsia="Times New Roman" w:cs="Arial"/>
          <w:color w:val="000000"/>
          <w:lang w:eastAsia="bg-BG"/>
        </w:rPr>
        <w:t xml:space="preserve">при перорален прием, 195 </w:t>
      </w:r>
      <w:r w:rsidRPr="00D96AAB">
        <w:rPr>
          <w:rFonts w:eastAsia="Times New Roman" w:cs="Arial"/>
          <w:color w:val="000000"/>
          <w:lang w:val="en-US"/>
        </w:rPr>
        <w:t xml:space="preserve">mg/kg </w:t>
      </w:r>
      <w:r w:rsidRPr="00D96AAB">
        <w:rPr>
          <w:rFonts w:eastAsia="Times New Roman" w:cs="Arial"/>
          <w:color w:val="000000"/>
          <w:lang w:eastAsia="bg-BG"/>
        </w:rPr>
        <w:t xml:space="preserve">при подкожно и 56 </w:t>
      </w:r>
      <w:r w:rsidRPr="00D96AAB">
        <w:rPr>
          <w:rFonts w:eastAsia="Times New Roman" w:cs="Arial"/>
          <w:color w:val="000000"/>
          <w:lang w:val="en-US"/>
        </w:rPr>
        <w:t xml:space="preserve">mg/kg </w:t>
      </w:r>
      <w:r w:rsidRPr="00D96AAB">
        <w:rPr>
          <w:rFonts w:eastAsia="Times New Roman" w:cs="Arial"/>
          <w:color w:val="000000"/>
          <w:lang w:eastAsia="bg-BG"/>
        </w:rPr>
        <w:t xml:space="preserve">при венозно прилагане. Острата перорална токсичност </w:t>
      </w:r>
      <w:r w:rsidRPr="00D96AAB">
        <w:rPr>
          <w:rFonts w:eastAsia="Times New Roman" w:cs="Arial"/>
          <w:color w:val="000000"/>
          <w:lang w:val="en-US"/>
        </w:rPr>
        <w:t>LD</w:t>
      </w:r>
      <w:r w:rsidRPr="00D96AAB">
        <w:rPr>
          <w:rFonts w:eastAsia="Times New Roman" w:cs="Arial"/>
          <w:color w:val="000000"/>
          <w:vertAlign w:val="subscript"/>
          <w:lang w:val="en-US"/>
        </w:rPr>
        <w:t>50</w:t>
      </w:r>
      <w:r w:rsidRPr="00D96AAB">
        <w:rPr>
          <w:rFonts w:eastAsia="Times New Roman" w:cs="Arial"/>
          <w:color w:val="000000"/>
          <w:lang w:val="en-US"/>
        </w:rPr>
        <w:t xml:space="preserve"> </w:t>
      </w:r>
      <w:r w:rsidRPr="00D96AAB">
        <w:rPr>
          <w:rFonts w:eastAsia="Times New Roman" w:cs="Arial"/>
          <w:color w:val="000000"/>
          <w:lang w:eastAsia="bg-BG"/>
        </w:rPr>
        <w:t xml:space="preserve">при плъхове е 750 </w:t>
      </w:r>
      <w:r w:rsidRPr="00D96AAB">
        <w:rPr>
          <w:rFonts w:eastAsia="Times New Roman" w:cs="Arial"/>
          <w:color w:val="000000"/>
          <w:lang w:val="en-US"/>
        </w:rPr>
        <w:t>mg/kg.</w:t>
      </w:r>
    </w:p>
    <w:p w14:paraId="07A0B1BB" w14:textId="77777777" w:rsidR="00D96AAB" w:rsidRPr="00D96AAB" w:rsidRDefault="00D96AAB" w:rsidP="00D96AAB">
      <w:pPr>
        <w:spacing w:line="240" w:lineRule="auto"/>
        <w:rPr>
          <w:rFonts w:eastAsia="Times New Roman" w:cs="Arial"/>
          <w:sz w:val="24"/>
          <w:szCs w:val="24"/>
          <w:lang w:eastAsia="bg-BG"/>
        </w:rPr>
      </w:pPr>
      <w:r w:rsidRPr="00D96AAB">
        <w:rPr>
          <w:rFonts w:eastAsia="Times New Roman" w:cs="Arial"/>
          <w:color w:val="000000"/>
          <w:lang w:eastAsia="bg-BG"/>
        </w:rPr>
        <w:t xml:space="preserve">При кучета под обща анестезия при венозно вливане на 33 </w:t>
      </w:r>
      <w:r w:rsidRPr="00D96AAB">
        <w:rPr>
          <w:rFonts w:eastAsia="Times New Roman" w:cs="Arial"/>
          <w:color w:val="000000"/>
          <w:lang w:val="en-US"/>
        </w:rPr>
        <w:t xml:space="preserve">mg/kg </w:t>
      </w:r>
      <w:r w:rsidRPr="00D96AAB">
        <w:rPr>
          <w:rFonts w:eastAsia="Times New Roman" w:cs="Arial"/>
          <w:color w:val="000000"/>
          <w:lang w:eastAsia="bg-BG"/>
        </w:rPr>
        <w:t xml:space="preserve">настъпва блокиране на дихателните функции, а при венозно вливане на 45 </w:t>
      </w:r>
      <w:r w:rsidRPr="00D96AAB">
        <w:rPr>
          <w:rFonts w:eastAsia="Times New Roman" w:cs="Arial"/>
          <w:color w:val="000000"/>
          <w:lang w:val="en-US"/>
        </w:rPr>
        <w:t xml:space="preserve">mg/kg </w:t>
      </w:r>
      <w:r w:rsidRPr="00D96AAB">
        <w:rPr>
          <w:rFonts w:eastAsia="Times New Roman" w:cs="Arial"/>
          <w:color w:val="000000"/>
          <w:lang w:eastAsia="bg-BG"/>
        </w:rPr>
        <w:t xml:space="preserve">спира сърдечната дейност. Пероралната </w:t>
      </w:r>
      <w:r w:rsidRPr="00D96AAB">
        <w:rPr>
          <w:rFonts w:eastAsia="Times New Roman" w:cs="Arial"/>
          <w:color w:val="000000"/>
          <w:lang w:val="en-US"/>
        </w:rPr>
        <w:t>LD</w:t>
      </w:r>
      <w:r w:rsidRPr="00D96AAB">
        <w:rPr>
          <w:rFonts w:eastAsia="Times New Roman" w:cs="Arial"/>
          <w:color w:val="000000"/>
          <w:vertAlign w:val="subscript"/>
          <w:lang w:val="en-US"/>
        </w:rPr>
        <w:t>50</w:t>
      </w:r>
      <w:r w:rsidRPr="00D96AAB">
        <w:rPr>
          <w:rFonts w:eastAsia="Times New Roman" w:cs="Arial"/>
          <w:color w:val="000000"/>
          <w:lang w:val="en-US"/>
        </w:rPr>
        <w:t xml:space="preserve"> </w:t>
      </w:r>
      <w:r w:rsidRPr="00D96AAB">
        <w:rPr>
          <w:rFonts w:eastAsia="Times New Roman" w:cs="Arial"/>
          <w:color w:val="000000"/>
          <w:lang w:eastAsia="bg-BG"/>
        </w:rPr>
        <w:t xml:space="preserve">при кучета е 340 </w:t>
      </w:r>
      <w:r w:rsidRPr="00D96AAB">
        <w:rPr>
          <w:rFonts w:eastAsia="Times New Roman" w:cs="Arial"/>
          <w:color w:val="000000"/>
          <w:lang w:val="en-US"/>
        </w:rPr>
        <w:t>mg/kg.</w:t>
      </w:r>
    </w:p>
    <w:p w14:paraId="52E4D01A" w14:textId="3ACF1AB7" w:rsidR="0091385D" w:rsidRPr="00D96AAB" w:rsidRDefault="00D96AAB" w:rsidP="00D96AAB">
      <w:pPr>
        <w:rPr>
          <w:rFonts w:cs="Arial"/>
        </w:rPr>
      </w:pPr>
      <w:r w:rsidRPr="00D96AAB">
        <w:rPr>
          <w:rFonts w:eastAsia="Times New Roman" w:cs="Arial"/>
          <w:color w:val="000000"/>
          <w:lang w:eastAsia="bg-BG"/>
        </w:rPr>
        <w:t>Не са провеждани изследвания с бипериден върху репродуктивността при животни. Не е известно и дали бипериден предизвиква увреждания в плода, ако се прилага при бременни жени, както и дали бипериден повлиява репродуктивните възможности.</w:t>
      </w:r>
    </w:p>
    <w:p w14:paraId="20E967BE" w14:textId="77777777" w:rsidR="0091385D" w:rsidRPr="0091385D" w:rsidRDefault="0091385D" w:rsidP="0091385D"/>
    <w:p w14:paraId="6A7820AB" w14:textId="353DB6D2" w:rsidR="008A6AF2" w:rsidRDefault="002C50EE" w:rsidP="00395555">
      <w:pPr>
        <w:pStyle w:val="Heading1"/>
      </w:pPr>
      <w:r>
        <w:t>7. ПРИТЕЖАТЕЛ НА РАЗРЕШЕНИЕТО ЗА УПОТРЕБА</w:t>
      </w:r>
    </w:p>
    <w:p w14:paraId="1B9B651E" w14:textId="3382E6AC" w:rsidR="0091385D" w:rsidRDefault="0091385D" w:rsidP="0091385D"/>
    <w:p w14:paraId="19101CC2" w14:textId="77777777" w:rsidR="00D96AAB" w:rsidRPr="00D96AAB" w:rsidRDefault="00D96AAB" w:rsidP="00D96AAB">
      <w:pPr>
        <w:spacing w:line="240" w:lineRule="auto"/>
        <w:rPr>
          <w:rFonts w:eastAsia="Times New Roman" w:cs="Arial"/>
          <w:lang w:eastAsia="bg-BG"/>
        </w:rPr>
      </w:pPr>
      <w:r w:rsidRPr="00D96AAB">
        <w:rPr>
          <w:rFonts w:eastAsia="Times New Roman" w:cs="Arial"/>
          <w:color w:val="000000"/>
          <w:lang w:eastAsia="bg-BG"/>
        </w:rPr>
        <w:t>"Алкалоид" ЕООД</w:t>
      </w:r>
    </w:p>
    <w:p w14:paraId="1A2C006B" w14:textId="77777777" w:rsidR="00D96AAB" w:rsidRPr="00D96AAB" w:rsidRDefault="00D96AAB" w:rsidP="00D96AAB">
      <w:pPr>
        <w:spacing w:line="240" w:lineRule="auto"/>
        <w:rPr>
          <w:rFonts w:eastAsia="Times New Roman" w:cs="Arial"/>
          <w:lang w:eastAsia="bg-BG"/>
        </w:rPr>
      </w:pPr>
      <w:r w:rsidRPr="00D96AAB">
        <w:rPr>
          <w:rFonts w:eastAsia="Times New Roman" w:cs="Arial"/>
          <w:color w:val="000000"/>
          <w:lang w:eastAsia="bg-BG"/>
        </w:rPr>
        <w:t>бул. “Никола Й. Вапцаров” № 51 -А , ст. 4,</w:t>
      </w:r>
    </w:p>
    <w:p w14:paraId="2518B65B" w14:textId="77777777" w:rsidR="00D96AAB" w:rsidRPr="00D96AAB" w:rsidRDefault="00D96AAB" w:rsidP="00D96AAB">
      <w:pPr>
        <w:spacing w:line="240" w:lineRule="auto"/>
        <w:rPr>
          <w:rFonts w:eastAsia="Times New Roman" w:cs="Arial"/>
          <w:lang w:eastAsia="bg-BG"/>
        </w:rPr>
      </w:pPr>
      <w:r w:rsidRPr="00D96AAB">
        <w:rPr>
          <w:rFonts w:eastAsia="Times New Roman" w:cs="Arial"/>
          <w:color w:val="000000"/>
          <w:lang w:eastAsia="bg-BG"/>
        </w:rPr>
        <w:t>гр. София 1407, България</w:t>
      </w:r>
    </w:p>
    <w:p w14:paraId="40187E5A" w14:textId="77777777" w:rsidR="00D96AAB" w:rsidRPr="00D96AAB" w:rsidRDefault="00D96AAB" w:rsidP="00D96AAB">
      <w:pPr>
        <w:spacing w:line="240" w:lineRule="auto"/>
        <w:rPr>
          <w:rFonts w:eastAsia="Times New Roman" w:cs="Arial"/>
          <w:lang w:eastAsia="bg-BG"/>
        </w:rPr>
      </w:pPr>
      <w:r w:rsidRPr="00D96AAB">
        <w:rPr>
          <w:rFonts w:eastAsia="Times New Roman" w:cs="Arial"/>
          <w:color w:val="000000"/>
          <w:lang w:eastAsia="bg-BG"/>
        </w:rPr>
        <w:t>тел. +359 2 80 81 081</w:t>
      </w:r>
    </w:p>
    <w:p w14:paraId="3FD825DB" w14:textId="06B40C81" w:rsidR="0091385D" w:rsidRPr="00D96AAB" w:rsidRDefault="00D96AAB" w:rsidP="00D96AAB">
      <w:pPr>
        <w:rPr>
          <w:rFonts w:cs="Arial"/>
        </w:rPr>
      </w:pPr>
      <w:proofErr w:type="gramStart"/>
      <w:r w:rsidRPr="00D96AAB">
        <w:rPr>
          <w:rFonts w:eastAsia="Times New Roman" w:cs="Arial"/>
          <w:color w:val="000000"/>
          <w:lang w:val="en-US"/>
        </w:rPr>
        <w:t>e-mail</w:t>
      </w:r>
      <w:proofErr w:type="gramEnd"/>
      <w:r w:rsidRPr="00D96AAB">
        <w:rPr>
          <w:rFonts w:eastAsia="Times New Roman" w:cs="Arial"/>
          <w:color w:val="000000"/>
          <w:lang w:val="en-US"/>
        </w:rPr>
        <w:t xml:space="preserve">: </w:t>
      </w:r>
      <w:hyperlink r:id="rId5" w:history="1">
        <w:r w:rsidRPr="00D96AAB">
          <w:rPr>
            <w:rFonts w:eastAsia="Times New Roman" w:cs="Arial"/>
            <w:color w:val="000000"/>
            <w:lang w:val="en-US"/>
          </w:rPr>
          <w:t>office@alkaloid.bg</w:t>
        </w:r>
      </w:hyperlink>
    </w:p>
    <w:p w14:paraId="129C7566" w14:textId="77777777" w:rsidR="0091385D" w:rsidRPr="0091385D" w:rsidRDefault="0091385D" w:rsidP="0091385D"/>
    <w:p w14:paraId="7BA1BA64" w14:textId="17509450" w:rsidR="00CF77F7" w:rsidRDefault="002C50EE" w:rsidP="004A448E">
      <w:pPr>
        <w:pStyle w:val="Heading1"/>
      </w:pPr>
      <w:r>
        <w:t>8. НОМЕР НА РАЗРЕШЕНИЕТО ЗА УПОТРЕБА</w:t>
      </w:r>
    </w:p>
    <w:p w14:paraId="095674C4" w14:textId="54CA436A" w:rsidR="0091385D" w:rsidRDefault="0091385D" w:rsidP="0091385D"/>
    <w:p w14:paraId="6E892CE5" w14:textId="62F200CA" w:rsidR="0091385D" w:rsidRPr="00D96AAB" w:rsidRDefault="00D96AAB" w:rsidP="0091385D">
      <w:pPr>
        <w:rPr>
          <w:rFonts w:cs="Arial"/>
        </w:rPr>
      </w:pPr>
      <w:r w:rsidRPr="00D96AAB">
        <w:rPr>
          <w:rFonts w:cs="Arial"/>
        </w:rPr>
        <w:t xml:space="preserve">МЕНДИЛЕКС 2 </w:t>
      </w:r>
      <w:r w:rsidRPr="00D96AAB">
        <w:rPr>
          <w:rFonts w:cs="Arial"/>
          <w:lang w:val="en-US"/>
        </w:rPr>
        <w:t xml:space="preserve">mg </w:t>
      </w:r>
      <w:r w:rsidRPr="00D96AAB">
        <w:rPr>
          <w:rFonts w:cs="Arial"/>
        </w:rPr>
        <w:t xml:space="preserve">таблетки </w:t>
      </w:r>
      <w:proofErr w:type="spellStart"/>
      <w:r w:rsidRPr="00D96AAB">
        <w:rPr>
          <w:rFonts w:cs="Arial"/>
          <w:lang w:val="en-US"/>
        </w:rPr>
        <w:t>Pe</w:t>
      </w:r>
      <w:proofErr w:type="spellEnd"/>
      <w:r w:rsidRPr="00D96AAB">
        <w:rPr>
          <w:rFonts w:cs="Arial"/>
        </w:rPr>
        <w:t>г</w:t>
      </w:r>
      <w:r w:rsidRPr="00D96AAB">
        <w:rPr>
          <w:rFonts w:cs="Arial"/>
          <w:lang w:val="en-US"/>
        </w:rPr>
        <w:t xml:space="preserve">. </w:t>
      </w:r>
      <w:r w:rsidRPr="00D96AAB">
        <w:rPr>
          <w:rFonts w:cs="Arial"/>
        </w:rPr>
        <w:t>№ 20050358</w:t>
      </w:r>
    </w:p>
    <w:p w14:paraId="62EF7F8B" w14:textId="77777777" w:rsidR="0091385D" w:rsidRPr="0091385D" w:rsidRDefault="0091385D" w:rsidP="0091385D"/>
    <w:p w14:paraId="2CCB5832" w14:textId="18FCD95B" w:rsidR="007C605B" w:rsidRDefault="002C50EE" w:rsidP="007C605B">
      <w:pPr>
        <w:pStyle w:val="Heading1"/>
      </w:pPr>
      <w:r>
        <w:t>9. ДАТА НА ПЪРВО РАЗРЕШАВАНЕ/ПОДНОВЯВАНЕ НА РАЗРЕШЕНИЕТО ЗА УПОТРЕБА</w:t>
      </w:r>
    </w:p>
    <w:p w14:paraId="372B3414" w14:textId="0F79A9B4" w:rsidR="0091385D" w:rsidRDefault="0091385D" w:rsidP="0091385D"/>
    <w:p w14:paraId="74951E5A" w14:textId="77777777" w:rsidR="00D96AAB" w:rsidRPr="00D96AAB" w:rsidRDefault="00D96AAB" w:rsidP="00D96AAB">
      <w:pPr>
        <w:spacing w:line="240" w:lineRule="auto"/>
        <w:rPr>
          <w:rFonts w:eastAsia="Times New Roman" w:cs="Arial"/>
          <w:lang w:eastAsia="bg-BG"/>
        </w:rPr>
      </w:pPr>
      <w:r w:rsidRPr="00D96AAB">
        <w:rPr>
          <w:rFonts w:eastAsia="Times New Roman" w:cs="Arial"/>
          <w:color w:val="000000"/>
          <w:lang w:eastAsia="bg-BG"/>
        </w:rPr>
        <w:t>Дата на първо разрешаване: 04.07.2005</w:t>
      </w:r>
    </w:p>
    <w:p w14:paraId="497007FA" w14:textId="17BA67B2" w:rsidR="0091385D" w:rsidRPr="00D96AAB" w:rsidRDefault="00D96AAB" w:rsidP="00D96AAB">
      <w:pPr>
        <w:rPr>
          <w:rFonts w:cs="Arial"/>
        </w:rPr>
      </w:pPr>
      <w:r w:rsidRPr="00D96AAB">
        <w:rPr>
          <w:rFonts w:eastAsia="Times New Roman" w:cs="Arial"/>
          <w:color w:val="000000"/>
          <w:lang w:eastAsia="bg-BG"/>
        </w:rPr>
        <w:t>Дата на последно подновяване: 11.02.2011</w:t>
      </w:r>
    </w:p>
    <w:p w14:paraId="0A56E09D" w14:textId="77777777" w:rsidR="0091385D" w:rsidRPr="0091385D" w:rsidRDefault="0091385D" w:rsidP="0091385D"/>
    <w:p w14:paraId="0E9D0119" w14:textId="1FEC128A" w:rsidR="002C50EE" w:rsidRDefault="002C50EE" w:rsidP="002C50EE">
      <w:pPr>
        <w:pStyle w:val="Heading1"/>
      </w:pPr>
      <w:r>
        <w:t>10. ДАТА НА АКТУАЛИЗИРАНЕ НА ТЕКСТА</w:t>
      </w:r>
    </w:p>
    <w:p w14:paraId="3E8FFCC4" w14:textId="34E0D3BB" w:rsidR="0091385D" w:rsidRDefault="0091385D" w:rsidP="0091385D"/>
    <w:p w14:paraId="30276F52" w14:textId="1542FBAE" w:rsidR="0091385D" w:rsidRPr="00D96AAB" w:rsidRDefault="00D96AAB" w:rsidP="0091385D">
      <w:pPr>
        <w:rPr>
          <w:rFonts w:cs="Arial"/>
        </w:rPr>
      </w:pPr>
      <w:r w:rsidRPr="00D96AAB">
        <w:rPr>
          <w:rFonts w:cs="Arial"/>
        </w:rPr>
        <w:t>03/2020</w:t>
      </w:r>
    </w:p>
    <w:p w14:paraId="6B00148E" w14:textId="77777777" w:rsidR="0091385D" w:rsidRPr="0091385D" w:rsidRDefault="0091385D" w:rsidP="0091385D"/>
    <w:bookmarkEnd w:id="0"/>
    <w:p w14:paraId="43FB38A2" w14:textId="5500C507" w:rsidR="007C605B" w:rsidRPr="003E3126" w:rsidRDefault="007C605B" w:rsidP="00CF77F7"/>
    <w:sectPr w:rsidR="007C605B" w:rsidRPr="003E3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293C633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2" w15:restartNumberingAfterBreak="0">
    <w:nsid w:val="00894126"/>
    <w:multiLevelType w:val="multilevel"/>
    <w:tmpl w:val="588ED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0AE4925"/>
    <w:multiLevelType w:val="multilevel"/>
    <w:tmpl w:val="4CC8ED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834C69"/>
    <w:multiLevelType w:val="multilevel"/>
    <w:tmpl w:val="DC0A14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9A0F47"/>
    <w:multiLevelType w:val="hybridMultilevel"/>
    <w:tmpl w:val="5F3E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2C2D"/>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7" w15:restartNumberingAfterBreak="0">
    <w:nsid w:val="19016EEE"/>
    <w:multiLevelType w:val="hybridMultilevel"/>
    <w:tmpl w:val="52F6376E"/>
    <w:lvl w:ilvl="0" w:tplc="4F7A938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343B0"/>
    <w:multiLevelType w:val="hybridMultilevel"/>
    <w:tmpl w:val="DD4E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258ED"/>
    <w:multiLevelType w:val="hybridMultilevel"/>
    <w:tmpl w:val="AA423BD4"/>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0" w15:restartNumberingAfterBreak="0">
    <w:nsid w:val="26177103"/>
    <w:multiLevelType w:val="multilevel"/>
    <w:tmpl w:val="E82C6D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C0F0359"/>
    <w:multiLevelType w:val="hybridMultilevel"/>
    <w:tmpl w:val="44C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60FB9"/>
    <w:multiLevelType w:val="hybridMultilevel"/>
    <w:tmpl w:val="BA3E8EEE"/>
    <w:lvl w:ilvl="0" w:tplc="D63C3370">
      <w:start w:val="4"/>
      <w:numFmt w:val="bullet"/>
      <w:lvlText w:val="-"/>
      <w:lvlJc w:val="left"/>
      <w:pPr>
        <w:ind w:left="720" w:hanging="360"/>
      </w:pPr>
      <w:rPr>
        <w:rFonts w:ascii="Arial" w:eastAsia="Times New Roman"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002FE"/>
    <w:multiLevelType w:val="hybridMultilevel"/>
    <w:tmpl w:val="60D4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87B88"/>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15" w15:restartNumberingAfterBreak="0">
    <w:nsid w:val="403D3417"/>
    <w:multiLevelType w:val="multilevel"/>
    <w:tmpl w:val="B57254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2823E3C"/>
    <w:multiLevelType w:val="hybridMultilevel"/>
    <w:tmpl w:val="80B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E33D8"/>
    <w:multiLevelType w:val="hybridMultilevel"/>
    <w:tmpl w:val="7130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D0C31"/>
    <w:multiLevelType w:val="hybridMultilevel"/>
    <w:tmpl w:val="2946DD8C"/>
    <w:lvl w:ilvl="0" w:tplc="83C2330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F1620"/>
    <w:multiLevelType w:val="hybridMultilevel"/>
    <w:tmpl w:val="C254CC4A"/>
    <w:lvl w:ilvl="0" w:tplc="E20A4D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A817B77"/>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21" w15:restartNumberingAfterBreak="0">
    <w:nsid w:val="4B960DEC"/>
    <w:multiLevelType w:val="hybridMultilevel"/>
    <w:tmpl w:val="DE7AABEA"/>
    <w:lvl w:ilvl="0" w:tplc="7E0614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1061F"/>
    <w:multiLevelType w:val="hybridMultilevel"/>
    <w:tmpl w:val="7BE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E48DA"/>
    <w:multiLevelType w:val="hybridMultilevel"/>
    <w:tmpl w:val="8D98AC54"/>
    <w:lvl w:ilvl="0" w:tplc="04090001">
      <w:start w:val="1"/>
      <w:numFmt w:val="bullet"/>
      <w:lvlText w:val=""/>
      <w:lvlJc w:val="left"/>
      <w:pPr>
        <w:ind w:left="720" w:hanging="360"/>
      </w:pPr>
      <w:rPr>
        <w:rFonts w:ascii="Symbol" w:hAnsi="Symbol" w:hint="default"/>
      </w:rPr>
    </w:lvl>
    <w:lvl w:ilvl="1" w:tplc="9F088CA4">
      <w:numFmt w:val="bullet"/>
      <w:lvlText w:val="•"/>
      <w:lvlJc w:val="left"/>
      <w:pPr>
        <w:ind w:left="1800" w:hanging="720"/>
      </w:pPr>
      <w:rPr>
        <w:rFonts w:ascii="Arial" w:eastAsiaTheme="minorHAnsi" w:hAnsi="Arial"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B1ABA"/>
    <w:multiLevelType w:val="hybridMultilevel"/>
    <w:tmpl w:val="EEEC7F7E"/>
    <w:lvl w:ilvl="0" w:tplc="E38E44DA">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8116B"/>
    <w:multiLevelType w:val="hybridMultilevel"/>
    <w:tmpl w:val="F18C2434"/>
    <w:lvl w:ilvl="0" w:tplc="04B87F8E">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2302E"/>
    <w:multiLevelType w:val="hybridMultilevel"/>
    <w:tmpl w:val="FF02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F677A"/>
    <w:multiLevelType w:val="hybridMultilevel"/>
    <w:tmpl w:val="96EC7004"/>
    <w:lvl w:ilvl="0" w:tplc="D63C3370">
      <w:start w:val="4"/>
      <w:numFmt w:val="bullet"/>
      <w:lvlText w:val="-"/>
      <w:lvlJc w:val="left"/>
      <w:pPr>
        <w:ind w:left="720" w:hanging="360"/>
      </w:pPr>
      <w:rPr>
        <w:rFonts w:ascii="Arial" w:eastAsia="Times New Roman"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22928"/>
    <w:multiLevelType w:val="hybridMultilevel"/>
    <w:tmpl w:val="A8F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539E2"/>
    <w:multiLevelType w:val="hybridMultilevel"/>
    <w:tmpl w:val="E3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C7DEC"/>
    <w:multiLevelType w:val="hybridMultilevel"/>
    <w:tmpl w:val="EE04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D1413"/>
    <w:multiLevelType w:val="hybridMultilevel"/>
    <w:tmpl w:val="9B941132"/>
    <w:lvl w:ilvl="0" w:tplc="7E0614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46080"/>
    <w:multiLevelType w:val="hybridMultilevel"/>
    <w:tmpl w:val="AF3E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E39A0"/>
    <w:multiLevelType w:val="hybridMultilevel"/>
    <w:tmpl w:val="E28A72A8"/>
    <w:lvl w:ilvl="0" w:tplc="61A8CAF0">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B2D78"/>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num w:numId="1">
    <w:abstractNumId w:val="27"/>
  </w:num>
  <w:num w:numId="2">
    <w:abstractNumId w:val="0"/>
  </w:num>
  <w:num w:numId="3">
    <w:abstractNumId w:val="12"/>
  </w:num>
  <w:num w:numId="4">
    <w:abstractNumId w:val="3"/>
  </w:num>
  <w:num w:numId="5">
    <w:abstractNumId w:val="1"/>
  </w:num>
  <w:num w:numId="6">
    <w:abstractNumId w:val="15"/>
  </w:num>
  <w:num w:numId="7">
    <w:abstractNumId w:val="10"/>
  </w:num>
  <w:num w:numId="8">
    <w:abstractNumId w:val="14"/>
  </w:num>
  <w:num w:numId="9">
    <w:abstractNumId w:val="2"/>
  </w:num>
  <w:num w:numId="10">
    <w:abstractNumId w:val="4"/>
  </w:num>
  <w:num w:numId="11">
    <w:abstractNumId w:val="30"/>
  </w:num>
  <w:num w:numId="12">
    <w:abstractNumId w:val="13"/>
  </w:num>
  <w:num w:numId="13">
    <w:abstractNumId w:val="18"/>
  </w:num>
  <w:num w:numId="14">
    <w:abstractNumId w:val="11"/>
  </w:num>
  <w:num w:numId="15">
    <w:abstractNumId w:val="29"/>
  </w:num>
  <w:num w:numId="16">
    <w:abstractNumId w:val="9"/>
  </w:num>
  <w:num w:numId="17">
    <w:abstractNumId w:val="24"/>
  </w:num>
  <w:num w:numId="18">
    <w:abstractNumId w:val="7"/>
  </w:num>
  <w:num w:numId="19">
    <w:abstractNumId w:val="26"/>
  </w:num>
  <w:num w:numId="20">
    <w:abstractNumId w:val="23"/>
  </w:num>
  <w:num w:numId="21">
    <w:abstractNumId w:val="16"/>
  </w:num>
  <w:num w:numId="22">
    <w:abstractNumId w:val="25"/>
  </w:num>
  <w:num w:numId="23">
    <w:abstractNumId w:val="17"/>
  </w:num>
  <w:num w:numId="24">
    <w:abstractNumId w:val="8"/>
  </w:num>
  <w:num w:numId="25">
    <w:abstractNumId w:val="22"/>
  </w:num>
  <w:num w:numId="26">
    <w:abstractNumId w:val="21"/>
  </w:num>
  <w:num w:numId="27">
    <w:abstractNumId w:val="31"/>
  </w:num>
  <w:num w:numId="28">
    <w:abstractNumId w:val="6"/>
  </w:num>
  <w:num w:numId="29">
    <w:abstractNumId w:val="20"/>
  </w:num>
  <w:num w:numId="30">
    <w:abstractNumId w:val="34"/>
  </w:num>
  <w:num w:numId="31">
    <w:abstractNumId w:val="5"/>
  </w:num>
  <w:num w:numId="32">
    <w:abstractNumId w:val="33"/>
  </w:num>
  <w:num w:numId="33">
    <w:abstractNumId w:val="28"/>
  </w:num>
  <w:num w:numId="34">
    <w:abstractNumId w:val="3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00"/>
    <w:rsid w:val="00185A46"/>
    <w:rsid w:val="001915B6"/>
    <w:rsid w:val="001D1B23"/>
    <w:rsid w:val="002B3C38"/>
    <w:rsid w:val="002B4DBB"/>
    <w:rsid w:val="002C50EE"/>
    <w:rsid w:val="00340A0A"/>
    <w:rsid w:val="003765DC"/>
    <w:rsid w:val="00395555"/>
    <w:rsid w:val="003E3126"/>
    <w:rsid w:val="00426E5F"/>
    <w:rsid w:val="004A448E"/>
    <w:rsid w:val="004D4D6B"/>
    <w:rsid w:val="004F1CE7"/>
    <w:rsid w:val="004F498A"/>
    <w:rsid w:val="00517A5B"/>
    <w:rsid w:val="00593A00"/>
    <w:rsid w:val="005A66D9"/>
    <w:rsid w:val="00605BCA"/>
    <w:rsid w:val="006158A1"/>
    <w:rsid w:val="00617B1F"/>
    <w:rsid w:val="00672487"/>
    <w:rsid w:val="00672600"/>
    <w:rsid w:val="00681D4A"/>
    <w:rsid w:val="00685882"/>
    <w:rsid w:val="0075649D"/>
    <w:rsid w:val="007C605B"/>
    <w:rsid w:val="008134C8"/>
    <w:rsid w:val="00814073"/>
    <w:rsid w:val="00826F0D"/>
    <w:rsid w:val="00893B92"/>
    <w:rsid w:val="008A6AF2"/>
    <w:rsid w:val="008C70A2"/>
    <w:rsid w:val="0091385D"/>
    <w:rsid w:val="009773E4"/>
    <w:rsid w:val="009B171C"/>
    <w:rsid w:val="009F1313"/>
    <w:rsid w:val="00A20351"/>
    <w:rsid w:val="00A65A81"/>
    <w:rsid w:val="00AA23EC"/>
    <w:rsid w:val="00AC63CE"/>
    <w:rsid w:val="00AE2107"/>
    <w:rsid w:val="00B275A8"/>
    <w:rsid w:val="00BF2600"/>
    <w:rsid w:val="00C0049F"/>
    <w:rsid w:val="00C07B84"/>
    <w:rsid w:val="00C33464"/>
    <w:rsid w:val="00C40420"/>
    <w:rsid w:val="00C809A7"/>
    <w:rsid w:val="00C83063"/>
    <w:rsid w:val="00C87E90"/>
    <w:rsid w:val="00CA1B57"/>
    <w:rsid w:val="00CF77F7"/>
    <w:rsid w:val="00D86297"/>
    <w:rsid w:val="00D96AAB"/>
    <w:rsid w:val="00DD466D"/>
    <w:rsid w:val="00EB6364"/>
    <w:rsid w:val="00F37B64"/>
    <w:rsid w:val="00FD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4BA7"/>
  <w15:docId w15:val="{3DA60348-CCDC-4D6D-877F-EA9575E0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364"/>
    <w:pPr>
      <w:spacing w:after="0" w:line="256" w:lineRule="auto"/>
    </w:pPr>
    <w:rPr>
      <w:rFonts w:ascii="Arial" w:hAnsi="Arial"/>
      <w:lang w:val="bg-BG"/>
    </w:rPr>
  </w:style>
  <w:style w:type="paragraph" w:styleId="Heading1">
    <w:name w:val="heading 1"/>
    <w:basedOn w:val="Normal"/>
    <w:next w:val="Normal"/>
    <w:link w:val="Heading1Char"/>
    <w:uiPriority w:val="9"/>
    <w:qFormat/>
    <w:rsid w:val="00681D4A"/>
    <w:pPr>
      <w:keepNext/>
      <w:keepLines/>
      <w:spacing w:before="240" w:line="259" w:lineRule="auto"/>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681D4A"/>
    <w:pPr>
      <w:keepNext/>
      <w:keepLines/>
      <w:spacing w:before="40" w:line="259" w:lineRule="auto"/>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681D4A"/>
    <w:pPr>
      <w:keepNext/>
      <w:keepLines/>
      <w:spacing w:before="40" w:line="259" w:lineRule="auto"/>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681D4A"/>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1"/>
    <w:basedOn w:val="Heading3"/>
    <w:next w:val="Normal"/>
    <w:link w:val="10"/>
    <w:qFormat/>
    <w:rsid w:val="00C87E90"/>
    <w:pPr>
      <w:widowControl w:val="0"/>
      <w:spacing w:after="1080" w:line="240" w:lineRule="auto"/>
      <w:ind w:left="4400"/>
      <w:jc w:val="center"/>
    </w:pPr>
    <w:rPr>
      <w:b/>
      <w:sz w:val="22"/>
      <w:szCs w:val="22"/>
    </w:rPr>
  </w:style>
  <w:style w:type="character" w:customStyle="1" w:styleId="10">
    <w:name w:val="Стил1 Знак"/>
    <w:basedOn w:val="Heading3Char"/>
    <w:link w:val="1"/>
    <w:rsid w:val="00C87E90"/>
    <w:rPr>
      <w:rFonts w:ascii="Arial" w:eastAsiaTheme="majorEastAsia" w:hAnsi="Arial" w:cstheme="majorBidi"/>
      <w:b/>
      <w:color w:val="000000" w:themeColor="text1"/>
      <w:sz w:val="24"/>
      <w:szCs w:val="24"/>
    </w:rPr>
  </w:style>
  <w:style w:type="character" w:customStyle="1" w:styleId="Heading3Char">
    <w:name w:val="Heading 3 Char"/>
    <w:basedOn w:val="DefaultParagraphFont"/>
    <w:link w:val="Heading3"/>
    <w:uiPriority w:val="9"/>
    <w:rsid w:val="00681D4A"/>
    <w:rPr>
      <w:rFonts w:ascii="Arial" w:eastAsiaTheme="majorEastAsia" w:hAnsi="Arial" w:cstheme="majorBidi"/>
      <w:color w:val="000000" w:themeColor="text1"/>
      <w:sz w:val="24"/>
      <w:szCs w:val="24"/>
    </w:rPr>
  </w:style>
  <w:style w:type="paragraph" w:styleId="ListParagraph">
    <w:name w:val="List Paragraph"/>
    <w:basedOn w:val="Normal"/>
    <w:uiPriority w:val="34"/>
    <w:qFormat/>
    <w:rsid w:val="00685882"/>
    <w:pPr>
      <w:spacing w:line="259" w:lineRule="auto"/>
      <w:ind w:left="720"/>
      <w:contextualSpacing/>
    </w:pPr>
  </w:style>
  <w:style w:type="character" w:customStyle="1" w:styleId="Heading1Char">
    <w:name w:val="Heading 1 Char"/>
    <w:basedOn w:val="DefaultParagraphFont"/>
    <w:link w:val="Heading1"/>
    <w:uiPriority w:val="9"/>
    <w:rsid w:val="00681D4A"/>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681D4A"/>
    <w:rPr>
      <w:rFonts w:ascii="Arial" w:eastAsiaTheme="majorEastAsia" w:hAnsi="Arial" w:cstheme="majorBidi"/>
      <w:color w:val="000000" w:themeColor="text1"/>
      <w:sz w:val="26"/>
      <w:szCs w:val="26"/>
    </w:rPr>
  </w:style>
  <w:style w:type="character" w:customStyle="1" w:styleId="Heading4Char">
    <w:name w:val="Heading 4 Char"/>
    <w:basedOn w:val="DefaultParagraphFont"/>
    <w:link w:val="Heading4"/>
    <w:uiPriority w:val="9"/>
    <w:rsid w:val="00681D4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5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6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alkaloid.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11645</Characters>
  <Application>Microsoft Office Word</Application>
  <DocSecurity>0</DocSecurity>
  <Lines>97</Lines>
  <Paragraphs>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vasilev</dc:creator>
  <cp:keywords/>
  <dc:description/>
  <cp:lastModifiedBy>Потребител на Windows</cp:lastModifiedBy>
  <cp:revision>2</cp:revision>
  <dcterms:created xsi:type="dcterms:W3CDTF">2022-09-02T17:39:00Z</dcterms:created>
  <dcterms:modified xsi:type="dcterms:W3CDTF">2022-09-02T17:39:00Z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080e56-8894-418a-9b19-f357e77b996f_Enabled">
    <vt:lpwstr>true</vt:lpwstr>
  </property>
  <property fmtid="{D5CDD505-2E9C-101B-9397-08002B2CF9AE}" pid="3" name="MSIP_Label_78080e56-8894-418a-9b19-f357e77b996f_SetDate">
    <vt:lpwstr>2021-02-06T20:50:59Z</vt:lpwstr>
  </property>
  <property fmtid="{D5CDD505-2E9C-101B-9397-08002B2CF9AE}" pid="4" name="MSIP_Label_78080e56-8894-418a-9b19-f357e77b996f_Method">
    <vt:lpwstr>Standard</vt:lpwstr>
  </property>
  <property fmtid="{D5CDD505-2E9C-101B-9397-08002B2CF9AE}" pid="5" name="MSIP_Label_78080e56-8894-418a-9b19-f357e77b996f_Name">
    <vt:lpwstr>Internal Use Unencrypted</vt:lpwstr>
  </property>
  <property fmtid="{D5CDD505-2E9C-101B-9397-08002B2CF9AE}" pid="6" name="MSIP_Label_78080e56-8894-418a-9b19-f357e77b996f_SiteId">
    <vt:lpwstr>6c7fadf5-6b9d-485a-85cb-f8112e9720ec</vt:lpwstr>
  </property>
  <property fmtid="{D5CDD505-2E9C-101B-9397-08002B2CF9AE}" pid="7" name="MSIP_Label_78080e56-8894-418a-9b19-f357e77b996f_ActionId">
    <vt:lpwstr>0a32757c-47c4-4949-90c3-637a5e65fde2</vt:lpwstr>
  </property>
  <property fmtid="{D5CDD505-2E9C-101B-9397-08002B2CF9AE}" pid="8" name="MSIP_Label_78080e56-8894-418a-9b19-f357e77b996f_ContentBits">
    <vt:lpwstr>2</vt:lpwstr>
  </property>
</Properties>
</file>