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14008A99" w:rsidR="0091385D" w:rsidRDefault="0091385D" w:rsidP="0091385D"/>
    <w:p w14:paraId="1B74E9AC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Метфогамма 1000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филмирани таблетки</w:t>
      </w:r>
    </w:p>
    <w:p w14:paraId="73D1D99C" w14:textId="6F353716" w:rsidR="0091385D" w:rsidRPr="003446E8" w:rsidRDefault="003446E8" w:rsidP="003446E8">
      <w:pPr>
        <w:rPr>
          <w:rFonts w:cs="Arial"/>
        </w:rPr>
      </w:pPr>
      <w:proofErr w:type="spellStart"/>
      <w:r w:rsidRPr="003446E8">
        <w:rPr>
          <w:rFonts w:eastAsia="Times New Roman" w:cs="Arial"/>
          <w:color w:val="000000"/>
          <w:lang w:val="en-US"/>
        </w:rPr>
        <w:t>Metfogamma</w:t>
      </w:r>
      <w:proofErr w:type="spellEnd"/>
      <w:r w:rsidRPr="003446E8">
        <w:rPr>
          <w:rFonts w:eastAsia="Times New Roman" w:cs="Arial"/>
          <w:color w:val="000000"/>
          <w:lang w:val="en-US"/>
        </w:rPr>
        <w:t xml:space="preserve"> </w:t>
      </w:r>
      <w:r w:rsidRPr="003446E8">
        <w:rPr>
          <w:rFonts w:eastAsia="Times New Roman" w:cs="Arial"/>
          <w:color w:val="000000"/>
          <w:lang w:eastAsia="bg-BG"/>
        </w:rPr>
        <w:t xml:space="preserve">1000 </w:t>
      </w:r>
      <w:r w:rsidRPr="003446E8">
        <w:rPr>
          <w:rFonts w:eastAsia="Times New Roman" w:cs="Arial"/>
          <w:color w:val="000000"/>
          <w:lang w:val="en-US"/>
        </w:rPr>
        <w:t>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034345FC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Една филмирана таблетка съдържа 1000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метформинов хидрохлорид (</w:t>
      </w:r>
      <w:r w:rsidRPr="003446E8">
        <w:rPr>
          <w:rFonts w:eastAsia="Times New Roman" w:cs="Arial"/>
          <w:i/>
          <w:iCs/>
          <w:color w:val="000000"/>
          <w:lang w:val="en-US"/>
        </w:rPr>
        <w:t>metformin hydrochloride),</w:t>
      </w:r>
      <w:r w:rsidRPr="003446E8">
        <w:rPr>
          <w:rFonts w:eastAsia="Times New Roman" w:cs="Arial"/>
          <w:color w:val="000000"/>
          <w:lang w:val="en-US"/>
        </w:rPr>
        <w:t xml:space="preserve"> </w:t>
      </w:r>
      <w:r w:rsidRPr="003446E8">
        <w:rPr>
          <w:rFonts w:eastAsia="Times New Roman" w:cs="Arial"/>
          <w:color w:val="000000"/>
          <w:lang w:eastAsia="bg-BG"/>
        </w:rPr>
        <w:t xml:space="preserve">еквивалентен на 780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метформин база.</w:t>
      </w:r>
    </w:p>
    <w:p w14:paraId="5106F5D7" w14:textId="77777777" w:rsidR="003446E8" w:rsidRPr="003446E8" w:rsidRDefault="003446E8" w:rsidP="003446E8">
      <w:pPr>
        <w:rPr>
          <w:rFonts w:eastAsia="Times New Roman" w:cs="Arial"/>
          <w:color w:val="000000"/>
          <w:lang w:eastAsia="bg-BG"/>
        </w:rPr>
      </w:pPr>
    </w:p>
    <w:p w14:paraId="729D0A91" w14:textId="2FB51582" w:rsidR="0091385D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03110A50" w14:textId="77777777" w:rsidR="0091385D" w:rsidRPr="0091385D" w:rsidRDefault="0091385D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Pr="003446E8" w:rsidRDefault="0091385D" w:rsidP="0091385D">
      <w:pPr>
        <w:rPr>
          <w:rFonts w:cs="Arial"/>
        </w:rPr>
      </w:pPr>
    </w:p>
    <w:p w14:paraId="28DB0F6E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Филмирана таблетка.</w:t>
      </w:r>
    </w:p>
    <w:p w14:paraId="2E23E309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EBC427" w14:textId="6519E99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Бели, продълговати филмирани таблетки с резка от едната страна и дълбока делителна черта от другата страна </w:t>
      </w:r>
      <w:r w:rsidRPr="003446E8">
        <w:rPr>
          <w:rFonts w:eastAsia="Times New Roman" w:cs="Arial"/>
          <w:color w:val="000000"/>
          <w:lang w:val="en-US"/>
        </w:rPr>
        <w:t xml:space="preserve">(snap-tab </w:t>
      </w:r>
      <w:r w:rsidRPr="003446E8">
        <w:rPr>
          <w:rFonts w:eastAsia="Times New Roman" w:cs="Arial"/>
          <w:color w:val="000000"/>
          <w:lang w:eastAsia="bg-BG"/>
        </w:rPr>
        <w:t>форма).</w:t>
      </w:r>
    </w:p>
    <w:p w14:paraId="4A991133" w14:textId="4DD0FA2A" w:rsidR="0091385D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Таблетката може да бъде разделена на равни половини.</w:t>
      </w:r>
    </w:p>
    <w:p w14:paraId="4129ADBB" w14:textId="77777777" w:rsidR="0091385D" w:rsidRPr="0091385D" w:rsidRDefault="0091385D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39166204" w14:textId="065241D4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Лечение на захарен диабет тип 2, особено при пациенти с наднормено тегло, когато само диета и физически упражнения не водят до адекватен гликемичен контрол.</w:t>
      </w:r>
    </w:p>
    <w:p w14:paraId="1CB42155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2ABB11A4" w14:textId="77777777" w:rsidR="003446E8" w:rsidRPr="003446E8" w:rsidRDefault="003446E8" w:rsidP="003446E8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При възрастни Метфогамма може да се прилага като монотерапия или в комбинация с други перорални антидиабетни лекарствени продукти или с инсулин.</w:t>
      </w:r>
    </w:p>
    <w:p w14:paraId="65A0806A" w14:textId="456F8003" w:rsidR="003446E8" w:rsidRPr="003446E8" w:rsidRDefault="003446E8" w:rsidP="003446E8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При деца над 10 години и юноши, Метфогамма може да се прилага като монотерапия или в комбинация с инсулин.</w:t>
      </w:r>
    </w:p>
    <w:p w14:paraId="618ECD87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B2E99C" w14:textId="596B596B" w:rsidR="0091385D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Установено е намаление на усложненията, свързани с диабета, при пациенти с наднормено тегло и диабет тип 2, лекувани с метформин, като първи избор на лечение след неуспешна диета (виж точка 5.1).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388FE6EC" w14:textId="77777777" w:rsidR="003446E8" w:rsidRPr="00283D47" w:rsidRDefault="003446E8" w:rsidP="00283D47">
      <w:pPr>
        <w:pStyle w:val="Heading3"/>
        <w:rPr>
          <w:rFonts w:eastAsia="Times New Roman"/>
          <w:u w:val="single"/>
          <w:lang w:eastAsia="bg-BG"/>
        </w:rPr>
      </w:pPr>
      <w:r w:rsidRPr="00283D47">
        <w:rPr>
          <w:rFonts w:eastAsia="Times New Roman"/>
          <w:u w:val="single"/>
          <w:lang w:eastAsia="bg-BG"/>
        </w:rPr>
        <w:lastRenderedPageBreak/>
        <w:t>Дозировка</w:t>
      </w:r>
    </w:p>
    <w:p w14:paraId="62051C4F" w14:textId="77777777" w:rsid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0F25F882" w14:textId="039ABB03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 xml:space="preserve">Възрастни с нормална бъбречна функция </w:t>
      </w:r>
      <w:r w:rsidRPr="003446E8">
        <w:rPr>
          <w:rFonts w:eastAsia="Times New Roman" w:cs="Arial"/>
          <w:i/>
          <w:iCs/>
          <w:color w:val="000000"/>
          <w:lang w:val="en-US"/>
        </w:rPr>
        <w:t>(GFR</w:t>
      </w:r>
      <w:r w:rsidRPr="003446E8">
        <w:rPr>
          <w:rFonts w:eastAsia="Times New Roman" w:cs="Arial"/>
          <w:i/>
          <w:iCs/>
          <w:color w:val="000000"/>
          <w:lang w:eastAsia="bg-BG"/>
        </w:rPr>
        <w:t>≥</w:t>
      </w:r>
      <w:r w:rsidRPr="003446E8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3446E8">
        <w:rPr>
          <w:rFonts w:eastAsia="Times New Roman" w:cs="Arial"/>
          <w:i/>
          <w:iCs/>
          <w:color w:val="000000"/>
          <w:lang w:eastAsia="bg-BG"/>
        </w:rPr>
        <w:t xml:space="preserve">90 </w:t>
      </w:r>
      <w:r w:rsidRPr="003446E8">
        <w:rPr>
          <w:rFonts w:eastAsia="Times New Roman" w:cs="Arial"/>
          <w:i/>
          <w:iCs/>
          <w:color w:val="000000"/>
          <w:lang w:val="en-US"/>
        </w:rPr>
        <w:t>ml</w:t>
      </w:r>
      <w:r w:rsidRPr="003446E8">
        <w:rPr>
          <w:rFonts w:eastAsia="Times New Roman" w:cs="Arial"/>
          <w:i/>
          <w:iCs/>
          <w:color w:val="000000"/>
          <w:lang w:eastAsia="bg-BG"/>
        </w:rPr>
        <w:t>/мин)</w:t>
      </w:r>
    </w:p>
    <w:p w14:paraId="7A32C9A8" w14:textId="77777777" w:rsidR="003446E8" w:rsidRPr="003446E8" w:rsidRDefault="003446E8" w:rsidP="003446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3EBB5D55" w14:textId="06F182C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b/>
          <w:bCs/>
          <w:color w:val="000000"/>
          <w:lang w:eastAsia="bg-BG"/>
        </w:rPr>
        <w:t>Монотерапия и в комбинация с други перорални антидиабетни средства</w:t>
      </w:r>
      <w:bookmarkEnd w:id="1"/>
    </w:p>
    <w:p w14:paraId="088B2945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F85202" w14:textId="096F292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Обичайната начална доза е 500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 xml:space="preserve">или 850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метформинов хидрохлорид два или три пъти дневно, приемана по време или след хранене.</w:t>
      </w:r>
    </w:p>
    <w:p w14:paraId="475300EC" w14:textId="0CFB3F75" w:rsidR="0091385D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След 10 до 15 дни дозата трябва да се адаптира, в зависимост от измерените стойности на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3446E8">
        <w:rPr>
          <w:rFonts w:eastAsia="Times New Roman" w:cs="Arial"/>
          <w:color w:val="000000"/>
          <w:lang w:eastAsia="bg-BG"/>
        </w:rPr>
        <w:t>кръвната захар. Постепенното повишаване на дозата може да подобри гастроинтестиналната толерантност.</w:t>
      </w:r>
    </w:p>
    <w:p w14:paraId="1956D829" w14:textId="33AF57DD" w:rsidR="003446E8" w:rsidRDefault="003446E8" w:rsidP="003446E8">
      <w:pPr>
        <w:rPr>
          <w:rFonts w:eastAsia="Times New Roman" w:cs="Arial"/>
          <w:color w:val="000000"/>
          <w:lang w:eastAsia="bg-BG"/>
        </w:rPr>
      </w:pPr>
    </w:p>
    <w:p w14:paraId="56513363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При пациенти, приемащи висока доза метформинов хидрохлорид (от 2 до 3 </w:t>
      </w:r>
      <w:r w:rsidRPr="003446E8">
        <w:rPr>
          <w:rFonts w:eastAsia="Times New Roman" w:cs="Arial"/>
          <w:color w:val="000000"/>
          <w:lang w:val="en-US"/>
        </w:rPr>
        <w:t xml:space="preserve">g </w:t>
      </w:r>
      <w:r w:rsidRPr="003446E8">
        <w:rPr>
          <w:rFonts w:eastAsia="Times New Roman" w:cs="Arial"/>
          <w:color w:val="000000"/>
          <w:lang w:eastAsia="bg-BG"/>
        </w:rPr>
        <w:t xml:space="preserve">дневно) две филмирани таблетки Метфогамма 500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 xml:space="preserve">може да се заменят с една филмирана таблетка Метфогамма 1000 </w:t>
      </w:r>
      <w:r w:rsidRPr="003446E8">
        <w:rPr>
          <w:rFonts w:eastAsia="Times New Roman" w:cs="Arial"/>
          <w:color w:val="000000"/>
          <w:lang w:val="en-US"/>
        </w:rPr>
        <w:t>mg.</w:t>
      </w:r>
    </w:p>
    <w:p w14:paraId="21109C5C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2D3C47" w14:textId="1DBE1AA3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Допустимата максимална дневна доза метформинов хирдохлорид е 3 </w:t>
      </w:r>
      <w:r w:rsidRPr="003446E8">
        <w:rPr>
          <w:rFonts w:eastAsia="Times New Roman" w:cs="Arial"/>
          <w:color w:val="000000"/>
          <w:lang w:val="en-US"/>
        </w:rPr>
        <w:t xml:space="preserve">g, </w:t>
      </w:r>
      <w:r w:rsidRPr="003446E8">
        <w:rPr>
          <w:rFonts w:eastAsia="Times New Roman" w:cs="Arial"/>
          <w:color w:val="000000"/>
          <w:lang w:eastAsia="bg-BG"/>
        </w:rPr>
        <w:t>разделени на три приема.</w:t>
      </w:r>
    </w:p>
    <w:p w14:paraId="00AEC2BF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6E2511" w14:textId="154B314B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Ако се предвижда замяна на друг перорален антидиабетен продукт, предишното хипогликемично лечение трябва да бъде преустановено и да се замести с метформин в дозата, посочена по-горе.</w:t>
      </w:r>
    </w:p>
    <w:p w14:paraId="678DCECD" w14:textId="77777777" w:rsidR="003446E8" w:rsidRPr="003446E8" w:rsidRDefault="003446E8" w:rsidP="003446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A90DCA2" w14:textId="4B71CB3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b/>
          <w:bCs/>
          <w:color w:val="000000"/>
          <w:lang w:eastAsia="bg-BG"/>
        </w:rPr>
        <w:t>Комбинация с инсулин</w:t>
      </w:r>
    </w:p>
    <w:p w14:paraId="4DC34EE9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6D1C6E" w14:textId="6D8CCDE2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Метформин и инсулин могат да се използват в комбинирана терапия, за да се постигне по- добър контрол на кръвната захар.</w:t>
      </w:r>
    </w:p>
    <w:p w14:paraId="2EE858D1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Обичайната начална доза е 500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 xml:space="preserve">или 850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метформинов хидрохлорид 2 или 3 пъти дневно, докато дозата на инсулина се адаптира в зависимост от измерените стойности на кръвната захар.</w:t>
      </w:r>
    </w:p>
    <w:p w14:paraId="633118AF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A40DE4" w14:textId="1A0C4148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Пациенти в напреднала възраст</w:t>
      </w:r>
    </w:p>
    <w:p w14:paraId="060F3B3C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B5A4A5" w14:textId="58B72B91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Поради вероятността от намалена бъбречна функция при пациенти в напреднала възраст, дозата на метформин трябва да се адаптира в зависимост от бъбречната функция, която редовно трябва да се контролира (виж точка 4.4).</w:t>
      </w:r>
    </w:p>
    <w:p w14:paraId="26C2CBAC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7A05FC" w14:textId="46438143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329D0E41" w14:textId="77777777" w:rsidR="003446E8" w:rsidRPr="003446E8" w:rsidRDefault="003446E8" w:rsidP="003446E8">
      <w:pPr>
        <w:rPr>
          <w:rFonts w:eastAsia="Times New Roman" w:cs="Arial"/>
          <w:color w:val="000000"/>
          <w:lang w:eastAsia="bg-BG"/>
        </w:rPr>
      </w:pPr>
    </w:p>
    <w:p w14:paraId="68CA9140" w14:textId="1160334F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 xml:space="preserve">Преди започване на лечение с продукти, съдържащи метформин, трябва да се направи оценка на </w:t>
      </w:r>
      <w:r w:rsidRPr="003446E8">
        <w:rPr>
          <w:rFonts w:eastAsia="Times New Roman" w:cs="Arial"/>
          <w:color w:val="000000"/>
          <w:lang w:val="en-US"/>
        </w:rPr>
        <w:t xml:space="preserve">GFR </w:t>
      </w:r>
      <w:r w:rsidRPr="003446E8">
        <w:rPr>
          <w:rFonts w:eastAsia="Times New Roman" w:cs="Arial"/>
          <w:color w:val="000000"/>
          <w:lang w:eastAsia="bg-BG"/>
        </w:rPr>
        <w:t>стойностите, а след това - поне веднъж годишно. При пациенти с повишен риск от по</w:t>
      </w:r>
      <w:r w:rsidRPr="003446E8">
        <w:rPr>
          <w:rFonts w:eastAsia="Times New Roman" w:cs="Arial"/>
          <w:color w:val="000000"/>
          <w:lang w:eastAsia="bg-BG"/>
        </w:rPr>
        <w:softHyphen/>
        <w:t>нататъшно прогресиране на бъбречно увреждане и при пациенти в старческа възраст трябва по- често да се прави оценка на бъбречната функция, например на всеки 3-6 месеца.</w:t>
      </w:r>
    </w:p>
    <w:p w14:paraId="6ACAF645" w14:textId="23669630" w:rsidR="0091385D" w:rsidRDefault="0091385D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19"/>
        <w:gridCol w:w="3130"/>
      </w:tblGrid>
      <w:tr w:rsidR="003446E8" w14:paraId="46C6658F" w14:textId="77777777" w:rsidTr="003446E8">
        <w:tc>
          <w:tcPr>
            <w:tcW w:w="3166" w:type="dxa"/>
          </w:tcPr>
          <w:p w14:paraId="35B1C8D8" w14:textId="0770DC55" w:rsidR="003446E8" w:rsidRDefault="003446E8" w:rsidP="003446E8">
            <w:r>
              <w:rPr>
                <w:lang w:val="en-US"/>
              </w:rPr>
              <w:t>GFR ml</w:t>
            </w:r>
            <w:r>
              <w:t>/мин</w:t>
            </w:r>
          </w:p>
        </w:tc>
        <w:tc>
          <w:tcPr>
            <w:tcW w:w="3167" w:type="dxa"/>
          </w:tcPr>
          <w:p w14:paraId="0072C3C4" w14:textId="0FC152B1" w:rsidR="003446E8" w:rsidRDefault="003446E8" w:rsidP="003446E8">
            <w:r>
              <w:t>Обща максимална дневна доза (да се раздели на 2-3 дневни дози)</w:t>
            </w:r>
          </w:p>
        </w:tc>
        <w:tc>
          <w:tcPr>
            <w:tcW w:w="3167" w:type="dxa"/>
          </w:tcPr>
          <w:p w14:paraId="4DCCD9A5" w14:textId="068E116B" w:rsidR="003446E8" w:rsidRDefault="003446E8" w:rsidP="003446E8">
            <w:r>
              <w:t>Допълнителни съображения</w:t>
            </w:r>
          </w:p>
        </w:tc>
      </w:tr>
      <w:tr w:rsidR="003446E8" w14:paraId="55101449" w14:textId="77777777" w:rsidTr="003446E8">
        <w:tc>
          <w:tcPr>
            <w:tcW w:w="3166" w:type="dxa"/>
          </w:tcPr>
          <w:p w14:paraId="4433035A" w14:textId="133EE36E" w:rsidR="003446E8" w:rsidRDefault="003446E8" w:rsidP="003446E8">
            <w:r>
              <w:lastRenderedPageBreak/>
              <w:t>60-89</w:t>
            </w:r>
          </w:p>
        </w:tc>
        <w:tc>
          <w:tcPr>
            <w:tcW w:w="3167" w:type="dxa"/>
          </w:tcPr>
          <w:p w14:paraId="74147CD1" w14:textId="6EA7B738" w:rsidR="003446E8" w:rsidRDefault="003446E8" w:rsidP="003446E8">
            <w:r>
              <w:t xml:space="preserve">3000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5105580F" w14:textId="332CCB64" w:rsidR="003446E8" w:rsidRDefault="003446E8" w:rsidP="003446E8">
            <w:r>
              <w:t>Може да се обмисли понижаване на дозата във връзка с намаляването на бъбречната функция.</w:t>
            </w:r>
          </w:p>
        </w:tc>
      </w:tr>
      <w:tr w:rsidR="003446E8" w14:paraId="50C8D8DF" w14:textId="77777777" w:rsidTr="003446E8">
        <w:tc>
          <w:tcPr>
            <w:tcW w:w="3166" w:type="dxa"/>
          </w:tcPr>
          <w:p w14:paraId="64E71061" w14:textId="58839278" w:rsidR="003446E8" w:rsidRDefault="003446E8" w:rsidP="003446E8">
            <w:r>
              <w:t>45-59</w:t>
            </w:r>
          </w:p>
        </w:tc>
        <w:tc>
          <w:tcPr>
            <w:tcW w:w="3167" w:type="dxa"/>
          </w:tcPr>
          <w:p w14:paraId="0F6C4D9B" w14:textId="4A96E8F3" w:rsidR="003446E8" w:rsidRDefault="003446E8" w:rsidP="003446E8">
            <w:r>
              <w:t xml:space="preserve">2000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1A738693" w14:textId="77777777" w:rsidR="003446E8" w:rsidRDefault="003446E8" w:rsidP="003446E8">
            <w:r>
              <w:t>Факторите, които могат да увеличат риска от лактатна ацидоза (виж точка 4.4) трябва да бъдат преразгледани, преди да се обмисли започването на лечение с метформин.</w:t>
            </w:r>
          </w:p>
          <w:p w14:paraId="48E9EA28" w14:textId="5CFE7624" w:rsidR="003446E8" w:rsidRDefault="003446E8" w:rsidP="003446E8">
            <w:r>
              <w:t>Началната доза е най-много половината от максималната доза.</w:t>
            </w:r>
          </w:p>
        </w:tc>
      </w:tr>
      <w:tr w:rsidR="003446E8" w14:paraId="42F9FBE0" w14:textId="77777777" w:rsidTr="003446E8">
        <w:tc>
          <w:tcPr>
            <w:tcW w:w="3166" w:type="dxa"/>
          </w:tcPr>
          <w:p w14:paraId="4434C2C5" w14:textId="29071A85" w:rsidR="003446E8" w:rsidRDefault="003446E8" w:rsidP="003446E8">
            <w:r>
              <w:t>30-44</w:t>
            </w:r>
          </w:p>
        </w:tc>
        <w:tc>
          <w:tcPr>
            <w:tcW w:w="3167" w:type="dxa"/>
          </w:tcPr>
          <w:p w14:paraId="3720DEA7" w14:textId="1091392F" w:rsidR="003446E8" w:rsidRDefault="003446E8" w:rsidP="003446E8">
            <w:r>
              <w:t xml:space="preserve">1000 </w:t>
            </w:r>
            <w:r>
              <w:rPr>
                <w:lang w:val="en-US"/>
              </w:rPr>
              <w:t>mg</w:t>
            </w:r>
          </w:p>
        </w:tc>
        <w:tc>
          <w:tcPr>
            <w:tcW w:w="3167" w:type="dxa"/>
          </w:tcPr>
          <w:p w14:paraId="030A7368" w14:textId="77777777" w:rsidR="003446E8" w:rsidRDefault="003446E8" w:rsidP="003446E8"/>
        </w:tc>
      </w:tr>
      <w:tr w:rsidR="003446E8" w14:paraId="77D24AA5" w14:textId="77777777" w:rsidTr="003446E8">
        <w:tc>
          <w:tcPr>
            <w:tcW w:w="3166" w:type="dxa"/>
          </w:tcPr>
          <w:p w14:paraId="0B40A8D5" w14:textId="2E4B83E3" w:rsidR="003446E8" w:rsidRDefault="003446E8" w:rsidP="003446E8">
            <w:r>
              <w:t>&lt;30</w:t>
            </w:r>
          </w:p>
        </w:tc>
        <w:tc>
          <w:tcPr>
            <w:tcW w:w="3167" w:type="dxa"/>
          </w:tcPr>
          <w:p w14:paraId="4A999F70" w14:textId="220F5DB4" w:rsidR="003446E8" w:rsidRDefault="003446E8" w:rsidP="003446E8">
            <w:r>
              <w:t>-</w:t>
            </w:r>
          </w:p>
        </w:tc>
        <w:tc>
          <w:tcPr>
            <w:tcW w:w="3167" w:type="dxa"/>
          </w:tcPr>
          <w:p w14:paraId="02865E0A" w14:textId="428A8BBF" w:rsidR="003446E8" w:rsidRDefault="003446E8" w:rsidP="003446E8">
            <w:r>
              <w:t>Метформин е противопоказан</w:t>
            </w:r>
          </w:p>
        </w:tc>
      </w:tr>
    </w:tbl>
    <w:p w14:paraId="319C6982" w14:textId="581FF18E" w:rsidR="003446E8" w:rsidRDefault="003446E8" w:rsidP="0091385D"/>
    <w:p w14:paraId="2209D9D9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33515D5A" w14:textId="77777777" w:rsidR="003446E8" w:rsidRPr="003446E8" w:rsidRDefault="003446E8" w:rsidP="003446E8">
      <w:pPr>
        <w:rPr>
          <w:rFonts w:eastAsia="Times New Roman" w:cs="Arial"/>
          <w:b/>
          <w:bCs/>
          <w:color w:val="000000"/>
          <w:lang w:eastAsia="bg-BG"/>
        </w:rPr>
      </w:pPr>
    </w:p>
    <w:p w14:paraId="5C82C640" w14:textId="1B414DC6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b/>
          <w:bCs/>
          <w:color w:val="000000"/>
          <w:lang w:eastAsia="bg-BG"/>
        </w:rPr>
        <w:t>Монотерапня и в комбинация с инсулин</w:t>
      </w:r>
    </w:p>
    <w:p w14:paraId="056F5EFC" w14:textId="537716EB" w:rsidR="003446E8" w:rsidRPr="003446E8" w:rsidRDefault="003446E8" w:rsidP="0091385D">
      <w:pPr>
        <w:rPr>
          <w:rFonts w:cs="Arial"/>
        </w:rPr>
      </w:pPr>
    </w:p>
    <w:p w14:paraId="137E1F70" w14:textId="77777777" w:rsidR="003446E8" w:rsidRPr="003446E8" w:rsidRDefault="003446E8" w:rsidP="003446E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Метфогамма може да се използва при деца над 10 години и юноши.</w:t>
      </w:r>
    </w:p>
    <w:p w14:paraId="6888D318" w14:textId="77777777" w:rsidR="003446E8" w:rsidRPr="003446E8" w:rsidRDefault="003446E8" w:rsidP="003446E8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Обичайната начална доза е 500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 xml:space="preserve">или 850 </w:t>
      </w:r>
      <w:r w:rsidRPr="003446E8">
        <w:rPr>
          <w:rFonts w:eastAsia="Times New Roman" w:cs="Arial"/>
          <w:color w:val="000000"/>
          <w:lang w:val="en-US"/>
        </w:rPr>
        <w:t xml:space="preserve">mg </w:t>
      </w:r>
      <w:r w:rsidRPr="003446E8">
        <w:rPr>
          <w:rFonts w:eastAsia="Times New Roman" w:cs="Arial"/>
          <w:color w:val="000000"/>
          <w:lang w:eastAsia="bg-BG"/>
        </w:rPr>
        <w:t>метформинов хидрохлорид на ден, която се приема по време или след хранене.</w:t>
      </w:r>
    </w:p>
    <w:p w14:paraId="64173488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След 10 до 15 дни дозата трябва да се адаптира в зависимост от нивото на кръвната захар. Постепенното повишаване на дозата може да подобри гастроинтестиналната толерантност.</w:t>
      </w:r>
    </w:p>
    <w:p w14:paraId="3EC63C64" w14:textId="77777777" w:rsidR="003446E8" w:rsidRPr="003446E8" w:rsidRDefault="003446E8" w:rsidP="003446E8">
      <w:pPr>
        <w:rPr>
          <w:rFonts w:eastAsia="Times New Roman" w:cs="Arial"/>
          <w:color w:val="000000"/>
          <w:lang w:eastAsia="bg-BG"/>
        </w:rPr>
      </w:pPr>
    </w:p>
    <w:p w14:paraId="1AB70B51" w14:textId="698C19CA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 xml:space="preserve">Препоръчаната максимална дневна доза метформинов хидрохлорид е 2 </w:t>
      </w:r>
      <w:r w:rsidRPr="003446E8">
        <w:rPr>
          <w:rFonts w:eastAsia="Times New Roman" w:cs="Arial"/>
          <w:color w:val="000000"/>
          <w:lang w:val="en-US"/>
        </w:rPr>
        <w:t xml:space="preserve">g </w:t>
      </w:r>
      <w:r w:rsidRPr="003446E8">
        <w:rPr>
          <w:rFonts w:eastAsia="Times New Roman" w:cs="Arial"/>
          <w:color w:val="000000"/>
          <w:lang w:eastAsia="bg-BG"/>
        </w:rPr>
        <w:t>дневно, разделени на 2 или 3 приема.</w:t>
      </w:r>
    </w:p>
    <w:p w14:paraId="76C6D9F4" w14:textId="77777777" w:rsidR="003446E8" w:rsidRPr="0091385D" w:rsidRDefault="003446E8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5CD6CABB" w14:textId="77777777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Свръхчувствителност към активното вещество или някое от помощните вещества, изброени в точка 6.1</w:t>
      </w:r>
    </w:p>
    <w:p w14:paraId="5CB94E33" w14:textId="77777777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Всеки тип остра метаболитна ацидоза (като лактатна ацидоза, диабетна кетоацидоза)</w:t>
      </w:r>
    </w:p>
    <w:p w14:paraId="76E72C60" w14:textId="77777777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Диабетна пре-кома</w:t>
      </w:r>
    </w:p>
    <w:p w14:paraId="426504D7" w14:textId="77777777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Тежка бъбречна недостатъчност </w:t>
      </w:r>
      <w:r w:rsidRPr="003446E8">
        <w:rPr>
          <w:rFonts w:eastAsia="Times New Roman" w:cs="Arial"/>
          <w:color w:val="000000"/>
          <w:lang w:val="en-US"/>
        </w:rPr>
        <w:t xml:space="preserve">(GFR </w:t>
      </w:r>
      <w:r w:rsidRPr="003446E8">
        <w:rPr>
          <w:rFonts w:eastAsia="Times New Roman" w:cs="Arial"/>
          <w:color w:val="000000"/>
          <w:lang w:eastAsia="bg-BG"/>
        </w:rPr>
        <w:t xml:space="preserve">&lt;30 </w:t>
      </w:r>
      <w:proofErr w:type="spellStart"/>
      <w:r w:rsidRPr="003446E8">
        <w:rPr>
          <w:rFonts w:eastAsia="Times New Roman" w:cs="Arial"/>
          <w:color w:val="000000"/>
          <w:lang w:val="en-US"/>
        </w:rPr>
        <w:t>mJ</w:t>
      </w:r>
      <w:proofErr w:type="spellEnd"/>
      <w:r w:rsidRPr="003446E8">
        <w:rPr>
          <w:rFonts w:eastAsia="Times New Roman" w:cs="Arial"/>
          <w:color w:val="000000"/>
          <w:lang w:eastAsia="bg-BG"/>
        </w:rPr>
        <w:t>/мин)</w:t>
      </w:r>
    </w:p>
    <w:p w14:paraId="50C02928" w14:textId="77777777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Остри състояния, застрашаващи да влошат бъбречната функция, като: дехидратация, тежка инфекция, шок;</w:t>
      </w:r>
    </w:p>
    <w:p w14:paraId="0FC7490D" w14:textId="5B867840" w:rsidR="003446E8" w:rsidRPr="003446E8" w:rsidRDefault="003446E8" w:rsidP="003446E8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Заболявания, които могат да причинят тъканна хипоксия (особено остри заболявания или влошаване на хронични заболявания), като: декомпенсирана сърдечна недостатъчност, респираторна недостатъчност, наскоро прекаран миокарден инфаркт, шок;</w:t>
      </w:r>
    </w:p>
    <w:p w14:paraId="2309EAB0" w14:textId="6B4A29D9" w:rsidR="0091385D" w:rsidRPr="003446E8" w:rsidRDefault="003446E8" w:rsidP="003446E8">
      <w:pPr>
        <w:pStyle w:val="ListParagraph"/>
        <w:numPr>
          <w:ilvl w:val="0"/>
          <w:numId w:val="37"/>
        </w:num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Чернодробна недостатъчност, остра алкохолна интоксикация, алкохолизъм.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697C10AF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u w:val="single"/>
          <w:lang w:eastAsia="bg-BG"/>
        </w:rPr>
        <w:t>Лактатна ацидоза</w:t>
      </w:r>
    </w:p>
    <w:p w14:paraId="5798EB5B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Лактатната ацидоза, много рядко, но сериозно метаболитно усложнение, най-често настъпва при остро влошаване на бъбречната функция, кардио-респираторно заболяване или сепсис. Натрупването на метформин настъпва при остро влошаване на бъбречната функция и увеличава риска от лактатна ацидоза.</w:t>
      </w:r>
    </w:p>
    <w:p w14:paraId="2089DD79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 случай на дехидратация (тежка диария или повръщане, треска или намален прием на течности) трябва временно да се спре приема на метформин и е препоръчително да се установи връзка с медицински специалист.</w:t>
      </w:r>
    </w:p>
    <w:p w14:paraId="64023582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Приемът на лекарствени продукти, които могат остро да увредят бъбречната функция (като антихипертензивни средства, диуретици и НСПВС) трябва да се започне с повишено внимание при пациенти, лекувани с метформин. Други рискови фактори за лактатна ацидоза са прекомерен прием на алкохол, чернодробна недостатъчност, недостатъчно контролиран диабет, кетоза, продължително гладуване и всякакви състояния, свързани с хипоксия, както и едновременната употреба на лекарствени продукти, които могат да причинят лактатна ацидоза (виж точки 4.3 и 4.5).</w:t>
      </w:r>
    </w:p>
    <w:p w14:paraId="43CBB22A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Пациентите и/или болногледачите трябва да бъдат информирани за риска от лактатна ацидоза. Лактатната ацидоза се характеризира с ацидозна диспнея, коремна болка, мускулни крампи, астения и хипотермия, последвани от кома. В случай на съмнение за симптоми пациентът трябва да спре приема на метформин и незабавно да потърси лекарска помощ. Диагностичните лабораторни находки са понижено кръвно </w:t>
      </w:r>
      <w:r w:rsidRPr="003446E8">
        <w:rPr>
          <w:rFonts w:eastAsia="Times New Roman" w:cs="Arial"/>
          <w:color w:val="000000"/>
          <w:lang w:val="en-US"/>
        </w:rPr>
        <w:t xml:space="preserve">pH </w:t>
      </w:r>
      <w:r w:rsidRPr="003446E8">
        <w:rPr>
          <w:rFonts w:eastAsia="Times New Roman" w:cs="Arial"/>
          <w:color w:val="000000"/>
          <w:lang w:eastAsia="bg-BG"/>
        </w:rPr>
        <w:t xml:space="preserve">(&lt;7,35), повишени нива на плазмения лактат (&gt;5 </w:t>
      </w:r>
      <w:proofErr w:type="spellStart"/>
      <w:r w:rsidRPr="003446E8">
        <w:rPr>
          <w:rFonts w:eastAsia="Times New Roman" w:cs="Arial"/>
          <w:color w:val="000000"/>
          <w:lang w:val="en-US"/>
        </w:rPr>
        <w:t>mmol</w:t>
      </w:r>
      <w:proofErr w:type="spellEnd"/>
      <w:r w:rsidRPr="003446E8">
        <w:rPr>
          <w:rFonts w:eastAsia="Times New Roman" w:cs="Arial"/>
          <w:color w:val="000000"/>
          <w:lang w:val="en-US"/>
        </w:rPr>
        <w:t xml:space="preserve">/l) </w:t>
      </w:r>
      <w:r w:rsidRPr="003446E8">
        <w:rPr>
          <w:rFonts w:eastAsia="Times New Roman" w:cs="Arial"/>
          <w:color w:val="000000"/>
          <w:lang w:eastAsia="bg-BG"/>
        </w:rPr>
        <w:t>и повишена анионна разлика и съотношение лактат/пируват.</w:t>
      </w:r>
    </w:p>
    <w:p w14:paraId="5066277A" w14:textId="77777777" w:rsid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7ECB59" w14:textId="3A4DA956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Бъбречна функция</w:t>
      </w:r>
    </w:p>
    <w:p w14:paraId="016460AA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3BEE35" w14:textId="607ACCAF" w:rsidR="0091385D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Преди започване на лечението трябва да се направи оценка на стойностите на </w:t>
      </w:r>
      <w:r w:rsidRPr="003446E8">
        <w:rPr>
          <w:rFonts w:eastAsia="Times New Roman" w:cs="Arial"/>
          <w:color w:val="000000"/>
          <w:lang w:val="en-US"/>
        </w:rPr>
        <w:t xml:space="preserve">GFR </w:t>
      </w:r>
      <w:r w:rsidRPr="003446E8">
        <w:rPr>
          <w:rFonts w:eastAsia="Times New Roman" w:cs="Arial"/>
          <w:color w:val="000000"/>
          <w:lang w:eastAsia="bg-BG"/>
        </w:rPr>
        <w:t xml:space="preserve">и редовно след това, виж точка 4.2. Метформин е противопоказан при пациенти с </w:t>
      </w:r>
      <w:r w:rsidRPr="003446E8">
        <w:rPr>
          <w:rFonts w:eastAsia="Times New Roman" w:cs="Arial"/>
          <w:color w:val="000000"/>
          <w:lang w:val="en-US"/>
        </w:rPr>
        <w:t>GFR &lt;30 ml/</w:t>
      </w:r>
      <w:r>
        <w:rPr>
          <w:rFonts w:eastAsia="Times New Roman" w:cs="Arial"/>
          <w:color w:val="000000"/>
          <w:lang w:eastAsia="bg-BG"/>
        </w:rPr>
        <w:t xml:space="preserve">мин и </w:t>
      </w:r>
      <w:r w:rsidRPr="003446E8">
        <w:rPr>
          <w:rFonts w:eastAsia="Times New Roman" w:cs="Arial"/>
          <w:color w:val="000000"/>
          <w:lang w:eastAsia="bg-BG"/>
        </w:rPr>
        <w:t>трябва да бъде временно спрян при наличие на състояния, които променят бъбречната функция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3446E8">
        <w:rPr>
          <w:rFonts w:eastAsia="Times New Roman" w:cs="Arial"/>
          <w:color w:val="000000"/>
          <w:lang w:eastAsia="bg-BG"/>
        </w:rPr>
        <w:t>виж точка 4.3).</w:t>
      </w:r>
    </w:p>
    <w:p w14:paraId="24E3E82F" w14:textId="620B431E" w:rsidR="0091385D" w:rsidRDefault="0091385D" w:rsidP="0091385D"/>
    <w:p w14:paraId="33A60EEF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Сърдечна функция</w:t>
      </w:r>
    </w:p>
    <w:p w14:paraId="0497B0A2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Пациенти със сърдечна недостатъчност са изложени на по-голям риск от хипоксия и бъбречна недостатъчност. При пациенти със стабилна хронична сърдечна недостатъчност, метформин може да се използва при редовно наблюдение на сърдечната и бъбречната функция.</w:t>
      </w:r>
    </w:p>
    <w:p w14:paraId="6A4B021F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5FE71B" w14:textId="39D638BA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За пациенти с остра и нестабилна сърдечна недостатъчност, метформин е противопоказан (виж точка 4.3).</w:t>
      </w:r>
    </w:p>
    <w:p w14:paraId="60DA5B9E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31CFBF" w14:textId="5A9D5533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Приложение на Йод-съдържащи контрастни вещества</w:t>
      </w:r>
    </w:p>
    <w:p w14:paraId="2E50EBFE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FBC386" w14:textId="3284DE4D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Вътресъдовото приложение на йодирани контрастни вещества може да доведе до контраст- индуцирана нефропатия, водеща до натрупването на метформин и повишен риск от лактатна ацидоза. Метформин трябва да се спре преди или по време на процедурата за образна диагностика и не трябва да се възобновява до най-малко 48 часа след това, при условие че бъбречната функция е оценена отново и е установено, че е стабилна, виж точки 4.2 и 4.5.</w:t>
      </w:r>
    </w:p>
    <w:p w14:paraId="0D132526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88F686" w14:textId="33F9B14A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lastRenderedPageBreak/>
        <w:t>Операция</w:t>
      </w:r>
    </w:p>
    <w:p w14:paraId="786B30B3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663C7C" w14:textId="717A35B4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Метформин трябва да се спре по време на операция под обща, спинална или епидурална анестезия. Лечението може да бъде възобновено не по-рано от 48 часа след операцията или възобновяването на храненето през уста, и при условие че бъбречната функция е оценена отново и е установено, че е стабилна.</w:t>
      </w:r>
    </w:p>
    <w:p w14:paraId="5F640C98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2B37AB" w14:textId="43383C09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D034DB2" w14:textId="59E9149A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Преди започване на лечение с метформин, трябва да бъде потвърдена диагнозата за диабет тип 2.</w:t>
      </w:r>
    </w:p>
    <w:p w14:paraId="2000CDEF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C896CF" w14:textId="0536BD1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Проведените контролирани клинични изследвания в продължение на една година не са установили влияние на метформин върху растежа и пубертета, но засега няма по- продължителни наблюдения в тази област. Затова се препоръчва внимателно проследяване ефектите на метформин върху тези параметри, по-специално при лечение на деца в предпубергетна възраст.</w:t>
      </w:r>
    </w:p>
    <w:p w14:paraId="773346F9" w14:textId="77777777" w:rsidR="003446E8" w:rsidRPr="003446E8" w:rsidRDefault="003446E8" w:rsidP="003446E8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344E4151" w14:textId="382B7BA5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b/>
          <w:bCs/>
          <w:color w:val="000000"/>
          <w:u w:val="single"/>
          <w:lang w:eastAsia="bg-BG"/>
        </w:rPr>
        <w:t>Деца между 10 и 12 години</w:t>
      </w:r>
    </w:p>
    <w:p w14:paraId="65C2EB53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2C8A28" w14:textId="5DC83C6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 контролираните клинични проучвания на деца и юноши са били включени само 15 пациента на възраст между 10 и 12 години. Въпреки, че ефикасността и безопасността на метформин при тези деца не са по-различни от тези при по-големи деца и юноши, се препоръчва особено внимание при предписването на деца между 10 и 12 годишна възраст.</w:t>
      </w:r>
    </w:p>
    <w:p w14:paraId="5AFAB951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CBCF02D" w14:textId="01CAC52B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Други предупреждения:</w:t>
      </w:r>
    </w:p>
    <w:p w14:paraId="3C98DBCE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56F1C5" w14:textId="5FA44932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Всички пациенти трябва да продължат диетата си с равномерно разпределение на въглехидратния прием през деня. Пациентите с наднормено тегло трябва да спазват нискокалоричната си диета.</w:t>
      </w:r>
    </w:p>
    <w:p w14:paraId="495C3168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86037B" w14:textId="4F35431B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Обичайните лабораторни тестове за мониториране на диабета трябва да се извършват редовно.</w:t>
      </w:r>
    </w:p>
    <w:p w14:paraId="689EAD9C" w14:textId="77777777" w:rsidR="003446E8" w:rsidRPr="003446E8" w:rsidRDefault="003446E8" w:rsidP="003446E8">
      <w:pPr>
        <w:rPr>
          <w:rFonts w:eastAsia="Times New Roman" w:cs="Arial"/>
          <w:color w:val="000000"/>
          <w:lang w:eastAsia="bg-BG"/>
        </w:rPr>
      </w:pPr>
    </w:p>
    <w:p w14:paraId="651AC52A" w14:textId="70E0515F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Метформин, прилаган самостоятелно, не предизвиква хипогликемия, но трябва да се внимава, когато се използва в комбинация с инсулин и други перорални антидиабетни продукти (напр. сулфанилурейни продукти и меглитиниди).</w:t>
      </w:r>
    </w:p>
    <w:p w14:paraId="6D345DFF" w14:textId="77777777" w:rsidR="003446E8" w:rsidRPr="0091385D" w:rsidRDefault="003446E8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172AE819" w14:textId="4B15D2FB" w:rsidR="0091385D" w:rsidRDefault="003446E8" w:rsidP="0091385D">
      <w:r>
        <w:t>Не се препоръчва съпътстваща употреба</w:t>
      </w:r>
    </w:p>
    <w:p w14:paraId="1F4BD5B5" w14:textId="3B523128" w:rsidR="003446E8" w:rsidRDefault="003446E8" w:rsidP="0091385D"/>
    <w:p w14:paraId="5CC37412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Алкохол</w:t>
      </w:r>
    </w:p>
    <w:p w14:paraId="5148C85B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Алкохолната интоксикация се свързва с повишен риск от лактатна ацидоза, особено в случаи на гладуване, недохранване или чернодробна недостатъчност.</w:t>
      </w:r>
    </w:p>
    <w:p w14:paraId="2D1EA23D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3B2186" w14:textId="0FA0F689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Йодирани контрастни вещества:</w:t>
      </w:r>
    </w:p>
    <w:p w14:paraId="1C010539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82030C" w14:textId="0B42C80B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lastRenderedPageBreak/>
        <w:t>Метформин трябва задължително да се спре преди или по време на процедурата за образна диагностика и не трябва да се възобновява до най-малко 48 часа след това, при условие че бъбречната функция е оценена отново и е установено, че е стабилна, виж точки 4.2 и 4.4.</w:t>
      </w:r>
    </w:p>
    <w:p w14:paraId="10BCB86A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BBB674" w14:textId="6E320A29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Комбинации изискващи предпазни мерки:</w:t>
      </w:r>
    </w:p>
    <w:p w14:paraId="73CB21CD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536AD6" w14:textId="32FB752E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Някои лекарствени продукти могат да се отразят неблагоприятно на бъбречната функция, което може да увеличи риска от лактатна ацидоза, например НСПВС, включително селективни инхибитори на циклооксигеназа </w:t>
      </w:r>
      <w:r w:rsidRPr="003446E8">
        <w:rPr>
          <w:rFonts w:eastAsia="Times New Roman" w:cs="Arial"/>
          <w:color w:val="000000"/>
          <w:lang w:val="en-US"/>
        </w:rPr>
        <w:t xml:space="preserve">(COX) </w:t>
      </w:r>
      <w:r w:rsidRPr="003446E8">
        <w:rPr>
          <w:rFonts w:eastAsia="Times New Roman" w:cs="Arial"/>
          <w:color w:val="000000"/>
          <w:lang w:eastAsia="bg-BG"/>
        </w:rPr>
        <w:t>II, АСЕ инхибитори, ангиотензин II рецепторни антагонисти и диуретици, особено бримкови диуретици. При започването или употребата на такива продукти в комбинация с метформин е необходимо внимателно проследяване на бъбречната функция.</w:t>
      </w:r>
    </w:p>
    <w:p w14:paraId="7655550F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3686C1" w14:textId="52DCA93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Лекарствени продукти с вътрешна хипергликемична активност (напр. глюкокортикостероиди [системно и локално приложение] и симпатомиметици):</w:t>
      </w:r>
    </w:p>
    <w:p w14:paraId="06CD5837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DC9358" w14:textId="42AD20BA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Може да е необходимо по-често проследяване нивото на кръвната захар, особено в началото на лечението. При нужда, дозата на метформин трябва да се адаптира по време на лечението със съответния лекарствен продукт и след неговото спиране.</w:t>
      </w:r>
    </w:p>
    <w:p w14:paraId="2602A711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0D9347" w14:textId="0EBDE4E4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Транспортери на органични катиони (ОКТ)</w:t>
      </w:r>
    </w:p>
    <w:p w14:paraId="1C861685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D7CB75" w14:textId="4ECFFF68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Метформин е субстрат и на двата транспортера ОКТ1 и ОКТ2.</w:t>
      </w:r>
    </w:p>
    <w:p w14:paraId="1CC71108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A517FB" w14:textId="5F1AA8B5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Едновременното приложение на метформин с</w:t>
      </w:r>
    </w:p>
    <w:p w14:paraId="0395AECF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Инхибитори на ОКТ1 (като верапамил) могат да намалят ефикасността на метформин.</w:t>
      </w:r>
    </w:p>
    <w:p w14:paraId="205FFEA3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Индуктори на ОКТ1 (като рифампицин) могат да повишат гастроинтестиналната абсорбция и ефикасността на метформин.</w:t>
      </w:r>
    </w:p>
    <w:p w14:paraId="1DB878FA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Инхибитори на ОКТ2 (като циметидин, долутегравир, ранолазин, триметоприм, вандетаниб, исавуконазол) могат да понижат елиминирането на метформин през бъбреците и това да доведе до повишена плазмена концентрация на метформин.</w:t>
      </w:r>
    </w:p>
    <w:p w14:paraId="4905C66B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Инхибитори на ОКТ1 и ОКТ2 (като кризотиниб, олапариб) могат да променят ефикасността и бъбречната елиминация на метформин.</w:t>
      </w:r>
    </w:p>
    <w:p w14:paraId="5B34B268" w14:textId="7D99C82A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Следователно, необходимо е да се обръща внимание, особено при пациенти с бъбречно увреждане, когато тези лекарствени продукти се прилагат едновременно с метформин, тъй като плазмената концентрация на метформин може да бъде повишена. Ако е необходимо, може да се обмисли корекция на дозата, тъй като ОКТ инхибиторите/индукторите могат да променят ефикасността на метформин.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62642946" w14:textId="77777777" w:rsidR="003446E8" w:rsidRPr="003446E8" w:rsidRDefault="003446E8" w:rsidP="003446E8">
      <w:pPr>
        <w:pStyle w:val="Heading3"/>
        <w:rPr>
          <w:color w:val="auto"/>
          <w:u w:val="single"/>
        </w:rPr>
      </w:pPr>
      <w:r w:rsidRPr="003446E8">
        <w:rPr>
          <w:u w:val="single"/>
        </w:rPr>
        <w:t>Бременн</w:t>
      </w:r>
      <w:bookmarkStart w:id="2" w:name="_GoBack"/>
      <w:bookmarkEnd w:id="2"/>
      <w:r w:rsidRPr="003446E8">
        <w:rPr>
          <w:u w:val="single"/>
        </w:rPr>
        <w:t>ост</w:t>
      </w:r>
    </w:p>
    <w:p w14:paraId="37904F74" w14:textId="77777777" w:rsidR="003446E8" w:rsidRPr="003446E8" w:rsidRDefault="003446E8" w:rsidP="003446E8">
      <w:pPr>
        <w:rPr>
          <w:rFonts w:cs="Arial"/>
        </w:rPr>
      </w:pPr>
      <w:r w:rsidRPr="003446E8">
        <w:rPr>
          <w:rFonts w:cs="Arial"/>
        </w:rPr>
        <w:t>По време на бременност неконтролирания диабет (гестационен или постоянен) се свързва с повишен риск от вродени аномалии или перинатална смъртност.</w:t>
      </w:r>
    </w:p>
    <w:p w14:paraId="2A7A2287" w14:textId="77777777" w:rsidR="003446E8" w:rsidRPr="003446E8" w:rsidRDefault="003446E8" w:rsidP="003446E8">
      <w:pPr>
        <w:rPr>
          <w:rFonts w:cs="Arial"/>
        </w:rPr>
      </w:pPr>
    </w:p>
    <w:p w14:paraId="3644D3A2" w14:textId="1C4F54EF" w:rsidR="003446E8" w:rsidRPr="003446E8" w:rsidRDefault="003446E8" w:rsidP="003446E8">
      <w:pPr>
        <w:rPr>
          <w:rFonts w:cs="Arial"/>
        </w:rPr>
      </w:pPr>
      <w:r w:rsidRPr="003446E8">
        <w:rPr>
          <w:rFonts w:cs="Arial"/>
        </w:rPr>
        <w:t>Ограничените данни за употребата на метформин при бременни жени не се свързват с повишен риск от вродени аномалии.</w:t>
      </w:r>
    </w:p>
    <w:p w14:paraId="0977B410" w14:textId="77777777" w:rsidR="003446E8" w:rsidRPr="003446E8" w:rsidRDefault="003446E8" w:rsidP="003446E8">
      <w:pPr>
        <w:rPr>
          <w:rFonts w:cs="Arial"/>
        </w:rPr>
      </w:pPr>
    </w:p>
    <w:p w14:paraId="776662C5" w14:textId="76D83412" w:rsidR="0091385D" w:rsidRPr="003446E8" w:rsidRDefault="003446E8" w:rsidP="003446E8">
      <w:pPr>
        <w:rPr>
          <w:rFonts w:cs="Arial"/>
        </w:rPr>
      </w:pPr>
      <w:r w:rsidRPr="003446E8">
        <w:rPr>
          <w:rFonts w:cs="Arial"/>
        </w:rPr>
        <w:t>Опитите с животни не показват увреждащи ефекти, свързани с бременността, ембрионалното</w:t>
      </w:r>
      <w:r w:rsidRPr="003446E8">
        <w:rPr>
          <w:rFonts w:cs="Arial"/>
          <w:lang w:val="en-US"/>
        </w:rPr>
        <w:t xml:space="preserve"> </w:t>
      </w:r>
      <w:r w:rsidRPr="003446E8">
        <w:rPr>
          <w:rFonts w:cs="Arial"/>
        </w:rPr>
        <w:t>или феталното развитие, раждане или постнатално развитие (виж точка 5.3).</w:t>
      </w:r>
    </w:p>
    <w:p w14:paraId="3E8789C3" w14:textId="5F5283B5" w:rsidR="0091385D" w:rsidRDefault="0091385D" w:rsidP="0091385D"/>
    <w:p w14:paraId="6C2CC192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 случай на планирано бъдещо забременяване и по време на бременност, се препоръчва за лечение на диабет да не се използва метформин, а за поддържане на нивото на кръвната захар възможно най-близко до нормалното, да се прилага инсулин, за намаляване на риска от малформации на плода.</w:t>
      </w:r>
    </w:p>
    <w:p w14:paraId="362BE0BA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0AF0D5" w14:textId="02E21427" w:rsidR="003446E8" w:rsidRPr="003446E8" w:rsidRDefault="003446E8" w:rsidP="003446E8">
      <w:pPr>
        <w:pStyle w:val="Heading3"/>
        <w:rPr>
          <w:rFonts w:eastAsia="Times New Roman"/>
          <w:u w:val="single"/>
          <w:lang w:eastAsia="bg-BG"/>
        </w:rPr>
      </w:pPr>
      <w:r w:rsidRPr="003446E8">
        <w:rPr>
          <w:rFonts w:eastAsia="Times New Roman"/>
          <w:u w:val="single"/>
          <w:lang w:eastAsia="bg-BG"/>
        </w:rPr>
        <w:t>Кърмене</w:t>
      </w:r>
    </w:p>
    <w:p w14:paraId="1AC5D959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Метформин се екскретира в кърмата. Не са наблюдавани нежелани лекарствени реакции при новородени кърмачета/ малки деца. Все пак, поради ограничените налични данни, кърменето не се препоръчва по време на лечение с метформин.</w:t>
      </w:r>
    </w:p>
    <w:p w14:paraId="332FE720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Трябва да се вземе решение, дали да се преустанови кърменето, като се има предвид ползата от кърменето и потенциалния риск от нежелани лекарствени реакции за детето.</w:t>
      </w:r>
    </w:p>
    <w:p w14:paraId="1258CC80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C28E84" w14:textId="07E2DD8E" w:rsidR="003446E8" w:rsidRPr="003446E8" w:rsidRDefault="003446E8" w:rsidP="003446E8">
      <w:pPr>
        <w:pStyle w:val="Heading3"/>
        <w:rPr>
          <w:rFonts w:eastAsia="Times New Roman"/>
          <w:u w:val="single"/>
          <w:lang w:eastAsia="bg-BG"/>
        </w:rPr>
      </w:pPr>
      <w:r w:rsidRPr="003446E8">
        <w:rPr>
          <w:rFonts w:eastAsia="Times New Roman"/>
          <w:u w:val="single"/>
          <w:lang w:eastAsia="bg-BG"/>
        </w:rPr>
        <w:t>Фeртилитeт</w:t>
      </w:r>
    </w:p>
    <w:p w14:paraId="7B93A99E" w14:textId="75E23A43" w:rsidR="003446E8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 xml:space="preserve">При мъжки и женски плъхове фертилитетът не се повлиява от метформин, приложен в дози до 600 </w:t>
      </w:r>
      <w:r w:rsidRPr="003446E8">
        <w:rPr>
          <w:rFonts w:eastAsia="Times New Roman" w:cs="Arial"/>
          <w:color w:val="000000"/>
          <w:lang w:val="en-US"/>
        </w:rPr>
        <w:t>mg/kg</w:t>
      </w:r>
      <w:r w:rsidRPr="003446E8">
        <w:rPr>
          <w:rFonts w:eastAsia="Times New Roman" w:cs="Arial"/>
          <w:color w:val="000000"/>
          <w:lang w:eastAsia="bg-BG"/>
        </w:rPr>
        <w:t>/на ден, което е почти три пъти повече от максималната препоръчана дневна доза при хора, на база сравнение на телесна повърхност.</w:t>
      </w:r>
    </w:p>
    <w:p w14:paraId="07B773B4" w14:textId="77777777" w:rsidR="003446E8" w:rsidRPr="0091385D" w:rsidRDefault="003446E8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5103276C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Метформин като монотерапия не води до хипогликемия и затова няма влияние върху способността за шофиране и работа с машини.</w:t>
      </w:r>
    </w:p>
    <w:p w14:paraId="2B4135A6" w14:textId="010C2D7C" w:rsidR="0091385D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color w:val="000000"/>
          <w:lang w:eastAsia="bg-BG"/>
        </w:rPr>
        <w:t>Все пак, пациентите трябва да са предупредени за риска от появата на хипогликемия, когато метформин се използва в комбинация с други антидиабентни лекарствени продукти (напр. сулфанилурейни, инсулин или меглитиниди).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79F656F4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В началото на лечението, най-честите нежелани лекарствени реакции са гадене, повръщане, диария, стомашна болка и загуба на апетит, които в повечето случаи отминават спонтанно. За предотвратяването им се препоръчва метформин да се приема на две или три дневни дози и постепенно увеличаване на дозите.</w:t>
      </w:r>
    </w:p>
    <w:p w14:paraId="1519A3DA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72D116" w14:textId="739ACF8F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По време на лечение с метформин могат да се появят следните нежелани лекарствени реакции. Честотата им се определя както следва: много чести: ≥1/10; чести: (≥1/100 до &lt;1/10); нечести: (≥1/1000 до &lt;1/100); редки: (≥1/10000 до &lt;1/1000); много редки: (&lt;1/10000), с неизвестна честота (от наличните данни не може да бъде направена оценка).</w:t>
      </w:r>
    </w:p>
    <w:p w14:paraId="53F0A36E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CC4257" w14:textId="13AFA243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При всяко групиране в зависимост от честотата, нежеланите лекарствени реакции се изброяват в низходящ ред по отношение на тежестта.</w:t>
      </w:r>
    </w:p>
    <w:p w14:paraId="7C622A05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19B522" w14:textId="51BA8A8D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Нарушения на метаболизма и храненето</w:t>
      </w:r>
    </w:p>
    <w:p w14:paraId="72D7BD98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946B5A9" w14:textId="5CF30A1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lastRenderedPageBreak/>
        <w:t>Много редки:</w:t>
      </w:r>
    </w:p>
    <w:p w14:paraId="08B40C35" w14:textId="77777777" w:rsidR="003446E8" w:rsidRPr="003446E8" w:rsidRDefault="003446E8" w:rsidP="003446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Лактатна ацидоза (виж точка 4.4)</w:t>
      </w:r>
    </w:p>
    <w:p w14:paraId="7E4511BC" w14:textId="77777777" w:rsidR="003446E8" w:rsidRPr="003446E8" w:rsidRDefault="003446E8" w:rsidP="003446E8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 xml:space="preserve">Намалена абсорбция на Витамин </w:t>
      </w:r>
      <w:r w:rsidRPr="003446E8">
        <w:rPr>
          <w:rFonts w:eastAsia="Times New Roman" w:cs="Arial"/>
          <w:color w:val="000000"/>
          <w:lang w:val="en-US"/>
        </w:rPr>
        <w:t>B</w:t>
      </w:r>
      <w:r w:rsidRPr="003446E8">
        <w:rPr>
          <w:rFonts w:eastAsia="Times New Roman" w:cs="Arial"/>
          <w:color w:val="000000"/>
          <w:vertAlign w:val="subscript"/>
          <w:lang w:val="en-US"/>
        </w:rPr>
        <w:t>12</w:t>
      </w:r>
      <w:r w:rsidRPr="003446E8">
        <w:rPr>
          <w:rFonts w:eastAsia="Times New Roman" w:cs="Arial"/>
          <w:color w:val="000000"/>
          <w:lang w:eastAsia="bg-BG"/>
        </w:rPr>
        <w:t xml:space="preserve"> и намаляване на серумните нива по време на продължително лечение с метформин. Препоръчва се подобна етиология да се вземе предвид в случай, че пациентът има мегалобластна анемия.</w:t>
      </w:r>
    </w:p>
    <w:p w14:paraId="39176DA3" w14:textId="77777777" w:rsidR="003446E8" w:rsidRPr="003446E8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C65A40" w14:textId="59915FDC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2649E4CE" w14:textId="77777777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68113F4" w14:textId="7264F64D" w:rsidR="003446E8" w:rsidRPr="003446E8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Чести:</w:t>
      </w:r>
    </w:p>
    <w:p w14:paraId="0BF934A3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00E75528" w14:textId="77777777" w:rsidR="003446E8" w:rsidRPr="003446E8" w:rsidRDefault="003446E8" w:rsidP="003446E8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Нарушения на вкуса</w:t>
      </w:r>
    </w:p>
    <w:p w14:paraId="45BA8705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FDA9A18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20565068" w14:textId="77777777" w:rsidR="003446E8" w:rsidRPr="003446E8" w:rsidRDefault="003446E8" w:rsidP="003446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570508C4" w14:textId="2A575669" w:rsidR="0091385D" w:rsidRPr="003446E8" w:rsidRDefault="003446E8" w:rsidP="003446E8">
      <w:pPr>
        <w:rPr>
          <w:rFonts w:cs="Arial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Много чести:</w:t>
      </w:r>
    </w:p>
    <w:p w14:paraId="43E3C48F" w14:textId="7BDB7DFC" w:rsidR="0091385D" w:rsidRDefault="0091385D" w:rsidP="0091385D"/>
    <w:p w14:paraId="6A0BEE4B" w14:textId="77777777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Стомашно-чревни нарушения, като гадене, повръщане, диария, абдоминална болка и загуба на апетит. Тези нежелани реакции се появяват най-често в началото на терапията и отминават спонтанно в повечето случаи. За да се предотвратят тези симптоми, е препоръчително метформин да се приема на 2 или 3 дневни дози по време или след хранене. Бавното увеличаване на дозата може също да подобри гастроинтестиналната толерантност.</w:t>
      </w:r>
    </w:p>
    <w:p w14:paraId="5F8C218E" w14:textId="77777777" w:rsidR="003446E8" w:rsidRPr="00283D47" w:rsidRDefault="003446E8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C1AB81" w14:textId="5EE703DD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Хепатобилиарни нарушения</w:t>
      </w:r>
    </w:p>
    <w:p w14:paraId="332BFC4E" w14:textId="77777777" w:rsidR="00283D47" w:rsidRPr="00283D47" w:rsidRDefault="00283D47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DD6229" w14:textId="7AA8A76D" w:rsidR="003446E8" w:rsidRPr="00283D47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Много редки:</w:t>
      </w:r>
    </w:p>
    <w:p w14:paraId="2280CE1B" w14:textId="77777777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</w:p>
    <w:p w14:paraId="7E0B80C1" w14:textId="77777777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Единични случаи на аномалии в чернодробните изследвания или хепатит, които преминават след преустановяване на лечението с метформин.</w:t>
      </w:r>
    </w:p>
    <w:p w14:paraId="62553A40" w14:textId="77777777" w:rsidR="00283D47" w:rsidRPr="00283D47" w:rsidRDefault="00283D47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575F5B" w14:textId="1218F3FF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4E517C98" w14:textId="77777777" w:rsidR="003446E8" w:rsidRPr="00283D47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F1E79F" w14:textId="397B11FB" w:rsidR="003446E8" w:rsidRPr="00283D47" w:rsidRDefault="003446E8" w:rsidP="003446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3446E8">
        <w:rPr>
          <w:rFonts w:eastAsia="Times New Roman" w:cs="Arial"/>
          <w:i/>
          <w:iCs/>
          <w:color w:val="000000"/>
          <w:lang w:eastAsia="bg-BG"/>
        </w:rPr>
        <w:t>Много редки:</w:t>
      </w:r>
    </w:p>
    <w:p w14:paraId="416D9543" w14:textId="77777777" w:rsidR="00283D47" w:rsidRPr="003446E8" w:rsidRDefault="00283D47" w:rsidP="003446E8">
      <w:pPr>
        <w:spacing w:line="240" w:lineRule="auto"/>
        <w:rPr>
          <w:rFonts w:eastAsia="Times New Roman" w:cs="Arial"/>
          <w:lang w:eastAsia="bg-BG"/>
        </w:rPr>
      </w:pPr>
    </w:p>
    <w:p w14:paraId="6F4F9620" w14:textId="77777777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•</w:t>
      </w:r>
      <w:r w:rsidRPr="003446E8">
        <w:rPr>
          <w:rFonts w:eastAsia="Times New Roman" w:cs="Arial"/>
          <w:color w:val="000000"/>
          <w:lang w:eastAsia="bg-BG"/>
        </w:rPr>
        <w:tab/>
        <w:t>Кожни реакции, като еритема, пруритус, уртикария.</w:t>
      </w:r>
    </w:p>
    <w:p w14:paraId="21CFE5E8" w14:textId="77777777" w:rsidR="00283D47" w:rsidRPr="00283D47" w:rsidRDefault="00283D47" w:rsidP="003446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3F41E2" w14:textId="34AE67C6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4CF6979" w14:textId="77777777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color w:val="000000"/>
          <w:lang w:eastAsia="bg-BG"/>
        </w:rPr>
        <w:t>Нежеланите лекарствени реакции от публикации и постмаркетингови източници, както и от контролирани клинични проучвания на малка група деца, между 10 и 16 години, третирани в продължение на 1 година, са подобни на наблюдаваните при възрастни по отношение на характера и тежестта им.</w:t>
      </w:r>
    </w:p>
    <w:p w14:paraId="494D4720" w14:textId="77777777" w:rsidR="00283D47" w:rsidRPr="00283D47" w:rsidRDefault="00283D47" w:rsidP="003446E8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440E0FCA" w14:textId="24040555" w:rsidR="003446E8" w:rsidRPr="003446E8" w:rsidRDefault="003446E8" w:rsidP="003446E8">
      <w:pPr>
        <w:spacing w:line="240" w:lineRule="auto"/>
        <w:rPr>
          <w:rFonts w:eastAsia="Times New Roman" w:cs="Arial"/>
          <w:lang w:eastAsia="bg-BG"/>
        </w:rPr>
      </w:pPr>
      <w:r w:rsidRPr="003446E8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2E7D33DE" w14:textId="6A808123" w:rsidR="003446E8" w:rsidRPr="00283D47" w:rsidRDefault="003446E8" w:rsidP="003446E8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+35 928903417, уебсайт: </w:t>
      </w:r>
      <w:r w:rsidRPr="00283D47">
        <w:rPr>
          <w:rFonts w:eastAsia="Times New Roman" w:cs="Arial"/>
          <w:lang w:eastAsia="bg-BG"/>
        </w:rPr>
        <w:fldChar w:fldCharType="begin"/>
      </w:r>
      <w:r w:rsidRPr="00283D47">
        <w:rPr>
          <w:rFonts w:eastAsia="Times New Roman" w:cs="Arial"/>
          <w:lang w:eastAsia="bg-BG"/>
        </w:rPr>
        <w:instrText xml:space="preserve"> HYPERLINK "http://www.bda.bg" </w:instrText>
      </w:r>
      <w:r w:rsidRPr="00283D47">
        <w:rPr>
          <w:rFonts w:eastAsia="Times New Roman" w:cs="Arial"/>
          <w:lang w:eastAsia="bg-BG"/>
        </w:rPr>
      </w:r>
      <w:r w:rsidRPr="00283D47">
        <w:rPr>
          <w:rFonts w:eastAsia="Times New Roman" w:cs="Arial"/>
          <w:lang w:eastAsia="bg-BG"/>
        </w:rPr>
        <w:fldChar w:fldCharType="separate"/>
      </w:r>
      <w:r w:rsidRPr="00283D47">
        <w:rPr>
          <w:rFonts w:eastAsia="Times New Roman" w:cs="Arial"/>
          <w:color w:val="000000"/>
          <w:u w:val="single"/>
          <w:lang w:val="en-US"/>
        </w:rPr>
        <w:t>www.bda.bg</w:t>
      </w:r>
      <w:r w:rsidRPr="00283D47">
        <w:rPr>
          <w:rFonts w:eastAsia="Times New Roman" w:cs="Arial"/>
          <w:lang w:eastAsia="bg-BG"/>
        </w:rPr>
        <w:fldChar w:fldCharType="end"/>
      </w:r>
      <w:r w:rsidRPr="00283D47">
        <w:rPr>
          <w:rFonts w:eastAsia="Times New Roman" w:cs="Arial"/>
          <w:color w:val="000000"/>
          <w:lang w:val="en-US"/>
        </w:rPr>
        <w:t>.</w:t>
      </w:r>
    </w:p>
    <w:p w14:paraId="4F8D7AFA" w14:textId="77777777" w:rsidR="003446E8" w:rsidRPr="0091385D" w:rsidRDefault="003446E8" w:rsidP="0091385D"/>
    <w:p w14:paraId="0A023CE0" w14:textId="13F87CFD" w:rsidR="00CF77F7" w:rsidRDefault="002C50EE" w:rsidP="004A448E">
      <w:pPr>
        <w:pStyle w:val="Heading2"/>
      </w:pPr>
      <w:r>
        <w:lastRenderedPageBreak/>
        <w:t>4.9. Предозиране</w:t>
      </w:r>
    </w:p>
    <w:p w14:paraId="3EDFC3FC" w14:textId="296E7EBA" w:rsidR="0091385D" w:rsidRDefault="0091385D" w:rsidP="0091385D"/>
    <w:p w14:paraId="1A4CFC3C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Хипогликемия не се наблюдава дори при дози на метформинов хидрохлорцд до 85 </w:t>
      </w:r>
      <w:r w:rsidRPr="00283D47">
        <w:rPr>
          <w:rFonts w:eastAsia="Times New Roman" w:cs="Arial"/>
          <w:color w:val="000000"/>
          <w:lang w:val="en-US"/>
        </w:rPr>
        <w:t xml:space="preserve">g, </w:t>
      </w:r>
      <w:r w:rsidRPr="00283D47">
        <w:rPr>
          <w:rFonts w:eastAsia="Times New Roman" w:cs="Arial"/>
          <w:color w:val="000000"/>
          <w:lang w:eastAsia="bg-BG"/>
        </w:rPr>
        <w:t>въпреки че при такива обстоятелства се появява лактатна ацидоза.</w:t>
      </w:r>
    </w:p>
    <w:p w14:paraId="1675491D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Значителното предозиране на метформин и съпътстващите рискови фактори могат да доведат до лактатна ацидоза.</w:t>
      </w:r>
    </w:p>
    <w:p w14:paraId="0F0079CB" w14:textId="2C82A3AB" w:rsidR="0091385D" w:rsidRPr="00283D47" w:rsidRDefault="00283D47" w:rsidP="00283D47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>Лактатната ацидоза е спешно състояние и трябва да се лекува в болница. Най-ефективното лечение е отстраняването на лактат и метформин чрез хемодиализа.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2368CDB4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Фармакотерапевтична група: Лекарствени продукти, понижаващи нивото на кръвната захар. Бигваниди. АТС код: А10ВА02</w:t>
      </w:r>
    </w:p>
    <w:p w14:paraId="62105262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A824F9" w14:textId="4B71A694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B9F08DE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Метформин е бигванид с антихипергликемични ефекти, намаляващи</w:t>
      </w:r>
      <w:r w:rsidRPr="00283D47">
        <w:rPr>
          <w:rFonts w:eastAsia="Times New Roman" w:cs="Arial"/>
          <w:color w:val="000000"/>
          <w:lang w:val="en-US"/>
        </w:rPr>
        <w:t xml:space="preserve"> </w:t>
      </w:r>
      <w:r w:rsidRPr="00283D47">
        <w:rPr>
          <w:rFonts w:eastAsia="Times New Roman" w:cs="Arial"/>
          <w:color w:val="000000"/>
          <w:lang w:eastAsia="bg-BG"/>
        </w:rPr>
        <w:t>базалната и</w:t>
      </w:r>
      <w:r w:rsidRPr="00283D47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283D47">
        <w:rPr>
          <w:rFonts w:eastAsia="Times New Roman" w:cs="Arial"/>
          <w:color w:val="000000"/>
          <w:lang w:eastAsia="bg-BG"/>
        </w:rPr>
        <w:t>постпрандиалната кръвна захар. Той не стимулира инсулиновата секреция, затова не предизвиква хипогликемия.</w:t>
      </w:r>
    </w:p>
    <w:p w14:paraId="28252AA0" w14:textId="1F24377E" w:rsidR="0091385D" w:rsidRPr="00283D47" w:rsidRDefault="00283D47" w:rsidP="00283D47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>Метформин може да действа чрез три механизма:</w:t>
      </w:r>
    </w:p>
    <w:p w14:paraId="36152471" w14:textId="484F86E9" w:rsidR="0091385D" w:rsidRPr="00283D47" w:rsidRDefault="0091385D" w:rsidP="0091385D">
      <w:pPr>
        <w:rPr>
          <w:rFonts w:cs="Arial"/>
        </w:rPr>
      </w:pPr>
    </w:p>
    <w:p w14:paraId="4A9C600B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намалява чернодробната продукция на глюкоза, чрез инхибиране на глюконеогенезата и гликогенолизата.</w:t>
      </w:r>
    </w:p>
    <w:p w14:paraId="6C1D5AAA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в мускулите, чрез повишаване на чувствителността към инсулин, подобряване на периферния прием и усвояване на глюкозата.</w:t>
      </w:r>
    </w:p>
    <w:p w14:paraId="3D2C0F57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чрез забавяне на абсорбцията на глюкозата в червата.</w:t>
      </w:r>
    </w:p>
    <w:p w14:paraId="5E553F84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Метформин стимулира интрацелуларния синтез на гликоген, като въздейства върху гликоген-</w:t>
      </w:r>
    </w:p>
    <w:p w14:paraId="07728CAA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синтазата.</w:t>
      </w:r>
    </w:p>
    <w:p w14:paraId="508B03D7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Метформин повишава транспортния капацитет на всички видове мембранни преносители на глюкоза </w:t>
      </w:r>
      <w:r w:rsidRPr="00283D47">
        <w:rPr>
          <w:rFonts w:eastAsia="Times New Roman" w:cs="Arial"/>
          <w:color w:val="000000"/>
          <w:lang w:val="en-US"/>
        </w:rPr>
        <w:t xml:space="preserve">(GLUT), </w:t>
      </w:r>
      <w:r w:rsidRPr="00283D47">
        <w:rPr>
          <w:rFonts w:eastAsia="Times New Roman" w:cs="Arial"/>
          <w:color w:val="000000"/>
          <w:lang w:eastAsia="bg-BG"/>
        </w:rPr>
        <w:t>известни досега.</w:t>
      </w:r>
    </w:p>
    <w:p w14:paraId="49230BF1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1F1DC9" w14:textId="6434656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3F3562E4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C650DB" w14:textId="608DE920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В клинични проучвания, употребата на метформин се свързва със стабилизиране на теглото или с умерена загуба на тегло.</w:t>
      </w:r>
    </w:p>
    <w:p w14:paraId="0718BB2E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Метформин има благоприятни ефекти върху липидния метаболизъм при хора, независимо от неговото действие върху гликемията. Това е показано в терапевтични дози при контролирани, средносрочни или дългосрочни клинични проучвания: метформин намалява нивата на общия холестерол, </w:t>
      </w:r>
      <w:r w:rsidRPr="00283D47">
        <w:rPr>
          <w:rFonts w:eastAsia="Times New Roman" w:cs="Arial"/>
          <w:color w:val="000000"/>
          <w:lang w:val="en-US"/>
        </w:rPr>
        <w:t>LDL</w:t>
      </w:r>
      <w:r w:rsidRPr="00283D47">
        <w:rPr>
          <w:rFonts w:eastAsia="Times New Roman" w:cs="Arial"/>
          <w:color w:val="000000"/>
          <w:lang w:eastAsia="bg-BG"/>
        </w:rPr>
        <w:t>-холестерола и триглицеридите.</w:t>
      </w:r>
    </w:p>
    <w:p w14:paraId="1E19B7AA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D17880" w14:textId="7E1F9EBD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4F011D03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08A775" w14:textId="5BA7CA1A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Проспективното рандомизирано проучване </w:t>
      </w:r>
      <w:r w:rsidRPr="00283D47">
        <w:rPr>
          <w:rFonts w:eastAsia="Times New Roman" w:cs="Arial"/>
          <w:color w:val="000000"/>
          <w:lang w:val="en-US"/>
        </w:rPr>
        <w:t xml:space="preserve">(UKPDS) </w:t>
      </w:r>
      <w:r w:rsidRPr="00283D47">
        <w:rPr>
          <w:rFonts w:eastAsia="Times New Roman" w:cs="Arial"/>
          <w:color w:val="000000"/>
          <w:lang w:eastAsia="bg-BG"/>
        </w:rPr>
        <w:t>потвърди дълготрайната полза от интензивния контрол на кръвната захар при възрастни пациенти с диабет тип 2.</w:t>
      </w:r>
    </w:p>
    <w:p w14:paraId="6814006C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0D0EFE" w14:textId="78C2E68F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lastRenderedPageBreak/>
        <w:t>Анализът на резултатите при пациенти с наднормено тегло, лекувани с метформин след като без успех е приложена само диета, показват:</w:t>
      </w:r>
    </w:p>
    <w:p w14:paraId="7404F7CB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значително намаление на абсолютния риск от всякакви усложнения, свързани с диабета, в групата на метформин (29,8 случая/1000 пациент-години) в сравнение с групата пациенти само на диета (43,3 случая/1000 пациент-години), р=0,0023, и в сравнение с групите на сулфанилурейни лекарствени продукти и инсулин, монотерапия (40,1 случая/1000 пациент-години), р=0,0034;</w:t>
      </w:r>
    </w:p>
    <w:p w14:paraId="7DA3188F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значително намаление на абсолютния риск за смъртност, свързана с диабета: метформин 7,5 случая/1000 пациент-години, само диета: 12,7 случая/1000 пациент-години, р=0,017;</w:t>
      </w:r>
    </w:p>
    <w:p w14:paraId="74F222DA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значително намаление на абсолютния риск за обща смъртност: метформин 13,5 случая/1000 пациент-години, в сравнение с групата пациенти само на диета: 20,6 случая/1000 пациент-години (р=0,011), и в сравнение с комбинираните групи на сулфанилурейни лекарствени продукти и с инсулин, монотерапия: 18,9 случая/1000 пациент-години (р=0,021);</w:t>
      </w:r>
    </w:p>
    <w:p w14:paraId="082FFD9C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•</w:t>
      </w:r>
      <w:r w:rsidRPr="00283D47">
        <w:rPr>
          <w:rFonts w:eastAsia="Times New Roman" w:cs="Arial"/>
          <w:color w:val="000000"/>
          <w:lang w:eastAsia="bg-BG"/>
        </w:rPr>
        <w:tab/>
        <w:t>значително намаление на абсолютния риск за миокарден инфаркт: метформин 11 случая/1000 пациент-години, само диета: 18 случая/1000 пациент-години (р=0,01)</w:t>
      </w:r>
    </w:p>
    <w:p w14:paraId="3420F941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Не са наблюдавани клинични ползи при комбиниране на метформин със сулфанилурея, прилаган като втора линия на лечение.</w:t>
      </w:r>
    </w:p>
    <w:p w14:paraId="5D48CF92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06F333" w14:textId="5FB27BEB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Комбинацията на метформин и инсулин е прилагана при избрани пациенти с диабет тип 1, но клинична полза не е категорично установена.</w:t>
      </w:r>
    </w:p>
    <w:p w14:paraId="4074E643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ACDB65" w14:textId="62610E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DF76260" w14:textId="636992DF" w:rsidR="00283D47" w:rsidRPr="00283D47" w:rsidRDefault="00283D47" w:rsidP="00283D47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>Контролирани клинични проучвания с неголяма група деца, между 10 и 16 години, третирани в продължение на 1 година, са показали промени в нивото на кръвната захар, аналогични при възрастни пациенти.</w:t>
      </w:r>
    </w:p>
    <w:p w14:paraId="56040DBD" w14:textId="77777777" w:rsidR="00283D47" w:rsidRPr="0091385D" w:rsidRDefault="00283D47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148BA3FC" w14:textId="4EFA3F73" w:rsidR="0091385D" w:rsidRPr="00283D47" w:rsidRDefault="00283D47" w:rsidP="00283D47">
      <w:pPr>
        <w:pStyle w:val="Heading3"/>
        <w:rPr>
          <w:u w:val="single"/>
        </w:rPr>
      </w:pPr>
      <w:r w:rsidRPr="00283D47">
        <w:rPr>
          <w:u w:val="single"/>
        </w:rPr>
        <w:t>Абсорбция</w:t>
      </w:r>
    </w:p>
    <w:p w14:paraId="78E47A4D" w14:textId="62CF2E5D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След перорална доза метформинов хидрохлорид таблетки, максималната плазмена концентрация (С</w:t>
      </w:r>
      <w:r w:rsidRPr="00283D47">
        <w:rPr>
          <w:rFonts w:eastAsia="Times New Roman" w:cs="Arial"/>
          <w:color w:val="000000"/>
          <w:vertAlign w:val="subscript"/>
          <w:lang w:val="en-US"/>
        </w:rPr>
        <w:t>max</w:t>
      </w:r>
      <w:r w:rsidRPr="00283D47">
        <w:rPr>
          <w:rFonts w:eastAsia="Times New Roman" w:cs="Arial"/>
          <w:color w:val="000000"/>
          <w:lang w:eastAsia="bg-BG"/>
        </w:rPr>
        <w:t xml:space="preserve">) се достига приблизително след 2 часа и 30 минути </w:t>
      </w:r>
      <w:r w:rsidRPr="00283D47">
        <w:rPr>
          <w:rFonts w:eastAsia="Times New Roman" w:cs="Arial"/>
          <w:color w:val="000000"/>
          <w:lang w:val="en-US"/>
        </w:rPr>
        <w:t>(</w:t>
      </w:r>
      <w:proofErr w:type="spellStart"/>
      <w:r w:rsidRPr="00283D47">
        <w:rPr>
          <w:rFonts w:eastAsia="Times New Roman" w:cs="Arial"/>
          <w:color w:val="000000"/>
          <w:lang w:val="en-US"/>
        </w:rPr>
        <w:t>t</w:t>
      </w:r>
      <w:r w:rsidRPr="00283D47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283D47">
        <w:rPr>
          <w:rFonts w:eastAsia="Times New Roman" w:cs="Arial"/>
          <w:color w:val="000000"/>
          <w:lang w:val="en-US"/>
        </w:rPr>
        <w:t xml:space="preserve">). </w:t>
      </w:r>
      <w:r w:rsidRPr="00283D47">
        <w:rPr>
          <w:rFonts w:eastAsia="Times New Roman" w:cs="Arial"/>
          <w:color w:val="000000"/>
          <w:lang w:eastAsia="bg-BG"/>
        </w:rPr>
        <w:t xml:space="preserve">Абсолютната бионаличност на 500 </w:t>
      </w:r>
      <w:r w:rsidRPr="00283D47">
        <w:rPr>
          <w:rFonts w:eastAsia="Times New Roman" w:cs="Arial"/>
          <w:color w:val="000000"/>
          <w:lang w:val="en-US"/>
        </w:rPr>
        <w:t xml:space="preserve">mg </w:t>
      </w:r>
      <w:r w:rsidRPr="00283D47">
        <w:rPr>
          <w:rFonts w:eastAsia="Times New Roman" w:cs="Arial"/>
          <w:color w:val="000000"/>
          <w:lang w:eastAsia="bg-BG"/>
        </w:rPr>
        <w:t xml:space="preserve">или 850 </w:t>
      </w:r>
      <w:r w:rsidRPr="00283D47">
        <w:rPr>
          <w:rFonts w:eastAsia="Times New Roman" w:cs="Arial"/>
          <w:color w:val="000000"/>
          <w:lang w:val="en-US"/>
        </w:rPr>
        <w:t xml:space="preserve">mg </w:t>
      </w:r>
      <w:r w:rsidRPr="00283D47">
        <w:rPr>
          <w:rFonts w:eastAsia="Times New Roman" w:cs="Arial"/>
          <w:color w:val="000000"/>
          <w:lang w:eastAsia="bg-BG"/>
        </w:rPr>
        <w:t>метформинов хидрохлорид таблетки е приблизително 50 - 60% при здрави пациенти. След перорална доза, неабсорбираната фракция, открита във фекалиите е 20 - 30 %.</w:t>
      </w:r>
    </w:p>
    <w:p w14:paraId="70A3C86D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34D79A" w14:textId="66CD64E0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След перорален прием, абсорбцията на метформин е наситена и непълна. Предполага се, че абсорбцията на метформин не е линейна.</w:t>
      </w:r>
    </w:p>
    <w:p w14:paraId="3FE06FE1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40240F" w14:textId="3AC5587C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При препоръчаните дози и дозови схеми с метформин, стабилните плазмени концентрации се достигат от 24 до 48 часа и по принцип са по-ниски от 1 </w:t>
      </w:r>
      <w:r w:rsidRPr="00283D47">
        <w:rPr>
          <w:rFonts w:eastAsia="Times New Roman" w:cs="Arial"/>
          <w:color w:val="000000"/>
          <w:lang w:val="en-US"/>
        </w:rPr>
        <w:t xml:space="preserve">microgram/ml. </w:t>
      </w:r>
      <w:r w:rsidRPr="00283D47">
        <w:rPr>
          <w:rFonts w:eastAsia="Times New Roman" w:cs="Arial"/>
          <w:color w:val="000000"/>
          <w:lang w:eastAsia="bg-BG"/>
        </w:rPr>
        <w:t>При контролирани клинични изпитвания максималните плазмени нива на метформин (С</w:t>
      </w:r>
      <w:r w:rsidRPr="00283D47">
        <w:rPr>
          <w:rFonts w:eastAsia="Times New Roman" w:cs="Arial"/>
          <w:color w:val="000000"/>
          <w:vertAlign w:val="subscript"/>
          <w:lang w:val="en-US"/>
        </w:rPr>
        <w:t>max</w:t>
      </w:r>
      <w:r w:rsidRPr="00283D47">
        <w:rPr>
          <w:rFonts w:eastAsia="Times New Roman" w:cs="Arial"/>
          <w:color w:val="000000"/>
          <w:lang w:eastAsia="bg-BG"/>
        </w:rPr>
        <w:t xml:space="preserve">), не надвишават 5 </w:t>
      </w:r>
      <w:r w:rsidRPr="00283D47">
        <w:rPr>
          <w:rFonts w:eastAsia="Times New Roman" w:cs="Arial"/>
          <w:color w:val="000000"/>
          <w:lang w:val="en-US"/>
        </w:rPr>
        <w:t xml:space="preserve">micrograms/ml, </w:t>
      </w:r>
      <w:r w:rsidRPr="00283D47">
        <w:rPr>
          <w:rFonts w:eastAsia="Times New Roman" w:cs="Arial"/>
          <w:color w:val="000000"/>
          <w:lang w:eastAsia="bg-BG"/>
        </w:rPr>
        <w:t>дори и при максимални дози.</w:t>
      </w:r>
    </w:p>
    <w:p w14:paraId="0C598EFD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B429B1" w14:textId="2030D49F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Храната намалява степента и слабо забавя абсорбцията на метформин. След перорален прием на таблетка от 850 </w:t>
      </w:r>
      <w:r w:rsidRPr="00283D47">
        <w:rPr>
          <w:rFonts w:eastAsia="Times New Roman" w:cs="Arial"/>
          <w:color w:val="000000"/>
          <w:lang w:val="en-US"/>
        </w:rPr>
        <w:t xml:space="preserve">mg </w:t>
      </w:r>
      <w:r w:rsidRPr="00283D47">
        <w:rPr>
          <w:rFonts w:eastAsia="Times New Roman" w:cs="Arial"/>
          <w:color w:val="000000"/>
          <w:lang w:eastAsia="bg-BG"/>
        </w:rPr>
        <w:t xml:space="preserve">се наблюдава 40% по-нисък пик на плазмената концентрация, 25% намаляване на </w:t>
      </w:r>
      <w:r w:rsidRPr="00283D47">
        <w:rPr>
          <w:rFonts w:eastAsia="Times New Roman" w:cs="Arial"/>
          <w:color w:val="000000"/>
          <w:lang w:val="en-US"/>
        </w:rPr>
        <w:t xml:space="preserve">AUC </w:t>
      </w:r>
      <w:r w:rsidRPr="00283D47">
        <w:rPr>
          <w:rFonts w:eastAsia="Times New Roman" w:cs="Arial"/>
          <w:color w:val="000000"/>
          <w:lang w:eastAsia="bg-BG"/>
        </w:rPr>
        <w:t>(площта под кривата) и 35 минутно удължаване на времето до пика на плазмената концентрация. Клиничните последствия от промяната на тези параметри остават неизяснени.</w:t>
      </w:r>
    </w:p>
    <w:p w14:paraId="4B2AE308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B047C2" w14:textId="6249FAE4" w:rsidR="00283D47" w:rsidRPr="00283D47" w:rsidRDefault="00283D47" w:rsidP="00283D47">
      <w:pPr>
        <w:pStyle w:val="Heading3"/>
        <w:rPr>
          <w:rFonts w:eastAsia="Times New Roman"/>
          <w:u w:val="single"/>
          <w:lang w:eastAsia="bg-BG"/>
        </w:rPr>
      </w:pPr>
      <w:r w:rsidRPr="00283D47">
        <w:rPr>
          <w:rFonts w:eastAsia="Times New Roman"/>
          <w:u w:val="single"/>
          <w:lang w:eastAsia="bg-BG"/>
        </w:rPr>
        <w:t>Разпределение</w:t>
      </w:r>
    </w:p>
    <w:p w14:paraId="34BDE339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Свързването с плазмените протеини е незначимо. Метформин се разпределя в еритроцитите. Пикът в кръвта е по-нисък от плазмения пик и се появява приблизително по същото време.</w:t>
      </w:r>
    </w:p>
    <w:p w14:paraId="73C2E462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Червените кръвни клетки най-вероятно представляват вторичен етап на разпределение.</w:t>
      </w:r>
    </w:p>
    <w:p w14:paraId="16C08C46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Средният обем на разпределение </w:t>
      </w:r>
      <w:r w:rsidRPr="00283D47">
        <w:rPr>
          <w:rFonts w:eastAsia="Times New Roman" w:cs="Arial"/>
          <w:color w:val="000000"/>
          <w:lang w:val="en-US"/>
        </w:rPr>
        <w:t>(</w:t>
      </w:r>
      <w:proofErr w:type="spellStart"/>
      <w:r w:rsidRPr="00283D47">
        <w:rPr>
          <w:rFonts w:eastAsia="Times New Roman" w:cs="Arial"/>
          <w:color w:val="000000"/>
          <w:lang w:val="en-US"/>
        </w:rPr>
        <w:t>V</w:t>
      </w:r>
      <w:r w:rsidRPr="00283D47">
        <w:rPr>
          <w:rFonts w:eastAsia="Times New Roman" w:cs="Arial"/>
          <w:color w:val="000000"/>
          <w:vertAlign w:val="subscript"/>
          <w:lang w:val="en-US"/>
        </w:rPr>
        <w:t>d</w:t>
      </w:r>
      <w:proofErr w:type="spellEnd"/>
      <w:r w:rsidRPr="00283D47">
        <w:rPr>
          <w:rFonts w:eastAsia="Times New Roman" w:cs="Arial"/>
          <w:color w:val="000000"/>
          <w:lang w:val="en-US"/>
        </w:rPr>
        <w:t xml:space="preserve">) </w:t>
      </w:r>
      <w:r w:rsidRPr="00283D47">
        <w:rPr>
          <w:rFonts w:eastAsia="Times New Roman" w:cs="Arial"/>
          <w:color w:val="000000"/>
          <w:lang w:eastAsia="bg-BG"/>
        </w:rPr>
        <w:t>е в рамките между 63 - 2761.</w:t>
      </w:r>
    </w:p>
    <w:p w14:paraId="0EEA9819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D218E4" w14:textId="47547A74" w:rsidR="00283D47" w:rsidRPr="00283D47" w:rsidRDefault="00283D47" w:rsidP="00283D47">
      <w:pPr>
        <w:pStyle w:val="Heading3"/>
        <w:rPr>
          <w:rFonts w:eastAsia="Times New Roman"/>
          <w:u w:val="single"/>
          <w:lang w:eastAsia="bg-BG"/>
        </w:rPr>
      </w:pPr>
      <w:r w:rsidRPr="00283D47">
        <w:rPr>
          <w:rFonts w:eastAsia="Times New Roman"/>
          <w:u w:val="single"/>
          <w:lang w:eastAsia="bg-BG"/>
        </w:rPr>
        <w:t>Биотрансформация</w:t>
      </w:r>
    </w:p>
    <w:p w14:paraId="5E11DD42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Метформин се екскретира непроменен в урината. Не са идентифицирани метаболити при хората.</w:t>
      </w:r>
    </w:p>
    <w:p w14:paraId="33372D30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6225AF" w14:textId="58D9B665" w:rsidR="00283D47" w:rsidRPr="00283D47" w:rsidRDefault="00283D47" w:rsidP="00283D47">
      <w:pPr>
        <w:pStyle w:val="Heading3"/>
        <w:rPr>
          <w:rFonts w:eastAsia="Times New Roman"/>
          <w:u w:val="single"/>
          <w:lang w:eastAsia="bg-BG"/>
        </w:rPr>
      </w:pPr>
      <w:r w:rsidRPr="00283D47">
        <w:rPr>
          <w:rFonts w:eastAsia="Times New Roman"/>
          <w:u w:val="single"/>
          <w:lang w:eastAsia="bg-BG"/>
        </w:rPr>
        <w:t>Елиминиране</w:t>
      </w:r>
    </w:p>
    <w:p w14:paraId="464C9C51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Бъбречният клирьнс на метформин е &gt; 400 </w:t>
      </w:r>
      <w:r w:rsidRPr="00283D47">
        <w:rPr>
          <w:rFonts w:eastAsia="Times New Roman" w:cs="Arial"/>
          <w:color w:val="000000"/>
          <w:lang w:val="en-US"/>
        </w:rPr>
        <w:t>ml</w:t>
      </w:r>
      <w:r w:rsidRPr="00283D47">
        <w:rPr>
          <w:rFonts w:eastAsia="Times New Roman" w:cs="Arial"/>
          <w:color w:val="000000"/>
          <w:lang w:eastAsia="bg-BG"/>
        </w:rPr>
        <w:t>/мин, което показва, че метформин се елиминира чрез гломерулна филтрация и тубулна секреция. След перорална доза, очевидно крайният елиминационен полуживот е приблизително 6,5 часа.</w:t>
      </w:r>
    </w:p>
    <w:p w14:paraId="04159F14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Когато бъбречната функция е нарушена, бъбречният клирънс е намален пропорционално на креатинина и затова елиминационният полуживот е удължен, което води до повишени нива на метформин в плазмата.</w:t>
      </w:r>
    </w:p>
    <w:p w14:paraId="52F1B9CC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8478F6" w14:textId="45FE96F3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Характеристики при специални групи пациенти</w:t>
      </w:r>
    </w:p>
    <w:p w14:paraId="0BD03292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216623" w14:textId="1E71B8EE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49580E5A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Наличните данни при пациенти с умерена бъбречна недостатъчност са оскъдни и не може да се направи надеждна оценка на системната експозиция на метформин в тази подгрупа в сравнение с пациенти с нормална бъбречна функция. Следователно, адаптиране на дозата трябва да се извършва въз основа на клинични съображения за ефикасност/ поносимост (виж точка 4.2).</w:t>
      </w:r>
    </w:p>
    <w:p w14:paraId="4CE345EE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2B7107" w14:textId="4132974D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679C0DAE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Изследване при еднократна доза: фармакокинетичният профил при деца, получили еднократна доза от 500 </w:t>
      </w:r>
      <w:r w:rsidRPr="00283D47">
        <w:rPr>
          <w:rFonts w:eastAsia="Times New Roman" w:cs="Arial"/>
          <w:color w:val="000000"/>
          <w:lang w:val="en-US"/>
        </w:rPr>
        <w:t xml:space="preserve">mg </w:t>
      </w:r>
      <w:r w:rsidRPr="00283D47">
        <w:rPr>
          <w:rFonts w:eastAsia="Times New Roman" w:cs="Arial"/>
          <w:color w:val="000000"/>
          <w:lang w:eastAsia="bg-BG"/>
        </w:rPr>
        <w:t>метформинов хидрохлорид, е подобен на този при здрави възрастни.</w:t>
      </w:r>
    </w:p>
    <w:p w14:paraId="5FD0793B" w14:textId="77777777" w:rsidR="00283D47" w:rsidRPr="00283D47" w:rsidRDefault="00283D47" w:rsidP="00283D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E1BB0B" w14:textId="5CC62500" w:rsidR="0091385D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 xml:space="preserve">Резултати след многократно дозиране: всички данни са получени от едно изследване. След приложение на доза от 500 </w:t>
      </w:r>
      <w:r w:rsidRPr="00283D47">
        <w:rPr>
          <w:rFonts w:eastAsia="Times New Roman" w:cs="Arial"/>
          <w:color w:val="000000"/>
          <w:lang w:val="en-US"/>
        </w:rPr>
        <w:t xml:space="preserve">mg </w:t>
      </w:r>
      <w:r w:rsidRPr="00283D47">
        <w:rPr>
          <w:rFonts w:eastAsia="Times New Roman" w:cs="Arial"/>
          <w:color w:val="000000"/>
          <w:lang w:eastAsia="bg-BG"/>
        </w:rPr>
        <w:t>два пъти дневно в продължение на 7 дни на педиатрични пациенти, максималната плазмена концентрация (С</w:t>
      </w:r>
      <w:r w:rsidRPr="00283D47">
        <w:rPr>
          <w:rFonts w:eastAsia="Times New Roman" w:cs="Arial"/>
          <w:color w:val="000000"/>
          <w:vertAlign w:val="subscript"/>
          <w:lang w:val="en-US"/>
        </w:rPr>
        <w:t>max</w:t>
      </w:r>
      <w:r w:rsidRPr="00283D47">
        <w:rPr>
          <w:rFonts w:eastAsia="Times New Roman" w:cs="Arial"/>
          <w:color w:val="000000"/>
          <w:lang w:eastAsia="bg-BG"/>
        </w:rPr>
        <w:t>) и системната експозиция (</w:t>
      </w:r>
      <w:r w:rsidRPr="00283D47">
        <w:rPr>
          <w:rFonts w:eastAsia="Times New Roman" w:cs="Arial"/>
          <w:color w:val="000000"/>
          <w:lang w:val="en-US"/>
        </w:rPr>
        <w:t xml:space="preserve">AUC 0-t) </w:t>
      </w:r>
      <w:r w:rsidRPr="00283D47">
        <w:rPr>
          <w:rFonts w:eastAsia="Times New Roman" w:cs="Arial"/>
          <w:color w:val="000000"/>
          <w:lang w:eastAsia="bg-BG"/>
        </w:rPr>
        <w:t>са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283D47">
        <w:rPr>
          <w:rFonts w:eastAsia="Times New Roman" w:cs="Arial"/>
          <w:color w:val="000000"/>
          <w:lang w:eastAsia="bg-BG"/>
        </w:rPr>
        <w:t xml:space="preserve">намалени съответно с 33% и 40% в сравнение с възрастни диабетици, получили дози от 500 </w:t>
      </w:r>
      <w:r w:rsidRPr="00283D47">
        <w:rPr>
          <w:rFonts w:eastAsia="Times New Roman" w:cs="Arial"/>
          <w:color w:val="000000"/>
          <w:lang w:val="en-US"/>
        </w:rPr>
        <w:t>mg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283D47">
        <w:rPr>
          <w:rFonts w:eastAsia="Times New Roman" w:cs="Arial"/>
          <w:color w:val="000000"/>
          <w:lang w:eastAsia="bg-BG"/>
        </w:rPr>
        <w:t>два пъти дневно в продължение на 14 дни. Тези резултати са с ограничена клинична значимост</w:t>
      </w:r>
      <w:r>
        <w:rPr>
          <w:rFonts w:eastAsia="Times New Roman" w:cs="Arial"/>
          <w:color w:val="000000"/>
          <w:lang w:val="en-US" w:eastAsia="bg-BG"/>
        </w:rPr>
        <w:t>,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283D47">
        <w:rPr>
          <w:rFonts w:eastAsia="Times New Roman" w:cs="Arial"/>
          <w:color w:val="000000"/>
          <w:lang w:eastAsia="bg-BG"/>
        </w:rPr>
        <w:t>поради индивидуалното определяне на дозите в зависимост от нивото на кръвната захар.</w:t>
      </w:r>
    </w:p>
    <w:p w14:paraId="332B34AC" w14:textId="77777777" w:rsidR="00283D47" w:rsidRPr="0091385D" w:rsidRDefault="00283D47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6535CA8C" w:rsidR="0091385D" w:rsidRDefault="00283D47" w:rsidP="0091385D">
      <w:r>
        <w:t>Предклиничните данни, основаващи се на конвенционални проучвания върху безопасност, фармакология, токсичност след многократно дозиране, генотоксичност, карциногенен потенциал и репродуктивна токсичност, не показват особен риск при хора.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lastRenderedPageBreak/>
        <w:t>7. ПРИТЕЖАТЕЛ НА РАЗРЕШЕНИЕТО ЗА УПОТРЕБА</w:t>
      </w:r>
    </w:p>
    <w:p w14:paraId="1B9B651E" w14:textId="3382E6AC" w:rsidR="0091385D" w:rsidRDefault="0091385D" w:rsidP="0091385D"/>
    <w:p w14:paraId="101FDB05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Wörwag Pharma</w:t>
      </w:r>
      <w:r w:rsidRPr="00283D47">
        <w:rPr>
          <w:rFonts w:eastAsia="Times New Roman" w:cs="Arial"/>
          <w:color w:val="000000"/>
          <w:lang w:val="en-US"/>
        </w:rPr>
        <w:t xml:space="preserve"> GmbH </w:t>
      </w:r>
      <w:r w:rsidRPr="00283D47">
        <w:rPr>
          <w:rFonts w:eastAsia="Times New Roman" w:cs="Arial"/>
          <w:color w:val="000000"/>
          <w:lang w:eastAsia="bg-BG"/>
        </w:rPr>
        <w:t xml:space="preserve">&amp; </w:t>
      </w:r>
      <w:r w:rsidRPr="00283D47">
        <w:rPr>
          <w:rFonts w:eastAsia="Times New Roman" w:cs="Arial"/>
          <w:color w:val="000000"/>
          <w:lang w:val="en-US"/>
        </w:rPr>
        <w:t>Co. KG</w:t>
      </w:r>
    </w:p>
    <w:p w14:paraId="312203A4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283D47">
        <w:rPr>
          <w:rFonts w:eastAsia="Times New Roman" w:cs="Arial"/>
          <w:color w:val="000000"/>
          <w:lang w:val="en-US"/>
        </w:rPr>
        <w:t>Flugfeld-Allee</w:t>
      </w:r>
      <w:proofErr w:type="spellEnd"/>
      <w:r w:rsidRPr="00283D47">
        <w:rPr>
          <w:rFonts w:eastAsia="Times New Roman" w:cs="Arial"/>
          <w:color w:val="000000"/>
          <w:lang w:val="en-US"/>
        </w:rPr>
        <w:t xml:space="preserve"> 24</w:t>
      </w:r>
    </w:p>
    <w:p w14:paraId="00F28698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val="en-US"/>
        </w:rPr>
        <w:t xml:space="preserve">71034 </w:t>
      </w:r>
      <w:r w:rsidRPr="00283D47">
        <w:rPr>
          <w:rFonts w:eastAsia="Times New Roman" w:cs="Arial"/>
          <w:color w:val="000000"/>
          <w:lang w:eastAsia="bg-BG"/>
        </w:rPr>
        <w:t>Böblingen</w:t>
      </w:r>
    </w:p>
    <w:p w14:paraId="73222ACA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Германия</w:t>
      </w:r>
    </w:p>
    <w:p w14:paraId="00D082B8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Тел.:</w:t>
      </w:r>
      <w:r w:rsidRPr="00283D47">
        <w:rPr>
          <w:rFonts w:eastAsia="Times New Roman" w:cs="Arial"/>
          <w:color w:val="000000"/>
          <w:lang w:val="en-US"/>
        </w:rPr>
        <w:t xml:space="preserve">+49 </w:t>
      </w:r>
      <w:r w:rsidRPr="00283D47">
        <w:rPr>
          <w:rFonts w:eastAsia="Times New Roman" w:cs="Arial"/>
          <w:color w:val="000000"/>
          <w:lang w:eastAsia="bg-BG"/>
        </w:rPr>
        <w:t xml:space="preserve">(0)7031/6204 </w:t>
      </w:r>
      <w:r w:rsidRPr="00283D47">
        <w:rPr>
          <w:rFonts w:eastAsia="Times New Roman" w:cs="Arial"/>
          <w:color w:val="000000"/>
          <w:lang w:val="en-US"/>
        </w:rPr>
        <w:t>-0</w:t>
      </w:r>
    </w:p>
    <w:p w14:paraId="3FD825DB" w14:textId="5A338B1C" w:rsidR="0091385D" w:rsidRPr="00283D47" w:rsidRDefault="00283D47" w:rsidP="00283D47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 xml:space="preserve">Факс: </w:t>
      </w:r>
      <w:r w:rsidRPr="00283D47">
        <w:rPr>
          <w:rFonts w:eastAsia="Times New Roman" w:cs="Arial"/>
          <w:color w:val="000000"/>
          <w:lang w:val="en-US"/>
        </w:rPr>
        <w:t xml:space="preserve">+49 </w:t>
      </w:r>
      <w:r w:rsidRPr="00283D47">
        <w:rPr>
          <w:rFonts w:eastAsia="Times New Roman" w:cs="Arial"/>
          <w:color w:val="000000"/>
          <w:lang w:eastAsia="bg-BG"/>
        </w:rPr>
        <w:t xml:space="preserve">(0)7031/ </w:t>
      </w:r>
      <w:r w:rsidRPr="00283D47">
        <w:rPr>
          <w:rFonts w:eastAsia="Times New Roman" w:cs="Arial"/>
          <w:color w:val="000000"/>
          <w:lang w:val="en-US"/>
        </w:rPr>
        <w:t>6204-31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41C8966F" w:rsidR="0091385D" w:rsidRPr="00283D47" w:rsidRDefault="00283D47" w:rsidP="0091385D">
      <w:pPr>
        <w:rPr>
          <w:rFonts w:cs="Arial"/>
        </w:rPr>
      </w:pPr>
      <w:r w:rsidRPr="00283D47">
        <w:rPr>
          <w:rFonts w:cs="Arial"/>
        </w:rPr>
        <w:t>20060591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305ED5D6" w14:textId="77777777" w:rsidR="00283D47" w:rsidRPr="00283D47" w:rsidRDefault="00283D47" w:rsidP="00283D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83D47">
        <w:rPr>
          <w:rFonts w:eastAsia="Times New Roman" w:cs="Arial"/>
          <w:color w:val="000000"/>
          <w:lang w:eastAsia="bg-BG"/>
        </w:rPr>
        <w:t>Дата на първо разрешаване: 26 Октомври 2006 г.</w:t>
      </w:r>
    </w:p>
    <w:p w14:paraId="497007FA" w14:textId="413E37C0" w:rsidR="0091385D" w:rsidRPr="00283D47" w:rsidRDefault="00283D47" w:rsidP="00283D47">
      <w:pPr>
        <w:rPr>
          <w:rFonts w:cs="Arial"/>
        </w:rPr>
      </w:pPr>
      <w:r w:rsidRPr="00283D47">
        <w:rPr>
          <w:rFonts w:eastAsia="Times New Roman" w:cs="Arial"/>
          <w:color w:val="000000"/>
          <w:lang w:eastAsia="bg-BG"/>
        </w:rPr>
        <w:t>Дата на последно подновяване: 15 Декември 2010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662039AC" w:rsidR="0091385D" w:rsidRPr="00283D47" w:rsidRDefault="00283D47" w:rsidP="0091385D">
      <w:pPr>
        <w:rPr>
          <w:rFonts w:cs="Arial"/>
        </w:rPr>
      </w:pPr>
      <w:r w:rsidRPr="00283D47">
        <w:rPr>
          <w:rFonts w:cs="Arial"/>
        </w:rPr>
        <w:t>10/2021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344E0E"/>
    <w:multiLevelType w:val="hybridMultilevel"/>
    <w:tmpl w:val="EDEC3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3E6F5A03"/>
    <w:multiLevelType w:val="hybridMultilevel"/>
    <w:tmpl w:val="7C16F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7B82"/>
    <w:multiLevelType w:val="hybridMultilevel"/>
    <w:tmpl w:val="58947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C4033"/>
    <w:multiLevelType w:val="hybridMultilevel"/>
    <w:tmpl w:val="3E3E48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0549A"/>
    <w:multiLevelType w:val="hybridMultilevel"/>
    <w:tmpl w:val="B510D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07F9A"/>
    <w:multiLevelType w:val="hybridMultilevel"/>
    <w:tmpl w:val="1E2E19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3"/>
  </w:num>
  <w:num w:numId="12">
    <w:abstractNumId w:val="14"/>
  </w:num>
  <w:num w:numId="13">
    <w:abstractNumId w:val="20"/>
  </w:num>
  <w:num w:numId="14">
    <w:abstractNumId w:val="12"/>
  </w:num>
  <w:num w:numId="15">
    <w:abstractNumId w:val="32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6"/>
  </w:num>
  <w:num w:numId="28">
    <w:abstractNumId w:val="6"/>
  </w:num>
  <w:num w:numId="29">
    <w:abstractNumId w:val="21"/>
  </w:num>
  <w:num w:numId="30">
    <w:abstractNumId w:val="39"/>
  </w:num>
  <w:num w:numId="31">
    <w:abstractNumId w:val="5"/>
  </w:num>
  <w:num w:numId="32">
    <w:abstractNumId w:val="38"/>
  </w:num>
  <w:num w:numId="33">
    <w:abstractNumId w:val="30"/>
  </w:num>
  <w:num w:numId="34">
    <w:abstractNumId w:val="37"/>
  </w:num>
  <w:num w:numId="35">
    <w:abstractNumId w:val="16"/>
  </w:num>
  <w:num w:numId="36">
    <w:abstractNumId w:val="28"/>
  </w:num>
  <w:num w:numId="37">
    <w:abstractNumId w:val="7"/>
  </w:num>
  <w:num w:numId="38">
    <w:abstractNumId w:val="31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83D47"/>
    <w:rsid w:val="002B3C38"/>
    <w:rsid w:val="002B4DBB"/>
    <w:rsid w:val="002C50EE"/>
    <w:rsid w:val="00340A0A"/>
    <w:rsid w:val="003446E8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1385D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3549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2022-08-28T16:09:00Z</dcterms:created>
  <dcterms:modified xsi:type="dcterms:W3CDTF">2022-08-28T16:09:00Z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