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09CEB67B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5A3B4435" w14:textId="77777777" w:rsidR="0091385D" w:rsidRPr="0091385D" w:rsidRDefault="0091385D" w:rsidP="0091385D"/>
    <w:p w14:paraId="3320F4BE" w14:textId="2EB48694" w:rsidR="00C40420" w:rsidRDefault="00DD466D" w:rsidP="004A448E">
      <w:pPr>
        <w:pStyle w:val="Heading1"/>
      </w:pPr>
      <w:r>
        <w:t>1.ИМЕ НА ЛЕКАРСТВЕНИЯ ПРОДУКТ</w:t>
      </w:r>
    </w:p>
    <w:p w14:paraId="5E9BA472" w14:textId="14008A99" w:rsidR="0091385D" w:rsidRDefault="0091385D" w:rsidP="0091385D"/>
    <w:p w14:paraId="1B74E9AC" w14:textId="1850DEBF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Метфогамма </w:t>
      </w:r>
      <w:r w:rsidR="00336F01">
        <w:rPr>
          <w:rFonts w:eastAsia="Times New Roman" w:cs="Arial"/>
          <w:color w:val="000000"/>
          <w:lang w:val="en-US" w:eastAsia="bg-BG"/>
        </w:rPr>
        <w:t>850</w:t>
      </w:r>
      <w:r w:rsidRPr="003446E8">
        <w:rPr>
          <w:rFonts w:eastAsia="Times New Roman" w:cs="Arial"/>
          <w:color w:val="000000"/>
          <w:lang w:eastAsia="bg-BG"/>
        </w:rPr>
        <w:t xml:space="preserve">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>филмирани таблетки</w:t>
      </w:r>
    </w:p>
    <w:p w14:paraId="73D1D99C" w14:textId="57A905A1" w:rsidR="0091385D" w:rsidRPr="003446E8" w:rsidRDefault="003446E8" w:rsidP="003446E8">
      <w:pPr>
        <w:rPr>
          <w:rFonts w:cs="Arial"/>
        </w:rPr>
      </w:pPr>
      <w:proofErr w:type="spellStart"/>
      <w:r w:rsidRPr="003446E8">
        <w:rPr>
          <w:rFonts w:eastAsia="Times New Roman" w:cs="Arial"/>
          <w:color w:val="000000"/>
          <w:lang w:val="en-US"/>
        </w:rPr>
        <w:t>Metfogamma</w:t>
      </w:r>
      <w:proofErr w:type="spellEnd"/>
      <w:r w:rsidRPr="003446E8">
        <w:rPr>
          <w:rFonts w:eastAsia="Times New Roman" w:cs="Arial"/>
          <w:color w:val="000000"/>
          <w:lang w:val="en-US"/>
        </w:rPr>
        <w:t xml:space="preserve"> </w:t>
      </w:r>
      <w:r w:rsidR="00336F01">
        <w:rPr>
          <w:rFonts w:eastAsia="Times New Roman" w:cs="Arial"/>
          <w:color w:val="000000"/>
          <w:lang w:val="en-US" w:eastAsia="bg-BG"/>
        </w:rPr>
        <w:t>850</w:t>
      </w:r>
      <w:r w:rsidRPr="003446E8">
        <w:rPr>
          <w:rFonts w:eastAsia="Times New Roman" w:cs="Arial"/>
          <w:color w:val="000000"/>
          <w:lang w:eastAsia="bg-BG"/>
        </w:rPr>
        <w:t xml:space="preserve"> </w:t>
      </w:r>
      <w:r w:rsidRPr="003446E8">
        <w:rPr>
          <w:rFonts w:eastAsia="Times New Roman" w:cs="Arial"/>
          <w:color w:val="000000"/>
          <w:lang w:val="en-US"/>
        </w:rPr>
        <w:t>mg film-coated tablets</w:t>
      </w:r>
    </w:p>
    <w:p w14:paraId="1E8447D1" w14:textId="77777777" w:rsidR="0091385D" w:rsidRPr="0091385D" w:rsidRDefault="0091385D" w:rsidP="0091385D"/>
    <w:p w14:paraId="6920A680" w14:textId="53C3EFCC" w:rsidR="00C40420" w:rsidRDefault="00DD466D" w:rsidP="004A448E">
      <w:pPr>
        <w:pStyle w:val="Heading1"/>
      </w:pPr>
      <w:r>
        <w:t>2. КАЧЕСТВЕН И КОЛИЧЕСТВЕН СЪСТАВ</w:t>
      </w:r>
    </w:p>
    <w:p w14:paraId="1ED33AE8" w14:textId="288788EF" w:rsidR="0091385D" w:rsidRDefault="0091385D" w:rsidP="0091385D"/>
    <w:p w14:paraId="034345FC" w14:textId="77D897C8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Една филмирана таблетка съдържа </w:t>
      </w:r>
      <w:r w:rsidR="00336F01">
        <w:rPr>
          <w:rFonts w:eastAsia="Times New Roman" w:cs="Arial"/>
          <w:color w:val="000000"/>
          <w:lang w:val="en-US" w:eastAsia="bg-BG"/>
        </w:rPr>
        <w:t>850</w:t>
      </w:r>
      <w:r w:rsidRPr="003446E8">
        <w:rPr>
          <w:rFonts w:eastAsia="Times New Roman" w:cs="Arial"/>
          <w:color w:val="000000"/>
          <w:lang w:eastAsia="bg-BG"/>
        </w:rPr>
        <w:t xml:space="preserve">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>метформинов хидрохлорид (</w:t>
      </w:r>
      <w:r w:rsidRPr="003446E8">
        <w:rPr>
          <w:rFonts w:eastAsia="Times New Roman" w:cs="Arial"/>
          <w:i/>
          <w:iCs/>
          <w:color w:val="000000"/>
          <w:lang w:val="en-US"/>
        </w:rPr>
        <w:t>metformin hydrochloride),</w:t>
      </w:r>
      <w:r w:rsidRPr="003446E8">
        <w:rPr>
          <w:rFonts w:eastAsia="Times New Roman" w:cs="Arial"/>
          <w:color w:val="000000"/>
          <w:lang w:val="en-US"/>
        </w:rPr>
        <w:t xml:space="preserve"> </w:t>
      </w:r>
      <w:r w:rsidRPr="003446E8">
        <w:rPr>
          <w:rFonts w:eastAsia="Times New Roman" w:cs="Arial"/>
          <w:color w:val="000000"/>
          <w:lang w:eastAsia="bg-BG"/>
        </w:rPr>
        <w:t xml:space="preserve">еквивалентен на </w:t>
      </w:r>
      <w:r w:rsidR="00336F01">
        <w:rPr>
          <w:rFonts w:eastAsia="Times New Roman" w:cs="Arial"/>
          <w:color w:val="000000"/>
          <w:lang w:val="en-US" w:eastAsia="bg-BG"/>
        </w:rPr>
        <w:t>663</w:t>
      </w:r>
      <w:r w:rsidRPr="003446E8">
        <w:rPr>
          <w:rFonts w:eastAsia="Times New Roman" w:cs="Arial"/>
          <w:color w:val="000000"/>
          <w:lang w:eastAsia="bg-BG"/>
        </w:rPr>
        <w:t xml:space="preserve">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>метформин база.</w:t>
      </w:r>
    </w:p>
    <w:p w14:paraId="5106F5D7" w14:textId="77777777" w:rsidR="003446E8" w:rsidRPr="003446E8" w:rsidRDefault="003446E8" w:rsidP="003446E8">
      <w:pPr>
        <w:rPr>
          <w:rFonts w:eastAsia="Times New Roman" w:cs="Arial"/>
          <w:color w:val="000000"/>
          <w:lang w:eastAsia="bg-BG"/>
        </w:rPr>
      </w:pPr>
    </w:p>
    <w:p w14:paraId="729D0A91" w14:textId="2FB51582" w:rsidR="0091385D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>За пълния списък на помощните вещества вижте точка 6.1.</w:t>
      </w:r>
    </w:p>
    <w:p w14:paraId="03110A50" w14:textId="77777777" w:rsidR="0091385D" w:rsidRPr="0091385D" w:rsidRDefault="0091385D" w:rsidP="0091385D"/>
    <w:p w14:paraId="614984C4" w14:textId="3FC552C3" w:rsidR="008A6AF2" w:rsidRDefault="00DD466D" w:rsidP="002C50EE">
      <w:pPr>
        <w:pStyle w:val="Heading1"/>
      </w:pPr>
      <w:r>
        <w:t>3. ЛЕКАРСТВЕНА ФОРМА</w:t>
      </w:r>
    </w:p>
    <w:p w14:paraId="1004E96C" w14:textId="277B91E7" w:rsidR="0091385D" w:rsidRPr="003446E8" w:rsidRDefault="0091385D" w:rsidP="0091385D">
      <w:pPr>
        <w:rPr>
          <w:rFonts w:cs="Arial"/>
        </w:rPr>
      </w:pPr>
    </w:p>
    <w:p w14:paraId="28DB0F6E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Филмирана таблетка.</w:t>
      </w:r>
    </w:p>
    <w:p w14:paraId="76EBC427" w14:textId="163BC35C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Бели, продълговати филмирани таблетки </w:t>
      </w:r>
      <w:r w:rsidR="00336F01">
        <w:rPr>
          <w:rFonts w:eastAsia="Times New Roman" w:cs="Arial"/>
          <w:color w:val="000000"/>
          <w:lang w:val="en-US" w:eastAsia="bg-BG"/>
        </w:rPr>
        <w:t xml:space="preserve">с </w:t>
      </w:r>
      <w:r w:rsidR="00336F01">
        <w:rPr>
          <w:rFonts w:eastAsia="Times New Roman" w:cs="Arial"/>
          <w:color w:val="000000"/>
          <w:lang w:eastAsia="bg-BG"/>
        </w:rPr>
        <w:t>делителна черта от двете</w:t>
      </w:r>
      <w:r w:rsidRPr="003446E8">
        <w:rPr>
          <w:rFonts w:eastAsia="Times New Roman" w:cs="Arial"/>
          <w:color w:val="000000"/>
          <w:lang w:eastAsia="bg-BG"/>
        </w:rPr>
        <w:t xml:space="preserve"> стран</w:t>
      </w:r>
      <w:r w:rsidR="00336F01">
        <w:rPr>
          <w:rFonts w:eastAsia="Times New Roman" w:cs="Arial"/>
          <w:color w:val="000000"/>
          <w:lang w:eastAsia="bg-BG"/>
        </w:rPr>
        <w:t>и. Делителната черта е само за улесняване на счупването с цел по-лесно поглъщане, а не за разделяне на равни дози.</w:t>
      </w:r>
    </w:p>
    <w:p w14:paraId="4129ADBB" w14:textId="77777777" w:rsidR="0091385D" w:rsidRPr="0091385D" w:rsidRDefault="0091385D" w:rsidP="0091385D"/>
    <w:p w14:paraId="490FC2C4" w14:textId="76FABE77" w:rsidR="002C50EE" w:rsidRDefault="002C50EE" w:rsidP="002C50EE">
      <w:pPr>
        <w:pStyle w:val="Heading1"/>
      </w:pPr>
      <w:r>
        <w:t>4. КЛИНИЧНИ ДАННИ</w:t>
      </w:r>
    </w:p>
    <w:p w14:paraId="0C69CBC7" w14:textId="77777777" w:rsidR="0091385D" w:rsidRPr="0091385D" w:rsidRDefault="0091385D" w:rsidP="0091385D"/>
    <w:p w14:paraId="0C8E6903" w14:textId="51BB3E2D" w:rsidR="008134C8" w:rsidRDefault="002C50EE" w:rsidP="004A448E">
      <w:pPr>
        <w:pStyle w:val="Heading2"/>
      </w:pPr>
      <w:r>
        <w:t>4.1. Терапевтични показания</w:t>
      </w:r>
    </w:p>
    <w:p w14:paraId="174D169F" w14:textId="0369962D" w:rsidR="0091385D" w:rsidRDefault="0091385D" w:rsidP="0091385D"/>
    <w:p w14:paraId="39166204" w14:textId="065241D4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Лечение на захарен диабет тип 2, особено при пациенти с наднормено тегло, когато само диета и физически упражнения не водят до адекватен гликемичен контрол.</w:t>
      </w:r>
    </w:p>
    <w:p w14:paraId="1CB42155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</w:p>
    <w:p w14:paraId="2ABB11A4" w14:textId="77777777" w:rsidR="003446E8" w:rsidRPr="003446E8" w:rsidRDefault="003446E8" w:rsidP="003446E8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При възрастни Метфогамма може да се прилага като монотерапия или в комбинация с други перорални антидиабетни лекарствени продукти или с инсулин.</w:t>
      </w:r>
    </w:p>
    <w:p w14:paraId="65A0806A" w14:textId="456F8003" w:rsidR="003446E8" w:rsidRPr="003446E8" w:rsidRDefault="003446E8" w:rsidP="003446E8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При деца над 10 години и юноши, Метфогамма може да се прилага като монотерапия или в комбинация с инсулин.</w:t>
      </w:r>
    </w:p>
    <w:p w14:paraId="618ECD87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4B2E99C" w14:textId="596B596B" w:rsidR="0091385D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>Установено е намаление на усложненията, свързани с диабета, при пациенти с наднормено тегло и диабет тип 2, лекувани с метформин, като първи избор на лечение след неуспешна диета (виж точка 5.1).</w:t>
      </w:r>
    </w:p>
    <w:p w14:paraId="6DFA4B9D" w14:textId="77777777" w:rsidR="0091385D" w:rsidRPr="0091385D" w:rsidRDefault="0091385D" w:rsidP="0091385D"/>
    <w:p w14:paraId="30BE2C7B" w14:textId="3633C1E4" w:rsidR="008134C8" w:rsidRDefault="002C50EE" w:rsidP="004A448E">
      <w:pPr>
        <w:pStyle w:val="Heading2"/>
      </w:pPr>
      <w:r>
        <w:t>4.2. Дозировка и начин на приложение</w:t>
      </w:r>
    </w:p>
    <w:p w14:paraId="7AA22B68" w14:textId="3A681DFB" w:rsidR="0091385D" w:rsidRDefault="0091385D" w:rsidP="0091385D"/>
    <w:p w14:paraId="388FE6EC" w14:textId="77777777" w:rsidR="003446E8" w:rsidRPr="00283D47" w:rsidRDefault="003446E8" w:rsidP="00283D47">
      <w:pPr>
        <w:pStyle w:val="Heading3"/>
        <w:rPr>
          <w:rFonts w:eastAsia="Times New Roman"/>
          <w:u w:val="single"/>
          <w:lang w:eastAsia="bg-BG"/>
        </w:rPr>
      </w:pPr>
      <w:r w:rsidRPr="00283D47">
        <w:rPr>
          <w:rFonts w:eastAsia="Times New Roman"/>
          <w:u w:val="single"/>
          <w:lang w:eastAsia="bg-BG"/>
        </w:rPr>
        <w:t>Дозировка</w:t>
      </w:r>
    </w:p>
    <w:p w14:paraId="62051C4F" w14:textId="77777777" w:rsid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</w:p>
    <w:p w14:paraId="0F25F882" w14:textId="039ABB03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lastRenderedPageBreak/>
        <w:t xml:space="preserve">Възрастни с нормална бъбречна функция </w:t>
      </w:r>
      <w:r w:rsidRPr="003446E8">
        <w:rPr>
          <w:rFonts w:eastAsia="Times New Roman" w:cs="Arial"/>
          <w:i/>
          <w:iCs/>
          <w:color w:val="000000"/>
          <w:lang w:val="en-US"/>
        </w:rPr>
        <w:t>(GFR</w:t>
      </w:r>
      <w:r w:rsidRPr="003446E8">
        <w:rPr>
          <w:rFonts w:eastAsia="Times New Roman" w:cs="Arial"/>
          <w:i/>
          <w:iCs/>
          <w:color w:val="000000"/>
          <w:lang w:eastAsia="bg-BG"/>
        </w:rPr>
        <w:t>≥</w:t>
      </w:r>
      <w:r w:rsidRPr="003446E8">
        <w:rPr>
          <w:rFonts w:eastAsia="Times New Roman" w:cs="Arial"/>
          <w:i/>
          <w:iCs/>
          <w:color w:val="000000"/>
          <w:lang w:val="en-US"/>
        </w:rPr>
        <w:t xml:space="preserve"> </w:t>
      </w:r>
      <w:r w:rsidRPr="003446E8">
        <w:rPr>
          <w:rFonts w:eastAsia="Times New Roman" w:cs="Arial"/>
          <w:i/>
          <w:iCs/>
          <w:color w:val="000000"/>
          <w:lang w:eastAsia="bg-BG"/>
        </w:rPr>
        <w:t xml:space="preserve">90 </w:t>
      </w:r>
      <w:r w:rsidRPr="003446E8">
        <w:rPr>
          <w:rFonts w:eastAsia="Times New Roman" w:cs="Arial"/>
          <w:i/>
          <w:iCs/>
          <w:color w:val="000000"/>
          <w:lang w:val="en-US"/>
        </w:rPr>
        <w:t>ml</w:t>
      </w:r>
      <w:r w:rsidRPr="003446E8">
        <w:rPr>
          <w:rFonts w:eastAsia="Times New Roman" w:cs="Arial"/>
          <w:i/>
          <w:iCs/>
          <w:color w:val="000000"/>
          <w:lang w:eastAsia="bg-BG"/>
        </w:rPr>
        <w:t>/мин)</w:t>
      </w:r>
    </w:p>
    <w:p w14:paraId="7A32C9A8" w14:textId="77777777" w:rsidR="003446E8" w:rsidRPr="003446E8" w:rsidRDefault="003446E8" w:rsidP="003446E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" w:name="bookmark0"/>
    </w:p>
    <w:p w14:paraId="3EBB5D55" w14:textId="06F182C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b/>
          <w:bCs/>
          <w:color w:val="000000"/>
          <w:lang w:eastAsia="bg-BG"/>
        </w:rPr>
        <w:t>Монотерапия и в комбинация с други перорални антидиабетни средства</w:t>
      </w:r>
      <w:bookmarkEnd w:id="1"/>
    </w:p>
    <w:p w14:paraId="088B2945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4F85202" w14:textId="096F292C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Обичайната начална доза е 500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 xml:space="preserve">или 850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>метформинов хидрохлорид два или три пъти дневно, приемана по време или след хранене.</w:t>
      </w:r>
    </w:p>
    <w:p w14:paraId="475300EC" w14:textId="0CFB3F75" w:rsidR="0091385D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След 10 до 15 дни дозата трябва да се адаптира, в зависимост от измерените стойности на</w:t>
      </w:r>
      <w:r>
        <w:rPr>
          <w:rFonts w:eastAsia="Times New Roman" w:cs="Arial"/>
          <w:sz w:val="24"/>
          <w:szCs w:val="24"/>
          <w:lang w:val="en-US" w:eastAsia="bg-BG"/>
        </w:rPr>
        <w:t xml:space="preserve"> </w:t>
      </w:r>
      <w:r w:rsidRPr="003446E8">
        <w:rPr>
          <w:rFonts w:eastAsia="Times New Roman" w:cs="Arial"/>
          <w:color w:val="000000"/>
          <w:lang w:eastAsia="bg-BG"/>
        </w:rPr>
        <w:t>кръвната захар. Постепенното повишаване на дозата може да подобри гастроинтестиналната толерантност.</w:t>
      </w:r>
    </w:p>
    <w:p w14:paraId="1956D829" w14:textId="33AF57DD" w:rsidR="003446E8" w:rsidRDefault="003446E8" w:rsidP="003446E8">
      <w:pPr>
        <w:rPr>
          <w:rFonts w:eastAsia="Times New Roman" w:cs="Arial"/>
          <w:color w:val="000000"/>
          <w:lang w:eastAsia="bg-BG"/>
        </w:rPr>
      </w:pPr>
    </w:p>
    <w:p w14:paraId="56513363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При пациенти, приемащи висока доза метформинов хидрохлорид (от 2 до 3 </w:t>
      </w:r>
      <w:r w:rsidRPr="003446E8">
        <w:rPr>
          <w:rFonts w:eastAsia="Times New Roman" w:cs="Arial"/>
          <w:color w:val="000000"/>
          <w:lang w:val="en-US"/>
        </w:rPr>
        <w:t xml:space="preserve">g </w:t>
      </w:r>
      <w:r w:rsidRPr="003446E8">
        <w:rPr>
          <w:rFonts w:eastAsia="Times New Roman" w:cs="Arial"/>
          <w:color w:val="000000"/>
          <w:lang w:eastAsia="bg-BG"/>
        </w:rPr>
        <w:t xml:space="preserve">дневно) две филмирани таблетки Метфогамма 500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 xml:space="preserve">може да се заменят с една филмирана таблетка Метфогамма 1000 </w:t>
      </w:r>
      <w:r w:rsidRPr="003446E8">
        <w:rPr>
          <w:rFonts w:eastAsia="Times New Roman" w:cs="Arial"/>
          <w:color w:val="000000"/>
          <w:lang w:val="en-US"/>
        </w:rPr>
        <w:t>mg.</w:t>
      </w:r>
    </w:p>
    <w:p w14:paraId="21109C5C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42D3C47" w14:textId="1DBE1AA3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Допустимата максимална дневна доза метформинов хирдохлорид е 3 </w:t>
      </w:r>
      <w:r w:rsidRPr="003446E8">
        <w:rPr>
          <w:rFonts w:eastAsia="Times New Roman" w:cs="Arial"/>
          <w:color w:val="000000"/>
          <w:lang w:val="en-US"/>
        </w:rPr>
        <w:t xml:space="preserve">g, </w:t>
      </w:r>
      <w:r w:rsidRPr="003446E8">
        <w:rPr>
          <w:rFonts w:eastAsia="Times New Roman" w:cs="Arial"/>
          <w:color w:val="000000"/>
          <w:lang w:eastAsia="bg-BG"/>
        </w:rPr>
        <w:t>разделени на три приема.</w:t>
      </w:r>
    </w:p>
    <w:p w14:paraId="00AEC2BF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66E2511" w14:textId="154B314B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Ако се предвижда замяна на друг перорален антидиабетен продукт, предишното хипогликемично лечение трябва да бъде преустановено и да се замести с метформин в дозата, посочена по-горе.</w:t>
      </w:r>
    </w:p>
    <w:p w14:paraId="678DCECD" w14:textId="77777777" w:rsidR="003446E8" w:rsidRPr="003446E8" w:rsidRDefault="003446E8" w:rsidP="003446E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5A90DCA2" w14:textId="4B71CB3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b/>
          <w:bCs/>
          <w:color w:val="000000"/>
          <w:lang w:eastAsia="bg-BG"/>
        </w:rPr>
        <w:t>Комбинация с инсулин</w:t>
      </w:r>
    </w:p>
    <w:p w14:paraId="4DC34EE9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26D1C6E" w14:textId="6D8CCDE2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Метформин и инсулин могат да се използват в комбинирана терапия, за да се постигне по- добър контрол на кръвната захар.</w:t>
      </w:r>
    </w:p>
    <w:p w14:paraId="2EE858D1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Обичайната начална доза е 500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 xml:space="preserve">или 850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>метформинов хидрохлорид 2 или 3 пъти дневно, докато дозата на инсулина се адаптира в зависимост от измерените стойности на кръвната захар.</w:t>
      </w:r>
    </w:p>
    <w:p w14:paraId="633118AF" w14:textId="77777777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2A40DE4" w14:textId="1A0C4148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Пациенти в напреднала възраст</w:t>
      </w:r>
    </w:p>
    <w:p w14:paraId="060F3B3C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AB5A4A5" w14:textId="58B72B91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Поради вероятността от намалена бъбречна функция при пациенти в напреднала възраст, дозата на метформин трябва да се адаптира в зависимост от бъбречната функция, която редовно трябва да се контролира (виж точка 4.4).</w:t>
      </w:r>
    </w:p>
    <w:p w14:paraId="26C2CBAC" w14:textId="77777777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57A05FC" w14:textId="46438143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Бъбречно увреждане</w:t>
      </w:r>
    </w:p>
    <w:p w14:paraId="329D0E41" w14:textId="77777777" w:rsidR="003446E8" w:rsidRPr="003446E8" w:rsidRDefault="003446E8" w:rsidP="003446E8">
      <w:pPr>
        <w:rPr>
          <w:rFonts w:eastAsia="Times New Roman" w:cs="Arial"/>
          <w:color w:val="000000"/>
          <w:lang w:eastAsia="bg-BG"/>
        </w:rPr>
      </w:pPr>
    </w:p>
    <w:p w14:paraId="68CA9140" w14:textId="1160334F" w:rsidR="003446E8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 xml:space="preserve">Преди започване на лечение с продукти, съдържащи метформин, трябва да се направи оценка на </w:t>
      </w:r>
      <w:r w:rsidRPr="003446E8">
        <w:rPr>
          <w:rFonts w:eastAsia="Times New Roman" w:cs="Arial"/>
          <w:color w:val="000000"/>
          <w:lang w:val="en-US"/>
        </w:rPr>
        <w:t xml:space="preserve">GFR </w:t>
      </w:r>
      <w:r w:rsidRPr="003446E8">
        <w:rPr>
          <w:rFonts w:eastAsia="Times New Roman" w:cs="Arial"/>
          <w:color w:val="000000"/>
          <w:lang w:eastAsia="bg-BG"/>
        </w:rPr>
        <w:t>стойностите, а след това - поне веднъж годишно. При пациенти с повишен риск от по</w:t>
      </w:r>
      <w:r w:rsidRPr="003446E8">
        <w:rPr>
          <w:rFonts w:eastAsia="Times New Roman" w:cs="Arial"/>
          <w:color w:val="000000"/>
          <w:lang w:eastAsia="bg-BG"/>
        </w:rPr>
        <w:softHyphen/>
        <w:t>нататъшно прогресиране на бъбречно увреждане и при пациенти в старческа възраст трябва по- често да се прави оценка на бъбречната функция, например на всеки 3-6 месеца.</w:t>
      </w:r>
    </w:p>
    <w:p w14:paraId="6ACAF645" w14:textId="23669630" w:rsidR="0091385D" w:rsidRDefault="0091385D" w:rsidP="009138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1"/>
        <w:gridCol w:w="3119"/>
        <w:gridCol w:w="3130"/>
      </w:tblGrid>
      <w:tr w:rsidR="003446E8" w14:paraId="46C6658F" w14:textId="77777777" w:rsidTr="003446E8">
        <w:tc>
          <w:tcPr>
            <w:tcW w:w="3166" w:type="dxa"/>
          </w:tcPr>
          <w:p w14:paraId="35B1C8D8" w14:textId="0770DC55" w:rsidR="003446E8" w:rsidRDefault="003446E8" w:rsidP="003446E8">
            <w:r>
              <w:rPr>
                <w:lang w:val="en-US"/>
              </w:rPr>
              <w:t>GFR ml</w:t>
            </w:r>
            <w:r>
              <w:t>/мин</w:t>
            </w:r>
          </w:p>
        </w:tc>
        <w:tc>
          <w:tcPr>
            <w:tcW w:w="3167" w:type="dxa"/>
          </w:tcPr>
          <w:p w14:paraId="0072C3C4" w14:textId="0FC152B1" w:rsidR="003446E8" w:rsidRDefault="003446E8" w:rsidP="003446E8">
            <w:r>
              <w:t>Обща максимална дневна доза (да се раздели на 2-3 дневни дози)</w:t>
            </w:r>
          </w:p>
        </w:tc>
        <w:tc>
          <w:tcPr>
            <w:tcW w:w="3167" w:type="dxa"/>
          </w:tcPr>
          <w:p w14:paraId="4DCCD9A5" w14:textId="068E116B" w:rsidR="003446E8" w:rsidRDefault="003446E8" w:rsidP="003446E8">
            <w:r>
              <w:t>Допълнителни съображения</w:t>
            </w:r>
          </w:p>
        </w:tc>
      </w:tr>
      <w:tr w:rsidR="003446E8" w14:paraId="55101449" w14:textId="77777777" w:rsidTr="003446E8">
        <w:tc>
          <w:tcPr>
            <w:tcW w:w="3166" w:type="dxa"/>
          </w:tcPr>
          <w:p w14:paraId="4433035A" w14:textId="133EE36E" w:rsidR="003446E8" w:rsidRDefault="003446E8" w:rsidP="003446E8">
            <w:r>
              <w:t>60-89</w:t>
            </w:r>
          </w:p>
        </w:tc>
        <w:tc>
          <w:tcPr>
            <w:tcW w:w="3167" w:type="dxa"/>
          </w:tcPr>
          <w:p w14:paraId="74147CD1" w14:textId="6EA7B738" w:rsidR="003446E8" w:rsidRDefault="003446E8" w:rsidP="003446E8">
            <w:r>
              <w:t xml:space="preserve">3000 </w:t>
            </w:r>
            <w:r>
              <w:rPr>
                <w:lang w:val="en-US"/>
              </w:rPr>
              <w:t>mg</w:t>
            </w:r>
          </w:p>
        </w:tc>
        <w:tc>
          <w:tcPr>
            <w:tcW w:w="3167" w:type="dxa"/>
          </w:tcPr>
          <w:p w14:paraId="5105580F" w14:textId="332CCB64" w:rsidR="003446E8" w:rsidRDefault="003446E8" w:rsidP="003446E8">
            <w:r>
              <w:t>Може да се обмисли понижаване на дозата във връзка с намаляването на бъбречната функция.</w:t>
            </w:r>
          </w:p>
        </w:tc>
      </w:tr>
      <w:tr w:rsidR="003446E8" w14:paraId="50C8D8DF" w14:textId="77777777" w:rsidTr="003446E8">
        <w:tc>
          <w:tcPr>
            <w:tcW w:w="3166" w:type="dxa"/>
          </w:tcPr>
          <w:p w14:paraId="64E71061" w14:textId="58839278" w:rsidR="003446E8" w:rsidRDefault="003446E8" w:rsidP="003446E8">
            <w:r>
              <w:lastRenderedPageBreak/>
              <w:t>45-59</w:t>
            </w:r>
          </w:p>
        </w:tc>
        <w:tc>
          <w:tcPr>
            <w:tcW w:w="3167" w:type="dxa"/>
          </w:tcPr>
          <w:p w14:paraId="0F6C4D9B" w14:textId="4A96E8F3" w:rsidR="003446E8" w:rsidRDefault="003446E8" w:rsidP="003446E8">
            <w:r>
              <w:t xml:space="preserve">2000 </w:t>
            </w:r>
            <w:r>
              <w:rPr>
                <w:lang w:val="en-US"/>
              </w:rPr>
              <w:t>mg</w:t>
            </w:r>
          </w:p>
        </w:tc>
        <w:tc>
          <w:tcPr>
            <w:tcW w:w="3167" w:type="dxa"/>
          </w:tcPr>
          <w:p w14:paraId="1A738693" w14:textId="77777777" w:rsidR="003446E8" w:rsidRDefault="003446E8" w:rsidP="003446E8">
            <w:r>
              <w:t>Факторите, които могат да увеличат риска от лактатна ацидоза (виж точка 4.4) трябва да бъдат преразгледани, преди да се обмисли започването на лечение с метформин.</w:t>
            </w:r>
          </w:p>
          <w:p w14:paraId="48E9EA28" w14:textId="5CFE7624" w:rsidR="003446E8" w:rsidRDefault="003446E8" w:rsidP="003446E8">
            <w:r>
              <w:t>Началната доза е най-много половината от максималната доза.</w:t>
            </w:r>
          </w:p>
        </w:tc>
      </w:tr>
      <w:tr w:rsidR="003446E8" w14:paraId="42F9FBE0" w14:textId="77777777" w:rsidTr="003446E8">
        <w:tc>
          <w:tcPr>
            <w:tcW w:w="3166" w:type="dxa"/>
          </w:tcPr>
          <w:p w14:paraId="4434C2C5" w14:textId="29071A85" w:rsidR="003446E8" w:rsidRDefault="003446E8" w:rsidP="003446E8">
            <w:r>
              <w:t>30-44</w:t>
            </w:r>
          </w:p>
        </w:tc>
        <w:tc>
          <w:tcPr>
            <w:tcW w:w="3167" w:type="dxa"/>
          </w:tcPr>
          <w:p w14:paraId="3720DEA7" w14:textId="1091392F" w:rsidR="003446E8" w:rsidRDefault="003446E8" w:rsidP="003446E8">
            <w:r>
              <w:t xml:space="preserve">1000 </w:t>
            </w:r>
            <w:r>
              <w:rPr>
                <w:lang w:val="en-US"/>
              </w:rPr>
              <w:t>mg</w:t>
            </w:r>
          </w:p>
        </w:tc>
        <w:tc>
          <w:tcPr>
            <w:tcW w:w="3167" w:type="dxa"/>
          </w:tcPr>
          <w:p w14:paraId="030A7368" w14:textId="77777777" w:rsidR="003446E8" w:rsidRDefault="003446E8" w:rsidP="003446E8"/>
        </w:tc>
      </w:tr>
      <w:tr w:rsidR="003446E8" w14:paraId="77D24AA5" w14:textId="77777777" w:rsidTr="003446E8">
        <w:tc>
          <w:tcPr>
            <w:tcW w:w="3166" w:type="dxa"/>
          </w:tcPr>
          <w:p w14:paraId="0B40A8D5" w14:textId="2E4B83E3" w:rsidR="003446E8" w:rsidRDefault="003446E8" w:rsidP="003446E8">
            <w:r>
              <w:t>&lt;30</w:t>
            </w:r>
          </w:p>
        </w:tc>
        <w:tc>
          <w:tcPr>
            <w:tcW w:w="3167" w:type="dxa"/>
          </w:tcPr>
          <w:p w14:paraId="4A999F70" w14:textId="220F5DB4" w:rsidR="003446E8" w:rsidRDefault="003446E8" w:rsidP="003446E8">
            <w:r>
              <w:t>-</w:t>
            </w:r>
          </w:p>
        </w:tc>
        <w:tc>
          <w:tcPr>
            <w:tcW w:w="3167" w:type="dxa"/>
          </w:tcPr>
          <w:p w14:paraId="02865E0A" w14:textId="428A8BBF" w:rsidR="003446E8" w:rsidRDefault="003446E8" w:rsidP="003446E8">
            <w:r>
              <w:t>Метформин е противопоказан</w:t>
            </w:r>
          </w:p>
        </w:tc>
      </w:tr>
    </w:tbl>
    <w:p w14:paraId="319C6982" w14:textId="581FF18E" w:rsidR="003446E8" w:rsidRDefault="003446E8" w:rsidP="0091385D"/>
    <w:p w14:paraId="2209D9D9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u w:val="single"/>
          <w:lang w:eastAsia="bg-BG"/>
        </w:rPr>
        <w:t>Педиатрична популация</w:t>
      </w:r>
    </w:p>
    <w:p w14:paraId="33515D5A" w14:textId="77777777" w:rsidR="003446E8" w:rsidRPr="003446E8" w:rsidRDefault="003446E8" w:rsidP="003446E8">
      <w:pPr>
        <w:rPr>
          <w:rFonts w:eastAsia="Times New Roman" w:cs="Arial"/>
          <w:b/>
          <w:bCs/>
          <w:color w:val="000000"/>
          <w:lang w:eastAsia="bg-BG"/>
        </w:rPr>
      </w:pPr>
    </w:p>
    <w:p w14:paraId="5C82C640" w14:textId="1B414DC6" w:rsidR="003446E8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b/>
          <w:bCs/>
          <w:color w:val="000000"/>
          <w:lang w:eastAsia="bg-BG"/>
        </w:rPr>
        <w:t>Монотерапня и в комбинация с инсулин</w:t>
      </w:r>
    </w:p>
    <w:p w14:paraId="056F5EFC" w14:textId="537716EB" w:rsidR="003446E8" w:rsidRPr="003446E8" w:rsidRDefault="003446E8" w:rsidP="0091385D">
      <w:pPr>
        <w:rPr>
          <w:rFonts w:cs="Arial"/>
        </w:rPr>
      </w:pPr>
    </w:p>
    <w:p w14:paraId="137E1F70" w14:textId="77777777" w:rsidR="003446E8" w:rsidRPr="003446E8" w:rsidRDefault="003446E8" w:rsidP="003446E8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Метфогамма може да се използва при деца над 10 години и юноши.</w:t>
      </w:r>
    </w:p>
    <w:p w14:paraId="6888D318" w14:textId="77777777" w:rsidR="003446E8" w:rsidRPr="003446E8" w:rsidRDefault="003446E8" w:rsidP="003446E8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Обичайната начална доза е 500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 xml:space="preserve">или 850 </w:t>
      </w:r>
      <w:r w:rsidRPr="003446E8">
        <w:rPr>
          <w:rFonts w:eastAsia="Times New Roman" w:cs="Arial"/>
          <w:color w:val="000000"/>
          <w:lang w:val="en-US"/>
        </w:rPr>
        <w:t xml:space="preserve">mg </w:t>
      </w:r>
      <w:r w:rsidRPr="003446E8">
        <w:rPr>
          <w:rFonts w:eastAsia="Times New Roman" w:cs="Arial"/>
          <w:color w:val="000000"/>
          <w:lang w:eastAsia="bg-BG"/>
        </w:rPr>
        <w:t>метформинов хидрохлорид на ден, която се приема по време или след хранене.</w:t>
      </w:r>
    </w:p>
    <w:p w14:paraId="64173488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След 10 до 15 дни дозата трябва да се адаптира в зависимост от нивото на кръвната захар. Постепенното повишаване на дозата може да подобри гастроинтестиналната толерантност.</w:t>
      </w:r>
    </w:p>
    <w:p w14:paraId="3EC63C64" w14:textId="77777777" w:rsidR="003446E8" w:rsidRPr="003446E8" w:rsidRDefault="003446E8" w:rsidP="003446E8">
      <w:pPr>
        <w:rPr>
          <w:rFonts w:eastAsia="Times New Roman" w:cs="Arial"/>
          <w:color w:val="000000"/>
          <w:lang w:eastAsia="bg-BG"/>
        </w:rPr>
      </w:pPr>
    </w:p>
    <w:p w14:paraId="1AB70B51" w14:textId="698C19CA" w:rsidR="003446E8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 xml:space="preserve">Препоръчаната максимална дневна доза метформинов хидрохлорид е 2 </w:t>
      </w:r>
      <w:r w:rsidRPr="003446E8">
        <w:rPr>
          <w:rFonts w:eastAsia="Times New Roman" w:cs="Arial"/>
          <w:color w:val="000000"/>
          <w:lang w:val="en-US"/>
        </w:rPr>
        <w:t xml:space="preserve">g </w:t>
      </w:r>
      <w:r w:rsidRPr="003446E8">
        <w:rPr>
          <w:rFonts w:eastAsia="Times New Roman" w:cs="Arial"/>
          <w:color w:val="000000"/>
          <w:lang w:eastAsia="bg-BG"/>
        </w:rPr>
        <w:t>дневно, разделени на 2 или 3 приема.</w:t>
      </w:r>
    </w:p>
    <w:p w14:paraId="76C6D9F4" w14:textId="77777777" w:rsidR="003446E8" w:rsidRPr="0091385D" w:rsidRDefault="003446E8" w:rsidP="0091385D"/>
    <w:p w14:paraId="28C984E8" w14:textId="0756AE28" w:rsidR="008134C8" w:rsidRDefault="002C50EE" w:rsidP="004A448E">
      <w:pPr>
        <w:pStyle w:val="Heading2"/>
      </w:pPr>
      <w:r>
        <w:t>4.3. Противопоказания</w:t>
      </w:r>
    </w:p>
    <w:p w14:paraId="2363D607" w14:textId="48168570" w:rsidR="0091385D" w:rsidRDefault="0091385D" w:rsidP="0091385D"/>
    <w:p w14:paraId="5CD6CABB" w14:textId="77777777" w:rsidR="003446E8" w:rsidRPr="003446E8" w:rsidRDefault="003446E8" w:rsidP="003446E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Свръхчувствителност към активното вещество или някое от помощните вещества, изброени в точка 6.1</w:t>
      </w:r>
    </w:p>
    <w:p w14:paraId="5CB94E33" w14:textId="77777777" w:rsidR="003446E8" w:rsidRPr="003446E8" w:rsidRDefault="003446E8" w:rsidP="003446E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Всеки тип остра метаболитна ацидоза (като лактатна ацидоза, диабетна кетоацидоза)</w:t>
      </w:r>
    </w:p>
    <w:p w14:paraId="76E72C60" w14:textId="77777777" w:rsidR="003446E8" w:rsidRPr="003446E8" w:rsidRDefault="003446E8" w:rsidP="003446E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Диабетна пре-кома</w:t>
      </w:r>
    </w:p>
    <w:p w14:paraId="426504D7" w14:textId="77777777" w:rsidR="003446E8" w:rsidRPr="003446E8" w:rsidRDefault="003446E8" w:rsidP="003446E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Тежка бъбречна недостатъчност </w:t>
      </w:r>
      <w:r w:rsidRPr="003446E8">
        <w:rPr>
          <w:rFonts w:eastAsia="Times New Roman" w:cs="Arial"/>
          <w:color w:val="000000"/>
          <w:lang w:val="en-US"/>
        </w:rPr>
        <w:t xml:space="preserve">(GFR </w:t>
      </w:r>
      <w:r w:rsidRPr="003446E8">
        <w:rPr>
          <w:rFonts w:eastAsia="Times New Roman" w:cs="Arial"/>
          <w:color w:val="000000"/>
          <w:lang w:eastAsia="bg-BG"/>
        </w:rPr>
        <w:t xml:space="preserve">&lt;30 </w:t>
      </w:r>
      <w:proofErr w:type="spellStart"/>
      <w:r w:rsidRPr="003446E8">
        <w:rPr>
          <w:rFonts w:eastAsia="Times New Roman" w:cs="Arial"/>
          <w:color w:val="000000"/>
          <w:lang w:val="en-US"/>
        </w:rPr>
        <w:t>mJ</w:t>
      </w:r>
      <w:proofErr w:type="spellEnd"/>
      <w:r w:rsidRPr="003446E8">
        <w:rPr>
          <w:rFonts w:eastAsia="Times New Roman" w:cs="Arial"/>
          <w:color w:val="000000"/>
          <w:lang w:eastAsia="bg-BG"/>
        </w:rPr>
        <w:t>/мин)</w:t>
      </w:r>
    </w:p>
    <w:p w14:paraId="50C02928" w14:textId="77777777" w:rsidR="003446E8" w:rsidRPr="003446E8" w:rsidRDefault="003446E8" w:rsidP="003446E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Остри състояния, застрашаващи да влошат бъбречната функция, като: дехидратация, тежка инфекция, шок;</w:t>
      </w:r>
    </w:p>
    <w:p w14:paraId="0FC7490D" w14:textId="5B867840" w:rsidR="003446E8" w:rsidRPr="003446E8" w:rsidRDefault="003446E8" w:rsidP="003446E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Заболявания, които могат да причинят тъканна хипоксия (особено остри заболявания или влошаване на хронични заболявания), като: декомпенсирана сърдечна недостатъчност, респираторна недостатъчност, наскоро прекаран миокарден инфаркт, шок;</w:t>
      </w:r>
    </w:p>
    <w:p w14:paraId="2309EAB0" w14:textId="6B4A29D9" w:rsidR="0091385D" w:rsidRPr="003446E8" w:rsidRDefault="003446E8" w:rsidP="003446E8">
      <w:pPr>
        <w:pStyle w:val="ListParagraph"/>
        <w:numPr>
          <w:ilvl w:val="0"/>
          <w:numId w:val="37"/>
        </w:num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>Чернодробна недостатъчност, остра алкохолна интоксикация, алкохолизъм.</w:t>
      </w:r>
    </w:p>
    <w:p w14:paraId="31B39DC6" w14:textId="77777777" w:rsidR="0091385D" w:rsidRPr="0091385D" w:rsidRDefault="0091385D" w:rsidP="0091385D"/>
    <w:p w14:paraId="212F509C" w14:textId="52B87D4F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0AAC2B60" w14:textId="0A08B607" w:rsidR="0091385D" w:rsidRDefault="0091385D" w:rsidP="0091385D"/>
    <w:p w14:paraId="697C10AF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u w:val="single"/>
          <w:lang w:eastAsia="bg-BG"/>
        </w:rPr>
        <w:t>Лактатна ацидоза</w:t>
      </w:r>
    </w:p>
    <w:p w14:paraId="5798EB5B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lastRenderedPageBreak/>
        <w:t>Лактатната ацидоза, много рядко, но сериозно метаболитно усложнение, най-често настъпва при остро влошаване на бъбречната функция, кардио-респираторно заболяване или сепсис. Натрупването на метформин настъпва при остро влошаване на бъбречната функция и увеличава риска от лактатна ацидоза.</w:t>
      </w:r>
    </w:p>
    <w:p w14:paraId="2089DD79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В случай на дехидратация (тежка диария или повръщане, треска или намален прием на течности) трябва временно да се спре приема на метформин и е препоръчително да се установи връзка с медицински специалист.</w:t>
      </w:r>
    </w:p>
    <w:p w14:paraId="64023582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Приемът на лекарствени продукти, които могат остро да увредят бъбречната функция (като антихипертензивни средства, диуретици и НСПВС) трябва да се започне с повишено внимание при пациенти, лекувани с метформин. Други рискови фактори за лактатна ацидоза са прекомерен прием на алкохол, чернодробна недостатъчност, недостатъчно контролиран диабет, кетоза, продължително гладуване и всякакви състояния, свързани с хипоксия, както и едновременната употреба на лекарствени продукти, които могат да причинят лактатна ацидоза (виж точки 4.3 и 4.5).</w:t>
      </w:r>
    </w:p>
    <w:p w14:paraId="43CBB22A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Пациентите и/или болногледачите трябва да бъдат информирани за риска от лактатна ацидоза. Лактатната ацидоза се характеризира с ацидозна диспнея, коремна болка, мускулни крампи, астения и хипотермия, последвани от кома. В случай на съмнение за симптоми пациентът трябва да спре приема на метформин и незабавно да потърси лекарска помощ. Диагностичните лабораторни находки са понижено кръвно </w:t>
      </w:r>
      <w:r w:rsidRPr="003446E8">
        <w:rPr>
          <w:rFonts w:eastAsia="Times New Roman" w:cs="Arial"/>
          <w:color w:val="000000"/>
          <w:lang w:val="en-US"/>
        </w:rPr>
        <w:t xml:space="preserve">pH </w:t>
      </w:r>
      <w:r w:rsidRPr="003446E8">
        <w:rPr>
          <w:rFonts w:eastAsia="Times New Roman" w:cs="Arial"/>
          <w:color w:val="000000"/>
          <w:lang w:eastAsia="bg-BG"/>
        </w:rPr>
        <w:t xml:space="preserve">(&lt;7,35), повишени нива на плазмения лактат (&gt;5 </w:t>
      </w:r>
      <w:proofErr w:type="spellStart"/>
      <w:r w:rsidRPr="003446E8">
        <w:rPr>
          <w:rFonts w:eastAsia="Times New Roman" w:cs="Arial"/>
          <w:color w:val="000000"/>
          <w:lang w:val="en-US"/>
        </w:rPr>
        <w:t>mmol</w:t>
      </w:r>
      <w:proofErr w:type="spellEnd"/>
      <w:r w:rsidRPr="003446E8">
        <w:rPr>
          <w:rFonts w:eastAsia="Times New Roman" w:cs="Arial"/>
          <w:color w:val="000000"/>
          <w:lang w:val="en-US"/>
        </w:rPr>
        <w:t xml:space="preserve">/l) </w:t>
      </w:r>
      <w:r w:rsidRPr="003446E8">
        <w:rPr>
          <w:rFonts w:eastAsia="Times New Roman" w:cs="Arial"/>
          <w:color w:val="000000"/>
          <w:lang w:eastAsia="bg-BG"/>
        </w:rPr>
        <w:t>и повишена анионна разлика и съотношение лактат/пируват.</w:t>
      </w:r>
    </w:p>
    <w:p w14:paraId="5066277A" w14:textId="77777777" w:rsid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87ECB59" w14:textId="3A4DA956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Бъбречна функция</w:t>
      </w:r>
    </w:p>
    <w:p w14:paraId="016460AA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B3BEE35" w14:textId="607ACCAF" w:rsidR="0091385D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Преди започване на лечението трябва да се направи оценка на стойностите на </w:t>
      </w:r>
      <w:r w:rsidRPr="003446E8">
        <w:rPr>
          <w:rFonts w:eastAsia="Times New Roman" w:cs="Arial"/>
          <w:color w:val="000000"/>
          <w:lang w:val="en-US"/>
        </w:rPr>
        <w:t xml:space="preserve">GFR </w:t>
      </w:r>
      <w:r w:rsidRPr="003446E8">
        <w:rPr>
          <w:rFonts w:eastAsia="Times New Roman" w:cs="Arial"/>
          <w:color w:val="000000"/>
          <w:lang w:eastAsia="bg-BG"/>
        </w:rPr>
        <w:t xml:space="preserve">и редовно след това, виж точка 4.2. Метформин е противопоказан при пациенти с </w:t>
      </w:r>
      <w:r w:rsidRPr="003446E8">
        <w:rPr>
          <w:rFonts w:eastAsia="Times New Roman" w:cs="Arial"/>
          <w:color w:val="000000"/>
          <w:lang w:val="en-US"/>
        </w:rPr>
        <w:t>GFR &lt;30 ml/</w:t>
      </w:r>
      <w:r>
        <w:rPr>
          <w:rFonts w:eastAsia="Times New Roman" w:cs="Arial"/>
          <w:color w:val="000000"/>
          <w:lang w:eastAsia="bg-BG"/>
        </w:rPr>
        <w:t xml:space="preserve">мин и </w:t>
      </w:r>
      <w:r w:rsidRPr="003446E8">
        <w:rPr>
          <w:rFonts w:eastAsia="Times New Roman" w:cs="Arial"/>
          <w:color w:val="000000"/>
          <w:lang w:eastAsia="bg-BG"/>
        </w:rPr>
        <w:t>трябва да бъде временно спрян при наличие на състояния, които променят бъбречната функция</w:t>
      </w:r>
      <w:r>
        <w:rPr>
          <w:rFonts w:eastAsia="Times New Roman" w:cs="Arial"/>
          <w:sz w:val="24"/>
          <w:szCs w:val="24"/>
          <w:lang w:val="en-US" w:eastAsia="bg-BG"/>
        </w:rPr>
        <w:t xml:space="preserve"> </w:t>
      </w:r>
      <w:r w:rsidRPr="003446E8">
        <w:rPr>
          <w:rFonts w:eastAsia="Times New Roman" w:cs="Arial"/>
          <w:color w:val="000000"/>
          <w:lang w:eastAsia="bg-BG"/>
        </w:rPr>
        <w:t>виж точка 4.3).</w:t>
      </w:r>
    </w:p>
    <w:p w14:paraId="24E3E82F" w14:textId="620B431E" w:rsidR="0091385D" w:rsidRDefault="0091385D" w:rsidP="0091385D"/>
    <w:p w14:paraId="33A60EEF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Сърдечна функция</w:t>
      </w:r>
    </w:p>
    <w:p w14:paraId="0497B0A2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Пациенти със сърдечна недостатъчност са изложени на по-голям риск от хипоксия и бъбречна недостатъчност. При пациенти със стабилна хронична сърдечна недостатъчност, метформин може да се използва при редовно наблюдение на сърдечната и бъбречната функция.</w:t>
      </w:r>
    </w:p>
    <w:p w14:paraId="6A4B021F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A5FE71B" w14:textId="39D638BA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За пациенти с остра и нестабилна сърдечна недостатъчност, метформин е противопоказан (виж точка 4.3).</w:t>
      </w:r>
    </w:p>
    <w:p w14:paraId="60DA5B9E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C31CFBF" w14:textId="5A9D5533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Приложение на Йод-съдържащи контрастни вещества</w:t>
      </w:r>
    </w:p>
    <w:p w14:paraId="2E50EBFE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DFBC386" w14:textId="3284DE4D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Вътресъдовото приложение на йодирани контрастни вещества може да доведе до контраст- индуцирана нефропатия, водеща до натрупването на метформин и повишен риск от лактатна ацидоза. Метформин трябва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виж точки 4.2 и 4.5.</w:t>
      </w:r>
    </w:p>
    <w:p w14:paraId="0D132526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E88F686" w14:textId="33F9B14A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Операция</w:t>
      </w:r>
    </w:p>
    <w:p w14:paraId="786B30B3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7663C7C" w14:textId="717A35B4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Метформин трябва да се спре по време на операция под обща, спинална или епидурална анестезия. Лечението може да бъде възобновено не по-рано от 48 часа след операцията </w:t>
      </w:r>
      <w:r w:rsidRPr="003446E8">
        <w:rPr>
          <w:rFonts w:eastAsia="Times New Roman" w:cs="Arial"/>
          <w:color w:val="000000"/>
          <w:lang w:eastAsia="bg-BG"/>
        </w:rPr>
        <w:lastRenderedPageBreak/>
        <w:t>или възобновяването на храненето през уста, и при условие че бъбречната функция е оценена отново и е установено, че е стабилна.</w:t>
      </w:r>
    </w:p>
    <w:p w14:paraId="5F640C98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82B37AB" w14:textId="43383C09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4D034DB2" w14:textId="59E9149A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Преди започване на лечение с метформин, трябва да бъде потвърдена диагнозата за диабет тип 2.</w:t>
      </w:r>
    </w:p>
    <w:p w14:paraId="2000CDEF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2C896CF" w14:textId="0536BD1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Проведените контролирани клинични изследвания в продължение на една година не са установили влияние на метформин върху растежа и пубертета, но засега няма по- продължителни наблюдения в тази област. Затова се препоръчва внимателно проследяване ефектите на метформин върху тези параметри, по-специално при лечение на деца в предпубергетна възраст.</w:t>
      </w:r>
    </w:p>
    <w:p w14:paraId="773346F9" w14:textId="77777777" w:rsidR="003446E8" w:rsidRPr="003446E8" w:rsidRDefault="003446E8" w:rsidP="003446E8">
      <w:pPr>
        <w:spacing w:line="240" w:lineRule="auto"/>
        <w:rPr>
          <w:rFonts w:eastAsia="Times New Roman" w:cs="Arial"/>
          <w:b/>
          <w:bCs/>
          <w:color w:val="000000"/>
          <w:u w:val="single"/>
          <w:lang w:eastAsia="bg-BG"/>
        </w:rPr>
      </w:pPr>
    </w:p>
    <w:p w14:paraId="344E4151" w14:textId="382B7BA5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b/>
          <w:bCs/>
          <w:color w:val="000000"/>
          <w:u w:val="single"/>
          <w:lang w:eastAsia="bg-BG"/>
        </w:rPr>
        <w:t>Деца между 10 и 12 години</w:t>
      </w:r>
    </w:p>
    <w:p w14:paraId="65C2EB53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92C8A28" w14:textId="5DC83C6C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В контролираните клинични проучвания на деца и юноши са били включени само 15 пациента на възраст между 10 и 12 години. Въпреки, че ефикасността и безопасността на метформин при тези деца не са по-различни от тези при по-големи деца и юноши, се препоръчва особено внимание при предписването на деца между 10 и 12 годишна възраст.</w:t>
      </w:r>
    </w:p>
    <w:p w14:paraId="5AFAB951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CBCF02D" w14:textId="01CAC52B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Други предупреждения:</w:t>
      </w:r>
    </w:p>
    <w:p w14:paraId="3C98DBCE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756F1C5" w14:textId="5FA44932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Всички пациенти трябва да продължат диетата си с равномерно разпределение на въглехидратния прием през деня. Пациентите с наднормено тегло трябва да спазват нискокалоричната си диета.</w:t>
      </w:r>
    </w:p>
    <w:p w14:paraId="495C3168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D86037B" w14:textId="4F35431B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Обичайните лабораторни тестове за мониториране на диабета трябва да се извършват редовно.</w:t>
      </w:r>
    </w:p>
    <w:p w14:paraId="689EAD9C" w14:textId="77777777" w:rsidR="003446E8" w:rsidRPr="003446E8" w:rsidRDefault="003446E8" w:rsidP="003446E8">
      <w:pPr>
        <w:rPr>
          <w:rFonts w:eastAsia="Times New Roman" w:cs="Arial"/>
          <w:color w:val="000000"/>
          <w:lang w:eastAsia="bg-BG"/>
        </w:rPr>
      </w:pPr>
    </w:p>
    <w:p w14:paraId="651AC52A" w14:textId="70E0515F" w:rsidR="003446E8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>Метформин, прилаган самостоятелно, не предизвиква хипогликемия, но трябва да се внимава, когато се използва в комбинация с инсулин и други перорални антидиабетни продукти (напр. сулфанилурейни продукти и меглитиниди).</w:t>
      </w:r>
    </w:p>
    <w:p w14:paraId="6D345DFF" w14:textId="77777777" w:rsidR="003446E8" w:rsidRPr="0091385D" w:rsidRDefault="003446E8" w:rsidP="0091385D"/>
    <w:p w14:paraId="619DED1E" w14:textId="564F257F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55E4B7C" w14:textId="7D829F6C" w:rsidR="0091385D" w:rsidRDefault="0091385D" w:rsidP="0091385D"/>
    <w:p w14:paraId="172AE819" w14:textId="4B15D2FB" w:rsidR="0091385D" w:rsidRDefault="003446E8" w:rsidP="0091385D">
      <w:r>
        <w:t>Не се препоръчва съпътстваща употреба</w:t>
      </w:r>
    </w:p>
    <w:p w14:paraId="1F4BD5B5" w14:textId="3B523128" w:rsidR="003446E8" w:rsidRDefault="003446E8" w:rsidP="0091385D"/>
    <w:p w14:paraId="5CC37412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Алкохол</w:t>
      </w:r>
    </w:p>
    <w:p w14:paraId="5148C85B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Алкохолната интоксикация се свързва с повишен риск от лактатна ацидоза, особено в случаи на гладуване, недохранване или чернодробна недостатъчност.</w:t>
      </w:r>
    </w:p>
    <w:p w14:paraId="2D1EA23D" w14:textId="77777777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03B2186" w14:textId="0FA0F689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Йодирани контрастни вещества:</w:t>
      </w:r>
    </w:p>
    <w:p w14:paraId="1C010539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782030C" w14:textId="0B42C80B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Метформин трябва задължително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виж точки 4.2 и 4.4.</w:t>
      </w:r>
    </w:p>
    <w:p w14:paraId="10BCB86A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1BBB674" w14:textId="6E320A29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Комбинации изискващи предпазни мерки:</w:t>
      </w:r>
    </w:p>
    <w:p w14:paraId="73CB21CD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9536AD6" w14:textId="32FB752E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 xml:space="preserve">Някои лекарствени продукти могат да се отразят неблагоприятно на бъбречната функция, което може да увеличи риска от лактатна ацидоза, например НСПВС, включително селективни инхибитори на циклооксигеназа </w:t>
      </w:r>
      <w:r w:rsidRPr="003446E8">
        <w:rPr>
          <w:rFonts w:eastAsia="Times New Roman" w:cs="Arial"/>
          <w:color w:val="000000"/>
          <w:lang w:val="en-US"/>
        </w:rPr>
        <w:t xml:space="preserve">(COX) </w:t>
      </w:r>
      <w:r w:rsidRPr="003446E8">
        <w:rPr>
          <w:rFonts w:eastAsia="Times New Roman" w:cs="Arial"/>
          <w:color w:val="000000"/>
          <w:lang w:eastAsia="bg-BG"/>
        </w:rPr>
        <w:t>II, АСЕ инхибитори, ангиотензин II рецепторни антагонисти и диуретици, особено бримкови диуретици. При започването или употребата на такива продукти в комбинация с метформин е необходимо внимателно проследяване на бъбречната функция.</w:t>
      </w:r>
    </w:p>
    <w:p w14:paraId="7655550F" w14:textId="77777777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03686C1" w14:textId="52DCA93C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Лекарствени продукти с вътрешна хипергликемична активност (напр. глюкокортикостероиди [системно и локално приложение] и симпатомиметици):</w:t>
      </w:r>
    </w:p>
    <w:p w14:paraId="06CD5837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6DC9358" w14:textId="42AD20BA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Може да е необходимо по-често проследяване нивото на кръвната захар, особено в началото на лечението. При нужда, дозата на метформин трябва да се адаптира по време на лечението със съответния лекарствен продукт и след неговото спиране.</w:t>
      </w:r>
    </w:p>
    <w:p w14:paraId="2602A711" w14:textId="77777777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70D9347" w14:textId="0EBDE4E4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Транспортери на органични катиони (ОКТ)</w:t>
      </w:r>
    </w:p>
    <w:p w14:paraId="1C861685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ED7CB75" w14:textId="4ECFFF68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Метформин е субстрат и на двата транспортера ОКТ1 и ОКТ2.</w:t>
      </w:r>
    </w:p>
    <w:p w14:paraId="1CC71108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7A517FB" w14:textId="5F1AA8B5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Едновременното приложение на метформин с</w:t>
      </w:r>
    </w:p>
    <w:p w14:paraId="0395AECF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•</w:t>
      </w:r>
      <w:r w:rsidRPr="003446E8">
        <w:rPr>
          <w:rFonts w:eastAsia="Times New Roman" w:cs="Arial"/>
          <w:color w:val="000000"/>
          <w:lang w:eastAsia="bg-BG"/>
        </w:rPr>
        <w:tab/>
        <w:t>Инхибитори на ОКТ1 (като верапамил) могат да намалят ефикасността на метформин.</w:t>
      </w:r>
    </w:p>
    <w:p w14:paraId="205FFEA3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•</w:t>
      </w:r>
      <w:r w:rsidRPr="003446E8">
        <w:rPr>
          <w:rFonts w:eastAsia="Times New Roman" w:cs="Arial"/>
          <w:color w:val="000000"/>
          <w:lang w:eastAsia="bg-BG"/>
        </w:rPr>
        <w:tab/>
        <w:t>Индуктори на ОКТ1 (като рифампицин) могат да повишат гастроинтестиналната абсорбция и ефикасността на метформин.</w:t>
      </w:r>
    </w:p>
    <w:p w14:paraId="1DB878FA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•</w:t>
      </w:r>
      <w:r w:rsidRPr="003446E8">
        <w:rPr>
          <w:rFonts w:eastAsia="Times New Roman" w:cs="Arial"/>
          <w:color w:val="000000"/>
          <w:lang w:eastAsia="bg-BG"/>
        </w:rPr>
        <w:tab/>
        <w:t>Инхибитори на ОКТ2 (като циметидин, долутегравир, ранолазин, триметоприм, вандетаниб, исавуконазол) могат да понижат елиминирането на метформин през бъбреците и това да доведе до повишена плазмена концентрация на метформин.</w:t>
      </w:r>
    </w:p>
    <w:p w14:paraId="4905C66B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•</w:t>
      </w:r>
      <w:r w:rsidRPr="003446E8">
        <w:rPr>
          <w:rFonts w:eastAsia="Times New Roman" w:cs="Arial"/>
          <w:color w:val="000000"/>
          <w:lang w:eastAsia="bg-BG"/>
        </w:rPr>
        <w:tab/>
        <w:t>Инхибитори на ОКТ1 и ОКТ2 (като кризотиниб, олапариб) могат да променят ефикасността и бъбречната елиминация на метформин.</w:t>
      </w:r>
    </w:p>
    <w:p w14:paraId="5B34B268" w14:textId="7D99C82A" w:rsidR="003446E8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>Следователно, необходимо е да се обръща внимание, особено при пациенти с бъбречно увреждане, когато тези лекарствени продукти се прилагат едновременно с метформин, тъй като плазмената концентрация на метформин може да бъде повишена. Ако е необходимо, може да се обмисли корекция на дозата, тъй като ОКТ инхибиторите/индукторите могат да променят ефикасността на метформин.</w:t>
      </w:r>
    </w:p>
    <w:p w14:paraId="5B2761C5" w14:textId="77777777" w:rsidR="0091385D" w:rsidRPr="0091385D" w:rsidRDefault="0091385D" w:rsidP="0091385D"/>
    <w:p w14:paraId="394A7584" w14:textId="10DEA5B3" w:rsidR="004F498A" w:rsidRDefault="002C50EE" w:rsidP="004A448E">
      <w:pPr>
        <w:pStyle w:val="Heading2"/>
      </w:pPr>
      <w:r>
        <w:t>4.6. Фертилитет, бременност и кърмене</w:t>
      </w:r>
    </w:p>
    <w:p w14:paraId="4887836B" w14:textId="11C96CFA" w:rsidR="0091385D" w:rsidRDefault="0091385D" w:rsidP="0091385D"/>
    <w:p w14:paraId="62642946" w14:textId="77777777" w:rsidR="003446E8" w:rsidRPr="003446E8" w:rsidRDefault="003446E8" w:rsidP="003446E8">
      <w:pPr>
        <w:pStyle w:val="Heading3"/>
        <w:rPr>
          <w:color w:val="auto"/>
          <w:u w:val="single"/>
        </w:rPr>
      </w:pPr>
      <w:r w:rsidRPr="003446E8">
        <w:rPr>
          <w:u w:val="single"/>
        </w:rPr>
        <w:t>Бременност</w:t>
      </w:r>
    </w:p>
    <w:p w14:paraId="37904F74" w14:textId="77777777" w:rsidR="003446E8" w:rsidRPr="003446E8" w:rsidRDefault="003446E8" w:rsidP="003446E8">
      <w:pPr>
        <w:rPr>
          <w:rFonts w:cs="Arial"/>
        </w:rPr>
      </w:pPr>
      <w:r w:rsidRPr="003446E8">
        <w:rPr>
          <w:rFonts w:cs="Arial"/>
        </w:rPr>
        <w:t>По време на бременност неконтролирания диабет (гестационен или постоянен) се свързва с повишен риск от вродени аномалии или перинатална смъртност.</w:t>
      </w:r>
    </w:p>
    <w:p w14:paraId="2A7A2287" w14:textId="77777777" w:rsidR="003446E8" w:rsidRPr="003446E8" w:rsidRDefault="003446E8" w:rsidP="003446E8">
      <w:pPr>
        <w:rPr>
          <w:rFonts w:cs="Arial"/>
        </w:rPr>
      </w:pPr>
    </w:p>
    <w:p w14:paraId="3644D3A2" w14:textId="1C4F54EF" w:rsidR="003446E8" w:rsidRPr="003446E8" w:rsidRDefault="003446E8" w:rsidP="003446E8">
      <w:pPr>
        <w:rPr>
          <w:rFonts w:cs="Arial"/>
        </w:rPr>
      </w:pPr>
      <w:r w:rsidRPr="003446E8">
        <w:rPr>
          <w:rFonts w:cs="Arial"/>
        </w:rPr>
        <w:t>Ограничените данни за употребата на метформин при бременни жени не се свързват с повишен риск от вродени аномалии.</w:t>
      </w:r>
    </w:p>
    <w:p w14:paraId="0977B410" w14:textId="77777777" w:rsidR="003446E8" w:rsidRPr="003446E8" w:rsidRDefault="003446E8" w:rsidP="003446E8">
      <w:pPr>
        <w:rPr>
          <w:rFonts w:cs="Arial"/>
        </w:rPr>
      </w:pPr>
    </w:p>
    <w:p w14:paraId="776662C5" w14:textId="76D83412" w:rsidR="0091385D" w:rsidRPr="003446E8" w:rsidRDefault="003446E8" w:rsidP="003446E8">
      <w:pPr>
        <w:rPr>
          <w:rFonts w:cs="Arial"/>
        </w:rPr>
      </w:pPr>
      <w:r w:rsidRPr="003446E8">
        <w:rPr>
          <w:rFonts w:cs="Arial"/>
        </w:rPr>
        <w:t>Опитите с животни не показват увреждащи ефекти, свързани с бременността, ембрионалното</w:t>
      </w:r>
      <w:r w:rsidRPr="003446E8">
        <w:rPr>
          <w:rFonts w:cs="Arial"/>
          <w:lang w:val="en-US"/>
        </w:rPr>
        <w:t xml:space="preserve"> </w:t>
      </w:r>
      <w:r w:rsidRPr="003446E8">
        <w:rPr>
          <w:rFonts w:cs="Arial"/>
        </w:rPr>
        <w:t>или феталното развитие, раждане или постнатално развитие (виж точка 5.3).</w:t>
      </w:r>
    </w:p>
    <w:p w14:paraId="3E8789C3" w14:textId="5F5283B5" w:rsidR="0091385D" w:rsidRDefault="0091385D" w:rsidP="0091385D"/>
    <w:p w14:paraId="6C2CC192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В случай на планирано бъдещо забременяване и по време на бременност, се препоръчва за лечение на диабет да не се използва метформин, а за поддържане на нивото на кръвната захар възможно най-близко до нормалното, да се прилага инсулин, за намаляване на риска от малформации на плода.</w:t>
      </w:r>
    </w:p>
    <w:p w14:paraId="362BE0BA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C0AF0D5" w14:textId="02E21427" w:rsidR="003446E8" w:rsidRPr="003446E8" w:rsidRDefault="003446E8" w:rsidP="003446E8">
      <w:pPr>
        <w:pStyle w:val="Heading3"/>
        <w:rPr>
          <w:rFonts w:eastAsia="Times New Roman"/>
          <w:u w:val="single"/>
          <w:lang w:eastAsia="bg-BG"/>
        </w:rPr>
      </w:pPr>
      <w:r w:rsidRPr="003446E8">
        <w:rPr>
          <w:rFonts w:eastAsia="Times New Roman"/>
          <w:u w:val="single"/>
          <w:lang w:eastAsia="bg-BG"/>
        </w:rPr>
        <w:t>Кърмене</w:t>
      </w:r>
    </w:p>
    <w:p w14:paraId="1AC5D959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Метформин се екскретира в кърмата. Не са наблюдавани нежелани лекарствени реакции при новородени кърмачета/ малки деца. Все пак, поради ограничените налични данни, кърменето не се препоръчва по време на лечение с метформин.</w:t>
      </w:r>
    </w:p>
    <w:p w14:paraId="332FE720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Трябва да се вземе решение, дали да се преустанови кърменето, като се има предвид ползата от кърменето и потенциалния риск от нежелани лекарствени реакции за детето.</w:t>
      </w:r>
    </w:p>
    <w:p w14:paraId="1258CC80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FC28E84" w14:textId="07E2DD8E" w:rsidR="003446E8" w:rsidRPr="003446E8" w:rsidRDefault="003446E8" w:rsidP="003446E8">
      <w:pPr>
        <w:pStyle w:val="Heading3"/>
        <w:rPr>
          <w:rFonts w:eastAsia="Times New Roman"/>
          <w:u w:val="single"/>
          <w:lang w:eastAsia="bg-BG"/>
        </w:rPr>
      </w:pPr>
      <w:r w:rsidRPr="003446E8">
        <w:rPr>
          <w:rFonts w:eastAsia="Times New Roman"/>
          <w:u w:val="single"/>
          <w:lang w:eastAsia="bg-BG"/>
        </w:rPr>
        <w:t>Фeртилитeт</w:t>
      </w:r>
    </w:p>
    <w:p w14:paraId="7B93A99E" w14:textId="75E23A43" w:rsidR="003446E8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 xml:space="preserve">При мъжки и женски плъхове фертилитетът не се повлиява от метформин, приложен в дози до 600 </w:t>
      </w:r>
      <w:r w:rsidRPr="003446E8">
        <w:rPr>
          <w:rFonts w:eastAsia="Times New Roman" w:cs="Arial"/>
          <w:color w:val="000000"/>
          <w:lang w:val="en-US"/>
        </w:rPr>
        <w:t>mg/kg</w:t>
      </w:r>
      <w:r w:rsidRPr="003446E8">
        <w:rPr>
          <w:rFonts w:eastAsia="Times New Roman" w:cs="Arial"/>
          <w:color w:val="000000"/>
          <w:lang w:eastAsia="bg-BG"/>
        </w:rPr>
        <w:t>/на ден, което е почти три пъти повече от максималната препоръчана дневна доза при хора, на база сравнение на телесна повърхност.</w:t>
      </w:r>
    </w:p>
    <w:p w14:paraId="07B773B4" w14:textId="77777777" w:rsidR="003446E8" w:rsidRPr="0091385D" w:rsidRDefault="003446E8" w:rsidP="0091385D"/>
    <w:p w14:paraId="064DF1DE" w14:textId="70BCC16C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455464C" w14:textId="2676810A" w:rsidR="0091385D" w:rsidRDefault="0091385D" w:rsidP="0091385D"/>
    <w:p w14:paraId="5103276C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Метформин като монотерапия не води до хипогликемия и затова няма влияние върху способността за шофиране и работа с машини.</w:t>
      </w:r>
    </w:p>
    <w:p w14:paraId="2B4135A6" w14:textId="010C2D7C" w:rsidR="0091385D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color w:val="000000"/>
          <w:lang w:eastAsia="bg-BG"/>
        </w:rPr>
        <w:t>Все пак, пациентите трябва да са предупредени за риска от появата на хипогликемия, когато метформин се използва в комбинация с други антидиабентни лекарствени продукти (напр. сулфанилурейни, инсулин или меглитиниди).</w:t>
      </w:r>
    </w:p>
    <w:p w14:paraId="35801A15" w14:textId="77777777" w:rsidR="0091385D" w:rsidRPr="0091385D" w:rsidRDefault="0091385D" w:rsidP="0091385D"/>
    <w:p w14:paraId="37A3FD9F" w14:textId="0E7561E3" w:rsidR="00CF77F7" w:rsidRDefault="002C50EE" w:rsidP="004A448E">
      <w:pPr>
        <w:pStyle w:val="Heading2"/>
      </w:pPr>
      <w:r>
        <w:t>4.8. Нежелани лекарствени реакции</w:t>
      </w:r>
    </w:p>
    <w:p w14:paraId="4838F52A" w14:textId="4C2232D6" w:rsidR="0091385D" w:rsidRDefault="0091385D" w:rsidP="0091385D"/>
    <w:p w14:paraId="79F656F4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В началото на лечението, най-честите нежелани лекарствени реакции са гадене, повръщане, диария, стомашна болка и загуба на апетит, които в повечето случаи отминават спонтанно. За предотвратяването им се препоръчва метформин да се приема на две или три дневни дози и постепенно увеличаване на дозите.</w:t>
      </w:r>
    </w:p>
    <w:p w14:paraId="1519A3DA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A72D116" w14:textId="739ACF8F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По време на лечение с метформин могат да се появят следните нежелани лекарствени реакции. Честотата им се определя както следва: много чести: ≥1/10; чести: (≥1/100 до &lt;1/10); нечести: (≥1/1000 до &lt;1/100); редки: (≥1/10000 до &lt;1/1000); много редки: (&lt;1/10000), с неизвестна честота (от наличните данни не може да бъде направена оценка).</w:t>
      </w:r>
    </w:p>
    <w:p w14:paraId="53F0A36E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1CC4257" w14:textId="13AFA243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При всяко групиране в зависимост от честотата, нежеланите лекарствени реакции се изброяват в низходящ ред по отношение на тежестта.</w:t>
      </w:r>
    </w:p>
    <w:p w14:paraId="7C622A05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419B522" w14:textId="51BA8A8D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Нарушения на метаболизма и храненето</w:t>
      </w:r>
    </w:p>
    <w:p w14:paraId="72D7BD98" w14:textId="77777777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946B5A9" w14:textId="5CF30A1C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Много редки:</w:t>
      </w:r>
    </w:p>
    <w:p w14:paraId="08B40C35" w14:textId="77777777" w:rsidR="003446E8" w:rsidRPr="003446E8" w:rsidRDefault="003446E8" w:rsidP="003446E8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Лактатна ацидоза (виж точка 4.4)</w:t>
      </w:r>
    </w:p>
    <w:p w14:paraId="7E4511BC" w14:textId="77777777" w:rsidR="003446E8" w:rsidRPr="003446E8" w:rsidRDefault="003446E8" w:rsidP="003446E8">
      <w:pPr>
        <w:pStyle w:val="ListParagraph"/>
        <w:numPr>
          <w:ilvl w:val="0"/>
          <w:numId w:val="39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lastRenderedPageBreak/>
        <w:t xml:space="preserve">Намалена абсорбция на Витамин </w:t>
      </w:r>
      <w:r w:rsidRPr="003446E8">
        <w:rPr>
          <w:rFonts w:eastAsia="Times New Roman" w:cs="Arial"/>
          <w:color w:val="000000"/>
          <w:lang w:val="en-US"/>
        </w:rPr>
        <w:t>B</w:t>
      </w:r>
      <w:r w:rsidRPr="003446E8">
        <w:rPr>
          <w:rFonts w:eastAsia="Times New Roman" w:cs="Arial"/>
          <w:color w:val="000000"/>
          <w:vertAlign w:val="subscript"/>
          <w:lang w:val="en-US"/>
        </w:rPr>
        <w:t>12</w:t>
      </w:r>
      <w:r w:rsidRPr="003446E8">
        <w:rPr>
          <w:rFonts w:eastAsia="Times New Roman" w:cs="Arial"/>
          <w:color w:val="000000"/>
          <w:lang w:eastAsia="bg-BG"/>
        </w:rPr>
        <w:t xml:space="preserve"> и намаляване на серумните нива по време на продължително лечение с метформин. Препоръчва се подобна етиология да се вземе предвид в случай, че пациентът има мегалобластна анемия.</w:t>
      </w:r>
    </w:p>
    <w:p w14:paraId="39176DA3" w14:textId="77777777" w:rsidR="003446E8" w:rsidRPr="003446E8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AC65A40" w14:textId="59915FDC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Нарушения на нервната система</w:t>
      </w:r>
    </w:p>
    <w:p w14:paraId="2649E4CE" w14:textId="77777777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68113F4" w14:textId="7264F64D" w:rsidR="003446E8" w:rsidRPr="003446E8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Чести:</w:t>
      </w:r>
    </w:p>
    <w:p w14:paraId="0BF934A3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</w:p>
    <w:p w14:paraId="00E75528" w14:textId="77777777" w:rsidR="003446E8" w:rsidRPr="003446E8" w:rsidRDefault="003446E8" w:rsidP="003446E8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Нарушения на вкуса</w:t>
      </w:r>
    </w:p>
    <w:p w14:paraId="45BA8705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</w:p>
    <w:p w14:paraId="1FDA9A18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</w:p>
    <w:p w14:paraId="20565068" w14:textId="77777777" w:rsidR="003446E8" w:rsidRPr="003446E8" w:rsidRDefault="003446E8" w:rsidP="003446E8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</w:p>
    <w:p w14:paraId="570508C4" w14:textId="2A575669" w:rsidR="0091385D" w:rsidRPr="003446E8" w:rsidRDefault="003446E8" w:rsidP="003446E8">
      <w:pPr>
        <w:rPr>
          <w:rFonts w:cs="Arial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Много чести:</w:t>
      </w:r>
    </w:p>
    <w:p w14:paraId="43E3C48F" w14:textId="7BDB7DFC" w:rsidR="0091385D" w:rsidRDefault="0091385D" w:rsidP="0091385D"/>
    <w:p w14:paraId="6A0BEE4B" w14:textId="77777777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•</w:t>
      </w:r>
      <w:r w:rsidRPr="003446E8">
        <w:rPr>
          <w:rFonts w:eastAsia="Times New Roman" w:cs="Arial"/>
          <w:color w:val="000000"/>
          <w:lang w:eastAsia="bg-BG"/>
        </w:rPr>
        <w:tab/>
        <w:t>Стомашно-чревни нарушения, като гадене, повръщане, диария, абдоминална болка и загуба на апетит. Тези нежелани реакции се появяват най-често в началото на терапията и отминават спонтанно в повечето случаи. За да се предотвратят тези симптоми, е препоръчително метформин да се приема на 2 или 3 дневни дози по време или след хранене. Бавното увеличаване на дозата може също да подобри гастроинтестиналната толерантност.</w:t>
      </w:r>
    </w:p>
    <w:p w14:paraId="5F8C218E" w14:textId="77777777" w:rsidR="003446E8" w:rsidRPr="00283D47" w:rsidRDefault="003446E8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6C1AB81" w14:textId="5EE703DD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Хепатобилиарни нарушения</w:t>
      </w:r>
    </w:p>
    <w:p w14:paraId="332BFC4E" w14:textId="77777777" w:rsidR="00283D47" w:rsidRPr="00283D47" w:rsidRDefault="00283D47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EDD6229" w14:textId="7AA8A76D" w:rsidR="003446E8" w:rsidRPr="00283D47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Много редки:</w:t>
      </w:r>
    </w:p>
    <w:p w14:paraId="2280CE1B" w14:textId="77777777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</w:p>
    <w:p w14:paraId="7E0B80C1" w14:textId="77777777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•</w:t>
      </w:r>
      <w:r w:rsidRPr="003446E8">
        <w:rPr>
          <w:rFonts w:eastAsia="Times New Roman" w:cs="Arial"/>
          <w:color w:val="000000"/>
          <w:lang w:eastAsia="bg-BG"/>
        </w:rPr>
        <w:tab/>
        <w:t>Единични случаи на аномалии в чернодробните изследвания или хепатит, които преминават след преустановяване на лечението с метформин.</w:t>
      </w:r>
    </w:p>
    <w:p w14:paraId="62553A40" w14:textId="77777777" w:rsidR="00283D47" w:rsidRPr="00283D47" w:rsidRDefault="00283D47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A575F5B" w14:textId="1218F3FF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</w:t>
      </w:r>
    </w:p>
    <w:p w14:paraId="4E517C98" w14:textId="77777777" w:rsidR="003446E8" w:rsidRPr="00283D47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4F1E79F" w14:textId="397B11FB" w:rsidR="003446E8" w:rsidRPr="00283D47" w:rsidRDefault="003446E8" w:rsidP="003446E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  <w:r w:rsidRPr="003446E8">
        <w:rPr>
          <w:rFonts w:eastAsia="Times New Roman" w:cs="Arial"/>
          <w:i/>
          <w:iCs/>
          <w:color w:val="000000"/>
          <w:lang w:eastAsia="bg-BG"/>
        </w:rPr>
        <w:t>Много редки:</w:t>
      </w:r>
    </w:p>
    <w:p w14:paraId="416D9543" w14:textId="77777777" w:rsidR="00283D47" w:rsidRPr="003446E8" w:rsidRDefault="00283D47" w:rsidP="003446E8">
      <w:pPr>
        <w:spacing w:line="240" w:lineRule="auto"/>
        <w:rPr>
          <w:rFonts w:eastAsia="Times New Roman" w:cs="Arial"/>
          <w:lang w:eastAsia="bg-BG"/>
        </w:rPr>
      </w:pPr>
    </w:p>
    <w:p w14:paraId="6F4F9620" w14:textId="77777777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•</w:t>
      </w:r>
      <w:r w:rsidRPr="003446E8">
        <w:rPr>
          <w:rFonts w:eastAsia="Times New Roman" w:cs="Arial"/>
          <w:color w:val="000000"/>
          <w:lang w:eastAsia="bg-BG"/>
        </w:rPr>
        <w:tab/>
        <w:t>Кожни реакции, като еритема, пруритус, уртикария.</w:t>
      </w:r>
    </w:p>
    <w:p w14:paraId="21CFE5E8" w14:textId="77777777" w:rsidR="00283D47" w:rsidRPr="00283D47" w:rsidRDefault="00283D47" w:rsidP="003446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B3F41E2" w14:textId="34AE67C6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24CF6979" w14:textId="77777777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color w:val="000000"/>
          <w:lang w:eastAsia="bg-BG"/>
        </w:rPr>
        <w:t>Нежеланите лекарствени реакции от публикации и постмаркетингови източници, както и от контролирани клинични проучвания на малка група деца, между 10 и 16 години, третирани в продължение на 1 година, са подобни на наблюдаваните при възрастни по отношение на характера и тежестта им.</w:t>
      </w:r>
    </w:p>
    <w:p w14:paraId="494D4720" w14:textId="77777777" w:rsidR="00283D47" w:rsidRPr="00283D47" w:rsidRDefault="00283D47" w:rsidP="003446E8">
      <w:pPr>
        <w:spacing w:line="240" w:lineRule="auto"/>
        <w:rPr>
          <w:rFonts w:eastAsia="Times New Roman" w:cs="Arial"/>
          <w:b/>
          <w:bCs/>
          <w:color w:val="000000"/>
          <w:u w:val="single"/>
          <w:lang w:eastAsia="bg-BG"/>
        </w:rPr>
      </w:pPr>
    </w:p>
    <w:p w14:paraId="440E0FCA" w14:textId="24040555" w:rsidR="003446E8" w:rsidRPr="003446E8" w:rsidRDefault="003446E8" w:rsidP="003446E8">
      <w:pPr>
        <w:spacing w:line="240" w:lineRule="auto"/>
        <w:rPr>
          <w:rFonts w:eastAsia="Times New Roman" w:cs="Arial"/>
          <w:lang w:eastAsia="bg-BG"/>
        </w:rPr>
      </w:pPr>
      <w:r w:rsidRPr="003446E8">
        <w:rPr>
          <w:rFonts w:eastAsia="Times New Roman" w:cs="Arial"/>
          <w:b/>
          <w:bCs/>
          <w:color w:val="000000"/>
          <w:u w:val="single"/>
          <w:lang w:eastAsia="bg-BG"/>
        </w:rPr>
        <w:t>Съобщаване на подозирани нежелани реакции</w:t>
      </w:r>
    </w:p>
    <w:p w14:paraId="2E7D33DE" w14:textId="6A808123" w:rsidR="003446E8" w:rsidRPr="00283D47" w:rsidRDefault="003446E8" w:rsidP="003446E8">
      <w:pPr>
        <w:rPr>
          <w:rFonts w:cs="Arial"/>
        </w:rPr>
      </w:pPr>
      <w:r w:rsidRPr="00283D47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 „Дамян Груев” № 8, 1303 София, Тел.: +35 928903417, уебсайт: </w:t>
      </w:r>
      <w:r w:rsidRPr="00283D47">
        <w:rPr>
          <w:rFonts w:eastAsia="Times New Roman" w:cs="Arial"/>
          <w:lang w:eastAsia="bg-BG"/>
        </w:rPr>
        <w:fldChar w:fldCharType="begin"/>
      </w:r>
      <w:r w:rsidRPr="00283D47">
        <w:rPr>
          <w:rFonts w:eastAsia="Times New Roman" w:cs="Arial"/>
          <w:lang w:eastAsia="bg-BG"/>
        </w:rPr>
        <w:instrText xml:space="preserve"> HYPERLINK "http://www.bda.bg" </w:instrText>
      </w:r>
      <w:r w:rsidRPr="00283D47">
        <w:rPr>
          <w:rFonts w:eastAsia="Times New Roman" w:cs="Arial"/>
          <w:lang w:eastAsia="bg-BG"/>
        </w:rPr>
        <w:fldChar w:fldCharType="separate"/>
      </w:r>
      <w:r w:rsidRPr="00283D47">
        <w:rPr>
          <w:rFonts w:eastAsia="Times New Roman" w:cs="Arial"/>
          <w:color w:val="000000"/>
          <w:u w:val="single"/>
          <w:lang w:val="en-US"/>
        </w:rPr>
        <w:t>www.bda.bg</w:t>
      </w:r>
      <w:r w:rsidRPr="00283D47">
        <w:rPr>
          <w:rFonts w:eastAsia="Times New Roman" w:cs="Arial"/>
          <w:lang w:eastAsia="bg-BG"/>
        </w:rPr>
        <w:fldChar w:fldCharType="end"/>
      </w:r>
      <w:r w:rsidRPr="00283D47">
        <w:rPr>
          <w:rFonts w:eastAsia="Times New Roman" w:cs="Arial"/>
          <w:color w:val="000000"/>
          <w:lang w:val="en-US"/>
        </w:rPr>
        <w:t>.</w:t>
      </w:r>
    </w:p>
    <w:p w14:paraId="4F8D7AFA" w14:textId="77777777" w:rsidR="003446E8" w:rsidRPr="0091385D" w:rsidRDefault="003446E8" w:rsidP="0091385D"/>
    <w:p w14:paraId="0A023CE0" w14:textId="13F87CFD" w:rsidR="00CF77F7" w:rsidRDefault="002C50EE" w:rsidP="004A448E">
      <w:pPr>
        <w:pStyle w:val="Heading2"/>
      </w:pPr>
      <w:r>
        <w:lastRenderedPageBreak/>
        <w:t>4.9. Предозиране</w:t>
      </w:r>
    </w:p>
    <w:p w14:paraId="3EDFC3FC" w14:textId="296E7EBA" w:rsidR="0091385D" w:rsidRDefault="0091385D" w:rsidP="0091385D"/>
    <w:p w14:paraId="1A4CFC3C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Хипогликемия не се наблюдава дори при дози на метформинов хидрохлорцд до 85 </w:t>
      </w:r>
      <w:r w:rsidRPr="00283D47">
        <w:rPr>
          <w:rFonts w:eastAsia="Times New Roman" w:cs="Arial"/>
          <w:color w:val="000000"/>
          <w:lang w:val="en-US"/>
        </w:rPr>
        <w:t xml:space="preserve">g, </w:t>
      </w:r>
      <w:r w:rsidRPr="00283D47">
        <w:rPr>
          <w:rFonts w:eastAsia="Times New Roman" w:cs="Arial"/>
          <w:color w:val="000000"/>
          <w:lang w:eastAsia="bg-BG"/>
        </w:rPr>
        <w:t>въпреки че при такива обстоятелства се появява лактатна ацидоза.</w:t>
      </w:r>
    </w:p>
    <w:p w14:paraId="1675491D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Значителното предозиране на метформин и съпътстващите рискови фактори могат да доведат до лактатна ацидоза.</w:t>
      </w:r>
    </w:p>
    <w:p w14:paraId="0F0079CB" w14:textId="2C82A3AB" w:rsidR="0091385D" w:rsidRPr="00283D47" w:rsidRDefault="00283D47" w:rsidP="00283D47">
      <w:pPr>
        <w:rPr>
          <w:rFonts w:cs="Arial"/>
        </w:rPr>
      </w:pPr>
      <w:r w:rsidRPr="00283D47">
        <w:rPr>
          <w:rFonts w:eastAsia="Times New Roman" w:cs="Arial"/>
          <w:color w:val="000000"/>
          <w:lang w:eastAsia="bg-BG"/>
        </w:rPr>
        <w:t>Лактатната ацидоза е спешно състояние и трябва да се лекува в болница. Най-ефективното лечение е отстраняването на лактат и метформин чрез хемодиализа.</w:t>
      </w:r>
    </w:p>
    <w:p w14:paraId="48FF1584" w14:textId="77777777" w:rsidR="0091385D" w:rsidRPr="0091385D" w:rsidRDefault="0091385D" w:rsidP="0091385D"/>
    <w:p w14:paraId="02081B24" w14:textId="7CE94171" w:rsidR="00395555" w:rsidRDefault="002C50EE" w:rsidP="008A6AF2">
      <w:pPr>
        <w:pStyle w:val="Heading1"/>
      </w:pPr>
      <w:r>
        <w:t>5. ФАРМАКОЛОГИЧНИ СВОЙСТВА</w:t>
      </w:r>
    </w:p>
    <w:p w14:paraId="1B8079C0" w14:textId="77777777" w:rsidR="0091385D" w:rsidRPr="0091385D" w:rsidRDefault="0091385D" w:rsidP="0091385D"/>
    <w:p w14:paraId="32B6DE66" w14:textId="2ACB6B3B" w:rsidR="00CF77F7" w:rsidRDefault="002C50EE" w:rsidP="004A448E">
      <w:pPr>
        <w:pStyle w:val="Heading2"/>
      </w:pPr>
      <w:r>
        <w:t>5.1. Фармакодинамични свойства</w:t>
      </w:r>
    </w:p>
    <w:p w14:paraId="58DD7DEA" w14:textId="44345EC9" w:rsidR="0091385D" w:rsidRDefault="0091385D" w:rsidP="0091385D"/>
    <w:p w14:paraId="2368CDB4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Фармакотерапевтична група: Лекарствени продукти, понижаващи нивото на кръвната захар. Бигваниди. АТС код: А10ВА02</w:t>
      </w:r>
    </w:p>
    <w:p w14:paraId="62105262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6A824F9" w14:textId="4B71A694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7B9F08DE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Метформин е бигванид с антихипергликемични ефекти, намаляващи</w:t>
      </w:r>
      <w:r w:rsidRPr="00283D47">
        <w:rPr>
          <w:rFonts w:eastAsia="Times New Roman" w:cs="Arial"/>
          <w:color w:val="000000"/>
          <w:lang w:val="en-US"/>
        </w:rPr>
        <w:t xml:space="preserve"> </w:t>
      </w:r>
      <w:r w:rsidRPr="00283D47">
        <w:rPr>
          <w:rFonts w:eastAsia="Times New Roman" w:cs="Arial"/>
          <w:color w:val="000000"/>
          <w:lang w:eastAsia="bg-BG"/>
        </w:rPr>
        <w:t>базалната и</w:t>
      </w:r>
      <w:r w:rsidRPr="00283D47">
        <w:rPr>
          <w:rFonts w:eastAsia="Times New Roman" w:cs="Arial"/>
          <w:b/>
          <w:bCs/>
          <w:color w:val="000000"/>
          <w:lang w:eastAsia="bg-BG"/>
        </w:rPr>
        <w:t xml:space="preserve"> </w:t>
      </w:r>
      <w:r w:rsidRPr="00283D47">
        <w:rPr>
          <w:rFonts w:eastAsia="Times New Roman" w:cs="Arial"/>
          <w:color w:val="000000"/>
          <w:lang w:eastAsia="bg-BG"/>
        </w:rPr>
        <w:t>постпрандиалната кръвна захар. Той не стимулира инсулиновата секреция, затова не предизвиква хипогликемия.</w:t>
      </w:r>
    </w:p>
    <w:p w14:paraId="28252AA0" w14:textId="1F24377E" w:rsidR="0091385D" w:rsidRPr="00283D47" w:rsidRDefault="00283D47" w:rsidP="00283D47">
      <w:pPr>
        <w:rPr>
          <w:rFonts w:cs="Arial"/>
        </w:rPr>
      </w:pPr>
      <w:r w:rsidRPr="00283D47">
        <w:rPr>
          <w:rFonts w:eastAsia="Times New Roman" w:cs="Arial"/>
          <w:color w:val="000000"/>
          <w:lang w:eastAsia="bg-BG"/>
        </w:rPr>
        <w:t>Метформин може да действа чрез три механизма:</w:t>
      </w:r>
    </w:p>
    <w:p w14:paraId="36152471" w14:textId="484F86E9" w:rsidR="0091385D" w:rsidRPr="00283D47" w:rsidRDefault="0091385D" w:rsidP="0091385D">
      <w:pPr>
        <w:rPr>
          <w:rFonts w:cs="Arial"/>
        </w:rPr>
      </w:pPr>
    </w:p>
    <w:p w14:paraId="4A9C600B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•</w:t>
      </w:r>
      <w:r w:rsidRPr="00283D47">
        <w:rPr>
          <w:rFonts w:eastAsia="Times New Roman" w:cs="Arial"/>
          <w:color w:val="000000"/>
          <w:lang w:eastAsia="bg-BG"/>
        </w:rPr>
        <w:tab/>
        <w:t>намалява чернодробната продукция на глюкоза, чрез инхибиране на глюконеогенезата и гликогенолизата.</w:t>
      </w:r>
    </w:p>
    <w:p w14:paraId="6C1D5AAA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•</w:t>
      </w:r>
      <w:r w:rsidRPr="00283D47">
        <w:rPr>
          <w:rFonts w:eastAsia="Times New Roman" w:cs="Arial"/>
          <w:color w:val="000000"/>
          <w:lang w:eastAsia="bg-BG"/>
        </w:rPr>
        <w:tab/>
        <w:t>в мускулите, чрез повишаване на чувствителността към инсулин, подобряване на периферния прием и усвояване на глюкозата.</w:t>
      </w:r>
    </w:p>
    <w:p w14:paraId="3D2C0F57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•</w:t>
      </w:r>
      <w:r w:rsidRPr="00283D47">
        <w:rPr>
          <w:rFonts w:eastAsia="Times New Roman" w:cs="Arial"/>
          <w:color w:val="000000"/>
          <w:lang w:eastAsia="bg-BG"/>
        </w:rPr>
        <w:tab/>
        <w:t>чрез забавяне на абсорбцията на глюкозата в червата.</w:t>
      </w:r>
    </w:p>
    <w:p w14:paraId="5E553F84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Метформин стимулира интрацелуларния синтез на гликоген, като въздейства върху гликоген-</w:t>
      </w:r>
    </w:p>
    <w:p w14:paraId="07728CAA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синтазата.</w:t>
      </w:r>
    </w:p>
    <w:p w14:paraId="508B03D7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Метформин повишава транспортния капацитет на всички видове мембранни преносители на глюкоза </w:t>
      </w:r>
      <w:r w:rsidRPr="00283D47">
        <w:rPr>
          <w:rFonts w:eastAsia="Times New Roman" w:cs="Arial"/>
          <w:color w:val="000000"/>
          <w:lang w:val="en-US"/>
        </w:rPr>
        <w:t xml:space="preserve">(GLUT), </w:t>
      </w:r>
      <w:r w:rsidRPr="00283D47">
        <w:rPr>
          <w:rFonts w:eastAsia="Times New Roman" w:cs="Arial"/>
          <w:color w:val="000000"/>
          <w:lang w:eastAsia="bg-BG"/>
        </w:rPr>
        <w:t>известни досега.</w:t>
      </w:r>
    </w:p>
    <w:p w14:paraId="49230BF1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01F1DC9" w14:textId="6434656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u w:val="single"/>
          <w:lang w:eastAsia="bg-BG"/>
        </w:rPr>
        <w:t>Фармакодинамични ефекти</w:t>
      </w:r>
    </w:p>
    <w:p w14:paraId="3F3562E4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4C650DB" w14:textId="608DE920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В клинични проучвания, употребата на метформин се свързва със стабилизиране на теглото или с умерена загуба на тегло.</w:t>
      </w:r>
    </w:p>
    <w:p w14:paraId="0718BB2E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Метформин има благоприятни ефекти върху липидния метаболизъм при хора, независимо от неговото действие върху гликемията. Това е показано в терапевтични дози при контролирани, средносрочни или дългосрочни клинични проучвания: метформин намалява нивата на общия холестерол, </w:t>
      </w:r>
      <w:r w:rsidRPr="00283D47">
        <w:rPr>
          <w:rFonts w:eastAsia="Times New Roman" w:cs="Arial"/>
          <w:color w:val="000000"/>
          <w:lang w:val="en-US"/>
        </w:rPr>
        <w:t>LDL</w:t>
      </w:r>
      <w:r w:rsidRPr="00283D47">
        <w:rPr>
          <w:rFonts w:eastAsia="Times New Roman" w:cs="Arial"/>
          <w:color w:val="000000"/>
          <w:lang w:eastAsia="bg-BG"/>
        </w:rPr>
        <w:t>-холестерола и триглицеридите.</w:t>
      </w:r>
    </w:p>
    <w:p w14:paraId="1E19B7AA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AD17880" w14:textId="7E1F9EBD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u w:val="single"/>
          <w:lang w:eastAsia="bg-BG"/>
        </w:rPr>
        <w:t>Клинична ефикасност и безопасност</w:t>
      </w:r>
    </w:p>
    <w:p w14:paraId="4F011D03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108A775" w14:textId="5BA7CA1A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Проспективното рандомизирано проучване </w:t>
      </w:r>
      <w:r w:rsidRPr="00283D47">
        <w:rPr>
          <w:rFonts w:eastAsia="Times New Roman" w:cs="Arial"/>
          <w:color w:val="000000"/>
          <w:lang w:val="en-US"/>
        </w:rPr>
        <w:t xml:space="preserve">(UKPDS) </w:t>
      </w:r>
      <w:r w:rsidRPr="00283D47">
        <w:rPr>
          <w:rFonts w:eastAsia="Times New Roman" w:cs="Arial"/>
          <w:color w:val="000000"/>
          <w:lang w:eastAsia="bg-BG"/>
        </w:rPr>
        <w:t>потвърди дълготрайната полза от интензивния контрол на кръвната захар при възрастни пациенти с диабет тип 2.</w:t>
      </w:r>
    </w:p>
    <w:p w14:paraId="6814006C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40D0EFE" w14:textId="78C2E68F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lastRenderedPageBreak/>
        <w:t>Анализът на резултатите при пациенти с наднормено тегло, лекувани с метформин след като без успех е приложена само диета, показват:</w:t>
      </w:r>
    </w:p>
    <w:p w14:paraId="7404F7CB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•</w:t>
      </w:r>
      <w:r w:rsidRPr="00283D47">
        <w:rPr>
          <w:rFonts w:eastAsia="Times New Roman" w:cs="Arial"/>
          <w:color w:val="000000"/>
          <w:lang w:eastAsia="bg-BG"/>
        </w:rPr>
        <w:tab/>
        <w:t>значително намаление на абсолютния риск от всякакви усложнения, свързани с диабета, в групата на метформин (29,8 случая/1000 пациент-години) в сравнение с групата пациенти само на диета (43,3 случая/1000 пациент-години), р=0,0023, и в сравнение с групите на сулфанилурейни лекарствени продукти и инсулин, монотерапия (40,1 случая/1000 пациент-години), р=0,0034;</w:t>
      </w:r>
    </w:p>
    <w:p w14:paraId="7DA3188F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•</w:t>
      </w:r>
      <w:r w:rsidRPr="00283D47">
        <w:rPr>
          <w:rFonts w:eastAsia="Times New Roman" w:cs="Arial"/>
          <w:color w:val="000000"/>
          <w:lang w:eastAsia="bg-BG"/>
        </w:rPr>
        <w:tab/>
        <w:t>значително намаление на абсолютния риск за смъртност, свързана с диабета: метформин 7,5 случая/1000 пациент-години, само диета: 12,7 случая/1000 пациент-години, р=0,017;</w:t>
      </w:r>
    </w:p>
    <w:p w14:paraId="74F222DA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•</w:t>
      </w:r>
      <w:r w:rsidRPr="00283D47">
        <w:rPr>
          <w:rFonts w:eastAsia="Times New Roman" w:cs="Arial"/>
          <w:color w:val="000000"/>
          <w:lang w:eastAsia="bg-BG"/>
        </w:rPr>
        <w:tab/>
        <w:t>значително намаление на абсолютния риск за обща смъртност: метформин 13,5 случая/1000 пациент-години, в сравнение с групата пациенти само на диета: 20,6 случая/1000 пациент-години (р=0,011), и в сравнение с комбинираните групи на сулфанилурейни лекарствени продукти и с инсулин, монотерапия: 18,9 случая/1000 пациент-години (р=0,021);</w:t>
      </w:r>
    </w:p>
    <w:p w14:paraId="082FFD9C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•</w:t>
      </w:r>
      <w:r w:rsidRPr="00283D47">
        <w:rPr>
          <w:rFonts w:eastAsia="Times New Roman" w:cs="Arial"/>
          <w:color w:val="000000"/>
          <w:lang w:eastAsia="bg-BG"/>
        </w:rPr>
        <w:tab/>
        <w:t>значително намаление на абсолютния риск за миокарден инфаркт: метформин 11 случая/1000 пациент-години, само диета: 18 случая/1000 пациент-години (р=0,01)</w:t>
      </w:r>
    </w:p>
    <w:p w14:paraId="3420F941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Не са наблюдавани клинични ползи при комбиниране на метформин със сулфанилурея, прилаган като втора линия на лечение.</w:t>
      </w:r>
    </w:p>
    <w:p w14:paraId="5D48CF92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006F333" w14:textId="5FB27BEB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Комбинацията на метформин и инсулин е прилагана при избрани пациенти с диабет тип 1, но клинична полза не е категорично установена.</w:t>
      </w:r>
    </w:p>
    <w:p w14:paraId="4074E643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5ACDB65" w14:textId="62610E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2DF76260" w14:textId="636992DF" w:rsidR="00283D47" w:rsidRPr="00283D47" w:rsidRDefault="00283D47" w:rsidP="00283D47">
      <w:pPr>
        <w:rPr>
          <w:rFonts w:cs="Arial"/>
        </w:rPr>
      </w:pPr>
      <w:r w:rsidRPr="00283D47">
        <w:rPr>
          <w:rFonts w:eastAsia="Times New Roman" w:cs="Arial"/>
          <w:color w:val="000000"/>
          <w:lang w:eastAsia="bg-BG"/>
        </w:rPr>
        <w:t>Контролирани клинични проучвания с неголяма група деца, между 10 и 16 години, третирани в продължение на 1 година, са показали промени в нивото на кръвната захар, аналогични при възрастни пациенти.</w:t>
      </w:r>
    </w:p>
    <w:p w14:paraId="56040DBD" w14:textId="77777777" w:rsidR="00283D47" w:rsidRPr="0091385D" w:rsidRDefault="00283D47" w:rsidP="0091385D"/>
    <w:p w14:paraId="35F84B81" w14:textId="6423E5BB" w:rsidR="00CF77F7" w:rsidRDefault="002C50EE" w:rsidP="004A448E">
      <w:pPr>
        <w:pStyle w:val="Heading2"/>
      </w:pPr>
      <w:r>
        <w:t>5.2. Фармакокинетични свойства</w:t>
      </w:r>
    </w:p>
    <w:p w14:paraId="5031193D" w14:textId="06A21EFE" w:rsidR="0091385D" w:rsidRDefault="0091385D" w:rsidP="0091385D"/>
    <w:p w14:paraId="148BA3FC" w14:textId="4EFA3F73" w:rsidR="0091385D" w:rsidRPr="00283D47" w:rsidRDefault="00283D47" w:rsidP="00283D47">
      <w:pPr>
        <w:pStyle w:val="Heading3"/>
        <w:rPr>
          <w:u w:val="single"/>
        </w:rPr>
      </w:pPr>
      <w:r w:rsidRPr="00283D47">
        <w:rPr>
          <w:u w:val="single"/>
        </w:rPr>
        <w:t>Абсорбция</w:t>
      </w:r>
    </w:p>
    <w:p w14:paraId="78E47A4D" w14:textId="62CF2E5D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След перорална доза метформинов хидрохлорид таблетки, максималната плазмена концентрация (С</w:t>
      </w:r>
      <w:r w:rsidRPr="00283D47">
        <w:rPr>
          <w:rFonts w:eastAsia="Times New Roman" w:cs="Arial"/>
          <w:color w:val="000000"/>
          <w:vertAlign w:val="subscript"/>
          <w:lang w:val="en-US"/>
        </w:rPr>
        <w:t>max</w:t>
      </w:r>
      <w:r w:rsidRPr="00283D47">
        <w:rPr>
          <w:rFonts w:eastAsia="Times New Roman" w:cs="Arial"/>
          <w:color w:val="000000"/>
          <w:lang w:eastAsia="bg-BG"/>
        </w:rPr>
        <w:t xml:space="preserve">) се достига приблизително след 2 часа и 30 минути </w:t>
      </w:r>
      <w:r w:rsidRPr="00283D47">
        <w:rPr>
          <w:rFonts w:eastAsia="Times New Roman" w:cs="Arial"/>
          <w:color w:val="000000"/>
          <w:lang w:val="en-US"/>
        </w:rPr>
        <w:t>(</w:t>
      </w:r>
      <w:proofErr w:type="spellStart"/>
      <w:r w:rsidRPr="00283D47">
        <w:rPr>
          <w:rFonts w:eastAsia="Times New Roman" w:cs="Arial"/>
          <w:color w:val="000000"/>
          <w:lang w:val="en-US"/>
        </w:rPr>
        <w:t>t</w:t>
      </w:r>
      <w:r w:rsidRPr="00283D47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283D47">
        <w:rPr>
          <w:rFonts w:eastAsia="Times New Roman" w:cs="Arial"/>
          <w:color w:val="000000"/>
          <w:lang w:val="en-US"/>
        </w:rPr>
        <w:t xml:space="preserve">). </w:t>
      </w:r>
      <w:r w:rsidRPr="00283D47">
        <w:rPr>
          <w:rFonts w:eastAsia="Times New Roman" w:cs="Arial"/>
          <w:color w:val="000000"/>
          <w:lang w:eastAsia="bg-BG"/>
        </w:rPr>
        <w:t xml:space="preserve">Абсолютната бионаличност на 500 </w:t>
      </w:r>
      <w:r w:rsidRPr="00283D47">
        <w:rPr>
          <w:rFonts w:eastAsia="Times New Roman" w:cs="Arial"/>
          <w:color w:val="000000"/>
          <w:lang w:val="en-US"/>
        </w:rPr>
        <w:t xml:space="preserve">mg </w:t>
      </w:r>
      <w:r w:rsidRPr="00283D47">
        <w:rPr>
          <w:rFonts w:eastAsia="Times New Roman" w:cs="Arial"/>
          <w:color w:val="000000"/>
          <w:lang w:eastAsia="bg-BG"/>
        </w:rPr>
        <w:t xml:space="preserve">или 850 </w:t>
      </w:r>
      <w:r w:rsidRPr="00283D47">
        <w:rPr>
          <w:rFonts w:eastAsia="Times New Roman" w:cs="Arial"/>
          <w:color w:val="000000"/>
          <w:lang w:val="en-US"/>
        </w:rPr>
        <w:t xml:space="preserve">mg </w:t>
      </w:r>
      <w:r w:rsidRPr="00283D47">
        <w:rPr>
          <w:rFonts w:eastAsia="Times New Roman" w:cs="Arial"/>
          <w:color w:val="000000"/>
          <w:lang w:eastAsia="bg-BG"/>
        </w:rPr>
        <w:t>метформинов хидрохлорид таблетки е приблизително 50 - 60% при здрави пациенти. След перорална доза, неабсорбираната фракция, открита във фекалиите е 20 - 30 %.</w:t>
      </w:r>
    </w:p>
    <w:p w14:paraId="70A3C86D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034D79A" w14:textId="66CD64E0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След перорален прием, абсорбцията на метформин е наситена и непълна. Предполага се, че абсорбцията на метформин не е линейна.</w:t>
      </w:r>
    </w:p>
    <w:p w14:paraId="3FE06FE1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640240F" w14:textId="3AC5587C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При препоръчаните дози и дозови схеми с метформин, стабилните плазмени концентрации се достигат от 24 до 48 часа и по принцип са по-ниски от 1 </w:t>
      </w:r>
      <w:r w:rsidRPr="00283D47">
        <w:rPr>
          <w:rFonts w:eastAsia="Times New Roman" w:cs="Arial"/>
          <w:color w:val="000000"/>
          <w:lang w:val="en-US"/>
        </w:rPr>
        <w:t xml:space="preserve">microgram/ml. </w:t>
      </w:r>
      <w:r w:rsidRPr="00283D47">
        <w:rPr>
          <w:rFonts w:eastAsia="Times New Roman" w:cs="Arial"/>
          <w:color w:val="000000"/>
          <w:lang w:eastAsia="bg-BG"/>
        </w:rPr>
        <w:t>При контролирани клинични изпитвания максималните плазмени нива на метформин (С</w:t>
      </w:r>
      <w:r w:rsidRPr="00283D47">
        <w:rPr>
          <w:rFonts w:eastAsia="Times New Roman" w:cs="Arial"/>
          <w:color w:val="000000"/>
          <w:vertAlign w:val="subscript"/>
          <w:lang w:val="en-US"/>
        </w:rPr>
        <w:t>max</w:t>
      </w:r>
      <w:r w:rsidRPr="00283D47">
        <w:rPr>
          <w:rFonts w:eastAsia="Times New Roman" w:cs="Arial"/>
          <w:color w:val="000000"/>
          <w:lang w:eastAsia="bg-BG"/>
        </w:rPr>
        <w:t xml:space="preserve">), не надвишават 5 </w:t>
      </w:r>
      <w:r w:rsidRPr="00283D47">
        <w:rPr>
          <w:rFonts w:eastAsia="Times New Roman" w:cs="Arial"/>
          <w:color w:val="000000"/>
          <w:lang w:val="en-US"/>
        </w:rPr>
        <w:t xml:space="preserve">micrograms/ml, </w:t>
      </w:r>
      <w:r w:rsidRPr="00283D47">
        <w:rPr>
          <w:rFonts w:eastAsia="Times New Roman" w:cs="Arial"/>
          <w:color w:val="000000"/>
          <w:lang w:eastAsia="bg-BG"/>
        </w:rPr>
        <w:t>дори и при максимални дози.</w:t>
      </w:r>
    </w:p>
    <w:p w14:paraId="0C598EFD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B429B1" w14:textId="2030D49F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Храната намалява степента и слабо забавя абсорбцията на метформин. След перорален прием на таблетка от 850 </w:t>
      </w:r>
      <w:r w:rsidRPr="00283D47">
        <w:rPr>
          <w:rFonts w:eastAsia="Times New Roman" w:cs="Arial"/>
          <w:color w:val="000000"/>
          <w:lang w:val="en-US"/>
        </w:rPr>
        <w:t xml:space="preserve">mg </w:t>
      </w:r>
      <w:r w:rsidRPr="00283D47">
        <w:rPr>
          <w:rFonts w:eastAsia="Times New Roman" w:cs="Arial"/>
          <w:color w:val="000000"/>
          <w:lang w:eastAsia="bg-BG"/>
        </w:rPr>
        <w:t xml:space="preserve">се наблюдава 40% по-нисък пик на плазмената концентрация, 25% намаляване на </w:t>
      </w:r>
      <w:r w:rsidRPr="00283D47">
        <w:rPr>
          <w:rFonts w:eastAsia="Times New Roman" w:cs="Arial"/>
          <w:color w:val="000000"/>
          <w:lang w:val="en-US"/>
        </w:rPr>
        <w:t xml:space="preserve">AUC </w:t>
      </w:r>
      <w:r w:rsidRPr="00283D47">
        <w:rPr>
          <w:rFonts w:eastAsia="Times New Roman" w:cs="Arial"/>
          <w:color w:val="000000"/>
          <w:lang w:eastAsia="bg-BG"/>
        </w:rPr>
        <w:t>(площта под кривата) и 35 минутно удължаване на времето до пика на плазмената концентрация. Клиничните последствия от промяната на тези параметри остават неизяснени.</w:t>
      </w:r>
    </w:p>
    <w:p w14:paraId="4B2AE308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BB047C2" w14:textId="6249FAE4" w:rsidR="00283D47" w:rsidRPr="00283D47" w:rsidRDefault="00283D47" w:rsidP="00283D47">
      <w:pPr>
        <w:pStyle w:val="Heading3"/>
        <w:rPr>
          <w:rFonts w:eastAsia="Times New Roman"/>
          <w:u w:val="single"/>
          <w:lang w:eastAsia="bg-BG"/>
        </w:rPr>
      </w:pPr>
      <w:r w:rsidRPr="00283D47">
        <w:rPr>
          <w:rFonts w:eastAsia="Times New Roman"/>
          <w:u w:val="single"/>
          <w:lang w:eastAsia="bg-BG"/>
        </w:rPr>
        <w:t>Разпределение</w:t>
      </w:r>
    </w:p>
    <w:p w14:paraId="34BDE339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Свързването с плазмените протеини е незначимо. Метформин се разпределя в еритроцитите. Пикът в кръвта е по-нисък от плазмения пик и се появява приблизително по същото време.</w:t>
      </w:r>
    </w:p>
    <w:p w14:paraId="73C2E462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Червените кръвни клетки най-вероятно представляват вторичен етап на разпределение.</w:t>
      </w:r>
    </w:p>
    <w:p w14:paraId="16C08C46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Средният обем на разпределение </w:t>
      </w:r>
      <w:r w:rsidRPr="00283D47">
        <w:rPr>
          <w:rFonts w:eastAsia="Times New Roman" w:cs="Arial"/>
          <w:color w:val="000000"/>
          <w:lang w:val="en-US"/>
        </w:rPr>
        <w:t>(</w:t>
      </w:r>
      <w:proofErr w:type="spellStart"/>
      <w:r w:rsidRPr="00283D47">
        <w:rPr>
          <w:rFonts w:eastAsia="Times New Roman" w:cs="Arial"/>
          <w:color w:val="000000"/>
          <w:lang w:val="en-US"/>
        </w:rPr>
        <w:t>V</w:t>
      </w:r>
      <w:r w:rsidRPr="00283D47">
        <w:rPr>
          <w:rFonts w:eastAsia="Times New Roman" w:cs="Arial"/>
          <w:color w:val="000000"/>
          <w:vertAlign w:val="subscript"/>
          <w:lang w:val="en-US"/>
        </w:rPr>
        <w:t>d</w:t>
      </w:r>
      <w:proofErr w:type="spellEnd"/>
      <w:r w:rsidRPr="00283D47">
        <w:rPr>
          <w:rFonts w:eastAsia="Times New Roman" w:cs="Arial"/>
          <w:color w:val="000000"/>
          <w:lang w:val="en-US"/>
        </w:rPr>
        <w:t xml:space="preserve">) </w:t>
      </w:r>
      <w:r w:rsidRPr="00283D47">
        <w:rPr>
          <w:rFonts w:eastAsia="Times New Roman" w:cs="Arial"/>
          <w:color w:val="000000"/>
          <w:lang w:eastAsia="bg-BG"/>
        </w:rPr>
        <w:t>е в рамките между 63 - 2761.</w:t>
      </w:r>
    </w:p>
    <w:p w14:paraId="0EEA9819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3D218E4" w14:textId="47547A74" w:rsidR="00283D47" w:rsidRPr="00283D47" w:rsidRDefault="00283D47" w:rsidP="00283D47">
      <w:pPr>
        <w:pStyle w:val="Heading3"/>
        <w:rPr>
          <w:rFonts w:eastAsia="Times New Roman"/>
          <w:u w:val="single"/>
          <w:lang w:eastAsia="bg-BG"/>
        </w:rPr>
      </w:pPr>
      <w:r w:rsidRPr="00283D47">
        <w:rPr>
          <w:rFonts w:eastAsia="Times New Roman"/>
          <w:u w:val="single"/>
          <w:lang w:eastAsia="bg-BG"/>
        </w:rPr>
        <w:t>Биотрансформация</w:t>
      </w:r>
    </w:p>
    <w:p w14:paraId="5E11DD42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Метформин се екскретира непроменен в урината. Не са идентифицирани метаболити при хората.</w:t>
      </w:r>
    </w:p>
    <w:p w14:paraId="33372D30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E6225AF" w14:textId="58D9B665" w:rsidR="00283D47" w:rsidRPr="00283D47" w:rsidRDefault="00283D47" w:rsidP="00283D47">
      <w:pPr>
        <w:pStyle w:val="Heading3"/>
        <w:rPr>
          <w:rFonts w:eastAsia="Times New Roman"/>
          <w:u w:val="single"/>
          <w:lang w:eastAsia="bg-BG"/>
        </w:rPr>
      </w:pPr>
      <w:r w:rsidRPr="00283D47">
        <w:rPr>
          <w:rFonts w:eastAsia="Times New Roman"/>
          <w:u w:val="single"/>
          <w:lang w:eastAsia="bg-BG"/>
        </w:rPr>
        <w:t>Елиминиране</w:t>
      </w:r>
    </w:p>
    <w:p w14:paraId="464C9C51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Бъбречният клирьнс на метформин е &gt; 400 </w:t>
      </w:r>
      <w:r w:rsidRPr="00283D47">
        <w:rPr>
          <w:rFonts w:eastAsia="Times New Roman" w:cs="Arial"/>
          <w:color w:val="000000"/>
          <w:lang w:val="en-US"/>
        </w:rPr>
        <w:t>ml</w:t>
      </w:r>
      <w:r w:rsidRPr="00283D47">
        <w:rPr>
          <w:rFonts w:eastAsia="Times New Roman" w:cs="Arial"/>
          <w:color w:val="000000"/>
          <w:lang w:eastAsia="bg-BG"/>
        </w:rPr>
        <w:t>/мин, което показва, че метформин се елиминира чрез гломерулна филтрация и тубулна секреция. След перорална доза, очевидно крайният елиминационен полуживот е приблизително 6,5 часа.</w:t>
      </w:r>
    </w:p>
    <w:p w14:paraId="04159F14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Когато бъбречната функция е нарушена, бъбречният клирънс е намален пропорционално на креатинина и затова елиминационният полуживот е удължен, което води до повишени нива на метформин в плазмата.</w:t>
      </w:r>
    </w:p>
    <w:p w14:paraId="52F1B9CC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C8478F6" w14:textId="45FE96F3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u w:val="single"/>
          <w:lang w:eastAsia="bg-BG"/>
        </w:rPr>
        <w:t>Характеристики при специални групи пациенти</w:t>
      </w:r>
    </w:p>
    <w:p w14:paraId="0BD03292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1216623" w14:textId="1E71B8EE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u w:val="single"/>
          <w:lang w:eastAsia="bg-BG"/>
        </w:rPr>
        <w:t>Бъбречно увреждане</w:t>
      </w:r>
    </w:p>
    <w:p w14:paraId="49580E5A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Наличните данни при пациенти с умерена бъбречна недостатъчност са оскъдни и не може да се направи надеждна оценка на системната експозиция на метформин в тази подгрупа в сравнение с пациенти с нормална бъбречна функция. Следователно, адаптиране на дозата трябва да се извършва въз основа на клинични съображения за ефикасност/ поносимост (виж точка 4.2).</w:t>
      </w:r>
    </w:p>
    <w:p w14:paraId="4CE345EE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22B7107" w14:textId="4132974D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679C0DAE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Изследване при еднократна доза: фармакокинетичният профил при деца, получили еднократна доза от 500 </w:t>
      </w:r>
      <w:r w:rsidRPr="00283D47">
        <w:rPr>
          <w:rFonts w:eastAsia="Times New Roman" w:cs="Arial"/>
          <w:color w:val="000000"/>
          <w:lang w:val="en-US"/>
        </w:rPr>
        <w:t xml:space="preserve">mg </w:t>
      </w:r>
      <w:r w:rsidRPr="00283D47">
        <w:rPr>
          <w:rFonts w:eastAsia="Times New Roman" w:cs="Arial"/>
          <w:color w:val="000000"/>
          <w:lang w:eastAsia="bg-BG"/>
        </w:rPr>
        <w:t>метформинов хидрохлорид, е подобен на този при здрави възрастни.</w:t>
      </w:r>
    </w:p>
    <w:p w14:paraId="5FD0793B" w14:textId="77777777" w:rsidR="00283D47" w:rsidRPr="00283D47" w:rsidRDefault="00283D47" w:rsidP="00283D47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EE1BB0B" w14:textId="5CC62500" w:rsidR="0091385D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Резултати след многократно дозиране: всички данни са получени от едно изследване. След приложение на доза от 500 </w:t>
      </w:r>
      <w:r w:rsidRPr="00283D47">
        <w:rPr>
          <w:rFonts w:eastAsia="Times New Roman" w:cs="Arial"/>
          <w:color w:val="000000"/>
          <w:lang w:val="en-US"/>
        </w:rPr>
        <w:t xml:space="preserve">mg </w:t>
      </w:r>
      <w:r w:rsidRPr="00283D47">
        <w:rPr>
          <w:rFonts w:eastAsia="Times New Roman" w:cs="Arial"/>
          <w:color w:val="000000"/>
          <w:lang w:eastAsia="bg-BG"/>
        </w:rPr>
        <w:t>два пъти дневно в продължение на 7 дни на педиатрични пациенти, максималната плазмена концентрация (С</w:t>
      </w:r>
      <w:r w:rsidRPr="00283D47">
        <w:rPr>
          <w:rFonts w:eastAsia="Times New Roman" w:cs="Arial"/>
          <w:color w:val="000000"/>
          <w:vertAlign w:val="subscript"/>
          <w:lang w:val="en-US"/>
        </w:rPr>
        <w:t>max</w:t>
      </w:r>
      <w:r w:rsidRPr="00283D47">
        <w:rPr>
          <w:rFonts w:eastAsia="Times New Roman" w:cs="Arial"/>
          <w:color w:val="000000"/>
          <w:lang w:eastAsia="bg-BG"/>
        </w:rPr>
        <w:t>) и системната експозиция (</w:t>
      </w:r>
      <w:r w:rsidRPr="00283D47">
        <w:rPr>
          <w:rFonts w:eastAsia="Times New Roman" w:cs="Arial"/>
          <w:color w:val="000000"/>
          <w:lang w:val="en-US"/>
        </w:rPr>
        <w:t xml:space="preserve">AUC 0-t) </w:t>
      </w:r>
      <w:r w:rsidRPr="00283D47">
        <w:rPr>
          <w:rFonts w:eastAsia="Times New Roman" w:cs="Arial"/>
          <w:color w:val="000000"/>
          <w:lang w:eastAsia="bg-BG"/>
        </w:rPr>
        <w:t>са</w:t>
      </w:r>
      <w:r>
        <w:rPr>
          <w:rFonts w:eastAsia="Times New Roman" w:cs="Arial"/>
          <w:sz w:val="24"/>
          <w:szCs w:val="24"/>
          <w:lang w:val="en-US" w:eastAsia="bg-BG"/>
        </w:rPr>
        <w:t xml:space="preserve"> </w:t>
      </w:r>
      <w:r w:rsidRPr="00283D47">
        <w:rPr>
          <w:rFonts w:eastAsia="Times New Roman" w:cs="Arial"/>
          <w:color w:val="000000"/>
          <w:lang w:eastAsia="bg-BG"/>
        </w:rPr>
        <w:t xml:space="preserve">намалени съответно с 33% и 40% в сравнение с възрастни диабетици, получили дози от 500 </w:t>
      </w:r>
      <w:r w:rsidRPr="00283D47">
        <w:rPr>
          <w:rFonts w:eastAsia="Times New Roman" w:cs="Arial"/>
          <w:color w:val="000000"/>
          <w:lang w:val="en-US"/>
        </w:rPr>
        <w:t>mg</w:t>
      </w:r>
      <w:r>
        <w:rPr>
          <w:rFonts w:eastAsia="Times New Roman" w:cs="Arial"/>
          <w:sz w:val="24"/>
          <w:szCs w:val="24"/>
          <w:lang w:val="en-US" w:eastAsia="bg-BG"/>
        </w:rPr>
        <w:t xml:space="preserve"> </w:t>
      </w:r>
      <w:r w:rsidRPr="00283D47">
        <w:rPr>
          <w:rFonts w:eastAsia="Times New Roman" w:cs="Arial"/>
          <w:color w:val="000000"/>
          <w:lang w:eastAsia="bg-BG"/>
        </w:rPr>
        <w:t>два пъти дневно в продължение на 14 дни. Тези резултати са с ограничена клинична значимост</w:t>
      </w:r>
      <w:r>
        <w:rPr>
          <w:rFonts w:eastAsia="Times New Roman" w:cs="Arial"/>
          <w:color w:val="000000"/>
          <w:lang w:val="en-US" w:eastAsia="bg-BG"/>
        </w:rPr>
        <w:t>,</w:t>
      </w:r>
      <w:r>
        <w:rPr>
          <w:rFonts w:eastAsia="Times New Roman" w:cs="Arial"/>
          <w:sz w:val="24"/>
          <w:szCs w:val="24"/>
          <w:lang w:val="en-US" w:eastAsia="bg-BG"/>
        </w:rPr>
        <w:t xml:space="preserve"> </w:t>
      </w:r>
      <w:r w:rsidRPr="00283D47">
        <w:rPr>
          <w:rFonts w:eastAsia="Times New Roman" w:cs="Arial"/>
          <w:color w:val="000000"/>
          <w:lang w:eastAsia="bg-BG"/>
        </w:rPr>
        <w:t>поради индивидуалното определяне на дозите в зависимост от нивото на кръвната захар.</w:t>
      </w:r>
    </w:p>
    <w:p w14:paraId="332B34AC" w14:textId="77777777" w:rsidR="00283D47" w:rsidRPr="0091385D" w:rsidRDefault="00283D47" w:rsidP="0091385D"/>
    <w:p w14:paraId="648E39DA" w14:textId="44D16CBD" w:rsidR="00CF77F7" w:rsidRDefault="002C50EE" w:rsidP="004A448E">
      <w:pPr>
        <w:pStyle w:val="Heading2"/>
      </w:pPr>
      <w:r>
        <w:t>5.3. Предклинични данни за безопасност</w:t>
      </w:r>
    </w:p>
    <w:p w14:paraId="31455D09" w14:textId="4D0EFBF5" w:rsidR="0091385D" w:rsidRDefault="0091385D" w:rsidP="0091385D"/>
    <w:p w14:paraId="52E4D01A" w14:textId="6535CA8C" w:rsidR="0091385D" w:rsidRDefault="00283D47" w:rsidP="0091385D">
      <w:r>
        <w:t>Предклиничните данни, основаващи се на конвенционални проучвания върху безопасност, фармакология, токсичност след многократно дозиране, генотоксичност, карциногенен потенциал и репродуктивна токсичност, не показват особен риск при хора.</w:t>
      </w:r>
    </w:p>
    <w:p w14:paraId="20E967BE" w14:textId="77777777" w:rsidR="0091385D" w:rsidRPr="0091385D" w:rsidRDefault="0091385D" w:rsidP="0091385D"/>
    <w:p w14:paraId="6A7820AB" w14:textId="353DB6D2" w:rsidR="008A6AF2" w:rsidRDefault="002C50EE" w:rsidP="00395555">
      <w:pPr>
        <w:pStyle w:val="Heading1"/>
      </w:pPr>
      <w:r>
        <w:lastRenderedPageBreak/>
        <w:t>7. ПРИТЕЖАТЕЛ НА РАЗРЕШЕНИЕТО ЗА УПОТРЕБА</w:t>
      </w:r>
    </w:p>
    <w:p w14:paraId="1B9B651E" w14:textId="3382E6AC" w:rsidR="0091385D" w:rsidRDefault="0091385D" w:rsidP="0091385D"/>
    <w:p w14:paraId="101FDB05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Wörwag Pharma</w:t>
      </w:r>
      <w:r w:rsidRPr="00283D47">
        <w:rPr>
          <w:rFonts w:eastAsia="Times New Roman" w:cs="Arial"/>
          <w:color w:val="000000"/>
          <w:lang w:val="en-US"/>
        </w:rPr>
        <w:t xml:space="preserve"> GmbH </w:t>
      </w:r>
      <w:r w:rsidRPr="00283D47">
        <w:rPr>
          <w:rFonts w:eastAsia="Times New Roman" w:cs="Arial"/>
          <w:color w:val="000000"/>
          <w:lang w:eastAsia="bg-BG"/>
        </w:rPr>
        <w:t xml:space="preserve">&amp; </w:t>
      </w:r>
      <w:r w:rsidRPr="00283D47">
        <w:rPr>
          <w:rFonts w:eastAsia="Times New Roman" w:cs="Arial"/>
          <w:color w:val="000000"/>
          <w:lang w:val="en-US"/>
        </w:rPr>
        <w:t>Co. KG</w:t>
      </w:r>
    </w:p>
    <w:p w14:paraId="312203A4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proofErr w:type="spellStart"/>
      <w:r w:rsidRPr="00283D47">
        <w:rPr>
          <w:rFonts w:eastAsia="Times New Roman" w:cs="Arial"/>
          <w:color w:val="000000"/>
          <w:lang w:val="en-US"/>
        </w:rPr>
        <w:t>Flugfeld-Allee</w:t>
      </w:r>
      <w:proofErr w:type="spellEnd"/>
      <w:r w:rsidRPr="00283D47">
        <w:rPr>
          <w:rFonts w:eastAsia="Times New Roman" w:cs="Arial"/>
          <w:color w:val="000000"/>
          <w:lang w:val="en-US"/>
        </w:rPr>
        <w:t xml:space="preserve"> 24</w:t>
      </w:r>
    </w:p>
    <w:p w14:paraId="00F28698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val="en-US"/>
        </w:rPr>
        <w:t xml:space="preserve">71034 </w:t>
      </w:r>
      <w:r w:rsidRPr="00283D47">
        <w:rPr>
          <w:rFonts w:eastAsia="Times New Roman" w:cs="Arial"/>
          <w:color w:val="000000"/>
          <w:lang w:eastAsia="bg-BG"/>
        </w:rPr>
        <w:t>Böblingen</w:t>
      </w:r>
    </w:p>
    <w:p w14:paraId="73222ACA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Германия</w:t>
      </w:r>
    </w:p>
    <w:p w14:paraId="00D082B8" w14:textId="77777777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>Тел.:</w:t>
      </w:r>
      <w:r w:rsidRPr="00283D47">
        <w:rPr>
          <w:rFonts w:eastAsia="Times New Roman" w:cs="Arial"/>
          <w:color w:val="000000"/>
          <w:lang w:val="en-US"/>
        </w:rPr>
        <w:t xml:space="preserve">+49 </w:t>
      </w:r>
      <w:r w:rsidRPr="00283D47">
        <w:rPr>
          <w:rFonts w:eastAsia="Times New Roman" w:cs="Arial"/>
          <w:color w:val="000000"/>
          <w:lang w:eastAsia="bg-BG"/>
        </w:rPr>
        <w:t xml:space="preserve">(0)7031/6204 </w:t>
      </w:r>
      <w:r w:rsidRPr="00283D47">
        <w:rPr>
          <w:rFonts w:eastAsia="Times New Roman" w:cs="Arial"/>
          <w:color w:val="000000"/>
          <w:lang w:val="en-US"/>
        </w:rPr>
        <w:t>-0</w:t>
      </w:r>
    </w:p>
    <w:p w14:paraId="3FD825DB" w14:textId="5A338B1C" w:rsidR="0091385D" w:rsidRPr="00283D47" w:rsidRDefault="00283D47" w:rsidP="00283D47">
      <w:pPr>
        <w:rPr>
          <w:rFonts w:cs="Arial"/>
        </w:rPr>
      </w:pPr>
      <w:r w:rsidRPr="00283D47">
        <w:rPr>
          <w:rFonts w:eastAsia="Times New Roman" w:cs="Arial"/>
          <w:color w:val="000000"/>
          <w:lang w:eastAsia="bg-BG"/>
        </w:rPr>
        <w:t xml:space="preserve">Факс: </w:t>
      </w:r>
      <w:r w:rsidRPr="00283D47">
        <w:rPr>
          <w:rFonts w:eastAsia="Times New Roman" w:cs="Arial"/>
          <w:color w:val="000000"/>
          <w:lang w:val="en-US"/>
        </w:rPr>
        <w:t xml:space="preserve">+49 </w:t>
      </w:r>
      <w:r w:rsidRPr="00283D47">
        <w:rPr>
          <w:rFonts w:eastAsia="Times New Roman" w:cs="Arial"/>
          <w:color w:val="000000"/>
          <w:lang w:eastAsia="bg-BG"/>
        </w:rPr>
        <w:t xml:space="preserve">(0)7031/ </w:t>
      </w:r>
      <w:r w:rsidRPr="00283D47">
        <w:rPr>
          <w:rFonts w:eastAsia="Times New Roman" w:cs="Arial"/>
          <w:color w:val="000000"/>
          <w:lang w:val="en-US"/>
        </w:rPr>
        <w:t>6204-31</w:t>
      </w:r>
    </w:p>
    <w:p w14:paraId="129C7566" w14:textId="77777777" w:rsidR="0091385D" w:rsidRPr="0091385D" w:rsidRDefault="0091385D" w:rsidP="0091385D"/>
    <w:p w14:paraId="7BA1BA64" w14:textId="17509450" w:rsidR="00CF77F7" w:rsidRDefault="002C50EE" w:rsidP="004A448E">
      <w:pPr>
        <w:pStyle w:val="Heading1"/>
      </w:pPr>
      <w:r>
        <w:t>8. НОМЕР НА РАЗРЕШЕНИЕТО ЗА УПОТРЕБА</w:t>
      </w:r>
    </w:p>
    <w:p w14:paraId="095674C4" w14:textId="54CA436A" w:rsidR="0091385D" w:rsidRDefault="0091385D" w:rsidP="0091385D"/>
    <w:p w14:paraId="6E892CE5" w14:textId="5636CBF6" w:rsidR="0091385D" w:rsidRPr="00283D47" w:rsidRDefault="00336F01" w:rsidP="0091385D">
      <w:pPr>
        <w:rPr>
          <w:rFonts w:cs="Arial"/>
        </w:rPr>
      </w:pPr>
      <w:r>
        <w:rPr>
          <w:rFonts w:cs="Arial"/>
        </w:rPr>
        <w:t>20010543</w:t>
      </w:r>
    </w:p>
    <w:p w14:paraId="62EF7F8B" w14:textId="77777777" w:rsidR="0091385D" w:rsidRPr="0091385D" w:rsidRDefault="0091385D" w:rsidP="0091385D"/>
    <w:p w14:paraId="2CCB5832" w14:textId="18FCD95B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372B3414" w14:textId="0F79A9B4" w:rsidR="0091385D" w:rsidRDefault="0091385D" w:rsidP="0091385D"/>
    <w:p w14:paraId="305ED5D6" w14:textId="5208CBF4" w:rsidR="00283D47" w:rsidRPr="00283D47" w:rsidRDefault="00283D47" w:rsidP="00283D47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3D47">
        <w:rPr>
          <w:rFonts w:eastAsia="Times New Roman" w:cs="Arial"/>
          <w:color w:val="000000"/>
          <w:lang w:eastAsia="bg-BG"/>
        </w:rPr>
        <w:t xml:space="preserve">Дата на първо разрешаване: </w:t>
      </w:r>
      <w:r w:rsidR="00336F01">
        <w:rPr>
          <w:rFonts w:eastAsia="Times New Roman" w:cs="Arial"/>
          <w:color w:val="000000"/>
          <w:lang w:eastAsia="bg-BG"/>
        </w:rPr>
        <w:t>12 Юни</w:t>
      </w:r>
      <w:bookmarkStart w:id="2" w:name="_GoBack"/>
      <w:bookmarkEnd w:id="2"/>
      <w:r w:rsidRPr="00283D47">
        <w:rPr>
          <w:rFonts w:eastAsia="Times New Roman" w:cs="Arial"/>
          <w:color w:val="000000"/>
          <w:lang w:eastAsia="bg-BG"/>
        </w:rPr>
        <w:t xml:space="preserve"> 200</w:t>
      </w:r>
      <w:r w:rsidR="00336F01">
        <w:rPr>
          <w:rFonts w:eastAsia="Times New Roman" w:cs="Arial"/>
          <w:color w:val="000000"/>
          <w:lang w:eastAsia="bg-BG"/>
        </w:rPr>
        <w:t>1</w:t>
      </w:r>
      <w:r w:rsidRPr="00283D47">
        <w:rPr>
          <w:rFonts w:eastAsia="Times New Roman" w:cs="Arial"/>
          <w:color w:val="000000"/>
          <w:lang w:eastAsia="bg-BG"/>
        </w:rPr>
        <w:t xml:space="preserve"> г.</w:t>
      </w:r>
    </w:p>
    <w:p w14:paraId="497007FA" w14:textId="413E37C0" w:rsidR="0091385D" w:rsidRPr="00283D47" w:rsidRDefault="00283D47" w:rsidP="00283D47">
      <w:pPr>
        <w:rPr>
          <w:rFonts w:cs="Arial"/>
        </w:rPr>
      </w:pPr>
      <w:r w:rsidRPr="00283D47">
        <w:rPr>
          <w:rFonts w:eastAsia="Times New Roman" w:cs="Arial"/>
          <w:color w:val="000000"/>
          <w:lang w:eastAsia="bg-BG"/>
        </w:rPr>
        <w:t>Дата на последно подновяване: 15 Декември 2010 г.</w:t>
      </w:r>
    </w:p>
    <w:p w14:paraId="0A56E09D" w14:textId="77777777" w:rsidR="0091385D" w:rsidRPr="0091385D" w:rsidRDefault="0091385D" w:rsidP="0091385D"/>
    <w:p w14:paraId="0E9D0119" w14:textId="1FEC128A" w:rsidR="002C50EE" w:rsidRDefault="002C50EE" w:rsidP="002C50EE">
      <w:pPr>
        <w:pStyle w:val="Heading1"/>
      </w:pPr>
      <w:r>
        <w:t>10. ДАТА НА АКТУАЛИЗИРАНЕ НА ТЕКСТА</w:t>
      </w:r>
    </w:p>
    <w:p w14:paraId="3E8FFCC4" w14:textId="34E0D3BB" w:rsidR="0091385D" w:rsidRDefault="0091385D" w:rsidP="0091385D"/>
    <w:p w14:paraId="30276F52" w14:textId="662039AC" w:rsidR="0091385D" w:rsidRPr="00283D47" w:rsidRDefault="00283D47" w:rsidP="0091385D">
      <w:pPr>
        <w:rPr>
          <w:rFonts w:cs="Arial"/>
        </w:rPr>
      </w:pPr>
      <w:r w:rsidRPr="00283D47">
        <w:rPr>
          <w:rFonts w:cs="Arial"/>
        </w:rPr>
        <w:t>10/2021</w:t>
      </w:r>
    </w:p>
    <w:p w14:paraId="6B00148E" w14:textId="77777777" w:rsidR="0091385D" w:rsidRPr="0091385D" w:rsidRDefault="0091385D" w:rsidP="0091385D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344E0E"/>
    <w:multiLevelType w:val="hybridMultilevel"/>
    <w:tmpl w:val="EDEC38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 w15:restartNumberingAfterBreak="0">
    <w:nsid w:val="3E6F5A03"/>
    <w:multiLevelType w:val="hybridMultilevel"/>
    <w:tmpl w:val="7C16F2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67B82"/>
    <w:multiLevelType w:val="hybridMultilevel"/>
    <w:tmpl w:val="58947F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5C4033"/>
    <w:multiLevelType w:val="hybridMultilevel"/>
    <w:tmpl w:val="3E3E48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0549A"/>
    <w:multiLevelType w:val="hybridMultilevel"/>
    <w:tmpl w:val="B510D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307F9A"/>
    <w:multiLevelType w:val="hybridMultilevel"/>
    <w:tmpl w:val="1E2E19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9"/>
  </w:num>
  <w:num w:numId="2">
    <w:abstractNumId w:val="0"/>
  </w:num>
  <w:num w:numId="3">
    <w:abstractNumId w:val="13"/>
  </w:num>
  <w:num w:numId="4">
    <w:abstractNumId w:val="3"/>
  </w:num>
  <w:num w:numId="5">
    <w:abstractNumId w:val="1"/>
  </w:num>
  <w:num w:numId="6">
    <w:abstractNumId w:val="17"/>
  </w:num>
  <w:num w:numId="7">
    <w:abstractNumId w:val="11"/>
  </w:num>
  <w:num w:numId="8">
    <w:abstractNumId w:val="15"/>
  </w:num>
  <w:num w:numId="9">
    <w:abstractNumId w:val="2"/>
  </w:num>
  <w:num w:numId="10">
    <w:abstractNumId w:val="4"/>
  </w:num>
  <w:num w:numId="11">
    <w:abstractNumId w:val="33"/>
  </w:num>
  <w:num w:numId="12">
    <w:abstractNumId w:val="14"/>
  </w:num>
  <w:num w:numId="13">
    <w:abstractNumId w:val="20"/>
  </w:num>
  <w:num w:numId="14">
    <w:abstractNumId w:val="12"/>
  </w:num>
  <w:num w:numId="15">
    <w:abstractNumId w:val="32"/>
  </w:num>
  <w:num w:numId="16">
    <w:abstractNumId w:val="10"/>
  </w:num>
  <w:num w:numId="17">
    <w:abstractNumId w:val="25"/>
  </w:num>
  <w:num w:numId="18">
    <w:abstractNumId w:val="8"/>
  </w:num>
  <w:num w:numId="19">
    <w:abstractNumId w:val="27"/>
  </w:num>
  <w:num w:numId="20">
    <w:abstractNumId w:val="24"/>
  </w:num>
  <w:num w:numId="21">
    <w:abstractNumId w:val="18"/>
  </w:num>
  <w:num w:numId="22">
    <w:abstractNumId w:val="26"/>
  </w:num>
  <w:num w:numId="23">
    <w:abstractNumId w:val="19"/>
  </w:num>
  <w:num w:numId="24">
    <w:abstractNumId w:val="9"/>
  </w:num>
  <w:num w:numId="25">
    <w:abstractNumId w:val="23"/>
  </w:num>
  <w:num w:numId="26">
    <w:abstractNumId w:val="22"/>
  </w:num>
  <w:num w:numId="27">
    <w:abstractNumId w:val="36"/>
  </w:num>
  <w:num w:numId="28">
    <w:abstractNumId w:val="6"/>
  </w:num>
  <w:num w:numId="29">
    <w:abstractNumId w:val="21"/>
  </w:num>
  <w:num w:numId="30">
    <w:abstractNumId w:val="39"/>
  </w:num>
  <w:num w:numId="31">
    <w:abstractNumId w:val="5"/>
  </w:num>
  <w:num w:numId="32">
    <w:abstractNumId w:val="38"/>
  </w:num>
  <w:num w:numId="33">
    <w:abstractNumId w:val="30"/>
  </w:num>
  <w:num w:numId="34">
    <w:abstractNumId w:val="37"/>
  </w:num>
  <w:num w:numId="35">
    <w:abstractNumId w:val="16"/>
  </w:num>
  <w:num w:numId="36">
    <w:abstractNumId w:val="28"/>
  </w:num>
  <w:num w:numId="37">
    <w:abstractNumId w:val="7"/>
  </w:num>
  <w:num w:numId="38">
    <w:abstractNumId w:val="31"/>
  </w:num>
  <w:num w:numId="39">
    <w:abstractNumId w:val="35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83D47"/>
    <w:rsid w:val="002B3C38"/>
    <w:rsid w:val="002B4DBB"/>
    <w:rsid w:val="002C50EE"/>
    <w:rsid w:val="00336F01"/>
    <w:rsid w:val="00340A0A"/>
    <w:rsid w:val="003446E8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34C8"/>
    <w:rsid w:val="00814073"/>
    <w:rsid w:val="00826F0D"/>
    <w:rsid w:val="00893B92"/>
    <w:rsid w:val="008A6AF2"/>
    <w:rsid w:val="008C70A2"/>
    <w:rsid w:val="0091385D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3549</Words>
  <Characters>20232</Characters>
  <Application>Microsoft Office Word</Application>
  <DocSecurity>0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2022-08-30T12:32:00Z</dcterms:created>
  <dcterms:modified xsi:type="dcterms:W3CDTF">2022-08-30T12:32:00Z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