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A328C" w14:textId="16329281" w:rsidR="002C50EE" w:rsidRDefault="002C50EE" w:rsidP="002C50EE">
      <w:pPr>
        <w:pStyle w:val="Heading1"/>
        <w:jc w:val="center"/>
      </w:pPr>
      <w:bookmarkStart w:id="0" w:name="_Hlk63124480"/>
      <w:r>
        <w:t>КРАТКА ХАРАКТЕРИСТИКА НА ПРОДУКТА</w:t>
      </w:r>
    </w:p>
    <w:p w14:paraId="3B239815" w14:textId="26E75652" w:rsidR="00AA23EC" w:rsidRDefault="00DD466D" w:rsidP="00DD466D">
      <w:pPr>
        <w:pStyle w:val="Heading1"/>
      </w:pPr>
      <w:r>
        <w:t>1.ИМЕ НА ЛЕКАРСТВЕНИЯ ПРОДУКТ</w:t>
      </w:r>
    </w:p>
    <w:p w14:paraId="13E7471B" w14:textId="2A9F9CF1" w:rsidR="007563DC" w:rsidRDefault="007563DC" w:rsidP="007563DC"/>
    <w:p w14:paraId="5B8D1BFC" w14:textId="77777777" w:rsidR="007563DC" w:rsidRPr="007563DC" w:rsidRDefault="007563DC" w:rsidP="007563DC">
      <w:pPr>
        <w:rPr>
          <w:sz w:val="24"/>
          <w:szCs w:val="24"/>
        </w:rPr>
      </w:pPr>
      <w:r w:rsidRPr="007563DC">
        <w:rPr>
          <w:lang w:eastAsia="bg-BG"/>
        </w:rPr>
        <w:t xml:space="preserve">Метилпреднизолон Кортико 16 </w:t>
      </w:r>
      <w:r w:rsidRPr="007563DC">
        <w:rPr>
          <w:lang w:val="en-US"/>
        </w:rPr>
        <w:t>mg</w:t>
      </w:r>
      <w:r w:rsidRPr="007563DC">
        <w:t xml:space="preserve"> </w:t>
      </w:r>
      <w:r w:rsidRPr="007563DC">
        <w:rPr>
          <w:lang w:eastAsia="bg-BG"/>
        </w:rPr>
        <w:t>таблетки</w:t>
      </w:r>
    </w:p>
    <w:p w14:paraId="4854A3FD" w14:textId="4F77845D" w:rsidR="007563DC" w:rsidRPr="007563DC" w:rsidRDefault="007563DC" w:rsidP="007563DC">
      <w:r w:rsidRPr="007563DC">
        <w:rPr>
          <w:lang w:val="en-US"/>
        </w:rPr>
        <w:t>Methylprednisolon</w:t>
      </w:r>
      <w:r w:rsidRPr="007563DC">
        <w:t xml:space="preserve"> </w:t>
      </w:r>
      <w:r w:rsidRPr="007563DC">
        <w:rPr>
          <w:lang w:val="en-US"/>
        </w:rPr>
        <w:t>Cortico</w:t>
      </w:r>
      <w:r w:rsidRPr="007563DC">
        <w:t xml:space="preserve"> </w:t>
      </w:r>
      <w:r w:rsidRPr="007563DC">
        <w:rPr>
          <w:lang w:eastAsia="bg-BG"/>
        </w:rPr>
        <w:t xml:space="preserve">16 </w:t>
      </w:r>
      <w:r w:rsidRPr="007563DC">
        <w:rPr>
          <w:lang w:val="en-US"/>
        </w:rPr>
        <w:t>mg</w:t>
      </w:r>
      <w:r w:rsidRPr="007563DC">
        <w:t xml:space="preserve"> </w:t>
      </w:r>
      <w:r w:rsidRPr="007563DC">
        <w:rPr>
          <w:lang w:val="en-US"/>
        </w:rPr>
        <w:t>tablets</w:t>
      </w:r>
    </w:p>
    <w:p w14:paraId="0A368469" w14:textId="371DD142" w:rsidR="00C0049F" w:rsidRDefault="00DD466D" w:rsidP="009F1313">
      <w:pPr>
        <w:pStyle w:val="Heading1"/>
      </w:pPr>
      <w:r>
        <w:t>2. КАЧЕСТВЕН И КОЛИЧЕСТВЕН СЪСТАВ</w:t>
      </w:r>
    </w:p>
    <w:p w14:paraId="0DF192EB" w14:textId="079DEEDB" w:rsidR="007563DC" w:rsidRDefault="007563DC" w:rsidP="007563DC"/>
    <w:p w14:paraId="39BC4557" w14:textId="77777777" w:rsidR="007563DC" w:rsidRPr="007563DC" w:rsidRDefault="007563DC" w:rsidP="007563DC">
      <w:pPr>
        <w:rPr>
          <w:sz w:val="24"/>
          <w:szCs w:val="24"/>
        </w:rPr>
      </w:pPr>
      <w:r w:rsidRPr="007563DC">
        <w:rPr>
          <w:lang w:eastAsia="bg-BG"/>
        </w:rPr>
        <w:t xml:space="preserve">Активно вещество в една таблетка: Метилпреднизолон </w:t>
      </w:r>
      <w:r w:rsidRPr="007563DC">
        <w:rPr>
          <w:lang w:val="ru-RU"/>
        </w:rPr>
        <w:t>(</w:t>
      </w:r>
      <w:r w:rsidRPr="007563DC">
        <w:rPr>
          <w:lang w:val="en-US"/>
        </w:rPr>
        <w:t>Methylpredisolone</w:t>
      </w:r>
      <w:r w:rsidRPr="007563DC">
        <w:rPr>
          <w:lang w:val="ru-RU"/>
        </w:rPr>
        <w:t xml:space="preserve">) </w:t>
      </w:r>
      <w:r w:rsidRPr="007563DC">
        <w:rPr>
          <w:lang w:eastAsia="bg-BG"/>
        </w:rPr>
        <w:t xml:space="preserve">16 </w:t>
      </w:r>
      <w:r w:rsidRPr="007563DC">
        <w:rPr>
          <w:lang w:val="en-US"/>
        </w:rPr>
        <w:t>mg</w:t>
      </w:r>
      <w:r w:rsidRPr="007563DC">
        <w:rPr>
          <w:lang w:val="ru-RU"/>
        </w:rPr>
        <w:t>.</w:t>
      </w:r>
    </w:p>
    <w:p w14:paraId="58F8AFFB" w14:textId="77777777" w:rsidR="007563DC" w:rsidRDefault="007563DC" w:rsidP="007563DC">
      <w:pPr>
        <w:rPr>
          <w:lang w:eastAsia="bg-BG"/>
        </w:rPr>
      </w:pPr>
    </w:p>
    <w:p w14:paraId="06BCFFB0" w14:textId="1BA9B7B1" w:rsidR="007563DC" w:rsidRPr="007563DC" w:rsidRDefault="007563DC" w:rsidP="007563DC">
      <w:pPr>
        <w:rPr>
          <w:sz w:val="24"/>
          <w:szCs w:val="24"/>
        </w:rPr>
      </w:pPr>
      <w:r w:rsidRPr="007563DC">
        <w:rPr>
          <w:lang w:eastAsia="bg-BG"/>
        </w:rPr>
        <w:t xml:space="preserve">Помощни вещества с известно действие: лактоза монохидрат 491,3 </w:t>
      </w:r>
      <w:r w:rsidRPr="007563DC">
        <w:rPr>
          <w:lang w:val="en-US"/>
        </w:rPr>
        <w:t>mg</w:t>
      </w:r>
      <w:r w:rsidRPr="007563DC">
        <w:rPr>
          <w:lang w:val="ru-RU"/>
        </w:rPr>
        <w:t xml:space="preserve"> </w:t>
      </w:r>
      <w:r w:rsidRPr="007563DC">
        <w:rPr>
          <w:lang w:eastAsia="bg-BG"/>
        </w:rPr>
        <w:t>в една таблетка.</w:t>
      </w:r>
    </w:p>
    <w:p w14:paraId="50E104D9" w14:textId="77777777" w:rsidR="007563DC" w:rsidRPr="007563DC" w:rsidRDefault="007563DC" w:rsidP="007563DC"/>
    <w:p w14:paraId="614984C4" w14:textId="5784103E" w:rsidR="008A6AF2" w:rsidRDefault="00DD466D" w:rsidP="002C50EE">
      <w:pPr>
        <w:pStyle w:val="Heading1"/>
      </w:pPr>
      <w:r>
        <w:t>3. ЛЕКАРСТВЕНА ФОРМА</w:t>
      </w:r>
    </w:p>
    <w:p w14:paraId="006FEF1F" w14:textId="61352E82" w:rsidR="007563DC" w:rsidRDefault="007563DC" w:rsidP="007563DC"/>
    <w:p w14:paraId="6DB6A8FD" w14:textId="77777777" w:rsidR="007563DC" w:rsidRPr="007563DC" w:rsidRDefault="007563DC" w:rsidP="007563DC">
      <w:pPr>
        <w:rPr>
          <w:sz w:val="24"/>
          <w:szCs w:val="24"/>
        </w:rPr>
      </w:pPr>
      <w:r w:rsidRPr="007563DC">
        <w:rPr>
          <w:lang w:eastAsia="bg-BG"/>
        </w:rPr>
        <w:t>Таблетки.</w:t>
      </w:r>
    </w:p>
    <w:p w14:paraId="5537EB20" w14:textId="77777777" w:rsidR="007563DC" w:rsidRDefault="007563DC" w:rsidP="007563DC">
      <w:pPr>
        <w:rPr>
          <w:lang w:eastAsia="bg-BG"/>
        </w:rPr>
      </w:pPr>
    </w:p>
    <w:p w14:paraId="137DF0FE" w14:textId="5DF9DA48" w:rsidR="007563DC" w:rsidRPr="007563DC" w:rsidRDefault="007563DC" w:rsidP="007563DC">
      <w:pPr>
        <w:rPr>
          <w:sz w:val="24"/>
          <w:szCs w:val="24"/>
        </w:rPr>
      </w:pPr>
      <w:r w:rsidRPr="007563DC">
        <w:rPr>
          <w:lang w:eastAsia="bg-BG"/>
        </w:rPr>
        <w:t xml:space="preserve">Кръгли, плоски таблетки с фасета и делителна черта от едната страна, диаметър 13 </w:t>
      </w:r>
      <w:r w:rsidRPr="007563DC">
        <w:rPr>
          <w:lang w:val="en-US"/>
        </w:rPr>
        <w:t>mm</w:t>
      </w:r>
      <w:r w:rsidRPr="007563DC">
        <w:rPr>
          <w:lang w:val="ru-RU"/>
        </w:rPr>
        <w:t>.</w:t>
      </w:r>
    </w:p>
    <w:p w14:paraId="157A7A42" w14:textId="77777777" w:rsidR="007563DC" w:rsidRDefault="007563DC" w:rsidP="007563DC">
      <w:pPr>
        <w:rPr>
          <w:lang w:eastAsia="bg-BG"/>
        </w:rPr>
      </w:pPr>
    </w:p>
    <w:p w14:paraId="50461E8C" w14:textId="5D4404D6" w:rsidR="007563DC" w:rsidRPr="007563DC" w:rsidRDefault="007563DC" w:rsidP="007563DC">
      <w:r w:rsidRPr="007563DC">
        <w:rPr>
          <w:lang w:eastAsia="bg-BG"/>
        </w:rPr>
        <w:t>Таблетката може да бъде разделена на равни дози.</w:t>
      </w:r>
    </w:p>
    <w:p w14:paraId="490FC2C4" w14:textId="32682B15" w:rsidR="002C50EE" w:rsidRDefault="002C50EE" w:rsidP="002C50EE">
      <w:pPr>
        <w:pStyle w:val="Heading1"/>
      </w:pPr>
      <w:r>
        <w:t>4. КЛИНИЧНИ ДАННИ</w:t>
      </w:r>
    </w:p>
    <w:p w14:paraId="754A29C8" w14:textId="34304510" w:rsidR="00C0049F" w:rsidRDefault="002C50EE" w:rsidP="009F1313">
      <w:pPr>
        <w:pStyle w:val="Heading2"/>
      </w:pPr>
      <w:r>
        <w:t>4.1. Терапевтични показания</w:t>
      </w:r>
    </w:p>
    <w:p w14:paraId="1A864943" w14:textId="16B0FAC3" w:rsidR="00395555" w:rsidRDefault="00395555" w:rsidP="00395555"/>
    <w:p w14:paraId="3ED22437" w14:textId="77777777" w:rsidR="007563DC" w:rsidRPr="007563DC" w:rsidRDefault="007563DC" w:rsidP="007563DC">
      <w:pPr>
        <w:spacing w:line="240" w:lineRule="auto"/>
        <w:rPr>
          <w:rFonts w:eastAsia="Times New Roman" w:cs="Arial"/>
        </w:rPr>
      </w:pPr>
      <w:r w:rsidRPr="007563DC">
        <w:rPr>
          <w:rFonts w:eastAsia="Times New Roman" w:cs="Arial"/>
          <w:color w:val="000000"/>
          <w:lang w:eastAsia="bg-BG"/>
        </w:rPr>
        <w:t>Метилпреднизолон Кортико е показан при състояния, изискващи глюкокортикоидна активност като:</w:t>
      </w:r>
    </w:p>
    <w:p w14:paraId="1EC426F4" w14:textId="77777777" w:rsidR="007563DC" w:rsidRPr="007563DC" w:rsidRDefault="007563DC" w:rsidP="007563DC">
      <w:pPr>
        <w:spacing w:line="240" w:lineRule="auto"/>
        <w:rPr>
          <w:rFonts w:eastAsia="Times New Roman" w:cs="Arial"/>
        </w:rPr>
      </w:pPr>
      <w:r w:rsidRPr="007563DC">
        <w:rPr>
          <w:rFonts w:eastAsia="Times New Roman" w:cs="Arial"/>
          <w:b/>
          <w:bCs/>
          <w:color w:val="000000"/>
          <w:lang w:eastAsia="bg-BG"/>
        </w:rPr>
        <w:t>Ендокринни заболявання</w:t>
      </w:r>
    </w:p>
    <w:p w14:paraId="6617115D" w14:textId="77777777" w:rsidR="007563DC" w:rsidRPr="007563DC" w:rsidRDefault="007563DC" w:rsidP="007563DC">
      <w:pPr>
        <w:pStyle w:val="ListParagraph"/>
        <w:numPr>
          <w:ilvl w:val="0"/>
          <w:numId w:val="34"/>
        </w:numPr>
        <w:spacing w:line="240" w:lineRule="auto"/>
        <w:rPr>
          <w:rFonts w:eastAsia="Times New Roman" w:cs="Arial"/>
          <w:color w:val="000000"/>
          <w:lang w:eastAsia="bg-BG"/>
        </w:rPr>
      </w:pPr>
      <w:r w:rsidRPr="007563DC">
        <w:rPr>
          <w:rFonts w:eastAsia="Times New Roman" w:cs="Arial"/>
          <w:color w:val="000000"/>
          <w:lang w:eastAsia="bg-BG"/>
        </w:rPr>
        <w:t>Първична и вторична надбъбречна недостатъчност</w:t>
      </w:r>
    </w:p>
    <w:p w14:paraId="1E021BDE" w14:textId="77777777" w:rsidR="007563DC" w:rsidRPr="007563DC" w:rsidRDefault="007563DC" w:rsidP="007563DC">
      <w:pPr>
        <w:pStyle w:val="ListParagraph"/>
        <w:numPr>
          <w:ilvl w:val="0"/>
          <w:numId w:val="34"/>
        </w:numPr>
        <w:spacing w:line="240" w:lineRule="auto"/>
        <w:rPr>
          <w:rFonts w:eastAsia="Times New Roman" w:cs="Arial"/>
          <w:color w:val="000000"/>
          <w:lang w:eastAsia="bg-BG"/>
        </w:rPr>
      </w:pPr>
      <w:r w:rsidRPr="007563DC">
        <w:rPr>
          <w:rFonts w:eastAsia="Times New Roman" w:cs="Arial"/>
          <w:color w:val="000000"/>
          <w:lang w:eastAsia="bg-BG"/>
        </w:rPr>
        <w:t>Вродена надбъбречна хиперплазия</w:t>
      </w:r>
    </w:p>
    <w:p w14:paraId="51F3C985" w14:textId="77777777" w:rsidR="007563DC" w:rsidRPr="007563DC" w:rsidRDefault="007563DC" w:rsidP="007563DC">
      <w:pPr>
        <w:spacing w:line="240" w:lineRule="auto"/>
        <w:rPr>
          <w:rFonts w:eastAsia="Times New Roman" w:cs="Arial"/>
        </w:rPr>
      </w:pPr>
      <w:bookmarkStart w:id="1" w:name="bookmark0"/>
      <w:r w:rsidRPr="007563DC">
        <w:rPr>
          <w:rFonts w:eastAsia="Times New Roman" w:cs="Arial"/>
          <w:b/>
          <w:bCs/>
          <w:color w:val="000000"/>
          <w:lang w:eastAsia="bg-BG"/>
        </w:rPr>
        <w:t>Ревматични заболявания</w:t>
      </w:r>
      <w:bookmarkEnd w:id="1"/>
    </w:p>
    <w:p w14:paraId="1086E429" w14:textId="77777777" w:rsidR="007563DC" w:rsidRPr="007563DC" w:rsidRDefault="007563DC" w:rsidP="007563DC">
      <w:pPr>
        <w:pStyle w:val="ListParagraph"/>
        <w:numPr>
          <w:ilvl w:val="0"/>
          <w:numId w:val="35"/>
        </w:numPr>
        <w:spacing w:line="240" w:lineRule="auto"/>
        <w:rPr>
          <w:rFonts w:eastAsia="Times New Roman" w:cs="Arial"/>
          <w:color w:val="000000"/>
          <w:lang w:eastAsia="bg-BG"/>
        </w:rPr>
      </w:pPr>
      <w:r w:rsidRPr="007563DC">
        <w:rPr>
          <w:rFonts w:eastAsia="Times New Roman" w:cs="Arial"/>
          <w:color w:val="000000"/>
          <w:lang w:eastAsia="bg-BG"/>
        </w:rPr>
        <w:t>Ревматоиден артрит</w:t>
      </w:r>
    </w:p>
    <w:p w14:paraId="21EBC181" w14:textId="77777777" w:rsidR="007563DC" w:rsidRPr="007563DC" w:rsidRDefault="007563DC" w:rsidP="007563DC">
      <w:pPr>
        <w:pStyle w:val="ListParagraph"/>
        <w:numPr>
          <w:ilvl w:val="0"/>
          <w:numId w:val="35"/>
        </w:numPr>
        <w:spacing w:line="240" w:lineRule="auto"/>
        <w:rPr>
          <w:rFonts w:eastAsia="Times New Roman" w:cs="Arial"/>
          <w:color w:val="000000"/>
          <w:lang w:eastAsia="bg-BG"/>
        </w:rPr>
      </w:pPr>
      <w:r w:rsidRPr="007563DC">
        <w:rPr>
          <w:rFonts w:eastAsia="Times New Roman" w:cs="Arial"/>
          <w:color w:val="000000"/>
          <w:lang w:eastAsia="bg-BG"/>
        </w:rPr>
        <w:t>Хроничен ювенилен артрит</w:t>
      </w:r>
    </w:p>
    <w:p w14:paraId="6C6B25B6" w14:textId="77777777" w:rsidR="007563DC" w:rsidRPr="007563DC" w:rsidRDefault="007563DC" w:rsidP="007563DC">
      <w:pPr>
        <w:pStyle w:val="ListParagraph"/>
        <w:numPr>
          <w:ilvl w:val="0"/>
          <w:numId w:val="35"/>
        </w:numPr>
        <w:spacing w:line="240" w:lineRule="auto"/>
        <w:rPr>
          <w:rFonts w:eastAsia="Times New Roman" w:cs="Arial"/>
          <w:color w:val="000000"/>
          <w:lang w:eastAsia="bg-BG"/>
        </w:rPr>
      </w:pPr>
      <w:r w:rsidRPr="007563DC">
        <w:rPr>
          <w:rFonts w:eastAsia="Times New Roman" w:cs="Arial"/>
          <w:color w:val="000000"/>
          <w:lang w:eastAsia="bg-BG"/>
        </w:rPr>
        <w:t>Анкилозиращ спондилит</w:t>
      </w:r>
    </w:p>
    <w:p w14:paraId="6592ABA1" w14:textId="77777777" w:rsidR="007563DC" w:rsidRPr="007563DC" w:rsidRDefault="007563DC" w:rsidP="007563DC">
      <w:pPr>
        <w:spacing w:line="240" w:lineRule="auto"/>
        <w:rPr>
          <w:rFonts w:eastAsia="Times New Roman" w:cs="Arial"/>
        </w:rPr>
      </w:pPr>
      <w:r w:rsidRPr="007563DC">
        <w:rPr>
          <w:rFonts w:eastAsia="Times New Roman" w:cs="Arial"/>
          <w:b/>
          <w:bCs/>
          <w:color w:val="000000"/>
          <w:lang w:eastAsia="bg-BG"/>
        </w:rPr>
        <w:t>Колагенози/артеринт</w:t>
      </w:r>
    </w:p>
    <w:p w14:paraId="46CF2AB6" w14:textId="77777777" w:rsidR="007563DC" w:rsidRPr="007563DC" w:rsidRDefault="007563DC" w:rsidP="007563DC">
      <w:pPr>
        <w:pStyle w:val="ListParagraph"/>
        <w:numPr>
          <w:ilvl w:val="0"/>
          <w:numId w:val="36"/>
        </w:numPr>
        <w:spacing w:line="240" w:lineRule="auto"/>
        <w:rPr>
          <w:rFonts w:eastAsia="Times New Roman" w:cs="Arial"/>
          <w:color w:val="000000"/>
          <w:lang w:eastAsia="bg-BG"/>
        </w:rPr>
      </w:pPr>
      <w:r w:rsidRPr="007563DC">
        <w:rPr>
          <w:rFonts w:eastAsia="Times New Roman" w:cs="Arial"/>
          <w:color w:val="000000"/>
          <w:lang w:eastAsia="bg-BG"/>
        </w:rPr>
        <w:t>Системен лупус еритематозус</w:t>
      </w:r>
    </w:p>
    <w:p w14:paraId="14A65F30" w14:textId="77777777" w:rsidR="007563DC" w:rsidRPr="007563DC" w:rsidRDefault="007563DC" w:rsidP="007563DC">
      <w:pPr>
        <w:pStyle w:val="ListParagraph"/>
        <w:numPr>
          <w:ilvl w:val="0"/>
          <w:numId w:val="36"/>
        </w:numPr>
        <w:spacing w:line="240" w:lineRule="auto"/>
        <w:rPr>
          <w:rFonts w:eastAsia="Times New Roman" w:cs="Arial"/>
          <w:color w:val="000000"/>
          <w:lang w:eastAsia="bg-BG"/>
        </w:rPr>
      </w:pPr>
      <w:r w:rsidRPr="007563DC">
        <w:rPr>
          <w:rFonts w:eastAsia="Times New Roman" w:cs="Arial"/>
          <w:color w:val="000000"/>
          <w:lang w:eastAsia="bg-BG"/>
        </w:rPr>
        <w:t>Системен дерматомиозит (полимиозит)</w:t>
      </w:r>
    </w:p>
    <w:p w14:paraId="4D9E6A76" w14:textId="77777777" w:rsidR="007563DC" w:rsidRPr="007563DC" w:rsidRDefault="007563DC" w:rsidP="007563DC">
      <w:pPr>
        <w:pStyle w:val="ListParagraph"/>
        <w:numPr>
          <w:ilvl w:val="0"/>
          <w:numId w:val="36"/>
        </w:numPr>
        <w:spacing w:line="240" w:lineRule="auto"/>
        <w:rPr>
          <w:rFonts w:eastAsia="Times New Roman" w:cs="Arial"/>
          <w:color w:val="000000"/>
          <w:lang w:eastAsia="bg-BG"/>
        </w:rPr>
      </w:pPr>
      <w:r w:rsidRPr="007563DC">
        <w:rPr>
          <w:rFonts w:eastAsia="Times New Roman" w:cs="Arial"/>
          <w:color w:val="000000"/>
          <w:lang w:eastAsia="bg-BG"/>
        </w:rPr>
        <w:t>Ревматична треска с остър кардит</w:t>
      </w:r>
    </w:p>
    <w:p w14:paraId="51670948" w14:textId="77777777" w:rsidR="007563DC" w:rsidRPr="007563DC" w:rsidRDefault="007563DC" w:rsidP="007563DC">
      <w:pPr>
        <w:pStyle w:val="ListParagraph"/>
        <w:numPr>
          <w:ilvl w:val="0"/>
          <w:numId w:val="36"/>
        </w:numPr>
        <w:spacing w:line="240" w:lineRule="auto"/>
        <w:rPr>
          <w:rFonts w:eastAsia="Times New Roman" w:cs="Arial"/>
          <w:color w:val="000000"/>
          <w:lang w:eastAsia="bg-BG"/>
        </w:rPr>
      </w:pPr>
      <w:r w:rsidRPr="007563DC">
        <w:rPr>
          <w:rFonts w:eastAsia="Times New Roman" w:cs="Arial"/>
          <w:color w:val="000000"/>
          <w:lang w:eastAsia="bg-BG"/>
        </w:rPr>
        <w:t>Гигантоклетъчен артериит/Ревматична полимиалгия</w:t>
      </w:r>
    </w:p>
    <w:p w14:paraId="2974BA11" w14:textId="1939C7E3" w:rsidR="007563DC" w:rsidRPr="007563DC" w:rsidRDefault="007563DC" w:rsidP="007563DC">
      <w:pPr>
        <w:spacing w:line="240" w:lineRule="auto"/>
        <w:rPr>
          <w:rFonts w:eastAsia="Times New Roman" w:cs="Arial"/>
        </w:rPr>
      </w:pPr>
      <w:bookmarkStart w:id="2" w:name="bookmark2"/>
      <w:r w:rsidRPr="007563DC">
        <w:rPr>
          <w:rFonts w:eastAsia="Times New Roman" w:cs="Arial"/>
          <w:b/>
          <w:bCs/>
          <w:color w:val="000000"/>
          <w:lang w:eastAsia="bg-BG"/>
        </w:rPr>
        <w:t>Кожни заболявання</w:t>
      </w:r>
      <w:bookmarkEnd w:id="2"/>
    </w:p>
    <w:p w14:paraId="35F8A333" w14:textId="0C063FA5" w:rsidR="007563DC" w:rsidRPr="007563DC" w:rsidRDefault="007563DC" w:rsidP="007563DC">
      <w:pPr>
        <w:pStyle w:val="ListParagraph"/>
        <w:numPr>
          <w:ilvl w:val="0"/>
          <w:numId w:val="37"/>
        </w:numPr>
        <w:spacing w:line="240" w:lineRule="auto"/>
        <w:rPr>
          <w:rFonts w:eastAsia="Times New Roman" w:cs="Arial"/>
          <w:color w:val="000000"/>
          <w:lang w:eastAsia="bg-BG"/>
        </w:rPr>
      </w:pPr>
      <w:r w:rsidRPr="007563DC">
        <w:rPr>
          <w:rFonts w:eastAsia="Times New Roman" w:cs="Arial"/>
          <w:color w:val="000000"/>
          <w:lang w:eastAsia="bg-BG"/>
        </w:rPr>
        <w:t>Пемфигус вулгарис</w:t>
      </w:r>
    </w:p>
    <w:p w14:paraId="7DAF3519" w14:textId="4C18BE4E" w:rsidR="007563DC" w:rsidRPr="007563DC" w:rsidRDefault="007563DC" w:rsidP="007563DC">
      <w:pPr>
        <w:spacing w:line="240" w:lineRule="auto"/>
        <w:rPr>
          <w:rFonts w:eastAsia="Times New Roman" w:cs="Arial"/>
          <w:b/>
          <w:bCs/>
          <w:color w:val="000000"/>
          <w:lang w:eastAsia="bg-BG"/>
        </w:rPr>
      </w:pPr>
      <w:r w:rsidRPr="007563DC">
        <w:rPr>
          <w:rFonts w:eastAsia="Times New Roman" w:cs="Arial"/>
          <w:b/>
          <w:bCs/>
          <w:color w:val="000000"/>
          <w:lang w:eastAsia="bg-BG"/>
        </w:rPr>
        <w:t>Алергични състояния</w:t>
      </w:r>
    </w:p>
    <w:p w14:paraId="5C74E84C" w14:textId="15561F89" w:rsidR="007563DC" w:rsidRPr="007563DC" w:rsidRDefault="007563DC" w:rsidP="007563DC">
      <w:pPr>
        <w:pStyle w:val="ListParagraph"/>
        <w:numPr>
          <w:ilvl w:val="0"/>
          <w:numId w:val="33"/>
        </w:numPr>
        <w:rPr>
          <w:rFonts w:cs="Arial"/>
        </w:rPr>
      </w:pPr>
      <w:r w:rsidRPr="007563DC">
        <w:rPr>
          <w:rFonts w:eastAsia="Times New Roman" w:cs="Arial"/>
          <w:color w:val="000000"/>
          <w:lang w:eastAsia="bg-BG"/>
        </w:rPr>
        <w:lastRenderedPageBreak/>
        <w:t>Тежък сезонен и целогодишен алергичен ринит</w:t>
      </w:r>
    </w:p>
    <w:p w14:paraId="53AD5008" w14:textId="77777777" w:rsidR="007563DC" w:rsidRPr="007563DC" w:rsidRDefault="007563DC" w:rsidP="007563DC">
      <w:pPr>
        <w:pStyle w:val="ListParagraph"/>
        <w:numPr>
          <w:ilvl w:val="0"/>
          <w:numId w:val="33"/>
        </w:numPr>
        <w:spacing w:line="240" w:lineRule="auto"/>
        <w:rPr>
          <w:rFonts w:eastAsia="Times New Roman" w:cs="Arial"/>
          <w:color w:val="000000"/>
          <w:lang w:eastAsia="bg-BG"/>
        </w:rPr>
      </w:pPr>
      <w:r w:rsidRPr="007563DC">
        <w:rPr>
          <w:rFonts w:eastAsia="Times New Roman" w:cs="Arial"/>
          <w:color w:val="000000"/>
          <w:lang w:eastAsia="bg-BG"/>
        </w:rPr>
        <w:t>Реакции на лекарствена свръхчувствителност</w:t>
      </w:r>
    </w:p>
    <w:p w14:paraId="3AE42789" w14:textId="77777777" w:rsidR="007563DC" w:rsidRPr="007563DC" w:rsidRDefault="007563DC" w:rsidP="007563DC">
      <w:pPr>
        <w:pStyle w:val="ListParagraph"/>
        <w:numPr>
          <w:ilvl w:val="0"/>
          <w:numId w:val="33"/>
        </w:numPr>
        <w:spacing w:line="240" w:lineRule="auto"/>
        <w:rPr>
          <w:rFonts w:eastAsia="Times New Roman" w:cs="Arial"/>
          <w:color w:val="000000"/>
          <w:lang w:eastAsia="bg-BG"/>
        </w:rPr>
      </w:pPr>
      <w:r w:rsidRPr="007563DC">
        <w:rPr>
          <w:rFonts w:eastAsia="Times New Roman" w:cs="Arial"/>
          <w:color w:val="000000"/>
          <w:lang w:eastAsia="bg-BG"/>
        </w:rPr>
        <w:t>Серумна болест</w:t>
      </w:r>
    </w:p>
    <w:p w14:paraId="5DCD8A6F" w14:textId="77777777" w:rsidR="007563DC" w:rsidRPr="007563DC" w:rsidRDefault="007563DC" w:rsidP="007563DC">
      <w:pPr>
        <w:pStyle w:val="ListParagraph"/>
        <w:numPr>
          <w:ilvl w:val="0"/>
          <w:numId w:val="33"/>
        </w:numPr>
        <w:spacing w:line="240" w:lineRule="auto"/>
        <w:rPr>
          <w:rFonts w:eastAsia="Times New Roman" w:cs="Arial"/>
          <w:color w:val="000000"/>
          <w:lang w:eastAsia="bg-BG"/>
        </w:rPr>
      </w:pPr>
      <w:r w:rsidRPr="007563DC">
        <w:rPr>
          <w:rFonts w:eastAsia="Times New Roman" w:cs="Arial"/>
          <w:color w:val="000000"/>
          <w:lang w:eastAsia="bg-BG"/>
        </w:rPr>
        <w:t>Алергичен контактен дерматит</w:t>
      </w:r>
    </w:p>
    <w:p w14:paraId="3144B218" w14:textId="77777777" w:rsidR="007563DC" w:rsidRPr="007563DC" w:rsidRDefault="007563DC" w:rsidP="007563DC">
      <w:pPr>
        <w:pStyle w:val="ListParagraph"/>
        <w:numPr>
          <w:ilvl w:val="0"/>
          <w:numId w:val="33"/>
        </w:numPr>
        <w:spacing w:line="240" w:lineRule="auto"/>
        <w:rPr>
          <w:rFonts w:eastAsia="Times New Roman" w:cs="Arial"/>
          <w:color w:val="000000"/>
          <w:lang w:eastAsia="bg-BG"/>
        </w:rPr>
      </w:pPr>
      <w:r w:rsidRPr="007563DC">
        <w:rPr>
          <w:rFonts w:eastAsia="Times New Roman" w:cs="Arial"/>
          <w:color w:val="000000"/>
          <w:lang w:eastAsia="bg-BG"/>
        </w:rPr>
        <w:t>Бронхиална астма</w:t>
      </w:r>
    </w:p>
    <w:p w14:paraId="33712088" w14:textId="77777777" w:rsidR="007563DC" w:rsidRPr="007563DC" w:rsidRDefault="007563DC" w:rsidP="007563DC">
      <w:pPr>
        <w:spacing w:line="240" w:lineRule="auto"/>
        <w:rPr>
          <w:rFonts w:eastAsia="Times New Roman" w:cs="Arial"/>
        </w:rPr>
      </w:pPr>
      <w:r w:rsidRPr="007563DC">
        <w:rPr>
          <w:rFonts w:eastAsia="Times New Roman" w:cs="Arial"/>
          <w:b/>
          <w:bCs/>
          <w:color w:val="000000"/>
          <w:lang w:eastAsia="bg-BG"/>
        </w:rPr>
        <w:t>Очни заболявания</w:t>
      </w:r>
    </w:p>
    <w:p w14:paraId="15F9C4C5" w14:textId="77777777" w:rsidR="007563DC" w:rsidRPr="007563DC" w:rsidRDefault="007563DC" w:rsidP="007563DC">
      <w:pPr>
        <w:pStyle w:val="ListParagraph"/>
        <w:numPr>
          <w:ilvl w:val="0"/>
          <w:numId w:val="38"/>
        </w:numPr>
        <w:spacing w:line="240" w:lineRule="auto"/>
        <w:rPr>
          <w:rFonts w:eastAsia="Times New Roman" w:cs="Arial"/>
          <w:color w:val="000000"/>
          <w:lang w:eastAsia="bg-BG"/>
        </w:rPr>
      </w:pPr>
      <w:r w:rsidRPr="007563DC">
        <w:rPr>
          <w:rFonts w:eastAsia="Times New Roman" w:cs="Arial"/>
          <w:color w:val="000000"/>
          <w:lang w:eastAsia="bg-BG"/>
        </w:rPr>
        <w:t>Преден увеит (ирит, иридоциклит)</w:t>
      </w:r>
    </w:p>
    <w:p w14:paraId="29FE785C" w14:textId="77777777" w:rsidR="007563DC" w:rsidRPr="007563DC" w:rsidRDefault="007563DC" w:rsidP="007563DC">
      <w:pPr>
        <w:pStyle w:val="ListParagraph"/>
        <w:numPr>
          <w:ilvl w:val="0"/>
          <w:numId w:val="38"/>
        </w:numPr>
        <w:spacing w:line="240" w:lineRule="auto"/>
        <w:rPr>
          <w:rFonts w:eastAsia="Times New Roman" w:cs="Arial"/>
          <w:color w:val="000000"/>
          <w:lang w:eastAsia="bg-BG"/>
        </w:rPr>
      </w:pPr>
      <w:r w:rsidRPr="007563DC">
        <w:rPr>
          <w:rFonts w:eastAsia="Times New Roman" w:cs="Arial"/>
          <w:color w:val="000000"/>
          <w:lang w:eastAsia="bg-BG"/>
        </w:rPr>
        <w:t>Заден увеит</w:t>
      </w:r>
    </w:p>
    <w:p w14:paraId="225C1D24" w14:textId="77777777" w:rsidR="007563DC" w:rsidRPr="007563DC" w:rsidRDefault="007563DC" w:rsidP="007563DC">
      <w:pPr>
        <w:pStyle w:val="ListParagraph"/>
        <w:numPr>
          <w:ilvl w:val="0"/>
          <w:numId w:val="38"/>
        </w:numPr>
        <w:spacing w:line="240" w:lineRule="auto"/>
        <w:rPr>
          <w:rFonts w:eastAsia="Times New Roman" w:cs="Arial"/>
          <w:color w:val="000000"/>
          <w:lang w:eastAsia="bg-BG"/>
        </w:rPr>
      </w:pPr>
      <w:r w:rsidRPr="007563DC">
        <w:rPr>
          <w:rFonts w:eastAsia="Times New Roman" w:cs="Arial"/>
          <w:color w:val="000000"/>
          <w:lang w:eastAsia="bg-BG"/>
        </w:rPr>
        <w:t>Неврит на зрителния нерв</w:t>
      </w:r>
    </w:p>
    <w:p w14:paraId="42D6BF00" w14:textId="77777777" w:rsidR="007563DC" w:rsidRPr="007563DC" w:rsidRDefault="007563DC" w:rsidP="007563DC">
      <w:pPr>
        <w:spacing w:line="240" w:lineRule="auto"/>
        <w:rPr>
          <w:rFonts w:eastAsia="Times New Roman" w:cs="Arial"/>
        </w:rPr>
      </w:pPr>
      <w:r w:rsidRPr="007563DC">
        <w:rPr>
          <w:rFonts w:eastAsia="Times New Roman" w:cs="Arial"/>
          <w:b/>
          <w:bCs/>
          <w:color w:val="000000"/>
          <w:lang w:eastAsia="bg-BG"/>
        </w:rPr>
        <w:t>Респираторни заболявания</w:t>
      </w:r>
    </w:p>
    <w:p w14:paraId="436A436F" w14:textId="77777777" w:rsidR="007563DC" w:rsidRPr="007563DC" w:rsidRDefault="007563DC" w:rsidP="007563DC">
      <w:pPr>
        <w:pStyle w:val="ListParagraph"/>
        <w:numPr>
          <w:ilvl w:val="0"/>
          <w:numId w:val="38"/>
        </w:numPr>
        <w:spacing w:line="240" w:lineRule="auto"/>
        <w:rPr>
          <w:rFonts w:eastAsia="Times New Roman" w:cs="Arial"/>
          <w:color w:val="000000"/>
          <w:lang w:eastAsia="bg-BG"/>
        </w:rPr>
      </w:pPr>
      <w:r w:rsidRPr="007563DC">
        <w:rPr>
          <w:rFonts w:eastAsia="Times New Roman" w:cs="Arial"/>
          <w:color w:val="000000"/>
          <w:lang w:eastAsia="bg-BG"/>
        </w:rPr>
        <w:t>Белодробна саркоидоза</w:t>
      </w:r>
    </w:p>
    <w:p w14:paraId="5EA9CA65" w14:textId="77777777" w:rsidR="007563DC" w:rsidRPr="007563DC" w:rsidRDefault="007563DC" w:rsidP="007563DC">
      <w:pPr>
        <w:pStyle w:val="ListParagraph"/>
        <w:numPr>
          <w:ilvl w:val="0"/>
          <w:numId w:val="38"/>
        </w:numPr>
        <w:spacing w:line="240" w:lineRule="auto"/>
        <w:rPr>
          <w:rFonts w:eastAsia="Times New Roman" w:cs="Arial"/>
          <w:color w:val="000000"/>
          <w:lang w:eastAsia="bg-BG"/>
        </w:rPr>
      </w:pPr>
      <w:r w:rsidRPr="007563DC">
        <w:rPr>
          <w:rFonts w:eastAsia="Times New Roman" w:cs="Arial"/>
          <w:color w:val="000000"/>
          <w:lang w:eastAsia="bg-BG"/>
        </w:rPr>
        <w:t>Фулминантна или дисеминирана белодробна туберкулоза (заедно с подходяща противотуберкулозна химиотерапия)</w:t>
      </w:r>
    </w:p>
    <w:p w14:paraId="32C67310" w14:textId="77777777" w:rsidR="007563DC" w:rsidRPr="007563DC" w:rsidRDefault="007563DC" w:rsidP="007563DC">
      <w:pPr>
        <w:pStyle w:val="ListParagraph"/>
        <w:numPr>
          <w:ilvl w:val="0"/>
          <w:numId w:val="38"/>
        </w:numPr>
        <w:spacing w:line="240" w:lineRule="auto"/>
        <w:rPr>
          <w:rFonts w:eastAsia="Times New Roman" w:cs="Arial"/>
          <w:color w:val="000000"/>
          <w:lang w:eastAsia="bg-BG"/>
        </w:rPr>
      </w:pPr>
      <w:r w:rsidRPr="007563DC">
        <w:rPr>
          <w:rFonts w:eastAsia="Times New Roman" w:cs="Arial"/>
          <w:color w:val="000000"/>
          <w:lang w:eastAsia="bg-BG"/>
        </w:rPr>
        <w:t>Аспирация на стомашно съдържимо</w:t>
      </w:r>
    </w:p>
    <w:p w14:paraId="0238F5A6" w14:textId="77777777" w:rsidR="007563DC" w:rsidRPr="007563DC" w:rsidRDefault="007563DC" w:rsidP="007563DC">
      <w:pPr>
        <w:spacing w:line="240" w:lineRule="auto"/>
        <w:rPr>
          <w:rFonts w:eastAsia="Times New Roman" w:cs="Arial"/>
        </w:rPr>
      </w:pPr>
      <w:r w:rsidRPr="007563DC">
        <w:rPr>
          <w:rFonts w:eastAsia="Times New Roman" w:cs="Arial"/>
          <w:b/>
          <w:bCs/>
          <w:color w:val="000000"/>
          <w:lang w:eastAsia="bg-BG"/>
        </w:rPr>
        <w:t>Хематологични заболявания</w:t>
      </w:r>
    </w:p>
    <w:p w14:paraId="5E3483B2" w14:textId="77777777" w:rsidR="007563DC" w:rsidRPr="007563DC" w:rsidRDefault="007563DC" w:rsidP="007563DC">
      <w:pPr>
        <w:pStyle w:val="ListParagraph"/>
        <w:numPr>
          <w:ilvl w:val="0"/>
          <w:numId w:val="38"/>
        </w:numPr>
        <w:spacing w:line="240" w:lineRule="auto"/>
        <w:rPr>
          <w:rFonts w:eastAsia="Times New Roman" w:cs="Arial"/>
          <w:color w:val="000000"/>
          <w:lang w:eastAsia="bg-BG"/>
        </w:rPr>
      </w:pPr>
      <w:r w:rsidRPr="007563DC">
        <w:rPr>
          <w:rFonts w:eastAsia="Times New Roman" w:cs="Arial"/>
          <w:color w:val="000000"/>
          <w:lang w:eastAsia="bg-BG"/>
        </w:rPr>
        <w:t>Идиопатична тромбоцитопенична пурпура</w:t>
      </w:r>
    </w:p>
    <w:p w14:paraId="1FAD2BD2" w14:textId="77777777" w:rsidR="007563DC" w:rsidRPr="007563DC" w:rsidRDefault="007563DC" w:rsidP="007563DC">
      <w:pPr>
        <w:pStyle w:val="ListParagraph"/>
        <w:numPr>
          <w:ilvl w:val="0"/>
          <w:numId w:val="38"/>
        </w:numPr>
        <w:spacing w:line="240" w:lineRule="auto"/>
        <w:rPr>
          <w:rFonts w:eastAsia="Times New Roman" w:cs="Arial"/>
          <w:color w:val="000000"/>
          <w:lang w:eastAsia="bg-BG"/>
        </w:rPr>
      </w:pPr>
      <w:r w:rsidRPr="007563DC">
        <w:rPr>
          <w:rFonts w:eastAsia="Times New Roman" w:cs="Arial"/>
          <w:color w:val="000000"/>
          <w:lang w:eastAsia="bg-BG"/>
        </w:rPr>
        <w:t>Хемолитична анемия (автоимунна)</w:t>
      </w:r>
    </w:p>
    <w:p w14:paraId="5176CDD6" w14:textId="77777777" w:rsidR="007563DC" w:rsidRPr="007563DC" w:rsidRDefault="007563DC" w:rsidP="007563DC">
      <w:pPr>
        <w:spacing w:line="240" w:lineRule="auto"/>
        <w:rPr>
          <w:rFonts w:eastAsia="Times New Roman" w:cs="Arial"/>
        </w:rPr>
      </w:pPr>
      <w:bookmarkStart w:id="3" w:name="bookmark4"/>
      <w:r w:rsidRPr="007563DC">
        <w:rPr>
          <w:rFonts w:eastAsia="Times New Roman" w:cs="Arial"/>
          <w:b/>
          <w:bCs/>
          <w:color w:val="000000"/>
          <w:lang w:eastAsia="bg-BG"/>
        </w:rPr>
        <w:t>Неоплазми</w:t>
      </w:r>
      <w:bookmarkEnd w:id="3"/>
    </w:p>
    <w:p w14:paraId="55C36D92" w14:textId="77777777" w:rsidR="007563DC" w:rsidRPr="007563DC" w:rsidRDefault="007563DC" w:rsidP="007563DC">
      <w:pPr>
        <w:pStyle w:val="ListParagraph"/>
        <w:numPr>
          <w:ilvl w:val="0"/>
          <w:numId w:val="38"/>
        </w:numPr>
        <w:spacing w:line="240" w:lineRule="auto"/>
        <w:rPr>
          <w:rFonts w:eastAsia="Times New Roman" w:cs="Arial"/>
          <w:color w:val="000000"/>
          <w:lang w:eastAsia="bg-BG"/>
        </w:rPr>
      </w:pPr>
      <w:r w:rsidRPr="007563DC">
        <w:rPr>
          <w:rFonts w:eastAsia="Times New Roman" w:cs="Arial"/>
          <w:color w:val="000000"/>
          <w:lang w:eastAsia="bg-BG"/>
        </w:rPr>
        <w:t>Левкемия (остра лимфобластна)</w:t>
      </w:r>
    </w:p>
    <w:p w14:paraId="454F6A48" w14:textId="77777777" w:rsidR="007563DC" w:rsidRPr="007563DC" w:rsidRDefault="007563DC" w:rsidP="007563DC">
      <w:pPr>
        <w:pStyle w:val="ListParagraph"/>
        <w:numPr>
          <w:ilvl w:val="0"/>
          <w:numId w:val="38"/>
        </w:numPr>
        <w:spacing w:line="240" w:lineRule="auto"/>
        <w:rPr>
          <w:rFonts w:eastAsia="Times New Roman" w:cs="Arial"/>
          <w:color w:val="000000"/>
          <w:lang w:eastAsia="bg-BG"/>
        </w:rPr>
      </w:pPr>
      <w:r w:rsidRPr="007563DC">
        <w:rPr>
          <w:rFonts w:eastAsia="Times New Roman" w:cs="Arial"/>
          <w:color w:val="000000"/>
          <w:lang w:eastAsia="bg-BG"/>
        </w:rPr>
        <w:t>Малигнен лимфом</w:t>
      </w:r>
    </w:p>
    <w:p w14:paraId="12AD29BF" w14:textId="77777777" w:rsidR="007563DC" w:rsidRPr="007563DC" w:rsidRDefault="007563DC" w:rsidP="007563DC">
      <w:pPr>
        <w:spacing w:line="240" w:lineRule="auto"/>
        <w:rPr>
          <w:rFonts w:eastAsia="Times New Roman" w:cs="Arial"/>
        </w:rPr>
      </w:pPr>
      <w:r w:rsidRPr="007563DC">
        <w:rPr>
          <w:rFonts w:eastAsia="Times New Roman" w:cs="Arial"/>
          <w:b/>
          <w:bCs/>
          <w:color w:val="000000"/>
          <w:lang w:eastAsia="bg-BG"/>
        </w:rPr>
        <w:t>Стомашно-чревни заболявания</w:t>
      </w:r>
    </w:p>
    <w:p w14:paraId="182732D8" w14:textId="77777777" w:rsidR="007563DC" w:rsidRPr="007563DC" w:rsidRDefault="007563DC" w:rsidP="007563DC">
      <w:pPr>
        <w:pStyle w:val="ListParagraph"/>
        <w:numPr>
          <w:ilvl w:val="0"/>
          <w:numId w:val="38"/>
        </w:numPr>
        <w:spacing w:line="240" w:lineRule="auto"/>
        <w:rPr>
          <w:rFonts w:eastAsia="Times New Roman" w:cs="Arial"/>
          <w:color w:val="000000"/>
          <w:lang w:eastAsia="bg-BG"/>
        </w:rPr>
      </w:pPr>
      <w:r w:rsidRPr="007563DC">
        <w:rPr>
          <w:rFonts w:eastAsia="Times New Roman" w:cs="Arial"/>
          <w:color w:val="000000"/>
          <w:lang w:eastAsia="bg-BG"/>
        </w:rPr>
        <w:t>Улцерозен колит</w:t>
      </w:r>
    </w:p>
    <w:p w14:paraId="32D6539F" w14:textId="77777777" w:rsidR="007563DC" w:rsidRPr="007563DC" w:rsidRDefault="007563DC" w:rsidP="007563DC">
      <w:pPr>
        <w:pStyle w:val="ListParagraph"/>
        <w:numPr>
          <w:ilvl w:val="0"/>
          <w:numId w:val="38"/>
        </w:numPr>
        <w:spacing w:line="240" w:lineRule="auto"/>
        <w:rPr>
          <w:rFonts w:eastAsia="Times New Roman" w:cs="Arial"/>
          <w:color w:val="000000"/>
          <w:lang w:eastAsia="bg-BG"/>
        </w:rPr>
      </w:pPr>
      <w:r w:rsidRPr="007563DC">
        <w:rPr>
          <w:rFonts w:eastAsia="Times New Roman" w:cs="Arial"/>
          <w:color w:val="000000"/>
          <w:lang w:eastAsia="bg-BG"/>
        </w:rPr>
        <w:t>Болест на Крон</w:t>
      </w:r>
    </w:p>
    <w:p w14:paraId="6352DBB8" w14:textId="77777777" w:rsidR="007563DC" w:rsidRPr="007563DC" w:rsidRDefault="007563DC" w:rsidP="007563DC">
      <w:pPr>
        <w:spacing w:line="240" w:lineRule="auto"/>
        <w:rPr>
          <w:rFonts w:eastAsia="Times New Roman" w:cs="Arial"/>
        </w:rPr>
      </w:pPr>
      <w:bookmarkStart w:id="4" w:name="bookmark6"/>
      <w:r w:rsidRPr="007563DC">
        <w:rPr>
          <w:rFonts w:eastAsia="Times New Roman" w:cs="Arial"/>
          <w:b/>
          <w:bCs/>
          <w:color w:val="000000"/>
          <w:lang w:eastAsia="bg-BG"/>
        </w:rPr>
        <w:t>Разни</w:t>
      </w:r>
      <w:bookmarkEnd w:id="4"/>
    </w:p>
    <w:p w14:paraId="7CC3FD54" w14:textId="77777777" w:rsidR="007563DC" w:rsidRPr="007563DC" w:rsidRDefault="007563DC" w:rsidP="007563DC">
      <w:pPr>
        <w:pStyle w:val="ListParagraph"/>
        <w:numPr>
          <w:ilvl w:val="0"/>
          <w:numId w:val="38"/>
        </w:numPr>
        <w:spacing w:line="240" w:lineRule="auto"/>
        <w:rPr>
          <w:rFonts w:eastAsia="Times New Roman" w:cs="Arial"/>
          <w:color w:val="000000"/>
          <w:lang w:eastAsia="bg-BG"/>
        </w:rPr>
      </w:pPr>
      <w:r w:rsidRPr="007563DC">
        <w:rPr>
          <w:rFonts w:eastAsia="Times New Roman" w:cs="Arial"/>
          <w:color w:val="000000"/>
          <w:lang w:eastAsia="bg-BG"/>
        </w:rPr>
        <w:t>Туберкулозен менингит (заедно с подходяща противотуберкулозна химиотерапия)</w:t>
      </w:r>
    </w:p>
    <w:p w14:paraId="05DA7768" w14:textId="77777777" w:rsidR="007563DC" w:rsidRPr="007563DC" w:rsidRDefault="007563DC" w:rsidP="007563DC">
      <w:pPr>
        <w:pStyle w:val="ListParagraph"/>
        <w:numPr>
          <w:ilvl w:val="0"/>
          <w:numId w:val="38"/>
        </w:numPr>
        <w:spacing w:line="240" w:lineRule="auto"/>
        <w:rPr>
          <w:rFonts w:eastAsia="Times New Roman" w:cs="Arial"/>
          <w:color w:val="000000"/>
          <w:lang w:eastAsia="bg-BG"/>
        </w:rPr>
      </w:pPr>
      <w:r w:rsidRPr="007563DC">
        <w:rPr>
          <w:rFonts w:eastAsia="Times New Roman" w:cs="Arial"/>
          <w:color w:val="000000"/>
          <w:lang w:eastAsia="bg-BG"/>
        </w:rPr>
        <w:t>Транс плантация</w:t>
      </w:r>
    </w:p>
    <w:p w14:paraId="0B8C55D9" w14:textId="77777777" w:rsidR="007563DC" w:rsidRPr="007563DC" w:rsidRDefault="007563DC" w:rsidP="007563DC">
      <w:pPr>
        <w:rPr>
          <w:rFonts w:cs="Arial"/>
        </w:rPr>
      </w:pPr>
    </w:p>
    <w:p w14:paraId="7C0CA5EB" w14:textId="792E12D8" w:rsidR="00C0049F" w:rsidRDefault="002C50EE" w:rsidP="009F1313">
      <w:pPr>
        <w:pStyle w:val="Heading2"/>
      </w:pPr>
      <w:r>
        <w:t>4.2. Дозировка и начин на приложение</w:t>
      </w:r>
    </w:p>
    <w:p w14:paraId="7795CFF1" w14:textId="49574AE9" w:rsidR="007563DC" w:rsidRDefault="007563DC" w:rsidP="007563DC"/>
    <w:p w14:paraId="701E6BED" w14:textId="77777777" w:rsidR="007563DC" w:rsidRPr="007563DC" w:rsidRDefault="007563DC" w:rsidP="007563DC">
      <w:pPr>
        <w:spacing w:line="240" w:lineRule="auto"/>
        <w:rPr>
          <w:rFonts w:eastAsia="Times New Roman" w:cs="Arial"/>
        </w:rPr>
      </w:pPr>
      <w:r w:rsidRPr="007563DC">
        <w:rPr>
          <w:rFonts w:eastAsia="Times New Roman" w:cs="Arial"/>
          <w:color w:val="000000"/>
          <w:lang w:eastAsia="bg-BG"/>
        </w:rPr>
        <w:t>Препоръките за дозиране, показани в таблицата по-долу, са препоръчителни начални дневни дози и са предназначени само като примерно указание за лечение. Средната обща препоръчвана дневна доза може да се приложи като единична доза или в разделени дози (с изключение на алтерниращата терапията, когато минималната ефективна дневна доза се удвоява и се прилага през ден сутрин в 8.00 часа).</w:t>
      </w:r>
    </w:p>
    <w:p w14:paraId="5A1F6805" w14:textId="77777777" w:rsidR="007563DC" w:rsidRPr="007563DC" w:rsidRDefault="007563DC" w:rsidP="007563DC">
      <w:pPr>
        <w:spacing w:line="240" w:lineRule="auto"/>
        <w:rPr>
          <w:rFonts w:eastAsia="Times New Roman" w:cs="Arial"/>
        </w:rPr>
      </w:pPr>
      <w:r w:rsidRPr="007563DC">
        <w:rPr>
          <w:rFonts w:eastAsia="Times New Roman" w:cs="Arial"/>
          <w:color w:val="000000"/>
          <w:lang w:eastAsia="bg-BG"/>
        </w:rPr>
        <w:t>Нежеланите реакции могат да бъдат сведени до минимум, като се използва най-ниската ефективна доза за минимален период от време (вж. точка 4.4).</w:t>
      </w:r>
    </w:p>
    <w:p w14:paraId="3F29E4AA" w14:textId="77777777" w:rsidR="007563DC" w:rsidRPr="007563DC" w:rsidRDefault="007563DC" w:rsidP="007563DC">
      <w:pPr>
        <w:rPr>
          <w:rFonts w:eastAsia="Times New Roman" w:cs="Arial"/>
          <w:color w:val="000000"/>
          <w:lang w:eastAsia="bg-BG"/>
        </w:rPr>
      </w:pPr>
    </w:p>
    <w:p w14:paraId="11B1F1CB" w14:textId="77777777" w:rsidR="007563DC" w:rsidRPr="007563DC" w:rsidRDefault="007563DC" w:rsidP="007563DC">
      <w:pPr>
        <w:rPr>
          <w:rFonts w:eastAsia="Times New Roman" w:cs="Arial"/>
        </w:rPr>
      </w:pPr>
      <w:r w:rsidRPr="007563DC">
        <w:rPr>
          <w:rFonts w:eastAsia="Times New Roman" w:cs="Arial"/>
          <w:color w:val="000000"/>
          <w:lang w:eastAsia="bg-BG"/>
        </w:rPr>
        <w:t xml:space="preserve">Размерът на началната доза може да варира в зависимост от вида на заболяването/състоянието, неговата тежест и отговорът към провежданото лечение. Лечението продължава при този режим на дозиране до постигане на необходимия клиничен отговор, обикновено за периода от 3 до 7 дни в случай на ревматични заболявания (с изключение на остър ревматичен кардит), алергични състояния засягащи кожата или дихателните пътища и очни заболявания. Ако не се постигне задоволителен </w:t>
      </w:r>
      <w:r w:rsidRPr="007563DC">
        <w:rPr>
          <w:rFonts w:eastAsia="Times New Roman" w:cs="Arial"/>
          <w:color w:val="000000"/>
          <w:lang w:eastAsia="bg-BG"/>
        </w:rPr>
        <w:lastRenderedPageBreak/>
        <w:t xml:space="preserve">отговор в рамките на 7 дни, трябва да се направи преоценка за да се  потвърди точната диагноза. Възможно в най-кратък срок след постигане на задоволителен терапевтичен отговор, дневната доза трябва да бъде намалена постепенно до пълно прекратяване на лечението при остри състояния (напр. сезонна астма, ексфорлиативен дерматит, остри очни възпаления) или до достигане на минимална ефективна поддържаща доза в случаите на хронични заболявания (напр. ревматоиден артрит, системетен лупус еритематодес, бронхиална астма, атопичен дерматит). Възможна схема за намаляване на дневната доза е с не повече от 2 </w:t>
      </w:r>
      <w:r w:rsidRPr="007563DC">
        <w:rPr>
          <w:rFonts w:eastAsia="Times New Roman" w:cs="Arial"/>
          <w:color w:val="000000"/>
          <w:lang w:val="en-US"/>
        </w:rPr>
        <w:t>mg</w:t>
      </w:r>
      <w:r w:rsidRPr="007563DC">
        <w:rPr>
          <w:rFonts w:eastAsia="Times New Roman" w:cs="Arial"/>
          <w:color w:val="000000"/>
          <w:lang w:val="ru-RU"/>
        </w:rPr>
        <w:t xml:space="preserve"> </w:t>
      </w:r>
      <w:r w:rsidRPr="007563DC">
        <w:rPr>
          <w:rFonts w:eastAsia="Times New Roman" w:cs="Arial"/>
          <w:color w:val="000000"/>
          <w:lang w:eastAsia="bg-BG"/>
        </w:rPr>
        <w:t>през интервал от 7-10 дни.</w:t>
      </w:r>
    </w:p>
    <w:p w14:paraId="48F4B222" w14:textId="77777777" w:rsidR="007563DC" w:rsidRPr="007563DC" w:rsidRDefault="007563DC" w:rsidP="007563DC">
      <w:pPr>
        <w:spacing w:line="240" w:lineRule="auto"/>
        <w:rPr>
          <w:rFonts w:eastAsia="Times New Roman" w:cs="Arial"/>
          <w:color w:val="000000"/>
          <w:lang w:eastAsia="bg-BG"/>
        </w:rPr>
      </w:pPr>
    </w:p>
    <w:p w14:paraId="7295BF2D" w14:textId="1084927E" w:rsidR="007563DC" w:rsidRPr="007563DC" w:rsidRDefault="007563DC" w:rsidP="007563DC">
      <w:pPr>
        <w:spacing w:line="240" w:lineRule="auto"/>
        <w:rPr>
          <w:rFonts w:eastAsia="Times New Roman" w:cs="Arial"/>
        </w:rPr>
      </w:pPr>
      <w:r w:rsidRPr="007563DC">
        <w:rPr>
          <w:rFonts w:eastAsia="Times New Roman" w:cs="Arial"/>
          <w:color w:val="000000"/>
          <w:lang w:eastAsia="bg-BG"/>
        </w:rPr>
        <w:t>При алтернативното дозиране дневната доза се удвоява и се прилага като еднократна дневна доза, приемана в 8.00 сутрин през ден. Необходимата доза зависи от състоянието, което се лекува, и от отговора на пациента.</w:t>
      </w:r>
    </w:p>
    <w:p w14:paraId="7805C5DC" w14:textId="77777777" w:rsidR="007563DC" w:rsidRPr="007563DC" w:rsidRDefault="007563DC" w:rsidP="007563DC">
      <w:pPr>
        <w:spacing w:line="240" w:lineRule="auto"/>
        <w:rPr>
          <w:rFonts w:eastAsia="Times New Roman" w:cs="Arial"/>
          <w:b/>
          <w:bCs/>
          <w:i/>
          <w:iCs/>
          <w:color w:val="000000"/>
          <w:lang w:eastAsia="bg-BG"/>
        </w:rPr>
      </w:pPr>
    </w:p>
    <w:p w14:paraId="75D417A8" w14:textId="65974A2E" w:rsidR="007563DC" w:rsidRPr="007563DC" w:rsidRDefault="007563DC" w:rsidP="007563DC">
      <w:pPr>
        <w:spacing w:line="240" w:lineRule="auto"/>
        <w:rPr>
          <w:rFonts w:eastAsia="Times New Roman" w:cs="Arial"/>
        </w:rPr>
      </w:pPr>
      <w:r w:rsidRPr="007563DC">
        <w:rPr>
          <w:rFonts w:eastAsia="Times New Roman" w:cs="Arial"/>
          <w:b/>
          <w:bCs/>
          <w:i/>
          <w:iCs/>
          <w:color w:val="000000"/>
          <w:lang w:eastAsia="bg-BG"/>
        </w:rPr>
        <w:t>Пациенти в старческа възраст:</w:t>
      </w:r>
      <w:r w:rsidRPr="007563DC">
        <w:rPr>
          <w:rFonts w:eastAsia="Times New Roman" w:cs="Arial"/>
          <w:color w:val="000000"/>
          <w:lang w:eastAsia="bg-BG"/>
        </w:rPr>
        <w:t>Лечението на пациенти в напреднала възраст, особено ако е дългосрочно, трябва да се планира, като се има предвид по-сериозните последици от чести нежелани ефекти на кортикостероидите в напреднала възраст, особено остеопороза, диабет, хипертония, податливост към инфекция и изтъняване на кожата (вж. точка 4.4).</w:t>
      </w:r>
    </w:p>
    <w:p w14:paraId="2B61E4E7" w14:textId="77777777" w:rsidR="007563DC" w:rsidRPr="007563DC" w:rsidRDefault="007563DC" w:rsidP="007563DC">
      <w:pPr>
        <w:spacing w:line="240" w:lineRule="auto"/>
        <w:rPr>
          <w:rFonts w:eastAsia="Times New Roman" w:cs="Arial"/>
          <w:b/>
          <w:bCs/>
          <w:i/>
          <w:iCs/>
          <w:color w:val="000000"/>
          <w:lang w:eastAsia="bg-BG"/>
        </w:rPr>
      </w:pPr>
    </w:p>
    <w:p w14:paraId="649C810A" w14:textId="0B6B3877" w:rsidR="007563DC" w:rsidRPr="007563DC" w:rsidRDefault="007563DC" w:rsidP="007563DC">
      <w:pPr>
        <w:spacing w:line="240" w:lineRule="auto"/>
        <w:rPr>
          <w:rFonts w:eastAsia="Times New Roman" w:cs="Arial"/>
        </w:rPr>
      </w:pPr>
      <w:r w:rsidRPr="007563DC">
        <w:rPr>
          <w:rFonts w:eastAsia="Times New Roman" w:cs="Arial"/>
          <w:b/>
          <w:bCs/>
          <w:i/>
          <w:iCs/>
          <w:color w:val="000000"/>
          <w:lang w:eastAsia="bg-BG"/>
        </w:rPr>
        <w:t>Деца:</w:t>
      </w:r>
      <w:r w:rsidRPr="007563DC">
        <w:rPr>
          <w:rFonts w:eastAsia="Times New Roman" w:cs="Arial"/>
          <w:color w:val="000000"/>
          <w:lang w:eastAsia="bg-BG"/>
        </w:rPr>
        <w:t xml:space="preserve"> Дозировката в детската възраст се определя по преценка на лекаря и се базира на клиничния отговор. Лечението трябва да се осъществява чрез прилагане на минималната ефективна доза за най-кратък период от време. В случай, че е възможно дневната доза трябва да бъде прилагана като еднократна доза през ден (вж. точка 4.4).</w:t>
      </w:r>
    </w:p>
    <w:p w14:paraId="62C71B32" w14:textId="77777777" w:rsidR="007563DC" w:rsidRPr="007563DC" w:rsidRDefault="007563DC" w:rsidP="007563DC">
      <w:pPr>
        <w:spacing w:line="240" w:lineRule="auto"/>
        <w:rPr>
          <w:rFonts w:eastAsia="Times New Roman" w:cs="Arial"/>
          <w:b/>
          <w:bCs/>
          <w:i/>
          <w:iCs/>
          <w:color w:val="000000"/>
          <w:lang w:eastAsia="bg-BG"/>
        </w:rPr>
      </w:pPr>
    </w:p>
    <w:p w14:paraId="630F43F5" w14:textId="5BAEFA59" w:rsidR="007563DC" w:rsidRPr="007563DC" w:rsidRDefault="007563DC" w:rsidP="007563DC">
      <w:pPr>
        <w:spacing w:line="240" w:lineRule="auto"/>
        <w:rPr>
          <w:rFonts w:eastAsia="Times New Roman" w:cs="Arial"/>
        </w:rPr>
      </w:pPr>
      <w:r w:rsidRPr="007563DC">
        <w:rPr>
          <w:rFonts w:eastAsia="Times New Roman" w:cs="Arial"/>
          <w:b/>
          <w:bCs/>
          <w:i/>
          <w:iCs/>
          <w:color w:val="000000"/>
          <w:lang w:eastAsia="bg-BG"/>
        </w:rPr>
        <w:t>Препоръки за дозиране:</w:t>
      </w:r>
    </w:p>
    <w:tbl>
      <w:tblPr>
        <w:tblStyle w:val="TableGrid"/>
        <w:tblW w:w="0" w:type="auto"/>
        <w:tblLook w:val="04A0" w:firstRow="1" w:lastRow="0" w:firstColumn="1" w:lastColumn="0" w:noHBand="0" w:noVBand="1"/>
      </w:tblPr>
      <w:tblGrid>
        <w:gridCol w:w="4682"/>
        <w:gridCol w:w="4668"/>
      </w:tblGrid>
      <w:tr w:rsidR="007563DC" w14:paraId="7AA83159" w14:textId="77777777" w:rsidTr="007563DC">
        <w:tc>
          <w:tcPr>
            <w:tcW w:w="4788" w:type="dxa"/>
          </w:tcPr>
          <w:p w14:paraId="568D7340" w14:textId="05879D16" w:rsidR="007563DC" w:rsidRPr="007563DC" w:rsidRDefault="007563DC" w:rsidP="007563DC">
            <w:r w:rsidRPr="007563DC">
              <w:rPr>
                <w:szCs w:val="44"/>
                <w:u w:val="single"/>
              </w:rPr>
              <w:t>Индикации</w:t>
            </w:r>
          </w:p>
        </w:tc>
        <w:tc>
          <w:tcPr>
            <w:tcW w:w="4788" w:type="dxa"/>
          </w:tcPr>
          <w:p w14:paraId="0B8B50D2" w14:textId="3EA20B9E" w:rsidR="007563DC" w:rsidRPr="007563DC" w:rsidRDefault="007563DC" w:rsidP="007563DC">
            <w:r w:rsidRPr="007563DC">
              <w:rPr>
                <w:szCs w:val="44"/>
                <w:u w:val="single"/>
              </w:rPr>
              <w:t>Препоръчителна начална доза</w:t>
            </w:r>
          </w:p>
        </w:tc>
      </w:tr>
      <w:tr w:rsidR="007563DC" w14:paraId="5246DA1D" w14:textId="77777777" w:rsidTr="007563DC">
        <w:tc>
          <w:tcPr>
            <w:tcW w:w="4788" w:type="dxa"/>
          </w:tcPr>
          <w:p w14:paraId="217A11DA" w14:textId="69A46FD5" w:rsidR="007563DC" w:rsidRPr="007563DC" w:rsidRDefault="007563DC" w:rsidP="007563DC">
            <w:r w:rsidRPr="007563DC">
              <w:rPr>
                <w:szCs w:val="44"/>
              </w:rPr>
              <w:t>Ревматоиден артрит</w:t>
            </w:r>
          </w:p>
        </w:tc>
        <w:tc>
          <w:tcPr>
            <w:tcW w:w="4788" w:type="dxa"/>
          </w:tcPr>
          <w:p w14:paraId="630BAF09" w14:textId="77777777" w:rsidR="007563DC" w:rsidRPr="007563DC" w:rsidRDefault="007563DC" w:rsidP="007563DC"/>
        </w:tc>
      </w:tr>
      <w:tr w:rsidR="007563DC" w14:paraId="4600A04A" w14:textId="77777777" w:rsidTr="007563DC">
        <w:tc>
          <w:tcPr>
            <w:tcW w:w="4788" w:type="dxa"/>
          </w:tcPr>
          <w:p w14:paraId="032A6F51" w14:textId="64632A80" w:rsidR="007563DC" w:rsidRPr="007563DC" w:rsidRDefault="007563DC" w:rsidP="007563DC">
            <w:r w:rsidRPr="007563DC">
              <w:rPr>
                <w:szCs w:val="44"/>
              </w:rPr>
              <w:t>тежък</w:t>
            </w:r>
          </w:p>
        </w:tc>
        <w:tc>
          <w:tcPr>
            <w:tcW w:w="4788" w:type="dxa"/>
          </w:tcPr>
          <w:p w14:paraId="0DFD35AB" w14:textId="4B624E76" w:rsidR="007563DC" w:rsidRPr="007563DC" w:rsidRDefault="007563DC" w:rsidP="007563DC">
            <w:r w:rsidRPr="007563DC">
              <w:rPr>
                <w:szCs w:val="44"/>
              </w:rPr>
              <w:t xml:space="preserve">12- 16 </w:t>
            </w:r>
            <w:r w:rsidRPr="007563DC">
              <w:rPr>
                <w:szCs w:val="44"/>
                <w:lang w:val="en-US"/>
              </w:rPr>
              <w:t>mg</w:t>
            </w:r>
          </w:p>
        </w:tc>
      </w:tr>
      <w:tr w:rsidR="007563DC" w14:paraId="0F5486A8" w14:textId="77777777" w:rsidTr="007563DC">
        <w:tc>
          <w:tcPr>
            <w:tcW w:w="4788" w:type="dxa"/>
          </w:tcPr>
          <w:p w14:paraId="21120616" w14:textId="1568D62B" w:rsidR="007563DC" w:rsidRPr="007563DC" w:rsidRDefault="007563DC" w:rsidP="007563DC">
            <w:r w:rsidRPr="007563DC">
              <w:rPr>
                <w:szCs w:val="44"/>
              </w:rPr>
              <w:t>умерено тежък</w:t>
            </w:r>
          </w:p>
        </w:tc>
        <w:tc>
          <w:tcPr>
            <w:tcW w:w="4788" w:type="dxa"/>
          </w:tcPr>
          <w:p w14:paraId="4B802D3E" w14:textId="71ECE62B" w:rsidR="007563DC" w:rsidRPr="007563DC" w:rsidRDefault="007563DC" w:rsidP="007563DC">
            <w:r w:rsidRPr="007563DC">
              <w:rPr>
                <w:szCs w:val="44"/>
              </w:rPr>
              <w:t xml:space="preserve">8 -12 </w:t>
            </w:r>
            <w:r w:rsidRPr="007563DC">
              <w:rPr>
                <w:szCs w:val="44"/>
                <w:lang w:val="en-US"/>
              </w:rPr>
              <w:t>mg</w:t>
            </w:r>
          </w:p>
        </w:tc>
      </w:tr>
      <w:tr w:rsidR="007563DC" w14:paraId="6D622F8F" w14:textId="77777777" w:rsidTr="007563DC">
        <w:tc>
          <w:tcPr>
            <w:tcW w:w="4788" w:type="dxa"/>
          </w:tcPr>
          <w:p w14:paraId="38BE9A6C" w14:textId="2846E274" w:rsidR="007563DC" w:rsidRPr="007563DC" w:rsidRDefault="007563DC" w:rsidP="007563DC">
            <w:r w:rsidRPr="007563DC">
              <w:rPr>
                <w:szCs w:val="44"/>
              </w:rPr>
              <w:t>умерен</w:t>
            </w:r>
          </w:p>
        </w:tc>
        <w:tc>
          <w:tcPr>
            <w:tcW w:w="4788" w:type="dxa"/>
          </w:tcPr>
          <w:p w14:paraId="0336EE57" w14:textId="426A4618" w:rsidR="007563DC" w:rsidRPr="007563DC" w:rsidRDefault="007563DC" w:rsidP="007563DC">
            <w:r w:rsidRPr="007563DC">
              <w:rPr>
                <w:szCs w:val="44"/>
              </w:rPr>
              <w:t xml:space="preserve">4-8 </w:t>
            </w:r>
            <w:r w:rsidRPr="007563DC">
              <w:rPr>
                <w:szCs w:val="44"/>
                <w:lang w:val="en-US"/>
              </w:rPr>
              <w:t>mg</w:t>
            </w:r>
          </w:p>
        </w:tc>
      </w:tr>
      <w:tr w:rsidR="007563DC" w14:paraId="2FBF61DA" w14:textId="77777777" w:rsidTr="007563DC">
        <w:tc>
          <w:tcPr>
            <w:tcW w:w="4788" w:type="dxa"/>
          </w:tcPr>
          <w:p w14:paraId="6AC76461" w14:textId="020FEB47" w:rsidR="007563DC" w:rsidRPr="007563DC" w:rsidRDefault="007563DC" w:rsidP="007563DC">
            <w:r w:rsidRPr="007563DC">
              <w:rPr>
                <w:szCs w:val="44"/>
              </w:rPr>
              <w:t>деца</w:t>
            </w:r>
          </w:p>
        </w:tc>
        <w:tc>
          <w:tcPr>
            <w:tcW w:w="4788" w:type="dxa"/>
          </w:tcPr>
          <w:p w14:paraId="7E62CF80" w14:textId="37C1AD21" w:rsidR="007563DC" w:rsidRPr="007563DC" w:rsidRDefault="007563DC" w:rsidP="007563DC">
            <w:r w:rsidRPr="007563DC">
              <w:rPr>
                <w:szCs w:val="44"/>
              </w:rPr>
              <w:t xml:space="preserve">4 - 8 </w:t>
            </w:r>
            <w:r w:rsidRPr="007563DC">
              <w:rPr>
                <w:szCs w:val="44"/>
                <w:lang w:val="en-US"/>
              </w:rPr>
              <w:t>mg</w:t>
            </w:r>
          </w:p>
        </w:tc>
      </w:tr>
      <w:tr w:rsidR="007563DC" w14:paraId="3579CE6A" w14:textId="77777777" w:rsidTr="007563DC">
        <w:tc>
          <w:tcPr>
            <w:tcW w:w="4788" w:type="dxa"/>
          </w:tcPr>
          <w:p w14:paraId="5C19C7E1" w14:textId="1C1B9685" w:rsidR="007563DC" w:rsidRPr="007563DC" w:rsidRDefault="007563DC" w:rsidP="007563DC">
            <w:r w:rsidRPr="007563DC">
              <w:rPr>
                <w:szCs w:val="44"/>
              </w:rPr>
              <w:t>Системен дерматомиозит</w:t>
            </w:r>
          </w:p>
        </w:tc>
        <w:tc>
          <w:tcPr>
            <w:tcW w:w="4788" w:type="dxa"/>
          </w:tcPr>
          <w:p w14:paraId="6415DADA" w14:textId="696A3A64" w:rsidR="007563DC" w:rsidRPr="007563DC" w:rsidRDefault="007563DC" w:rsidP="007563DC">
            <w:r w:rsidRPr="007563DC">
              <w:rPr>
                <w:szCs w:val="44"/>
                <w:lang w:val="en-US"/>
              </w:rPr>
              <w:t>48 mg</w:t>
            </w:r>
          </w:p>
        </w:tc>
      </w:tr>
      <w:tr w:rsidR="007563DC" w14:paraId="45F9960A" w14:textId="77777777" w:rsidTr="007563DC">
        <w:tc>
          <w:tcPr>
            <w:tcW w:w="4788" w:type="dxa"/>
          </w:tcPr>
          <w:p w14:paraId="1CF07D98" w14:textId="2B4EF282" w:rsidR="007563DC" w:rsidRPr="007563DC" w:rsidRDefault="007563DC" w:rsidP="007563DC">
            <w:r w:rsidRPr="007563DC">
              <w:rPr>
                <w:szCs w:val="44"/>
              </w:rPr>
              <w:t>Системен лупус еритематозус</w:t>
            </w:r>
          </w:p>
        </w:tc>
        <w:tc>
          <w:tcPr>
            <w:tcW w:w="4788" w:type="dxa"/>
          </w:tcPr>
          <w:p w14:paraId="510EF5D4" w14:textId="0EBA3973" w:rsidR="007563DC" w:rsidRPr="007563DC" w:rsidRDefault="007563DC" w:rsidP="007563DC">
            <w:r w:rsidRPr="007563DC">
              <w:rPr>
                <w:szCs w:val="44"/>
                <w:lang w:val="en-US"/>
              </w:rPr>
              <w:t>20- 100 mg</w:t>
            </w:r>
          </w:p>
        </w:tc>
      </w:tr>
      <w:tr w:rsidR="007563DC" w14:paraId="0E646852" w14:textId="77777777" w:rsidTr="007563DC">
        <w:tc>
          <w:tcPr>
            <w:tcW w:w="4788" w:type="dxa"/>
          </w:tcPr>
          <w:p w14:paraId="12FDD72D" w14:textId="193AAA8D" w:rsidR="007563DC" w:rsidRPr="007563DC" w:rsidRDefault="007563DC" w:rsidP="007563DC">
            <w:r w:rsidRPr="007563DC">
              <w:rPr>
                <w:szCs w:val="44"/>
              </w:rPr>
              <w:t>Остра ревматична треска</w:t>
            </w:r>
          </w:p>
        </w:tc>
        <w:tc>
          <w:tcPr>
            <w:tcW w:w="4788" w:type="dxa"/>
          </w:tcPr>
          <w:p w14:paraId="2F348F26" w14:textId="7AAD986B" w:rsidR="007563DC" w:rsidRPr="007563DC" w:rsidRDefault="007563DC" w:rsidP="007563DC">
            <w:r w:rsidRPr="007563DC">
              <w:rPr>
                <w:szCs w:val="44"/>
                <w:lang w:val="ru-RU"/>
              </w:rPr>
              <w:t xml:space="preserve">48 </w:t>
            </w:r>
            <w:r w:rsidRPr="007563DC">
              <w:rPr>
                <w:szCs w:val="44"/>
                <w:lang w:val="en-US"/>
              </w:rPr>
              <w:t>mg</w:t>
            </w:r>
            <w:r w:rsidRPr="007563DC">
              <w:rPr>
                <w:szCs w:val="44"/>
                <w:lang w:val="ru-RU"/>
              </w:rPr>
              <w:t xml:space="preserve"> </w:t>
            </w:r>
            <w:r w:rsidRPr="007563DC">
              <w:rPr>
                <w:szCs w:val="44"/>
              </w:rPr>
              <w:t>до нормализиране на СУЕ (обикновено за една седмица)</w:t>
            </w:r>
          </w:p>
        </w:tc>
      </w:tr>
      <w:tr w:rsidR="007563DC" w14:paraId="683E4065" w14:textId="77777777" w:rsidTr="007563DC">
        <w:tc>
          <w:tcPr>
            <w:tcW w:w="4788" w:type="dxa"/>
          </w:tcPr>
          <w:p w14:paraId="3D02B827" w14:textId="70BD3FB9" w:rsidR="007563DC" w:rsidRPr="007563DC" w:rsidRDefault="007563DC" w:rsidP="007563DC">
            <w:r w:rsidRPr="007563DC">
              <w:rPr>
                <w:szCs w:val="44"/>
              </w:rPr>
              <w:t>Алергични заболявания</w:t>
            </w:r>
          </w:p>
        </w:tc>
        <w:tc>
          <w:tcPr>
            <w:tcW w:w="4788" w:type="dxa"/>
          </w:tcPr>
          <w:p w14:paraId="2C5F8A02" w14:textId="274289FB" w:rsidR="007563DC" w:rsidRPr="007563DC" w:rsidRDefault="007563DC" w:rsidP="007563DC">
            <w:r w:rsidRPr="007563DC">
              <w:rPr>
                <w:szCs w:val="44"/>
              </w:rPr>
              <w:t xml:space="preserve">12-40 </w:t>
            </w:r>
            <w:r w:rsidRPr="007563DC">
              <w:rPr>
                <w:szCs w:val="44"/>
                <w:lang w:val="en-US"/>
              </w:rPr>
              <w:t>mg</w:t>
            </w:r>
          </w:p>
        </w:tc>
      </w:tr>
      <w:tr w:rsidR="007563DC" w14:paraId="3C1AC855" w14:textId="77777777" w:rsidTr="007563DC">
        <w:tc>
          <w:tcPr>
            <w:tcW w:w="4788" w:type="dxa"/>
          </w:tcPr>
          <w:p w14:paraId="37396272" w14:textId="68CC94E4" w:rsidR="007563DC" w:rsidRPr="007563DC" w:rsidRDefault="007563DC" w:rsidP="007563DC">
            <w:r w:rsidRPr="007563DC">
              <w:rPr>
                <w:szCs w:val="44"/>
              </w:rPr>
              <w:t>Бронхиална астма</w:t>
            </w:r>
          </w:p>
        </w:tc>
        <w:tc>
          <w:tcPr>
            <w:tcW w:w="4788" w:type="dxa"/>
          </w:tcPr>
          <w:p w14:paraId="2F827DA4" w14:textId="0B78D290" w:rsidR="007563DC" w:rsidRPr="007563DC" w:rsidRDefault="007563DC" w:rsidP="007563DC">
            <w:r w:rsidRPr="007563DC">
              <w:rPr>
                <w:szCs w:val="44"/>
              </w:rPr>
              <w:t xml:space="preserve">макс. 64 </w:t>
            </w:r>
            <w:r w:rsidRPr="007563DC">
              <w:rPr>
                <w:szCs w:val="44"/>
                <w:lang w:val="en-US"/>
              </w:rPr>
              <w:t>mg</w:t>
            </w:r>
            <w:r w:rsidRPr="007563DC">
              <w:rPr>
                <w:szCs w:val="44"/>
                <w:lang w:val="ru-RU"/>
              </w:rPr>
              <w:t xml:space="preserve"> </w:t>
            </w:r>
            <w:r w:rsidRPr="007563DC">
              <w:rPr>
                <w:szCs w:val="44"/>
              </w:rPr>
              <w:t xml:space="preserve">еднократна доза/алтернираща дозамакс. 100 </w:t>
            </w:r>
            <w:r w:rsidRPr="007563DC">
              <w:rPr>
                <w:szCs w:val="44"/>
                <w:lang w:val="en-US"/>
              </w:rPr>
              <w:t>mg</w:t>
            </w:r>
          </w:p>
        </w:tc>
      </w:tr>
      <w:tr w:rsidR="007563DC" w14:paraId="4C5D1D92" w14:textId="77777777" w:rsidTr="007563DC">
        <w:tc>
          <w:tcPr>
            <w:tcW w:w="4788" w:type="dxa"/>
          </w:tcPr>
          <w:p w14:paraId="6A8430DB" w14:textId="353288B9" w:rsidR="007563DC" w:rsidRPr="007563DC" w:rsidRDefault="007563DC" w:rsidP="007563DC">
            <w:r w:rsidRPr="007563DC">
              <w:rPr>
                <w:szCs w:val="44"/>
              </w:rPr>
              <w:t>Очни заболявания</w:t>
            </w:r>
          </w:p>
        </w:tc>
        <w:tc>
          <w:tcPr>
            <w:tcW w:w="4788" w:type="dxa"/>
          </w:tcPr>
          <w:p w14:paraId="6C532270" w14:textId="6EB3F3B3" w:rsidR="007563DC" w:rsidRPr="007563DC" w:rsidRDefault="007563DC" w:rsidP="007563DC">
            <w:r w:rsidRPr="007563DC">
              <w:rPr>
                <w:szCs w:val="44"/>
              </w:rPr>
              <w:t xml:space="preserve">12-40 </w:t>
            </w:r>
            <w:r w:rsidRPr="007563DC">
              <w:rPr>
                <w:szCs w:val="44"/>
                <w:lang w:val="en-US"/>
              </w:rPr>
              <w:t>mg</w:t>
            </w:r>
          </w:p>
        </w:tc>
      </w:tr>
      <w:tr w:rsidR="007563DC" w14:paraId="1F02CBA9" w14:textId="77777777" w:rsidTr="007563DC">
        <w:tc>
          <w:tcPr>
            <w:tcW w:w="4788" w:type="dxa"/>
          </w:tcPr>
          <w:p w14:paraId="2B443FAF" w14:textId="089919B5" w:rsidR="007563DC" w:rsidRPr="007563DC" w:rsidRDefault="007563DC" w:rsidP="007563DC">
            <w:r w:rsidRPr="007563DC">
              <w:rPr>
                <w:szCs w:val="44"/>
              </w:rPr>
              <w:t>Хематологични заболявання и левкемии</w:t>
            </w:r>
          </w:p>
        </w:tc>
        <w:tc>
          <w:tcPr>
            <w:tcW w:w="4788" w:type="dxa"/>
          </w:tcPr>
          <w:p w14:paraId="744BE7A6" w14:textId="747BFC02" w:rsidR="007563DC" w:rsidRPr="007563DC" w:rsidRDefault="007563DC" w:rsidP="007563DC">
            <w:r w:rsidRPr="007563DC">
              <w:rPr>
                <w:szCs w:val="44"/>
              </w:rPr>
              <w:t xml:space="preserve">16 -100 </w:t>
            </w:r>
            <w:r w:rsidRPr="007563DC">
              <w:rPr>
                <w:szCs w:val="44"/>
                <w:lang w:val="en-US"/>
              </w:rPr>
              <w:t>mg</w:t>
            </w:r>
          </w:p>
        </w:tc>
      </w:tr>
      <w:tr w:rsidR="007563DC" w14:paraId="693DCF6F" w14:textId="77777777" w:rsidTr="007563DC">
        <w:tc>
          <w:tcPr>
            <w:tcW w:w="4788" w:type="dxa"/>
          </w:tcPr>
          <w:p w14:paraId="494BCBB7" w14:textId="537FCEF6" w:rsidR="007563DC" w:rsidRPr="007563DC" w:rsidRDefault="007563DC" w:rsidP="007563DC">
            <w:r w:rsidRPr="007563DC">
              <w:rPr>
                <w:szCs w:val="44"/>
              </w:rPr>
              <w:t>Малигнен лимфом</w:t>
            </w:r>
          </w:p>
        </w:tc>
        <w:tc>
          <w:tcPr>
            <w:tcW w:w="4788" w:type="dxa"/>
          </w:tcPr>
          <w:p w14:paraId="7BD30398" w14:textId="6933A57B" w:rsidR="007563DC" w:rsidRPr="007563DC" w:rsidRDefault="007563DC" w:rsidP="007563DC">
            <w:r w:rsidRPr="007563DC">
              <w:rPr>
                <w:szCs w:val="44"/>
              </w:rPr>
              <w:t xml:space="preserve">16- 100 </w:t>
            </w:r>
            <w:r w:rsidRPr="007563DC">
              <w:rPr>
                <w:szCs w:val="44"/>
                <w:lang w:val="en-US"/>
              </w:rPr>
              <w:t>mg</w:t>
            </w:r>
          </w:p>
        </w:tc>
      </w:tr>
      <w:tr w:rsidR="007563DC" w14:paraId="77D2B50C" w14:textId="77777777" w:rsidTr="007563DC">
        <w:tc>
          <w:tcPr>
            <w:tcW w:w="4788" w:type="dxa"/>
          </w:tcPr>
          <w:p w14:paraId="034BC0DA" w14:textId="7D605205" w:rsidR="007563DC" w:rsidRPr="007563DC" w:rsidRDefault="007563DC" w:rsidP="007563DC">
            <w:r w:rsidRPr="007563DC">
              <w:rPr>
                <w:szCs w:val="44"/>
              </w:rPr>
              <w:t>Улцерозен колит</w:t>
            </w:r>
          </w:p>
        </w:tc>
        <w:tc>
          <w:tcPr>
            <w:tcW w:w="4788" w:type="dxa"/>
          </w:tcPr>
          <w:p w14:paraId="0C32116A" w14:textId="7337910F" w:rsidR="007563DC" w:rsidRPr="007563DC" w:rsidRDefault="007563DC" w:rsidP="007563DC">
            <w:r w:rsidRPr="007563DC">
              <w:rPr>
                <w:szCs w:val="44"/>
                <w:lang w:val="en-US"/>
              </w:rPr>
              <w:t>16-60 mg</w:t>
            </w:r>
          </w:p>
        </w:tc>
      </w:tr>
      <w:tr w:rsidR="007563DC" w14:paraId="268B9FED" w14:textId="77777777" w:rsidTr="007563DC">
        <w:tc>
          <w:tcPr>
            <w:tcW w:w="4788" w:type="dxa"/>
          </w:tcPr>
          <w:p w14:paraId="69787E44" w14:textId="35C4E768" w:rsidR="007563DC" w:rsidRPr="007563DC" w:rsidRDefault="007563DC" w:rsidP="007563DC">
            <w:r w:rsidRPr="007563DC">
              <w:rPr>
                <w:szCs w:val="44"/>
              </w:rPr>
              <w:t>Болест на Крон</w:t>
            </w:r>
          </w:p>
        </w:tc>
        <w:tc>
          <w:tcPr>
            <w:tcW w:w="4788" w:type="dxa"/>
          </w:tcPr>
          <w:p w14:paraId="4E90DD6E" w14:textId="5DEE5D77" w:rsidR="007563DC" w:rsidRPr="007563DC" w:rsidRDefault="007563DC" w:rsidP="007563DC">
            <w:r w:rsidRPr="007563DC">
              <w:rPr>
                <w:szCs w:val="44"/>
              </w:rPr>
              <w:t xml:space="preserve">до </w:t>
            </w:r>
            <w:r w:rsidRPr="007563DC">
              <w:rPr>
                <w:szCs w:val="44"/>
                <w:lang w:val="ru-RU"/>
              </w:rPr>
              <w:t xml:space="preserve">48 </w:t>
            </w:r>
            <w:r w:rsidRPr="007563DC">
              <w:rPr>
                <w:szCs w:val="44"/>
                <w:lang w:val="en-US"/>
              </w:rPr>
              <w:t>mg</w:t>
            </w:r>
            <w:r w:rsidRPr="007563DC">
              <w:rPr>
                <w:szCs w:val="44"/>
                <w:lang w:val="ru-RU"/>
              </w:rPr>
              <w:t xml:space="preserve"> </w:t>
            </w:r>
            <w:r w:rsidRPr="007563DC">
              <w:rPr>
                <w:szCs w:val="44"/>
              </w:rPr>
              <w:t>дневно в острите епизоди</w:t>
            </w:r>
          </w:p>
        </w:tc>
      </w:tr>
      <w:tr w:rsidR="007563DC" w14:paraId="5B6730A5" w14:textId="77777777" w:rsidTr="007563DC">
        <w:tc>
          <w:tcPr>
            <w:tcW w:w="4788" w:type="dxa"/>
          </w:tcPr>
          <w:p w14:paraId="55830E34" w14:textId="1C849286" w:rsidR="007563DC" w:rsidRPr="007563DC" w:rsidRDefault="007563DC" w:rsidP="007563DC">
            <w:r w:rsidRPr="007563DC">
              <w:rPr>
                <w:szCs w:val="44"/>
              </w:rPr>
              <w:t>Органна трансплантация</w:t>
            </w:r>
          </w:p>
        </w:tc>
        <w:tc>
          <w:tcPr>
            <w:tcW w:w="4788" w:type="dxa"/>
          </w:tcPr>
          <w:p w14:paraId="1FC4C931" w14:textId="24F5CE90" w:rsidR="007563DC" w:rsidRPr="007563DC" w:rsidRDefault="007563DC" w:rsidP="007563DC">
            <w:r w:rsidRPr="007563DC">
              <w:rPr>
                <w:szCs w:val="44"/>
              </w:rPr>
              <w:t xml:space="preserve">до 3.6 </w:t>
            </w:r>
            <w:r w:rsidRPr="007563DC">
              <w:rPr>
                <w:szCs w:val="44"/>
                <w:lang w:val="en-US"/>
              </w:rPr>
              <w:t>mg/kg</w:t>
            </w:r>
            <w:r w:rsidRPr="007563DC">
              <w:rPr>
                <w:szCs w:val="44"/>
              </w:rPr>
              <w:t>/дневно</w:t>
            </w:r>
          </w:p>
        </w:tc>
      </w:tr>
      <w:tr w:rsidR="007563DC" w14:paraId="73345C94" w14:textId="77777777" w:rsidTr="007563DC">
        <w:tc>
          <w:tcPr>
            <w:tcW w:w="4788" w:type="dxa"/>
          </w:tcPr>
          <w:p w14:paraId="20C20D99" w14:textId="0502206A" w:rsidR="007563DC" w:rsidRPr="007563DC" w:rsidRDefault="007563DC" w:rsidP="007563DC">
            <w:r w:rsidRPr="007563DC">
              <w:rPr>
                <w:szCs w:val="44"/>
              </w:rPr>
              <w:t>Белодробна саркоидоза</w:t>
            </w:r>
          </w:p>
        </w:tc>
        <w:tc>
          <w:tcPr>
            <w:tcW w:w="4788" w:type="dxa"/>
          </w:tcPr>
          <w:p w14:paraId="4F907063" w14:textId="3DA23B87" w:rsidR="007563DC" w:rsidRPr="007563DC" w:rsidRDefault="007563DC" w:rsidP="007563DC">
            <w:r w:rsidRPr="007563DC">
              <w:rPr>
                <w:szCs w:val="44"/>
              </w:rPr>
              <w:t xml:space="preserve">32-48 </w:t>
            </w:r>
            <w:r w:rsidRPr="007563DC">
              <w:rPr>
                <w:szCs w:val="44"/>
                <w:lang w:val="en-US"/>
              </w:rPr>
              <w:t xml:space="preserve">mg </w:t>
            </w:r>
            <w:r w:rsidRPr="007563DC">
              <w:rPr>
                <w:szCs w:val="44"/>
              </w:rPr>
              <w:t>през ден</w:t>
            </w:r>
          </w:p>
        </w:tc>
      </w:tr>
      <w:tr w:rsidR="007563DC" w14:paraId="120771C7" w14:textId="77777777" w:rsidTr="007563DC">
        <w:tc>
          <w:tcPr>
            <w:tcW w:w="4788" w:type="dxa"/>
          </w:tcPr>
          <w:p w14:paraId="3AD09912" w14:textId="192D0D29" w:rsidR="007563DC" w:rsidRPr="007563DC" w:rsidRDefault="007563DC" w:rsidP="007563DC">
            <w:pPr>
              <w:rPr>
                <w:sz w:val="32"/>
              </w:rPr>
            </w:pPr>
            <w:r w:rsidRPr="007563DC">
              <w:t>Гигантоклетьчен артериит/Ревматична полимиалгия</w:t>
            </w:r>
          </w:p>
        </w:tc>
        <w:tc>
          <w:tcPr>
            <w:tcW w:w="4788" w:type="dxa"/>
          </w:tcPr>
          <w:p w14:paraId="6F8D1264" w14:textId="1B4F37AF" w:rsidR="007563DC" w:rsidRDefault="007563DC" w:rsidP="007563DC">
            <w:r>
              <w:t xml:space="preserve">64 </w:t>
            </w:r>
            <w:r>
              <w:rPr>
                <w:lang w:val="en-US"/>
              </w:rPr>
              <w:t>mg</w:t>
            </w:r>
          </w:p>
        </w:tc>
      </w:tr>
      <w:tr w:rsidR="007563DC" w14:paraId="1E7F27E0" w14:textId="77777777" w:rsidTr="007563DC">
        <w:tc>
          <w:tcPr>
            <w:tcW w:w="4788" w:type="dxa"/>
          </w:tcPr>
          <w:p w14:paraId="42A4A50D" w14:textId="6785E953" w:rsidR="007563DC" w:rsidRDefault="007563DC" w:rsidP="007563DC">
            <w:r>
              <w:t>Пемфигус вулгарис</w:t>
            </w:r>
          </w:p>
        </w:tc>
        <w:tc>
          <w:tcPr>
            <w:tcW w:w="4788" w:type="dxa"/>
          </w:tcPr>
          <w:p w14:paraId="415CC1AF" w14:textId="175503AD" w:rsidR="007563DC" w:rsidRDefault="007563DC" w:rsidP="007563DC">
            <w:r>
              <w:t xml:space="preserve">80 - 360 </w:t>
            </w:r>
            <w:r>
              <w:rPr>
                <w:lang w:val="en-US"/>
              </w:rPr>
              <w:t>mg</w:t>
            </w:r>
          </w:p>
        </w:tc>
      </w:tr>
    </w:tbl>
    <w:p w14:paraId="34E197F3" w14:textId="45361337" w:rsidR="007563DC" w:rsidRPr="007563DC" w:rsidRDefault="007563DC" w:rsidP="007563DC"/>
    <w:p w14:paraId="62B13D0B" w14:textId="7A85A744" w:rsidR="00395555" w:rsidRDefault="002C50EE" w:rsidP="008A6AF2">
      <w:pPr>
        <w:pStyle w:val="Heading2"/>
      </w:pPr>
      <w:r>
        <w:t>4.3. Противопоказания</w:t>
      </w:r>
    </w:p>
    <w:p w14:paraId="746EC7BF" w14:textId="58F1E7E4" w:rsidR="007563DC" w:rsidRDefault="007563DC" w:rsidP="007563DC"/>
    <w:p w14:paraId="5359F942" w14:textId="46387939" w:rsidR="007563DC" w:rsidRPr="007563DC" w:rsidRDefault="007563DC" w:rsidP="007563DC">
      <w:pPr>
        <w:pStyle w:val="ListParagraph"/>
        <w:numPr>
          <w:ilvl w:val="0"/>
          <w:numId w:val="39"/>
        </w:numPr>
        <w:rPr>
          <w:rFonts w:cs="Arial"/>
        </w:rPr>
      </w:pPr>
      <w:r w:rsidRPr="007563DC">
        <w:rPr>
          <w:rFonts w:cs="Arial"/>
        </w:rPr>
        <w:t>Системни микотични инфекции;</w:t>
      </w:r>
    </w:p>
    <w:p w14:paraId="46D6B61D" w14:textId="77777777" w:rsidR="007563DC" w:rsidRPr="007563DC" w:rsidRDefault="007563DC" w:rsidP="007563DC">
      <w:pPr>
        <w:pStyle w:val="ListParagraph"/>
        <w:numPr>
          <w:ilvl w:val="0"/>
          <w:numId w:val="39"/>
        </w:numPr>
        <w:spacing w:line="240" w:lineRule="auto"/>
        <w:rPr>
          <w:rFonts w:eastAsia="Times New Roman" w:cs="Arial"/>
          <w:color w:val="000000"/>
          <w:lang w:eastAsia="bg-BG"/>
        </w:rPr>
      </w:pPr>
      <w:r w:rsidRPr="007563DC">
        <w:rPr>
          <w:rFonts w:eastAsia="Times New Roman" w:cs="Arial"/>
          <w:color w:val="000000"/>
          <w:lang w:eastAsia="bg-BG"/>
        </w:rPr>
        <w:t>Системни инфекции, освен ако не се прилага специфична противоинфекциозна терапия;</w:t>
      </w:r>
    </w:p>
    <w:p w14:paraId="3615588B" w14:textId="77777777" w:rsidR="007563DC" w:rsidRPr="007563DC" w:rsidRDefault="007563DC" w:rsidP="007563DC">
      <w:pPr>
        <w:pStyle w:val="ListParagraph"/>
        <w:numPr>
          <w:ilvl w:val="0"/>
          <w:numId w:val="39"/>
        </w:numPr>
        <w:spacing w:line="240" w:lineRule="auto"/>
        <w:rPr>
          <w:rFonts w:eastAsia="Times New Roman" w:cs="Arial"/>
          <w:color w:val="000000"/>
          <w:lang w:eastAsia="bg-BG"/>
        </w:rPr>
      </w:pPr>
      <w:r w:rsidRPr="007563DC">
        <w:rPr>
          <w:rFonts w:eastAsia="Times New Roman" w:cs="Arial"/>
          <w:color w:val="000000"/>
          <w:lang w:eastAsia="bg-BG"/>
        </w:rPr>
        <w:t>Свръхчувствителност към активното и/или към някое от помощните вещества, изброени в точка 6.1.</w:t>
      </w:r>
    </w:p>
    <w:p w14:paraId="3200F3BA" w14:textId="77777777" w:rsidR="007563DC" w:rsidRPr="007563DC" w:rsidRDefault="007563DC" w:rsidP="007563DC">
      <w:pPr>
        <w:spacing w:line="240" w:lineRule="auto"/>
        <w:rPr>
          <w:rFonts w:eastAsia="Times New Roman" w:cs="Arial"/>
          <w:color w:val="000000"/>
          <w:lang w:eastAsia="bg-BG"/>
        </w:rPr>
      </w:pPr>
    </w:p>
    <w:p w14:paraId="6BF29673" w14:textId="54829E55" w:rsidR="007563DC" w:rsidRPr="007563DC" w:rsidRDefault="007563DC" w:rsidP="007563DC">
      <w:pPr>
        <w:spacing w:line="240" w:lineRule="auto"/>
        <w:rPr>
          <w:rFonts w:eastAsia="Times New Roman" w:cs="Arial"/>
        </w:rPr>
      </w:pPr>
      <w:r w:rsidRPr="007563DC">
        <w:rPr>
          <w:rFonts w:eastAsia="Times New Roman" w:cs="Arial"/>
          <w:color w:val="000000"/>
          <w:lang w:eastAsia="bg-BG"/>
        </w:rPr>
        <w:t>Приложението на живи или живи атенюирани ваксини е противопоказано при пациенти, получаващи имуносупресивни дози кортикостероиди.</w:t>
      </w:r>
    </w:p>
    <w:p w14:paraId="7A23E073" w14:textId="77777777" w:rsidR="007563DC" w:rsidRPr="007563DC" w:rsidRDefault="007563DC" w:rsidP="007563DC"/>
    <w:p w14:paraId="5A4AC413" w14:textId="7BE39DD0" w:rsidR="00395555" w:rsidRDefault="002C50EE" w:rsidP="008A6AF2">
      <w:pPr>
        <w:pStyle w:val="Heading2"/>
      </w:pPr>
      <w:r>
        <w:t>4.4. Специални предупреждения и предпазни мерки при употреба</w:t>
      </w:r>
    </w:p>
    <w:p w14:paraId="662A233B" w14:textId="79967335" w:rsidR="007563DC" w:rsidRDefault="007563DC" w:rsidP="007563DC"/>
    <w:p w14:paraId="1B6A8A36" w14:textId="77777777"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u w:val="single"/>
          <w:lang w:eastAsia="bg-BG"/>
        </w:rPr>
        <w:t>Имуносупресивни ефекти / повишена възприемчивост към инфекции</w:t>
      </w:r>
    </w:p>
    <w:p w14:paraId="6090B9FB" w14:textId="77777777" w:rsidR="007563DC" w:rsidRPr="007563DC" w:rsidRDefault="007563DC" w:rsidP="007563DC">
      <w:pPr>
        <w:spacing w:line="240" w:lineRule="auto"/>
        <w:rPr>
          <w:rFonts w:eastAsia="Times New Roman" w:cs="Arial"/>
          <w:color w:val="000000"/>
          <w:szCs w:val="44"/>
          <w:lang w:eastAsia="bg-BG"/>
        </w:rPr>
      </w:pPr>
    </w:p>
    <w:p w14:paraId="6145084A" w14:textId="74A7B326"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Кортикостероидите могат да маскират някои симптоми на инфекция, в хода на лечението с тях може да се развие нова такава или да се повиши възприемчивостта към инфекции. Потискането на възпалителния отговор и имунната функция повишават възможността за развитие на гъбични, вирусни и бактериални инфекции и тяхната тежест. Клиничните прояви в много случаи могат да бъдат нетипични и да достигнат напреднала фаза преди да бъдат разпознати.</w:t>
      </w:r>
    </w:p>
    <w:p w14:paraId="2018DB74" w14:textId="77777777" w:rsidR="007563DC" w:rsidRPr="007563DC" w:rsidRDefault="007563DC" w:rsidP="007563DC">
      <w:pPr>
        <w:spacing w:line="240" w:lineRule="auto"/>
        <w:rPr>
          <w:rFonts w:eastAsia="Times New Roman" w:cs="Arial"/>
          <w:color w:val="000000"/>
          <w:szCs w:val="44"/>
          <w:lang w:eastAsia="bg-BG"/>
        </w:rPr>
      </w:pPr>
    </w:p>
    <w:p w14:paraId="305BF472" w14:textId="4EA16126"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Лица, които приемат лекарства, потискащи имунната система, са по-чувствителни към инфекции от здравите индивиди. Варицела и морбили, например могат да имат по-тежко и дори фатално протичане при неимунизирани деца или възрастни, при които се провежда лечение с кортикостероиди.</w:t>
      </w:r>
    </w:p>
    <w:p w14:paraId="125E81AC" w14:textId="77777777" w:rsidR="007563DC" w:rsidRPr="007563DC" w:rsidRDefault="007563DC" w:rsidP="007563DC">
      <w:pPr>
        <w:spacing w:line="240" w:lineRule="auto"/>
        <w:rPr>
          <w:rFonts w:eastAsia="Times New Roman" w:cs="Arial"/>
          <w:color w:val="000000"/>
          <w:szCs w:val="44"/>
          <w:lang w:eastAsia="bg-BG"/>
        </w:rPr>
      </w:pPr>
    </w:p>
    <w:p w14:paraId="52BD9307" w14:textId="705545AA"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 xml:space="preserve">Варицелата е сериозен повод за загриженост, тъй като това обикновено леко заболяване може да бъде фатално при имуносупресирани пациенти. Пациентите (или родителите на деца), при които липсва сигурна анамнеза за прекарано заболяване от варицела, трябва да бъдат посъветвани да избягват близък контакт с болни или контактни на варицела или херпес зостер и ако се изложат на такъв трябва да потърсят спешна медицинска помощ. Пасивна имунизация с варицела/зостер имуноглобулин </w:t>
      </w:r>
      <w:r w:rsidRPr="007563DC">
        <w:rPr>
          <w:rFonts w:eastAsia="Times New Roman" w:cs="Arial"/>
          <w:color w:val="000000"/>
          <w:szCs w:val="44"/>
          <w:lang w:val="ru-RU"/>
        </w:rPr>
        <w:t>(</w:t>
      </w:r>
      <w:r w:rsidRPr="007563DC">
        <w:rPr>
          <w:rFonts w:eastAsia="Times New Roman" w:cs="Arial"/>
          <w:color w:val="000000"/>
          <w:szCs w:val="44"/>
          <w:lang w:val="en-US"/>
        </w:rPr>
        <w:t>VZIG</w:t>
      </w:r>
      <w:r w:rsidRPr="007563DC">
        <w:rPr>
          <w:rFonts w:eastAsia="Times New Roman" w:cs="Arial"/>
          <w:color w:val="000000"/>
          <w:szCs w:val="44"/>
          <w:lang w:val="ru-RU"/>
        </w:rPr>
        <w:t xml:space="preserve">) </w:t>
      </w:r>
      <w:r w:rsidRPr="007563DC">
        <w:rPr>
          <w:rFonts w:eastAsia="Times New Roman" w:cs="Arial"/>
          <w:color w:val="000000"/>
          <w:szCs w:val="44"/>
          <w:lang w:eastAsia="bg-BG"/>
        </w:rPr>
        <w:t>е необходима при изложени на контакт неимунизирани пациенти, които получават системни кортикостероиди или които са ги използвали през предходните 3 месеца. Това трябва да се направи в рамките на 10 дни след излагането на варицела. Ако диагнозата варицела се потвърди, заболяването изисква специални грижи и спешно лечение. Кортикостероидите не трябва да се спират и може да се наложи повишаване на дозата.</w:t>
      </w:r>
    </w:p>
    <w:p w14:paraId="154417E4" w14:textId="77777777" w:rsidR="007563DC" w:rsidRPr="007563DC" w:rsidRDefault="007563DC" w:rsidP="007563DC">
      <w:pPr>
        <w:spacing w:line="240" w:lineRule="auto"/>
        <w:rPr>
          <w:rFonts w:eastAsia="Times New Roman" w:cs="Arial"/>
          <w:color w:val="000000"/>
          <w:szCs w:val="44"/>
          <w:lang w:eastAsia="bg-BG"/>
        </w:rPr>
      </w:pPr>
    </w:p>
    <w:p w14:paraId="4DBE56AC" w14:textId="36DE9D44"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Трябва да се избягва излагането на контакт с морбили. Необходимо е незабавно да се потърси медицинска помощ при експозиция. Може да е необходима профилактика с нормален мускулен имуноглобулин.</w:t>
      </w:r>
    </w:p>
    <w:p w14:paraId="3F9E4C37" w14:textId="77777777" w:rsidR="007563DC" w:rsidRPr="007563DC" w:rsidRDefault="007563DC" w:rsidP="007563DC">
      <w:pPr>
        <w:spacing w:line="240" w:lineRule="auto"/>
        <w:rPr>
          <w:rFonts w:eastAsia="Times New Roman" w:cs="Arial"/>
          <w:color w:val="000000"/>
          <w:szCs w:val="44"/>
          <w:lang w:eastAsia="bg-BG"/>
        </w:rPr>
      </w:pPr>
    </w:p>
    <w:p w14:paraId="1A0FEA3D" w14:textId="55DAA2A4"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Кортикостероидите трябва да се използват много внимателно при пациенти с известни или предполагаеми паразитни инфекции, като стронгилоидна инфестация, което може да доведе до стронгилоидна хиперинфекция и дисеминация с широко разпространена ларвна миграция, често придружена от тежък ентероколит и потенциално фатална грам-отрицателна септицемия.</w:t>
      </w:r>
    </w:p>
    <w:p w14:paraId="23CEF6B1" w14:textId="77777777" w:rsidR="007563DC" w:rsidRPr="007563DC" w:rsidRDefault="007563DC" w:rsidP="007563DC">
      <w:pPr>
        <w:spacing w:line="240" w:lineRule="auto"/>
        <w:rPr>
          <w:rFonts w:eastAsia="Times New Roman" w:cs="Arial"/>
          <w:color w:val="000000"/>
          <w:szCs w:val="44"/>
          <w:lang w:eastAsia="bg-BG"/>
        </w:rPr>
      </w:pPr>
    </w:p>
    <w:p w14:paraId="6F99F342" w14:textId="0E02FDCA"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Приложението на живи или живи атенюирани ваксини е противопоказано при пациенти, получаващи имуносупресивни дози кортикостероиди. Антитяло-отговорът към други ваксини може да бъде отслабен.</w:t>
      </w:r>
    </w:p>
    <w:p w14:paraId="38B189DF" w14:textId="77777777" w:rsidR="007563DC" w:rsidRPr="007563DC" w:rsidRDefault="007563DC" w:rsidP="007563DC">
      <w:pPr>
        <w:spacing w:line="240" w:lineRule="auto"/>
        <w:rPr>
          <w:rFonts w:eastAsia="Times New Roman" w:cs="Arial"/>
          <w:color w:val="000000"/>
          <w:szCs w:val="44"/>
          <w:lang w:eastAsia="bg-BG"/>
        </w:rPr>
      </w:pPr>
    </w:p>
    <w:p w14:paraId="001627A9" w14:textId="35166F1D"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Приложението на кортикостероиди при пациенти с активна туберкулоза трябва да бъда ограничен до случаите на фулминантна или дисеминирана туберкулоза, при които кортикостероидите се използват за лечение на заболяването в комбинация с подходящо противотуберкулозно лечение.</w:t>
      </w:r>
    </w:p>
    <w:p w14:paraId="4C3F57C1" w14:textId="77777777" w:rsidR="007563DC" w:rsidRPr="007563DC" w:rsidRDefault="007563DC" w:rsidP="007563DC">
      <w:pPr>
        <w:rPr>
          <w:rFonts w:eastAsia="Times New Roman" w:cs="Arial"/>
          <w:color w:val="000000"/>
          <w:szCs w:val="44"/>
          <w:lang w:eastAsia="bg-BG"/>
        </w:rPr>
      </w:pPr>
    </w:p>
    <w:p w14:paraId="17EE109E" w14:textId="45CA9D1A" w:rsidR="007563DC" w:rsidRDefault="007563DC" w:rsidP="007563DC">
      <w:pPr>
        <w:rPr>
          <w:rFonts w:eastAsia="Times New Roman" w:cs="Arial"/>
          <w:color w:val="000000"/>
          <w:szCs w:val="44"/>
          <w:lang w:eastAsia="bg-BG"/>
        </w:rPr>
      </w:pPr>
      <w:r w:rsidRPr="007563DC">
        <w:rPr>
          <w:rFonts w:eastAsia="Times New Roman" w:cs="Arial"/>
          <w:color w:val="000000"/>
          <w:szCs w:val="44"/>
          <w:lang w:eastAsia="bg-BG"/>
        </w:rPr>
        <w:t>Ако лечението с кортикостероиди е показано при пациенти с латентна туберкулоза или положителна туберкулинова проба е необходим стриктен контрол за да се превантира реактивиране на заболяването. По време на продължителна терапия с кортикостероиди тези пациенти трябва да получават съответната химиопрофилактика.</w:t>
      </w:r>
    </w:p>
    <w:p w14:paraId="08F9D57A" w14:textId="737F536D" w:rsidR="007563DC" w:rsidRDefault="007563DC" w:rsidP="007563DC">
      <w:pPr>
        <w:rPr>
          <w:rFonts w:eastAsia="Times New Roman" w:cs="Arial"/>
          <w:color w:val="000000"/>
          <w:szCs w:val="44"/>
          <w:lang w:eastAsia="bg-BG"/>
        </w:rPr>
      </w:pPr>
    </w:p>
    <w:p w14:paraId="7A890A7F" w14:textId="77777777" w:rsidR="007563DC" w:rsidRPr="007563DC" w:rsidRDefault="007563DC" w:rsidP="007563DC">
      <w:pPr>
        <w:spacing w:line="240" w:lineRule="auto"/>
        <w:rPr>
          <w:rFonts w:eastAsia="Times New Roman" w:cs="Arial"/>
        </w:rPr>
      </w:pPr>
      <w:r w:rsidRPr="007563DC">
        <w:rPr>
          <w:rFonts w:eastAsia="Times New Roman" w:cs="Arial"/>
          <w:color w:val="000000"/>
          <w:lang w:eastAsia="bg-BG"/>
        </w:rPr>
        <w:t>Съобщава се за поява на саркома на Капоши при пациенти, получаващи кортикостероидна терапия. Прекъсването на кортикостероидите може да доведе до клинична ремисия.</w:t>
      </w:r>
    </w:p>
    <w:p w14:paraId="405F9573" w14:textId="77777777" w:rsidR="007563DC" w:rsidRPr="007563DC" w:rsidRDefault="007563DC" w:rsidP="007563DC">
      <w:pPr>
        <w:spacing w:line="240" w:lineRule="auto"/>
        <w:rPr>
          <w:rFonts w:eastAsia="Times New Roman" w:cs="Arial"/>
          <w:color w:val="000000"/>
          <w:lang w:eastAsia="bg-BG"/>
        </w:rPr>
      </w:pPr>
    </w:p>
    <w:p w14:paraId="7664A2EB" w14:textId="6AE3CDEB" w:rsidR="007563DC" w:rsidRPr="007563DC" w:rsidRDefault="007563DC" w:rsidP="007563DC">
      <w:pPr>
        <w:spacing w:line="240" w:lineRule="auto"/>
        <w:rPr>
          <w:rFonts w:eastAsia="Times New Roman" w:cs="Arial"/>
        </w:rPr>
      </w:pPr>
      <w:r w:rsidRPr="007563DC">
        <w:rPr>
          <w:rFonts w:eastAsia="Times New Roman" w:cs="Arial"/>
          <w:color w:val="000000"/>
          <w:lang w:eastAsia="bg-BG"/>
        </w:rPr>
        <w:t>Ролята на кортикостероидите при септичен шок е противоречива, като ранните проучвания съобщават както за благоприятни, така и за неблагоприятни ефекти. По-скорошни данни предполагат, че добавъчната терапия с кортикостероиди е благоприятна при пациенти с разгърнат септичен шок с прояви на надбъбречна недостатъчност. Въпреки това, метаанализи и един обзор предполагат, че по-дълги курсове (5-11 дни) с кортикостероиди в ниски дози могат да понижат смъртността.</w:t>
      </w:r>
    </w:p>
    <w:p w14:paraId="6B45ABFC" w14:textId="77777777" w:rsidR="007563DC" w:rsidRPr="007563DC" w:rsidRDefault="007563DC" w:rsidP="007563DC">
      <w:pPr>
        <w:spacing w:line="240" w:lineRule="auto"/>
        <w:rPr>
          <w:rFonts w:eastAsia="Times New Roman" w:cs="Arial"/>
          <w:color w:val="000000"/>
          <w:u w:val="single"/>
          <w:lang w:eastAsia="bg-BG"/>
        </w:rPr>
      </w:pPr>
    </w:p>
    <w:p w14:paraId="0DCB0A15" w14:textId="7F57EDAB" w:rsidR="007563DC" w:rsidRPr="007563DC" w:rsidRDefault="007563DC" w:rsidP="007563DC">
      <w:pPr>
        <w:spacing w:line="240" w:lineRule="auto"/>
        <w:rPr>
          <w:rFonts w:eastAsia="Times New Roman" w:cs="Arial"/>
        </w:rPr>
      </w:pPr>
      <w:r w:rsidRPr="007563DC">
        <w:rPr>
          <w:rFonts w:eastAsia="Times New Roman" w:cs="Arial"/>
          <w:color w:val="000000"/>
          <w:u w:val="single"/>
          <w:lang w:eastAsia="bg-BG"/>
        </w:rPr>
        <w:t>Имунна система</w:t>
      </w:r>
    </w:p>
    <w:p w14:paraId="4EDFEB6F" w14:textId="77777777" w:rsidR="007563DC" w:rsidRPr="007563DC" w:rsidRDefault="007563DC" w:rsidP="007563DC">
      <w:pPr>
        <w:spacing w:line="240" w:lineRule="auto"/>
        <w:rPr>
          <w:rFonts w:eastAsia="Times New Roman" w:cs="Arial"/>
          <w:color w:val="000000"/>
          <w:lang w:eastAsia="bg-BG"/>
        </w:rPr>
      </w:pPr>
    </w:p>
    <w:p w14:paraId="414E9315" w14:textId="48CF2C36" w:rsidR="007563DC" w:rsidRPr="007563DC" w:rsidRDefault="007563DC" w:rsidP="007563DC">
      <w:pPr>
        <w:spacing w:line="240" w:lineRule="auto"/>
        <w:rPr>
          <w:rFonts w:eastAsia="Times New Roman" w:cs="Arial"/>
        </w:rPr>
      </w:pPr>
      <w:r w:rsidRPr="007563DC">
        <w:rPr>
          <w:rFonts w:eastAsia="Times New Roman" w:cs="Arial"/>
          <w:color w:val="000000"/>
          <w:lang w:eastAsia="bg-BG"/>
        </w:rPr>
        <w:t>Тъй като има редки случаи на кожни и анафилактични/анафилактоидни реакции при пациенти, получаващи кортикостероидна терапия, трябва да се вземат съответни предпазни мерки преди приложението, особено когато пациентът е с анамнеза за лекарствена алергия.</w:t>
      </w:r>
    </w:p>
    <w:p w14:paraId="02030478" w14:textId="77777777" w:rsidR="007563DC" w:rsidRPr="007563DC" w:rsidRDefault="007563DC" w:rsidP="007563DC">
      <w:pPr>
        <w:spacing w:line="240" w:lineRule="auto"/>
        <w:rPr>
          <w:rFonts w:eastAsia="Times New Roman" w:cs="Arial"/>
          <w:color w:val="000000"/>
          <w:u w:val="single"/>
          <w:lang w:eastAsia="bg-BG"/>
        </w:rPr>
      </w:pPr>
    </w:p>
    <w:p w14:paraId="7E6D6318" w14:textId="7AB161D4" w:rsidR="007563DC" w:rsidRPr="007563DC" w:rsidRDefault="007563DC" w:rsidP="007563DC">
      <w:pPr>
        <w:spacing w:line="240" w:lineRule="auto"/>
        <w:rPr>
          <w:rFonts w:eastAsia="Times New Roman" w:cs="Arial"/>
        </w:rPr>
      </w:pPr>
      <w:r w:rsidRPr="007563DC">
        <w:rPr>
          <w:rFonts w:eastAsia="Times New Roman" w:cs="Arial"/>
          <w:color w:val="000000"/>
          <w:u w:val="single"/>
          <w:lang w:eastAsia="bg-BG"/>
        </w:rPr>
        <w:t>Ендокринни ефекти</w:t>
      </w:r>
    </w:p>
    <w:p w14:paraId="09E03DD9" w14:textId="77777777" w:rsidR="007563DC" w:rsidRPr="007563DC" w:rsidRDefault="007563DC" w:rsidP="007563DC">
      <w:pPr>
        <w:spacing w:line="240" w:lineRule="auto"/>
        <w:rPr>
          <w:rFonts w:eastAsia="Times New Roman" w:cs="Arial"/>
          <w:color w:val="000000"/>
          <w:lang w:eastAsia="bg-BG"/>
        </w:rPr>
      </w:pPr>
    </w:p>
    <w:p w14:paraId="457F8116" w14:textId="3485BE3F" w:rsidR="007563DC" w:rsidRPr="007563DC" w:rsidRDefault="007563DC" w:rsidP="007563DC">
      <w:pPr>
        <w:spacing w:line="240" w:lineRule="auto"/>
        <w:rPr>
          <w:rFonts w:eastAsia="Times New Roman" w:cs="Arial"/>
        </w:rPr>
      </w:pPr>
      <w:r w:rsidRPr="007563DC">
        <w:rPr>
          <w:rFonts w:eastAsia="Times New Roman" w:cs="Arial"/>
          <w:color w:val="000000"/>
          <w:lang w:eastAsia="bg-BG"/>
        </w:rPr>
        <w:t>При пациенти на кортикостероидна терапия, изложени на необичаен стрес, е показана повишена доза бързо действащи кортикостероиди преди, по време на и след стресовата ситуация.</w:t>
      </w:r>
    </w:p>
    <w:p w14:paraId="6DB0D91A" w14:textId="77777777" w:rsidR="007563DC" w:rsidRPr="007563DC" w:rsidRDefault="007563DC" w:rsidP="007563DC">
      <w:pPr>
        <w:spacing w:line="240" w:lineRule="auto"/>
        <w:rPr>
          <w:rFonts w:eastAsia="Times New Roman" w:cs="Arial"/>
          <w:color w:val="000000"/>
          <w:lang w:eastAsia="bg-BG"/>
        </w:rPr>
      </w:pPr>
    </w:p>
    <w:p w14:paraId="4787FC16" w14:textId="7EA3D1B4" w:rsidR="007563DC" w:rsidRPr="007563DC" w:rsidRDefault="007563DC" w:rsidP="007563DC">
      <w:pPr>
        <w:spacing w:line="240" w:lineRule="auto"/>
        <w:rPr>
          <w:rFonts w:eastAsia="Times New Roman" w:cs="Arial"/>
        </w:rPr>
      </w:pPr>
      <w:r w:rsidRPr="007563DC">
        <w:rPr>
          <w:rFonts w:eastAsia="Times New Roman" w:cs="Arial"/>
          <w:color w:val="000000"/>
          <w:lang w:eastAsia="bg-BG"/>
        </w:rPr>
        <w:t xml:space="preserve">Адрено-кортикална супресия и вторична надбъбречна недостатъчност се развива при продължително лечение и може да персистира в продължение на месеци след прекратяване на терапията. При пациенти, получавали повече от физиологичните дози системни кортикостероиди (приблизително 6 </w:t>
      </w:r>
      <w:r w:rsidRPr="007563DC">
        <w:rPr>
          <w:rFonts w:eastAsia="Times New Roman" w:cs="Arial"/>
          <w:color w:val="000000"/>
          <w:lang w:val="en-US"/>
        </w:rPr>
        <w:t>mg</w:t>
      </w:r>
      <w:r w:rsidRPr="007563DC">
        <w:rPr>
          <w:rFonts w:eastAsia="Times New Roman" w:cs="Arial"/>
          <w:color w:val="000000"/>
          <w:lang w:val="ru-RU"/>
        </w:rPr>
        <w:t xml:space="preserve"> </w:t>
      </w:r>
      <w:r w:rsidRPr="007563DC">
        <w:rPr>
          <w:rFonts w:eastAsia="Times New Roman" w:cs="Arial"/>
          <w:color w:val="000000"/>
          <w:lang w:eastAsia="bg-BG"/>
        </w:rPr>
        <w:t xml:space="preserve">метилпреднизолон) в продължение на повече от 3 седмици, прекратяването на лечението не трябва да е внезапно. Начинът, по който трябва да се намали дозата зависи до голяма степен от това дали заболяването има вероятност да се възобнови, тъй като дозата на системните кортикостероиди е намалена. При прекратяване на коргикостероидната терапия може да е необходима клинична оценка на активността на заболяването. Ако заболяването е малко вероятно да рецидивира при отнемане на системните кортикостероиди, но има несигурност по отношение на потискането на хипоталамо-хипофизо- надбъбречна ос (ХХН-ос), дозата на </w:t>
      </w:r>
      <w:r w:rsidRPr="007563DC">
        <w:rPr>
          <w:rFonts w:eastAsia="Times New Roman" w:cs="Arial"/>
          <w:color w:val="000000"/>
          <w:lang w:eastAsia="bg-BG"/>
        </w:rPr>
        <w:lastRenderedPageBreak/>
        <w:t xml:space="preserve">системния кортикостероид може бързо да се намали до физиологични дози. След достигане на дневна доза от 6 </w:t>
      </w:r>
      <w:r w:rsidRPr="007563DC">
        <w:rPr>
          <w:rFonts w:eastAsia="Times New Roman" w:cs="Arial"/>
          <w:color w:val="000000"/>
          <w:lang w:val="en-US"/>
        </w:rPr>
        <w:t>mg</w:t>
      </w:r>
      <w:r w:rsidRPr="007563DC">
        <w:rPr>
          <w:rFonts w:eastAsia="Times New Roman" w:cs="Arial"/>
          <w:color w:val="000000"/>
          <w:lang w:val="ru-RU"/>
        </w:rPr>
        <w:t xml:space="preserve"> </w:t>
      </w:r>
      <w:r w:rsidRPr="007563DC">
        <w:rPr>
          <w:rFonts w:eastAsia="Times New Roman" w:cs="Arial"/>
          <w:color w:val="000000"/>
          <w:lang w:eastAsia="bg-BG"/>
        </w:rPr>
        <w:t>метилпреднизолон, намаляването на дозата трябва да бъде по-бавно, за да се позволи на хипоталамо-хипофизо-надбъбречна ос да се възстанови.</w:t>
      </w:r>
    </w:p>
    <w:p w14:paraId="709E2950" w14:textId="77777777" w:rsidR="007563DC" w:rsidRPr="007563DC" w:rsidRDefault="007563DC" w:rsidP="007563DC">
      <w:pPr>
        <w:spacing w:line="240" w:lineRule="auto"/>
        <w:rPr>
          <w:rFonts w:eastAsia="Times New Roman" w:cs="Arial"/>
          <w:color w:val="000000"/>
          <w:lang w:eastAsia="bg-BG"/>
        </w:rPr>
      </w:pPr>
    </w:p>
    <w:p w14:paraId="46DEC2B1" w14:textId="5B8DF934" w:rsidR="007563DC" w:rsidRPr="007563DC" w:rsidRDefault="007563DC" w:rsidP="007563DC">
      <w:pPr>
        <w:spacing w:line="240" w:lineRule="auto"/>
        <w:rPr>
          <w:rFonts w:eastAsia="Times New Roman" w:cs="Arial"/>
        </w:rPr>
      </w:pPr>
      <w:r w:rsidRPr="007563DC">
        <w:rPr>
          <w:rFonts w:eastAsia="Times New Roman" w:cs="Arial"/>
          <w:color w:val="000000"/>
          <w:lang w:eastAsia="bg-BG"/>
        </w:rPr>
        <w:t xml:space="preserve">Внезапното прекратяване на системното лечение с кортикостероиди, което е продължило до 3 седмици, е подходящо, ако счита, че е малко вероятно да настъпи релапс на заболяването. Рязкото отнемане на дози до 32 </w:t>
      </w:r>
      <w:r w:rsidRPr="007563DC">
        <w:rPr>
          <w:rFonts w:eastAsia="Times New Roman" w:cs="Arial"/>
          <w:color w:val="000000"/>
          <w:lang w:val="en-US"/>
        </w:rPr>
        <w:t>mg</w:t>
      </w:r>
      <w:r w:rsidRPr="007563DC">
        <w:rPr>
          <w:rFonts w:eastAsia="Times New Roman" w:cs="Arial"/>
          <w:color w:val="000000"/>
          <w:lang w:val="ru-RU"/>
        </w:rPr>
        <w:t xml:space="preserve"> </w:t>
      </w:r>
      <w:r w:rsidRPr="007563DC">
        <w:rPr>
          <w:rFonts w:eastAsia="Times New Roman" w:cs="Arial"/>
          <w:color w:val="000000"/>
          <w:lang w:eastAsia="bg-BG"/>
        </w:rPr>
        <w:t>дневно метилпреднизолон в продължение на 3 седмици е малко вероятно да доведе до клинично значимо потискане ХХН-ос, при повечето пациенти. При следните групи пациенти трябва да се обмисли постепенно оттегляне на системната терапия с кортикостероиди, дори и след курсове с продължителност 3 седмици или по-малко:</w:t>
      </w:r>
    </w:p>
    <w:p w14:paraId="6ADFCCF3" w14:textId="388E9C55" w:rsidR="007563DC" w:rsidRPr="007563DC" w:rsidRDefault="007563DC" w:rsidP="007563DC">
      <w:pPr>
        <w:pStyle w:val="ListParagraph"/>
        <w:numPr>
          <w:ilvl w:val="0"/>
          <w:numId w:val="42"/>
        </w:numPr>
        <w:spacing w:line="240" w:lineRule="auto"/>
        <w:rPr>
          <w:rFonts w:eastAsia="Times New Roman" w:cs="Arial"/>
        </w:rPr>
      </w:pPr>
      <w:r w:rsidRPr="007563DC">
        <w:rPr>
          <w:rFonts w:eastAsia="Times New Roman" w:cs="Arial"/>
          <w:color w:val="000000"/>
          <w:lang w:eastAsia="bg-BG"/>
        </w:rPr>
        <w:t>Пациенти, които са имали повторни курсове със системни кортикостероиди, особено ако те са били приемани повече от 3 седмици.</w:t>
      </w:r>
    </w:p>
    <w:p w14:paraId="26C67F83" w14:textId="774630D3" w:rsidR="007563DC" w:rsidRPr="007563DC" w:rsidRDefault="007563DC" w:rsidP="007563DC">
      <w:pPr>
        <w:pStyle w:val="ListParagraph"/>
        <w:numPr>
          <w:ilvl w:val="0"/>
          <w:numId w:val="42"/>
        </w:numPr>
        <w:spacing w:line="240" w:lineRule="auto"/>
        <w:rPr>
          <w:rFonts w:eastAsia="Times New Roman" w:cs="Arial"/>
        </w:rPr>
      </w:pPr>
      <w:r w:rsidRPr="007563DC">
        <w:rPr>
          <w:rFonts w:eastAsia="Times New Roman" w:cs="Arial"/>
          <w:color w:val="000000"/>
          <w:lang w:eastAsia="bg-BG"/>
        </w:rPr>
        <w:t>Когато кратък курс е предписан в рамките на една година от преустановяване на дългосрочната терапия (месеци или години).</w:t>
      </w:r>
    </w:p>
    <w:p w14:paraId="28169A89" w14:textId="6900E7A1" w:rsidR="007563DC" w:rsidRPr="007563DC" w:rsidRDefault="007563DC" w:rsidP="007563DC">
      <w:pPr>
        <w:pStyle w:val="ListParagraph"/>
        <w:numPr>
          <w:ilvl w:val="0"/>
          <w:numId w:val="42"/>
        </w:numPr>
        <w:spacing w:line="240" w:lineRule="auto"/>
        <w:rPr>
          <w:rFonts w:eastAsia="Times New Roman" w:cs="Arial"/>
        </w:rPr>
      </w:pPr>
      <w:r w:rsidRPr="007563DC">
        <w:rPr>
          <w:rFonts w:eastAsia="Times New Roman" w:cs="Arial"/>
          <w:color w:val="000000"/>
          <w:lang w:eastAsia="bg-BG"/>
        </w:rPr>
        <w:t>Пациенти, които могат да имат причини за адренокортикална недостатъчност, различни от екзогенна кортикостероидна терапия. В допълнение, може да се появи остра надбъбречна недостатъчност, водеща до смъртоносен изход, ако глюкокортикоидите се спрат рязко.</w:t>
      </w:r>
    </w:p>
    <w:p w14:paraId="06333A5D" w14:textId="1268FDAB" w:rsidR="007563DC" w:rsidRPr="007563DC" w:rsidRDefault="007563DC" w:rsidP="007563DC">
      <w:pPr>
        <w:pStyle w:val="ListParagraph"/>
        <w:numPr>
          <w:ilvl w:val="0"/>
          <w:numId w:val="42"/>
        </w:numPr>
        <w:spacing w:line="240" w:lineRule="auto"/>
        <w:rPr>
          <w:rFonts w:eastAsia="Times New Roman" w:cs="Arial"/>
        </w:rPr>
      </w:pPr>
      <w:r w:rsidRPr="007563DC">
        <w:rPr>
          <w:rFonts w:eastAsia="Times New Roman" w:cs="Arial"/>
          <w:color w:val="000000"/>
          <w:lang w:eastAsia="bg-BG"/>
        </w:rPr>
        <w:t xml:space="preserve">Пациенти, получаващи дози системен кортикостероид, по-големи от 32 </w:t>
      </w:r>
      <w:r w:rsidRPr="007563DC">
        <w:rPr>
          <w:rFonts w:eastAsia="Times New Roman" w:cs="Arial"/>
          <w:color w:val="000000"/>
          <w:lang w:val="en-US"/>
        </w:rPr>
        <w:t>mg</w:t>
      </w:r>
      <w:r w:rsidRPr="007563DC">
        <w:rPr>
          <w:rFonts w:eastAsia="Times New Roman" w:cs="Arial"/>
          <w:color w:val="000000"/>
          <w:lang w:val="ru-RU"/>
        </w:rPr>
        <w:t xml:space="preserve"> </w:t>
      </w:r>
      <w:r w:rsidRPr="007563DC">
        <w:rPr>
          <w:rFonts w:eastAsia="Times New Roman" w:cs="Arial"/>
          <w:color w:val="000000"/>
          <w:lang w:eastAsia="bg-BG"/>
        </w:rPr>
        <w:t>дневно метилпреднизолон.</w:t>
      </w:r>
    </w:p>
    <w:p w14:paraId="76B07FF2" w14:textId="26B6AB13" w:rsidR="007563DC" w:rsidRDefault="007563DC" w:rsidP="007563DC">
      <w:pPr>
        <w:pStyle w:val="ListParagraph"/>
        <w:numPr>
          <w:ilvl w:val="0"/>
          <w:numId w:val="42"/>
        </w:numPr>
        <w:rPr>
          <w:rFonts w:eastAsia="Times New Roman" w:cs="Arial"/>
          <w:color w:val="000000"/>
          <w:lang w:eastAsia="bg-BG"/>
        </w:rPr>
      </w:pPr>
      <w:r w:rsidRPr="007563DC">
        <w:rPr>
          <w:rFonts w:eastAsia="Times New Roman" w:cs="Arial"/>
          <w:color w:val="000000"/>
          <w:lang w:eastAsia="bg-BG"/>
        </w:rPr>
        <w:t>Пациенти, приемащи многократно дози вечер.</w:t>
      </w:r>
    </w:p>
    <w:p w14:paraId="4682BF8C" w14:textId="79B9F9DF" w:rsidR="007563DC" w:rsidRDefault="007563DC" w:rsidP="007563DC">
      <w:pPr>
        <w:rPr>
          <w:rFonts w:eastAsia="Times New Roman" w:cs="Arial"/>
          <w:color w:val="000000"/>
          <w:lang w:eastAsia="bg-BG"/>
        </w:rPr>
      </w:pPr>
    </w:p>
    <w:p w14:paraId="0A538F87" w14:textId="77777777"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След рязко прекратяване на глюкокортикоидите може да възникне стероиден „синдром на отнемане“, който привидно не е свързан с надбъбречна недостатъчност. Този синдром включва симптоми, като анорексия, гадене, повръщане, летаргия, главоболие, треска, болка в ставите, десквамация, миалгия, загуба на тегло и/или хипотония. Предполага се, че тези ефекти се дължат по-скоро на внезапната промяна на глюкокортикоидната концентрация, отколкото на ниски кортикостероидни нива.</w:t>
      </w:r>
    </w:p>
    <w:p w14:paraId="2F129382" w14:textId="77777777" w:rsidR="007563DC" w:rsidRPr="007563DC" w:rsidRDefault="007563DC" w:rsidP="007563DC">
      <w:pPr>
        <w:spacing w:line="240" w:lineRule="auto"/>
        <w:rPr>
          <w:rFonts w:eastAsia="Times New Roman" w:cs="Arial"/>
          <w:color w:val="000000"/>
          <w:szCs w:val="44"/>
          <w:lang w:eastAsia="bg-BG"/>
        </w:rPr>
      </w:pPr>
    </w:p>
    <w:p w14:paraId="42B5D861" w14:textId="045E41E5"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Кортикостероидите могат да причинят или да влошат синдром на Къшинг и по тази причина те трябва да се избягват при пациенти с болест на Къшинг.</w:t>
      </w:r>
    </w:p>
    <w:p w14:paraId="3F0D82C3" w14:textId="77777777" w:rsidR="007563DC" w:rsidRPr="007563DC" w:rsidRDefault="007563DC" w:rsidP="007563DC">
      <w:pPr>
        <w:spacing w:line="240" w:lineRule="auto"/>
        <w:rPr>
          <w:rFonts w:eastAsia="Times New Roman" w:cs="Arial"/>
          <w:color w:val="000000"/>
          <w:szCs w:val="44"/>
          <w:lang w:eastAsia="bg-BG"/>
        </w:rPr>
      </w:pPr>
    </w:p>
    <w:p w14:paraId="553ACCC4" w14:textId="6CD19351"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Специално внимание се изисква, когато се обмисля използването на системни кортикостероиди при пациенти с хипотиреоидизъм, като е необходимо често проследяване на пациентите.</w:t>
      </w:r>
    </w:p>
    <w:p w14:paraId="08277574" w14:textId="77777777" w:rsidR="007563DC" w:rsidRPr="007563DC" w:rsidRDefault="007563DC" w:rsidP="007563DC">
      <w:pPr>
        <w:spacing w:line="240" w:lineRule="auto"/>
        <w:rPr>
          <w:rFonts w:eastAsia="Times New Roman" w:cs="Arial"/>
          <w:color w:val="000000"/>
          <w:szCs w:val="44"/>
          <w:u w:val="single"/>
          <w:lang w:eastAsia="bg-BG"/>
        </w:rPr>
      </w:pPr>
    </w:p>
    <w:p w14:paraId="4BCE58A3" w14:textId="288EC4FA"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u w:val="single"/>
          <w:lang w:eastAsia="bg-BG"/>
        </w:rPr>
        <w:t>Нарушения на метаболизма и храненето</w:t>
      </w:r>
    </w:p>
    <w:p w14:paraId="2EAFC7BF" w14:textId="77777777" w:rsidR="007563DC" w:rsidRPr="007563DC" w:rsidRDefault="007563DC" w:rsidP="007563DC">
      <w:pPr>
        <w:spacing w:line="240" w:lineRule="auto"/>
        <w:rPr>
          <w:rFonts w:eastAsia="Times New Roman" w:cs="Arial"/>
          <w:color w:val="000000"/>
          <w:szCs w:val="44"/>
          <w:lang w:eastAsia="bg-BG"/>
        </w:rPr>
      </w:pPr>
    </w:p>
    <w:p w14:paraId="462B5276" w14:textId="1BB5F61F"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Кортикостероидите, включително метилпреднизолон, могат да повишат кръвната захар, да влошат съществуващ диабет и да предразположат пациенти на продължителна кортикостероидна терапия към захарен диабет.</w:t>
      </w:r>
    </w:p>
    <w:p w14:paraId="25B4949C" w14:textId="77777777" w:rsidR="007563DC" w:rsidRPr="007563DC" w:rsidRDefault="007563DC" w:rsidP="007563DC">
      <w:pPr>
        <w:spacing w:line="240" w:lineRule="auto"/>
        <w:rPr>
          <w:rFonts w:eastAsia="Times New Roman" w:cs="Arial"/>
          <w:color w:val="000000"/>
          <w:szCs w:val="44"/>
          <w:lang w:eastAsia="bg-BG"/>
        </w:rPr>
      </w:pPr>
    </w:p>
    <w:p w14:paraId="07074C44" w14:textId="1B68FCBD"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Специално внимание се изисква, когато се обмисля използването на системни кортикостероиди при пациенти със захарен диабет (или фамилна анамнеза за диабет), като е необходимо често проследяване на пациентите.</w:t>
      </w:r>
    </w:p>
    <w:p w14:paraId="316F17B3" w14:textId="77777777" w:rsidR="007563DC" w:rsidRPr="007563DC" w:rsidRDefault="007563DC" w:rsidP="007563DC">
      <w:pPr>
        <w:spacing w:line="240" w:lineRule="auto"/>
        <w:rPr>
          <w:rFonts w:eastAsia="Times New Roman" w:cs="Arial"/>
          <w:color w:val="000000"/>
          <w:szCs w:val="44"/>
          <w:u w:val="single"/>
          <w:lang w:eastAsia="bg-BG"/>
        </w:rPr>
      </w:pPr>
    </w:p>
    <w:p w14:paraId="3E05868C" w14:textId="79F11993"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u w:val="single"/>
          <w:lang w:eastAsia="bg-BG"/>
        </w:rPr>
        <w:t>Психични ефекти</w:t>
      </w:r>
    </w:p>
    <w:p w14:paraId="0B8EA232" w14:textId="77777777" w:rsidR="007563DC" w:rsidRPr="007563DC" w:rsidRDefault="007563DC" w:rsidP="007563DC">
      <w:pPr>
        <w:spacing w:line="240" w:lineRule="auto"/>
        <w:rPr>
          <w:rFonts w:eastAsia="Times New Roman" w:cs="Arial"/>
          <w:color w:val="000000"/>
          <w:szCs w:val="44"/>
          <w:lang w:eastAsia="bg-BG"/>
        </w:rPr>
      </w:pPr>
    </w:p>
    <w:p w14:paraId="75078B63" w14:textId="00991386"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lastRenderedPageBreak/>
        <w:t>Пациентите и техните близки е необходимо да бъдат информирани за това, че при лечение със системни кортикостероиди съществува потенциален риск от поява на психични нарушения (вж. точка 4л8).</w:t>
      </w:r>
    </w:p>
    <w:p w14:paraId="0E702DC8" w14:textId="77777777" w:rsidR="007563DC" w:rsidRPr="007563DC" w:rsidRDefault="007563DC" w:rsidP="007563DC">
      <w:pPr>
        <w:spacing w:line="240" w:lineRule="auto"/>
        <w:rPr>
          <w:rFonts w:eastAsia="Times New Roman" w:cs="Arial"/>
          <w:color w:val="000000"/>
          <w:szCs w:val="44"/>
          <w:lang w:eastAsia="bg-BG"/>
        </w:rPr>
      </w:pPr>
    </w:p>
    <w:p w14:paraId="3D7B4FB3" w14:textId="1BC5CDAD"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Най-често тези симптоми се проявяват няколко дни или седмици след започване на лечението. Рискът е по-висок при лечение с високи дози или продължителна системна експозиция, въпреки че няма ясна корелация между размера на прилаганата доза и честотата, вида, тежестта или продължителността на тези реакции. Повечето от тях отзвучават напълно или след намаляване размера на дозата или след прекратяване на лечението, което не отменя необходимостта от приложение на специфично лечение.</w:t>
      </w:r>
    </w:p>
    <w:p w14:paraId="314AC073" w14:textId="77777777" w:rsidR="007563DC" w:rsidRPr="007563DC" w:rsidRDefault="007563DC" w:rsidP="007563DC">
      <w:pPr>
        <w:spacing w:line="240" w:lineRule="auto"/>
        <w:rPr>
          <w:rFonts w:eastAsia="Times New Roman" w:cs="Arial"/>
          <w:color w:val="000000"/>
          <w:szCs w:val="44"/>
          <w:lang w:eastAsia="bg-BG"/>
        </w:rPr>
      </w:pPr>
    </w:p>
    <w:p w14:paraId="3EAD4DE2" w14:textId="65EC3218"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Пациентите и техните близки трябва да бъдат информирани, че е необходимо да потърсят консултация с медицински специалист, ако се появи чувство на депресия или мисли за самонараняване. Те трябва също така да бъдат добре запознати с проявите на възможните психични нарушения, които е възможно да се наблюдават, както по време на лечение, така и непосредствено след прекратяване на лечението, въпреки че тези реакции и прояви не са чести.</w:t>
      </w:r>
    </w:p>
    <w:p w14:paraId="5F65F81C" w14:textId="77777777" w:rsidR="007563DC" w:rsidRPr="007563DC" w:rsidRDefault="007563DC" w:rsidP="007563DC">
      <w:pPr>
        <w:spacing w:line="240" w:lineRule="auto"/>
        <w:rPr>
          <w:rFonts w:eastAsia="Times New Roman" w:cs="Arial"/>
          <w:color w:val="000000"/>
          <w:szCs w:val="44"/>
          <w:lang w:eastAsia="bg-BG"/>
        </w:rPr>
      </w:pPr>
    </w:p>
    <w:p w14:paraId="1991B85C" w14:textId="7A8F1D5A"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Това важи особено за пациентите, които в момента страдат или имат анамнеза за тежки афективни разстройства, както и при фамилна анамнеза за такива заболявания (особено депресивни или маниакално-депресивни заболявания или предхождащи стероидни психози).</w:t>
      </w:r>
    </w:p>
    <w:p w14:paraId="0EAC41FB" w14:textId="77777777" w:rsidR="007563DC" w:rsidRPr="007563DC" w:rsidRDefault="007563DC" w:rsidP="007563DC">
      <w:pPr>
        <w:spacing w:line="240" w:lineRule="auto"/>
        <w:rPr>
          <w:rFonts w:eastAsia="Times New Roman" w:cs="Arial"/>
          <w:color w:val="000000"/>
          <w:szCs w:val="44"/>
          <w:u w:val="single"/>
          <w:lang w:eastAsia="bg-BG"/>
        </w:rPr>
      </w:pPr>
    </w:p>
    <w:p w14:paraId="065A726C" w14:textId="010DEF91"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u w:val="single"/>
          <w:lang w:eastAsia="bg-BG"/>
        </w:rPr>
        <w:t>Ефекти върху нервната система</w:t>
      </w:r>
    </w:p>
    <w:p w14:paraId="31ADFB51" w14:textId="77777777" w:rsidR="007563DC" w:rsidRPr="007563DC" w:rsidRDefault="007563DC" w:rsidP="007563DC">
      <w:pPr>
        <w:spacing w:line="240" w:lineRule="auto"/>
        <w:rPr>
          <w:rFonts w:eastAsia="Times New Roman" w:cs="Arial"/>
          <w:color w:val="000000"/>
          <w:szCs w:val="44"/>
          <w:lang w:eastAsia="bg-BG"/>
        </w:rPr>
      </w:pPr>
    </w:p>
    <w:p w14:paraId="56E45A45" w14:textId="5F96A7BE"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Повишено внимание трябва да се обърне при употребата на системни кортикостероиди при пациенти с припадъци и миастения гравис (вж. също информацията за миопатия в точката за мускуло-скелетни ефекти), като е необходимо често проследяване на</w:t>
      </w:r>
    </w:p>
    <w:p w14:paraId="234D17CC" w14:textId="77777777" w:rsidR="007563DC" w:rsidRPr="007563DC" w:rsidRDefault="007563DC" w:rsidP="007563DC">
      <w:pPr>
        <w:spacing w:line="240" w:lineRule="auto"/>
        <w:rPr>
          <w:rFonts w:eastAsia="Times New Roman" w:cs="Arial"/>
          <w:color w:val="000000"/>
          <w:szCs w:val="44"/>
          <w:lang w:eastAsia="bg-BG"/>
        </w:rPr>
      </w:pPr>
    </w:p>
    <w:p w14:paraId="1167FC62" w14:textId="016BE56C"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Има съобщения за епидурална липоматоза при пациенти, приемащи кортикостероиди, обикновено при продължителна употреба на високи дози.</w:t>
      </w:r>
    </w:p>
    <w:p w14:paraId="1D0C6F13" w14:textId="77777777" w:rsidR="007563DC" w:rsidRPr="007563DC" w:rsidRDefault="007563DC" w:rsidP="007563DC">
      <w:pPr>
        <w:rPr>
          <w:rFonts w:eastAsia="Times New Roman" w:cs="Arial"/>
          <w:color w:val="000000"/>
          <w:szCs w:val="44"/>
          <w:u w:val="single"/>
          <w:lang w:eastAsia="bg-BG"/>
        </w:rPr>
      </w:pPr>
    </w:p>
    <w:p w14:paraId="6EB3C816" w14:textId="2471C59E" w:rsidR="007563DC" w:rsidRDefault="007563DC" w:rsidP="007563DC">
      <w:pPr>
        <w:rPr>
          <w:rFonts w:eastAsia="Times New Roman" w:cs="Arial"/>
          <w:color w:val="000000"/>
          <w:szCs w:val="44"/>
          <w:u w:val="single"/>
          <w:lang w:eastAsia="bg-BG"/>
        </w:rPr>
      </w:pPr>
      <w:r w:rsidRPr="007563DC">
        <w:rPr>
          <w:rFonts w:eastAsia="Times New Roman" w:cs="Arial"/>
          <w:color w:val="000000"/>
          <w:szCs w:val="44"/>
          <w:u w:val="single"/>
          <w:lang w:eastAsia="bg-BG"/>
        </w:rPr>
        <w:t>Очни ефекти</w:t>
      </w:r>
    </w:p>
    <w:p w14:paraId="0381C35B" w14:textId="77777777"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При системно и локално приложение на кортикостероиди са възможни съобщения за зрителни смущения. Ако при пациент са налице симптоми като замъглено зрение или други зрителни смущения, той трябва да бъде насочен за консултация с офталмолог за оценка на възможните причини, които могат да включват катаракта, глаукома или редки заболявалия като централна серозна хориоретинопатия (ЦСХ), за които се съобщава след системно и локално приложение на кортикостероиди. Централната серозна хориоретинопатия може да доведе до отлепване на ретината.</w:t>
      </w:r>
    </w:p>
    <w:p w14:paraId="66DFEE34" w14:textId="77777777" w:rsidR="007563DC" w:rsidRPr="007563DC" w:rsidRDefault="007563DC" w:rsidP="007563DC">
      <w:pPr>
        <w:spacing w:line="240" w:lineRule="auto"/>
        <w:rPr>
          <w:rFonts w:eastAsia="Times New Roman" w:cs="Arial"/>
          <w:color w:val="000000"/>
          <w:szCs w:val="44"/>
          <w:lang w:eastAsia="bg-BG"/>
        </w:rPr>
      </w:pPr>
    </w:p>
    <w:p w14:paraId="243029DD" w14:textId="5A0758A1"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Кортикостероидите трябва да се използват внимателно при пациенти с глаукома (или фамилна анамнеза за глаукома) и очен херпес симплекс, поради опасност от перфорация на роговицата, като е необходимо често проследяване на пациентите.</w:t>
      </w:r>
    </w:p>
    <w:p w14:paraId="5D928BBA" w14:textId="77777777" w:rsidR="007563DC" w:rsidRPr="007563DC" w:rsidRDefault="007563DC" w:rsidP="007563DC">
      <w:pPr>
        <w:spacing w:line="240" w:lineRule="auto"/>
        <w:rPr>
          <w:rFonts w:eastAsia="Times New Roman" w:cs="Arial"/>
          <w:color w:val="000000"/>
          <w:szCs w:val="44"/>
          <w:lang w:eastAsia="bg-BG"/>
        </w:rPr>
      </w:pPr>
    </w:p>
    <w:p w14:paraId="66C2D8C7" w14:textId="6C2B8B79"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Продължителната употреба на кортикостероидите може да доведе до задни субкапсуларни катаракти и нуклеарни катаракти (особено при деца), екзофталм или повишено вътреочно налягане, което може да доведе до глаукома с възможно увреждане на очните нерви.</w:t>
      </w:r>
    </w:p>
    <w:p w14:paraId="4AFD22C4" w14:textId="77777777" w:rsidR="007563DC" w:rsidRPr="007563DC" w:rsidRDefault="007563DC" w:rsidP="007563DC">
      <w:pPr>
        <w:spacing w:line="240" w:lineRule="auto"/>
        <w:rPr>
          <w:rFonts w:eastAsia="Times New Roman" w:cs="Arial"/>
          <w:color w:val="000000"/>
          <w:szCs w:val="44"/>
          <w:lang w:eastAsia="bg-BG"/>
        </w:rPr>
      </w:pPr>
    </w:p>
    <w:p w14:paraId="5C032DCC" w14:textId="5886EB49"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lastRenderedPageBreak/>
        <w:t>Развитието на вторична гъбична или вирусна инфекция на окото може да се потенцира при пациенти, лекувани с глюкокортикоиди.</w:t>
      </w:r>
    </w:p>
    <w:p w14:paraId="6484DFB4" w14:textId="77777777" w:rsidR="007563DC" w:rsidRPr="007563DC" w:rsidRDefault="007563DC" w:rsidP="007563DC">
      <w:pPr>
        <w:spacing w:line="240" w:lineRule="auto"/>
        <w:rPr>
          <w:rFonts w:eastAsia="Times New Roman" w:cs="Arial"/>
          <w:color w:val="000000"/>
          <w:szCs w:val="44"/>
          <w:u w:val="single"/>
          <w:lang w:eastAsia="bg-BG"/>
        </w:rPr>
      </w:pPr>
    </w:p>
    <w:p w14:paraId="0100CD58" w14:textId="4D0F7193"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u w:val="single"/>
          <w:lang w:eastAsia="bg-BG"/>
        </w:rPr>
        <w:t>Сърдечни ефекти</w:t>
      </w:r>
    </w:p>
    <w:p w14:paraId="3CC78393" w14:textId="77777777" w:rsidR="007563DC" w:rsidRPr="007563DC" w:rsidRDefault="007563DC" w:rsidP="007563DC">
      <w:pPr>
        <w:spacing w:line="240" w:lineRule="auto"/>
        <w:rPr>
          <w:rFonts w:eastAsia="Times New Roman" w:cs="Arial"/>
          <w:color w:val="000000"/>
          <w:szCs w:val="44"/>
          <w:lang w:eastAsia="bg-BG"/>
        </w:rPr>
      </w:pPr>
    </w:p>
    <w:p w14:paraId="16D26178" w14:textId="4DAE8F97"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Нежелани лекарствени реакции на глюкокортикоидите върху сърдечно-съдовата система, като дислипидемия и хипертония, при приложение на високи дози и продължителен курс на лечение, могат да провокират, при пациенти със съществуващи сърдечно-съдови рискови фактори, допълнителни ефекти от страна на сърдечно-съдовата система. Съответно, прилагането на кортикостероиди трябва да става внимателно при такива пациенти като е необходимо да се насочи вниманието към модифициране на риска и допълнително наблюдение на сърдечната функция, ако е необходимо. Ниска доза и алтернираща терапия през ден могат да намалят честотата на усложненията при кортикостероидна терапия.</w:t>
      </w:r>
    </w:p>
    <w:p w14:paraId="7DF22627" w14:textId="77777777" w:rsidR="007563DC" w:rsidRPr="007563DC" w:rsidRDefault="007563DC" w:rsidP="007563DC">
      <w:pPr>
        <w:spacing w:line="240" w:lineRule="auto"/>
        <w:rPr>
          <w:rFonts w:eastAsia="Times New Roman" w:cs="Arial"/>
          <w:color w:val="000000"/>
          <w:szCs w:val="44"/>
          <w:lang w:eastAsia="bg-BG"/>
        </w:rPr>
      </w:pPr>
    </w:p>
    <w:p w14:paraId="1FF1EA6D" w14:textId="2592707D"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Системните кортикостероиди трябва да се използват с повишено внимание и само ако е наложително при случаи на застойна сърдечна недостатъчност.</w:t>
      </w:r>
    </w:p>
    <w:p w14:paraId="16AA7D37" w14:textId="77777777" w:rsidR="007563DC" w:rsidRPr="007563DC" w:rsidRDefault="007563DC" w:rsidP="007563DC">
      <w:pPr>
        <w:spacing w:line="240" w:lineRule="auto"/>
        <w:rPr>
          <w:rFonts w:eastAsia="Times New Roman" w:cs="Arial"/>
          <w:color w:val="000000"/>
          <w:szCs w:val="44"/>
          <w:lang w:eastAsia="bg-BG"/>
        </w:rPr>
      </w:pPr>
    </w:p>
    <w:p w14:paraId="1EBB0E8F" w14:textId="7F41B42F"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Специални грижи се изискват, когато се обмисля използването на системни кортикостероиди при пациенти с пресен миокарден инфаркт (има съобщения за руптура на миокарда), като е необходимо често наблюдение на пациентите.</w:t>
      </w:r>
    </w:p>
    <w:p w14:paraId="4FA16F90" w14:textId="77777777" w:rsidR="007563DC" w:rsidRPr="007563DC" w:rsidRDefault="007563DC" w:rsidP="007563DC">
      <w:pPr>
        <w:spacing w:line="240" w:lineRule="auto"/>
        <w:rPr>
          <w:rFonts w:eastAsia="Times New Roman" w:cs="Arial"/>
          <w:color w:val="000000"/>
          <w:szCs w:val="44"/>
          <w:lang w:eastAsia="bg-BG"/>
        </w:rPr>
      </w:pPr>
    </w:p>
    <w:p w14:paraId="092A5390" w14:textId="5F90C34E"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Трябва да се внимава при пациентите, получаващи кардиоакгивни лекарства, като дигоксин, поради индуцирано от стероидите нарушение на електролитния баланс /загуба на калий/ (вж. точка 4.8).</w:t>
      </w:r>
    </w:p>
    <w:p w14:paraId="6E8781F0" w14:textId="77777777" w:rsidR="007563DC" w:rsidRPr="007563DC" w:rsidRDefault="007563DC" w:rsidP="007563DC">
      <w:pPr>
        <w:spacing w:line="240" w:lineRule="auto"/>
        <w:rPr>
          <w:rFonts w:eastAsia="Times New Roman" w:cs="Arial"/>
          <w:color w:val="000000"/>
          <w:szCs w:val="44"/>
          <w:u w:val="single"/>
          <w:lang w:eastAsia="bg-BG"/>
        </w:rPr>
      </w:pPr>
    </w:p>
    <w:p w14:paraId="37D481B5" w14:textId="78B262DC"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u w:val="single"/>
          <w:lang w:eastAsia="bg-BG"/>
        </w:rPr>
        <w:t>Съдови ефекти</w:t>
      </w:r>
    </w:p>
    <w:p w14:paraId="6E20BAFD" w14:textId="77777777" w:rsidR="007563DC" w:rsidRPr="007563DC" w:rsidRDefault="007563DC" w:rsidP="007563DC">
      <w:pPr>
        <w:spacing w:line="240" w:lineRule="auto"/>
        <w:rPr>
          <w:rFonts w:eastAsia="Times New Roman" w:cs="Arial"/>
          <w:color w:val="000000"/>
          <w:szCs w:val="44"/>
          <w:lang w:eastAsia="bg-BG"/>
        </w:rPr>
      </w:pPr>
    </w:p>
    <w:p w14:paraId="1F9AABFC" w14:textId="77777777" w:rsidR="007563DC" w:rsidRDefault="007563DC" w:rsidP="007563DC">
      <w:pPr>
        <w:spacing w:line="240" w:lineRule="auto"/>
        <w:rPr>
          <w:rFonts w:eastAsia="Times New Roman" w:cs="Arial"/>
          <w:color w:val="000000"/>
          <w:szCs w:val="44"/>
          <w:lang w:eastAsia="bg-BG"/>
        </w:rPr>
      </w:pPr>
      <w:r w:rsidRPr="007563DC">
        <w:rPr>
          <w:rFonts w:eastAsia="Times New Roman" w:cs="Arial"/>
          <w:color w:val="000000"/>
          <w:szCs w:val="44"/>
          <w:lang w:eastAsia="bg-BG"/>
        </w:rPr>
        <w:t xml:space="preserve">Специални грижи се изискват, когато се обмисля използването на системни кортикостероиди при пациенти със следните състояния, като е необходимо честото им проследяване: </w:t>
      </w:r>
    </w:p>
    <w:p w14:paraId="6E80DC66" w14:textId="63B8D386" w:rsidR="007563DC" w:rsidRPr="007563DC" w:rsidRDefault="007563DC" w:rsidP="007563DC">
      <w:pPr>
        <w:pStyle w:val="ListParagraph"/>
        <w:numPr>
          <w:ilvl w:val="1"/>
          <w:numId w:val="39"/>
        </w:numPr>
        <w:spacing w:line="240" w:lineRule="auto"/>
        <w:rPr>
          <w:rFonts w:eastAsia="Times New Roman" w:cs="Arial"/>
          <w:sz w:val="12"/>
          <w:szCs w:val="24"/>
        </w:rPr>
      </w:pPr>
      <w:r w:rsidRPr="007563DC">
        <w:rPr>
          <w:rFonts w:eastAsia="Times New Roman" w:cs="Arial"/>
          <w:color w:val="000000"/>
          <w:szCs w:val="44"/>
          <w:lang w:eastAsia="bg-BG"/>
        </w:rPr>
        <w:t>Хипертония.</w:t>
      </w:r>
    </w:p>
    <w:p w14:paraId="60941CE7" w14:textId="406E0DD1" w:rsidR="007563DC" w:rsidRPr="007563DC" w:rsidRDefault="007563DC" w:rsidP="007563DC">
      <w:pPr>
        <w:pStyle w:val="ListParagraph"/>
        <w:numPr>
          <w:ilvl w:val="1"/>
          <w:numId w:val="39"/>
        </w:numPr>
        <w:spacing w:line="240" w:lineRule="auto"/>
        <w:rPr>
          <w:rFonts w:eastAsia="Times New Roman" w:cs="Arial"/>
          <w:sz w:val="12"/>
          <w:szCs w:val="24"/>
        </w:rPr>
      </w:pPr>
      <w:r w:rsidRPr="007563DC">
        <w:rPr>
          <w:rFonts w:eastAsia="Times New Roman" w:cs="Arial"/>
          <w:color w:val="000000"/>
          <w:szCs w:val="44"/>
          <w:lang w:eastAsia="bg-BG"/>
        </w:rPr>
        <w:t>Предразположение към тромбофлебит.</w:t>
      </w:r>
    </w:p>
    <w:p w14:paraId="2D25C0D5" w14:textId="29E6C3B7" w:rsidR="007563DC" w:rsidRPr="007563DC" w:rsidRDefault="007563DC" w:rsidP="007563DC">
      <w:pPr>
        <w:pStyle w:val="ListParagraph"/>
        <w:numPr>
          <w:ilvl w:val="1"/>
          <w:numId w:val="39"/>
        </w:numPr>
        <w:spacing w:line="240" w:lineRule="auto"/>
        <w:rPr>
          <w:rFonts w:eastAsia="Times New Roman" w:cs="Arial"/>
          <w:sz w:val="12"/>
          <w:szCs w:val="24"/>
        </w:rPr>
      </w:pPr>
      <w:r w:rsidRPr="007563DC">
        <w:rPr>
          <w:rFonts w:eastAsia="Times New Roman" w:cs="Arial"/>
          <w:color w:val="000000"/>
          <w:szCs w:val="44"/>
          <w:lang w:eastAsia="bg-BG"/>
        </w:rPr>
        <w:t>Има съобщения за тромбоза, вкл. венозен тромбоемболизъм при лечение с кортикостероиди. По тази причина кортикостероидите трябва да се използват с повишено внимание при пациенти, които имат или са предразположени към тромбоемболични нарушения.</w:t>
      </w:r>
    </w:p>
    <w:p w14:paraId="35F87940" w14:textId="77777777" w:rsidR="007563DC" w:rsidRPr="007563DC" w:rsidRDefault="007563DC" w:rsidP="007563DC">
      <w:pPr>
        <w:spacing w:line="240" w:lineRule="auto"/>
        <w:rPr>
          <w:rFonts w:eastAsia="Times New Roman" w:cs="Arial"/>
          <w:color w:val="000000"/>
          <w:szCs w:val="44"/>
          <w:u w:val="single"/>
          <w:lang w:eastAsia="bg-BG"/>
        </w:rPr>
      </w:pPr>
    </w:p>
    <w:p w14:paraId="1C6368F9" w14:textId="30688D10"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u w:val="single"/>
          <w:lang w:eastAsia="bg-BG"/>
        </w:rPr>
        <w:t>Стомашно-чревни ефекти</w:t>
      </w:r>
    </w:p>
    <w:p w14:paraId="60CAE21E" w14:textId="77777777" w:rsidR="007563DC" w:rsidRPr="007563DC" w:rsidRDefault="007563DC" w:rsidP="007563DC">
      <w:pPr>
        <w:rPr>
          <w:rFonts w:eastAsia="Times New Roman" w:cs="Arial"/>
          <w:color w:val="000000"/>
          <w:szCs w:val="44"/>
          <w:lang w:eastAsia="bg-BG"/>
        </w:rPr>
      </w:pPr>
    </w:p>
    <w:p w14:paraId="3BB71790" w14:textId="2266A93B" w:rsidR="007563DC" w:rsidRDefault="007563DC" w:rsidP="007563DC">
      <w:pPr>
        <w:rPr>
          <w:rFonts w:eastAsia="Times New Roman" w:cs="Arial"/>
          <w:color w:val="000000"/>
          <w:szCs w:val="44"/>
          <w:lang w:eastAsia="bg-BG"/>
        </w:rPr>
      </w:pPr>
      <w:r w:rsidRPr="007563DC">
        <w:rPr>
          <w:rFonts w:eastAsia="Times New Roman" w:cs="Arial"/>
          <w:color w:val="000000"/>
          <w:szCs w:val="44"/>
          <w:lang w:eastAsia="bg-BG"/>
        </w:rPr>
        <w:t>Високи дози кортикостероиди могат да предизвикат остър панкреатит.</w:t>
      </w:r>
    </w:p>
    <w:p w14:paraId="57770317" w14:textId="0BBE6E36" w:rsidR="007563DC" w:rsidRDefault="007563DC" w:rsidP="007563DC">
      <w:pPr>
        <w:rPr>
          <w:rFonts w:eastAsia="Times New Roman" w:cs="Arial"/>
          <w:color w:val="000000"/>
          <w:szCs w:val="44"/>
          <w:lang w:eastAsia="bg-BG"/>
        </w:rPr>
      </w:pPr>
    </w:p>
    <w:p w14:paraId="194569AA" w14:textId="77777777"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Специални грижи се изискват, когато се обмисля използването на системни кортикостероиди при пациенти със следните състояния, като е необходимо честото им проследяване:</w:t>
      </w:r>
    </w:p>
    <w:p w14:paraId="16F3686A" w14:textId="77777777" w:rsidR="007563DC" w:rsidRPr="007563DC" w:rsidRDefault="007563DC" w:rsidP="007563DC">
      <w:pPr>
        <w:pStyle w:val="ListParagraph"/>
        <w:numPr>
          <w:ilvl w:val="0"/>
          <w:numId w:val="44"/>
        </w:numPr>
        <w:spacing w:line="240" w:lineRule="auto"/>
        <w:rPr>
          <w:rFonts w:eastAsia="Times New Roman" w:cs="Arial"/>
          <w:sz w:val="12"/>
          <w:szCs w:val="24"/>
        </w:rPr>
      </w:pPr>
      <w:r w:rsidRPr="007563DC">
        <w:rPr>
          <w:rFonts w:eastAsia="Times New Roman" w:cs="Arial"/>
          <w:color w:val="000000"/>
          <w:szCs w:val="44"/>
          <w:lang w:eastAsia="bg-BG"/>
        </w:rPr>
        <w:t>Пептична язва.</w:t>
      </w:r>
    </w:p>
    <w:p w14:paraId="12F97331" w14:textId="77777777" w:rsidR="007563DC" w:rsidRPr="007563DC" w:rsidRDefault="007563DC" w:rsidP="007563DC">
      <w:pPr>
        <w:pStyle w:val="ListParagraph"/>
        <w:numPr>
          <w:ilvl w:val="0"/>
          <w:numId w:val="44"/>
        </w:numPr>
        <w:spacing w:line="240" w:lineRule="auto"/>
        <w:rPr>
          <w:rFonts w:eastAsia="Times New Roman" w:cs="Arial"/>
          <w:sz w:val="12"/>
          <w:szCs w:val="24"/>
        </w:rPr>
      </w:pPr>
      <w:r w:rsidRPr="007563DC">
        <w:rPr>
          <w:rFonts w:eastAsia="Times New Roman" w:cs="Arial"/>
          <w:color w:val="000000"/>
          <w:szCs w:val="44"/>
          <w:lang w:eastAsia="bg-BG"/>
        </w:rPr>
        <w:t>Скорошни интестинални анастомози.</w:t>
      </w:r>
    </w:p>
    <w:p w14:paraId="06C4D9A0" w14:textId="77777777" w:rsidR="007563DC" w:rsidRPr="007563DC" w:rsidRDefault="007563DC" w:rsidP="007563DC">
      <w:pPr>
        <w:pStyle w:val="ListParagraph"/>
        <w:numPr>
          <w:ilvl w:val="0"/>
          <w:numId w:val="44"/>
        </w:numPr>
        <w:spacing w:line="240" w:lineRule="auto"/>
        <w:rPr>
          <w:rFonts w:eastAsia="Times New Roman" w:cs="Arial"/>
          <w:sz w:val="12"/>
          <w:szCs w:val="24"/>
        </w:rPr>
      </w:pPr>
      <w:r w:rsidRPr="007563DC">
        <w:rPr>
          <w:rFonts w:eastAsia="Times New Roman" w:cs="Arial"/>
          <w:color w:val="000000"/>
          <w:szCs w:val="44"/>
          <w:lang w:eastAsia="bg-BG"/>
        </w:rPr>
        <w:t>Абсцес или други пиогенни инфекции.</w:t>
      </w:r>
    </w:p>
    <w:p w14:paraId="48DD72CA" w14:textId="77777777" w:rsidR="007563DC" w:rsidRPr="007563DC" w:rsidRDefault="007563DC" w:rsidP="007563DC">
      <w:pPr>
        <w:pStyle w:val="ListParagraph"/>
        <w:numPr>
          <w:ilvl w:val="0"/>
          <w:numId w:val="44"/>
        </w:numPr>
        <w:spacing w:line="240" w:lineRule="auto"/>
        <w:rPr>
          <w:rFonts w:eastAsia="Times New Roman" w:cs="Arial"/>
          <w:sz w:val="12"/>
          <w:szCs w:val="24"/>
        </w:rPr>
      </w:pPr>
      <w:r w:rsidRPr="007563DC">
        <w:rPr>
          <w:rFonts w:eastAsia="Times New Roman" w:cs="Arial"/>
          <w:color w:val="000000"/>
          <w:szCs w:val="44"/>
          <w:lang w:eastAsia="bg-BG"/>
        </w:rPr>
        <w:t>Улцерозен колит.</w:t>
      </w:r>
    </w:p>
    <w:p w14:paraId="72899AE7" w14:textId="77777777" w:rsidR="007563DC" w:rsidRPr="007563DC" w:rsidRDefault="007563DC" w:rsidP="007563DC">
      <w:pPr>
        <w:pStyle w:val="ListParagraph"/>
        <w:numPr>
          <w:ilvl w:val="0"/>
          <w:numId w:val="44"/>
        </w:numPr>
        <w:spacing w:line="240" w:lineRule="auto"/>
        <w:rPr>
          <w:rFonts w:eastAsia="Times New Roman" w:cs="Arial"/>
          <w:sz w:val="12"/>
          <w:szCs w:val="24"/>
        </w:rPr>
      </w:pPr>
      <w:r w:rsidRPr="007563DC">
        <w:rPr>
          <w:rFonts w:eastAsia="Times New Roman" w:cs="Arial"/>
          <w:color w:val="000000"/>
          <w:szCs w:val="44"/>
          <w:lang w:eastAsia="bg-BG"/>
        </w:rPr>
        <w:t>Дивертикулит.</w:t>
      </w:r>
    </w:p>
    <w:p w14:paraId="4098EF9C" w14:textId="77777777" w:rsidR="007563DC" w:rsidRPr="007563DC" w:rsidRDefault="007563DC" w:rsidP="007563DC">
      <w:pPr>
        <w:spacing w:line="240" w:lineRule="auto"/>
        <w:rPr>
          <w:rFonts w:eastAsia="Times New Roman" w:cs="Arial"/>
          <w:color w:val="000000"/>
          <w:szCs w:val="44"/>
          <w:lang w:eastAsia="bg-BG"/>
        </w:rPr>
      </w:pPr>
    </w:p>
    <w:p w14:paraId="240882DC" w14:textId="50CF6D17"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Глюкокортикоидната терапия може да маскира перитонит или други признаци и симптоми, свързани със стомашно-чревни нарушения, като перфорация, обструкция или панкреатит. При комбиниране с НСПВС рискът от развитие на стомашно-чревни язви се увеличава.</w:t>
      </w:r>
    </w:p>
    <w:p w14:paraId="283693C3" w14:textId="77777777" w:rsidR="007563DC" w:rsidRPr="007563DC" w:rsidRDefault="007563DC" w:rsidP="007563DC">
      <w:pPr>
        <w:spacing w:line="240" w:lineRule="auto"/>
        <w:rPr>
          <w:rFonts w:eastAsia="Times New Roman" w:cs="Arial"/>
          <w:color w:val="000000"/>
          <w:szCs w:val="44"/>
          <w:u w:val="single"/>
          <w:lang w:eastAsia="bg-BG"/>
        </w:rPr>
      </w:pPr>
    </w:p>
    <w:p w14:paraId="7590FDF9" w14:textId="703123C8"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u w:val="single"/>
          <w:lang w:eastAsia="bg-BG"/>
        </w:rPr>
        <w:t>Хепатобилиарни ефекти</w:t>
      </w:r>
    </w:p>
    <w:p w14:paraId="39AE564A" w14:textId="77777777" w:rsidR="007563DC" w:rsidRPr="007563DC" w:rsidRDefault="007563DC" w:rsidP="007563DC">
      <w:pPr>
        <w:spacing w:line="240" w:lineRule="auto"/>
        <w:rPr>
          <w:rFonts w:eastAsia="Times New Roman" w:cs="Arial"/>
          <w:color w:val="000000"/>
          <w:szCs w:val="44"/>
          <w:lang w:eastAsia="bg-BG"/>
        </w:rPr>
      </w:pPr>
    </w:p>
    <w:p w14:paraId="566C214E" w14:textId="4DFE8E85"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Специални грижи са необходими, когато се обмисля използването на системни кортикостероиди при пациенти с чернодробна недостатъчност или цироза, като е необходимо често проследяване на пациентите.</w:t>
      </w:r>
    </w:p>
    <w:p w14:paraId="2DE1E442" w14:textId="77777777" w:rsidR="007563DC" w:rsidRPr="007563DC" w:rsidRDefault="007563DC" w:rsidP="007563DC">
      <w:pPr>
        <w:spacing w:line="240" w:lineRule="auto"/>
        <w:rPr>
          <w:rFonts w:eastAsia="Times New Roman" w:cs="Arial"/>
          <w:color w:val="000000"/>
          <w:szCs w:val="44"/>
          <w:lang w:eastAsia="bg-BG"/>
        </w:rPr>
      </w:pPr>
    </w:p>
    <w:p w14:paraId="0D46A440" w14:textId="703EA236"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В редки случаи се съобщава за хепатобилиарни нарушения, повечето от които са били обратими след спиране на лечението. По тази причина е необходимо съответно проследяване.</w:t>
      </w:r>
    </w:p>
    <w:p w14:paraId="5B33E0A9" w14:textId="77777777" w:rsidR="007563DC" w:rsidRPr="007563DC" w:rsidRDefault="007563DC" w:rsidP="007563DC">
      <w:pPr>
        <w:spacing w:line="240" w:lineRule="auto"/>
        <w:rPr>
          <w:rFonts w:eastAsia="Times New Roman" w:cs="Arial"/>
          <w:color w:val="000000"/>
          <w:szCs w:val="44"/>
          <w:u w:val="single"/>
          <w:lang w:eastAsia="bg-BG"/>
        </w:rPr>
      </w:pPr>
    </w:p>
    <w:p w14:paraId="6A17E8D7" w14:textId="1989EC1D"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u w:val="single"/>
          <w:lang w:eastAsia="bg-BG"/>
        </w:rPr>
        <w:t>Мускулно-скелетни ефекти</w:t>
      </w:r>
    </w:p>
    <w:p w14:paraId="1DDF45EA" w14:textId="77777777" w:rsidR="007563DC" w:rsidRPr="007563DC" w:rsidRDefault="007563DC" w:rsidP="007563DC">
      <w:pPr>
        <w:spacing w:line="240" w:lineRule="auto"/>
        <w:rPr>
          <w:rFonts w:eastAsia="Times New Roman" w:cs="Arial"/>
          <w:color w:val="000000"/>
          <w:szCs w:val="44"/>
          <w:lang w:eastAsia="bg-BG"/>
        </w:rPr>
      </w:pPr>
    </w:p>
    <w:p w14:paraId="324C65C9" w14:textId="20D4C6E7"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Съобщавано е за остра миопатия при употребата на високи дози кортикостероиди, настъпваща най-често при пациенти, приемащи съпътстваща терапия с антихолинергични средства, като невромускулни блокери (напр. панкурониум). Тази остра миопатия е генерализирана, може да включва очни и респираторни мускули и може да доведе до квадрипареза. Може да настъпи покачване на креатинин-киназата. Клинично подобрение или възстановяване след спиране на лечението може да изисква седмици до години.</w:t>
      </w:r>
    </w:p>
    <w:p w14:paraId="43474953" w14:textId="77777777" w:rsidR="007563DC" w:rsidRPr="007563DC" w:rsidRDefault="007563DC" w:rsidP="007563DC">
      <w:pPr>
        <w:spacing w:line="240" w:lineRule="auto"/>
        <w:rPr>
          <w:rFonts w:eastAsia="Times New Roman" w:cs="Arial"/>
          <w:color w:val="000000"/>
          <w:szCs w:val="44"/>
          <w:lang w:eastAsia="bg-BG"/>
        </w:rPr>
      </w:pPr>
    </w:p>
    <w:p w14:paraId="37E99627" w14:textId="4550AE9B"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Особено внимание се изисква, когато се обмисля използването на системни кортикостероиди при пациенти с остеопороза (особено жени в постменопауза), като е необходимо често наблюдение на пациентите.</w:t>
      </w:r>
    </w:p>
    <w:p w14:paraId="03EA0F11" w14:textId="77777777" w:rsidR="007563DC" w:rsidRPr="007563DC" w:rsidRDefault="007563DC" w:rsidP="007563DC">
      <w:pPr>
        <w:spacing w:line="240" w:lineRule="auto"/>
        <w:rPr>
          <w:rFonts w:eastAsia="Times New Roman" w:cs="Arial"/>
          <w:color w:val="000000"/>
          <w:szCs w:val="44"/>
          <w:u w:val="single"/>
          <w:lang w:eastAsia="bg-BG"/>
        </w:rPr>
      </w:pPr>
    </w:p>
    <w:p w14:paraId="1732309C" w14:textId="22C1E7E5"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u w:val="single"/>
          <w:lang w:eastAsia="bg-BG"/>
        </w:rPr>
        <w:t>Нарушения на бъбреците и пикочните пътища</w:t>
      </w:r>
    </w:p>
    <w:p w14:paraId="44559856" w14:textId="77777777" w:rsidR="007563DC" w:rsidRPr="007563DC" w:rsidRDefault="007563DC" w:rsidP="007563DC">
      <w:pPr>
        <w:spacing w:line="240" w:lineRule="auto"/>
        <w:rPr>
          <w:rFonts w:eastAsia="Times New Roman" w:cs="Arial"/>
          <w:color w:val="000000"/>
          <w:szCs w:val="44"/>
          <w:lang w:eastAsia="bg-BG"/>
        </w:rPr>
      </w:pPr>
    </w:p>
    <w:p w14:paraId="7B7F8D5C" w14:textId="35B6E400"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 xml:space="preserve">Необходимо е повишено внимание при пациенти със системна склероза, тъй като при кортикостероиди, включително метилпреднизолон, е наблюдавана повишена честота на склеродермална бъбречна криза. Поради това кръвното налягане и бъбречната функция </w:t>
      </w:r>
      <w:r w:rsidRPr="007563DC">
        <w:rPr>
          <w:rFonts w:eastAsia="Times New Roman" w:cs="Arial"/>
          <w:color w:val="000000"/>
          <w:szCs w:val="44"/>
          <w:lang w:val="ru-RU"/>
        </w:rPr>
        <w:t>(</w:t>
      </w:r>
      <w:r w:rsidRPr="007563DC">
        <w:rPr>
          <w:rFonts w:eastAsia="Times New Roman" w:cs="Arial"/>
          <w:color w:val="000000"/>
          <w:szCs w:val="44"/>
          <w:lang w:val="en-US"/>
        </w:rPr>
        <w:t>s</w:t>
      </w:r>
      <w:r w:rsidRPr="007563DC">
        <w:rPr>
          <w:rFonts w:eastAsia="Times New Roman" w:cs="Arial"/>
          <w:color w:val="000000"/>
          <w:szCs w:val="44"/>
          <w:lang w:val="ru-RU"/>
        </w:rPr>
        <w:t xml:space="preserve">- </w:t>
      </w:r>
      <w:r w:rsidRPr="007563DC">
        <w:rPr>
          <w:rFonts w:eastAsia="Times New Roman" w:cs="Arial"/>
          <w:color w:val="000000"/>
          <w:szCs w:val="44"/>
          <w:lang w:eastAsia="bg-BG"/>
        </w:rPr>
        <w:t>креатинин) трябва редовно да се проверяват. Когато се подозира бъбречна криза, кръвното налягане трябва да се контролира внимателно.</w:t>
      </w:r>
    </w:p>
    <w:p w14:paraId="15609814" w14:textId="77777777" w:rsidR="007563DC" w:rsidRPr="007563DC" w:rsidRDefault="007563DC" w:rsidP="007563DC">
      <w:pPr>
        <w:spacing w:line="240" w:lineRule="auto"/>
        <w:rPr>
          <w:rFonts w:eastAsia="Times New Roman" w:cs="Arial"/>
          <w:color w:val="000000"/>
          <w:szCs w:val="44"/>
          <w:lang w:eastAsia="bg-BG"/>
        </w:rPr>
      </w:pPr>
    </w:p>
    <w:p w14:paraId="675F0791" w14:textId="2037BD29"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Специално внимание трябва да се обръща, когато се обмисля използването на системни кортикостероиди при пациенти с бъбречна недостатъчност, като е необходимо често проследяване на пациентите.</w:t>
      </w:r>
    </w:p>
    <w:p w14:paraId="1CF93A21" w14:textId="77777777" w:rsidR="007563DC" w:rsidRPr="007563DC" w:rsidRDefault="007563DC" w:rsidP="007563DC">
      <w:pPr>
        <w:spacing w:line="240" w:lineRule="auto"/>
        <w:rPr>
          <w:rFonts w:eastAsia="Times New Roman" w:cs="Arial"/>
          <w:color w:val="000000"/>
          <w:szCs w:val="44"/>
          <w:u w:val="single"/>
          <w:lang w:eastAsia="bg-BG"/>
        </w:rPr>
      </w:pPr>
    </w:p>
    <w:p w14:paraId="43B23D56" w14:textId="77A556A0"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u w:val="single"/>
          <w:lang w:eastAsia="bg-BG"/>
        </w:rPr>
        <w:t>Наранявания, отравяния и усложнения, възникнали в резултат на интервенции</w:t>
      </w:r>
    </w:p>
    <w:p w14:paraId="6BAA199C" w14:textId="77777777" w:rsidR="007563DC" w:rsidRPr="007563DC" w:rsidRDefault="007563DC" w:rsidP="007563DC">
      <w:pPr>
        <w:spacing w:line="240" w:lineRule="auto"/>
        <w:rPr>
          <w:rFonts w:eastAsia="Times New Roman" w:cs="Arial"/>
          <w:color w:val="000000"/>
          <w:szCs w:val="44"/>
          <w:lang w:eastAsia="bg-BG"/>
        </w:rPr>
      </w:pPr>
    </w:p>
    <w:p w14:paraId="27E7E928" w14:textId="571C16F8"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Системните кортикостероиди не са показани и следователно не трябва да се използват за лечение на травматично мозъчно увреждане. Едно многоцентрово проучване е установило повишена смъртност на 2-ра седмица и 6-сти месец след нараняване при пациенти, на които е приложен метилпреднизолон натриев сукцинат, в сравнение с плацебо. Не е установена причинно-следствена връзка с лечението с метилпреднизолон натриев сукцинат</w:t>
      </w:r>
    </w:p>
    <w:p w14:paraId="6FFCFA52" w14:textId="77777777" w:rsidR="007563DC" w:rsidRPr="007563DC" w:rsidRDefault="007563DC" w:rsidP="007563DC">
      <w:pPr>
        <w:spacing w:line="240" w:lineRule="auto"/>
        <w:rPr>
          <w:rFonts w:eastAsia="Times New Roman" w:cs="Arial"/>
          <w:color w:val="000000"/>
          <w:szCs w:val="44"/>
          <w:lang w:eastAsia="bg-BG"/>
        </w:rPr>
      </w:pPr>
    </w:p>
    <w:p w14:paraId="72D7CE0E" w14:textId="51150021" w:rsidR="007563DC" w:rsidRDefault="007563DC" w:rsidP="007563DC">
      <w:pPr>
        <w:spacing w:line="240" w:lineRule="auto"/>
        <w:rPr>
          <w:rFonts w:eastAsia="Times New Roman" w:cs="Arial"/>
          <w:color w:val="000000"/>
          <w:szCs w:val="44"/>
          <w:u w:val="single"/>
          <w:lang w:eastAsia="bg-BG"/>
        </w:rPr>
      </w:pPr>
      <w:r w:rsidRPr="007563DC">
        <w:rPr>
          <w:rFonts w:eastAsia="Times New Roman" w:cs="Arial"/>
          <w:color w:val="000000"/>
          <w:szCs w:val="44"/>
          <w:u w:val="single"/>
          <w:lang w:eastAsia="bg-BG"/>
        </w:rPr>
        <w:t>Други</w:t>
      </w:r>
    </w:p>
    <w:p w14:paraId="711E1601" w14:textId="77777777"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lastRenderedPageBreak/>
        <w:t>Нежеланите реакции могат да бъдат намалени чрез използване на най-ниската ефективна доза за минимален период и чрез прилагане на дневното количество като единична сутрешна доза или когато е възможно като единична сутрешна доза в алтернативни дни. Необходимо е често проследяване на пациента, за да се титрира подходящо дозата според активността на заболяването (вж. точка 4.2).</w:t>
      </w:r>
    </w:p>
    <w:p w14:paraId="664905DB" w14:textId="77777777" w:rsidR="007563DC" w:rsidRPr="007563DC" w:rsidRDefault="007563DC" w:rsidP="007563DC">
      <w:pPr>
        <w:spacing w:line="240" w:lineRule="auto"/>
        <w:rPr>
          <w:rFonts w:eastAsia="Times New Roman" w:cs="Arial"/>
          <w:color w:val="000000"/>
          <w:szCs w:val="44"/>
          <w:lang w:eastAsia="bg-BG"/>
        </w:rPr>
      </w:pPr>
    </w:p>
    <w:p w14:paraId="2A3F29F6" w14:textId="6DBC27A0"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Пациентите трябва да носят в себе си писмена информация, която точно да описва какво лечение провеждат и по каква схема, за да се сведе до минимум рискът от нежелани ефекти при необходимост от провеждане на допълнително лечение или предписване на други медикаменти.</w:t>
      </w:r>
    </w:p>
    <w:p w14:paraId="1C832200" w14:textId="77777777" w:rsidR="007563DC" w:rsidRPr="007563DC" w:rsidRDefault="007563DC" w:rsidP="007563DC">
      <w:pPr>
        <w:spacing w:line="240" w:lineRule="auto"/>
        <w:rPr>
          <w:rFonts w:eastAsia="Times New Roman" w:cs="Arial"/>
          <w:color w:val="000000"/>
          <w:szCs w:val="44"/>
          <w:lang w:eastAsia="bg-BG"/>
        </w:rPr>
      </w:pPr>
    </w:p>
    <w:p w14:paraId="5439971C" w14:textId="4EAEA1D4"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 xml:space="preserve">Едновременното приложение с </w:t>
      </w:r>
      <w:r w:rsidRPr="007563DC">
        <w:rPr>
          <w:rFonts w:eastAsia="Times New Roman" w:cs="Arial"/>
          <w:color w:val="000000"/>
          <w:szCs w:val="44"/>
          <w:lang w:val="en-US"/>
        </w:rPr>
        <w:t>CYP</w:t>
      </w:r>
      <w:r w:rsidRPr="007563DC">
        <w:rPr>
          <w:rFonts w:eastAsia="Times New Roman" w:cs="Arial"/>
          <w:color w:val="000000"/>
          <w:szCs w:val="44"/>
          <w:lang w:val="ru-RU"/>
        </w:rPr>
        <w:t>3</w:t>
      </w:r>
      <w:r w:rsidRPr="007563DC">
        <w:rPr>
          <w:rFonts w:eastAsia="Times New Roman" w:cs="Arial"/>
          <w:color w:val="000000"/>
          <w:szCs w:val="44"/>
          <w:lang w:val="en-US"/>
        </w:rPr>
        <w:t>A</w:t>
      </w:r>
      <w:r w:rsidRPr="007563DC">
        <w:rPr>
          <w:rFonts w:eastAsia="Times New Roman" w:cs="Arial"/>
          <w:color w:val="000000"/>
          <w:szCs w:val="44"/>
          <w:lang w:val="ru-RU"/>
        </w:rPr>
        <w:t xml:space="preserve"> </w:t>
      </w:r>
      <w:r w:rsidRPr="007563DC">
        <w:rPr>
          <w:rFonts w:eastAsia="Times New Roman" w:cs="Arial"/>
          <w:color w:val="000000"/>
          <w:szCs w:val="44"/>
          <w:lang w:eastAsia="bg-BG"/>
        </w:rPr>
        <w:t>инхибитори, включително кобицистат-съдържащи продукти, очаквано може да повиши риска от системни нежелани реакции. Такава комбинация трябва да се избягва, освен ако ползата надхвърля повишения риск от системни кортикостероидни нежелани реакции, при което пациентите трябва да бъдат проследявани за появата на такива реакции (вж. точка 4.5).</w:t>
      </w:r>
    </w:p>
    <w:p w14:paraId="1C21906F" w14:textId="77777777" w:rsidR="007563DC" w:rsidRPr="007563DC" w:rsidRDefault="007563DC" w:rsidP="007563DC">
      <w:pPr>
        <w:spacing w:line="240" w:lineRule="auto"/>
        <w:rPr>
          <w:rFonts w:eastAsia="Times New Roman" w:cs="Arial"/>
          <w:color w:val="000000"/>
          <w:szCs w:val="44"/>
          <w:lang w:eastAsia="bg-BG"/>
        </w:rPr>
      </w:pPr>
    </w:p>
    <w:p w14:paraId="4066F7B8" w14:textId="0B56CDCB"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Аспирин и НСПВС трябва да се използват внимателно в съчетание с кортикостероиди.</w:t>
      </w:r>
    </w:p>
    <w:p w14:paraId="2FC3F33A" w14:textId="77777777" w:rsidR="007563DC" w:rsidRPr="007563DC" w:rsidRDefault="007563DC" w:rsidP="007563DC">
      <w:pPr>
        <w:spacing w:line="240" w:lineRule="auto"/>
        <w:rPr>
          <w:rFonts w:eastAsia="Times New Roman" w:cs="Arial"/>
          <w:color w:val="000000"/>
          <w:szCs w:val="44"/>
          <w:lang w:eastAsia="bg-BG"/>
        </w:rPr>
      </w:pPr>
    </w:p>
    <w:p w14:paraId="493A32EC" w14:textId="38019528"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Съобщава се за феохромоцитомна криза след приложение на системни кортикостероиди, която може да бъде фатална. Кортикостероиди трябва да се прилагат на пациенти с подозиран или установен феохромоцитом само след съответна преценка на съотношението риск/полза.</w:t>
      </w:r>
    </w:p>
    <w:p w14:paraId="735FA9CA" w14:textId="77777777" w:rsidR="007563DC" w:rsidRPr="007563DC" w:rsidRDefault="007563DC" w:rsidP="007563DC">
      <w:pPr>
        <w:spacing w:line="240" w:lineRule="auto"/>
        <w:rPr>
          <w:rFonts w:eastAsia="Times New Roman" w:cs="Arial"/>
          <w:color w:val="000000"/>
          <w:szCs w:val="44"/>
          <w:u w:val="single"/>
          <w:lang w:eastAsia="bg-BG"/>
        </w:rPr>
      </w:pPr>
    </w:p>
    <w:p w14:paraId="58C062D9" w14:textId="163B134A"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u w:val="single"/>
          <w:lang w:eastAsia="bg-BG"/>
        </w:rPr>
        <w:t>Педиатрична популация</w:t>
      </w:r>
    </w:p>
    <w:p w14:paraId="5755EB92" w14:textId="77777777" w:rsidR="007563DC" w:rsidRPr="007563DC" w:rsidRDefault="007563DC" w:rsidP="007563DC">
      <w:pPr>
        <w:spacing w:line="240" w:lineRule="auto"/>
        <w:rPr>
          <w:rFonts w:eastAsia="Times New Roman" w:cs="Arial"/>
          <w:color w:val="000000"/>
          <w:szCs w:val="44"/>
          <w:lang w:eastAsia="bg-BG"/>
        </w:rPr>
      </w:pPr>
    </w:p>
    <w:p w14:paraId="679CF3E0" w14:textId="5F082A91"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Кортикостероидите могат да предизвикат изоставане в растежа при кърмачета, деца и подрастващи. Растежът и развитието при кърмачета и деца, подложени на продължителна кортикостероидна терапия, трябва да бъдат внимателно наблюдавани. Лечението трябва да бъде ограничено до използването на най-ниската ефективна доза за възможно най-кратък период на приложение. С цел ограничаване супресията на хипоталамо-адреналната система и растежа, лечението (когато това е възможно) трябва да се извършва като алтернативна терапия (вж. точка 4.2).</w:t>
      </w:r>
    </w:p>
    <w:p w14:paraId="5793E013" w14:textId="77777777" w:rsidR="007563DC" w:rsidRPr="007563DC" w:rsidRDefault="007563DC" w:rsidP="007563DC">
      <w:pPr>
        <w:spacing w:line="240" w:lineRule="auto"/>
        <w:rPr>
          <w:rFonts w:eastAsia="Times New Roman" w:cs="Arial"/>
          <w:color w:val="000000"/>
          <w:szCs w:val="44"/>
          <w:lang w:eastAsia="bg-BG"/>
        </w:rPr>
      </w:pPr>
    </w:p>
    <w:p w14:paraId="0B44B870" w14:textId="7021B118"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Кърмачета и деца на продължителна кортикостероидна терапия са с особено висок риск от повишено вътречерепно налягане.</w:t>
      </w:r>
    </w:p>
    <w:p w14:paraId="43DC291A" w14:textId="77777777" w:rsidR="007563DC" w:rsidRPr="007563DC" w:rsidRDefault="007563DC" w:rsidP="007563DC">
      <w:pPr>
        <w:spacing w:line="240" w:lineRule="auto"/>
        <w:rPr>
          <w:rFonts w:eastAsia="Times New Roman" w:cs="Arial"/>
          <w:color w:val="000000"/>
          <w:szCs w:val="44"/>
          <w:lang w:eastAsia="bg-BG"/>
        </w:rPr>
      </w:pPr>
    </w:p>
    <w:p w14:paraId="66644EEB" w14:textId="5E963781"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Високи дози кортикостероиди могат да причинят панкреатит при деца.</w:t>
      </w:r>
    </w:p>
    <w:p w14:paraId="084873FC" w14:textId="77777777" w:rsidR="007563DC" w:rsidRPr="007563DC" w:rsidRDefault="007563DC" w:rsidP="007563DC">
      <w:pPr>
        <w:spacing w:line="240" w:lineRule="auto"/>
        <w:rPr>
          <w:rFonts w:eastAsia="Times New Roman" w:cs="Arial"/>
          <w:color w:val="000000"/>
          <w:szCs w:val="44"/>
          <w:u w:val="single"/>
          <w:lang w:eastAsia="bg-BG"/>
        </w:rPr>
      </w:pPr>
    </w:p>
    <w:p w14:paraId="313469FC" w14:textId="295A4CFE"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u w:val="single"/>
          <w:lang w:eastAsia="bg-BG"/>
        </w:rPr>
        <w:t>Приложение при лица в старческа възраст</w:t>
      </w:r>
    </w:p>
    <w:p w14:paraId="7EDAC23B" w14:textId="77777777" w:rsidR="007563DC" w:rsidRPr="007563DC" w:rsidRDefault="007563DC" w:rsidP="007563DC">
      <w:pPr>
        <w:spacing w:line="240" w:lineRule="auto"/>
        <w:rPr>
          <w:rFonts w:eastAsia="Times New Roman" w:cs="Arial"/>
          <w:color w:val="000000"/>
          <w:szCs w:val="44"/>
          <w:lang w:eastAsia="bg-BG"/>
        </w:rPr>
      </w:pPr>
    </w:p>
    <w:p w14:paraId="42D2AF81" w14:textId="3A26D589"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Честите нежелани лекарствени реакции при системно прилаганите кортикостероиди могат да бъдат много по-сериозни при лица в напреднала възраст. Това се отнася особено за остеопорозата, хипертонията, хипокалиемията, захарния диабет, предразположението към инфекции и изтъняването на кожата. При пациентите, в тази възрастова група се препоръчва засилен клиничен контрол с оглед избягване на животозастрашаващи нежелани реакции.</w:t>
      </w:r>
    </w:p>
    <w:p w14:paraId="68A26C6F" w14:textId="77777777" w:rsidR="007563DC" w:rsidRPr="007563DC" w:rsidRDefault="007563DC" w:rsidP="007563DC">
      <w:pPr>
        <w:spacing w:line="240" w:lineRule="auto"/>
        <w:rPr>
          <w:rFonts w:eastAsia="Times New Roman" w:cs="Arial"/>
          <w:color w:val="000000"/>
          <w:szCs w:val="44"/>
          <w:lang w:eastAsia="bg-BG"/>
        </w:rPr>
      </w:pPr>
    </w:p>
    <w:p w14:paraId="27A3C23B" w14:textId="505F0728" w:rsidR="007563DC" w:rsidRPr="007563DC" w:rsidRDefault="007563DC" w:rsidP="007563DC">
      <w:pPr>
        <w:spacing w:line="240" w:lineRule="auto"/>
        <w:rPr>
          <w:rFonts w:eastAsia="Times New Roman" w:cs="Arial"/>
          <w:sz w:val="12"/>
          <w:szCs w:val="24"/>
        </w:rPr>
      </w:pPr>
      <w:r w:rsidRPr="007563DC">
        <w:rPr>
          <w:rFonts w:eastAsia="Times New Roman" w:cs="Arial"/>
          <w:color w:val="000000"/>
          <w:szCs w:val="44"/>
          <w:lang w:eastAsia="bg-BG"/>
        </w:rPr>
        <w:t xml:space="preserve">Всяка таблетка съдържа 491,3 </w:t>
      </w:r>
      <w:r w:rsidRPr="007563DC">
        <w:rPr>
          <w:rFonts w:eastAsia="Times New Roman" w:cs="Arial"/>
          <w:color w:val="000000"/>
          <w:szCs w:val="44"/>
          <w:lang w:val="en-US"/>
        </w:rPr>
        <w:t>mg</w:t>
      </w:r>
      <w:r w:rsidRPr="007563DC">
        <w:rPr>
          <w:rFonts w:eastAsia="Times New Roman" w:cs="Arial"/>
          <w:color w:val="000000"/>
          <w:szCs w:val="44"/>
          <w:lang w:val="ru-RU"/>
        </w:rPr>
        <w:t xml:space="preserve"> </w:t>
      </w:r>
      <w:r w:rsidRPr="007563DC">
        <w:rPr>
          <w:rFonts w:eastAsia="Times New Roman" w:cs="Arial"/>
          <w:color w:val="000000"/>
          <w:szCs w:val="44"/>
          <w:lang w:eastAsia="bg-BG"/>
        </w:rPr>
        <w:t xml:space="preserve">лактоза монохидрат. Пациенти с редки наследствени проблеми на галактозна непоносимост, </w:t>
      </w:r>
      <w:r w:rsidRPr="007563DC">
        <w:rPr>
          <w:rFonts w:eastAsia="Times New Roman" w:cs="Arial"/>
          <w:color w:val="000000"/>
          <w:szCs w:val="44"/>
          <w:lang w:val="en-US"/>
        </w:rPr>
        <w:t>Lapp</w:t>
      </w:r>
      <w:r w:rsidRPr="007563DC">
        <w:rPr>
          <w:rFonts w:eastAsia="Times New Roman" w:cs="Arial"/>
          <w:color w:val="000000"/>
          <w:szCs w:val="44"/>
          <w:lang w:val="ru-RU"/>
        </w:rPr>
        <w:t xml:space="preserve"> </w:t>
      </w:r>
      <w:r w:rsidRPr="007563DC">
        <w:rPr>
          <w:rFonts w:eastAsia="Times New Roman" w:cs="Arial"/>
          <w:color w:val="000000"/>
          <w:szCs w:val="44"/>
          <w:lang w:eastAsia="bg-BG"/>
        </w:rPr>
        <w:t>лактазен дефицит или глюкозо-галактозна малабсорбция не трябва да приемат това лекарство.</w:t>
      </w:r>
    </w:p>
    <w:p w14:paraId="2DB2C8D5" w14:textId="77777777" w:rsidR="007563DC" w:rsidRPr="007563DC" w:rsidRDefault="007563DC" w:rsidP="007563DC">
      <w:pPr>
        <w:spacing w:line="240" w:lineRule="auto"/>
        <w:rPr>
          <w:rFonts w:eastAsia="Times New Roman" w:cs="Arial"/>
          <w:color w:val="000000"/>
          <w:szCs w:val="44"/>
          <w:u w:val="single"/>
          <w:lang w:eastAsia="bg-BG"/>
        </w:rPr>
      </w:pPr>
    </w:p>
    <w:p w14:paraId="4F976105" w14:textId="77777777" w:rsidR="007563DC" w:rsidRPr="007563DC" w:rsidRDefault="007563DC" w:rsidP="007563DC">
      <w:pPr>
        <w:rPr>
          <w:lang w:eastAsia="bg-BG"/>
        </w:rPr>
      </w:pPr>
    </w:p>
    <w:p w14:paraId="1244F76A" w14:textId="3870466F" w:rsidR="00395555" w:rsidRDefault="002C50EE" w:rsidP="008A6AF2">
      <w:pPr>
        <w:pStyle w:val="Heading2"/>
      </w:pPr>
      <w:r>
        <w:t>4.5. Взаимодействие с други лекарствени продукти и други форми на взаимодействие</w:t>
      </w:r>
    </w:p>
    <w:p w14:paraId="464AEF7C" w14:textId="43D235BF" w:rsidR="007563DC" w:rsidRDefault="007563DC" w:rsidP="007563DC"/>
    <w:p w14:paraId="7264C816" w14:textId="36897BD7" w:rsidR="007563DC" w:rsidRDefault="007563DC" w:rsidP="007563DC">
      <w:pPr>
        <w:rPr>
          <w:lang w:val="ru-RU"/>
        </w:rPr>
      </w:pPr>
      <w:r>
        <w:t xml:space="preserve">Метилпреднизолон е субстрат на цитохром Р450 </w:t>
      </w:r>
      <w:r w:rsidRPr="007563DC">
        <w:rPr>
          <w:lang w:val="ru-RU"/>
        </w:rPr>
        <w:t>(</w:t>
      </w:r>
      <w:r>
        <w:rPr>
          <w:lang w:val="en-US"/>
        </w:rPr>
        <w:t>CYP</w:t>
      </w:r>
      <w:r w:rsidRPr="007563DC">
        <w:rPr>
          <w:lang w:val="ru-RU"/>
        </w:rPr>
        <w:t xml:space="preserve">) </w:t>
      </w:r>
      <w:r>
        <w:t xml:space="preserve">ензимната система и се метаболизира основно чрез </w:t>
      </w:r>
      <w:r>
        <w:rPr>
          <w:lang w:val="en-US"/>
        </w:rPr>
        <w:t>CYP</w:t>
      </w:r>
      <w:r w:rsidRPr="007563DC">
        <w:rPr>
          <w:lang w:val="ru-RU"/>
        </w:rPr>
        <w:t>3</w:t>
      </w:r>
      <w:r>
        <w:rPr>
          <w:lang w:val="en-US"/>
        </w:rPr>
        <w:t>A</w:t>
      </w:r>
      <w:r w:rsidRPr="007563DC">
        <w:rPr>
          <w:lang w:val="ru-RU"/>
        </w:rPr>
        <w:t xml:space="preserve">4. </w:t>
      </w:r>
      <w:r>
        <w:rPr>
          <w:lang w:val="en-US"/>
        </w:rPr>
        <w:t>CYP</w:t>
      </w:r>
      <w:r w:rsidRPr="007563DC">
        <w:rPr>
          <w:lang w:val="ru-RU"/>
        </w:rPr>
        <w:t>3</w:t>
      </w:r>
      <w:r>
        <w:rPr>
          <w:lang w:val="en-US"/>
        </w:rPr>
        <w:t>A</w:t>
      </w:r>
      <w:r w:rsidRPr="007563DC">
        <w:rPr>
          <w:lang w:val="ru-RU"/>
        </w:rPr>
        <w:t xml:space="preserve">4 </w:t>
      </w:r>
      <w:r>
        <w:t xml:space="preserve">е доминиращият ензим от </w:t>
      </w:r>
      <w:r>
        <w:rPr>
          <w:lang w:val="en-US"/>
        </w:rPr>
        <w:t>CYP</w:t>
      </w:r>
      <w:r w:rsidRPr="007563DC">
        <w:rPr>
          <w:lang w:val="ru-RU"/>
        </w:rPr>
        <w:t xml:space="preserve"> </w:t>
      </w:r>
      <w:r>
        <w:t>подгрупата в черния-дроб на възрастни хора. Той катализира 6</w:t>
      </w:r>
      <w:r>
        <w:rPr>
          <w:lang w:val="en-US"/>
        </w:rPr>
        <w:t>β</w:t>
      </w:r>
      <w:r>
        <w:t xml:space="preserve">-хидроксилирането на стероидите, </w:t>
      </w:r>
      <w:r>
        <w:rPr>
          <w:lang w:val="en-US"/>
        </w:rPr>
        <w:t>oc</w:t>
      </w:r>
      <w:r>
        <w:t>новната метаболитна стъпка на фаза I, както за ендогенните, така и за синтетичните кортикостероиди. Много други вещества също са субстрати на С</w:t>
      </w:r>
      <w:r>
        <w:rPr>
          <w:lang w:val="en-US"/>
        </w:rPr>
        <w:t>YP</w:t>
      </w:r>
      <w:r w:rsidRPr="007563DC">
        <w:rPr>
          <w:lang w:val="ru-RU"/>
        </w:rPr>
        <w:t>3</w:t>
      </w:r>
      <w:r>
        <w:t xml:space="preserve">А4, като за някои от тях (както и за Други лекарства) е установено, че променят глюкокортикоидния метаболизъм чрез индукция </w:t>
      </w:r>
      <w:r w:rsidRPr="007563DC">
        <w:rPr>
          <w:lang w:val="ru-RU"/>
        </w:rPr>
        <w:t>(</w:t>
      </w:r>
      <w:r>
        <w:rPr>
          <w:lang w:val="en-US"/>
        </w:rPr>
        <w:t>upregulation</w:t>
      </w:r>
      <w:r w:rsidRPr="007563DC">
        <w:rPr>
          <w:lang w:val="ru-RU"/>
        </w:rPr>
        <w:t xml:space="preserve">) </w:t>
      </w:r>
      <w:r>
        <w:t xml:space="preserve">или инхибиция на </w:t>
      </w:r>
      <w:r>
        <w:rPr>
          <w:lang w:val="en-US"/>
        </w:rPr>
        <w:t>CYP</w:t>
      </w:r>
      <w:r w:rsidRPr="007563DC">
        <w:rPr>
          <w:lang w:val="ru-RU"/>
        </w:rPr>
        <w:t>3</w:t>
      </w:r>
      <w:r>
        <w:rPr>
          <w:lang w:val="en-US"/>
        </w:rPr>
        <w:t>A</w:t>
      </w:r>
      <w:r w:rsidRPr="007563DC">
        <w:rPr>
          <w:lang w:val="ru-RU"/>
        </w:rPr>
        <w:t>4.</w:t>
      </w:r>
    </w:p>
    <w:p w14:paraId="5360B242" w14:textId="3FA36EEF" w:rsidR="007563DC" w:rsidRDefault="007563DC" w:rsidP="007563DC">
      <w:pPr>
        <w:rPr>
          <w:lang w:val="ru-RU"/>
        </w:rPr>
      </w:pPr>
    </w:p>
    <w:tbl>
      <w:tblPr>
        <w:tblStyle w:val="TableGrid"/>
        <w:tblW w:w="0" w:type="auto"/>
        <w:tblLook w:val="04A0" w:firstRow="1" w:lastRow="0" w:firstColumn="1" w:lastColumn="0" w:noHBand="0" w:noVBand="1"/>
      </w:tblPr>
      <w:tblGrid>
        <w:gridCol w:w="3919"/>
        <w:gridCol w:w="2680"/>
        <w:gridCol w:w="2751"/>
      </w:tblGrid>
      <w:tr w:rsidR="007563DC" w14:paraId="55CE8569" w14:textId="77777777" w:rsidTr="006B71AB">
        <w:tc>
          <w:tcPr>
            <w:tcW w:w="3974" w:type="dxa"/>
            <w:vAlign w:val="bottom"/>
          </w:tcPr>
          <w:p w14:paraId="564E52C4" w14:textId="42910349" w:rsidR="007563DC" w:rsidRPr="007563DC" w:rsidRDefault="007563DC" w:rsidP="007563DC">
            <w:pPr>
              <w:rPr>
                <w:lang w:val="ru-RU"/>
              </w:rPr>
            </w:pPr>
            <w:r w:rsidRPr="007563DC">
              <w:rPr>
                <w:b/>
                <w:bCs/>
                <w:szCs w:val="44"/>
              </w:rPr>
              <w:t>Лекарствен клас или тип - ЛЕКАРСТВО или СУБСТАНЦИЯ</w:t>
            </w:r>
          </w:p>
        </w:tc>
        <w:tc>
          <w:tcPr>
            <w:tcW w:w="2810" w:type="dxa"/>
            <w:vAlign w:val="center"/>
          </w:tcPr>
          <w:p w14:paraId="15CA17E1" w14:textId="5037D538" w:rsidR="007563DC" w:rsidRPr="007563DC" w:rsidRDefault="007563DC" w:rsidP="007563DC">
            <w:pPr>
              <w:rPr>
                <w:lang w:val="ru-RU"/>
              </w:rPr>
            </w:pPr>
            <w:r w:rsidRPr="007563DC">
              <w:rPr>
                <w:b/>
                <w:bCs/>
                <w:szCs w:val="44"/>
              </w:rPr>
              <w:t>Взаимодействие</w:t>
            </w:r>
          </w:p>
        </w:tc>
        <w:tc>
          <w:tcPr>
            <w:tcW w:w="2792" w:type="dxa"/>
            <w:vAlign w:val="center"/>
          </w:tcPr>
          <w:p w14:paraId="0502C1B9" w14:textId="08FBAD0C" w:rsidR="007563DC" w:rsidRPr="007563DC" w:rsidRDefault="007563DC" w:rsidP="007563DC">
            <w:pPr>
              <w:rPr>
                <w:lang w:val="ru-RU"/>
              </w:rPr>
            </w:pPr>
            <w:r w:rsidRPr="007563DC">
              <w:rPr>
                <w:b/>
                <w:bCs/>
                <w:szCs w:val="44"/>
              </w:rPr>
              <w:t>Ефект</w:t>
            </w:r>
          </w:p>
        </w:tc>
      </w:tr>
      <w:tr w:rsidR="006B71AB" w14:paraId="42E82B89" w14:textId="77777777" w:rsidTr="006B71AB">
        <w:tc>
          <w:tcPr>
            <w:tcW w:w="3974" w:type="dxa"/>
          </w:tcPr>
          <w:p w14:paraId="15421EB2" w14:textId="77777777" w:rsidR="007563DC" w:rsidRDefault="007563DC" w:rsidP="007563DC">
            <w:r>
              <w:t>Антибиотици, противотуберкулозни продукти</w:t>
            </w:r>
          </w:p>
          <w:p w14:paraId="35956EE5" w14:textId="1A143B74" w:rsidR="007563DC" w:rsidRDefault="007563DC" w:rsidP="007563DC">
            <w:pPr>
              <w:pStyle w:val="ListParagraph"/>
              <w:numPr>
                <w:ilvl w:val="0"/>
                <w:numId w:val="44"/>
              </w:numPr>
            </w:pPr>
            <w:r>
              <w:t xml:space="preserve">РИФАМПИН </w:t>
            </w:r>
          </w:p>
          <w:p w14:paraId="6EE0F79D" w14:textId="046AE19A" w:rsidR="007563DC" w:rsidRPr="007563DC" w:rsidRDefault="007563DC" w:rsidP="007563DC">
            <w:pPr>
              <w:pStyle w:val="ListParagraph"/>
              <w:numPr>
                <w:ilvl w:val="0"/>
                <w:numId w:val="44"/>
              </w:numPr>
              <w:rPr>
                <w:lang w:val="ru-RU"/>
              </w:rPr>
            </w:pPr>
            <w:r>
              <w:t>РИФАБУТИН</w:t>
            </w:r>
          </w:p>
        </w:tc>
        <w:tc>
          <w:tcPr>
            <w:tcW w:w="2810" w:type="dxa"/>
            <w:vMerge w:val="restart"/>
          </w:tcPr>
          <w:p w14:paraId="47884682" w14:textId="3E284709" w:rsidR="007563DC" w:rsidRDefault="007563DC" w:rsidP="007563DC">
            <w:pPr>
              <w:rPr>
                <w:lang w:val="ru-RU"/>
              </w:rPr>
            </w:pPr>
            <w:r>
              <w:rPr>
                <w:lang w:val="en-US"/>
              </w:rPr>
              <w:t xml:space="preserve">CYP3A4 </w:t>
            </w:r>
            <w:r>
              <w:t>индуктор</w:t>
            </w:r>
          </w:p>
        </w:tc>
        <w:tc>
          <w:tcPr>
            <w:tcW w:w="2792" w:type="dxa"/>
            <w:vMerge w:val="restart"/>
          </w:tcPr>
          <w:p w14:paraId="79B5A285" w14:textId="77777777" w:rsidR="007563DC" w:rsidRPr="007563DC" w:rsidRDefault="007563DC" w:rsidP="007563DC">
            <w:pPr>
              <w:rPr>
                <w:sz w:val="24"/>
                <w:szCs w:val="24"/>
              </w:rPr>
            </w:pPr>
            <w:r w:rsidRPr="007563DC">
              <w:rPr>
                <w:lang w:val="en-US"/>
              </w:rPr>
              <w:t>CYP</w:t>
            </w:r>
            <w:r w:rsidRPr="007563DC">
              <w:rPr>
                <w:lang w:val="ru-RU"/>
              </w:rPr>
              <w:t>3</w:t>
            </w:r>
            <w:r w:rsidRPr="007563DC">
              <w:rPr>
                <w:lang w:val="en-US"/>
              </w:rPr>
              <w:t>A</w:t>
            </w:r>
            <w:r w:rsidRPr="007563DC">
              <w:rPr>
                <w:lang w:val="ru-RU"/>
              </w:rPr>
              <w:t xml:space="preserve">4 </w:t>
            </w:r>
            <w:r w:rsidRPr="007563DC">
              <w:rPr>
                <w:lang w:eastAsia="bg-BG"/>
              </w:rPr>
              <w:t xml:space="preserve">ИНДУКТОРИ - Лекарства, които потенцират </w:t>
            </w:r>
            <w:r w:rsidRPr="007563DC">
              <w:rPr>
                <w:lang w:val="en-US"/>
              </w:rPr>
              <w:t>CYP</w:t>
            </w:r>
            <w:r w:rsidRPr="007563DC">
              <w:rPr>
                <w:lang w:val="ru-RU"/>
              </w:rPr>
              <w:t>3</w:t>
            </w:r>
            <w:r w:rsidRPr="007563DC">
              <w:rPr>
                <w:lang w:val="en-US"/>
              </w:rPr>
              <w:t>A</w:t>
            </w:r>
            <w:r w:rsidRPr="007563DC">
              <w:rPr>
                <w:lang w:val="ru-RU"/>
              </w:rPr>
              <w:t xml:space="preserve">4 </w:t>
            </w:r>
            <w:r w:rsidRPr="007563DC">
              <w:rPr>
                <w:lang w:eastAsia="bg-BG"/>
              </w:rPr>
              <w:t xml:space="preserve">активността обикновено повишават чернодробния клирънс, което води до понижена плазмена концентрация на лекарства, които са субстрати на </w:t>
            </w:r>
            <w:r w:rsidRPr="007563DC">
              <w:rPr>
                <w:lang w:val="en-US"/>
              </w:rPr>
              <w:t>CYP</w:t>
            </w:r>
            <w:r w:rsidRPr="007563DC">
              <w:rPr>
                <w:lang w:val="ru-RU"/>
              </w:rPr>
              <w:t>3</w:t>
            </w:r>
            <w:r w:rsidRPr="007563DC">
              <w:rPr>
                <w:lang w:val="en-US"/>
              </w:rPr>
              <w:t>A</w:t>
            </w:r>
            <w:r w:rsidRPr="007563DC">
              <w:rPr>
                <w:lang w:val="ru-RU"/>
              </w:rPr>
              <w:t xml:space="preserve">4. </w:t>
            </w:r>
            <w:r w:rsidRPr="007563DC">
              <w:rPr>
                <w:lang w:eastAsia="bg-BG"/>
              </w:rPr>
              <w:t>Едновременното приложение може да изисква увеличаване на дозата на метилпреднизолон, за да се постигне желаният резултат.</w:t>
            </w:r>
          </w:p>
          <w:p w14:paraId="5205C876" w14:textId="77777777" w:rsidR="007563DC" w:rsidRPr="007563DC" w:rsidRDefault="007563DC" w:rsidP="007563DC"/>
        </w:tc>
      </w:tr>
      <w:tr w:rsidR="006B71AB" w14:paraId="4B42D915" w14:textId="77777777" w:rsidTr="006B71AB">
        <w:tc>
          <w:tcPr>
            <w:tcW w:w="3974" w:type="dxa"/>
          </w:tcPr>
          <w:p w14:paraId="642C6DAB" w14:textId="77777777" w:rsidR="007563DC" w:rsidRPr="007563DC" w:rsidRDefault="007563DC" w:rsidP="007563DC">
            <w:pPr>
              <w:rPr>
                <w:sz w:val="24"/>
                <w:szCs w:val="24"/>
              </w:rPr>
            </w:pPr>
            <w:r w:rsidRPr="007563DC">
              <w:rPr>
                <w:lang w:eastAsia="bg-BG"/>
              </w:rPr>
              <w:t>Антиконвулсанти</w:t>
            </w:r>
          </w:p>
          <w:p w14:paraId="17782219" w14:textId="63C7D734" w:rsidR="007563DC" w:rsidRPr="007563DC" w:rsidRDefault="007563DC" w:rsidP="007563DC">
            <w:pPr>
              <w:pStyle w:val="ListParagraph"/>
              <w:numPr>
                <w:ilvl w:val="0"/>
                <w:numId w:val="44"/>
              </w:numPr>
              <w:rPr>
                <w:sz w:val="24"/>
                <w:szCs w:val="24"/>
              </w:rPr>
            </w:pPr>
            <w:r w:rsidRPr="007563DC">
              <w:rPr>
                <w:lang w:eastAsia="bg-BG"/>
              </w:rPr>
              <w:t>ФЕНОБАРБИТАЛ</w:t>
            </w:r>
          </w:p>
          <w:p w14:paraId="76C0DEEA" w14:textId="0690355D" w:rsidR="007563DC" w:rsidRPr="007563DC" w:rsidRDefault="007563DC" w:rsidP="007563DC">
            <w:pPr>
              <w:pStyle w:val="ListParagraph"/>
              <w:numPr>
                <w:ilvl w:val="0"/>
                <w:numId w:val="44"/>
              </w:numPr>
              <w:rPr>
                <w:lang w:eastAsia="bg-BG"/>
              </w:rPr>
            </w:pPr>
            <w:r w:rsidRPr="007563DC">
              <w:rPr>
                <w:lang w:eastAsia="bg-BG"/>
              </w:rPr>
              <w:t>ФЕНИТОИН</w:t>
            </w:r>
          </w:p>
          <w:p w14:paraId="60349BEF" w14:textId="2E2C4524" w:rsidR="007563DC" w:rsidRPr="007563DC" w:rsidRDefault="007563DC" w:rsidP="007563DC">
            <w:pPr>
              <w:pStyle w:val="ListParagraph"/>
              <w:numPr>
                <w:ilvl w:val="0"/>
                <w:numId w:val="44"/>
              </w:numPr>
              <w:rPr>
                <w:lang w:eastAsia="bg-BG"/>
              </w:rPr>
            </w:pPr>
            <w:r w:rsidRPr="007563DC">
              <w:rPr>
                <w:lang w:eastAsia="bg-BG"/>
              </w:rPr>
              <w:t>ПРИМИДОН</w:t>
            </w:r>
          </w:p>
          <w:p w14:paraId="5FDB0A59" w14:textId="77777777" w:rsidR="007563DC" w:rsidRDefault="007563DC" w:rsidP="007563DC">
            <w:pPr>
              <w:rPr>
                <w:lang w:val="ru-RU"/>
              </w:rPr>
            </w:pPr>
          </w:p>
        </w:tc>
        <w:tc>
          <w:tcPr>
            <w:tcW w:w="2810" w:type="dxa"/>
            <w:vMerge/>
          </w:tcPr>
          <w:p w14:paraId="7128E187" w14:textId="77777777" w:rsidR="007563DC" w:rsidRDefault="007563DC" w:rsidP="007563DC">
            <w:pPr>
              <w:rPr>
                <w:lang w:val="ru-RU"/>
              </w:rPr>
            </w:pPr>
          </w:p>
        </w:tc>
        <w:tc>
          <w:tcPr>
            <w:tcW w:w="2792" w:type="dxa"/>
            <w:vMerge/>
          </w:tcPr>
          <w:p w14:paraId="4860F925" w14:textId="77777777" w:rsidR="007563DC" w:rsidRDefault="007563DC" w:rsidP="007563DC">
            <w:pPr>
              <w:rPr>
                <w:lang w:val="ru-RU"/>
              </w:rPr>
            </w:pPr>
          </w:p>
        </w:tc>
      </w:tr>
      <w:tr w:rsidR="007563DC" w14:paraId="3AAE0593" w14:textId="77777777" w:rsidTr="006B71AB">
        <w:tc>
          <w:tcPr>
            <w:tcW w:w="3974" w:type="dxa"/>
            <w:vAlign w:val="center"/>
          </w:tcPr>
          <w:p w14:paraId="631A6366" w14:textId="77777777" w:rsidR="007563DC" w:rsidRPr="007563DC" w:rsidRDefault="007563DC" w:rsidP="007563DC">
            <w:r w:rsidRPr="007563DC">
              <w:rPr>
                <w:szCs w:val="44"/>
              </w:rPr>
              <w:t>Антиконвулсант</w:t>
            </w:r>
          </w:p>
          <w:p w14:paraId="5E8ECFE5" w14:textId="3149631C" w:rsidR="007563DC" w:rsidRPr="007563DC" w:rsidRDefault="007563DC" w:rsidP="007563DC">
            <w:pPr>
              <w:pStyle w:val="ListParagraph"/>
              <w:numPr>
                <w:ilvl w:val="0"/>
                <w:numId w:val="44"/>
              </w:numPr>
              <w:rPr>
                <w:lang w:val="ru-RU"/>
              </w:rPr>
            </w:pPr>
            <w:r w:rsidRPr="007563DC">
              <w:rPr>
                <w:szCs w:val="44"/>
              </w:rPr>
              <w:t>КАРБАМАЗЕПИН</w:t>
            </w:r>
          </w:p>
        </w:tc>
        <w:tc>
          <w:tcPr>
            <w:tcW w:w="2810" w:type="dxa"/>
            <w:vAlign w:val="center"/>
          </w:tcPr>
          <w:p w14:paraId="27CA7928" w14:textId="4D3BD58C" w:rsidR="007563DC" w:rsidRPr="007563DC" w:rsidRDefault="007563DC" w:rsidP="007563DC">
            <w:pPr>
              <w:rPr>
                <w:lang w:val="ru-RU"/>
              </w:rPr>
            </w:pPr>
            <w:r w:rsidRPr="007563DC">
              <w:rPr>
                <w:szCs w:val="44"/>
                <w:lang w:val="en-US"/>
              </w:rPr>
              <w:t xml:space="preserve">CYP3A4 </w:t>
            </w:r>
            <w:r w:rsidRPr="007563DC">
              <w:rPr>
                <w:szCs w:val="44"/>
              </w:rPr>
              <w:t>индуктор (и субстрат)</w:t>
            </w:r>
          </w:p>
        </w:tc>
        <w:tc>
          <w:tcPr>
            <w:tcW w:w="2792" w:type="dxa"/>
            <w:vAlign w:val="bottom"/>
          </w:tcPr>
          <w:p w14:paraId="1D96BBC4" w14:textId="0B7C2C30" w:rsidR="007563DC" w:rsidRPr="007563DC" w:rsidRDefault="007563DC" w:rsidP="007563DC">
            <w:pPr>
              <w:rPr>
                <w:lang w:val="ru-RU"/>
              </w:rPr>
            </w:pPr>
            <w:r w:rsidRPr="007563DC">
              <w:rPr>
                <w:szCs w:val="44"/>
                <w:lang w:val="en-US"/>
              </w:rPr>
              <w:t>CYP</w:t>
            </w:r>
            <w:r w:rsidRPr="007563DC">
              <w:rPr>
                <w:szCs w:val="44"/>
                <w:lang w:val="ru-RU"/>
              </w:rPr>
              <w:t>3</w:t>
            </w:r>
            <w:r w:rsidRPr="007563DC">
              <w:rPr>
                <w:szCs w:val="44"/>
                <w:lang w:val="en-US"/>
              </w:rPr>
              <w:t>A</w:t>
            </w:r>
            <w:r w:rsidRPr="007563DC">
              <w:rPr>
                <w:szCs w:val="44"/>
                <w:lang w:val="ru-RU"/>
              </w:rPr>
              <w:t xml:space="preserve">4 </w:t>
            </w:r>
            <w:r w:rsidRPr="007563DC">
              <w:rPr>
                <w:szCs w:val="44"/>
              </w:rPr>
              <w:t xml:space="preserve">ИНДУКТОРИ - вж. горната клетка. </w:t>
            </w:r>
            <w:r w:rsidRPr="007563DC">
              <w:rPr>
                <w:szCs w:val="44"/>
                <w:lang w:val="en-US"/>
              </w:rPr>
              <w:t>CYP</w:t>
            </w:r>
            <w:r w:rsidRPr="007563DC">
              <w:rPr>
                <w:szCs w:val="44"/>
                <w:lang w:val="ru-RU"/>
              </w:rPr>
              <w:t>3</w:t>
            </w:r>
            <w:r w:rsidRPr="007563DC">
              <w:rPr>
                <w:szCs w:val="44"/>
                <w:lang w:val="en-US"/>
              </w:rPr>
              <w:t>A</w:t>
            </w:r>
            <w:r w:rsidRPr="007563DC">
              <w:rPr>
                <w:szCs w:val="44"/>
                <w:lang w:val="ru-RU"/>
              </w:rPr>
              <w:t xml:space="preserve">4 </w:t>
            </w:r>
            <w:r w:rsidRPr="007563DC">
              <w:rPr>
                <w:szCs w:val="44"/>
              </w:rPr>
              <w:t xml:space="preserve">СУБСТРАТИ - В присъствието на друг субстрат на </w:t>
            </w:r>
            <w:r w:rsidRPr="007563DC">
              <w:rPr>
                <w:szCs w:val="44"/>
                <w:lang w:val="en-US"/>
              </w:rPr>
              <w:t>CYP</w:t>
            </w:r>
            <w:r w:rsidRPr="007563DC">
              <w:rPr>
                <w:szCs w:val="44"/>
                <w:lang w:val="ru-RU"/>
              </w:rPr>
              <w:t>3</w:t>
            </w:r>
            <w:r w:rsidRPr="007563DC">
              <w:rPr>
                <w:szCs w:val="44"/>
                <w:lang w:val="en-US"/>
              </w:rPr>
              <w:t>A</w:t>
            </w:r>
            <w:r w:rsidRPr="007563DC">
              <w:rPr>
                <w:szCs w:val="44"/>
                <w:lang w:val="ru-RU"/>
              </w:rPr>
              <w:t xml:space="preserve">4, </w:t>
            </w:r>
            <w:r w:rsidRPr="007563DC">
              <w:rPr>
                <w:szCs w:val="44"/>
              </w:rPr>
              <w:t xml:space="preserve">чернодробният клирънс на метилпреднизолон може да бъде повлиян, което да наложи съответните корекции на дозата. Възможно е неблагоприятните събития, свързани с употребата на двата </w:t>
            </w:r>
            <w:r w:rsidRPr="007563DC">
              <w:rPr>
                <w:szCs w:val="44"/>
              </w:rPr>
              <w:lastRenderedPageBreak/>
              <w:t>медикамента, да са по</w:t>
            </w:r>
            <w:r w:rsidRPr="007563DC">
              <w:rPr>
                <w:szCs w:val="44"/>
              </w:rPr>
              <w:softHyphen/>
              <w:t>чести при едновременното приложение.</w:t>
            </w:r>
          </w:p>
        </w:tc>
      </w:tr>
      <w:tr w:rsidR="006B71AB" w14:paraId="407C6EF1" w14:textId="77777777" w:rsidTr="006B71AB">
        <w:tc>
          <w:tcPr>
            <w:tcW w:w="3974" w:type="dxa"/>
          </w:tcPr>
          <w:p w14:paraId="3C3DFC8A" w14:textId="77777777" w:rsidR="007563DC" w:rsidRPr="007563DC" w:rsidRDefault="007563DC" w:rsidP="007563DC">
            <w:pPr>
              <w:rPr>
                <w:rFonts w:cs="Arial"/>
              </w:rPr>
            </w:pPr>
            <w:r w:rsidRPr="007563DC">
              <w:rPr>
                <w:rFonts w:cs="Arial"/>
              </w:rPr>
              <w:lastRenderedPageBreak/>
              <w:t>Макролидни антибиотици</w:t>
            </w:r>
          </w:p>
          <w:p w14:paraId="4118BB28" w14:textId="263893EB" w:rsidR="007563DC" w:rsidRPr="007563DC" w:rsidRDefault="007563DC" w:rsidP="007563DC">
            <w:pPr>
              <w:pStyle w:val="ListParagraph"/>
              <w:numPr>
                <w:ilvl w:val="0"/>
                <w:numId w:val="44"/>
              </w:numPr>
              <w:rPr>
                <w:rFonts w:cs="Arial"/>
                <w:lang w:val="ru-RU"/>
              </w:rPr>
            </w:pPr>
            <w:r w:rsidRPr="007563DC">
              <w:rPr>
                <w:rFonts w:cs="Arial"/>
              </w:rPr>
              <w:t>ТРОЛЕАНДОМИЦИН</w:t>
            </w:r>
          </w:p>
        </w:tc>
        <w:tc>
          <w:tcPr>
            <w:tcW w:w="2810" w:type="dxa"/>
            <w:vMerge w:val="restart"/>
          </w:tcPr>
          <w:p w14:paraId="6CD0D6CE" w14:textId="7F63D878" w:rsidR="007563DC" w:rsidRDefault="007563DC" w:rsidP="007563DC">
            <w:pPr>
              <w:rPr>
                <w:lang w:val="ru-RU"/>
              </w:rPr>
            </w:pPr>
            <w:r>
              <w:rPr>
                <w:lang w:val="en-US"/>
              </w:rPr>
              <w:t xml:space="preserve">CYP3A4 </w:t>
            </w:r>
            <w:r>
              <w:t>инхибитор</w:t>
            </w:r>
          </w:p>
        </w:tc>
        <w:tc>
          <w:tcPr>
            <w:tcW w:w="2792" w:type="dxa"/>
            <w:vMerge w:val="restart"/>
          </w:tcPr>
          <w:p w14:paraId="27341721" w14:textId="77777777" w:rsidR="007563DC" w:rsidRPr="007563DC" w:rsidRDefault="007563DC" w:rsidP="007563DC">
            <w:pPr>
              <w:rPr>
                <w:sz w:val="24"/>
                <w:szCs w:val="24"/>
              </w:rPr>
            </w:pPr>
            <w:r w:rsidRPr="007563DC">
              <w:rPr>
                <w:lang w:val="en-US"/>
              </w:rPr>
              <w:t>YP</w:t>
            </w:r>
            <w:r w:rsidRPr="007563DC">
              <w:rPr>
                <w:lang w:val="ru-RU"/>
              </w:rPr>
              <w:t>3</w:t>
            </w:r>
            <w:r w:rsidRPr="007563DC">
              <w:rPr>
                <w:lang w:val="en-US"/>
              </w:rPr>
              <w:t>A</w:t>
            </w:r>
            <w:r w:rsidRPr="007563DC">
              <w:rPr>
                <w:lang w:val="ru-RU"/>
              </w:rPr>
              <w:t xml:space="preserve">4 </w:t>
            </w:r>
            <w:r w:rsidRPr="007563DC">
              <w:rPr>
                <w:lang w:eastAsia="bg-BG"/>
              </w:rPr>
              <w:t xml:space="preserve">ИНХИБИТОРИ - Лекарствата, които инхибират активността на </w:t>
            </w:r>
            <w:r w:rsidRPr="007563DC">
              <w:rPr>
                <w:lang w:val="en-US"/>
              </w:rPr>
              <w:t>CYP</w:t>
            </w:r>
            <w:r w:rsidRPr="007563DC">
              <w:rPr>
                <w:lang w:val="ru-RU"/>
              </w:rPr>
              <w:t>3</w:t>
            </w:r>
            <w:r w:rsidRPr="007563DC">
              <w:rPr>
                <w:lang w:val="en-US"/>
              </w:rPr>
              <w:t>A</w:t>
            </w:r>
            <w:r w:rsidRPr="007563DC">
              <w:rPr>
                <w:lang w:val="ru-RU"/>
              </w:rPr>
              <w:t xml:space="preserve">4, </w:t>
            </w:r>
            <w:r w:rsidRPr="007563DC">
              <w:rPr>
                <w:lang w:eastAsia="bg-BG"/>
              </w:rPr>
              <w:t xml:space="preserve">обикновено понижават чернодробния клирънс и повишават плазмената концентрация на субстрати на </w:t>
            </w:r>
            <w:r w:rsidRPr="007563DC">
              <w:rPr>
                <w:lang w:val="en-US"/>
              </w:rPr>
              <w:t>CYP</w:t>
            </w:r>
            <w:r w:rsidRPr="007563DC">
              <w:rPr>
                <w:lang w:val="ru-RU"/>
              </w:rPr>
              <w:t>3</w:t>
            </w:r>
            <w:r w:rsidRPr="007563DC">
              <w:rPr>
                <w:lang w:val="en-US"/>
              </w:rPr>
              <w:t>A</w:t>
            </w:r>
            <w:r w:rsidRPr="007563DC">
              <w:rPr>
                <w:lang w:val="ru-RU"/>
              </w:rPr>
              <w:t xml:space="preserve">4, </w:t>
            </w:r>
            <w:r w:rsidRPr="007563DC">
              <w:rPr>
                <w:lang w:eastAsia="bg-BG"/>
              </w:rPr>
              <w:t xml:space="preserve">като метилпреднизолон. В присъствието на инхибитор на </w:t>
            </w:r>
            <w:r w:rsidRPr="007563DC">
              <w:rPr>
                <w:lang w:val="en-US"/>
              </w:rPr>
              <w:t>CYP</w:t>
            </w:r>
            <w:r w:rsidRPr="007563DC">
              <w:rPr>
                <w:lang w:val="ru-RU"/>
              </w:rPr>
              <w:t>3</w:t>
            </w:r>
            <w:r w:rsidRPr="007563DC">
              <w:rPr>
                <w:lang w:val="en-US"/>
              </w:rPr>
              <w:t>A</w:t>
            </w:r>
            <w:r w:rsidRPr="007563DC">
              <w:rPr>
                <w:lang w:val="ru-RU"/>
              </w:rPr>
              <w:t xml:space="preserve">4 </w:t>
            </w:r>
            <w:r w:rsidRPr="007563DC">
              <w:rPr>
                <w:lang w:eastAsia="bg-BG"/>
              </w:rPr>
              <w:t>може да е необходимо дозата на метилпреднизолон да бъде титрирана, за да се избегне стероидната токсичност.</w:t>
            </w:r>
          </w:p>
          <w:p w14:paraId="22CD7E8B" w14:textId="77777777" w:rsidR="007563DC" w:rsidRPr="007563DC" w:rsidRDefault="007563DC" w:rsidP="007563DC"/>
        </w:tc>
      </w:tr>
      <w:tr w:rsidR="006B71AB" w14:paraId="41415BCE" w14:textId="77777777" w:rsidTr="006B71AB">
        <w:tc>
          <w:tcPr>
            <w:tcW w:w="3974" w:type="dxa"/>
          </w:tcPr>
          <w:p w14:paraId="42145ADD" w14:textId="77777777" w:rsidR="007563DC" w:rsidRPr="007563DC" w:rsidRDefault="007563DC" w:rsidP="007563DC">
            <w:pPr>
              <w:rPr>
                <w:rFonts w:eastAsia="Times New Roman" w:cs="Arial"/>
                <w:color w:val="000000"/>
                <w:lang w:eastAsia="bg-BG"/>
              </w:rPr>
            </w:pPr>
            <w:r w:rsidRPr="007563DC">
              <w:rPr>
                <w:rFonts w:eastAsia="Times New Roman" w:cs="Arial"/>
                <w:color w:val="000000"/>
                <w:lang w:eastAsia="bg-BG"/>
              </w:rPr>
              <w:t>СОК ОТ ГРЕЙПФРУТ</w:t>
            </w:r>
          </w:p>
          <w:p w14:paraId="00B8E23B" w14:textId="77777777" w:rsidR="007563DC" w:rsidRPr="007563DC" w:rsidRDefault="007563DC" w:rsidP="007563DC">
            <w:pPr>
              <w:rPr>
                <w:rFonts w:cs="Arial"/>
                <w:lang w:val="ru-RU"/>
              </w:rPr>
            </w:pPr>
          </w:p>
        </w:tc>
        <w:tc>
          <w:tcPr>
            <w:tcW w:w="2810" w:type="dxa"/>
            <w:vMerge/>
          </w:tcPr>
          <w:p w14:paraId="4FCB9A45" w14:textId="77777777" w:rsidR="007563DC" w:rsidRDefault="007563DC" w:rsidP="007563DC">
            <w:pPr>
              <w:rPr>
                <w:lang w:val="ru-RU"/>
              </w:rPr>
            </w:pPr>
          </w:p>
        </w:tc>
        <w:tc>
          <w:tcPr>
            <w:tcW w:w="2792" w:type="dxa"/>
            <w:vMerge/>
          </w:tcPr>
          <w:p w14:paraId="50EA22AE" w14:textId="77777777" w:rsidR="007563DC" w:rsidRDefault="007563DC" w:rsidP="007563DC">
            <w:pPr>
              <w:rPr>
                <w:lang w:val="ru-RU"/>
              </w:rPr>
            </w:pPr>
          </w:p>
        </w:tc>
      </w:tr>
      <w:tr w:rsidR="006B71AB" w14:paraId="765E9485" w14:textId="77777777" w:rsidTr="006B71AB">
        <w:tc>
          <w:tcPr>
            <w:tcW w:w="3974" w:type="dxa"/>
          </w:tcPr>
          <w:p w14:paraId="6C36BEC6" w14:textId="77777777" w:rsidR="007563DC" w:rsidRPr="007563DC" w:rsidRDefault="007563DC" w:rsidP="007563DC">
            <w:pPr>
              <w:rPr>
                <w:rFonts w:eastAsia="Times New Roman" w:cs="Arial"/>
                <w:sz w:val="24"/>
                <w:szCs w:val="24"/>
              </w:rPr>
            </w:pPr>
            <w:r w:rsidRPr="007563DC">
              <w:rPr>
                <w:rFonts w:eastAsia="Times New Roman" w:cs="Arial"/>
                <w:color w:val="000000"/>
                <w:lang w:eastAsia="bg-BG"/>
              </w:rPr>
              <w:t>Калциеви антагонисти</w:t>
            </w:r>
          </w:p>
          <w:p w14:paraId="0B41AE8A" w14:textId="2295C82D" w:rsidR="007563DC" w:rsidRPr="007563DC" w:rsidRDefault="007563DC" w:rsidP="007563DC">
            <w:pPr>
              <w:pStyle w:val="ListParagraph"/>
              <w:numPr>
                <w:ilvl w:val="0"/>
                <w:numId w:val="44"/>
              </w:numPr>
              <w:rPr>
                <w:rFonts w:eastAsia="Times New Roman" w:cs="Arial"/>
                <w:color w:val="000000"/>
                <w:lang w:eastAsia="bg-BG"/>
              </w:rPr>
            </w:pPr>
            <w:r w:rsidRPr="007563DC">
              <w:rPr>
                <w:rFonts w:eastAsia="Times New Roman" w:cs="Arial"/>
                <w:color w:val="000000"/>
                <w:lang w:eastAsia="bg-BG"/>
              </w:rPr>
              <w:t>МИБЕФРАДИЛ</w:t>
            </w:r>
          </w:p>
          <w:p w14:paraId="036BCB93" w14:textId="77777777" w:rsidR="007563DC" w:rsidRPr="007563DC" w:rsidRDefault="007563DC" w:rsidP="007563DC">
            <w:pPr>
              <w:rPr>
                <w:rFonts w:cs="Arial"/>
                <w:lang w:val="ru-RU"/>
              </w:rPr>
            </w:pPr>
          </w:p>
        </w:tc>
        <w:tc>
          <w:tcPr>
            <w:tcW w:w="2810" w:type="dxa"/>
            <w:vMerge/>
          </w:tcPr>
          <w:p w14:paraId="596D82CB" w14:textId="77777777" w:rsidR="007563DC" w:rsidRDefault="007563DC" w:rsidP="007563DC">
            <w:pPr>
              <w:rPr>
                <w:lang w:val="ru-RU"/>
              </w:rPr>
            </w:pPr>
          </w:p>
        </w:tc>
        <w:tc>
          <w:tcPr>
            <w:tcW w:w="2792" w:type="dxa"/>
            <w:vMerge/>
          </w:tcPr>
          <w:p w14:paraId="593F8F05" w14:textId="77777777" w:rsidR="007563DC" w:rsidRDefault="007563DC" w:rsidP="007563DC">
            <w:pPr>
              <w:rPr>
                <w:lang w:val="ru-RU"/>
              </w:rPr>
            </w:pPr>
          </w:p>
        </w:tc>
      </w:tr>
      <w:tr w:rsidR="006B71AB" w14:paraId="1D5B7B7E" w14:textId="77777777" w:rsidTr="006B71AB">
        <w:tc>
          <w:tcPr>
            <w:tcW w:w="3974" w:type="dxa"/>
          </w:tcPr>
          <w:p w14:paraId="7CF3B09D" w14:textId="77777777" w:rsidR="007563DC" w:rsidRPr="007563DC" w:rsidRDefault="007563DC" w:rsidP="007563DC">
            <w:pPr>
              <w:rPr>
                <w:rFonts w:cs="Arial"/>
              </w:rPr>
            </w:pPr>
            <w:r w:rsidRPr="007563DC">
              <w:rPr>
                <w:rFonts w:cs="Arial"/>
              </w:rPr>
              <w:t>Хистамин Н2 рецепторни блокери</w:t>
            </w:r>
          </w:p>
          <w:p w14:paraId="2574AD20" w14:textId="12C992FB" w:rsidR="007563DC" w:rsidRPr="007563DC" w:rsidRDefault="007563DC" w:rsidP="007563DC">
            <w:pPr>
              <w:pStyle w:val="ListParagraph"/>
              <w:numPr>
                <w:ilvl w:val="0"/>
                <w:numId w:val="44"/>
              </w:numPr>
              <w:rPr>
                <w:rFonts w:cs="Arial"/>
                <w:lang w:val="ru-RU"/>
              </w:rPr>
            </w:pPr>
            <w:r w:rsidRPr="007563DC">
              <w:rPr>
                <w:rFonts w:cs="Arial"/>
              </w:rPr>
              <w:t>ЦИМЕТИДИН</w:t>
            </w:r>
          </w:p>
        </w:tc>
        <w:tc>
          <w:tcPr>
            <w:tcW w:w="2810" w:type="dxa"/>
            <w:vMerge/>
          </w:tcPr>
          <w:p w14:paraId="08227361" w14:textId="77777777" w:rsidR="007563DC" w:rsidRDefault="007563DC" w:rsidP="007563DC">
            <w:pPr>
              <w:rPr>
                <w:lang w:val="ru-RU"/>
              </w:rPr>
            </w:pPr>
          </w:p>
        </w:tc>
        <w:tc>
          <w:tcPr>
            <w:tcW w:w="2792" w:type="dxa"/>
            <w:vMerge/>
          </w:tcPr>
          <w:p w14:paraId="2CB1000B" w14:textId="77777777" w:rsidR="007563DC" w:rsidRDefault="007563DC" w:rsidP="007563DC">
            <w:pPr>
              <w:rPr>
                <w:lang w:val="ru-RU"/>
              </w:rPr>
            </w:pPr>
          </w:p>
        </w:tc>
      </w:tr>
      <w:tr w:rsidR="006B71AB" w14:paraId="5DC5FB02" w14:textId="77777777" w:rsidTr="006B71AB">
        <w:tc>
          <w:tcPr>
            <w:tcW w:w="3974" w:type="dxa"/>
          </w:tcPr>
          <w:p w14:paraId="7369EB2F" w14:textId="77777777" w:rsidR="007563DC" w:rsidRPr="007563DC" w:rsidRDefault="007563DC" w:rsidP="007563DC">
            <w:pPr>
              <w:rPr>
                <w:rFonts w:eastAsia="Times New Roman" w:cs="Arial"/>
                <w:sz w:val="24"/>
                <w:szCs w:val="24"/>
              </w:rPr>
            </w:pPr>
            <w:r w:rsidRPr="007563DC">
              <w:rPr>
                <w:rFonts w:eastAsia="Times New Roman" w:cs="Arial"/>
                <w:color w:val="000000"/>
                <w:lang w:eastAsia="bg-BG"/>
              </w:rPr>
              <w:t>Антибактериални продукти</w:t>
            </w:r>
          </w:p>
          <w:p w14:paraId="417060B0" w14:textId="3782D1CB" w:rsidR="007563DC" w:rsidRPr="007563DC" w:rsidRDefault="007563DC" w:rsidP="007563DC">
            <w:pPr>
              <w:pStyle w:val="ListParagraph"/>
              <w:numPr>
                <w:ilvl w:val="0"/>
                <w:numId w:val="44"/>
              </w:numPr>
              <w:rPr>
                <w:rFonts w:eastAsia="Times New Roman" w:cs="Arial"/>
                <w:color w:val="000000"/>
                <w:lang w:eastAsia="bg-BG"/>
              </w:rPr>
            </w:pPr>
            <w:r w:rsidRPr="007563DC">
              <w:rPr>
                <w:rFonts w:eastAsia="Times New Roman" w:cs="Arial"/>
                <w:color w:val="000000"/>
                <w:lang w:eastAsia="bg-BG"/>
              </w:rPr>
              <w:t>ИЗОНИАЗИД</w:t>
            </w:r>
          </w:p>
          <w:p w14:paraId="599D4DEA" w14:textId="77777777" w:rsidR="007563DC" w:rsidRPr="007563DC" w:rsidRDefault="007563DC" w:rsidP="007563DC">
            <w:pPr>
              <w:rPr>
                <w:rFonts w:cs="Arial"/>
                <w:lang w:val="ru-RU"/>
              </w:rPr>
            </w:pPr>
          </w:p>
        </w:tc>
        <w:tc>
          <w:tcPr>
            <w:tcW w:w="2810" w:type="dxa"/>
            <w:vMerge/>
          </w:tcPr>
          <w:p w14:paraId="02C2EC3E" w14:textId="77777777" w:rsidR="007563DC" w:rsidRDefault="007563DC" w:rsidP="007563DC">
            <w:pPr>
              <w:rPr>
                <w:lang w:val="ru-RU"/>
              </w:rPr>
            </w:pPr>
          </w:p>
        </w:tc>
        <w:tc>
          <w:tcPr>
            <w:tcW w:w="2792" w:type="dxa"/>
          </w:tcPr>
          <w:p w14:paraId="0AEDBF06" w14:textId="37E334E2" w:rsidR="007563DC" w:rsidRDefault="007563DC" w:rsidP="007563DC">
            <w:pPr>
              <w:rPr>
                <w:lang w:val="ru-RU"/>
              </w:rPr>
            </w:pPr>
            <w:r>
              <w:t>Освен това има потенциален ефект на метилпреднизолон за увеличаване на скоростта на ацетилиране и клирънса на изониазид.</w:t>
            </w:r>
          </w:p>
        </w:tc>
      </w:tr>
      <w:tr w:rsidR="006B71AB" w14:paraId="698CE653" w14:textId="77777777" w:rsidTr="006B71AB">
        <w:tc>
          <w:tcPr>
            <w:tcW w:w="3974" w:type="dxa"/>
          </w:tcPr>
          <w:p w14:paraId="21CC3DCE" w14:textId="77777777" w:rsidR="006B71AB" w:rsidRPr="007563DC" w:rsidRDefault="006B71AB" w:rsidP="007563DC">
            <w:pPr>
              <w:spacing w:line="240" w:lineRule="auto"/>
              <w:rPr>
                <w:rFonts w:eastAsia="Times New Roman" w:cs="Arial"/>
              </w:rPr>
            </w:pPr>
            <w:r w:rsidRPr="007563DC">
              <w:rPr>
                <w:rFonts w:eastAsia="Times New Roman" w:cs="Arial"/>
                <w:color w:val="000000"/>
                <w:lang w:eastAsia="bg-BG"/>
              </w:rPr>
              <w:t>Антиеметици</w:t>
            </w:r>
          </w:p>
          <w:p w14:paraId="336BCE58" w14:textId="05B813DB" w:rsidR="006B71AB" w:rsidRPr="007563DC" w:rsidRDefault="006B71AB" w:rsidP="007563DC">
            <w:pPr>
              <w:pStyle w:val="ListParagraph"/>
              <w:numPr>
                <w:ilvl w:val="0"/>
                <w:numId w:val="44"/>
              </w:numPr>
              <w:spacing w:line="240" w:lineRule="auto"/>
              <w:rPr>
                <w:rFonts w:eastAsia="Times New Roman" w:cs="Arial"/>
                <w:color w:val="000000"/>
                <w:lang w:eastAsia="bg-BG"/>
              </w:rPr>
            </w:pPr>
            <w:r w:rsidRPr="007563DC">
              <w:rPr>
                <w:rFonts w:eastAsia="Times New Roman" w:cs="Arial"/>
                <w:color w:val="000000"/>
                <w:lang w:eastAsia="bg-BG"/>
              </w:rPr>
              <w:t>АПРЕПИТАНТ</w:t>
            </w:r>
          </w:p>
          <w:p w14:paraId="0F3B648C" w14:textId="64AC4517" w:rsidR="006B71AB" w:rsidRPr="007563DC" w:rsidRDefault="006B71AB" w:rsidP="007563DC">
            <w:pPr>
              <w:pStyle w:val="ListParagraph"/>
              <w:numPr>
                <w:ilvl w:val="0"/>
                <w:numId w:val="44"/>
              </w:numPr>
              <w:rPr>
                <w:rFonts w:cs="Arial"/>
                <w:lang w:val="ru-RU"/>
              </w:rPr>
            </w:pPr>
            <w:r w:rsidRPr="007563DC">
              <w:rPr>
                <w:rFonts w:eastAsia="Times New Roman" w:cs="Arial"/>
                <w:color w:val="000000"/>
                <w:lang w:eastAsia="bg-BG"/>
              </w:rPr>
              <w:t>ФОСАПРЕПИТАНТ</w:t>
            </w:r>
          </w:p>
        </w:tc>
        <w:tc>
          <w:tcPr>
            <w:tcW w:w="2810" w:type="dxa"/>
            <w:vMerge w:val="restart"/>
          </w:tcPr>
          <w:p w14:paraId="6A41885E" w14:textId="77777777" w:rsidR="006B71AB" w:rsidRPr="006B71AB" w:rsidRDefault="006B71AB" w:rsidP="006B71AB">
            <w:pPr>
              <w:rPr>
                <w:sz w:val="24"/>
                <w:szCs w:val="24"/>
              </w:rPr>
            </w:pPr>
            <w:r w:rsidRPr="006B71AB">
              <w:rPr>
                <w:lang w:val="en-US"/>
              </w:rPr>
              <w:t xml:space="preserve">CYP3A4 </w:t>
            </w:r>
            <w:r w:rsidRPr="006B71AB">
              <w:rPr>
                <w:lang w:eastAsia="bg-BG"/>
              </w:rPr>
              <w:t>инхибитор (и субстрат)</w:t>
            </w:r>
          </w:p>
          <w:p w14:paraId="748CF778" w14:textId="77777777" w:rsidR="006B71AB" w:rsidRDefault="006B71AB" w:rsidP="007563DC">
            <w:pPr>
              <w:rPr>
                <w:lang w:val="ru-RU"/>
              </w:rPr>
            </w:pPr>
          </w:p>
        </w:tc>
        <w:tc>
          <w:tcPr>
            <w:tcW w:w="2792" w:type="dxa"/>
            <w:vMerge w:val="restart"/>
          </w:tcPr>
          <w:p w14:paraId="44699ABA" w14:textId="77777777" w:rsidR="006B71AB" w:rsidRPr="006B71AB" w:rsidRDefault="006B71AB" w:rsidP="006B71AB">
            <w:pPr>
              <w:spacing w:line="240" w:lineRule="auto"/>
              <w:rPr>
                <w:rFonts w:eastAsia="Times New Roman" w:cs="Arial"/>
              </w:rPr>
            </w:pPr>
            <w:r w:rsidRPr="006B71AB">
              <w:rPr>
                <w:rFonts w:eastAsia="Times New Roman" w:cs="Arial"/>
                <w:color w:val="000000"/>
                <w:lang w:val="en-US"/>
              </w:rPr>
              <w:t>CYP</w:t>
            </w:r>
            <w:r w:rsidRPr="006B71AB">
              <w:rPr>
                <w:rFonts w:eastAsia="Times New Roman" w:cs="Arial"/>
                <w:color w:val="000000"/>
                <w:lang w:val="ru-RU"/>
              </w:rPr>
              <w:t>3</w:t>
            </w:r>
            <w:r w:rsidRPr="006B71AB">
              <w:rPr>
                <w:rFonts w:eastAsia="Times New Roman" w:cs="Arial"/>
                <w:color w:val="000000"/>
                <w:lang w:val="en-US"/>
              </w:rPr>
              <w:t>A</w:t>
            </w:r>
            <w:r w:rsidRPr="006B71AB">
              <w:rPr>
                <w:rFonts w:eastAsia="Times New Roman" w:cs="Arial"/>
                <w:color w:val="000000"/>
                <w:lang w:val="ru-RU"/>
              </w:rPr>
              <w:t xml:space="preserve">4 </w:t>
            </w:r>
            <w:r w:rsidRPr="006B71AB">
              <w:rPr>
                <w:rFonts w:eastAsia="Times New Roman" w:cs="Arial"/>
                <w:color w:val="000000"/>
                <w:lang w:eastAsia="bg-BG"/>
              </w:rPr>
              <w:t xml:space="preserve">ИНХИБИТОРИ - вж. горната клетка. </w:t>
            </w:r>
            <w:r w:rsidRPr="006B71AB">
              <w:rPr>
                <w:rFonts w:eastAsia="Times New Roman" w:cs="Arial"/>
                <w:color w:val="000000"/>
                <w:lang w:val="en-US"/>
              </w:rPr>
              <w:t>CYP</w:t>
            </w:r>
            <w:r w:rsidRPr="006B71AB">
              <w:rPr>
                <w:rFonts w:eastAsia="Times New Roman" w:cs="Arial"/>
                <w:color w:val="000000"/>
                <w:lang w:val="ru-RU"/>
              </w:rPr>
              <w:t>3</w:t>
            </w:r>
            <w:r w:rsidRPr="006B71AB">
              <w:rPr>
                <w:rFonts w:eastAsia="Times New Roman" w:cs="Arial"/>
                <w:color w:val="000000"/>
                <w:lang w:val="en-US"/>
              </w:rPr>
              <w:t>A</w:t>
            </w:r>
            <w:r w:rsidRPr="006B71AB">
              <w:rPr>
                <w:rFonts w:eastAsia="Times New Roman" w:cs="Arial"/>
                <w:color w:val="000000"/>
                <w:lang w:val="ru-RU"/>
              </w:rPr>
              <w:t xml:space="preserve">4 </w:t>
            </w:r>
            <w:r w:rsidRPr="006B71AB">
              <w:rPr>
                <w:rFonts w:eastAsia="Times New Roman" w:cs="Arial"/>
                <w:color w:val="000000"/>
                <w:lang w:eastAsia="bg-BG"/>
              </w:rPr>
              <w:t xml:space="preserve">СУБСТРАТИ - В присъствието на друг субстрат на </w:t>
            </w:r>
            <w:r w:rsidRPr="006B71AB">
              <w:rPr>
                <w:rFonts w:eastAsia="Times New Roman" w:cs="Arial"/>
                <w:color w:val="000000"/>
                <w:lang w:val="en-US"/>
              </w:rPr>
              <w:t>CYP</w:t>
            </w:r>
            <w:r w:rsidRPr="006B71AB">
              <w:rPr>
                <w:rFonts w:eastAsia="Times New Roman" w:cs="Arial"/>
                <w:color w:val="000000"/>
                <w:lang w:val="ru-RU"/>
              </w:rPr>
              <w:t>3</w:t>
            </w:r>
            <w:r w:rsidRPr="006B71AB">
              <w:rPr>
                <w:rFonts w:eastAsia="Times New Roman" w:cs="Arial"/>
                <w:color w:val="000000"/>
                <w:lang w:val="en-US"/>
              </w:rPr>
              <w:t>A</w:t>
            </w:r>
            <w:r w:rsidRPr="006B71AB">
              <w:rPr>
                <w:rFonts w:eastAsia="Times New Roman" w:cs="Arial"/>
                <w:color w:val="000000"/>
                <w:lang w:val="ru-RU"/>
              </w:rPr>
              <w:t xml:space="preserve">4, </w:t>
            </w:r>
            <w:r w:rsidRPr="006B71AB">
              <w:rPr>
                <w:rFonts w:eastAsia="Times New Roman" w:cs="Arial"/>
                <w:color w:val="000000"/>
                <w:lang w:eastAsia="bg-BG"/>
              </w:rPr>
              <w:t>чернодробният клирънс на метилпреднизолон може да се повлияе, което да наложи съответните корекции на дозата. Възможно е неблагоприятните събития, свързани с употребата на двата медикамента, да са по</w:t>
            </w:r>
            <w:r w:rsidRPr="006B71AB">
              <w:rPr>
                <w:rFonts w:eastAsia="Times New Roman" w:cs="Arial"/>
                <w:color w:val="000000"/>
                <w:lang w:eastAsia="bg-BG"/>
              </w:rPr>
              <w:softHyphen/>
              <w:t xml:space="preserve">чести при </w:t>
            </w:r>
            <w:r w:rsidRPr="006B71AB">
              <w:rPr>
                <w:rFonts w:eastAsia="Times New Roman" w:cs="Arial"/>
                <w:color w:val="000000"/>
                <w:lang w:eastAsia="bg-BG"/>
              </w:rPr>
              <w:lastRenderedPageBreak/>
              <w:t>едновременното приложение.</w:t>
            </w:r>
          </w:p>
          <w:p w14:paraId="7C0CAFF4" w14:textId="2AC851E0" w:rsidR="006B71AB" w:rsidRPr="006B71AB" w:rsidRDefault="006B71AB" w:rsidP="006B71AB">
            <w:pPr>
              <w:rPr>
                <w:rFonts w:eastAsia="Times New Roman" w:cs="Arial"/>
              </w:rPr>
            </w:pPr>
            <w:r w:rsidRPr="006B71AB">
              <w:rPr>
                <w:rFonts w:eastAsia="Times New Roman" w:cs="Arial"/>
                <w:color w:val="000000"/>
                <w:lang w:eastAsia="bg-BG"/>
              </w:rPr>
              <w:t>(1) Взаимно инхибиране на метаболизма възниква при едновременно приложение на циклоспорин и метилпреднизолон, което може да повиши плазмените концентрации на едно от двете лекарства или на двете лекарства. Поради това е възможно нежеланите събития, свързани с употрената на едно от двете лекарства, да са по-вероятни при едновременното им приложение.</w:t>
            </w:r>
            <w:r w:rsidRPr="006B71AB">
              <w:rPr>
                <w:rFonts w:cs="Arial"/>
              </w:rPr>
              <w:t xml:space="preserve"> </w:t>
            </w:r>
            <w:r w:rsidRPr="006B71AB">
              <w:rPr>
                <w:rFonts w:eastAsia="Times New Roman" w:cs="Arial"/>
                <w:color w:val="000000"/>
                <w:lang w:eastAsia="bg-BG"/>
              </w:rPr>
              <w:t>(2) Протеазни инхибитори, като индинавир и ритонавир, могат да повишат плазмените концентрации на кортикостероидите.</w:t>
            </w:r>
          </w:p>
          <w:p w14:paraId="0DC71DA1" w14:textId="77777777" w:rsidR="006B71AB" w:rsidRPr="006B71AB" w:rsidRDefault="006B71AB" w:rsidP="006B71AB">
            <w:pPr>
              <w:spacing w:line="240" w:lineRule="auto"/>
              <w:rPr>
                <w:rFonts w:eastAsia="Times New Roman" w:cs="Arial"/>
              </w:rPr>
            </w:pPr>
            <w:r w:rsidRPr="006B71AB">
              <w:rPr>
                <w:rFonts w:eastAsia="Times New Roman" w:cs="Arial"/>
                <w:color w:val="000000"/>
                <w:lang w:eastAsia="bg-BG"/>
              </w:rPr>
              <w:t xml:space="preserve">(3) Кортикостероидите могат да индуцират метаболизма на </w:t>
            </w:r>
            <w:r w:rsidRPr="006B71AB">
              <w:rPr>
                <w:rFonts w:eastAsia="Times New Roman" w:cs="Arial"/>
                <w:color w:val="000000"/>
                <w:lang w:val="en-US"/>
              </w:rPr>
              <w:t>HIV</w:t>
            </w:r>
            <w:r w:rsidRPr="006B71AB">
              <w:rPr>
                <w:rFonts w:eastAsia="Times New Roman" w:cs="Arial"/>
                <w:color w:val="000000"/>
                <w:lang w:eastAsia="bg-BG"/>
              </w:rPr>
              <w:t>-протеазните инхибитори, което води до понижени плазмени концентрации.</w:t>
            </w:r>
          </w:p>
          <w:p w14:paraId="5EFEA1AA" w14:textId="2261B0E2" w:rsidR="006B71AB" w:rsidRPr="006B71AB" w:rsidRDefault="006B71AB" w:rsidP="006B71AB"/>
        </w:tc>
      </w:tr>
      <w:tr w:rsidR="006B71AB" w14:paraId="2E0C239E" w14:textId="77777777" w:rsidTr="006B71AB">
        <w:tc>
          <w:tcPr>
            <w:tcW w:w="3974" w:type="dxa"/>
          </w:tcPr>
          <w:p w14:paraId="211DEDD9" w14:textId="77777777" w:rsidR="006B71AB" w:rsidRDefault="006B71AB" w:rsidP="007563DC">
            <w:pPr>
              <w:rPr>
                <w:rFonts w:cs="Arial"/>
              </w:rPr>
            </w:pPr>
            <w:r>
              <w:rPr>
                <w:rFonts w:cs="Arial"/>
              </w:rPr>
              <w:t>Противогъбични</w:t>
            </w:r>
          </w:p>
          <w:p w14:paraId="3948F613" w14:textId="12FD8BC3" w:rsidR="006B71AB" w:rsidRPr="007563DC" w:rsidRDefault="006B71AB" w:rsidP="007563DC">
            <w:pPr>
              <w:pStyle w:val="ListParagraph"/>
              <w:numPr>
                <w:ilvl w:val="0"/>
                <w:numId w:val="44"/>
              </w:numPr>
              <w:rPr>
                <w:rFonts w:cs="Arial"/>
              </w:rPr>
            </w:pPr>
            <w:r w:rsidRPr="007563DC">
              <w:rPr>
                <w:rFonts w:cs="Arial"/>
              </w:rPr>
              <w:t>ИТРАКОНАЗОЛ</w:t>
            </w:r>
          </w:p>
          <w:p w14:paraId="5D6CE9BF" w14:textId="26CAC18A" w:rsidR="006B71AB" w:rsidRPr="007563DC" w:rsidRDefault="006B71AB" w:rsidP="007563DC">
            <w:pPr>
              <w:pStyle w:val="ListParagraph"/>
              <w:numPr>
                <w:ilvl w:val="0"/>
                <w:numId w:val="44"/>
              </w:numPr>
              <w:rPr>
                <w:rFonts w:cs="Arial"/>
                <w:lang w:val="ru-RU"/>
              </w:rPr>
            </w:pPr>
            <w:r w:rsidRPr="007563DC">
              <w:rPr>
                <w:rFonts w:cs="Arial"/>
              </w:rPr>
              <w:t>КЕТОКОНАЗОЛ</w:t>
            </w:r>
          </w:p>
        </w:tc>
        <w:tc>
          <w:tcPr>
            <w:tcW w:w="2810" w:type="dxa"/>
            <w:vMerge/>
          </w:tcPr>
          <w:p w14:paraId="36503E4C" w14:textId="77777777" w:rsidR="006B71AB" w:rsidRDefault="006B71AB" w:rsidP="007563DC">
            <w:pPr>
              <w:rPr>
                <w:lang w:val="ru-RU"/>
              </w:rPr>
            </w:pPr>
          </w:p>
        </w:tc>
        <w:tc>
          <w:tcPr>
            <w:tcW w:w="2792" w:type="dxa"/>
            <w:vMerge/>
          </w:tcPr>
          <w:p w14:paraId="3F72B164" w14:textId="77777777" w:rsidR="006B71AB" w:rsidRDefault="006B71AB" w:rsidP="007563DC">
            <w:pPr>
              <w:rPr>
                <w:lang w:val="ru-RU"/>
              </w:rPr>
            </w:pPr>
          </w:p>
        </w:tc>
      </w:tr>
      <w:tr w:rsidR="006B71AB" w14:paraId="45085E04" w14:textId="77777777" w:rsidTr="006B71AB">
        <w:tc>
          <w:tcPr>
            <w:tcW w:w="3974" w:type="dxa"/>
          </w:tcPr>
          <w:p w14:paraId="22DF38CC" w14:textId="77777777" w:rsidR="006B71AB" w:rsidRPr="007563DC" w:rsidRDefault="006B71AB" w:rsidP="007563DC">
            <w:pPr>
              <w:spacing w:line="240" w:lineRule="auto"/>
              <w:rPr>
                <w:rFonts w:eastAsia="Times New Roman" w:cs="Arial"/>
              </w:rPr>
            </w:pPr>
            <w:r w:rsidRPr="007563DC">
              <w:rPr>
                <w:rFonts w:eastAsia="Times New Roman" w:cs="Arial"/>
                <w:color w:val="000000"/>
                <w:lang w:eastAsia="bg-BG"/>
              </w:rPr>
              <w:t>Калциеви антагонисти</w:t>
            </w:r>
          </w:p>
          <w:p w14:paraId="68929FD5" w14:textId="5090BB98" w:rsidR="006B71AB" w:rsidRPr="007563DC" w:rsidRDefault="006B71AB" w:rsidP="007563DC">
            <w:pPr>
              <w:pStyle w:val="ListParagraph"/>
              <w:numPr>
                <w:ilvl w:val="0"/>
                <w:numId w:val="44"/>
              </w:numPr>
              <w:spacing w:line="240" w:lineRule="auto"/>
              <w:rPr>
                <w:rFonts w:eastAsia="Times New Roman" w:cs="Arial"/>
                <w:color w:val="000000"/>
                <w:lang w:eastAsia="bg-BG"/>
              </w:rPr>
            </w:pPr>
            <w:r w:rsidRPr="007563DC">
              <w:rPr>
                <w:rFonts w:eastAsia="Times New Roman" w:cs="Arial"/>
                <w:color w:val="000000"/>
                <w:lang w:eastAsia="bg-BG"/>
              </w:rPr>
              <w:t>ДИЛТИАЗЕМ</w:t>
            </w:r>
          </w:p>
          <w:p w14:paraId="22BF3985" w14:textId="77777777" w:rsidR="006B71AB" w:rsidRPr="007563DC" w:rsidRDefault="006B71AB" w:rsidP="007563DC">
            <w:pPr>
              <w:rPr>
                <w:rFonts w:cs="Arial"/>
                <w:lang w:val="ru-RU"/>
              </w:rPr>
            </w:pPr>
          </w:p>
        </w:tc>
        <w:tc>
          <w:tcPr>
            <w:tcW w:w="2810" w:type="dxa"/>
            <w:vMerge/>
          </w:tcPr>
          <w:p w14:paraId="1D0E63FB" w14:textId="77777777" w:rsidR="006B71AB" w:rsidRDefault="006B71AB" w:rsidP="007563DC">
            <w:pPr>
              <w:rPr>
                <w:lang w:val="ru-RU"/>
              </w:rPr>
            </w:pPr>
          </w:p>
        </w:tc>
        <w:tc>
          <w:tcPr>
            <w:tcW w:w="2792" w:type="dxa"/>
            <w:vMerge/>
          </w:tcPr>
          <w:p w14:paraId="4C1E64A8" w14:textId="77777777" w:rsidR="006B71AB" w:rsidRDefault="006B71AB" w:rsidP="007563DC">
            <w:pPr>
              <w:rPr>
                <w:lang w:val="ru-RU"/>
              </w:rPr>
            </w:pPr>
          </w:p>
        </w:tc>
      </w:tr>
      <w:tr w:rsidR="006B71AB" w14:paraId="227C6D34" w14:textId="77777777" w:rsidTr="006B71AB">
        <w:tc>
          <w:tcPr>
            <w:tcW w:w="3974" w:type="dxa"/>
          </w:tcPr>
          <w:p w14:paraId="19605D98" w14:textId="77777777" w:rsidR="006B71AB" w:rsidRPr="007563DC" w:rsidRDefault="006B71AB" w:rsidP="007563DC">
            <w:pPr>
              <w:spacing w:line="240" w:lineRule="auto"/>
              <w:rPr>
                <w:rFonts w:eastAsia="Times New Roman" w:cs="Arial"/>
              </w:rPr>
            </w:pPr>
            <w:r w:rsidRPr="007563DC">
              <w:rPr>
                <w:rFonts w:eastAsia="Times New Roman" w:cs="Arial"/>
                <w:color w:val="000000"/>
                <w:lang w:eastAsia="bg-BG"/>
              </w:rPr>
              <w:t>Орални контрацептиви</w:t>
            </w:r>
          </w:p>
          <w:p w14:paraId="6D0BA940" w14:textId="6E025D2D" w:rsidR="006B71AB" w:rsidRPr="007563DC" w:rsidRDefault="006B71AB" w:rsidP="007563DC">
            <w:pPr>
              <w:pStyle w:val="ListParagraph"/>
              <w:numPr>
                <w:ilvl w:val="0"/>
                <w:numId w:val="44"/>
              </w:numPr>
              <w:rPr>
                <w:rFonts w:cs="Arial"/>
                <w:lang w:val="ru-RU"/>
              </w:rPr>
            </w:pPr>
            <w:r w:rsidRPr="007563DC">
              <w:rPr>
                <w:rFonts w:eastAsia="Times New Roman" w:cs="Arial"/>
                <w:color w:val="000000"/>
                <w:lang w:eastAsia="bg-BG"/>
              </w:rPr>
              <w:t>ЕТИНИЛЕСТРАДИОЛ/ НОРЕТИНДРОН</w:t>
            </w:r>
          </w:p>
        </w:tc>
        <w:tc>
          <w:tcPr>
            <w:tcW w:w="2810" w:type="dxa"/>
            <w:vMerge/>
          </w:tcPr>
          <w:p w14:paraId="7368E85E" w14:textId="77777777" w:rsidR="006B71AB" w:rsidRDefault="006B71AB" w:rsidP="007563DC">
            <w:pPr>
              <w:rPr>
                <w:lang w:val="ru-RU"/>
              </w:rPr>
            </w:pPr>
          </w:p>
        </w:tc>
        <w:tc>
          <w:tcPr>
            <w:tcW w:w="2792" w:type="dxa"/>
            <w:vMerge/>
          </w:tcPr>
          <w:p w14:paraId="1AA7628D" w14:textId="77777777" w:rsidR="006B71AB" w:rsidRDefault="006B71AB" w:rsidP="007563DC">
            <w:pPr>
              <w:rPr>
                <w:lang w:val="ru-RU"/>
              </w:rPr>
            </w:pPr>
          </w:p>
        </w:tc>
      </w:tr>
      <w:tr w:rsidR="006B71AB" w14:paraId="4BC3E074" w14:textId="77777777" w:rsidTr="006B71AB">
        <w:tc>
          <w:tcPr>
            <w:tcW w:w="3974" w:type="dxa"/>
          </w:tcPr>
          <w:p w14:paraId="2E3C60FD" w14:textId="77777777" w:rsidR="006B71AB" w:rsidRPr="007563DC" w:rsidRDefault="006B71AB" w:rsidP="007563DC">
            <w:pPr>
              <w:spacing w:line="240" w:lineRule="auto"/>
              <w:rPr>
                <w:rFonts w:eastAsia="Times New Roman" w:cs="Arial"/>
              </w:rPr>
            </w:pPr>
            <w:r w:rsidRPr="007563DC">
              <w:rPr>
                <w:rFonts w:eastAsia="Times New Roman" w:cs="Arial"/>
                <w:color w:val="000000"/>
                <w:lang w:eastAsia="bg-BG"/>
              </w:rPr>
              <w:t>Имуносупресанти</w:t>
            </w:r>
          </w:p>
          <w:p w14:paraId="1A761D4A" w14:textId="6A7F64E8" w:rsidR="006B71AB" w:rsidRPr="007563DC" w:rsidRDefault="006B71AB" w:rsidP="007563DC">
            <w:pPr>
              <w:pStyle w:val="ListParagraph"/>
              <w:numPr>
                <w:ilvl w:val="0"/>
                <w:numId w:val="44"/>
              </w:numPr>
              <w:rPr>
                <w:rFonts w:cs="Arial"/>
                <w:lang w:val="ru-RU"/>
              </w:rPr>
            </w:pPr>
            <w:r w:rsidRPr="007563DC">
              <w:rPr>
                <w:rFonts w:eastAsia="Times New Roman" w:cs="Arial"/>
                <w:color w:val="000000"/>
                <w:lang w:eastAsia="bg-BG"/>
              </w:rPr>
              <w:t>ЦИКЛОСПОРИН(1)</w:t>
            </w:r>
          </w:p>
        </w:tc>
        <w:tc>
          <w:tcPr>
            <w:tcW w:w="2810" w:type="dxa"/>
            <w:vMerge/>
          </w:tcPr>
          <w:p w14:paraId="404E589B" w14:textId="77777777" w:rsidR="006B71AB" w:rsidRDefault="006B71AB" w:rsidP="007563DC">
            <w:pPr>
              <w:rPr>
                <w:lang w:val="ru-RU"/>
              </w:rPr>
            </w:pPr>
          </w:p>
        </w:tc>
        <w:tc>
          <w:tcPr>
            <w:tcW w:w="2792" w:type="dxa"/>
            <w:vMerge/>
          </w:tcPr>
          <w:p w14:paraId="18A9F90B" w14:textId="77777777" w:rsidR="006B71AB" w:rsidRDefault="006B71AB" w:rsidP="007563DC">
            <w:pPr>
              <w:rPr>
                <w:lang w:val="ru-RU"/>
              </w:rPr>
            </w:pPr>
          </w:p>
        </w:tc>
      </w:tr>
      <w:tr w:rsidR="006B71AB" w14:paraId="5DAC770A" w14:textId="77777777" w:rsidTr="006B71AB">
        <w:tc>
          <w:tcPr>
            <w:tcW w:w="3974" w:type="dxa"/>
          </w:tcPr>
          <w:p w14:paraId="6814C156" w14:textId="139CC010" w:rsidR="006B71AB" w:rsidRPr="007563DC" w:rsidRDefault="006B71AB" w:rsidP="007563DC">
            <w:pPr>
              <w:spacing w:line="240" w:lineRule="auto"/>
              <w:rPr>
                <w:rFonts w:eastAsia="Times New Roman" w:cs="Arial"/>
                <w:color w:val="000000"/>
                <w:lang w:eastAsia="bg-BG"/>
              </w:rPr>
            </w:pPr>
            <w:r w:rsidRPr="007563DC">
              <w:rPr>
                <w:rFonts w:eastAsia="Times New Roman" w:cs="Arial"/>
                <w:color w:val="000000"/>
                <w:lang w:eastAsia="bg-BG"/>
              </w:rPr>
              <w:t>Макролидни антибиотици</w:t>
            </w:r>
          </w:p>
          <w:p w14:paraId="7F49F859" w14:textId="6AD27504" w:rsidR="006B71AB" w:rsidRPr="006B71AB" w:rsidRDefault="006B71AB" w:rsidP="006B71AB">
            <w:pPr>
              <w:pStyle w:val="ListParagraph"/>
              <w:numPr>
                <w:ilvl w:val="0"/>
                <w:numId w:val="2"/>
              </w:numPr>
              <w:spacing w:line="240" w:lineRule="auto"/>
              <w:rPr>
                <w:rFonts w:eastAsia="Times New Roman" w:cs="Arial"/>
                <w:color w:val="000000"/>
                <w:lang w:eastAsia="bg-BG"/>
              </w:rPr>
            </w:pPr>
            <w:r w:rsidRPr="006B71AB">
              <w:rPr>
                <w:rFonts w:eastAsia="Times New Roman" w:cs="Arial"/>
                <w:color w:val="000000"/>
                <w:lang w:eastAsia="bg-BG"/>
              </w:rPr>
              <w:t>КЛАРИТРОМИЦИН</w:t>
            </w:r>
          </w:p>
          <w:p w14:paraId="53C9750D" w14:textId="2A5D2C6E" w:rsidR="006B71AB" w:rsidRPr="006B71AB" w:rsidRDefault="006B71AB" w:rsidP="006B71AB">
            <w:pPr>
              <w:pStyle w:val="ListParagraph"/>
              <w:numPr>
                <w:ilvl w:val="0"/>
                <w:numId w:val="2"/>
              </w:numPr>
              <w:spacing w:line="240" w:lineRule="auto"/>
              <w:rPr>
                <w:rFonts w:eastAsia="Times New Roman" w:cs="Arial"/>
                <w:color w:val="000000"/>
                <w:lang w:eastAsia="bg-BG"/>
              </w:rPr>
            </w:pPr>
            <w:r w:rsidRPr="006B71AB">
              <w:rPr>
                <w:rFonts w:eastAsia="Times New Roman" w:cs="Arial"/>
                <w:color w:val="000000"/>
                <w:lang w:eastAsia="bg-BG"/>
              </w:rPr>
              <w:lastRenderedPageBreak/>
              <w:t>ЕРИТРОМИЦИН</w:t>
            </w:r>
          </w:p>
          <w:p w14:paraId="3486AA97" w14:textId="77777777" w:rsidR="006B71AB" w:rsidRPr="007563DC" w:rsidRDefault="006B71AB" w:rsidP="007563DC">
            <w:pPr>
              <w:rPr>
                <w:rFonts w:cs="Arial"/>
                <w:lang w:val="ru-RU"/>
              </w:rPr>
            </w:pPr>
          </w:p>
        </w:tc>
        <w:tc>
          <w:tcPr>
            <w:tcW w:w="2810" w:type="dxa"/>
            <w:vMerge/>
          </w:tcPr>
          <w:p w14:paraId="2D4B44A3" w14:textId="77777777" w:rsidR="006B71AB" w:rsidRDefault="006B71AB" w:rsidP="007563DC">
            <w:pPr>
              <w:rPr>
                <w:lang w:val="ru-RU"/>
              </w:rPr>
            </w:pPr>
          </w:p>
        </w:tc>
        <w:tc>
          <w:tcPr>
            <w:tcW w:w="2792" w:type="dxa"/>
            <w:vMerge/>
          </w:tcPr>
          <w:p w14:paraId="3B94FCA1" w14:textId="77777777" w:rsidR="006B71AB" w:rsidRDefault="006B71AB" w:rsidP="007563DC">
            <w:pPr>
              <w:rPr>
                <w:lang w:val="ru-RU"/>
              </w:rPr>
            </w:pPr>
          </w:p>
        </w:tc>
      </w:tr>
      <w:tr w:rsidR="006B71AB" w14:paraId="108E2601" w14:textId="77777777" w:rsidTr="006B71AB">
        <w:tc>
          <w:tcPr>
            <w:tcW w:w="3974" w:type="dxa"/>
          </w:tcPr>
          <w:p w14:paraId="549086AA" w14:textId="77777777" w:rsidR="006B71AB" w:rsidRPr="007563DC" w:rsidRDefault="006B71AB" w:rsidP="007563DC">
            <w:pPr>
              <w:spacing w:line="240" w:lineRule="auto"/>
              <w:rPr>
                <w:rFonts w:eastAsia="Times New Roman" w:cs="Arial"/>
              </w:rPr>
            </w:pPr>
            <w:r w:rsidRPr="007563DC">
              <w:rPr>
                <w:rFonts w:eastAsia="Times New Roman" w:cs="Arial"/>
                <w:color w:val="000000"/>
                <w:lang w:eastAsia="bg-BG"/>
              </w:rPr>
              <w:t>Противовирусни</w:t>
            </w:r>
          </w:p>
          <w:p w14:paraId="3C5FB092" w14:textId="45CC0D9A" w:rsidR="006B71AB" w:rsidRPr="006B71AB" w:rsidRDefault="006B71AB" w:rsidP="006B71AB">
            <w:pPr>
              <w:pStyle w:val="ListParagraph"/>
              <w:numPr>
                <w:ilvl w:val="0"/>
                <w:numId w:val="2"/>
              </w:numPr>
              <w:rPr>
                <w:rFonts w:cs="Arial"/>
                <w:lang w:val="ru-RU"/>
              </w:rPr>
            </w:pPr>
            <w:r w:rsidRPr="006B71AB">
              <w:rPr>
                <w:rFonts w:eastAsia="Times New Roman" w:cs="Arial"/>
                <w:color w:val="000000"/>
                <w:lang w:val="en-US"/>
              </w:rPr>
              <w:t>HIV</w:t>
            </w:r>
            <w:r w:rsidRPr="006B71AB">
              <w:rPr>
                <w:rFonts w:eastAsia="Times New Roman" w:cs="Arial"/>
                <w:color w:val="000000"/>
                <w:lang w:eastAsia="bg-BG"/>
              </w:rPr>
              <w:t>-ПРОТЕАЗНИ</w:t>
            </w:r>
          </w:p>
        </w:tc>
        <w:tc>
          <w:tcPr>
            <w:tcW w:w="2810" w:type="dxa"/>
            <w:vMerge/>
          </w:tcPr>
          <w:p w14:paraId="3E05A722" w14:textId="77777777" w:rsidR="006B71AB" w:rsidRDefault="006B71AB" w:rsidP="007563DC">
            <w:pPr>
              <w:rPr>
                <w:lang w:val="ru-RU"/>
              </w:rPr>
            </w:pPr>
          </w:p>
        </w:tc>
        <w:tc>
          <w:tcPr>
            <w:tcW w:w="2792" w:type="dxa"/>
            <w:vMerge/>
          </w:tcPr>
          <w:p w14:paraId="79E991E0" w14:textId="77777777" w:rsidR="006B71AB" w:rsidRDefault="006B71AB" w:rsidP="007563DC">
            <w:pPr>
              <w:rPr>
                <w:lang w:val="ru-RU"/>
              </w:rPr>
            </w:pPr>
          </w:p>
        </w:tc>
      </w:tr>
      <w:tr w:rsidR="006B71AB" w14:paraId="615B50B2" w14:textId="77777777" w:rsidTr="006B71AB">
        <w:tc>
          <w:tcPr>
            <w:tcW w:w="3974" w:type="dxa"/>
          </w:tcPr>
          <w:p w14:paraId="3AD2DA61" w14:textId="77777777" w:rsidR="006B71AB" w:rsidRDefault="006B71AB" w:rsidP="007563DC">
            <w:pPr>
              <w:spacing w:line="240" w:lineRule="auto"/>
              <w:rPr>
                <w:rFonts w:eastAsia="Times New Roman" w:cs="Arial"/>
                <w:color w:val="000000"/>
                <w:lang w:eastAsia="bg-BG"/>
              </w:rPr>
            </w:pPr>
            <w:r w:rsidRPr="007563DC">
              <w:rPr>
                <w:rFonts w:eastAsia="Times New Roman" w:cs="Arial"/>
                <w:color w:val="000000"/>
                <w:lang w:eastAsia="bg-BG"/>
              </w:rPr>
              <w:t xml:space="preserve">ИНХИБИТОРИ </w:t>
            </w:r>
            <w:r w:rsidRPr="007563DC">
              <w:rPr>
                <w:rFonts w:eastAsia="Times New Roman" w:cs="Arial"/>
                <w:color w:val="000000"/>
                <w:lang w:val="en-US"/>
              </w:rPr>
              <w:t xml:space="preserve">(2)(3) </w:t>
            </w:r>
            <w:r>
              <w:rPr>
                <w:rFonts w:eastAsia="Times New Roman" w:cs="Arial"/>
                <w:color w:val="000000"/>
                <w:lang w:eastAsia="bg-BG"/>
              </w:rPr>
              <w:t>Фармакокинетични енхансери</w:t>
            </w:r>
          </w:p>
          <w:p w14:paraId="78169CD2" w14:textId="175517C4" w:rsidR="006B71AB" w:rsidRPr="006B71AB" w:rsidRDefault="006B71AB" w:rsidP="006B71AB">
            <w:pPr>
              <w:pStyle w:val="ListParagraph"/>
              <w:numPr>
                <w:ilvl w:val="0"/>
                <w:numId w:val="2"/>
              </w:numPr>
              <w:spacing w:line="240" w:lineRule="auto"/>
              <w:rPr>
                <w:rFonts w:eastAsia="Times New Roman" w:cs="Arial"/>
              </w:rPr>
            </w:pPr>
            <w:r w:rsidRPr="006B71AB">
              <w:rPr>
                <w:rFonts w:eastAsia="Times New Roman" w:cs="Arial"/>
                <w:color w:val="000000"/>
                <w:lang w:eastAsia="bg-BG"/>
              </w:rPr>
              <w:t>КОБИЦИСТАТ</w:t>
            </w:r>
          </w:p>
          <w:p w14:paraId="3854AFEF" w14:textId="77777777" w:rsidR="006B71AB" w:rsidRPr="007563DC" w:rsidRDefault="006B71AB" w:rsidP="007563DC">
            <w:pPr>
              <w:rPr>
                <w:rFonts w:cs="Arial"/>
                <w:lang w:val="ru-RU"/>
              </w:rPr>
            </w:pPr>
          </w:p>
        </w:tc>
        <w:tc>
          <w:tcPr>
            <w:tcW w:w="2810" w:type="dxa"/>
            <w:vMerge/>
          </w:tcPr>
          <w:p w14:paraId="23EE26D0" w14:textId="77777777" w:rsidR="006B71AB" w:rsidRDefault="006B71AB" w:rsidP="007563DC">
            <w:pPr>
              <w:rPr>
                <w:lang w:val="ru-RU"/>
              </w:rPr>
            </w:pPr>
          </w:p>
        </w:tc>
        <w:tc>
          <w:tcPr>
            <w:tcW w:w="2792" w:type="dxa"/>
            <w:vMerge/>
          </w:tcPr>
          <w:p w14:paraId="0253BBE1" w14:textId="77777777" w:rsidR="006B71AB" w:rsidRDefault="006B71AB" w:rsidP="007563DC">
            <w:pPr>
              <w:rPr>
                <w:lang w:val="ru-RU"/>
              </w:rPr>
            </w:pPr>
          </w:p>
        </w:tc>
      </w:tr>
      <w:tr w:rsidR="006B71AB" w14:paraId="5C3B3B2B" w14:textId="77777777" w:rsidTr="006B71AB">
        <w:tc>
          <w:tcPr>
            <w:tcW w:w="3974" w:type="dxa"/>
            <w:vAlign w:val="center"/>
          </w:tcPr>
          <w:p w14:paraId="36C386AE" w14:textId="77777777" w:rsidR="006B71AB" w:rsidRDefault="006B71AB" w:rsidP="006B71AB">
            <w:r w:rsidRPr="006B71AB">
              <w:rPr>
                <w:szCs w:val="44"/>
              </w:rPr>
              <w:t>Имуносупресанти</w:t>
            </w:r>
          </w:p>
          <w:p w14:paraId="43CDEC50" w14:textId="658EA384" w:rsidR="006B71AB" w:rsidRPr="006B71AB" w:rsidRDefault="006B71AB" w:rsidP="006B71AB">
            <w:pPr>
              <w:pStyle w:val="ListParagraph"/>
              <w:numPr>
                <w:ilvl w:val="0"/>
                <w:numId w:val="44"/>
              </w:numPr>
            </w:pPr>
            <w:r w:rsidRPr="006B71AB">
              <w:rPr>
                <w:szCs w:val="44"/>
              </w:rPr>
              <w:t>ЦИКЛОФОСФАМИД</w:t>
            </w:r>
          </w:p>
          <w:p w14:paraId="0733B215" w14:textId="05A61E8E" w:rsidR="006B71AB" w:rsidRPr="006B71AB" w:rsidRDefault="006B71AB" w:rsidP="006B71AB">
            <w:pPr>
              <w:pStyle w:val="ListParagraph"/>
              <w:numPr>
                <w:ilvl w:val="0"/>
                <w:numId w:val="44"/>
              </w:numPr>
              <w:rPr>
                <w:lang w:val="ru-RU"/>
              </w:rPr>
            </w:pPr>
            <w:r w:rsidRPr="006B71AB">
              <w:rPr>
                <w:szCs w:val="44"/>
              </w:rPr>
              <w:t>ТАКРОЛИМУС</w:t>
            </w:r>
          </w:p>
        </w:tc>
        <w:tc>
          <w:tcPr>
            <w:tcW w:w="2810" w:type="dxa"/>
            <w:vAlign w:val="center"/>
          </w:tcPr>
          <w:p w14:paraId="65438BF2" w14:textId="7BF48D4D" w:rsidR="006B71AB" w:rsidRPr="006B71AB" w:rsidRDefault="006B71AB" w:rsidP="006B71AB">
            <w:pPr>
              <w:rPr>
                <w:lang w:val="ru-RU"/>
              </w:rPr>
            </w:pPr>
            <w:r w:rsidRPr="006B71AB">
              <w:rPr>
                <w:szCs w:val="44"/>
                <w:lang w:val="en-US"/>
              </w:rPr>
              <w:t xml:space="preserve">CYP3A4 </w:t>
            </w:r>
            <w:r w:rsidRPr="006B71AB">
              <w:rPr>
                <w:szCs w:val="44"/>
              </w:rPr>
              <w:t>субстрат</w:t>
            </w:r>
          </w:p>
        </w:tc>
        <w:tc>
          <w:tcPr>
            <w:tcW w:w="2792" w:type="dxa"/>
            <w:vAlign w:val="bottom"/>
          </w:tcPr>
          <w:p w14:paraId="6B5CA538" w14:textId="6FDDBADB" w:rsidR="006B71AB" w:rsidRPr="006B71AB" w:rsidRDefault="006B71AB" w:rsidP="006B71AB">
            <w:pPr>
              <w:rPr>
                <w:lang w:val="ru-RU"/>
              </w:rPr>
            </w:pPr>
            <w:r w:rsidRPr="006B71AB">
              <w:rPr>
                <w:szCs w:val="44"/>
                <w:lang w:val="en-US"/>
              </w:rPr>
              <w:t>CYP</w:t>
            </w:r>
            <w:r w:rsidRPr="006B71AB">
              <w:rPr>
                <w:szCs w:val="44"/>
                <w:lang w:val="ru-RU"/>
              </w:rPr>
              <w:t>3</w:t>
            </w:r>
            <w:r w:rsidRPr="006B71AB">
              <w:rPr>
                <w:szCs w:val="44"/>
                <w:lang w:val="en-US"/>
              </w:rPr>
              <w:t>A</w:t>
            </w:r>
            <w:r w:rsidRPr="006B71AB">
              <w:rPr>
                <w:szCs w:val="44"/>
                <w:lang w:val="ru-RU"/>
              </w:rPr>
              <w:t xml:space="preserve">4 </w:t>
            </w:r>
            <w:r w:rsidRPr="006B71AB">
              <w:rPr>
                <w:szCs w:val="44"/>
              </w:rPr>
              <w:t xml:space="preserve">СУБСТРАТИ - В присъствието на друг субстрат на </w:t>
            </w:r>
            <w:r w:rsidRPr="006B71AB">
              <w:rPr>
                <w:szCs w:val="44"/>
                <w:lang w:val="en-US"/>
              </w:rPr>
              <w:t>CYP</w:t>
            </w:r>
            <w:r w:rsidRPr="006B71AB">
              <w:rPr>
                <w:szCs w:val="44"/>
                <w:lang w:val="ru-RU"/>
              </w:rPr>
              <w:t>3</w:t>
            </w:r>
            <w:r w:rsidRPr="006B71AB">
              <w:rPr>
                <w:szCs w:val="44"/>
                <w:lang w:val="en-US"/>
              </w:rPr>
              <w:t>A</w:t>
            </w:r>
            <w:r w:rsidRPr="006B71AB">
              <w:rPr>
                <w:szCs w:val="44"/>
                <w:lang w:val="ru-RU"/>
              </w:rPr>
              <w:t xml:space="preserve">4, </w:t>
            </w:r>
            <w:r w:rsidRPr="006B71AB">
              <w:rPr>
                <w:szCs w:val="44"/>
              </w:rPr>
              <w:t xml:space="preserve">чернодробният клирънс на метилпреднизолон може да се повлияе, което да наложи съответните корекции на дозата. Възможно е неблагоприятните събития, свързани с употребата на двата </w:t>
            </w:r>
            <w:r w:rsidRPr="006B71AB">
              <w:rPr>
                <w:szCs w:val="44"/>
              </w:rPr>
              <w:lastRenderedPageBreak/>
              <w:t>медикамента, да са по</w:t>
            </w:r>
            <w:r w:rsidRPr="006B71AB">
              <w:rPr>
                <w:szCs w:val="44"/>
              </w:rPr>
              <w:softHyphen/>
              <w:t>чести при едновременното приложение.</w:t>
            </w:r>
          </w:p>
        </w:tc>
      </w:tr>
      <w:tr w:rsidR="006B71AB" w14:paraId="49D4A863" w14:textId="77777777" w:rsidTr="006B71AB">
        <w:tc>
          <w:tcPr>
            <w:tcW w:w="3974" w:type="dxa"/>
            <w:vAlign w:val="center"/>
          </w:tcPr>
          <w:p w14:paraId="675716C9" w14:textId="77777777" w:rsidR="006B71AB" w:rsidRPr="006B71AB" w:rsidRDefault="006B71AB" w:rsidP="006B71AB">
            <w:r w:rsidRPr="006B71AB">
              <w:rPr>
                <w:szCs w:val="44"/>
              </w:rPr>
              <w:lastRenderedPageBreak/>
              <w:t>НСПВС (нестероидни противовъзпалителни средства) (4)</w:t>
            </w:r>
          </w:p>
          <w:p w14:paraId="6759DB20" w14:textId="765DAB2A" w:rsidR="006B71AB" w:rsidRPr="006B71AB" w:rsidRDefault="006B71AB" w:rsidP="006B71AB">
            <w:pPr>
              <w:pStyle w:val="ListParagraph"/>
              <w:numPr>
                <w:ilvl w:val="0"/>
                <w:numId w:val="44"/>
              </w:numPr>
              <w:rPr>
                <w:lang w:val="ru-RU"/>
              </w:rPr>
            </w:pPr>
            <w:r w:rsidRPr="006B71AB">
              <w:rPr>
                <w:szCs w:val="44"/>
              </w:rPr>
              <w:t>Висока доза АСПИРИН (ацетилсалицилова киселина(5)</w:t>
            </w:r>
          </w:p>
        </w:tc>
        <w:tc>
          <w:tcPr>
            <w:tcW w:w="2810" w:type="dxa"/>
            <w:vMerge w:val="restart"/>
          </w:tcPr>
          <w:p w14:paraId="7D385A26" w14:textId="1759A758" w:rsidR="006B71AB" w:rsidRDefault="006B71AB" w:rsidP="006B71AB">
            <w:pPr>
              <w:rPr>
                <w:lang w:val="ru-RU"/>
              </w:rPr>
            </w:pPr>
            <w:r>
              <w:t>Не-С</w:t>
            </w:r>
            <w:r>
              <w:rPr>
                <w:lang w:val="en-US"/>
              </w:rPr>
              <w:t>Y</w:t>
            </w:r>
            <w:r>
              <w:t>РЗА4- медиирани ефекти</w:t>
            </w:r>
          </w:p>
        </w:tc>
        <w:tc>
          <w:tcPr>
            <w:tcW w:w="2792" w:type="dxa"/>
            <w:vAlign w:val="center"/>
          </w:tcPr>
          <w:p w14:paraId="73F94DC3" w14:textId="77777777" w:rsidR="006B71AB" w:rsidRPr="006B71AB" w:rsidRDefault="006B71AB" w:rsidP="006B71AB">
            <w:r w:rsidRPr="006B71AB">
              <w:rPr>
                <w:szCs w:val="44"/>
              </w:rPr>
              <w:t>(4) Възможно е да има повишена честота на гастроинтестинално кървене и улцерация, когато се прилагат кортикостероиди с НСПВС.</w:t>
            </w:r>
          </w:p>
          <w:p w14:paraId="75E769D9" w14:textId="3E29235C" w:rsidR="006B71AB" w:rsidRPr="006B71AB" w:rsidRDefault="006B71AB" w:rsidP="006B71AB">
            <w:pPr>
              <w:rPr>
                <w:lang w:val="ru-RU"/>
              </w:rPr>
            </w:pPr>
            <w:r w:rsidRPr="006B71AB">
              <w:rPr>
                <w:szCs w:val="44"/>
              </w:rPr>
              <w:t>(5) Метилпреднизолон може да увеличи клирънса на високи дози аспирин, което може да доведе до понижени серумни нива на салицилатите. Преустановяването на лечението с метилпреднизолон може да доведе до повишени серумни нива на салицилат, което може да доведе до повишен риск от токсичност на салицилатите.</w:t>
            </w:r>
          </w:p>
        </w:tc>
      </w:tr>
      <w:tr w:rsidR="006B71AB" w14:paraId="06768D22" w14:textId="77777777" w:rsidTr="006B71AB">
        <w:tc>
          <w:tcPr>
            <w:tcW w:w="3974" w:type="dxa"/>
            <w:vAlign w:val="center"/>
          </w:tcPr>
          <w:p w14:paraId="37BBB39B" w14:textId="77777777" w:rsidR="006B71AB" w:rsidRPr="006B71AB" w:rsidRDefault="006B71AB" w:rsidP="006B71AB">
            <w:r w:rsidRPr="006B71AB">
              <w:rPr>
                <w:szCs w:val="44"/>
              </w:rPr>
              <w:t>Антихолинергици (6)</w:t>
            </w:r>
          </w:p>
          <w:p w14:paraId="36E613A8" w14:textId="3D8CA085" w:rsidR="006B71AB" w:rsidRPr="006B71AB" w:rsidRDefault="006B71AB" w:rsidP="006B71AB">
            <w:pPr>
              <w:pStyle w:val="ListParagraph"/>
              <w:numPr>
                <w:ilvl w:val="0"/>
                <w:numId w:val="44"/>
              </w:numPr>
            </w:pPr>
            <w:r w:rsidRPr="006B71AB">
              <w:rPr>
                <w:szCs w:val="44"/>
              </w:rPr>
              <w:t>НЕВРОМУСКУЛНИ</w:t>
            </w:r>
          </w:p>
          <w:p w14:paraId="7E4CAFDC" w14:textId="338CDF69" w:rsidR="006B71AB" w:rsidRPr="006B71AB" w:rsidRDefault="006B71AB" w:rsidP="006B71AB">
            <w:pPr>
              <w:rPr>
                <w:lang w:val="ru-RU"/>
              </w:rPr>
            </w:pPr>
            <w:r w:rsidRPr="006B71AB">
              <w:rPr>
                <w:szCs w:val="44"/>
              </w:rPr>
              <w:t>БЛОКЕРИ (7)</w:t>
            </w:r>
          </w:p>
        </w:tc>
        <w:tc>
          <w:tcPr>
            <w:tcW w:w="2810" w:type="dxa"/>
            <w:vMerge/>
          </w:tcPr>
          <w:p w14:paraId="5F037937" w14:textId="77777777" w:rsidR="006B71AB" w:rsidRDefault="006B71AB" w:rsidP="006B71AB">
            <w:pPr>
              <w:rPr>
                <w:lang w:val="ru-RU"/>
              </w:rPr>
            </w:pPr>
          </w:p>
        </w:tc>
        <w:tc>
          <w:tcPr>
            <w:tcW w:w="2792" w:type="dxa"/>
            <w:vAlign w:val="bottom"/>
          </w:tcPr>
          <w:p w14:paraId="4B3E46A1" w14:textId="77777777" w:rsidR="006B71AB" w:rsidRPr="006B71AB" w:rsidRDefault="006B71AB" w:rsidP="006B71AB">
            <w:r w:rsidRPr="006B71AB">
              <w:rPr>
                <w:szCs w:val="44"/>
              </w:rPr>
              <w:t>(6) Съобщава се за остра миопатия при едновременната употреба на високи дози кортикостероиди и антихолинергици, като невромускулни блокери. (вж. точка 4.4 Мускулно-скелетни).</w:t>
            </w:r>
          </w:p>
          <w:p w14:paraId="234E1B35" w14:textId="2F286FE5" w:rsidR="006B71AB" w:rsidRPr="006B71AB" w:rsidRDefault="006B71AB" w:rsidP="006B71AB">
            <w:pPr>
              <w:rPr>
                <w:lang w:val="ru-RU"/>
              </w:rPr>
            </w:pPr>
            <w:r w:rsidRPr="006B71AB">
              <w:rPr>
                <w:szCs w:val="44"/>
              </w:rPr>
              <w:t xml:space="preserve">(7) При пациенти, приемащи кортикостероиди, се съобщава за антагонизъм на нервно-мускулните блокиращи ефекти на панкуроний и векуроний. Това взаимодействие може да се очаква при всички </w:t>
            </w:r>
            <w:r w:rsidRPr="006B71AB">
              <w:rPr>
                <w:szCs w:val="44"/>
              </w:rPr>
              <w:lastRenderedPageBreak/>
              <w:t>конкурентни невромускулни блокери..</w:t>
            </w:r>
          </w:p>
        </w:tc>
      </w:tr>
      <w:tr w:rsidR="006B71AB" w14:paraId="33763975" w14:textId="77777777" w:rsidTr="006B71AB">
        <w:tc>
          <w:tcPr>
            <w:tcW w:w="3974" w:type="dxa"/>
            <w:vAlign w:val="center"/>
          </w:tcPr>
          <w:p w14:paraId="0D1112C4" w14:textId="3E638EA5" w:rsidR="006B71AB" w:rsidRPr="006B71AB" w:rsidRDefault="006B71AB" w:rsidP="006B71AB">
            <w:pPr>
              <w:rPr>
                <w:lang w:val="ru-RU"/>
              </w:rPr>
            </w:pPr>
            <w:r w:rsidRPr="006B71AB">
              <w:rPr>
                <w:szCs w:val="44"/>
              </w:rPr>
              <w:lastRenderedPageBreak/>
              <w:t>Антихолинестеразни продукти</w:t>
            </w:r>
          </w:p>
        </w:tc>
        <w:tc>
          <w:tcPr>
            <w:tcW w:w="2810" w:type="dxa"/>
            <w:vMerge/>
          </w:tcPr>
          <w:p w14:paraId="6309B2A2" w14:textId="77777777" w:rsidR="006B71AB" w:rsidRDefault="006B71AB" w:rsidP="006B71AB">
            <w:pPr>
              <w:rPr>
                <w:lang w:val="ru-RU"/>
              </w:rPr>
            </w:pPr>
          </w:p>
        </w:tc>
        <w:tc>
          <w:tcPr>
            <w:tcW w:w="2792" w:type="dxa"/>
            <w:vAlign w:val="bottom"/>
          </w:tcPr>
          <w:p w14:paraId="0616CAFF" w14:textId="3D598320" w:rsidR="006B71AB" w:rsidRPr="006B71AB" w:rsidRDefault="006B71AB" w:rsidP="006B71AB">
            <w:pPr>
              <w:rPr>
                <w:lang w:val="ru-RU"/>
              </w:rPr>
            </w:pPr>
            <w:r w:rsidRPr="006B71AB">
              <w:rPr>
                <w:szCs w:val="44"/>
              </w:rPr>
              <w:t>Стероидите могат да намалят ефектите на антихолинестеразните продукти при миастения гравис.</w:t>
            </w:r>
          </w:p>
        </w:tc>
      </w:tr>
      <w:tr w:rsidR="006B71AB" w14:paraId="1436A27F" w14:textId="77777777" w:rsidTr="006B71AB">
        <w:tc>
          <w:tcPr>
            <w:tcW w:w="3974" w:type="dxa"/>
            <w:vAlign w:val="center"/>
          </w:tcPr>
          <w:p w14:paraId="59870668" w14:textId="0C641F12" w:rsidR="006B71AB" w:rsidRPr="006B71AB" w:rsidRDefault="006B71AB" w:rsidP="006B71AB">
            <w:pPr>
              <w:rPr>
                <w:lang w:val="ru-RU"/>
              </w:rPr>
            </w:pPr>
            <w:r w:rsidRPr="006B71AB">
              <w:rPr>
                <w:szCs w:val="44"/>
              </w:rPr>
              <w:t>Антидиабетични продукти</w:t>
            </w:r>
          </w:p>
        </w:tc>
        <w:tc>
          <w:tcPr>
            <w:tcW w:w="2810" w:type="dxa"/>
            <w:vMerge/>
          </w:tcPr>
          <w:p w14:paraId="2C0DB9DF" w14:textId="77777777" w:rsidR="006B71AB" w:rsidRDefault="006B71AB" w:rsidP="006B71AB">
            <w:pPr>
              <w:rPr>
                <w:lang w:val="ru-RU"/>
              </w:rPr>
            </w:pPr>
          </w:p>
        </w:tc>
        <w:tc>
          <w:tcPr>
            <w:tcW w:w="2792" w:type="dxa"/>
            <w:vAlign w:val="bottom"/>
          </w:tcPr>
          <w:p w14:paraId="25A05DAE" w14:textId="2E0841C9" w:rsidR="006B71AB" w:rsidRPr="006B71AB" w:rsidRDefault="006B71AB" w:rsidP="006B71AB">
            <w:pPr>
              <w:rPr>
                <w:lang w:val="ru-RU"/>
              </w:rPr>
            </w:pPr>
            <w:r w:rsidRPr="006B71AB">
              <w:rPr>
                <w:szCs w:val="44"/>
              </w:rPr>
              <w:t>Тъй като кортикостероидите могат да повишат концентрациите на глюкозата в кръвта, може да се наложи коригиране на дозата на антидиабетните средства.</w:t>
            </w:r>
          </w:p>
        </w:tc>
      </w:tr>
      <w:tr w:rsidR="006B71AB" w14:paraId="62629700" w14:textId="77777777" w:rsidTr="006B71AB">
        <w:tc>
          <w:tcPr>
            <w:tcW w:w="3974" w:type="dxa"/>
            <w:vAlign w:val="center"/>
          </w:tcPr>
          <w:p w14:paraId="0F04A427" w14:textId="7808A1D2" w:rsidR="006B71AB" w:rsidRPr="006B71AB" w:rsidRDefault="006B71AB" w:rsidP="006B71AB">
            <w:pPr>
              <w:rPr>
                <w:lang w:val="ru-RU"/>
              </w:rPr>
            </w:pPr>
            <w:r w:rsidRPr="006B71AB">
              <w:rPr>
                <w:szCs w:val="44"/>
              </w:rPr>
              <w:t>Орални антикоагуланти</w:t>
            </w:r>
          </w:p>
        </w:tc>
        <w:tc>
          <w:tcPr>
            <w:tcW w:w="2810" w:type="dxa"/>
            <w:vMerge/>
          </w:tcPr>
          <w:p w14:paraId="401A209E" w14:textId="77777777" w:rsidR="006B71AB" w:rsidRDefault="006B71AB" w:rsidP="006B71AB">
            <w:pPr>
              <w:rPr>
                <w:lang w:val="ru-RU"/>
              </w:rPr>
            </w:pPr>
          </w:p>
        </w:tc>
        <w:tc>
          <w:tcPr>
            <w:tcW w:w="2792" w:type="dxa"/>
            <w:vAlign w:val="bottom"/>
          </w:tcPr>
          <w:p w14:paraId="45622CEF" w14:textId="0DD089B9" w:rsidR="006B71AB" w:rsidRPr="006B71AB" w:rsidRDefault="006B71AB" w:rsidP="006B71AB">
            <w:pPr>
              <w:rPr>
                <w:lang w:val="ru-RU"/>
              </w:rPr>
            </w:pPr>
            <w:r w:rsidRPr="006B71AB">
              <w:rPr>
                <w:szCs w:val="44"/>
              </w:rPr>
              <w:t xml:space="preserve">Ефикасността на кумариновите антикоагуланти може да бъде повишена при едновременно прилагане на кортикостероиди и е необходимо внимателно проследяване на </w:t>
            </w:r>
            <w:r w:rsidRPr="006B71AB">
              <w:rPr>
                <w:szCs w:val="44"/>
                <w:lang w:val="en-US"/>
              </w:rPr>
              <w:t>INR</w:t>
            </w:r>
            <w:r w:rsidRPr="006B71AB">
              <w:rPr>
                <w:szCs w:val="44"/>
                <w:lang w:val="ru-RU"/>
              </w:rPr>
              <w:t xml:space="preserve"> </w:t>
            </w:r>
            <w:r w:rsidRPr="006B71AB">
              <w:rPr>
                <w:szCs w:val="44"/>
              </w:rPr>
              <w:t>или протромбиновото време, за да се избегне спонтанно кървене.</w:t>
            </w:r>
          </w:p>
        </w:tc>
      </w:tr>
      <w:tr w:rsidR="006B71AB" w14:paraId="54DCF15E" w14:textId="77777777" w:rsidTr="006B71AB">
        <w:tc>
          <w:tcPr>
            <w:tcW w:w="3974" w:type="dxa"/>
            <w:vAlign w:val="center"/>
          </w:tcPr>
          <w:p w14:paraId="7B47D475" w14:textId="7E34DC89" w:rsidR="006B71AB" w:rsidRPr="006B71AB" w:rsidRDefault="006B71AB" w:rsidP="006B71AB">
            <w:pPr>
              <w:rPr>
                <w:lang w:val="ru-RU"/>
              </w:rPr>
            </w:pPr>
            <w:r w:rsidRPr="006B71AB">
              <w:rPr>
                <w:szCs w:val="44"/>
              </w:rPr>
              <w:t>Калий понижаващи продукти</w:t>
            </w:r>
          </w:p>
        </w:tc>
        <w:tc>
          <w:tcPr>
            <w:tcW w:w="2810" w:type="dxa"/>
            <w:vMerge/>
          </w:tcPr>
          <w:p w14:paraId="0DAE7735" w14:textId="77777777" w:rsidR="006B71AB" w:rsidRDefault="006B71AB" w:rsidP="006B71AB">
            <w:pPr>
              <w:rPr>
                <w:lang w:val="ru-RU"/>
              </w:rPr>
            </w:pPr>
          </w:p>
        </w:tc>
        <w:tc>
          <w:tcPr>
            <w:tcW w:w="2792" w:type="dxa"/>
          </w:tcPr>
          <w:p w14:paraId="6EEA14FF" w14:textId="77777777" w:rsidR="006B71AB" w:rsidRPr="006B71AB" w:rsidRDefault="006B71AB" w:rsidP="006B71AB">
            <w:pPr>
              <w:rPr>
                <w:rFonts w:ascii="Times New Roman" w:eastAsia="Times New Roman" w:hAnsi="Times New Roman" w:cs="Times New Roman"/>
                <w:sz w:val="24"/>
                <w:szCs w:val="24"/>
              </w:rPr>
            </w:pPr>
            <w:r w:rsidRPr="006B71AB">
              <w:rPr>
                <w:szCs w:val="44"/>
              </w:rPr>
              <w:t>Когато кортикостероидните се прилагат едновременно с калий-понижаващи средства (напр. диуретици), пациентите трябва да бъдат наблюдавани внимателно за развитие на</w:t>
            </w:r>
            <w:r>
              <w:rPr>
                <w:szCs w:val="44"/>
              </w:rPr>
              <w:t xml:space="preserve"> </w:t>
            </w:r>
            <w:r w:rsidRPr="006B71AB">
              <w:rPr>
                <w:lang w:eastAsia="bg-BG"/>
              </w:rPr>
              <w:t xml:space="preserve">хипокалиемия. Съществува също така повишен риск от хипокалиемия при едновременна употреба на кортикостероиди с амфотерицин В, </w:t>
            </w:r>
            <w:r w:rsidRPr="006B71AB">
              <w:rPr>
                <w:lang w:eastAsia="bg-BG"/>
              </w:rPr>
              <w:lastRenderedPageBreak/>
              <w:t>ксантени или бета2 агонисти.</w:t>
            </w:r>
          </w:p>
          <w:p w14:paraId="791FD28A" w14:textId="7FD2A051" w:rsidR="006B71AB" w:rsidRPr="006B71AB" w:rsidRDefault="006B71AB" w:rsidP="006B71AB">
            <w:pPr>
              <w:rPr>
                <w:lang w:val="ru-RU"/>
              </w:rPr>
            </w:pPr>
          </w:p>
        </w:tc>
      </w:tr>
      <w:tr w:rsidR="006B71AB" w14:paraId="34900A00" w14:textId="77777777" w:rsidTr="006B71AB">
        <w:tc>
          <w:tcPr>
            <w:tcW w:w="3974" w:type="dxa"/>
          </w:tcPr>
          <w:p w14:paraId="495B1757" w14:textId="77777777" w:rsidR="006B71AB" w:rsidRDefault="006B71AB" w:rsidP="006B71AB">
            <w:r>
              <w:lastRenderedPageBreak/>
              <w:t>Ароматазни инхибитори</w:t>
            </w:r>
          </w:p>
          <w:p w14:paraId="3B247918" w14:textId="2D71638D" w:rsidR="006B71AB" w:rsidRPr="006B71AB" w:rsidRDefault="006B71AB" w:rsidP="006B71AB">
            <w:pPr>
              <w:pStyle w:val="ListParagraph"/>
              <w:numPr>
                <w:ilvl w:val="0"/>
                <w:numId w:val="44"/>
              </w:numPr>
              <w:rPr>
                <w:lang w:val="ru-RU"/>
              </w:rPr>
            </w:pPr>
            <w:r>
              <w:t>АМИНОГЛУТЕТИМИД</w:t>
            </w:r>
          </w:p>
        </w:tc>
        <w:tc>
          <w:tcPr>
            <w:tcW w:w="2810" w:type="dxa"/>
            <w:vMerge/>
          </w:tcPr>
          <w:p w14:paraId="01464E50" w14:textId="77777777" w:rsidR="006B71AB" w:rsidRDefault="006B71AB" w:rsidP="007563DC">
            <w:pPr>
              <w:rPr>
                <w:lang w:val="ru-RU"/>
              </w:rPr>
            </w:pPr>
          </w:p>
        </w:tc>
        <w:tc>
          <w:tcPr>
            <w:tcW w:w="2792" w:type="dxa"/>
          </w:tcPr>
          <w:p w14:paraId="0136F635" w14:textId="2DA16135" w:rsidR="006B71AB" w:rsidRDefault="006B71AB" w:rsidP="006B71AB">
            <w:pPr>
              <w:rPr>
                <w:lang w:val="ru-RU"/>
              </w:rPr>
            </w:pPr>
            <w:r>
              <w:t>Аминоглутетимид-индуцирана надбъбречна недостатъчност може да изостри ендокринните промени, причинени от продължителното лечение с глюкокортикоиди.</w:t>
            </w:r>
          </w:p>
        </w:tc>
      </w:tr>
    </w:tbl>
    <w:p w14:paraId="5F0F7285" w14:textId="5026DA07" w:rsidR="006B71AB" w:rsidRPr="006B71AB" w:rsidRDefault="006B71AB" w:rsidP="007563DC"/>
    <w:p w14:paraId="6EADE4D6" w14:textId="7D87147B" w:rsidR="00395555" w:rsidRDefault="002C50EE" w:rsidP="008A6AF2">
      <w:pPr>
        <w:pStyle w:val="Heading2"/>
      </w:pPr>
      <w:r>
        <w:t>4.6. Фертилитет, бременност и кърмене</w:t>
      </w:r>
    </w:p>
    <w:p w14:paraId="4229C000" w14:textId="56B789A7" w:rsidR="006B71AB" w:rsidRDefault="006B71AB" w:rsidP="006B71AB"/>
    <w:p w14:paraId="678FB94C" w14:textId="77777777" w:rsidR="006B71AB" w:rsidRPr="006B71AB" w:rsidRDefault="006B71AB" w:rsidP="006B71AB">
      <w:pPr>
        <w:pStyle w:val="Heading3"/>
        <w:rPr>
          <w:rFonts w:eastAsia="Times New Roman"/>
          <w:sz w:val="12"/>
          <w:u w:val="single"/>
        </w:rPr>
      </w:pPr>
      <w:r w:rsidRPr="006B71AB">
        <w:rPr>
          <w:rFonts w:eastAsia="Times New Roman"/>
          <w:u w:val="single"/>
          <w:lang w:eastAsia="bg-BG"/>
        </w:rPr>
        <w:t>Фертилитет</w:t>
      </w:r>
    </w:p>
    <w:p w14:paraId="0FC48901" w14:textId="77777777" w:rsidR="006B71AB" w:rsidRPr="006B71AB" w:rsidRDefault="006B71AB" w:rsidP="006B71AB">
      <w:pPr>
        <w:spacing w:line="240" w:lineRule="auto"/>
        <w:rPr>
          <w:rFonts w:eastAsia="Times New Roman" w:cs="Arial"/>
          <w:color w:val="000000"/>
          <w:szCs w:val="44"/>
          <w:lang w:eastAsia="bg-BG"/>
        </w:rPr>
      </w:pPr>
    </w:p>
    <w:p w14:paraId="01C8B087" w14:textId="77777777" w:rsidR="006B71AB" w:rsidRPr="006B71AB" w:rsidRDefault="006B71AB" w:rsidP="006B71AB">
      <w:pPr>
        <w:spacing w:line="240" w:lineRule="auto"/>
        <w:rPr>
          <w:rFonts w:eastAsia="Times New Roman" w:cs="Arial"/>
          <w:sz w:val="12"/>
          <w:szCs w:val="24"/>
        </w:rPr>
      </w:pPr>
      <w:r w:rsidRPr="006B71AB">
        <w:rPr>
          <w:rFonts w:eastAsia="Times New Roman" w:cs="Arial"/>
          <w:color w:val="000000"/>
          <w:szCs w:val="44"/>
          <w:lang w:eastAsia="bg-BG"/>
        </w:rPr>
        <w:t>Има данни от проучвания при животни, които показват, че кортикостероидите увреждат фертилитета (вж. точка 5.3).</w:t>
      </w:r>
    </w:p>
    <w:p w14:paraId="0B28D143" w14:textId="77777777" w:rsidR="006B71AB" w:rsidRPr="006B71AB" w:rsidRDefault="006B71AB" w:rsidP="006B71AB">
      <w:pPr>
        <w:spacing w:line="240" w:lineRule="auto"/>
        <w:rPr>
          <w:rFonts w:eastAsia="Times New Roman" w:cs="Arial"/>
          <w:color w:val="000000"/>
          <w:szCs w:val="44"/>
          <w:u w:val="single"/>
          <w:lang w:eastAsia="bg-BG"/>
        </w:rPr>
      </w:pPr>
    </w:p>
    <w:p w14:paraId="37F09CE2" w14:textId="77777777" w:rsidR="006B71AB" w:rsidRPr="006B71AB" w:rsidRDefault="006B71AB" w:rsidP="006B71AB">
      <w:pPr>
        <w:pStyle w:val="Heading3"/>
        <w:rPr>
          <w:rFonts w:eastAsia="Times New Roman"/>
          <w:sz w:val="12"/>
          <w:u w:val="single"/>
        </w:rPr>
      </w:pPr>
      <w:r w:rsidRPr="006B71AB">
        <w:rPr>
          <w:rFonts w:eastAsia="Times New Roman"/>
          <w:u w:val="single"/>
          <w:lang w:eastAsia="bg-BG"/>
        </w:rPr>
        <w:t>Бременност</w:t>
      </w:r>
    </w:p>
    <w:p w14:paraId="24BF54A6" w14:textId="77777777" w:rsidR="006B71AB" w:rsidRPr="006B71AB" w:rsidRDefault="006B71AB" w:rsidP="006B71AB">
      <w:pPr>
        <w:spacing w:line="240" w:lineRule="auto"/>
        <w:rPr>
          <w:rFonts w:eastAsia="Times New Roman" w:cs="Arial"/>
          <w:color w:val="000000"/>
          <w:szCs w:val="44"/>
          <w:lang w:eastAsia="bg-BG"/>
        </w:rPr>
      </w:pPr>
    </w:p>
    <w:p w14:paraId="5B1F2498" w14:textId="77777777" w:rsidR="006B71AB" w:rsidRPr="006B71AB" w:rsidRDefault="006B71AB" w:rsidP="006B71AB">
      <w:pPr>
        <w:spacing w:line="240" w:lineRule="auto"/>
        <w:rPr>
          <w:rFonts w:eastAsia="Times New Roman" w:cs="Arial"/>
          <w:sz w:val="12"/>
          <w:szCs w:val="24"/>
        </w:rPr>
      </w:pPr>
      <w:r w:rsidRPr="006B71AB">
        <w:rPr>
          <w:rFonts w:eastAsia="Times New Roman" w:cs="Arial"/>
          <w:color w:val="000000"/>
          <w:szCs w:val="44"/>
          <w:lang w:eastAsia="bg-BG"/>
        </w:rPr>
        <w:t>Способността за преминаване през плацентата варира при различните представители на групата. Известно е, че метилпреднизолон преминава през плацентарната бариера. При хората рискът от ниско тегло при раждане изглежда е свързан с дозата и може да бъде сведен до минимум чрез прилагане на по-ниски дози кортикостероиди.</w:t>
      </w:r>
    </w:p>
    <w:p w14:paraId="54CBAF36" w14:textId="77777777" w:rsidR="006B71AB" w:rsidRPr="006B71AB" w:rsidRDefault="006B71AB" w:rsidP="006B71AB">
      <w:pPr>
        <w:spacing w:line="240" w:lineRule="auto"/>
        <w:rPr>
          <w:rFonts w:eastAsia="Times New Roman" w:cs="Arial"/>
          <w:color w:val="000000"/>
          <w:szCs w:val="44"/>
          <w:lang w:eastAsia="bg-BG"/>
        </w:rPr>
      </w:pPr>
    </w:p>
    <w:p w14:paraId="250D9C36" w14:textId="77777777" w:rsidR="006B71AB" w:rsidRPr="006B71AB" w:rsidRDefault="006B71AB" w:rsidP="006B71AB">
      <w:pPr>
        <w:spacing w:line="240" w:lineRule="auto"/>
        <w:rPr>
          <w:rFonts w:eastAsia="Times New Roman" w:cs="Arial"/>
          <w:sz w:val="12"/>
          <w:szCs w:val="24"/>
        </w:rPr>
      </w:pPr>
      <w:r w:rsidRPr="006B71AB">
        <w:rPr>
          <w:rFonts w:eastAsia="Times New Roman" w:cs="Arial"/>
          <w:color w:val="000000"/>
          <w:szCs w:val="44"/>
          <w:lang w:eastAsia="bg-BG"/>
        </w:rPr>
        <w:t>Приложението на кортикостероиди при бременни животни може да предизвика аномалии в развитието на плода, вкл. незатваряне на твърдото небце, забавяне на интраутеринното развитие, неблагопрятни ефекти върху мозъчния растеж и развитие. Няма доказателства, че кортикостериоидите водят до повишаване на честотата на вродените аномалии при хора, но приложението им за продължителни периоди или повторното им приложение по време на бременността може да повиши риска от вътрематочно задържане на развитието на плода. Деца, родени от майки, които са получавали значителни дози кортикостероиди по време на бременността, трябва да бъдат внимателно наблюдавани и оценени за признаци на надбъбречна недостатъчност. Хипоадренализъм може теоретично да се наблюдава при новородени при пренатална експозиция с кортикостероиди, но това състояние обикновено се възстановява спонтанно след раждането и рядко е клинично значимо.</w:t>
      </w:r>
    </w:p>
    <w:p w14:paraId="162E852F" w14:textId="77777777" w:rsidR="006B71AB" w:rsidRPr="006B71AB" w:rsidRDefault="006B71AB" w:rsidP="006B71AB">
      <w:pPr>
        <w:spacing w:line="240" w:lineRule="auto"/>
        <w:rPr>
          <w:rFonts w:eastAsia="Times New Roman" w:cs="Arial"/>
          <w:color w:val="000000"/>
          <w:szCs w:val="44"/>
          <w:lang w:eastAsia="bg-BG"/>
        </w:rPr>
      </w:pPr>
    </w:p>
    <w:p w14:paraId="11B80D15" w14:textId="77777777" w:rsidR="006B71AB" w:rsidRPr="006B71AB" w:rsidRDefault="006B71AB" w:rsidP="006B71AB">
      <w:pPr>
        <w:spacing w:line="240" w:lineRule="auto"/>
        <w:rPr>
          <w:rFonts w:eastAsia="Times New Roman" w:cs="Arial"/>
          <w:sz w:val="12"/>
          <w:szCs w:val="24"/>
        </w:rPr>
      </w:pPr>
      <w:r w:rsidRPr="006B71AB">
        <w:rPr>
          <w:rFonts w:eastAsia="Times New Roman" w:cs="Arial"/>
          <w:color w:val="000000"/>
          <w:szCs w:val="44"/>
          <w:lang w:eastAsia="bg-BG"/>
        </w:rPr>
        <w:t>Тъй като не са провеждани адекватни репродуктивни проучвания с метилпреднизолон при хора, този лекарствен продукт трябва да се използва по време на бременност само след внимателна оценка на съотношението полза/риск за майката и плода. Когато обаче, кортикостероидите са от съществено значение, пациентите с нормална бременност могат да бъдат лекувани така, както небременните.</w:t>
      </w:r>
    </w:p>
    <w:p w14:paraId="5CDA8A29" w14:textId="77777777" w:rsidR="006B71AB" w:rsidRPr="006B71AB" w:rsidRDefault="006B71AB" w:rsidP="006B71AB">
      <w:pPr>
        <w:spacing w:line="240" w:lineRule="auto"/>
        <w:rPr>
          <w:rFonts w:eastAsia="Times New Roman" w:cs="Arial"/>
          <w:color w:val="000000"/>
          <w:szCs w:val="44"/>
          <w:lang w:eastAsia="bg-BG"/>
        </w:rPr>
      </w:pPr>
    </w:p>
    <w:p w14:paraId="46F33530" w14:textId="77777777" w:rsidR="006B71AB" w:rsidRPr="006B71AB" w:rsidRDefault="006B71AB" w:rsidP="006B71AB">
      <w:pPr>
        <w:spacing w:line="240" w:lineRule="auto"/>
        <w:rPr>
          <w:rFonts w:eastAsia="Times New Roman" w:cs="Arial"/>
          <w:sz w:val="12"/>
          <w:szCs w:val="24"/>
        </w:rPr>
      </w:pPr>
      <w:r w:rsidRPr="006B71AB">
        <w:rPr>
          <w:rFonts w:eastAsia="Times New Roman" w:cs="Arial"/>
          <w:color w:val="000000"/>
          <w:szCs w:val="44"/>
          <w:lang w:eastAsia="bg-BG"/>
        </w:rPr>
        <w:t>Наблюдавана е катаракга при кърмачета, родени от майки, подложени на дългосрочно лечение с кортикостероиди по време на бременност.</w:t>
      </w:r>
    </w:p>
    <w:p w14:paraId="7B4C5AA9" w14:textId="77777777" w:rsidR="006B71AB" w:rsidRPr="006B71AB" w:rsidRDefault="006B71AB" w:rsidP="006B71AB">
      <w:pPr>
        <w:spacing w:line="240" w:lineRule="auto"/>
        <w:rPr>
          <w:rFonts w:eastAsia="Times New Roman" w:cs="Arial"/>
          <w:color w:val="000000"/>
          <w:szCs w:val="44"/>
          <w:u w:val="single"/>
          <w:lang w:eastAsia="bg-BG"/>
        </w:rPr>
      </w:pPr>
    </w:p>
    <w:p w14:paraId="3B3EF8A3" w14:textId="77777777" w:rsidR="006B71AB" w:rsidRPr="006B71AB" w:rsidRDefault="006B71AB" w:rsidP="006B71AB">
      <w:pPr>
        <w:pStyle w:val="Heading3"/>
        <w:rPr>
          <w:rFonts w:eastAsia="Times New Roman"/>
          <w:sz w:val="12"/>
          <w:u w:val="single"/>
        </w:rPr>
      </w:pPr>
      <w:r w:rsidRPr="006B71AB">
        <w:rPr>
          <w:rFonts w:eastAsia="Times New Roman"/>
          <w:u w:val="single"/>
          <w:lang w:eastAsia="bg-BG"/>
        </w:rPr>
        <w:t>Кърмене</w:t>
      </w:r>
    </w:p>
    <w:p w14:paraId="79D546C6" w14:textId="77777777" w:rsidR="006B71AB" w:rsidRPr="006B71AB" w:rsidRDefault="006B71AB" w:rsidP="006B71AB">
      <w:pPr>
        <w:spacing w:line="240" w:lineRule="auto"/>
        <w:rPr>
          <w:rFonts w:eastAsia="Times New Roman" w:cs="Arial"/>
          <w:color w:val="000000"/>
          <w:szCs w:val="44"/>
          <w:lang w:eastAsia="bg-BG"/>
        </w:rPr>
      </w:pPr>
    </w:p>
    <w:p w14:paraId="060917AA" w14:textId="77777777" w:rsidR="006B71AB" w:rsidRPr="006B71AB" w:rsidRDefault="006B71AB" w:rsidP="006B71AB">
      <w:pPr>
        <w:spacing w:line="240" w:lineRule="auto"/>
        <w:rPr>
          <w:rFonts w:eastAsia="Times New Roman" w:cs="Arial"/>
          <w:sz w:val="12"/>
          <w:szCs w:val="24"/>
        </w:rPr>
      </w:pPr>
      <w:r w:rsidRPr="006B71AB">
        <w:rPr>
          <w:rFonts w:eastAsia="Times New Roman" w:cs="Arial"/>
          <w:color w:val="000000"/>
          <w:szCs w:val="44"/>
          <w:lang w:eastAsia="bg-BG"/>
        </w:rPr>
        <w:t xml:space="preserve">Кортикостероидите се екскретират в малки количества в кърмата, но е малко вероятно дози от до 40 </w:t>
      </w:r>
      <w:r w:rsidRPr="006B71AB">
        <w:rPr>
          <w:rFonts w:eastAsia="Times New Roman" w:cs="Arial"/>
          <w:color w:val="000000"/>
          <w:szCs w:val="44"/>
          <w:lang w:val="en-US"/>
        </w:rPr>
        <w:t>mg</w:t>
      </w:r>
      <w:r w:rsidRPr="006B71AB">
        <w:rPr>
          <w:rFonts w:eastAsia="Times New Roman" w:cs="Arial"/>
          <w:color w:val="000000"/>
          <w:szCs w:val="44"/>
          <w:lang w:val="ru-RU"/>
        </w:rPr>
        <w:t xml:space="preserve"> </w:t>
      </w:r>
      <w:r w:rsidRPr="006B71AB">
        <w:rPr>
          <w:rFonts w:eastAsia="Times New Roman" w:cs="Arial"/>
          <w:color w:val="000000"/>
          <w:szCs w:val="44"/>
          <w:lang w:eastAsia="bg-BG"/>
        </w:rPr>
        <w:t>дневно метилпреднизолон да причинят системни ефекти при кърмачето. Кърмачета, родени от майки, приемащи по-високи дози от тези, могат да проявят в различна степен надбъбречна недостатъчност. Този лекарствен продукт трябва да се използва по време на кърмене само след внимателна оценка на съотношението полза/риск за майката и бебето.</w:t>
      </w:r>
    </w:p>
    <w:p w14:paraId="5A28BAB6" w14:textId="77777777" w:rsidR="006B71AB" w:rsidRPr="006B71AB" w:rsidRDefault="006B71AB" w:rsidP="006B71AB"/>
    <w:p w14:paraId="5766770B" w14:textId="25DD8071" w:rsidR="00395555" w:rsidRDefault="002C50EE" w:rsidP="008A6AF2">
      <w:pPr>
        <w:pStyle w:val="Heading2"/>
      </w:pPr>
      <w:r>
        <w:t>4.7. Ефекти върху способността за шофиране и работа с машини</w:t>
      </w:r>
    </w:p>
    <w:p w14:paraId="3D9544EB" w14:textId="2281CB5B" w:rsidR="006B71AB" w:rsidRDefault="006B71AB" w:rsidP="006B71AB"/>
    <w:p w14:paraId="3C7F0651" w14:textId="77777777" w:rsidR="006B71AB" w:rsidRPr="006B71AB" w:rsidRDefault="006B71AB" w:rsidP="006B71AB">
      <w:pPr>
        <w:rPr>
          <w:sz w:val="24"/>
          <w:szCs w:val="24"/>
        </w:rPr>
      </w:pPr>
      <w:r w:rsidRPr="006B71AB">
        <w:rPr>
          <w:lang w:eastAsia="bg-BG"/>
        </w:rPr>
        <w:t>Ефектите на кортикостероидите върху шофирането или работата с машини не са били системно оценявани. Нежелани лекарствени реакции, като замайване, вертиго, зрителни смущения и</w:t>
      </w:r>
      <w:r>
        <w:rPr>
          <w:lang w:eastAsia="bg-BG"/>
        </w:rPr>
        <w:t xml:space="preserve"> </w:t>
      </w:r>
      <w:r w:rsidRPr="006B71AB">
        <w:rPr>
          <w:lang w:eastAsia="bg-BG"/>
        </w:rPr>
        <w:t>умора са възможни след лечение с кортикостероиди. Ако са засегнати, пациентите не трябва да шофират или да работят с машини.</w:t>
      </w:r>
    </w:p>
    <w:p w14:paraId="68176CE7" w14:textId="65B9DAF1" w:rsidR="006B71AB" w:rsidRPr="006B71AB" w:rsidRDefault="006B71AB" w:rsidP="006B71AB">
      <w:pPr>
        <w:spacing w:line="240" w:lineRule="auto"/>
        <w:rPr>
          <w:rFonts w:ascii="Times New Roman" w:eastAsia="Times New Roman" w:hAnsi="Times New Roman" w:cs="Times New Roman"/>
          <w:sz w:val="24"/>
          <w:szCs w:val="24"/>
        </w:rPr>
      </w:pPr>
    </w:p>
    <w:p w14:paraId="68632FAF" w14:textId="77777777" w:rsidR="006B71AB" w:rsidRPr="006B71AB" w:rsidRDefault="006B71AB" w:rsidP="006B71AB"/>
    <w:p w14:paraId="4FE16E21" w14:textId="70222F02" w:rsidR="00395555" w:rsidRDefault="002C50EE" w:rsidP="008A6AF2">
      <w:pPr>
        <w:pStyle w:val="Heading2"/>
      </w:pPr>
      <w:r>
        <w:t>4.8. Нежелани лекарствени реакции</w:t>
      </w:r>
    </w:p>
    <w:p w14:paraId="6A725AE8" w14:textId="401667CC" w:rsidR="006B71AB" w:rsidRDefault="006B71AB" w:rsidP="006B71AB"/>
    <w:p w14:paraId="51E2C773" w14:textId="765AB454" w:rsidR="006B71AB" w:rsidRPr="006B71AB" w:rsidRDefault="006B71AB" w:rsidP="006B71AB">
      <w:pPr>
        <w:spacing w:line="240" w:lineRule="auto"/>
        <w:rPr>
          <w:rFonts w:eastAsia="Times New Roman" w:cs="Arial"/>
          <w:color w:val="000000"/>
          <w:szCs w:val="44"/>
          <w:lang w:eastAsia="bg-BG"/>
        </w:rPr>
      </w:pPr>
      <w:r w:rsidRPr="006B71AB">
        <w:rPr>
          <w:rFonts w:eastAsia="Times New Roman" w:cs="Arial"/>
          <w:color w:val="000000"/>
          <w:szCs w:val="44"/>
          <w:lang w:eastAsia="bg-BG"/>
        </w:rPr>
        <w:t>В тази точка е използвана следната конвенция за класифициране на нежеланите лекарствени реакции в зависимост от честотата:</w:t>
      </w:r>
    </w:p>
    <w:p w14:paraId="10C50429" w14:textId="77777777" w:rsidR="006B71AB" w:rsidRPr="006B71AB" w:rsidRDefault="006B71AB" w:rsidP="006B71AB">
      <w:pPr>
        <w:spacing w:line="240" w:lineRule="auto"/>
        <w:rPr>
          <w:rFonts w:eastAsia="Times New Roman" w:cs="Arial"/>
          <w:sz w:val="12"/>
          <w:szCs w:val="24"/>
        </w:rPr>
      </w:pPr>
    </w:p>
    <w:p w14:paraId="040A7633" w14:textId="77777777" w:rsidR="006B71AB" w:rsidRPr="006B71AB" w:rsidRDefault="006B71AB" w:rsidP="006B71AB">
      <w:pPr>
        <w:numPr>
          <w:ilvl w:val="0"/>
          <w:numId w:val="45"/>
        </w:numPr>
        <w:spacing w:line="240" w:lineRule="auto"/>
        <w:rPr>
          <w:rFonts w:eastAsia="Times New Roman" w:cs="Arial"/>
          <w:color w:val="000000"/>
          <w:szCs w:val="44"/>
          <w:lang w:eastAsia="bg-BG"/>
        </w:rPr>
      </w:pPr>
      <w:r w:rsidRPr="006B71AB">
        <w:rPr>
          <w:rFonts w:eastAsia="Times New Roman" w:cs="Arial"/>
          <w:color w:val="000000"/>
          <w:szCs w:val="44"/>
          <w:lang w:eastAsia="bg-BG"/>
        </w:rPr>
        <w:t xml:space="preserve">Чести: </w:t>
      </w:r>
      <w:r w:rsidRPr="006B71AB">
        <w:rPr>
          <w:rFonts w:eastAsia="Times New Roman" w:cs="Arial"/>
          <w:color w:val="000000"/>
          <w:szCs w:val="44"/>
          <w:lang w:val="en-US"/>
        </w:rPr>
        <w:t>≥</w:t>
      </w:r>
      <w:r w:rsidRPr="006B71AB">
        <w:rPr>
          <w:rFonts w:eastAsia="Times New Roman" w:cs="Arial"/>
          <w:color w:val="000000"/>
          <w:szCs w:val="44"/>
          <w:lang w:eastAsia="bg-BG"/>
        </w:rPr>
        <w:t>1/100 до &lt;1/10,</w:t>
      </w:r>
    </w:p>
    <w:p w14:paraId="206539D4" w14:textId="77777777" w:rsidR="006B71AB" w:rsidRPr="006B71AB" w:rsidRDefault="006B71AB" w:rsidP="006B71AB">
      <w:pPr>
        <w:numPr>
          <w:ilvl w:val="0"/>
          <w:numId w:val="45"/>
        </w:numPr>
        <w:spacing w:line="240" w:lineRule="auto"/>
        <w:rPr>
          <w:rFonts w:eastAsia="Times New Roman" w:cs="Arial"/>
          <w:color w:val="000000"/>
          <w:szCs w:val="44"/>
          <w:lang w:eastAsia="bg-BG"/>
        </w:rPr>
      </w:pPr>
      <w:r w:rsidRPr="006B71AB">
        <w:rPr>
          <w:rFonts w:eastAsia="Times New Roman" w:cs="Arial"/>
          <w:color w:val="000000"/>
          <w:szCs w:val="44"/>
          <w:lang w:eastAsia="bg-BG"/>
        </w:rPr>
        <w:t xml:space="preserve">Нечести: </w:t>
      </w:r>
      <w:r w:rsidRPr="006B71AB">
        <w:rPr>
          <w:rFonts w:eastAsia="Times New Roman" w:cs="Arial"/>
          <w:color w:val="000000"/>
          <w:szCs w:val="44"/>
          <w:lang w:val="en-US"/>
        </w:rPr>
        <w:t>≥</w:t>
      </w:r>
      <w:r w:rsidRPr="006B71AB">
        <w:rPr>
          <w:rFonts w:eastAsia="Times New Roman" w:cs="Arial"/>
          <w:color w:val="000000"/>
          <w:szCs w:val="44"/>
          <w:lang w:eastAsia="bg-BG"/>
        </w:rPr>
        <w:t>1/1 000 до &lt;1/100,</w:t>
      </w:r>
    </w:p>
    <w:p w14:paraId="66682F70" w14:textId="77777777" w:rsidR="006B71AB" w:rsidRPr="006B71AB" w:rsidRDefault="006B71AB" w:rsidP="006B71AB">
      <w:pPr>
        <w:numPr>
          <w:ilvl w:val="0"/>
          <w:numId w:val="45"/>
        </w:numPr>
        <w:spacing w:line="240" w:lineRule="auto"/>
        <w:rPr>
          <w:rFonts w:eastAsia="Times New Roman" w:cs="Arial"/>
          <w:color w:val="000000"/>
          <w:szCs w:val="44"/>
          <w:lang w:eastAsia="bg-BG"/>
        </w:rPr>
      </w:pPr>
      <w:r w:rsidRPr="006B71AB">
        <w:rPr>
          <w:rFonts w:eastAsia="Times New Roman" w:cs="Arial"/>
          <w:color w:val="000000"/>
          <w:szCs w:val="44"/>
          <w:lang w:eastAsia="bg-BG"/>
        </w:rPr>
        <w:t xml:space="preserve">Редки: </w:t>
      </w:r>
      <w:r w:rsidRPr="006B71AB">
        <w:rPr>
          <w:rFonts w:eastAsia="Times New Roman" w:cs="Arial"/>
          <w:color w:val="000000"/>
          <w:szCs w:val="44"/>
          <w:lang w:val="en-US"/>
        </w:rPr>
        <w:t>≥</w:t>
      </w:r>
      <w:r w:rsidRPr="006B71AB">
        <w:rPr>
          <w:rFonts w:eastAsia="Times New Roman" w:cs="Arial"/>
          <w:color w:val="000000"/>
          <w:szCs w:val="44"/>
          <w:lang w:eastAsia="bg-BG"/>
        </w:rPr>
        <w:t>1/10 000 до &lt;1/1 000</w:t>
      </w:r>
    </w:p>
    <w:p w14:paraId="45F0C915" w14:textId="77777777" w:rsidR="006B71AB" w:rsidRPr="006B71AB" w:rsidRDefault="006B71AB" w:rsidP="006B71AB">
      <w:pPr>
        <w:numPr>
          <w:ilvl w:val="0"/>
          <w:numId w:val="45"/>
        </w:numPr>
        <w:spacing w:line="240" w:lineRule="auto"/>
        <w:rPr>
          <w:rFonts w:eastAsia="Times New Roman" w:cs="Arial"/>
          <w:color w:val="000000"/>
          <w:szCs w:val="44"/>
          <w:lang w:eastAsia="bg-BG"/>
        </w:rPr>
      </w:pPr>
      <w:r w:rsidRPr="006B71AB">
        <w:rPr>
          <w:rFonts w:eastAsia="Times New Roman" w:cs="Arial"/>
          <w:color w:val="000000"/>
          <w:szCs w:val="44"/>
          <w:lang w:eastAsia="bg-BG"/>
        </w:rPr>
        <w:t>Много редки: &lt;1/10 000</w:t>
      </w:r>
    </w:p>
    <w:p w14:paraId="415F0BF6" w14:textId="4B76EDA4" w:rsidR="006B71AB" w:rsidRDefault="006B71AB" w:rsidP="006B71AB">
      <w:pPr>
        <w:numPr>
          <w:ilvl w:val="0"/>
          <w:numId w:val="45"/>
        </w:numPr>
        <w:spacing w:line="240" w:lineRule="auto"/>
        <w:rPr>
          <w:rFonts w:eastAsia="Times New Roman" w:cs="Arial"/>
          <w:color w:val="000000"/>
          <w:szCs w:val="44"/>
          <w:lang w:eastAsia="bg-BG"/>
        </w:rPr>
      </w:pPr>
      <w:r w:rsidRPr="006B71AB">
        <w:rPr>
          <w:rFonts w:eastAsia="Times New Roman" w:cs="Arial"/>
          <w:color w:val="000000"/>
          <w:szCs w:val="44"/>
          <w:lang w:eastAsia="bg-BG"/>
        </w:rPr>
        <w:t>С неизвестна честота: от наличните данни не може да бъде направена оценка</w:t>
      </w:r>
    </w:p>
    <w:p w14:paraId="2C8799AD" w14:textId="691F474E" w:rsidR="006B71AB" w:rsidRDefault="006B71AB" w:rsidP="006B71AB">
      <w:pPr>
        <w:spacing w:line="240" w:lineRule="auto"/>
        <w:rPr>
          <w:rFonts w:eastAsia="Times New Roman" w:cs="Arial"/>
          <w:color w:val="000000"/>
          <w:szCs w:val="44"/>
          <w:lang w:eastAsia="bg-BG"/>
        </w:rPr>
      </w:pPr>
    </w:p>
    <w:tbl>
      <w:tblPr>
        <w:tblStyle w:val="TableGrid"/>
        <w:tblW w:w="0" w:type="auto"/>
        <w:tblLook w:val="04A0" w:firstRow="1" w:lastRow="0" w:firstColumn="1" w:lastColumn="0" w:noHBand="0" w:noVBand="1"/>
      </w:tblPr>
      <w:tblGrid>
        <w:gridCol w:w="3162"/>
        <w:gridCol w:w="3059"/>
        <w:gridCol w:w="3129"/>
      </w:tblGrid>
      <w:tr w:rsidR="00FC0450" w14:paraId="3040B568" w14:textId="77777777" w:rsidTr="008F5A95">
        <w:tc>
          <w:tcPr>
            <w:tcW w:w="3192" w:type="dxa"/>
            <w:vAlign w:val="bottom"/>
          </w:tcPr>
          <w:p w14:paraId="496B6066" w14:textId="77777777" w:rsidR="00FC0450" w:rsidRPr="00FC0450" w:rsidRDefault="00FC0450" w:rsidP="00FC0450">
            <w:r w:rsidRPr="00FC0450">
              <w:rPr>
                <w:b/>
                <w:bCs/>
                <w:szCs w:val="44"/>
                <w:lang w:val="en-US"/>
              </w:rPr>
              <w:t>MedDRA</w:t>
            </w:r>
          </w:p>
          <w:p w14:paraId="397496DC" w14:textId="375DFC3A" w:rsidR="00FC0450" w:rsidRPr="00FC0450" w:rsidRDefault="00FC0450" w:rsidP="00FC0450">
            <w:pPr>
              <w:spacing w:line="240" w:lineRule="auto"/>
              <w:rPr>
                <w:rFonts w:eastAsia="Times New Roman" w:cs="Arial"/>
                <w:color w:val="000000"/>
                <w:szCs w:val="44"/>
                <w:lang w:eastAsia="bg-BG"/>
              </w:rPr>
            </w:pPr>
            <w:r w:rsidRPr="00FC0450">
              <w:rPr>
                <w:b/>
                <w:bCs/>
                <w:szCs w:val="44"/>
              </w:rPr>
              <w:t>Системо-органен клас</w:t>
            </w:r>
          </w:p>
        </w:tc>
        <w:tc>
          <w:tcPr>
            <w:tcW w:w="3192" w:type="dxa"/>
            <w:vAlign w:val="center"/>
          </w:tcPr>
          <w:p w14:paraId="48CC5861" w14:textId="1A9DA357" w:rsidR="00FC0450" w:rsidRPr="00FC0450" w:rsidRDefault="00FC0450" w:rsidP="00FC0450">
            <w:pPr>
              <w:spacing w:line="240" w:lineRule="auto"/>
              <w:rPr>
                <w:rFonts w:eastAsia="Times New Roman" w:cs="Arial"/>
                <w:color w:val="000000"/>
                <w:szCs w:val="44"/>
                <w:lang w:eastAsia="bg-BG"/>
              </w:rPr>
            </w:pPr>
            <w:r>
              <w:rPr>
                <w:b/>
                <w:bCs/>
                <w:szCs w:val="44"/>
              </w:rPr>
              <w:t>Честота+</w:t>
            </w:r>
          </w:p>
        </w:tc>
        <w:tc>
          <w:tcPr>
            <w:tcW w:w="3192" w:type="dxa"/>
            <w:vAlign w:val="center"/>
          </w:tcPr>
          <w:p w14:paraId="62674EA3" w14:textId="02281369" w:rsidR="00FC0450" w:rsidRPr="00FC0450" w:rsidRDefault="00FC0450" w:rsidP="00FC0450">
            <w:pPr>
              <w:spacing w:line="240" w:lineRule="auto"/>
              <w:rPr>
                <w:rFonts w:eastAsia="Times New Roman" w:cs="Arial"/>
                <w:color w:val="000000"/>
                <w:szCs w:val="44"/>
                <w:lang w:eastAsia="bg-BG"/>
              </w:rPr>
            </w:pPr>
            <w:r w:rsidRPr="00FC0450">
              <w:rPr>
                <w:b/>
                <w:bCs/>
                <w:szCs w:val="44"/>
              </w:rPr>
              <w:t>Нежелани реакции</w:t>
            </w:r>
          </w:p>
        </w:tc>
      </w:tr>
      <w:tr w:rsidR="00FC0450" w14:paraId="6736940D" w14:textId="77777777" w:rsidTr="00024743">
        <w:tc>
          <w:tcPr>
            <w:tcW w:w="3192" w:type="dxa"/>
            <w:vMerge w:val="restart"/>
          </w:tcPr>
          <w:p w14:paraId="3D7C29BA" w14:textId="21904700" w:rsidR="00FC0450" w:rsidRPr="00FC0450" w:rsidRDefault="00FC0450" w:rsidP="00FC0450">
            <w:pPr>
              <w:spacing w:line="240" w:lineRule="auto"/>
              <w:rPr>
                <w:rFonts w:eastAsia="Times New Roman" w:cs="Arial"/>
                <w:color w:val="000000"/>
                <w:lang w:eastAsia="bg-BG"/>
              </w:rPr>
            </w:pPr>
            <w:r w:rsidRPr="00FC0450">
              <w:rPr>
                <w:rFonts w:cs="Arial"/>
                <w:b/>
                <w:bCs/>
                <w:i/>
                <w:iCs/>
              </w:rPr>
              <w:t>Инфекции и инфестации</w:t>
            </w:r>
          </w:p>
        </w:tc>
        <w:tc>
          <w:tcPr>
            <w:tcW w:w="3192" w:type="dxa"/>
          </w:tcPr>
          <w:p w14:paraId="5F59A154" w14:textId="37008E23" w:rsidR="00FC0450" w:rsidRPr="00FC0450" w:rsidRDefault="00FC0450" w:rsidP="00FC0450">
            <w:pPr>
              <w:spacing w:line="240" w:lineRule="auto"/>
              <w:rPr>
                <w:rFonts w:eastAsia="Times New Roman" w:cs="Arial"/>
                <w:color w:val="000000"/>
                <w:lang w:eastAsia="bg-BG"/>
              </w:rPr>
            </w:pPr>
            <w:r w:rsidRPr="00FC0450">
              <w:rPr>
                <w:rFonts w:cs="Arial"/>
                <w:b/>
                <w:bCs/>
                <w:i/>
                <w:iCs/>
              </w:rPr>
              <w:t>Чести</w:t>
            </w:r>
          </w:p>
        </w:tc>
        <w:tc>
          <w:tcPr>
            <w:tcW w:w="3192" w:type="dxa"/>
            <w:vAlign w:val="bottom"/>
          </w:tcPr>
          <w:p w14:paraId="0C8F0EC7" w14:textId="2B59A4F7" w:rsidR="00FC0450" w:rsidRPr="00FC0450" w:rsidRDefault="00FC0450" w:rsidP="00FC0450">
            <w:pPr>
              <w:spacing w:line="240" w:lineRule="auto"/>
              <w:rPr>
                <w:rFonts w:eastAsia="Times New Roman" w:cs="Arial"/>
                <w:color w:val="000000"/>
                <w:lang w:eastAsia="bg-BG"/>
              </w:rPr>
            </w:pPr>
            <w:r w:rsidRPr="00FC0450">
              <w:rPr>
                <w:rFonts w:cs="Arial"/>
              </w:rPr>
              <w:t>Инфекция (включително повишена чувствителност и тежест на инфекциите с потискане на клиничните симптоми)</w:t>
            </w:r>
          </w:p>
        </w:tc>
      </w:tr>
      <w:tr w:rsidR="00FC0450" w14:paraId="04FF1687" w14:textId="77777777" w:rsidTr="00024743">
        <w:tc>
          <w:tcPr>
            <w:tcW w:w="3192" w:type="dxa"/>
            <w:vMerge/>
          </w:tcPr>
          <w:p w14:paraId="33DA938F" w14:textId="77777777" w:rsidR="00FC0450" w:rsidRPr="00FC0450" w:rsidRDefault="00FC0450" w:rsidP="00FC0450">
            <w:pPr>
              <w:spacing w:line="240" w:lineRule="auto"/>
              <w:rPr>
                <w:rFonts w:eastAsia="Times New Roman" w:cs="Arial"/>
                <w:color w:val="000000"/>
                <w:lang w:eastAsia="bg-BG"/>
              </w:rPr>
            </w:pPr>
          </w:p>
        </w:tc>
        <w:tc>
          <w:tcPr>
            <w:tcW w:w="3192" w:type="dxa"/>
            <w:vAlign w:val="bottom"/>
          </w:tcPr>
          <w:p w14:paraId="635BB0CF" w14:textId="291A5FD0" w:rsidR="00FC0450" w:rsidRPr="00FC0450" w:rsidRDefault="00FC0450" w:rsidP="00FC0450">
            <w:pPr>
              <w:spacing w:line="240" w:lineRule="auto"/>
              <w:rPr>
                <w:rFonts w:eastAsia="Times New Roman" w:cs="Arial"/>
                <w:color w:val="000000"/>
                <w:lang w:eastAsia="bg-BG"/>
              </w:rPr>
            </w:pPr>
            <w:r w:rsidRPr="00FC0450">
              <w:rPr>
                <w:rFonts w:cs="Arial"/>
                <w:b/>
                <w:bCs/>
                <w:i/>
                <w:iCs/>
              </w:rPr>
              <w:t>С неизвестна честота</w:t>
            </w:r>
          </w:p>
        </w:tc>
        <w:tc>
          <w:tcPr>
            <w:tcW w:w="3192" w:type="dxa"/>
            <w:vAlign w:val="bottom"/>
          </w:tcPr>
          <w:p w14:paraId="4F9AE990" w14:textId="73DA7E5C" w:rsidR="00FC0450" w:rsidRPr="00FC0450" w:rsidRDefault="00FC0450" w:rsidP="00FC0450">
            <w:pPr>
              <w:spacing w:line="240" w:lineRule="auto"/>
              <w:rPr>
                <w:rFonts w:eastAsia="Times New Roman" w:cs="Arial"/>
                <w:color w:val="000000"/>
                <w:lang w:eastAsia="bg-BG"/>
              </w:rPr>
            </w:pPr>
            <w:r w:rsidRPr="00FC0450">
              <w:rPr>
                <w:rFonts w:cs="Arial"/>
              </w:rPr>
              <w:t>Опортюнистични инфекции; рецидив на латентна туберкулоза, перитонит!</w:t>
            </w:r>
          </w:p>
        </w:tc>
      </w:tr>
      <w:tr w:rsidR="00FC0450" w14:paraId="1FED7E26" w14:textId="77777777" w:rsidTr="00024743">
        <w:tc>
          <w:tcPr>
            <w:tcW w:w="3192" w:type="dxa"/>
            <w:vAlign w:val="bottom"/>
          </w:tcPr>
          <w:p w14:paraId="490FEB05" w14:textId="202E7A6C" w:rsidR="00FC0450" w:rsidRPr="00FC0450" w:rsidRDefault="00FC0450" w:rsidP="00FC0450">
            <w:pPr>
              <w:spacing w:line="240" w:lineRule="auto"/>
              <w:rPr>
                <w:rFonts w:eastAsia="Times New Roman" w:cs="Arial"/>
                <w:color w:val="000000"/>
                <w:lang w:eastAsia="bg-BG"/>
              </w:rPr>
            </w:pPr>
            <w:r w:rsidRPr="00FC0450">
              <w:rPr>
                <w:rFonts w:cs="Arial"/>
                <w:b/>
                <w:bCs/>
                <w:i/>
                <w:iCs/>
              </w:rPr>
              <w:t>Нарушения на кръвта и лимфната система</w:t>
            </w:r>
          </w:p>
        </w:tc>
        <w:tc>
          <w:tcPr>
            <w:tcW w:w="3192" w:type="dxa"/>
            <w:vAlign w:val="bottom"/>
          </w:tcPr>
          <w:p w14:paraId="02B7FE94" w14:textId="321B4366" w:rsidR="00FC0450" w:rsidRPr="00FC0450" w:rsidRDefault="00FC0450" w:rsidP="00FC0450">
            <w:pPr>
              <w:spacing w:line="240" w:lineRule="auto"/>
              <w:rPr>
                <w:rFonts w:eastAsia="Times New Roman" w:cs="Arial"/>
                <w:color w:val="000000"/>
                <w:lang w:eastAsia="bg-BG"/>
              </w:rPr>
            </w:pPr>
            <w:r w:rsidRPr="00FC0450">
              <w:rPr>
                <w:rFonts w:cs="Arial"/>
                <w:b/>
                <w:bCs/>
                <w:i/>
                <w:iCs/>
              </w:rPr>
              <w:t>С неизвестна честота</w:t>
            </w:r>
          </w:p>
        </w:tc>
        <w:tc>
          <w:tcPr>
            <w:tcW w:w="3192" w:type="dxa"/>
            <w:vAlign w:val="center"/>
          </w:tcPr>
          <w:p w14:paraId="67AE2C7C" w14:textId="5AF56271" w:rsidR="00FC0450" w:rsidRPr="00FC0450" w:rsidRDefault="00FC0450" w:rsidP="00FC0450">
            <w:pPr>
              <w:spacing w:line="240" w:lineRule="auto"/>
              <w:rPr>
                <w:rFonts w:eastAsia="Times New Roman" w:cs="Arial"/>
                <w:color w:val="000000"/>
                <w:lang w:eastAsia="bg-BG"/>
              </w:rPr>
            </w:pPr>
            <w:r w:rsidRPr="00FC0450">
              <w:rPr>
                <w:rFonts w:cs="Arial"/>
              </w:rPr>
              <w:t>Левкоцитоза</w:t>
            </w:r>
          </w:p>
        </w:tc>
      </w:tr>
      <w:tr w:rsidR="00FC0450" w14:paraId="69092AF9" w14:textId="77777777" w:rsidTr="00024743">
        <w:tc>
          <w:tcPr>
            <w:tcW w:w="3192" w:type="dxa"/>
          </w:tcPr>
          <w:p w14:paraId="750D2DE6" w14:textId="12CE6058" w:rsidR="00FC0450" w:rsidRPr="00FC0450" w:rsidRDefault="00FC0450" w:rsidP="00FC0450">
            <w:pPr>
              <w:spacing w:line="240" w:lineRule="auto"/>
              <w:rPr>
                <w:rFonts w:eastAsia="Times New Roman" w:cs="Arial"/>
                <w:color w:val="000000"/>
                <w:lang w:eastAsia="bg-BG"/>
              </w:rPr>
            </w:pPr>
            <w:r w:rsidRPr="00FC0450">
              <w:rPr>
                <w:rFonts w:cs="Arial"/>
                <w:b/>
                <w:bCs/>
                <w:i/>
                <w:iCs/>
              </w:rPr>
              <w:t>Нарушения на имунната система</w:t>
            </w:r>
          </w:p>
        </w:tc>
        <w:tc>
          <w:tcPr>
            <w:tcW w:w="3192" w:type="dxa"/>
          </w:tcPr>
          <w:p w14:paraId="15A6D64E" w14:textId="1252DAE6" w:rsidR="00FC0450" w:rsidRPr="00FC0450" w:rsidRDefault="00FC0450" w:rsidP="00FC0450">
            <w:pPr>
              <w:spacing w:line="240" w:lineRule="auto"/>
              <w:rPr>
                <w:rFonts w:eastAsia="Times New Roman" w:cs="Arial"/>
                <w:color w:val="000000"/>
                <w:lang w:eastAsia="bg-BG"/>
              </w:rPr>
            </w:pPr>
            <w:r w:rsidRPr="00FC0450">
              <w:rPr>
                <w:rFonts w:cs="Arial"/>
                <w:b/>
                <w:bCs/>
                <w:i/>
                <w:iCs/>
              </w:rPr>
              <w:t>С неизвестна честота</w:t>
            </w:r>
          </w:p>
        </w:tc>
        <w:tc>
          <w:tcPr>
            <w:tcW w:w="3192" w:type="dxa"/>
            <w:vAlign w:val="bottom"/>
          </w:tcPr>
          <w:p w14:paraId="0FA4759C" w14:textId="77777777" w:rsidR="00FC0450" w:rsidRPr="00FC0450" w:rsidRDefault="00FC0450" w:rsidP="00FC0450">
            <w:pPr>
              <w:rPr>
                <w:rFonts w:cs="Arial"/>
              </w:rPr>
            </w:pPr>
            <w:r w:rsidRPr="00FC0450">
              <w:rPr>
                <w:rFonts w:cs="Arial"/>
              </w:rPr>
              <w:t>Лекарствена свръхчувствителност</w:t>
            </w:r>
          </w:p>
          <w:p w14:paraId="3340A329" w14:textId="77777777" w:rsidR="00FC0450" w:rsidRPr="00FC0450" w:rsidRDefault="00FC0450" w:rsidP="00FC0450">
            <w:pPr>
              <w:rPr>
                <w:rFonts w:cs="Arial"/>
              </w:rPr>
            </w:pPr>
            <w:r w:rsidRPr="00FC0450">
              <w:rPr>
                <w:rFonts w:cs="Arial"/>
              </w:rPr>
              <w:t xml:space="preserve">Анафилактична реакция </w:t>
            </w:r>
            <w:r w:rsidRPr="00FC0450">
              <w:rPr>
                <w:rFonts w:cs="Arial"/>
                <w:b/>
                <w:bCs/>
              </w:rPr>
              <w:t>г</w:t>
            </w:r>
          </w:p>
          <w:p w14:paraId="3C782AA7" w14:textId="51C02C4B" w:rsidR="00FC0450" w:rsidRPr="00FC0450" w:rsidRDefault="00FC0450" w:rsidP="00FC0450">
            <w:pPr>
              <w:spacing w:line="240" w:lineRule="auto"/>
              <w:rPr>
                <w:rFonts w:eastAsia="Times New Roman" w:cs="Arial"/>
                <w:color w:val="000000"/>
                <w:lang w:eastAsia="bg-BG"/>
              </w:rPr>
            </w:pPr>
            <w:r w:rsidRPr="00FC0450">
              <w:rPr>
                <w:rFonts w:cs="Arial"/>
              </w:rPr>
              <w:t>Анафилактоидна реакция</w:t>
            </w:r>
          </w:p>
        </w:tc>
      </w:tr>
      <w:tr w:rsidR="00FC0450" w14:paraId="3BEAD988" w14:textId="77777777" w:rsidTr="00CB3057">
        <w:tc>
          <w:tcPr>
            <w:tcW w:w="3192" w:type="dxa"/>
            <w:vMerge w:val="restart"/>
          </w:tcPr>
          <w:p w14:paraId="1FC27849" w14:textId="37EC42BF" w:rsidR="00FC0450" w:rsidRPr="00FC0450" w:rsidRDefault="00FC0450" w:rsidP="00FC0450">
            <w:pPr>
              <w:spacing w:line="240" w:lineRule="auto"/>
              <w:rPr>
                <w:rFonts w:eastAsia="Times New Roman" w:cs="Arial"/>
                <w:color w:val="000000"/>
                <w:szCs w:val="44"/>
                <w:lang w:eastAsia="bg-BG"/>
              </w:rPr>
            </w:pPr>
            <w:r w:rsidRPr="00FC0450">
              <w:rPr>
                <w:b/>
                <w:bCs/>
                <w:i/>
                <w:iCs/>
                <w:szCs w:val="44"/>
              </w:rPr>
              <w:t>Нарушения на ендокринната система</w:t>
            </w:r>
          </w:p>
        </w:tc>
        <w:tc>
          <w:tcPr>
            <w:tcW w:w="3192" w:type="dxa"/>
            <w:vAlign w:val="bottom"/>
          </w:tcPr>
          <w:p w14:paraId="028D5C98" w14:textId="7DC96091" w:rsidR="00FC0450" w:rsidRPr="00FC0450" w:rsidRDefault="00FC0450" w:rsidP="00FC0450">
            <w:pPr>
              <w:spacing w:line="240" w:lineRule="auto"/>
              <w:rPr>
                <w:rFonts w:eastAsia="Times New Roman" w:cs="Arial"/>
                <w:color w:val="000000"/>
                <w:szCs w:val="44"/>
                <w:lang w:eastAsia="bg-BG"/>
              </w:rPr>
            </w:pPr>
            <w:r w:rsidRPr="00FC0450">
              <w:rPr>
                <w:b/>
                <w:bCs/>
                <w:i/>
                <w:iCs/>
                <w:szCs w:val="44"/>
              </w:rPr>
              <w:t>Чести</w:t>
            </w:r>
          </w:p>
        </w:tc>
        <w:tc>
          <w:tcPr>
            <w:tcW w:w="3192" w:type="dxa"/>
            <w:vAlign w:val="bottom"/>
          </w:tcPr>
          <w:p w14:paraId="0425DF0E" w14:textId="318A89F2" w:rsidR="00FC0450" w:rsidRPr="00FC0450" w:rsidRDefault="00FC0450" w:rsidP="00FC0450">
            <w:pPr>
              <w:spacing w:line="240" w:lineRule="auto"/>
              <w:rPr>
                <w:rFonts w:eastAsia="Times New Roman" w:cs="Arial"/>
                <w:color w:val="000000"/>
                <w:szCs w:val="44"/>
                <w:lang w:eastAsia="bg-BG"/>
              </w:rPr>
            </w:pPr>
            <w:r w:rsidRPr="00FC0450">
              <w:rPr>
                <w:szCs w:val="44"/>
              </w:rPr>
              <w:t>Къшингоид</w:t>
            </w:r>
          </w:p>
        </w:tc>
      </w:tr>
      <w:tr w:rsidR="00FC0450" w14:paraId="2ADAD3DA" w14:textId="77777777" w:rsidTr="00CB3057">
        <w:tc>
          <w:tcPr>
            <w:tcW w:w="3192" w:type="dxa"/>
            <w:vMerge/>
          </w:tcPr>
          <w:p w14:paraId="3BA7FEC7" w14:textId="77777777" w:rsidR="00FC0450" w:rsidRPr="00FC0450" w:rsidRDefault="00FC0450" w:rsidP="00FC0450">
            <w:pPr>
              <w:spacing w:line="240" w:lineRule="auto"/>
              <w:rPr>
                <w:rFonts w:eastAsia="Times New Roman" w:cs="Arial"/>
                <w:color w:val="000000"/>
                <w:szCs w:val="44"/>
                <w:lang w:eastAsia="bg-BG"/>
              </w:rPr>
            </w:pPr>
          </w:p>
        </w:tc>
        <w:tc>
          <w:tcPr>
            <w:tcW w:w="3192" w:type="dxa"/>
            <w:vAlign w:val="bottom"/>
          </w:tcPr>
          <w:p w14:paraId="36E5F4AE" w14:textId="2ADAD8B7" w:rsidR="00FC0450" w:rsidRPr="00FC0450" w:rsidRDefault="00FC0450" w:rsidP="00FC0450">
            <w:pPr>
              <w:spacing w:line="240" w:lineRule="auto"/>
              <w:rPr>
                <w:rFonts w:eastAsia="Times New Roman" w:cs="Arial"/>
                <w:color w:val="000000"/>
                <w:szCs w:val="44"/>
                <w:lang w:eastAsia="bg-BG"/>
              </w:rPr>
            </w:pPr>
            <w:r w:rsidRPr="00FC0450">
              <w:rPr>
                <w:b/>
                <w:bCs/>
                <w:i/>
                <w:iCs/>
                <w:szCs w:val="44"/>
              </w:rPr>
              <w:t>С неизвестна честота</w:t>
            </w:r>
          </w:p>
        </w:tc>
        <w:tc>
          <w:tcPr>
            <w:tcW w:w="3192" w:type="dxa"/>
            <w:vAlign w:val="center"/>
          </w:tcPr>
          <w:p w14:paraId="2EE88FA1" w14:textId="28B8A91E" w:rsidR="00FC0450" w:rsidRPr="00FC0450" w:rsidRDefault="00FC0450" w:rsidP="00FC0450">
            <w:pPr>
              <w:spacing w:line="240" w:lineRule="auto"/>
              <w:rPr>
                <w:rFonts w:eastAsia="Times New Roman" w:cs="Arial"/>
                <w:color w:val="000000"/>
                <w:szCs w:val="44"/>
                <w:lang w:eastAsia="bg-BG"/>
              </w:rPr>
            </w:pPr>
            <w:r w:rsidRPr="00FC0450">
              <w:rPr>
                <w:szCs w:val="44"/>
              </w:rPr>
              <w:t>Хипопитуитаризъм</w:t>
            </w:r>
          </w:p>
        </w:tc>
      </w:tr>
      <w:tr w:rsidR="00FC0450" w14:paraId="196ED2D2" w14:textId="77777777" w:rsidTr="00CB3057">
        <w:tc>
          <w:tcPr>
            <w:tcW w:w="3192" w:type="dxa"/>
            <w:vAlign w:val="bottom"/>
          </w:tcPr>
          <w:p w14:paraId="27FE2D29" w14:textId="4F3CA60F" w:rsidR="00FC0450" w:rsidRPr="00FC0450" w:rsidRDefault="00FC0450" w:rsidP="00FC0450">
            <w:pPr>
              <w:spacing w:line="240" w:lineRule="auto"/>
              <w:rPr>
                <w:rFonts w:eastAsia="Times New Roman" w:cs="Arial"/>
                <w:color w:val="000000"/>
                <w:szCs w:val="44"/>
                <w:lang w:eastAsia="bg-BG"/>
              </w:rPr>
            </w:pPr>
            <w:r w:rsidRPr="00FC0450">
              <w:rPr>
                <w:b/>
                <w:bCs/>
                <w:i/>
                <w:iCs/>
                <w:szCs w:val="44"/>
              </w:rPr>
              <w:lastRenderedPageBreak/>
              <w:t>Неоплазми - доброкачествени, злокачествен и неопределени (вкл, кисти и полипи)</w:t>
            </w:r>
          </w:p>
        </w:tc>
        <w:tc>
          <w:tcPr>
            <w:tcW w:w="3192" w:type="dxa"/>
          </w:tcPr>
          <w:p w14:paraId="5D174500" w14:textId="64BB7632" w:rsidR="00FC0450" w:rsidRPr="00FC0450" w:rsidRDefault="00FC0450" w:rsidP="00FC0450">
            <w:pPr>
              <w:spacing w:line="240" w:lineRule="auto"/>
              <w:rPr>
                <w:rFonts w:eastAsia="Times New Roman" w:cs="Arial"/>
                <w:color w:val="000000"/>
                <w:szCs w:val="44"/>
                <w:lang w:eastAsia="bg-BG"/>
              </w:rPr>
            </w:pPr>
            <w:r w:rsidRPr="00FC0450">
              <w:rPr>
                <w:b/>
                <w:bCs/>
                <w:i/>
                <w:iCs/>
                <w:szCs w:val="44"/>
              </w:rPr>
              <w:t>С неизвестна честота</w:t>
            </w:r>
          </w:p>
        </w:tc>
        <w:tc>
          <w:tcPr>
            <w:tcW w:w="3192" w:type="dxa"/>
          </w:tcPr>
          <w:p w14:paraId="60BEF94C" w14:textId="06B259D3" w:rsidR="00FC0450" w:rsidRPr="00FC0450" w:rsidRDefault="00FC0450" w:rsidP="00FC0450">
            <w:pPr>
              <w:spacing w:line="240" w:lineRule="auto"/>
              <w:rPr>
                <w:rFonts w:eastAsia="Times New Roman" w:cs="Arial"/>
                <w:color w:val="000000"/>
                <w:szCs w:val="44"/>
                <w:lang w:eastAsia="bg-BG"/>
              </w:rPr>
            </w:pPr>
            <w:r w:rsidRPr="00FC0450">
              <w:rPr>
                <w:szCs w:val="44"/>
              </w:rPr>
              <w:t>Сарком на Капоши</w:t>
            </w:r>
          </w:p>
        </w:tc>
      </w:tr>
      <w:tr w:rsidR="00FC0450" w14:paraId="6CCBB2FD" w14:textId="77777777" w:rsidTr="00CB3057">
        <w:tc>
          <w:tcPr>
            <w:tcW w:w="3192" w:type="dxa"/>
            <w:vMerge w:val="restart"/>
          </w:tcPr>
          <w:p w14:paraId="4B9A7F94" w14:textId="032C9839" w:rsidR="00FC0450" w:rsidRPr="00FC0450" w:rsidRDefault="00FC0450" w:rsidP="00FC0450">
            <w:pPr>
              <w:spacing w:line="240" w:lineRule="auto"/>
              <w:rPr>
                <w:rFonts w:eastAsia="Times New Roman" w:cs="Arial"/>
                <w:color w:val="000000"/>
                <w:szCs w:val="44"/>
                <w:lang w:eastAsia="bg-BG"/>
              </w:rPr>
            </w:pPr>
            <w:r w:rsidRPr="00FC0450">
              <w:rPr>
                <w:b/>
                <w:bCs/>
                <w:i/>
                <w:iCs/>
                <w:szCs w:val="44"/>
              </w:rPr>
              <w:t>Нарушения на метаболизма и храненето</w:t>
            </w:r>
          </w:p>
        </w:tc>
        <w:tc>
          <w:tcPr>
            <w:tcW w:w="3192" w:type="dxa"/>
            <w:vAlign w:val="bottom"/>
          </w:tcPr>
          <w:p w14:paraId="011D40F0" w14:textId="60D86865" w:rsidR="00FC0450" w:rsidRPr="00FC0450" w:rsidRDefault="00FC0450" w:rsidP="00FC0450">
            <w:pPr>
              <w:spacing w:line="240" w:lineRule="auto"/>
              <w:rPr>
                <w:rFonts w:eastAsia="Times New Roman" w:cs="Arial"/>
                <w:color w:val="000000"/>
                <w:szCs w:val="44"/>
                <w:lang w:eastAsia="bg-BG"/>
              </w:rPr>
            </w:pPr>
            <w:r w:rsidRPr="00FC0450">
              <w:rPr>
                <w:b/>
                <w:bCs/>
                <w:i/>
                <w:iCs/>
                <w:szCs w:val="44"/>
              </w:rPr>
              <w:t>Чести</w:t>
            </w:r>
          </w:p>
        </w:tc>
        <w:tc>
          <w:tcPr>
            <w:tcW w:w="3192" w:type="dxa"/>
            <w:vAlign w:val="bottom"/>
          </w:tcPr>
          <w:p w14:paraId="5A50E771" w14:textId="6929D28B" w:rsidR="00FC0450" w:rsidRPr="00FC0450" w:rsidRDefault="00FC0450" w:rsidP="00FC0450">
            <w:pPr>
              <w:spacing w:line="240" w:lineRule="auto"/>
              <w:rPr>
                <w:rFonts w:eastAsia="Times New Roman" w:cs="Arial"/>
                <w:color w:val="000000"/>
                <w:szCs w:val="44"/>
                <w:lang w:eastAsia="bg-BG"/>
              </w:rPr>
            </w:pPr>
            <w:r w:rsidRPr="00FC0450">
              <w:rPr>
                <w:szCs w:val="44"/>
              </w:rPr>
              <w:t>Задръжка на натрий; задръжка на течности</w:t>
            </w:r>
          </w:p>
        </w:tc>
      </w:tr>
      <w:tr w:rsidR="00FC0450" w14:paraId="4DDB2853" w14:textId="77777777" w:rsidTr="00CB3057">
        <w:tc>
          <w:tcPr>
            <w:tcW w:w="3192" w:type="dxa"/>
            <w:vMerge/>
          </w:tcPr>
          <w:p w14:paraId="5D9E9084" w14:textId="77777777" w:rsidR="00FC0450" w:rsidRPr="00FC0450" w:rsidRDefault="00FC0450" w:rsidP="00FC0450">
            <w:pPr>
              <w:spacing w:line="240" w:lineRule="auto"/>
              <w:rPr>
                <w:rFonts w:eastAsia="Times New Roman" w:cs="Arial"/>
                <w:color w:val="000000"/>
                <w:szCs w:val="44"/>
                <w:lang w:eastAsia="bg-BG"/>
              </w:rPr>
            </w:pPr>
          </w:p>
        </w:tc>
        <w:tc>
          <w:tcPr>
            <w:tcW w:w="3192" w:type="dxa"/>
          </w:tcPr>
          <w:p w14:paraId="271AF47E" w14:textId="047F05E7" w:rsidR="00FC0450" w:rsidRPr="00FC0450" w:rsidRDefault="00FC0450" w:rsidP="00FC0450">
            <w:pPr>
              <w:spacing w:line="240" w:lineRule="auto"/>
              <w:rPr>
                <w:rFonts w:eastAsia="Times New Roman" w:cs="Arial"/>
                <w:color w:val="000000"/>
                <w:szCs w:val="44"/>
                <w:lang w:eastAsia="bg-BG"/>
              </w:rPr>
            </w:pPr>
            <w:r w:rsidRPr="00FC0450">
              <w:rPr>
                <w:b/>
                <w:bCs/>
                <w:i/>
                <w:iCs/>
                <w:szCs w:val="44"/>
              </w:rPr>
              <w:t>С неизвестна честота</w:t>
            </w:r>
          </w:p>
        </w:tc>
        <w:tc>
          <w:tcPr>
            <w:tcW w:w="3192" w:type="dxa"/>
            <w:vAlign w:val="bottom"/>
          </w:tcPr>
          <w:p w14:paraId="502245C3" w14:textId="18121582" w:rsidR="00FC0450" w:rsidRPr="00FC0450" w:rsidRDefault="00FC0450" w:rsidP="00FC0450">
            <w:pPr>
              <w:spacing w:line="240" w:lineRule="auto"/>
              <w:rPr>
                <w:rFonts w:eastAsia="Times New Roman" w:cs="Arial"/>
                <w:color w:val="000000"/>
                <w:szCs w:val="44"/>
                <w:lang w:eastAsia="bg-BG"/>
              </w:rPr>
            </w:pPr>
            <w:r w:rsidRPr="00FC0450">
              <w:rPr>
                <w:szCs w:val="44"/>
              </w:rPr>
              <w:t>Метаболитна ацидоза; хипокалиемична алкалоза; дислипидемия; нарушен глюкозен толеранс; повишена нужда от инсулин (или перорални хипогликемични средства при диабетици); липоматоза;; повишен апетит (който може да доведе до наддаване на тегло); епидурална липоматоза</w:t>
            </w:r>
          </w:p>
        </w:tc>
      </w:tr>
      <w:tr w:rsidR="00FC0450" w14:paraId="134E7A94" w14:textId="77777777" w:rsidTr="006E0EDD">
        <w:tc>
          <w:tcPr>
            <w:tcW w:w="3192" w:type="dxa"/>
            <w:vMerge w:val="restart"/>
          </w:tcPr>
          <w:p w14:paraId="6BA6D3DD" w14:textId="5FA922FB" w:rsidR="00FC0450" w:rsidRPr="00FC0450" w:rsidRDefault="00FC0450" w:rsidP="00FC0450">
            <w:pPr>
              <w:spacing w:line="240" w:lineRule="auto"/>
              <w:rPr>
                <w:rFonts w:eastAsia="Times New Roman" w:cs="Arial"/>
                <w:color w:val="000000"/>
                <w:szCs w:val="44"/>
                <w:lang w:eastAsia="bg-BG"/>
              </w:rPr>
            </w:pPr>
            <w:r w:rsidRPr="00FC0450">
              <w:rPr>
                <w:b/>
                <w:bCs/>
                <w:i/>
                <w:iCs/>
                <w:szCs w:val="44"/>
              </w:rPr>
              <w:t>Психични нарушения</w:t>
            </w:r>
          </w:p>
        </w:tc>
        <w:tc>
          <w:tcPr>
            <w:tcW w:w="3192" w:type="dxa"/>
            <w:vAlign w:val="center"/>
          </w:tcPr>
          <w:p w14:paraId="7A1AABB5" w14:textId="76AFDCD2" w:rsidR="00FC0450" w:rsidRPr="00FC0450" w:rsidRDefault="00FC0450" w:rsidP="00FC0450">
            <w:pPr>
              <w:spacing w:line="240" w:lineRule="auto"/>
              <w:rPr>
                <w:rFonts w:eastAsia="Times New Roman" w:cs="Arial"/>
                <w:color w:val="000000"/>
                <w:szCs w:val="44"/>
                <w:lang w:eastAsia="bg-BG"/>
              </w:rPr>
            </w:pPr>
            <w:r w:rsidRPr="00FC0450">
              <w:rPr>
                <w:b/>
                <w:bCs/>
                <w:i/>
                <w:iCs/>
                <w:szCs w:val="44"/>
              </w:rPr>
              <w:t>Чести</w:t>
            </w:r>
          </w:p>
        </w:tc>
        <w:tc>
          <w:tcPr>
            <w:tcW w:w="3192" w:type="dxa"/>
            <w:vAlign w:val="bottom"/>
          </w:tcPr>
          <w:p w14:paraId="6C3A4AA5" w14:textId="53B76085" w:rsidR="00FC0450" w:rsidRPr="00FC0450" w:rsidRDefault="00FC0450" w:rsidP="00FC0450">
            <w:pPr>
              <w:spacing w:line="240" w:lineRule="auto"/>
              <w:rPr>
                <w:rFonts w:eastAsia="Times New Roman" w:cs="Arial"/>
                <w:color w:val="000000"/>
                <w:szCs w:val="44"/>
                <w:lang w:eastAsia="bg-BG"/>
              </w:rPr>
            </w:pPr>
            <w:r w:rsidRPr="00FC0450">
              <w:rPr>
                <w:szCs w:val="44"/>
              </w:rPr>
              <w:t>Афективно разстройство (вкл. депресивно настроение и еуфорично настроение)</w:t>
            </w:r>
          </w:p>
        </w:tc>
      </w:tr>
      <w:tr w:rsidR="00FC0450" w14:paraId="7D4816CB" w14:textId="77777777" w:rsidTr="006E0EDD">
        <w:tc>
          <w:tcPr>
            <w:tcW w:w="3192" w:type="dxa"/>
            <w:vMerge/>
          </w:tcPr>
          <w:p w14:paraId="44C14320" w14:textId="77777777" w:rsidR="00FC0450" w:rsidRPr="00FC0450" w:rsidRDefault="00FC0450" w:rsidP="00FC0450">
            <w:pPr>
              <w:spacing w:line="240" w:lineRule="auto"/>
              <w:rPr>
                <w:rFonts w:eastAsia="Times New Roman" w:cs="Arial"/>
                <w:color w:val="000000"/>
                <w:szCs w:val="44"/>
                <w:lang w:eastAsia="bg-BG"/>
              </w:rPr>
            </w:pPr>
          </w:p>
        </w:tc>
        <w:tc>
          <w:tcPr>
            <w:tcW w:w="3192" w:type="dxa"/>
            <w:vAlign w:val="center"/>
          </w:tcPr>
          <w:p w14:paraId="453907C7" w14:textId="3CFEAE73" w:rsidR="00FC0450" w:rsidRPr="00FC0450" w:rsidRDefault="00FC0450" w:rsidP="00FC0450">
            <w:pPr>
              <w:spacing w:line="240" w:lineRule="auto"/>
              <w:rPr>
                <w:rFonts w:eastAsia="Times New Roman" w:cs="Arial"/>
                <w:color w:val="000000"/>
                <w:szCs w:val="44"/>
                <w:lang w:eastAsia="bg-BG"/>
              </w:rPr>
            </w:pPr>
            <w:r w:rsidRPr="00FC0450">
              <w:rPr>
                <w:b/>
                <w:bCs/>
                <w:i/>
                <w:iCs/>
                <w:szCs w:val="44"/>
              </w:rPr>
              <w:t>С неизвестна честота</w:t>
            </w:r>
          </w:p>
        </w:tc>
        <w:tc>
          <w:tcPr>
            <w:tcW w:w="3192" w:type="dxa"/>
            <w:vAlign w:val="center"/>
          </w:tcPr>
          <w:p w14:paraId="37EC3F60" w14:textId="1F1BA62A" w:rsidR="00FC0450" w:rsidRPr="00FC0450" w:rsidRDefault="00FC0450" w:rsidP="00FC0450">
            <w:pPr>
              <w:rPr>
                <w:rFonts w:ascii="Times New Roman" w:eastAsia="Times New Roman" w:hAnsi="Times New Roman" w:cs="Times New Roman"/>
                <w:sz w:val="24"/>
                <w:szCs w:val="24"/>
              </w:rPr>
            </w:pPr>
            <w:r w:rsidRPr="00FC0450">
              <w:rPr>
                <w:szCs w:val="44"/>
              </w:rPr>
              <w:t>Психотично разстройство (вкл. мания, делюзии халюцинации и шизофрения); психотично</w:t>
            </w:r>
            <w:r>
              <w:rPr>
                <w:szCs w:val="44"/>
              </w:rPr>
              <w:t xml:space="preserve"> </w:t>
            </w:r>
            <w:r w:rsidRPr="00FC0450">
              <w:rPr>
                <w:rFonts w:eastAsia="Times New Roman" w:cs="Arial"/>
                <w:color w:val="000000"/>
                <w:szCs w:val="44"/>
                <w:lang w:eastAsia="bg-BG"/>
              </w:rPr>
              <w:t>поведение; афективно разстройство (вкл. афективна лабилност, психологична зависимост, суицидни мисли); ментално разстройство; личностни промени; обърканост; тревожност; промени в настроението; абнормно поведение; безсъние; раздразнителност</w:t>
            </w:r>
          </w:p>
        </w:tc>
      </w:tr>
      <w:tr w:rsidR="00FC0450" w14:paraId="40DB213B" w14:textId="77777777" w:rsidTr="007401D5">
        <w:tc>
          <w:tcPr>
            <w:tcW w:w="3192" w:type="dxa"/>
          </w:tcPr>
          <w:p w14:paraId="519F708B" w14:textId="7075CE8A" w:rsidR="00FC0450" w:rsidRPr="00FC0450" w:rsidRDefault="00FC0450" w:rsidP="00FC0450">
            <w:pPr>
              <w:spacing w:line="240" w:lineRule="auto"/>
              <w:rPr>
                <w:rFonts w:eastAsia="Times New Roman" w:cs="Arial"/>
                <w:color w:val="000000"/>
                <w:szCs w:val="44"/>
                <w:lang w:eastAsia="bg-BG"/>
              </w:rPr>
            </w:pPr>
            <w:r w:rsidRPr="00FC0450">
              <w:rPr>
                <w:b/>
                <w:bCs/>
                <w:i/>
                <w:iCs/>
                <w:szCs w:val="44"/>
              </w:rPr>
              <w:t>Нарушения на нервната система</w:t>
            </w:r>
          </w:p>
        </w:tc>
        <w:tc>
          <w:tcPr>
            <w:tcW w:w="3192" w:type="dxa"/>
          </w:tcPr>
          <w:p w14:paraId="6CAD55A4" w14:textId="728186A8" w:rsidR="00FC0450" w:rsidRPr="00FC0450" w:rsidRDefault="00FC0450" w:rsidP="00FC0450">
            <w:pPr>
              <w:spacing w:line="240" w:lineRule="auto"/>
              <w:rPr>
                <w:rFonts w:eastAsia="Times New Roman" w:cs="Arial"/>
                <w:color w:val="000000"/>
                <w:szCs w:val="44"/>
                <w:lang w:eastAsia="bg-BG"/>
              </w:rPr>
            </w:pPr>
            <w:r w:rsidRPr="00FC0450">
              <w:rPr>
                <w:b/>
                <w:bCs/>
                <w:i/>
                <w:iCs/>
                <w:szCs w:val="44"/>
              </w:rPr>
              <w:t>С неизвестна честота</w:t>
            </w:r>
          </w:p>
        </w:tc>
        <w:tc>
          <w:tcPr>
            <w:tcW w:w="3192" w:type="dxa"/>
            <w:vAlign w:val="bottom"/>
          </w:tcPr>
          <w:p w14:paraId="50BB69EA" w14:textId="6E17DBFB" w:rsidR="00FC0450" w:rsidRPr="00FC0450" w:rsidRDefault="00FC0450" w:rsidP="00FC0450">
            <w:pPr>
              <w:spacing w:line="240" w:lineRule="auto"/>
              <w:rPr>
                <w:rFonts w:eastAsia="Times New Roman" w:cs="Arial"/>
                <w:color w:val="000000"/>
                <w:szCs w:val="44"/>
                <w:lang w:eastAsia="bg-BG"/>
              </w:rPr>
            </w:pPr>
            <w:r w:rsidRPr="00FC0450">
              <w:rPr>
                <w:szCs w:val="44"/>
              </w:rPr>
              <w:t>Повишено вътречерепно налягане (с оток на палилата [доброкачествена интракраниална хипертония]); гърчове; амнезия; когнитивно нарушение; замаяност; главоболие</w:t>
            </w:r>
          </w:p>
        </w:tc>
      </w:tr>
      <w:tr w:rsidR="00FC0450" w14:paraId="77EFBB76" w14:textId="77777777" w:rsidTr="007401D5">
        <w:tc>
          <w:tcPr>
            <w:tcW w:w="3192" w:type="dxa"/>
            <w:vMerge w:val="restart"/>
          </w:tcPr>
          <w:p w14:paraId="3196AB80" w14:textId="245F1D41" w:rsidR="00FC0450" w:rsidRPr="00FC0450" w:rsidRDefault="00FC0450" w:rsidP="00FC0450">
            <w:pPr>
              <w:spacing w:line="240" w:lineRule="auto"/>
              <w:rPr>
                <w:rFonts w:eastAsia="Times New Roman" w:cs="Arial"/>
                <w:color w:val="000000"/>
                <w:szCs w:val="44"/>
                <w:lang w:eastAsia="bg-BG"/>
              </w:rPr>
            </w:pPr>
            <w:r w:rsidRPr="00FC0450">
              <w:rPr>
                <w:b/>
                <w:bCs/>
                <w:i/>
                <w:iCs/>
                <w:szCs w:val="44"/>
              </w:rPr>
              <w:t>Нарушения на очите</w:t>
            </w:r>
          </w:p>
        </w:tc>
        <w:tc>
          <w:tcPr>
            <w:tcW w:w="3192" w:type="dxa"/>
            <w:vAlign w:val="bottom"/>
          </w:tcPr>
          <w:p w14:paraId="7C3E29E2" w14:textId="6FF1FDD5" w:rsidR="00FC0450" w:rsidRPr="00FC0450" w:rsidRDefault="00FC0450" w:rsidP="00FC0450">
            <w:pPr>
              <w:spacing w:line="240" w:lineRule="auto"/>
              <w:rPr>
                <w:rFonts w:eastAsia="Times New Roman" w:cs="Arial"/>
                <w:color w:val="000000"/>
                <w:szCs w:val="44"/>
                <w:lang w:eastAsia="bg-BG"/>
              </w:rPr>
            </w:pPr>
            <w:r w:rsidRPr="00FC0450">
              <w:rPr>
                <w:b/>
                <w:bCs/>
                <w:i/>
                <w:iCs/>
                <w:szCs w:val="44"/>
              </w:rPr>
              <w:t>Чести</w:t>
            </w:r>
          </w:p>
        </w:tc>
        <w:tc>
          <w:tcPr>
            <w:tcW w:w="3192" w:type="dxa"/>
            <w:vAlign w:val="bottom"/>
          </w:tcPr>
          <w:p w14:paraId="77D9C1E1" w14:textId="31A3CF90" w:rsidR="00FC0450" w:rsidRPr="00FC0450" w:rsidRDefault="00FC0450" w:rsidP="00FC0450">
            <w:pPr>
              <w:spacing w:line="240" w:lineRule="auto"/>
              <w:rPr>
                <w:rFonts w:eastAsia="Times New Roman" w:cs="Arial"/>
                <w:color w:val="000000"/>
                <w:szCs w:val="44"/>
                <w:lang w:eastAsia="bg-BG"/>
              </w:rPr>
            </w:pPr>
            <w:r w:rsidRPr="00FC0450">
              <w:rPr>
                <w:szCs w:val="44"/>
              </w:rPr>
              <w:t>Катаракта</w:t>
            </w:r>
          </w:p>
        </w:tc>
      </w:tr>
      <w:tr w:rsidR="00FC0450" w14:paraId="5C62CF16" w14:textId="77777777" w:rsidTr="007401D5">
        <w:tc>
          <w:tcPr>
            <w:tcW w:w="3192" w:type="dxa"/>
            <w:vMerge/>
          </w:tcPr>
          <w:p w14:paraId="42F79F45" w14:textId="77777777" w:rsidR="00FC0450" w:rsidRPr="00FC0450" w:rsidRDefault="00FC0450" w:rsidP="00FC0450">
            <w:pPr>
              <w:spacing w:line="240" w:lineRule="auto"/>
              <w:rPr>
                <w:rFonts w:eastAsia="Times New Roman" w:cs="Arial"/>
                <w:color w:val="000000"/>
                <w:szCs w:val="44"/>
                <w:lang w:eastAsia="bg-BG"/>
              </w:rPr>
            </w:pPr>
          </w:p>
        </w:tc>
        <w:tc>
          <w:tcPr>
            <w:tcW w:w="3192" w:type="dxa"/>
            <w:vAlign w:val="bottom"/>
          </w:tcPr>
          <w:p w14:paraId="30A5E838" w14:textId="745E9276" w:rsidR="00FC0450" w:rsidRPr="00FC0450" w:rsidRDefault="00FC0450" w:rsidP="00FC0450">
            <w:pPr>
              <w:spacing w:line="240" w:lineRule="auto"/>
              <w:rPr>
                <w:rFonts w:eastAsia="Times New Roman" w:cs="Arial"/>
                <w:color w:val="000000"/>
                <w:szCs w:val="44"/>
                <w:lang w:eastAsia="bg-BG"/>
              </w:rPr>
            </w:pPr>
            <w:r w:rsidRPr="00FC0450">
              <w:rPr>
                <w:b/>
                <w:bCs/>
                <w:i/>
                <w:iCs/>
                <w:szCs w:val="44"/>
              </w:rPr>
              <w:t>Редки</w:t>
            </w:r>
          </w:p>
        </w:tc>
        <w:tc>
          <w:tcPr>
            <w:tcW w:w="3192" w:type="dxa"/>
            <w:vAlign w:val="bottom"/>
          </w:tcPr>
          <w:p w14:paraId="67CA7120" w14:textId="6B25C02F" w:rsidR="00FC0450" w:rsidRPr="00FC0450" w:rsidRDefault="00FC0450" w:rsidP="00FC0450">
            <w:pPr>
              <w:spacing w:line="240" w:lineRule="auto"/>
              <w:rPr>
                <w:rFonts w:eastAsia="Times New Roman" w:cs="Arial"/>
                <w:color w:val="000000"/>
                <w:szCs w:val="44"/>
                <w:lang w:eastAsia="bg-BG"/>
              </w:rPr>
            </w:pPr>
            <w:r w:rsidRPr="00FC0450">
              <w:rPr>
                <w:szCs w:val="44"/>
              </w:rPr>
              <w:t>Замъглено зрение (вж. също точка 4.4)</w:t>
            </w:r>
          </w:p>
        </w:tc>
      </w:tr>
      <w:tr w:rsidR="00FC0450" w14:paraId="591741CE" w14:textId="77777777" w:rsidTr="007401D5">
        <w:tc>
          <w:tcPr>
            <w:tcW w:w="3192" w:type="dxa"/>
            <w:vMerge/>
          </w:tcPr>
          <w:p w14:paraId="55AF5F80" w14:textId="77777777" w:rsidR="00FC0450" w:rsidRPr="00FC0450" w:rsidRDefault="00FC0450" w:rsidP="00FC0450">
            <w:pPr>
              <w:spacing w:line="240" w:lineRule="auto"/>
              <w:rPr>
                <w:rFonts w:eastAsia="Times New Roman" w:cs="Arial"/>
                <w:color w:val="000000"/>
                <w:szCs w:val="44"/>
                <w:lang w:eastAsia="bg-BG"/>
              </w:rPr>
            </w:pPr>
          </w:p>
        </w:tc>
        <w:tc>
          <w:tcPr>
            <w:tcW w:w="3192" w:type="dxa"/>
            <w:vAlign w:val="bottom"/>
          </w:tcPr>
          <w:p w14:paraId="43EF898A" w14:textId="224ACD14" w:rsidR="00FC0450" w:rsidRPr="00FC0450" w:rsidRDefault="00FC0450" w:rsidP="00FC0450">
            <w:pPr>
              <w:spacing w:line="240" w:lineRule="auto"/>
              <w:rPr>
                <w:rFonts w:eastAsia="Times New Roman" w:cs="Arial"/>
                <w:color w:val="000000"/>
                <w:szCs w:val="44"/>
                <w:lang w:eastAsia="bg-BG"/>
              </w:rPr>
            </w:pPr>
            <w:r w:rsidRPr="00FC0450">
              <w:rPr>
                <w:b/>
                <w:bCs/>
                <w:i/>
                <w:iCs/>
                <w:szCs w:val="44"/>
              </w:rPr>
              <w:t>С неизвестна честота</w:t>
            </w:r>
          </w:p>
        </w:tc>
        <w:tc>
          <w:tcPr>
            <w:tcW w:w="3192" w:type="dxa"/>
            <w:vAlign w:val="bottom"/>
          </w:tcPr>
          <w:p w14:paraId="577C5D61" w14:textId="2AAA3170" w:rsidR="00FC0450" w:rsidRPr="00FC0450" w:rsidRDefault="00FC0450" w:rsidP="00FC0450">
            <w:pPr>
              <w:spacing w:line="240" w:lineRule="auto"/>
              <w:rPr>
                <w:rFonts w:eastAsia="Times New Roman" w:cs="Arial"/>
                <w:color w:val="000000"/>
                <w:szCs w:val="44"/>
                <w:lang w:eastAsia="bg-BG"/>
              </w:rPr>
            </w:pPr>
            <w:r w:rsidRPr="00FC0450">
              <w:rPr>
                <w:szCs w:val="44"/>
              </w:rPr>
              <w:t>Глаукома; екзофталм; изтъняване на роговицата и склерата; хориоретинопатия</w:t>
            </w:r>
          </w:p>
        </w:tc>
      </w:tr>
      <w:tr w:rsidR="00FC0450" w14:paraId="1DB22FE8" w14:textId="77777777" w:rsidTr="007401D5">
        <w:tc>
          <w:tcPr>
            <w:tcW w:w="3192" w:type="dxa"/>
            <w:vAlign w:val="bottom"/>
          </w:tcPr>
          <w:p w14:paraId="6C44676E" w14:textId="5E375FDD" w:rsidR="00FC0450" w:rsidRPr="00FC0450" w:rsidRDefault="00FC0450" w:rsidP="00FC0450">
            <w:pPr>
              <w:spacing w:line="240" w:lineRule="auto"/>
              <w:rPr>
                <w:rFonts w:eastAsia="Times New Roman" w:cs="Arial"/>
                <w:color w:val="000000"/>
                <w:szCs w:val="44"/>
                <w:lang w:eastAsia="bg-BG"/>
              </w:rPr>
            </w:pPr>
            <w:r w:rsidRPr="00FC0450">
              <w:rPr>
                <w:b/>
                <w:bCs/>
                <w:i/>
                <w:iCs/>
                <w:szCs w:val="44"/>
              </w:rPr>
              <w:t>Нарушения на ухото и лабиринта</w:t>
            </w:r>
          </w:p>
        </w:tc>
        <w:tc>
          <w:tcPr>
            <w:tcW w:w="3192" w:type="dxa"/>
            <w:vAlign w:val="bottom"/>
          </w:tcPr>
          <w:p w14:paraId="1740E0DF" w14:textId="0D659ABF" w:rsidR="00FC0450" w:rsidRPr="00FC0450" w:rsidRDefault="00FC0450" w:rsidP="00FC0450">
            <w:pPr>
              <w:spacing w:line="240" w:lineRule="auto"/>
              <w:rPr>
                <w:rFonts w:eastAsia="Times New Roman" w:cs="Arial"/>
                <w:color w:val="000000"/>
                <w:szCs w:val="44"/>
                <w:lang w:eastAsia="bg-BG"/>
              </w:rPr>
            </w:pPr>
            <w:r w:rsidRPr="00FC0450">
              <w:rPr>
                <w:b/>
                <w:bCs/>
                <w:i/>
                <w:iCs/>
                <w:szCs w:val="44"/>
              </w:rPr>
              <w:t>С неизвестна честота</w:t>
            </w:r>
          </w:p>
        </w:tc>
        <w:tc>
          <w:tcPr>
            <w:tcW w:w="3192" w:type="dxa"/>
            <w:vAlign w:val="center"/>
          </w:tcPr>
          <w:p w14:paraId="2EFF92DF" w14:textId="0DEE55BA" w:rsidR="00FC0450" w:rsidRPr="00FC0450" w:rsidRDefault="00FC0450" w:rsidP="00FC0450">
            <w:pPr>
              <w:spacing w:line="240" w:lineRule="auto"/>
              <w:rPr>
                <w:rFonts w:eastAsia="Times New Roman" w:cs="Arial"/>
                <w:color w:val="000000"/>
                <w:szCs w:val="44"/>
                <w:lang w:eastAsia="bg-BG"/>
              </w:rPr>
            </w:pPr>
            <w:r w:rsidRPr="00FC0450">
              <w:rPr>
                <w:szCs w:val="44"/>
              </w:rPr>
              <w:t>Вертиго</w:t>
            </w:r>
          </w:p>
        </w:tc>
      </w:tr>
      <w:tr w:rsidR="00FC0450" w14:paraId="2364F15B" w14:textId="77777777" w:rsidTr="007401D5">
        <w:tc>
          <w:tcPr>
            <w:tcW w:w="3192" w:type="dxa"/>
          </w:tcPr>
          <w:p w14:paraId="57E4A847" w14:textId="0B5B66DD" w:rsidR="00FC0450" w:rsidRPr="00FC0450" w:rsidRDefault="00FC0450" w:rsidP="00FC0450">
            <w:pPr>
              <w:spacing w:line="240" w:lineRule="auto"/>
              <w:rPr>
                <w:rFonts w:eastAsia="Times New Roman" w:cs="Arial"/>
                <w:color w:val="000000"/>
                <w:szCs w:val="44"/>
                <w:lang w:eastAsia="bg-BG"/>
              </w:rPr>
            </w:pPr>
            <w:r w:rsidRPr="00FC0450">
              <w:rPr>
                <w:b/>
                <w:bCs/>
                <w:i/>
                <w:iCs/>
                <w:szCs w:val="44"/>
              </w:rPr>
              <w:t>Сърдечни нарушения</w:t>
            </w:r>
          </w:p>
        </w:tc>
        <w:tc>
          <w:tcPr>
            <w:tcW w:w="3192" w:type="dxa"/>
            <w:vAlign w:val="center"/>
          </w:tcPr>
          <w:p w14:paraId="7A189331" w14:textId="4C85D8CB" w:rsidR="00FC0450" w:rsidRPr="00FC0450" w:rsidRDefault="00FC0450" w:rsidP="00FC0450">
            <w:pPr>
              <w:spacing w:line="240" w:lineRule="auto"/>
              <w:rPr>
                <w:rFonts w:eastAsia="Times New Roman" w:cs="Arial"/>
                <w:color w:val="000000"/>
                <w:szCs w:val="44"/>
                <w:lang w:eastAsia="bg-BG"/>
              </w:rPr>
            </w:pPr>
            <w:r w:rsidRPr="00FC0450">
              <w:rPr>
                <w:b/>
                <w:bCs/>
                <w:i/>
                <w:iCs/>
                <w:szCs w:val="44"/>
              </w:rPr>
              <w:t>С неизвестна честота</w:t>
            </w:r>
          </w:p>
        </w:tc>
        <w:tc>
          <w:tcPr>
            <w:tcW w:w="3192" w:type="dxa"/>
            <w:vAlign w:val="bottom"/>
          </w:tcPr>
          <w:p w14:paraId="1BD3B21E" w14:textId="45DAB98A" w:rsidR="00FC0450" w:rsidRPr="00FC0450" w:rsidRDefault="00FC0450" w:rsidP="00FC0450">
            <w:pPr>
              <w:spacing w:line="240" w:lineRule="auto"/>
              <w:rPr>
                <w:rFonts w:eastAsia="Times New Roman" w:cs="Arial"/>
                <w:color w:val="000000"/>
                <w:szCs w:val="44"/>
                <w:lang w:eastAsia="bg-BG"/>
              </w:rPr>
            </w:pPr>
            <w:r w:rsidRPr="00FC0450">
              <w:rPr>
                <w:szCs w:val="44"/>
              </w:rPr>
              <w:t>Застойна сърдечна недостатъчност (при предразположени пациенти); рупгпура на миокарда след миокарден инфаркт</w:t>
            </w:r>
          </w:p>
        </w:tc>
      </w:tr>
      <w:tr w:rsidR="00FC0450" w14:paraId="16454857" w14:textId="77777777" w:rsidTr="00812A15">
        <w:tc>
          <w:tcPr>
            <w:tcW w:w="3192" w:type="dxa"/>
            <w:vMerge w:val="restart"/>
          </w:tcPr>
          <w:p w14:paraId="728BFC55" w14:textId="1FCB9595" w:rsidR="00FC0450" w:rsidRPr="00FC0450" w:rsidRDefault="00FC0450" w:rsidP="00FC0450">
            <w:pPr>
              <w:spacing w:line="240" w:lineRule="auto"/>
              <w:rPr>
                <w:rFonts w:eastAsia="Times New Roman" w:cs="Arial"/>
                <w:color w:val="000000"/>
                <w:szCs w:val="44"/>
                <w:lang w:eastAsia="bg-BG"/>
              </w:rPr>
            </w:pPr>
            <w:r w:rsidRPr="00FC0450">
              <w:rPr>
                <w:b/>
                <w:bCs/>
                <w:i/>
                <w:iCs/>
                <w:szCs w:val="44"/>
              </w:rPr>
              <w:t>Съдови нарушения</w:t>
            </w:r>
          </w:p>
        </w:tc>
        <w:tc>
          <w:tcPr>
            <w:tcW w:w="3192" w:type="dxa"/>
            <w:vAlign w:val="bottom"/>
          </w:tcPr>
          <w:p w14:paraId="7F5C45A2" w14:textId="603642E7" w:rsidR="00FC0450" w:rsidRPr="00FC0450" w:rsidRDefault="00FC0450" w:rsidP="00FC0450">
            <w:pPr>
              <w:spacing w:line="240" w:lineRule="auto"/>
              <w:rPr>
                <w:rFonts w:eastAsia="Times New Roman" w:cs="Arial"/>
                <w:color w:val="000000"/>
                <w:szCs w:val="44"/>
                <w:lang w:eastAsia="bg-BG"/>
              </w:rPr>
            </w:pPr>
            <w:r w:rsidRPr="00FC0450">
              <w:rPr>
                <w:b/>
                <w:bCs/>
                <w:i/>
                <w:iCs/>
                <w:szCs w:val="44"/>
              </w:rPr>
              <w:t>Чести</w:t>
            </w:r>
          </w:p>
        </w:tc>
        <w:tc>
          <w:tcPr>
            <w:tcW w:w="3192" w:type="dxa"/>
            <w:vAlign w:val="bottom"/>
          </w:tcPr>
          <w:p w14:paraId="11E84254" w14:textId="1CB18697" w:rsidR="00FC0450" w:rsidRPr="00FC0450" w:rsidRDefault="00FC0450" w:rsidP="00FC0450">
            <w:pPr>
              <w:spacing w:line="240" w:lineRule="auto"/>
              <w:rPr>
                <w:rFonts w:eastAsia="Times New Roman" w:cs="Arial"/>
                <w:color w:val="000000"/>
                <w:szCs w:val="44"/>
                <w:lang w:eastAsia="bg-BG"/>
              </w:rPr>
            </w:pPr>
            <w:r w:rsidRPr="00FC0450">
              <w:rPr>
                <w:szCs w:val="44"/>
              </w:rPr>
              <w:t>Хипертония</w:t>
            </w:r>
          </w:p>
        </w:tc>
      </w:tr>
      <w:tr w:rsidR="00FC0450" w14:paraId="7C6FAE56" w14:textId="77777777" w:rsidTr="00812A15">
        <w:tc>
          <w:tcPr>
            <w:tcW w:w="3192" w:type="dxa"/>
            <w:vMerge/>
          </w:tcPr>
          <w:p w14:paraId="7AF4F171" w14:textId="77777777" w:rsidR="00FC0450" w:rsidRPr="00FC0450" w:rsidRDefault="00FC0450" w:rsidP="00FC0450">
            <w:pPr>
              <w:spacing w:line="240" w:lineRule="auto"/>
              <w:rPr>
                <w:rFonts w:eastAsia="Times New Roman" w:cs="Arial"/>
                <w:color w:val="000000"/>
                <w:szCs w:val="44"/>
                <w:lang w:eastAsia="bg-BG"/>
              </w:rPr>
            </w:pPr>
          </w:p>
        </w:tc>
        <w:tc>
          <w:tcPr>
            <w:tcW w:w="3192" w:type="dxa"/>
            <w:vAlign w:val="bottom"/>
          </w:tcPr>
          <w:p w14:paraId="21DF72F7" w14:textId="61850D32" w:rsidR="00FC0450" w:rsidRPr="00FC0450" w:rsidRDefault="00FC0450" w:rsidP="00FC0450">
            <w:pPr>
              <w:spacing w:line="240" w:lineRule="auto"/>
              <w:rPr>
                <w:rFonts w:eastAsia="Times New Roman" w:cs="Arial"/>
                <w:color w:val="000000"/>
                <w:szCs w:val="44"/>
                <w:lang w:eastAsia="bg-BG"/>
              </w:rPr>
            </w:pPr>
            <w:r w:rsidRPr="00FC0450">
              <w:rPr>
                <w:b/>
                <w:bCs/>
                <w:i/>
                <w:iCs/>
                <w:szCs w:val="44"/>
              </w:rPr>
              <w:t>С неизвестна честота</w:t>
            </w:r>
          </w:p>
        </w:tc>
        <w:tc>
          <w:tcPr>
            <w:tcW w:w="3192" w:type="dxa"/>
            <w:vAlign w:val="bottom"/>
          </w:tcPr>
          <w:p w14:paraId="144A2B66" w14:textId="485815CC" w:rsidR="00FC0450" w:rsidRPr="00FC0450" w:rsidRDefault="00FC0450" w:rsidP="00FC0450">
            <w:pPr>
              <w:spacing w:line="240" w:lineRule="auto"/>
              <w:rPr>
                <w:rFonts w:eastAsia="Times New Roman" w:cs="Arial"/>
                <w:color w:val="000000"/>
                <w:szCs w:val="44"/>
                <w:lang w:eastAsia="bg-BG"/>
              </w:rPr>
            </w:pPr>
            <w:r w:rsidRPr="00FC0450">
              <w:rPr>
                <w:szCs w:val="44"/>
              </w:rPr>
              <w:t>Хипотония; артериална емболизация; тромботичини инциденти</w:t>
            </w:r>
          </w:p>
        </w:tc>
      </w:tr>
      <w:tr w:rsidR="00FC0450" w14:paraId="01FF943E" w14:textId="77777777" w:rsidTr="00812A15">
        <w:tc>
          <w:tcPr>
            <w:tcW w:w="3192" w:type="dxa"/>
            <w:vAlign w:val="bottom"/>
          </w:tcPr>
          <w:p w14:paraId="6380019E" w14:textId="76491CC1" w:rsidR="00FC0450" w:rsidRPr="00FC0450" w:rsidRDefault="00FC0450" w:rsidP="00FC0450">
            <w:pPr>
              <w:spacing w:line="240" w:lineRule="auto"/>
              <w:rPr>
                <w:rFonts w:eastAsia="Times New Roman" w:cs="Arial"/>
                <w:color w:val="000000"/>
                <w:szCs w:val="44"/>
                <w:lang w:eastAsia="bg-BG"/>
              </w:rPr>
            </w:pPr>
            <w:r w:rsidRPr="00FC0450">
              <w:rPr>
                <w:b/>
                <w:bCs/>
                <w:i/>
                <w:iCs/>
                <w:szCs w:val="44"/>
              </w:rPr>
              <w:t>Респираторни, гръдни и медиастинални инциденти</w:t>
            </w:r>
          </w:p>
        </w:tc>
        <w:tc>
          <w:tcPr>
            <w:tcW w:w="3192" w:type="dxa"/>
            <w:vAlign w:val="center"/>
          </w:tcPr>
          <w:p w14:paraId="40CAE549" w14:textId="6DE11CA9" w:rsidR="00FC0450" w:rsidRPr="00FC0450" w:rsidRDefault="00FC0450" w:rsidP="00FC0450">
            <w:pPr>
              <w:spacing w:line="240" w:lineRule="auto"/>
              <w:rPr>
                <w:rFonts w:eastAsia="Times New Roman" w:cs="Arial"/>
                <w:color w:val="000000"/>
                <w:szCs w:val="44"/>
                <w:lang w:eastAsia="bg-BG"/>
              </w:rPr>
            </w:pPr>
            <w:r w:rsidRPr="00FC0450">
              <w:rPr>
                <w:b/>
                <w:bCs/>
                <w:i/>
                <w:iCs/>
                <w:szCs w:val="44"/>
              </w:rPr>
              <w:t>С неизвестна честота</w:t>
            </w:r>
          </w:p>
        </w:tc>
        <w:tc>
          <w:tcPr>
            <w:tcW w:w="3192" w:type="dxa"/>
          </w:tcPr>
          <w:p w14:paraId="42CB0806" w14:textId="701565AB" w:rsidR="00FC0450" w:rsidRPr="00FC0450" w:rsidRDefault="00FC0450" w:rsidP="00FC0450">
            <w:pPr>
              <w:spacing w:line="240" w:lineRule="auto"/>
              <w:rPr>
                <w:rFonts w:eastAsia="Times New Roman" w:cs="Arial"/>
                <w:color w:val="000000"/>
                <w:szCs w:val="44"/>
                <w:lang w:eastAsia="bg-BG"/>
              </w:rPr>
            </w:pPr>
            <w:r w:rsidRPr="00FC0450">
              <w:rPr>
                <w:szCs w:val="44"/>
              </w:rPr>
              <w:t>Белодробен емболизъм, хълцане</w:t>
            </w:r>
          </w:p>
        </w:tc>
      </w:tr>
      <w:tr w:rsidR="00FC0450" w14:paraId="475ADCA9" w14:textId="77777777" w:rsidTr="00812A15">
        <w:tc>
          <w:tcPr>
            <w:tcW w:w="3192" w:type="dxa"/>
            <w:vMerge w:val="restart"/>
          </w:tcPr>
          <w:p w14:paraId="44E6BBA1" w14:textId="7FEA4F12" w:rsidR="00FC0450" w:rsidRPr="00FC0450" w:rsidRDefault="00FC0450" w:rsidP="00FC0450">
            <w:pPr>
              <w:spacing w:line="240" w:lineRule="auto"/>
              <w:rPr>
                <w:rFonts w:eastAsia="Times New Roman" w:cs="Arial"/>
                <w:color w:val="000000"/>
                <w:szCs w:val="44"/>
                <w:lang w:eastAsia="bg-BG"/>
              </w:rPr>
            </w:pPr>
            <w:r w:rsidRPr="00FC0450">
              <w:rPr>
                <w:b/>
                <w:bCs/>
                <w:i/>
                <w:iCs/>
                <w:szCs w:val="44"/>
              </w:rPr>
              <w:t>Стомашно-чревни нарушения</w:t>
            </w:r>
          </w:p>
        </w:tc>
        <w:tc>
          <w:tcPr>
            <w:tcW w:w="3192" w:type="dxa"/>
          </w:tcPr>
          <w:p w14:paraId="62B8F6AA" w14:textId="5AE872C7" w:rsidR="00FC0450" w:rsidRPr="00FC0450" w:rsidRDefault="00FC0450" w:rsidP="00FC0450">
            <w:pPr>
              <w:spacing w:line="240" w:lineRule="auto"/>
              <w:rPr>
                <w:rFonts w:eastAsia="Times New Roman" w:cs="Arial"/>
                <w:color w:val="000000"/>
                <w:szCs w:val="44"/>
                <w:lang w:eastAsia="bg-BG"/>
              </w:rPr>
            </w:pPr>
            <w:r w:rsidRPr="00FC0450">
              <w:rPr>
                <w:b/>
                <w:bCs/>
                <w:i/>
                <w:iCs/>
                <w:szCs w:val="44"/>
              </w:rPr>
              <w:t>Чести</w:t>
            </w:r>
          </w:p>
        </w:tc>
        <w:tc>
          <w:tcPr>
            <w:tcW w:w="3192" w:type="dxa"/>
            <w:vAlign w:val="center"/>
          </w:tcPr>
          <w:p w14:paraId="6CDBCD2B" w14:textId="22882545" w:rsidR="00FC0450" w:rsidRPr="00FC0450" w:rsidRDefault="00FC0450" w:rsidP="00FC0450">
            <w:pPr>
              <w:spacing w:line="240" w:lineRule="auto"/>
              <w:rPr>
                <w:rFonts w:eastAsia="Times New Roman" w:cs="Arial"/>
                <w:color w:val="000000"/>
                <w:szCs w:val="44"/>
                <w:lang w:eastAsia="bg-BG"/>
              </w:rPr>
            </w:pPr>
            <w:r w:rsidRPr="00FC0450">
              <w:rPr>
                <w:szCs w:val="44"/>
              </w:rPr>
              <w:t>Пептична язва (с възможна перфорация на пептична язва и кръвоизлив от пептична язва)</w:t>
            </w:r>
          </w:p>
        </w:tc>
      </w:tr>
      <w:tr w:rsidR="00FC0450" w14:paraId="23C289A0" w14:textId="77777777" w:rsidTr="00812A15">
        <w:tc>
          <w:tcPr>
            <w:tcW w:w="3192" w:type="dxa"/>
            <w:vMerge/>
          </w:tcPr>
          <w:p w14:paraId="03D02AEC" w14:textId="77777777" w:rsidR="00FC0450" w:rsidRPr="00FC0450" w:rsidRDefault="00FC0450" w:rsidP="00FC0450">
            <w:pPr>
              <w:spacing w:line="240" w:lineRule="auto"/>
              <w:rPr>
                <w:rFonts w:eastAsia="Times New Roman" w:cs="Arial"/>
                <w:color w:val="000000"/>
                <w:szCs w:val="44"/>
                <w:lang w:eastAsia="bg-BG"/>
              </w:rPr>
            </w:pPr>
          </w:p>
        </w:tc>
        <w:tc>
          <w:tcPr>
            <w:tcW w:w="3192" w:type="dxa"/>
          </w:tcPr>
          <w:p w14:paraId="640B45F2" w14:textId="5C0A8DE6" w:rsidR="00FC0450" w:rsidRPr="00FC0450" w:rsidRDefault="00FC0450" w:rsidP="00FC0450">
            <w:pPr>
              <w:spacing w:line="240" w:lineRule="auto"/>
              <w:rPr>
                <w:rFonts w:eastAsia="Times New Roman" w:cs="Arial"/>
                <w:color w:val="000000"/>
                <w:szCs w:val="44"/>
                <w:lang w:eastAsia="bg-BG"/>
              </w:rPr>
            </w:pPr>
            <w:r w:rsidRPr="00FC0450">
              <w:rPr>
                <w:b/>
                <w:bCs/>
                <w:i/>
                <w:iCs/>
                <w:szCs w:val="44"/>
              </w:rPr>
              <w:t>С неизвестна честота</w:t>
            </w:r>
          </w:p>
        </w:tc>
        <w:tc>
          <w:tcPr>
            <w:tcW w:w="3192" w:type="dxa"/>
            <w:vAlign w:val="bottom"/>
          </w:tcPr>
          <w:p w14:paraId="1F87472F" w14:textId="1BF2957C" w:rsidR="00FC0450" w:rsidRPr="00FC0450" w:rsidRDefault="00FC0450" w:rsidP="00FC0450">
            <w:pPr>
              <w:spacing w:line="240" w:lineRule="auto"/>
              <w:rPr>
                <w:rFonts w:eastAsia="Times New Roman" w:cs="Arial"/>
                <w:color w:val="000000"/>
                <w:szCs w:val="44"/>
                <w:lang w:eastAsia="bg-BG"/>
              </w:rPr>
            </w:pPr>
            <w:r w:rsidRPr="00FC0450">
              <w:rPr>
                <w:szCs w:val="44"/>
              </w:rPr>
              <w:t>Чревна перфорация; стомашно кървене; панкреатит; улцерозен езофагит; езофагит; подуване на корема; коремна болка; диария; диспепсия; гадене</w:t>
            </w:r>
          </w:p>
        </w:tc>
      </w:tr>
      <w:tr w:rsidR="00FC0450" w14:paraId="4E44ECEC" w14:textId="77777777" w:rsidTr="000906E8">
        <w:tc>
          <w:tcPr>
            <w:tcW w:w="3192" w:type="dxa"/>
            <w:vAlign w:val="center"/>
          </w:tcPr>
          <w:p w14:paraId="792697C3" w14:textId="14223204" w:rsidR="00FC0450" w:rsidRPr="00FC0450" w:rsidRDefault="00FC0450" w:rsidP="00FC0450">
            <w:pPr>
              <w:spacing w:line="240" w:lineRule="auto"/>
              <w:rPr>
                <w:rFonts w:eastAsia="Times New Roman" w:cs="Arial"/>
                <w:color w:val="000000"/>
                <w:szCs w:val="44"/>
                <w:lang w:eastAsia="bg-BG"/>
              </w:rPr>
            </w:pPr>
            <w:r w:rsidRPr="00FC0450">
              <w:rPr>
                <w:b/>
                <w:bCs/>
                <w:i/>
                <w:iCs/>
                <w:szCs w:val="44"/>
              </w:rPr>
              <w:t>Хепатобилиарни нарушения</w:t>
            </w:r>
          </w:p>
        </w:tc>
        <w:tc>
          <w:tcPr>
            <w:tcW w:w="3192" w:type="dxa"/>
            <w:vAlign w:val="center"/>
          </w:tcPr>
          <w:p w14:paraId="58990F78" w14:textId="7EE59160" w:rsidR="00FC0450" w:rsidRPr="00FC0450" w:rsidRDefault="00FC0450" w:rsidP="00FC0450">
            <w:pPr>
              <w:spacing w:line="240" w:lineRule="auto"/>
              <w:rPr>
                <w:rFonts w:eastAsia="Times New Roman" w:cs="Arial"/>
                <w:color w:val="000000"/>
                <w:szCs w:val="44"/>
                <w:lang w:eastAsia="bg-BG"/>
              </w:rPr>
            </w:pPr>
            <w:r w:rsidRPr="00FC0450">
              <w:rPr>
                <w:b/>
                <w:bCs/>
                <w:i/>
                <w:iCs/>
                <w:szCs w:val="44"/>
              </w:rPr>
              <w:t>С неизвестна честота</w:t>
            </w:r>
          </w:p>
        </w:tc>
        <w:tc>
          <w:tcPr>
            <w:tcW w:w="3192" w:type="dxa"/>
            <w:vAlign w:val="bottom"/>
          </w:tcPr>
          <w:p w14:paraId="02F363B6" w14:textId="48070C7B" w:rsidR="00FC0450" w:rsidRPr="00FC0450" w:rsidRDefault="00FC0450" w:rsidP="00FC0450">
            <w:pPr>
              <w:spacing w:line="240" w:lineRule="auto"/>
              <w:rPr>
                <w:rFonts w:eastAsia="Times New Roman" w:cs="Arial"/>
                <w:color w:val="000000"/>
                <w:szCs w:val="44"/>
                <w:lang w:eastAsia="bg-BG"/>
              </w:rPr>
            </w:pPr>
            <w:r w:rsidRPr="00FC0450">
              <w:rPr>
                <w:szCs w:val="44"/>
              </w:rPr>
              <w:t>Повишаване на чернодробните ензими (напр. аланин аминотрансфераза, аспартат аминотранфераза)</w:t>
            </w:r>
          </w:p>
        </w:tc>
      </w:tr>
      <w:tr w:rsidR="00FC0450" w14:paraId="5C11A625" w14:textId="77777777" w:rsidTr="000906E8">
        <w:tc>
          <w:tcPr>
            <w:tcW w:w="3192" w:type="dxa"/>
            <w:vMerge w:val="restart"/>
          </w:tcPr>
          <w:p w14:paraId="4541EF3B" w14:textId="5176A738" w:rsidR="00FC0450" w:rsidRPr="00FC0450" w:rsidRDefault="00FC0450" w:rsidP="00FC0450">
            <w:pPr>
              <w:spacing w:line="240" w:lineRule="auto"/>
              <w:rPr>
                <w:rFonts w:eastAsia="Times New Roman" w:cs="Arial"/>
                <w:color w:val="000000"/>
                <w:szCs w:val="44"/>
                <w:lang w:eastAsia="bg-BG"/>
              </w:rPr>
            </w:pPr>
            <w:r w:rsidRPr="00FC0450">
              <w:rPr>
                <w:b/>
                <w:bCs/>
                <w:i/>
                <w:iCs/>
                <w:szCs w:val="44"/>
              </w:rPr>
              <w:t>Нарушения на кожата и подкожната тъкан</w:t>
            </w:r>
          </w:p>
        </w:tc>
        <w:tc>
          <w:tcPr>
            <w:tcW w:w="3192" w:type="dxa"/>
            <w:vAlign w:val="bottom"/>
          </w:tcPr>
          <w:p w14:paraId="0D837E95" w14:textId="4FF9F5B2" w:rsidR="00FC0450" w:rsidRPr="00FC0450" w:rsidRDefault="00FC0450" w:rsidP="00FC0450">
            <w:pPr>
              <w:spacing w:line="240" w:lineRule="auto"/>
              <w:rPr>
                <w:rFonts w:eastAsia="Times New Roman" w:cs="Arial"/>
                <w:color w:val="000000"/>
                <w:szCs w:val="44"/>
                <w:lang w:eastAsia="bg-BG"/>
              </w:rPr>
            </w:pPr>
            <w:r w:rsidRPr="00FC0450">
              <w:rPr>
                <w:b/>
                <w:bCs/>
                <w:i/>
                <w:iCs/>
                <w:szCs w:val="44"/>
              </w:rPr>
              <w:t>Чести</w:t>
            </w:r>
          </w:p>
        </w:tc>
        <w:tc>
          <w:tcPr>
            <w:tcW w:w="3192" w:type="dxa"/>
            <w:vAlign w:val="bottom"/>
          </w:tcPr>
          <w:p w14:paraId="089BCCEF" w14:textId="43538C26" w:rsidR="00FC0450" w:rsidRPr="00FC0450" w:rsidRDefault="00FC0450" w:rsidP="00FC0450">
            <w:pPr>
              <w:spacing w:line="240" w:lineRule="auto"/>
              <w:rPr>
                <w:rFonts w:eastAsia="Times New Roman" w:cs="Arial"/>
                <w:color w:val="000000"/>
                <w:szCs w:val="44"/>
                <w:lang w:eastAsia="bg-BG"/>
              </w:rPr>
            </w:pPr>
            <w:r w:rsidRPr="00FC0450">
              <w:rPr>
                <w:szCs w:val="44"/>
              </w:rPr>
              <w:t>Кожна атрофия; акне</w:t>
            </w:r>
          </w:p>
        </w:tc>
      </w:tr>
      <w:tr w:rsidR="00FC0450" w14:paraId="4F58C758" w14:textId="77777777" w:rsidTr="000906E8">
        <w:tc>
          <w:tcPr>
            <w:tcW w:w="3192" w:type="dxa"/>
            <w:vMerge/>
          </w:tcPr>
          <w:p w14:paraId="2C1FB18F" w14:textId="77777777" w:rsidR="00FC0450" w:rsidRPr="00FC0450" w:rsidRDefault="00FC0450" w:rsidP="00FC0450">
            <w:pPr>
              <w:spacing w:line="240" w:lineRule="auto"/>
              <w:rPr>
                <w:rFonts w:eastAsia="Times New Roman" w:cs="Arial"/>
                <w:color w:val="000000"/>
                <w:szCs w:val="44"/>
                <w:lang w:eastAsia="bg-BG"/>
              </w:rPr>
            </w:pPr>
          </w:p>
        </w:tc>
        <w:tc>
          <w:tcPr>
            <w:tcW w:w="3192" w:type="dxa"/>
            <w:vAlign w:val="center"/>
          </w:tcPr>
          <w:p w14:paraId="56EB85CD" w14:textId="77346984" w:rsidR="00FC0450" w:rsidRPr="00FC0450" w:rsidRDefault="00FC0450" w:rsidP="00FC0450">
            <w:pPr>
              <w:spacing w:line="240" w:lineRule="auto"/>
              <w:rPr>
                <w:rFonts w:eastAsia="Times New Roman" w:cs="Arial"/>
                <w:color w:val="000000"/>
                <w:szCs w:val="44"/>
                <w:lang w:eastAsia="bg-BG"/>
              </w:rPr>
            </w:pPr>
            <w:r w:rsidRPr="00FC0450">
              <w:rPr>
                <w:b/>
                <w:bCs/>
                <w:i/>
                <w:iCs/>
                <w:szCs w:val="44"/>
              </w:rPr>
              <w:t>С неизвестна честота</w:t>
            </w:r>
          </w:p>
        </w:tc>
        <w:tc>
          <w:tcPr>
            <w:tcW w:w="3192" w:type="dxa"/>
            <w:vAlign w:val="bottom"/>
          </w:tcPr>
          <w:p w14:paraId="2478F4EC" w14:textId="30C0D362" w:rsidR="00FC0450" w:rsidRPr="00FC0450" w:rsidRDefault="00FC0450" w:rsidP="00FC0450">
            <w:pPr>
              <w:spacing w:line="240" w:lineRule="auto"/>
              <w:rPr>
                <w:rFonts w:eastAsia="Times New Roman" w:cs="Arial"/>
                <w:color w:val="000000"/>
                <w:szCs w:val="44"/>
                <w:lang w:eastAsia="bg-BG"/>
              </w:rPr>
            </w:pPr>
            <w:r w:rsidRPr="00FC0450">
              <w:rPr>
                <w:szCs w:val="44"/>
              </w:rPr>
              <w:t>Ангиоедем; хирзутизъм; петехии; екхимоза; еритема; хиперхидроза; кожни стрии; обрив; сърбеж; уртикария; телеангиектазии</w:t>
            </w:r>
          </w:p>
        </w:tc>
      </w:tr>
      <w:tr w:rsidR="00FC0450" w14:paraId="2E749115" w14:textId="77777777" w:rsidTr="006B71AB">
        <w:tc>
          <w:tcPr>
            <w:tcW w:w="3192" w:type="dxa"/>
            <w:vMerge w:val="restart"/>
          </w:tcPr>
          <w:p w14:paraId="1BE44AFF" w14:textId="53B28E5E" w:rsidR="00FC0450" w:rsidRDefault="00FC0450" w:rsidP="00FC0450">
            <w:pPr>
              <w:spacing w:line="240" w:lineRule="auto"/>
              <w:rPr>
                <w:rFonts w:eastAsia="Times New Roman" w:cs="Arial"/>
                <w:color w:val="000000"/>
                <w:szCs w:val="44"/>
                <w:lang w:eastAsia="bg-BG"/>
              </w:rPr>
            </w:pPr>
            <w:r w:rsidRPr="00FC0450">
              <w:rPr>
                <w:b/>
                <w:bCs/>
                <w:i/>
                <w:iCs/>
                <w:szCs w:val="44"/>
              </w:rPr>
              <w:t>Нарушения на мускулно- скелетната система и съединителната тъкан</w:t>
            </w:r>
          </w:p>
        </w:tc>
        <w:tc>
          <w:tcPr>
            <w:tcW w:w="3192" w:type="dxa"/>
          </w:tcPr>
          <w:p w14:paraId="201DCBD1" w14:textId="5D68DC52" w:rsidR="00FC0450" w:rsidRPr="00FC0450" w:rsidRDefault="00FC0450" w:rsidP="00FC0450">
            <w:pPr>
              <w:spacing w:line="240" w:lineRule="auto"/>
              <w:rPr>
                <w:rFonts w:eastAsia="Times New Roman" w:cs="Arial"/>
                <w:color w:val="000000"/>
                <w:szCs w:val="44"/>
                <w:lang w:eastAsia="bg-BG"/>
              </w:rPr>
            </w:pPr>
            <w:r w:rsidRPr="00FC0450">
              <w:rPr>
                <w:b/>
                <w:bCs/>
                <w:i/>
                <w:iCs/>
                <w:szCs w:val="44"/>
              </w:rPr>
              <w:t>Чести</w:t>
            </w:r>
          </w:p>
        </w:tc>
        <w:tc>
          <w:tcPr>
            <w:tcW w:w="3192" w:type="dxa"/>
          </w:tcPr>
          <w:p w14:paraId="3220C6BA" w14:textId="124E8D98" w:rsidR="00FC0450" w:rsidRPr="00FC0450" w:rsidRDefault="00FC0450" w:rsidP="00FC0450">
            <w:pPr>
              <w:spacing w:line="240" w:lineRule="auto"/>
              <w:rPr>
                <w:rFonts w:eastAsia="Times New Roman" w:cs="Arial"/>
                <w:color w:val="000000"/>
                <w:szCs w:val="44"/>
                <w:lang w:eastAsia="bg-BG"/>
              </w:rPr>
            </w:pPr>
            <w:r w:rsidRPr="00FC0450">
              <w:rPr>
                <w:szCs w:val="44"/>
              </w:rPr>
              <w:t>Мускулна слабост; забавяне на разстежа</w:t>
            </w:r>
          </w:p>
        </w:tc>
      </w:tr>
      <w:tr w:rsidR="00FC0450" w14:paraId="3F518676" w14:textId="77777777" w:rsidTr="006B71AB">
        <w:tc>
          <w:tcPr>
            <w:tcW w:w="3192" w:type="dxa"/>
            <w:vMerge/>
          </w:tcPr>
          <w:p w14:paraId="48EE9F5B" w14:textId="77777777" w:rsidR="00FC0450" w:rsidRDefault="00FC0450" w:rsidP="00FC0450">
            <w:pPr>
              <w:spacing w:line="240" w:lineRule="auto"/>
              <w:rPr>
                <w:rFonts w:eastAsia="Times New Roman" w:cs="Arial"/>
                <w:color w:val="000000"/>
                <w:szCs w:val="44"/>
                <w:lang w:eastAsia="bg-BG"/>
              </w:rPr>
            </w:pPr>
          </w:p>
        </w:tc>
        <w:tc>
          <w:tcPr>
            <w:tcW w:w="3192" w:type="dxa"/>
          </w:tcPr>
          <w:p w14:paraId="05643FE7" w14:textId="1AD9140D" w:rsidR="00FC0450" w:rsidRPr="00FC0450" w:rsidRDefault="00FC0450" w:rsidP="00FC0450">
            <w:pPr>
              <w:spacing w:line="240" w:lineRule="auto"/>
              <w:rPr>
                <w:rFonts w:eastAsia="Times New Roman" w:cs="Arial"/>
                <w:color w:val="000000"/>
                <w:szCs w:val="44"/>
                <w:lang w:eastAsia="bg-BG"/>
              </w:rPr>
            </w:pPr>
            <w:r w:rsidRPr="00FC0450">
              <w:rPr>
                <w:b/>
                <w:bCs/>
                <w:i/>
                <w:iCs/>
                <w:szCs w:val="44"/>
              </w:rPr>
              <w:t>С неизвестна честота</w:t>
            </w:r>
          </w:p>
        </w:tc>
        <w:tc>
          <w:tcPr>
            <w:tcW w:w="3192" w:type="dxa"/>
          </w:tcPr>
          <w:p w14:paraId="71F42C39" w14:textId="6A9AB005" w:rsidR="00FC0450" w:rsidRPr="00FC0450" w:rsidRDefault="00FC0450" w:rsidP="00FC0450">
            <w:pPr>
              <w:spacing w:line="240" w:lineRule="auto"/>
              <w:rPr>
                <w:rFonts w:eastAsia="Times New Roman" w:cs="Arial"/>
                <w:color w:val="000000"/>
                <w:szCs w:val="44"/>
                <w:lang w:eastAsia="bg-BG"/>
              </w:rPr>
            </w:pPr>
            <w:r w:rsidRPr="00FC0450">
              <w:rPr>
                <w:szCs w:val="44"/>
              </w:rPr>
              <w:t xml:space="preserve">Миалгия; миопатия; мускулна атрофия; </w:t>
            </w:r>
            <w:r w:rsidRPr="00FC0450">
              <w:rPr>
                <w:szCs w:val="44"/>
              </w:rPr>
              <w:lastRenderedPageBreak/>
              <w:t>остеопороза; остеонекроза; паталогична фрактура;</w:t>
            </w:r>
          </w:p>
        </w:tc>
      </w:tr>
      <w:tr w:rsidR="00FC0450" w14:paraId="245275E9" w14:textId="77777777" w:rsidTr="006B71AB">
        <w:tc>
          <w:tcPr>
            <w:tcW w:w="3192" w:type="dxa"/>
          </w:tcPr>
          <w:p w14:paraId="35A02B2B" w14:textId="674C5308" w:rsidR="00FC0450" w:rsidRPr="00FC0450" w:rsidRDefault="00FC0450" w:rsidP="00FC0450">
            <w:pPr>
              <w:spacing w:line="240" w:lineRule="auto"/>
              <w:rPr>
                <w:rFonts w:eastAsia="Times New Roman" w:cs="Arial"/>
                <w:color w:val="000000"/>
                <w:szCs w:val="44"/>
                <w:lang w:eastAsia="bg-BG"/>
              </w:rPr>
            </w:pPr>
            <w:r w:rsidRPr="00FC0450">
              <w:rPr>
                <w:b/>
                <w:bCs/>
                <w:i/>
                <w:iCs/>
                <w:szCs w:val="44"/>
              </w:rPr>
              <w:lastRenderedPageBreak/>
              <w:t>Нарушения на възпроизводителната система и гърдата</w:t>
            </w:r>
          </w:p>
        </w:tc>
        <w:tc>
          <w:tcPr>
            <w:tcW w:w="3192" w:type="dxa"/>
          </w:tcPr>
          <w:p w14:paraId="5CA4E357" w14:textId="761A3611" w:rsidR="00FC0450" w:rsidRPr="00FC0450" w:rsidRDefault="00FC0450" w:rsidP="00FC0450">
            <w:pPr>
              <w:spacing w:line="240" w:lineRule="auto"/>
              <w:rPr>
                <w:rFonts w:eastAsia="Times New Roman" w:cs="Arial"/>
                <w:color w:val="000000"/>
                <w:szCs w:val="44"/>
                <w:lang w:eastAsia="bg-BG"/>
              </w:rPr>
            </w:pPr>
            <w:r w:rsidRPr="00FC0450">
              <w:rPr>
                <w:b/>
                <w:bCs/>
                <w:i/>
                <w:iCs/>
                <w:szCs w:val="44"/>
              </w:rPr>
              <w:t>С неизвестна честота</w:t>
            </w:r>
          </w:p>
        </w:tc>
        <w:tc>
          <w:tcPr>
            <w:tcW w:w="3192" w:type="dxa"/>
          </w:tcPr>
          <w:p w14:paraId="3CB26ED3" w14:textId="6699140C" w:rsidR="00FC0450" w:rsidRPr="00FC0450" w:rsidRDefault="00FC0450" w:rsidP="00FC0450">
            <w:pPr>
              <w:spacing w:line="240" w:lineRule="auto"/>
              <w:rPr>
                <w:rFonts w:eastAsia="Times New Roman" w:cs="Arial"/>
                <w:color w:val="000000"/>
                <w:szCs w:val="44"/>
                <w:lang w:eastAsia="bg-BG"/>
              </w:rPr>
            </w:pPr>
            <w:r w:rsidRPr="00FC0450">
              <w:rPr>
                <w:szCs w:val="44"/>
              </w:rPr>
              <w:t>Нередовна менструация</w:t>
            </w:r>
          </w:p>
        </w:tc>
      </w:tr>
      <w:tr w:rsidR="00FC0450" w14:paraId="61087F18" w14:textId="77777777" w:rsidTr="006B71AB">
        <w:tc>
          <w:tcPr>
            <w:tcW w:w="3192" w:type="dxa"/>
            <w:vMerge w:val="restart"/>
          </w:tcPr>
          <w:p w14:paraId="0A823CA5" w14:textId="19A30387" w:rsidR="00FC0450" w:rsidRPr="00FC0450" w:rsidRDefault="00FC0450" w:rsidP="00FC0450">
            <w:pPr>
              <w:spacing w:line="240" w:lineRule="auto"/>
              <w:rPr>
                <w:rFonts w:eastAsia="Times New Roman" w:cs="Arial"/>
                <w:color w:val="000000"/>
                <w:szCs w:val="44"/>
                <w:lang w:eastAsia="bg-BG"/>
              </w:rPr>
            </w:pPr>
            <w:r w:rsidRPr="00FC0450">
              <w:rPr>
                <w:b/>
                <w:bCs/>
                <w:i/>
                <w:iCs/>
                <w:szCs w:val="44"/>
              </w:rPr>
              <w:t>Общи нарушения и ефекти в мястото на приложение</w:t>
            </w:r>
          </w:p>
        </w:tc>
        <w:tc>
          <w:tcPr>
            <w:tcW w:w="3192" w:type="dxa"/>
          </w:tcPr>
          <w:p w14:paraId="415D46FB" w14:textId="1DCB0C7D" w:rsidR="00FC0450" w:rsidRPr="00FC0450" w:rsidRDefault="00FC0450" w:rsidP="00FC0450">
            <w:pPr>
              <w:spacing w:line="240" w:lineRule="auto"/>
              <w:rPr>
                <w:rFonts w:eastAsia="Times New Roman" w:cs="Arial"/>
                <w:color w:val="000000"/>
                <w:szCs w:val="44"/>
                <w:lang w:eastAsia="bg-BG"/>
              </w:rPr>
            </w:pPr>
            <w:r w:rsidRPr="00FC0450">
              <w:rPr>
                <w:b/>
                <w:bCs/>
                <w:i/>
                <w:iCs/>
                <w:szCs w:val="44"/>
              </w:rPr>
              <w:t>Чести</w:t>
            </w:r>
          </w:p>
        </w:tc>
        <w:tc>
          <w:tcPr>
            <w:tcW w:w="3192" w:type="dxa"/>
          </w:tcPr>
          <w:p w14:paraId="3278D823" w14:textId="11AAE4F7" w:rsidR="00FC0450" w:rsidRPr="00FC0450" w:rsidRDefault="00FC0450" w:rsidP="00FC0450">
            <w:pPr>
              <w:spacing w:line="240" w:lineRule="auto"/>
              <w:rPr>
                <w:rFonts w:eastAsia="Times New Roman" w:cs="Arial"/>
                <w:color w:val="000000"/>
                <w:szCs w:val="44"/>
                <w:lang w:eastAsia="bg-BG"/>
              </w:rPr>
            </w:pPr>
            <w:r w:rsidRPr="00FC0450">
              <w:rPr>
                <w:szCs w:val="44"/>
              </w:rPr>
              <w:t>Нарушено заздравяване на рани</w:t>
            </w:r>
          </w:p>
        </w:tc>
      </w:tr>
      <w:tr w:rsidR="00FC0450" w14:paraId="6AD76FA6" w14:textId="77777777" w:rsidTr="006B71AB">
        <w:tc>
          <w:tcPr>
            <w:tcW w:w="3192" w:type="dxa"/>
            <w:vMerge/>
          </w:tcPr>
          <w:p w14:paraId="1E00A765" w14:textId="77777777" w:rsidR="00FC0450" w:rsidRPr="00FC0450" w:rsidRDefault="00FC0450" w:rsidP="00FC0450">
            <w:pPr>
              <w:spacing w:line="240" w:lineRule="auto"/>
              <w:rPr>
                <w:rFonts w:eastAsia="Times New Roman" w:cs="Arial"/>
                <w:color w:val="000000"/>
                <w:szCs w:val="44"/>
                <w:lang w:eastAsia="bg-BG"/>
              </w:rPr>
            </w:pPr>
          </w:p>
        </w:tc>
        <w:tc>
          <w:tcPr>
            <w:tcW w:w="3192" w:type="dxa"/>
          </w:tcPr>
          <w:p w14:paraId="1A2281D8" w14:textId="641E8B21" w:rsidR="00FC0450" w:rsidRPr="00FC0450" w:rsidRDefault="00FC0450" w:rsidP="00FC0450">
            <w:pPr>
              <w:spacing w:line="240" w:lineRule="auto"/>
              <w:rPr>
                <w:rFonts w:eastAsia="Times New Roman" w:cs="Arial"/>
                <w:color w:val="000000"/>
                <w:szCs w:val="44"/>
                <w:lang w:eastAsia="bg-BG"/>
              </w:rPr>
            </w:pPr>
            <w:r w:rsidRPr="00FC0450">
              <w:rPr>
                <w:b/>
                <w:bCs/>
                <w:i/>
                <w:iCs/>
                <w:szCs w:val="44"/>
              </w:rPr>
              <w:t>С неизвестна честота</w:t>
            </w:r>
          </w:p>
        </w:tc>
        <w:tc>
          <w:tcPr>
            <w:tcW w:w="3192" w:type="dxa"/>
          </w:tcPr>
          <w:p w14:paraId="38DBFF21" w14:textId="02CC620F" w:rsidR="00FC0450" w:rsidRPr="00FC0450" w:rsidRDefault="00FC0450" w:rsidP="00FC0450">
            <w:pPr>
              <w:spacing w:line="240" w:lineRule="auto"/>
              <w:rPr>
                <w:rFonts w:eastAsia="Times New Roman" w:cs="Arial"/>
                <w:color w:val="000000"/>
                <w:szCs w:val="44"/>
                <w:lang w:eastAsia="bg-BG"/>
              </w:rPr>
            </w:pPr>
            <w:r w:rsidRPr="00FC0450">
              <w:rPr>
                <w:szCs w:val="44"/>
              </w:rPr>
              <w:t>Периферен едем; умора; безпокойство; симптоми на отнемане - прекалено бързо намаляване на дозата на кортикостероидите след продължително лечение може да доведе до остра надбъбречна недостатъчност, хипотония и смърт (вж. точка 4.4)</w:t>
            </w:r>
          </w:p>
        </w:tc>
      </w:tr>
      <w:tr w:rsidR="00FC0450" w14:paraId="637CC0B9" w14:textId="77777777" w:rsidTr="006B71AB">
        <w:tc>
          <w:tcPr>
            <w:tcW w:w="3192" w:type="dxa"/>
            <w:vMerge w:val="restart"/>
          </w:tcPr>
          <w:p w14:paraId="65E32B43" w14:textId="75DA9098" w:rsidR="00FC0450" w:rsidRPr="00FC0450" w:rsidRDefault="00FC0450" w:rsidP="00FC0450">
            <w:pPr>
              <w:spacing w:line="240" w:lineRule="auto"/>
              <w:rPr>
                <w:rFonts w:eastAsia="Times New Roman" w:cs="Arial"/>
                <w:color w:val="000000"/>
                <w:szCs w:val="44"/>
                <w:lang w:eastAsia="bg-BG"/>
              </w:rPr>
            </w:pPr>
            <w:r w:rsidRPr="00FC0450">
              <w:rPr>
                <w:b/>
                <w:bCs/>
                <w:i/>
                <w:iCs/>
                <w:szCs w:val="44"/>
              </w:rPr>
              <w:t>Изследвания</w:t>
            </w:r>
          </w:p>
        </w:tc>
        <w:tc>
          <w:tcPr>
            <w:tcW w:w="3192" w:type="dxa"/>
          </w:tcPr>
          <w:p w14:paraId="56FFA233" w14:textId="5CEA0B6F" w:rsidR="00FC0450" w:rsidRPr="00FC0450" w:rsidRDefault="00FC0450" w:rsidP="00FC0450">
            <w:pPr>
              <w:spacing w:line="240" w:lineRule="auto"/>
              <w:rPr>
                <w:rFonts w:eastAsia="Times New Roman" w:cs="Arial"/>
                <w:color w:val="000000"/>
                <w:szCs w:val="44"/>
                <w:lang w:eastAsia="bg-BG"/>
              </w:rPr>
            </w:pPr>
            <w:r w:rsidRPr="00FC0450">
              <w:rPr>
                <w:b/>
                <w:bCs/>
                <w:i/>
                <w:iCs/>
                <w:szCs w:val="44"/>
              </w:rPr>
              <w:t>Чести</w:t>
            </w:r>
          </w:p>
        </w:tc>
        <w:tc>
          <w:tcPr>
            <w:tcW w:w="3192" w:type="dxa"/>
          </w:tcPr>
          <w:p w14:paraId="27FE57D8" w14:textId="19C5879B" w:rsidR="00FC0450" w:rsidRPr="00FC0450" w:rsidRDefault="00FC0450" w:rsidP="00FC0450">
            <w:pPr>
              <w:spacing w:line="240" w:lineRule="auto"/>
              <w:rPr>
                <w:rFonts w:eastAsia="Times New Roman" w:cs="Arial"/>
                <w:color w:val="000000"/>
                <w:szCs w:val="44"/>
                <w:lang w:eastAsia="bg-BG"/>
              </w:rPr>
            </w:pPr>
            <w:r w:rsidRPr="00FC0450">
              <w:rPr>
                <w:szCs w:val="44"/>
              </w:rPr>
              <w:t>Понижен калий в кръвта</w:t>
            </w:r>
          </w:p>
        </w:tc>
      </w:tr>
      <w:tr w:rsidR="00FC0450" w14:paraId="1FD0F7AF" w14:textId="77777777" w:rsidTr="006B71AB">
        <w:tc>
          <w:tcPr>
            <w:tcW w:w="3192" w:type="dxa"/>
            <w:vMerge/>
          </w:tcPr>
          <w:p w14:paraId="43FA6F72" w14:textId="77777777" w:rsidR="00FC0450" w:rsidRPr="00FC0450" w:rsidRDefault="00FC0450" w:rsidP="00FC0450">
            <w:pPr>
              <w:spacing w:line="240" w:lineRule="auto"/>
              <w:rPr>
                <w:rFonts w:eastAsia="Times New Roman" w:cs="Arial"/>
                <w:color w:val="000000"/>
                <w:szCs w:val="44"/>
                <w:lang w:eastAsia="bg-BG"/>
              </w:rPr>
            </w:pPr>
          </w:p>
        </w:tc>
        <w:tc>
          <w:tcPr>
            <w:tcW w:w="3192" w:type="dxa"/>
          </w:tcPr>
          <w:p w14:paraId="79923403" w14:textId="49EFF676" w:rsidR="00FC0450" w:rsidRPr="00FC0450" w:rsidRDefault="00FC0450" w:rsidP="00FC0450">
            <w:pPr>
              <w:spacing w:line="240" w:lineRule="auto"/>
              <w:rPr>
                <w:rFonts w:eastAsia="Times New Roman" w:cs="Arial"/>
                <w:color w:val="000000"/>
                <w:szCs w:val="44"/>
                <w:lang w:eastAsia="bg-BG"/>
              </w:rPr>
            </w:pPr>
            <w:r w:rsidRPr="00FC0450">
              <w:rPr>
                <w:b/>
                <w:bCs/>
                <w:i/>
                <w:iCs/>
                <w:szCs w:val="44"/>
              </w:rPr>
              <w:t>С неизвестна честота</w:t>
            </w:r>
          </w:p>
        </w:tc>
        <w:tc>
          <w:tcPr>
            <w:tcW w:w="3192" w:type="dxa"/>
          </w:tcPr>
          <w:p w14:paraId="78E261DB" w14:textId="15CEECB4" w:rsidR="00FC0450" w:rsidRPr="00FC0450" w:rsidRDefault="00FC0450" w:rsidP="00FC0450">
            <w:pPr>
              <w:spacing w:line="240" w:lineRule="auto"/>
              <w:rPr>
                <w:rFonts w:eastAsia="Times New Roman" w:cs="Arial"/>
                <w:color w:val="000000"/>
                <w:szCs w:val="44"/>
                <w:lang w:eastAsia="bg-BG"/>
              </w:rPr>
            </w:pPr>
            <w:r w:rsidRPr="00FC0450">
              <w:rPr>
                <w:szCs w:val="44"/>
              </w:rPr>
              <w:t>Повишено вътреочно налягане; понижен въглехидратен толеранс; повишен калций в урината; повишени стойности на алкалната фосфатаза в кръвта; повишена урея в кръвта; потискане на реакциите към кожни тестове</w:t>
            </w:r>
          </w:p>
        </w:tc>
      </w:tr>
      <w:tr w:rsidR="00FC0450" w14:paraId="429B0373" w14:textId="77777777" w:rsidTr="006B71AB">
        <w:tc>
          <w:tcPr>
            <w:tcW w:w="3192" w:type="dxa"/>
          </w:tcPr>
          <w:p w14:paraId="2EBAC86C" w14:textId="3E5B7515" w:rsidR="00FC0450" w:rsidRPr="00FC0450" w:rsidRDefault="00FC0450" w:rsidP="00FC0450">
            <w:pPr>
              <w:spacing w:line="240" w:lineRule="auto"/>
              <w:rPr>
                <w:rFonts w:eastAsia="Times New Roman" w:cs="Arial"/>
                <w:color w:val="000000"/>
                <w:szCs w:val="44"/>
                <w:lang w:eastAsia="bg-BG"/>
              </w:rPr>
            </w:pPr>
            <w:r w:rsidRPr="00FC0450">
              <w:rPr>
                <w:b/>
                <w:bCs/>
                <w:i/>
                <w:iCs/>
                <w:szCs w:val="44"/>
              </w:rPr>
              <w:t>Наранявания, отравяния и усложнения, възникнали в резултат на интервенции</w:t>
            </w:r>
          </w:p>
        </w:tc>
        <w:tc>
          <w:tcPr>
            <w:tcW w:w="3192" w:type="dxa"/>
          </w:tcPr>
          <w:p w14:paraId="4EA79486" w14:textId="55A7693D" w:rsidR="00FC0450" w:rsidRPr="00FC0450" w:rsidRDefault="00FC0450" w:rsidP="00FC0450">
            <w:pPr>
              <w:spacing w:line="240" w:lineRule="auto"/>
              <w:rPr>
                <w:rFonts w:eastAsia="Times New Roman" w:cs="Arial"/>
                <w:color w:val="000000"/>
                <w:szCs w:val="44"/>
                <w:lang w:eastAsia="bg-BG"/>
              </w:rPr>
            </w:pPr>
            <w:r w:rsidRPr="00FC0450">
              <w:rPr>
                <w:b/>
                <w:bCs/>
                <w:i/>
                <w:iCs/>
                <w:szCs w:val="44"/>
              </w:rPr>
              <w:t>С неизвестна честота</w:t>
            </w:r>
          </w:p>
        </w:tc>
        <w:tc>
          <w:tcPr>
            <w:tcW w:w="3192" w:type="dxa"/>
          </w:tcPr>
          <w:p w14:paraId="0DF9C8DA" w14:textId="127D355C" w:rsidR="00FC0450" w:rsidRPr="00FC0450" w:rsidRDefault="00FC0450" w:rsidP="00FC0450">
            <w:pPr>
              <w:spacing w:line="240" w:lineRule="auto"/>
              <w:rPr>
                <w:rFonts w:eastAsia="Times New Roman" w:cs="Arial"/>
                <w:color w:val="000000"/>
                <w:szCs w:val="44"/>
                <w:lang w:eastAsia="bg-BG"/>
              </w:rPr>
            </w:pPr>
            <w:r w:rsidRPr="00FC0450">
              <w:rPr>
                <w:szCs w:val="44"/>
              </w:rPr>
              <w:t>Сухожилна руптура (особено на Ахилесовото сухожилие); спинална компресионна фрактура</w:t>
            </w:r>
          </w:p>
        </w:tc>
      </w:tr>
    </w:tbl>
    <w:p w14:paraId="0D6E8DD2" w14:textId="77777777" w:rsidR="00FC0450" w:rsidRPr="00FC0450" w:rsidRDefault="00FC0450" w:rsidP="00FC0450">
      <w:pPr>
        <w:spacing w:line="240" w:lineRule="auto"/>
        <w:rPr>
          <w:rFonts w:eastAsia="Times New Roman" w:cs="Arial"/>
        </w:rPr>
      </w:pPr>
      <w:r w:rsidRPr="00FC0450">
        <w:rPr>
          <w:rFonts w:eastAsia="Times New Roman" w:cs="Arial"/>
          <w:color w:val="000000"/>
          <w:lang w:val="ru-RU"/>
        </w:rPr>
        <w:t xml:space="preserve">* </w:t>
      </w:r>
      <w:r w:rsidRPr="00FC0450">
        <w:rPr>
          <w:rFonts w:eastAsia="Times New Roman" w:cs="Arial"/>
          <w:color w:val="000000"/>
          <w:lang w:eastAsia="bg-BG"/>
        </w:rPr>
        <w:t xml:space="preserve">не е предпочитан </w:t>
      </w:r>
      <w:r w:rsidRPr="00FC0450">
        <w:rPr>
          <w:rFonts w:eastAsia="Times New Roman" w:cs="Arial"/>
          <w:color w:val="000000"/>
          <w:lang w:val="en-US"/>
        </w:rPr>
        <w:t>MedDRA</w:t>
      </w:r>
      <w:r w:rsidRPr="00FC0450">
        <w:rPr>
          <w:rFonts w:eastAsia="Times New Roman" w:cs="Arial"/>
          <w:color w:val="000000"/>
          <w:lang w:val="ru-RU"/>
        </w:rPr>
        <w:t xml:space="preserve"> </w:t>
      </w:r>
      <w:r w:rsidRPr="00FC0450">
        <w:rPr>
          <w:rFonts w:eastAsia="Times New Roman" w:cs="Arial"/>
          <w:color w:val="000000"/>
          <w:lang w:eastAsia="bg-BG"/>
        </w:rPr>
        <w:t>термин</w:t>
      </w:r>
    </w:p>
    <w:p w14:paraId="65436A15" w14:textId="6A97FD17" w:rsidR="00FC0450" w:rsidRPr="00FC0450" w:rsidRDefault="00FC0450" w:rsidP="00FC0450">
      <w:pPr>
        <w:spacing w:line="240" w:lineRule="auto"/>
        <w:rPr>
          <w:rFonts w:eastAsia="Times New Roman" w:cs="Arial"/>
        </w:rPr>
      </w:pPr>
      <w:r w:rsidRPr="00FC0450">
        <w:rPr>
          <w:rFonts w:eastAsia="Times New Roman" w:cs="Arial"/>
          <w:color w:val="000000"/>
          <w:lang w:eastAsia="bg-BG"/>
        </w:rPr>
        <w:t>+перитонитът може да бъде първи признак или симптом на стомашно-чревно нарушение, като перфорация, обструкция или панкреатит (вж. точка 4.4)</w:t>
      </w:r>
    </w:p>
    <w:p w14:paraId="04B06A87" w14:textId="77777777" w:rsidR="00FC0450" w:rsidRPr="00FC0450" w:rsidRDefault="00FC0450" w:rsidP="00FC0450">
      <w:pPr>
        <w:spacing w:line="240" w:lineRule="auto"/>
        <w:rPr>
          <w:rFonts w:eastAsia="Times New Roman" w:cs="Arial"/>
          <w:color w:val="000000"/>
          <w:lang w:eastAsia="bg-BG"/>
        </w:rPr>
      </w:pPr>
    </w:p>
    <w:p w14:paraId="66499BB1" w14:textId="58AD1FF9" w:rsidR="00FC0450" w:rsidRPr="00FC0450" w:rsidRDefault="00FC0450" w:rsidP="00FC0450">
      <w:pPr>
        <w:spacing w:line="240" w:lineRule="auto"/>
        <w:rPr>
          <w:rFonts w:eastAsia="Times New Roman" w:cs="Arial"/>
        </w:rPr>
      </w:pPr>
      <w:r w:rsidRPr="00FC0450">
        <w:rPr>
          <w:rFonts w:eastAsia="Times New Roman" w:cs="Arial"/>
          <w:color w:val="000000"/>
          <w:lang w:eastAsia="bg-BG"/>
        </w:rPr>
        <w:t>Честотата на очакваните нежелани лекарствени реакции, свързани с употребата на кортикостериоди, вкл. хипоталамо-питуитарно-адренална супресия, корелира с относителната потентност на лекарството, дозировката, времето на приложение и продължителността на лечение (вж. точка 4.4).</w:t>
      </w:r>
    </w:p>
    <w:p w14:paraId="79C45D46" w14:textId="77777777" w:rsidR="00FC0450" w:rsidRPr="00FC0450" w:rsidRDefault="00FC0450" w:rsidP="00FC0450">
      <w:pPr>
        <w:spacing w:line="240" w:lineRule="auto"/>
        <w:rPr>
          <w:rFonts w:eastAsia="Times New Roman" w:cs="Arial"/>
          <w:color w:val="000000"/>
          <w:u w:val="single"/>
          <w:lang w:eastAsia="bg-BG"/>
        </w:rPr>
      </w:pPr>
    </w:p>
    <w:p w14:paraId="30E6BD01" w14:textId="596E5BCB" w:rsidR="00FC0450" w:rsidRPr="00FC0450" w:rsidRDefault="00FC0450" w:rsidP="00FC0450">
      <w:pPr>
        <w:spacing w:line="240" w:lineRule="auto"/>
        <w:rPr>
          <w:rFonts w:eastAsia="Times New Roman" w:cs="Arial"/>
        </w:rPr>
      </w:pPr>
      <w:r w:rsidRPr="00FC0450">
        <w:rPr>
          <w:rFonts w:eastAsia="Times New Roman" w:cs="Arial"/>
          <w:color w:val="000000"/>
          <w:u w:val="single"/>
          <w:lang w:eastAsia="bg-BG"/>
        </w:rPr>
        <w:t>Съобщаване на подозирани нежелани реакции</w:t>
      </w:r>
    </w:p>
    <w:p w14:paraId="1EED91D4" w14:textId="77777777" w:rsidR="00FC0450" w:rsidRPr="00FC0450" w:rsidRDefault="00FC0450" w:rsidP="00FC0450">
      <w:pPr>
        <w:spacing w:line="240" w:lineRule="auto"/>
        <w:rPr>
          <w:rFonts w:eastAsia="Times New Roman" w:cs="Arial"/>
        </w:rPr>
      </w:pPr>
      <w:r w:rsidRPr="00FC0450">
        <w:rPr>
          <w:rFonts w:eastAsia="Times New Roman" w:cs="Arial"/>
          <w:color w:val="000000"/>
          <w:lang w:eastAsia="bg-BG"/>
        </w:rPr>
        <w:t>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w:t>
      </w:r>
    </w:p>
    <w:p w14:paraId="1BD1C48F" w14:textId="77777777" w:rsidR="00FC0450" w:rsidRPr="00FC0450" w:rsidRDefault="00FC0450" w:rsidP="00FC0450">
      <w:pPr>
        <w:spacing w:line="240" w:lineRule="auto"/>
        <w:rPr>
          <w:rFonts w:eastAsia="Times New Roman" w:cs="Arial"/>
          <w:color w:val="000000"/>
          <w:lang w:eastAsia="bg-BG"/>
        </w:rPr>
      </w:pPr>
    </w:p>
    <w:p w14:paraId="1B0029EA" w14:textId="213F7E02" w:rsidR="00FC0450" w:rsidRPr="00FC0450" w:rsidRDefault="00FC0450" w:rsidP="00FC0450">
      <w:pPr>
        <w:spacing w:line="240" w:lineRule="auto"/>
        <w:rPr>
          <w:rFonts w:eastAsia="Times New Roman" w:cs="Arial"/>
        </w:rPr>
      </w:pPr>
      <w:r w:rsidRPr="00FC0450">
        <w:rPr>
          <w:rFonts w:eastAsia="Times New Roman" w:cs="Arial"/>
          <w:color w:val="000000"/>
          <w:lang w:eastAsia="bg-BG"/>
        </w:rPr>
        <w:t>Изпълнителна агенция по лекарствата</w:t>
      </w:r>
    </w:p>
    <w:p w14:paraId="7054BCD0" w14:textId="77777777" w:rsidR="00FC0450" w:rsidRPr="00FC0450" w:rsidRDefault="00FC0450" w:rsidP="00FC0450">
      <w:pPr>
        <w:spacing w:line="240" w:lineRule="auto"/>
        <w:rPr>
          <w:rFonts w:eastAsia="Times New Roman" w:cs="Arial"/>
        </w:rPr>
      </w:pPr>
      <w:r w:rsidRPr="00FC0450">
        <w:rPr>
          <w:rFonts w:eastAsia="Times New Roman" w:cs="Arial"/>
          <w:color w:val="000000"/>
          <w:lang w:eastAsia="bg-BG"/>
        </w:rPr>
        <w:t>ул. „Дамян Груев” № 8</w:t>
      </w:r>
    </w:p>
    <w:p w14:paraId="7DDC6A59" w14:textId="77777777" w:rsidR="00FC0450" w:rsidRPr="00FC0450" w:rsidRDefault="00FC0450" w:rsidP="00FC0450">
      <w:pPr>
        <w:spacing w:line="240" w:lineRule="auto"/>
        <w:rPr>
          <w:rFonts w:eastAsia="Times New Roman" w:cs="Arial"/>
        </w:rPr>
      </w:pPr>
      <w:r w:rsidRPr="00FC0450">
        <w:rPr>
          <w:rFonts w:eastAsia="Times New Roman" w:cs="Arial"/>
          <w:color w:val="000000"/>
          <w:lang w:eastAsia="bg-BG"/>
        </w:rPr>
        <w:lastRenderedPageBreak/>
        <w:t>1303 София</w:t>
      </w:r>
    </w:p>
    <w:p w14:paraId="0BE8E307" w14:textId="77777777" w:rsidR="00FC0450" w:rsidRPr="00FC0450" w:rsidRDefault="00FC0450" w:rsidP="00FC0450">
      <w:pPr>
        <w:spacing w:line="240" w:lineRule="auto"/>
        <w:rPr>
          <w:rFonts w:eastAsia="Times New Roman" w:cs="Arial"/>
        </w:rPr>
      </w:pPr>
      <w:r w:rsidRPr="00FC0450">
        <w:rPr>
          <w:rFonts w:eastAsia="Times New Roman" w:cs="Arial"/>
          <w:color w:val="000000"/>
          <w:lang w:eastAsia="bg-BG"/>
        </w:rPr>
        <w:t>Тел.:+359 28903417</w:t>
      </w:r>
    </w:p>
    <w:p w14:paraId="6FFF63C9" w14:textId="005A3F6A" w:rsidR="006B71AB" w:rsidRPr="00FC0450" w:rsidRDefault="00FC0450" w:rsidP="00FC0450">
      <w:pPr>
        <w:spacing w:line="240" w:lineRule="auto"/>
        <w:rPr>
          <w:rFonts w:eastAsia="Times New Roman" w:cs="Arial"/>
          <w:color w:val="000000"/>
          <w:lang w:eastAsia="bg-BG"/>
        </w:rPr>
      </w:pPr>
      <w:r w:rsidRPr="00FC0450">
        <w:rPr>
          <w:rFonts w:eastAsia="Times New Roman" w:cs="Arial"/>
          <w:color w:val="000000"/>
          <w:lang w:eastAsia="bg-BG"/>
        </w:rPr>
        <w:t xml:space="preserve">уебсайт: </w:t>
      </w:r>
      <w:hyperlink r:id="rId5" w:history="1">
        <w:r w:rsidRPr="00FC0450">
          <w:rPr>
            <w:rFonts w:eastAsia="Times New Roman" w:cs="Arial"/>
            <w:color w:val="000000"/>
            <w:lang w:val="en-US"/>
          </w:rPr>
          <w:t>www.bda.bg</w:t>
        </w:r>
      </w:hyperlink>
    </w:p>
    <w:p w14:paraId="3698DE11" w14:textId="77777777" w:rsidR="006B71AB" w:rsidRPr="006B71AB" w:rsidRDefault="006B71AB" w:rsidP="006B71AB"/>
    <w:p w14:paraId="4ED30546" w14:textId="2EE9F3EF" w:rsidR="007C605B" w:rsidRDefault="002C50EE" w:rsidP="009F1313">
      <w:pPr>
        <w:pStyle w:val="Heading2"/>
      </w:pPr>
      <w:r>
        <w:t>4.9. Предозиране</w:t>
      </w:r>
    </w:p>
    <w:p w14:paraId="603FEBAB" w14:textId="0F40E2C7" w:rsidR="00FC0450" w:rsidRDefault="00FC0450" w:rsidP="00FC0450"/>
    <w:p w14:paraId="1C820E14" w14:textId="77777777"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lang w:eastAsia="bg-BG"/>
        </w:rPr>
        <w:t>Прилагането на метилпреднизолон не трябва да се преустановява рязко, а за определен период от време. Трябва да се предприемат подходящи действия за облекчаване на симптомите, причинени от странични ефекти, които могат да се проявят. Може да се наложи пациентът да се поддържа с кортикостероиди по време на всеки следващ травматичен инцидент случващ се в рамките на две години след случай на предозиране.</w:t>
      </w:r>
    </w:p>
    <w:p w14:paraId="5CFF473D" w14:textId="77777777" w:rsidR="00FC0450" w:rsidRPr="00FC0450" w:rsidRDefault="00FC0450" w:rsidP="00FC0450">
      <w:pPr>
        <w:spacing w:line="240" w:lineRule="auto"/>
        <w:rPr>
          <w:rFonts w:eastAsia="Times New Roman" w:cs="Arial"/>
          <w:color w:val="000000"/>
          <w:szCs w:val="44"/>
          <w:lang w:eastAsia="bg-BG"/>
        </w:rPr>
      </w:pPr>
    </w:p>
    <w:p w14:paraId="4462E357" w14:textId="20B864C9"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lang w:eastAsia="bg-BG"/>
        </w:rPr>
        <w:t>Не е известен специфичен синдром при остро предозиране с метилпреднизолон. Съобщениея за остра токсичност и/или смърт след предозиране с глюкокортикоиди са редки. Лечението е поддържащо и симптоматично. Не е известен специфичен антидот. Метилпреднизолон подлежи на диализа.</w:t>
      </w:r>
    </w:p>
    <w:p w14:paraId="4748B619" w14:textId="77777777" w:rsidR="00FC0450" w:rsidRPr="00FC0450" w:rsidRDefault="00FC0450" w:rsidP="00FC0450"/>
    <w:p w14:paraId="02081B24" w14:textId="1F46E296" w:rsidR="00395555" w:rsidRPr="00395555" w:rsidRDefault="002C50EE" w:rsidP="008A6AF2">
      <w:pPr>
        <w:pStyle w:val="Heading1"/>
      </w:pPr>
      <w:r>
        <w:t>5. ФАРМАКОЛОГИЧНИ СВОЙСТВА</w:t>
      </w:r>
    </w:p>
    <w:p w14:paraId="5350637D" w14:textId="4D2E1CB0" w:rsidR="00395555" w:rsidRDefault="002C50EE" w:rsidP="008A6AF2">
      <w:pPr>
        <w:pStyle w:val="Heading2"/>
      </w:pPr>
      <w:r>
        <w:t>5.1. Фармакодинамични свойства</w:t>
      </w:r>
    </w:p>
    <w:p w14:paraId="7D0F79A1" w14:textId="55BA12B1" w:rsidR="00FC0450" w:rsidRDefault="00FC0450" w:rsidP="00FC0450"/>
    <w:p w14:paraId="6FEA2039" w14:textId="77777777" w:rsidR="00FC0450" w:rsidRPr="00FC0450" w:rsidRDefault="00FC0450" w:rsidP="00FC0450">
      <w:pPr>
        <w:spacing w:line="240" w:lineRule="auto"/>
        <w:rPr>
          <w:rFonts w:eastAsia="Times New Roman" w:cs="Arial"/>
          <w:sz w:val="12"/>
          <w:szCs w:val="24"/>
        </w:rPr>
      </w:pPr>
      <w:r w:rsidRPr="00FC0450">
        <w:rPr>
          <w:rFonts w:eastAsia="Times New Roman" w:cs="Arial"/>
          <w:b/>
          <w:bCs/>
          <w:color w:val="000000"/>
          <w:szCs w:val="44"/>
          <w:lang w:eastAsia="bg-BG"/>
        </w:rPr>
        <w:t xml:space="preserve">Фармакотерапевтична група: </w:t>
      </w:r>
      <w:r w:rsidRPr="00FC0450">
        <w:rPr>
          <w:rFonts w:eastAsia="Times New Roman" w:cs="Arial"/>
          <w:color w:val="000000"/>
          <w:szCs w:val="44"/>
          <w:lang w:eastAsia="bg-BG"/>
        </w:rPr>
        <w:t>Кортикостероиди за системно приложение, самостоятелно. Глюкокортикоцци; АТС код Н02АВ04</w:t>
      </w:r>
    </w:p>
    <w:p w14:paraId="586261AE" w14:textId="77777777" w:rsidR="00FC0450" w:rsidRPr="00FC0450" w:rsidRDefault="00FC0450" w:rsidP="00FC0450">
      <w:pPr>
        <w:spacing w:line="240" w:lineRule="auto"/>
        <w:rPr>
          <w:rFonts w:eastAsia="Times New Roman" w:cs="Arial"/>
          <w:color w:val="000000"/>
          <w:szCs w:val="44"/>
          <w:lang w:eastAsia="bg-BG"/>
        </w:rPr>
      </w:pPr>
    </w:p>
    <w:p w14:paraId="03E32B37" w14:textId="3CC122D7"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lang w:eastAsia="bg-BG"/>
        </w:rPr>
        <w:t>Метилпреднизолон е синтетичен глюкокортикоид и е метилов дериват на преднизолон.</w:t>
      </w:r>
    </w:p>
    <w:p w14:paraId="34F882DD" w14:textId="77777777" w:rsidR="00FC0450" w:rsidRPr="00FC0450" w:rsidRDefault="00FC0450" w:rsidP="00FC0450">
      <w:pPr>
        <w:spacing w:line="240" w:lineRule="auto"/>
        <w:rPr>
          <w:rFonts w:eastAsia="Times New Roman" w:cs="Arial"/>
          <w:color w:val="000000"/>
          <w:szCs w:val="44"/>
          <w:lang w:eastAsia="bg-BG"/>
        </w:rPr>
      </w:pPr>
    </w:p>
    <w:p w14:paraId="3CFD7DE0" w14:textId="6CD4A630"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lang w:eastAsia="bg-BG"/>
        </w:rPr>
        <w:t>Метилпреднизолон е мощно противовъзпалително средство с капацитет за значително инхибиране на имунната система.</w:t>
      </w:r>
    </w:p>
    <w:p w14:paraId="69A15206" w14:textId="77777777" w:rsidR="00FC0450" w:rsidRPr="00FC0450" w:rsidRDefault="00FC0450" w:rsidP="00FC0450">
      <w:pPr>
        <w:spacing w:line="240" w:lineRule="auto"/>
        <w:rPr>
          <w:rFonts w:eastAsia="Times New Roman" w:cs="Arial"/>
          <w:color w:val="000000"/>
          <w:szCs w:val="44"/>
          <w:lang w:eastAsia="bg-BG"/>
        </w:rPr>
      </w:pPr>
    </w:p>
    <w:p w14:paraId="63D2CA3F" w14:textId="5C9C0CBB"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lang w:eastAsia="bg-BG"/>
        </w:rPr>
        <w:t>Глюкокортикоидите действат главно чрез свързване и активиране на вътреклетъчни глюкокортикоидни рецептори. Активираните глюкокортикоидни рецептори се свързват с промоторни области на ДНК (които могат да активират или потискат транскрипцията) и активират транскрипционните фактори, което води до инактивиране на гените чрез деацетилиране на хистони.</w:t>
      </w:r>
    </w:p>
    <w:p w14:paraId="47E2A335" w14:textId="77777777" w:rsidR="00FC0450" w:rsidRPr="00FC0450" w:rsidRDefault="00FC0450" w:rsidP="00FC0450">
      <w:pPr>
        <w:spacing w:line="240" w:lineRule="auto"/>
        <w:rPr>
          <w:rFonts w:eastAsia="Times New Roman" w:cs="Arial"/>
          <w:color w:val="000000"/>
          <w:szCs w:val="44"/>
          <w:lang w:eastAsia="bg-BG"/>
        </w:rPr>
      </w:pPr>
    </w:p>
    <w:p w14:paraId="28A5C4DB" w14:textId="672D1745"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lang w:eastAsia="bg-BG"/>
        </w:rPr>
        <w:t>След прилагане на кортикостероиди има забавяне от няколко часа, за да се проявят клиничните ефекти, произтичащи от промените в генната експресия.</w:t>
      </w:r>
    </w:p>
    <w:p w14:paraId="0860085A" w14:textId="77777777" w:rsidR="00FC0450" w:rsidRPr="00FC0450" w:rsidRDefault="00FC0450" w:rsidP="00FC0450">
      <w:pPr>
        <w:spacing w:line="240" w:lineRule="auto"/>
        <w:rPr>
          <w:rFonts w:eastAsia="Times New Roman" w:cs="Arial"/>
          <w:color w:val="000000"/>
          <w:szCs w:val="44"/>
          <w:lang w:eastAsia="bg-BG"/>
        </w:rPr>
      </w:pPr>
    </w:p>
    <w:p w14:paraId="7A7DC399" w14:textId="48E806F7"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lang w:eastAsia="bg-BG"/>
        </w:rPr>
        <w:t>Други ефекти, които не са свързани с генната експресия, могат да проявят по-рано.</w:t>
      </w:r>
    </w:p>
    <w:p w14:paraId="32A6ED3D" w14:textId="77777777" w:rsidR="00FC0450" w:rsidRPr="00FC0450" w:rsidRDefault="00FC0450" w:rsidP="00FC0450">
      <w:pPr>
        <w:spacing w:line="240" w:lineRule="auto"/>
        <w:rPr>
          <w:rFonts w:eastAsia="Times New Roman" w:cs="Arial"/>
          <w:color w:val="000000"/>
          <w:szCs w:val="44"/>
          <w:lang w:eastAsia="bg-BG"/>
        </w:rPr>
      </w:pPr>
    </w:p>
    <w:p w14:paraId="45C5ADB5" w14:textId="4BA5CC99"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lang w:eastAsia="bg-BG"/>
        </w:rPr>
        <w:t>Кортикостероидите оказват влияние върху бъбреците, водното съдържание и електролитния баланс, липидния, белтъчния и въглехидратния метаболизъм, скелетната мускулатура, сърдечно-съдовата система, имунната система, нервната система и ендокринната система. Кортикостероидите също са от решаващо значение за поддържането на функцията по време на стреса.</w:t>
      </w:r>
    </w:p>
    <w:p w14:paraId="5E6BFE38" w14:textId="77777777" w:rsidR="00FC0450" w:rsidRPr="00FC0450" w:rsidRDefault="00FC0450" w:rsidP="00FC0450"/>
    <w:p w14:paraId="26535098" w14:textId="010D7B8D" w:rsidR="00395555" w:rsidRDefault="002C50EE" w:rsidP="008A6AF2">
      <w:pPr>
        <w:pStyle w:val="Heading2"/>
      </w:pPr>
      <w:r>
        <w:t>5.2. Фармакокинетични свойства</w:t>
      </w:r>
    </w:p>
    <w:p w14:paraId="7D498BB6" w14:textId="0981CDDE" w:rsidR="00FC0450" w:rsidRDefault="00FC0450" w:rsidP="00FC0450"/>
    <w:p w14:paraId="6CA56F3A" w14:textId="77777777"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lang w:eastAsia="bg-BG"/>
        </w:rPr>
        <w:t>Фармакокинетиката на метилпреднизолон е линейна, независима от пътя на въвеждане.</w:t>
      </w:r>
    </w:p>
    <w:p w14:paraId="55302067" w14:textId="77777777" w:rsidR="00FC0450" w:rsidRPr="00FC0450" w:rsidRDefault="00FC0450" w:rsidP="00FC0450">
      <w:pPr>
        <w:spacing w:line="240" w:lineRule="auto"/>
        <w:rPr>
          <w:rFonts w:eastAsia="Times New Roman" w:cs="Arial"/>
          <w:color w:val="000000"/>
          <w:szCs w:val="44"/>
          <w:u w:val="single"/>
          <w:lang w:eastAsia="bg-BG"/>
        </w:rPr>
      </w:pPr>
    </w:p>
    <w:p w14:paraId="21A8E52E" w14:textId="2191106E" w:rsidR="00FC0450" w:rsidRPr="00FC0450" w:rsidRDefault="00FC0450" w:rsidP="00FC0450">
      <w:pPr>
        <w:pStyle w:val="Heading3"/>
        <w:rPr>
          <w:rFonts w:eastAsia="Times New Roman"/>
          <w:sz w:val="12"/>
          <w:u w:val="single"/>
        </w:rPr>
      </w:pPr>
      <w:r w:rsidRPr="00FC0450">
        <w:rPr>
          <w:rFonts w:eastAsia="Times New Roman"/>
          <w:u w:val="single"/>
          <w:lang w:eastAsia="bg-BG"/>
        </w:rPr>
        <w:t>Абсорбция</w:t>
      </w:r>
    </w:p>
    <w:p w14:paraId="676CE44F" w14:textId="77777777"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lang w:eastAsia="bg-BG"/>
        </w:rPr>
        <w:t>Метилпреднизолон се абсорбира бързо, като максимална плазмена концентрация се постига за около 1,5 до 2,3 часа при различните дози след перорално приложение на нормални здрави възрастни индивиди. Абсолютната бионаличност на метилпреднизолон при нормални здрави индивиди обикновено е висока (82% до 89%) след перорално приложение.</w:t>
      </w:r>
    </w:p>
    <w:p w14:paraId="646F6C0D" w14:textId="77777777" w:rsidR="00FC0450" w:rsidRPr="00FC0450" w:rsidRDefault="00FC0450" w:rsidP="00FC0450">
      <w:pPr>
        <w:spacing w:line="240" w:lineRule="auto"/>
        <w:rPr>
          <w:rFonts w:eastAsia="Times New Roman" w:cs="Arial"/>
          <w:color w:val="000000"/>
          <w:szCs w:val="44"/>
          <w:u w:val="single"/>
          <w:lang w:eastAsia="bg-BG"/>
        </w:rPr>
      </w:pPr>
    </w:p>
    <w:p w14:paraId="577F994B" w14:textId="3C13F374" w:rsidR="00FC0450" w:rsidRPr="00FC0450" w:rsidRDefault="00FC0450" w:rsidP="00FC0450">
      <w:pPr>
        <w:pStyle w:val="Heading3"/>
        <w:rPr>
          <w:rFonts w:eastAsia="Times New Roman"/>
          <w:u w:val="single"/>
          <w:lang w:eastAsia="bg-BG"/>
        </w:rPr>
      </w:pPr>
      <w:r w:rsidRPr="00FC0450">
        <w:rPr>
          <w:rFonts w:eastAsia="Times New Roman"/>
          <w:u w:val="single"/>
          <w:lang w:eastAsia="bg-BG"/>
        </w:rPr>
        <w:t>Разпределение</w:t>
      </w:r>
    </w:p>
    <w:p w14:paraId="5528AFFB" w14:textId="77777777"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lang w:eastAsia="bg-BG"/>
        </w:rPr>
        <w:t>Метилпреднизолон се разпределя екстензивно в тъканите, преминава през кръвно-мозъчната бариера и се секретира в кърмата. Привидният обем на разпределение е приблизително 1,4</w:t>
      </w:r>
      <w:r w:rsidRPr="00FC0450">
        <w:rPr>
          <w:rFonts w:eastAsia="Times New Roman" w:cs="Arial"/>
          <w:color w:val="000000"/>
          <w:szCs w:val="44"/>
          <w:lang w:val="ru-RU"/>
        </w:rPr>
        <w:t>1/</w:t>
      </w:r>
      <w:r w:rsidRPr="00FC0450">
        <w:rPr>
          <w:rFonts w:eastAsia="Times New Roman" w:cs="Arial"/>
          <w:color w:val="000000"/>
          <w:szCs w:val="44"/>
          <w:lang w:val="en-US"/>
        </w:rPr>
        <w:t>kg</w:t>
      </w:r>
      <w:r w:rsidRPr="00FC0450">
        <w:rPr>
          <w:rFonts w:eastAsia="Times New Roman" w:cs="Arial"/>
          <w:color w:val="000000"/>
          <w:szCs w:val="44"/>
          <w:lang w:val="ru-RU"/>
        </w:rPr>
        <w:t xml:space="preserve">. </w:t>
      </w:r>
      <w:r w:rsidRPr="00FC0450">
        <w:rPr>
          <w:rFonts w:eastAsia="Times New Roman" w:cs="Arial"/>
          <w:color w:val="000000"/>
          <w:szCs w:val="44"/>
          <w:lang w:eastAsia="bg-BG"/>
        </w:rPr>
        <w:t>Степента на свързване с плазмените протеини при хора е приблизително 77%.</w:t>
      </w:r>
    </w:p>
    <w:p w14:paraId="02F664E2" w14:textId="77777777" w:rsidR="00FC0450" w:rsidRPr="00FC0450" w:rsidRDefault="00FC0450" w:rsidP="00FC0450">
      <w:pPr>
        <w:spacing w:line="240" w:lineRule="auto"/>
        <w:rPr>
          <w:rFonts w:eastAsia="Times New Roman" w:cs="Arial"/>
          <w:color w:val="000000"/>
          <w:szCs w:val="44"/>
          <w:u w:val="single"/>
          <w:lang w:eastAsia="bg-BG"/>
        </w:rPr>
      </w:pPr>
    </w:p>
    <w:p w14:paraId="14F412F1" w14:textId="1930DF62" w:rsidR="00FC0450" w:rsidRPr="00FC0450" w:rsidRDefault="00FC0450" w:rsidP="00FC0450">
      <w:pPr>
        <w:pStyle w:val="Heading3"/>
        <w:rPr>
          <w:rFonts w:eastAsia="Times New Roman"/>
          <w:sz w:val="12"/>
          <w:u w:val="single"/>
        </w:rPr>
      </w:pPr>
      <w:r w:rsidRPr="00FC0450">
        <w:rPr>
          <w:rFonts w:eastAsia="Times New Roman"/>
          <w:u w:val="single"/>
          <w:lang w:eastAsia="bg-BG"/>
        </w:rPr>
        <w:t>Метаболизъм</w:t>
      </w:r>
    </w:p>
    <w:p w14:paraId="6D741404" w14:textId="77777777" w:rsidR="00FC0450" w:rsidRPr="00FC0450" w:rsidRDefault="00FC0450" w:rsidP="00FC0450">
      <w:pPr>
        <w:spacing w:line="240" w:lineRule="auto"/>
        <w:rPr>
          <w:rFonts w:eastAsia="Times New Roman" w:cs="Arial"/>
          <w:color w:val="000000"/>
          <w:szCs w:val="44"/>
          <w:lang w:eastAsia="bg-BG"/>
        </w:rPr>
      </w:pPr>
    </w:p>
    <w:p w14:paraId="72876A76" w14:textId="28129F40"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lang w:eastAsia="bg-BG"/>
        </w:rPr>
        <w:t>Кортикостероидите се метаболизират основно в черния дроб, но също и в бъбреците и се екскретират в урината.</w:t>
      </w:r>
    </w:p>
    <w:p w14:paraId="2CF758B3" w14:textId="77777777" w:rsidR="00FC0450" w:rsidRPr="00FC0450" w:rsidRDefault="00FC0450" w:rsidP="00FC0450">
      <w:pPr>
        <w:spacing w:line="240" w:lineRule="auto"/>
        <w:rPr>
          <w:rFonts w:eastAsia="Times New Roman" w:cs="Arial"/>
          <w:color w:val="000000"/>
          <w:szCs w:val="44"/>
          <w:lang w:eastAsia="bg-BG"/>
        </w:rPr>
      </w:pPr>
    </w:p>
    <w:p w14:paraId="500C1293" w14:textId="13DD544A"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lang w:eastAsia="bg-BG"/>
        </w:rPr>
        <w:t>При хора метилпреднизолон се метаболизира в черния дроб до неактивни метаболити, като основните са 20а-хидроксиметилпреднизолон и 20</w:t>
      </w:r>
      <w:r w:rsidRPr="00FC0450">
        <w:rPr>
          <w:rFonts w:eastAsia="Times New Roman" w:cs="Arial"/>
          <w:color w:val="000000"/>
          <w:szCs w:val="44"/>
          <w:lang w:val="en-US"/>
        </w:rPr>
        <w:t>β</w:t>
      </w:r>
      <w:r w:rsidRPr="00FC0450">
        <w:rPr>
          <w:rFonts w:eastAsia="Times New Roman" w:cs="Arial"/>
          <w:color w:val="000000"/>
          <w:szCs w:val="44"/>
          <w:lang w:eastAsia="bg-BG"/>
        </w:rPr>
        <w:t xml:space="preserve">-хидроксиметилпреднизолон Метаболизмът в черния дроб се осъществява основно чрез </w:t>
      </w:r>
      <w:r w:rsidRPr="00FC0450">
        <w:rPr>
          <w:rFonts w:eastAsia="Times New Roman" w:cs="Arial"/>
          <w:color w:val="000000"/>
          <w:szCs w:val="44"/>
          <w:lang w:val="en-US"/>
        </w:rPr>
        <w:t>CYP</w:t>
      </w:r>
      <w:r w:rsidRPr="00FC0450">
        <w:rPr>
          <w:rFonts w:eastAsia="Times New Roman" w:cs="Arial"/>
          <w:color w:val="000000"/>
          <w:szCs w:val="44"/>
          <w:lang w:val="ru-RU"/>
        </w:rPr>
        <w:t>3</w:t>
      </w:r>
      <w:r w:rsidRPr="00FC0450">
        <w:rPr>
          <w:rFonts w:eastAsia="Times New Roman" w:cs="Arial"/>
          <w:color w:val="000000"/>
          <w:szCs w:val="44"/>
          <w:lang w:val="en-US"/>
        </w:rPr>
        <w:t>A</w:t>
      </w:r>
      <w:r w:rsidRPr="00FC0450">
        <w:rPr>
          <w:rFonts w:eastAsia="Times New Roman" w:cs="Arial"/>
          <w:color w:val="000000"/>
          <w:szCs w:val="44"/>
          <w:lang w:val="ru-RU"/>
        </w:rPr>
        <w:t xml:space="preserve">4 </w:t>
      </w:r>
      <w:r w:rsidRPr="00FC0450">
        <w:rPr>
          <w:rFonts w:eastAsia="Times New Roman" w:cs="Arial"/>
          <w:color w:val="000000"/>
          <w:szCs w:val="44"/>
          <w:lang w:eastAsia="bg-BG"/>
        </w:rPr>
        <w:t xml:space="preserve">ензима. (за списък на лекарствените взаимодействия свързани с </w:t>
      </w:r>
      <w:r w:rsidRPr="00FC0450">
        <w:rPr>
          <w:rFonts w:eastAsia="Times New Roman" w:cs="Arial"/>
          <w:color w:val="000000"/>
          <w:szCs w:val="44"/>
          <w:lang w:val="en-US"/>
        </w:rPr>
        <w:t>CYP</w:t>
      </w:r>
      <w:r w:rsidRPr="00FC0450">
        <w:rPr>
          <w:rFonts w:eastAsia="Times New Roman" w:cs="Arial"/>
          <w:color w:val="000000"/>
          <w:szCs w:val="44"/>
          <w:lang w:val="ru-RU"/>
        </w:rPr>
        <w:t>3</w:t>
      </w:r>
      <w:r w:rsidRPr="00FC0450">
        <w:rPr>
          <w:rFonts w:eastAsia="Times New Roman" w:cs="Arial"/>
          <w:color w:val="000000"/>
          <w:szCs w:val="44"/>
          <w:lang w:eastAsia="bg-BG"/>
        </w:rPr>
        <w:t>А4-медиирания метаболизъм, вж. точка 4.5)</w:t>
      </w:r>
    </w:p>
    <w:p w14:paraId="1AE30FAE" w14:textId="77777777" w:rsidR="00FC0450" w:rsidRPr="00FC0450" w:rsidRDefault="00FC0450" w:rsidP="00FC0450">
      <w:pPr>
        <w:rPr>
          <w:rFonts w:eastAsia="Times New Roman" w:cs="Arial"/>
          <w:color w:val="000000"/>
          <w:szCs w:val="44"/>
          <w:lang w:eastAsia="bg-BG"/>
        </w:rPr>
      </w:pPr>
    </w:p>
    <w:p w14:paraId="53C36955" w14:textId="3395F4F4" w:rsidR="00FC0450" w:rsidRPr="00FC0450" w:rsidRDefault="00FC0450" w:rsidP="00FC0450">
      <w:pPr>
        <w:rPr>
          <w:rFonts w:eastAsia="Times New Roman" w:cs="Arial"/>
          <w:color w:val="000000"/>
          <w:szCs w:val="44"/>
          <w:lang w:eastAsia="bg-BG"/>
        </w:rPr>
      </w:pPr>
      <w:r w:rsidRPr="00FC0450">
        <w:rPr>
          <w:rFonts w:eastAsia="Times New Roman" w:cs="Arial"/>
          <w:color w:val="000000"/>
          <w:szCs w:val="44"/>
          <w:lang w:eastAsia="bg-BG"/>
        </w:rPr>
        <w:t xml:space="preserve">Метилпреднизолон, като много други </w:t>
      </w:r>
      <w:r w:rsidRPr="00FC0450">
        <w:rPr>
          <w:rFonts w:eastAsia="Times New Roman" w:cs="Arial"/>
          <w:color w:val="000000"/>
          <w:szCs w:val="44"/>
          <w:lang w:val="en-US"/>
        </w:rPr>
        <w:t>CYP</w:t>
      </w:r>
      <w:r w:rsidRPr="00FC0450">
        <w:rPr>
          <w:rFonts w:eastAsia="Times New Roman" w:cs="Arial"/>
          <w:color w:val="000000"/>
          <w:szCs w:val="44"/>
          <w:lang w:val="ru-RU"/>
        </w:rPr>
        <w:t>3</w:t>
      </w:r>
      <w:r w:rsidRPr="00FC0450">
        <w:rPr>
          <w:rFonts w:eastAsia="Times New Roman" w:cs="Arial"/>
          <w:color w:val="000000"/>
          <w:szCs w:val="44"/>
          <w:lang w:val="en-US"/>
        </w:rPr>
        <w:t>A</w:t>
      </w:r>
      <w:r w:rsidRPr="00FC0450">
        <w:rPr>
          <w:rFonts w:eastAsia="Times New Roman" w:cs="Arial"/>
          <w:color w:val="000000"/>
          <w:szCs w:val="44"/>
          <w:lang w:val="ru-RU"/>
        </w:rPr>
        <w:t xml:space="preserve">4 </w:t>
      </w:r>
      <w:r w:rsidRPr="00FC0450">
        <w:rPr>
          <w:rFonts w:eastAsia="Times New Roman" w:cs="Arial"/>
          <w:color w:val="000000"/>
          <w:szCs w:val="44"/>
          <w:lang w:eastAsia="bg-BG"/>
        </w:rPr>
        <w:t xml:space="preserve">субстрати, може също да бъде субстра на </w:t>
      </w:r>
      <w:r w:rsidRPr="00FC0450">
        <w:rPr>
          <w:rFonts w:eastAsia="Times New Roman" w:cs="Arial"/>
          <w:color w:val="000000"/>
          <w:szCs w:val="44"/>
          <w:lang w:val="en-US"/>
        </w:rPr>
        <w:t>ATP</w:t>
      </w:r>
      <w:r w:rsidRPr="00FC0450">
        <w:rPr>
          <w:rFonts w:eastAsia="Times New Roman" w:cs="Arial"/>
          <w:color w:val="000000"/>
          <w:szCs w:val="44"/>
          <w:lang w:val="ru-RU"/>
        </w:rPr>
        <w:t>-</w:t>
      </w:r>
      <w:r w:rsidRPr="00FC0450">
        <w:rPr>
          <w:rFonts w:eastAsia="Times New Roman" w:cs="Arial"/>
          <w:color w:val="000000"/>
          <w:szCs w:val="44"/>
          <w:vertAlign w:val="superscript"/>
          <w:lang w:eastAsia="bg-BG"/>
        </w:rPr>
        <w:t xml:space="preserve"> </w:t>
      </w:r>
      <w:r w:rsidRPr="00FC0450">
        <w:rPr>
          <w:rFonts w:eastAsia="Times New Roman" w:cs="Arial"/>
          <w:color w:val="000000"/>
          <w:szCs w:val="44"/>
          <w:lang w:eastAsia="bg-BG"/>
        </w:rPr>
        <w:t xml:space="preserve">свързващия касетен </w:t>
      </w:r>
      <w:r w:rsidRPr="00FC0450">
        <w:rPr>
          <w:rFonts w:eastAsia="Times New Roman" w:cs="Arial"/>
          <w:color w:val="000000"/>
          <w:szCs w:val="44"/>
          <w:lang w:val="ru-RU"/>
        </w:rPr>
        <w:t>(</w:t>
      </w:r>
      <w:r w:rsidRPr="00FC0450">
        <w:rPr>
          <w:rFonts w:eastAsia="Times New Roman" w:cs="Arial"/>
          <w:color w:val="000000"/>
          <w:szCs w:val="44"/>
          <w:lang w:val="en-US"/>
        </w:rPr>
        <w:t>ABC</w:t>
      </w:r>
      <w:r w:rsidRPr="00FC0450">
        <w:rPr>
          <w:rFonts w:eastAsia="Times New Roman" w:cs="Arial"/>
          <w:color w:val="000000"/>
          <w:szCs w:val="44"/>
          <w:lang w:val="ru-RU"/>
        </w:rPr>
        <w:t xml:space="preserve">) </w:t>
      </w:r>
      <w:r w:rsidRPr="00FC0450">
        <w:rPr>
          <w:rFonts w:eastAsia="Times New Roman" w:cs="Arial"/>
          <w:color w:val="000000"/>
          <w:szCs w:val="44"/>
          <w:lang w:eastAsia="bg-BG"/>
        </w:rPr>
        <w:t>транспортен протеин р-гликопротеин, повлияващ тъканното разпределение и взаимодействията с други лекарства.</w:t>
      </w:r>
    </w:p>
    <w:p w14:paraId="7842BE93" w14:textId="74269201" w:rsidR="00FC0450" w:rsidRDefault="00FC0450" w:rsidP="00FC0450"/>
    <w:p w14:paraId="4AF12975" w14:textId="77777777" w:rsidR="00FC0450" w:rsidRPr="00FC0450" w:rsidRDefault="00FC0450" w:rsidP="00FC0450">
      <w:pPr>
        <w:pStyle w:val="Heading3"/>
        <w:rPr>
          <w:rFonts w:eastAsia="Times New Roman"/>
          <w:sz w:val="12"/>
          <w:u w:val="single"/>
        </w:rPr>
      </w:pPr>
      <w:r w:rsidRPr="00FC0450">
        <w:rPr>
          <w:rFonts w:eastAsia="Times New Roman"/>
          <w:u w:val="single"/>
          <w:lang w:eastAsia="bg-BG"/>
        </w:rPr>
        <w:t>Елиминиране</w:t>
      </w:r>
    </w:p>
    <w:p w14:paraId="20D0452C" w14:textId="77777777"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lang w:eastAsia="bg-BG"/>
        </w:rPr>
        <w:t xml:space="preserve">Средният полуживот на елиминиране на тоталния метилпреднизолон е в диапазона от 1,8 до 5,2 часа. Тоталният клирънс е приблизително 5 до 6 </w:t>
      </w:r>
      <w:r w:rsidRPr="00FC0450">
        <w:rPr>
          <w:rFonts w:eastAsia="Times New Roman" w:cs="Arial"/>
          <w:color w:val="000000"/>
          <w:szCs w:val="44"/>
          <w:lang w:val="en-US"/>
        </w:rPr>
        <w:t>ml</w:t>
      </w:r>
      <w:r w:rsidRPr="00FC0450">
        <w:rPr>
          <w:rFonts w:eastAsia="Times New Roman" w:cs="Arial"/>
          <w:color w:val="000000"/>
          <w:szCs w:val="44"/>
          <w:lang w:val="ru-RU"/>
        </w:rPr>
        <w:t>/</w:t>
      </w:r>
      <w:r w:rsidRPr="00FC0450">
        <w:rPr>
          <w:rFonts w:eastAsia="Times New Roman" w:cs="Arial"/>
          <w:color w:val="000000"/>
          <w:szCs w:val="44"/>
          <w:lang w:val="en-US"/>
        </w:rPr>
        <w:t>min</w:t>
      </w:r>
      <w:r w:rsidRPr="00FC0450">
        <w:rPr>
          <w:rFonts w:eastAsia="Times New Roman" w:cs="Arial"/>
          <w:color w:val="000000"/>
          <w:szCs w:val="44"/>
          <w:lang w:val="ru-RU"/>
        </w:rPr>
        <w:t>/</w:t>
      </w:r>
      <w:r w:rsidRPr="00FC0450">
        <w:rPr>
          <w:rFonts w:eastAsia="Times New Roman" w:cs="Arial"/>
          <w:color w:val="000000"/>
          <w:szCs w:val="44"/>
          <w:lang w:val="en-US"/>
        </w:rPr>
        <w:t>kg</w:t>
      </w:r>
      <w:r w:rsidRPr="00FC0450">
        <w:rPr>
          <w:rFonts w:eastAsia="Times New Roman" w:cs="Arial"/>
          <w:color w:val="000000"/>
          <w:szCs w:val="44"/>
          <w:lang w:val="ru-RU"/>
        </w:rPr>
        <w:t>.</w:t>
      </w:r>
    </w:p>
    <w:p w14:paraId="06BC137F" w14:textId="77777777" w:rsidR="00FC0450" w:rsidRPr="00FC0450" w:rsidRDefault="00FC0450" w:rsidP="00FC0450"/>
    <w:p w14:paraId="028E658A" w14:textId="3FDE4A70" w:rsidR="00395555" w:rsidRDefault="002C50EE" w:rsidP="008A6AF2">
      <w:pPr>
        <w:pStyle w:val="Heading2"/>
      </w:pPr>
      <w:r>
        <w:t>5.3. Предклинични данни за безопасност</w:t>
      </w:r>
    </w:p>
    <w:p w14:paraId="4DDA8FD7" w14:textId="54CD0D30" w:rsidR="00FC0450" w:rsidRDefault="00FC0450" w:rsidP="00FC0450"/>
    <w:p w14:paraId="40A4E3EC" w14:textId="77777777"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lang w:eastAsia="bg-BG"/>
        </w:rPr>
        <w:t>Въз основа на конвенционалните фармакологични изпитвания за безопасност и токсичност при многократно прилагане, не са установени неочаквани опасности. Токсичностите, наблюдавани при проучвания с многократни дози, са онези, които се очаква да се появят при продължително излагане на екзогенни надбъбречни стероиди.</w:t>
      </w:r>
    </w:p>
    <w:p w14:paraId="452C2434" w14:textId="77777777" w:rsidR="00FC0450" w:rsidRPr="00FC0450" w:rsidRDefault="00FC0450" w:rsidP="00FC0450">
      <w:pPr>
        <w:spacing w:line="240" w:lineRule="auto"/>
        <w:rPr>
          <w:rFonts w:eastAsia="Times New Roman" w:cs="Arial"/>
          <w:color w:val="000000"/>
          <w:szCs w:val="44"/>
          <w:u w:val="single"/>
          <w:lang w:eastAsia="bg-BG"/>
        </w:rPr>
      </w:pPr>
    </w:p>
    <w:p w14:paraId="10C8A5A9" w14:textId="088082F2"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u w:val="single"/>
          <w:lang w:eastAsia="bg-BG"/>
        </w:rPr>
        <w:t>Мутагене потенциал</w:t>
      </w:r>
    </w:p>
    <w:p w14:paraId="728C3956" w14:textId="77777777" w:rsidR="00FC0450" w:rsidRPr="00FC0450" w:rsidRDefault="00FC0450" w:rsidP="00FC0450">
      <w:pPr>
        <w:spacing w:line="240" w:lineRule="auto"/>
        <w:rPr>
          <w:rFonts w:eastAsia="Times New Roman" w:cs="Arial"/>
          <w:color w:val="000000"/>
          <w:szCs w:val="44"/>
          <w:lang w:eastAsia="bg-BG"/>
        </w:rPr>
      </w:pPr>
    </w:p>
    <w:p w14:paraId="7C87FE76" w14:textId="2EAE5F56"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lang w:eastAsia="bg-BG"/>
        </w:rPr>
        <w:t>Метилпреднизолон не е изследван за генотоксичност. Изследванията, използващи структурно аналогични аналози на метилпреднизолон, не показват данни за потенциал за генетични и хромозомни мутации в ограничени проучвания в бактерии и клетки от бозайници.</w:t>
      </w:r>
    </w:p>
    <w:p w14:paraId="578F4747" w14:textId="77777777" w:rsidR="00FC0450" w:rsidRPr="00FC0450" w:rsidRDefault="00FC0450" w:rsidP="00FC0450">
      <w:pPr>
        <w:spacing w:line="240" w:lineRule="auto"/>
        <w:rPr>
          <w:rFonts w:eastAsia="Times New Roman" w:cs="Arial"/>
          <w:color w:val="000000"/>
          <w:szCs w:val="44"/>
          <w:u w:val="single"/>
          <w:lang w:eastAsia="bg-BG"/>
        </w:rPr>
      </w:pPr>
    </w:p>
    <w:p w14:paraId="0839EC4E" w14:textId="183C2CCC"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u w:val="single"/>
          <w:lang w:eastAsia="bg-BG"/>
        </w:rPr>
        <w:t>Карциногенен потенциал</w:t>
      </w:r>
    </w:p>
    <w:p w14:paraId="73803347" w14:textId="77777777" w:rsidR="00FC0450" w:rsidRPr="00FC0450" w:rsidRDefault="00FC0450" w:rsidP="00FC0450">
      <w:pPr>
        <w:spacing w:line="240" w:lineRule="auto"/>
        <w:rPr>
          <w:rFonts w:eastAsia="Times New Roman" w:cs="Arial"/>
          <w:color w:val="000000"/>
          <w:szCs w:val="44"/>
          <w:lang w:eastAsia="bg-BG"/>
        </w:rPr>
      </w:pPr>
    </w:p>
    <w:p w14:paraId="312B347E" w14:textId="7862706E"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lang w:eastAsia="bg-BG"/>
        </w:rPr>
        <w:t xml:space="preserve">Метилпреднизолон не е изследван в проучванията за канцерогенност при гризачи. Вариабилни резултати са получени с други глюкокортикоиди, тествани за канцерогенност при мишки и плъхове. Известните данни обаче показват, че няколко свързани глюкокортикоиди, включително будезонид, преднизолон и триамцинолон ацетонид, могат да увеличат честотата на хепатоцелуларни аденоми и карциноми след перорално приложение в питейна вода на мъжки плъхове. Тези туморогенни ефекти се наблюдават при дози, които са били по-ниски от типичните клинични дози на база </w:t>
      </w:r>
      <w:r w:rsidRPr="00FC0450">
        <w:rPr>
          <w:rFonts w:eastAsia="Times New Roman" w:cs="Arial"/>
          <w:color w:val="000000"/>
          <w:szCs w:val="44"/>
          <w:lang w:val="en-US"/>
        </w:rPr>
        <w:t>mg</w:t>
      </w:r>
      <w:r w:rsidRPr="00FC0450">
        <w:rPr>
          <w:rFonts w:eastAsia="Times New Roman" w:cs="Arial"/>
          <w:color w:val="000000"/>
          <w:szCs w:val="44"/>
          <w:lang w:val="ru-RU"/>
        </w:rPr>
        <w:t>/</w:t>
      </w:r>
      <w:r w:rsidRPr="00FC0450">
        <w:rPr>
          <w:rFonts w:eastAsia="Times New Roman" w:cs="Arial"/>
          <w:color w:val="000000"/>
          <w:szCs w:val="44"/>
          <w:lang w:val="en-US"/>
        </w:rPr>
        <w:t>m</w:t>
      </w:r>
      <w:r w:rsidRPr="00FC0450">
        <w:rPr>
          <w:rFonts w:eastAsia="Times New Roman" w:cs="Arial"/>
          <w:color w:val="000000"/>
          <w:szCs w:val="44"/>
          <w:vertAlign w:val="superscript"/>
          <w:lang w:val="ru-RU"/>
        </w:rPr>
        <w:t>2</w:t>
      </w:r>
      <w:r w:rsidRPr="00FC0450">
        <w:rPr>
          <w:rFonts w:eastAsia="Times New Roman" w:cs="Arial"/>
          <w:color w:val="000000"/>
          <w:szCs w:val="44"/>
          <w:lang w:val="ru-RU"/>
        </w:rPr>
        <w:t xml:space="preserve">. </w:t>
      </w:r>
      <w:r w:rsidRPr="00FC0450">
        <w:rPr>
          <w:rFonts w:eastAsia="Times New Roman" w:cs="Arial"/>
          <w:color w:val="000000"/>
          <w:szCs w:val="44"/>
          <w:lang w:eastAsia="bg-BG"/>
        </w:rPr>
        <w:t>Клиничната значимост на тези данни не е известна.</w:t>
      </w:r>
    </w:p>
    <w:p w14:paraId="5EEE55E7" w14:textId="77777777" w:rsidR="00FC0450" w:rsidRPr="00FC0450" w:rsidRDefault="00FC0450" w:rsidP="00FC0450">
      <w:pPr>
        <w:spacing w:line="240" w:lineRule="auto"/>
        <w:rPr>
          <w:rFonts w:eastAsia="Times New Roman" w:cs="Arial"/>
          <w:color w:val="000000"/>
          <w:szCs w:val="44"/>
          <w:u w:val="single"/>
          <w:lang w:eastAsia="bg-BG"/>
        </w:rPr>
      </w:pPr>
    </w:p>
    <w:p w14:paraId="61899C8A" w14:textId="3996880E"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u w:val="single"/>
          <w:lang w:eastAsia="bg-BG"/>
        </w:rPr>
        <w:t>Репродуктивна токсичност</w:t>
      </w:r>
    </w:p>
    <w:p w14:paraId="4D61BCD8" w14:textId="77777777" w:rsidR="00FC0450" w:rsidRPr="00FC0450" w:rsidRDefault="00FC0450" w:rsidP="00FC0450">
      <w:pPr>
        <w:spacing w:line="240" w:lineRule="auto"/>
        <w:rPr>
          <w:rFonts w:eastAsia="Times New Roman" w:cs="Arial"/>
          <w:color w:val="000000"/>
          <w:szCs w:val="44"/>
          <w:lang w:eastAsia="bg-BG"/>
        </w:rPr>
      </w:pPr>
    </w:p>
    <w:p w14:paraId="77474102" w14:textId="7DF8D073"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lang w:eastAsia="bg-BG"/>
        </w:rPr>
        <w:t>Метилпреднизолон не е оценяван при проучвания на фертилитета при животни. Наблюдавани са нежелани ефекти върху фертилитета при мъжки плъхове, на които е прилаган кортикостерон, които са били обратими. Наблюдавани са намалено тегло и микроскопски промени в простатата и семенните везикули. Броят на имплантациите и живите фетуси е бил намален, като тези ефекти не са били налице след чифтосване в края на периода на възстановяване.</w:t>
      </w:r>
    </w:p>
    <w:p w14:paraId="40790670" w14:textId="77777777" w:rsidR="00FC0450" w:rsidRPr="00FC0450" w:rsidRDefault="00FC0450" w:rsidP="00FC0450">
      <w:pPr>
        <w:spacing w:line="240" w:lineRule="auto"/>
        <w:rPr>
          <w:rFonts w:eastAsia="Times New Roman" w:cs="Arial"/>
          <w:color w:val="000000"/>
          <w:szCs w:val="44"/>
          <w:lang w:eastAsia="bg-BG"/>
        </w:rPr>
      </w:pPr>
    </w:p>
    <w:p w14:paraId="0395D2A1" w14:textId="5631683E"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lang w:eastAsia="bg-BG"/>
        </w:rPr>
        <w:t>Установена е повишена честота на незатваряне на твърдото небце сред потомството на мишки, лекувани по време на бременност с метилпреднизолон в дози, подобни на тези, които обикновено се използват за перорална терапия при хора.</w:t>
      </w:r>
    </w:p>
    <w:p w14:paraId="7C514E2F" w14:textId="77777777" w:rsidR="00FC0450" w:rsidRPr="00FC0450" w:rsidRDefault="00FC0450" w:rsidP="00FC0450">
      <w:pPr>
        <w:spacing w:line="240" w:lineRule="auto"/>
        <w:rPr>
          <w:rFonts w:eastAsia="Times New Roman" w:cs="Arial"/>
          <w:color w:val="000000"/>
          <w:szCs w:val="44"/>
          <w:lang w:eastAsia="bg-BG"/>
        </w:rPr>
      </w:pPr>
    </w:p>
    <w:p w14:paraId="25BE295B" w14:textId="0B454AC0" w:rsidR="00FC0450" w:rsidRPr="00FC0450" w:rsidRDefault="00FC0450" w:rsidP="00FC0450">
      <w:pPr>
        <w:spacing w:line="240" w:lineRule="auto"/>
        <w:rPr>
          <w:rFonts w:eastAsia="Times New Roman" w:cs="Arial"/>
          <w:sz w:val="12"/>
          <w:szCs w:val="24"/>
        </w:rPr>
      </w:pPr>
      <w:r w:rsidRPr="00FC0450">
        <w:rPr>
          <w:rFonts w:eastAsia="Times New Roman" w:cs="Arial"/>
          <w:color w:val="000000"/>
          <w:szCs w:val="44"/>
          <w:lang w:eastAsia="bg-BG"/>
        </w:rPr>
        <w:t>Наблюдавана е повишена честота на сърдечно-съдови дефекти и намалено телесно тегло при потомството на бременни плъхове, лекувани с метилпреднизолон в доза, подобна на тази, използвана за перорална терапия при хора, но която е била токсична за майките. За разлика от това, не е наблюдаван тератогенен ефект при плъхове с дози &lt;1-18 пъти от обикчайно използваните за пероралната терапия при хора, в друго проучване. В поколението на бременни зайци, лекувани с метилпреднизолон, в дози, по-ниски от тези, използвани при хора, се съобщават високи честоти на смърт на плода и разнообразие от аномалии на централната нервна система и скелета. Значението на тези данни за риска от малформации при кърмачета, родени от майки, лекувани с метилпреднизолон по време на бременност, не е известно. Не са известни граници на безопасност за докладваните тератогенни ефекти.</w:t>
      </w:r>
    </w:p>
    <w:p w14:paraId="597FBB5C" w14:textId="77777777" w:rsidR="00FC0450" w:rsidRPr="00FC0450" w:rsidRDefault="00FC0450" w:rsidP="00FC0450"/>
    <w:p w14:paraId="6A7820AB" w14:textId="57952EDE" w:rsidR="008A6AF2" w:rsidRDefault="002C50EE" w:rsidP="00395555">
      <w:pPr>
        <w:pStyle w:val="Heading1"/>
      </w:pPr>
      <w:r>
        <w:t>7. ПРИТЕЖАТЕЛ НА РАЗРЕШЕНИЕТО ЗА УПОТРЕБА</w:t>
      </w:r>
    </w:p>
    <w:p w14:paraId="1133CC66" w14:textId="0B351F0E" w:rsidR="00FC0450" w:rsidRDefault="00FC0450" w:rsidP="00FC0450"/>
    <w:p w14:paraId="3FAC3645" w14:textId="77777777" w:rsidR="00FC0450" w:rsidRPr="00FC0450" w:rsidRDefault="00FC0450" w:rsidP="00FC0450">
      <w:pPr>
        <w:rPr>
          <w:sz w:val="24"/>
          <w:szCs w:val="24"/>
        </w:rPr>
      </w:pPr>
      <w:r w:rsidRPr="00FC0450">
        <w:rPr>
          <w:lang w:eastAsia="bg-BG"/>
        </w:rPr>
        <w:t>Антибиотик-Разград АД</w:t>
      </w:r>
    </w:p>
    <w:p w14:paraId="2CCE45C9" w14:textId="77777777" w:rsidR="00FC0450" w:rsidRDefault="00FC0450" w:rsidP="00FC0450">
      <w:pPr>
        <w:rPr>
          <w:lang w:eastAsia="bg-BG"/>
        </w:rPr>
      </w:pPr>
      <w:r w:rsidRPr="00FC0450">
        <w:rPr>
          <w:lang w:eastAsia="bg-BG"/>
        </w:rPr>
        <w:t xml:space="preserve">бул. "Априлско въстание”68, офис 201 </w:t>
      </w:r>
    </w:p>
    <w:p w14:paraId="0FF4FFD4" w14:textId="6A03BF49" w:rsidR="00FC0450" w:rsidRPr="00FC0450" w:rsidRDefault="00FC0450" w:rsidP="00FC0450">
      <w:bookmarkStart w:id="5" w:name="_GoBack"/>
      <w:bookmarkEnd w:id="5"/>
      <w:r w:rsidRPr="00FC0450">
        <w:rPr>
          <w:lang w:eastAsia="bg-BG"/>
        </w:rPr>
        <w:t>7200, Разград, България</w:t>
      </w:r>
    </w:p>
    <w:p w14:paraId="04840D59" w14:textId="50CD6092" w:rsidR="002C50EE" w:rsidRDefault="002C50EE" w:rsidP="00395555">
      <w:pPr>
        <w:pStyle w:val="Heading1"/>
      </w:pPr>
      <w:r>
        <w:t>8. НОМЕР НА РАЗРЕШЕНИЕТО ЗА УПОТРЕБА</w:t>
      </w:r>
    </w:p>
    <w:p w14:paraId="71FEAF68" w14:textId="529C17F9" w:rsidR="00FC0450" w:rsidRDefault="00FC0450" w:rsidP="00FC0450"/>
    <w:p w14:paraId="49509A93" w14:textId="2A0F3878" w:rsidR="00FC0450" w:rsidRPr="00FC0450" w:rsidRDefault="00FC0450" w:rsidP="00FC0450">
      <w:r>
        <w:rPr>
          <w:lang w:val="en-US"/>
        </w:rPr>
        <w:t>Per</w:t>
      </w:r>
      <w:r w:rsidRPr="00FC0450">
        <w:rPr>
          <w:lang w:val="ru-RU"/>
        </w:rPr>
        <w:t xml:space="preserve">. </w:t>
      </w:r>
      <w:r>
        <w:t>Ка 20140042</w:t>
      </w:r>
    </w:p>
    <w:p w14:paraId="2CCB5832" w14:textId="24F62C89" w:rsidR="007C605B" w:rsidRDefault="002C50EE" w:rsidP="007C605B">
      <w:pPr>
        <w:pStyle w:val="Heading1"/>
      </w:pPr>
      <w:r>
        <w:lastRenderedPageBreak/>
        <w:t>9. ДАТА НА ПЪРВО РАЗРЕШАВАНЕ/ПОДНОВЯВАНЕ НА РАЗРЕШЕНИЕТО ЗА УПОТРЕБА</w:t>
      </w:r>
    </w:p>
    <w:p w14:paraId="13174E8D" w14:textId="002D3558" w:rsidR="00FC0450" w:rsidRDefault="00FC0450" w:rsidP="00FC0450"/>
    <w:p w14:paraId="526FEEA3" w14:textId="77777777" w:rsidR="00FC0450" w:rsidRPr="00FC0450" w:rsidRDefault="00FC0450" w:rsidP="00FC0450">
      <w:pPr>
        <w:rPr>
          <w:sz w:val="24"/>
          <w:szCs w:val="24"/>
        </w:rPr>
      </w:pPr>
      <w:r w:rsidRPr="00FC0450">
        <w:rPr>
          <w:lang w:eastAsia="bg-BG"/>
        </w:rPr>
        <w:t>Дата на първо разрешаване: 19.03.2014</w:t>
      </w:r>
    </w:p>
    <w:p w14:paraId="61641455" w14:textId="2B22CA9E" w:rsidR="00FC0450" w:rsidRPr="00FC0450" w:rsidRDefault="00FC0450" w:rsidP="00FC0450">
      <w:r w:rsidRPr="00FC0450">
        <w:rPr>
          <w:lang w:eastAsia="bg-BG"/>
        </w:rPr>
        <w:t>Дата на последно подновяване: 15.04.2019</w:t>
      </w:r>
    </w:p>
    <w:p w14:paraId="0E9D0119" w14:textId="0245C6D7" w:rsidR="002C50EE" w:rsidRDefault="002C50EE" w:rsidP="002C50EE">
      <w:pPr>
        <w:pStyle w:val="Heading1"/>
      </w:pPr>
      <w:r>
        <w:t>10. ДАТА НА АКТУАЛИЗИРАНЕ НА ТЕКСТА</w:t>
      </w:r>
    </w:p>
    <w:bookmarkEnd w:id="0"/>
    <w:p w14:paraId="43FB38A2" w14:textId="70C3DC59" w:rsidR="007C605B" w:rsidRDefault="007C605B" w:rsidP="00395555"/>
    <w:p w14:paraId="24E93114" w14:textId="15D3662E" w:rsidR="00FC0450" w:rsidRPr="003E3126" w:rsidRDefault="00FC0450" w:rsidP="00FC0450">
      <w:r>
        <w:t>Май, 2019.</w:t>
      </w:r>
    </w:p>
    <w:sectPr w:rsidR="00FC0450" w:rsidRPr="003E3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2" w15:restartNumberingAfterBreak="0">
    <w:nsid w:val="00894126"/>
    <w:multiLevelType w:val="multilevel"/>
    <w:tmpl w:val="588ED07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0AE4925"/>
    <w:multiLevelType w:val="multilevel"/>
    <w:tmpl w:val="4CC8ED5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4834C69"/>
    <w:multiLevelType w:val="multilevel"/>
    <w:tmpl w:val="DC0A14F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99A0F47"/>
    <w:multiLevelType w:val="hybridMultilevel"/>
    <w:tmpl w:val="5F3E3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47639"/>
    <w:multiLevelType w:val="multilevel"/>
    <w:tmpl w:val="22185E4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7" w15:restartNumberingAfterBreak="0">
    <w:nsid w:val="103A2C2D"/>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8" w15:restartNumberingAfterBreak="0">
    <w:nsid w:val="14897C19"/>
    <w:multiLevelType w:val="multilevel"/>
    <w:tmpl w:val="E826A600"/>
    <w:lvl w:ilvl="0">
      <w:numFmt w:val="bullet"/>
      <w:lvlText w:val="•"/>
      <w:lvlJc w:val="left"/>
      <w:pPr>
        <w:ind w:left="1080" w:hanging="720"/>
      </w:pPr>
      <w:rPr>
        <w:rFonts w:ascii="Arial" w:eastAsia="Times New Roman" w:hAnsi="Arial" w:cs="Aria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6DE69F2"/>
    <w:multiLevelType w:val="multilevel"/>
    <w:tmpl w:val="E826A600"/>
    <w:lvl w:ilvl="0">
      <w:numFmt w:val="bullet"/>
      <w:lvlText w:val="•"/>
      <w:lvlJc w:val="left"/>
      <w:pPr>
        <w:ind w:left="1080" w:hanging="720"/>
      </w:pPr>
      <w:rPr>
        <w:rFonts w:ascii="Arial" w:eastAsia="Times New Roman" w:hAnsi="Arial" w:cs="Aria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19016EEE"/>
    <w:multiLevelType w:val="hybridMultilevel"/>
    <w:tmpl w:val="52F6376E"/>
    <w:lvl w:ilvl="0" w:tplc="4F7A9382">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343B0"/>
    <w:multiLevelType w:val="hybridMultilevel"/>
    <w:tmpl w:val="DD4E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1258ED"/>
    <w:multiLevelType w:val="hybridMultilevel"/>
    <w:tmpl w:val="AA423BD4"/>
    <w:lvl w:ilvl="0" w:tplc="04090001">
      <w:start w:val="1"/>
      <w:numFmt w:val="bullet"/>
      <w:lvlText w:val=""/>
      <w:lvlJc w:val="left"/>
      <w:pPr>
        <w:ind w:left="1637" w:hanging="360"/>
      </w:pPr>
      <w:rPr>
        <w:rFonts w:ascii="Symbol" w:hAnsi="Symbol"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13" w15:restartNumberingAfterBreak="0">
    <w:nsid w:val="26177103"/>
    <w:multiLevelType w:val="multilevel"/>
    <w:tmpl w:val="E82C6D4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C0F0359"/>
    <w:multiLevelType w:val="hybridMultilevel"/>
    <w:tmpl w:val="44CA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60FB9"/>
    <w:multiLevelType w:val="hybridMultilevel"/>
    <w:tmpl w:val="BA3E8EEE"/>
    <w:lvl w:ilvl="0" w:tplc="D63C3370">
      <w:start w:val="4"/>
      <w:numFmt w:val="bullet"/>
      <w:lvlText w:val="-"/>
      <w:lvlJc w:val="left"/>
      <w:pPr>
        <w:ind w:left="720" w:hanging="360"/>
      </w:pPr>
      <w:rPr>
        <w:rFonts w:ascii="Arial" w:eastAsia="Times New Roman" w:hAnsi="Arial" w:cs="Arial"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A002FE"/>
    <w:multiLevelType w:val="hybridMultilevel"/>
    <w:tmpl w:val="60D4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687B88"/>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18" w15:restartNumberingAfterBreak="0">
    <w:nsid w:val="403D3417"/>
    <w:multiLevelType w:val="multilevel"/>
    <w:tmpl w:val="B57254D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2823E3C"/>
    <w:multiLevelType w:val="hybridMultilevel"/>
    <w:tmpl w:val="80B0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0E33D8"/>
    <w:multiLevelType w:val="hybridMultilevel"/>
    <w:tmpl w:val="7130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ED0C31"/>
    <w:multiLevelType w:val="hybridMultilevel"/>
    <w:tmpl w:val="2946DD8C"/>
    <w:lvl w:ilvl="0" w:tplc="83C2330A">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17B77"/>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23" w15:restartNumberingAfterBreak="0">
    <w:nsid w:val="4B960DEC"/>
    <w:multiLevelType w:val="hybridMultilevel"/>
    <w:tmpl w:val="DE7AABEA"/>
    <w:lvl w:ilvl="0" w:tplc="7E0614A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1061F"/>
    <w:multiLevelType w:val="hybridMultilevel"/>
    <w:tmpl w:val="7BE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FE48DA"/>
    <w:multiLevelType w:val="hybridMultilevel"/>
    <w:tmpl w:val="8D98AC54"/>
    <w:lvl w:ilvl="0" w:tplc="04090001">
      <w:start w:val="1"/>
      <w:numFmt w:val="bullet"/>
      <w:lvlText w:val=""/>
      <w:lvlJc w:val="left"/>
      <w:pPr>
        <w:ind w:left="720" w:hanging="360"/>
      </w:pPr>
      <w:rPr>
        <w:rFonts w:ascii="Symbol" w:hAnsi="Symbol" w:hint="default"/>
      </w:rPr>
    </w:lvl>
    <w:lvl w:ilvl="1" w:tplc="9F088CA4">
      <w:numFmt w:val="bullet"/>
      <w:lvlText w:val="•"/>
      <w:lvlJc w:val="left"/>
      <w:pPr>
        <w:ind w:left="1800" w:hanging="720"/>
      </w:pPr>
      <w:rPr>
        <w:rFonts w:ascii="Arial" w:eastAsiaTheme="minorHAnsi" w:hAnsi="Arial" w:cs="Arial" w:hint="default"/>
        <w:sz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AB1ABA"/>
    <w:multiLevelType w:val="hybridMultilevel"/>
    <w:tmpl w:val="EEEC7F7E"/>
    <w:lvl w:ilvl="0" w:tplc="E38E44DA">
      <w:start w:val="4"/>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10713"/>
    <w:multiLevelType w:val="multilevel"/>
    <w:tmpl w:val="22185E4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28" w15:restartNumberingAfterBreak="0">
    <w:nsid w:val="50A8116B"/>
    <w:multiLevelType w:val="hybridMultilevel"/>
    <w:tmpl w:val="F18C2434"/>
    <w:lvl w:ilvl="0" w:tplc="04B87F8E">
      <w:start w:val="4"/>
      <w:numFmt w:val="bullet"/>
      <w:lvlText w:val="-"/>
      <w:lvlJc w:val="left"/>
      <w:pPr>
        <w:ind w:left="720" w:hanging="360"/>
      </w:pPr>
      <w:rPr>
        <w:rFonts w:ascii="Arial" w:eastAsiaTheme="minorHAns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666A97"/>
    <w:multiLevelType w:val="multilevel"/>
    <w:tmpl w:val="22185E4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30" w15:restartNumberingAfterBreak="0">
    <w:nsid w:val="520F54B3"/>
    <w:multiLevelType w:val="hybridMultilevel"/>
    <w:tmpl w:val="E826A600"/>
    <w:lvl w:ilvl="0" w:tplc="814CC5C0">
      <w:numFmt w:val="bullet"/>
      <w:lvlText w:val="•"/>
      <w:lvlJc w:val="left"/>
      <w:pPr>
        <w:ind w:left="1080" w:hanging="72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C2302E"/>
    <w:multiLevelType w:val="hybridMultilevel"/>
    <w:tmpl w:val="FF02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9C0BCC"/>
    <w:multiLevelType w:val="multilevel"/>
    <w:tmpl w:val="7626198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33" w15:restartNumberingAfterBreak="0">
    <w:nsid w:val="5C1F677A"/>
    <w:multiLevelType w:val="hybridMultilevel"/>
    <w:tmpl w:val="96EC7004"/>
    <w:lvl w:ilvl="0" w:tplc="D63C3370">
      <w:start w:val="4"/>
      <w:numFmt w:val="bullet"/>
      <w:lvlText w:val="-"/>
      <w:lvlJc w:val="left"/>
      <w:pPr>
        <w:ind w:left="720" w:hanging="360"/>
      </w:pPr>
      <w:rPr>
        <w:rFonts w:ascii="Arial" w:eastAsia="Times New Roman" w:hAnsi="Arial" w:cs="Arial"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8E6222"/>
    <w:multiLevelType w:val="multilevel"/>
    <w:tmpl w:val="D7904584"/>
    <w:lvl w:ilvl="0">
      <w:start w:val="4"/>
      <w:numFmt w:val="bullet"/>
      <w:lvlText w:val="-"/>
      <w:lvlJc w:val="left"/>
      <w:pPr>
        <w:ind w:left="1080" w:hanging="720"/>
      </w:pPr>
      <w:rPr>
        <w:rFonts w:ascii="Arial" w:eastAsiaTheme="minorHAnsi" w:hAnsi="Arial" w:cs="Arial" w:hint="default"/>
        <w:color w:val="00000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15:restartNumberingAfterBreak="0">
    <w:nsid w:val="61B539E2"/>
    <w:multiLevelType w:val="hybridMultilevel"/>
    <w:tmpl w:val="E3BC6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3E14F4"/>
    <w:multiLevelType w:val="multilevel"/>
    <w:tmpl w:val="22185E4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37" w15:restartNumberingAfterBreak="0">
    <w:nsid w:val="63BC7DEC"/>
    <w:multiLevelType w:val="hybridMultilevel"/>
    <w:tmpl w:val="EE04B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405EDC"/>
    <w:multiLevelType w:val="multilevel"/>
    <w:tmpl w:val="22185E4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39" w15:restartNumberingAfterBreak="0">
    <w:nsid w:val="70153710"/>
    <w:multiLevelType w:val="multilevel"/>
    <w:tmpl w:val="44DAD04E"/>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40" w15:restartNumberingAfterBreak="0">
    <w:nsid w:val="73AD1413"/>
    <w:multiLevelType w:val="hybridMultilevel"/>
    <w:tmpl w:val="9B941132"/>
    <w:lvl w:ilvl="0" w:tplc="7E0614AE">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4F140C"/>
    <w:multiLevelType w:val="multilevel"/>
    <w:tmpl w:val="22185E4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42" w15:restartNumberingAfterBreak="0">
    <w:nsid w:val="7EFB2D78"/>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43" w15:restartNumberingAfterBreak="0">
    <w:nsid w:val="7F286A85"/>
    <w:multiLevelType w:val="multilevel"/>
    <w:tmpl w:val="22185E4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abstractNum w:abstractNumId="44" w15:restartNumberingAfterBreak="0">
    <w:nsid w:val="7F8E3B1F"/>
    <w:multiLevelType w:val="multilevel"/>
    <w:tmpl w:val="22185E4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8"/>
        <w:szCs w:val="28"/>
        <w:u w:val="none"/>
      </w:rPr>
    </w:lvl>
  </w:abstractNum>
  <w:num w:numId="1">
    <w:abstractNumId w:val="33"/>
  </w:num>
  <w:num w:numId="2">
    <w:abstractNumId w:val="0"/>
  </w:num>
  <w:num w:numId="3">
    <w:abstractNumId w:val="15"/>
  </w:num>
  <w:num w:numId="4">
    <w:abstractNumId w:val="3"/>
  </w:num>
  <w:num w:numId="5">
    <w:abstractNumId w:val="1"/>
  </w:num>
  <w:num w:numId="6">
    <w:abstractNumId w:val="18"/>
  </w:num>
  <w:num w:numId="7">
    <w:abstractNumId w:val="13"/>
  </w:num>
  <w:num w:numId="8">
    <w:abstractNumId w:val="17"/>
  </w:num>
  <w:num w:numId="9">
    <w:abstractNumId w:val="2"/>
  </w:num>
  <w:num w:numId="10">
    <w:abstractNumId w:val="4"/>
  </w:num>
  <w:num w:numId="11">
    <w:abstractNumId w:val="37"/>
  </w:num>
  <w:num w:numId="12">
    <w:abstractNumId w:val="16"/>
  </w:num>
  <w:num w:numId="13">
    <w:abstractNumId w:val="21"/>
  </w:num>
  <w:num w:numId="14">
    <w:abstractNumId w:val="14"/>
  </w:num>
  <w:num w:numId="15">
    <w:abstractNumId w:val="35"/>
  </w:num>
  <w:num w:numId="16">
    <w:abstractNumId w:val="12"/>
  </w:num>
  <w:num w:numId="17">
    <w:abstractNumId w:val="26"/>
  </w:num>
  <w:num w:numId="18">
    <w:abstractNumId w:val="10"/>
  </w:num>
  <w:num w:numId="19">
    <w:abstractNumId w:val="31"/>
  </w:num>
  <w:num w:numId="20">
    <w:abstractNumId w:val="25"/>
  </w:num>
  <w:num w:numId="21">
    <w:abstractNumId w:val="19"/>
  </w:num>
  <w:num w:numId="22">
    <w:abstractNumId w:val="28"/>
  </w:num>
  <w:num w:numId="23">
    <w:abstractNumId w:val="20"/>
  </w:num>
  <w:num w:numId="24">
    <w:abstractNumId w:val="11"/>
  </w:num>
  <w:num w:numId="25">
    <w:abstractNumId w:val="24"/>
  </w:num>
  <w:num w:numId="26">
    <w:abstractNumId w:val="23"/>
  </w:num>
  <w:num w:numId="27">
    <w:abstractNumId w:val="40"/>
  </w:num>
  <w:num w:numId="28">
    <w:abstractNumId w:val="7"/>
  </w:num>
  <w:num w:numId="29">
    <w:abstractNumId w:val="22"/>
  </w:num>
  <w:num w:numId="30">
    <w:abstractNumId w:val="42"/>
  </w:num>
  <w:num w:numId="31">
    <w:abstractNumId w:val="5"/>
  </w:num>
  <w:num w:numId="32">
    <w:abstractNumId w:val="39"/>
  </w:num>
  <w:num w:numId="33">
    <w:abstractNumId w:val="36"/>
  </w:num>
  <w:num w:numId="34">
    <w:abstractNumId w:val="27"/>
  </w:num>
  <w:num w:numId="35">
    <w:abstractNumId w:val="41"/>
  </w:num>
  <w:num w:numId="36">
    <w:abstractNumId w:val="38"/>
  </w:num>
  <w:num w:numId="37">
    <w:abstractNumId w:val="43"/>
  </w:num>
  <w:num w:numId="38">
    <w:abstractNumId w:val="29"/>
  </w:num>
  <w:num w:numId="39">
    <w:abstractNumId w:val="44"/>
  </w:num>
  <w:num w:numId="40">
    <w:abstractNumId w:val="6"/>
  </w:num>
  <w:num w:numId="41">
    <w:abstractNumId w:val="30"/>
  </w:num>
  <w:num w:numId="42">
    <w:abstractNumId w:val="8"/>
  </w:num>
  <w:num w:numId="43">
    <w:abstractNumId w:val="9"/>
  </w:num>
  <w:num w:numId="44">
    <w:abstractNumId w:val="34"/>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00"/>
    <w:rsid w:val="00185A46"/>
    <w:rsid w:val="001915B6"/>
    <w:rsid w:val="001D1B23"/>
    <w:rsid w:val="002B3C38"/>
    <w:rsid w:val="002B4DBB"/>
    <w:rsid w:val="002C50EE"/>
    <w:rsid w:val="00340A0A"/>
    <w:rsid w:val="003765DC"/>
    <w:rsid w:val="00395555"/>
    <w:rsid w:val="003E3126"/>
    <w:rsid w:val="004D4D6B"/>
    <w:rsid w:val="00517A5B"/>
    <w:rsid w:val="00593A00"/>
    <w:rsid w:val="005A66D9"/>
    <w:rsid w:val="00605BCA"/>
    <w:rsid w:val="006158A1"/>
    <w:rsid w:val="00617B1F"/>
    <w:rsid w:val="00672487"/>
    <w:rsid w:val="00672600"/>
    <w:rsid w:val="00681D4A"/>
    <w:rsid w:val="00685882"/>
    <w:rsid w:val="006B71AB"/>
    <w:rsid w:val="007563DC"/>
    <w:rsid w:val="0075649D"/>
    <w:rsid w:val="007C605B"/>
    <w:rsid w:val="00814073"/>
    <w:rsid w:val="00826F0D"/>
    <w:rsid w:val="00893B92"/>
    <w:rsid w:val="008A6AF2"/>
    <w:rsid w:val="008C70A2"/>
    <w:rsid w:val="009773E4"/>
    <w:rsid w:val="009B171C"/>
    <w:rsid w:val="009F1313"/>
    <w:rsid w:val="00A20351"/>
    <w:rsid w:val="00AA23EC"/>
    <w:rsid w:val="00AC63CE"/>
    <w:rsid w:val="00AE2107"/>
    <w:rsid w:val="00B275A8"/>
    <w:rsid w:val="00BF2600"/>
    <w:rsid w:val="00C0049F"/>
    <w:rsid w:val="00C07B84"/>
    <w:rsid w:val="00C33464"/>
    <w:rsid w:val="00C809A7"/>
    <w:rsid w:val="00C83063"/>
    <w:rsid w:val="00C87E90"/>
    <w:rsid w:val="00CA1B57"/>
    <w:rsid w:val="00D86297"/>
    <w:rsid w:val="00DD466D"/>
    <w:rsid w:val="00EB6364"/>
    <w:rsid w:val="00F37B64"/>
    <w:rsid w:val="00FC0450"/>
    <w:rsid w:val="00FD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4BA7"/>
  <w15:docId w15:val="{3DA60348-CCDC-4D6D-877F-EA9575E0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364"/>
    <w:pPr>
      <w:spacing w:after="0" w:line="256" w:lineRule="auto"/>
    </w:pPr>
    <w:rPr>
      <w:rFonts w:ascii="Arial" w:hAnsi="Arial"/>
      <w:lang w:val="bg-BG"/>
    </w:rPr>
  </w:style>
  <w:style w:type="paragraph" w:styleId="Heading1">
    <w:name w:val="heading 1"/>
    <w:basedOn w:val="Normal"/>
    <w:next w:val="Normal"/>
    <w:link w:val="Heading1Char"/>
    <w:uiPriority w:val="9"/>
    <w:qFormat/>
    <w:rsid w:val="00681D4A"/>
    <w:pPr>
      <w:keepNext/>
      <w:keepLines/>
      <w:spacing w:before="240" w:line="259" w:lineRule="auto"/>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681D4A"/>
    <w:pPr>
      <w:keepNext/>
      <w:keepLines/>
      <w:spacing w:before="40" w:line="259" w:lineRule="auto"/>
      <w:outlineLvl w:val="1"/>
    </w:pPr>
    <w:rPr>
      <w:rFonts w:eastAsiaTheme="majorEastAsia" w:cstheme="majorBidi"/>
      <w:color w:val="000000" w:themeColor="text1"/>
      <w:sz w:val="26"/>
      <w:szCs w:val="26"/>
    </w:rPr>
  </w:style>
  <w:style w:type="paragraph" w:styleId="Heading3">
    <w:name w:val="heading 3"/>
    <w:basedOn w:val="Normal"/>
    <w:next w:val="Normal"/>
    <w:link w:val="Heading3Char"/>
    <w:uiPriority w:val="9"/>
    <w:unhideWhenUsed/>
    <w:qFormat/>
    <w:rsid w:val="00681D4A"/>
    <w:pPr>
      <w:keepNext/>
      <w:keepLines/>
      <w:spacing w:before="40" w:line="259" w:lineRule="auto"/>
      <w:outlineLvl w:val="2"/>
    </w:pPr>
    <w:rPr>
      <w:rFonts w:eastAsiaTheme="majorEastAsia" w:cstheme="majorBidi"/>
      <w:color w:val="000000" w:themeColor="text1"/>
      <w:sz w:val="24"/>
      <w:szCs w:val="24"/>
    </w:rPr>
  </w:style>
  <w:style w:type="paragraph" w:styleId="Heading4">
    <w:name w:val="heading 4"/>
    <w:basedOn w:val="Normal"/>
    <w:next w:val="Normal"/>
    <w:link w:val="Heading4Char"/>
    <w:uiPriority w:val="9"/>
    <w:unhideWhenUsed/>
    <w:qFormat/>
    <w:rsid w:val="00681D4A"/>
    <w:pPr>
      <w:keepNext/>
      <w:keepLines/>
      <w:spacing w:before="40" w:line="259" w:lineRule="auto"/>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Стил1"/>
    <w:basedOn w:val="Heading3"/>
    <w:next w:val="Normal"/>
    <w:link w:val="10"/>
    <w:qFormat/>
    <w:rsid w:val="00C87E90"/>
    <w:pPr>
      <w:widowControl w:val="0"/>
      <w:spacing w:after="1080" w:line="240" w:lineRule="auto"/>
      <w:ind w:left="4400"/>
      <w:jc w:val="center"/>
    </w:pPr>
    <w:rPr>
      <w:b/>
      <w:sz w:val="22"/>
      <w:szCs w:val="22"/>
    </w:rPr>
  </w:style>
  <w:style w:type="character" w:customStyle="1" w:styleId="10">
    <w:name w:val="Стил1 Знак"/>
    <w:basedOn w:val="Heading3Char"/>
    <w:link w:val="1"/>
    <w:rsid w:val="00C87E90"/>
    <w:rPr>
      <w:rFonts w:ascii="Arial" w:eastAsiaTheme="majorEastAsia" w:hAnsi="Arial" w:cstheme="majorBidi"/>
      <w:b/>
      <w:color w:val="000000" w:themeColor="text1"/>
      <w:sz w:val="24"/>
      <w:szCs w:val="24"/>
    </w:rPr>
  </w:style>
  <w:style w:type="character" w:customStyle="1" w:styleId="Heading3Char">
    <w:name w:val="Heading 3 Char"/>
    <w:basedOn w:val="DefaultParagraphFont"/>
    <w:link w:val="Heading3"/>
    <w:uiPriority w:val="9"/>
    <w:rsid w:val="00681D4A"/>
    <w:rPr>
      <w:rFonts w:ascii="Arial" w:eastAsiaTheme="majorEastAsia" w:hAnsi="Arial" w:cstheme="majorBidi"/>
      <w:color w:val="000000" w:themeColor="text1"/>
      <w:sz w:val="24"/>
      <w:szCs w:val="24"/>
    </w:rPr>
  </w:style>
  <w:style w:type="paragraph" w:styleId="ListParagraph">
    <w:name w:val="List Paragraph"/>
    <w:basedOn w:val="Normal"/>
    <w:uiPriority w:val="34"/>
    <w:qFormat/>
    <w:rsid w:val="00685882"/>
    <w:pPr>
      <w:spacing w:line="259" w:lineRule="auto"/>
      <w:ind w:left="720"/>
      <w:contextualSpacing/>
    </w:pPr>
  </w:style>
  <w:style w:type="character" w:customStyle="1" w:styleId="Heading1Char">
    <w:name w:val="Heading 1 Char"/>
    <w:basedOn w:val="DefaultParagraphFont"/>
    <w:link w:val="Heading1"/>
    <w:uiPriority w:val="9"/>
    <w:rsid w:val="00681D4A"/>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681D4A"/>
    <w:rPr>
      <w:rFonts w:ascii="Arial" w:eastAsiaTheme="majorEastAsia" w:hAnsi="Arial" w:cstheme="majorBidi"/>
      <w:color w:val="000000" w:themeColor="text1"/>
      <w:sz w:val="26"/>
      <w:szCs w:val="26"/>
    </w:rPr>
  </w:style>
  <w:style w:type="character" w:customStyle="1" w:styleId="Heading4Char">
    <w:name w:val="Heading 4 Char"/>
    <w:basedOn w:val="DefaultParagraphFont"/>
    <w:link w:val="Heading4"/>
    <w:uiPriority w:val="9"/>
    <w:rsid w:val="00681D4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756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462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da.b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6597</Words>
  <Characters>37605</Characters>
  <Application>Microsoft Office Word</Application>
  <DocSecurity>0</DocSecurity>
  <Lines>313</Lines>
  <Paragraphs>88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petar vasilev</dc:creator>
  <cp:keywords/>
  <dc:description/>
  <cp:lastModifiedBy>petar vasilev</cp:lastModifiedBy>
  <cp:revision>2</cp:revision>
  <dcterms:created xsi:type="dcterms:W3CDTF">2021-11-21T18:22:00Z</dcterms:created>
  <dcterms:modified xsi:type="dcterms:W3CDTF">2021-11-21T18:22:00Z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8080e56-8894-418a-9b19-f357e77b996f_Enabled">
    <vt:lpwstr>true</vt:lpwstr>
  </property>
  <property fmtid="{D5CDD505-2E9C-101B-9397-08002B2CF9AE}" pid="3" name="MSIP_Label_78080e56-8894-418a-9b19-f357e77b996f_SetDate">
    <vt:lpwstr>2021-02-06T20:50:59Z</vt:lpwstr>
  </property>
  <property fmtid="{D5CDD505-2E9C-101B-9397-08002B2CF9AE}" pid="4" name="MSIP_Label_78080e56-8894-418a-9b19-f357e77b996f_Method">
    <vt:lpwstr>Standard</vt:lpwstr>
  </property>
  <property fmtid="{D5CDD505-2E9C-101B-9397-08002B2CF9AE}" pid="5" name="MSIP_Label_78080e56-8894-418a-9b19-f357e77b996f_Name">
    <vt:lpwstr>Internal Use Unencrypted</vt:lpwstr>
  </property>
  <property fmtid="{D5CDD505-2E9C-101B-9397-08002B2CF9AE}" pid="6" name="MSIP_Label_78080e56-8894-418a-9b19-f357e77b996f_SiteId">
    <vt:lpwstr>6c7fadf5-6b9d-485a-85cb-f8112e9720ec</vt:lpwstr>
  </property>
  <property fmtid="{D5CDD505-2E9C-101B-9397-08002B2CF9AE}" pid="7" name="MSIP_Label_78080e56-8894-418a-9b19-f357e77b996f_ActionId">
    <vt:lpwstr>0a32757c-47c4-4949-90c3-637a5e65fde2</vt:lpwstr>
  </property>
  <property fmtid="{D5CDD505-2E9C-101B-9397-08002B2CF9AE}" pid="8" name="MSIP_Label_78080e56-8894-418a-9b19-f357e77b996f_ContentBits">
    <vt:lpwstr>2</vt:lpwstr>
  </property>
</Properties>
</file>