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3B239815" w14:textId="3F76E903" w:rsidR="00AA23EC" w:rsidRDefault="00DD466D" w:rsidP="00DD466D">
      <w:pPr>
        <w:pStyle w:val="Heading1"/>
      </w:pPr>
      <w:r>
        <w:t>1.ИМЕ НА ЛЕКАРСТВЕНИЯ ПРОДУКТ</w:t>
      </w:r>
    </w:p>
    <w:p w14:paraId="4FD5E650" w14:textId="5BF17D2D" w:rsidR="0071381F" w:rsidRDefault="0071381F" w:rsidP="0071381F"/>
    <w:p w14:paraId="342930F3" w14:textId="77777777" w:rsidR="0071381F" w:rsidRPr="0071381F" w:rsidRDefault="0071381F" w:rsidP="0071381F">
      <w:pPr>
        <w:rPr>
          <w:sz w:val="24"/>
          <w:szCs w:val="24"/>
          <w:lang w:val="en-US"/>
        </w:rPr>
      </w:pPr>
      <w:r w:rsidRPr="0071381F">
        <w:rPr>
          <w:lang w:eastAsia="bg-BG"/>
        </w:rPr>
        <w:t xml:space="preserve">Метизол 5 </w:t>
      </w:r>
      <w:r w:rsidRPr="0071381F">
        <w:rPr>
          <w:lang w:val="en-US"/>
        </w:rPr>
        <w:t xml:space="preserve">mg </w:t>
      </w:r>
      <w:r w:rsidRPr="0071381F">
        <w:rPr>
          <w:lang w:eastAsia="bg-BG"/>
        </w:rPr>
        <w:t>таблетки</w:t>
      </w:r>
    </w:p>
    <w:p w14:paraId="5A5C19B0" w14:textId="2B47A309" w:rsidR="0071381F" w:rsidRPr="0071381F" w:rsidRDefault="0071381F" w:rsidP="0071381F">
      <w:proofErr w:type="spellStart"/>
      <w:r w:rsidRPr="0071381F">
        <w:rPr>
          <w:lang w:val="en-US"/>
        </w:rPr>
        <w:t>Metizol</w:t>
      </w:r>
      <w:proofErr w:type="spellEnd"/>
      <w:r w:rsidRPr="0071381F">
        <w:rPr>
          <w:lang w:val="en-US"/>
        </w:rPr>
        <w:t xml:space="preserve"> </w:t>
      </w:r>
      <w:r w:rsidRPr="0071381F">
        <w:rPr>
          <w:lang w:eastAsia="bg-BG"/>
        </w:rPr>
        <w:t xml:space="preserve">5 </w:t>
      </w:r>
      <w:r w:rsidRPr="0071381F">
        <w:rPr>
          <w:lang w:val="en-US"/>
        </w:rPr>
        <w:t>mg tablets</w:t>
      </w:r>
    </w:p>
    <w:p w14:paraId="0A368469" w14:textId="7646520E" w:rsidR="00C0049F" w:rsidRDefault="00DD466D" w:rsidP="009F1313">
      <w:pPr>
        <w:pStyle w:val="Heading1"/>
      </w:pPr>
      <w:r>
        <w:t>2. КАЧЕСТВЕН И КОЛИЧЕСТВЕН СЪСТАВ</w:t>
      </w:r>
    </w:p>
    <w:p w14:paraId="02C6CF5D" w14:textId="200DC208" w:rsidR="0071381F" w:rsidRDefault="0071381F" w:rsidP="0071381F"/>
    <w:p w14:paraId="3A431BA7" w14:textId="77777777" w:rsidR="0071381F" w:rsidRPr="0071381F" w:rsidRDefault="0071381F" w:rsidP="0071381F">
      <w:pPr>
        <w:rPr>
          <w:sz w:val="24"/>
          <w:szCs w:val="24"/>
        </w:rPr>
      </w:pPr>
      <w:r w:rsidRPr="0071381F">
        <w:rPr>
          <w:lang w:eastAsia="bg-BG"/>
        </w:rPr>
        <w:t xml:space="preserve">Една таблетка съдържа 5 </w:t>
      </w:r>
      <w:r w:rsidRPr="0071381F">
        <w:rPr>
          <w:lang w:val="en-US"/>
        </w:rPr>
        <w:t>mg</w:t>
      </w:r>
      <w:r w:rsidRPr="0071381F">
        <w:t xml:space="preserve"> </w:t>
      </w:r>
      <w:r w:rsidRPr="0071381F">
        <w:rPr>
          <w:lang w:eastAsia="bg-BG"/>
        </w:rPr>
        <w:t xml:space="preserve">тиамазол </w:t>
      </w:r>
      <w:r w:rsidRPr="0071381F">
        <w:rPr>
          <w:i/>
          <w:iCs/>
        </w:rPr>
        <w:t>(</w:t>
      </w:r>
      <w:proofErr w:type="spellStart"/>
      <w:r w:rsidRPr="0071381F">
        <w:rPr>
          <w:i/>
          <w:iCs/>
          <w:lang w:val="en-US"/>
        </w:rPr>
        <w:t>Thiamazole</w:t>
      </w:r>
      <w:proofErr w:type="spellEnd"/>
      <w:r w:rsidRPr="0071381F">
        <w:rPr>
          <w:i/>
          <w:iCs/>
        </w:rPr>
        <w:t>).</w:t>
      </w:r>
    </w:p>
    <w:p w14:paraId="3B88B979" w14:textId="77777777" w:rsidR="0071381F" w:rsidRPr="0071381F" w:rsidRDefault="0071381F" w:rsidP="0071381F">
      <w:pPr>
        <w:rPr>
          <w:sz w:val="24"/>
          <w:szCs w:val="24"/>
        </w:rPr>
      </w:pPr>
      <w:r w:rsidRPr="0071381F">
        <w:rPr>
          <w:lang w:eastAsia="bg-BG"/>
        </w:rPr>
        <w:t xml:space="preserve">Помощно вещество: лактоза монохидрат 94 </w:t>
      </w:r>
      <w:r w:rsidRPr="0071381F">
        <w:rPr>
          <w:lang w:val="en-US"/>
        </w:rPr>
        <w:t>mg</w:t>
      </w:r>
      <w:r w:rsidRPr="0071381F">
        <w:rPr>
          <w:lang w:val="ru-RU"/>
        </w:rPr>
        <w:t>.</w:t>
      </w:r>
    </w:p>
    <w:p w14:paraId="4AD97CEF" w14:textId="77777777" w:rsidR="0071381F" w:rsidRPr="0071381F" w:rsidRDefault="0071381F" w:rsidP="0071381F"/>
    <w:p w14:paraId="614984C4" w14:textId="07402EB4" w:rsidR="008A6AF2" w:rsidRDefault="00DD466D" w:rsidP="002C50EE">
      <w:pPr>
        <w:pStyle w:val="Heading1"/>
      </w:pPr>
      <w:r>
        <w:t>3. ЛЕКАРСТВЕНА ФОРМА</w:t>
      </w:r>
    </w:p>
    <w:p w14:paraId="444C5767" w14:textId="3FC1E41C" w:rsidR="0071381F" w:rsidRDefault="0071381F" w:rsidP="0071381F"/>
    <w:p w14:paraId="5860D496" w14:textId="77777777" w:rsidR="0071381F" w:rsidRPr="0071381F" w:rsidRDefault="0071381F" w:rsidP="0071381F">
      <w:pPr>
        <w:rPr>
          <w:sz w:val="24"/>
          <w:szCs w:val="24"/>
        </w:rPr>
      </w:pPr>
      <w:r w:rsidRPr="0071381F">
        <w:rPr>
          <w:lang w:eastAsia="bg-BG"/>
        </w:rPr>
        <w:t>Таблетки.</w:t>
      </w:r>
    </w:p>
    <w:p w14:paraId="0C58C9E9" w14:textId="15C85B8E" w:rsidR="0071381F" w:rsidRPr="0071381F" w:rsidRDefault="0071381F" w:rsidP="0071381F">
      <w:r w:rsidRPr="0071381F">
        <w:rPr>
          <w:lang w:eastAsia="bg-BG"/>
        </w:rPr>
        <w:t>Бели, кръгли, плоски таблетки, без мирис, с надпис „М” от едната страна.</w:t>
      </w:r>
    </w:p>
    <w:p w14:paraId="490FC2C4" w14:textId="32682B15" w:rsidR="002C50EE" w:rsidRDefault="002C50EE" w:rsidP="002C50EE">
      <w:pPr>
        <w:pStyle w:val="Heading1"/>
      </w:pPr>
      <w:r>
        <w:t>4. КЛИНИЧНИ ДАННИ</w:t>
      </w:r>
    </w:p>
    <w:p w14:paraId="754A29C8" w14:textId="34304510" w:rsidR="00C0049F" w:rsidRDefault="002C50EE" w:rsidP="009F1313">
      <w:pPr>
        <w:pStyle w:val="Heading2"/>
      </w:pPr>
      <w:r>
        <w:t>4.1. Терапевтични показания</w:t>
      </w:r>
    </w:p>
    <w:p w14:paraId="1A864943" w14:textId="426D20FD" w:rsidR="00395555" w:rsidRDefault="00395555" w:rsidP="00395555"/>
    <w:p w14:paraId="2E5FB13E" w14:textId="77777777" w:rsidR="0071381F" w:rsidRPr="0071381F" w:rsidRDefault="0071381F" w:rsidP="0071381F">
      <w:pPr>
        <w:rPr>
          <w:sz w:val="24"/>
          <w:szCs w:val="24"/>
        </w:rPr>
      </w:pPr>
      <w:r w:rsidRPr="0071381F">
        <w:rPr>
          <w:lang w:eastAsia="bg-BG"/>
        </w:rPr>
        <w:t>Хипертиреоидизъм.</w:t>
      </w:r>
    </w:p>
    <w:p w14:paraId="281F7423" w14:textId="77777777" w:rsidR="0071381F" w:rsidRPr="0071381F" w:rsidRDefault="0071381F" w:rsidP="0071381F">
      <w:pPr>
        <w:rPr>
          <w:sz w:val="24"/>
          <w:szCs w:val="24"/>
        </w:rPr>
      </w:pPr>
      <w:r w:rsidRPr="0071381F">
        <w:rPr>
          <w:lang w:eastAsia="bg-BG"/>
        </w:rPr>
        <w:t>Тиреоидна криза.</w:t>
      </w:r>
    </w:p>
    <w:p w14:paraId="59B729AC" w14:textId="77777777" w:rsidR="0071381F" w:rsidRPr="0071381F" w:rsidRDefault="0071381F" w:rsidP="0071381F">
      <w:pPr>
        <w:rPr>
          <w:sz w:val="24"/>
          <w:szCs w:val="24"/>
        </w:rPr>
      </w:pPr>
      <w:r w:rsidRPr="0071381F">
        <w:rPr>
          <w:lang w:eastAsia="bg-BG"/>
        </w:rPr>
        <w:t>Подготовка за тиреоидектомия.</w:t>
      </w:r>
    </w:p>
    <w:p w14:paraId="6F9771E8" w14:textId="3AB5DFA4" w:rsidR="0071381F" w:rsidRDefault="0071381F" w:rsidP="0071381F">
      <w:pPr>
        <w:rPr>
          <w:lang w:eastAsia="bg-BG"/>
        </w:rPr>
      </w:pPr>
      <w:r w:rsidRPr="0071381F">
        <w:rPr>
          <w:lang w:eastAsia="bg-BG"/>
        </w:rPr>
        <w:t>Помощна терапия при пациенти, лекувани с радиоактивен йод.</w:t>
      </w:r>
    </w:p>
    <w:p w14:paraId="6E51700A" w14:textId="77777777" w:rsidR="0071381F" w:rsidRPr="00395555" w:rsidRDefault="0071381F" w:rsidP="0071381F"/>
    <w:p w14:paraId="7C0CA5EB" w14:textId="7509B1EA" w:rsidR="00C0049F" w:rsidRDefault="002C50EE" w:rsidP="009F1313">
      <w:pPr>
        <w:pStyle w:val="Heading2"/>
      </w:pPr>
      <w:r>
        <w:t>4.2. Дозировка и начин на приложение</w:t>
      </w:r>
    </w:p>
    <w:p w14:paraId="0FFB6748" w14:textId="45442B31" w:rsidR="0071381F" w:rsidRDefault="0071381F" w:rsidP="0071381F"/>
    <w:p w14:paraId="29A90B7D" w14:textId="77777777" w:rsidR="0071381F" w:rsidRPr="0071381F" w:rsidRDefault="0071381F" w:rsidP="0071381F">
      <w:pPr>
        <w:spacing w:line="240" w:lineRule="auto"/>
        <w:rPr>
          <w:rFonts w:eastAsia="Times New Roman" w:cs="Arial"/>
          <w:sz w:val="24"/>
          <w:szCs w:val="24"/>
        </w:rPr>
      </w:pPr>
      <w:r w:rsidRPr="0071381F">
        <w:rPr>
          <w:rFonts w:eastAsia="Times New Roman" w:cs="Arial"/>
          <w:color w:val="000000"/>
          <w:lang w:eastAsia="bg-BG"/>
        </w:rPr>
        <w:t>Дозата се определя индивидуално за всеки пациент и зависи от големината на гушата и силата на хипертиреоидизма.</w:t>
      </w:r>
    </w:p>
    <w:p w14:paraId="44BE1E6A" w14:textId="77777777" w:rsidR="0071381F" w:rsidRPr="0071381F" w:rsidRDefault="0071381F" w:rsidP="0071381F">
      <w:pPr>
        <w:spacing w:line="240" w:lineRule="auto"/>
        <w:rPr>
          <w:rFonts w:eastAsia="Times New Roman" w:cs="Arial"/>
          <w:color w:val="000000"/>
          <w:u w:val="single"/>
          <w:lang w:eastAsia="bg-BG"/>
        </w:rPr>
      </w:pPr>
    </w:p>
    <w:p w14:paraId="552A88DC" w14:textId="3725EB3C" w:rsidR="0071381F" w:rsidRPr="0071381F" w:rsidRDefault="0071381F" w:rsidP="0071381F">
      <w:pPr>
        <w:spacing w:line="240" w:lineRule="auto"/>
        <w:rPr>
          <w:rFonts w:eastAsia="Times New Roman" w:cs="Arial"/>
          <w:sz w:val="24"/>
          <w:szCs w:val="24"/>
        </w:rPr>
      </w:pPr>
      <w:r w:rsidRPr="0071381F">
        <w:rPr>
          <w:rFonts w:eastAsia="Times New Roman" w:cs="Arial"/>
          <w:color w:val="000000"/>
          <w:u w:val="single"/>
          <w:lang w:eastAsia="bg-BG"/>
        </w:rPr>
        <w:t>Възрастни</w:t>
      </w:r>
    </w:p>
    <w:p w14:paraId="602818C1" w14:textId="77777777" w:rsidR="0071381F" w:rsidRPr="0071381F" w:rsidRDefault="0071381F" w:rsidP="0071381F">
      <w:pPr>
        <w:spacing w:line="240" w:lineRule="auto"/>
        <w:rPr>
          <w:rFonts w:eastAsia="Times New Roman" w:cs="Arial"/>
          <w:color w:val="000000"/>
          <w:lang w:eastAsia="bg-BG"/>
        </w:rPr>
      </w:pPr>
    </w:p>
    <w:p w14:paraId="5BD14094" w14:textId="1AB9ACD5" w:rsidR="0071381F" w:rsidRPr="0071381F" w:rsidRDefault="0071381F" w:rsidP="0071381F">
      <w:pPr>
        <w:spacing w:line="240" w:lineRule="auto"/>
        <w:rPr>
          <w:rFonts w:eastAsia="Times New Roman" w:cs="Arial"/>
          <w:sz w:val="24"/>
          <w:szCs w:val="24"/>
        </w:rPr>
      </w:pPr>
      <w:r w:rsidRPr="0071381F">
        <w:rPr>
          <w:rFonts w:eastAsia="Times New Roman" w:cs="Arial"/>
          <w:color w:val="000000"/>
          <w:lang w:eastAsia="bg-BG"/>
        </w:rPr>
        <w:t xml:space="preserve">Обикновено, първоначалната дневна доза е 10-40 </w:t>
      </w:r>
      <w:r w:rsidRPr="0071381F">
        <w:rPr>
          <w:rFonts w:eastAsia="Times New Roman" w:cs="Arial"/>
          <w:color w:val="000000"/>
          <w:lang w:val="en-US"/>
        </w:rPr>
        <w:t>mg</w:t>
      </w:r>
      <w:r w:rsidRPr="0071381F">
        <w:rPr>
          <w:rFonts w:eastAsia="Times New Roman" w:cs="Arial"/>
          <w:color w:val="000000"/>
          <w:lang w:val="ru-RU"/>
        </w:rPr>
        <w:t xml:space="preserve"> </w:t>
      </w:r>
      <w:r w:rsidRPr="0071381F">
        <w:rPr>
          <w:rFonts w:eastAsia="Times New Roman" w:cs="Arial"/>
          <w:color w:val="000000"/>
          <w:lang w:eastAsia="bg-BG"/>
        </w:rPr>
        <w:t>(в зависимост от тежестта на заболяването и приема на йод). Дозировката трябва да бъде индивидуална в зависимост от метаболитното състояние на пациента, оценено на базата на промените в нивата на тиреоидните хормони.</w:t>
      </w:r>
    </w:p>
    <w:p w14:paraId="7A2C90BD" w14:textId="77777777" w:rsidR="0071381F" w:rsidRPr="0071381F" w:rsidRDefault="0071381F" w:rsidP="0071381F">
      <w:pPr>
        <w:spacing w:line="240" w:lineRule="auto"/>
        <w:rPr>
          <w:rFonts w:eastAsia="Times New Roman" w:cs="Arial"/>
          <w:color w:val="000000"/>
          <w:lang w:eastAsia="bg-BG"/>
        </w:rPr>
      </w:pPr>
    </w:p>
    <w:p w14:paraId="05A753BF" w14:textId="4DEC37FC" w:rsidR="0071381F" w:rsidRPr="0071381F" w:rsidRDefault="0071381F" w:rsidP="0071381F">
      <w:pPr>
        <w:spacing w:line="240" w:lineRule="auto"/>
        <w:rPr>
          <w:rFonts w:eastAsia="Times New Roman" w:cs="Arial"/>
          <w:sz w:val="24"/>
          <w:szCs w:val="24"/>
        </w:rPr>
      </w:pPr>
      <w:r w:rsidRPr="0071381F">
        <w:rPr>
          <w:rFonts w:eastAsia="Times New Roman" w:cs="Arial"/>
          <w:color w:val="000000"/>
          <w:lang w:eastAsia="bg-BG"/>
        </w:rPr>
        <w:t xml:space="preserve">При поддържаща терапия, препоръчителната дневна доза е 5-20 </w:t>
      </w:r>
      <w:r w:rsidRPr="0071381F">
        <w:rPr>
          <w:rFonts w:eastAsia="Times New Roman" w:cs="Arial"/>
          <w:color w:val="000000"/>
          <w:lang w:val="en-US"/>
        </w:rPr>
        <w:t>mg</w:t>
      </w:r>
      <w:r w:rsidRPr="0071381F">
        <w:rPr>
          <w:rFonts w:eastAsia="Times New Roman" w:cs="Arial"/>
          <w:color w:val="000000"/>
          <w:lang w:val="ru-RU"/>
        </w:rPr>
        <w:t xml:space="preserve"> </w:t>
      </w:r>
      <w:r w:rsidRPr="0071381F">
        <w:rPr>
          <w:rFonts w:eastAsia="Times New Roman" w:cs="Arial"/>
          <w:color w:val="000000"/>
          <w:lang w:eastAsia="bg-BG"/>
        </w:rPr>
        <w:t xml:space="preserve">в комбинация с левотироксин или 2,5-10 </w:t>
      </w:r>
      <w:r w:rsidRPr="0071381F">
        <w:rPr>
          <w:rFonts w:eastAsia="Times New Roman" w:cs="Arial"/>
          <w:color w:val="000000"/>
          <w:lang w:val="en-US"/>
        </w:rPr>
        <w:t>mg</w:t>
      </w:r>
      <w:r w:rsidRPr="0071381F">
        <w:rPr>
          <w:rFonts w:eastAsia="Times New Roman" w:cs="Arial"/>
          <w:color w:val="000000"/>
          <w:lang w:val="ru-RU"/>
        </w:rPr>
        <w:t xml:space="preserve"> </w:t>
      </w:r>
      <w:r w:rsidRPr="0071381F">
        <w:rPr>
          <w:rFonts w:eastAsia="Times New Roman" w:cs="Arial"/>
          <w:color w:val="000000"/>
          <w:lang w:eastAsia="bg-BG"/>
        </w:rPr>
        <w:t>дневно като монотерапия. При хипертиреоидизъм, предизвикан от йод, може да се използват по-високи дози.</w:t>
      </w:r>
    </w:p>
    <w:p w14:paraId="71B84CAA" w14:textId="77777777" w:rsidR="0071381F" w:rsidRPr="0071381F" w:rsidRDefault="0071381F" w:rsidP="0071381F">
      <w:pPr>
        <w:spacing w:line="240" w:lineRule="auto"/>
        <w:rPr>
          <w:rFonts w:eastAsia="Times New Roman" w:cs="Arial"/>
          <w:i/>
          <w:iCs/>
          <w:color w:val="000000"/>
          <w:lang w:eastAsia="bg-BG"/>
        </w:rPr>
      </w:pPr>
    </w:p>
    <w:p w14:paraId="7F448207" w14:textId="4CA1AEB6" w:rsidR="0071381F" w:rsidRPr="0071381F" w:rsidRDefault="0071381F" w:rsidP="0071381F">
      <w:pPr>
        <w:spacing w:line="240" w:lineRule="auto"/>
        <w:rPr>
          <w:rFonts w:eastAsia="Times New Roman" w:cs="Arial"/>
          <w:sz w:val="24"/>
          <w:szCs w:val="24"/>
        </w:rPr>
      </w:pPr>
      <w:r w:rsidRPr="0071381F">
        <w:rPr>
          <w:rFonts w:eastAsia="Times New Roman" w:cs="Arial"/>
          <w:i/>
          <w:iCs/>
          <w:color w:val="000000"/>
          <w:lang w:eastAsia="bg-BG"/>
        </w:rPr>
        <w:t>Педиатрична популация</w:t>
      </w:r>
    </w:p>
    <w:p w14:paraId="023D36DD" w14:textId="77777777" w:rsidR="0071381F" w:rsidRPr="0071381F" w:rsidRDefault="0071381F" w:rsidP="0071381F">
      <w:pPr>
        <w:spacing w:line="240" w:lineRule="auto"/>
        <w:rPr>
          <w:rFonts w:eastAsia="Times New Roman" w:cs="Arial"/>
          <w:sz w:val="24"/>
          <w:szCs w:val="24"/>
        </w:rPr>
      </w:pPr>
      <w:r w:rsidRPr="0071381F">
        <w:rPr>
          <w:rFonts w:eastAsia="Times New Roman" w:cs="Arial"/>
          <w:b/>
          <w:bCs/>
          <w:color w:val="000000"/>
          <w:lang w:eastAsia="bg-BG"/>
        </w:rPr>
        <w:t>Употреба при деца и юноши (от 3 до 17 години)</w:t>
      </w:r>
    </w:p>
    <w:p w14:paraId="37B5A0F2" w14:textId="77777777" w:rsidR="0071381F" w:rsidRPr="0071381F" w:rsidRDefault="0071381F" w:rsidP="0071381F">
      <w:pPr>
        <w:spacing w:line="240" w:lineRule="auto"/>
        <w:rPr>
          <w:rFonts w:eastAsia="Times New Roman" w:cs="Arial"/>
          <w:color w:val="000000"/>
          <w:lang w:eastAsia="bg-BG"/>
        </w:rPr>
      </w:pPr>
    </w:p>
    <w:p w14:paraId="016E7A8E" w14:textId="4661F9B6" w:rsidR="0071381F" w:rsidRPr="0071381F" w:rsidRDefault="0071381F" w:rsidP="0071381F">
      <w:pPr>
        <w:spacing w:line="240" w:lineRule="auto"/>
        <w:rPr>
          <w:rFonts w:eastAsia="Times New Roman" w:cs="Arial"/>
          <w:sz w:val="24"/>
          <w:szCs w:val="24"/>
        </w:rPr>
      </w:pPr>
      <w:r w:rsidRPr="0071381F">
        <w:rPr>
          <w:rFonts w:eastAsia="Times New Roman" w:cs="Arial"/>
          <w:color w:val="000000"/>
          <w:lang w:eastAsia="bg-BG"/>
        </w:rPr>
        <w:lastRenderedPageBreak/>
        <w:t xml:space="preserve">Началната дозировка при лечение на деца и юноши над 3 годишна възраст трябва да се определи спрямо теглото на пациента. Обикновено,първоначалната препоръчителна доза е 0,5 </w:t>
      </w:r>
      <w:r w:rsidRPr="0071381F">
        <w:rPr>
          <w:rFonts w:eastAsia="Times New Roman" w:cs="Arial"/>
          <w:color w:val="000000"/>
          <w:lang w:val="en-US"/>
        </w:rPr>
        <w:t>mg</w:t>
      </w:r>
      <w:r w:rsidRPr="0071381F">
        <w:rPr>
          <w:rFonts w:eastAsia="Times New Roman" w:cs="Arial"/>
          <w:color w:val="000000"/>
          <w:lang w:val="ru-RU"/>
        </w:rPr>
        <w:t>/</w:t>
      </w:r>
      <w:r w:rsidRPr="0071381F">
        <w:rPr>
          <w:rFonts w:eastAsia="Times New Roman" w:cs="Arial"/>
          <w:color w:val="000000"/>
          <w:lang w:val="en-US"/>
        </w:rPr>
        <w:t>kg</w:t>
      </w:r>
      <w:r w:rsidRPr="0071381F">
        <w:rPr>
          <w:rFonts w:eastAsia="Times New Roman" w:cs="Arial"/>
          <w:color w:val="000000"/>
          <w:lang w:val="ru-RU"/>
        </w:rPr>
        <w:t xml:space="preserve"> </w:t>
      </w:r>
      <w:r w:rsidRPr="0071381F">
        <w:rPr>
          <w:rFonts w:eastAsia="Times New Roman" w:cs="Arial"/>
          <w:color w:val="000000"/>
          <w:lang w:eastAsia="bg-BG"/>
        </w:rPr>
        <w:t>на ден, разделена на 2 или 3 равни приема на ден. За поддържаща терапия, дневната доза може да се намали в зависимост от отговора на пациента към лечението. Допълнително лечение с левотироксин може да е необходимо, за да се избегне хипертиреоид</w:t>
      </w:r>
    </w:p>
    <w:p w14:paraId="374C90B9" w14:textId="77777777" w:rsidR="0071381F" w:rsidRPr="0071381F" w:rsidRDefault="0071381F" w:rsidP="0071381F">
      <w:pPr>
        <w:rPr>
          <w:rFonts w:eastAsia="Times New Roman" w:cs="Arial"/>
          <w:color w:val="000000"/>
          <w:lang w:eastAsia="bg-BG"/>
        </w:rPr>
      </w:pPr>
    </w:p>
    <w:p w14:paraId="6339BE81" w14:textId="6EEDE3E4" w:rsidR="0071381F" w:rsidRPr="0071381F" w:rsidRDefault="0071381F" w:rsidP="0071381F">
      <w:pPr>
        <w:rPr>
          <w:rFonts w:eastAsia="Times New Roman" w:cs="Arial"/>
          <w:color w:val="000000"/>
          <w:lang w:val="ru-RU"/>
        </w:rPr>
      </w:pPr>
      <w:r w:rsidRPr="0071381F">
        <w:rPr>
          <w:rFonts w:eastAsia="Times New Roman" w:cs="Arial"/>
          <w:color w:val="000000"/>
          <w:lang w:eastAsia="bg-BG"/>
        </w:rPr>
        <w:t xml:space="preserve">Общата дневна доза не трябва да превишава 40 </w:t>
      </w:r>
      <w:r w:rsidRPr="0071381F">
        <w:rPr>
          <w:rFonts w:eastAsia="Times New Roman" w:cs="Arial"/>
          <w:color w:val="000000"/>
          <w:lang w:val="en-US"/>
        </w:rPr>
        <w:t>mg</w:t>
      </w:r>
      <w:r w:rsidRPr="0071381F">
        <w:rPr>
          <w:rFonts w:eastAsia="Times New Roman" w:cs="Arial"/>
          <w:color w:val="000000"/>
          <w:lang w:val="ru-RU"/>
        </w:rPr>
        <w:t>.</w:t>
      </w:r>
    </w:p>
    <w:p w14:paraId="2A5DE383" w14:textId="0F58DC75" w:rsidR="0071381F" w:rsidRPr="0071381F" w:rsidRDefault="0071381F" w:rsidP="0071381F">
      <w:pPr>
        <w:rPr>
          <w:rFonts w:eastAsia="Times New Roman" w:cs="Arial"/>
          <w:color w:val="000000"/>
          <w:lang w:val="ru-RU"/>
        </w:rPr>
      </w:pPr>
    </w:p>
    <w:p w14:paraId="62B7F15C" w14:textId="77777777" w:rsidR="0071381F" w:rsidRPr="0071381F" w:rsidRDefault="0071381F" w:rsidP="0071381F">
      <w:pPr>
        <w:spacing w:line="240" w:lineRule="auto"/>
        <w:rPr>
          <w:rFonts w:eastAsia="Times New Roman" w:cs="Arial"/>
          <w:sz w:val="24"/>
          <w:szCs w:val="24"/>
        </w:rPr>
      </w:pPr>
      <w:bookmarkStart w:id="1" w:name="bookmark0"/>
      <w:r w:rsidRPr="0071381F">
        <w:rPr>
          <w:rFonts w:eastAsia="Times New Roman" w:cs="Arial"/>
          <w:b/>
          <w:bCs/>
          <w:color w:val="000000"/>
          <w:lang w:eastAsia="bg-BG"/>
        </w:rPr>
        <w:t>Употребата при деца (на 2 години и по-малки).</w:t>
      </w:r>
      <w:bookmarkEnd w:id="1"/>
    </w:p>
    <w:p w14:paraId="1437D0CF" w14:textId="77777777" w:rsidR="0071381F" w:rsidRPr="0071381F" w:rsidRDefault="0071381F" w:rsidP="0071381F">
      <w:pPr>
        <w:spacing w:line="240" w:lineRule="auto"/>
        <w:rPr>
          <w:rFonts w:eastAsia="Times New Roman" w:cs="Arial"/>
          <w:color w:val="000000"/>
          <w:lang w:eastAsia="bg-BG"/>
        </w:rPr>
      </w:pPr>
    </w:p>
    <w:p w14:paraId="45B3447E" w14:textId="071A3A36" w:rsidR="0071381F" w:rsidRPr="0071381F" w:rsidRDefault="0071381F" w:rsidP="0071381F">
      <w:pPr>
        <w:spacing w:line="240" w:lineRule="auto"/>
        <w:rPr>
          <w:rFonts w:eastAsia="Times New Roman" w:cs="Arial"/>
          <w:sz w:val="24"/>
          <w:szCs w:val="24"/>
        </w:rPr>
      </w:pPr>
      <w:r w:rsidRPr="0071381F">
        <w:rPr>
          <w:rFonts w:eastAsia="Times New Roman" w:cs="Arial"/>
          <w:color w:val="000000"/>
          <w:lang w:eastAsia="bg-BG"/>
        </w:rPr>
        <w:t>Безопасността и ефикасността на тиамазол при деца на възраст под 2 години не са установени.</w:t>
      </w:r>
    </w:p>
    <w:p w14:paraId="09576919" w14:textId="77777777" w:rsidR="0071381F" w:rsidRPr="0071381F" w:rsidRDefault="0071381F" w:rsidP="0071381F">
      <w:pPr>
        <w:spacing w:line="240" w:lineRule="auto"/>
        <w:rPr>
          <w:rFonts w:eastAsia="Times New Roman" w:cs="Arial"/>
          <w:sz w:val="24"/>
          <w:szCs w:val="24"/>
        </w:rPr>
      </w:pPr>
      <w:r w:rsidRPr="0071381F">
        <w:rPr>
          <w:rFonts w:eastAsia="Times New Roman" w:cs="Arial"/>
          <w:color w:val="000000"/>
          <w:lang w:eastAsia="bg-BG"/>
        </w:rPr>
        <w:t>Употребата на тиамазол при деца под 2 годишна възраст не се препоръчва.</w:t>
      </w:r>
    </w:p>
    <w:p w14:paraId="706FABAF" w14:textId="77777777" w:rsidR="0071381F" w:rsidRPr="0071381F" w:rsidRDefault="0071381F" w:rsidP="0071381F">
      <w:pPr>
        <w:spacing w:line="240" w:lineRule="auto"/>
        <w:rPr>
          <w:rFonts w:eastAsia="Times New Roman" w:cs="Arial"/>
          <w:color w:val="000000"/>
          <w:lang w:eastAsia="bg-BG"/>
        </w:rPr>
      </w:pPr>
    </w:p>
    <w:p w14:paraId="796796F5" w14:textId="7923E0B0" w:rsidR="0071381F" w:rsidRPr="0071381F" w:rsidRDefault="0071381F" w:rsidP="0071381F">
      <w:pPr>
        <w:spacing w:line="240" w:lineRule="auto"/>
        <w:rPr>
          <w:rFonts w:eastAsia="Times New Roman" w:cs="Arial"/>
          <w:sz w:val="24"/>
          <w:szCs w:val="24"/>
        </w:rPr>
      </w:pPr>
      <w:r w:rsidRPr="0071381F">
        <w:rPr>
          <w:rFonts w:eastAsia="Times New Roman" w:cs="Arial"/>
          <w:color w:val="000000"/>
          <w:lang w:eastAsia="bg-BG"/>
        </w:rPr>
        <w:t>Медикаментозно лечение на хипертиреоидизъм обикновено продължава 1,5 години. Ако по никое време не се постигне подобрение, може да се приложи дългосрочно антитироидно лечение, като се използва най-малката доза, самостоятелно или в комбинация с ниски дози на левотироксин.</w:t>
      </w:r>
    </w:p>
    <w:p w14:paraId="19AF678A" w14:textId="77777777" w:rsidR="0071381F" w:rsidRPr="0071381F" w:rsidRDefault="0071381F" w:rsidP="0071381F">
      <w:pPr>
        <w:spacing w:line="240" w:lineRule="auto"/>
        <w:rPr>
          <w:rFonts w:eastAsia="Times New Roman" w:cs="Arial"/>
          <w:color w:val="000000"/>
          <w:lang w:eastAsia="bg-BG"/>
        </w:rPr>
      </w:pPr>
    </w:p>
    <w:p w14:paraId="16171BA9" w14:textId="0E1A154A" w:rsidR="0071381F" w:rsidRPr="0071381F" w:rsidRDefault="0071381F" w:rsidP="0071381F">
      <w:pPr>
        <w:spacing w:line="240" w:lineRule="auto"/>
        <w:rPr>
          <w:rFonts w:eastAsia="Times New Roman" w:cs="Arial"/>
          <w:sz w:val="24"/>
          <w:szCs w:val="24"/>
        </w:rPr>
      </w:pPr>
      <w:r w:rsidRPr="0071381F">
        <w:rPr>
          <w:rFonts w:eastAsia="Times New Roman" w:cs="Arial"/>
          <w:color w:val="000000"/>
          <w:lang w:eastAsia="bg-BG"/>
        </w:rPr>
        <w:t xml:space="preserve">При лечението на тиреоидна криза отначало лекарственият продукт, се приема в доза от 100 </w:t>
      </w:r>
      <w:r w:rsidRPr="0071381F">
        <w:rPr>
          <w:rFonts w:eastAsia="Times New Roman" w:cs="Arial"/>
          <w:color w:val="000000"/>
          <w:lang w:val="en-US"/>
        </w:rPr>
        <w:t>mg</w:t>
      </w:r>
      <w:r w:rsidRPr="0071381F">
        <w:rPr>
          <w:rFonts w:eastAsia="Times New Roman" w:cs="Arial"/>
          <w:color w:val="000000"/>
          <w:lang w:val="ru-RU"/>
        </w:rPr>
        <w:t xml:space="preserve">, </w:t>
      </w:r>
      <w:r w:rsidRPr="0071381F">
        <w:rPr>
          <w:rFonts w:eastAsia="Times New Roman" w:cs="Arial"/>
          <w:color w:val="000000"/>
          <w:lang w:eastAsia="bg-BG"/>
        </w:rPr>
        <w:t xml:space="preserve">а след това в доза от 30 </w:t>
      </w:r>
      <w:r w:rsidRPr="0071381F">
        <w:rPr>
          <w:rFonts w:eastAsia="Times New Roman" w:cs="Arial"/>
          <w:color w:val="000000"/>
          <w:lang w:val="en-US"/>
        </w:rPr>
        <w:t>mg</w:t>
      </w:r>
      <w:r w:rsidRPr="0071381F">
        <w:rPr>
          <w:rFonts w:eastAsia="Times New Roman" w:cs="Arial"/>
          <w:color w:val="000000"/>
          <w:lang w:val="ru-RU"/>
        </w:rPr>
        <w:t xml:space="preserve"> </w:t>
      </w:r>
      <w:r w:rsidRPr="0071381F">
        <w:rPr>
          <w:rFonts w:eastAsia="Times New Roman" w:cs="Arial"/>
          <w:color w:val="000000"/>
          <w:lang w:eastAsia="bg-BG"/>
        </w:rPr>
        <w:t>на всеки 8 часа.</w:t>
      </w:r>
    </w:p>
    <w:p w14:paraId="34ADE43F" w14:textId="77777777" w:rsidR="0071381F" w:rsidRPr="0071381F" w:rsidRDefault="0071381F" w:rsidP="0071381F">
      <w:pPr>
        <w:spacing w:line="240" w:lineRule="auto"/>
        <w:rPr>
          <w:rFonts w:eastAsia="Times New Roman" w:cs="Arial"/>
          <w:color w:val="000000"/>
          <w:lang w:eastAsia="bg-BG"/>
        </w:rPr>
      </w:pPr>
    </w:p>
    <w:p w14:paraId="0F8CD02E" w14:textId="14B9BDAA" w:rsidR="0071381F" w:rsidRPr="0071381F" w:rsidRDefault="0071381F" w:rsidP="0071381F">
      <w:pPr>
        <w:spacing w:line="240" w:lineRule="auto"/>
        <w:rPr>
          <w:rFonts w:eastAsia="Times New Roman" w:cs="Arial"/>
          <w:sz w:val="24"/>
          <w:szCs w:val="24"/>
        </w:rPr>
      </w:pPr>
      <w:r w:rsidRPr="0071381F">
        <w:rPr>
          <w:rFonts w:eastAsia="Times New Roman" w:cs="Arial"/>
          <w:color w:val="000000"/>
          <w:lang w:eastAsia="bg-BG"/>
        </w:rPr>
        <w:t>При подготовка за тиреоидектомия лекарственият продукт обикновено се използва 3-4 седмици преди операцията.</w:t>
      </w:r>
    </w:p>
    <w:p w14:paraId="2D32E64C" w14:textId="77777777" w:rsidR="0071381F" w:rsidRPr="0071381F" w:rsidRDefault="0071381F" w:rsidP="0071381F">
      <w:pPr>
        <w:spacing w:line="240" w:lineRule="auto"/>
        <w:rPr>
          <w:rFonts w:eastAsia="Times New Roman" w:cs="Arial"/>
          <w:b/>
          <w:bCs/>
          <w:color w:val="000000"/>
          <w:lang w:eastAsia="bg-BG"/>
        </w:rPr>
      </w:pPr>
      <w:bookmarkStart w:id="2" w:name="bookmark2"/>
    </w:p>
    <w:p w14:paraId="281B2784" w14:textId="4BB656F6" w:rsidR="0071381F" w:rsidRPr="0071381F" w:rsidRDefault="0071381F" w:rsidP="0071381F">
      <w:pPr>
        <w:spacing w:line="240" w:lineRule="auto"/>
        <w:rPr>
          <w:rFonts w:eastAsia="Times New Roman" w:cs="Arial"/>
          <w:sz w:val="24"/>
          <w:szCs w:val="24"/>
        </w:rPr>
      </w:pPr>
      <w:r w:rsidRPr="0071381F">
        <w:rPr>
          <w:rFonts w:eastAsia="Times New Roman" w:cs="Arial"/>
          <w:b/>
          <w:bCs/>
          <w:color w:val="000000"/>
          <w:lang w:eastAsia="bg-BG"/>
        </w:rPr>
        <w:t>Пациенти в старческа възраст</w:t>
      </w:r>
      <w:bookmarkEnd w:id="2"/>
    </w:p>
    <w:p w14:paraId="34C7AC46" w14:textId="77777777" w:rsidR="0071381F" w:rsidRPr="0071381F" w:rsidRDefault="0071381F" w:rsidP="0071381F">
      <w:pPr>
        <w:spacing w:line="240" w:lineRule="auto"/>
        <w:rPr>
          <w:rFonts w:eastAsia="Times New Roman" w:cs="Arial"/>
          <w:sz w:val="24"/>
          <w:szCs w:val="24"/>
        </w:rPr>
      </w:pPr>
      <w:r w:rsidRPr="0071381F">
        <w:rPr>
          <w:rFonts w:eastAsia="Times New Roman" w:cs="Arial"/>
          <w:color w:val="000000"/>
          <w:lang w:eastAsia="bg-BG"/>
        </w:rPr>
        <w:t>Не е необходимо дозата да се променя.</w:t>
      </w:r>
    </w:p>
    <w:p w14:paraId="0BB8CDA8" w14:textId="77777777" w:rsidR="0071381F" w:rsidRPr="0071381F" w:rsidRDefault="0071381F" w:rsidP="0071381F">
      <w:pPr>
        <w:spacing w:line="240" w:lineRule="auto"/>
        <w:rPr>
          <w:rFonts w:eastAsia="Times New Roman" w:cs="Arial"/>
          <w:b/>
          <w:bCs/>
          <w:color w:val="000000"/>
          <w:lang w:eastAsia="bg-BG"/>
        </w:rPr>
      </w:pPr>
      <w:bookmarkStart w:id="3" w:name="bookmark4"/>
    </w:p>
    <w:p w14:paraId="6B28D18B" w14:textId="4D247C13" w:rsidR="0071381F" w:rsidRPr="0071381F" w:rsidRDefault="0071381F" w:rsidP="0071381F">
      <w:pPr>
        <w:spacing w:line="240" w:lineRule="auto"/>
        <w:rPr>
          <w:rFonts w:eastAsia="Times New Roman" w:cs="Arial"/>
          <w:sz w:val="24"/>
          <w:szCs w:val="24"/>
        </w:rPr>
      </w:pPr>
      <w:r w:rsidRPr="0071381F">
        <w:rPr>
          <w:rFonts w:eastAsia="Times New Roman" w:cs="Arial"/>
          <w:b/>
          <w:bCs/>
          <w:color w:val="000000"/>
          <w:lang w:eastAsia="bg-BG"/>
        </w:rPr>
        <w:t>Пациенти с бъбречна недостатъчност</w:t>
      </w:r>
      <w:bookmarkEnd w:id="3"/>
    </w:p>
    <w:p w14:paraId="17FBB2B7" w14:textId="77777777" w:rsidR="0071381F" w:rsidRPr="0071381F" w:rsidRDefault="0071381F" w:rsidP="0071381F">
      <w:pPr>
        <w:spacing w:line="240" w:lineRule="auto"/>
        <w:rPr>
          <w:rFonts w:eastAsia="Times New Roman" w:cs="Arial"/>
          <w:sz w:val="24"/>
          <w:szCs w:val="24"/>
        </w:rPr>
      </w:pPr>
      <w:r w:rsidRPr="0071381F">
        <w:rPr>
          <w:rFonts w:eastAsia="Times New Roman" w:cs="Arial"/>
          <w:color w:val="000000"/>
          <w:lang w:eastAsia="bg-BG"/>
        </w:rPr>
        <w:t>Не е необходимо дозата да се променя.</w:t>
      </w:r>
    </w:p>
    <w:p w14:paraId="30DDEEF2" w14:textId="77777777" w:rsidR="0071381F" w:rsidRPr="0071381F" w:rsidRDefault="0071381F" w:rsidP="0071381F">
      <w:pPr>
        <w:spacing w:line="240" w:lineRule="auto"/>
        <w:rPr>
          <w:rFonts w:eastAsia="Times New Roman" w:cs="Arial"/>
          <w:b/>
          <w:bCs/>
          <w:color w:val="000000"/>
          <w:lang w:eastAsia="bg-BG"/>
        </w:rPr>
      </w:pPr>
      <w:bookmarkStart w:id="4" w:name="bookmark6"/>
    </w:p>
    <w:p w14:paraId="2E03DBA4" w14:textId="78CECEBC" w:rsidR="0071381F" w:rsidRPr="0071381F" w:rsidRDefault="0071381F" w:rsidP="0071381F">
      <w:pPr>
        <w:spacing w:line="240" w:lineRule="auto"/>
        <w:rPr>
          <w:rFonts w:eastAsia="Times New Roman" w:cs="Arial"/>
          <w:sz w:val="24"/>
          <w:szCs w:val="24"/>
        </w:rPr>
      </w:pPr>
      <w:r w:rsidRPr="0071381F">
        <w:rPr>
          <w:rFonts w:eastAsia="Times New Roman" w:cs="Arial"/>
          <w:b/>
          <w:bCs/>
          <w:color w:val="000000"/>
          <w:lang w:eastAsia="bg-BG"/>
        </w:rPr>
        <w:t>Пациенти с чернодробна недостатъчност</w:t>
      </w:r>
      <w:bookmarkEnd w:id="4"/>
    </w:p>
    <w:p w14:paraId="650DEF27" w14:textId="77777777" w:rsidR="0071381F" w:rsidRPr="0071381F" w:rsidRDefault="0071381F" w:rsidP="0071381F">
      <w:pPr>
        <w:spacing w:line="240" w:lineRule="auto"/>
        <w:rPr>
          <w:rFonts w:eastAsia="Times New Roman" w:cs="Arial"/>
          <w:sz w:val="24"/>
          <w:szCs w:val="24"/>
        </w:rPr>
      </w:pPr>
      <w:r w:rsidRPr="0071381F">
        <w:rPr>
          <w:rFonts w:eastAsia="Times New Roman" w:cs="Arial"/>
          <w:color w:val="000000"/>
          <w:lang w:eastAsia="bg-BG"/>
        </w:rPr>
        <w:t>Трябва да се използва най-ниската ефективна доза (виж т. 4.4)</w:t>
      </w:r>
    </w:p>
    <w:p w14:paraId="5F0E2069" w14:textId="77777777" w:rsidR="0071381F" w:rsidRPr="0071381F" w:rsidRDefault="0071381F" w:rsidP="0071381F">
      <w:pPr>
        <w:rPr>
          <w:rFonts w:ascii="Times New Roman" w:eastAsia="Times New Roman" w:hAnsi="Times New Roman" w:cs="Times New Roman"/>
          <w:color w:val="000000"/>
        </w:rPr>
      </w:pPr>
    </w:p>
    <w:p w14:paraId="62B13D0B" w14:textId="183E6792" w:rsidR="00395555" w:rsidRDefault="002C50EE" w:rsidP="008A6AF2">
      <w:pPr>
        <w:pStyle w:val="Heading2"/>
      </w:pPr>
      <w:r>
        <w:t>4.3. Противопоказания</w:t>
      </w:r>
    </w:p>
    <w:p w14:paraId="2D180643" w14:textId="0DB4F0FD" w:rsidR="0071381F" w:rsidRDefault="0071381F" w:rsidP="0071381F"/>
    <w:p w14:paraId="44A19D79" w14:textId="77777777" w:rsidR="0071381F" w:rsidRPr="0071381F" w:rsidRDefault="0071381F" w:rsidP="0071381F">
      <w:pPr>
        <w:rPr>
          <w:sz w:val="24"/>
          <w:szCs w:val="24"/>
        </w:rPr>
      </w:pPr>
      <w:r w:rsidRPr="0071381F">
        <w:rPr>
          <w:lang w:eastAsia="bg-BG"/>
        </w:rPr>
        <w:t>Свръхчувствителност към тиамазол, към други производни иа тионамид или към някое от помощните вещества (виж т. 6.1).</w:t>
      </w:r>
    </w:p>
    <w:p w14:paraId="0722F6F0" w14:textId="77777777" w:rsidR="0071381F" w:rsidRPr="0071381F" w:rsidRDefault="0071381F" w:rsidP="0071381F">
      <w:pPr>
        <w:rPr>
          <w:sz w:val="24"/>
          <w:szCs w:val="24"/>
        </w:rPr>
      </w:pPr>
      <w:r w:rsidRPr="0071381F">
        <w:rPr>
          <w:lang w:eastAsia="bg-BG"/>
        </w:rPr>
        <w:t>Умерени до тежки нарушения на кръвната картина (гранулоцитопения).</w:t>
      </w:r>
    </w:p>
    <w:p w14:paraId="63680FB4" w14:textId="77777777" w:rsidR="0071381F" w:rsidRPr="0071381F" w:rsidRDefault="0071381F" w:rsidP="0071381F">
      <w:pPr>
        <w:rPr>
          <w:sz w:val="24"/>
          <w:szCs w:val="24"/>
        </w:rPr>
      </w:pPr>
      <w:r w:rsidRPr="0071381F">
        <w:rPr>
          <w:lang w:eastAsia="bg-BG"/>
        </w:rPr>
        <w:t>Съществуваща холестаза, която не е в резултат на хипертиреоидизъм.</w:t>
      </w:r>
    </w:p>
    <w:p w14:paraId="2A2F6746" w14:textId="77777777" w:rsidR="0071381F" w:rsidRPr="0071381F" w:rsidRDefault="0071381F" w:rsidP="0071381F">
      <w:pPr>
        <w:rPr>
          <w:sz w:val="24"/>
          <w:szCs w:val="24"/>
        </w:rPr>
      </w:pPr>
      <w:r w:rsidRPr="0071381F">
        <w:rPr>
          <w:lang w:eastAsia="bg-BG"/>
        </w:rPr>
        <w:t>Предишно увреждане на костния мозък след лечение с тиамазол или карбимазол.</w:t>
      </w:r>
    </w:p>
    <w:p w14:paraId="7799BE12" w14:textId="77777777" w:rsidR="0071381F" w:rsidRPr="0071381F" w:rsidRDefault="0071381F" w:rsidP="0071381F">
      <w:pPr>
        <w:rPr>
          <w:sz w:val="24"/>
          <w:szCs w:val="24"/>
        </w:rPr>
      </w:pPr>
      <w:r w:rsidRPr="0071381F">
        <w:rPr>
          <w:lang w:eastAsia="bg-BG"/>
        </w:rPr>
        <w:t>Пациенти с анамнеза за остър панкреатит след приложение на тиамазол или неговото предлекарство карбимазол.</w:t>
      </w:r>
    </w:p>
    <w:p w14:paraId="601DA9FB" w14:textId="77777777" w:rsidR="0071381F" w:rsidRPr="0071381F" w:rsidRDefault="0071381F" w:rsidP="0071381F">
      <w:pPr>
        <w:rPr>
          <w:sz w:val="24"/>
          <w:szCs w:val="24"/>
        </w:rPr>
      </w:pPr>
      <w:r w:rsidRPr="0071381F">
        <w:rPr>
          <w:lang w:eastAsia="bg-BG"/>
        </w:rPr>
        <w:t>Комбинирана терапия с тиамазол и тиреоидни хормони е противопоказана при бременност (виж т. 4.6).</w:t>
      </w:r>
    </w:p>
    <w:p w14:paraId="718DD9AC" w14:textId="77777777" w:rsidR="0071381F" w:rsidRPr="0071381F" w:rsidRDefault="0071381F" w:rsidP="0071381F"/>
    <w:p w14:paraId="5A4AC413" w14:textId="6D0EDC52" w:rsidR="00395555" w:rsidRDefault="002C50EE" w:rsidP="008A6AF2">
      <w:pPr>
        <w:pStyle w:val="Heading2"/>
      </w:pPr>
      <w:r>
        <w:t>4.4. Специални предупреждения и предпазни мерки при употреба</w:t>
      </w:r>
    </w:p>
    <w:p w14:paraId="6E272355" w14:textId="6E83634B" w:rsidR="0071381F" w:rsidRDefault="0071381F" w:rsidP="0071381F"/>
    <w:p w14:paraId="5AA2A638" w14:textId="77777777" w:rsidR="0071381F" w:rsidRPr="0071381F" w:rsidRDefault="0071381F" w:rsidP="0071381F">
      <w:pPr>
        <w:spacing w:line="240" w:lineRule="auto"/>
        <w:rPr>
          <w:rFonts w:eastAsia="Times New Roman" w:cs="Arial"/>
          <w:sz w:val="24"/>
          <w:szCs w:val="24"/>
        </w:rPr>
      </w:pPr>
      <w:r w:rsidRPr="0071381F">
        <w:rPr>
          <w:rFonts w:eastAsia="Times New Roman" w:cs="Arial"/>
          <w:color w:val="000000"/>
          <w:u w:val="single"/>
          <w:lang w:eastAsia="bg-BG"/>
        </w:rPr>
        <w:lastRenderedPageBreak/>
        <w:t>Тирозол не трябва да бъде прилаган при пациенти с:</w:t>
      </w:r>
    </w:p>
    <w:p w14:paraId="2CCFA848" w14:textId="5F448769" w:rsidR="0071381F" w:rsidRPr="0071381F" w:rsidRDefault="0071381F" w:rsidP="0071381F">
      <w:pPr>
        <w:pStyle w:val="ListParagraph"/>
        <w:numPr>
          <w:ilvl w:val="0"/>
          <w:numId w:val="32"/>
        </w:numPr>
        <w:spacing w:line="240" w:lineRule="auto"/>
        <w:rPr>
          <w:rFonts w:eastAsia="Times New Roman" w:cs="Arial"/>
          <w:sz w:val="24"/>
          <w:szCs w:val="24"/>
        </w:rPr>
      </w:pPr>
      <w:r w:rsidRPr="0071381F">
        <w:rPr>
          <w:rFonts w:eastAsia="Times New Roman" w:cs="Arial"/>
          <w:color w:val="000000"/>
          <w:lang w:eastAsia="bg-BG"/>
        </w:rPr>
        <w:t>Анамнеза за леки реакции на свъхчувствителност (алергични обриви, пруритус).</w:t>
      </w:r>
    </w:p>
    <w:p w14:paraId="15ECED6E" w14:textId="77777777" w:rsidR="0071381F" w:rsidRDefault="0071381F" w:rsidP="0071381F">
      <w:pPr>
        <w:spacing w:line="240" w:lineRule="auto"/>
        <w:rPr>
          <w:rFonts w:eastAsia="Times New Roman" w:cs="Arial"/>
          <w:sz w:val="24"/>
          <w:szCs w:val="24"/>
        </w:rPr>
      </w:pPr>
      <w:r w:rsidRPr="0071381F">
        <w:rPr>
          <w:rFonts w:eastAsia="Times New Roman" w:cs="Arial"/>
          <w:color w:val="000000"/>
          <w:lang w:eastAsia="bg-BG"/>
        </w:rPr>
        <w:t>Тиамазол трябва да бъде прилаган само за краткосрочно лечение и под строг контрол при пациенти с:</w:t>
      </w:r>
    </w:p>
    <w:p w14:paraId="4A7E6DC6" w14:textId="769DEE40" w:rsidR="0071381F" w:rsidRPr="0071381F" w:rsidRDefault="0071381F" w:rsidP="0071381F">
      <w:pPr>
        <w:pStyle w:val="ListParagraph"/>
        <w:numPr>
          <w:ilvl w:val="0"/>
          <w:numId w:val="32"/>
        </w:numPr>
        <w:spacing w:line="240" w:lineRule="auto"/>
        <w:rPr>
          <w:rFonts w:eastAsia="Times New Roman" w:cs="Arial"/>
          <w:sz w:val="24"/>
          <w:szCs w:val="24"/>
        </w:rPr>
      </w:pPr>
      <w:r w:rsidRPr="0071381F">
        <w:rPr>
          <w:rFonts w:eastAsia="Times New Roman" w:cs="Arial"/>
          <w:color w:val="000000"/>
          <w:lang w:eastAsia="bg-BG"/>
        </w:rPr>
        <w:t>Големи гуши със стеснение на трахеята, поради риска от увеличение на гушата.</w:t>
      </w:r>
    </w:p>
    <w:p w14:paraId="027D34DA" w14:textId="77777777" w:rsidR="0071381F" w:rsidRPr="0071381F" w:rsidRDefault="0071381F" w:rsidP="0071381F">
      <w:pPr>
        <w:spacing w:line="240" w:lineRule="auto"/>
        <w:rPr>
          <w:rFonts w:eastAsia="Times New Roman" w:cs="Arial"/>
          <w:color w:val="000000"/>
          <w:lang w:eastAsia="bg-BG"/>
        </w:rPr>
      </w:pPr>
    </w:p>
    <w:p w14:paraId="6F462C8E" w14:textId="4D243E77" w:rsidR="0071381F" w:rsidRPr="0071381F" w:rsidRDefault="0071381F" w:rsidP="0071381F">
      <w:pPr>
        <w:spacing w:line="240" w:lineRule="auto"/>
        <w:rPr>
          <w:rFonts w:eastAsia="Times New Roman" w:cs="Arial"/>
          <w:sz w:val="24"/>
          <w:szCs w:val="24"/>
        </w:rPr>
      </w:pPr>
      <w:r w:rsidRPr="0071381F">
        <w:rPr>
          <w:rFonts w:eastAsia="Times New Roman" w:cs="Arial"/>
          <w:color w:val="000000"/>
          <w:lang w:eastAsia="bg-BG"/>
        </w:rPr>
        <w:t>Жените с детероден потенциал трябва да използват ефективни контрацептивни мерки по време на лечението.</w:t>
      </w:r>
    </w:p>
    <w:p w14:paraId="72282571" w14:textId="77777777" w:rsidR="0071381F" w:rsidRPr="0071381F" w:rsidRDefault="0071381F" w:rsidP="0071381F">
      <w:pPr>
        <w:spacing w:line="240" w:lineRule="auto"/>
        <w:rPr>
          <w:rFonts w:eastAsia="Times New Roman" w:cs="Arial"/>
          <w:sz w:val="24"/>
          <w:szCs w:val="24"/>
        </w:rPr>
      </w:pPr>
      <w:r w:rsidRPr="0071381F">
        <w:rPr>
          <w:rFonts w:eastAsia="Times New Roman" w:cs="Arial"/>
          <w:color w:val="000000"/>
          <w:lang w:eastAsia="bg-BG"/>
        </w:rPr>
        <w:t>Употребата на тиамазол при бременни жени трябва да се основава на индивидуалната оценка на съотношението полза/риск. Ако тиамазол се използва по време на бременност, трябва да се прилага най-ниската ефективна доза без допълнително приложение на тиреоидни хормони. Има основания за внимателно наблюдение на майката, фетуса и новороденото (вж. точка 4.6)</w:t>
      </w:r>
    </w:p>
    <w:p w14:paraId="023F3015" w14:textId="77777777" w:rsidR="0071381F" w:rsidRPr="0071381F" w:rsidRDefault="0071381F" w:rsidP="0071381F">
      <w:pPr>
        <w:rPr>
          <w:rFonts w:eastAsia="Times New Roman" w:cs="Arial"/>
          <w:color w:val="000000"/>
          <w:lang w:eastAsia="bg-BG"/>
        </w:rPr>
      </w:pPr>
    </w:p>
    <w:p w14:paraId="17A6D423" w14:textId="77777777" w:rsidR="0071381F" w:rsidRPr="0071381F" w:rsidRDefault="0071381F" w:rsidP="0071381F">
      <w:pPr>
        <w:rPr>
          <w:rFonts w:eastAsia="Times New Roman" w:cs="Arial"/>
          <w:sz w:val="24"/>
          <w:szCs w:val="24"/>
        </w:rPr>
      </w:pPr>
      <w:r w:rsidRPr="0071381F">
        <w:rPr>
          <w:rFonts w:eastAsia="Times New Roman" w:cs="Arial"/>
          <w:color w:val="000000"/>
          <w:lang w:eastAsia="bg-BG"/>
        </w:rPr>
        <w:t>Има постмаркетингови съобщения за остър панкреатит при пациенти, приемащи тиамазол или неговото предлекарство карбимазол. В случай на остър панкреатит тиамазол трябва незабавно да се спре. Тиамазол не трябва да се дава на пациенти с анамнеза за остър панкреатит след приложение на тиамазол или неговото предлекарство карбимазол. Повторната експозиция може да доведе до рецидив на остър панкреатит, с по-кратко време до началото му.</w:t>
      </w:r>
    </w:p>
    <w:p w14:paraId="674EDB40" w14:textId="77777777" w:rsidR="0071381F" w:rsidRPr="0071381F" w:rsidRDefault="0071381F" w:rsidP="0071381F">
      <w:pPr>
        <w:spacing w:line="240" w:lineRule="auto"/>
        <w:rPr>
          <w:rFonts w:eastAsia="Times New Roman" w:cs="Arial"/>
          <w:color w:val="000000"/>
          <w:lang w:eastAsia="bg-BG"/>
        </w:rPr>
      </w:pPr>
    </w:p>
    <w:p w14:paraId="7624FD28" w14:textId="7BF45431" w:rsidR="0071381F" w:rsidRPr="0071381F" w:rsidRDefault="0071381F" w:rsidP="0071381F">
      <w:pPr>
        <w:spacing w:line="240" w:lineRule="auto"/>
        <w:rPr>
          <w:rFonts w:eastAsia="Times New Roman" w:cs="Arial"/>
          <w:sz w:val="24"/>
          <w:szCs w:val="24"/>
        </w:rPr>
      </w:pPr>
      <w:r w:rsidRPr="0071381F">
        <w:rPr>
          <w:rFonts w:eastAsia="Times New Roman" w:cs="Arial"/>
          <w:color w:val="000000"/>
          <w:lang w:eastAsia="bg-BG"/>
        </w:rPr>
        <w:t>Съобщава се за поява на агранулоцитоза при около 0.3% до 0.6% от случаите и вниманието на пациентите трябва да бъде насочено към симптомите й (стоматит, фарингит, температура) преди началото на терапията. Агранулоцитоза обикновено се появява през първите седмици на лечението, но може да продължи и наколко месеца след началото на терапията, както и при възстановяването й. Препоръчва се редовно наблюдение на кръвната картина преди и след започване на терапията, по-специално в случаите на съществуваща умерена форма на гранулоцитопения.</w:t>
      </w:r>
    </w:p>
    <w:p w14:paraId="0410DB73" w14:textId="77777777" w:rsidR="0071381F" w:rsidRPr="0071381F" w:rsidRDefault="0071381F" w:rsidP="0071381F">
      <w:pPr>
        <w:spacing w:line="240" w:lineRule="auto"/>
        <w:rPr>
          <w:rFonts w:eastAsia="Times New Roman" w:cs="Arial"/>
          <w:sz w:val="24"/>
          <w:szCs w:val="24"/>
        </w:rPr>
      </w:pPr>
      <w:r w:rsidRPr="0071381F">
        <w:rPr>
          <w:rFonts w:eastAsia="Times New Roman" w:cs="Arial"/>
          <w:color w:val="000000"/>
          <w:lang w:eastAsia="bg-BG"/>
        </w:rPr>
        <w:t>В случай, че някои от тези симптоми са налице, особено по време на първите седмици от лечението, пациентите трябва да се посъветват незабавно да се свържат със своя лекар за провеждане на кръвни изследвания. Ако се потвърди поява на агранулоцитоза, е необходимо прекратяване приема на лекарствения продукт.</w:t>
      </w:r>
    </w:p>
    <w:p w14:paraId="365BD482" w14:textId="77777777" w:rsidR="0071381F" w:rsidRPr="0071381F" w:rsidRDefault="0071381F" w:rsidP="0071381F">
      <w:pPr>
        <w:spacing w:line="240" w:lineRule="auto"/>
        <w:rPr>
          <w:rFonts w:eastAsia="Times New Roman" w:cs="Arial"/>
          <w:color w:val="000000"/>
          <w:lang w:eastAsia="bg-BG"/>
        </w:rPr>
      </w:pPr>
    </w:p>
    <w:p w14:paraId="1D6DEF24" w14:textId="1D7BEDBB" w:rsidR="0071381F" w:rsidRPr="0071381F" w:rsidRDefault="0071381F" w:rsidP="0071381F">
      <w:pPr>
        <w:spacing w:line="240" w:lineRule="auto"/>
        <w:rPr>
          <w:rFonts w:eastAsia="Times New Roman" w:cs="Arial"/>
          <w:color w:val="000000"/>
          <w:lang w:eastAsia="bg-BG"/>
        </w:rPr>
      </w:pPr>
      <w:r w:rsidRPr="0071381F">
        <w:rPr>
          <w:rFonts w:eastAsia="Times New Roman" w:cs="Arial"/>
          <w:color w:val="000000"/>
          <w:lang w:eastAsia="bg-BG"/>
        </w:rPr>
        <w:t xml:space="preserve">Други миелотоксични нежелани лекарствени реакции се появяват рядко при препоръчаните дози. </w:t>
      </w:r>
    </w:p>
    <w:p w14:paraId="15BF7E42" w14:textId="66B3DE8F" w:rsidR="0071381F" w:rsidRPr="0071381F" w:rsidRDefault="0071381F" w:rsidP="0071381F">
      <w:pPr>
        <w:spacing w:line="240" w:lineRule="auto"/>
        <w:rPr>
          <w:rFonts w:eastAsia="Times New Roman" w:cs="Arial"/>
          <w:sz w:val="24"/>
          <w:szCs w:val="24"/>
        </w:rPr>
      </w:pPr>
      <w:r w:rsidRPr="0071381F">
        <w:rPr>
          <w:rFonts w:eastAsia="Times New Roman" w:cs="Arial"/>
          <w:color w:val="000000"/>
          <w:lang w:eastAsia="bg-BG"/>
        </w:rPr>
        <w:t xml:space="preserve">За тях се съобщава често във връзка с много високи дози тиамазол (около 120 </w:t>
      </w:r>
      <w:r w:rsidRPr="0071381F">
        <w:rPr>
          <w:rFonts w:eastAsia="Times New Roman" w:cs="Arial"/>
          <w:color w:val="000000"/>
          <w:lang w:val="en-US"/>
        </w:rPr>
        <w:t>mg</w:t>
      </w:r>
      <w:r w:rsidRPr="0071381F">
        <w:rPr>
          <w:rFonts w:eastAsia="Times New Roman" w:cs="Arial"/>
          <w:color w:val="000000"/>
          <w:lang w:val="ru-RU"/>
        </w:rPr>
        <w:t xml:space="preserve"> </w:t>
      </w:r>
      <w:r w:rsidRPr="0071381F">
        <w:rPr>
          <w:rFonts w:eastAsia="Times New Roman" w:cs="Arial"/>
          <w:color w:val="000000"/>
          <w:lang w:eastAsia="bg-BG"/>
        </w:rPr>
        <w:t>на ден). Тези дози трябва да се приемат при специални показания (тежки форми на заболяване, тиреотоксична криза). Появата на токсичност на костния мозък по време на лечение с тиамазол изисква прекъсване приема на лекарствения продукт и ако е необходимо преминаване към антитиреоиден лекарствен продукт от друга група.</w:t>
      </w:r>
    </w:p>
    <w:p w14:paraId="5570E2A6" w14:textId="77777777" w:rsidR="0071381F" w:rsidRPr="0071381F" w:rsidRDefault="0071381F" w:rsidP="0071381F">
      <w:pPr>
        <w:spacing w:line="240" w:lineRule="auto"/>
        <w:rPr>
          <w:rFonts w:eastAsia="Times New Roman" w:cs="Arial"/>
          <w:color w:val="000000"/>
          <w:lang w:eastAsia="bg-BG"/>
        </w:rPr>
      </w:pPr>
    </w:p>
    <w:p w14:paraId="6E5B5548" w14:textId="28E7889E" w:rsidR="0071381F" w:rsidRPr="0071381F" w:rsidRDefault="0071381F" w:rsidP="0071381F">
      <w:pPr>
        <w:spacing w:line="240" w:lineRule="auto"/>
        <w:rPr>
          <w:rFonts w:eastAsia="Times New Roman" w:cs="Arial"/>
          <w:sz w:val="24"/>
          <w:szCs w:val="24"/>
        </w:rPr>
      </w:pPr>
      <w:r w:rsidRPr="0071381F">
        <w:rPr>
          <w:rFonts w:eastAsia="Times New Roman" w:cs="Arial"/>
          <w:color w:val="000000"/>
          <w:lang w:eastAsia="bg-BG"/>
        </w:rPr>
        <w:t>Прекомерно високите дози могат да доведат до субклиничен или клиничен хипотиреоидизъм и увеличение на гушата, поради повишаване на тиреоид-стимулиращия хормон. Следователно дозата на тиамазола трябва да бъде намалена веднага след като бъде постигнато еутиреоидно метаболитно състояние и ако е необходимо трябва допълнително да бъде приложен левотироксин. Не е подходящо приемът на тиамазол да бъде изцяло прекратен и да се продължи само с левотироксин.</w:t>
      </w:r>
    </w:p>
    <w:p w14:paraId="6F3D9770" w14:textId="77777777" w:rsidR="0071381F" w:rsidRPr="0071381F" w:rsidRDefault="0071381F" w:rsidP="0071381F">
      <w:pPr>
        <w:spacing w:line="240" w:lineRule="auto"/>
        <w:rPr>
          <w:rFonts w:eastAsia="Times New Roman" w:cs="Arial"/>
          <w:color w:val="000000"/>
          <w:lang w:eastAsia="bg-BG"/>
        </w:rPr>
      </w:pPr>
    </w:p>
    <w:p w14:paraId="40E3AAE9" w14:textId="6B928678" w:rsidR="0071381F" w:rsidRPr="0071381F" w:rsidRDefault="0071381F" w:rsidP="0071381F">
      <w:pPr>
        <w:spacing w:line="240" w:lineRule="auto"/>
        <w:rPr>
          <w:rFonts w:eastAsia="Times New Roman" w:cs="Arial"/>
          <w:sz w:val="24"/>
          <w:szCs w:val="24"/>
        </w:rPr>
      </w:pPr>
      <w:r w:rsidRPr="0071381F">
        <w:rPr>
          <w:rFonts w:eastAsia="Times New Roman" w:cs="Arial"/>
          <w:color w:val="000000"/>
          <w:lang w:eastAsia="bg-BG"/>
        </w:rPr>
        <w:lastRenderedPageBreak/>
        <w:t>Увеличението на гушата при лечение с тиамазол, въпреки подтиснатия тиреоид-стимулиращ хормон, е в резултат на основното заболяване и не може да бъде предотвратено с допълнително лечение с левотироксин.</w:t>
      </w:r>
    </w:p>
    <w:p w14:paraId="08101216" w14:textId="77777777" w:rsidR="0071381F" w:rsidRPr="0071381F" w:rsidRDefault="0071381F" w:rsidP="0071381F">
      <w:pPr>
        <w:spacing w:line="240" w:lineRule="auto"/>
        <w:rPr>
          <w:rFonts w:eastAsia="Times New Roman" w:cs="Arial"/>
          <w:color w:val="000000"/>
          <w:lang w:eastAsia="bg-BG"/>
        </w:rPr>
      </w:pPr>
    </w:p>
    <w:p w14:paraId="79207AF1" w14:textId="1E6E49C0" w:rsidR="0071381F" w:rsidRPr="0071381F" w:rsidRDefault="0071381F" w:rsidP="0071381F">
      <w:pPr>
        <w:spacing w:line="240" w:lineRule="auto"/>
        <w:rPr>
          <w:rFonts w:eastAsia="Times New Roman" w:cs="Arial"/>
          <w:sz w:val="24"/>
          <w:szCs w:val="24"/>
        </w:rPr>
      </w:pPr>
      <w:r w:rsidRPr="0071381F">
        <w:rPr>
          <w:rFonts w:eastAsia="Times New Roman" w:cs="Arial"/>
          <w:color w:val="000000"/>
          <w:lang w:eastAsia="bg-BG"/>
        </w:rPr>
        <w:t>Достигането на нормални нива на тиреоид-стимулиращия хормон е задължително за минимизиране на риска от поява или влошаване на ендокринна орбитопатия. Все пак, това състояние е често независимо от развитието на тиреоидното заболяване. Такова усложнение не е причина за промяна на съответния лечебен режим и не трябва да бъде определяно като нежелана реакция на правилно проведената терапия.</w:t>
      </w:r>
    </w:p>
    <w:p w14:paraId="4C095E2A" w14:textId="77777777" w:rsidR="0071381F" w:rsidRPr="0071381F" w:rsidRDefault="0071381F" w:rsidP="0071381F">
      <w:pPr>
        <w:spacing w:line="240" w:lineRule="auto"/>
        <w:rPr>
          <w:rFonts w:eastAsia="Times New Roman" w:cs="Arial"/>
          <w:color w:val="000000"/>
          <w:lang w:eastAsia="bg-BG"/>
        </w:rPr>
      </w:pPr>
    </w:p>
    <w:p w14:paraId="6E1968A2" w14:textId="7297FE72" w:rsidR="0071381F" w:rsidRPr="0071381F" w:rsidRDefault="0071381F" w:rsidP="0071381F">
      <w:pPr>
        <w:spacing w:line="240" w:lineRule="auto"/>
        <w:rPr>
          <w:rFonts w:eastAsia="Times New Roman" w:cs="Arial"/>
          <w:sz w:val="24"/>
          <w:szCs w:val="24"/>
        </w:rPr>
      </w:pPr>
      <w:r w:rsidRPr="0071381F">
        <w:rPr>
          <w:rFonts w:eastAsia="Times New Roman" w:cs="Arial"/>
          <w:color w:val="000000"/>
          <w:lang w:eastAsia="bg-BG"/>
        </w:rPr>
        <w:t>В нисък процент от случаите късен хипотиреоидизъм може да се появи след антитиреоидна терапия, без допълнителни оперативни действия. Вероятно, това не е странична реакция към лекарствения продукт, но трябва да бъде определен като възпалителен и деструктивен процес в паренхима на тиреоидната жлеза, дължащи се на основното заболяване.</w:t>
      </w:r>
    </w:p>
    <w:p w14:paraId="4C4E4ACA" w14:textId="77777777" w:rsidR="0071381F" w:rsidRPr="0071381F" w:rsidRDefault="0071381F" w:rsidP="0071381F">
      <w:pPr>
        <w:spacing w:line="240" w:lineRule="auto"/>
        <w:rPr>
          <w:rFonts w:eastAsia="Times New Roman" w:cs="Arial"/>
          <w:color w:val="000000"/>
          <w:lang w:eastAsia="bg-BG"/>
        </w:rPr>
      </w:pPr>
    </w:p>
    <w:p w14:paraId="5FCFFD12" w14:textId="1481A2C6" w:rsidR="0071381F" w:rsidRPr="0071381F" w:rsidRDefault="0071381F" w:rsidP="0071381F">
      <w:pPr>
        <w:spacing w:line="240" w:lineRule="auto"/>
        <w:rPr>
          <w:rFonts w:eastAsia="Times New Roman" w:cs="Arial"/>
          <w:sz w:val="24"/>
          <w:szCs w:val="24"/>
        </w:rPr>
      </w:pPr>
      <w:r w:rsidRPr="0071381F">
        <w:rPr>
          <w:rFonts w:eastAsia="Times New Roman" w:cs="Arial"/>
          <w:color w:val="000000"/>
          <w:lang w:eastAsia="bg-BG"/>
        </w:rPr>
        <w:t>При пациенти с чернодробна недостатъчност, времето за елиминиране на продукта от организма може да е удължено. Ето защо, при пациенти с чернодробна недостатъчност, трябва да се внимава и да се използват най-ниските ефективни дози.</w:t>
      </w:r>
    </w:p>
    <w:p w14:paraId="2845B01A" w14:textId="77777777" w:rsidR="0071381F" w:rsidRPr="0071381F" w:rsidRDefault="0071381F" w:rsidP="0071381F">
      <w:pPr>
        <w:rPr>
          <w:rFonts w:eastAsia="Times New Roman" w:cs="Arial"/>
          <w:color w:val="000000"/>
          <w:lang w:eastAsia="bg-BG"/>
        </w:rPr>
      </w:pPr>
    </w:p>
    <w:p w14:paraId="41853858" w14:textId="4ABF4EFA" w:rsidR="0071381F" w:rsidRPr="0071381F" w:rsidRDefault="0071381F" w:rsidP="0071381F">
      <w:pPr>
        <w:rPr>
          <w:rFonts w:eastAsia="Times New Roman" w:cs="Arial"/>
          <w:color w:val="000000"/>
          <w:lang w:eastAsia="bg-BG"/>
        </w:rPr>
      </w:pPr>
      <w:r w:rsidRPr="0071381F">
        <w:rPr>
          <w:rFonts w:eastAsia="Times New Roman" w:cs="Arial"/>
          <w:color w:val="000000"/>
          <w:lang w:eastAsia="bg-BG"/>
        </w:rPr>
        <w:t>Продуктът съдържа лактоза. Пациенти с редки наследствени проблеми на непоносимост към галактозата, Лап лактозен дефицит или смутена глюкозо-галактозна абсорбция не трябва да приемат това лекарство.</w:t>
      </w:r>
    </w:p>
    <w:p w14:paraId="483B00D5" w14:textId="77777777" w:rsidR="0071381F" w:rsidRPr="0071381F" w:rsidRDefault="0071381F" w:rsidP="0071381F"/>
    <w:p w14:paraId="655EBCA2" w14:textId="77777777" w:rsidR="0071381F" w:rsidRDefault="002C50EE" w:rsidP="008A6AF2">
      <w:pPr>
        <w:pStyle w:val="Heading2"/>
      </w:pPr>
      <w:r>
        <w:t>4.5. Взаимодействие с други лекарствени продукти и други форми на</w:t>
      </w:r>
    </w:p>
    <w:p w14:paraId="1244F76A" w14:textId="25E41478" w:rsidR="00395555" w:rsidRDefault="002C50EE" w:rsidP="008A6AF2">
      <w:pPr>
        <w:pStyle w:val="Heading2"/>
      </w:pPr>
      <w:r>
        <w:t xml:space="preserve"> </w:t>
      </w:r>
      <w:r w:rsidR="0071381F">
        <w:t>В</w:t>
      </w:r>
      <w:r>
        <w:t>заимодействие</w:t>
      </w:r>
    </w:p>
    <w:p w14:paraId="50011FF6" w14:textId="39F1F40B" w:rsidR="0071381F" w:rsidRDefault="0071381F" w:rsidP="0071381F"/>
    <w:p w14:paraId="6B9F17BD" w14:textId="77777777" w:rsidR="0071381F" w:rsidRPr="0071381F" w:rsidRDefault="0071381F" w:rsidP="0071381F">
      <w:pPr>
        <w:spacing w:line="240" w:lineRule="auto"/>
        <w:rPr>
          <w:rFonts w:eastAsia="Times New Roman" w:cs="Arial"/>
          <w:sz w:val="24"/>
          <w:szCs w:val="24"/>
        </w:rPr>
      </w:pPr>
      <w:r w:rsidRPr="0071381F">
        <w:rPr>
          <w:rFonts w:eastAsia="Times New Roman" w:cs="Arial"/>
          <w:color w:val="000000"/>
          <w:lang w:eastAsia="bg-BG"/>
        </w:rPr>
        <w:t>Йод и лекарствените продукти, които съдържат йод (например амиодарон), както и рентгеноконтрастните средства понижават ефектите на тиамазол. От друга страна, тиамазол предизвиква намаляване на усвояването на радиоактивен йод от щитовидната жлеза.</w:t>
      </w:r>
    </w:p>
    <w:p w14:paraId="515EABFD" w14:textId="77777777" w:rsidR="0071381F" w:rsidRPr="0071381F" w:rsidRDefault="0071381F" w:rsidP="0071381F">
      <w:pPr>
        <w:spacing w:line="240" w:lineRule="auto"/>
        <w:rPr>
          <w:rFonts w:eastAsia="Times New Roman" w:cs="Arial"/>
          <w:sz w:val="24"/>
          <w:szCs w:val="24"/>
        </w:rPr>
      </w:pPr>
      <w:r w:rsidRPr="0071381F">
        <w:rPr>
          <w:rFonts w:eastAsia="Times New Roman" w:cs="Arial"/>
          <w:color w:val="000000"/>
          <w:lang w:eastAsia="bg-BG"/>
        </w:rPr>
        <w:t>С нормализиране на серумните нива на тиреоидните хормони в резултат на лечение с тиамазол, серумните нива на някои едновременно използвани лекарствени продукти (теофилин, холин теофилинат, сърдечни гликозиди, ангикоагуланти) може да се променят. Поради това, възможно е да се наложи коригиране на дозата на тези продукти.</w:t>
      </w:r>
    </w:p>
    <w:p w14:paraId="6997C34D" w14:textId="77777777" w:rsidR="0071381F" w:rsidRPr="0071381F" w:rsidRDefault="0071381F" w:rsidP="0071381F">
      <w:pPr>
        <w:spacing w:line="240" w:lineRule="auto"/>
        <w:rPr>
          <w:rFonts w:eastAsia="Times New Roman" w:cs="Arial"/>
          <w:color w:val="000000"/>
          <w:u w:val="single"/>
          <w:lang w:eastAsia="bg-BG"/>
        </w:rPr>
      </w:pPr>
    </w:p>
    <w:p w14:paraId="37F8EC57" w14:textId="181B47A2" w:rsidR="0071381F" w:rsidRPr="0071381F" w:rsidRDefault="0071381F" w:rsidP="0071381F">
      <w:pPr>
        <w:spacing w:line="240" w:lineRule="auto"/>
        <w:rPr>
          <w:rFonts w:eastAsia="Times New Roman" w:cs="Arial"/>
          <w:sz w:val="24"/>
          <w:szCs w:val="24"/>
        </w:rPr>
      </w:pPr>
      <w:r w:rsidRPr="0071381F">
        <w:rPr>
          <w:rFonts w:eastAsia="Times New Roman" w:cs="Arial"/>
          <w:color w:val="000000"/>
          <w:u w:val="single"/>
          <w:lang w:eastAsia="bg-BG"/>
        </w:rPr>
        <w:t>Педиатрична популация</w:t>
      </w:r>
    </w:p>
    <w:p w14:paraId="638FA0DE" w14:textId="77777777" w:rsidR="0071381F" w:rsidRPr="0071381F" w:rsidRDefault="0071381F" w:rsidP="0071381F">
      <w:pPr>
        <w:spacing w:line="240" w:lineRule="auto"/>
        <w:rPr>
          <w:rFonts w:eastAsia="Times New Roman" w:cs="Arial"/>
          <w:sz w:val="24"/>
          <w:szCs w:val="24"/>
        </w:rPr>
      </w:pPr>
      <w:r w:rsidRPr="0071381F">
        <w:rPr>
          <w:rFonts w:eastAsia="Times New Roman" w:cs="Arial"/>
          <w:color w:val="000000"/>
          <w:lang w:eastAsia="bg-BG"/>
        </w:rPr>
        <w:t>Не са провеждани проучвания за взаимодействия в педиатричната популация.</w:t>
      </w:r>
    </w:p>
    <w:p w14:paraId="122C2988" w14:textId="77777777" w:rsidR="0071381F" w:rsidRPr="0071381F" w:rsidRDefault="0071381F" w:rsidP="0071381F"/>
    <w:p w14:paraId="6EADE4D6" w14:textId="337D40EB" w:rsidR="00395555" w:rsidRDefault="002C50EE" w:rsidP="008A6AF2">
      <w:pPr>
        <w:pStyle w:val="Heading2"/>
      </w:pPr>
      <w:r>
        <w:t>4.6. Фертилитет, бременност и кърмене</w:t>
      </w:r>
    </w:p>
    <w:p w14:paraId="67303D0D" w14:textId="40A31914" w:rsidR="0071381F" w:rsidRDefault="0071381F" w:rsidP="0071381F"/>
    <w:p w14:paraId="374D06DB" w14:textId="77777777" w:rsidR="0071381F" w:rsidRPr="0071381F" w:rsidRDefault="0071381F" w:rsidP="0071381F">
      <w:pPr>
        <w:spacing w:line="240" w:lineRule="auto"/>
        <w:rPr>
          <w:rFonts w:eastAsia="Times New Roman" w:cs="Arial"/>
          <w:sz w:val="24"/>
          <w:szCs w:val="24"/>
        </w:rPr>
      </w:pPr>
      <w:r w:rsidRPr="0071381F">
        <w:rPr>
          <w:rFonts w:eastAsia="Times New Roman" w:cs="Arial"/>
          <w:color w:val="000000"/>
          <w:lang w:eastAsia="bg-BG"/>
        </w:rPr>
        <w:t>Жени с детероден потенциал</w:t>
      </w:r>
    </w:p>
    <w:p w14:paraId="6580877D" w14:textId="77777777" w:rsidR="0071381F" w:rsidRPr="0071381F" w:rsidRDefault="0071381F" w:rsidP="0071381F">
      <w:pPr>
        <w:spacing w:line="240" w:lineRule="auto"/>
        <w:rPr>
          <w:rFonts w:eastAsia="Times New Roman" w:cs="Arial"/>
          <w:color w:val="000000"/>
          <w:lang w:eastAsia="bg-BG"/>
        </w:rPr>
      </w:pPr>
    </w:p>
    <w:p w14:paraId="210CC7F1" w14:textId="2746E309" w:rsidR="0071381F" w:rsidRPr="0071381F" w:rsidRDefault="0071381F" w:rsidP="0071381F">
      <w:pPr>
        <w:spacing w:line="240" w:lineRule="auto"/>
        <w:rPr>
          <w:rFonts w:eastAsia="Times New Roman" w:cs="Arial"/>
          <w:sz w:val="24"/>
          <w:szCs w:val="24"/>
        </w:rPr>
      </w:pPr>
      <w:r w:rsidRPr="0071381F">
        <w:rPr>
          <w:rFonts w:eastAsia="Times New Roman" w:cs="Arial"/>
          <w:color w:val="000000"/>
          <w:lang w:eastAsia="bg-BG"/>
        </w:rPr>
        <w:t>Жените с детероден потенциал трябва да използват ефективни контрацептивни мерки по време на лечението (вж. точка 4.4).</w:t>
      </w:r>
    </w:p>
    <w:p w14:paraId="786DCC63" w14:textId="77777777" w:rsidR="0071381F" w:rsidRPr="0071381F" w:rsidRDefault="0071381F" w:rsidP="0071381F">
      <w:pPr>
        <w:spacing w:line="240" w:lineRule="auto"/>
        <w:rPr>
          <w:rFonts w:eastAsia="Times New Roman" w:cs="Arial"/>
          <w:color w:val="000000"/>
          <w:lang w:eastAsia="bg-BG"/>
        </w:rPr>
      </w:pPr>
    </w:p>
    <w:p w14:paraId="025F2DDD" w14:textId="2DDC5320" w:rsidR="0071381F" w:rsidRPr="0071381F" w:rsidRDefault="0071381F" w:rsidP="0071381F">
      <w:pPr>
        <w:pStyle w:val="Heading3"/>
        <w:rPr>
          <w:rFonts w:eastAsia="Times New Roman"/>
          <w:u w:val="single"/>
        </w:rPr>
      </w:pPr>
      <w:r w:rsidRPr="0071381F">
        <w:rPr>
          <w:rFonts w:eastAsia="Times New Roman"/>
          <w:u w:val="single"/>
          <w:lang w:eastAsia="bg-BG"/>
        </w:rPr>
        <w:t>Бременност</w:t>
      </w:r>
    </w:p>
    <w:p w14:paraId="361DBCAF" w14:textId="77777777" w:rsidR="0071381F" w:rsidRPr="0071381F" w:rsidRDefault="0071381F" w:rsidP="0071381F">
      <w:pPr>
        <w:spacing w:line="240" w:lineRule="auto"/>
        <w:rPr>
          <w:rFonts w:eastAsia="Times New Roman" w:cs="Arial"/>
          <w:color w:val="000000"/>
          <w:lang w:eastAsia="bg-BG"/>
        </w:rPr>
      </w:pPr>
    </w:p>
    <w:p w14:paraId="186F2B70" w14:textId="54D2CD60" w:rsidR="0071381F" w:rsidRPr="0071381F" w:rsidRDefault="0071381F" w:rsidP="0071381F">
      <w:pPr>
        <w:spacing w:line="240" w:lineRule="auto"/>
        <w:rPr>
          <w:rFonts w:eastAsia="Times New Roman" w:cs="Arial"/>
          <w:sz w:val="24"/>
          <w:szCs w:val="24"/>
        </w:rPr>
      </w:pPr>
      <w:r w:rsidRPr="0071381F">
        <w:rPr>
          <w:rFonts w:eastAsia="Times New Roman" w:cs="Arial"/>
          <w:color w:val="000000"/>
          <w:lang w:eastAsia="bg-BG"/>
        </w:rPr>
        <w:lastRenderedPageBreak/>
        <w:t>Хипертиреоидизъм при бременни жени трябва да се лекува по подходящ начин, за да се предотвратят сериозни усложнения на майката и фетуса.</w:t>
      </w:r>
    </w:p>
    <w:p w14:paraId="633073AE" w14:textId="77777777" w:rsidR="0071381F" w:rsidRPr="0071381F" w:rsidRDefault="0071381F" w:rsidP="0071381F">
      <w:pPr>
        <w:spacing w:line="240" w:lineRule="auto"/>
        <w:rPr>
          <w:rFonts w:eastAsia="Times New Roman" w:cs="Arial"/>
          <w:color w:val="000000"/>
          <w:lang w:eastAsia="bg-BG"/>
        </w:rPr>
      </w:pPr>
    </w:p>
    <w:p w14:paraId="7BE22B59" w14:textId="1713870B" w:rsidR="0071381F" w:rsidRPr="0071381F" w:rsidRDefault="0071381F" w:rsidP="0071381F">
      <w:pPr>
        <w:spacing w:line="240" w:lineRule="auto"/>
        <w:rPr>
          <w:rFonts w:eastAsia="Times New Roman" w:cs="Arial"/>
          <w:sz w:val="24"/>
          <w:szCs w:val="24"/>
        </w:rPr>
      </w:pPr>
      <w:r w:rsidRPr="0071381F">
        <w:rPr>
          <w:rFonts w:eastAsia="Times New Roman" w:cs="Arial"/>
          <w:color w:val="000000"/>
          <w:lang w:eastAsia="bg-BG"/>
        </w:rPr>
        <w:t>Тиамазол е в състояние да преминава през човешката плацента.</w:t>
      </w:r>
    </w:p>
    <w:p w14:paraId="13D96C11" w14:textId="77777777" w:rsidR="0071381F" w:rsidRPr="0071381F" w:rsidRDefault="0071381F" w:rsidP="0071381F">
      <w:pPr>
        <w:spacing w:line="240" w:lineRule="auto"/>
        <w:rPr>
          <w:rFonts w:eastAsia="Times New Roman" w:cs="Arial"/>
          <w:color w:val="000000"/>
          <w:lang w:eastAsia="bg-BG"/>
        </w:rPr>
      </w:pPr>
    </w:p>
    <w:p w14:paraId="2EA5E700" w14:textId="6BB4D843" w:rsidR="0071381F" w:rsidRPr="0071381F" w:rsidRDefault="0071381F" w:rsidP="0071381F">
      <w:pPr>
        <w:spacing w:line="240" w:lineRule="auto"/>
        <w:rPr>
          <w:rFonts w:eastAsia="Times New Roman" w:cs="Arial"/>
          <w:sz w:val="24"/>
          <w:szCs w:val="24"/>
        </w:rPr>
      </w:pPr>
      <w:r w:rsidRPr="0071381F">
        <w:rPr>
          <w:rFonts w:eastAsia="Times New Roman" w:cs="Arial"/>
          <w:color w:val="000000"/>
          <w:lang w:eastAsia="bg-BG"/>
        </w:rPr>
        <w:t>Въз основа на опита от епидемиологични проучвания и спонтанни съобщения от приложение при хора се предполага, че тиамазол причинява вродени малформации, когато се прилага по време на бременност, особено в първия триместър на бременността и при високи дози.</w:t>
      </w:r>
    </w:p>
    <w:p w14:paraId="6FECD503" w14:textId="77777777" w:rsidR="0071381F" w:rsidRPr="0071381F" w:rsidRDefault="0071381F" w:rsidP="0071381F">
      <w:pPr>
        <w:spacing w:line="240" w:lineRule="auto"/>
        <w:rPr>
          <w:rFonts w:eastAsia="Times New Roman" w:cs="Arial"/>
          <w:color w:val="000000"/>
          <w:lang w:eastAsia="bg-BG"/>
        </w:rPr>
      </w:pPr>
    </w:p>
    <w:p w14:paraId="2D9BB39B" w14:textId="3048B24C" w:rsidR="0071381F" w:rsidRPr="0071381F" w:rsidRDefault="0071381F" w:rsidP="0071381F">
      <w:pPr>
        <w:spacing w:line="240" w:lineRule="auto"/>
        <w:rPr>
          <w:rFonts w:eastAsia="Times New Roman" w:cs="Arial"/>
          <w:sz w:val="24"/>
          <w:szCs w:val="24"/>
        </w:rPr>
      </w:pPr>
      <w:r w:rsidRPr="0071381F">
        <w:rPr>
          <w:rFonts w:eastAsia="Times New Roman" w:cs="Arial"/>
          <w:color w:val="000000"/>
          <w:lang w:eastAsia="bg-BG"/>
        </w:rPr>
        <w:t>Съобщените малформации включват аплазия кутис конгенита, краниофациални малформации (атрезия на хоаните, лицев дисморфизъм), омфалоцеле, атрезия на хранопровода, аномалия на омфаломезентериалния проток и междукамерен септален дефект.</w:t>
      </w:r>
    </w:p>
    <w:p w14:paraId="58863915" w14:textId="77777777" w:rsidR="0071381F" w:rsidRPr="0071381F" w:rsidRDefault="0071381F" w:rsidP="0071381F">
      <w:pPr>
        <w:spacing w:line="240" w:lineRule="auto"/>
        <w:rPr>
          <w:rFonts w:eastAsia="Times New Roman" w:cs="Arial"/>
          <w:color w:val="000000"/>
          <w:lang w:eastAsia="bg-BG"/>
        </w:rPr>
      </w:pPr>
    </w:p>
    <w:p w14:paraId="49461B86" w14:textId="3DAE086E" w:rsidR="0071381F" w:rsidRPr="0071381F" w:rsidRDefault="0071381F" w:rsidP="0071381F">
      <w:pPr>
        <w:spacing w:line="240" w:lineRule="auto"/>
        <w:rPr>
          <w:rFonts w:eastAsia="Times New Roman" w:cs="Arial"/>
          <w:sz w:val="24"/>
          <w:szCs w:val="24"/>
        </w:rPr>
      </w:pPr>
      <w:r w:rsidRPr="0071381F">
        <w:rPr>
          <w:rFonts w:eastAsia="Times New Roman" w:cs="Arial"/>
          <w:color w:val="000000"/>
          <w:lang w:eastAsia="bg-BG"/>
        </w:rPr>
        <w:t>Тиамазол трябва да се прилага по време на бременност след стриктна индивидуална оценка на съотношението полза/риск и само при най-ниската ефективна доза, без допълнително приложение на тиреоидни хормони. Ако тиамазол се използва по време на бременност, препоръчва се внимателно наблюдение на майката, плода и новороденото (вж. точка 4.4).</w:t>
      </w:r>
    </w:p>
    <w:p w14:paraId="02BA3C75" w14:textId="77777777" w:rsidR="0071381F" w:rsidRPr="0071381F" w:rsidRDefault="0071381F" w:rsidP="0071381F">
      <w:pPr>
        <w:spacing w:line="240" w:lineRule="auto"/>
        <w:rPr>
          <w:rFonts w:eastAsia="Times New Roman" w:cs="Arial"/>
          <w:color w:val="000000"/>
          <w:lang w:eastAsia="bg-BG"/>
        </w:rPr>
      </w:pPr>
    </w:p>
    <w:p w14:paraId="219AB1D5" w14:textId="45E5249C" w:rsidR="0071381F" w:rsidRPr="0071381F" w:rsidRDefault="0071381F" w:rsidP="0071381F">
      <w:pPr>
        <w:spacing w:line="240" w:lineRule="auto"/>
        <w:rPr>
          <w:rFonts w:eastAsia="Times New Roman" w:cs="Arial"/>
          <w:sz w:val="24"/>
          <w:szCs w:val="24"/>
        </w:rPr>
      </w:pPr>
      <w:r w:rsidRPr="0071381F">
        <w:rPr>
          <w:rFonts w:eastAsia="Times New Roman" w:cs="Arial"/>
          <w:color w:val="000000"/>
          <w:lang w:eastAsia="bg-BG"/>
        </w:rPr>
        <w:t xml:space="preserve">Тиамазол преминава през плацентарната бариера и може да предизвика хипотиреоидизъм, гуша на плода, както и </w:t>
      </w:r>
      <w:r w:rsidRPr="0071381F">
        <w:rPr>
          <w:rFonts w:eastAsia="Times New Roman" w:cs="Arial"/>
          <w:i/>
          <w:iCs/>
          <w:color w:val="000000"/>
          <w:lang w:val="en-US"/>
        </w:rPr>
        <w:t>aplasia</w:t>
      </w:r>
      <w:r w:rsidRPr="0071381F">
        <w:rPr>
          <w:rFonts w:eastAsia="Times New Roman" w:cs="Arial"/>
          <w:i/>
          <w:iCs/>
          <w:color w:val="000000"/>
          <w:lang w:val="ru-RU"/>
        </w:rPr>
        <w:t xml:space="preserve"> </w:t>
      </w:r>
      <w:r w:rsidRPr="0071381F">
        <w:rPr>
          <w:rFonts w:eastAsia="Times New Roman" w:cs="Arial"/>
          <w:i/>
          <w:iCs/>
          <w:color w:val="000000"/>
          <w:lang w:val="en-US"/>
        </w:rPr>
        <w:t>cutis</w:t>
      </w:r>
      <w:r w:rsidRPr="0071381F">
        <w:rPr>
          <w:rFonts w:eastAsia="Times New Roman" w:cs="Arial"/>
          <w:i/>
          <w:iCs/>
          <w:color w:val="000000"/>
          <w:lang w:val="ru-RU"/>
        </w:rPr>
        <w:t xml:space="preserve"> </w:t>
      </w:r>
      <w:proofErr w:type="spellStart"/>
      <w:r w:rsidRPr="0071381F">
        <w:rPr>
          <w:rFonts w:eastAsia="Times New Roman" w:cs="Arial"/>
          <w:i/>
          <w:iCs/>
          <w:color w:val="000000"/>
          <w:lang w:val="en-US"/>
        </w:rPr>
        <w:t>congenita</w:t>
      </w:r>
      <w:proofErr w:type="spellEnd"/>
      <w:r w:rsidRPr="0071381F">
        <w:rPr>
          <w:rFonts w:eastAsia="Times New Roman" w:cs="Arial"/>
          <w:color w:val="000000"/>
          <w:lang w:val="ru-RU"/>
        </w:rPr>
        <w:t xml:space="preserve"> </w:t>
      </w:r>
      <w:r w:rsidRPr="0071381F">
        <w:rPr>
          <w:rFonts w:eastAsia="Times New Roman" w:cs="Arial"/>
          <w:color w:val="000000"/>
          <w:lang w:eastAsia="bg-BG"/>
        </w:rPr>
        <w:t>на скалпа на новороденото.</w:t>
      </w:r>
    </w:p>
    <w:p w14:paraId="46A4FD2A" w14:textId="77777777" w:rsidR="0071381F" w:rsidRPr="0071381F" w:rsidRDefault="0071381F" w:rsidP="0071381F">
      <w:pPr>
        <w:spacing w:line="240" w:lineRule="auto"/>
        <w:rPr>
          <w:rFonts w:eastAsia="Times New Roman" w:cs="Arial"/>
          <w:sz w:val="24"/>
          <w:szCs w:val="24"/>
        </w:rPr>
      </w:pPr>
      <w:r w:rsidRPr="0071381F">
        <w:rPr>
          <w:rFonts w:eastAsia="Times New Roman" w:cs="Arial"/>
          <w:color w:val="000000"/>
          <w:lang w:eastAsia="bg-BG"/>
        </w:rPr>
        <w:t xml:space="preserve">Лекарственият продукт не трябва да се използва по време на бременност, освен ако е абсолютно наложително и други методи на лечение не могат да се прилагат. По време на бременност трябва да се използва най-ниската ефективна доза, която позволява поддържането на нивата на тиреоидните хормони на горната граница на нормалните стойности </w:t>
      </w:r>
      <w:r w:rsidRPr="0071381F">
        <w:rPr>
          <w:rFonts w:eastAsia="Times New Roman" w:cs="Arial"/>
          <w:color w:val="000000"/>
          <w:u w:val="single"/>
          <w:lang w:eastAsia="bg-BG"/>
        </w:rPr>
        <w:t>(особ</w:t>
      </w:r>
      <w:r w:rsidRPr="0071381F">
        <w:rPr>
          <w:rFonts w:eastAsia="Times New Roman" w:cs="Arial"/>
          <w:color w:val="000000"/>
          <w:lang w:eastAsia="bg-BG"/>
        </w:rPr>
        <w:t>ено, през последните три месеца).</w:t>
      </w:r>
    </w:p>
    <w:p w14:paraId="4291045B" w14:textId="77777777" w:rsidR="0071381F" w:rsidRPr="0071381F" w:rsidRDefault="0071381F" w:rsidP="0071381F">
      <w:pPr>
        <w:spacing w:line="240" w:lineRule="auto"/>
        <w:rPr>
          <w:rFonts w:eastAsia="Times New Roman" w:cs="Arial"/>
          <w:sz w:val="24"/>
          <w:szCs w:val="24"/>
        </w:rPr>
      </w:pPr>
    </w:p>
    <w:p w14:paraId="5060F791" w14:textId="77777777" w:rsidR="0071381F" w:rsidRPr="0071381F" w:rsidRDefault="0071381F" w:rsidP="0071381F">
      <w:pPr>
        <w:pStyle w:val="Heading3"/>
        <w:rPr>
          <w:rFonts w:eastAsia="Times New Roman"/>
          <w:u w:val="single"/>
        </w:rPr>
      </w:pPr>
      <w:r w:rsidRPr="0071381F">
        <w:rPr>
          <w:rFonts w:eastAsia="Times New Roman"/>
          <w:u w:val="single"/>
          <w:lang w:eastAsia="bg-BG"/>
        </w:rPr>
        <w:t>Кърмене</w:t>
      </w:r>
    </w:p>
    <w:p w14:paraId="33064DB8" w14:textId="77777777" w:rsidR="0071381F" w:rsidRPr="0071381F" w:rsidRDefault="0071381F" w:rsidP="0071381F">
      <w:pPr>
        <w:spacing w:line="240" w:lineRule="auto"/>
        <w:rPr>
          <w:rFonts w:eastAsia="Times New Roman" w:cs="Arial"/>
          <w:sz w:val="24"/>
          <w:szCs w:val="24"/>
        </w:rPr>
      </w:pPr>
    </w:p>
    <w:p w14:paraId="4C05E9AF" w14:textId="1F5F8224" w:rsidR="0071381F" w:rsidRPr="0071381F" w:rsidRDefault="0071381F" w:rsidP="0071381F">
      <w:pPr>
        <w:rPr>
          <w:rFonts w:eastAsia="Times New Roman" w:cs="Arial"/>
          <w:color w:val="000000"/>
          <w:lang w:eastAsia="bg-BG"/>
        </w:rPr>
      </w:pPr>
      <w:r w:rsidRPr="0071381F">
        <w:rPr>
          <w:rFonts w:eastAsia="Times New Roman" w:cs="Arial"/>
          <w:color w:val="000000"/>
          <w:lang w:eastAsia="bg-BG"/>
        </w:rPr>
        <w:t xml:space="preserve">Тиамазол се екскретира в кърмата. Поради това, при кърмещи жени, трябва да се използва най- ниската ефективна доза, не по-висока от 10 </w:t>
      </w:r>
      <w:r w:rsidRPr="0071381F">
        <w:rPr>
          <w:rFonts w:eastAsia="Times New Roman" w:cs="Arial"/>
          <w:color w:val="000000"/>
          <w:lang w:val="en-US"/>
        </w:rPr>
        <w:t>mg</w:t>
      </w:r>
      <w:r w:rsidRPr="0071381F">
        <w:rPr>
          <w:rFonts w:eastAsia="Times New Roman" w:cs="Arial"/>
          <w:color w:val="000000"/>
          <w:lang w:val="ru-RU"/>
        </w:rPr>
        <w:t xml:space="preserve"> </w:t>
      </w:r>
      <w:r w:rsidRPr="0071381F">
        <w:rPr>
          <w:rFonts w:eastAsia="Times New Roman" w:cs="Arial"/>
          <w:color w:val="000000"/>
          <w:lang w:eastAsia="bg-BG"/>
        </w:rPr>
        <w:t>на ден. Ако е необходимо да се използват високи дози, пациентката трябва да спре да кърми детето си.</w:t>
      </w:r>
    </w:p>
    <w:p w14:paraId="2E106450" w14:textId="77777777" w:rsidR="0071381F" w:rsidRPr="0071381F" w:rsidRDefault="0071381F" w:rsidP="0071381F"/>
    <w:p w14:paraId="5766770B" w14:textId="67F1B078" w:rsidR="00395555" w:rsidRDefault="002C50EE" w:rsidP="008A6AF2">
      <w:pPr>
        <w:pStyle w:val="Heading2"/>
      </w:pPr>
      <w:r>
        <w:t>4.7. Ефекти върху способността за шофиране и работа с машини</w:t>
      </w:r>
    </w:p>
    <w:p w14:paraId="3E0BC73B" w14:textId="64E701E4" w:rsidR="0071381F" w:rsidRDefault="0071381F" w:rsidP="0071381F"/>
    <w:p w14:paraId="27ECDCBB" w14:textId="77777777" w:rsidR="0071381F" w:rsidRPr="0071381F" w:rsidRDefault="0071381F" w:rsidP="0071381F">
      <w:pPr>
        <w:rPr>
          <w:sz w:val="24"/>
          <w:szCs w:val="24"/>
        </w:rPr>
      </w:pPr>
      <w:r w:rsidRPr="0071381F">
        <w:rPr>
          <w:lang w:eastAsia="bg-BG"/>
        </w:rPr>
        <w:t>Метизол не повлиява способността за шофиране и работа с машини.</w:t>
      </w:r>
    </w:p>
    <w:p w14:paraId="0D407168" w14:textId="77777777" w:rsidR="0071381F" w:rsidRPr="0071381F" w:rsidRDefault="0071381F" w:rsidP="0071381F"/>
    <w:p w14:paraId="4FE16E21" w14:textId="44DCBA9D" w:rsidR="00395555" w:rsidRDefault="002C50EE" w:rsidP="008A6AF2">
      <w:pPr>
        <w:pStyle w:val="Heading2"/>
      </w:pPr>
      <w:r>
        <w:t>4.8. Нежелани лекарствени реакции</w:t>
      </w:r>
    </w:p>
    <w:p w14:paraId="62EFFA37" w14:textId="2B5F0060" w:rsidR="0071381F" w:rsidRDefault="0071381F" w:rsidP="0071381F"/>
    <w:p w14:paraId="744AA78B" w14:textId="77777777" w:rsidR="0071381F" w:rsidRPr="0071381F" w:rsidRDefault="0071381F" w:rsidP="0071381F">
      <w:pPr>
        <w:spacing w:line="240" w:lineRule="auto"/>
        <w:rPr>
          <w:rFonts w:eastAsia="Times New Roman" w:cs="Arial"/>
        </w:rPr>
      </w:pPr>
      <w:r w:rsidRPr="0071381F">
        <w:rPr>
          <w:rFonts w:eastAsia="Times New Roman" w:cs="Arial"/>
          <w:color w:val="000000"/>
          <w:lang w:eastAsia="bg-BG"/>
        </w:rPr>
        <w:t>Повечето от нежеланите реакции възникват през първите 4-8 седмици от лечението, а интензивността им, както и честотата на появяване зависят от дозата на тиамазол.</w:t>
      </w:r>
    </w:p>
    <w:p w14:paraId="6F0A761B" w14:textId="77777777" w:rsidR="0071381F" w:rsidRPr="0071381F" w:rsidRDefault="0071381F" w:rsidP="0071381F">
      <w:pPr>
        <w:spacing w:line="240" w:lineRule="auto"/>
        <w:rPr>
          <w:rFonts w:eastAsia="Times New Roman" w:cs="Arial"/>
        </w:rPr>
      </w:pPr>
      <w:r w:rsidRPr="0071381F">
        <w:rPr>
          <w:rFonts w:eastAsia="Times New Roman" w:cs="Arial"/>
          <w:color w:val="000000"/>
          <w:lang w:eastAsia="bg-BG"/>
        </w:rPr>
        <w:t>Честотата на поява на нежеланите реакции, изброени по-долу, е определена при използване на следната конвенция: много чести (≥1/10); чести (≥1/100 до &lt;1/10); нечести (≥1/1,000 до &lt;1/100) с неизвестна честота (от наличните данни не може да бъде направена оценка).</w:t>
      </w:r>
    </w:p>
    <w:p w14:paraId="72D95B15" w14:textId="77777777" w:rsidR="0071381F" w:rsidRPr="0071381F" w:rsidRDefault="0071381F" w:rsidP="0071381F">
      <w:pPr>
        <w:spacing w:line="240" w:lineRule="auto"/>
        <w:rPr>
          <w:rFonts w:eastAsia="Times New Roman" w:cs="Arial"/>
          <w:color w:val="000000"/>
          <w:u w:val="single"/>
          <w:lang w:eastAsia="bg-BG"/>
        </w:rPr>
      </w:pPr>
    </w:p>
    <w:p w14:paraId="7F61D853" w14:textId="7E4331C5" w:rsidR="0071381F" w:rsidRPr="0071381F" w:rsidRDefault="0071381F" w:rsidP="0071381F">
      <w:pPr>
        <w:spacing w:line="240" w:lineRule="auto"/>
        <w:rPr>
          <w:rFonts w:eastAsia="Times New Roman" w:cs="Arial"/>
        </w:rPr>
      </w:pPr>
      <w:r w:rsidRPr="0071381F">
        <w:rPr>
          <w:rFonts w:eastAsia="Times New Roman" w:cs="Arial"/>
          <w:color w:val="000000"/>
          <w:u w:val="single"/>
          <w:lang w:eastAsia="bg-BG"/>
        </w:rPr>
        <w:lastRenderedPageBreak/>
        <w:t>Нарушения на кръвта и лимфната система:</w:t>
      </w:r>
      <w:r w:rsidRPr="0071381F">
        <w:rPr>
          <w:rFonts w:eastAsia="Times New Roman" w:cs="Arial"/>
          <w:color w:val="000000"/>
          <w:lang w:eastAsia="bg-BG"/>
        </w:rPr>
        <w:t xml:space="preserve"> много чести - левкопения (честота при възрастни 12%, при деца 25%, при пациенти с нелекуван хипертиреоидизъм 10%); нечести - агранулоцитоза (в 0,4% от пациентите); с неизвестна честота - апластична анемия, тромбоцитопения, лимфаденопатия.</w:t>
      </w:r>
    </w:p>
    <w:p w14:paraId="46EB9D70" w14:textId="77777777" w:rsidR="0071381F" w:rsidRPr="0071381F" w:rsidRDefault="0071381F" w:rsidP="0071381F">
      <w:pPr>
        <w:spacing w:line="240" w:lineRule="auto"/>
        <w:rPr>
          <w:rFonts w:eastAsia="Times New Roman" w:cs="Arial"/>
          <w:color w:val="000000"/>
          <w:u w:val="single"/>
          <w:lang w:eastAsia="bg-BG"/>
        </w:rPr>
      </w:pPr>
    </w:p>
    <w:p w14:paraId="67B4E55B" w14:textId="4153CCFB" w:rsidR="0071381F" w:rsidRPr="0071381F" w:rsidRDefault="0071381F" w:rsidP="0071381F">
      <w:pPr>
        <w:spacing w:line="240" w:lineRule="auto"/>
        <w:rPr>
          <w:rFonts w:eastAsia="Times New Roman" w:cs="Arial"/>
        </w:rPr>
      </w:pPr>
      <w:r w:rsidRPr="0071381F">
        <w:rPr>
          <w:rFonts w:eastAsia="Times New Roman" w:cs="Arial"/>
          <w:color w:val="000000"/>
          <w:u w:val="single"/>
          <w:lang w:eastAsia="bg-BG"/>
        </w:rPr>
        <w:t>Нарушения на метаболизма и храненето:</w:t>
      </w:r>
      <w:r w:rsidRPr="0071381F">
        <w:rPr>
          <w:rFonts w:eastAsia="Times New Roman" w:cs="Arial"/>
          <w:color w:val="000000"/>
          <w:lang w:eastAsia="bg-BG"/>
        </w:rPr>
        <w:t xml:space="preserve"> с неизвестна честота - намаляване на апетита.</w:t>
      </w:r>
    </w:p>
    <w:p w14:paraId="51122CF6" w14:textId="77777777" w:rsidR="0071381F" w:rsidRPr="0071381F" w:rsidRDefault="0071381F" w:rsidP="0071381F">
      <w:pPr>
        <w:spacing w:line="240" w:lineRule="auto"/>
        <w:rPr>
          <w:rFonts w:eastAsia="Times New Roman" w:cs="Arial"/>
          <w:color w:val="000000"/>
          <w:u w:val="single"/>
          <w:lang w:eastAsia="bg-BG"/>
        </w:rPr>
      </w:pPr>
    </w:p>
    <w:p w14:paraId="21CFC1FB" w14:textId="7D26B59C" w:rsidR="0071381F" w:rsidRPr="0071381F" w:rsidRDefault="0071381F" w:rsidP="0071381F">
      <w:pPr>
        <w:spacing w:line="240" w:lineRule="auto"/>
        <w:rPr>
          <w:rFonts w:eastAsia="Times New Roman" w:cs="Arial"/>
        </w:rPr>
      </w:pPr>
      <w:r w:rsidRPr="0071381F">
        <w:rPr>
          <w:rFonts w:eastAsia="Times New Roman" w:cs="Arial"/>
          <w:color w:val="000000"/>
          <w:u w:val="single"/>
          <w:lang w:eastAsia="bg-BG"/>
        </w:rPr>
        <w:t>Нарушения на нервна система:</w:t>
      </w:r>
      <w:r w:rsidRPr="0071381F">
        <w:rPr>
          <w:rFonts w:eastAsia="Times New Roman" w:cs="Arial"/>
          <w:color w:val="000000"/>
          <w:lang w:eastAsia="bg-BG"/>
        </w:rPr>
        <w:t xml:space="preserve"> с неизвестна честота - периферна невропатия, световъртеж.</w:t>
      </w:r>
    </w:p>
    <w:p w14:paraId="5D9A2267" w14:textId="77777777" w:rsidR="0071381F" w:rsidRPr="0071381F" w:rsidRDefault="0071381F" w:rsidP="0071381F">
      <w:pPr>
        <w:spacing w:line="240" w:lineRule="auto"/>
        <w:rPr>
          <w:rFonts w:eastAsia="Times New Roman" w:cs="Arial"/>
          <w:color w:val="000000"/>
          <w:u w:val="single"/>
          <w:lang w:eastAsia="bg-BG"/>
        </w:rPr>
      </w:pPr>
    </w:p>
    <w:p w14:paraId="3A517F91" w14:textId="3F69EC46" w:rsidR="0071381F" w:rsidRPr="0071381F" w:rsidRDefault="0071381F" w:rsidP="0071381F">
      <w:pPr>
        <w:spacing w:line="240" w:lineRule="auto"/>
        <w:rPr>
          <w:rFonts w:eastAsia="Times New Roman" w:cs="Arial"/>
        </w:rPr>
      </w:pPr>
      <w:r w:rsidRPr="0071381F">
        <w:rPr>
          <w:rFonts w:eastAsia="Times New Roman" w:cs="Arial"/>
          <w:color w:val="000000"/>
          <w:u w:val="single"/>
          <w:lang w:eastAsia="bg-BG"/>
        </w:rPr>
        <w:t>Съдови нарушения:</w:t>
      </w:r>
      <w:r w:rsidRPr="0071381F">
        <w:rPr>
          <w:rFonts w:eastAsia="Times New Roman" w:cs="Arial"/>
          <w:color w:val="000000"/>
          <w:lang w:eastAsia="bg-BG"/>
        </w:rPr>
        <w:t xml:space="preserve"> с неизвестна честота - васкулит.</w:t>
      </w:r>
    </w:p>
    <w:p w14:paraId="0E7F298E" w14:textId="77777777" w:rsidR="0071381F" w:rsidRPr="0071381F" w:rsidRDefault="0071381F" w:rsidP="0071381F">
      <w:pPr>
        <w:spacing w:line="240" w:lineRule="auto"/>
        <w:rPr>
          <w:rFonts w:eastAsia="Times New Roman" w:cs="Arial"/>
          <w:color w:val="000000"/>
          <w:u w:val="single"/>
          <w:lang w:eastAsia="bg-BG"/>
        </w:rPr>
      </w:pPr>
    </w:p>
    <w:p w14:paraId="6397BF28" w14:textId="18BC6519" w:rsidR="0071381F" w:rsidRPr="0071381F" w:rsidRDefault="0071381F" w:rsidP="0071381F">
      <w:pPr>
        <w:spacing w:line="240" w:lineRule="auto"/>
        <w:rPr>
          <w:rFonts w:eastAsia="Times New Roman" w:cs="Arial"/>
        </w:rPr>
      </w:pPr>
      <w:r w:rsidRPr="0071381F">
        <w:rPr>
          <w:rFonts w:eastAsia="Times New Roman" w:cs="Arial"/>
          <w:color w:val="000000"/>
          <w:u w:val="single"/>
          <w:lang w:eastAsia="bg-BG"/>
        </w:rPr>
        <w:t>Стомашно-чревни нарушения:</w:t>
      </w:r>
      <w:r w:rsidRPr="0071381F">
        <w:rPr>
          <w:rFonts w:eastAsia="Times New Roman" w:cs="Arial"/>
          <w:color w:val="000000"/>
          <w:lang w:eastAsia="bg-BG"/>
        </w:rPr>
        <w:t xml:space="preserve"> с неизвестна честота - гадене, повръщане, коремна болка, сиаладенопатия, остър панкреатит.</w:t>
      </w:r>
    </w:p>
    <w:p w14:paraId="414F42A4" w14:textId="77777777" w:rsidR="0071381F" w:rsidRPr="0071381F" w:rsidRDefault="0071381F" w:rsidP="0071381F">
      <w:pPr>
        <w:spacing w:line="240" w:lineRule="auto"/>
        <w:rPr>
          <w:rFonts w:eastAsia="Times New Roman" w:cs="Arial"/>
          <w:color w:val="000000"/>
          <w:u w:val="single"/>
          <w:lang w:eastAsia="bg-BG"/>
        </w:rPr>
      </w:pPr>
    </w:p>
    <w:p w14:paraId="4F8D476F" w14:textId="3BFBAE01" w:rsidR="0071381F" w:rsidRPr="0071381F" w:rsidRDefault="0071381F" w:rsidP="0071381F">
      <w:pPr>
        <w:spacing w:line="240" w:lineRule="auto"/>
        <w:rPr>
          <w:rFonts w:eastAsia="Times New Roman" w:cs="Arial"/>
        </w:rPr>
      </w:pPr>
      <w:r w:rsidRPr="0071381F">
        <w:rPr>
          <w:rFonts w:eastAsia="Times New Roman" w:cs="Arial"/>
          <w:color w:val="000000"/>
          <w:u w:val="single"/>
          <w:lang w:eastAsia="bg-BG"/>
        </w:rPr>
        <w:t>Хепатобилиярни нарушения:</w:t>
      </w:r>
      <w:r w:rsidRPr="0071381F">
        <w:rPr>
          <w:rFonts w:eastAsia="Times New Roman" w:cs="Arial"/>
          <w:color w:val="000000"/>
          <w:lang w:eastAsia="bg-BG"/>
        </w:rPr>
        <w:t xml:space="preserve"> с неизвестна честота - холестатична жълтеница, хепатонекроза.</w:t>
      </w:r>
    </w:p>
    <w:p w14:paraId="6B872DFA" w14:textId="77777777" w:rsidR="0071381F" w:rsidRPr="0071381F" w:rsidRDefault="0071381F" w:rsidP="0071381F">
      <w:pPr>
        <w:spacing w:line="240" w:lineRule="auto"/>
        <w:rPr>
          <w:rFonts w:eastAsia="Times New Roman" w:cs="Arial"/>
          <w:color w:val="000000"/>
          <w:u w:val="single"/>
          <w:lang w:eastAsia="bg-BG"/>
        </w:rPr>
      </w:pPr>
    </w:p>
    <w:p w14:paraId="79FA485C" w14:textId="5BD3E864" w:rsidR="0071381F" w:rsidRPr="0071381F" w:rsidRDefault="0071381F" w:rsidP="0071381F">
      <w:pPr>
        <w:spacing w:line="240" w:lineRule="auto"/>
        <w:rPr>
          <w:rFonts w:eastAsia="Times New Roman" w:cs="Arial"/>
        </w:rPr>
      </w:pPr>
      <w:r w:rsidRPr="0071381F">
        <w:rPr>
          <w:rFonts w:eastAsia="Times New Roman" w:cs="Arial"/>
          <w:color w:val="000000"/>
          <w:u w:val="single"/>
          <w:lang w:eastAsia="bg-BG"/>
        </w:rPr>
        <w:t>Нарушения на кожата и подкожната тъкан:</w:t>
      </w:r>
      <w:r w:rsidRPr="0071381F">
        <w:rPr>
          <w:rFonts w:eastAsia="Times New Roman" w:cs="Arial"/>
          <w:color w:val="000000"/>
          <w:lang w:eastAsia="bg-BG"/>
        </w:rPr>
        <w:t xml:space="preserve"> чести - обрив и сърбеж (в 3-5% от пациентите); много редки - само отделни съобщения за остри форми на синдрома на </w:t>
      </w:r>
      <w:r w:rsidRPr="0071381F">
        <w:rPr>
          <w:rFonts w:eastAsia="Times New Roman" w:cs="Arial"/>
          <w:color w:val="000000"/>
          <w:lang w:val="en-US"/>
        </w:rPr>
        <w:t>Stevens</w:t>
      </w:r>
      <w:r w:rsidRPr="0071381F">
        <w:rPr>
          <w:rFonts w:eastAsia="Times New Roman" w:cs="Arial"/>
          <w:color w:val="000000"/>
          <w:lang w:val="ru-RU"/>
        </w:rPr>
        <w:t>-</w:t>
      </w:r>
      <w:r w:rsidRPr="0071381F">
        <w:rPr>
          <w:rFonts w:eastAsia="Times New Roman" w:cs="Arial"/>
          <w:color w:val="000000"/>
          <w:lang w:val="en-US"/>
        </w:rPr>
        <w:t>Johnson</w:t>
      </w:r>
      <w:r w:rsidRPr="0071381F">
        <w:rPr>
          <w:rFonts w:eastAsia="Times New Roman" w:cs="Arial"/>
          <w:color w:val="000000"/>
          <w:lang w:val="ru-RU"/>
        </w:rPr>
        <w:t xml:space="preserve">, </w:t>
      </w:r>
      <w:r w:rsidRPr="0071381F">
        <w:rPr>
          <w:rFonts w:eastAsia="Times New Roman" w:cs="Arial"/>
          <w:color w:val="000000"/>
          <w:lang w:eastAsia="bg-BG"/>
        </w:rPr>
        <w:t>включително и на генерализиран дерматит.</w:t>
      </w:r>
    </w:p>
    <w:p w14:paraId="4B6AD0AA" w14:textId="77777777" w:rsidR="0071381F" w:rsidRPr="0071381F" w:rsidRDefault="0071381F" w:rsidP="0071381F">
      <w:pPr>
        <w:spacing w:line="240" w:lineRule="auto"/>
        <w:rPr>
          <w:rFonts w:eastAsia="Times New Roman" w:cs="Arial"/>
          <w:color w:val="000000"/>
          <w:u w:val="single"/>
          <w:lang w:eastAsia="bg-BG"/>
        </w:rPr>
      </w:pPr>
    </w:p>
    <w:p w14:paraId="11B6E5DD" w14:textId="03CC306F" w:rsidR="0071381F" w:rsidRPr="0071381F" w:rsidRDefault="0071381F" w:rsidP="0071381F">
      <w:pPr>
        <w:spacing w:line="240" w:lineRule="auto"/>
        <w:rPr>
          <w:rFonts w:eastAsia="Times New Roman" w:cs="Arial"/>
        </w:rPr>
      </w:pPr>
      <w:r w:rsidRPr="0071381F">
        <w:rPr>
          <w:rFonts w:eastAsia="Times New Roman" w:cs="Arial"/>
          <w:color w:val="000000"/>
          <w:u w:val="single"/>
          <w:lang w:eastAsia="bg-BG"/>
        </w:rPr>
        <w:t>Нарушения на мускулно-скелетната система и съединителната тъкан:</w:t>
      </w:r>
      <w:r w:rsidRPr="0071381F">
        <w:rPr>
          <w:rFonts w:eastAsia="Times New Roman" w:cs="Arial"/>
          <w:color w:val="000000"/>
          <w:lang w:eastAsia="bg-BG"/>
        </w:rPr>
        <w:t xml:space="preserve"> с неизвестна честота - ставни болки, артрит, подобен на лупус синдром.</w:t>
      </w:r>
    </w:p>
    <w:p w14:paraId="6032469F" w14:textId="77777777" w:rsidR="0071381F" w:rsidRPr="0071381F" w:rsidRDefault="0071381F" w:rsidP="0071381F">
      <w:pPr>
        <w:spacing w:line="240" w:lineRule="auto"/>
        <w:rPr>
          <w:rFonts w:eastAsia="Times New Roman" w:cs="Arial"/>
          <w:color w:val="000000"/>
          <w:u w:val="single"/>
          <w:lang w:eastAsia="bg-BG"/>
        </w:rPr>
      </w:pPr>
    </w:p>
    <w:p w14:paraId="309D0D41" w14:textId="17E8FCAD" w:rsidR="0071381F" w:rsidRPr="0071381F" w:rsidRDefault="0071381F" w:rsidP="0071381F">
      <w:pPr>
        <w:spacing w:line="240" w:lineRule="auto"/>
        <w:rPr>
          <w:rFonts w:eastAsia="Times New Roman" w:cs="Arial"/>
        </w:rPr>
      </w:pPr>
      <w:r w:rsidRPr="0071381F">
        <w:rPr>
          <w:rFonts w:eastAsia="Times New Roman" w:cs="Arial"/>
          <w:color w:val="000000"/>
          <w:u w:val="single"/>
          <w:lang w:eastAsia="bg-BG"/>
        </w:rPr>
        <w:t>Нарушения на бъбреците и пикочните пътиша:</w:t>
      </w:r>
      <w:r w:rsidRPr="0071381F">
        <w:rPr>
          <w:rFonts w:eastAsia="Times New Roman" w:cs="Arial"/>
          <w:color w:val="000000"/>
          <w:lang w:eastAsia="bg-BG"/>
        </w:rPr>
        <w:t xml:space="preserve"> с неизвестна честота - нефрит, възпаление на бъбречните съдове.</w:t>
      </w:r>
    </w:p>
    <w:p w14:paraId="64512443" w14:textId="77777777" w:rsidR="0071381F" w:rsidRPr="0071381F" w:rsidRDefault="0071381F" w:rsidP="0071381F">
      <w:pPr>
        <w:spacing w:line="240" w:lineRule="auto"/>
        <w:rPr>
          <w:rFonts w:eastAsia="Times New Roman" w:cs="Arial"/>
          <w:color w:val="000000"/>
          <w:u w:val="single"/>
          <w:lang w:eastAsia="bg-BG"/>
        </w:rPr>
      </w:pPr>
    </w:p>
    <w:p w14:paraId="14123269" w14:textId="36368320" w:rsidR="0071381F" w:rsidRPr="0071381F" w:rsidRDefault="0071381F" w:rsidP="0071381F">
      <w:pPr>
        <w:spacing w:line="240" w:lineRule="auto"/>
        <w:rPr>
          <w:rFonts w:eastAsia="Times New Roman" w:cs="Arial"/>
        </w:rPr>
      </w:pPr>
      <w:r w:rsidRPr="0071381F">
        <w:rPr>
          <w:rFonts w:eastAsia="Times New Roman" w:cs="Arial"/>
          <w:color w:val="000000"/>
          <w:u w:val="single"/>
          <w:lang w:eastAsia="bg-BG"/>
        </w:rPr>
        <w:t>Общи нарушения:</w:t>
      </w:r>
      <w:r w:rsidRPr="0071381F">
        <w:rPr>
          <w:rFonts w:eastAsia="Times New Roman" w:cs="Arial"/>
          <w:color w:val="000000"/>
          <w:lang w:eastAsia="bg-BG"/>
        </w:rPr>
        <w:t xml:space="preserve"> чести - висока температура; много редки, включително единични съобщения: докладвани са изолирани случаи на инсулинов автоимунен синдром (с рязко спадане на стойностите на кръвната захар).</w:t>
      </w:r>
    </w:p>
    <w:p w14:paraId="051CA019" w14:textId="77777777" w:rsidR="0071381F" w:rsidRPr="0071381F" w:rsidRDefault="0071381F" w:rsidP="0071381F">
      <w:pPr>
        <w:spacing w:line="240" w:lineRule="auto"/>
        <w:rPr>
          <w:rFonts w:eastAsia="Times New Roman" w:cs="Arial"/>
          <w:color w:val="000000"/>
          <w:u w:val="single"/>
          <w:lang w:eastAsia="bg-BG"/>
        </w:rPr>
      </w:pPr>
    </w:p>
    <w:p w14:paraId="192497AD" w14:textId="7B519DB8" w:rsidR="0071381F" w:rsidRPr="0071381F" w:rsidRDefault="0071381F" w:rsidP="0071381F">
      <w:pPr>
        <w:spacing w:line="240" w:lineRule="auto"/>
        <w:rPr>
          <w:rFonts w:eastAsia="Times New Roman" w:cs="Arial"/>
        </w:rPr>
      </w:pPr>
      <w:r w:rsidRPr="0071381F">
        <w:rPr>
          <w:rFonts w:eastAsia="Times New Roman" w:cs="Arial"/>
          <w:color w:val="000000"/>
          <w:u w:val="single"/>
          <w:lang w:eastAsia="bg-BG"/>
        </w:rPr>
        <w:t>Педиатрична популация</w:t>
      </w:r>
    </w:p>
    <w:p w14:paraId="2BDB7DCC" w14:textId="77777777" w:rsidR="0071381F" w:rsidRPr="0071381F" w:rsidRDefault="0071381F" w:rsidP="0071381F">
      <w:pPr>
        <w:spacing w:line="240" w:lineRule="auto"/>
        <w:rPr>
          <w:rFonts w:eastAsia="Times New Roman" w:cs="Arial"/>
        </w:rPr>
      </w:pPr>
      <w:r w:rsidRPr="0071381F">
        <w:rPr>
          <w:rFonts w:eastAsia="Times New Roman" w:cs="Arial"/>
          <w:color w:val="000000"/>
          <w:lang w:eastAsia="bg-BG"/>
        </w:rPr>
        <w:t xml:space="preserve">Честотата, типа и остротата на нежеланите реакции при деца изглеждат съпоставими с тези при възрастните. Остри реакции на свъхчувствителност на кожата са съобщавани както при възрасти пациенти, така и при деца, включително синдрома на </w:t>
      </w:r>
      <w:r w:rsidRPr="0071381F">
        <w:rPr>
          <w:rFonts w:eastAsia="Times New Roman" w:cs="Arial"/>
          <w:color w:val="000000"/>
          <w:lang w:val="en-US"/>
        </w:rPr>
        <w:t>Stevens</w:t>
      </w:r>
      <w:r w:rsidRPr="0071381F">
        <w:rPr>
          <w:rFonts w:eastAsia="Times New Roman" w:cs="Arial"/>
          <w:color w:val="000000"/>
          <w:lang w:val="ru-RU"/>
        </w:rPr>
        <w:t>-</w:t>
      </w:r>
      <w:r w:rsidRPr="0071381F">
        <w:rPr>
          <w:rFonts w:eastAsia="Times New Roman" w:cs="Arial"/>
          <w:color w:val="000000"/>
          <w:lang w:val="en-US"/>
        </w:rPr>
        <w:t>Johnson</w:t>
      </w:r>
      <w:r w:rsidRPr="0071381F">
        <w:rPr>
          <w:rFonts w:eastAsia="Times New Roman" w:cs="Arial"/>
          <w:color w:val="000000"/>
          <w:lang w:val="ru-RU"/>
        </w:rPr>
        <w:t xml:space="preserve"> </w:t>
      </w:r>
      <w:r w:rsidRPr="0071381F">
        <w:rPr>
          <w:rFonts w:eastAsia="Times New Roman" w:cs="Arial"/>
          <w:color w:val="000000"/>
          <w:lang w:eastAsia="bg-BG"/>
        </w:rPr>
        <w:t>(много редки, включително единични съобщения: остри форми, включително генерализиран дерматит са описани в изолирани случаи).</w:t>
      </w:r>
    </w:p>
    <w:p w14:paraId="5C414886" w14:textId="77777777" w:rsidR="0071381F" w:rsidRPr="0071381F" w:rsidRDefault="0071381F" w:rsidP="0071381F">
      <w:pPr>
        <w:spacing w:line="240" w:lineRule="auto"/>
        <w:rPr>
          <w:rFonts w:eastAsia="Times New Roman" w:cs="Arial"/>
          <w:color w:val="000000"/>
          <w:u w:val="single"/>
          <w:lang w:eastAsia="bg-BG"/>
        </w:rPr>
      </w:pPr>
    </w:p>
    <w:p w14:paraId="1E75CC8F" w14:textId="60B6B4C1" w:rsidR="0071381F" w:rsidRPr="0071381F" w:rsidRDefault="0071381F" w:rsidP="0071381F">
      <w:pPr>
        <w:spacing w:line="240" w:lineRule="auto"/>
        <w:rPr>
          <w:rFonts w:eastAsia="Times New Roman" w:cs="Arial"/>
        </w:rPr>
      </w:pPr>
      <w:r w:rsidRPr="0071381F">
        <w:rPr>
          <w:rFonts w:eastAsia="Times New Roman" w:cs="Arial"/>
          <w:color w:val="000000"/>
          <w:u w:val="single"/>
          <w:lang w:eastAsia="bg-BG"/>
        </w:rPr>
        <w:t>Съобщаване на подозирани нежелани реакции</w:t>
      </w:r>
    </w:p>
    <w:p w14:paraId="28354E6F" w14:textId="77777777" w:rsidR="0071381F" w:rsidRPr="0071381F" w:rsidRDefault="0071381F" w:rsidP="0071381F">
      <w:pPr>
        <w:spacing w:line="240" w:lineRule="auto"/>
        <w:rPr>
          <w:rFonts w:eastAsia="Times New Roman" w:cs="Arial"/>
        </w:rPr>
      </w:pPr>
      <w:r w:rsidRPr="0071381F">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националната система за съобщаване.</w:t>
      </w:r>
    </w:p>
    <w:p w14:paraId="323C64D8" w14:textId="77777777" w:rsidR="0071381F" w:rsidRPr="0071381F" w:rsidRDefault="0071381F" w:rsidP="0071381F">
      <w:pPr>
        <w:spacing w:line="240" w:lineRule="auto"/>
        <w:rPr>
          <w:rFonts w:eastAsia="Times New Roman" w:cs="Arial"/>
          <w:color w:val="000000"/>
          <w:lang w:eastAsia="bg-BG"/>
        </w:rPr>
      </w:pPr>
    </w:p>
    <w:p w14:paraId="523FF973" w14:textId="77777777" w:rsidR="0071381F" w:rsidRPr="0071381F" w:rsidRDefault="0071381F" w:rsidP="0071381F">
      <w:pPr>
        <w:spacing w:line="240" w:lineRule="auto"/>
        <w:rPr>
          <w:rFonts w:eastAsia="Times New Roman" w:cs="Arial"/>
          <w:color w:val="000000"/>
          <w:lang w:eastAsia="bg-BG"/>
        </w:rPr>
      </w:pPr>
      <w:r w:rsidRPr="0071381F">
        <w:rPr>
          <w:rFonts w:eastAsia="Times New Roman" w:cs="Arial"/>
          <w:color w:val="000000"/>
          <w:lang w:eastAsia="bg-BG"/>
        </w:rPr>
        <w:t xml:space="preserve">Изпълнителна агенция по лекарствата </w:t>
      </w:r>
    </w:p>
    <w:p w14:paraId="200ED2EA" w14:textId="51F58018" w:rsidR="0071381F" w:rsidRPr="0071381F" w:rsidRDefault="0071381F" w:rsidP="0071381F">
      <w:pPr>
        <w:spacing w:line="240" w:lineRule="auto"/>
        <w:rPr>
          <w:rFonts w:eastAsia="Times New Roman" w:cs="Arial"/>
        </w:rPr>
      </w:pPr>
      <w:r w:rsidRPr="0071381F">
        <w:rPr>
          <w:rFonts w:eastAsia="Times New Roman" w:cs="Arial"/>
          <w:color w:val="000000"/>
          <w:lang w:eastAsia="bg-BG"/>
        </w:rPr>
        <w:t>ул. „Дамян Груев” № 8</w:t>
      </w:r>
    </w:p>
    <w:p w14:paraId="73BE25A2" w14:textId="5803ACE0" w:rsidR="0071381F" w:rsidRPr="0071381F" w:rsidRDefault="0071381F" w:rsidP="0071381F">
      <w:pPr>
        <w:spacing w:line="240" w:lineRule="auto"/>
        <w:rPr>
          <w:rFonts w:eastAsia="Times New Roman" w:cs="Arial"/>
          <w:color w:val="000000"/>
          <w:lang w:eastAsia="bg-BG"/>
        </w:rPr>
      </w:pPr>
      <w:r w:rsidRPr="0071381F">
        <w:rPr>
          <w:rFonts w:eastAsia="Times New Roman" w:cs="Arial"/>
          <w:color w:val="000000"/>
          <w:lang w:eastAsia="bg-BG"/>
        </w:rPr>
        <w:t>1303 София</w:t>
      </w:r>
    </w:p>
    <w:p w14:paraId="5B05881A" w14:textId="77777777" w:rsidR="0071381F" w:rsidRPr="0071381F" w:rsidRDefault="0071381F" w:rsidP="0071381F">
      <w:pPr>
        <w:spacing w:line="240" w:lineRule="auto"/>
        <w:rPr>
          <w:rFonts w:eastAsia="Times New Roman" w:cs="Arial"/>
          <w:color w:val="000000"/>
          <w:lang w:eastAsia="bg-BG"/>
        </w:rPr>
      </w:pPr>
      <w:r w:rsidRPr="0071381F">
        <w:rPr>
          <w:rFonts w:eastAsia="Times New Roman" w:cs="Arial"/>
          <w:color w:val="000000"/>
          <w:lang w:eastAsia="bg-BG"/>
        </w:rPr>
        <w:t xml:space="preserve">Тел.:4-359 2 8903417 </w:t>
      </w:r>
    </w:p>
    <w:p w14:paraId="505C39A9" w14:textId="7D1CF590" w:rsidR="0071381F" w:rsidRPr="0071381F" w:rsidRDefault="0071381F" w:rsidP="0071381F">
      <w:pPr>
        <w:spacing w:line="240" w:lineRule="auto"/>
        <w:rPr>
          <w:rFonts w:eastAsia="Times New Roman" w:cs="Arial"/>
        </w:rPr>
      </w:pPr>
      <w:r w:rsidRPr="0071381F">
        <w:rPr>
          <w:rFonts w:eastAsia="Times New Roman" w:cs="Arial"/>
          <w:color w:val="000000"/>
          <w:lang w:eastAsia="bg-BG"/>
        </w:rPr>
        <w:t xml:space="preserve">уебсайт: </w:t>
      </w:r>
      <w:hyperlink r:id="rId5" w:history="1">
        <w:r w:rsidRPr="0071381F">
          <w:rPr>
            <w:rFonts w:eastAsia="Times New Roman" w:cs="Arial"/>
            <w:color w:val="000000"/>
            <w:lang w:val="en-US"/>
          </w:rPr>
          <w:t>www.bda.bg</w:t>
        </w:r>
      </w:hyperlink>
    </w:p>
    <w:p w14:paraId="200BE964" w14:textId="77777777" w:rsidR="0071381F" w:rsidRPr="0071381F" w:rsidRDefault="0071381F" w:rsidP="0071381F">
      <w:pPr>
        <w:spacing w:line="240" w:lineRule="auto"/>
        <w:rPr>
          <w:rFonts w:ascii="Times New Roman" w:eastAsia="Times New Roman" w:hAnsi="Times New Roman" w:cs="Times New Roman"/>
          <w:sz w:val="24"/>
          <w:szCs w:val="24"/>
        </w:rPr>
      </w:pPr>
    </w:p>
    <w:p w14:paraId="769E2808" w14:textId="77777777" w:rsidR="0071381F" w:rsidRPr="0071381F" w:rsidRDefault="0071381F" w:rsidP="0071381F"/>
    <w:p w14:paraId="4ED30546" w14:textId="52AED828" w:rsidR="007C605B" w:rsidRDefault="002C50EE" w:rsidP="009F1313">
      <w:pPr>
        <w:pStyle w:val="Heading2"/>
      </w:pPr>
      <w:r>
        <w:t>4.9. Предозиране</w:t>
      </w:r>
    </w:p>
    <w:p w14:paraId="18A75312" w14:textId="662A9987" w:rsidR="0071381F" w:rsidRDefault="0071381F" w:rsidP="0071381F"/>
    <w:p w14:paraId="60C5878E" w14:textId="77777777" w:rsidR="0071381F" w:rsidRPr="0071381F" w:rsidRDefault="0071381F" w:rsidP="0071381F">
      <w:pPr>
        <w:spacing w:line="240" w:lineRule="auto"/>
        <w:rPr>
          <w:rFonts w:eastAsia="Times New Roman" w:cs="Arial"/>
          <w:sz w:val="24"/>
          <w:szCs w:val="24"/>
        </w:rPr>
      </w:pPr>
      <w:r w:rsidRPr="0071381F">
        <w:rPr>
          <w:rFonts w:eastAsia="Times New Roman" w:cs="Arial"/>
          <w:color w:val="000000"/>
          <w:lang w:eastAsia="bg-BG"/>
        </w:rPr>
        <w:t>В случай на предозиране може да се наблюдават: гадене, повръщане, миалгия, констатация, главоболие, менструални нарушения (при жените), понижена телесна температура, увеличаване или поява на гуша, сомнолентност или сънливост и умора, увеличаване на телесното тегло, ксеродермия и безсъние.</w:t>
      </w:r>
    </w:p>
    <w:p w14:paraId="14EE4EAC" w14:textId="77777777" w:rsidR="0071381F" w:rsidRPr="0071381F" w:rsidRDefault="0071381F" w:rsidP="0071381F">
      <w:pPr>
        <w:spacing w:line="240" w:lineRule="auto"/>
        <w:rPr>
          <w:rFonts w:eastAsia="Times New Roman" w:cs="Arial"/>
          <w:sz w:val="24"/>
          <w:szCs w:val="24"/>
        </w:rPr>
      </w:pPr>
      <w:r w:rsidRPr="0071381F">
        <w:rPr>
          <w:rFonts w:eastAsia="Times New Roman" w:cs="Arial"/>
          <w:color w:val="000000"/>
          <w:lang w:eastAsia="bg-BG"/>
        </w:rPr>
        <w:t>В случай на предозиране, лечението включва:</w:t>
      </w:r>
    </w:p>
    <w:p w14:paraId="154CC82C" w14:textId="3A012590" w:rsidR="0071381F" w:rsidRPr="0071381F" w:rsidRDefault="0071381F" w:rsidP="0071381F">
      <w:pPr>
        <w:pStyle w:val="ListParagraph"/>
        <w:numPr>
          <w:ilvl w:val="0"/>
          <w:numId w:val="32"/>
        </w:numPr>
        <w:spacing w:line="240" w:lineRule="auto"/>
        <w:rPr>
          <w:rFonts w:eastAsia="Times New Roman" w:cs="Arial"/>
          <w:sz w:val="24"/>
          <w:szCs w:val="24"/>
        </w:rPr>
      </w:pPr>
      <w:r w:rsidRPr="0071381F">
        <w:rPr>
          <w:rFonts w:eastAsia="Times New Roman" w:cs="Arial"/>
          <w:color w:val="000000"/>
          <w:lang w:eastAsia="bg-BG"/>
        </w:rPr>
        <w:t>извеждането на тиамазол от организма (предизвикване на повръщане, промивка на стомаха, приемане на активен въглен),</w:t>
      </w:r>
    </w:p>
    <w:p w14:paraId="3DA7EF7D" w14:textId="18EE3BC5" w:rsidR="0071381F" w:rsidRPr="0071381F" w:rsidRDefault="0071381F" w:rsidP="0071381F">
      <w:pPr>
        <w:pStyle w:val="ListParagraph"/>
        <w:numPr>
          <w:ilvl w:val="0"/>
          <w:numId w:val="32"/>
        </w:numPr>
        <w:spacing w:line="240" w:lineRule="auto"/>
        <w:rPr>
          <w:rFonts w:eastAsia="Times New Roman" w:cs="Arial"/>
          <w:sz w:val="24"/>
          <w:szCs w:val="24"/>
        </w:rPr>
      </w:pPr>
      <w:r w:rsidRPr="0071381F">
        <w:rPr>
          <w:rFonts w:eastAsia="Times New Roman" w:cs="Arial"/>
          <w:color w:val="000000"/>
          <w:lang w:eastAsia="bg-BG"/>
        </w:rPr>
        <w:t>наблюдение на състоянието на пациента (газометрия, кръвна картина, серумни нива на електролити),</w:t>
      </w:r>
    </w:p>
    <w:p w14:paraId="6E9B6E64" w14:textId="5399C329" w:rsidR="0071381F" w:rsidRPr="0071381F" w:rsidRDefault="0071381F" w:rsidP="0071381F">
      <w:pPr>
        <w:pStyle w:val="ListParagraph"/>
        <w:numPr>
          <w:ilvl w:val="0"/>
          <w:numId w:val="32"/>
        </w:numPr>
        <w:spacing w:line="240" w:lineRule="auto"/>
        <w:rPr>
          <w:rFonts w:eastAsia="Times New Roman" w:cs="Arial"/>
          <w:sz w:val="24"/>
          <w:szCs w:val="24"/>
        </w:rPr>
      </w:pPr>
      <w:r w:rsidRPr="0071381F">
        <w:rPr>
          <w:rFonts w:eastAsia="Times New Roman" w:cs="Arial"/>
          <w:color w:val="000000"/>
          <w:lang w:eastAsia="bg-BG"/>
        </w:rPr>
        <w:t>симптоматично лечение.</w:t>
      </w:r>
    </w:p>
    <w:p w14:paraId="5BE6E651" w14:textId="77777777" w:rsidR="0071381F" w:rsidRPr="0071381F" w:rsidRDefault="0071381F" w:rsidP="0071381F">
      <w:pPr>
        <w:spacing w:line="240" w:lineRule="auto"/>
        <w:rPr>
          <w:rFonts w:eastAsia="Times New Roman" w:cs="Arial"/>
          <w:sz w:val="24"/>
          <w:szCs w:val="24"/>
        </w:rPr>
      </w:pPr>
      <w:r w:rsidRPr="0071381F">
        <w:rPr>
          <w:rFonts w:eastAsia="Times New Roman" w:cs="Arial"/>
          <w:color w:val="000000"/>
          <w:lang w:eastAsia="bg-BG"/>
        </w:rPr>
        <w:t>Хемодиализата е неефективна при извеждането на тиамазол от организма.</w:t>
      </w:r>
    </w:p>
    <w:p w14:paraId="0B50AE88" w14:textId="77777777" w:rsidR="0071381F" w:rsidRPr="0071381F" w:rsidRDefault="0071381F" w:rsidP="0071381F"/>
    <w:p w14:paraId="02081B24" w14:textId="1F46E296" w:rsidR="00395555" w:rsidRPr="00395555" w:rsidRDefault="002C50EE" w:rsidP="008A6AF2">
      <w:pPr>
        <w:pStyle w:val="Heading1"/>
      </w:pPr>
      <w:r>
        <w:t>5. ФАРМАКОЛОГИЧНИ СВОЙСТВА</w:t>
      </w:r>
    </w:p>
    <w:p w14:paraId="5350637D" w14:textId="7834103A" w:rsidR="00395555" w:rsidRDefault="002C50EE" w:rsidP="008A6AF2">
      <w:pPr>
        <w:pStyle w:val="Heading2"/>
      </w:pPr>
      <w:r>
        <w:t>5.1. Фармакодинамични свойства</w:t>
      </w:r>
    </w:p>
    <w:p w14:paraId="005F8480" w14:textId="6B6AC6B0" w:rsidR="0071381F" w:rsidRDefault="0071381F" w:rsidP="0071381F"/>
    <w:p w14:paraId="366B6411" w14:textId="77777777" w:rsidR="0071381F" w:rsidRPr="0071381F" w:rsidRDefault="0071381F" w:rsidP="0071381F">
      <w:pPr>
        <w:rPr>
          <w:sz w:val="24"/>
          <w:szCs w:val="24"/>
        </w:rPr>
      </w:pPr>
      <w:r w:rsidRPr="0071381F">
        <w:rPr>
          <w:lang w:eastAsia="bg-BG"/>
        </w:rPr>
        <w:t>Фармакотерапевтична група: сяра съдържащи имидазолови производни, АТС код: Н03В В02.</w:t>
      </w:r>
    </w:p>
    <w:p w14:paraId="66AF4825" w14:textId="77777777" w:rsidR="0071381F" w:rsidRDefault="0071381F" w:rsidP="0071381F">
      <w:pPr>
        <w:rPr>
          <w:lang w:eastAsia="bg-BG"/>
        </w:rPr>
      </w:pPr>
    </w:p>
    <w:p w14:paraId="50EAA63C" w14:textId="4DD45AE1" w:rsidR="0071381F" w:rsidRPr="0071381F" w:rsidRDefault="0071381F" w:rsidP="0071381F">
      <w:pPr>
        <w:rPr>
          <w:sz w:val="24"/>
          <w:szCs w:val="24"/>
        </w:rPr>
      </w:pPr>
      <w:r w:rsidRPr="0071381F">
        <w:rPr>
          <w:lang w:eastAsia="bg-BG"/>
        </w:rPr>
        <w:t>Тиамазол е метаболит на карбимазол, който инхибира синтезата на тиреоидни хормони. Използван, като субстрат за пероксидазната система на щитовидната жлеза, той инхибира инкорпорирането на йода в тирозина, съдържащ се в тиреоглобулина и в резултат на това инхибира синтезата на монойодтирозин, дийодтирозин, трийодтирозин, тироксин.</w:t>
      </w:r>
    </w:p>
    <w:p w14:paraId="54F81F44" w14:textId="77777777" w:rsidR="0071381F" w:rsidRPr="0071381F" w:rsidRDefault="0071381F" w:rsidP="0071381F">
      <w:pPr>
        <w:rPr>
          <w:sz w:val="24"/>
          <w:szCs w:val="24"/>
        </w:rPr>
      </w:pPr>
      <w:r w:rsidRPr="0071381F">
        <w:rPr>
          <w:lang w:eastAsia="bg-BG"/>
        </w:rPr>
        <w:t>Той не повлиява нито количеството на вече синтезираните тиреоидни хормони, нито тяхното освобождаване. Поради това, ефектите на тиамазол се проявяват само няколко дни след приема на продукта.</w:t>
      </w:r>
    </w:p>
    <w:p w14:paraId="7A5543DF" w14:textId="77777777" w:rsidR="0071381F" w:rsidRPr="0071381F" w:rsidRDefault="0071381F" w:rsidP="0071381F"/>
    <w:p w14:paraId="26535098" w14:textId="6D6FAE8C" w:rsidR="00395555" w:rsidRDefault="002C50EE" w:rsidP="008A6AF2">
      <w:pPr>
        <w:pStyle w:val="Heading2"/>
      </w:pPr>
      <w:r>
        <w:t>5.2. Фармакокинетични свойства</w:t>
      </w:r>
    </w:p>
    <w:p w14:paraId="70881B68" w14:textId="30904A03" w:rsidR="0071381F" w:rsidRDefault="0071381F" w:rsidP="0071381F"/>
    <w:p w14:paraId="6C24DA90" w14:textId="77777777" w:rsidR="0071381F" w:rsidRPr="0071381F" w:rsidRDefault="0071381F" w:rsidP="0071381F">
      <w:pPr>
        <w:rPr>
          <w:sz w:val="24"/>
          <w:szCs w:val="24"/>
        </w:rPr>
      </w:pPr>
      <w:r w:rsidRPr="0071381F">
        <w:rPr>
          <w:lang w:eastAsia="bg-BG"/>
        </w:rPr>
        <w:t xml:space="preserve">След орален прием тиамазол бързо се резорбира в стомашно-чревния тракт. Най-висока плазмена концентрация, която след орален прием на 60 </w:t>
      </w:r>
      <w:r w:rsidRPr="0071381F">
        <w:rPr>
          <w:lang w:val="en-US"/>
        </w:rPr>
        <w:t>mg</w:t>
      </w:r>
      <w:r w:rsidRPr="0071381F">
        <w:rPr>
          <w:lang w:val="ru-RU"/>
        </w:rPr>
        <w:t xml:space="preserve"> </w:t>
      </w:r>
      <w:r w:rsidRPr="0071381F">
        <w:rPr>
          <w:lang w:eastAsia="bg-BG"/>
        </w:rPr>
        <w:t>тиамазол е около 1,184 μ</w:t>
      </w:r>
      <w:r w:rsidRPr="0071381F">
        <w:rPr>
          <w:lang w:val="en-US"/>
        </w:rPr>
        <w:t>g</w:t>
      </w:r>
      <w:r w:rsidRPr="0071381F">
        <w:rPr>
          <w:lang w:val="ru-RU"/>
        </w:rPr>
        <w:t>/</w:t>
      </w:r>
      <w:r w:rsidRPr="0071381F">
        <w:rPr>
          <w:lang w:val="en-US"/>
        </w:rPr>
        <w:t>ml</w:t>
      </w:r>
      <w:r w:rsidRPr="0071381F">
        <w:rPr>
          <w:lang w:val="ru-RU"/>
        </w:rPr>
        <w:t xml:space="preserve">, </w:t>
      </w:r>
      <w:r w:rsidRPr="0071381F">
        <w:rPr>
          <w:lang w:eastAsia="bg-BG"/>
        </w:rPr>
        <w:t xml:space="preserve">настъпва 30-60 минути след приема на лекарствения продукт. Бионаличността е 93%, а обемът на разпределение е около 0,6 </w:t>
      </w:r>
      <w:r w:rsidRPr="0071381F">
        <w:rPr>
          <w:lang w:val="ru-RU"/>
        </w:rPr>
        <w:t>1/</w:t>
      </w:r>
      <w:r w:rsidRPr="0071381F">
        <w:rPr>
          <w:lang w:val="en-US"/>
        </w:rPr>
        <w:t>kg</w:t>
      </w:r>
      <w:r w:rsidRPr="0071381F">
        <w:rPr>
          <w:lang w:val="ru-RU"/>
        </w:rPr>
        <w:t xml:space="preserve"> </w:t>
      </w:r>
      <w:r w:rsidRPr="0071381F">
        <w:rPr>
          <w:lang w:eastAsia="bg-BG"/>
        </w:rPr>
        <w:t>телесно тегло. Тиамазол се натрупва в щитовидната жлеза в активна форма. Практически, той не се свързва с плазмените протеини. Лекарственият продукт се метаболизира в черния дроб, а след това се елиминира с урината. Времето му на полуживот е 5-6 часа.</w:t>
      </w:r>
    </w:p>
    <w:p w14:paraId="5CE1B9C7" w14:textId="77777777" w:rsidR="0071381F" w:rsidRPr="0071381F" w:rsidRDefault="0071381F" w:rsidP="0071381F">
      <w:pPr>
        <w:rPr>
          <w:sz w:val="24"/>
          <w:szCs w:val="24"/>
        </w:rPr>
      </w:pPr>
      <w:r w:rsidRPr="0071381F">
        <w:rPr>
          <w:lang w:eastAsia="bg-BG"/>
        </w:rPr>
        <w:t xml:space="preserve">Обикновено, 7 седмици след началото на лечението, моментните концентрации на тироксина и трийодтиронина се връщат към нормалните (в едно проучване, в което продуктът е бил приеман в доза от 40 </w:t>
      </w:r>
      <w:r w:rsidRPr="0071381F">
        <w:rPr>
          <w:lang w:val="en-US"/>
        </w:rPr>
        <w:t>mg</w:t>
      </w:r>
      <w:r w:rsidRPr="0071381F">
        <w:rPr>
          <w:lang w:val="ru-RU"/>
        </w:rPr>
        <w:t xml:space="preserve"> </w:t>
      </w:r>
      <w:r w:rsidRPr="0071381F">
        <w:rPr>
          <w:lang w:eastAsia="bg-BG"/>
        </w:rPr>
        <w:t>дневно, това време възлиза на 4 седмици).</w:t>
      </w:r>
    </w:p>
    <w:p w14:paraId="2A7417DA" w14:textId="77777777" w:rsidR="0071381F" w:rsidRPr="0071381F" w:rsidRDefault="0071381F" w:rsidP="0071381F"/>
    <w:p w14:paraId="028E658A" w14:textId="5AA0DDAF" w:rsidR="00395555" w:rsidRDefault="002C50EE" w:rsidP="008A6AF2">
      <w:pPr>
        <w:pStyle w:val="Heading2"/>
      </w:pPr>
      <w:r>
        <w:t>5.3. Предклинични данни за безопасност</w:t>
      </w:r>
    </w:p>
    <w:p w14:paraId="68656CF8" w14:textId="1612639A" w:rsidR="0071381F" w:rsidRDefault="0071381F" w:rsidP="0071381F"/>
    <w:p w14:paraId="5A83C7F0" w14:textId="5207B233" w:rsidR="0071381F" w:rsidRPr="0071381F" w:rsidRDefault="0071381F" w:rsidP="0071381F">
      <w:r>
        <w:lastRenderedPageBreak/>
        <w:t>Изследванията върху животни показват, че тиамазол има възможен мутагенен или карциногенен потенциал.</w:t>
      </w:r>
    </w:p>
    <w:p w14:paraId="6A7820AB" w14:textId="0C4C430B" w:rsidR="008A6AF2" w:rsidRDefault="002C50EE" w:rsidP="00395555">
      <w:pPr>
        <w:pStyle w:val="Heading1"/>
      </w:pPr>
      <w:r>
        <w:t>7. ПРИТЕЖАТЕЛ НА РАЗРЕШЕНИЕТО ЗА УПОТРЕБА</w:t>
      </w:r>
    </w:p>
    <w:p w14:paraId="64B4C1C7" w14:textId="057AE5C2" w:rsidR="0071381F" w:rsidRDefault="0071381F" w:rsidP="0071381F"/>
    <w:p w14:paraId="4293A7A4" w14:textId="77777777" w:rsidR="0071381F" w:rsidRPr="0071381F" w:rsidRDefault="0071381F" w:rsidP="0071381F">
      <w:pPr>
        <w:rPr>
          <w:sz w:val="24"/>
          <w:szCs w:val="24"/>
        </w:rPr>
      </w:pPr>
      <w:r w:rsidRPr="0071381F">
        <w:rPr>
          <w:lang w:eastAsia="bg-BG"/>
        </w:rPr>
        <w:t>Майлан ЕООД</w:t>
      </w:r>
    </w:p>
    <w:p w14:paraId="35930443" w14:textId="77777777" w:rsidR="0071381F" w:rsidRPr="0071381F" w:rsidRDefault="0071381F" w:rsidP="0071381F">
      <w:pPr>
        <w:rPr>
          <w:sz w:val="24"/>
          <w:szCs w:val="24"/>
        </w:rPr>
      </w:pPr>
      <w:r w:rsidRPr="0071381F">
        <w:rPr>
          <w:lang w:eastAsia="bg-BG"/>
        </w:rPr>
        <w:t>Офис сграда „Сердика офиси“</w:t>
      </w:r>
    </w:p>
    <w:p w14:paraId="64175554" w14:textId="77777777" w:rsidR="0071381F" w:rsidRPr="0071381F" w:rsidRDefault="0071381F" w:rsidP="0071381F">
      <w:pPr>
        <w:rPr>
          <w:sz w:val="24"/>
          <w:szCs w:val="24"/>
        </w:rPr>
      </w:pPr>
      <w:r w:rsidRPr="0071381F">
        <w:rPr>
          <w:lang w:eastAsia="bg-BG"/>
        </w:rPr>
        <w:t>бул. Ситняково № 48, ет. 7</w:t>
      </w:r>
    </w:p>
    <w:p w14:paraId="6E31734B" w14:textId="77777777" w:rsidR="0071381F" w:rsidRPr="0071381F" w:rsidRDefault="0071381F" w:rsidP="0071381F">
      <w:pPr>
        <w:rPr>
          <w:sz w:val="24"/>
          <w:szCs w:val="24"/>
        </w:rPr>
      </w:pPr>
      <w:r w:rsidRPr="0071381F">
        <w:rPr>
          <w:lang w:eastAsia="bg-BG"/>
        </w:rPr>
        <w:t>1505 София</w:t>
      </w:r>
    </w:p>
    <w:p w14:paraId="56CCFD9F" w14:textId="7A210725" w:rsidR="0071381F" w:rsidRPr="0071381F" w:rsidRDefault="0071381F" w:rsidP="0071381F">
      <w:r w:rsidRPr="0071381F">
        <w:rPr>
          <w:lang w:eastAsia="bg-BG"/>
        </w:rPr>
        <w:t>България</w:t>
      </w:r>
    </w:p>
    <w:p w14:paraId="04840D59" w14:textId="601BFCDE" w:rsidR="002C50EE" w:rsidRDefault="002C50EE" w:rsidP="00395555">
      <w:pPr>
        <w:pStyle w:val="Heading1"/>
      </w:pPr>
      <w:r>
        <w:t>8. НОМЕР НА РАЗРЕШЕНИЕТО ЗА УПОТРЕБА</w:t>
      </w:r>
    </w:p>
    <w:p w14:paraId="2CC0B62E" w14:textId="7819BAE7" w:rsidR="0071381F" w:rsidRDefault="0071381F" w:rsidP="0071381F"/>
    <w:p w14:paraId="0E2438F7" w14:textId="40BF67DA" w:rsidR="0071381F" w:rsidRPr="0071381F" w:rsidRDefault="0071381F" w:rsidP="0071381F">
      <w:r>
        <w:t>Регистрационен № 9900341</w:t>
      </w:r>
    </w:p>
    <w:p w14:paraId="2CCB5832" w14:textId="09FFF728" w:rsidR="007C605B" w:rsidRDefault="002C50EE" w:rsidP="007C605B">
      <w:pPr>
        <w:pStyle w:val="Heading1"/>
      </w:pPr>
      <w:r>
        <w:t>9. ДАТА НА ПЪРВО РАЗРЕШАВАНЕ/ПОДНОВЯВАНЕ НА РАЗРЕШЕНИЕТО ЗА УПОТРЕБА</w:t>
      </w:r>
    </w:p>
    <w:p w14:paraId="3BB96EA8" w14:textId="53D6F48D" w:rsidR="0071381F" w:rsidRDefault="0071381F" w:rsidP="0071381F"/>
    <w:p w14:paraId="5FC74590" w14:textId="77777777" w:rsidR="0071381F" w:rsidRPr="0071381F" w:rsidRDefault="0071381F" w:rsidP="0071381F">
      <w:pPr>
        <w:rPr>
          <w:sz w:val="24"/>
          <w:szCs w:val="24"/>
        </w:rPr>
      </w:pPr>
      <w:r w:rsidRPr="0071381F">
        <w:rPr>
          <w:lang w:eastAsia="bg-BG"/>
        </w:rPr>
        <w:t>Дата на първо разрешаване: 02/11/1999 г.</w:t>
      </w:r>
    </w:p>
    <w:p w14:paraId="7870B709" w14:textId="7AC493E7" w:rsidR="0071381F" w:rsidRPr="0071381F" w:rsidRDefault="0071381F" w:rsidP="0071381F">
      <w:r w:rsidRPr="0071381F">
        <w:rPr>
          <w:lang w:eastAsia="bg-BG"/>
        </w:rPr>
        <w:t>Дата на последно подновяване: 07/06/2011 г.</w:t>
      </w:r>
    </w:p>
    <w:p w14:paraId="0E9D0119" w14:textId="0245C6D7" w:rsidR="002C50EE" w:rsidRDefault="002C50EE" w:rsidP="002C50EE">
      <w:pPr>
        <w:pStyle w:val="Heading1"/>
      </w:pPr>
      <w:r>
        <w:t>10. ДАТА НА АКТУАЛИЗИРАНЕ НА ТЕКСТА</w:t>
      </w:r>
    </w:p>
    <w:bookmarkEnd w:id="0"/>
    <w:p w14:paraId="43FB38A2" w14:textId="184FEE8F" w:rsidR="007C605B" w:rsidRPr="003E3126" w:rsidRDefault="0071381F" w:rsidP="0071381F">
      <w:r>
        <w:t>Февруари 2019 г.</w:t>
      </w:r>
      <w:bookmarkStart w:id="5" w:name="_GoBack"/>
      <w:bookmarkEnd w:id="5"/>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0"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5"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0"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0A51D1"/>
    <w:multiLevelType w:val="hybridMultilevel"/>
    <w:tmpl w:val="D5300924"/>
    <w:lvl w:ilvl="0" w:tplc="6CE626B2">
      <w:start w:val="4"/>
      <w:numFmt w:val="bullet"/>
      <w:lvlText w:val="-"/>
      <w:lvlJc w:val="left"/>
      <w:pPr>
        <w:ind w:left="720" w:hanging="360"/>
      </w:pPr>
      <w:rPr>
        <w:rFonts w:ascii="Arial" w:eastAsia="Times New Roman" w:hAnsi="Arial" w:cs="Aria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6"/>
  </w:num>
  <w:num w:numId="2">
    <w:abstractNumId w:val="0"/>
  </w:num>
  <w:num w:numId="3">
    <w:abstractNumId w:val="12"/>
  </w:num>
  <w:num w:numId="4">
    <w:abstractNumId w:val="3"/>
  </w:num>
  <w:num w:numId="5">
    <w:abstractNumId w:val="1"/>
  </w:num>
  <w:num w:numId="6">
    <w:abstractNumId w:val="15"/>
  </w:num>
  <w:num w:numId="7">
    <w:abstractNumId w:val="10"/>
  </w:num>
  <w:num w:numId="8">
    <w:abstractNumId w:val="14"/>
  </w:num>
  <w:num w:numId="9">
    <w:abstractNumId w:val="2"/>
  </w:num>
  <w:num w:numId="10">
    <w:abstractNumId w:val="4"/>
  </w:num>
  <w:num w:numId="11">
    <w:abstractNumId w:val="29"/>
  </w:num>
  <w:num w:numId="12">
    <w:abstractNumId w:val="13"/>
  </w:num>
  <w:num w:numId="13">
    <w:abstractNumId w:val="18"/>
  </w:num>
  <w:num w:numId="14">
    <w:abstractNumId w:val="11"/>
  </w:num>
  <w:num w:numId="15">
    <w:abstractNumId w:val="27"/>
  </w:num>
  <w:num w:numId="16">
    <w:abstractNumId w:val="9"/>
  </w:num>
  <w:num w:numId="17">
    <w:abstractNumId w:val="23"/>
  </w:num>
  <w:num w:numId="18">
    <w:abstractNumId w:val="7"/>
  </w:num>
  <w:num w:numId="19">
    <w:abstractNumId w:val="25"/>
  </w:num>
  <w:num w:numId="20">
    <w:abstractNumId w:val="22"/>
  </w:num>
  <w:num w:numId="21">
    <w:abstractNumId w:val="16"/>
  </w:num>
  <w:num w:numId="22">
    <w:abstractNumId w:val="24"/>
  </w:num>
  <w:num w:numId="23">
    <w:abstractNumId w:val="17"/>
  </w:num>
  <w:num w:numId="24">
    <w:abstractNumId w:val="8"/>
  </w:num>
  <w:num w:numId="25">
    <w:abstractNumId w:val="21"/>
  </w:num>
  <w:num w:numId="26">
    <w:abstractNumId w:val="20"/>
  </w:num>
  <w:num w:numId="27">
    <w:abstractNumId w:val="30"/>
  </w:num>
  <w:num w:numId="28">
    <w:abstractNumId w:val="6"/>
  </w:num>
  <w:num w:numId="29">
    <w:abstractNumId w:val="19"/>
  </w:num>
  <w:num w:numId="30">
    <w:abstractNumId w:val="31"/>
  </w:num>
  <w:num w:numId="31">
    <w:abstractNumId w:val="5"/>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D4D6B"/>
    <w:rsid w:val="00517A5B"/>
    <w:rsid w:val="00593A00"/>
    <w:rsid w:val="005A66D9"/>
    <w:rsid w:val="00605BCA"/>
    <w:rsid w:val="006158A1"/>
    <w:rsid w:val="00617B1F"/>
    <w:rsid w:val="00672487"/>
    <w:rsid w:val="00672600"/>
    <w:rsid w:val="00681D4A"/>
    <w:rsid w:val="00685882"/>
    <w:rsid w:val="0071381F"/>
    <w:rsid w:val="0075649D"/>
    <w:rsid w:val="007C605B"/>
    <w:rsid w:val="00814073"/>
    <w:rsid w:val="00826F0D"/>
    <w:rsid w:val="00893B92"/>
    <w:rsid w:val="008A6AF2"/>
    <w:rsid w:val="008C70A2"/>
    <w:rsid w:val="009773E4"/>
    <w:rsid w:val="009B171C"/>
    <w:rsid w:val="009F1313"/>
    <w:rsid w:val="00A20351"/>
    <w:rsid w:val="00AA23EC"/>
    <w:rsid w:val="00AC63CE"/>
    <w:rsid w:val="00AE2107"/>
    <w:rsid w:val="00B275A8"/>
    <w:rsid w:val="00BF2600"/>
    <w:rsid w:val="00C0049F"/>
    <w:rsid w:val="00C07B84"/>
    <w:rsid w:val="00C33464"/>
    <w:rsid w:val="00C809A7"/>
    <w:rsid w:val="00C83063"/>
    <w:rsid w:val="00C87E90"/>
    <w:rsid w:val="00CA1B5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2383</Words>
  <Characters>13586</Characters>
  <Application>Microsoft Office Word</Application>
  <DocSecurity>0</DocSecurity>
  <Lines>113</Lines>
  <Paragraphs>31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2021-12-30T11:36:00Z</dcterms:created>
  <dcterms:modified xsi:type="dcterms:W3CDTF">2021-12-30T11:36:00Z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