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373EF1D1" w:rsidR="00AA23EC" w:rsidRDefault="00DD466D" w:rsidP="00DD466D">
      <w:pPr>
        <w:pStyle w:val="Heading1"/>
      </w:pPr>
      <w:r>
        <w:t>1.ИМЕ НА ЛЕКАРСТВЕНИЯ ПРОДУКТ</w:t>
      </w:r>
    </w:p>
    <w:p w14:paraId="04CFAA75" w14:textId="2DCB0194" w:rsidR="00B158DC" w:rsidRDefault="00B158DC" w:rsidP="00B158DC"/>
    <w:p w14:paraId="188F0AEA" w14:textId="77777777" w:rsidR="00B158DC" w:rsidRPr="00B158DC" w:rsidRDefault="00B158DC" w:rsidP="00B158DC">
      <w:pPr>
        <w:rPr>
          <w:sz w:val="24"/>
          <w:szCs w:val="24"/>
        </w:rPr>
      </w:pPr>
      <w:r w:rsidRPr="00B158DC">
        <w:rPr>
          <w:lang w:eastAsia="bg-BG"/>
        </w:rPr>
        <w:t xml:space="preserve">МЕКСИЯ 10 </w:t>
      </w:r>
      <w:r w:rsidRPr="00B158DC">
        <w:rPr>
          <w:lang w:val="en-US"/>
        </w:rPr>
        <w:t>mg</w:t>
      </w:r>
      <w:r w:rsidRPr="00B158DC">
        <w:t xml:space="preserve"> </w:t>
      </w:r>
      <w:r w:rsidRPr="00B158DC">
        <w:rPr>
          <w:lang w:eastAsia="bg-BG"/>
        </w:rPr>
        <w:t>филмирани таблетки</w:t>
      </w:r>
    </w:p>
    <w:p w14:paraId="600851A5" w14:textId="42A28401" w:rsidR="00B158DC" w:rsidRPr="00B158DC" w:rsidRDefault="00B158DC" w:rsidP="00B158DC">
      <w:r w:rsidRPr="00B158DC">
        <w:rPr>
          <w:lang w:val="en-US"/>
        </w:rPr>
        <w:t>MEXIA</w:t>
      </w:r>
      <w:r w:rsidRPr="00B158DC">
        <w:t xml:space="preserve"> </w:t>
      </w:r>
      <w:r w:rsidRPr="00B158DC">
        <w:rPr>
          <w:lang w:eastAsia="bg-BG"/>
        </w:rPr>
        <w:t xml:space="preserve">10 </w:t>
      </w:r>
      <w:r w:rsidRPr="00B158DC">
        <w:rPr>
          <w:lang w:val="en-US"/>
        </w:rPr>
        <w:t>mg</w:t>
      </w:r>
      <w:r w:rsidRPr="00B158DC">
        <w:t xml:space="preserve"> </w:t>
      </w:r>
      <w:r w:rsidRPr="00B158DC">
        <w:rPr>
          <w:lang w:val="en-US"/>
        </w:rPr>
        <w:t>film</w:t>
      </w:r>
      <w:r w:rsidRPr="00B158DC">
        <w:t>-</w:t>
      </w:r>
      <w:r w:rsidRPr="00B158DC">
        <w:rPr>
          <w:lang w:val="en-US"/>
        </w:rPr>
        <w:t>coated</w:t>
      </w:r>
      <w:r w:rsidRPr="00B158DC">
        <w:t xml:space="preserve"> </w:t>
      </w:r>
      <w:r w:rsidRPr="00B158DC">
        <w:rPr>
          <w:lang w:val="en-US"/>
        </w:rPr>
        <w:t>tablets</w:t>
      </w:r>
    </w:p>
    <w:p w14:paraId="0A368469" w14:textId="6FAF01C3" w:rsidR="00C0049F" w:rsidRDefault="00DD466D" w:rsidP="009F1313">
      <w:pPr>
        <w:pStyle w:val="Heading1"/>
      </w:pPr>
      <w:r>
        <w:t>2. КАЧЕСТВЕН И КОЛИЧЕСТВЕН СЪСТАВ</w:t>
      </w:r>
    </w:p>
    <w:p w14:paraId="27E38928" w14:textId="5F118BFC" w:rsidR="00B158DC" w:rsidRDefault="00B158DC" w:rsidP="00B158DC"/>
    <w:p w14:paraId="26C8727A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Всяка филмирана таблетка съдържа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мемантинов хидрохлорид </w:t>
      </w:r>
      <w:r w:rsidRPr="00B158DC">
        <w:rPr>
          <w:rFonts w:eastAsia="Times New Roman" w:cs="Arial"/>
          <w:bCs/>
          <w:color w:val="000000"/>
          <w:szCs w:val="20"/>
        </w:rPr>
        <w:t>(</w:t>
      </w:r>
      <w:proofErr w:type="spellStart"/>
      <w:r w:rsidRPr="00B158DC">
        <w:rPr>
          <w:rFonts w:eastAsia="Times New Roman" w:cs="Arial"/>
          <w:bCs/>
          <w:color w:val="000000"/>
          <w:szCs w:val="20"/>
          <w:lang w:val="en-US"/>
        </w:rPr>
        <w:t>memantine</w:t>
      </w:r>
      <w:proofErr w:type="spellEnd"/>
      <w:r w:rsidRPr="00B158DC">
        <w:rPr>
          <w:rFonts w:eastAsia="Times New Roman" w:cs="Arial"/>
          <w:bCs/>
          <w:color w:val="000000"/>
          <w:szCs w:val="20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hydrochloride</w:t>
      </w:r>
      <w:r w:rsidRPr="00B158DC">
        <w:rPr>
          <w:rFonts w:eastAsia="Times New Roman" w:cs="Arial"/>
          <w:bCs/>
          <w:color w:val="000000"/>
          <w:szCs w:val="20"/>
        </w:rPr>
        <w:t xml:space="preserve">),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еквивалентни на 8,31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мемантин </w:t>
      </w:r>
      <w:r w:rsidRPr="00B158DC">
        <w:rPr>
          <w:rFonts w:eastAsia="Times New Roman" w:cs="Arial"/>
          <w:bCs/>
          <w:color w:val="000000"/>
          <w:szCs w:val="20"/>
        </w:rPr>
        <w:t>(</w:t>
      </w:r>
      <w:proofErr w:type="spellStart"/>
      <w:r w:rsidRPr="00B158DC">
        <w:rPr>
          <w:rFonts w:eastAsia="Times New Roman" w:cs="Arial"/>
          <w:bCs/>
          <w:color w:val="000000"/>
          <w:szCs w:val="20"/>
          <w:lang w:val="en-US"/>
        </w:rPr>
        <w:t>memantine</w:t>
      </w:r>
      <w:proofErr w:type="spellEnd"/>
      <w:r w:rsidRPr="00B158DC">
        <w:rPr>
          <w:rFonts w:eastAsia="Times New Roman" w:cs="Arial"/>
          <w:bCs/>
          <w:color w:val="000000"/>
          <w:szCs w:val="20"/>
        </w:rPr>
        <w:t>).</w:t>
      </w:r>
    </w:p>
    <w:p w14:paraId="61547247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u w:val="single"/>
          <w:lang w:eastAsia="bg-BG"/>
        </w:rPr>
      </w:pPr>
    </w:p>
    <w:p w14:paraId="72DC6F62" w14:textId="4E710833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u w:val="single"/>
          <w:lang w:eastAsia="bg-BG"/>
        </w:rPr>
        <w:t>Помощно вещество с известно действие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:</w:t>
      </w:r>
    </w:p>
    <w:p w14:paraId="0DAA043B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Лактоза монохидрат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ab/>
        <w:t>82,83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ab/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</w:p>
    <w:p w14:paraId="3F343530" w14:textId="77777777" w:rsidR="00B158DC" w:rsidRPr="00B158DC" w:rsidRDefault="00B158DC" w:rsidP="00B158DC"/>
    <w:p w14:paraId="614984C4" w14:textId="00AC7BAE" w:rsidR="008A6AF2" w:rsidRDefault="00DD466D" w:rsidP="002C50EE">
      <w:pPr>
        <w:pStyle w:val="Heading1"/>
      </w:pPr>
      <w:r>
        <w:t>3. ЛЕКАРСТВЕНА ФОРМА</w:t>
      </w:r>
    </w:p>
    <w:p w14:paraId="7411771C" w14:textId="5D135027" w:rsidR="00B158DC" w:rsidRDefault="00B158DC" w:rsidP="00B158DC"/>
    <w:p w14:paraId="1E3A5E6B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Филмирана таблетка.</w:t>
      </w:r>
    </w:p>
    <w:p w14:paraId="40450078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Бели до почти бели продълговати филмирани таблетки, стеснени в средата, двойно изпъкнали, с делителна черта от двете страни на таблетката.</w:t>
      </w:r>
    </w:p>
    <w:p w14:paraId="518C20DA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322FCE04" w14:textId="6EFF41CC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Таблетката може да бъде разделена на две равни дози.</w:t>
      </w:r>
    </w:p>
    <w:p w14:paraId="48F6CB99" w14:textId="77777777" w:rsidR="00B158DC" w:rsidRPr="00B158DC" w:rsidRDefault="00B158DC" w:rsidP="00B158DC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2461E11F" w:rsidR="00395555" w:rsidRDefault="00395555" w:rsidP="00395555"/>
    <w:p w14:paraId="618D216A" w14:textId="2EAAE4F9" w:rsidR="00B158DC" w:rsidRDefault="00B158DC" w:rsidP="00395555">
      <w:pPr>
        <w:rPr>
          <w:bCs/>
          <w:szCs w:val="20"/>
        </w:rPr>
      </w:pPr>
      <w:r w:rsidRPr="00B158DC">
        <w:rPr>
          <w:bCs/>
          <w:szCs w:val="20"/>
        </w:rPr>
        <w:t>Лечение на пациенти с умерена до тежка степен на болест на Алцхаймер.</w:t>
      </w:r>
    </w:p>
    <w:p w14:paraId="6D1EE591" w14:textId="77777777" w:rsidR="00B158DC" w:rsidRPr="00B158DC" w:rsidRDefault="00B158DC" w:rsidP="00395555">
      <w:pPr>
        <w:rPr>
          <w:sz w:val="24"/>
        </w:rPr>
      </w:pPr>
    </w:p>
    <w:p w14:paraId="7C0CA5EB" w14:textId="4C02FBFD" w:rsidR="00C0049F" w:rsidRDefault="002C50EE" w:rsidP="009F1313">
      <w:pPr>
        <w:pStyle w:val="Heading2"/>
      </w:pPr>
      <w:r>
        <w:t>4.2. Дозировка и начин на приложение</w:t>
      </w:r>
    </w:p>
    <w:p w14:paraId="298A033C" w14:textId="5559E5F5" w:rsidR="00B158DC" w:rsidRDefault="00B158DC" w:rsidP="00B158DC"/>
    <w:p w14:paraId="68893C2B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Лечението трябва да бъде започнато и наблюдавано от лекар с опит в диагностицирането и лечението на деменцията на Алцхаймер. Лечението трябва да бъде започвано, само ако има лице, което да се грижи за болния и редовно да следи приема на лекарствения продукт от пациента. Диагнозата трябва да бъде поставена в съответствие със съвременните диагностични принципи. Поносимостга и дозирането на мемантин 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>(</w:t>
      </w:r>
      <w:proofErr w:type="spellStart"/>
      <w:r w:rsidRPr="00B158DC">
        <w:rPr>
          <w:rFonts w:eastAsia="Times New Roman" w:cs="Arial"/>
          <w:bCs/>
          <w:color w:val="000000"/>
          <w:szCs w:val="20"/>
          <w:lang w:val="en-US"/>
        </w:rPr>
        <w:t>memantine</w:t>
      </w:r>
      <w:proofErr w:type="spellEnd"/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трябва да се преоценява регулярно, за предпочитане в рамките на 3 месеца след започване на лечението. След това, клиничната полза от мемантин и поносимостга на пациента към лечението, следва да се преоценяват регулярно, в съответствие с актуалните клинични ръководства. Поддържащото лечение може да продължи, докато терапевтична полза е задоволителна и пациента понася лечението с мемантин. Ако са на лице доказателства за отпадане на терапевтичния ефект или ако пациентът не понася лечението, трябва да се обмисли прекратяване на лечението с мемантин.</w:t>
      </w:r>
    </w:p>
    <w:p w14:paraId="7AAE370D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u w:val="single"/>
          <w:lang w:eastAsia="bg-BG"/>
        </w:rPr>
      </w:pPr>
    </w:p>
    <w:p w14:paraId="73D62732" w14:textId="045637FA" w:rsidR="00B158DC" w:rsidRPr="00B158DC" w:rsidRDefault="00B158DC" w:rsidP="00B158DC">
      <w:pPr>
        <w:pStyle w:val="Heading3"/>
        <w:rPr>
          <w:rFonts w:eastAsia="Times New Roman"/>
          <w:sz w:val="28"/>
          <w:u w:val="single"/>
        </w:rPr>
      </w:pPr>
      <w:r w:rsidRPr="00B158DC">
        <w:rPr>
          <w:rFonts w:eastAsia="Times New Roman"/>
          <w:u w:val="single"/>
          <w:lang w:eastAsia="bg-BG"/>
        </w:rPr>
        <w:lastRenderedPageBreak/>
        <w:t>Дозировка</w:t>
      </w:r>
    </w:p>
    <w:p w14:paraId="20FCF9B6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79AA9761" w14:textId="0882E7A2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i/>
          <w:iCs/>
          <w:color w:val="000000"/>
          <w:szCs w:val="20"/>
          <w:lang w:eastAsia="bg-BG"/>
        </w:rPr>
        <w:t>Възрастни:</w:t>
      </w:r>
    </w:p>
    <w:p w14:paraId="0E7528A5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207E6BF0" w14:textId="03988D66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i/>
          <w:iCs/>
          <w:color w:val="000000"/>
          <w:szCs w:val="20"/>
          <w:lang w:eastAsia="bg-BG"/>
        </w:rPr>
        <w:t>Титриране на дозата</w:t>
      </w:r>
    </w:p>
    <w:p w14:paraId="5A302216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2CFF87DE" w14:textId="24047603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Максималната дневна доза е 20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дневно. За да се намали риска от нежелани лекарствени реакции, поддържащата доза се достига чрез постепенно увеличаване с по 5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седмично през първите три седмици, както следва:</w:t>
      </w:r>
    </w:p>
    <w:p w14:paraId="3989D776" w14:textId="77777777" w:rsidR="00B158DC" w:rsidRPr="00B158DC" w:rsidRDefault="00B158DC" w:rsidP="00B158DC">
      <w:pPr>
        <w:rPr>
          <w:rFonts w:eastAsia="Times New Roman" w:cs="Arial"/>
          <w:bCs/>
          <w:color w:val="000000"/>
          <w:szCs w:val="20"/>
          <w:lang w:eastAsia="bg-BG"/>
        </w:rPr>
      </w:pPr>
    </w:p>
    <w:p w14:paraId="74D7D2A0" w14:textId="18E97015" w:rsidR="00B158DC" w:rsidRDefault="00B158DC" w:rsidP="00B158DC">
      <w:pPr>
        <w:rPr>
          <w:rFonts w:eastAsia="Times New Roman" w:cs="Arial"/>
          <w:bCs/>
          <w:color w:val="000000"/>
          <w:szCs w:val="20"/>
          <w:lang w:eastAsia="bg-BG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Седмица 1 (ден 1-7):</w:t>
      </w:r>
    </w:p>
    <w:p w14:paraId="4FD622C2" w14:textId="75A14153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Пациентът трябва да приема половин филмирана таблетка МЕКСИЯ от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(5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дневно в продължение на 7 дни.</w:t>
      </w:r>
    </w:p>
    <w:p w14:paraId="39971F87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650058AC" w14:textId="08B8EE35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Седмица 2 (ден 8-14):</w:t>
      </w:r>
    </w:p>
    <w:p w14:paraId="5956A369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Пациентът трябва да приема една филмирана таблетка МЕКСИЯ от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(10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дневно в продължение на 7 дни.</w:t>
      </w:r>
    </w:p>
    <w:p w14:paraId="1C020CBA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6BC7E6AE" w14:textId="0D735149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Седмица 3 (ден 15-21):</w:t>
      </w:r>
    </w:p>
    <w:p w14:paraId="6EE9A4DB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Пациентът трябва да приема една и половина филмирана таблетка МЕКСИЯ от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(15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дневно в продължение на 7 дни.</w:t>
      </w:r>
    </w:p>
    <w:p w14:paraId="3302CCB0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14666B4F" w14:textId="47C6DC6B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От седмица 4 нататък:</w:t>
      </w:r>
    </w:p>
    <w:p w14:paraId="382F7204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Пациентът трябва да приема две филмирани таблетки МЕКСИЯ от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(20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дневно.</w:t>
      </w:r>
    </w:p>
    <w:p w14:paraId="65C16830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0F35E5C3" w14:textId="6C9686E1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i/>
          <w:iCs/>
          <w:color w:val="000000"/>
          <w:szCs w:val="20"/>
          <w:lang w:eastAsia="bg-BG"/>
        </w:rPr>
        <w:t>Подържаща доза</w:t>
      </w:r>
    </w:p>
    <w:p w14:paraId="21BC294E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Препоръчваната подържаща доза е 20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дневно.</w:t>
      </w:r>
    </w:p>
    <w:p w14:paraId="7F6BFB59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u w:val="single"/>
          <w:lang w:eastAsia="bg-BG"/>
        </w:rPr>
      </w:pPr>
    </w:p>
    <w:p w14:paraId="4A896968" w14:textId="0DEAAFEE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u w:val="single"/>
          <w:lang w:eastAsia="bg-BG"/>
        </w:rPr>
        <w:t>Специални популапии</w:t>
      </w:r>
    </w:p>
    <w:p w14:paraId="149D8CFB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i/>
          <w:iCs/>
          <w:color w:val="000000"/>
          <w:szCs w:val="20"/>
          <w:lang w:eastAsia="bg-BG"/>
        </w:rPr>
        <w:t>Пациенти в старческа възраст</w:t>
      </w:r>
    </w:p>
    <w:p w14:paraId="7B36369F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Въз основа на клиничните проучвания, препоръчваната дневна доза за пациенти на възраст над 65 години е 20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дневно (две филмирани таблетки от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>веднъж дневно), както е посочено по- горе.</w:t>
      </w:r>
    </w:p>
    <w:p w14:paraId="4C164891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69DA6FDD" w14:textId="744311FF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i/>
          <w:iCs/>
          <w:color w:val="000000"/>
          <w:szCs w:val="20"/>
          <w:lang w:eastAsia="bg-BG"/>
        </w:rPr>
        <w:t>Деца и юноши</w:t>
      </w:r>
    </w:p>
    <w:p w14:paraId="7C026618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Употребата на МЕКСИЯ при деца на възраст под 18 години не се препоръчва, поради липса на данни относно безопасността и ефикасността.</w:t>
      </w:r>
    </w:p>
    <w:p w14:paraId="4FA12631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0313ADBE" w14:textId="40EFEE98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i/>
          <w:iCs/>
          <w:color w:val="000000"/>
          <w:szCs w:val="20"/>
          <w:lang w:eastAsia="bg-BG"/>
        </w:rPr>
        <w:t>Бъбречно увреждане</w:t>
      </w:r>
    </w:p>
    <w:p w14:paraId="24FD11CA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При пациенти с леко увредена бъбречна функция (креатининов клирьнс 50-80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ml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>/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min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не се налага адаптиране на дозата. При пациенти с умерено бъбречно увреждане (креатининов клирьнс 30- 49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ml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>/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min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дневната доза трябва да бъде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.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При добра поносимост, след най-малко 7 дневно лечение, дозата може да бъде увеличена до 20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/ден, съгласно стандартната схема на титриране. При пациенти с тежко бъбречно увреждане (креатининов клирьнс 5-29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ml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>/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min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дневната доза трябва да бъде 10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mg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>.</w:t>
      </w:r>
    </w:p>
    <w:p w14:paraId="53D22C07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1BA03BF8" w14:textId="558B15DA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i/>
          <w:iCs/>
          <w:color w:val="000000"/>
          <w:szCs w:val="20"/>
          <w:lang w:eastAsia="bg-BG"/>
        </w:rPr>
        <w:t>Чернодробно увреждане</w:t>
      </w:r>
    </w:p>
    <w:p w14:paraId="6D294B71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При пациенти с леко или умерено нарушена чернодробна функция (клас А и В по 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Child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>-</w:t>
      </w:r>
      <w:r w:rsidRPr="00B158DC">
        <w:rPr>
          <w:rFonts w:eastAsia="Times New Roman" w:cs="Arial"/>
          <w:bCs/>
          <w:color w:val="000000"/>
          <w:szCs w:val="20"/>
          <w:lang w:val="en-US"/>
        </w:rPr>
        <w:t>Pugh</w:t>
      </w:r>
      <w:r w:rsidRPr="00B158DC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t xml:space="preserve">не е необходимо адаптиране на дозата. Няма данни за употребата на мемантин </w:t>
      </w:r>
      <w:r w:rsidRPr="00B158DC">
        <w:rPr>
          <w:rFonts w:eastAsia="Times New Roman" w:cs="Arial"/>
          <w:bCs/>
          <w:color w:val="000000"/>
          <w:szCs w:val="20"/>
          <w:lang w:eastAsia="bg-BG"/>
        </w:rPr>
        <w:lastRenderedPageBreak/>
        <w:t>при пациенти с тежко чернодробно увреждане. Не се препоръчва приложението на МЕКСИЯ при пациенти с тежко чернодробно увреждане.</w:t>
      </w:r>
    </w:p>
    <w:p w14:paraId="2237E64E" w14:textId="77777777" w:rsidR="00B158DC" w:rsidRPr="00B158DC" w:rsidRDefault="00B158DC" w:rsidP="00B158DC">
      <w:pPr>
        <w:spacing w:line="240" w:lineRule="auto"/>
        <w:rPr>
          <w:rFonts w:eastAsia="Times New Roman" w:cs="Arial"/>
          <w:bCs/>
          <w:color w:val="000000"/>
          <w:szCs w:val="20"/>
          <w:u w:val="single"/>
          <w:lang w:eastAsia="bg-BG"/>
        </w:rPr>
      </w:pPr>
    </w:p>
    <w:p w14:paraId="644030A6" w14:textId="465411B3" w:rsidR="00B158DC" w:rsidRPr="00B158DC" w:rsidRDefault="00B158DC" w:rsidP="00B158DC">
      <w:pPr>
        <w:pStyle w:val="Heading3"/>
        <w:rPr>
          <w:rFonts w:eastAsia="Times New Roman"/>
          <w:sz w:val="28"/>
          <w:u w:val="single"/>
        </w:rPr>
      </w:pPr>
      <w:r w:rsidRPr="00B158DC">
        <w:rPr>
          <w:rFonts w:eastAsia="Times New Roman"/>
          <w:u w:val="single"/>
          <w:lang w:eastAsia="bg-BG"/>
        </w:rPr>
        <w:t>Начин на приложение</w:t>
      </w:r>
    </w:p>
    <w:p w14:paraId="0D97413A" w14:textId="77777777" w:rsidR="00B158DC" w:rsidRPr="00B158DC" w:rsidRDefault="00B158DC" w:rsidP="00B158DC">
      <w:pPr>
        <w:spacing w:line="240" w:lineRule="auto"/>
        <w:rPr>
          <w:rFonts w:eastAsia="Times New Roman" w:cs="Arial"/>
          <w:sz w:val="28"/>
          <w:szCs w:val="24"/>
        </w:rPr>
      </w:pPr>
      <w:r w:rsidRPr="00B158DC">
        <w:rPr>
          <w:rFonts w:eastAsia="Times New Roman" w:cs="Arial"/>
          <w:bCs/>
          <w:color w:val="000000"/>
          <w:szCs w:val="20"/>
          <w:lang w:eastAsia="bg-BG"/>
        </w:rPr>
        <w:t>МЕКСИЯ трябва да се прилага перорално веднъж дневно, по едно и също време на деня. Филмираните таблетки може да бъдат приемани с или без храна.</w:t>
      </w:r>
    </w:p>
    <w:p w14:paraId="4E7D87D5" w14:textId="77777777" w:rsidR="00B158DC" w:rsidRPr="00B158DC" w:rsidRDefault="00B158DC" w:rsidP="00B158DC">
      <w:pPr>
        <w:rPr>
          <w:rFonts w:cs="Arial"/>
          <w:sz w:val="24"/>
        </w:rPr>
      </w:pPr>
    </w:p>
    <w:p w14:paraId="62B13D0B" w14:textId="7D50EF47" w:rsidR="00395555" w:rsidRDefault="002C50EE" w:rsidP="008A6AF2">
      <w:pPr>
        <w:pStyle w:val="Heading2"/>
      </w:pPr>
      <w:r>
        <w:t>4.3. Противопоказания</w:t>
      </w:r>
    </w:p>
    <w:p w14:paraId="24F8823D" w14:textId="6CA912FB" w:rsidR="00B158DC" w:rsidRDefault="00B158DC" w:rsidP="00B158DC"/>
    <w:p w14:paraId="2D4A298F" w14:textId="3C231222" w:rsidR="00B158DC" w:rsidRPr="00B158DC" w:rsidRDefault="00B158DC" w:rsidP="00B158DC">
      <w:pPr>
        <w:rPr>
          <w:bCs/>
          <w:szCs w:val="20"/>
        </w:rPr>
      </w:pPr>
      <w:r w:rsidRPr="00B158DC">
        <w:rPr>
          <w:bCs/>
          <w:szCs w:val="20"/>
        </w:rPr>
        <w:t>Свръхчувствителност към активното вещество или към някое от помощните вещества, изброени в точка 6.1.</w:t>
      </w:r>
    </w:p>
    <w:p w14:paraId="287B6D0F" w14:textId="77777777" w:rsidR="00B158DC" w:rsidRPr="00B158DC" w:rsidRDefault="00B158DC" w:rsidP="00B158DC"/>
    <w:p w14:paraId="5A4AC413" w14:textId="407F1F44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67DF59D4" w14:textId="7E8609F4" w:rsidR="00C857D1" w:rsidRDefault="00C857D1" w:rsidP="00C857D1"/>
    <w:p w14:paraId="7D3E310E" w14:textId="77777777" w:rsidR="00C857D1" w:rsidRPr="00C857D1" w:rsidRDefault="00C857D1" w:rsidP="00C857D1">
      <w:pPr>
        <w:spacing w:line="240" w:lineRule="auto"/>
        <w:rPr>
          <w:rFonts w:eastAsia="Times New Roman" w:cs="Arial"/>
        </w:rPr>
      </w:pPr>
      <w:r w:rsidRPr="00C857D1">
        <w:rPr>
          <w:rFonts w:eastAsia="Times New Roman" w:cs="Arial"/>
          <w:bCs/>
          <w:color w:val="000000"/>
          <w:lang w:eastAsia="bg-BG"/>
        </w:rPr>
        <w:t>Препоръчва се повишено внимание при пациенти с епилепсия, анамнеза за гърчове или пациенти с предразполагащи фактори за епилепсия.</w:t>
      </w:r>
    </w:p>
    <w:p w14:paraId="728350EE" w14:textId="77777777" w:rsidR="00C857D1" w:rsidRPr="00C857D1" w:rsidRDefault="00C857D1" w:rsidP="00C857D1">
      <w:pPr>
        <w:rPr>
          <w:rFonts w:eastAsia="Times New Roman" w:cs="Arial"/>
          <w:bCs/>
          <w:color w:val="000000"/>
          <w:lang w:eastAsia="bg-BG"/>
        </w:rPr>
      </w:pPr>
    </w:p>
    <w:p w14:paraId="3C8CCE16" w14:textId="77777777" w:rsidR="00C857D1" w:rsidRPr="00C857D1" w:rsidRDefault="00C857D1" w:rsidP="00C857D1">
      <w:pPr>
        <w:rPr>
          <w:rFonts w:eastAsia="Times New Roman" w:cs="Arial"/>
        </w:rPr>
      </w:pPr>
      <w:r w:rsidRPr="00C857D1">
        <w:rPr>
          <w:rFonts w:eastAsia="Times New Roman" w:cs="Arial"/>
          <w:bCs/>
          <w:color w:val="000000"/>
          <w:lang w:eastAsia="bg-BG"/>
        </w:rPr>
        <w:t xml:space="preserve">Трябва да се избягва едновременната употреба на антагонисти на </w:t>
      </w:r>
      <w:r w:rsidRPr="00C857D1">
        <w:rPr>
          <w:rFonts w:eastAsia="Times New Roman" w:cs="Arial"/>
          <w:bCs/>
          <w:color w:val="000000"/>
          <w:lang w:val="en-US"/>
        </w:rPr>
        <w:t>N</w:t>
      </w:r>
      <w:r w:rsidRPr="00C857D1">
        <w:rPr>
          <w:rFonts w:eastAsia="Times New Roman" w:cs="Arial"/>
          <w:bCs/>
          <w:color w:val="000000"/>
          <w:lang w:val="ru-RU"/>
        </w:rPr>
        <w:t>-</w:t>
      </w:r>
      <w:r w:rsidRPr="00C857D1">
        <w:rPr>
          <w:rFonts w:eastAsia="Times New Roman" w:cs="Arial"/>
          <w:bCs/>
          <w:color w:val="000000"/>
          <w:lang w:eastAsia="bg-BG"/>
        </w:rPr>
        <w:t>метил-</w:t>
      </w:r>
      <w:r w:rsidRPr="00C857D1">
        <w:rPr>
          <w:rFonts w:eastAsia="Times New Roman" w:cs="Arial"/>
          <w:bCs/>
          <w:color w:val="000000"/>
          <w:lang w:val="en-US"/>
        </w:rPr>
        <w:t>D</w:t>
      </w:r>
      <w:r w:rsidRPr="00C857D1">
        <w:rPr>
          <w:rFonts w:eastAsia="Times New Roman" w:cs="Arial"/>
          <w:bCs/>
          <w:color w:val="000000"/>
          <w:lang w:val="ru-RU"/>
        </w:rPr>
        <w:t>-</w:t>
      </w:r>
      <w:r w:rsidRPr="00C857D1">
        <w:rPr>
          <w:rFonts w:eastAsia="Times New Roman" w:cs="Arial"/>
          <w:bCs/>
          <w:color w:val="000000"/>
          <w:lang w:eastAsia="bg-BG"/>
        </w:rPr>
        <w:t>аспартат (</w:t>
      </w:r>
      <w:r w:rsidRPr="00C857D1">
        <w:rPr>
          <w:rFonts w:eastAsia="Times New Roman" w:cs="Arial"/>
          <w:bCs/>
          <w:color w:val="000000"/>
          <w:lang w:val="en-US"/>
        </w:rPr>
        <w:t>NMDA</w:t>
      </w:r>
      <w:r w:rsidRPr="00C857D1">
        <w:rPr>
          <w:rFonts w:eastAsia="Times New Roman" w:cs="Arial"/>
          <w:bCs/>
          <w:color w:val="000000"/>
          <w:lang w:val="ru-RU"/>
        </w:rPr>
        <w:t xml:space="preserve">), </w:t>
      </w:r>
      <w:r w:rsidRPr="00C857D1">
        <w:rPr>
          <w:rFonts w:eastAsia="Times New Roman" w:cs="Arial"/>
          <w:bCs/>
          <w:color w:val="000000"/>
          <w:lang w:eastAsia="bg-BG"/>
        </w:rPr>
        <w:t>като амантадин, кетамин или декстрометорфан. Тези съединения действат върху същата рецепторна система</w:t>
      </w:r>
      <w:r w:rsidRPr="00C857D1">
        <w:rPr>
          <w:rFonts w:eastAsia="Times New Roman" w:cs="Arial"/>
          <w:bCs/>
          <w:color w:val="000000"/>
          <w:lang w:val="ru-RU" w:eastAsia="bg-BG"/>
        </w:rPr>
        <w:t xml:space="preserve"> </w:t>
      </w:r>
      <w:r w:rsidRPr="00C857D1">
        <w:rPr>
          <w:rFonts w:eastAsia="Times New Roman" w:cs="Arial"/>
          <w:bCs/>
          <w:color w:val="000000"/>
          <w:lang w:eastAsia="bg-BG"/>
        </w:rPr>
        <w:t>като мемантин, и следователно нежеланите реакции (свързани главно с централната нервна система (ЦНС)) може да бъдат по-чести и по-силно изразени (вж. точка 4.5).</w:t>
      </w:r>
    </w:p>
    <w:p w14:paraId="7F96D415" w14:textId="77777777" w:rsidR="00C857D1" w:rsidRPr="00C857D1" w:rsidRDefault="00C857D1" w:rsidP="00C857D1">
      <w:pPr>
        <w:spacing w:line="240" w:lineRule="auto"/>
        <w:rPr>
          <w:rFonts w:eastAsia="Times New Roman" w:cs="Arial"/>
          <w:bCs/>
          <w:color w:val="000000"/>
          <w:lang w:eastAsia="bg-BG"/>
        </w:rPr>
      </w:pPr>
    </w:p>
    <w:p w14:paraId="00CAF05F" w14:textId="61BBE040" w:rsidR="00C857D1" w:rsidRPr="00C857D1" w:rsidRDefault="00C857D1" w:rsidP="00C857D1">
      <w:pPr>
        <w:spacing w:line="240" w:lineRule="auto"/>
        <w:rPr>
          <w:rFonts w:eastAsia="Times New Roman" w:cs="Arial"/>
        </w:rPr>
      </w:pPr>
      <w:r w:rsidRPr="00C857D1">
        <w:rPr>
          <w:rFonts w:eastAsia="Times New Roman" w:cs="Arial"/>
          <w:bCs/>
          <w:color w:val="000000"/>
          <w:lang w:eastAsia="bg-BG"/>
        </w:rPr>
        <w:t xml:space="preserve">Някои фактори, които може да повишат </w:t>
      </w:r>
      <w:r w:rsidRPr="00C857D1">
        <w:rPr>
          <w:rFonts w:eastAsia="Times New Roman" w:cs="Arial"/>
          <w:bCs/>
          <w:color w:val="000000"/>
          <w:lang w:val="en-US"/>
        </w:rPr>
        <w:t>pH</w:t>
      </w:r>
      <w:r w:rsidRPr="00C857D1">
        <w:rPr>
          <w:rFonts w:eastAsia="Times New Roman" w:cs="Arial"/>
          <w:bCs/>
          <w:color w:val="000000"/>
          <w:lang w:val="ru-RU"/>
        </w:rPr>
        <w:t xml:space="preserve"> </w:t>
      </w:r>
      <w:r w:rsidRPr="00C857D1">
        <w:rPr>
          <w:rFonts w:eastAsia="Times New Roman" w:cs="Arial"/>
          <w:bCs/>
          <w:color w:val="000000"/>
          <w:lang w:eastAsia="bg-BG"/>
        </w:rPr>
        <w:t xml:space="preserve">на урината (вж. точка 5.2 “Елиминиране”), може да наложат внимателно проследяване на пациента. Тези фактори включват драстични промени в диетата, например от месна към вегетарианска диета, или масивен прием на алкализиращи стомашни буфери. Освен това </w:t>
      </w:r>
      <w:r w:rsidRPr="00C857D1">
        <w:rPr>
          <w:rFonts w:eastAsia="Times New Roman" w:cs="Arial"/>
          <w:bCs/>
          <w:color w:val="000000"/>
          <w:lang w:val="en-US"/>
        </w:rPr>
        <w:t>pH</w:t>
      </w:r>
      <w:r w:rsidRPr="00C857D1">
        <w:rPr>
          <w:rFonts w:eastAsia="Times New Roman" w:cs="Arial"/>
          <w:bCs/>
          <w:color w:val="000000"/>
          <w:lang w:val="ru-RU"/>
        </w:rPr>
        <w:t xml:space="preserve"> </w:t>
      </w:r>
      <w:r w:rsidRPr="00C857D1">
        <w:rPr>
          <w:rFonts w:eastAsia="Times New Roman" w:cs="Arial"/>
          <w:bCs/>
          <w:color w:val="000000"/>
          <w:lang w:eastAsia="bg-BG"/>
        </w:rPr>
        <w:t xml:space="preserve">на урината може да се повиши при състояния на бъбречна тубуларна ацидоза (БТА) или тежки инфекции на отделителната система с </w:t>
      </w:r>
      <w:r w:rsidRPr="00C857D1">
        <w:rPr>
          <w:rFonts w:eastAsia="Times New Roman" w:cs="Arial"/>
          <w:bCs/>
          <w:i/>
          <w:iCs/>
          <w:color w:val="000000"/>
          <w:lang w:val="en-US"/>
        </w:rPr>
        <w:t>Proteus</w:t>
      </w:r>
      <w:r w:rsidRPr="00C857D1">
        <w:rPr>
          <w:rFonts w:eastAsia="Times New Roman" w:cs="Arial"/>
          <w:bCs/>
          <w:i/>
          <w:iCs/>
          <w:color w:val="000000"/>
          <w:lang w:val="ru-RU"/>
        </w:rPr>
        <w:t xml:space="preserve"> </w:t>
      </w:r>
      <w:r w:rsidRPr="00C857D1">
        <w:rPr>
          <w:rFonts w:eastAsia="Times New Roman" w:cs="Arial"/>
          <w:bCs/>
          <w:i/>
          <w:iCs/>
          <w:color w:val="000000"/>
          <w:lang w:val="en-US"/>
        </w:rPr>
        <w:t>bacteria</w:t>
      </w:r>
      <w:r w:rsidRPr="00C857D1">
        <w:rPr>
          <w:rFonts w:eastAsia="Times New Roman" w:cs="Arial"/>
          <w:bCs/>
          <w:i/>
          <w:iCs/>
          <w:color w:val="000000"/>
          <w:lang w:val="ru-RU"/>
        </w:rPr>
        <w:t>.</w:t>
      </w:r>
    </w:p>
    <w:p w14:paraId="114EAC84" w14:textId="77777777" w:rsidR="00C857D1" w:rsidRPr="00C857D1" w:rsidRDefault="00C857D1" w:rsidP="00C857D1">
      <w:pPr>
        <w:spacing w:line="240" w:lineRule="auto"/>
        <w:rPr>
          <w:rFonts w:eastAsia="Times New Roman" w:cs="Arial"/>
          <w:bCs/>
          <w:color w:val="000000"/>
          <w:lang w:eastAsia="bg-BG"/>
        </w:rPr>
      </w:pPr>
    </w:p>
    <w:p w14:paraId="04741FD7" w14:textId="62BC0294" w:rsidR="00C857D1" w:rsidRPr="00C857D1" w:rsidRDefault="00C857D1" w:rsidP="00C857D1">
      <w:pPr>
        <w:spacing w:line="240" w:lineRule="auto"/>
        <w:rPr>
          <w:rFonts w:eastAsia="Times New Roman" w:cs="Arial"/>
        </w:rPr>
      </w:pPr>
      <w:r w:rsidRPr="00C857D1">
        <w:rPr>
          <w:rFonts w:eastAsia="Times New Roman" w:cs="Arial"/>
          <w:bCs/>
          <w:color w:val="000000"/>
          <w:lang w:eastAsia="bg-BG"/>
        </w:rPr>
        <w:t xml:space="preserve">В повечето клинични проучвания пациенти със скоро прекаран инфаркт на миокарда, декомпенсирана застойна сърдечна недостатъчност (клас по </w:t>
      </w:r>
      <w:r w:rsidRPr="00C857D1">
        <w:rPr>
          <w:rFonts w:eastAsia="Times New Roman" w:cs="Arial"/>
          <w:bCs/>
          <w:color w:val="000000"/>
          <w:lang w:val="en-US"/>
        </w:rPr>
        <w:t>NYHA</w:t>
      </w:r>
      <w:r w:rsidRPr="00C857D1">
        <w:rPr>
          <w:rFonts w:eastAsia="Times New Roman" w:cs="Arial"/>
          <w:bCs/>
          <w:color w:val="000000"/>
          <w:lang w:val="ru-RU"/>
        </w:rPr>
        <w:t xml:space="preserve"> </w:t>
      </w:r>
      <w:r w:rsidRPr="00C857D1">
        <w:rPr>
          <w:rFonts w:eastAsia="Times New Roman" w:cs="Arial"/>
          <w:bCs/>
          <w:color w:val="000000"/>
          <w:lang w:val="en-US"/>
        </w:rPr>
        <w:t>III</w:t>
      </w:r>
      <w:r w:rsidRPr="00C857D1">
        <w:rPr>
          <w:rFonts w:eastAsia="Times New Roman" w:cs="Arial"/>
          <w:bCs/>
          <w:color w:val="000000"/>
          <w:lang w:val="ru-RU"/>
        </w:rPr>
        <w:t>-</w:t>
      </w:r>
      <w:r w:rsidRPr="00C857D1">
        <w:rPr>
          <w:rFonts w:eastAsia="Times New Roman" w:cs="Arial"/>
          <w:bCs/>
          <w:color w:val="000000"/>
          <w:lang w:val="en-US"/>
        </w:rPr>
        <w:t>IV</w:t>
      </w:r>
      <w:r w:rsidRPr="00C857D1">
        <w:rPr>
          <w:rFonts w:eastAsia="Times New Roman" w:cs="Arial"/>
          <w:bCs/>
          <w:color w:val="000000"/>
          <w:lang w:val="ru-RU"/>
        </w:rPr>
        <w:t xml:space="preserve">) </w:t>
      </w:r>
      <w:r w:rsidRPr="00C857D1">
        <w:rPr>
          <w:rFonts w:eastAsia="Times New Roman" w:cs="Arial"/>
          <w:bCs/>
          <w:color w:val="000000"/>
          <w:lang w:eastAsia="bg-BG"/>
        </w:rPr>
        <w:t>или неконтролирана хипертония са били изключени. Вследствие на това има само ограничени данни и пациентите с такива състояния трябва да бъдат проследявани внимателно.</w:t>
      </w:r>
    </w:p>
    <w:p w14:paraId="5A16F164" w14:textId="77777777" w:rsidR="00C857D1" w:rsidRPr="00C857D1" w:rsidRDefault="00C857D1" w:rsidP="00C857D1">
      <w:pPr>
        <w:spacing w:line="240" w:lineRule="auto"/>
        <w:rPr>
          <w:rFonts w:eastAsia="Times New Roman" w:cs="Arial"/>
          <w:bCs/>
          <w:color w:val="000000"/>
          <w:lang w:eastAsia="bg-BG"/>
        </w:rPr>
      </w:pPr>
    </w:p>
    <w:p w14:paraId="75F63ED7" w14:textId="02D5AB3D" w:rsidR="00C857D1" w:rsidRPr="00C857D1" w:rsidRDefault="00C857D1" w:rsidP="00C857D1">
      <w:pPr>
        <w:spacing w:line="240" w:lineRule="auto"/>
        <w:rPr>
          <w:rFonts w:eastAsia="Times New Roman" w:cs="Arial"/>
        </w:rPr>
      </w:pPr>
      <w:r w:rsidRPr="00C857D1">
        <w:rPr>
          <w:rFonts w:eastAsia="Times New Roman" w:cs="Arial"/>
          <w:bCs/>
          <w:color w:val="000000"/>
          <w:lang w:eastAsia="bg-BG"/>
        </w:rPr>
        <w:t xml:space="preserve">МЕКСИЯ съдържа лактоза монохидрат. Пациенти с редки наследствени проблеми на галактозна непоносимост, </w:t>
      </w:r>
      <w:r w:rsidRPr="00C857D1">
        <w:rPr>
          <w:rFonts w:eastAsia="Times New Roman" w:cs="Arial"/>
          <w:bCs/>
          <w:color w:val="000000"/>
          <w:lang w:val="en-US"/>
        </w:rPr>
        <w:t>Lapp</w:t>
      </w:r>
      <w:r w:rsidRPr="00C857D1">
        <w:rPr>
          <w:rFonts w:eastAsia="Times New Roman" w:cs="Arial"/>
          <w:bCs/>
          <w:color w:val="000000"/>
          <w:lang w:val="ru-RU"/>
        </w:rPr>
        <w:t xml:space="preserve"> </w:t>
      </w:r>
      <w:r w:rsidRPr="00C857D1">
        <w:rPr>
          <w:rFonts w:eastAsia="Times New Roman" w:cs="Arial"/>
          <w:bCs/>
          <w:color w:val="000000"/>
          <w:lang w:eastAsia="bg-BG"/>
        </w:rPr>
        <w:t>лактазен дефицит или глюкозо-галактозна малабсорбция не трябва да приемат това лекарство.</w:t>
      </w:r>
    </w:p>
    <w:p w14:paraId="7738E414" w14:textId="32C4ABFA" w:rsidR="00C857D1" w:rsidRPr="00C857D1" w:rsidRDefault="00C857D1" w:rsidP="00C857D1"/>
    <w:p w14:paraId="1244F76A" w14:textId="6F893066" w:rsidR="00395555" w:rsidRDefault="002C50EE" w:rsidP="008A6AF2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D12BE6C" w14:textId="532041B9" w:rsidR="00365DC7" w:rsidRDefault="00365DC7" w:rsidP="00365DC7"/>
    <w:p w14:paraId="6C0BDE10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Поради фармакологичните ефекти и механизма на действие на мемантин, може да възникнат следните взаимодействия:</w:t>
      </w:r>
    </w:p>
    <w:p w14:paraId="1E530ECA" w14:textId="77777777" w:rsidR="00365DC7" w:rsidRPr="00365DC7" w:rsidRDefault="00365DC7" w:rsidP="00365DC7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Начинът на действие дава основания да се предполага, че ефектите на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L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-допа, допаминергичните агонисти и антихолинергичните средства може да бъдат засилени при едновременно лечение с антагонисти на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NMDA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като мемантин. Ефектите на барбитуратите и невролептиците може да бъдат намалени.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lastRenderedPageBreak/>
        <w:t>Едновременното приложение на мемантин и спазмолитични средства, дантролен или баклофен може да измени действието им и това да наложи коригиране на дозата.</w:t>
      </w:r>
    </w:p>
    <w:p w14:paraId="736B2256" w14:textId="77777777" w:rsidR="00365DC7" w:rsidRPr="00365DC7" w:rsidRDefault="00365DC7" w:rsidP="00365DC7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Едновременната употреба на мемантин и амантадин трябва да се избягва поради риск от фармакотоксична психоза. И двете съединения представляват химично сродни антагонисти на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NMDA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.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Същото може да се отнася за кетамин и декстрометорфан (вж. точка 4.4). Публикуван е един клиничен случай за вероятен риск и при комбинацията на мемантин и фенитоин.</w:t>
      </w:r>
    </w:p>
    <w:p w14:paraId="17E90339" w14:textId="77777777" w:rsidR="00365DC7" w:rsidRPr="00365DC7" w:rsidRDefault="00365DC7" w:rsidP="00365DC7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Други активни вещества, като циметидин, ранитидин, прокаинамид, хинидин, хинин и никотин, използващи същата бъбречна система за катионен транспорт както амантадин, е възможно да взаимодействат с мемантин, което води до потенциален риск от повишаване на плазмените нива. </w:t>
      </w:r>
    </w:p>
    <w:p w14:paraId="70113DF7" w14:textId="4A86293E" w:rsidR="00365DC7" w:rsidRPr="00365DC7" w:rsidRDefault="00365DC7" w:rsidP="00365DC7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Има вероятност за понижаване на серумното ниво на хидрохлоротиазид (НСТ), когато мемантин се прилага едновременно с НСТ или с комбинация, която включва НСТ.</w:t>
      </w:r>
    </w:p>
    <w:p w14:paraId="60832F54" w14:textId="77777777" w:rsidR="00365DC7" w:rsidRPr="00365DC7" w:rsidRDefault="00365DC7" w:rsidP="00365DC7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В постмаркетинговия опит има съобщения за изолирани случаи на повишено международно нормализирано отношение 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INR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при пациенти, които са лекувани едновременно </w:t>
      </w:r>
      <w:r w:rsidRPr="00365DC7">
        <w:rPr>
          <w:rFonts w:eastAsia="Times New Roman" w:cs="Arial"/>
          <w:bCs/>
          <w:i/>
          <w:iCs/>
          <w:color w:val="000000"/>
          <w:szCs w:val="20"/>
          <w:lang w:eastAsia="bg-BG"/>
        </w:rPr>
        <w:t xml:space="preserve">с варфарин.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Въпреки че не е установена причинно-следствена връзка, препоръчително е внимателно проследяване на протромбиновото време или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INR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при пациенти, които се лекуват едновременно с перорални антикоагуланти.</w:t>
      </w:r>
    </w:p>
    <w:p w14:paraId="659AE54A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23BB9A6F" w14:textId="3BD7EC8E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При фармакокинетични проучвания, при еднократна доза, при млади здрави доброволци не се наблюдават значими взаимодействия между активните вещества на мемантин и глибурид/метформин или донепезил.</w:t>
      </w:r>
    </w:p>
    <w:p w14:paraId="5E674BE8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6F2063E5" w14:textId="12944D54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В клинично проучване при млади здрави лица не се наблюдава значим ефект на мемантин върху фармакокинетиката на галантамин.</w:t>
      </w:r>
    </w:p>
    <w:p w14:paraId="58AA2683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48A544A6" w14:textId="074762E9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Мемантин не инхибира </w:t>
      </w:r>
      <w:r w:rsidRPr="00365DC7">
        <w:rPr>
          <w:rFonts w:eastAsia="Times New Roman" w:cs="Arial"/>
          <w:bCs/>
          <w:i/>
          <w:iCs/>
          <w:color w:val="000000"/>
          <w:szCs w:val="20"/>
          <w:lang w:val="en-US"/>
        </w:rPr>
        <w:t>in</w:t>
      </w:r>
      <w:r w:rsidRPr="00365DC7">
        <w:rPr>
          <w:rFonts w:eastAsia="Times New Roman" w:cs="Arial"/>
          <w:bCs/>
          <w:i/>
          <w:i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i/>
          <w:iCs/>
          <w:color w:val="000000"/>
          <w:szCs w:val="20"/>
          <w:lang w:val="en-US"/>
        </w:rPr>
        <w:t>vitro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CYP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1А2, 2А6, 2С9, 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2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D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6,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2Е1, ЗА, флавин-съдържащата монооксигеназа, епоксид-хидролазата или сулфонирането.</w:t>
      </w:r>
    </w:p>
    <w:p w14:paraId="1786463A" w14:textId="77777777" w:rsidR="00365DC7" w:rsidRPr="00365DC7" w:rsidRDefault="00365DC7" w:rsidP="00365DC7"/>
    <w:p w14:paraId="6EADE4D6" w14:textId="612D510F" w:rsidR="00395555" w:rsidRDefault="002C50EE" w:rsidP="008A6AF2">
      <w:pPr>
        <w:pStyle w:val="Heading2"/>
      </w:pPr>
      <w:r>
        <w:t>4.6. Фертилитет, бременност и кърмене</w:t>
      </w:r>
    </w:p>
    <w:p w14:paraId="228BA4DC" w14:textId="624061CA" w:rsidR="00365DC7" w:rsidRDefault="00365DC7" w:rsidP="00365DC7"/>
    <w:p w14:paraId="75CD0575" w14:textId="77777777" w:rsidR="00365DC7" w:rsidRPr="00365DC7" w:rsidRDefault="00365DC7" w:rsidP="00365DC7">
      <w:pPr>
        <w:pStyle w:val="Heading3"/>
        <w:rPr>
          <w:rFonts w:eastAsia="Times New Roman"/>
          <w:sz w:val="28"/>
          <w:u w:val="single"/>
        </w:rPr>
      </w:pPr>
      <w:r w:rsidRPr="00365DC7">
        <w:rPr>
          <w:rFonts w:eastAsia="Times New Roman"/>
          <w:u w:val="single"/>
          <w:lang w:eastAsia="bg-BG"/>
        </w:rPr>
        <w:t>Бременност</w:t>
      </w:r>
    </w:p>
    <w:p w14:paraId="5557489F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Няма данни за бременни, лекувани с мемантин. Проучванията при животни са показали възможност за намалено вътрематочно развитие при нива на експозиция, които са идентични или леко завишени</w:t>
      </w:r>
    </w:p>
    <w:p w14:paraId="38BD4F6B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спрямо експозицията при човека (вж. точка 5.3). Потенциалният риск при хора не е известен. Мемантин не трябва да се използва при бременност, освен в случай на категорична необходимост.</w:t>
      </w:r>
    </w:p>
    <w:p w14:paraId="2B458F11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u w:val="single"/>
          <w:lang w:eastAsia="bg-BG"/>
        </w:rPr>
      </w:pPr>
    </w:p>
    <w:p w14:paraId="519C91F7" w14:textId="17BF91B5" w:rsidR="00365DC7" w:rsidRPr="00365DC7" w:rsidRDefault="00365DC7" w:rsidP="00365DC7">
      <w:pPr>
        <w:pStyle w:val="Heading3"/>
        <w:rPr>
          <w:rFonts w:eastAsia="Times New Roman"/>
          <w:sz w:val="28"/>
          <w:u w:val="single"/>
        </w:rPr>
      </w:pPr>
      <w:r w:rsidRPr="00365DC7">
        <w:rPr>
          <w:rFonts w:eastAsia="Times New Roman"/>
          <w:u w:val="single"/>
          <w:lang w:eastAsia="bg-BG"/>
        </w:rPr>
        <w:t>Кърмене</w:t>
      </w:r>
    </w:p>
    <w:p w14:paraId="7E987F40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Не е известно дали мемантин се екскретира с човешкото мляко, но като се има предвид липофилността на веществото, това е твърде възможно. Жените, които приемат мемантин, не трябва да кърмят.</w:t>
      </w:r>
    </w:p>
    <w:p w14:paraId="3C8CB08D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u w:val="single"/>
          <w:lang w:eastAsia="bg-BG"/>
        </w:rPr>
      </w:pPr>
    </w:p>
    <w:p w14:paraId="3B56C83D" w14:textId="268E4F80" w:rsidR="00365DC7" w:rsidRPr="00365DC7" w:rsidRDefault="00365DC7" w:rsidP="00365DC7">
      <w:pPr>
        <w:pStyle w:val="Heading3"/>
        <w:rPr>
          <w:rFonts w:eastAsia="Times New Roman"/>
          <w:sz w:val="28"/>
          <w:u w:val="single"/>
        </w:rPr>
      </w:pPr>
      <w:r w:rsidRPr="00365DC7">
        <w:rPr>
          <w:rFonts w:eastAsia="Times New Roman"/>
          <w:u w:val="single"/>
          <w:lang w:eastAsia="bg-BG"/>
        </w:rPr>
        <w:t>Фертилитет</w:t>
      </w:r>
    </w:p>
    <w:p w14:paraId="14FC2DCA" w14:textId="1910BF2E" w:rsidR="00365DC7" w:rsidRPr="00365DC7" w:rsidRDefault="00365DC7" w:rsidP="00365DC7">
      <w:pPr>
        <w:rPr>
          <w:rFonts w:cs="Arial"/>
          <w:sz w:val="24"/>
        </w:rPr>
      </w:pPr>
      <w:r w:rsidRPr="00365DC7">
        <w:rPr>
          <w:rFonts w:eastAsia="Times New Roman" w:cs="Arial"/>
          <w:bCs/>
          <w:color w:val="000000"/>
          <w:szCs w:val="20"/>
          <w:u w:val="single"/>
          <w:lang w:eastAsia="bg-BG"/>
        </w:rPr>
        <w:t xml:space="preserve">Не са отбелязани нежелани реакции на мемантин </w:t>
      </w:r>
      <w:r w:rsidRPr="00365DC7">
        <w:rPr>
          <w:rFonts w:eastAsia="Times New Roman" w:cs="Arial"/>
          <w:bCs/>
          <w:smallCaps/>
          <w:color w:val="000000"/>
          <w:szCs w:val="20"/>
          <w:u w:val="single"/>
          <w:lang w:eastAsia="bg-BG"/>
        </w:rPr>
        <w:t>върху</w:t>
      </w:r>
      <w:r w:rsidRPr="00365DC7">
        <w:rPr>
          <w:rFonts w:eastAsia="Times New Roman" w:cs="Arial"/>
          <w:bCs/>
          <w:color w:val="000000"/>
          <w:szCs w:val="20"/>
          <w:u w:val="single"/>
          <w:lang w:eastAsia="bg-BG"/>
        </w:rPr>
        <w:t xml:space="preserve"> мъжкия и женския Фертилитет.</w:t>
      </w:r>
    </w:p>
    <w:p w14:paraId="5766770B" w14:textId="7F01FE28" w:rsidR="00395555" w:rsidRDefault="002C50EE" w:rsidP="008A6AF2">
      <w:pPr>
        <w:pStyle w:val="Heading2"/>
      </w:pPr>
      <w:r>
        <w:lastRenderedPageBreak/>
        <w:t>4.7. Ефекти върху способността за шофиране и работа с машини</w:t>
      </w:r>
    </w:p>
    <w:p w14:paraId="0A8031DB" w14:textId="730552A2" w:rsidR="00365DC7" w:rsidRDefault="00365DC7" w:rsidP="00365DC7"/>
    <w:p w14:paraId="6198BD6D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Умерена до тежка степен на болестта на Алцхаймер обикновено води до нарушена способност за шофиране и влошава способността за работа с машини. Освен това, МЕКСИЯ повлиява в лека до умерена степен способността за шофиране и работа с машини, така че амбулаторните пациенти трябва да бъдат предупреждавани да внимават много.</w:t>
      </w:r>
    </w:p>
    <w:p w14:paraId="2E3FF3E8" w14:textId="77777777" w:rsidR="00365DC7" w:rsidRPr="00365DC7" w:rsidRDefault="00365DC7" w:rsidP="00365DC7"/>
    <w:p w14:paraId="4FE16E21" w14:textId="3BA7EBEB" w:rsidR="00395555" w:rsidRDefault="002C50EE" w:rsidP="008A6AF2">
      <w:pPr>
        <w:pStyle w:val="Heading2"/>
      </w:pPr>
      <w:r>
        <w:t>4.8. Нежелани лекарствени реакции</w:t>
      </w:r>
    </w:p>
    <w:p w14:paraId="341270BC" w14:textId="427BB862" w:rsidR="00365DC7" w:rsidRDefault="00365DC7" w:rsidP="00365DC7"/>
    <w:p w14:paraId="0639F65A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В клинични проучвания при лека до тежка деменция, включващи 1 784 пациенти, лекувани с мемантин и 1 595 пациенти, третирани е плацебо, общата честота на нежеланите лекарствени реакции при мемантин не се различава от тази при плацебо, като нежеланите лекарствени реакции обикновено са леки до умерени по тежест. Най-често появяващите се нежелани лекарствени реакции с по-висока честота в групата на лечение с мемантин, отколкото в групата на лечение с плацебо, са замаяност (съответно 6,3% срещу 5,6%), главоболие (5,2% срещу 3,9%), запек (4,6% срещу 2,6%), сънливост (3,4% срещу 2,2%) и високо кръвно налягане (4,1% срещу 2,8%).</w:t>
      </w:r>
    </w:p>
    <w:p w14:paraId="67622F30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78AC936A" w14:textId="5DE2F873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Нежеланите лекарствени реакции, посочени в таблицата по-долу, са регистрирани по време на клинични проучвания с мемантин и след пускането му на пазара. При всяко групиране в зависимост от честотата, нежеланите лекарствени реакции се изброяват в низходящ ред по отношение на тежестта.</w:t>
      </w:r>
    </w:p>
    <w:p w14:paraId="25C050A8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0FA0369B" w14:textId="1E44198F" w:rsid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Нежеланите лекарствени реакции са категоризирани съгласно системо-органни класове, като се използва следната конвенция: много чести (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≥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1/10), чести (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≥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1/100 до &lt;1/10), нечести (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≥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1/1 000 до &lt;1/100), редки (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≥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1/10000 до &lt;1/1 000), много редки (&lt;1/10 000), с неизвестна честота (от наличните данни не може да бъде направена оценка).</w:t>
      </w:r>
    </w:p>
    <w:p w14:paraId="35954137" w14:textId="39F3B2A6" w:rsid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5DC7" w14:paraId="62DF47C2" w14:textId="77777777" w:rsidTr="00365DC7">
        <w:tc>
          <w:tcPr>
            <w:tcW w:w="3116" w:type="dxa"/>
          </w:tcPr>
          <w:p w14:paraId="4C8E4AE2" w14:textId="792900D8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Системо-органни класове:</w:t>
            </w:r>
          </w:p>
        </w:tc>
        <w:tc>
          <w:tcPr>
            <w:tcW w:w="3117" w:type="dxa"/>
          </w:tcPr>
          <w:p w14:paraId="09DBA7E2" w14:textId="351257C7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Честота:</w:t>
            </w:r>
          </w:p>
        </w:tc>
        <w:tc>
          <w:tcPr>
            <w:tcW w:w="3117" w:type="dxa"/>
          </w:tcPr>
          <w:p w14:paraId="4AC42C2B" w14:textId="1BBE4A22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Нежелана лекарствена реакция:</w:t>
            </w:r>
          </w:p>
        </w:tc>
      </w:tr>
      <w:tr w:rsidR="00365DC7" w14:paraId="02A17D84" w14:textId="77777777" w:rsidTr="00365DC7">
        <w:tc>
          <w:tcPr>
            <w:tcW w:w="3116" w:type="dxa"/>
          </w:tcPr>
          <w:p w14:paraId="2AD0CB06" w14:textId="6E2EAFD9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Инфекции и инфестации</w:t>
            </w:r>
          </w:p>
        </w:tc>
        <w:tc>
          <w:tcPr>
            <w:tcW w:w="3117" w:type="dxa"/>
          </w:tcPr>
          <w:p w14:paraId="27096E16" w14:textId="101D0C33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Нечести</w:t>
            </w:r>
          </w:p>
        </w:tc>
        <w:tc>
          <w:tcPr>
            <w:tcW w:w="3117" w:type="dxa"/>
          </w:tcPr>
          <w:p w14:paraId="2FD111B8" w14:textId="4569B773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Гъбични инфекции</w:t>
            </w:r>
          </w:p>
        </w:tc>
      </w:tr>
      <w:tr w:rsidR="00365DC7" w14:paraId="07ADF91E" w14:textId="77777777" w:rsidTr="00365DC7">
        <w:tc>
          <w:tcPr>
            <w:tcW w:w="3116" w:type="dxa"/>
          </w:tcPr>
          <w:p w14:paraId="0858D0E0" w14:textId="03AF9617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Нарушения на имунната система</w:t>
            </w:r>
          </w:p>
        </w:tc>
        <w:tc>
          <w:tcPr>
            <w:tcW w:w="3117" w:type="dxa"/>
          </w:tcPr>
          <w:p w14:paraId="5251E363" w14:textId="021DA5A2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Чести</w:t>
            </w:r>
          </w:p>
        </w:tc>
        <w:tc>
          <w:tcPr>
            <w:tcW w:w="3117" w:type="dxa"/>
          </w:tcPr>
          <w:p w14:paraId="2A8D3EC6" w14:textId="4667F0F2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Свръхчувствителност към лекарства</w:t>
            </w:r>
          </w:p>
        </w:tc>
      </w:tr>
      <w:tr w:rsidR="00365DC7" w14:paraId="4CD6B2A6" w14:textId="77777777" w:rsidTr="00365DC7">
        <w:tc>
          <w:tcPr>
            <w:tcW w:w="3116" w:type="dxa"/>
          </w:tcPr>
          <w:p w14:paraId="383A9671" w14:textId="1C935D7E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Психични нарушения</w:t>
            </w:r>
          </w:p>
        </w:tc>
        <w:tc>
          <w:tcPr>
            <w:tcW w:w="3117" w:type="dxa"/>
          </w:tcPr>
          <w:p w14:paraId="5C7672A1" w14:textId="77777777" w:rsidR="00365DC7" w:rsidRPr="00365DC7" w:rsidRDefault="00365DC7" w:rsidP="00365DC7">
            <w:r w:rsidRPr="00365DC7">
              <w:rPr>
                <w:bCs/>
                <w:szCs w:val="20"/>
              </w:rPr>
              <w:t>Чести</w:t>
            </w:r>
          </w:p>
          <w:p w14:paraId="47186BBF" w14:textId="77777777" w:rsidR="00365DC7" w:rsidRPr="00365DC7" w:rsidRDefault="00365DC7" w:rsidP="00365DC7">
            <w:r w:rsidRPr="00365DC7">
              <w:rPr>
                <w:bCs/>
                <w:szCs w:val="20"/>
              </w:rPr>
              <w:t>Нечести</w:t>
            </w:r>
          </w:p>
          <w:p w14:paraId="61A26826" w14:textId="77777777" w:rsidR="00365DC7" w:rsidRDefault="00365DC7" w:rsidP="00365DC7">
            <w:pPr>
              <w:spacing w:line="240" w:lineRule="auto"/>
              <w:rPr>
                <w:bCs/>
                <w:szCs w:val="20"/>
              </w:rPr>
            </w:pPr>
          </w:p>
          <w:p w14:paraId="3AAA3CC6" w14:textId="298154E4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С неизвестна честота</w:t>
            </w:r>
          </w:p>
        </w:tc>
        <w:tc>
          <w:tcPr>
            <w:tcW w:w="3117" w:type="dxa"/>
          </w:tcPr>
          <w:p w14:paraId="4DF44A01" w14:textId="77777777" w:rsidR="00365DC7" w:rsidRPr="00365DC7" w:rsidRDefault="00365DC7" w:rsidP="00365DC7">
            <w:r w:rsidRPr="00365DC7">
              <w:rPr>
                <w:bCs/>
                <w:szCs w:val="20"/>
              </w:rPr>
              <w:t>Сънливост</w:t>
            </w:r>
          </w:p>
          <w:p w14:paraId="2FC7D551" w14:textId="77777777" w:rsidR="00365DC7" w:rsidRPr="00365DC7" w:rsidRDefault="00365DC7" w:rsidP="00365DC7">
            <w:r w:rsidRPr="00365DC7">
              <w:rPr>
                <w:bCs/>
                <w:szCs w:val="20"/>
              </w:rPr>
              <w:t>Обърканост</w:t>
            </w:r>
          </w:p>
          <w:p w14:paraId="204F4CCF" w14:textId="77777777" w:rsidR="00365DC7" w:rsidRPr="00365DC7" w:rsidRDefault="00365DC7" w:rsidP="00365DC7">
            <w:r w:rsidRPr="00365DC7">
              <w:rPr>
                <w:bCs/>
                <w:szCs w:val="20"/>
              </w:rPr>
              <w:t>Халюцинации</w:t>
            </w:r>
            <w:r w:rsidRPr="00365DC7">
              <w:rPr>
                <w:bCs/>
                <w:szCs w:val="20"/>
                <w:vertAlign w:val="superscript"/>
              </w:rPr>
              <w:t>1</w:t>
            </w:r>
          </w:p>
          <w:p w14:paraId="2FEA5BF6" w14:textId="1D426683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Психотични реакции</w:t>
            </w:r>
            <w:r w:rsidRPr="00365DC7">
              <w:rPr>
                <w:bCs/>
                <w:szCs w:val="20"/>
                <w:vertAlign w:val="superscript"/>
              </w:rPr>
              <w:t>2</w:t>
            </w:r>
          </w:p>
        </w:tc>
      </w:tr>
      <w:tr w:rsidR="00365DC7" w14:paraId="5C8FDFA8" w14:textId="77777777" w:rsidTr="00365DC7">
        <w:tc>
          <w:tcPr>
            <w:tcW w:w="3116" w:type="dxa"/>
          </w:tcPr>
          <w:p w14:paraId="639072AE" w14:textId="176363BE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Нарушения на нервната система</w:t>
            </w:r>
          </w:p>
        </w:tc>
        <w:tc>
          <w:tcPr>
            <w:tcW w:w="3117" w:type="dxa"/>
          </w:tcPr>
          <w:p w14:paraId="0859A05C" w14:textId="77777777" w:rsidR="00365DC7" w:rsidRDefault="00365DC7" w:rsidP="00365DC7">
            <w:pPr>
              <w:spacing w:line="240" w:lineRule="auto"/>
              <w:rPr>
                <w:bCs/>
                <w:szCs w:val="20"/>
              </w:rPr>
            </w:pPr>
            <w:r w:rsidRPr="00365DC7">
              <w:rPr>
                <w:bCs/>
                <w:szCs w:val="20"/>
              </w:rPr>
              <w:t xml:space="preserve">Чести </w:t>
            </w:r>
          </w:p>
          <w:p w14:paraId="79B82C1D" w14:textId="77777777" w:rsidR="00365DC7" w:rsidRDefault="00365DC7" w:rsidP="00365DC7">
            <w:pPr>
              <w:spacing w:line="240" w:lineRule="auto"/>
              <w:rPr>
                <w:bCs/>
                <w:szCs w:val="20"/>
              </w:rPr>
            </w:pPr>
            <w:r w:rsidRPr="00365DC7">
              <w:rPr>
                <w:bCs/>
                <w:szCs w:val="20"/>
              </w:rPr>
              <w:t xml:space="preserve">Нечести </w:t>
            </w:r>
          </w:p>
          <w:p w14:paraId="378C5806" w14:textId="71698FA2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Много редки</w:t>
            </w:r>
          </w:p>
        </w:tc>
        <w:tc>
          <w:tcPr>
            <w:tcW w:w="3117" w:type="dxa"/>
          </w:tcPr>
          <w:p w14:paraId="32299B3D" w14:textId="77777777" w:rsidR="00365DC7" w:rsidRPr="00365DC7" w:rsidRDefault="00365DC7" w:rsidP="00365DC7">
            <w:r w:rsidRPr="00365DC7">
              <w:rPr>
                <w:bCs/>
                <w:szCs w:val="20"/>
              </w:rPr>
              <w:t>Замаяност</w:t>
            </w:r>
          </w:p>
          <w:p w14:paraId="013544C3" w14:textId="77777777" w:rsidR="00365DC7" w:rsidRPr="00365DC7" w:rsidRDefault="00365DC7" w:rsidP="00365DC7">
            <w:r w:rsidRPr="00365DC7">
              <w:rPr>
                <w:bCs/>
                <w:szCs w:val="20"/>
              </w:rPr>
              <w:t>Нарушена походка</w:t>
            </w:r>
          </w:p>
          <w:p w14:paraId="1E19BDB7" w14:textId="739B98E5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Гърчове</w:t>
            </w:r>
          </w:p>
        </w:tc>
      </w:tr>
      <w:tr w:rsidR="00365DC7" w14:paraId="7510DA85" w14:textId="77777777" w:rsidTr="00365DC7">
        <w:tc>
          <w:tcPr>
            <w:tcW w:w="3116" w:type="dxa"/>
          </w:tcPr>
          <w:p w14:paraId="1684297E" w14:textId="0536CB7F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Сърдечни нарушения</w:t>
            </w:r>
          </w:p>
        </w:tc>
        <w:tc>
          <w:tcPr>
            <w:tcW w:w="3117" w:type="dxa"/>
          </w:tcPr>
          <w:p w14:paraId="67388B1B" w14:textId="22297020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Нечести</w:t>
            </w:r>
          </w:p>
        </w:tc>
        <w:tc>
          <w:tcPr>
            <w:tcW w:w="3117" w:type="dxa"/>
          </w:tcPr>
          <w:p w14:paraId="7F3D7DD2" w14:textId="2ABF3CD0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Сърдечна недостатъчност</w:t>
            </w:r>
          </w:p>
        </w:tc>
      </w:tr>
      <w:tr w:rsidR="00365DC7" w14:paraId="4906E58B" w14:textId="77777777" w:rsidTr="00365DC7">
        <w:tc>
          <w:tcPr>
            <w:tcW w:w="3116" w:type="dxa"/>
          </w:tcPr>
          <w:p w14:paraId="229C1CA0" w14:textId="058CD274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Съдови нарушения</w:t>
            </w:r>
          </w:p>
        </w:tc>
        <w:tc>
          <w:tcPr>
            <w:tcW w:w="3117" w:type="dxa"/>
          </w:tcPr>
          <w:p w14:paraId="18D6D66D" w14:textId="77777777" w:rsidR="00365DC7" w:rsidRDefault="00365DC7" w:rsidP="00365DC7">
            <w:pPr>
              <w:spacing w:line="240" w:lineRule="auto"/>
              <w:rPr>
                <w:bCs/>
                <w:szCs w:val="20"/>
              </w:rPr>
            </w:pPr>
            <w:r w:rsidRPr="00365DC7">
              <w:rPr>
                <w:bCs/>
                <w:szCs w:val="20"/>
              </w:rPr>
              <w:t xml:space="preserve">Чести </w:t>
            </w:r>
          </w:p>
          <w:p w14:paraId="5A02E6C9" w14:textId="67894988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Нечести</w:t>
            </w:r>
          </w:p>
        </w:tc>
        <w:tc>
          <w:tcPr>
            <w:tcW w:w="3117" w:type="dxa"/>
          </w:tcPr>
          <w:p w14:paraId="0DCB70FA" w14:textId="77777777" w:rsidR="00365DC7" w:rsidRDefault="00365DC7" w:rsidP="00365DC7">
            <w:pPr>
              <w:spacing w:line="240" w:lineRule="auto"/>
              <w:rPr>
                <w:bCs/>
                <w:szCs w:val="20"/>
              </w:rPr>
            </w:pPr>
            <w:r w:rsidRPr="00365DC7">
              <w:rPr>
                <w:bCs/>
                <w:szCs w:val="20"/>
              </w:rPr>
              <w:t xml:space="preserve">Хипертония </w:t>
            </w:r>
          </w:p>
          <w:p w14:paraId="3C5CA3DB" w14:textId="04ECDC48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Венозна тромбоза/ тромбоемболизъм</w:t>
            </w:r>
          </w:p>
        </w:tc>
      </w:tr>
      <w:tr w:rsidR="00365DC7" w14:paraId="2A2D8379" w14:textId="77777777" w:rsidTr="00365DC7">
        <w:tc>
          <w:tcPr>
            <w:tcW w:w="3116" w:type="dxa"/>
          </w:tcPr>
          <w:p w14:paraId="28A0EF4C" w14:textId="0F972D74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Респираторни, гръдни и медиастинални нарушения</w:t>
            </w:r>
          </w:p>
        </w:tc>
        <w:tc>
          <w:tcPr>
            <w:tcW w:w="3117" w:type="dxa"/>
          </w:tcPr>
          <w:p w14:paraId="4108FC5E" w14:textId="35B77C1B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Чести</w:t>
            </w:r>
          </w:p>
        </w:tc>
        <w:tc>
          <w:tcPr>
            <w:tcW w:w="3117" w:type="dxa"/>
          </w:tcPr>
          <w:p w14:paraId="10C6801D" w14:textId="5B20DDCA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Диспнея</w:t>
            </w:r>
          </w:p>
        </w:tc>
      </w:tr>
      <w:tr w:rsidR="00365DC7" w14:paraId="3918EA3B" w14:textId="77777777" w:rsidTr="00365DC7">
        <w:tc>
          <w:tcPr>
            <w:tcW w:w="3116" w:type="dxa"/>
          </w:tcPr>
          <w:p w14:paraId="2F196F82" w14:textId="16E98140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Стомашно-чревни нарушения</w:t>
            </w:r>
          </w:p>
        </w:tc>
        <w:tc>
          <w:tcPr>
            <w:tcW w:w="3117" w:type="dxa"/>
          </w:tcPr>
          <w:p w14:paraId="17103930" w14:textId="77777777" w:rsidR="00365DC7" w:rsidRPr="00365DC7" w:rsidRDefault="00365DC7" w:rsidP="00365DC7">
            <w:r w:rsidRPr="00365DC7">
              <w:rPr>
                <w:bCs/>
                <w:szCs w:val="20"/>
              </w:rPr>
              <w:t>Чести</w:t>
            </w:r>
          </w:p>
          <w:p w14:paraId="646E9E1B" w14:textId="77777777" w:rsidR="00365DC7" w:rsidRPr="00365DC7" w:rsidRDefault="00365DC7" w:rsidP="00365DC7">
            <w:r w:rsidRPr="00365DC7">
              <w:rPr>
                <w:bCs/>
                <w:szCs w:val="20"/>
              </w:rPr>
              <w:t>Нечести</w:t>
            </w:r>
          </w:p>
          <w:p w14:paraId="7DD78AB1" w14:textId="02B47071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lastRenderedPageBreak/>
              <w:t>С неизвестна честота</w:t>
            </w:r>
          </w:p>
        </w:tc>
        <w:tc>
          <w:tcPr>
            <w:tcW w:w="3117" w:type="dxa"/>
          </w:tcPr>
          <w:p w14:paraId="5F4A517A" w14:textId="77777777" w:rsidR="00365DC7" w:rsidRPr="00365DC7" w:rsidRDefault="00365DC7" w:rsidP="00365DC7">
            <w:r w:rsidRPr="00365DC7">
              <w:rPr>
                <w:bCs/>
                <w:szCs w:val="20"/>
              </w:rPr>
              <w:lastRenderedPageBreak/>
              <w:t>Запек</w:t>
            </w:r>
          </w:p>
          <w:p w14:paraId="41249887" w14:textId="77777777" w:rsidR="00365DC7" w:rsidRPr="00365DC7" w:rsidRDefault="00365DC7" w:rsidP="00365DC7">
            <w:r w:rsidRPr="00365DC7">
              <w:rPr>
                <w:bCs/>
                <w:szCs w:val="20"/>
              </w:rPr>
              <w:t>Повръщане</w:t>
            </w:r>
          </w:p>
          <w:p w14:paraId="50F0988B" w14:textId="33FC5068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lastRenderedPageBreak/>
              <w:t>Панкреатит</w:t>
            </w:r>
          </w:p>
        </w:tc>
      </w:tr>
      <w:tr w:rsidR="00365DC7" w14:paraId="20C0B419" w14:textId="77777777" w:rsidTr="00365DC7">
        <w:tc>
          <w:tcPr>
            <w:tcW w:w="3116" w:type="dxa"/>
          </w:tcPr>
          <w:p w14:paraId="71A565B1" w14:textId="77777777" w:rsidR="00365DC7" w:rsidRPr="00365DC7" w:rsidRDefault="00365DC7" w:rsidP="00365DC7">
            <w:r w:rsidRPr="00365DC7">
              <w:rPr>
                <w:bCs/>
                <w:szCs w:val="20"/>
              </w:rPr>
              <w:lastRenderedPageBreak/>
              <w:t>Общи нарушения и ефекти на мястото</w:t>
            </w:r>
          </w:p>
          <w:p w14:paraId="0BDEBC31" w14:textId="713B352D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на приложение</w:t>
            </w:r>
          </w:p>
        </w:tc>
        <w:tc>
          <w:tcPr>
            <w:tcW w:w="3117" w:type="dxa"/>
          </w:tcPr>
          <w:p w14:paraId="0774058C" w14:textId="77777777" w:rsidR="00365DC7" w:rsidRPr="00365DC7" w:rsidRDefault="00365DC7" w:rsidP="00365DC7">
            <w:r w:rsidRPr="00365DC7">
              <w:rPr>
                <w:bCs/>
                <w:szCs w:val="20"/>
              </w:rPr>
              <w:t>Чести</w:t>
            </w:r>
          </w:p>
          <w:p w14:paraId="7AE666B5" w14:textId="09058BA1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Нечести</w:t>
            </w:r>
          </w:p>
        </w:tc>
        <w:tc>
          <w:tcPr>
            <w:tcW w:w="3117" w:type="dxa"/>
          </w:tcPr>
          <w:p w14:paraId="34CA42B5" w14:textId="77777777" w:rsidR="00365DC7" w:rsidRPr="00365DC7" w:rsidRDefault="00365DC7" w:rsidP="00365DC7">
            <w:r w:rsidRPr="00365DC7">
              <w:rPr>
                <w:bCs/>
                <w:szCs w:val="20"/>
              </w:rPr>
              <w:t>Главоболие</w:t>
            </w:r>
          </w:p>
          <w:p w14:paraId="73FF35D2" w14:textId="4E6DDB77" w:rsidR="00365DC7" w:rsidRPr="00365DC7" w:rsidRDefault="00365DC7" w:rsidP="00365DC7">
            <w:pPr>
              <w:spacing w:line="240" w:lineRule="auto"/>
              <w:rPr>
                <w:rFonts w:eastAsia="Times New Roman" w:cs="Arial"/>
                <w:szCs w:val="24"/>
              </w:rPr>
            </w:pPr>
            <w:r w:rsidRPr="00365DC7">
              <w:rPr>
                <w:bCs/>
                <w:szCs w:val="20"/>
              </w:rPr>
              <w:t>Умора</w:t>
            </w:r>
          </w:p>
        </w:tc>
      </w:tr>
    </w:tbl>
    <w:p w14:paraId="551951B6" w14:textId="2E8251EC" w:rsid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</w:p>
    <w:p w14:paraId="2870695A" w14:textId="70AC390B" w:rsidR="00365DC7" w:rsidRPr="00365DC7" w:rsidRDefault="00365DC7" w:rsidP="00365DC7">
      <w:pPr>
        <w:rPr>
          <w:sz w:val="24"/>
          <w:szCs w:val="24"/>
        </w:rPr>
      </w:pPr>
      <w:r w:rsidRPr="00365DC7">
        <w:rPr>
          <w:vertAlign w:val="superscript"/>
          <w:lang w:val="ru-RU"/>
        </w:rPr>
        <w:t>1</w:t>
      </w:r>
      <w:r w:rsidRPr="00365DC7">
        <w:rPr>
          <w:lang w:eastAsia="bg-BG"/>
        </w:rPr>
        <w:t>Халюцинации са наблюдавани главно при пациенти с тежка форма на болестта на Алцхаймер.</w:t>
      </w:r>
    </w:p>
    <w:p w14:paraId="7B866BDF" w14:textId="3F97EDDD" w:rsidR="00365DC7" w:rsidRPr="00365DC7" w:rsidRDefault="00365DC7" w:rsidP="00365DC7">
      <w:pPr>
        <w:rPr>
          <w:sz w:val="24"/>
          <w:szCs w:val="24"/>
        </w:rPr>
      </w:pPr>
      <w:r w:rsidRPr="00365DC7">
        <w:rPr>
          <w:vertAlign w:val="superscript"/>
          <w:lang w:val="ru-RU" w:eastAsia="bg-BG"/>
        </w:rPr>
        <w:t>2</w:t>
      </w:r>
      <w:r w:rsidRPr="00365DC7">
        <w:rPr>
          <w:lang w:eastAsia="bg-BG"/>
        </w:rPr>
        <w:t>Изолирани случаи, съобщавани в постмаркетинговия опит.</w:t>
      </w:r>
    </w:p>
    <w:p w14:paraId="57C333E8" w14:textId="77777777" w:rsidR="00365DC7" w:rsidRDefault="00365DC7" w:rsidP="00365DC7">
      <w:pPr>
        <w:rPr>
          <w:lang w:eastAsia="bg-BG"/>
        </w:rPr>
      </w:pPr>
    </w:p>
    <w:p w14:paraId="6EE54378" w14:textId="1CDFFB95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Болестта на Алцхаймер се свързва с депресия, суицидни идеи и опити за самоубийство. В постмаркетинговия опит такива случаи се съобщават при пациенти, лекувани с мемантин.</w:t>
      </w:r>
    </w:p>
    <w:p w14:paraId="78422706" w14:textId="77777777" w:rsidR="00365DC7" w:rsidRDefault="00365DC7" w:rsidP="00365DC7">
      <w:pPr>
        <w:rPr>
          <w:lang w:eastAsia="bg-BG"/>
        </w:rPr>
      </w:pPr>
    </w:p>
    <w:p w14:paraId="6C5A3D5D" w14:textId="1F04050B" w:rsidR="00365DC7" w:rsidRPr="00365DC7" w:rsidRDefault="00365DC7" w:rsidP="00365DC7">
      <w:pPr>
        <w:rPr>
          <w:b/>
          <w:sz w:val="24"/>
          <w:szCs w:val="24"/>
        </w:rPr>
      </w:pPr>
      <w:r w:rsidRPr="00365DC7">
        <w:rPr>
          <w:b/>
          <w:lang w:eastAsia="bg-BG"/>
        </w:rPr>
        <w:t>Съобщаване на нежелани реакции</w:t>
      </w:r>
    </w:p>
    <w:p w14:paraId="5CF112D8" w14:textId="53FCA99E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Изпълнителната агенция по лекарствата (ИАЛ):</w:t>
      </w:r>
    </w:p>
    <w:p w14:paraId="3C1ED432" w14:textId="77777777" w:rsidR="00365DC7" w:rsidRDefault="00365DC7" w:rsidP="00365DC7">
      <w:pPr>
        <w:rPr>
          <w:lang w:eastAsia="bg-BG"/>
        </w:rPr>
      </w:pPr>
    </w:p>
    <w:p w14:paraId="276CBE43" w14:textId="56C419CE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БЪЛГАРИЯ, София 1303, ул. Дамян Груев 8</w:t>
      </w:r>
    </w:p>
    <w:p w14:paraId="11CBE95C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 xml:space="preserve">Тел.+359 2 8903417 ел. поща: </w:t>
      </w:r>
      <w:r w:rsidRPr="00365DC7">
        <w:rPr>
          <w:sz w:val="24"/>
          <w:szCs w:val="24"/>
        </w:rPr>
        <w:fldChar w:fldCharType="begin"/>
      </w:r>
      <w:r w:rsidRPr="00365DC7">
        <w:rPr>
          <w:sz w:val="24"/>
          <w:szCs w:val="24"/>
        </w:rPr>
        <w:instrText xml:space="preserve"> HYPERLINK "mailto:bda@bda.bg" </w:instrText>
      </w:r>
      <w:r w:rsidRPr="00365DC7">
        <w:rPr>
          <w:sz w:val="24"/>
          <w:szCs w:val="24"/>
        </w:rPr>
      </w:r>
      <w:r w:rsidRPr="00365DC7">
        <w:rPr>
          <w:sz w:val="24"/>
          <w:szCs w:val="24"/>
        </w:rPr>
        <w:fldChar w:fldCharType="separate"/>
      </w:r>
      <w:r w:rsidRPr="00365DC7">
        <w:rPr>
          <w:u w:val="single"/>
          <w:lang w:val="en-US"/>
        </w:rPr>
        <w:t>bda</w:t>
      </w:r>
      <w:r w:rsidRPr="00365DC7">
        <w:rPr>
          <w:u w:val="single"/>
          <w:lang w:val="ru-RU"/>
        </w:rPr>
        <w:t>@</w:t>
      </w:r>
      <w:r w:rsidRPr="00365DC7">
        <w:rPr>
          <w:u w:val="single"/>
          <w:lang w:val="en-US"/>
        </w:rPr>
        <w:t>bda</w:t>
      </w:r>
      <w:r w:rsidRPr="00365DC7">
        <w:rPr>
          <w:u w:val="single"/>
          <w:lang w:val="ru-RU"/>
        </w:rPr>
        <w:t>.</w:t>
      </w:r>
      <w:r w:rsidRPr="00365DC7">
        <w:rPr>
          <w:u w:val="single"/>
          <w:lang w:val="en-US"/>
        </w:rPr>
        <w:t>bg</w:t>
      </w:r>
      <w:r w:rsidRPr="00365DC7">
        <w:rPr>
          <w:sz w:val="24"/>
          <w:szCs w:val="24"/>
        </w:rPr>
        <w:fldChar w:fldCharType="end"/>
      </w:r>
      <w:r w:rsidRPr="00365DC7">
        <w:rPr>
          <w:u w:val="single"/>
          <w:lang w:val="ru-RU"/>
        </w:rPr>
        <w:t xml:space="preserve"> </w:t>
      </w:r>
      <w:r w:rsidRPr="00365DC7">
        <w:rPr>
          <w:lang w:eastAsia="bg-BG"/>
        </w:rPr>
        <w:t xml:space="preserve">уебсайт: </w:t>
      </w:r>
      <w:r w:rsidRPr="00365DC7">
        <w:rPr>
          <w:sz w:val="24"/>
          <w:szCs w:val="24"/>
        </w:rPr>
        <w:fldChar w:fldCharType="begin"/>
      </w:r>
      <w:r w:rsidRPr="00365DC7">
        <w:rPr>
          <w:sz w:val="24"/>
          <w:szCs w:val="24"/>
        </w:rPr>
        <w:instrText xml:space="preserve"> HYPERLINK "http://www.bda.bg" </w:instrText>
      </w:r>
      <w:r w:rsidRPr="00365DC7">
        <w:rPr>
          <w:sz w:val="24"/>
          <w:szCs w:val="24"/>
        </w:rPr>
      </w:r>
      <w:r w:rsidRPr="00365DC7">
        <w:rPr>
          <w:sz w:val="24"/>
          <w:szCs w:val="24"/>
        </w:rPr>
        <w:fldChar w:fldCharType="separate"/>
      </w:r>
      <w:r w:rsidRPr="00365DC7">
        <w:rPr>
          <w:u w:val="single"/>
          <w:lang w:val="en-US"/>
        </w:rPr>
        <w:t>www</w:t>
      </w:r>
      <w:r w:rsidRPr="00365DC7">
        <w:rPr>
          <w:u w:val="single"/>
          <w:lang w:val="ru-RU"/>
        </w:rPr>
        <w:t>.</w:t>
      </w:r>
      <w:proofErr w:type="spellStart"/>
      <w:r w:rsidRPr="00365DC7">
        <w:rPr>
          <w:u w:val="single"/>
          <w:lang w:val="en-US"/>
        </w:rPr>
        <w:t>bda</w:t>
      </w:r>
      <w:proofErr w:type="spellEnd"/>
      <w:r w:rsidRPr="00365DC7">
        <w:rPr>
          <w:u w:val="single"/>
          <w:lang w:val="ru-RU"/>
        </w:rPr>
        <w:t>.</w:t>
      </w:r>
      <w:proofErr w:type="spellStart"/>
      <w:r w:rsidRPr="00365DC7">
        <w:rPr>
          <w:u w:val="single"/>
          <w:lang w:val="en-US"/>
        </w:rPr>
        <w:t>bg</w:t>
      </w:r>
      <w:proofErr w:type="spellEnd"/>
      <w:r w:rsidRPr="00365DC7">
        <w:rPr>
          <w:sz w:val="24"/>
          <w:szCs w:val="24"/>
        </w:rPr>
        <w:fldChar w:fldCharType="end"/>
      </w:r>
    </w:p>
    <w:p w14:paraId="1F5D6A82" w14:textId="428D183E" w:rsidR="00365DC7" w:rsidRPr="00365DC7" w:rsidRDefault="00365DC7" w:rsidP="00365DC7"/>
    <w:p w14:paraId="4ED30546" w14:textId="39E7DE03" w:rsidR="007C605B" w:rsidRDefault="002C50EE" w:rsidP="009F1313">
      <w:pPr>
        <w:pStyle w:val="Heading2"/>
      </w:pPr>
      <w:r>
        <w:t>4.9. Предозиране</w:t>
      </w:r>
    </w:p>
    <w:p w14:paraId="0F3CEA9D" w14:textId="2F01547D" w:rsidR="00365DC7" w:rsidRDefault="00365DC7" w:rsidP="00365DC7"/>
    <w:p w14:paraId="29799728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Има ограничен опит със случаи на предозиране в клиничните проучвания и постмаркетинговия опит.</w:t>
      </w:r>
    </w:p>
    <w:p w14:paraId="342264F1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38A8AD9A" w14:textId="2763A0F3" w:rsidR="00365DC7" w:rsidRPr="00365DC7" w:rsidRDefault="00365DC7" w:rsidP="00365DC7">
      <w:pPr>
        <w:pStyle w:val="Heading3"/>
        <w:rPr>
          <w:rFonts w:eastAsia="Times New Roman"/>
          <w:sz w:val="28"/>
          <w:u w:val="single"/>
        </w:rPr>
      </w:pPr>
      <w:r w:rsidRPr="00365DC7">
        <w:rPr>
          <w:rFonts w:eastAsia="Times New Roman"/>
          <w:u w:val="single"/>
          <w:lang w:eastAsia="bg-BG"/>
        </w:rPr>
        <w:t>Симптоми:</w:t>
      </w:r>
    </w:p>
    <w:p w14:paraId="3A18BF24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Случаите на относително високо предозиране (съответно 200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mg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и 105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mg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/ден за три дни) се свързват със симптоми на умора, слабост и/или диария, или протичат безсимптомно. В случаи на предозиране, с доза под 140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mg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или при неизвестна доза, при пациентите се проявяват симптоми свързани с ЦНС (обърканост, сънливост, сомнолентност, световъртеж, възбуда, агресивност, халюцинации и нарушена походка) и/или с гастроинтестинален произход (повръщане и диария).</w:t>
      </w:r>
    </w:p>
    <w:p w14:paraId="4834A9D1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6269ABE1" w14:textId="6F73CAB6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В най-тежкия случай на предозиране пациента е оцелял при перорален прием на общо 2 000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mg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мемантин с последващи ефекти върху ЦНС (10-дневна кома с последваща диплопия и възбуда). В този случай пациентът е лекуван симптоматично и с плазмофереза. Пациентът се е възстановил без дълготрайни последствия.</w:t>
      </w:r>
    </w:p>
    <w:p w14:paraId="6B246CEE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0AF3D4D9" w14:textId="4D630786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В друг случай на високо предозиране, с перорален прием на 400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mg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мемантин, пациента също е оцелял и се е възстановил. Пациентът е имал симптоми, свързани с ЦНС като неспокойство, психоза, зрителни халюцинации, проконвулсивност, сомнолентност, ступор и безсъзнание.</w:t>
      </w:r>
    </w:p>
    <w:p w14:paraId="5B0E4467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473930D8" w14:textId="1D36D175" w:rsidR="00365DC7" w:rsidRPr="00365DC7" w:rsidRDefault="00365DC7" w:rsidP="00365DC7">
      <w:pPr>
        <w:pStyle w:val="Heading3"/>
        <w:rPr>
          <w:rFonts w:eastAsia="Times New Roman"/>
          <w:sz w:val="28"/>
          <w:u w:val="single"/>
        </w:rPr>
      </w:pPr>
      <w:r w:rsidRPr="00365DC7">
        <w:rPr>
          <w:rFonts w:eastAsia="Times New Roman"/>
          <w:u w:val="single"/>
          <w:lang w:eastAsia="bg-BG"/>
        </w:rPr>
        <w:lastRenderedPageBreak/>
        <w:t>Лечение:</w:t>
      </w:r>
    </w:p>
    <w:p w14:paraId="7813A828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В случай на предозиране лечението трябва да бъде симптоматично. Няма специфичен антидот при интоксикация и предозиране. За отстраняване на активното вещество се прилага стандартна клинична процедура, като например стомашна промивка, активен въглен (за предотвратяване на потенциална ентерохепатална рециркулация), повишаване киселинността на урината, засилена диуреза.</w:t>
      </w:r>
    </w:p>
    <w:p w14:paraId="70919CBC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2526F0A2" w14:textId="61EA321E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В случай на признаци и симптоми на общо свръхстимулиране на централната нервна система (ЦНС), трябва да се обмисли внимателно симптоматично клинично лечение.</w:t>
      </w:r>
    </w:p>
    <w:p w14:paraId="611315E0" w14:textId="77777777" w:rsidR="00365DC7" w:rsidRPr="00365DC7" w:rsidRDefault="00365DC7" w:rsidP="00365DC7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4A12126B" w:rsidR="00395555" w:rsidRDefault="002C50EE" w:rsidP="008A6AF2">
      <w:pPr>
        <w:pStyle w:val="Heading2"/>
      </w:pPr>
      <w:r>
        <w:t>5.1. Фармакодинамични свойства</w:t>
      </w:r>
    </w:p>
    <w:p w14:paraId="32595E40" w14:textId="29818CC0" w:rsidR="00365DC7" w:rsidRDefault="00365DC7" w:rsidP="00365DC7"/>
    <w:p w14:paraId="6A0170DF" w14:textId="1A5B5488" w:rsidR="00365DC7" w:rsidRPr="00365DC7" w:rsidRDefault="00365DC7" w:rsidP="00365DC7">
      <w:pPr>
        <w:rPr>
          <w:rFonts w:cs="Arial"/>
          <w:bCs/>
          <w:szCs w:val="20"/>
          <w:lang w:val="ru-RU"/>
        </w:rPr>
      </w:pPr>
      <w:r w:rsidRPr="00365DC7">
        <w:rPr>
          <w:rFonts w:cs="Arial"/>
          <w:bCs/>
          <w:szCs w:val="20"/>
        </w:rPr>
        <w:t xml:space="preserve">Фармакотерапевтична група: Психоаналептици. Други лекарства против деменция, </w:t>
      </w:r>
      <w:r w:rsidRPr="00365DC7">
        <w:rPr>
          <w:rFonts w:cs="Arial"/>
          <w:bCs/>
          <w:szCs w:val="20"/>
          <w:lang w:val="en-US"/>
        </w:rPr>
        <w:t>ATC</w:t>
      </w:r>
      <w:r w:rsidRPr="00365DC7">
        <w:rPr>
          <w:rFonts w:cs="Arial"/>
          <w:bCs/>
          <w:szCs w:val="20"/>
          <w:lang w:val="ru-RU"/>
        </w:rPr>
        <w:t xml:space="preserve"> </w:t>
      </w:r>
      <w:r w:rsidRPr="00365DC7">
        <w:rPr>
          <w:rFonts w:cs="Arial"/>
          <w:bCs/>
          <w:szCs w:val="20"/>
        </w:rPr>
        <w:t xml:space="preserve">код: </w:t>
      </w:r>
      <w:r w:rsidRPr="00365DC7">
        <w:rPr>
          <w:rFonts w:cs="Arial"/>
          <w:bCs/>
          <w:szCs w:val="20"/>
          <w:lang w:val="en-US"/>
        </w:rPr>
        <w:t>N</w:t>
      </w:r>
      <w:r w:rsidRPr="00365DC7">
        <w:rPr>
          <w:rFonts w:cs="Arial"/>
          <w:bCs/>
          <w:szCs w:val="20"/>
          <w:lang w:val="ru-RU"/>
        </w:rPr>
        <w:t>06</w:t>
      </w:r>
      <w:r w:rsidRPr="00365DC7">
        <w:rPr>
          <w:rFonts w:cs="Arial"/>
          <w:bCs/>
          <w:szCs w:val="20"/>
          <w:lang w:val="en-US"/>
        </w:rPr>
        <w:t>DX</w:t>
      </w:r>
      <w:r w:rsidRPr="00365DC7">
        <w:rPr>
          <w:rFonts w:cs="Arial"/>
          <w:bCs/>
          <w:szCs w:val="20"/>
          <w:lang w:val="ru-RU"/>
        </w:rPr>
        <w:t>01.</w:t>
      </w:r>
    </w:p>
    <w:p w14:paraId="3CC6A9E4" w14:textId="2C706A6B" w:rsidR="00365DC7" w:rsidRPr="00365DC7" w:rsidRDefault="00365DC7" w:rsidP="00365DC7">
      <w:pPr>
        <w:rPr>
          <w:rFonts w:cs="Arial"/>
          <w:bCs/>
          <w:szCs w:val="20"/>
          <w:lang w:val="ru-RU"/>
        </w:rPr>
      </w:pPr>
    </w:p>
    <w:p w14:paraId="318C294A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Нараства броя на доказателствата за това, че нарушеното функциониране на глутаматергичната невротрансмисия, по-конкретно на рецепторите за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NMDA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,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допринася както за проявата на симптомите, така и за прогресирането на болестта при невродегенеративната деменция.</w:t>
      </w:r>
    </w:p>
    <w:p w14:paraId="1FFFB9C5" w14:textId="77777777" w:rsid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6918B6B3" w14:textId="33D57BEB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Мемантин е волтаж-зависим, с умерен афинитет и неконкурентен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NMDA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-рецепторен антагонист. Той модулира ефектите на патологично повишените тонични нива на глутамата, които може да доведат до нарушено функциониране на невроните.</w:t>
      </w:r>
    </w:p>
    <w:p w14:paraId="0447069E" w14:textId="77777777" w:rsidR="00365DC7" w:rsidRDefault="00365DC7" w:rsidP="00365DC7">
      <w:pPr>
        <w:spacing w:line="240" w:lineRule="auto"/>
        <w:rPr>
          <w:rFonts w:eastAsia="Times New Roman" w:cs="Arial"/>
          <w:bCs/>
          <w:i/>
          <w:iCs/>
          <w:color w:val="000000"/>
          <w:szCs w:val="20"/>
          <w:lang w:eastAsia="bg-BG"/>
        </w:rPr>
      </w:pPr>
    </w:p>
    <w:p w14:paraId="7425E16B" w14:textId="31C24111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i/>
          <w:iCs/>
          <w:color w:val="000000"/>
          <w:szCs w:val="20"/>
          <w:lang w:eastAsia="bg-BG"/>
        </w:rPr>
        <w:t>Клинични проучвания</w:t>
      </w:r>
    </w:p>
    <w:p w14:paraId="6C45B164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В проведено проучване с монотерапия при група пациенти, страдащи от умерена до тежка степен на болестта на Алцхаймер (изходен общ резултат от мини изследване на психичния статус 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mini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mental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state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examination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)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MMSE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при основа 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3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до 14) са проследени общо 252 амбулаторни пациенти. Проучването демонстрира благоприятните ефекти от лечението с мемантин в сравнение с плацебо в продължение на 6 месеца (анализ на наблюдаваните случаи за впечатлението на клинициста за промяна на базата на разговор </w:t>
      </w:r>
      <w:r w:rsidRPr="00365DC7">
        <w:rPr>
          <w:rFonts w:eastAsia="Times New Roman" w:cs="Arial"/>
          <w:bCs/>
          <w:color w:val="000000"/>
          <w:szCs w:val="20"/>
        </w:rPr>
        <w:t>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the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clinician</w:t>
      </w:r>
      <w:r w:rsidRPr="00365DC7">
        <w:rPr>
          <w:rFonts w:eastAsia="Times New Roman" w:cs="Arial"/>
          <w:bCs/>
          <w:color w:val="000000"/>
          <w:szCs w:val="20"/>
        </w:rPr>
        <w:t>'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interview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based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impression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of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change</w:t>
      </w:r>
      <w:r w:rsidRPr="00365DC7">
        <w:rPr>
          <w:rFonts w:eastAsia="Times New Roman" w:cs="Arial"/>
          <w:bCs/>
          <w:color w:val="000000"/>
          <w:szCs w:val="20"/>
        </w:rPr>
        <w:t>)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CIBIC</w:t>
      </w:r>
      <w:r w:rsidRPr="00365DC7">
        <w:rPr>
          <w:rFonts w:eastAsia="Times New Roman" w:cs="Arial"/>
          <w:bCs/>
          <w:color w:val="000000"/>
          <w:szCs w:val="20"/>
        </w:rPr>
        <w:t>-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plus</w:t>
      </w:r>
      <w:r w:rsidRPr="00365DC7">
        <w:rPr>
          <w:rFonts w:eastAsia="Times New Roman" w:cs="Arial"/>
          <w:bCs/>
          <w:color w:val="000000"/>
          <w:szCs w:val="20"/>
        </w:rPr>
        <w:t xml:space="preserve">):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p</w:t>
      </w:r>
      <w:r w:rsidRPr="00365DC7">
        <w:rPr>
          <w:rFonts w:eastAsia="Times New Roman" w:cs="Arial"/>
          <w:bCs/>
          <w:color w:val="000000"/>
          <w:szCs w:val="20"/>
        </w:rPr>
        <w:t xml:space="preserve">=0,025;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съвместно проучване на болестта на Алцхаймер - ежедневни дейности </w:t>
      </w:r>
      <w:r w:rsidRPr="00365DC7">
        <w:rPr>
          <w:rFonts w:eastAsia="Times New Roman" w:cs="Arial"/>
          <w:bCs/>
          <w:color w:val="000000"/>
          <w:szCs w:val="20"/>
        </w:rPr>
        <w:t>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Alzheimer</w:t>
      </w:r>
      <w:r w:rsidRPr="00365DC7">
        <w:rPr>
          <w:rFonts w:eastAsia="Times New Roman" w:cs="Arial"/>
          <w:bCs/>
          <w:color w:val="000000"/>
          <w:szCs w:val="20"/>
        </w:rPr>
        <w:t>'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disease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cooperative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study</w:t>
      </w:r>
      <w:r w:rsidRPr="00365DC7">
        <w:rPr>
          <w:rFonts w:eastAsia="Times New Roman" w:cs="Arial"/>
          <w:bCs/>
          <w:color w:val="000000"/>
          <w:szCs w:val="20"/>
        </w:rPr>
        <w:t xml:space="preserve"> -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activities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of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daily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living</w:t>
      </w:r>
      <w:r w:rsidRPr="00365DC7">
        <w:rPr>
          <w:rFonts w:eastAsia="Times New Roman" w:cs="Arial"/>
          <w:bCs/>
          <w:color w:val="000000"/>
          <w:szCs w:val="20"/>
        </w:rPr>
        <w:t>)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ADCS</w:t>
      </w:r>
      <w:r w:rsidRPr="00365DC7">
        <w:rPr>
          <w:rFonts w:eastAsia="Times New Roman" w:cs="Arial"/>
          <w:bCs/>
          <w:color w:val="000000"/>
          <w:szCs w:val="20"/>
        </w:rPr>
        <w:t>-</w:t>
      </w:r>
      <w:proofErr w:type="spellStart"/>
      <w:r w:rsidRPr="00365DC7">
        <w:rPr>
          <w:rFonts w:eastAsia="Times New Roman" w:cs="Arial"/>
          <w:bCs/>
          <w:color w:val="000000"/>
          <w:szCs w:val="20"/>
          <w:lang w:val="en-US"/>
        </w:rPr>
        <w:t>ADLsev</w:t>
      </w:r>
      <w:proofErr w:type="spellEnd"/>
      <w:r w:rsidRPr="00365DC7">
        <w:rPr>
          <w:rFonts w:eastAsia="Times New Roman" w:cs="Arial"/>
          <w:bCs/>
          <w:color w:val="000000"/>
          <w:szCs w:val="20"/>
        </w:rPr>
        <w:t xml:space="preserve">):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p</w:t>
      </w:r>
      <w:r w:rsidRPr="00365DC7">
        <w:rPr>
          <w:rFonts w:eastAsia="Times New Roman" w:cs="Arial"/>
          <w:bCs/>
          <w:color w:val="000000"/>
          <w:szCs w:val="20"/>
        </w:rPr>
        <w:t xml:space="preserve"> = 0,003;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батерия за тежки увреждания </w:t>
      </w:r>
      <w:r w:rsidRPr="00365DC7">
        <w:rPr>
          <w:rFonts w:eastAsia="Times New Roman" w:cs="Arial"/>
          <w:bCs/>
          <w:color w:val="000000"/>
          <w:szCs w:val="20"/>
        </w:rPr>
        <w:t>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severe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impairment</w:t>
      </w:r>
      <w:r w:rsidRPr="00365DC7">
        <w:rPr>
          <w:rFonts w:eastAsia="Times New Roman" w:cs="Arial"/>
          <w:bCs/>
          <w:color w:val="000000"/>
          <w:szCs w:val="20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battery</w:t>
      </w:r>
      <w:r w:rsidRPr="00365DC7">
        <w:rPr>
          <w:rFonts w:eastAsia="Times New Roman" w:cs="Arial"/>
          <w:bCs/>
          <w:color w:val="000000"/>
          <w:szCs w:val="20"/>
        </w:rPr>
        <w:t>)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SIB</w:t>
      </w:r>
      <w:r w:rsidRPr="00365DC7">
        <w:rPr>
          <w:rFonts w:eastAsia="Times New Roman" w:cs="Arial"/>
          <w:bCs/>
          <w:color w:val="000000"/>
          <w:szCs w:val="20"/>
        </w:rPr>
        <w:t xml:space="preserve">):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p</w:t>
      </w:r>
      <w:r w:rsidRPr="00365DC7">
        <w:rPr>
          <w:rFonts w:eastAsia="Times New Roman" w:cs="Arial"/>
          <w:bCs/>
          <w:color w:val="000000"/>
          <w:szCs w:val="20"/>
        </w:rPr>
        <w:t xml:space="preserve"> = 0,002).</w:t>
      </w:r>
    </w:p>
    <w:p w14:paraId="7871687B" w14:textId="77777777" w:rsid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48B33C58" w14:textId="0A3D9B09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При проведено проучване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мемантин като монотерапия при лека до умерена степен на болестта на Алцхаймер (изходен общ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MMSE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-резултат при основа 10 до 22) са обхванати 403 пациента. Ефектът при лекуваните с мемантин пациенти е бил статистически значимо по-добър, в сравнение с този при лекуваните с плацебо пациенти, по отношение на основните точки: скала за оценка на болестта на Алцхаймер 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Alzheimer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'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disease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assessment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scale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)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ADAS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-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cog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)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p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= 0,003)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и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CIBIC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-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plus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p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= 0,004)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през 24-та седмица при последното проведено наблюдение 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last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observation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carried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forward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>) (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LOCF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).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При друго проучване с монотерапия на лека до умерена болест на Алцхаймер са рандомизирани общо 470 пациенти (изходен общ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MMSE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-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резултат при основа 11 до 23). При проспективно дефинирания първичен анализ през 24-та седмица не е постигната статистическа значимост на първична ефикасност.</w:t>
      </w:r>
    </w:p>
    <w:p w14:paraId="0236C559" w14:textId="77777777" w:rsid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1F1ECEEB" w14:textId="1D272803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При мета-анализ на пациенти с умерена до тежка степен на болестта на Алцхаймер (общ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MMSE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скор &lt;20) от шест плацебо-контролирани, 6-месечни проучвания, фаза Ш (включващи проучвания с монотерапия и проучвания при пациенти на постоянна доза ацетилхолинестеразни инхибитори) е установено, че съществува статистически значим ефект в полза на лечението с мемантин за когнитивната, глобалната и функционалната сфера. При пациенти с придружаващо влошаване във всичките три сфери, резултатите са показали статистически значим ефект от мемантин, предотвратяващ влошаването, като два пъти повече третирани с плацебо пациенти демонстрират влошаване във всичките три сфери в сравнение с лекуваните с мемантин пациенти (21% срещу 11%, р &lt;0,0001).</w:t>
      </w:r>
    </w:p>
    <w:p w14:paraId="6FAF557F" w14:textId="77777777" w:rsidR="00365DC7" w:rsidRPr="00365DC7" w:rsidRDefault="00365DC7" w:rsidP="00365DC7"/>
    <w:p w14:paraId="26535098" w14:textId="3086746A" w:rsidR="00395555" w:rsidRDefault="002C50EE" w:rsidP="008A6AF2">
      <w:pPr>
        <w:pStyle w:val="Heading2"/>
      </w:pPr>
      <w:r>
        <w:t>5.2. Фармакокинетични свойства</w:t>
      </w:r>
    </w:p>
    <w:p w14:paraId="312CC2AD" w14:textId="1D353B38" w:rsidR="00365DC7" w:rsidRDefault="00365DC7" w:rsidP="00365DC7"/>
    <w:p w14:paraId="480888E5" w14:textId="77777777" w:rsidR="00365DC7" w:rsidRPr="00365DC7" w:rsidRDefault="00365DC7" w:rsidP="00365DC7">
      <w:pPr>
        <w:pStyle w:val="Heading3"/>
        <w:rPr>
          <w:rFonts w:eastAsia="Times New Roman"/>
          <w:u w:val="single"/>
        </w:rPr>
      </w:pPr>
      <w:r w:rsidRPr="00365DC7">
        <w:rPr>
          <w:rFonts w:eastAsia="Times New Roman"/>
          <w:u w:val="single"/>
          <w:lang w:eastAsia="bg-BG"/>
        </w:rPr>
        <w:t>Абсорбция</w:t>
      </w:r>
    </w:p>
    <w:p w14:paraId="0A789D60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Мемантин има абсолютна бионаличност приблизително 100%. Т</w:t>
      </w:r>
      <w:r w:rsidRPr="00365DC7">
        <w:rPr>
          <w:vertAlign w:val="subscript"/>
          <w:lang w:val="en-US"/>
        </w:rPr>
        <w:t>max</w:t>
      </w:r>
      <w:r w:rsidRPr="00365DC7">
        <w:rPr>
          <w:lang w:eastAsia="bg-BG"/>
        </w:rPr>
        <w:t xml:space="preserve"> е между 3 и 8 часа. Няма данни, че храната повлиява абсорбцията на мемантин.</w:t>
      </w:r>
    </w:p>
    <w:p w14:paraId="42162BF7" w14:textId="77777777" w:rsidR="00365DC7" w:rsidRPr="00365DC7" w:rsidRDefault="00365DC7" w:rsidP="00365DC7">
      <w:pPr>
        <w:pStyle w:val="Heading3"/>
        <w:rPr>
          <w:rFonts w:eastAsia="Times New Roman"/>
          <w:u w:val="single"/>
          <w:lang w:eastAsia="bg-BG"/>
        </w:rPr>
      </w:pPr>
    </w:p>
    <w:p w14:paraId="503A19BB" w14:textId="161F1931" w:rsidR="00365DC7" w:rsidRPr="00365DC7" w:rsidRDefault="00365DC7" w:rsidP="00365DC7">
      <w:pPr>
        <w:pStyle w:val="Heading3"/>
        <w:rPr>
          <w:rFonts w:eastAsia="Times New Roman"/>
          <w:u w:val="single"/>
        </w:rPr>
      </w:pPr>
      <w:r w:rsidRPr="00365DC7">
        <w:rPr>
          <w:rFonts w:eastAsia="Times New Roman"/>
          <w:u w:val="single"/>
          <w:lang w:eastAsia="bg-BG"/>
        </w:rPr>
        <w:t>Разпределение</w:t>
      </w:r>
    </w:p>
    <w:p w14:paraId="5FF9FB11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 xml:space="preserve">Дневните дози от 20 </w:t>
      </w:r>
      <w:r w:rsidRPr="00365DC7">
        <w:rPr>
          <w:lang w:val="en-US"/>
        </w:rPr>
        <w:t>mg</w:t>
      </w:r>
      <w:r w:rsidRPr="00365DC7">
        <w:rPr>
          <w:lang w:val="ru-RU"/>
        </w:rPr>
        <w:t xml:space="preserve"> </w:t>
      </w:r>
      <w:r w:rsidRPr="00365DC7">
        <w:rPr>
          <w:lang w:eastAsia="bg-BG"/>
        </w:rPr>
        <w:t xml:space="preserve">водят до стационарни плазмени концентрации на мемантин, които варират от 70 до 150 </w:t>
      </w:r>
      <w:r w:rsidRPr="00365DC7">
        <w:rPr>
          <w:lang w:val="en-US"/>
        </w:rPr>
        <w:t>ng</w:t>
      </w:r>
      <w:r w:rsidRPr="00365DC7">
        <w:rPr>
          <w:lang w:val="ru-RU"/>
        </w:rPr>
        <w:t>/</w:t>
      </w:r>
      <w:r w:rsidRPr="00365DC7">
        <w:rPr>
          <w:lang w:val="en-US"/>
        </w:rPr>
        <w:t>ml</w:t>
      </w:r>
      <w:r w:rsidRPr="00365DC7">
        <w:rPr>
          <w:lang w:val="ru-RU"/>
        </w:rPr>
        <w:t xml:space="preserve"> </w:t>
      </w:r>
      <w:r w:rsidRPr="00365DC7">
        <w:rPr>
          <w:lang w:eastAsia="bg-BG"/>
        </w:rPr>
        <w:t xml:space="preserve">(0,5-1 </w:t>
      </w:r>
      <w:proofErr w:type="spellStart"/>
      <w:r w:rsidRPr="00365DC7">
        <w:rPr>
          <w:lang w:val="en-US"/>
        </w:rPr>
        <w:t>μmol</w:t>
      </w:r>
      <w:proofErr w:type="spellEnd"/>
      <w:r w:rsidRPr="00365DC7">
        <w:rPr>
          <w:lang w:val="ru-RU"/>
        </w:rPr>
        <w:t xml:space="preserve">) </w:t>
      </w:r>
      <w:r w:rsidRPr="00365DC7">
        <w:rPr>
          <w:lang w:eastAsia="bg-BG"/>
        </w:rPr>
        <w:t xml:space="preserve">с големи интериндивидуални различия. Когато са прилагани дневни дози от 5 до 30 </w:t>
      </w:r>
      <w:r w:rsidRPr="00365DC7">
        <w:rPr>
          <w:lang w:val="en-US"/>
        </w:rPr>
        <w:t>mg</w:t>
      </w:r>
      <w:r w:rsidRPr="00365DC7">
        <w:rPr>
          <w:lang w:val="ru-RU"/>
        </w:rPr>
        <w:t xml:space="preserve"> </w:t>
      </w:r>
      <w:r w:rsidRPr="00365DC7">
        <w:rPr>
          <w:lang w:eastAsia="bg-BG"/>
        </w:rPr>
        <w:t>е изчислено средно съотношение цереброспинална течност/серум 0,52. Обемът на разпределение е приблизително 10</w:t>
      </w:r>
      <w:r w:rsidRPr="00365DC7">
        <w:rPr>
          <w:lang w:val="ru-RU"/>
        </w:rPr>
        <w:t>1/</w:t>
      </w:r>
      <w:r w:rsidRPr="00365DC7">
        <w:rPr>
          <w:lang w:val="en-US"/>
        </w:rPr>
        <w:t>kg</w:t>
      </w:r>
      <w:r w:rsidRPr="00365DC7">
        <w:rPr>
          <w:lang w:val="ru-RU"/>
        </w:rPr>
        <w:t xml:space="preserve">. </w:t>
      </w:r>
      <w:r w:rsidRPr="00365DC7">
        <w:rPr>
          <w:lang w:eastAsia="bg-BG"/>
        </w:rPr>
        <w:t>Около 45% от количеството мемантин е свързано с плазмените белтъци.</w:t>
      </w:r>
    </w:p>
    <w:p w14:paraId="77C9DC8E" w14:textId="77777777" w:rsidR="00365DC7" w:rsidRDefault="00365DC7" w:rsidP="00365DC7">
      <w:pPr>
        <w:rPr>
          <w:lang w:eastAsia="bg-BG"/>
        </w:rPr>
      </w:pPr>
    </w:p>
    <w:p w14:paraId="142196BE" w14:textId="2DA6EC74" w:rsidR="00365DC7" w:rsidRPr="00365DC7" w:rsidRDefault="00365DC7" w:rsidP="00365DC7">
      <w:pPr>
        <w:pStyle w:val="Heading3"/>
        <w:rPr>
          <w:rFonts w:eastAsia="Times New Roman"/>
          <w:u w:val="single"/>
        </w:rPr>
      </w:pPr>
      <w:r w:rsidRPr="00365DC7">
        <w:rPr>
          <w:rFonts w:eastAsia="Times New Roman"/>
          <w:u w:val="single"/>
          <w:lang w:eastAsia="bg-BG"/>
        </w:rPr>
        <w:t>Биотрансформапия</w:t>
      </w:r>
    </w:p>
    <w:p w14:paraId="67A0A926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При човека около 80% от циркулиращите форми на мемантин са под</w:t>
      </w:r>
      <w:r w:rsidRPr="00365DC7">
        <w:rPr>
          <w:lang w:val="ru-RU"/>
        </w:rPr>
        <w:t xml:space="preserve"> </w:t>
      </w:r>
      <w:r w:rsidRPr="00365DC7">
        <w:rPr>
          <w:lang w:eastAsia="bg-BG"/>
        </w:rPr>
        <w:t>формата на изходното</w:t>
      </w:r>
    </w:p>
    <w:p w14:paraId="19860481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 xml:space="preserve">съединение. Главните метаболити при човека са </w:t>
      </w:r>
      <w:r w:rsidRPr="00365DC7">
        <w:rPr>
          <w:lang w:val="en-US"/>
        </w:rPr>
        <w:t>N</w:t>
      </w:r>
      <w:r w:rsidRPr="00365DC7">
        <w:rPr>
          <w:lang w:eastAsia="bg-BG"/>
        </w:rPr>
        <w:t>-3,5-диметил-глудантан, изомерната смес 4- и 6- хидрокси-мемантин и 1-нитрозо-3,5-диметил-адамангган. Нито един от тези метаболити не проявява</w:t>
      </w:r>
    </w:p>
    <w:p w14:paraId="1E2D9B0D" w14:textId="67A1814A" w:rsidR="00365DC7" w:rsidRDefault="00365DC7" w:rsidP="00365DC7">
      <w:pPr>
        <w:rPr>
          <w:lang w:val="ru-RU"/>
        </w:rPr>
      </w:pPr>
      <w:r w:rsidRPr="00365DC7">
        <w:rPr>
          <w:lang w:val="en-US"/>
        </w:rPr>
        <w:t>NMDA</w:t>
      </w:r>
      <w:r w:rsidRPr="00365DC7">
        <w:rPr>
          <w:lang w:eastAsia="bg-BG"/>
        </w:rPr>
        <w:t xml:space="preserve">-антагонистична активност. Не е открит цитохром Р 450 катализиран метаболизиъм </w:t>
      </w:r>
      <w:r w:rsidRPr="00365DC7">
        <w:rPr>
          <w:lang w:val="en-US"/>
        </w:rPr>
        <w:t>in</w:t>
      </w:r>
      <w:r w:rsidRPr="00365DC7">
        <w:rPr>
          <w:lang w:val="ru-RU"/>
        </w:rPr>
        <w:t xml:space="preserve"> </w:t>
      </w:r>
      <w:r w:rsidRPr="00365DC7">
        <w:rPr>
          <w:lang w:val="en-US"/>
        </w:rPr>
        <w:t>vitro</w:t>
      </w:r>
      <w:r w:rsidRPr="00365DC7">
        <w:rPr>
          <w:lang w:val="ru-RU"/>
        </w:rPr>
        <w:t>.</w:t>
      </w:r>
    </w:p>
    <w:p w14:paraId="39E9D690" w14:textId="5AD9349E" w:rsidR="00365DC7" w:rsidRDefault="00365DC7" w:rsidP="00365DC7">
      <w:pPr>
        <w:rPr>
          <w:lang w:val="ru-RU"/>
        </w:rPr>
      </w:pPr>
    </w:p>
    <w:p w14:paraId="559DA20D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 xml:space="preserve">При проучване с перорално прилаган </w:t>
      </w:r>
      <w:r w:rsidRPr="00365DC7">
        <w:rPr>
          <w:vertAlign w:val="superscript"/>
          <w:lang w:eastAsia="bg-BG"/>
        </w:rPr>
        <w:t>14</w:t>
      </w:r>
      <w:r w:rsidRPr="00365DC7">
        <w:rPr>
          <w:lang w:eastAsia="bg-BG"/>
        </w:rPr>
        <w:t>С-мемантин, средно 84% от дозата се възстановяват в рамките на 20 дни, като повече от 99% се екскретират през бъбреците.</w:t>
      </w:r>
    </w:p>
    <w:p w14:paraId="11033DC4" w14:textId="77777777" w:rsidR="00365DC7" w:rsidRDefault="00365DC7" w:rsidP="00365DC7">
      <w:pPr>
        <w:rPr>
          <w:lang w:eastAsia="bg-BG"/>
        </w:rPr>
      </w:pPr>
    </w:p>
    <w:p w14:paraId="1B5EBFE4" w14:textId="40A83B99" w:rsidR="00365DC7" w:rsidRPr="00365DC7" w:rsidRDefault="00365DC7" w:rsidP="00365DC7">
      <w:pPr>
        <w:pStyle w:val="Heading3"/>
        <w:rPr>
          <w:rFonts w:eastAsia="Times New Roman"/>
          <w:u w:val="single"/>
        </w:rPr>
      </w:pPr>
      <w:r w:rsidRPr="00365DC7">
        <w:rPr>
          <w:rFonts w:eastAsia="Times New Roman"/>
          <w:u w:val="single"/>
          <w:lang w:eastAsia="bg-BG"/>
        </w:rPr>
        <w:t>Елиминиране</w:t>
      </w:r>
    </w:p>
    <w:p w14:paraId="1CF44846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 xml:space="preserve">Мемантин се елиминира по моноекспоненциална крива с терминален от 60 до 100 часа. При доброволци с нормална бъбречна функция общият клирънс </w:t>
      </w:r>
      <w:r w:rsidRPr="00365DC7">
        <w:rPr>
          <w:lang w:val="ru-RU"/>
        </w:rPr>
        <w:t>(</w:t>
      </w:r>
      <w:proofErr w:type="spellStart"/>
      <w:r w:rsidRPr="00365DC7">
        <w:rPr>
          <w:lang w:val="en-US"/>
        </w:rPr>
        <w:t>Cl</w:t>
      </w:r>
      <w:r w:rsidRPr="00365DC7">
        <w:rPr>
          <w:vertAlign w:val="subscript"/>
          <w:lang w:val="en-US"/>
        </w:rPr>
        <w:t>tot</w:t>
      </w:r>
      <w:proofErr w:type="spellEnd"/>
      <w:r w:rsidRPr="00365DC7">
        <w:rPr>
          <w:lang w:val="ru-RU"/>
        </w:rPr>
        <w:t xml:space="preserve">) </w:t>
      </w:r>
      <w:r w:rsidRPr="00365DC7">
        <w:rPr>
          <w:lang w:eastAsia="bg-BG"/>
        </w:rPr>
        <w:t xml:space="preserve">достига до 170 </w:t>
      </w:r>
      <w:r w:rsidRPr="00365DC7">
        <w:rPr>
          <w:lang w:val="en-US"/>
        </w:rPr>
        <w:t>ml</w:t>
      </w:r>
      <w:r w:rsidRPr="00365DC7">
        <w:rPr>
          <w:lang w:val="ru-RU"/>
        </w:rPr>
        <w:t>/</w:t>
      </w:r>
      <w:r w:rsidRPr="00365DC7">
        <w:rPr>
          <w:lang w:val="en-US"/>
        </w:rPr>
        <w:t>min</w:t>
      </w:r>
      <w:r w:rsidRPr="00365DC7">
        <w:rPr>
          <w:lang w:val="ru-RU"/>
        </w:rPr>
        <w:t xml:space="preserve">/1,73 </w:t>
      </w:r>
      <w:r w:rsidRPr="00365DC7">
        <w:rPr>
          <w:lang w:val="en-US"/>
        </w:rPr>
        <w:t>m</w:t>
      </w:r>
      <w:r w:rsidRPr="00365DC7">
        <w:rPr>
          <w:vertAlign w:val="superscript"/>
          <w:lang w:val="ru-RU"/>
        </w:rPr>
        <w:t>2</w:t>
      </w:r>
      <w:r w:rsidRPr="00365DC7">
        <w:rPr>
          <w:lang w:val="ru-RU"/>
        </w:rPr>
        <w:t xml:space="preserve"> </w:t>
      </w:r>
      <w:r w:rsidRPr="00365DC7">
        <w:rPr>
          <w:lang w:eastAsia="bg-BG"/>
        </w:rPr>
        <w:t>и част от общия бъбречен клирънс се реализира чрез тубуларна секреция.</w:t>
      </w:r>
    </w:p>
    <w:p w14:paraId="6184D9E6" w14:textId="77777777" w:rsidR="00365DC7" w:rsidRDefault="00365DC7" w:rsidP="00365DC7">
      <w:pPr>
        <w:rPr>
          <w:lang w:eastAsia="bg-BG"/>
        </w:rPr>
      </w:pPr>
    </w:p>
    <w:p w14:paraId="05DBCFFB" w14:textId="4B4CEF4A" w:rsidR="00365DC7" w:rsidRDefault="00365DC7" w:rsidP="00365DC7">
      <w:pPr>
        <w:rPr>
          <w:lang w:eastAsia="bg-BG"/>
        </w:rPr>
      </w:pPr>
      <w:r w:rsidRPr="00365DC7">
        <w:rPr>
          <w:lang w:eastAsia="bg-BG"/>
        </w:rPr>
        <w:t xml:space="preserve">Бъбречният обмен включва също тубулна резорбция, която вероятно се осъществява от катион- транспортиращи белтъци. Степента на бъбречно елиминиране на мемантин в условията на алкална урина може да бъде намалена 7 до 9 пъти (вж. точка 4.4). Алкализирането на урината може да се дължи на драстични промени в диетата, например от месна към вегетарианска диета, или на масивен </w:t>
      </w:r>
    </w:p>
    <w:p w14:paraId="628572FB" w14:textId="3A9F21AD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lastRenderedPageBreak/>
        <w:t>прием на алкализиращи стомашни буфери.</w:t>
      </w:r>
    </w:p>
    <w:p w14:paraId="4445F821" w14:textId="77777777" w:rsidR="00365DC7" w:rsidRDefault="00365DC7" w:rsidP="00365DC7">
      <w:pPr>
        <w:rPr>
          <w:lang w:eastAsia="bg-BG"/>
        </w:rPr>
      </w:pPr>
    </w:p>
    <w:p w14:paraId="3498E0F3" w14:textId="5CC67366" w:rsidR="00365DC7" w:rsidRPr="00365DC7" w:rsidRDefault="00365DC7" w:rsidP="00365DC7">
      <w:pPr>
        <w:rPr>
          <w:sz w:val="24"/>
          <w:szCs w:val="24"/>
          <w:u w:val="single"/>
        </w:rPr>
      </w:pPr>
      <w:r w:rsidRPr="00365DC7">
        <w:rPr>
          <w:u w:val="single"/>
          <w:lang w:eastAsia="bg-BG"/>
        </w:rPr>
        <w:t>Линейност</w:t>
      </w:r>
    </w:p>
    <w:p w14:paraId="67FA94FB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 xml:space="preserve">Проучванията при доброволци показват линейна фармакокинетика в дозовия диапазон от 10 до 40 </w:t>
      </w:r>
      <w:r w:rsidRPr="00365DC7">
        <w:rPr>
          <w:lang w:val="en-US"/>
        </w:rPr>
        <w:t>mg</w:t>
      </w:r>
      <w:r w:rsidRPr="00365DC7">
        <w:rPr>
          <w:lang w:val="ru-RU"/>
        </w:rPr>
        <w:t>.</w:t>
      </w:r>
    </w:p>
    <w:p w14:paraId="03D26CA8" w14:textId="77777777" w:rsidR="00365DC7" w:rsidRDefault="00365DC7" w:rsidP="00365DC7">
      <w:pPr>
        <w:rPr>
          <w:lang w:eastAsia="bg-BG"/>
        </w:rPr>
      </w:pPr>
    </w:p>
    <w:p w14:paraId="13323EB2" w14:textId="40CC973A" w:rsidR="00365DC7" w:rsidRPr="00365DC7" w:rsidRDefault="00365DC7" w:rsidP="00365DC7">
      <w:pPr>
        <w:rPr>
          <w:sz w:val="24"/>
          <w:szCs w:val="24"/>
          <w:u w:val="single"/>
        </w:rPr>
      </w:pPr>
      <w:r w:rsidRPr="00365DC7">
        <w:rPr>
          <w:u w:val="single"/>
          <w:lang w:eastAsia="bg-BG"/>
        </w:rPr>
        <w:t>Връзка фармакокинетика/фармакодинамика</w:t>
      </w:r>
    </w:p>
    <w:p w14:paraId="099C0085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 xml:space="preserve">При доза 20 </w:t>
      </w:r>
      <w:r w:rsidRPr="00365DC7">
        <w:rPr>
          <w:lang w:val="en-US"/>
        </w:rPr>
        <w:t>mg</w:t>
      </w:r>
      <w:r w:rsidRPr="00365DC7">
        <w:rPr>
          <w:lang w:val="ru-RU"/>
        </w:rPr>
        <w:t xml:space="preserve"> </w:t>
      </w:r>
      <w:r w:rsidRPr="00365DC7">
        <w:rPr>
          <w:lang w:eastAsia="bg-BG"/>
        </w:rPr>
        <w:t xml:space="preserve">мемантин дневно нивата в цереброспиналната течност отговарят на стойността </w:t>
      </w:r>
      <w:proofErr w:type="spellStart"/>
      <w:r w:rsidRPr="00365DC7">
        <w:rPr>
          <w:lang w:val="en-US"/>
        </w:rPr>
        <w:t>k</w:t>
      </w:r>
      <w:r w:rsidRPr="00365DC7">
        <w:rPr>
          <w:vertAlign w:val="subscript"/>
          <w:lang w:val="en-US"/>
        </w:rPr>
        <w:t>i</w:t>
      </w:r>
      <w:proofErr w:type="spellEnd"/>
      <w:r w:rsidRPr="00365DC7">
        <w:rPr>
          <w:vertAlign w:val="subscript"/>
          <w:lang w:val="ru-RU"/>
        </w:rPr>
        <w:t xml:space="preserve"> </w:t>
      </w:r>
      <w:r w:rsidRPr="00365DC7">
        <w:rPr>
          <w:lang w:eastAsia="bg-BG"/>
        </w:rPr>
        <w:t>(</w:t>
      </w:r>
      <w:proofErr w:type="spellStart"/>
      <w:r w:rsidRPr="00365DC7">
        <w:rPr>
          <w:lang w:val="en-US"/>
        </w:rPr>
        <w:t>k</w:t>
      </w:r>
      <w:r w:rsidRPr="00365DC7">
        <w:rPr>
          <w:vertAlign w:val="subscript"/>
          <w:lang w:val="en-US"/>
        </w:rPr>
        <w:t>i</w:t>
      </w:r>
      <w:proofErr w:type="spellEnd"/>
      <w:r w:rsidRPr="00365DC7">
        <w:rPr>
          <w:lang w:eastAsia="bg-BG"/>
        </w:rPr>
        <w:t xml:space="preserve">=константа на инхибиране) на мемантин, която е 0,5 </w:t>
      </w:r>
      <w:proofErr w:type="spellStart"/>
      <w:r w:rsidRPr="00365DC7">
        <w:rPr>
          <w:lang w:val="en-US"/>
        </w:rPr>
        <w:t>μmol</w:t>
      </w:r>
      <w:proofErr w:type="spellEnd"/>
      <w:r w:rsidRPr="00365DC7">
        <w:rPr>
          <w:lang w:val="ru-RU"/>
        </w:rPr>
        <w:t xml:space="preserve"> </w:t>
      </w:r>
      <w:r w:rsidRPr="00365DC7">
        <w:rPr>
          <w:lang w:eastAsia="bg-BG"/>
        </w:rPr>
        <w:t>в кората на фронталния дял при човека.</w:t>
      </w:r>
    </w:p>
    <w:p w14:paraId="59C4773A" w14:textId="77777777" w:rsidR="00365DC7" w:rsidRPr="00365DC7" w:rsidRDefault="00365DC7" w:rsidP="00365DC7"/>
    <w:p w14:paraId="028E658A" w14:textId="4465523B" w:rsidR="00395555" w:rsidRDefault="002C50EE" w:rsidP="008A6AF2">
      <w:pPr>
        <w:pStyle w:val="Heading2"/>
      </w:pPr>
      <w:r>
        <w:t>5.3. Предклинични данни за безопасност</w:t>
      </w:r>
    </w:p>
    <w:p w14:paraId="7E108CF4" w14:textId="5BFC5F94" w:rsidR="00365DC7" w:rsidRDefault="00365DC7" w:rsidP="00365DC7"/>
    <w:p w14:paraId="78FF8EF2" w14:textId="7777777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В краткосрочни проучвания върху плъхове, мемантин, както другите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NMDA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 xml:space="preserve">-антагонисти, предизвиква невронална вакуолизация и некроза (лезии на </w:t>
      </w:r>
      <w:r w:rsidRPr="00365DC7">
        <w:rPr>
          <w:rFonts w:eastAsia="Times New Roman" w:cs="Arial"/>
          <w:bCs/>
          <w:color w:val="000000"/>
          <w:szCs w:val="20"/>
          <w:lang w:val="en-US"/>
        </w:rPr>
        <w:t>Olney</w:t>
      </w:r>
      <w:r w:rsidRPr="00365DC7">
        <w:rPr>
          <w:rFonts w:eastAsia="Times New Roman" w:cs="Arial"/>
          <w:bCs/>
          <w:color w:val="000000"/>
          <w:szCs w:val="20"/>
          <w:lang w:val="ru-RU"/>
        </w:rPr>
        <w:t xml:space="preserve">) </w:t>
      </w:r>
      <w:r w:rsidRPr="00365DC7">
        <w:rPr>
          <w:rFonts w:eastAsia="Times New Roman" w:cs="Arial"/>
          <w:bCs/>
          <w:color w:val="000000"/>
          <w:szCs w:val="20"/>
          <w:lang w:eastAsia="bg-BG"/>
        </w:rPr>
        <w:t>само след дози, водещи до високи пикови серумни концентрации. Атаксия и други преклинични признаци предшестват вакуолизацията и некрозата. Тъй като ефектите не са наблюдавани при дългосрочни проучвания при гризачи и негризачи, клиничната връзка с тези резултати липсва.</w:t>
      </w:r>
    </w:p>
    <w:p w14:paraId="7C20003B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7F1BC32F" w14:textId="4746A475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При проучвания за токсичност са наблюдавани променливи изменения в очите при повтарящи се дози при гризачи и кучета, но не и при маймуни. Специфичните офталмологични прегледи в клиничните проучвания с мемантин не разкриват никакви очни изменения.</w:t>
      </w:r>
    </w:p>
    <w:p w14:paraId="20932030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671BEA38" w14:textId="5C6818FA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При гризачи е наблюдавана фосфолипидоза в белодробните макрофаги поради натрупване на мемантин в лизозомите. Този ефект е познат от други активни вещества с катионни амфифилни свойства. Вероятно съществува връзка между това натрупване и вакуолизацията, наблюдавана в белите дробове. Този ефект е наблюдаван само при прилагане на високи дози при гризачи. Клиничната значимост на тези резултати не е известна.</w:t>
      </w:r>
    </w:p>
    <w:p w14:paraId="42E4BE5F" w14:textId="77777777" w:rsidR="00365DC7" w:rsidRPr="00365DC7" w:rsidRDefault="00365DC7" w:rsidP="00365DC7">
      <w:pPr>
        <w:spacing w:line="240" w:lineRule="auto"/>
        <w:rPr>
          <w:rFonts w:eastAsia="Times New Roman" w:cs="Arial"/>
          <w:bCs/>
          <w:color w:val="000000"/>
          <w:szCs w:val="20"/>
          <w:lang w:eastAsia="bg-BG"/>
        </w:rPr>
      </w:pPr>
    </w:p>
    <w:p w14:paraId="34F541D5" w14:textId="3FEB59E7" w:rsidR="00365DC7" w:rsidRPr="00365DC7" w:rsidRDefault="00365DC7" w:rsidP="00365DC7">
      <w:pPr>
        <w:spacing w:line="240" w:lineRule="auto"/>
        <w:rPr>
          <w:rFonts w:eastAsia="Times New Roman" w:cs="Arial"/>
          <w:sz w:val="28"/>
          <w:szCs w:val="24"/>
        </w:rPr>
      </w:pPr>
      <w:r w:rsidRPr="00365DC7">
        <w:rPr>
          <w:rFonts w:eastAsia="Times New Roman" w:cs="Arial"/>
          <w:bCs/>
          <w:color w:val="000000"/>
          <w:szCs w:val="20"/>
          <w:lang w:eastAsia="bg-BG"/>
        </w:rPr>
        <w:t>Не е установена генотоксичност на мемантин след изследване по стандартни методики. Няма данни за карциногенност при доживот-продължителни проучвания при мишки и плъхове. Мемантин не е тератогенен при плъхове и зайци, дори и в дози, токсични за майката, и не са отбелязани нежелани лекарствени реакции на мемантин върху фертилитета. При плъхове е отбелязано понижаване на феталното развитие при нива на експозиция, които са идентични или малко по-високи от тези на експозицията при хора.</w:t>
      </w:r>
    </w:p>
    <w:p w14:paraId="7BEBA32E" w14:textId="77777777" w:rsidR="00365DC7" w:rsidRPr="00365DC7" w:rsidRDefault="00365DC7" w:rsidP="00365DC7"/>
    <w:p w14:paraId="6A7820AB" w14:textId="1928E5E7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4B4CC407" w14:textId="547A86AC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НОБЕЛ ФАРМА ЕООД</w:t>
      </w:r>
    </w:p>
    <w:p w14:paraId="5B091164" w14:textId="77777777" w:rsidR="00365DC7" w:rsidRPr="00365DC7" w:rsidRDefault="00365DC7" w:rsidP="00365DC7">
      <w:pPr>
        <w:rPr>
          <w:sz w:val="24"/>
          <w:szCs w:val="24"/>
        </w:rPr>
      </w:pPr>
      <w:r w:rsidRPr="00365DC7">
        <w:rPr>
          <w:lang w:eastAsia="bg-BG"/>
        </w:rPr>
        <w:t>Околовръстен път №36</w:t>
      </w:r>
    </w:p>
    <w:p w14:paraId="6612AA2B" w14:textId="05ED02CC" w:rsidR="00365DC7" w:rsidRPr="00365DC7" w:rsidRDefault="00365DC7" w:rsidP="00365DC7">
      <w:r w:rsidRPr="00365DC7">
        <w:rPr>
          <w:lang w:eastAsia="bg-BG"/>
        </w:rPr>
        <w:t>София 1415, България</w:t>
      </w:r>
    </w:p>
    <w:p w14:paraId="04840D59" w14:textId="7B8D5450" w:rsidR="002C50EE" w:rsidRDefault="002C50EE" w:rsidP="00395555">
      <w:pPr>
        <w:pStyle w:val="Heading1"/>
      </w:pPr>
      <w:r>
        <w:t>8. НОМЕР НА РАЗРЕШЕНИЕТО ЗА УПОТРЕБА</w:t>
      </w:r>
    </w:p>
    <w:p w14:paraId="77E88D7A" w14:textId="2F886A72" w:rsidR="00365DC7" w:rsidRDefault="00365DC7" w:rsidP="00365DC7"/>
    <w:p w14:paraId="1F686B43" w14:textId="738834C0" w:rsidR="00365DC7" w:rsidRPr="00365DC7" w:rsidRDefault="00365DC7" w:rsidP="00365DC7">
      <w:r>
        <w:t>20140192</w:t>
      </w:r>
    </w:p>
    <w:p w14:paraId="2CCB5832" w14:textId="4B5C98DE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362E2907" w14:textId="67FBF4A9" w:rsidR="00365DC7" w:rsidRPr="00365DC7" w:rsidRDefault="00365DC7" w:rsidP="00365DC7"/>
    <w:p w14:paraId="0E9D0119" w14:textId="0245C6D7" w:rsidR="002C50EE" w:rsidRDefault="002C50EE" w:rsidP="002C50EE">
      <w:pPr>
        <w:pStyle w:val="Heading1"/>
      </w:pPr>
      <w:bookmarkStart w:id="1" w:name="_GoBack"/>
      <w:bookmarkEnd w:id="1"/>
      <w:r>
        <w:t>10. ДАТА НА АКТУАЛИЗИРАНЕ НА ТЕКСТА</w:t>
      </w:r>
    </w:p>
    <w:bookmarkEnd w:id="0"/>
    <w:p w14:paraId="43FB38A2" w14:textId="04A278AB" w:rsidR="007C605B" w:rsidRPr="003E3126" w:rsidRDefault="00365DC7" w:rsidP="00365DC7">
      <w:r>
        <w:t>10/2018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83674"/>
    <w:multiLevelType w:val="hybridMultilevel"/>
    <w:tmpl w:val="A1025B90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11"/>
  </w:num>
  <w:num w:numId="15">
    <w:abstractNumId w:val="27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0"/>
  </w:num>
  <w:num w:numId="28">
    <w:abstractNumId w:val="6"/>
  </w:num>
  <w:num w:numId="29">
    <w:abstractNumId w:val="19"/>
  </w:num>
  <w:num w:numId="30">
    <w:abstractNumId w:val="31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65DC7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158DC"/>
    <w:rsid w:val="00B275A8"/>
    <w:rsid w:val="00BF2600"/>
    <w:rsid w:val="00C0049F"/>
    <w:rsid w:val="00C07B84"/>
    <w:rsid w:val="00C33464"/>
    <w:rsid w:val="00C809A7"/>
    <w:rsid w:val="00C83063"/>
    <w:rsid w:val="00C857D1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3063</Words>
  <Characters>17464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2021-12-30T00:36:00Z</dcterms:created>
  <dcterms:modified xsi:type="dcterms:W3CDTF">2021-12-30T00:36:00Z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