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4D992607" w:rsidR="00AA23EC" w:rsidRDefault="00DD466D" w:rsidP="00DD466D">
      <w:pPr>
        <w:pStyle w:val="Heading1"/>
      </w:pPr>
      <w:r>
        <w:t>1.ИМЕ НА ЛЕКАРСТВЕНИЯ ПРОДУКТ</w:t>
      </w:r>
    </w:p>
    <w:p w14:paraId="0754CA57" w14:textId="5AE31F61" w:rsidR="003C0EFE" w:rsidRDefault="003C0EFE" w:rsidP="003C0EFE"/>
    <w:p w14:paraId="719DBB34" w14:textId="77777777" w:rsidR="003C0EFE" w:rsidRDefault="003C0EFE" w:rsidP="003C0EFE">
      <w:pPr>
        <w:rPr>
          <w:lang w:eastAsia="bg-BG"/>
        </w:rPr>
      </w:pPr>
      <w:r>
        <w:rPr>
          <w:lang w:eastAsia="bg-BG"/>
        </w:rPr>
        <w:t xml:space="preserve">Мидазолам Панфарма 1 </w:t>
      </w:r>
      <w:r>
        <w:t xml:space="preserve">mg/ml </w:t>
      </w:r>
      <w:r>
        <w:rPr>
          <w:lang w:eastAsia="bg-BG"/>
        </w:rPr>
        <w:t xml:space="preserve">инжекционен разтвор </w:t>
      </w:r>
    </w:p>
    <w:p w14:paraId="5637B9C8" w14:textId="25A97943" w:rsidR="003C0EFE" w:rsidRPr="003C0EFE" w:rsidRDefault="003C0EFE" w:rsidP="003C0EFE">
      <w:r>
        <w:t xml:space="preserve">Midazolam Panpharma </w:t>
      </w:r>
      <w:r>
        <w:rPr>
          <w:lang w:eastAsia="bg-BG"/>
        </w:rPr>
        <w:t xml:space="preserve">1 </w:t>
      </w:r>
      <w:r>
        <w:t>mg/ml solution for injection</w:t>
      </w:r>
    </w:p>
    <w:p w14:paraId="0A368469" w14:textId="4B23BF1D" w:rsidR="00C0049F" w:rsidRDefault="00DD466D" w:rsidP="009F1313">
      <w:pPr>
        <w:pStyle w:val="Heading1"/>
      </w:pPr>
      <w:r>
        <w:t>2. КАЧЕСТВЕН И КОЛИЧЕСТВЕН СЪСТАВ</w:t>
      </w:r>
    </w:p>
    <w:p w14:paraId="356793E0" w14:textId="61A0D822" w:rsidR="003C0EFE" w:rsidRDefault="003C0EFE" w:rsidP="003C0EFE"/>
    <w:p w14:paraId="66BE4AB7" w14:textId="77777777" w:rsidR="003C0EFE" w:rsidRPr="003C0EFE" w:rsidRDefault="003C0EFE" w:rsidP="003C0EFE">
      <w:pPr>
        <w:rPr>
          <w:sz w:val="24"/>
          <w:szCs w:val="24"/>
        </w:rPr>
      </w:pPr>
      <w:r w:rsidRPr="003C0EFE">
        <w:rPr>
          <w:lang w:eastAsia="bg-BG"/>
        </w:rPr>
        <w:t xml:space="preserve">Всеки </w:t>
      </w:r>
      <w:r w:rsidRPr="003C0EFE">
        <w:rPr>
          <w:lang w:val="en-US"/>
        </w:rPr>
        <w:t>ml</w:t>
      </w:r>
      <w:r w:rsidRPr="003C0EFE">
        <w:t xml:space="preserve"> </w:t>
      </w:r>
      <w:r w:rsidRPr="003C0EFE">
        <w:rPr>
          <w:lang w:eastAsia="bg-BG"/>
        </w:rPr>
        <w:t xml:space="preserve">съдържа 1 </w:t>
      </w:r>
      <w:r w:rsidRPr="003C0EFE">
        <w:rPr>
          <w:lang w:val="en-US"/>
        </w:rPr>
        <w:t>mg</w:t>
      </w:r>
      <w:r w:rsidRPr="003C0EFE">
        <w:t xml:space="preserve"> </w:t>
      </w:r>
      <w:r w:rsidRPr="003C0EFE">
        <w:rPr>
          <w:lang w:eastAsia="bg-BG"/>
        </w:rPr>
        <w:t xml:space="preserve">мидазолам </w:t>
      </w:r>
      <w:r w:rsidRPr="003C0EFE">
        <w:rPr>
          <w:i/>
          <w:iCs/>
        </w:rPr>
        <w:t>(</w:t>
      </w:r>
      <w:r w:rsidRPr="003C0EFE">
        <w:rPr>
          <w:i/>
          <w:iCs/>
          <w:lang w:val="en-US"/>
        </w:rPr>
        <w:t>midazolam</w:t>
      </w:r>
      <w:r w:rsidRPr="003C0EFE">
        <w:rPr>
          <w:i/>
          <w:iCs/>
        </w:rPr>
        <w:t>).</w:t>
      </w:r>
    </w:p>
    <w:p w14:paraId="35E8EB54" w14:textId="77777777" w:rsidR="003C0EFE" w:rsidRDefault="003C0EFE" w:rsidP="003C0EFE">
      <w:pPr>
        <w:rPr>
          <w:lang w:eastAsia="bg-BG"/>
        </w:rPr>
      </w:pPr>
    </w:p>
    <w:p w14:paraId="2D45318A" w14:textId="12DCA66A" w:rsidR="003C0EFE" w:rsidRPr="003C0EFE" w:rsidRDefault="003C0EFE" w:rsidP="003C0EFE">
      <w:pPr>
        <w:rPr>
          <w:sz w:val="24"/>
          <w:szCs w:val="24"/>
        </w:rPr>
      </w:pPr>
      <w:r w:rsidRPr="003C0EFE">
        <w:rPr>
          <w:lang w:eastAsia="bg-BG"/>
        </w:rPr>
        <w:t xml:space="preserve">Една ампула от 5 </w:t>
      </w:r>
      <w:r w:rsidRPr="003C0EFE">
        <w:rPr>
          <w:lang w:val="en-US"/>
        </w:rPr>
        <w:t>ml</w:t>
      </w:r>
      <w:r w:rsidRPr="003C0EFE">
        <w:rPr>
          <w:lang w:val="ru-RU"/>
        </w:rPr>
        <w:t xml:space="preserve"> </w:t>
      </w:r>
      <w:r w:rsidRPr="003C0EFE">
        <w:rPr>
          <w:lang w:eastAsia="bg-BG"/>
        </w:rPr>
        <w:t xml:space="preserve">съдържа 5 </w:t>
      </w:r>
      <w:r w:rsidRPr="003C0EFE">
        <w:rPr>
          <w:lang w:val="en-US"/>
        </w:rPr>
        <w:t>mg</w:t>
      </w:r>
      <w:r w:rsidRPr="003C0EFE">
        <w:rPr>
          <w:lang w:val="ru-RU"/>
        </w:rPr>
        <w:t xml:space="preserve"> </w:t>
      </w:r>
      <w:r w:rsidRPr="003C0EFE">
        <w:rPr>
          <w:lang w:eastAsia="bg-BG"/>
        </w:rPr>
        <w:t>мидазолам.</w:t>
      </w:r>
    </w:p>
    <w:p w14:paraId="7B8AB207" w14:textId="77777777" w:rsidR="003C0EFE" w:rsidRDefault="003C0EFE" w:rsidP="003C0EFE">
      <w:pPr>
        <w:rPr>
          <w:u w:val="single"/>
          <w:lang w:eastAsia="bg-BG"/>
        </w:rPr>
      </w:pPr>
    </w:p>
    <w:p w14:paraId="528A338E" w14:textId="69479E24" w:rsidR="003C0EFE" w:rsidRPr="003C0EFE" w:rsidRDefault="003C0EFE" w:rsidP="003C0EFE">
      <w:pPr>
        <w:rPr>
          <w:sz w:val="24"/>
          <w:szCs w:val="24"/>
        </w:rPr>
      </w:pPr>
      <w:r w:rsidRPr="003C0EFE">
        <w:rPr>
          <w:u w:val="single"/>
          <w:lang w:eastAsia="bg-BG"/>
        </w:rPr>
        <w:t>Помощно вещество с известно действие:</w:t>
      </w:r>
    </w:p>
    <w:p w14:paraId="72906F6F" w14:textId="1AE89FD0" w:rsidR="003C0EFE" w:rsidRPr="003C0EFE" w:rsidRDefault="003C0EFE" w:rsidP="003C0EFE">
      <w:r w:rsidRPr="003C0EFE">
        <w:rPr>
          <w:lang w:eastAsia="bg-BG"/>
        </w:rPr>
        <w:t xml:space="preserve">Този лекарствен продукт съдържа 4 </w:t>
      </w:r>
      <w:r w:rsidRPr="003C0EFE">
        <w:rPr>
          <w:lang w:val="en-US"/>
        </w:rPr>
        <w:t>mg</w:t>
      </w:r>
      <w:r w:rsidRPr="003C0EFE">
        <w:rPr>
          <w:lang w:val="ru-RU"/>
        </w:rPr>
        <w:t xml:space="preserve"> </w:t>
      </w:r>
      <w:r w:rsidRPr="003C0EFE">
        <w:rPr>
          <w:lang w:eastAsia="bg-BG"/>
        </w:rPr>
        <w:t xml:space="preserve">натрий на 1 </w:t>
      </w:r>
      <w:r w:rsidRPr="003C0EFE">
        <w:rPr>
          <w:lang w:val="en-US"/>
        </w:rPr>
        <w:t>ml</w:t>
      </w:r>
      <w:r w:rsidRPr="003C0EFE">
        <w:rPr>
          <w:lang w:val="ru-RU"/>
        </w:rPr>
        <w:t xml:space="preserve"> </w:t>
      </w:r>
      <w:r w:rsidRPr="003C0EFE">
        <w:rPr>
          <w:lang w:eastAsia="bg-BG"/>
        </w:rPr>
        <w:t>инжекционен разтвор.</w:t>
      </w:r>
    </w:p>
    <w:p w14:paraId="614984C4" w14:textId="4398BF8B" w:rsidR="008A6AF2" w:rsidRDefault="00DD466D" w:rsidP="002C50EE">
      <w:pPr>
        <w:pStyle w:val="Heading1"/>
      </w:pPr>
      <w:r>
        <w:t>3. ЛЕКАРСТВЕНА ФОРМА</w:t>
      </w:r>
    </w:p>
    <w:p w14:paraId="55F92304" w14:textId="51C14364" w:rsidR="003C0EFE" w:rsidRDefault="003C0EFE" w:rsidP="003C0EFE"/>
    <w:p w14:paraId="46135C36" w14:textId="77777777" w:rsidR="003C0EFE" w:rsidRPr="003C0EFE" w:rsidRDefault="003C0EFE" w:rsidP="003C0EFE">
      <w:pPr>
        <w:rPr>
          <w:sz w:val="24"/>
          <w:szCs w:val="24"/>
        </w:rPr>
      </w:pPr>
      <w:r w:rsidRPr="003C0EFE">
        <w:rPr>
          <w:lang w:eastAsia="bg-BG"/>
        </w:rPr>
        <w:t>Инжекционен разтвор.</w:t>
      </w:r>
    </w:p>
    <w:p w14:paraId="62EE01F4" w14:textId="77777777" w:rsidR="003C0EFE" w:rsidRDefault="003C0EFE" w:rsidP="003C0EFE">
      <w:pPr>
        <w:rPr>
          <w:lang w:eastAsia="bg-BG"/>
        </w:rPr>
      </w:pPr>
    </w:p>
    <w:p w14:paraId="6FC55882" w14:textId="00E16BB7" w:rsidR="003C0EFE" w:rsidRPr="003C0EFE" w:rsidRDefault="003C0EFE" w:rsidP="003C0EFE">
      <w:pPr>
        <w:rPr>
          <w:sz w:val="24"/>
          <w:szCs w:val="24"/>
        </w:rPr>
      </w:pPr>
      <w:r w:rsidRPr="003C0EFE">
        <w:rPr>
          <w:lang w:eastAsia="bg-BG"/>
        </w:rPr>
        <w:t>Бистър безцветен разтвор.</w:t>
      </w:r>
    </w:p>
    <w:p w14:paraId="7E434597" w14:textId="77777777" w:rsidR="003C0EFE" w:rsidRPr="003C0EFE" w:rsidRDefault="003C0EFE" w:rsidP="003C0EFE"/>
    <w:p w14:paraId="490FC2C4" w14:textId="32682B15" w:rsidR="002C50EE" w:rsidRDefault="002C50EE" w:rsidP="002C50EE">
      <w:pPr>
        <w:pStyle w:val="Heading1"/>
      </w:pPr>
      <w:r>
        <w:t>4. КЛИНИЧНИ ДАННИ</w:t>
      </w:r>
    </w:p>
    <w:p w14:paraId="08CF5669" w14:textId="5FCDC981" w:rsidR="00426E5F" w:rsidRDefault="002C50EE" w:rsidP="00A65A81">
      <w:pPr>
        <w:pStyle w:val="Heading2"/>
      </w:pPr>
      <w:r>
        <w:t>4.1. Терапевтични показания</w:t>
      </w:r>
    </w:p>
    <w:p w14:paraId="74B83353" w14:textId="5995F2B5" w:rsidR="003C0EFE" w:rsidRDefault="003C0EFE" w:rsidP="003C0EFE"/>
    <w:p w14:paraId="438ADAAB"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Мидазолам Панфарма е краткодействащ сънотворен лекарствен продукт, който се прилага при следните показания:</w:t>
      </w:r>
    </w:p>
    <w:p w14:paraId="793C41C3" w14:textId="77777777" w:rsidR="003C0EFE" w:rsidRDefault="003C0EFE" w:rsidP="003C0EFE">
      <w:pPr>
        <w:spacing w:line="240" w:lineRule="auto"/>
        <w:rPr>
          <w:rFonts w:eastAsia="Times New Roman" w:cs="Arial"/>
          <w:b/>
          <w:bCs/>
          <w:color w:val="000000"/>
          <w:lang w:eastAsia="bg-BG"/>
        </w:rPr>
      </w:pPr>
      <w:bookmarkStart w:id="1" w:name="bookmark0"/>
    </w:p>
    <w:p w14:paraId="40F3ACDC" w14:textId="766E1C30" w:rsidR="003C0EFE" w:rsidRPr="003C0EFE" w:rsidRDefault="003C0EFE" w:rsidP="003C0EFE">
      <w:pPr>
        <w:spacing w:line="240" w:lineRule="auto"/>
        <w:rPr>
          <w:rFonts w:eastAsia="Times New Roman" w:cs="Arial"/>
        </w:rPr>
      </w:pPr>
      <w:r w:rsidRPr="003C0EFE">
        <w:rPr>
          <w:rFonts w:eastAsia="Times New Roman" w:cs="Arial"/>
          <w:b/>
          <w:bCs/>
          <w:color w:val="000000"/>
          <w:lang w:eastAsia="bg-BG"/>
        </w:rPr>
        <w:t>При възрастни:</w:t>
      </w:r>
      <w:bookmarkEnd w:id="1"/>
    </w:p>
    <w:p w14:paraId="5F3B4C7C" w14:textId="77777777" w:rsidR="003C0EFE" w:rsidRPr="003C0EFE" w:rsidRDefault="003C0EFE" w:rsidP="003C0EFE">
      <w:pPr>
        <w:pStyle w:val="ListParagraph"/>
        <w:numPr>
          <w:ilvl w:val="0"/>
          <w:numId w:val="34"/>
        </w:numPr>
        <w:spacing w:line="240" w:lineRule="auto"/>
        <w:rPr>
          <w:rFonts w:eastAsia="Times New Roman" w:cs="Arial"/>
          <w:color w:val="000000"/>
          <w:lang w:eastAsia="bg-BG"/>
        </w:rPr>
      </w:pPr>
      <w:r w:rsidRPr="003C0EFE">
        <w:rPr>
          <w:rFonts w:eastAsia="Times New Roman" w:cs="Arial"/>
          <w:color w:val="000000"/>
          <w:lang w:eastAsia="bg-BG"/>
        </w:rPr>
        <w:t>СЕДИРАНЕ ПРИ ЗАПАЗЕНО СЪЗНАНИЕ преди и по време на диагностични или терапевтични процедури с или без локална анестезия;</w:t>
      </w:r>
    </w:p>
    <w:p w14:paraId="00F225B7" w14:textId="77777777" w:rsidR="003C0EFE" w:rsidRPr="003C0EFE" w:rsidRDefault="003C0EFE" w:rsidP="003C0EFE">
      <w:pPr>
        <w:pStyle w:val="ListParagraph"/>
        <w:numPr>
          <w:ilvl w:val="0"/>
          <w:numId w:val="34"/>
        </w:numPr>
        <w:spacing w:line="240" w:lineRule="auto"/>
        <w:rPr>
          <w:rFonts w:eastAsia="Times New Roman" w:cs="Arial"/>
          <w:color w:val="000000"/>
          <w:lang w:eastAsia="bg-BG"/>
        </w:rPr>
      </w:pPr>
      <w:r w:rsidRPr="003C0EFE">
        <w:rPr>
          <w:rFonts w:eastAsia="Times New Roman" w:cs="Arial"/>
          <w:color w:val="000000"/>
          <w:lang w:eastAsia="bg-BG"/>
        </w:rPr>
        <w:t>АНЕСТЕЗИЯ:</w:t>
      </w:r>
    </w:p>
    <w:p w14:paraId="0A9B4E06" w14:textId="77777777" w:rsidR="003C0EFE" w:rsidRDefault="003C0EFE" w:rsidP="003C0EFE">
      <w:pPr>
        <w:pStyle w:val="ListParagraph"/>
        <w:numPr>
          <w:ilvl w:val="0"/>
          <w:numId w:val="35"/>
        </w:numPr>
        <w:spacing w:line="240" w:lineRule="auto"/>
        <w:rPr>
          <w:rFonts w:eastAsia="Times New Roman" w:cs="Arial"/>
          <w:color w:val="000000"/>
          <w:lang w:eastAsia="bg-BG"/>
        </w:rPr>
      </w:pPr>
      <w:r w:rsidRPr="003C0EFE">
        <w:rPr>
          <w:rFonts w:eastAsia="Times New Roman" w:cs="Arial"/>
          <w:color w:val="000000"/>
          <w:lang w:eastAsia="bg-BG"/>
        </w:rPr>
        <w:t>Премедикация преди въвеждане в анестезия;</w:t>
      </w:r>
    </w:p>
    <w:p w14:paraId="728B4981" w14:textId="77777777" w:rsidR="003C0EFE" w:rsidRDefault="003C0EFE" w:rsidP="003C0EFE">
      <w:pPr>
        <w:pStyle w:val="ListParagraph"/>
        <w:numPr>
          <w:ilvl w:val="0"/>
          <w:numId w:val="35"/>
        </w:numPr>
        <w:spacing w:line="240" w:lineRule="auto"/>
        <w:rPr>
          <w:rFonts w:eastAsia="Times New Roman" w:cs="Arial"/>
          <w:color w:val="000000"/>
          <w:lang w:eastAsia="bg-BG"/>
        </w:rPr>
      </w:pPr>
      <w:r w:rsidRPr="003C0EFE">
        <w:rPr>
          <w:rFonts w:eastAsia="Times New Roman" w:cs="Arial"/>
          <w:color w:val="000000"/>
          <w:lang w:eastAsia="bg-BG"/>
        </w:rPr>
        <w:t>Въвеждане в анестезия;</w:t>
      </w:r>
    </w:p>
    <w:p w14:paraId="53919217" w14:textId="77777777" w:rsidR="003C0EFE" w:rsidRDefault="003C0EFE" w:rsidP="003C0EFE">
      <w:pPr>
        <w:pStyle w:val="ListParagraph"/>
        <w:numPr>
          <w:ilvl w:val="0"/>
          <w:numId w:val="35"/>
        </w:numPr>
        <w:spacing w:line="240" w:lineRule="auto"/>
        <w:rPr>
          <w:rFonts w:eastAsia="Times New Roman" w:cs="Arial"/>
          <w:color w:val="000000"/>
          <w:lang w:eastAsia="bg-BG"/>
        </w:rPr>
      </w:pPr>
      <w:r w:rsidRPr="003C0EFE">
        <w:rPr>
          <w:rFonts w:eastAsia="Times New Roman" w:cs="Arial"/>
          <w:color w:val="000000"/>
          <w:lang w:eastAsia="bg-BG"/>
        </w:rPr>
        <w:t>Като седативна компонента при комбинирана анестезия;</w:t>
      </w:r>
    </w:p>
    <w:p w14:paraId="22CDEC30" w14:textId="77777777" w:rsidR="003C0EFE" w:rsidRDefault="003C0EFE" w:rsidP="003C0EFE">
      <w:pPr>
        <w:spacing w:line="240" w:lineRule="auto"/>
        <w:rPr>
          <w:rFonts w:eastAsia="Times New Roman" w:cs="Arial"/>
          <w:color w:val="000000"/>
          <w:lang w:eastAsia="bg-BG"/>
        </w:rPr>
      </w:pPr>
    </w:p>
    <w:p w14:paraId="24D58156" w14:textId="16BB197F" w:rsidR="003C0EFE" w:rsidRPr="003C0EFE" w:rsidRDefault="003C0EFE" w:rsidP="003C0EFE">
      <w:pPr>
        <w:pStyle w:val="ListParagraph"/>
        <w:numPr>
          <w:ilvl w:val="0"/>
          <w:numId w:val="36"/>
        </w:numPr>
        <w:spacing w:line="240" w:lineRule="auto"/>
        <w:rPr>
          <w:rFonts w:eastAsia="Times New Roman" w:cs="Arial"/>
          <w:color w:val="000000"/>
          <w:lang w:eastAsia="bg-BG"/>
        </w:rPr>
      </w:pPr>
      <w:r w:rsidRPr="003C0EFE">
        <w:rPr>
          <w:rFonts w:eastAsia="Times New Roman" w:cs="Arial"/>
          <w:color w:val="000000"/>
          <w:lang w:eastAsia="bg-BG"/>
        </w:rPr>
        <w:t>СЕДИРАНЕ В ИНТЕНЗИВНИТЕ ОТДЕЛЕНИЯ.</w:t>
      </w:r>
    </w:p>
    <w:p w14:paraId="6A692742" w14:textId="77777777" w:rsidR="003C0EFE" w:rsidRDefault="003C0EFE" w:rsidP="003C0EFE">
      <w:pPr>
        <w:spacing w:line="240" w:lineRule="auto"/>
        <w:rPr>
          <w:rFonts w:eastAsia="Times New Roman" w:cs="Arial"/>
          <w:b/>
          <w:bCs/>
          <w:color w:val="000000"/>
          <w:lang w:eastAsia="bg-BG"/>
        </w:rPr>
      </w:pPr>
      <w:bookmarkStart w:id="2" w:name="bookmark2"/>
    </w:p>
    <w:p w14:paraId="2DCF96F0" w14:textId="17B3DE70" w:rsidR="003C0EFE" w:rsidRPr="003C0EFE" w:rsidRDefault="003C0EFE" w:rsidP="003C0EFE">
      <w:pPr>
        <w:spacing w:line="240" w:lineRule="auto"/>
        <w:rPr>
          <w:rFonts w:eastAsia="Times New Roman" w:cs="Arial"/>
        </w:rPr>
      </w:pPr>
      <w:r w:rsidRPr="003C0EFE">
        <w:rPr>
          <w:rFonts w:eastAsia="Times New Roman" w:cs="Arial"/>
          <w:b/>
          <w:bCs/>
          <w:color w:val="000000"/>
          <w:lang w:eastAsia="bg-BG"/>
        </w:rPr>
        <w:t>При педиатрични пациенти:</w:t>
      </w:r>
      <w:bookmarkEnd w:id="2"/>
    </w:p>
    <w:p w14:paraId="607797BB" w14:textId="77777777" w:rsidR="003C0EFE" w:rsidRDefault="003C0EFE" w:rsidP="003C0EFE">
      <w:pPr>
        <w:spacing w:line="240" w:lineRule="auto"/>
        <w:rPr>
          <w:rFonts w:eastAsia="Times New Roman" w:cs="Arial"/>
          <w:color w:val="000000"/>
          <w:lang w:eastAsia="bg-BG"/>
        </w:rPr>
      </w:pPr>
    </w:p>
    <w:p w14:paraId="0FDE2EBC" w14:textId="2DE25F87" w:rsidR="003C0EFE" w:rsidRPr="003C0EFE" w:rsidRDefault="003C0EFE" w:rsidP="003C0EFE">
      <w:pPr>
        <w:pStyle w:val="ListParagraph"/>
        <w:numPr>
          <w:ilvl w:val="0"/>
          <w:numId w:val="36"/>
        </w:numPr>
        <w:spacing w:line="240" w:lineRule="auto"/>
        <w:rPr>
          <w:rFonts w:eastAsia="Times New Roman" w:cs="Arial"/>
          <w:color w:val="000000"/>
          <w:lang w:eastAsia="bg-BG"/>
        </w:rPr>
      </w:pPr>
      <w:r w:rsidRPr="003C0EFE">
        <w:rPr>
          <w:rFonts w:eastAsia="Times New Roman" w:cs="Arial"/>
          <w:color w:val="000000"/>
          <w:lang w:eastAsia="bg-BG"/>
        </w:rPr>
        <w:t>СЕДИРАНЕ ПРИ ЗАПАЗЕНО СЪЗНАНИЕ преди и по време на диагностични или терапевтични процедури с или без локална анестезия;</w:t>
      </w:r>
    </w:p>
    <w:p w14:paraId="59B3A8F4" w14:textId="77777777" w:rsidR="003C0EFE" w:rsidRPr="003C0EFE" w:rsidRDefault="003C0EFE" w:rsidP="003C0EFE">
      <w:pPr>
        <w:pStyle w:val="ListParagraph"/>
        <w:numPr>
          <w:ilvl w:val="0"/>
          <w:numId w:val="36"/>
        </w:numPr>
        <w:spacing w:line="240" w:lineRule="auto"/>
        <w:rPr>
          <w:rFonts w:eastAsia="Times New Roman" w:cs="Arial"/>
          <w:color w:val="000000"/>
          <w:lang w:eastAsia="bg-BG"/>
        </w:rPr>
      </w:pPr>
      <w:r w:rsidRPr="003C0EFE">
        <w:rPr>
          <w:rFonts w:eastAsia="Times New Roman" w:cs="Arial"/>
          <w:color w:val="000000"/>
          <w:lang w:eastAsia="bg-BG"/>
        </w:rPr>
        <w:t>АНЕСТЕЗИЯ:</w:t>
      </w:r>
    </w:p>
    <w:p w14:paraId="5C657D7E"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 Премедикация преди въвеждане в анестезия;</w:t>
      </w:r>
    </w:p>
    <w:p w14:paraId="688CF7D2" w14:textId="6A8DC209" w:rsidR="003C0EFE" w:rsidRPr="003C0EFE" w:rsidRDefault="003C0EFE" w:rsidP="003C0EFE">
      <w:pPr>
        <w:pStyle w:val="ListParagraph"/>
        <w:numPr>
          <w:ilvl w:val="0"/>
          <w:numId w:val="37"/>
        </w:numPr>
        <w:rPr>
          <w:rFonts w:cs="Arial"/>
        </w:rPr>
      </w:pPr>
      <w:r w:rsidRPr="003C0EFE">
        <w:rPr>
          <w:rFonts w:eastAsia="Times New Roman" w:cs="Arial"/>
          <w:color w:val="000000"/>
          <w:lang w:eastAsia="bg-BG"/>
        </w:rPr>
        <w:lastRenderedPageBreak/>
        <w:t>СЕДИРАНЕ В ИНТЕНЗИВНИТЕ ОТДЕЛЕНИЯ.</w:t>
      </w:r>
    </w:p>
    <w:p w14:paraId="3D4C5C94" w14:textId="35885C87" w:rsidR="003C0EFE" w:rsidRPr="003C0EFE" w:rsidRDefault="003C0EFE" w:rsidP="003C0EFE">
      <w:pPr>
        <w:rPr>
          <w:rFonts w:cs="Arial"/>
        </w:rPr>
      </w:pPr>
    </w:p>
    <w:p w14:paraId="28E43CAE" w14:textId="4B527AD0" w:rsidR="00426E5F" w:rsidRDefault="002C50EE" w:rsidP="00A65A81">
      <w:pPr>
        <w:pStyle w:val="Heading2"/>
      </w:pPr>
      <w:r>
        <w:t>4.2. Дозировка и начин на приложение</w:t>
      </w:r>
    </w:p>
    <w:p w14:paraId="363E5A40" w14:textId="1119172E" w:rsidR="003C0EFE" w:rsidRDefault="003C0EFE" w:rsidP="003C0EFE"/>
    <w:p w14:paraId="7AD98EBF" w14:textId="77777777" w:rsidR="003C0EFE" w:rsidRPr="003C0EFE" w:rsidRDefault="003C0EFE" w:rsidP="003C0EFE">
      <w:pPr>
        <w:rPr>
          <w:sz w:val="24"/>
          <w:szCs w:val="24"/>
        </w:rPr>
      </w:pPr>
      <w:r w:rsidRPr="003C0EFE">
        <w:rPr>
          <w:lang w:eastAsia="bg-BG"/>
        </w:rPr>
        <w:t>СТАНДАРТНА ДОЗИРОВКА</w:t>
      </w:r>
    </w:p>
    <w:p w14:paraId="25827606" w14:textId="77777777" w:rsidR="003C0EFE" w:rsidRDefault="003C0EFE" w:rsidP="003C0EFE">
      <w:pPr>
        <w:rPr>
          <w:lang w:eastAsia="bg-BG"/>
        </w:rPr>
      </w:pPr>
    </w:p>
    <w:p w14:paraId="4F547719" w14:textId="77777777" w:rsidR="003C0EFE" w:rsidRPr="003C0EFE" w:rsidRDefault="003C0EFE" w:rsidP="003C0EFE">
      <w:pPr>
        <w:rPr>
          <w:sz w:val="24"/>
          <w:szCs w:val="24"/>
        </w:rPr>
      </w:pPr>
      <w:r w:rsidRPr="003C0EFE">
        <w:rPr>
          <w:lang w:eastAsia="bg-BG"/>
        </w:rPr>
        <w:t>Мидазолам е мощно седативно лекарство, което изисква титриране и</w:t>
      </w:r>
      <w:r w:rsidRPr="003C0EFE">
        <w:rPr>
          <w:lang w:val="ru-RU"/>
        </w:rPr>
        <w:t xml:space="preserve"> </w:t>
      </w:r>
      <w:r w:rsidRPr="003C0EFE">
        <w:rPr>
          <w:lang w:eastAsia="bg-BG"/>
        </w:rPr>
        <w:t>бавно въвеждане в организма. Титрирането е силно препоръчително с цел безопасно достигане на желаното ниво</w:t>
      </w:r>
      <w:r>
        <w:rPr>
          <w:lang w:eastAsia="bg-BG"/>
        </w:rPr>
        <w:t xml:space="preserve"> </w:t>
      </w:r>
      <w:r w:rsidRPr="003C0EFE">
        <w:rPr>
          <w:lang w:eastAsia="bg-BG"/>
        </w:rPr>
        <w:t>на седиране в зависимост от клиничната нужда, физически статус, възраст и съпътстваща терапия. При пациенти над 60 - годишна възраст, в лошо физическо състояние, хронично болни и педиатрични пациенти дозата Трябва да се определя с голямо внимание и да се имат предвид всички рискови фактори, свързани със заболяването на всеки пациент. Стандартните дозировки са показани в таблицата по-долу, а под нея са обяснени някои допълнителни детайли.</w:t>
      </w:r>
    </w:p>
    <w:p w14:paraId="35E604CB" w14:textId="5464CC9D" w:rsidR="003C0EFE" w:rsidRDefault="003C0EFE" w:rsidP="003C0EFE">
      <w:pPr>
        <w:rPr>
          <w:rFonts w:ascii="Times New Roman" w:eastAsia="Times New Roman" w:hAnsi="Times New Roman" w:cs="Times New Roman"/>
          <w:color w:val="000000"/>
          <w:sz w:val="42"/>
          <w:szCs w:val="42"/>
          <w:lang w:eastAsia="bg-BG"/>
        </w:rPr>
      </w:pPr>
    </w:p>
    <w:tbl>
      <w:tblPr>
        <w:tblStyle w:val="TableGrid"/>
        <w:tblW w:w="0" w:type="auto"/>
        <w:tblLook w:val="04A0" w:firstRow="1" w:lastRow="0" w:firstColumn="1" w:lastColumn="0" w:noHBand="0" w:noVBand="1"/>
      </w:tblPr>
      <w:tblGrid>
        <w:gridCol w:w="2334"/>
        <w:gridCol w:w="2341"/>
        <w:gridCol w:w="2350"/>
        <w:gridCol w:w="2325"/>
      </w:tblGrid>
      <w:tr w:rsidR="003C0EFE" w14:paraId="0F03BF52" w14:textId="77777777" w:rsidTr="003C0EFE">
        <w:tc>
          <w:tcPr>
            <w:tcW w:w="2394" w:type="dxa"/>
          </w:tcPr>
          <w:p w14:paraId="6363303F" w14:textId="43054A15" w:rsidR="003C0EFE" w:rsidRPr="003C0EFE" w:rsidRDefault="003C0EFE" w:rsidP="003C0EFE">
            <w:r w:rsidRPr="003C0EFE">
              <w:t>Показания</w:t>
            </w:r>
          </w:p>
        </w:tc>
        <w:tc>
          <w:tcPr>
            <w:tcW w:w="2394" w:type="dxa"/>
          </w:tcPr>
          <w:p w14:paraId="6F3EC5E3" w14:textId="3CF7E1D8" w:rsidR="003C0EFE" w:rsidRPr="003C0EFE" w:rsidRDefault="003C0EFE" w:rsidP="003C0EFE">
            <w:r w:rsidRPr="003C0EFE">
              <w:t>Възрастни &lt; 60 г.</w:t>
            </w:r>
          </w:p>
        </w:tc>
        <w:tc>
          <w:tcPr>
            <w:tcW w:w="2394" w:type="dxa"/>
          </w:tcPr>
          <w:p w14:paraId="563A8FF9" w14:textId="0C9FE99F" w:rsidR="003C0EFE" w:rsidRPr="003C0EFE" w:rsidRDefault="003C0EFE" w:rsidP="003C0EFE">
            <w:r w:rsidRPr="003C0EFE">
              <w:t>Пациенти ≥ 60 год., в лошо физическо състояние или хронично болни пациенти</w:t>
            </w:r>
          </w:p>
        </w:tc>
        <w:tc>
          <w:tcPr>
            <w:tcW w:w="2394" w:type="dxa"/>
          </w:tcPr>
          <w:p w14:paraId="1FB21CB3" w14:textId="6DD23D8B" w:rsidR="003C0EFE" w:rsidRPr="003C0EFE" w:rsidRDefault="003C0EFE" w:rsidP="003C0EFE">
            <w:r w:rsidRPr="003C0EFE">
              <w:t>Педиатрична популация</w:t>
            </w:r>
          </w:p>
        </w:tc>
      </w:tr>
      <w:tr w:rsidR="003C0EFE" w14:paraId="6BDBA36E" w14:textId="77777777" w:rsidTr="003C0EFE">
        <w:tc>
          <w:tcPr>
            <w:tcW w:w="2394" w:type="dxa"/>
          </w:tcPr>
          <w:p w14:paraId="1DCF5A6C" w14:textId="358FF3F5" w:rsidR="003C0EFE" w:rsidRPr="003C0EFE" w:rsidRDefault="003C0EFE" w:rsidP="003C0EFE">
            <w:r w:rsidRPr="003C0EFE">
              <w:t>Седиране при запазено съзнание</w:t>
            </w:r>
          </w:p>
        </w:tc>
        <w:tc>
          <w:tcPr>
            <w:tcW w:w="2394" w:type="dxa"/>
          </w:tcPr>
          <w:p w14:paraId="6E8EDE95" w14:textId="77777777" w:rsidR="003C0EFE" w:rsidRPr="003C0EFE" w:rsidRDefault="003C0EFE" w:rsidP="003C0EFE">
            <w:proofErr w:type="spellStart"/>
            <w:r w:rsidRPr="003C0EFE">
              <w:rPr>
                <w:b/>
                <w:bCs/>
                <w:lang w:val="en-US"/>
              </w:rPr>
              <w:t>i</w:t>
            </w:r>
            <w:proofErr w:type="spellEnd"/>
            <w:r w:rsidRPr="003C0EFE">
              <w:rPr>
                <w:b/>
                <w:bCs/>
              </w:rPr>
              <w:t>.</w:t>
            </w:r>
            <w:r w:rsidRPr="003C0EFE">
              <w:rPr>
                <w:b/>
                <w:bCs/>
                <w:lang w:val="en-US"/>
              </w:rPr>
              <w:t>v</w:t>
            </w:r>
            <w:r w:rsidRPr="003C0EFE">
              <w:rPr>
                <w:b/>
                <w:bCs/>
              </w:rPr>
              <w:t>.</w:t>
            </w:r>
          </w:p>
          <w:p w14:paraId="79FDFF80" w14:textId="77777777" w:rsidR="003C0EFE" w:rsidRPr="003C0EFE" w:rsidRDefault="003C0EFE" w:rsidP="003C0EFE">
            <w:r w:rsidRPr="003C0EFE">
              <w:t xml:space="preserve">Начална доза: 2 - 2,5 </w:t>
            </w:r>
            <w:r w:rsidRPr="003C0EFE">
              <w:rPr>
                <w:lang w:val="en-US"/>
              </w:rPr>
              <w:t>mg</w:t>
            </w:r>
          </w:p>
          <w:p w14:paraId="203FB7A1" w14:textId="77777777" w:rsidR="003C0EFE" w:rsidRPr="003C0EFE" w:rsidRDefault="003C0EFE" w:rsidP="003C0EFE">
            <w:r w:rsidRPr="003C0EFE">
              <w:t xml:space="preserve">Титрираща доза: 1 </w:t>
            </w:r>
            <w:r w:rsidRPr="003C0EFE">
              <w:rPr>
                <w:lang w:val="en-US"/>
              </w:rPr>
              <w:t>mg</w:t>
            </w:r>
          </w:p>
          <w:p w14:paraId="36CCAC77" w14:textId="47746525" w:rsidR="003C0EFE" w:rsidRPr="003C0EFE" w:rsidRDefault="003C0EFE" w:rsidP="003C0EFE">
            <w:r w:rsidRPr="003C0EFE">
              <w:t xml:space="preserve">Обща доза: 3,5 - 7,5 </w:t>
            </w:r>
            <w:r w:rsidRPr="003C0EFE">
              <w:rPr>
                <w:lang w:val="en-US"/>
              </w:rPr>
              <w:t>mg</w:t>
            </w:r>
          </w:p>
        </w:tc>
        <w:tc>
          <w:tcPr>
            <w:tcW w:w="2394" w:type="dxa"/>
          </w:tcPr>
          <w:p w14:paraId="5759051F" w14:textId="77777777" w:rsidR="003C0EFE" w:rsidRPr="003C0EFE" w:rsidRDefault="003C0EFE" w:rsidP="003C0EFE">
            <w:proofErr w:type="spellStart"/>
            <w:r w:rsidRPr="003C0EFE">
              <w:rPr>
                <w:lang w:val="en-US"/>
              </w:rPr>
              <w:t>Lv</w:t>
            </w:r>
            <w:proofErr w:type="spellEnd"/>
            <w:r w:rsidRPr="003C0EFE">
              <w:rPr>
                <w:lang w:val="ru-RU"/>
              </w:rPr>
              <w:t>.</w:t>
            </w:r>
          </w:p>
          <w:p w14:paraId="0D265772" w14:textId="77777777" w:rsidR="003C0EFE" w:rsidRPr="003C0EFE" w:rsidRDefault="003C0EFE" w:rsidP="003C0EFE">
            <w:r w:rsidRPr="003C0EFE">
              <w:t xml:space="preserve">Начална доза: 0,5-1 </w:t>
            </w:r>
            <w:r w:rsidRPr="003C0EFE">
              <w:rPr>
                <w:lang w:val="en-US"/>
              </w:rPr>
              <w:t>mg</w:t>
            </w:r>
            <w:r w:rsidRPr="003C0EFE">
              <w:rPr>
                <w:lang w:val="ru-RU"/>
              </w:rPr>
              <w:t xml:space="preserve"> </w:t>
            </w:r>
            <w:r w:rsidRPr="003C0EFE">
              <w:t xml:space="preserve">Титрираща доза: 0,5-1 </w:t>
            </w:r>
            <w:r w:rsidRPr="003C0EFE">
              <w:rPr>
                <w:lang w:val="en-US"/>
              </w:rPr>
              <w:t>mg</w:t>
            </w:r>
          </w:p>
          <w:p w14:paraId="650112CA" w14:textId="12F57A72" w:rsidR="003C0EFE" w:rsidRPr="003C0EFE" w:rsidRDefault="003C0EFE" w:rsidP="003C0EFE">
            <w:r w:rsidRPr="003C0EFE">
              <w:t xml:space="preserve">Обща доза: &lt; 3,5 </w:t>
            </w:r>
            <w:r w:rsidRPr="003C0EFE">
              <w:rPr>
                <w:lang w:val="en-US"/>
              </w:rPr>
              <w:t>mg</w:t>
            </w:r>
          </w:p>
        </w:tc>
        <w:tc>
          <w:tcPr>
            <w:tcW w:w="2394" w:type="dxa"/>
          </w:tcPr>
          <w:p w14:paraId="6E672C92" w14:textId="77777777" w:rsidR="003C0EFE" w:rsidRPr="003C0EFE" w:rsidRDefault="003C0EFE" w:rsidP="003C0EFE">
            <w:proofErr w:type="spellStart"/>
            <w:r w:rsidRPr="003C0EFE">
              <w:rPr>
                <w:b/>
                <w:bCs/>
                <w:lang w:val="en-US"/>
              </w:rPr>
              <w:t>Lv</w:t>
            </w:r>
            <w:proofErr w:type="spellEnd"/>
            <w:r w:rsidRPr="003C0EFE">
              <w:rPr>
                <w:b/>
                <w:bCs/>
                <w:lang w:val="ru-RU"/>
              </w:rPr>
              <w:t xml:space="preserve">. </w:t>
            </w:r>
            <w:r w:rsidRPr="003C0EFE">
              <w:rPr>
                <w:b/>
                <w:bCs/>
              </w:rPr>
              <w:t>при деца от 6 м. до 5 г.:</w:t>
            </w:r>
          </w:p>
          <w:p w14:paraId="0725CFFC" w14:textId="77777777" w:rsidR="003C0EFE" w:rsidRPr="003C0EFE" w:rsidRDefault="003C0EFE" w:rsidP="003C0EFE">
            <w:r w:rsidRPr="003C0EFE">
              <w:t xml:space="preserve">Начална доза: 0,05-0,1 </w:t>
            </w:r>
            <w:r w:rsidRPr="003C0EFE">
              <w:rPr>
                <w:lang w:val="en-US"/>
              </w:rPr>
              <w:t>mg</w:t>
            </w:r>
            <w:r w:rsidRPr="003C0EFE">
              <w:rPr>
                <w:lang w:val="ru-RU"/>
              </w:rPr>
              <w:t>/</w:t>
            </w:r>
            <w:r w:rsidRPr="003C0EFE">
              <w:rPr>
                <w:lang w:val="en-US"/>
              </w:rPr>
              <w:t>kg</w:t>
            </w:r>
          </w:p>
          <w:p w14:paraId="50A89C3C" w14:textId="77777777" w:rsidR="003C0EFE" w:rsidRPr="003C0EFE" w:rsidRDefault="003C0EFE" w:rsidP="003C0EFE">
            <w:r w:rsidRPr="003C0EFE">
              <w:t xml:space="preserve">Обща доза: &lt; 6 </w:t>
            </w:r>
            <w:r w:rsidRPr="003C0EFE">
              <w:rPr>
                <w:lang w:val="en-US"/>
              </w:rPr>
              <w:t>mg</w:t>
            </w:r>
          </w:p>
          <w:p w14:paraId="6F7E91A5" w14:textId="77777777" w:rsidR="003C0EFE" w:rsidRPr="003C0EFE" w:rsidRDefault="003C0EFE" w:rsidP="003C0EFE">
            <w:proofErr w:type="spellStart"/>
            <w:r w:rsidRPr="003C0EFE">
              <w:rPr>
                <w:b/>
                <w:bCs/>
                <w:lang w:val="en-US"/>
              </w:rPr>
              <w:t>i</w:t>
            </w:r>
            <w:proofErr w:type="spellEnd"/>
            <w:r w:rsidRPr="003C0EFE">
              <w:rPr>
                <w:b/>
                <w:bCs/>
                <w:lang w:val="ru-RU"/>
              </w:rPr>
              <w:t>.</w:t>
            </w:r>
            <w:r w:rsidRPr="003C0EFE">
              <w:rPr>
                <w:b/>
                <w:bCs/>
                <w:lang w:val="en-US"/>
              </w:rPr>
              <w:t>v</w:t>
            </w:r>
            <w:r w:rsidRPr="003C0EFE">
              <w:rPr>
                <w:b/>
                <w:bCs/>
                <w:lang w:val="ru-RU"/>
              </w:rPr>
              <w:t xml:space="preserve">. </w:t>
            </w:r>
            <w:r w:rsidRPr="003C0EFE">
              <w:rPr>
                <w:b/>
                <w:bCs/>
              </w:rPr>
              <w:t>при деца 6-12 г.:</w:t>
            </w:r>
          </w:p>
          <w:p w14:paraId="65A65DB3" w14:textId="77777777" w:rsidR="003C0EFE" w:rsidRPr="003C0EFE" w:rsidRDefault="003C0EFE" w:rsidP="003C0EFE">
            <w:r w:rsidRPr="003C0EFE">
              <w:t xml:space="preserve">Начална доза: 0,025 - 0,05 </w:t>
            </w:r>
            <w:r w:rsidRPr="003C0EFE">
              <w:rPr>
                <w:lang w:val="en-US"/>
              </w:rPr>
              <w:t>mg</w:t>
            </w:r>
            <w:r w:rsidRPr="003C0EFE">
              <w:rPr>
                <w:lang w:val="ru-RU"/>
              </w:rPr>
              <w:t>/</w:t>
            </w:r>
            <w:r w:rsidRPr="003C0EFE">
              <w:rPr>
                <w:lang w:val="en-US"/>
              </w:rPr>
              <w:t>kg</w:t>
            </w:r>
          </w:p>
          <w:p w14:paraId="3A65987C" w14:textId="77777777" w:rsidR="003C0EFE" w:rsidRPr="003C0EFE" w:rsidRDefault="003C0EFE" w:rsidP="003C0EFE">
            <w:r w:rsidRPr="003C0EFE">
              <w:t xml:space="preserve">Обща доза: &lt; 10 </w:t>
            </w:r>
            <w:r w:rsidRPr="003C0EFE">
              <w:rPr>
                <w:lang w:val="en-US"/>
              </w:rPr>
              <w:t>mg</w:t>
            </w:r>
          </w:p>
          <w:p w14:paraId="66979B92" w14:textId="77777777" w:rsidR="003C0EFE" w:rsidRPr="003C0EFE" w:rsidRDefault="003C0EFE" w:rsidP="003C0EFE">
            <w:r w:rsidRPr="003C0EFE">
              <w:rPr>
                <w:b/>
                <w:bCs/>
              </w:rPr>
              <w:t>Ректално при деца &gt; 6 м.:</w:t>
            </w:r>
          </w:p>
          <w:p w14:paraId="613817AA" w14:textId="77777777" w:rsidR="003C0EFE" w:rsidRPr="003C0EFE" w:rsidRDefault="003C0EFE" w:rsidP="003C0EFE">
            <w:r w:rsidRPr="003C0EFE">
              <w:t xml:space="preserve">0,3 - 0,5 </w:t>
            </w:r>
            <w:r w:rsidRPr="003C0EFE">
              <w:rPr>
                <w:lang w:val="en-US"/>
              </w:rPr>
              <w:t>mg</w:t>
            </w:r>
            <w:r w:rsidRPr="003C0EFE">
              <w:rPr>
                <w:lang w:val="ru-RU"/>
              </w:rPr>
              <w:t>/</w:t>
            </w:r>
            <w:r w:rsidRPr="003C0EFE">
              <w:rPr>
                <w:lang w:val="en-US"/>
              </w:rPr>
              <w:t>kg</w:t>
            </w:r>
          </w:p>
          <w:p w14:paraId="3FF0B69D" w14:textId="77777777" w:rsidR="003C0EFE" w:rsidRPr="003C0EFE" w:rsidRDefault="003C0EFE" w:rsidP="003C0EFE">
            <w:r w:rsidRPr="003C0EFE">
              <w:rPr>
                <w:b/>
                <w:bCs/>
                <w:u w:val="single"/>
                <w:lang w:val="en-US"/>
              </w:rPr>
              <w:t>Lm</w:t>
            </w:r>
            <w:r w:rsidRPr="003C0EFE">
              <w:rPr>
                <w:b/>
                <w:bCs/>
                <w:u w:val="single"/>
                <w:lang w:val="ru-RU"/>
              </w:rPr>
              <w:t xml:space="preserve">. </w:t>
            </w:r>
            <w:r w:rsidRPr="003C0EFE">
              <w:rPr>
                <w:b/>
                <w:bCs/>
                <w:u w:val="single"/>
              </w:rPr>
              <w:t>при</w:t>
            </w:r>
            <w:r w:rsidRPr="003C0EFE">
              <w:rPr>
                <w:b/>
                <w:bCs/>
              </w:rPr>
              <w:t xml:space="preserve"> деца 1-15 г.:</w:t>
            </w:r>
          </w:p>
          <w:p w14:paraId="753ACD1C" w14:textId="109A876B" w:rsidR="003C0EFE" w:rsidRPr="003C0EFE" w:rsidRDefault="003C0EFE" w:rsidP="003C0EFE">
            <w:r w:rsidRPr="003C0EFE">
              <w:t xml:space="preserve">0,05-0,15 </w:t>
            </w:r>
            <w:r w:rsidRPr="003C0EFE">
              <w:rPr>
                <w:lang w:val="en-US"/>
              </w:rPr>
              <w:t>mg</w:t>
            </w:r>
            <w:r w:rsidRPr="003C0EFE">
              <w:rPr>
                <w:lang w:val="ru-RU"/>
              </w:rPr>
              <w:t>/</w:t>
            </w:r>
            <w:r w:rsidRPr="003C0EFE">
              <w:rPr>
                <w:lang w:val="en-US"/>
              </w:rPr>
              <w:t>kg</w:t>
            </w:r>
          </w:p>
        </w:tc>
      </w:tr>
      <w:tr w:rsidR="003C0EFE" w14:paraId="7469905E" w14:textId="77777777" w:rsidTr="003C0EFE">
        <w:tc>
          <w:tcPr>
            <w:tcW w:w="2394" w:type="dxa"/>
          </w:tcPr>
          <w:p w14:paraId="6419A154" w14:textId="371A160C" w:rsidR="003C0EFE" w:rsidRPr="003C0EFE" w:rsidRDefault="003C0EFE" w:rsidP="003C0EFE">
            <w:pPr>
              <w:rPr>
                <w:rFonts w:cs="Arial"/>
              </w:rPr>
            </w:pPr>
            <w:r w:rsidRPr="003C0EFE">
              <w:rPr>
                <w:rFonts w:cs="Arial"/>
              </w:rPr>
              <w:t>Премедикация при анестезия</w:t>
            </w:r>
          </w:p>
        </w:tc>
        <w:tc>
          <w:tcPr>
            <w:tcW w:w="2394" w:type="dxa"/>
          </w:tcPr>
          <w:p w14:paraId="7ECCA984" w14:textId="77777777" w:rsidR="003C0EFE" w:rsidRPr="003C0EFE" w:rsidRDefault="003C0EFE" w:rsidP="003C0EFE">
            <w:pPr>
              <w:rPr>
                <w:rFonts w:cs="Arial"/>
              </w:rPr>
            </w:pPr>
            <w:proofErr w:type="spellStart"/>
            <w:r w:rsidRPr="003C0EFE">
              <w:rPr>
                <w:rFonts w:cs="Arial"/>
                <w:b/>
                <w:bCs/>
                <w:u w:val="single"/>
                <w:lang w:val="en-US"/>
              </w:rPr>
              <w:t>i</w:t>
            </w:r>
            <w:proofErr w:type="spellEnd"/>
            <w:r w:rsidRPr="003C0EFE">
              <w:rPr>
                <w:rFonts w:cs="Arial"/>
                <w:b/>
                <w:bCs/>
                <w:u w:val="single"/>
                <w:lang w:val="ru-RU"/>
              </w:rPr>
              <w:t>.</w:t>
            </w:r>
            <w:r w:rsidRPr="003C0EFE">
              <w:rPr>
                <w:rFonts w:cs="Arial"/>
                <w:b/>
                <w:bCs/>
                <w:u w:val="single"/>
                <w:lang w:val="en-US"/>
              </w:rPr>
              <w:t>v</w:t>
            </w:r>
            <w:r w:rsidRPr="003C0EFE">
              <w:rPr>
                <w:rFonts w:cs="Arial"/>
                <w:b/>
                <w:bCs/>
                <w:u w:val="single"/>
                <w:lang w:val="ru-RU"/>
              </w:rPr>
              <w:t>,</w:t>
            </w:r>
          </w:p>
          <w:p w14:paraId="0C902105" w14:textId="77777777" w:rsidR="003C0EFE" w:rsidRPr="003C0EFE" w:rsidRDefault="003C0EFE" w:rsidP="003C0EFE">
            <w:pPr>
              <w:rPr>
                <w:rFonts w:cs="Arial"/>
              </w:rPr>
            </w:pPr>
            <w:r w:rsidRPr="003C0EFE">
              <w:rPr>
                <w:rFonts w:cs="Arial"/>
                <w:u w:val="single"/>
              </w:rPr>
              <w:t xml:space="preserve">1-2 </w:t>
            </w:r>
            <w:r w:rsidRPr="003C0EFE">
              <w:rPr>
                <w:rFonts w:cs="Arial"/>
                <w:u w:val="single"/>
                <w:lang w:val="en-US"/>
              </w:rPr>
              <w:t>g</w:t>
            </w:r>
            <w:r w:rsidRPr="003C0EFE">
              <w:rPr>
                <w:rFonts w:cs="Arial"/>
                <w:u w:val="single"/>
                <w:lang w:val="ru-RU"/>
              </w:rPr>
              <w:t xml:space="preserve"> </w:t>
            </w:r>
            <w:r w:rsidRPr="003C0EFE">
              <w:rPr>
                <w:rFonts w:cs="Arial"/>
                <w:u w:val="single"/>
              </w:rPr>
              <w:t xml:space="preserve">повторно </w:t>
            </w:r>
            <w:proofErr w:type="spellStart"/>
            <w:r w:rsidRPr="003C0EFE">
              <w:rPr>
                <w:rFonts w:cs="Arial"/>
                <w:b/>
                <w:bCs/>
                <w:u w:val="single"/>
                <w:lang w:val="en-US"/>
              </w:rPr>
              <w:t>i</w:t>
            </w:r>
            <w:proofErr w:type="spellEnd"/>
            <w:r w:rsidRPr="003C0EFE">
              <w:rPr>
                <w:rFonts w:cs="Arial"/>
                <w:b/>
                <w:bCs/>
                <w:u w:val="single"/>
                <w:lang w:val="ru-RU"/>
              </w:rPr>
              <w:t>.</w:t>
            </w:r>
            <w:r w:rsidRPr="003C0EFE">
              <w:rPr>
                <w:rFonts w:cs="Arial"/>
                <w:b/>
                <w:bCs/>
                <w:u w:val="single"/>
                <w:lang w:val="en-US"/>
              </w:rPr>
              <w:t>m</w:t>
            </w:r>
            <w:r w:rsidRPr="003C0EFE">
              <w:rPr>
                <w:rFonts w:cs="Arial"/>
                <w:b/>
                <w:bCs/>
                <w:u w:val="single"/>
                <w:lang w:val="ru-RU"/>
              </w:rPr>
              <w:t>,</w:t>
            </w:r>
          </w:p>
          <w:p w14:paraId="464F02C9" w14:textId="104F7E3B" w:rsidR="003C0EFE" w:rsidRPr="003C0EFE" w:rsidRDefault="003C0EFE" w:rsidP="003C0EFE">
            <w:pPr>
              <w:rPr>
                <w:rFonts w:cs="Arial"/>
              </w:rPr>
            </w:pPr>
            <w:r w:rsidRPr="003C0EFE">
              <w:rPr>
                <w:rFonts w:cs="Arial"/>
              </w:rPr>
              <w:t xml:space="preserve">0,07 - 0,1 </w:t>
            </w:r>
            <w:r w:rsidRPr="003C0EFE">
              <w:rPr>
                <w:rFonts w:cs="Arial"/>
                <w:lang w:val="en-US"/>
              </w:rPr>
              <w:t>mg/kg</w:t>
            </w:r>
          </w:p>
        </w:tc>
        <w:tc>
          <w:tcPr>
            <w:tcW w:w="2394" w:type="dxa"/>
          </w:tcPr>
          <w:p w14:paraId="49979B5E" w14:textId="77777777" w:rsidR="003C0EFE" w:rsidRPr="003C0EFE" w:rsidRDefault="003C0EFE" w:rsidP="003C0EFE">
            <w:pPr>
              <w:rPr>
                <w:rFonts w:eastAsia="Times New Roman" w:cs="Arial"/>
              </w:rPr>
            </w:pPr>
            <w:proofErr w:type="spellStart"/>
            <w:r w:rsidRPr="003C0EFE">
              <w:rPr>
                <w:rFonts w:eastAsia="Times New Roman" w:cs="Arial"/>
                <w:color w:val="000000"/>
                <w:u w:val="single"/>
                <w:lang w:val="en-US"/>
              </w:rPr>
              <w:t>i</w:t>
            </w:r>
            <w:proofErr w:type="spellEnd"/>
            <w:r w:rsidRPr="003C0EFE">
              <w:rPr>
                <w:rFonts w:eastAsia="Times New Roman" w:cs="Arial"/>
                <w:color w:val="000000"/>
                <w:u w:val="single"/>
                <w:lang w:val="ru-RU"/>
              </w:rPr>
              <w:t>.</w:t>
            </w:r>
            <w:r w:rsidRPr="003C0EFE">
              <w:rPr>
                <w:rFonts w:eastAsia="Times New Roman" w:cs="Arial"/>
                <w:color w:val="000000"/>
                <w:u w:val="single"/>
                <w:lang w:val="en-US"/>
              </w:rPr>
              <w:t>v</w:t>
            </w:r>
            <w:r w:rsidRPr="003C0EFE">
              <w:rPr>
                <w:rFonts w:eastAsia="Times New Roman" w:cs="Arial"/>
                <w:color w:val="000000"/>
                <w:u w:val="single"/>
                <w:lang w:val="ru-RU"/>
              </w:rPr>
              <w:t>.</w:t>
            </w:r>
          </w:p>
          <w:p w14:paraId="583035FF" w14:textId="77777777" w:rsidR="003C0EFE" w:rsidRPr="003C0EFE" w:rsidRDefault="003C0EFE" w:rsidP="003C0EFE">
            <w:pPr>
              <w:rPr>
                <w:rFonts w:eastAsia="Times New Roman" w:cs="Arial"/>
              </w:rPr>
            </w:pPr>
            <w:r w:rsidRPr="003C0EFE">
              <w:rPr>
                <w:rFonts w:eastAsia="Times New Roman" w:cs="Arial"/>
                <w:color w:val="000000"/>
                <w:u w:val="single"/>
                <w:lang w:eastAsia="bg-BG"/>
              </w:rPr>
              <w:t xml:space="preserve">Първоначална доза: 0.5 </w:t>
            </w:r>
            <w:r w:rsidRPr="003C0EFE">
              <w:rPr>
                <w:rFonts w:eastAsia="Times New Roman" w:cs="Arial"/>
                <w:color w:val="000000"/>
                <w:u w:val="single"/>
                <w:lang w:val="en-US"/>
              </w:rPr>
              <w:t>mg</w:t>
            </w:r>
            <w:r w:rsidRPr="003C0EFE">
              <w:rPr>
                <w:rFonts w:eastAsia="Times New Roman" w:cs="Arial"/>
                <w:color w:val="000000"/>
                <w:u w:val="single"/>
                <w:lang w:val="ru-RU"/>
              </w:rPr>
              <w:t xml:space="preserve"> </w:t>
            </w:r>
            <w:r w:rsidRPr="003C0EFE">
              <w:rPr>
                <w:rFonts w:eastAsia="Times New Roman" w:cs="Arial"/>
                <w:color w:val="000000"/>
                <w:u w:val="single"/>
                <w:lang w:eastAsia="bg-BG"/>
              </w:rPr>
              <w:t>бавна титрация</w:t>
            </w:r>
          </w:p>
          <w:p w14:paraId="7975C6C0" w14:textId="77777777" w:rsidR="003C0EFE" w:rsidRPr="003C0EFE" w:rsidRDefault="003C0EFE" w:rsidP="003C0EFE">
            <w:pPr>
              <w:rPr>
                <w:rFonts w:eastAsia="Times New Roman" w:cs="Arial"/>
              </w:rPr>
            </w:pPr>
            <w:r w:rsidRPr="003C0EFE">
              <w:rPr>
                <w:rFonts w:eastAsia="Times New Roman" w:cs="Arial"/>
                <w:color w:val="000000"/>
                <w:u w:val="single"/>
                <w:lang w:eastAsia="bg-BG"/>
              </w:rPr>
              <w:t>поред нуждите</w:t>
            </w:r>
          </w:p>
          <w:p w14:paraId="36569BFA" w14:textId="77777777" w:rsidR="003C0EFE" w:rsidRPr="003C0EFE" w:rsidRDefault="003C0EFE" w:rsidP="003C0EFE">
            <w:pPr>
              <w:rPr>
                <w:rFonts w:eastAsia="Times New Roman" w:cs="Arial"/>
              </w:rPr>
            </w:pPr>
            <w:proofErr w:type="spellStart"/>
            <w:r w:rsidRPr="003C0EFE">
              <w:rPr>
                <w:rFonts w:eastAsia="Times New Roman" w:cs="Arial"/>
                <w:color w:val="000000"/>
                <w:u w:val="single"/>
                <w:lang w:val="en-US"/>
              </w:rPr>
              <w:t>i</w:t>
            </w:r>
            <w:proofErr w:type="spellEnd"/>
            <w:r w:rsidRPr="003C0EFE">
              <w:rPr>
                <w:rFonts w:eastAsia="Times New Roman" w:cs="Arial"/>
                <w:color w:val="000000"/>
                <w:u w:val="single"/>
                <w:lang w:val="ru-RU"/>
              </w:rPr>
              <w:t>.</w:t>
            </w:r>
            <w:r w:rsidRPr="003C0EFE">
              <w:rPr>
                <w:rFonts w:eastAsia="Times New Roman" w:cs="Arial"/>
                <w:color w:val="000000"/>
                <w:u w:val="single"/>
                <w:lang w:val="en-US"/>
              </w:rPr>
              <w:t>m</w:t>
            </w:r>
            <w:r w:rsidRPr="003C0EFE">
              <w:rPr>
                <w:rFonts w:eastAsia="Times New Roman" w:cs="Arial"/>
                <w:color w:val="000000"/>
                <w:u w:val="single"/>
                <w:lang w:val="ru-RU"/>
              </w:rPr>
              <w:t>.</w:t>
            </w:r>
          </w:p>
          <w:p w14:paraId="33AA92C6" w14:textId="77777777" w:rsidR="003C0EFE" w:rsidRPr="003C0EFE" w:rsidRDefault="003C0EFE" w:rsidP="003C0EFE">
            <w:pPr>
              <w:rPr>
                <w:rFonts w:eastAsia="Times New Roman" w:cs="Arial"/>
              </w:rPr>
            </w:pPr>
            <w:r w:rsidRPr="003C0EFE">
              <w:rPr>
                <w:rFonts w:eastAsia="Times New Roman" w:cs="Arial"/>
                <w:color w:val="000000"/>
                <w:lang w:eastAsia="bg-BG"/>
              </w:rPr>
              <w:t xml:space="preserve">0,025 - 0,05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kg</w:t>
            </w:r>
          </w:p>
          <w:p w14:paraId="602AA8BE" w14:textId="77777777" w:rsidR="003C0EFE" w:rsidRPr="003C0EFE" w:rsidRDefault="003C0EFE" w:rsidP="003C0EFE">
            <w:pPr>
              <w:rPr>
                <w:rFonts w:cs="Arial"/>
              </w:rPr>
            </w:pPr>
          </w:p>
        </w:tc>
        <w:tc>
          <w:tcPr>
            <w:tcW w:w="2394" w:type="dxa"/>
          </w:tcPr>
          <w:p w14:paraId="6C72E27F" w14:textId="77777777" w:rsidR="003C0EFE" w:rsidRPr="003C0EFE" w:rsidRDefault="003C0EFE" w:rsidP="003C0EFE">
            <w:pPr>
              <w:spacing w:line="240" w:lineRule="auto"/>
              <w:rPr>
                <w:rFonts w:eastAsia="Times New Roman" w:cs="Arial"/>
              </w:rPr>
            </w:pPr>
            <w:r w:rsidRPr="003C0EFE">
              <w:rPr>
                <w:rFonts w:eastAsia="Times New Roman" w:cs="Arial"/>
                <w:b/>
                <w:bCs/>
                <w:color w:val="000000"/>
                <w:u w:val="single"/>
                <w:lang w:eastAsia="bg-BG"/>
              </w:rPr>
              <w:t>Ректално</w:t>
            </w:r>
            <w:r w:rsidRPr="003C0EFE">
              <w:rPr>
                <w:rFonts w:eastAsia="Times New Roman" w:cs="Arial"/>
                <w:b/>
                <w:bCs/>
                <w:color w:val="000000"/>
                <w:lang w:eastAsia="bg-BG"/>
              </w:rPr>
              <w:t xml:space="preserve"> при деца &gt; 6 м.:</w:t>
            </w:r>
          </w:p>
          <w:p w14:paraId="0E680545"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 xml:space="preserve">0,3 - 0,5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kg</w:t>
            </w:r>
          </w:p>
          <w:p w14:paraId="479EE788" w14:textId="49240247" w:rsidR="003C0EFE" w:rsidRPr="003C0EFE" w:rsidRDefault="003C0EFE" w:rsidP="003C0EFE">
            <w:pPr>
              <w:spacing w:line="240" w:lineRule="auto"/>
              <w:rPr>
                <w:rFonts w:eastAsia="Times New Roman" w:cs="Arial"/>
              </w:rPr>
            </w:pPr>
            <w:proofErr w:type="spellStart"/>
            <w:r>
              <w:rPr>
                <w:rFonts w:eastAsia="Times New Roman" w:cs="Arial"/>
                <w:b/>
                <w:bCs/>
                <w:color w:val="000000"/>
                <w:u w:val="single"/>
                <w:lang w:val="en-US"/>
              </w:rPr>
              <w:t>i</w:t>
            </w:r>
            <w:proofErr w:type="spellEnd"/>
            <w:r w:rsidRPr="003C0EFE">
              <w:rPr>
                <w:rFonts w:eastAsia="Times New Roman" w:cs="Arial"/>
                <w:b/>
                <w:bCs/>
                <w:color w:val="000000"/>
                <w:u w:val="single"/>
                <w:lang w:val="ru-RU"/>
              </w:rPr>
              <w:t>.</w:t>
            </w:r>
            <w:r w:rsidRPr="003C0EFE">
              <w:rPr>
                <w:rFonts w:eastAsia="Times New Roman" w:cs="Arial"/>
                <w:b/>
                <w:bCs/>
                <w:color w:val="000000"/>
                <w:u w:val="single"/>
                <w:lang w:val="en-US"/>
              </w:rPr>
              <w:t>m</w:t>
            </w:r>
            <w:r w:rsidRPr="003C0EFE">
              <w:rPr>
                <w:rFonts w:eastAsia="Times New Roman" w:cs="Arial"/>
                <w:b/>
                <w:bCs/>
                <w:color w:val="000000"/>
                <w:u w:val="single"/>
                <w:lang w:val="ru-RU"/>
              </w:rPr>
              <w:t xml:space="preserve">. </w:t>
            </w:r>
            <w:r w:rsidRPr="003C0EFE">
              <w:rPr>
                <w:rFonts w:eastAsia="Times New Roman" w:cs="Arial"/>
                <w:b/>
                <w:bCs/>
                <w:color w:val="000000"/>
                <w:u w:val="single"/>
                <w:lang w:eastAsia="bg-BG"/>
              </w:rPr>
              <w:t>п</w:t>
            </w:r>
            <w:r w:rsidRPr="003C0EFE">
              <w:rPr>
                <w:rFonts w:eastAsia="Times New Roman" w:cs="Arial"/>
                <w:b/>
                <w:bCs/>
                <w:color w:val="000000"/>
                <w:lang w:eastAsia="bg-BG"/>
              </w:rPr>
              <w:t>ри деца 1-15 г.:</w:t>
            </w:r>
          </w:p>
          <w:p w14:paraId="3625207A"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 xml:space="preserve">0,08 - 0,2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kg</w:t>
            </w:r>
          </w:p>
          <w:p w14:paraId="5F98650D" w14:textId="77777777" w:rsidR="003C0EFE" w:rsidRPr="003C0EFE" w:rsidRDefault="003C0EFE" w:rsidP="003C0EFE">
            <w:pPr>
              <w:rPr>
                <w:rFonts w:cs="Arial"/>
              </w:rPr>
            </w:pPr>
          </w:p>
        </w:tc>
      </w:tr>
      <w:tr w:rsidR="003C0EFE" w14:paraId="02AADD1E" w14:textId="77777777" w:rsidTr="003C0EFE">
        <w:tc>
          <w:tcPr>
            <w:tcW w:w="2394" w:type="dxa"/>
          </w:tcPr>
          <w:p w14:paraId="10D44E87" w14:textId="2B5DB12A" w:rsidR="003C0EFE" w:rsidRPr="003C0EFE" w:rsidRDefault="003C0EFE" w:rsidP="003C0EFE">
            <w:pPr>
              <w:rPr>
                <w:lang w:val="en-US"/>
              </w:rPr>
            </w:pPr>
            <w:r w:rsidRPr="003C0EFE">
              <w:t>Въвеждане в анестезия</w:t>
            </w:r>
          </w:p>
        </w:tc>
        <w:tc>
          <w:tcPr>
            <w:tcW w:w="2394" w:type="dxa"/>
          </w:tcPr>
          <w:p w14:paraId="44625852" w14:textId="77777777" w:rsidR="003C0EFE" w:rsidRPr="003C0EFE" w:rsidRDefault="003C0EFE" w:rsidP="003C0EFE">
            <w:proofErr w:type="spellStart"/>
            <w:r w:rsidRPr="003C0EFE">
              <w:rPr>
                <w:lang w:val="en-US"/>
              </w:rPr>
              <w:t>i</w:t>
            </w:r>
            <w:proofErr w:type="spellEnd"/>
            <w:r w:rsidRPr="003C0EFE">
              <w:t>.</w:t>
            </w:r>
            <w:r w:rsidRPr="003C0EFE">
              <w:rPr>
                <w:lang w:val="en-US"/>
              </w:rPr>
              <w:t>v</w:t>
            </w:r>
            <w:r w:rsidRPr="003C0EFE">
              <w:t>.</w:t>
            </w:r>
          </w:p>
          <w:p w14:paraId="0BE3273F" w14:textId="77777777" w:rsidR="003C0EFE" w:rsidRPr="003C0EFE" w:rsidRDefault="003C0EFE" w:rsidP="003C0EFE">
            <w:r w:rsidRPr="003C0EFE">
              <w:lastRenderedPageBreak/>
              <w:t xml:space="preserve">0,15-0,2 </w:t>
            </w:r>
            <w:r w:rsidRPr="003C0EFE">
              <w:rPr>
                <w:lang w:val="en-US"/>
              </w:rPr>
              <w:t>mg</w:t>
            </w:r>
            <w:r w:rsidRPr="003C0EFE">
              <w:t>/</w:t>
            </w:r>
            <w:r w:rsidRPr="003C0EFE">
              <w:rPr>
                <w:lang w:val="en-US"/>
              </w:rPr>
              <w:t>kg</w:t>
            </w:r>
            <w:r w:rsidRPr="003C0EFE">
              <w:t xml:space="preserve"> (0,3 - 0,35 </w:t>
            </w:r>
            <w:r w:rsidRPr="003C0EFE">
              <w:rPr>
                <w:lang w:val="en-US"/>
              </w:rPr>
              <w:t>mg</w:t>
            </w:r>
            <w:r w:rsidRPr="003C0EFE">
              <w:t>/</w:t>
            </w:r>
            <w:r w:rsidRPr="003C0EFE">
              <w:rPr>
                <w:lang w:val="en-US"/>
              </w:rPr>
              <w:t>kg</w:t>
            </w:r>
            <w:r w:rsidRPr="003C0EFE">
              <w:t xml:space="preserve"> без</w:t>
            </w:r>
          </w:p>
          <w:p w14:paraId="3BD54591" w14:textId="24654D1E" w:rsidR="003C0EFE" w:rsidRPr="003C0EFE" w:rsidRDefault="003C0EFE" w:rsidP="003C0EFE">
            <w:r w:rsidRPr="003C0EFE">
              <w:t>премедикация)</w:t>
            </w:r>
          </w:p>
        </w:tc>
        <w:tc>
          <w:tcPr>
            <w:tcW w:w="2394" w:type="dxa"/>
          </w:tcPr>
          <w:p w14:paraId="5D4C3856" w14:textId="77777777" w:rsidR="003C0EFE" w:rsidRPr="003C0EFE" w:rsidRDefault="003C0EFE" w:rsidP="003C0EFE">
            <w:proofErr w:type="spellStart"/>
            <w:r w:rsidRPr="003C0EFE">
              <w:rPr>
                <w:lang w:val="en-US"/>
              </w:rPr>
              <w:lastRenderedPageBreak/>
              <w:t>i</w:t>
            </w:r>
            <w:proofErr w:type="spellEnd"/>
            <w:r w:rsidRPr="003C0EFE">
              <w:t>.</w:t>
            </w:r>
            <w:r w:rsidRPr="003C0EFE">
              <w:rPr>
                <w:lang w:val="en-US"/>
              </w:rPr>
              <w:t>v</w:t>
            </w:r>
            <w:r w:rsidRPr="003C0EFE">
              <w:t>.</w:t>
            </w:r>
          </w:p>
          <w:p w14:paraId="501A1D2C" w14:textId="77777777" w:rsidR="003C0EFE" w:rsidRPr="003C0EFE" w:rsidRDefault="003C0EFE" w:rsidP="003C0EFE">
            <w:r w:rsidRPr="003C0EFE">
              <w:lastRenderedPageBreak/>
              <w:t xml:space="preserve">0,05-0,15 </w:t>
            </w:r>
            <w:r w:rsidRPr="003C0EFE">
              <w:rPr>
                <w:lang w:val="en-US"/>
              </w:rPr>
              <w:t>mg</w:t>
            </w:r>
            <w:r w:rsidRPr="003C0EFE">
              <w:t>/</w:t>
            </w:r>
            <w:r w:rsidRPr="003C0EFE">
              <w:rPr>
                <w:lang w:val="en-US"/>
              </w:rPr>
              <w:t>kg</w:t>
            </w:r>
            <w:r w:rsidRPr="003C0EFE">
              <w:t xml:space="preserve"> (0,15 - 0,3 </w:t>
            </w:r>
            <w:r w:rsidRPr="003C0EFE">
              <w:rPr>
                <w:lang w:val="en-US"/>
              </w:rPr>
              <w:t>mg</w:t>
            </w:r>
            <w:r w:rsidRPr="003C0EFE">
              <w:t>/</w:t>
            </w:r>
            <w:r w:rsidRPr="003C0EFE">
              <w:rPr>
                <w:lang w:val="en-US"/>
              </w:rPr>
              <w:t>kg</w:t>
            </w:r>
            <w:r w:rsidRPr="003C0EFE">
              <w:t xml:space="preserve"> без</w:t>
            </w:r>
          </w:p>
          <w:p w14:paraId="7FDAB22D" w14:textId="14DE0A56" w:rsidR="003C0EFE" w:rsidRPr="003C0EFE" w:rsidRDefault="003C0EFE" w:rsidP="003C0EFE">
            <w:r w:rsidRPr="003C0EFE">
              <w:t>премедикация)</w:t>
            </w:r>
          </w:p>
        </w:tc>
        <w:tc>
          <w:tcPr>
            <w:tcW w:w="2394" w:type="dxa"/>
          </w:tcPr>
          <w:p w14:paraId="03F254C6" w14:textId="77777777" w:rsidR="003C0EFE" w:rsidRPr="003C0EFE" w:rsidRDefault="003C0EFE" w:rsidP="003C0EFE"/>
        </w:tc>
      </w:tr>
      <w:tr w:rsidR="003C0EFE" w14:paraId="4A23E494" w14:textId="77777777" w:rsidTr="003C0EFE">
        <w:tc>
          <w:tcPr>
            <w:tcW w:w="2394" w:type="dxa"/>
          </w:tcPr>
          <w:p w14:paraId="6FF16950" w14:textId="253F478E" w:rsidR="003C0EFE" w:rsidRPr="003C0EFE" w:rsidRDefault="003C0EFE" w:rsidP="003C0EFE">
            <w:r w:rsidRPr="003C0EFE">
              <w:t>Като седираща компонента при комбинирана анестезия</w:t>
            </w:r>
          </w:p>
        </w:tc>
        <w:tc>
          <w:tcPr>
            <w:tcW w:w="2394" w:type="dxa"/>
          </w:tcPr>
          <w:p w14:paraId="07A8E2EA" w14:textId="77777777" w:rsidR="003C0EFE" w:rsidRPr="003C0EFE" w:rsidRDefault="003C0EFE" w:rsidP="003C0EFE">
            <w:proofErr w:type="spellStart"/>
            <w:r w:rsidRPr="003C0EFE">
              <w:rPr>
                <w:b/>
                <w:bCs/>
                <w:lang w:val="en-US"/>
              </w:rPr>
              <w:t>i</w:t>
            </w:r>
            <w:proofErr w:type="spellEnd"/>
            <w:r w:rsidRPr="003C0EFE">
              <w:rPr>
                <w:b/>
                <w:bCs/>
                <w:lang w:val="ru-RU"/>
              </w:rPr>
              <w:t>.</w:t>
            </w:r>
            <w:r w:rsidRPr="003C0EFE">
              <w:rPr>
                <w:b/>
                <w:bCs/>
                <w:lang w:val="en-US"/>
              </w:rPr>
              <w:t>v</w:t>
            </w:r>
            <w:r w:rsidRPr="003C0EFE">
              <w:rPr>
                <w:b/>
                <w:bCs/>
                <w:lang w:val="ru-RU"/>
              </w:rPr>
              <w:t>.</w:t>
            </w:r>
          </w:p>
          <w:p w14:paraId="1B6222B8" w14:textId="7515D3B1" w:rsidR="003C0EFE" w:rsidRPr="003C0EFE" w:rsidRDefault="003C0EFE" w:rsidP="003C0EFE">
            <w:r w:rsidRPr="003C0EFE">
              <w:rPr>
                <w:u w:val="single"/>
              </w:rPr>
              <w:t>Интермитентни</w:t>
            </w:r>
            <w:r w:rsidRPr="003C0EFE">
              <w:t xml:space="preserve"> дози от 0,03 - 0,1 </w:t>
            </w:r>
            <w:r w:rsidRPr="003C0EFE">
              <w:rPr>
                <w:lang w:val="en-US"/>
              </w:rPr>
              <w:t>mg</w:t>
            </w:r>
            <w:r w:rsidRPr="003C0EFE">
              <w:rPr>
                <w:lang w:val="ru-RU"/>
              </w:rPr>
              <w:t>/</w:t>
            </w:r>
            <w:r w:rsidRPr="003C0EFE">
              <w:rPr>
                <w:lang w:val="en-US"/>
              </w:rPr>
              <w:t>kg</w:t>
            </w:r>
            <w:r w:rsidRPr="003C0EFE">
              <w:rPr>
                <w:lang w:val="ru-RU"/>
              </w:rPr>
              <w:t xml:space="preserve"> </w:t>
            </w:r>
            <w:r w:rsidRPr="003C0EFE">
              <w:t xml:space="preserve">или непрекъсната инфузия на 0,03 - 0,1 </w:t>
            </w:r>
            <w:r w:rsidRPr="003C0EFE">
              <w:rPr>
                <w:lang w:val="en-US"/>
              </w:rPr>
              <w:t>mg</w:t>
            </w:r>
            <w:r w:rsidRPr="003C0EFE">
              <w:rPr>
                <w:lang w:val="ru-RU"/>
              </w:rPr>
              <w:t>/</w:t>
            </w:r>
            <w:r w:rsidRPr="003C0EFE">
              <w:rPr>
                <w:lang w:val="en-US"/>
              </w:rPr>
              <w:t>kg</w:t>
            </w:r>
            <w:r w:rsidRPr="003C0EFE">
              <w:rPr>
                <w:lang w:val="ru-RU"/>
              </w:rPr>
              <w:t>/</w:t>
            </w:r>
            <w:r w:rsidRPr="003C0EFE">
              <w:rPr>
                <w:lang w:val="en-US"/>
              </w:rPr>
              <w:t>h</w:t>
            </w:r>
          </w:p>
        </w:tc>
        <w:tc>
          <w:tcPr>
            <w:tcW w:w="2394" w:type="dxa"/>
          </w:tcPr>
          <w:p w14:paraId="61671F57" w14:textId="77777777" w:rsidR="003C0EFE" w:rsidRPr="003C0EFE" w:rsidRDefault="003C0EFE" w:rsidP="003C0EFE">
            <w:proofErr w:type="spellStart"/>
            <w:r w:rsidRPr="003C0EFE">
              <w:rPr>
                <w:lang w:val="en-US"/>
              </w:rPr>
              <w:t>i</w:t>
            </w:r>
            <w:proofErr w:type="spellEnd"/>
            <w:r w:rsidRPr="003C0EFE">
              <w:rPr>
                <w:lang w:val="ru-RU"/>
              </w:rPr>
              <w:t>.</w:t>
            </w:r>
            <w:r w:rsidRPr="003C0EFE">
              <w:rPr>
                <w:lang w:val="en-US"/>
              </w:rPr>
              <w:t>v</w:t>
            </w:r>
            <w:r w:rsidRPr="003C0EFE">
              <w:rPr>
                <w:lang w:val="ru-RU"/>
              </w:rPr>
              <w:t>.</w:t>
            </w:r>
          </w:p>
          <w:p w14:paraId="1EDAB29B" w14:textId="4C2A3821" w:rsidR="003C0EFE" w:rsidRPr="003C0EFE" w:rsidRDefault="003C0EFE" w:rsidP="003C0EFE">
            <w:r w:rsidRPr="003C0EFE">
              <w:t>Дозите са по-ниски от препоръчваните при възрастни &lt; 60 г.</w:t>
            </w:r>
          </w:p>
        </w:tc>
        <w:tc>
          <w:tcPr>
            <w:tcW w:w="2394" w:type="dxa"/>
          </w:tcPr>
          <w:p w14:paraId="47029BE8" w14:textId="77777777" w:rsidR="003C0EFE" w:rsidRPr="003C0EFE" w:rsidRDefault="003C0EFE" w:rsidP="003C0EFE"/>
        </w:tc>
      </w:tr>
      <w:tr w:rsidR="003C0EFE" w14:paraId="2F4F331D" w14:textId="77777777" w:rsidTr="003C0EFE">
        <w:tc>
          <w:tcPr>
            <w:tcW w:w="2394" w:type="dxa"/>
          </w:tcPr>
          <w:p w14:paraId="5E04DEAD" w14:textId="5AD4CAC2" w:rsidR="003C0EFE" w:rsidRPr="003C0EFE" w:rsidRDefault="003C0EFE" w:rsidP="003C0EFE">
            <w:r w:rsidRPr="003C0EFE">
              <w:t>Седиране в интензивните отделения</w:t>
            </w:r>
          </w:p>
        </w:tc>
        <w:tc>
          <w:tcPr>
            <w:tcW w:w="4788" w:type="dxa"/>
            <w:gridSpan w:val="2"/>
          </w:tcPr>
          <w:p w14:paraId="3073580F" w14:textId="77777777" w:rsidR="003C0EFE" w:rsidRPr="003C0EFE" w:rsidRDefault="003C0EFE" w:rsidP="003C0EFE">
            <w:proofErr w:type="spellStart"/>
            <w:r w:rsidRPr="003C0EFE">
              <w:rPr>
                <w:lang w:val="en-US"/>
              </w:rPr>
              <w:t>i</w:t>
            </w:r>
            <w:proofErr w:type="spellEnd"/>
            <w:r w:rsidRPr="003C0EFE">
              <w:rPr>
                <w:lang w:val="ru-RU"/>
              </w:rPr>
              <w:t>.</w:t>
            </w:r>
            <w:r w:rsidRPr="003C0EFE">
              <w:rPr>
                <w:lang w:val="en-US"/>
              </w:rPr>
              <w:t>v</w:t>
            </w:r>
            <w:r w:rsidRPr="003C0EFE">
              <w:rPr>
                <w:lang w:val="ru-RU"/>
              </w:rPr>
              <w:t>.</w:t>
            </w:r>
          </w:p>
          <w:p w14:paraId="5405FA49" w14:textId="77777777" w:rsidR="003C0EFE" w:rsidRPr="003C0EFE" w:rsidRDefault="003C0EFE" w:rsidP="003C0EFE">
            <w:r w:rsidRPr="003C0EFE">
              <w:t xml:space="preserve">Натоварваща доза: 0,03 - 0,3 </w:t>
            </w:r>
            <w:r w:rsidRPr="003C0EFE">
              <w:rPr>
                <w:lang w:val="en-US"/>
              </w:rPr>
              <w:t>mg</w:t>
            </w:r>
            <w:r w:rsidRPr="003C0EFE">
              <w:rPr>
                <w:lang w:val="ru-RU"/>
              </w:rPr>
              <w:t>/</w:t>
            </w:r>
            <w:r w:rsidRPr="003C0EFE">
              <w:rPr>
                <w:lang w:val="en-US"/>
              </w:rPr>
              <w:t>kg</w:t>
            </w:r>
            <w:r w:rsidRPr="003C0EFE">
              <w:rPr>
                <w:lang w:val="ru-RU"/>
              </w:rPr>
              <w:t xml:space="preserve"> </w:t>
            </w:r>
            <w:r w:rsidRPr="003C0EFE">
              <w:t xml:space="preserve">с покачване от 1 - 2,5 </w:t>
            </w:r>
            <w:r w:rsidRPr="003C0EFE">
              <w:rPr>
                <w:lang w:val="en-US"/>
              </w:rPr>
              <w:t>mg</w:t>
            </w:r>
          </w:p>
          <w:p w14:paraId="46B25E17" w14:textId="045F9D43" w:rsidR="003C0EFE" w:rsidRPr="003C0EFE" w:rsidRDefault="003C0EFE" w:rsidP="003C0EFE">
            <w:r w:rsidRPr="003C0EFE">
              <w:t xml:space="preserve">Поддържаща доза: 0,03 - 0,2 </w:t>
            </w:r>
            <w:r w:rsidRPr="003C0EFE">
              <w:rPr>
                <w:lang w:val="en-US"/>
              </w:rPr>
              <w:t>mg</w:t>
            </w:r>
            <w:r w:rsidRPr="003C0EFE">
              <w:t>/</w:t>
            </w:r>
            <w:r w:rsidRPr="003C0EFE">
              <w:rPr>
                <w:lang w:val="en-US"/>
              </w:rPr>
              <w:t>kg</w:t>
            </w:r>
            <w:r w:rsidRPr="003C0EFE">
              <w:t>/</w:t>
            </w:r>
            <w:r w:rsidRPr="003C0EFE">
              <w:rPr>
                <w:lang w:val="en-US"/>
              </w:rPr>
              <w:t>h</w:t>
            </w:r>
          </w:p>
        </w:tc>
        <w:tc>
          <w:tcPr>
            <w:tcW w:w="2394" w:type="dxa"/>
          </w:tcPr>
          <w:p w14:paraId="6320C58A" w14:textId="77777777" w:rsidR="003C0EFE" w:rsidRPr="003C0EFE" w:rsidRDefault="003C0EFE" w:rsidP="003C0EFE">
            <w:proofErr w:type="spellStart"/>
            <w:r w:rsidRPr="003C0EFE">
              <w:rPr>
                <w:b/>
                <w:bCs/>
                <w:lang w:val="en-US"/>
              </w:rPr>
              <w:t>i</w:t>
            </w:r>
            <w:proofErr w:type="spellEnd"/>
            <w:r w:rsidRPr="003C0EFE">
              <w:rPr>
                <w:b/>
                <w:bCs/>
                <w:lang w:val="ru-RU"/>
              </w:rPr>
              <w:t>.</w:t>
            </w:r>
            <w:r w:rsidRPr="003C0EFE">
              <w:rPr>
                <w:b/>
                <w:bCs/>
                <w:lang w:val="en-US"/>
              </w:rPr>
              <w:t>v</w:t>
            </w:r>
            <w:r w:rsidRPr="003C0EFE">
              <w:rPr>
                <w:b/>
                <w:bCs/>
                <w:lang w:val="ru-RU"/>
              </w:rPr>
              <w:t xml:space="preserve">. </w:t>
            </w:r>
            <w:r w:rsidRPr="003C0EFE">
              <w:rPr>
                <w:b/>
                <w:bCs/>
              </w:rPr>
              <w:t>при новородени &lt; 32 г. е.:</w:t>
            </w:r>
          </w:p>
          <w:p w14:paraId="7B4733CB" w14:textId="77777777" w:rsidR="003C0EFE" w:rsidRPr="003C0EFE" w:rsidRDefault="003C0EFE" w:rsidP="003C0EFE">
            <w:r w:rsidRPr="003C0EFE">
              <w:t xml:space="preserve">0,03 </w:t>
            </w:r>
            <w:r w:rsidRPr="003C0EFE">
              <w:rPr>
                <w:lang w:val="en-US"/>
              </w:rPr>
              <w:t>mg</w:t>
            </w:r>
            <w:r w:rsidRPr="003C0EFE">
              <w:rPr>
                <w:lang w:val="ru-RU"/>
              </w:rPr>
              <w:t>/</w:t>
            </w:r>
            <w:r w:rsidRPr="003C0EFE">
              <w:rPr>
                <w:lang w:val="en-US"/>
              </w:rPr>
              <w:t>kg</w:t>
            </w:r>
            <w:r w:rsidRPr="003C0EFE">
              <w:rPr>
                <w:lang w:val="ru-RU"/>
              </w:rPr>
              <w:t>/</w:t>
            </w:r>
            <w:r w:rsidRPr="003C0EFE">
              <w:rPr>
                <w:lang w:val="en-US"/>
              </w:rPr>
              <w:t>h</w:t>
            </w:r>
          </w:p>
          <w:p w14:paraId="759AEBD4" w14:textId="5CA98162" w:rsidR="003C0EFE" w:rsidRPr="003C0EFE" w:rsidRDefault="003C0EFE" w:rsidP="003C0EFE">
            <w:proofErr w:type="spellStart"/>
            <w:r w:rsidRPr="003C0EFE">
              <w:rPr>
                <w:b/>
                <w:bCs/>
                <w:lang w:val="en-US"/>
              </w:rPr>
              <w:t>i</w:t>
            </w:r>
            <w:proofErr w:type="spellEnd"/>
            <w:r w:rsidRPr="003C0EFE">
              <w:rPr>
                <w:b/>
                <w:bCs/>
                <w:lang w:val="ru-RU"/>
              </w:rPr>
              <w:t>.</w:t>
            </w:r>
            <w:r w:rsidRPr="003C0EFE">
              <w:rPr>
                <w:b/>
                <w:bCs/>
                <w:lang w:val="en-US"/>
              </w:rPr>
              <w:t>v</w:t>
            </w:r>
            <w:r w:rsidRPr="003C0EFE">
              <w:rPr>
                <w:b/>
                <w:bCs/>
                <w:lang w:val="ru-RU"/>
              </w:rPr>
              <w:t xml:space="preserve">. </w:t>
            </w:r>
            <w:r w:rsidRPr="003C0EFE">
              <w:rPr>
                <w:b/>
                <w:bCs/>
              </w:rPr>
              <w:t xml:space="preserve">при новородени &gt; 32 г. с. и деца до 6 месеца: </w:t>
            </w:r>
            <w:r w:rsidRPr="003C0EFE">
              <w:t xml:space="preserve">0,06 </w:t>
            </w:r>
            <w:r w:rsidRPr="003C0EFE">
              <w:rPr>
                <w:lang w:val="en-US"/>
              </w:rPr>
              <w:t>mg</w:t>
            </w:r>
            <w:r w:rsidRPr="003C0EFE">
              <w:rPr>
                <w:lang w:val="ru-RU"/>
              </w:rPr>
              <w:t>/</w:t>
            </w:r>
            <w:r w:rsidRPr="003C0EFE">
              <w:rPr>
                <w:lang w:val="en-US"/>
              </w:rPr>
              <w:t>kg</w:t>
            </w:r>
            <w:r w:rsidRPr="003C0EFE">
              <w:rPr>
                <w:lang w:val="ru-RU"/>
              </w:rPr>
              <w:t>/</w:t>
            </w:r>
            <w:r w:rsidRPr="003C0EFE">
              <w:rPr>
                <w:lang w:val="en-US"/>
              </w:rPr>
              <w:t>h</w:t>
            </w:r>
            <w:r w:rsidRPr="003C0EFE">
              <w:rPr>
                <w:lang w:val="ru-RU"/>
              </w:rPr>
              <w:t xml:space="preserve"> </w:t>
            </w:r>
            <w:proofErr w:type="spellStart"/>
            <w:r>
              <w:rPr>
                <w:b/>
                <w:bCs/>
                <w:lang w:val="en-US"/>
              </w:rPr>
              <w:t>i</w:t>
            </w:r>
            <w:proofErr w:type="spellEnd"/>
            <w:r w:rsidRPr="003C0EFE">
              <w:rPr>
                <w:b/>
                <w:bCs/>
                <w:lang w:val="ru-RU"/>
              </w:rPr>
              <w:t>.</w:t>
            </w:r>
            <w:r w:rsidRPr="003C0EFE">
              <w:rPr>
                <w:b/>
                <w:bCs/>
                <w:lang w:val="en-US"/>
              </w:rPr>
              <w:t>v</w:t>
            </w:r>
            <w:r w:rsidRPr="003C0EFE">
              <w:rPr>
                <w:b/>
                <w:bCs/>
                <w:lang w:val="ru-RU"/>
              </w:rPr>
              <w:t xml:space="preserve">. </w:t>
            </w:r>
            <w:r w:rsidRPr="003C0EFE">
              <w:rPr>
                <w:b/>
                <w:bCs/>
              </w:rPr>
              <w:t>при деца &gt; 6 месеца:</w:t>
            </w:r>
          </w:p>
          <w:p w14:paraId="5356123C" w14:textId="77777777" w:rsidR="003C0EFE" w:rsidRPr="003C0EFE" w:rsidRDefault="003C0EFE" w:rsidP="003C0EFE">
            <w:r w:rsidRPr="003C0EFE">
              <w:t xml:space="preserve">Натоварваща доза: 0,05 - 0,2 </w:t>
            </w:r>
            <w:r w:rsidRPr="003C0EFE">
              <w:rPr>
                <w:lang w:val="en-US"/>
              </w:rPr>
              <w:t>mg</w:t>
            </w:r>
            <w:r w:rsidRPr="003C0EFE">
              <w:rPr>
                <w:lang w:val="ru-RU"/>
              </w:rPr>
              <w:t>/</w:t>
            </w:r>
            <w:r w:rsidRPr="003C0EFE">
              <w:rPr>
                <w:lang w:val="en-US"/>
              </w:rPr>
              <w:t>kg</w:t>
            </w:r>
            <w:r w:rsidRPr="003C0EFE">
              <w:rPr>
                <w:lang w:val="ru-RU"/>
              </w:rPr>
              <w:t>.</w:t>
            </w:r>
          </w:p>
          <w:p w14:paraId="28066921" w14:textId="77777777" w:rsidR="003C0EFE" w:rsidRPr="003C0EFE" w:rsidRDefault="003C0EFE" w:rsidP="003C0EFE">
            <w:r w:rsidRPr="003C0EFE">
              <w:t>Поддържаща доза: 0,06-</w:t>
            </w:r>
          </w:p>
          <w:p w14:paraId="43D07617" w14:textId="18FBEEF5" w:rsidR="003C0EFE" w:rsidRPr="003C0EFE" w:rsidRDefault="003C0EFE" w:rsidP="003C0EFE">
            <w:r w:rsidRPr="003C0EFE">
              <w:t xml:space="preserve">0,12 </w:t>
            </w:r>
            <w:r w:rsidRPr="003C0EFE">
              <w:rPr>
                <w:lang w:val="en-US"/>
              </w:rPr>
              <w:t>mg/kg/h</w:t>
            </w:r>
          </w:p>
        </w:tc>
      </w:tr>
    </w:tbl>
    <w:p w14:paraId="3A0A790E" w14:textId="6DD5743A" w:rsidR="003C0EFE" w:rsidRDefault="003C0EFE" w:rsidP="003C0EFE"/>
    <w:p w14:paraId="4ACA255B"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ДОЗИРАНЕ ПРИ СЕДИРАНЕ СЪС ЗАПАЗЕНО СЪЗНАНИЕ</w:t>
      </w:r>
    </w:p>
    <w:p w14:paraId="68CBBB75" w14:textId="77777777" w:rsidR="003C0EFE" w:rsidRPr="003C0EFE" w:rsidRDefault="003C0EFE" w:rsidP="003C0EFE">
      <w:pPr>
        <w:spacing w:line="240" w:lineRule="auto"/>
        <w:rPr>
          <w:rFonts w:eastAsia="Times New Roman" w:cs="Arial"/>
          <w:color w:val="000000"/>
          <w:lang w:eastAsia="bg-BG"/>
        </w:rPr>
      </w:pPr>
    </w:p>
    <w:p w14:paraId="4807E08F" w14:textId="7836C90C" w:rsidR="003C0EFE" w:rsidRPr="003C0EFE" w:rsidRDefault="003C0EFE" w:rsidP="003C0EFE">
      <w:pPr>
        <w:spacing w:line="240" w:lineRule="auto"/>
        <w:rPr>
          <w:rFonts w:eastAsia="Times New Roman" w:cs="Arial"/>
        </w:rPr>
      </w:pPr>
      <w:r w:rsidRPr="003C0EFE">
        <w:rPr>
          <w:rFonts w:eastAsia="Times New Roman" w:cs="Arial"/>
          <w:color w:val="000000"/>
          <w:lang w:eastAsia="bg-BG"/>
        </w:rPr>
        <w:t>За седиране при пациенти със запазено съзнание преди диагностични или хирургични интервенции, мидазолам се прилага интравенозно. Дозата трябва да се индивидуализира и да се титрира и не трябва да се прилага чрез бърза или единична болус инжекция. Настъпването на седиране може да варира в зависимост от физическото състояние на пациента и от обстоятелствата при дозиране (напр. големина на дозата, скорост на въвеждане). Ако е необходимо, могат да се приложат допълнителни дози от лекарството, съобразено с индивидуалните нужди. Началото на действие на лекарството е около 2 минути след приложението му. Максимален ефект се постига след 5 до 10 минути.</w:t>
      </w:r>
    </w:p>
    <w:p w14:paraId="2EDF6131" w14:textId="77777777" w:rsidR="003C0EFE" w:rsidRPr="003C0EFE" w:rsidRDefault="003C0EFE" w:rsidP="003C0EFE">
      <w:pPr>
        <w:spacing w:line="240" w:lineRule="auto"/>
        <w:rPr>
          <w:rFonts w:eastAsia="Times New Roman" w:cs="Arial"/>
          <w:color w:val="000000"/>
          <w:u w:val="single"/>
          <w:lang w:eastAsia="bg-BG"/>
        </w:rPr>
      </w:pPr>
    </w:p>
    <w:p w14:paraId="713EB93E" w14:textId="6AE35922" w:rsidR="003C0EFE" w:rsidRPr="003C0EFE" w:rsidRDefault="003C0EFE" w:rsidP="003C0EFE">
      <w:pPr>
        <w:spacing w:line="240" w:lineRule="auto"/>
        <w:rPr>
          <w:rFonts w:eastAsia="Times New Roman" w:cs="Arial"/>
        </w:rPr>
      </w:pPr>
      <w:r w:rsidRPr="003C0EFE">
        <w:rPr>
          <w:rFonts w:eastAsia="Times New Roman" w:cs="Arial"/>
          <w:color w:val="000000"/>
          <w:u w:val="single"/>
          <w:lang w:eastAsia="bg-BG"/>
        </w:rPr>
        <w:t>Възрастни</w:t>
      </w:r>
    </w:p>
    <w:p w14:paraId="0E5583ED"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 xml:space="preserve">Интравенозната инжекция мидазолам трябва да се прилага бавно със скорост приблизително 1 </w:t>
      </w:r>
      <w:r w:rsidRPr="003C0EFE">
        <w:rPr>
          <w:rFonts w:eastAsia="Times New Roman" w:cs="Arial"/>
          <w:color w:val="000000"/>
          <w:lang w:val="en-US"/>
        </w:rPr>
        <w:t>mg</w:t>
      </w:r>
      <w:r w:rsidRPr="003C0EFE">
        <w:rPr>
          <w:rFonts w:eastAsia="Times New Roman" w:cs="Arial"/>
          <w:color w:val="000000"/>
          <w:lang w:val="ru-RU"/>
        </w:rPr>
        <w:t xml:space="preserve"> </w:t>
      </w:r>
      <w:r w:rsidRPr="003C0EFE">
        <w:rPr>
          <w:rFonts w:eastAsia="Times New Roman" w:cs="Arial"/>
          <w:color w:val="000000"/>
          <w:lang w:eastAsia="bg-BG"/>
        </w:rPr>
        <w:t xml:space="preserve">за 30 секунди. При възрастни под 60 - годишна възраст началната доза е 2 - 2,5 </w:t>
      </w:r>
      <w:r w:rsidRPr="003C0EFE">
        <w:rPr>
          <w:rFonts w:eastAsia="Times New Roman" w:cs="Arial"/>
          <w:color w:val="000000"/>
          <w:lang w:val="en-US"/>
        </w:rPr>
        <w:t>mg</w:t>
      </w:r>
      <w:r w:rsidRPr="003C0EFE">
        <w:rPr>
          <w:rFonts w:eastAsia="Times New Roman" w:cs="Arial"/>
          <w:color w:val="000000"/>
          <w:lang w:val="ru-RU"/>
        </w:rPr>
        <w:t xml:space="preserve"> </w:t>
      </w:r>
      <w:r w:rsidRPr="003C0EFE">
        <w:rPr>
          <w:rFonts w:eastAsia="Times New Roman" w:cs="Arial"/>
          <w:color w:val="000000"/>
          <w:lang w:eastAsia="bg-BG"/>
        </w:rPr>
        <w:t xml:space="preserve">и се прилага 5 до 10 минути преди началото на процедурата. Ако е необходимо могат да бъдат приложени допълнителни дози от 1 </w:t>
      </w:r>
      <w:r w:rsidRPr="003C0EFE">
        <w:rPr>
          <w:rFonts w:eastAsia="Times New Roman" w:cs="Arial"/>
          <w:color w:val="000000"/>
          <w:lang w:val="en-US"/>
        </w:rPr>
        <w:t>mg</w:t>
      </w:r>
      <w:r w:rsidRPr="003C0EFE">
        <w:rPr>
          <w:rFonts w:eastAsia="Times New Roman" w:cs="Arial"/>
          <w:color w:val="000000"/>
          <w:lang w:val="ru-RU"/>
        </w:rPr>
        <w:t xml:space="preserve">. </w:t>
      </w:r>
      <w:r w:rsidRPr="003C0EFE">
        <w:rPr>
          <w:rFonts w:eastAsia="Times New Roman" w:cs="Arial"/>
          <w:color w:val="000000"/>
          <w:lang w:eastAsia="bg-BG"/>
        </w:rPr>
        <w:t xml:space="preserve">Установено е, че средната обща доза варира между 3,5 и 7,5 </w:t>
      </w:r>
      <w:r w:rsidRPr="003C0EFE">
        <w:rPr>
          <w:rFonts w:eastAsia="Times New Roman" w:cs="Arial"/>
          <w:color w:val="000000"/>
          <w:lang w:val="en-US"/>
        </w:rPr>
        <w:t>mg</w:t>
      </w:r>
      <w:r w:rsidRPr="003C0EFE">
        <w:rPr>
          <w:rFonts w:eastAsia="Times New Roman" w:cs="Arial"/>
          <w:color w:val="000000"/>
          <w:lang w:val="ru-RU"/>
        </w:rPr>
        <w:t xml:space="preserve">. </w:t>
      </w:r>
      <w:r w:rsidRPr="003C0EFE">
        <w:rPr>
          <w:rFonts w:eastAsia="Times New Roman" w:cs="Arial"/>
          <w:color w:val="000000"/>
          <w:lang w:eastAsia="bg-BG"/>
        </w:rPr>
        <w:t xml:space="preserve">Обикновено не се налага приложение на обща доза над 5 </w:t>
      </w:r>
      <w:r w:rsidRPr="003C0EFE">
        <w:rPr>
          <w:rFonts w:eastAsia="Times New Roman" w:cs="Arial"/>
          <w:color w:val="000000"/>
          <w:lang w:val="en-US"/>
        </w:rPr>
        <w:t>mg</w:t>
      </w:r>
      <w:r w:rsidRPr="003C0EFE">
        <w:rPr>
          <w:rFonts w:eastAsia="Times New Roman" w:cs="Arial"/>
          <w:color w:val="000000"/>
          <w:lang w:val="ru-RU"/>
        </w:rPr>
        <w:t>.</w:t>
      </w:r>
    </w:p>
    <w:p w14:paraId="537EB226" w14:textId="77777777" w:rsidR="003C0EFE" w:rsidRPr="003C0EFE" w:rsidRDefault="003C0EFE" w:rsidP="003C0EFE">
      <w:pPr>
        <w:spacing w:line="240" w:lineRule="auto"/>
        <w:rPr>
          <w:rFonts w:eastAsia="Times New Roman" w:cs="Arial"/>
          <w:color w:val="000000"/>
          <w:lang w:eastAsia="bg-BG"/>
        </w:rPr>
      </w:pPr>
    </w:p>
    <w:p w14:paraId="01B2CD14" w14:textId="7E8871B2" w:rsidR="003C0EFE" w:rsidRPr="003C0EFE" w:rsidRDefault="003C0EFE" w:rsidP="003C0EFE">
      <w:pPr>
        <w:spacing w:line="240" w:lineRule="auto"/>
        <w:rPr>
          <w:rFonts w:eastAsia="Times New Roman" w:cs="Arial"/>
        </w:rPr>
      </w:pPr>
      <w:r w:rsidRPr="003C0EFE">
        <w:rPr>
          <w:rFonts w:eastAsia="Times New Roman" w:cs="Arial"/>
          <w:color w:val="000000"/>
          <w:lang w:eastAsia="bg-BG"/>
        </w:rPr>
        <w:t xml:space="preserve">При пациенти &gt; 60 годишна възраст, в лошо физическо състояние и хронично болни пациенти началната доза трябва да се намали до 0,5 - 1 </w:t>
      </w:r>
      <w:r w:rsidRPr="003C0EFE">
        <w:rPr>
          <w:rFonts w:eastAsia="Times New Roman" w:cs="Arial"/>
          <w:color w:val="000000"/>
          <w:lang w:val="en-US"/>
        </w:rPr>
        <w:t>mg</w:t>
      </w:r>
      <w:r w:rsidRPr="003C0EFE">
        <w:rPr>
          <w:rFonts w:eastAsia="Times New Roman" w:cs="Arial"/>
          <w:color w:val="000000"/>
          <w:lang w:val="ru-RU"/>
        </w:rPr>
        <w:t xml:space="preserve"> </w:t>
      </w:r>
      <w:r w:rsidRPr="003C0EFE">
        <w:rPr>
          <w:rFonts w:eastAsia="Times New Roman" w:cs="Arial"/>
          <w:color w:val="000000"/>
          <w:lang w:eastAsia="bg-BG"/>
        </w:rPr>
        <w:t xml:space="preserve">и да се приложи 5-10 минути преди началото на процедурата. Ако е необходимо в последствие могат да бъдат приложени допълнителни дози от 0,5 -1 </w:t>
      </w:r>
      <w:r w:rsidRPr="003C0EFE">
        <w:rPr>
          <w:rFonts w:eastAsia="Times New Roman" w:cs="Arial"/>
          <w:color w:val="000000"/>
          <w:lang w:val="en-US"/>
        </w:rPr>
        <w:t>mg</w:t>
      </w:r>
      <w:r w:rsidRPr="003C0EFE">
        <w:rPr>
          <w:rFonts w:eastAsia="Times New Roman" w:cs="Arial"/>
          <w:color w:val="000000"/>
          <w:lang w:val="ru-RU"/>
        </w:rPr>
        <w:t xml:space="preserve">. </w:t>
      </w:r>
      <w:r w:rsidRPr="003C0EFE">
        <w:rPr>
          <w:rFonts w:eastAsia="Times New Roman" w:cs="Arial"/>
          <w:color w:val="000000"/>
          <w:lang w:eastAsia="bg-BG"/>
        </w:rPr>
        <w:t xml:space="preserve">Тъй като при тези пациенти максималният ефект може да се достигне по-бавно, допълнителните дози мидазолам трябва да се </w:t>
      </w:r>
      <w:r w:rsidRPr="003C0EFE">
        <w:rPr>
          <w:rFonts w:eastAsia="Times New Roman" w:cs="Arial"/>
          <w:color w:val="000000"/>
          <w:lang w:eastAsia="bg-BG"/>
        </w:rPr>
        <w:lastRenderedPageBreak/>
        <w:t xml:space="preserve">титрират много бавно и внимателно. Обикновено не се налага приложение на обща доза над 3,5 </w:t>
      </w:r>
      <w:r w:rsidRPr="003C0EFE">
        <w:rPr>
          <w:rFonts w:eastAsia="Times New Roman" w:cs="Arial"/>
          <w:color w:val="000000"/>
          <w:lang w:val="en-US"/>
        </w:rPr>
        <w:t>mg</w:t>
      </w:r>
    </w:p>
    <w:p w14:paraId="06B8E727" w14:textId="77777777" w:rsidR="003C0EFE" w:rsidRPr="003C0EFE" w:rsidRDefault="003C0EFE" w:rsidP="003C0EFE">
      <w:pPr>
        <w:spacing w:line="240" w:lineRule="auto"/>
        <w:rPr>
          <w:rFonts w:eastAsia="Times New Roman" w:cs="Arial"/>
          <w:color w:val="000000"/>
          <w:u w:val="single"/>
          <w:lang w:eastAsia="bg-BG"/>
        </w:rPr>
      </w:pPr>
    </w:p>
    <w:p w14:paraId="437231A9" w14:textId="4AA067BF" w:rsidR="003C0EFE" w:rsidRPr="003C0EFE" w:rsidRDefault="003C0EFE" w:rsidP="003C0EFE">
      <w:pPr>
        <w:spacing w:line="240" w:lineRule="auto"/>
        <w:rPr>
          <w:rFonts w:eastAsia="Times New Roman" w:cs="Arial"/>
        </w:rPr>
      </w:pPr>
      <w:r w:rsidRPr="003C0EFE">
        <w:rPr>
          <w:rFonts w:eastAsia="Times New Roman" w:cs="Arial"/>
          <w:color w:val="000000"/>
          <w:u w:val="single"/>
          <w:lang w:eastAsia="bg-BG"/>
        </w:rPr>
        <w:t>Педиатрична популация</w:t>
      </w:r>
    </w:p>
    <w:p w14:paraId="17DAC771" w14:textId="77777777" w:rsidR="003C0EFE" w:rsidRPr="003C0EFE" w:rsidRDefault="003C0EFE" w:rsidP="003C0EFE">
      <w:pPr>
        <w:spacing w:line="240" w:lineRule="auto"/>
        <w:rPr>
          <w:rFonts w:eastAsia="Times New Roman" w:cs="Arial"/>
          <w:i/>
          <w:iCs/>
          <w:color w:val="000000"/>
          <w:lang w:eastAsia="bg-BG"/>
        </w:rPr>
      </w:pPr>
    </w:p>
    <w:p w14:paraId="0EE7FF7C" w14:textId="3E8538A4" w:rsidR="003C0EFE" w:rsidRPr="003C0EFE" w:rsidRDefault="003C0EFE" w:rsidP="003C0EFE">
      <w:pPr>
        <w:spacing w:line="240" w:lineRule="auto"/>
        <w:rPr>
          <w:rFonts w:eastAsia="Times New Roman" w:cs="Arial"/>
        </w:rPr>
      </w:pPr>
      <w:r w:rsidRPr="003C0EFE">
        <w:rPr>
          <w:rFonts w:eastAsia="Times New Roman" w:cs="Arial"/>
          <w:i/>
          <w:iCs/>
          <w:color w:val="000000"/>
          <w:lang w:eastAsia="bg-BG"/>
        </w:rPr>
        <w:t>Интравенозно приложение:</w:t>
      </w:r>
      <w:r w:rsidRPr="003C0EFE">
        <w:rPr>
          <w:rFonts w:eastAsia="Times New Roman" w:cs="Arial"/>
          <w:color w:val="000000"/>
          <w:lang w:eastAsia="bg-BG"/>
        </w:rPr>
        <w:t xml:space="preserve"> Мидазолам трябва да се титрира бавно до постигане на желания клиничен ефект. Началната доза трябва да се въвежда бавно в продължение на 2 - 3 минути. След това е необходимо изчакване от още 2 до 5 минути за пълна оценка на седиращия ефект преди началото на процедурата или да се въведе повторна доза. Ако е необходимо допълнително седиране, титрирането се продължава на малки покачващи се дози до достигане на желания клиничен ефект. Кърмачета и деца под 5-годишна възраст могат да се нуждаят от значително по-голяма доза </w:t>
      </w:r>
      <w:r w:rsidRPr="003C0EFE">
        <w:rPr>
          <w:rFonts w:eastAsia="Times New Roman" w:cs="Arial"/>
          <w:color w:val="000000"/>
          <w:lang w:val="ru-RU"/>
        </w:rPr>
        <w:t>(</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kg</w:t>
      </w:r>
      <w:r w:rsidRPr="003C0EFE">
        <w:rPr>
          <w:rFonts w:eastAsia="Times New Roman" w:cs="Arial"/>
          <w:color w:val="000000"/>
          <w:lang w:val="ru-RU"/>
        </w:rPr>
        <w:t xml:space="preserve">) </w:t>
      </w:r>
      <w:r w:rsidRPr="003C0EFE">
        <w:rPr>
          <w:rFonts w:eastAsia="Times New Roman" w:cs="Arial"/>
          <w:color w:val="000000"/>
          <w:lang w:eastAsia="bg-BG"/>
        </w:rPr>
        <w:t>за постигане на ефект в сравнение с по-големи деца и юноши.</w:t>
      </w:r>
    </w:p>
    <w:p w14:paraId="736FE966" w14:textId="77777777" w:rsidR="003C0EFE" w:rsidRPr="003C0EFE" w:rsidRDefault="003C0EFE" w:rsidP="003C0EFE">
      <w:pPr>
        <w:pStyle w:val="ListParagraph"/>
        <w:numPr>
          <w:ilvl w:val="0"/>
          <w:numId w:val="37"/>
        </w:numPr>
        <w:spacing w:line="240" w:lineRule="auto"/>
        <w:rPr>
          <w:rFonts w:eastAsia="Times New Roman" w:cs="Arial"/>
          <w:color w:val="000000"/>
          <w:lang w:eastAsia="bg-BG"/>
        </w:rPr>
      </w:pPr>
      <w:r w:rsidRPr="003C0EFE">
        <w:rPr>
          <w:rFonts w:eastAsia="Times New Roman" w:cs="Arial"/>
          <w:color w:val="000000"/>
          <w:lang w:eastAsia="bg-BG"/>
        </w:rPr>
        <w:t>Педиатрични пациенти на възраст под 6 месеца: те са особено уязвими на обструкция на дихателните пътища и хиповентилация. По тази причина приложението за седиране при запазено съзнание при пациенти в такава възраст не се препоръчва.</w:t>
      </w:r>
    </w:p>
    <w:p w14:paraId="6756DC43" w14:textId="77777777" w:rsidR="003C0EFE" w:rsidRPr="003C0EFE" w:rsidRDefault="003C0EFE" w:rsidP="003C0EFE">
      <w:pPr>
        <w:pStyle w:val="ListParagraph"/>
        <w:numPr>
          <w:ilvl w:val="0"/>
          <w:numId w:val="37"/>
        </w:numPr>
        <w:spacing w:line="240" w:lineRule="auto"/>
        <w:rPr>
          <w:rFonts w:eastAsia="Times New Roman" w:cs="Arial"/>
          <w:color w:val="000000"/>
          <w:lang w:eastAsia="bg-BG"/>
        </w:rPr>
      </w:pPr>
      <w:r w:rsidRPr="003C0EFE">
        <w:rPr>
          <w:rFonts w:eastAsia="Times New Roman" w:cs="Arial"/>
          <w:color w:val="000000"/>
          <w:lang w:eastAsia="bg-BG"/>
        </w:rPr>
        <w:t xml:space="preserve">Педиатрични пациенти на възраст 6 месеца - 5 години: началната доза е 0,05 - 0,1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kg</w:t>
      </w:r>
      <w:r w:rsidRPr="003C0EFE">
        <w:rPr>
          <w:rFonts w:eastAsia="Times New Roman" w:cs="Arial"/>
          <w:color w:val="000000"/>
          <w:lang w:val="ru-RU"/>
        </w:rPr>
        <w:t xml:space="preserve">. </w:t>
      </w:r>
      <w:r w:rsidRPr="003C0EFE">
        <w:rPr>
          <w:rFonts w:eastAsia="Times New Roman" w:cs="Arial"/>
          <w:color w:val="000000"/>
          <w:lang w:eastAsia="bg-BG"/>
        </w:rPr>
        <w:t xml:space="preserve">За постигане на желания ефект може да е необходима обща доза до 0,6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kg</w:t>
      </w:r>
      <w:r w:rsidRPr="003C0EFE">
        <w:rPr>
          <w:rFonts w:eastAsia="Times New Roman" w:cs="Arial"/>
          <w:color w:val="000000"/>
          <w:lang w:val="ru-RU"/>
        </w:rPr>
        <w:t xml:space="preserve">, </w:t>
      </w:r>
      <w:r w:rsidRPr="003C0EFE">
        <w:rPr>
          <w:rFonts w:eastAsia="Times New Roman" w:cs="Arial"/>
          <w:color w:val="000000"/>
          <w:lang w:eastAsia="bg-BG"/>
        </w:rPr>
        <w:t xml:space="preserve">но тя не трябва да надхвърля общо 6 </w:t>
      </w:r>
      <w:r w:rsidRPr="003C0EFE">
        <w:rPr>
          <w:rFonts w:eastAsia="Times New Roman" w:cs="Arial"/>
          <w:color w:val="000000"/>
          <w:lang w:val="en-US"/>
        </w:rPr>
        <w:t>mg</w:t>
      </w:r>
      <w:r w:rsidRPr="003C0EFE">
        <w:rPr>
          <w:rFonts w:eastAsia="Times New Roman" w:cs="Arial"/>
          <w:color w:val="000000"/>
          <w:lang w:val="ru-RU"/>
        </w:rPr>
        <w:t xml:space="preserve">. </w:t>
      </w:r>
      <w:r w:rsidRPr="003C0EFE">
        <w:rPr>
          <w:rFonts w:eastAsia="Times New Roman" w:cs="Arial"/>
          <w:color w:val="000000"/>
          <w:lang w:eastAsia="bg-BG"/>
        </w:rPr>
        <w:t>Високите дози крият повишен риск от хиповентилация и пролонгирано седиране.</w:t>
      </w:r>
    </w:p>
    <w:p w14:paraId="20658726" w14:textId="77777777" w:rsidR="003C0EFE" w:rsidRPr="003C0EFE" w:rsidRDefault="003C0EFE" w:rsidP="003C0EFE">
      <w:pPr>
        <w:pStyle w:val="ListParagraph"/>
        <w:numPr>
          <w:ilvl w:val="0"/>
          <w:numId w:val="37"/>
        </w:numPr>
        <w:spacing w:line="240" w:lineRule="auto"/>
        <w:rPr>
          <w:rFonts w:eastAsia="Times New Roman" w:cs="Arial"/>
          <w:color w:val="000000"/>
          <w:lang w:eastAsia="bg-BG"/>
        </w:rPr>
      </w:pPr>
      <w:r w:rsidRPr="003C0EFE">
        <w:rPr>
          <w:rFonts w:eastAsia="Times New Roman" w:cs="Arial"/>
          <w:color w:val="000000"/>
          <w:lang w:eastAsia="bg-BG"/>
        </w:rPr>
        <w:t xml:space="preserve">Педиатрични пациенти от 6 до 12-годишна възраст: началната доза е 0,025 - 0,05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kg</w:t>
      </w:r>
      <w:r w:rsidRPr="003C0EFE">
        <w:rPr>
          <w:rFonts w:eastAsia="Times New Roman" w:cs="Arial"/>
          <w:color w:val="000000"/>
          <w:lang w:val="ru-RU"/>
        </w:rPr>
        <w:t xml:space="preserve">. </w:t>
      </w:r>
      <w:r w:rsidRPr="003C0EFE">
        <w:rPr>
          <w:rFonts w:eastAsia="Times New Roman" w:cs="Arial"/>
          <w:color w:val="000000"/>
          <w:lang w:eastAsia="bg-BG"/>
        </w:rPr>
        <w:t xml:space="preserve">Може да е необходима обща доза от 0,4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kg</w:t>
      </w:r>
      <w:r w:rsidRPr="003C0EFE">
        <w:rPr>
          <w:rFonts w:eastAsia="Times New Roman" w:cs="Arial"/>
          <w:color w:val="000000"/>
          <w:lang w:val="ru-RU"/>
        </w:rPr>
        <w:t xml:space="preserve"> </w:t>
      </w:r>
      <w:r w:rsidRPr="003C0EFE">
        <w:rPr>
          <w:rFonts w:eastAsia="Times New Roman" w:cs="Arial"/>
          <w:color w:val="000000"/>
          <w:lang w:eastAsia="bg-BG"/>
        </w:rPr>
        <w:t xml:space="preserve">до максимум 10 </w:t>
      </w:r>
      <w:r w:rsidRPr="003C0EFE">
        <w:rPr>
          <w:rFonts w:eastAsia="Times New Roman" w:cs="Arial"/>
          <w:color w:val="000000"/>
          <w:lang w:val="en-US"/>
        </w:rPr>
        <w:t>mg</w:t>
      </w:r>
      <w:r w:rsidRPr="003C0EFE">
        <w:rPr>
          <w:rFonts w:eastAsia="Times New Roman" w:cs="Arial"/>
          <w:color w:val="000000"/>
          <w:lang w:val="ru-RU"/>
        </w:rPr>
        <w:t xml:space="preserve">. </w:t>
      </w:r>
      <w:r w:rsidRPr="003C0EFE">
        <w:rPr>
          <w:rFonts w:eastAsia="Times New Roman" w:cs="Arial"/>
          <w:color w:val="000000"/>
          <w:lang w:eastAsia="bg-BG"/>
        </w:rPr>
        <w:t>Високите дози крият повишен риск от хиповентилация и пролонгирано седиране.</w:t>
      </w:r>
    </w:p>
    <w:p w14:paraId="72101410" w14:textId="6A1AC787" w:rsidR="003C0EFE" w:rsidRPr="003C0EFE" w:rsidRDefault="003C0EFE" w:rsidP="003C0EFE">
      <w:pPr>
        <w:pStyle w:val="ListParagraph"/>
        <w:numPr>
          <w:ilvl w:val="0"/>
          <w:numId w:val="37"/>
        </w:numPr>
        <w:spacing w:line="240" w:lineRule="auto"/>
        <w:rPr>
          <w:rFonts w:eastAsia="Times New Roman" w:cs="Arial"/>
          <w:color w:val="000000"/>
          <w:lang w:eastAsia="bg-BG"/>
        </w:rPr>
      </w:pPr>
      <w:r w:rsidRPr="003C0EFE">
        <w:rPr>
          <w:rFonts w:eastAsia="Times New Roman" w:cs="Arial"/>
          <w:color w:val="000000"/>
          <w:lang w:eastAsia="bg-BG"/>
        </w:rPr>
        <w:t>Педиатрични пациенти от 12 до 16 - годишна възраст: третират се както възрастните.</w:t>
      </w:r>
    </w:p>
    <w:p w14:paraId="48F56E07" w14:textId="77777777" w:rsidR="003C0EFE" w:rsidRPr="003C0EFE" w:rsidRDefault="003C0EFE" w:rsidP="003C0EFE">
      <w:pPr>
        <w:spacing w:line="240" w:lineRule="auto"/>
        <w:rPr>
          <w:rFonts w:eastAsia="Times New Roman" w:cs="Arial"/>
          <w:i/>
          <w:iCs/>
          <w:color w:val="000000"/>
          <w:lang w:eastAsia="bg-BG"/>
        </w:rPr>
      </w:pPr>
    </w:p>
    <w:p w14:paraId="6DDE9FAC" w14:textId="71FE6F01" w:rsidR="003C0EFE" w:rsidRPr="003C0EFE" w:rsidRDefault="003C0EFE" w:rsidP="003C0EFE">
      <w:pPr>
        <w:spacing w:line="240" w:lineRule="auto"/>
        <w:rPr>
          <w:rFonts w:eastAsia="Times New Roman" w:cs="Arial"/>
        </w:rPr>
      </w:pPr>
      <w:r w:rsidRPr="003C0EFE">
        <w:rPr>
          <w:rFonts w:eastAsia="Times New Roman" w:cs="Arial"/>
          <w:i/>
          <w:iCs/>
          <w:color w:val="000000"/>
          <w:lang w:eastAsia="bg-BG"/>
        </w:rPr>
        <w:t>Ректално приложение:</w:t>
      </w:r>
      <w:r w:rsidRPr="003C0EFE">
        <w:rPr>
          <w:rFonts w:eastAsia="Times New Roman" w:cs="Arial"/>
          <w:color w:val="000000"/>
          <w:lang w:eastAsia="bg-BG"/>
        </w:rPr>
        <w:t xml:space="preserve"> Общата доза мидазолам варира между 0,3 и 0,5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kg</w:t>
      </w:r>
      <w:r w:rsidRPr="003C0EFE">
        <w:rPr>
          <w:rFonts w:eastAsia="Times New Roman" w:cs="Arial"/>
          <w:color w:val="000000"/>
          <w:lang w:val="ru-RU"/>
        </w:rPr>
        <w:t xml:space="preserve">. </w:t>
      </w:r>
      <w:r w:rsidRPr="003C0EFE">
        <w:rPr>
          <w:rFonts w:eastAsia="Times New Roman" w:cs="Arial"/>
          <w:color w:val="000000"/>
          <w:lang w:eastAsia="bg-BG"/>
        </w:rPr>
        <w:t xml:space="preserve">Ректалното приложение на разтвора от ампулата се прилага посредством пластмасов апликатор, фиксиран към края на спринцовката. Ако обемът, който трябва да бъде приложен, е твърде малък, допълнително може да се прибави вода до общо 10 </w:t>
      </w:r>
      <w:r w:rsidRPr="003C0EFE">
        <w:rPr>
          <w:rFonts w:eastAsia="Times New Roman" w:cs="Arial"/>
          <w:color w:val="000000"/>
          <w:lang w:val="en-US"/>
        </w:rPr>
        <w:t>ml</w:t>
      </w:r>
      <w:r w:rsidRPr="003C0EFE">
        <w:rPr>
          <w:rFonts w:eastAsia="Times New Roman" w:cs="Arial"/>
          <w:color w:val="000000"/>
          <w:lang w:val="ru-RU"/>
        </w:rPr>
        <w:t xml:space="preserve">. </w:t>
      </w:r>
      <w:r w:rsidRPr="003C0EFE">
        <w:rPr>
          <w:rFonts w:eastAsia="Times New Roman" w:cs="Arial"/>
          <w:color w:val="000000"/>
          <w:lang w:eastAsia="bg-BG"/>
        </w:rPr>
        <w:t>Общата доза трябва да се приложи наведнъж, а повторните ректални приложения трябва да се избягват. Поради недостатъчни клинични данни този метод на приложение при деца под 6 - месечна възраст не се препоръчва.</w:t>
      </w:r>
    </w:p>
    <w:p w14:paraId="0B27396F" w14:textId="77777777" w:rsidR="003C0EFE" w:rsidRPr="003C0EFE" w:rsidRDefault="003C0EFE" w:rsidP="003C0EFE">
      <w:pPr>
        <w:rPr>
          <w:rFonts w:eastAsia="Times New Roman" w:cs="Arial"/>
          <w:i/>
          <w:iCs/>
          <w:color w:val="000000"/>
          <w:lang w:eastAsia="bg-BG"/>
        </w:rPr>
      </w:pPr>
    </w:p>
    <w:p w14:paraId="021770A3" w14:textId="77777777" w:rsidR="003C0EFE" w:rsidRPr="003C0EFE" w:rsidRDefault="003C0EFE" w:rsidP="003C0EFE">
      <w:pPr>
        <w:rPr>
          <w:rFonts w:eastAsia="Times New Roman" w:cs="Arial"/>
        </w:rPr>
      </w:pPr>
      <w:r w:rsidRPr="003C0EFE">
        <w:rPr>
          <w:rFonts w:eastAsia="Times New Roman" w:cs="Arial"/>
          <w:i/>
          <w:iCs/>
          <w:color w:val="000000"/>
          <w:lang w:eastAsia="bg-BG"/>
        </w:rPr>
        <w:t>Интрамускулно приложение:</w:t>
      </w:r>
      <w:r w:rsidRPr="003C0EFE">
        <w:rPr>
          <w:rFonts w:eastAsia="Times New Roman" w:cs="Arial"/>
          <w:color w:val="000000"/>
          <w:lang w:eastAsia="bg-BG"/>
        </w:rPr>
        <w:t xml:space="preserve"> Дозите варират между 0,05 и 0,15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kg</w:t>
      </w:r>
      <w:r w:rsidRPr="003C0EFE">
        <w:rPr>
          <w:rFonts w:eastAsia="Times New Roman" w:cs="Arial"/>
          <w:color w:val="000000"/>
          <w:lang w:val="ru-RU"/>
        </w:rPr>
        <w:t xml:space="preserve">. </w:t>
      </w:r>
      <w:r w:rsidRPr="003C0EFE">
        <w:rPr>
          <w:rFonts w:eastAsia="Times New Roman" w:cs="Arial"/>
          <w:color w:val="000000"/>
          <w:lang w:eastAsia="bg-BG"/>
        </w:rPr>
        <w:t xml:space="preserve">Обикновено не се налага приложение на обща доза над 10 </w:t>
      </w:r>
      <w:r w:rsidRPr="003C0EFE">
        <w:rPr>
          <w:rFonts w:eastAsia="Times New Roman" w:cs="Arial"/>
          <w:color w:val="000000"/>
          <w:lang w:val="en-US"/>
        </w:rPr>
        <w:t>mg</w:t>
      </w:r>
      <w:r w:rsidRPr="003C0EFE">
        <w:rPr>
          <w:rFonts w:eastAsia="Times New Roman" w:cs="Arial"/>
          <w:color w:val="000000"/>
          <w:lang w:val="ru-RU"/>
        </w:rPr>
        <w:t xml:space="preserve">. </w:t>
      </w:r>
      <w:r w:rsidRPr="003C0EFE">
        <w:rPr>
          <w:rFonts w:eastAsia="Times New Roman" w:cs="Arial"/>
          <w:color w:val="000000"/>
          <w:lang w:eastAsia="bg-BG"/>
        </w:rPr>
        <w:t>Този начин на приложение на мидазолам трябва да се</w:t>
      </w:r>
      <w:r w:rsidRPr="003C0EFE">
        <w:rPr>
          <w:rFonts w:eastAsia="Times New Roman" w:cs="Arial"/>
          <w:color w:val="000000"/>
          <w:lang w:val="ru-RU" w:eastAsia="bg-BG"/>
        </w:rPr>
        <w:t xml:space="preserve"> </w:t>
      </w:r>
      <w:r w:rsidRPr="003C0EFE">
        <w:rPr>
          <w:rFonts w:eastAsia="Times New Roman" w:cs="Arial"/>
          <w:color w:val="000000"/>
          <w:lang w:eastAsia="bg-BG"/>
        </w:rPr>
        <w:t>използва само по изключение. Препоръчва се ректалното приложение, тъй като интрамускулното е болезнено.</w:t>
      </w:r>
    </w:p>
    <w:p w14:paraId="4C1EB7F6" w14:textId="77777777" w:rsidR="003C0EFE" w:rsidRPr="003C0EFE" w:rsidRDefault="003C0EFE" w:rsidP="003C0EFE">
      <w:pPr>
        <w:spacing w:line="240" w:lineRule="auto"/>
        <w:rPr>
          <w:rFonts w:eastAsia="Times New Roman" w:cs="Arial"/>
          <w:color w:val="000000"/>
          <w:lang w:eastAsia="bg-BG"/>
        </w:rPr>
      </w:pPr>
    </w:p>
    <w:p w14:paraId="5848D2B6" w14:textId="1B169354" w:rsidR="003C0EFE" w:rsidRPr="003C0EFE" w:rsidRDefault="003C0EFE" w:rsidP="003C0EFE">
      <w:pPr>
        <w:spacing w:line="240" w:lineRule="auto"/>
        <w:rPr>
          <w:rFonts w:eastAsia="Times New Roman" w:cs="Arial"/>
        </w:rPr>
      </w:pPr>
      <w:r w:rsidRPr="003C0EFE">
        <w:rPr>
          <w:rFonts w:eastAsia="Times New Roman" w:cs="Arial"/>
          <w:color w:val="000000"/>
          <w:lang w:eastAsia="bg-BG"/>
        </w:rPr>
        <w:t xml:space="preserve">При деца с телесно тегло под 15 </w:t>
      </w:r>
      <w:r w:rsidRPr="003C0EFE">
        <w:rPr>
          <w:rFonts w:eastAsia="Times New Roman" w:cs="Arial"/>
          <w:color w:val="000000"/>
          <w:lang w:val="en-US"/>
        </w:rPr>
        <w:t>kg</w:t>
      </w:r>
      <w:r w:rsidRPr="003C0EFE">
        <w:rPr>
          <w:rFonts w:eastAsia="Times New Roman" w:cs="Arial"/>
          <w:color w:val="000000"/>
          <w:lang w:val="ru-RU"/>
        </w:rPr>
        <w:t xml:space="preserve"> </w:t>
      </w:r>
      <w:r w:rsidRPr="003C0EFE">
        <w:rPr>
          <w:rFonts w:eastAsia="Times New Roman" w:cs="Arial"/>
          <w:color w:val="000000"/>
          <w:lang w:eastAsia="bg-BG"/>
        </w:rPr>
        <w:t xml:space="preserve">не се препоръчва приложение на мидазолам в разтвор с концентрация по-висока от 1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ml</w:t>
      </w:r>
      <w:r w:rsidRPr="003C0EFE">
        <w:rPr>
          <w:rFonts w:eastAsia="Times New Roman" w:cs="Arial"/>
          <w:color w:val="000000"/>
          <w:lang w:val="ru-RU"/>
        </w:rPr>
        <w:t xml:space="preserve">. </w:t>
      </w:r>
      <w:r w:rsidRPr="003C0EFE">
        <w:rPr>
          <w:rFonts w:eastAsia="Times New Roman" w:cs="Arial"/>
          <w:color w:val="000000"/>
          <w:lang w:eastAsia="bg-BG"/>
        </w:rPr>
        <w:t xml:space="preserve">По-концентрираните разтвори трябва да бъдат разреждани до 1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ml</w:t>
      </w:r>
      <w:r w:rsidRPr="003C0EFE">
        <w:rPr>
          <w:rFonts w:eastAsia="Times New Roman" w:cs="Arial"/>
          <w:color w:val="000000"/>
          <w:lang w:val="ru-RU"/>
        </w:rPr>
        <w:t>.</w:t>
      </w:r>
    </w:p>
    <w:p w14:paraId="525FFBA7" w14:textId="77777777" w:rsidR="003C0EFE" w:rsidRPr="003C0EFE" w:rsidRDefault="003C0EFE" w:rsidP="003C0EFE">
      <w:pPr>
        <w:spacing w:line="240" w:lineRule="auto"/>
        <w:rPr>
          <w:rFonts w:eastAsia="Times New Roman" w:cs="Arial"/>
          <w:color w:val="000000"/>
          <w:lang w:eastAsia="bg-BG"/>
        </w:rPr>
      </w:pPr>
    </w:p>
    <w:p w14:paraId="7CC8847B" w14:textId="71FEADD7" w:rsidR="003C0EFE" w:rsidRPr="003C0EFE" w:rsidRDefault="003C0EFE" w:rsidP="003C0EFE">
      <w:pPr>
        <w:spacing w:line="240" w:lineRule="auto"/>
        <w:rPr>
          <w:rFonts w:eastAsia="Times New Roman" w:cs="Arial"/>
        </w:rPr>
      </w:pPr>
      <w:r w:rsidRPr="003C0EFE">
        <w:rPr>
          <w:rFonts w:eastAsia="Times New Roman" w:cs="Arial"/>
          <w:color w:val="000000"/>
          <w:lang w:eastAsia="bg-BG"/>
        </w:rPr>
        <w:t>ДОЗИРОВКА ПРИ АНЕСТЕЗИЯ</w:t>
      </w:r>
    </w:p>
    <w:p w14:paraId="6782AC3D" w14:textId="77777777" w:rsidR="003C0EFE" w:rsidRPr="003C0EFE" w:rsidRDefault="003C0EFE" w:rsidP="003C0EFE">
      <w:pPr>
        <w:spacing w:line="240" w:lineRule="auto"/>
        <w:rPr>
          <w:rFonts w:eastAsia="Times New Roman" w:cs="Arial"/>
          <w:color w:val="000000"/>
          <w:u w:val="single"/>
          <w:lang w:eastAsia="bg-BG"/>
        </w:rPr>
      </w:pPr>
    </w:p>
    <w:p w14:paraId="338F56E6" w14:textId="47461AE5" w:rsidR="003C0EFE" w:rsidRPr="003C0EFE" w:rsidRDefault="003C0EFE" w:rsidP="003C0EFE">
      <w:pPr>
        <w:spacing w:line="240" w:lineRule="auto"/>
        <w:rPr>
          <w:rFonts w:eastAsia="Times New Roman" w:cs="Arial"/>
        </w:rPr>
      </w:pPr>
      <w:r w:rsidRPr="003C0EFE">
        <w:rPr>
          <w:rFonts w:eastAsia="Times New Roman" w:cs="Arial"/>
          <w:color w:val="000000"/>
          <w:u w:val="single"/>
          <w:lang w:eastAsia="bg-BG"/>
        </w:rPr>
        <w:t>Премедикация</w:t>
      </w:r>
    </w:p>
    <w:p w14:paraId="1D0584E8"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Премедикацията с мидазолам, приложена малко преди започване на процедурата, води до седиране (сънливост и намаляване на способността за разбиране) и предоперативно намаляване на паметта.</w:t>
      </w:r>
    </w:p>
    <w:p w14:paraId="55AF8222" w14:textId="77777777" w:rsidR="003C0EFE" w:rsidRPr="003C0EFE" w:rsidRDefault="003C0EFE" w:rsidP="003C0EFE">
      <w:pPr>
        <w:spacing w:line="240" w:lineRule="auto"/>
        <w:rPr>
          <w:rFonts w:eastAsia="Times New Roman" w:cs="Arial"/>
          <w:color w:val="000000"/>
          <w:lang w:eastAsia="bg-BG"/>
        </w:rPr>
      </w:pPr>
    </w:p>
    <w:p w14:paraId="77C87977" w14:textId="518425EB" w:rsidR="003C0EFE" w:rsidRPr="003C0EFE" w:rsidRDefault="003C0EFE" w:rsidP="003C0EFE">
      <w:pPr>
        <w:spacing w:line="240" w:lineRule="auto"/>
        <w:rPr>
          <w:rFonts w:eastAsia="Times New Roman" w:cs="Arial"/>
        </w:rPr>
      </w:pPr>
      <w:r w:rsidRPr="003C0EFE">
        <w:rPr>
          <w:rFonts w:eastAsia="Times New Roman" w:cs="Arial"/>
          <w:color w:val="000000"/>
          <w:lang w:eastAsia="bg-BG"/>
        </w:rPr>
        <w:t>Мидазолам може да бъде прилаган и в комбинация с антихолинергични лекарствени продукти. За това показание мидазолам се прилага интравенозно или интрамускулно (дълбоко в големи мускулни маси, 20 до 60 минути преди въвеждане в анестезия), а при деца - за предпочитане ректално (вж. по-долу). Необходимо е адекватно наблюдение на пациента след премедикацията поради индивидуалните разлики в отговора и възможна поява на симптоми на предозиране.</w:t>
      </w:r>
    </w:p>
    <w:p w14:paraId="75C73D61" w14:textId="77777777" w:rsidR="003C0EFE" w:rsidRPr="003C0EFE" w:rsidRDefault="003C0EFE" w:rsidP="003C0EFE">
      <w:pPr>
        <w:spacing w:line="240" w:lineRule="auto"/>
        <w:rPr>
          <w:rFonts w:eastAsia="Times New Roman" w:cs="Arial"/>
          <w:color w:val="000000"/>
          <w:u w:val="single"/>
          <w:lang w:eastAsia="bg-BG"/>
        </w:rPr>
      </w:pPr>
    </w:p>
    <w:p w14:paraId="60E8CB7B" w14:textId="4920436B" w:rsidR="003C0EFE" w:rsidRPr="003C0EFE" w:rsidRDefault="003C0EFE" w:rsidP="003C0EFE">
      <w:pPr>
        <w:spacing w:line="240" w:lineRule="auto"/>
        <w:rPr>
          <w:rFonts w:eastAsia="Times New Roman" w:cs="Arial"/>
        </w:rPr>
      </w:pPr>
      <w:r w:rsidRPr="003C0EFE">
        <w:rPr>
          <w:rFonts w:eastAsia="Times New Roman" w:cs="Arial"/>
          <w:color w:val="000000"/>
          <w:u w:val="single"/>
          <w:lang w:eastAsia="bg-BG"/>
        </w:rPr>
        <w:t>Възрастни</w:t>
      </w:r>
    </w:p>
    <w:p w14:paraId="5DD31442"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 xml:space="preserve">За предоперативно седиране и за заличаване на паметта за събитията преди операцията, препоръчваната доза при възрастни под 60 - годишна възраст с физически статус I и II стадий по </w:t>
      </w:r>
      <w:r w:rsidRPr="003C0EFE">
        <w:rPr>
          <w:rFonts w:eastAsia="Times New Roman" w:cs="Arial"/>
          <w:color w:val="000000"/>
          <w:lang w:val="en-US"/>
        </w:rPr>
        <w:t>ASA</w:t>
      </w:r>
      <w:r w:rsidRPr="003C0EFE">
        <w:rPr>
          <w:rFonts w:eastAsia="Times New Roman" w:cs="Arial"/>
          <w:color w:val="000000"/>
          <w:lang w:val="ru-RU"/>
        </w:rPr>
        <w:t xml:space="preserve"> </w:t>
      </w:r>
      <w:r w:rsidRPr="003C0EFE">
        <w:rPr>
          <w:rFonts w:eastAsia="Times New Roman" w:cs="Arial"/>
          <w:color w:val="000000"/>
          <w:lang w:eastAsia="bg-BG"/>
        </w:rPr>
        <w:t xml:space="preserve">е 1 -2 </w:t>
      </w:r>
      <w:r w:rsidRPr="003C0EFE">
        <w:rPr>
          <w:rFonts w:eastAsia="Times New Roman" w:cs="Arial"/>
          <w:color w:val="000000"/>
          <w:lang w:val="en-US"/>
        </w:rPr>
        <w:t>mg</w:t>
      </w:r>
      <w:r w:rsidRPr="003C0EFE">
        <w:rPr>
          <w:rFonts w:eastAsia="Times New Roman" w:cs="Arial"/>
          <w:color w:val="000000"/>
          <w:lang w:val="ru-RU"/>
        </w:rPr>
        <w:t xml:space="preserve">, </w:t>
      </w:r>
      <w:r w:rsidRPr="003C0EFE">
        <w:rPr>
          <w:rFonts w:eastAsia="Times New Roman" w:cs="Arial"/>
          <w:color w:val="000000"/>
          <w:lang w:eastAsia="bg-BG"/>
        </w:rPr>
        <w:t xml:space="preserve">приложени интравенозно, повторени при необходимост, или 0,07 до 0,1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kg</w:t>
      </w:r>
      <w:r w:rsidRPr="003C0EFE">
        <w:rPr>
          <w:rFonts w:eastAsia="Times New Roman" w:cs="Arial"/>
          <w:color w:val="000000"/>
          <w:lang w:val="ru-RU"/>
        </w:rPr>
        <w:t xml:space="preserve">, </w:t>
      </w:r>
      <w:r w:rsidRPr="003C0EFE">
        <w:rPr>
          <w:rFonts w:eastAsia="Times New Roman" w:cs="Arial"/>
          <w:color w:val="000000"/>
          <w:lang w:eastAsia="bg-BG"/>
        </w:rPr>
        <w:t xml:space="preserve">приложени интрамускулно. При пациенти над 60 - годишна възраст, пациенти в лошо физическо състояние или хронично болни пациенти дозата трябва да се намали и да се прилага строго индивидуално. Препоръчваната начална интравенозна доза е 0,5 </w:t>
      </w:r>
      <w:r w:rsidRPr="003C0EFE">
        <w:rPr>
          <w:rFonts w:eastAsia="Times New Roman" w:cs="Arial"/>
          <w:color w:val="000000"/>
          <w:lang w:val="en-US"/>
        </w:rPr>
        <w:t>mg</w:t>
      </w:r>
      <w:r w:rsidRPr="003C0EFE">
        <w:rPr>
          <w:rFonts w:eastAsia="Times New Roman" w:cs="Arial"/>
          <w:color w:val="000000"/>
          <w:lang w:val="ru-RU"/>
        </w:rPr>
        <w:t xml:space="preserve"> </w:t>
      </w:r>
      <w:r w:rsidRPr="003C0EFE">
        <w:rPr>
          <w:rFonts w:eastAsia="Times New Roman" w:cs="Arial"/>
          <w:color w:val="000000"/>
          <w:lang w:eastAsia="bg-BG"/>
        </w:rPr>
        <w:t xml:space="preserve">и трябва да бъде титрирана бавно, според нуждата. Препоръчва се доза от 0,025 - 0,05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kg</w:t>
      </w:r>
      <w:r w:rsidRPr="003C0EFE">
        <w:rPr>
          <w:rFonts w:eastAsia="Times New Roman" w:cs="Arial"/>
          <w:color w:val="000000"/>
          <w:lang w:val="ru-RU"/>
        </w:rPr>
        <w:t xml:space="preserve">, </w:t>
      </w:r>
      <w:r w:rsidRPr="003C0EFE">
        <w:rPr>
          <w:rFonts w:eastAsia="Times New Roman" w:cs="Arial"/>
          <w:color w:val="000000"/>
          <w:lang w:eastAsia="bg-BG"/>
        </w:rPr>
        <w:t xml:space="preserve">приложена интрамускулно. При едновременно приложение на наркотични вещества дозата на мидазолам трябва да се намали. Обичайната обща доза е 2 до 3 </w:t>
      </w:r>
      <w:r w:rsidRPr="003C0EFE">
        <w:rPr>
          <w:rFonts w:eastAsia="Times New Roman" w:cs="Arial"/>
          <w:color w:val="000000"/>
          <w:lang w:val="en-US"/>
        </w:rPr>
        <w:t>mg</w:t>
      </w:r>
      <w:r w:rsidRPr="003C0EFE">
        <w:rPr>
          <w:rFonts w:eastAsia="Times New Roman" w:cs="Arial"/>
          <w:color w:val="000000"/>
          <w:lang w:val="ru-RU"/>
        </w:rPr>
        <w:t>.</w:t>
      </w:r>
    </w:p>
    <w:p w14:paraId="1D207F7E" w14:textId="77777777" w:rsidR="003C0EFE" w:rsidRPr="003C0EFE" w:rsidRDefault="003C0EFE" w:rsidP="003C0EFE">
      <w:pPr>
        <w:spacing w:line="240" w:lineRule="auto"/>
        <w:rPr>
          <w:rFonts w:eastAsia="Times New Roman" w:cs="Arial"/>
          <w:color w:val="000000"/>
          <w:u w:val="single"/>
          <w:lang w:eastAsia="bg-BG"/>
        </w:rPr>
      </w:pPr>
    </w:p>
    <w:p w14:paraId="05BD1B5F" w14:textId="72079301" w:rsidR="003C0EFE" w:rsidRPr="003C0EFE" w:rsidRDefault="003C0EFE" w:rsidP="003C0EFE">
      <w:pPr>
        <w:spacing w:line="240" w:lineRule="auto"/>
        <w:rPr>
          <w:rFonts w:eastAsia="Times New Roman" w:cs="Arial"/>
        </w:rPr>
      </w:pPr>
      <w:r w:rsidRPr="003C0EFE">
        <w:rPr>
          <w:rFonts w:eastAsia="Times New Roman" w:cs="Arial"/>
          <w:color w:val="000000"/>
          <w:u w:val="single"/>
          <w:lang w:eastAsia="bg-BG"/>
        </w:rPr>
        <w:t>Педиатрична популация</w:t>
      </w:r>
    </w:p>
    <w:p w14:paraId="7FA0EAFD" w14:textId="77777777" w:rsidR="003C0EFE" w:rsidRPr="003C0EFE" w:rsidRDefault="003C0EFE" w:rsidP="003C0EFE">
      <w:pPr>
        <w:spacing w:line="240" w:lineRule="auto"/>
        <w:rPr>
          <w:rFonts w:eastAsia="Times New Roman" w:cs="Arial"/>
          <w:i/>
          <w:iCs/>
          <w:color w:val="000000"/>
          <w:lang w:eastAsia="bg-BG"/>
        </w:rPr>
      </w:pPr>
    </w:p>
    <w:p w14:paraId="42CFB47F" w14:textId="49FCBB0E" w:rsidR="003C0EFE" w:rsidRPr="003C0EFE" w:rsidRDefault="003C0EFE" w:rsidP="003C0EFE">
      <w:pPr>
        <w:spacing w:line="240" w:lineRule="auto"/>
        <w:rPr>
          <w:rFonts w:eastAsia="Times New Roman" w:cs="Arial"/>
        </w:rPr>
      </w:pPr>
      <w:r w:rsidRPr="003C0EFE">
        <w:rPr>
          <w:rFonts w:eastAsia="Times New Roman" w:cs="Arial"/>
          <w:i/>
          <w:iCs/>
          <w:color w:val="000000"/>
          <w:lang w:eastAsia="bg-BG"/>
        </w:rPr>
        <w:t>Новородени и деца до 6-месечна възраст:</w:t>
      </w:r>
    </w:p>
    <w:p w14:paraId="354C53B0" w14:textId="5F047B58" w:rsidR="003C0EFE" w:rsidRPr="003C0EFE" w:rsidRDefault="003C0EFE" w:rsidP="003C0EFE">
      <w:pPr>
        <w:spacing w:line="240" w:lineRule="auto"/>
        <w:rPr>
          <w:rFonts w:eastAsia="Times New Roman" w:cs="Arial"/>
        </w:rPr>
      </w:pPr>
      <w:r w:rsidRPr="003C0EFE">
        <w:rPr>
          <w:rFonts w:eastAsia="Times New Roman" w:cs="Arial"/>
          <w:color w:val="000000"/>
          <w:lang w:eastAsia="bg-BG"/>
        </w:rPr>
        <w:t>Употребата при деца под 6-месечна възраст не се препоръчва, тъй като наличните данни са ограничени.</w:t>
      </w:r>
    </w:p>
    <w:p w14:paraId="220CF5CE" w14:textId="77777777" w:rsidR="003C0EFE" w:rsidRPr="003C0EFE" w:rsidRDefault="003C0EFE" w:rsidP="003C0EFE">
      <w:pPr>
        <w:spacing w:line="240" w:lineRule="auto"/>
        <w:rPr>
          <w:rFonts w:eastAsia="Times New Roman" w:cs="Arial"/>
          <w:i/>
          <w:iCs/>
          <w:color w:val="000000"/>
          <w:lang w:eastAsia="bg-BG"/>
        </w:rPr>
      </w:pPr>
    </w:p>
    <w:p w14:paraId="4C3361D3" w14:textId="5B63E31F" w:rsidR="003C0EFE" w:rsidRPr="003C0EFE" w:rsidRDefault="003C0EFE" w:rsidP="003C0EFE">
      <w:pPr>
        <w:spacing w:line="240" w:lineRule="auto"/>
        <w:rPr>
          <w:rFonts w:eastAsia="Times New Roman" w:cs="Arial"/>
        </w:rPr>
      </w:pPr>
      <w:r w:rsidRPr="003C0EFE">
        <w:rPr>
          <w:rFonts w:eastAsia="Times New Roman" w:cs="Arial"/>
          <w:i/>
          <w:iCs/>
          <w:color w:val="000000"/>
          <w:lang w:eastAsia="bg-BG"/>
        </w:rPr>
        <w:t>Деца над 6 - месечна възраст</w:t>
      </w:r>
    </w:p>
    <w:p w14:paraId="09FF51BB" w14:textId="77777777" w:rsidR="003C0EFE" w:rsidRPr="003C0EFE" w:rsidRDefault="003C0EFE" w:rsidP="003C0EFE">
      <w:pPr>
        <w:spacing w:line="240" w:lineRule="auto"/>
        <w:rPr>
          <w:rFonts w:eastAsia="Times New Roman" w:cs="Arial"/>
          <w:i/>
          <w:iCs/>
          <w:color w:val="000000"/>
          <w:lang w:eastAsia="bg-BG"/>
        </w:rPr>
      </w:pPr>
    </w:p>
    <w:p w14:paraId="6A3CC227" w14:textId="663E95A2" w:rsidR="003C0EFE" w:rsidRPr="003C0EFE" w:rsidRDefault="003C0EFE" w:rsidP="003C0EFE">
      <w:pPr>
        <w:spacing w:line="240" w:lineRule="auto"/>
        <w:rPr>
          <w:rFonts w:eastAsia="Times New Roman" w:cs="Arial"/>
        </w:rPr>
      </w:pPr>
      <w:r w:rsidRPr="003C0EFE">
        <w:rPr>
          <w:rFonts w:eastAsia="Times New Roman" w:cs="Arial"/>
          <w:i/>
          <w:iCs/>
          <w:color w:val="000000"/>
          <w:lang w:eastAsia="bg-BG"/>
        </w:rPr>
        <w:t>Ректално приложение:</w:t>
      </w:r>
      <w:r w:rsidRPr="003C0EFE">
        <w:rPr>
          <w:rFonts w:eastAsia="Times New Roman" w:cs="Arial"/>
          <w:color w:val="000000"/>
          <w:lang w:eastAsia="bg-BG"/>
        </w:rPr>
        <w:t xml:space="preserve"> Общата доза мидазолам, обикновено варираща от 0,3 до 0,5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kg</w:t>
      </w:r>
      <w:r w:rsidRPr="003C0EFE">
        <w:rPr>
          <w:rFonts w:eastAsia="Times New Roman" w:cs="Arial"/>
          <w:color w:val="000000"/>
          <w:lang w:val="ru-RU"/>
        </w:rPr>
        <w:t xml:space="preserve">, </w:t>
      </w:r>
      <w:r w:rsidRPr="003C0EFE">
        <w:rPr>
          <w:rFonts w:eastAsia="Times New Roman" w:cs="Arial"/>
          <w:color w:val="000000"/>
          <w:lang w:eastAsia="bg-BG"/>
        </w:rPr>
        <w:t xml:space="preserve">трябва да се прилага 15 до 30 минути преди въвеждането в анестезия. Ректалното приложение на разтвора от ампулата се прилага посредством пластмасов апликатор, фиксиран към края на спринцовката. Ако обемът, който трябва да бъде приложен, е твърде малък, допълнително може да се прибави вода до общо 10 </w:t>
      </w:r>
      <w:r w:rsidRPr="003C0EFE">
        <w:rPr>
          <w:rFonts w:eastAsia="Times New Roman" w:cs="Arial"/>
          <w:color w:val="000000"/>
          <w:lang w:val="en-US"/>
        </w:rPr>
        <w:t>ml</w:t>
      </w:r>
      <w:r w:rsidRPr="003C0EFE">
        <w:rPr>
          <w:rFonts w:eastAsia="Times New Roman" w:cs="Arial"/>
          <w:color w:val="000000"/>
          <w:lang w:val="ru-RU"/>
        </w:rPr>
        <w:t>.</w:t>
      </w:r>
    </w:p>
    <w:p w14:paraId="49AA5273" w14:textId="77777777" w:rsidR="003C0EFE" w:rsidRPr="003C0EFE" w:rsidRDefault="003C0EFE" w:rsidP="003C0EFE">
      <w:pPr>
        <w:spacing w:line="240" w:lineRule="auto"/>
        <w:rPr>
          <w:rFonts w:eastAsia="Times New Roman" w:cs="Arial"/>
          <w:i/>
          <w:iCs/>
          <w:color w:val="000000"/>
          <w:lang w:eastAsia="bg-BG"/>
        </w:rPr>
      </w:pPr>
    </w:p>
    <w:p w14:paraId="37F13E97" w14:textId="22EF194D" w:rsidR="003C0EFE" w:rsidRPr="003C0EFE" w:rsidRDefault="003C0EFE" w:rsidP="003C0EFE">
      <w:pPr>
        <w:spacing w:line="240" w:lineRule="auto"/>
        <w:rPr>
          <w:rFonts w:eastAsia="Times New Roman" w:cs="Arial"/>
        </w:rPr>
      </w:pPr>
      <w:r w:rsidRPr="003C0EFE">
        <w:rPr>
          <w:rFonts w:eastAsia="Times New Roman" w:cs="Arial"/>
          <w:i/>
          <w:iCs/>
          <w:color w:val="000000"/>
          <w:lang w:eastAsia="bg-BG"/>
        </w:rPr>
        <w:t>Интрамускулно приложение:</w:t>
      </w:r>
      <w:r w:rsidRPr="003C0EFE">
        <w:rPr>
          <w:rFonts w:eastAsia="Times New Roman" w:cs="Arial"/>
          <w:color w:val="000000"/>
          <w:lang w:eastAsia="bg-BG"/>
        </w:rPr>
        <w:t xml:space="preserve"> Тъй като интрамускулната инжекция е болезнена, този път на въвеждане трябва да се прилага само по изключение. Ректалният начин на приложение трябва да бъде предпочитан. Все пак, дози между 0,08 и 0,2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kg</w:t>
      </w:r>
      <w:r w:rsidRPr="003C0EFE">
        <w:rPr>
          <w:rFonts w:eastAsia="Times New Roman" w:cs="Arial"/>
          <w:color w:val="000000"/>
          <w:lang w:val="ru-RU"/>
        </w:rPr>
        <w:t xml:space="preserve">, </w:t>
      </w:r>
      <w:r w:rsidRPr="003C0EFE">
        <w:rPr>
          <w:rFonts w:eastAsia="Times New Roman" w:cs="Arial"/>
          <w:color w:val="000000"/>
          <w:lang w:eastAsia="bg-BG"/>
        </w:rPr>
        <w:t>приложени интрамускулно, са ефективни и безопасни. При деца между 1 и 15-годишна възраст са необходими пропорционално по-високи дози в сравнение с тези при възрастни на базата на телесно тегло.</w:t>
      </w:r>
    </w:p>
    <w:p w14:paraId="2E3B302B" w14:textId="77777777" w:rsidR="003C0EFE" w:rsidRPr="003C0EFE" w:rsidRDefault="003C0EFE" w:rsidP="003C0EFE">
      <w:pPr>
        <w:spacing w:line="240" w:lineRule="auto"/>
        <w:rPr>
          <w:rFonts w:eastAsia="Times New Roman" w:cs="Arial"/>
          <w:color w:val="000000"/>
          <w:lang w:eastAsia="bg-BG"/>
        </w:rPr>
      </w:pPr>
    </w:p>
    <w:p w14:paraId="3CFAFA53" w14:textId="2629D773" w:rsidR="003C0EFE" w:rsidRPr="003C0EFE" w:rsidRDefault="003C0EFE" w:rsidP="003C0EFE">
      <w:pPr>
        <w:spacing w:line="240" w:lineRule="auto"/>
        <w:rPr>
          <w:rFonts w:eastAsia="Times New Roman" w:cs="Arial"/>
        </w:rPr>
      </w:pPr>
      <w:r w:rsidRPr="003C0EFE">
        <w:rPr>
          <w:rFonts w:eastAsia="Times New Roman" w:cs="Arial"/>
          <w:color w:val="000000"/>
          <w:lang w:eastAsia="bg-BG"/>
        </w:rPr>
        <w:t xml:space="preserve">При деца с телесно тегло под 15 </w:t>
      </w:r>
      <w:r w:rsidRPr="003C0EFE">
        <w:rPr>
          <w:rFonts w:eastAsia="Times New Roman" w:cs="Arial"/>
          <w:color w:val="000000"/>
          <w:lang w:val="en-US"/>
        </w:rPr>
        <w:t>kg</w:t>
      </w:r>
      <w:r w:rsidRPr="003C0EFE">
        <w:rPr>
          <w:rFonts w:eastAsia="Times New Roman" w:cs="Arial"/>
          <w:color w:val="000000"/>
          <w:lang w:val="ru-RU"/>
        </w:rPr>
        <w:t xml:space="preserve"> </w:t>
      </w:r>
      <w:r w:rsidRPr="003C0EFE">
        <w:rPr>
          <w:rFonts w:eastAsia="Times New Roman" w:cs="Arial"/>
          <w:color w:val="000000"/>
          <w:lang w:eastAsia="bg-BG"/>
        </w:rPr>
        <w:t xml:space="preserve">не се препоръчва приложение на мидазолам в разтвор с концентрация по-висока от 1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ml</w:t>
      </w:r>
      <w:r w:rsidRPr="003C0EFE">
        <w:rPr>
          <w:rFonts w:eastAsia="Times New Roman" w:cs="Arial"/>
          <w:color w:val="000000"/>
          <w:lang w:val="ru-RU"/>
        </w:rPr>
        <w:t xml:space="preserve">. </w:t>
      </w:r>
      <w:r w:rsidRPr="003C0EFE">
        <w:rPr>
          <w:rFonts w:eastAsia="Times New Roman" w:cs="Arial"/>
          <w:color w:val="000000"/>
          <w:lang w:eastAsia="bg-BG"/>
        </w:rPr>
        <w:t>По-концентрираните разтвори трябва да бъдат разглеждани</w:t>
      </w:r>
    </w:p>
    <w:p w14:paraId="03622955"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 xml:space="preserve">до 1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ml</w:t>
      </w:r>
      <w:r w:rsidRPr="003C0EFE">
        <w:rPr>
          <w:rFonts w:eastAsia="Times New Roman" w:cs="Arial"/>
          <w:color w:val="000000"/>
          <w:lang w:val="ru-RU"/>
        </w:rPr>
        <w:t>.</w:t>
      </w:r>
    </w:p>
    <w:p w14:paraId="1B6DE396" w14:textId="77777777" w:rsidR="003C0EFE" w:rsidRPr="003C0EFE" w:rsidRDefault="003C0EFE" w:rsidP="003C0EFE">
      <w:pPr>
        <w:rPr>
          <w:rFonts w:eastAsia="Times New Roman" w:cs="Arial"/>
          <w:color w:val="000000"/>
          <w:u w:val="single"/>
          <w:lang w:eastAsia="bg-BG"/>
        </w:rPr>
      </w:pPr>
    </w:p>
    <w:p w14:paraId="30D8B6EE" w14:textId="61C0BD78" w:rsidR="003C0EFE" w:rsidRPr="003C0EFE" w:rsidRDefault="003C0EFE" w:rsidP="003C0EFE">
      <w:pPr>
        <w:rPr>
          <w:rFonts w:eastAsia="Times New Roman" w:cs="Arial"/>
          <w:color w:val="000000"/>
          <w:u w:val="single"/>
          <w:lang w:eastAsia="bg-BG"/>
        </w:rPr>
      </w:pPr>
      <w:r w:rsidRPr="003C0EFE">
        <w:rPr>
          <w:rFonts w:eastAsia="Times New Roman" w:cs="Arial"/>
          <w:color w:val="000000"/>
          <w:u w:val="single"/>
          <w:lang w:eastAsia="bg-BG"/>
        </w:rPr>
        <w:t>Въвеждане в анестезия</w:t>
      </w:r>
    </w:p>
    <w:p w14:paraId="3A31857A" w14:textId="18DA6DD8" w:rsidR="003C0EFE" w:rsidRPr="003C0EFE" w:rsidRDefault="003C0EFE" w:rsidP="003C0EFE">
      <w:pPr>
        <w:rPr>
          <w:rFonts w:eastAsia="Times New Roman" w:cs="Arial"/>
          <w:color w:val="000000"/>
          <w:u w:val="single"/>
          <w:lang w:eastAsia="bg-BG"/>
        </w:rPr>
      </w:pPr>
    </w:p>
    <w:p w14:paraId="26B71B03" w14:textId="77777777" w:rsidR="003C0EFE" w:rsidRPr="003C0EFE" w:rsidRDefault="003C0EFE" w:rsidP="003C0EFE">
      <w:pPr>
        <w:spacing w:line="240" w:lineRule="auto"/>
        <w:rPr>
          <w:rFonts w:eastAsia="Times New Roman" w:cs="Arial"/>
        </w:rPr>
      </w:pPr>
      <w:r w:rsidRPr="003C0EFE">
        <w:rPr>
          <w:rFonts w:eastAsia="Times New Roman" w:cs="Arial"/>
          <w:color w:val="000000"/>
          <w:u w:val="single"/>
          <w:lang w:eastAsia="bg-BG"/>
        </w:rPr>
        <w:t>Възрастни</w:t>
      </w:r>
    </w:p>
    <w:p w14:paraId="5993F843"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 xml:space="preserve">Ако мидазолам бъде приложен за въвеждане в анестезия преди други анестетични лекарствени продукти, индивидуалният отговор на пациента варира. Дозата трябва да се </w:t>
      </w:r>
      <w:r w:rsidRPr="003C0EFE">
        <w:rPr>
          <w:rFonts w:eastAsia="Times New Roman" w:cs="Arial"/>
          <w:color w:val="000000"/>
          <w:lang w:eastAsia="bg-BG"/>
        </w:rPr>
        <w:lastRenderedPageBreak/>
        <w:t>титрира до постигане на желания ефект според възрастта и клиничното състояние на пациента. Когато мидазолам се използва преди или в комбинация с други интравенозни или инхалационни лекарствени продукти за въвеждане в анестезия, първоначалната доза на всеки лекарствен продукт трябва да бъде значително намалена, понякога до 25 % от обичайната начална доза на отделния продукт.</w:t>
      </w:r>
    </w:p>
    <w:p w14:paraId="2C5D684A" w14:textId="77777777" w:rsidR="003C0EFE" w:rsidRPr="003C0EFE" w:rsidRDefault="003C0EFE" w:rsidP="003C0EFE">
      <w:pPr>
        <w:spacing w:line="240" w:lineRule="auto"/>
        <w:rPr>
          <w:rFonts w:eastAsia="Times New Roman" w:cs="Arial"/>
          <w:color w:val="000000"/>
          <w:lang w:eastAsia="bg-BG"/>
        </w:rPr>
      </w:pPr>
    </w:p>
    <w:p w14:paraId="1CA808B2" w14:textId="2B671355" w:rsidR="003C0EFE" w:rsidRPr="003C0EFE" w:rsidRDefault="003C0EFE" w:rsidP="003C0EFE">
      <w:pPr>
        <w:spacing w:line="240" w:lineRule="auto"/>
        <w:rPr>
          <w:rFonts w:eastAsia="Times New Roman" w:cs="Arial"/>
        </w:rPr>
      </w:pPr>
      <w:r w:rsidRPr="003C0EFE">
        <w:rPr>
          <w:rFonts w:eastAsia="Times New Roman" w:cs="Arial"/>
          <w:color w:val="000000"/>
          <w:lang w:eastAsia="bg-BG"/>
        </w:rPr>
        <w:t xml:space="preserve">Желаното ниво на анестезия се постига чрез стъпаловидно титриране. Интравенозната въвеждаща доза на мидазолам трябва да бъде приложена интравенозно бавно и с покачвания. Всяко покачване с не повече от 5 </w:t>
      </w:r>
      <w:r w:rsidRPr="003C0EFE">
        <w:rPr>
          <w:rFonts w:eastAsia="Times New Roman" w:cs="Arial"/>
          <w:color w:val="000000"/>
          <w:lang w:val="en-US"/>
        </w:rPr>
        <w:t>mg</w:t>
      </w:r>
      <w:r w:rsidRPr="003C0EFE">
        <w:rPr>
          <w:rFonts w:eastAsia="Times New Roman" w:cs="Arial"/>
          <w:color w:val="000000"/>
          <w:lang w:val="ru-RU"/>
        </w:rPr>
        <w:t xml:space="preserve"> </w:t>
      </w:r>
      <w:r w:rsidRPr="003C0EFE">
        <w:rPr>
          <w:rFonts w:eastAsia="Times New Roman" w:cs="Arial"/>
          <w:color w:val="000000"/>
          <w:lang w:eastAsia="bg-BG"/>
        </w:rPr>
        <w:t>трябва да се инжектира в продължение на 20 - 30 секунди, като между инжектирането на отделните покачвания трябва да се прави пауза от 2 минути.</w:t>
      </w:r>
    </w:p>
    <w:p w14:paraId="0B9DDAD6" w14:textId="77777777" w:rsidR="003C0EFE" w:rsidRPr="003C0EFE" w:rsidRDefault="003C0EFE" w:rsidP="003C0EFE">
      <w:pPr>
        <w:pStyle w:val="ListParagraph"/>
        <w:numPr>
          <w:ilvl w:val="0"/>
          <w:numId w:val="38"/>
        </w:numPr>
        <w:spacing w:line="240" w:lineRule="auto"/>
        <w:rPr>
          <w:rFonts w:eastAsia="Times New Roman" w:cs="Arial"/>
          <w:color w:val="000000"/>
          <w:lang w:eastAsia="bg-BG"/>
        </w:rPr>
      </w:pPr>
      <w:r w:rsidRPr="003C0EFE">
        <w:rPr>
          <w:rFonts w:eastAsia="Times New Roman" w:cs="Arial"/>
          <w:color w:val="000000"/>
          <w:lang w:eastAsia="bg-BG"/>
        </w:rPr>
        <w:t xml:space="preserve">При </w:t>
      </w:r>
      <w:r w:rsidRPr="003C0EFE">
        <w:rPr>
          <w:rFonts w:eastAsia="Times New Roman" w:cs="Arial"/>
          <w:i/>
          <w:iCs/>
          <w:color w:val="000000"/>
          <w:lang w:eastAsia="bg-BG"/>
        </w:rPr>
        <w:t>премедикирани възрастни под 60 - годишна възраст</w:t>
      </w:r>
      <w:r w:rsidRPr="003C0EFE">
        <w:rPr>
          <w:rFonts w:eastAsia="Times New Roman" w:cs="Arial"/>
          <w:color w:val="000000"/>
          <w:lang w:eastAsia="bg-BG"/>
        </w:rPr>
        <w:t xml:space="preserve"> обикновено доза от 0,15 до 0,2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kg</w:t>
      </w:r>
      <w:r w:rsidRPr="003C0EFE">
        <w:rPr>
          <w:rFonts w:eastAsia="Times New Roman" w:cs="Arial"/>
          <w:color w:val="000000"/>
          <w:lang w:val="ru-RU"/>
        </w:rPr>
        <w:t xml:space="preserve">, </w:t>
      </w:r>
      <w:r w:rsidRPr="003C0EFE">
        <w:rPr>
          <w:rFonts w:eastAsia="Times New Roman" w:cs="Arial"/>
          <w:color w:val="000000"/>
          <w:lang w:eastAsia="bg-BG"/>
        </w:rPr>
        <w:t>приложена интравенозно, е достатъчна;</w:t>
      </w:r>
    </w:p>
    <w:p w14:paraId="5AE73061" w14:textId="77777777" w:rsidR="003C0EFE" w:rsidRPr="003C0EFE" w:rsidRDefault="003C0EFE" w:rsidP="003C0EFE">
      <w:pPr>
        <w:pStyle w:val="ListParagraph"/>
        <w:numPr>
          <w:ilvl w:val="0"/>
          <w:numId w:val="38"/>
        </w:numPr>
        <w:spacing w:line="240" w:lineRule="auto"/>
        <w:rPr>
          <w:rFonts w:eastAsia="Times New Roman" w:cs="Arial"/>
          <w:color w:val="000000"/>
          <w:lang w:eastAsia="bg-BG"/>
        </w:rPr>
      </w:pPr>
      <w:r w:rsidRPr="003C0EFE">
        <w:rPr>
          <w:rFonts w:eastAsia="Times New Roman" w:cs="Arial"/>
          <w:color w:val="000000"/>
          <w:lang w:eastAsia="bg-BG"/>
        </w:rPr>
        <w:t xml:space="preserve">При </w:t>
      </w:r>
      <w:r w:rsidRPr="003C0EFE">
        <w:rPr>
          <w:rFonts w:eastAsia="Times New Roman" w:cs="Arial"/>
          <w:i/>
          <w:iCs/>
          <w:color w:val="000000"/>
          <w:lang w:eastAsia="bg-BG"/>
        </w:rPr>
        <w:t>непремедикирани възрастни под 60 - годишна възраст</w:t>
      </w:r>
      <w:r w:rsidRPr="003C0EFE">
        <w:rPr>
          <w:rFonts w:eastAsia="Times New Roman" w:cs="Arial"/>
          <w:color w:val="000000"/>
          <w:lang w:eastAsia="bg-BG"/>
        </w:rPr>
        <w:t xml:space="preserve"> дозата може да бъде по- висока (0,3 - 0,35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kg</w:t>
      </w:r>
      <w:r w:rsidRPr="003C0EFE">
        <w:rPr>
          <w:rFonts w:eastAsia="Times New Roman" w:cs="Arial"/>
          <w:color w:val="000000"/>
          <w:lang w:val="ru-RU"/>
        </w:rPr>
        <w:t xml:space="preserve"> </w:t>
      </w:r>
      <w:proofErr w:type="spellStart"/>
      <w:r w:rsidRPr="003C0EFE">
        <w:rPr>
          <w:rFonts w:eastAsia="Times New Roman" w:cs="Arial"/>
          <w:color w:val="000000"/>
          <w:lang w:val="en-US"/>
        </w:rPr>
        <w:t>i</w:t>
      </w:r>
      <w:proofErr w:type="spellEnd"/>
      <w:r w:rsidRPr="003C0EFE">
        <w:rPr>
          <w:rFonts w:eastAsia="Times New Roman" w:cs="Arial"/>
          <w:color w:val="000000"/>
          <w:lang w:val="ru-RU"/>
        </w:rPr>
        <w:t>.</w:t>
      </w:r>
      <w:r w:rsidRPr="003C0EFE">
        <w:rPr>
          <w:rFonts w:eastAsia="Times New Roman" w:cs="Arial"/>
          <w:color w:val="000000"/>
          <w:lang w:val="en-US"/>
        </w:rPr>
        <w:t>v</w:t>
      </w:r>
      <w:r w:rsidRPr="003C0EFE">
        <w:rPr>
          <w:rFonts w:eastAsia="Times New Roman" w:cs="Arial"/>
          <w:color w:val="000000"/>
          <w:lang w:val="ru-RU"/>
        </w:rPr>
        <w:t xml:space="preserve">.). </w:t>
      </w:r>
      <w:r w:rsidRPr="003C0EFE">
        <w:rPr>
          <w:rFonts w:eastAsia="Times New Roman" w:cs="Arial"/>
          <w:color w:val="000000"/>
          <w:lang w:eastAsia="bg-BG"/>
        </w:rPr>
        <w:t xml:space="preserve">Ако е необходимо да се довърши въвеждането в анестезия се прилагат повишавания с приблизително 25 % от първоначалната доза. Въвеждането може да бъде завършено и чрез инхалационен анестетик. При резистентни случаи общата доза може да се увеличи до 0,6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kg</w:t>
      </w:r>
      <w:r w:rsidRPr="003C0EFE">
        <w:rPr>
          <w:rFonts w:eastAsia="Times New Roman" w:cs="Arial"/>
          <w:color w:val="000000"/>
          <w:lang w:val="ru-RU"/>
        </w:rPr>
        <w:t xml:space="preserve">, </w:t>
      </w:r>
      <w:r w:rsidRPr="003C0EFE">
        <w:rPr>
          <w:rFonts w:eastAsia="Times New Roman" w:cs="Arial"/>
          <w:color w:val="000000"/>
          <w:lang w:eastAsia="bg-BG"/>
        </w:rPr>
        <w:t>но такава доза може да доведе до по- продължително възстановяване.</w:t>
      </w:r>
    </w:p>
    <w:p w14:paraId="28EC7E88" w14:textId="77777777" w:rsidR="003C0EFE" w:rsidRPr="003C0EFE" w:rsidRDefault="003C0EFE" w:rsidP="003C0EFE">
      <w:pPr>
        <w:pStyle w:val="ListParagraph"/>
        <w:numPr>
          <w:ilvl w:val="0"/>
          <w:numId w:val="38"/>
        </w:numPr>
        <w:spacing w:line="240" w:lineRule="auto"/>
        <w:rPr>
          <w:rFonts w:eastAsia="Times New Roman" w:cs="Arial"/>
          <w:color w:val="000000"/>
          <w:lang w:eastAsia="bg-BG"/>
        </w:rPr>
      </w:pPr>
      <w:r w:rsidRPr="003C0EFE">
        <w:rPr>
          <w:rFonts w:eastAsia="Times New Roman" w:cs="Arial"/>
          <w:color w:val="000000"/>
          <w:lang w:eastAsia="bg-BG"/>
        </w:rPr>
        <w:t xml:space="preserve">При </w:t>
      </w:r>
      <w:r w:rsidRPr="003C0EFE">
        <w:rPr>
          <w:rFonts w:eastAsia="Times New Roman" w:cs="Arial"/>
          <w:i/>
          <w:iCs/>
          <w:color w:val="000000"/>
          <w:lang w:eastAsia="bg-BG"/>
        </w:rPr>
        <w:t>премедикирани възрастни пациенти над 60 - годишна възраст, пациенти в лошо физическо състояние или хронично болни пациенти</w:t>
      </w:r>
      <w:r w:rsidRPr="003C0EFE">
        <w:rPr>
          <w:rFonts w:eastAsia="Times New Roman" w:cs="Arial"/>
          <w:color w:val="000000"/>
          <w:lang w:eastAsia="bg-BG"/>
        </w:rPr>
        <w:t xml:space="preserve"> дозата трябва да се намали значително, напр. до 0,05 - 0,15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kg</w:t>
      </w:r>
      <w:r w:rsidRPr="003C0EFE">
        <w:rPr>
          <w:rFonts w:eastAsia="Times New Roman" w:cs="Arial"/>
          <w:color w:val="000000"/>
          <w:lang w:val="ru-RU"/>
        </w:rPr>
        <w:t xml:space="preserve">, </w:t>
      </w:r>
      <w:r w:rsidRPr="003C0EFE">
        <w:rPr>
          <w:rFonts w:eastAsia="Times New Roman" w:cs="Arial"/>
          <w:color w:val="000000"/>
          <w:lang w:eastAsia="bg-BG"/>
        </w:rPr>
        <w:t>приложени интравенозно, в продължение на 20 - 30 секунди, като се оставят 2 минути за проявяване на ефекта.</w:t>
      </w:r>
    </w:p>
    <w:p w14:paraId="120BD8F8" w14:textId="10308CC9" w:rsidR="003C0EFE" w:rsidRPr="003C0EFE" w:rsidRDefault="003C0EFE" w:rsidP="003C0EFE">
      <w:pPr>
        <w:pStyle w:val="ListParagraph"/>
        <w:numPr>
          <w:ilvl w:val="0"/>
          <w:numId w:val="38"/>
        </w:numPr>
        <w:spacing w:line="240" w:lineRule="auto"/>
        <w:rPr>
          <w:rFonts w:eastAsia="Times New Roman" w:cs="Arial"/>
          <w:color w:val="000000"/>
          <w:lang w:eastAsia="bg-BG"/>
        </w:rPr>
      </w:pPr>
      <w:r w:rsidRPr="003C0EFE">
        <w:rPr>
          <w:rFonts w:eastAsia="Times New Roman" w:cs="Arial"/>
          <w:i/>
          <w:iCs/>
          <w:color w:val="000000"/>
          <w:lang w:eastAsia="bg-BG"/>
        </w:rPr>
        <w:t>Непремедикирани възрастни пациенти над 60 - годишна възраст</w:t>
      </w:r>
      <w:r w:rsidRPr="003C0EFE">
        <w:rPr>
          <w:rFonts w:eastAsia="Times New Roman" w:cs="Arial"/>
          <w:color w:val="000000"/>
          <w:lang w:eastAsia="bg-BG"/>
        </w:rPr>
        <w:t xml:space="preserve"> обикновено се нуждаят</w:t>
      </w:r>
      <w:r w:rsidRPr="003C0EFE">
        <w:rPr>
          <w:rFonts w:eastAsia="Times New Roman" w:cs="Arial"/>
          <w:color w:val="000000"/>
          <w:lang w:val="ru-RU" w:eastAsia="bg-BG"/>
        </w:rPr>
        <w:t xml:space="preserve"> </w:t>
      </w:r>
      <w:r w:rsidRPr="003C0EFE">
        <w:rPr>
          <w:rFonts w:eastAsia="Times New Roman" w:cs="Arial"/>
          <w:color w:val="000000"/>
          <w:lang w:eastAsia="bg-BG"/>
        </w:rPr>
        <w:t xml:space="preserve">от по-висока доза мидазолам за въвеждане. Препоръчва се начална доза от 0,15 - 0,3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kg</w:t>
      </w:r>
      <w:r w:rsidRPr="003C0EFE">
        <w:rPr>
          <w:rFonts w:eastAsia="Times New Roman" w:cs="Arial"/>
          <w:color w:val="000000"/>
          <w:lang w:val="ru-RU"/>
        </w:rPr>
        <w:t xml:space="preserve">. </w:t>
      </w:r>
      <w:r w:rsidRPr="003C0EFE">
        <w:rPr>
          <w:rFonts w:eastAsia="Times New Roman" w:cs="Arial"/>
          <w:color w:val="000000"/>
          <w:lang w:eastAsia="bg-BG"/>
        </w:rPr>
        <w:t xml:space="preserve">Пациенти без премедикация с тежко системно заболяване или друго увреждане обикновено се нуждаят от по-малка доза за въвеждане в анестезията. Начална доза от 0,15-0,25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kg</w:t>
      </w:r>
      <w:r w:rsidRPr="003C0EFE">
        <w:rPr>
          <w:rFonts w:eastAsia="Times New Roman" w:cs="Arial"/>
          <w:color w:val="000000"/>
          <w:lang w:val="ru-RU"/>
        </w:rPr>
        <w:t xml:space="preserve"> </w:t>
      </w:r>
      <w:r w:rsidRPr="003C0EFE">
        <w:rPr>
          <w:rFonts w:eastAsia="Times New Roman" w:cs="Arial"/>
          <w:color w:val="000000"/>
          <w:lang w:eastAsia="bg-BG"/>
        </w:rPr>
        <w:t>обикновено е достатъчна.</w:t>
      </w:r>
    </w:p>
    <w:p w14:paraId="1E0AA8D1" w14:textId="77777777" w:rsidR="003C0EFE" w:rsidRPr="003C0EFE" w:rsidRDefault="003C0EFE" w:rsidP="003C0EFE">
      <w:pPr>
        <w:spacing w:line="240" w:lineRule="auto"/>
        <w:rPr>
          <w:rFonts w:eastAsia="Times New Roman" w:cs="Arial"/>
          <w:color w:val="000000"/>
          <w:u w:val="single"/>
          <w:lang w:eastAsia="bg-BG"/>
        </w:rPr>
      </w:pPr>
    </w:p>
    <w:p w14:paraId="6B8F6288" w14:textId="13BEE959" w:rsidR="003C0EFE" w:rsidRPr="003C0EFE" w:rsidRDefault="003C0EFE" w:rsidP="003C0EFE">
      <w:pPr>
        <w:spacing w:line="240" w:lineRule="auto"/>
        <w:rPr>
          <w:rFonts w:eastAsia="Times New Roman" w:cs="Arial"/>
        </w:rPr>
      </w:pPr>
      <w:r w:rsidRPr="003C0EFE">
        <w:rPr>
          <w:rFonts w:eastAsia="Times New Roman" w:cs="Arial"/>
          <w:color w:val="000000"/>
          <w:u w:val="single"/>
          <w:lang w:eastAsia="bg-BG"/>
        </w:rPr>
        <w:t>Седираща компонента при комбинирана анестезия</w:t>
      </w:r>
    </w:p>
    <w:p w14:paraId="56CFAA3F" w14:textId="77777777" w:rsidR="003C0EFE" w:rsidRPr="003C0EFE" w:rsidRDefault="003C0EFE" w:rsidP="003C0EFE">
      <w:pPr>
        <w:spacing w:line="240" w:lineRule="auto"/>
        <w:rPr>
          <w:rFonts w:eastAsia="Times New Roman" w:cs="Arial"/>
          <w:color w:val="000000"/>
          <w:u w:val="single"/>
          <w:lang w:eastAsia="bg-BG"/>
        </w:rPr>
      </w:pPr>
    </w:p>
    <w:p w14:paraId="76C3DD56" w14:textId="3195B1B8" w:rsidR="003C0EFE" w:rsidRPr="003C0EFE" w:rsidRDefault="003C0EFE" w:rsidP="003C0EFE">
      <w:pPr>
        <w:spacing w:line="240" w:lineRule="auto"/>
        <w:rPr>
          <w:rFonts w:eastAsia="Times New Roman" w:cs="Arial"/>
        </w:rPr>
      </w:pPr>
      <w:r w:rsidRPr="003C0EFE">
        <w:rPr>
          <w:rFonts w:eastAsia="Times New Roman" w:cs="Arial"/>
          <w:color w:val="000000"/>
          <w:u w:val="single"/>
          <w:lang w:eastAsia="bg-BG"/>
        </w:rPr>
        <w:t>Възрастни</w:t>
      </w:r>
    </w:p>
    <w:p w14:paraId="530F15AA"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 xml:space="preserve">Като седираща компонента при комбинирана анестезия мидазолам се прилага или като последващи периодични малки интравенозни дози (между 0,03 и 0,1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kg</w:t>
      </w:r>
      <w:r w:rsidRPr="003C0EFE">
        <w:rPr>
          <w:rFonts w:eastAsia="Times New Roman" w:cs="Arial"/>
          <w:color w:val="000000"/>
          <w:lang w:val="ru-RU"/>
        </w:rPr>
        <w:t xml:space="preserve">), </w:t>
      </w:r>
      <w:r w:rsidRPr="003C0EFE">
        <w:rPr>
          <w:rFonts w:eastAsia="Times New Roman" w:cs="Arial"/>
          <w:color w:val="000000"/>
          <w:lang w:eastAsia="bg-BG"/>
        </w:rPr>
        <w:t xml:space="preserve">или като непрекъсната интравенозна инфузия (между 0,03 и 0,1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kg</w:t>
      </w:r>
      <w:r w:rsidRPr="003C0EFE">
        <w:rPr>
          <w:rFonts w:eastAsia="Times New Roman" w:cs="Arial"/>
          <w:color w:val="000000"/>
          <w:lang w:val="ru-RU"/>
        </w:rPr>
        <w:t>/</w:t>
      </w:r>
      <w:r w:rsidRPr="003C0EFE">
        <w:rPr>
          <w:rFonts w:eastAsia="Times New Roman" w:cs="Arial"/>
          <w:color w:val="000000"/>
          <w:lang w:val="en-US"/>
        </w:rPr>
        <w:t>h</w:t>
      </w:r>
      <w:r w:rsidRPr="003C0EFE">
        <w:rPr>
          <w:rFonts w:eastAsia="Times New Roman" w:cs="Arial"/>
          <w:color w:val="000000"/>
          <w:lang w:val="ru-RU"/>
        </w:rPr>
        <w:t xml:space="preserve">), </w:t>
      </w:r>
      <w:r w:rsidRPr="003C0EFE">
        <w:rPr>
          <w:rFonts w:eastAsia="Times New Roman" w:cs="Arial"/>
          <w:color w:val="000000"/>
          <w:lang w:eastAsia="bg-BG"/>
        </w:rPr>
        <w:t>обикновено в комбинация с аналгетици. Дозите и интервалите между тях варират в зависимост от реакцията на пациента.</w:t>
      </w:r>
    </w:p>
    <w:p w14:paraId="12EB54CD" w14:textId="77777777" w:rsidR="003C0EFE" w:rsidRPr="003C0EFE" w:rsidRDefault="003C0EFE" w:rsidP="003C0EFE">
      <w:pPr>
        <w:spacing w:line="240" w:lineRule="auto"/>
        <w:rPr>
          <w:rFonts w:eastAsia="Times New Roman" w:cs="Arial"/>
          <w:color w:val="000000"/>
          <w:lang w:eastAsia="bg-BG"/>
        </w:rPr>
      </w:pPr>
    </w:p>
    <w:p w14:paraId="04BF0A7B" w14:textId="77C31AE2" w:rsidR="003C0EFE" w:rsidRPr="003C0EFE" w:rsidRDefault="003C0EFE" w:rsidP="003C0EFE">
      <w:pPr>
        <w:spacing w:line="240" w:lineRule="auto"/>
        <w:rPr>
          <w:rFonts w:eastAsia="Times New Roman" w:cs="Arial"/>
        </w:rPr>
      </w:pPr>
      <w:r w:rsidRPr="003C0EFE">
        <w:rPr>
          <w:rFonts w:eastAsia="Times New Roman" w:cs="Arial"/>
          <w:color w:val="000000"/>
          <w:lang w:eastAsia="bg-BG"/>
        </w:rPr>
        <w:t>При възрастни пациенти над 60 - годишна възраст, пациенти в лошо физическо състояние или хронично болни пациенти ще са необходими по-ниски поддържащи дози.</w:t>
      </w:r>
    </w:p>
    <w:p w14:paraId="3395E16D" w14:textId="77777777" w:rsidR="003C0EFE" w:rsidRPr="003C0EFE" w:rsidRDefault="003C0EFE" w:rsidP="003C0EFE">
      <w:pPr>
        <w:spacing w:line="240" w:lineRule="auto"/>
        <w:rPr>
          <w:rFonts w:eastAsia="Times New Roman" w:cs="Arial"/>
          <w:color w:val="000000"/>
          <w:lang w:eastAsia="bg-BG"/>
        </w:rPr>
      </w:pPr>
    </w:p>
    <w:p w14:paraId="3001BD7E" w14:textId="69210A52" w:rsidR="003C0EFE" w:rsidRPr="003C0EFE" w:rsidRDefault="003C0EFE" w:rsidP="003C0EFE">
      <w:pPr>
        <w:spacing w:line="240" w:lineRule="auto"/>
        <w:rPr>
          <w:rFonts w:eastAsia="Times New Roman" w:cs="Arial"/>
        </w:rPr>
      </w:pPr>
      <w:r w:rsidRPr="003C0EFE">
        <w:rPr>
          <w:rFonts w:eastAsia="Times New Roman" w:cs="Arial"/>
          <w:color w:val="000000"/>
          <w:lang w:eastAsia="bg-BG"/>
        </w:rPr>
        <w:t>СЕДИРАНЕ В ИНТЕНЗИВНИТЕ ОТДЕЛЕНИЯ</w:t>
      </w:r>
    </w:p>
    <w:p w14:paraId="517F0AB8" w14:textId="77777777" w:rsidR="003C0EFE" w:rsidRPr="003C0EFE" w:rsidRDefault="003C0EFE" w:rsidP="003C0EFE">
      <w:pPr>
        <w:spacing w:line="240" w:lineRule="auto"/>
        <w:rPr>
          <w:rFonts w:eastAsia="Times New Roman" w:cs="Arial"/>
          <w:color w:val="000000"/>
          <w:lang w:eastAsia="bg-BG"/>
        </w:rPr>
      </w:pPr>
    </w:p>
    <w:p w14:paraId="4DCF5613" w14:textId="17F5F32F" w:rsidR="003C0EFE" w:rsidRPr="003C0EFE" w:rsidRDefault="003C0EFE" w:rsidP="003C0EFE">
      <w:pPr>
        <w:spacing w:line="240" w:lineRule="auto"/>
        <w:rPr>
          <w:rFonts w:eastAsia="Times New Roman" w:cs="Arial"/>
        </w:rPr>
      </w:pPr>
      <w:r w:rsidRPr="003C0EFE">
        <w:rPr>
          <w:rFonts w:eastAsia="Times New Roman" w:cs="Arial"/>
          <w:color w:val="000000"/>
          <w:lang w:eastAsia="bg-BG"/>
        </w:rPr>
        <w:t>Необходимото ниво на седиране се постига чрез стъпаловидно титриране на мидазолам, последвано от непрекъсната инфузия или от приложение на периодични болус дози - в зависимост от клиничните нужди, физическия статус на пациента, възраст и съпътстващо лечение (вж. точка 4.5).</w:t>
      </w:r>
    </w:p>
    <w:p w14:paraId="37D68C0A" w14:textId="77777777" w:rsidR="003C0EFE" w:rsidRPr="003C0EFE" w:rsidRDefault="003C0EFE" w:rsidP="003C0EFE">
      <w:pPr>
        <w:spacing w:line="240" w:lineRule="auto"/>
        <w:rPr>
          <w:rFonts w:eastAsia="Times New Roman" w:cs="Arial"/>
          <w:color w:val="000000"/>
          <w:u w:val="single"/>
          <w:lang w:eastAsia="bg-BG"/>
        </w:rPr>
      </w:pPr>
    </w:p>
    <w:p w14:paraId="262605CC" w14:textId="11CB1AF9" w:rsidR="003C0EFE" w:rsidRPr="003C0EFE" w:rsidRDefault="003C0EFE" w:rsidP="003C0EFE">
      <w:pPr>
        <w:spacing w:line="240" w:lineRule="auto"/>
        <w:rPr>
          <w:rFonts w:eastAsia="Times New Roman" w:cs="Arial"/>
        </w:rPr>
      </w:pPr>
      <w:r w:rsidRPr="003C0EFE">
        <w:rPr>
          <w:rFonts w:eastAsia="Times New Roman" w:cs="Arial"/>
          <w:color w:val="000000"/>
          <w:u w:val="single"/>
          <w:lang w:eastAsia="bg-BG"/>
        </w:rPr>
        <w:t>Възрастни</w:t>
      </w:r>
    </w:p>
    <w:p w14:paraId="3DBD9E46" w14:textId="77777777" w:rsidR="003C0EFE" w:rsidRPr="003C0EFE" w:rsidRDefault="003C0EFE" w:rsidP="003C0EFE">
      <w:pPr>
        <w:rPr>
          <w:rFonts w:eastAsia="Times New Roman" w:cs="Arial"/>
          <w:i/>
          <w:iCs/>
          <w:color w:val="000000"/>
          <w:lang w:eastAsia="bg-BG"/>
        </w:rPr>
      </w:pPr>
    </w:p>
    <w:p w14:paraId="0EB4A6C0" w14:textId="2E6DAD16" w:rsidR="003C0EFE" w:rsidRPr="003C0EFE" w:rsidRDefault="003C0EFE" w:rsidP="003C0EFE">
      <w:pPr>
        <w:rPr>
          <w:rFonts w:eastAsia="Times New Roman" w:cs="Arial"/>
          <w:color w:val="000000"/>
          <w:lang w:eastAsia="bg-BG"/>
        </w:rPr>
      </w:pPr>
      <w:r w:rsidRPr="003C0EFE">
        <w:rPr>
          <w:rFonts w:eastAsia="Times New Roman" w:cs="Arial"/>
          <w:i/>
          <w:iCs/>
          <w:color w:val="000000"/>
          <w:lang w:eastAsia="bg-BG"/>
        </w:rPr>
        <w:t>Интравенозна натоварваща доза:</w:t>
      </w:r>
      <w:r w:rsidRPr="003C0EFE">
        <w:rPr>
          <w:rFonts w:eastAsia="Times New Roman" w:cs="Arial"/>
          <w:color w:val="000000"/>
          <w:lang w:eastAsia="bg-BG"/>
        </w:rPr>
        <w:t xml:space="preserve"> 0,03 - 0,3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kg</w:t>
      </w:r>
      <w:r w:rsidRPr="003C0EFE">
        <w:rPr>
          <w:rFonts w:eastAsia="Times New Roman" w:cs="Arial"/>
          <w:color w:val="000000"/>
          <w:lang w:val="ru-RU"/>
        </w:rPr>
        <w:t xml:space="preserve"> </w:t>
      </w:r>
      <w:r w:rsidRPr="003C0EFE">
        <w:rPr>
          <w:rFonts w:eastAsia="Times New Roman" w:cs="Arial"/>
          <w:color w:val="000000"/>
          <w:lang w:eastAsia="bg-BG"/>
        </w:rPr>
        <w:t xml:space="preserve">се прилагат бавно с постепенно повишаване. Всяко повишаване от 1 до 2,5 </w:t>
      </w:r>
      <w:r w:rsidRPr="003C0EFE">
        <w:rPr>
          <w:rFonts w:eastAsia="Times New Roman" w:cs="Arial"/>
          <w:color w:val="000000"/>
          <w:lang w:val="en-US"/>
        </w:rPr>
        <w:t>mg</w:t>
      </w:r>
      <w:r w:rsidRPr="003C0EFE">
        <w:rPr>
          <w:rFonts w:eastAsia="Times New Roman" w:cs="Arial"/>
          <w:color w:val="000000"/>
          <w:lang w:val="ru-RU"/>
        </w:rPr>
        <w:t xml:space="preserve"> </w:t>
      </w:r>
      <w:r w:rsidRPr="003C0EFE">
        <w:rPr>
          <w:rFonts w:eastAsia="Times New Roman" w:cs="Arial"/>
          <w:color w:val="000000"/>
          <w:lang w:eastAsia="bg-BG"/>
        </w:rPr>
        <w:t>трябва да се инжектира в продължение на 20- 30 секунди, като между две повишавания се прави пауза от около 2 минути. При пациенти хиповолемия, вазоконстрикция или хипотермия натоварващата доза трябва да се намали или да се пропусне.</w:t>
      </w:r>
    </w:p>
    <w:p w14:paraId="4095EDAC" w14:textId="52CBC0AA" w:rsidR="003C0EFE" w:rsidRPr="003C0EFE" w:rsidRDefault="003C0EFE" w:rsidP="003C0EFE">
      <w:pPr>
        <w:rPr>
          <w:rFonts w:eastAsia="Times New Roman" w:cs="Arial"/>
          <w:color w:val="000000"/>
          <w:lang w:eastAsia="bg-BG"/>
        </w:rPr>
      </w:pPr>
    </w:p>
    <w:p w14:paraId="77EC85E8"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Когато мидазолам се прилага в комбинация с мощни аналгетици, аналгетикът трябва да се приложи пръв, така че седативните ефекти на мидазолам да могат безопасно да се титрират на фона на предизвиканата от аналгетика седация.</w:t>
      </w:r>
    </w:p>
    <w:p w14:paraId="6B6C5AB0" w14:textId="77777777" w:rsidR="003C0EFE" w:rsidRPr="003C0EFE" w:rsidRDefault="003C0EFE" w:rsidP="003C0EFE">
      <w:pPr>
        <w:spacing w:line="240" w:lineRule="auto"/>
        <w:rPr>
          <w:rFonts w:eastAsia="Times New Roman" w:cs="Arial"/>
          <w:i/>
          <w:iCs/>
          <w:color w:val="000000"/>
          <w:lang w:eastAsia="bg-BG"/>
        </w:rPr>
      </w:pPr>
    </w:p>
    <w:p w14:paraId="47DA16E8" w14:textId="745E944E" w:rsidR="003C0EFE" w:rsidRPr="003C0EFE" w:rsidRDefault="003C0EFE" w:rsidP="003C0EFE">
      <w:pPr>
        <w:spacing w:line="240" w:lineRule="auto"/>
        <w:rPr>
          <w:rFonts w:eastAsia="Times New Roman" w:cs="Arial"/>
        </w:rPr>
      </w:pPr>
      <w:r w:rsidRPr="003C0EFE">
        <w:rPr>
          <w:rFonts w:eastAsia="Times New Roman" w:cs="Arial"/>
          <w:i/>
          <w:iCs/>
          <w:color w:val="000000"/>
          <w:lang w:eastAsia="bg-BG"/>
        </w:rPr>
        <w:t>Интравенозна поддържаща доза:</w:t>
      </w:r>
      <w:r w:rsidRPr="003C0EFE">
        <w:rPr>
          <w:rFonts w:eastAsia="Times New Roman" w:cs="Arial"/>
          <w:color w:val="000000"/>
          <w:lang w:eastAsia="bg-BG"/>
        </w:rPr>
        <w:t xml:space="preserve"> Варира от 0,03 до 0,2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kg</w:t>
      </w:r>
      <w:r w:rsidRPr="003C0EFE">
        <w:rPr>
          <w:rFonts w:eastAsia="Times New Roman" w:cs="Arial"/>
          <w:color w:val="000000"/>
          <w:lang w:val="ru-RU"/>
        </w:rPr>
        <w:t>/</w:t>
      </w:r>
      <w:r w:rsidRPr="003C0EFE">
        <w:rPr>
          <w:rFonts w:eastAsia="Times New Roman" w:cs="Arial"/>
          <w:color w:val="000000"/>
          <w:lang w:val="en-US"/>
        </w:rPr>
        <w:t>h</w:t>
      </w:r>
      <w:r w:rsidRPr="003C0EFE">
        <w:rPr>
          <w:rFonts w:eastAsia="Times New Roman" w:cs="Arial"/>
          <w:color w:val="000000"/>
          <w:lang w:val="ru-RU"/>
        </w:rPr>
        <w:t xml:space="preserve">. </w:t>
      </w:r>
      <w:r w:rsidRPr="003C0EFE">
        <w:rPr>
          <w:rFonts w:eastAsia="Times New Roman" w:cs="Arial"/>
          <w:color w:val="000000"/>
          <w:lang w:eastAsia="bg-BG"/>
        </w:rPr>
        <w:t>При пациенти с хиповолемия, вазоконстрикция или хипотермия дозата трябва да се намали. Предизвиканото ниво на седиране трябва да се отчита периодично. При продължително седиране може да се развие поносимост към мидазолам и да се наложи дозата да се увеличи.</w:t>
      </w:r>
    </w:p>
    <w:p w14:paraId="481CFAC3" w14:textId="77777777" w:rsidR="003C0EFE" w:rsidRPr="003C0EFE" w:rsidRDefault="003C0EFE" w:rsidP="003C0EFE">
      <w:pPr>
        <w:spacing w:line="240" w:lineRule="auto"/>
        <w:rPr>
          <w:rFonts w:eastAsia="Times New Roman" w:cs="Arial"/>
          <w:color w:val="000000"/>
          <w:u w:val="single"/>
          <w:lang w:eastAsia="bg-BG"/>
        </w:rPr>
      </w:pPr>
    </w:p>
    <w:p w14:paraId="14ADA56A" w14:textId="36DFF093" w:rsidR="003C0EFE" w:rsidRPr="003C0EFE" w:rsidRDefault="003C0EFE" w:rsidP="003C0EFE">
      <w:pPr>
        <w:spacing w:line="240" w:lineRule="auto"/>
        <w:rPr>
          <w:rFonts w:eastAsia="Times New Roman" w:cs="Arial"/>
        </w:rPr>
      </w:pPr>
      <w:r w:rsidRPr="003C0EFE">
        <w:rPr>
          <w:rFonts w:eastAsia="Times New Roman" w:cs="Arial"/>
          <w:color w:val="000000"/>
          <w:u w:val="single"/>
          <w:lang w:eastAsia="bg-BG"/>
        </w:rPr>
        <w:t>Педиатрична употреба</w:t>
      </w:r>
    </w:p>
    <w:p w14:paraId="431FC55B" w14:textId="77777777" w:rsidR="003C0EFE" w:rsidRPr="003C0EFE" w:rsidRDefault="003C0EFE" w:rsidP="003C0EFE">
      <w:pPr>
        <w:spacing w:line="240" w:lineRule="auto"/>
        <w:rPr>
          <w:rFonts w:eastAsia="Times New Roman" w:cs="Arial"/>
          <w:i/>
          <w:iCs/>
          <w:color w:val="000000"/>
          <w:lang w:eastAsia="bg-BG"/>
        </w:rPr>
      </w:pPr>
    </w:p>
    <w:p w14:paraId="64AF92E5" w14:textId="1ACCEFFF" w:rsidR="003C0EFE" w:rsidRPr="003C0EFE" w:rsidRDefault="003C0EFE" w:rsidP="003C0EFE">
      <w:pPr>
        <w:spacing w:line="240" w:lineRule="auto"/>
        <w:rPr>
          <w:rFonts w:eastAsia="Times New Roman" w:cs="Arial"/>
        </w:rPr>
      </w:pPr>
      <w:r w:rsidRPr="003C0EFE">
        <w:rPr>
          <w:rFonts w:eastAsia="Times New Roman" w:cs="Arial"/>
          <w:i/>
          <w:iCs/>
          <w:color w:val="000000"/>
          <w:lang w:eastAsia="bg-BG"/>
        </w:rPr>
        <w:t>Новородени и деца до 6-месечна възраст</w:t>
      </w:r>
    </w:p>
    <w:p w14:paraId="3EA34EA8"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 xml:space="preserve">Мидазолам трябва да се прилага като непрекъсната интравенозна инфузия, като се започне с 0,03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kg</w:t>
      </w:r>
      <w:r w:rsidRPr="003C0EFE">
        <w:rPr>
          <w:rFonts w:eastAsia="Times New Roman" w:cs="Arial"/>
          <w:color w:val="000000"/>
          <w:lang w:val="ru-RU"/>
        </w:rPr>
        <w:t xml:space="preserve"> </w:t>
      </w:r>
      <w:r w:rsidRPr="003C0EFE">
        <w:rPr>
          <w:rFonts w:eastAsia="Times New Roman" w:cs="Arial"/>
          <w:color w:val="000000"/>
          <w:lang w:eastAsia="bg-BG"/>
        </w:rPr>
        <w:t>(0,5 μ</w:t>
      </w:r>
      <w:r w:rsidRPr="003C0EFE">
        <w:rPr>
          <w:rFonts w:eastAsia="Times New Roman" w:cs="Arial"/>
          <w:color w:val="000000"/>
          <w:lang w:val="en-US"/>
        </w:rPr>
        <w:t>g</w:t>
      </w:r>
      <w:r w:rsidRPr="003C0EFE">
        <w:rPr>
          <w:rFonts w:eastAsia="Times New Roman" w:cs="Arial"/>
          <w:color w:val="000000"/>
          <w:lang w:val="ru-RU"/>
        </w:rPr>
        <w:t>/</w:t>
      </w:r>
      <w:r w:rsidRPr="003C0EFE">
        <w:rPr>
          <w:rFonts w:eastAsia="Times New Roman" w:cs="Arial"/>
          <w:color w:val="000000"/>
          <w:lang w:val="en-US"/>
        </w:rPr>
        <w:t>kg</w:t>
      </w:r>
      <w:r w:rsidRPr="003C0EFE">
        <w:rPr>
          <w:rFonts w:eastAsia="Times New Roman" w:cs="Arial"/>
          <w:color w:val="000000"/>
          <w:lang w:val="ru-RU"/>
        </w:rPr>
        <w:t>/</w:t>
      </w:r>
      <w:r w:rsidRPr="003C0EFE">
        <w:rPr>
          <w:rFonts w:eastAsia="Times New Roman" w:cs="Arial"/>
          <w:color w:val="000000"/>
          <w:lang w:val="en-US"/>
        </w:rPr>
        <w:t>min</w:t>
      </w:r>
      <w:r w:rsidRPr="003C0EFE">
        <w:rPr>
          <w:rFonts w:eastAsia="Times New Roman" w:cs="Arial"/>
          <w:color w:val="000000"/>
          <w:lang w:val="ru-RU"/>
        </w:rPr>
        <w:t xml:space="preserve">) </w:t>
      </w:r>
      <w:r w:rsidRPr="003C0EFE">
        <w:rPr>
          <w:rFonts w:eastAsia="Times New Roman" w:cs="Arial"/>
          <w:color w:val="000000"/>
          <w:lang w:eastAsia="bg-BG"/>
        </w:rPr>
        <w:t xml:space="preserve">при новородени в гестациоина възраст &lt;32 седмици или 0,06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kg</w:t>
      </w:r>
      <w:r w:rsidRPr="003C0EFE">
        <w:rPr>
          <w:rFonts w:eastAsia="Times New Roman" w:cs="Arial"/>
          <w:color w:val="000000"/>
          <w:lang w:val="ru-RU"/>
        </w:rPr>
        <w:t xml:space="preserve"> </w:t>
      </w:r>
      <w:r w:rsidRPr="003C0EFE">
        <w:rPr>
          <w:rFonts w:eastAsia="Times New Roman" w:cs="Arial"/>
          <w:color w:val="000000"/>
          <w:lang w:eastAsia="bg-BG"/>
        </w:rPr>
        <w:t>(1 μ</w:t>
      </w:r>
      <w:r w:rsidRPr="003C0EFE">
        <w:rPr>
          <w:rFonts w:eastAsia="Times New Roman" w:cs="Arial"/>
          <w:color w:val="000000"/>
          <w:lang w:val="en-US"/>
        </w:rPr>
        <w:t>g</w:t>
      </w:r>
      <w:r w:rsidRPr="003C0EFE">
        <w:rPr>
          <w:rFonts w:eastAsia="Times New Roman" w:cs="Arial"/>
          <w:color w:val="000000"/>
          <w:lang w:val="ru-RU"/>
        </w:rPr>
        <w:t>/</w:t>
      </w:r>
      <w:r w:rsidRPr="003C0EFE">
        <w:rPr>
          <w:rFonts w:eastAsia="Times New Roman" w:cs="Arial"/>
          <w:color w:val="000000"/>
          <w:lang w:val="en-US"/>
        </w:rPr>
        <w:t>kg</w:t>
      </w:r>
      <w:r w:rsidRPr="003C0EFE">
        <w:rPr>
          <w:rFonts w:eastAsia="Times New Roman" w:cs="Arial"/>
          <w:color w:val="000000"/>
          <w:lang w:val="ru-RU"/>
        </w:rPr>
        <w:t>/</w:t>
      </w:r>
      <w:r w:rsidRPr="003C0EFE">
        <w:rPr>
          <w:rFonts w:eastAsia="Times New Roman" w:cs="Arial"/>
          <w:color w:val="000000"/>
          <w:lang w:val="en-US"/>
        </w:rPr>
        <w:t>min</w:t>
      </w:r>
      <w:r w:rsidRPr="003C0EFE">
        <w:rPr>
          <w:rFonts w:eastAsia="Times New Roman" w:cs="Arial"/>
          <w:color w:val="000000"/>
          <w:lang w:val="ru-RU"/>
        </w:rPr>
        <w:t xml:space="preserve">) </w:t>
      </w:r>
      <w:r w:rsidRPr="003C0EFE">
        <w:rPr>
          <w:rFonts w:eastAsia="Times New Roman" w:cs="Arial"/>
          <w:color w:val="000000"/>
          <w:lang w:eastAsia="bg-BG"/>
        </w:rPr>
        <w:t>при новородени в гестациоина възраст &gt; 32 седмици и деца до 6 - месечна възраст.</w:t>
      </w:r>
    </w:p>
    <w:p w14:paraId="428FA111" w14:textId="77777777" w:rsidR="003C0EFE" w:rsidRPr="003C0EFE" w:rsidRDefault="003C0EFE" w:rsidP="003C0EFE">
      <w:pPr>
        <w:spacing w:line="240" w:lineRule="auto"/>
        <w:rPr>
          <w:rFonts w:eastAsia="Times New Roman" w:cs="Arial"/>
          <w:color w:val="000000"/>
          <w:lang w:eastAsia="bg-BG"/>
        </w:rPr>
      </w:pPr>
    </w:p>
    <w:p w14:paraId="1A0D595A" w14:textId="5346148F" w:rsidR="003C0EFE" w:rsidRPr="003C0EFE" w:rsidRDefault="003C0EFE" w:rsidP="003C0EFE">
      <w:pPr>
        <w:spacing w:line="240" w:lineRule="auto"/>
        <w:rPr>
          <w:rFonts w:eastAsia="Times New Roman" w:cs="Arial"/>
        </w:rPr>
      </w:pPr>
      <w:r w:rsidRPr="003C0EFE">
        <w:rPr>
          <w:rFonts w:eastAsia="Times New Roman" w:cs="Arial"/>
          <w:color w:val="000000"/>
          <w:lang w:eastAsia="bg-BG"/>
        </w:rPr>
        <w:t>Не се препоръчват интравенозни натоварващи дози при недоносени кърмачета, новородени и деца до 6 - месечна възраст. По-скоро инфузията може да се пусне да тече по-бързо през първите няколко часа, за да се установят терапевтични плазмени нива. Трябва внимателно и често да се прави преоценка на скоростта на инфузията, особено след първите 24 часа, така че да се прилага възможно най - ниската ефективна доза и да се намали възможността за кумулиране на лекарството.</w:t>
      </w:r>
    </w:p>
    <w:p w14:paraId="7590E8F6" w14:textId="77777777" w:rsidR="003C0EFE" w:rsidRPr="003C0EFE" w:rsidRDefault="003C0EFE" w:rsidP="003C0EFE">
      <w:pPr>
        <w:spacing w:line="240" w:lineRule="auto"/>
        <w:rPr>
          <w:rFonts w:eastAsia="Times New Roman" w:cs="Arial"/>
          <w:color w:val="000000"/>
          <w:lang w:eastAsia="bg-BG"/>
        </w:rPr>
      </w:pPr>
    </w:p>
    <w:p w14:paraId="0D298EC4" w14:textId="173C0B79" w:rsidR="003C0EFE" w:rsidRPr="003C0EFE" w:rsidRDefault="003C0EFE" w:rsidP="003C0EFE">
      <w:pPr>
        <w:spacing w:line="240" w:lineRule="auto"/>
        <w:rPr>
          <w:rFonts w:eastAsia="Times New Roman" w:cs="Arial"/>
        </w:rPr>
      </w:pPr>
      <w:r w:rsidRPr="003C0EFE">
        <w:rPr>
          <w:rFonts w:eastAsia="Times New Roman" w:cs="Arial"/>
          <w:color w:val="000000"/>
          <w:lang w:eastAsia="bg-BG"/>
        </w:rPr>
        <w:t>Необходимо е внимателно наблюдение на честотата на дишане и кислородната сатурацйя.</w:t>
      </w:r>
    </w:p>
    <w:p w14:paraId="0442F19F" w14:textId="77777777" w:rsidR="003C0EFE" w:rsidRPr="003C0EFE" w:rsidRDefault="003C0EFE" w:rsidP="003C0EFE">
      <w:pPr>
        <w:spacing w:line="240" w:lineRule="auto"/>
        <w:rPr>
          <w:rFonts w:eastAsia="Times New Roman" w:cs="Arial"/>
          <w:i/>
          <w:iCs/>
          <w:color w:val="000000"/>
          <w:lang w:eastAsia="bg-BG"/>
        </w:rPr>
      </w:pPr>
    </w:p>
    <w:p w14:paraId="0E56AA1B" w14:textId="34E304FB" w:rsidR="003C0EFE" w:rsidRPr="003C0EFE" w:rsidRDefault="003C0EFE" w:rsidP="003C0EFE">
      <w:pPr>
        <w:spacing w:line="240" w:lineRule="auto"/>
        <w:rPr>
          <w:rFonts w:eastAsia="Times New Roman" w:cs="Arial"/>
        </w:rPr>
      </w:pPr>
      <w:r w:rsidRPr="003C0EFE">
        <w:rPr>
          <w:rFonts w:eastAsia="Times New Roman" w:cs="Arial"/>
          <w:i/>
          <w:iCs/>
          <w:color w:val="000000"/>
          <w:lang w:eastAsia="bg-BG"/>
        </w:rPr>
        <w:t>Деца над 6-месечна възраст</w:t>
      </w:r>
    </w:p>
    <w:p w14:paraId="2DC88A6D"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 xml:space="preserve">При интубирани и вентилирани педиатрични пациенти натоварваща доза от 0,05 - 0,2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kg</w:t>
      </w:r>
      <w:r w:rsidRPr="003C0EFE">
        <w:rPr>
          <w:rFonts w:eastAsia="Times New Roman" w:cs="Arial"/>
          <w:color w:val="000000"/>
          <w:lang w:val="ru-RU"/>
        </w:rPr>
        <w:t xml:space="preserve">, </w:t>
      </w:r>
      <w:r w:rsidRPr="003C0EFE">
        <w:rPr>
          <w:rFonts w:eastAsia="Times New Roman" w:cs="Arial"/>
          <w:color w:val="000000"/>
          <w:lang w:eastAsia="bg-BG"/>
        </w:rPr>
        <w:t xml:space="preserve">приложена интравенозно, трябва да се прилага бавно в продължение на 2-3 минути до установяване на желания ефект. Мидазолам не трябва да се прилага като бърза интравенозна доза. Натоварващата доза трябва да бъде последвана от непрекъсната инфузия на 0,06 - 0,12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kg</w:t>
      </w:r>
      <w:r w:rsidRPr="003C0EFE">
        <w:rPr>
          <w:rFonts w:eastAsia="Times New Roman" w:cs="Arial"/>
          <w:color w:val="000000"/>
          <w:lang w:val="ru-RU"/>
        </w:rPr>
        <w:t>/</w:t>
      </w:r>
      <w:r w:rsidRPr="003C0EFE">
        <w:rPr>
          <w:rFonts w:eastAsia="Times New Roman" w:cs="Arial"/>
          <w:color w:val="000000"/>
          <w:lang w:val="en-US"/>
        </w:rPr>
        <w:t>h</w:t>
      </w:r>
      <w:r w:rsidRPr="003C0EFE">
        <w:rPr>
          <w:rFonts w:eastAsia="Times New Roman" w:cs="Arial"/>
          <w:color w:val="000000"/>
          <w:lang w:val="ru-RU"/>
        </w:rPr>
        <w:t xml:space="preserve"> </w:t>
      </w:r>
      <w:r w:rsidRPr="003C0EFE">
        <w:rPr>
          <w:rFonts w:eastAsia="Times New Roman" w:cs="Arial"/>
          <w:color w:val="000000"/>
          <w:lang w:eastAsia="bg-BG"/>
        </w:rPr>
        <w:t>(1 до 2 μ</w:t>
      </w:r>
      <w:r w:rsidRPr="003C0EFE">
        <w:rPr>
          <w:rFonts w:eastAsia="Times New Roman" w:cs="Arial"/>
          <w:color w:val="000000"/>
          <w:lang w:val="en-US"/>
        </w:rPr>
        <w:t>g</w:t>
      </w:r>
      <w:r w:rsidRPr="003C0EFE">
        <w:rPr>
          <w:rFonts w:eastAsia="Times New Roman" w:cs="Arial"/>
          <w:color w:val="000000"/>
          <w:lang w:val="ru-RU"/>
        </w:rPr>
        <w:t>/</w:t>
      </w:r>
      <w:r w:rsidRPr="003C0EFE">
        <w:rPr>
          <w:rFonts w:eastAsia="Times New Roman" w:cs="Arial"/>
          <w:color w:val="000000"/>
          <w:lang w:val="en-US"/>
        </w:rPr>
        <w:t>kg</w:t>
      </w:r>
      <w:r w:rsidRPr="003C0EFE">
        <w:rPr>
          <w:rFonts w:eastAsia="Times New Roman" w:cs="Arial"/>
          <w:color w:val="000000"/>
          <w:lang w:val="ru-RU"/>
        </w:rPr>
        <w:t>/</w:t>
      </w:r>
      <w:r w:rsidRPr="003C0EFE">
        <w:rPr>
          <w:rFonts w:eastAsia="Times New Roman" w:cs="Arial"/>
          <w:color w:val="000000"/>
          <w:lang w:val="en-US"/>
        </w:rPr>
        <w:t>min</w:t>
      </w:r>
      <w:r w:rsidRPr="003C0EFE">
        <w:rPr>
          <w:rFonts w:eastAsia="Times New Roman" w:cs="Arial"/>
          <w:color w:val="000000"/>
          <w:lang w:val="ru-RU"/>
        </w:rPr>
        <w:t xml:space="preserve">). </w:t>
      </w:r>
      <w:r w:rsidRPr="003C0EFE">
        <w:rPr>
          <w:rFonts w:eastAsia="Times New Roman" w:cs="Arial"/>
          <w:color w:val="000000"/>
          <w:lang w:eastAsia="bg-BG"/>
        </w:rPr>
        <w:t>Скоростта на инфузията може да бъде намалена или увеличена (обикновено с 25 % от първоначалната или следващата инфузионна скорост) според необходимостта, или да бъдат приложени допълнителни интравенозни дози мидазолам, за да се засили или поддържа желания ефект.</w:t>
      </w:r>
    </w:p>
    <w:p w14:paraId="2690E96D" w14:textId="77777777" w:rsidR="003C0EFE" w:rsidRPr="003C0EFE" w:rsidRDefault="003C0EFE" w:rsidP="003C0EFE">
      <w:pPr>
        <w:spacing w:line="240" w:lineRule="auto"/>
        <w:rPr>
          <w:rFonts w:eastAsia="Times New Roman" w:cs="Arial"/>
          <w:color w:val="000000"/>
          <w:lang w:eastAsia="bg-BG"/>
        </w:rPr>
      </w:pPr>
    </w:p>
    <w:p w14:paraId="01734F6B" w14:textId="1B22F154" w:rsidR="003C0EFE" w:rsidRPr="003C0EFE" w:rsidRDefault="003C0EFE" w:rsidP="003C0EFE">
      <w:pPr>
        <w:spacing w:line="240" w:lineRule="auto"/>
        <w:rPr>
          <w:rFonts w:eastAsia="Times New Roman" w:cs="Arial"/>
        </w:rPr>
      </w:pPr>
      <w:r w:rsidRPr="003C0EFE">
        <w:rPr>
          <w:rFonts w:eastAsia="Times New Roman" w:cs="Arial"/>
          <w:color w:val="000000"/>
          <w:lang w:eastAsia="bg-BG"/>
        </w:rPr>
        <w:t xml:space="preserve">При започване на инфузия на пациенти с нарушена хемодинамика, обичайната натоварваща доза трябва да се титрира с малки повишавания, като пациентът непрекъснато трябва се следи за промяна в хемодинамичните показатели и по-специално хипотония. Тези пациентите също така са податливи на потискащия ефект на мидазолам </w:t>
      </w:r>
      <w:r w:rsidRPr="003C0EFE">
        <w:rPr>
          <w:rFonts w:eastAsia="Times New Roman" w:cs="Arial"/>
          <w:color w:val="000000"/>
          <w:lang w:eastAsia="bg-BG"/>
        </w:rPr>
        <w:lastRenderedPageBreak/>
        <w:t>върху дишането, поради което изискват внимателно мониториране на дихателната честота и кислородната сатурация.</w:t>
      </w:r>
    </w:p>
    <w:p w14:paraId="6172A168" w14:textId="77777777" w:rsidR="003C0EFE" w:rsidRPr="003C0EFE" w:rsidRDefault="003C0EFE" w:rsidP="003C0EFE">
      <w:pPr>
        <w:spacing w:line="240" w:lineRule="auto"/>
        <w:rPr>
          <w:rFonts w:eastAsia="Times New Roman" w:cs="Arial"/>
          <w:color w:val="000000"/>
          <w:lang w:eastAsia="bg-BG"/>
        </w:rPr>
      </w:pPr>
    </w:p>
    <w:p w14:paraId="3FBA6ADA" w14:textId="2057C022" w:rsidR="003C0EFE" w:rsidRPr="003C0EFE" w:rsidRDefault="003C0EFE" w:rsidP="003C0EFE">
      <w:pPr>
        <w:spacing w:line="240" w:lineRule="auto"/>
        <w:rPr>
          <w:rFonts w:eastAsia="Times New Roman" w:cs="Arial"/>
        </w:rPr>
      </w:pPr>
      <w:r w:rsidRPr="003C0EFE">
        <w:rPr>
          <w:rFonts w:eastAsia="Times New Roman" w:cs="Arial"/>
          <w:color w:val="000000"/>
          <w:lang w:eastAsia="bg-BG"/>
        </w:rPr>
        <w:t xml:space="preserve">При недоносени кърмачета, новородени и деца с телесно тегло под 15 </w:t>
      </w:r>
      <w:r w:rsidRPr="003C0EFE">
        <w:rPr>
          <w:rFonts w:eastAsia="Times New Roman" w:cs="Arial"/>
          <w:color w:val="000000"/>
          <w:lang w:val="en-US"/>
        </w:rPr>
        <w:t>kg</w:t>
      </w:r>
      <w:r w:rsidRPr="003C0EFE">
        <w:rPr>
          <w:rFonts w:eastAsia="Times New Roman" w:cs="Arial"/>
          <w:color w:val="000000"/>
          <w:lang w:val="ru-RU"/>
        </w:rPr>
        <w:t xml:space="preserve"> </w:t>
      </w:r>
      <w:r w:rsidRPr="003C0EFE">
        <w:rPr>
          <w:rFonts w:eastAsia="Times New Roman" w:cs="Arial"/>
          <w:color w:val="000000"/>
          <w:lang w:eastAsia="bg-BG"/>
        </w:rPr>
        <w:t xml:space="preserve">не се препоръчват разтвори на мидазолам с концентрация над 1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ml</w:t>
      </w:r>
      <w:r w:rsidRPr="003C0EFE">
        <w:rPr>
          <w:rFonts w:eastAsia="Times New Roman" w:cs="Arial"/>
          <w:color w:val="000000"/>
          <w:lang w:val="ru-RU"/>
        </w:rPr>
        <w:t xml:space="preserve">. </w:t>
      </w:r>
      <w:r w:rsidRPr="003C0EFE">
        <w:rPr>
          <w:rFonts w:eastAsia="Times New Roman" w:cs="Arial"/>
          <w:color w:val="000000"/>
          <w:lang w:eastAsia="bg-BG"/>
        </w:rPr>
        <w:t xml:space="preserve">По-високите концентрации трябва да се разредят до 1 </w:t>
      </w:r>
      <w:r w:rsidRPr="003C0EFE">
        <w:rPr>
          <w:rFonts w:eastAsia="Times New Roman" w:cs="Arial"/>
          <w:color w:val="000000"/>
          <w:lang w:val="en-US"/>
        </w:rPr>
        <w:t>mg</w:t>
      </w:r>
      <w:r w:rsidRPr="003C0EFE">
        <w:rPr>
          <w:rFonts w:eastAsia="Times New Roman" w:cs="Arial"/>
          <w:color w:val="000000"/>
          <w:lang w:val="ru-RU"/>
        </w:rPr>
        <w:t>/</w:t>
      </w:r>
      <w:r w:rsidRPr="003C0EFE">
        <w:rPr>
          <w:rFonts w:eastAsia="Times New Roman" w:cs="Arial"/>
          <w:color w:val="000000"/>
          <w:lang w:val="en-US"/>
        </w:rPr>
        <w:t>ml</w:t>
      </w:r>
      <w:r w:rsidRPr="003C0EFE">
        <w:rPr>
          <w:rFonts w:eastAsia="Times New Roman" w:cs="Arial"/>
          <w:color w:val="000000"/>
          <w:lang w:val="ru-RU"/>
        </w:rPr>
        <w:t>.</w:t>
      </w:r>
    </w:p>
    <w:p w14:paraId="7062FAD6" w14:textId="77777777" w:rsidR="003C0EFE" w:rsidRPr="003C0EFE" w:rsidRDefault="003C0EFE" w:rsidP="003C0EFE">
      <w:pPr>
        <w:spacing w:line="240" w:lineRule="auto"/>
        <w:rPr>
          <w:rFonts w:eastAsia="Times New Roman" w:cs="Arial"/>
          <w:color w:val="000000"/>
          <w:u w:val="single"/>
          <w:lang w:eastAsia="bg-BG"/>
        </w:rPr>
      </w:pPr>
    </w:p>
    <w:p w14:paraId="6DA202C3" w14:textId="05A6F072" w:rsidR="003C0EFE" w:rsidRPr="003C0EFE" w:rsidRDefault="003C0EFE" w:rsidP="003C0EFE">
      <w:pPr>
        <w:spacing w:line="240" w:lineRule="auto"/>
        <w:rPr>
          <w:rFonts w:eastAsia="Times New Roman" w:cs="Arial"/>
        </w:rPr>
      </w:pPr>
      <w:r w:rsidRPr="003C0EFE">
        <w:rPr>
          <w:rFonts w:eastAsia="Times New Roman" w:cs="Arial"/>
          <w:color w:val="000000"/>
          <w:u w:val="single"/>
          <w:lang w:eastAsia="bg-BG"/>
        </w:rPr>
        <w:t>Употреба при специални популации</w:t>
      </w:r>
    </w:p>
    <w:p w14:paraId="7E8D0D0B" w14:textId="77777777" w:rsidR="003C0EFE" w:rsidRPr="003C0EFE" w:rsidRDefault="003C0EFE" w:rsidP="003C0EFE">
      <w:pPr>
        <w:spacing w:line="240" w:lineRule="auto"/>
        <w:rPr>
          <w:rFonts w:eastAsia="Times New Roman" w:cs="Arial"/>
          <w:i/>
          <w:iCs/>
          <w:color w:val="000000"/>
          <w:lang w:eastAsia="bg-BG"/>
        </w:rPr>
      </w:pPr>
    </w:p>
    <w:p w14:paraId="7B50E8C6" w14:textId="203DD124" w:rsidR="003C0EFE" w:rsidRPr="003C0EFE" w:rsidRDefault="003C0EFE" w:rsidP="003C0EFE">
      <w:pPr>
        <w:spacing w:line="240" w:lineRule="auto"/>
        <w:rPr>
          <w:rFonts w:eastAsia="Times New Roman" w:cs="Arial"/>
        </w:rPr>
      </w:pPr>
      <w:r w:rsidRPr="003C0EFE">
        <w:rPr>
          <w:rFonts w:eastAsia="Times New Roman" w:cs="Arial"/>
          <w:i/>
          <w:iCs/>
          <w:color w:val="000000"/>
          <w:lang w:eastAsia="bg-BG"/>
        </w:rPr>
        <w:t>Бъбречно увреждане</w:t>
      </w:r>
    </w:p>
    <w:p w14:paraId="6DAB2A26" w14:textId="043A5D54" w:rsidR="003C0EFE" w:rsidRPr="003C0EFE" w:rsidRDefault="003C0EFE" w:rsidP="003C0EFE">
      <w:pPr>
        <w:rPr>
          <w:rFonts w:eastAsia="Times New Roman" w:cs="Arial"/>
          <w:color w:val="000000"/>
          <w:lang w:eastAsia="bg-BG"/>
        </w:rPr>
      </w:pPr>
      <w:r w:rsidRPr="003C0EFE">
        <w:rPr>
          <w:rFonts w:eastAsia="Times New Roman" w:cs="Arial"/>
          <w:color w:val="000000"/>
          <w:lang w:eastAsia="bg-BG"/>
        </w:rPr>
        <w:t xml:space="preserve">При пациенти с бъбречно увреждане (креатининов клирънс &lt;10 </w:t>
      </w:r>
      <w:r w:rsidRPr="003C0EFE">
        <w:rPr>
          <w:rFonts w:eastAsia="Times New Roman" w:cs="Arial"/>
          <w:color w:val="000000"/>
          <w:lang w:val="en-US"/>
        </w:rPr>
        <w:t>ml</w:t>
      </w:r>
      <w:r w:rsidRPr="003C0EFE">
        <w:rPr>
          <w:rFonts w:eastAsia="Times New Roman" w:cs="Arial"/>
          <w:color w:val="000000"/>
          <w:lang w:val="ru-RU"/>
        </w:rPr>
        <w:t>/</w:t>
      </w:r>
      <w:r w:rsidRPr="003C0EFE">
        <w:rPr>
          <w:rFonts w:eastAsia="Times New Roman" w:cs="Arial"/>
          <w:color w:val="000000"/>
          <w:lang w:val="en-US"/>
        </w:rPr>
        <w:t>min</w:t>
      </w:r>
      <w:r w:rsidRPr="003C0EFE">
        <w:rPr>
          <w:rFonts w:eastAsia="Times New Roman" w:cs="Arial"/>
          <w:color w:val="000000"/>
          <w:lang w:val="ru-RU"/>
        </w:rPr>
        <w:t xml:space="preserve">) </w:t>
      </w:r>
      <w:r w:rsidRPr="003C0EFE">
        <w:rPr>
          <w:rFonts w:eastAsia="Times New Roman" w:cs="Arial"/>
          <w:color w:val="000000"/>
          <w:lang w:eastAsia="bg-BG"/>
        </w:rPr>
        <w:t>фармакокинетиката на несвързания мидазолам след еднократна интравенозна доза е подобна на тази, съобщавана при здрави доброволци. След продължителна инфузия при пациенти в интензивно отделение, обаче, средната продължителност на седативния ефект при популацията с бъбречна недостатъчност е била значително повишена най - вероятно поради кумулиране на α-</w:t>
      </w:r>
      <w:r w:rsidRPr="003C0EFE">
        <w:rPr>
          <w:rFonts w:eastAsia="Times New Roman" w:cs="Arial"/>
          <w:i/>
          <w:iCs/>
          <w:color w:val="000000"/>
          <w:lang w:eastAsia="bg-BG"/>
        </w:rPr>
        <w:t xml:space="preserve"> </w:t>
      </w:r>
      <w:r w:rsidRPr="003C0EFE">
        <w:rPr>
          <w:rFonts w:eastAsia="Times New Roman" w:cs="Arial"/>
          <w:color w:val="000000"/>
          <w:lang w:eastAsia="bg-BG"/>
        </w:rPr>
        <w:t>хидроксимидазолам глюкуронид.</w:t>
      </w:r>
    </w:p>
    <w:p w14:paraId="4E1B1C95" w14:textId="01245B65" w:rsidR="003C0EFE" w:rsidRPr="003C0EFE" w:rsidRDefault="003C0EFE" w:rsidP="003C0EFE">
      <w:pPr>
        <w:rPr>
          <w:rFonts w:eastAsia="Times New Roman" w:cs="Arial"/>
          <w:color w:val="000000"/>
          <w:lang w:eastAsia="bg-BG"/>
        </w:rPr>
      </w:pPr>
    </w:p>
    <w:p w14:paraId="2A134794"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 xml:space="preserve">Няма специфични данни при пациенти с тежко бъбречно увреждане (креатининов клирънс под 30 </w:t>
      </w:r>
      <w:r w:rsidRPr="003C0EFE">
        <w:rPr>
          <w:rFonts w:eastAsia="Times New Roman" w:cs="Arial"/>
          <w:color w:val="000000"/>
          <w:lang w:val="en-US"/>
        </w:rPr>
        <w:t>ml</w:t>
      </w:r>
      <w:r w:rsidRPr="003C0EFE">
        <w:rPr>
          <w:rFonts w:eastAsia="Times New Roman" w:cs="Arial"/>
          <w:color w:val="000000"/>
          <w:lang w:val="ru-RU"/>
        </w:rPr>
        <w:t>/</w:t>
      </w:r>
      <w:r w:rsidRPr="003C0EFE">
        <w:rPr>
          <w:rFonts w:eastAsia="Times New Roman" w:cs="Arial"/>
          <w:color w:val="000000"/>
          <w:lang w:val="en-US"/>
        </w:rPr>
        <w:t>min</w:t>
      </w:r>
      <w:r w:rsidRPr="003C0EFE">
        <w:rPr>
          <w:rFonts w:eastAsia="Times New Roman" w:cs="Arial"/>
          <w:color w:val="000000"/>
          <w:lang w:val="ru-RU"/>
        </w:rPr>
        <w:t xml:space="preserve">), </w:t>
      </w:r>
      <w:r w:rsidRPr="003C0EFE">
        <w:rPr>
          <w:rFonts w:eastAsia="Times New Roman" w:cs="Arial"/>
          <w:color w:val="000000"/>
          <w:lang w:eastAsia="bg-BG"/>
        </w:rPr>
        <w:t>получавали мидазолам за въвеждане в анестезия.</w:t>
      </w:r>
    </w:p>
    <w:p w14:paraId="5B0FC921" w14:textId="77777777" w:rsidR="003C0EFE" w:rsidRPr="003C0EFE" w:rsidRDefault="003C0EFE" w:rsidP="003C0EFE">
      <w:pPr>
        <w:spacing w:line="240" w:lineRule="auto"/>
        <w:rPr>
          <w:rFonts w:eastAsia="Times New Roman" w:cs="Arial"/>
          <w:i/>
          <w:iCs/>
          <w:color w:val="000000"/>
          <w:lang w:eastAsia="bg-BG"/>
        </w:rPr>
      </w:pPr>
    </w:p>
    <w:p w14:paraId="40ADBBAD" w14:textId="1A982D55" w:rsidR="003C0EFE" w:rsidRPr="003C0EFE" w:rsidRDefault="003C0EFE" w:rsidP="003C0EFE">
      <w:pPr>
        <w:spacing w:line="240" w:lineRule="auto"/>
        <w:rPr>
          <w:rFonts w:eastAsia="Times New Roman" w:cs="Arial"/>
        </w:rPr>
      </w:pPr>
      <w:r w:rsidRPr="003C0EFE">
        <w:rPr>
          <w:rFonts w:eastAsia="Times New Roman" w:cs="Arial"/>
          <w:i/>
          <w:iCs/>
          <w:color w:val="000000"/>
          <w:lang w:eastAsia="bg-BG"/>
        </w:rPr>
        <w:t>Чернодробно увреждане</w:t>
      </w:r>
    </w:p>
    <w:p w14:paraId="6405BD8D"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Чернодробното увреждане намалява клирънса на интравенозно приложения мидазолам с последващи увеличение на терминалния полуживот. Поради това клиничните ефекти могат да бъдат по-изразени и продължителни. Необходимата доза мидазолам може да бъде намалена и трябва да се осигури подходящо проследяване на жизнените признаци (вж. точка 4.4).</w:t>
      </w:r>
    </w:p>
    <w:p w14:paraId="33F396A7" w14:textId="77777777" w:rsidR="003C0EFE" w:rsidRPr="003C0EFE" w:rsidRDefault="003C0EFE" w:rsidP="003C0EFE">
      <w:pPr>
        <w:spacing w:line="240" w:lineRule="auto"/>
        <w:rPr>
          <w:rFonts w:eastAsia="Times New Roman" w:cs="Arial"/>
          <w:i/>
          <w:iCs/>
          <w:color w:val="000000"/>
          <w:lang w:eastAsia="bg-BG"/>
        </w:rPr>
      </w:pPr>
    </w:p>
    <w:p w14:paraId="4B45C508" w14:textId="07A3DA1F" w:rsidR="003C0EFE" w:rsidRPr="003C0EFE" w:rsidRDefault="003C0EFE" w:rsidP="003C0EFE">
      <w:pPr>
        <w:spacing w:line="240" w:lineRule="auto"/>
        <w:rPr>
          <w:rFonts w:eastAsia="Times New Roman" w:cs="Arial"/>
        </w:rPr>
      </w:pPr>
      <w:r w:rsidRPr="003C0EFE">
        <w:rPr>
          <w:rFonts w:eastAsia="Times New Roman" w:cs="Arial"/>
          <w:i/>
          <w:iCs/>
          <w:color w:val="000000"/>
          <w:lang w:eastAsia="bg-BG"/>
        </w:rPr>
        <w:t>Педиатрична популация</w:t>
      </w:r>
    </w:p>
    <w:p w14:paraId="4EA49295"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Вижте по-горе и точка 4.4.</w:t>
      </w:r>
    </w:p>
    <w:p w14:paraId="57AC3724" w14:textId="04CC4A8E" w:rsidR="003C0EFE" w:rsidRPr="003C0EFE" w:rsidRDefault="003C0EFE" w:rsidP="003C0EFE"/>
    <w:p w14:paraId="45A3672A" w14:textId="607F6988" w:rsidR="00426E5F" w:rsidRDefault="002C50EE" w:rsidP="00A65A81">
      <w:pPr>
        <w:pStyle w:val="Heading2"/>
      </w:pPr>
      <w:r>
        <w:t>4.3. Противопоказания</w:t>
      </w:r>
    </w:p>
    <w:p w14:paraId="130061AC" w14:textId="10AFC01B" w:rsidR="003C0EFE" w:rsidRDefault="003C0EFE" w:rsidP="003C0EFE"/>
    <w:p w14:paraId="1B6A9329" w14:textId="77777777" w:rsidR="003C0EFE" w:rsidRPr="003C0EFE" w:rsidRDefault="003C0EFE" w:rsidP="003C0EFE">
      <w:pPr>
        <w:rPr>
          <w:sz w:val="24"/>
          <w:szCs w:val="24"/>
        </w:rPr>
      </w:pPr>
      <w:r w:rsidRPr="003C0EFE">
        <w:rPr>
          <w:lang w:eastAsia="bg-BG"/>
        </w:rPr>
        <w:t>Свръхчувствителност към мидазолам, бензодиазепини или към някое от помощните вещества, изброени в точка 6.1.</w:t>
      </w:r>
    </w:p>
    <w:p w14:paraId="3DA9FBDE" w14:textId="77777777" w:rsidR="003C0EFE" w:rsidRDefault="003C0EFE" w:rsidP="003C0EFE">
      <w:pPr>
        <w:rPr>
          <w:lang w:eastAsia="bg-BG"/>
        </w:rPr>
      </w:pPr>
    </w:p>
    <w:p w14:paraId="629C5506" w14:textId="2276ABCF" w:rsidR="003C0EFE" w:rsidRPr="003C0EFE" w:rsidRDefault="003C0EFE" w:rsidP="003C0EFE">
      <w:pPr>
        <w:rPr>
          <w:sz w:val="24"/>
          <w:szCs w:val="24"/>
        </w:rPr>
      </w:pPr>
      <w:r w:rsidRPr="003C0EFE">
        <w:rPr>
          <w:lang w:eastAsia="bg-BG"/>
        </w:rPr>
        <w:t>Седиране при запазено съзнание при пациенти с остра респираторна недостатъчност или остра депресия на дихателните функции.</w:t>
      </w:r>
    </w:p>
    <w:p w14:paraId="4F55591D" w14:textId="18488235" w:rsidR="003C0EFE" w:rsidRPr="003C0EFE" w:rsidRDefault="003C0EFE" w:rsidP="003C0EFE"/>
    <w:p w14:paraId="13D1C252" w14:textId="3FF39CA2" w:rsidR="00426E5F" w:rsidRDefault="002C50EE" w:rsidP="00A65A81">
      <w:pPr>
        <w:pStyle w:val="Heading2"/>
      </w:pPr>
      <w:r>
        <w:t>4.4. Специални предупреждения и предпазни мерки при употреба</w:t>
      </w:r>
    </w:p>
    <w:p w14:paraId="7FCCD3A8" w14:textId="6FE0C7F1" w:rsidR="003C0EFE" w:rsidRDefault="003C0EFE" w:rsidP="003C0EFE"/>
    <w:p w14:paraId="6C446BA0"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Мидазолам трябва да се прилага само от лекари с опит, при напълно осигурено оборудване за наблюдение и поддържане на дихателната и сърдечносъдовата функция, и от лица, специално обучени за разпознаване и лечение на очакваните нежелани събития, включително дихателна и сърдечна ресусцитация. Докладвани са тежки кардио-респираторни странични реакции. Те включват потискане на дихателната дейност, апнея, респираторен и/или сърдечен арест. По- вероятно е такива животозастрашаващи състояния да възникват когато инжекцията се прилага твърде бързо или когато се прилагат високи дози (вж. точка 4.8).</w:t>
      </w:r>
    </w:p>
    <w:p w14:paraId="17E1BD62" w14:textId="77777777" w:rsidR="003C0EFE" w:rsidRPr="003C0EFE" w:rsidRDefault="003C0EFE" w:rsidP="003C0EFE">
      <w:pPr>
        <w:spacing w:line="240" w:lineRule="auto"/>
        <w:rPr>
          <w:rFonts w:eastAsia="Times New Roman" w:cs="Arial"/>
        </w:rPr>
      </w:pPr>
    </w:p>
    <w:p w14:paraId="4A2B0D93"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lastRenderedPageBreak/>
        <w:t>Специално внимание е необходимо при показанието седация със запазено съзнание при пациенти с увредена дихателна функция.</w:t>
      </w:r>
    </w:p>
    <w:p w14:paraId="38D2514B" w14:textId="77777777" w:rsidR="003C0EFE" w:rsidRPr="003C0EFE" w:rsidRDefault="003C0EFE" w:rsidP="003C0EFE">
      <w:pPr>
        <w:spacing w:line="240" w:lineRule="auto"/>
        <w:rPr>
          <w:rFonts w:eastAsia="Times New Roman" w:cs="Arial"/>
          <w:color w:val="000000"/>
          <w:lang w:eastAsia="bg-BG"/>
        </w:rPr>
      </w:pPr>
    </w:p>
    <w:p w14:paraId="70B4AA59" w14:textId="7E55B373" w:rsidR="003C0EFE" w:rsidRPr="003C0EFE" w:rsidRDefault="003C0EFE" w:rsidP="003C0EFE">
      <w:pPr>
        <w:spacing w:line="240" w:lineRule="auto"/>
        <w:rPr>
          <w:rFonts w:eastAsia="Times New Roman" w:cs="Arial"/>
        </w:rPr>
      </w:pPr>
      <w:r w:rsidRPr="003C0EFE">
        <w:rPr>
          <w:rFonts w:eastAsia="Times New Roman" w:cs="Arial"/>
          <w:color w:val="000000"/>
          <w:lang w:eastAsia="bg-BG"/>
        </w:rPr>
        <w:t>Педиатричните пациенти под 6 - месечна възраст са особено чувствителни към обструкция на дихателните пътища и хиповентилация, затова при тях от особено значение са внимателното титриране на малки покачвания и внимателното мониториране на дихателната честота и кислородната сатурация.</w:t>
      </w:r>
    </w:p>
    <w:p w14:paraId="553233CE" w14:textId="77777777" w:rsidR="003C0EFE" w:rsidRPr="003C0EFE" w:rsidRDefault="003C0EFE" w:rsidP="003C0EFE">
      <w:pPr>
        <w:spacing w:line="240" w:lineRule="auto"/>
        <w:rPr>
          <w:rFonts w:eastAsia="Times New Roman" w:cs="Arial"/>
          <w:color w:val="000000"/>
          <w:lang w:eastAsia="bg-BG"/>
        </w:rPr>
      </w:pPr>
    </w:p>
    <w:p w14:paraId="5DF81264" w14:textId="7785704D" w:rsidR="003C0EFE" w:rsidRPr="003C0EFE" w:rsidRDefault="003C0EFE" w:rsidP="003C0EFE">
      <w:pPr>
        <w:spacing w:line="240" w:lineRule="auto"/>
        <w:rPr>
          <w:rFonts w:eastAsia="Times New Roman" w:cs="Arial"/>
        </w:rPr>
      </w:pPr>
      <w:r w:rsidRPr="003C0EFE">
        <w:rPr>
          <w:rFonts w:eastAsia="Times New Roman" w:cs="Arial"/>
          <w:color w:val="000000"/>
          <w:lang w:eastAsia="bg-BG"/>
        </w:rPr>
        <w:t>Когато мидазолам се използва за премедикация, адекватното наблюдение на състоянието на пациента след приложение е задължително, защото индивидуалните реакции са различни и могат да се появят симптоми на предозиране.</w:t>
      </w:r>
    </w:p>
    <w:p w14:paraId="7A6F0A3D" w14:textId="77777777" w:rsidR="003C0EFE" w:rsidRPr="003C0EFE" w:rsidRDefault="003C0EFE" w:rsidP="003C0EFE">
      <w:pPr>
        <w:spacing w:line="240" w:lineRule="auto"/>
        <w:rPr>
          <w:rFonts w:eastAsia="Times New Roman" w:cs="Arial"/>
          <w:color w:val="000000"/>
          <w:lang w:eastAsia="bg-BG"/>
        </w:rPr>
      </w:pPr>
    </w:p>
    <w:p w14:paraId="10E65C20" w14:textId="01FA4D2B" w:rsidR="003C0EFE" w:rsidRPr="003C0EFE" w:rsidRDefault="003C0EFE" w:rsidP="003C0EFE">
      <w:pPr>
        <w:spacing w:line="240" w:lineRule="auto"/>
        <w:rPr>
          <w:rFonts w:eastAsia="Times New Roman" w:cs="Arial"/>
        </w:rPr>
      </w:pPr>
      <w:r w:rsidRPr="003C0EFE">
        <w:rPr>
          <w:rFonts w:eastAsia="Times New Roman" w:cs="Arial"/>
          <w:color w:val="000000"/>
          <w:lang w:eastAsia="bg-BG"/>
        </w:rPr>
        <w:t>Специално внимание трябва да се обърне при приложението на мидазолам при високо-рискови пациенти:</w:t>
      </w:r>
    </w:p>
    <w:p w14:paraId="73BAA305" w14:textId="77777777" w:rsidR="003C0EFE" w:rsidRPr="003C0EFE" w:rsidRDefault="003C0EFE" w:rsidP="003C0EFE">
      <w:pPr>
        <w:pStyle w:val="ListParagraph"/>
        <w:numPr>
          <w:ilvl w:val="0"/>
          <w:numId w:val="39"/>
        </w:numPr>
        <w:spacing w:line="240" w:lineRule="auto"/>
        <w:rPr>
          <w:rFonts w:eastAsia="Times New Roman" w:cs="Arial"/>
          <w:color w:val="000000"/>
          <w:lang w:eastAsia="bg-BG"/>
        </w:rPr>
      </w:pPr>
      <w:r w:rsidRPr="003C0EFE">
        <w:rPr>
          <w:rFonts w:eastAsia="Times New Roman" w:cs="Arial"/>
          <w:color w:val="000000"/>
          <w:lang w:eastAsia="bg-BG"/>
        </w:rPr>
        <w:t>възрастни над 60 - годишна възраст;</w:t>
      </w:r>
    </w:p>
    <w:p w14:paraId="1AFAFBAF" w14:textId="77777777" w:rsidR="003C0EFE" w:rsidRPr="003C0EFE" w:rsidRDefault="003C0EFE" w:rsidP="003C0EFE">
      <w:pPr>
        <w:pStyle w:val="ListParagraph"/>
        <w:numPr>
          <w:ilvl w:val="0"/>
          <w:numId w:val="39"/>
        </w:numPr>
        <w:spacing w:line="240" w:lineRule="auto"/>
        <w:rPr>
          <w:rFonts w:eastAsia="Times New Roman" w:cs="Arial"/>
          <w:color w:val="000000"/>
          <w:lang w:eastAsia="bg-BG"/>
        </w:rPr>
      </w:pPr>
      <w:r w:rsidRPr="003C0EFE">
        <w:rPr>
          <w:rFonts w:eastAsia="Times New Roman" w:cs="Arial"/>
          <w:color w:val="000000"/>
          <w:lang w:eastAsia="bg-BG"/>
        </w:rPr>
        <w:t>хронично болни и пациенти в лошо физическо състояние, напр.:</w:t>
      </w:r>
    </w:p>
    <w:p w14:paraId="59739EF2" w14:textId="77777777" w:rsidR="003C0EFE" w:rsidRPr="003C0EFE" w:rsidRDefault="003C0EFE" w:rsidP="003C0EFE">
      <w:pPr>
        <w:pStyle w:val="ListParagraph"/>
        <w:numPr>
          <w:ilvl w:val="0"/>
          <w:numId w:val="35"/>
        </w:numPr>
        <w:spacing w:line="240" w:lineRule="auto"/>
        <w:rPr>
          <w:rFonts w:eastAsia="Times New Roman" w:cs="Arial"/>
          <w:color w:val="000000"/>
          <w:lang w:eastAsia="bg-BG"/>
        </w:rPr>
      </w:pPr>
      <w:r w:rsidRPr="003C0EFE">
        <w:rPr>
          <w:rFonts w:eastAsia="Times New Roman" w:cs="Arial"/>
          <w:color w:val="000000"/>
          <w:lang w:eastAsia="bg-BG"/>
        </w:rPr>
        <w:t>с хронична дихателна недостатъчност;</w:t>
      </w:r>
    </w:p>
    <w:p w14:paraId="5A0F90BF" w14:textId="1AE4E00A" w:rsidR="003C0EFE" w:rsidRPr="003C0EFE" w:rsidRDefault="003C0EFE" w:rsidP="003C0EFE">
      <w:pPr>
        <w:pStyle w:val="ListParagraph"/>
        <w:numPr>
          <w:ilvl w:val="0"/>
          <w:numId w:val="35"/>
        </w:numPr>
        <w:spacing w:line="240" w:lineRule="auto"/>
        <w:rPr>
          <w:rFonts w:eastAsia="Times New Roman" w:cs="Arial"/>
          <w:color w:val="000000"/>
          <w:lang w:eastAsia="bg-BG"/>
        </w:rPr>
      </w:pPr>
      <w:r w:rsidRPr="003C0EFE">
        <w:rPr>
          <w:rFonts w:eastAsia="Times New Roman" w:cs="Arial"/>
          <w:color w:val="000000"/>
          <w:lang w:eastAsia="bg-BG"/>
        </w:rPr>
        <w:t>с хронична бъбречна недостатъчност, увредени чернодробни функции или увредени сърдечни функции;</w:t>
      </w:r>
    </w:p>
    <w:p w14:paraId="2230DDC2" w14:textId="798A7B2E" w:rsidR="003C0EFE" w:rsidRPr="003C0EFE" w:rsidRDefault="003C0EFE" w:rsidP="003C0EFE">
      <w:pPr>
        <w:pStyle w:val="ListParagraph"/>
        <w:numPr>
          <w:ilvl w:val="0"/>
          <w:numId w:val="40"/>
        </w:numPr>
        <w:spacing w:line="240" w:lineRule="auto"/>
        <w:rPr>
          <w:rFonts w:eastAsia="Times New Roman" w:cs="Arial"/>
        </w:rPr>
      </w:pPr>
      <w:r w:rsidRPr="003C0EFE">
        <w:rPr>
          <w:rFonts w:eastAsia="Times New Roman" w:cs="Arial"/>
          <w:color w:val="000000"/>
          <w:lang w:eastAsia="bg-BG"/>
        </w:rPr>
        <w:t>педиатрични пациенти и особено тези с нестабилни сърдечно-съдови показатели.</w:t>
      </w:r>
    </w:p>
    <w:p w14:paraId="4B0F1D7B" w14:textId="77777777" w:rsidR="003C0EFE" w:rsidRPr="003C0EFE" w:rsidRDefault="003C0EFE" w:rsidP="003C0EFE">
      <w:pPr>
        <w:rPr>
          <w:rFonts w:eastAsia="Times New Roman" w:cs="Arial"/>
          <w:color w:val="000000"/>
          <w:lang w:eastAsia="bg-BG"/>
        </w:rPr>
      </w:pPr>
    </w:p>
    <w:p w14:paraId="1D6368C1" w14:textId="636B2D10" w:rsidR="003C0EFE" w:rsidRPr="003C0EFE" w:rsidRDefault="003C0EFE" w:rsidP="003C0EFE">
      <w:pPr>
        <w:rPr>
          <w:rFonts w:eastAsia="Times New Roman" w:cs="Arial"/>
          <w:color w:val="000000"/>
          <w:lang w:eastAsia="bg-BG"/>
        </w:rPr>
      </w:pPr>
      <w:r w:rsidRPr="003C0EFE">
        <w:rPr>
          <w:rFonts w:eastAsia="Times New Roman" w:cs="Arial"/>
          <w:color w:val="000000"/>
          <w:lang w:eastAsia="bg-BG"/>
        </w:rPr>
        <w:t>Тези високорискови пациенти изискват по-ниски дози (вж. точка 4.2) и трябва постоянно да бъдат мониторирани за ранни признаци на промени в жизнените показатели.</w:t>
      </w:r>
    </w:p>
    <w:p w14:paraId="21ACBC3F" w14:textId="7ABE72E8" w:rsidR="003C0EFE" w:rsidRPr="003C0EFE" w:rsidRDefault="003C0EFE" w:rsidP="003C0EFE">
      <w:pPr>
        <w:rPr>
          <w:rFonts w:eastAsia="Times New Roman" w:cs="Arial"/>
          <w:color w:val="000000"/>
          <w:lang w:eastAsia="bg-BG"/>
        </w:rPr>
      </w:pPr>
    </w:p>
    <w:p w14:paraId="628B0096"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Както при всички вещества с потискащ ефект върху ЦНС и/и ли мускулно-релаксиращи свойства, особено внимание трябва да се обърне при приложението на мидазолам при пациенти с миастения гравис.</w:t>
      </w:r>
    </w:p>
    <w:p w14:paraId="52EC205B" w14:textId="77777777" w:rsidR="003C0EFE" w:rsidRPr="003C0EFE" w:rsidRDefault="003C0EFE" w:rsidP="003C0EFE">
      <w:pPr>
        <w:spacing w:line="240" w:lineRule="auto"/>
        <w:rPr>
          <w:rFonts w:eastAsia="Times New Roman" w:cs="Arial"/>
          <w:i/>
          <w:iCs/>
          <w:color w:val="000000"/>
          <w:lang w:eastAsia="bg-BG"/>
        </w:rPr>
      </w:pPr>
    </w:p>
    <w:p w14:paraId="09A264BF" w14:textId="0D92C715" w:rsidR="003C0EFE" w:rsidRPr="003C0EFE" w:rsidRDefault="003C0EFE" w:rsidP="003C0EFE">
      <w:pPr>
        <w:spacing w:line="240" w:lineRule="auto"/>
        <w:rPr>
          <w:rFonts w:eastAsia="Times New Roman" w:cs="Arial"/>
        </w:rPr>
      </w:pPr>
      <w:r w:rsidRPr="003C0EFE">
        <w:rPr>
          <w:rFonts w:eastAsia="Times New Roman" w:cs="Arial"/>
          <w:i/>
          <w:iCs/>
          <w:color w:val="000000"/>
          <w:lang w:eastAsia="bg-BG"/>
        </w:rPr>
        <w:t>Поносимост:</w:t>
      </w:r>
    </w:p>
    <w:p w14:paraId="35FF963B"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Има съобщения за известна загуба на ефикасност, когато мидазолам се използва за продължително седиране в интензивните отделения.</w:t>
      </w:r>
    </w:p>
    <w:p w14:paraId="3549268A" w14:textId="77777777" w:rsidR="003C0EFE" w:rsidRPr="003C0EFE" w:rsidRDefault="003C0EFE" w:rsidP="003C0EFE">
      <w:pPr>
        <w:spacing w:line="240" w:lineRule="auto"/>
        <w:rPr>
          <w:rFonts w:eastAsia="Times New Roman" w:cs="Arial"/>
          <w:i/>
          <w:iCs/>
          <w:color w:val="000000"/>
          <w:lang w:eastAsia="bg-BG"/>
        </w:rPr>
      </w:pPr>
    </w:p>
    <w:p w14:paraId="29331AAB" w14:textId="47A237F2" w:rsidR="003C0EFE" w:rsidRPr="003C0EFE" w:rsidRDefault="003C0EFE" w:rsidP="003C0EFE">
      <w:pPr>
        <w:spacing w:line="240" w:lineRule="auto"/>
        <w:rPr>
          <w:rFonts w:eastAsia="Times New Roman" w:cs="Arial"/>
        </w:rPr>
      </w:pPr>
      <w:r w:rsidRPr="003C0EFE">
        <w:rPr>
          <w:rFonts w:eastAsia="Times New Roman" w:cs="Arial"/>
          <w:i/>
          <w:iCs/>
          <w:color w:val="000000"/>
          <w:lang w:eastAsia="bg-BG"/>
        </w:rPr>
        <w:t>Зависимост:</w:t>
      </w:r>
    </w:p>
    <w:p w14:paraId="2892E5AB"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Когато мидазолам се използва за продължително седиране в интензивните отделения трябва да се има предвид вероятността, че може да се развие физическа зависимост към мидазолам.</w:t>
      </w:r>
    </w:p>
    <w:p w14:paraId="268198E7"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Рискът се увеличава при по-високи дози и по-продължително лечение. Също така рискът е по- висок при пациенти с анамнеза за злоупотреба с алкохол и/или лекарства (вж. точка 4.8).</w:t>
      </w:r>
    </w:p>
    <w:p w14:paraId="231A954B" w14:textId="77777777" w:rsidR="003C0EFE" w:rsidRPr="003C0EFE" w:rsidRDefault="003C0EFE" w:rsidP="003C0EFE">
      <w:pPr>
        <w:spacing w:line="240" w:lineRule="auto"/>
        <w:rPr>
          <w:rFonts w:eastAsia="Times New Roman" w:cs="Arial"/>
          <w:i/>
          <w:iCs/>
          <w:color w:val="000000"/>
          <w:lang w:eastAsia="bg-BG"/>
        </w:rPr>
      </w:pPr>
    </w:p>
    <w:p w14:paraId="54D3B035" w14:textId="52585DFD" w:rsidR="003C0EFE" w:rsidRPr="003C0EFE" w:rsidRDefault="003C0EFE" w:rsidP="003C0EFE">
      <w:pPr>
        <w:spacing w:line="240" w:lineRule="auto"/>
        <w:rPr>
          <w:rFonts w:eastAsia="Times New Roman" w:cs="Arial"/>
        </w:rPr>
      </w:pPr>
      <w:r w:rsidRPr="003C0EFE">
        <w:rPr>
          <w:rFonts w:eastAsia="Times New Roman" w:cs="Arial"/>
          <w:i/>
          <w:iCs/>
          <w:color w:val="000000"/>
          <w:lang w:eastAsia="bg-BG"/>
        </w:rPr>
        <w:t>Симптоми на отнемане</w:t>
      </w:r>
    </w:p>
    <w:p w14:paraId="581BB65F"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 xml:space="preserve">По време на продължително седиране с мидазолам в интензивните отделения може да се развие физическа зависимост. Поради това внезапното спиране на лекарството ще бъде съпроводено от симптоми на отнемане. Могат да възникнат следните симптоми: главоболие, мускулни болки, тревожност, напрежение, безпокойство, объркване, раздразнителност, </w:t>
      </w:r>
      <w:r w:rsidRPr="003C0EFE">
        <w:rPr>
          <w:rFonts w:eastAsia="Times New Roman" w:cs="Arial"/>
          <w:color w:val="000000"/>
          <w:lang w:val="en-US"/>
        </w:rPr>
        <w:t>rebound</w:t>
      </w:r>
      <w:r w:rsidRPr="003C0EFE">
        <w:rPr>
          <w:rFonts w:eastAsia="Times New Roman" w:cs="Arial"/>
          <w:color w:val="000000"/>
          <w:lang w:val="ru-RU"/>
        </w:rPr>
        <w:t xml:space="preserve"> </w:t>
      </w:r>
      <w:r w:rsidRPr="003C0EFE">
        <w:rPr>
          <w:rFonts w:eastAsia="Times New Roman" w:cs="Arial"/>
          <w:color w:val="000000"/>
          <w:lang w:eastAsia="bg-BG"/>
        </w:rPr>
        <w:t>безсъние, променливо настроение, халюцинации и конвулсии. Тъй като рискът от поява на симптоми на отнемане е по-голям след внезапно прекъсване на приложението, препоръчва се постепенното намаляване на дозата.</w:t>
      </w:r>
    </w:p>
    <w:p w14:paraId="5E31F728" w14:textId="77777777" w:rsidR="003C0EFE" w:rsidRPr="003C0EFE" w:rsidRDefault="003C0EFE" w:rsidP="003C0EFE">
      <w:pPr>
        <w:spacing w:line="240" w:lineRule="auto"/>
        <w:rPr>
          <w:rFonts w:eastAsia="Times New Roman" w:cs="Arial"/>
          <w:i/>
          <w:iCs/>
          <w:color w:val="000000"/>
          <w:lang w:eastAsia="bg-BG"/>
        </w:rPr>
      </w:pPr>
    </w:p>
    <w:p w14:paraId="3A30418A" w14:textId="4DDE24AE" w:rsidR="003C0EFE" w:rsidRPr="003C0EFE" w:rsidRDefault="003C0EFE" w:rsidP="003C0EFE">
      <w:pPr>
        <w:spacing w:line="240" w:lineRule="auto"/>
        <w:rPr>
          <w:rFonts w:eastAsia="Times New Roman" w:cs="Arial"/>
        </w:rPr>
      </w:pPr>
      <w:r w:rsidRPr="003C0EFE">
        <w:rPr>
          <w:rFonts w:eastAsia="Times New Roman" w:cs="Arial"/>
          <w:i/>
          <w:iCs/>
          <w:color w:val="000000"/>
          <w:lang w:eastAsia="bg-BG"/>
        </w:rPr>
        <w:t>Амнезия</w:t>
      </w:r>
    </w:p>
    <w:p w14:paraId="684F1B9B"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lastRenderedPageBreak/>
        <w:t>Мидазолам предизвиква антероградна амнезия (това често е желан ефект, особено преди и след хирургични и диагностични процедури), чиято продължителност е директно свързана с приложената доза. Пролонгираната амнезия може да бъде проблем при амбулаторни пациенти, които са планирани за изписване след интервенцията. След парентерално приложение на мидазолам, пациентите трябва да бъдат изписани от болницата или лекарския кабинет само ако имат придружител.</w:t>
      </w:r>
    </w:p>
    <w:p w14:paraId="63425F83" w14:textId="77777777" w:rsidR="003C0EFE" w:rsidRPr="003C0EFE" w:rsidRDefault="003C0EFE" w:rsidP="003C0EFE">
      <w:pPr>
        <w:spacing w:line="240" w:lineRule="auto"/>
        <w:rPr>
          <w:rFonts w:eastAsia="Times New Roman" w:cs="Arial"/>
          <w:i/>
          <w:iCs/>
          <w:color w:val="000000"/>
          <w:lang w:eastAsia="bg-BG"/>
        </w:rPr>
      </w:pPr>
    </w:p>
    <w:p w14:paraId="3DE2E64C" w14:textId="3DE3B277" w:rsidR="003C0EFE" w:rsidRPr="003C0EFE" w:rsidRDefault="003C0EFE" w:rsidP="003C0EFE">
      <w:pPr>
        <w:spacing w:line="240" w:lineRule="auto"/>
        <w:rPr>
          <w:rFonts w:eastAsia="Times New Roman" w:cs="Arial"/>
        </w:rPr>
      </w:pPr>
      <w:r w:rsidRPr="003C0EFE">
        <w:rPr>
          <w:rFonts w:eastAsia="Times New Roman" w:cs="Arial"/>
          <w:i/>
          <w:iCs/>
          <w:color w:val="000000"/>
          <w:lang w:eastAsia="bg-BG"/>
        </w:rPr>
        <w:t>Парадоксални реакции</w:t>
      </w:r>
    </w:p>
    <w:p w14:paraId="44A9B50B"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Парадоксални реакции като ажитираност, неволеви движения (вкл. тонично/клонични гърчове и мускулен тремор), хиперактивност, враждебност, реакции на гняв, агресивност, пароксизмална възбуда и физическо насилие са наблюдавани при приложение на мидазолам. Тези реакции могат да възникнат при по-високи дози и при по-бързо приложение на дозата. Най - високата честота на тези реакции е съобщена при деца и пациенти в старческа възраст.</w:t>
      </w:r>
    </w:p>
    <w:p w14:paraId="1AC4589B" w14:textId="77777777" w:rsidR="003C0EFE" w:rsidRPr="003C0EFE" w:rsidRDefault="003C0EFE" w:rsidP="003C0EFE">
      <w:pPr>
        <w:spacing w:line="240" w:lineRule="auto"/>
        <w:rPr>
          <w:rFonts w:eastAsia="Times New Roman" w:cs="Arial"/>
          <w:i/>
          <w:iCs/>
          <w:color w:val="000000"/>
          <w:lang w:eastAsia="bg-BG"/>
        </w:rPr>
      </w:pPr>
    </w:p>
    <w:p w14:paraId="3D93531E" w14:textId="04570E18" w:rsidR="003C0EFE" w:rsidRPr="003C0EFE" w:rsidRDefault="003C0EFE" w:rsidP="003C0EFE">
      <w:pPr>
        <w:spacing w:line="240" w:lineRule="auto"/>
        <w:rPr>
          <w:rFonts w:eastAsia="Times New Roman" w:cs="Arial"/>
        </w:rPr>
      </w:pPr>
      <w:r w:rsidRPr="003C0EFE">
        <w:rPr>
          <w:rFonts w:eastAsia="Times New Roman" w:cs="Arial"/>
          <w:i/>
          <w:iCs/>
          <w:color w:val="000000"/>
          <w:lang w:eastAsia="bg-BG"/>
        </w:rPr>
        <w:t>Променено елиминиране на мидазолам</w:t>
      </w:r>
    </w:p>
    <w:p w14:paraId="57E883DB"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 xml:space="preserve">Елиминирането на мидазолам може да бъде намалено при пациенти, приемащи вещества, който инхибират или индуцират </w:t>
      </w:r>
      <w:r w:rsidRPr="003C0EFE">
        <w:rPr>
          <w:rFonts w:eastAsia="Times New Roman" w:cs="Arial"/>
          <w:color w:val="000000"/>
          <w:lang w:val="en-US"/>
        </w:rPr>
        <w:t>CYP</w:t>
      </w:r>
      <w:r w:rsidRPr="003C0EFE">
        <w:rPr>
          <w:rFonts w:eastAsia="Times New Roman" w:cs="Arial"/>
          <w:color w:val="000000"/>
          <w:lang w:val="ru-RU"/>
        </w:rPr>
        <w:t>3</w:t>
      </w:r>
      <w:r w:rsidRPr="003C0EFE">
        <w:rPr>
          <w:rFonts w:eastAsia="Times New Roman" w:cs="Arial"/>
          <w:color w:val="000000"/>
          <w:lang w:val="en-US"/>
        </w:rPr>
        <w:t>A</w:t>
      </w:r>
      <w:r w:rsidRPr="003C0EFE">
        <w:rPr>
          <w:rFonts w:eastAsia="Times New Roman" w:cs="Arial"/>
          <w:color w:val="000000"/>
          <w:lang w:val="ru-RU"/>
        </w:rPr>
        <w:t xml:space="preserve">4 </w:t>
      </w:r>
      <w:r w:rsidRPr="003C0EFE">
        <w:rPr>
          <w:rFonts w:eastAsia="Times New Roman" w:cs="Arial"/>
          <w:color w:val="000000"/>
          <w:lang w:eastAsia="bg-BG"/>
        </w:rPr>
        <w:t>и може да се наложи дозата на мидазолам съответно да се коригира (вж. точка 4.5).</w:t>
      </w:r>
    </w:p>
    <w:p w14:paraId="709D9E20" w14:textId="77777777" w:rsidR="003C0EFE" w:rsidRPr="003C0EFE" w:rsidRDefault="003C0EFE" w:rsidP="003C0EFE">
      <w:pPr>
        <w:spacing w:line="240" w:lineRule="auto"/>
        <w:rPr>
          <w:rFonts w:eastAsia="Times New Roman" w:cs="Arial"/>
          <w:color w:val="000000"/>
          <w:lang w:eastAsia="bg-BG"/>
        </w:rPr>
      </w:pPr>
    </w:p>
    <w:p w14:paraId="0E176039" w14:textId="7987FA63" w:rsidR="003C0EFE" w:rsidRPr="003C0EFE" w:rsidRDefault="003C0EFE" w:rsidP="003C0EFE">
      <w:pPr>
        <w:spacing w:line="240" w:lineRule="auto"/>
        <w:rPr>
          <w:rFonts w:eastAsia="Times New Roman" w:cs="Arial"/>
        </w:rPr>
      </w:pPr>
      <w:r w:rsidRPr="003C0EFE">
        <w:rPr>
          <w:rFonts w:eastAsia="Times New Roman" w:cs="Arial"/>
          <w:color w:val="000000"/>
          <w:lang w:eastAsia="bg-BG"/>
        </w:rPr>
        <w:t>Елиминирането на мидазолам е също така забавено и при пациенти с чернодробна дисфункция, малък сърдечен дебит и при новородени (вж. точка 5.2).</w:t>
      </w:r>
    </w:p>
    <w:p w14:paraId="43705AEC" w14:textId="77777777" w:rsidR="003C0EFE" w:rsidRPr="003C0EFE" w:rsidRDefault="003C0EFE" w:rsidP="003C0EFE">
      <w:pPr>
        <w:spacing w:line="240" w:lineRule="auto"/>
        <w:rPr>
          <w:rFonts w:eastAsia="Times New Roman" w:cs="Arial"/>
          <w:i/>
          <w:iCs/>
          <w:color w:val="000000"/>
          <w:lang w:eastAsia="bg-BG"/>
        </w:rPr>
      </w:pPr>
    </w:p>
    <w:p w14:paraId="31D32142" w14:textId="1BF5E574" w:rsidR="003C0EFE" w:rsidRPr="003C0EFE" w:rsidRDefault="003C0EFE" w:rsidP="003C0EFE">
      <w:pPr>
        <w:spacing w:line="240" w:lineRule="auto"/>
        <w:rPr>
          <w:rFonts w:eastAsia="Times New Roman" w:cs="Arial"/>
        </w:rPr>
      </w:pPr>
      <w:r w:rsidRPr="003C0EFE">
        <w:rPr>
          <w:rFonts w:eastAsia="Times New Roman" w:cs="Arial"/>
          <w:i/>
          <w:iCs/>
          <w:color w:val="000000"/>
          <w:lang w:eastAsia="bg-BG"/>
        </w:rPr>
        <w:t>Недоносени кърмачета и новородени</w:t>
      </w:r>
    </w:p>
    <w:p w14:paraId="0BAF9D72" w14:textId="086B6B09" w:rsidR="003C0EFE" w:rsidRPr="003C0EFE" w:rsidRDefault="003C0EFE" w:rsidP="003C0EFE">
      <w:pPr>
        <w:spacing w:line="240" w:lineRule="auto"/>
        <w:rPr>
          <w:rFonts w:eastAsia="Times New Roman" w:cs="Arial"/>
        </w:rPr>
      </w:pPr>
      <w:r w:rsidRPr="003C0EFE">
        <w:rPr>
          <w:rFonts w:eastAsia="Times New Roman" w:cs="Arial"/>
          <w:color w:val="000000"/>
          <w:lang w:eastAsia="bg-BG"/>
        </w:rPr>
        <w:t>Поради увеличения риск от апнея се препоръчва изключително внимание при седиране на недоносени новородени и недоносени неинтубирани кърмачета. Необходимо е внимателно наблюдение на честотата на дишане и кислородната сатурация.</w:t>
      </w:r>
    </w:p>
    <w:p w14:paraId="526B84B0" w14:textId="77777777" w:rsidR="003C0EFE" w:rsidRPr="003C0EFE" w:rsidRDefault="003C0EFE" w:rsidP="003C0EFE">
      <w:pPr>
        <w:spacing w:line="240" w:lineRule="auto"/>
        <w:rPr>
          <w:rFonts w:eastAsia="Times New Roman" w:cs="Arial"/>
          <w:color w:val="000000"/>
          <w:lang w:eastAsia="bg-BG"/>
        </w:rPr>
      </w:pPr>
    </w:p>
    <w:p w14:paraId="6B37E84B" w14:textId="788CF3A2" w:rsidR="003C0EFE" w:rsidRPr="003C0EFE" w:rsidRDefault="003C0EFE" w:rsidP="003C0EFE">
      <w:pPr>
        <w:spacing w:line="240" w:lineRule="auto"/>
        <w:rPr>
          <w:rFonts w:eastAsia="Times New Roman" w:cs="Arial"/>
        </w:rPr>
      </w:pPr>
      <w:r w:rsidRPr="003C0EFE">
        <w:rPr>
          <w:rFonts w:eastAsia="Times New Roman" w:cs="Arial"/>
          <w:color w:val="000000"/>
          <w:lang w:eastAsia="bg-BG"/>
        </w:rPr>
        <w:t>Бързото инжектиране трябва да се избягва при новородени.</w:t>
      </w:r>
    </w:p>
    <w:p w14:paraId="2F8ABD4D" w14:textId="77777777" w:rsidR="003C0EFE" w:rsidRPr="003C0EFE" w:rsidRDefault="003C0EFE" w:rsidP="003C0EFE">
      <w:pPr>
        <w:spacing w:line="240" w:lineRule="auto"/>
        <w:rPr>
          <w:rFonts w:eastAsia="Times New Roman" w:cs="Arial"/>
          <w:color w:val="000000"/>
          <w:lang w:eastAsia="bg-BG"/>
        </w:rPr>
      </w:pPr>
    </w:p>
    <w:p w14:paraId="5AD762D5" w14:textId="5E3D7746" w:rsidR="003C0EFE" w:rsidRPr="003C0EFE" w:rsidRDefault="003C0EFE" w:rsidP="003C0EFE">
      <w:pPr>
        <w:spacing w:line="240" w:lineRule="auto"/>
        <w:rPr>
          <w:rFonts w:eastAsia="Times New Roman" w:cs="Arial"/>
          <w:color w:val="000000"/>
          <w:lang w:val="ru-RU" w:eastAsia="bg-BG"/>
        </w:rPr>
      </w:pPr>
      <w:r w:rsidRPr="003C0EFE">
        <w:rPr>
          <w:rFonts w:eastAsia="Times New Roman" w:cs="Arial"/>
          <w:color w:val="000000"/>
          <w:lang w:eastAsia="bg-BG"/>
        </w:rPr>
        <w:t>Новородените притежават намалена или незряла органна функция и също така са чувствителни на дълбоките и продължителни ефекти на мидазолам върху дихателната система</w:t>
      </w:r>
      <w:r w:rsidRPr="003C0EFE">
        <w:rPr>
          <w:rFonts w:eastAsia="Times New Roman" w:cs="Arial"/>
          <w:color w:val="000000"/>
          <w:lang w:val="ru-RU" w:eastAsia="bg-BG"/>
        </w:rPr>
        <w:t>.</w:t>
      </w:r>
    </w:p>
    <w:p w14:paraId="77159C4F" w14:textId="131A786A" w:rsidR="003C0EFE" w:rsidRPr="003C0EFE" w:rsidRDefault="003C0EFE" w:rsidP="003C0EFE">
      <w:pPr>
        <w:spacing w:line="240" w:lineRule="auto"/>
        <w:rPr>
          <w:rFonts w:eastAsia="Times New Roman" w:cs="Arial"/>
          <w:color w:val="000000"/>
          <w:lang w:val="ru-RU" w:eastAsia="bg-BG"/>
        </w:rPr>
      </w:pPr>
    </w:p>
    <w:p w14:paraId="201F9386"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Има съобщения за нежелани хемодинамични събития при педиатрични пациенти с нестабилни сърдечно-съдови функции. При тази популация трябва да се избягва бързото интравенозно приложение.</w:t>
      </w:r>
    </w:p>
    <w:p w14:paraId="3961B712" w14:textId="77777777" w:rsidR="003C0EFE" w:rsidRPr="003C0EFE" w:rsidRDefault="003C0EFE" w:rsidP="003C0EFE">
      <w:pPr>
        <w:spacing w:line="240" w:lineRule="auto"/>
        <w:rPr>
          <w:rFonts w:eastAsia="Times New Roman" w:cs="Arial"/>
          <w:i/>
          <w:iCs/>
          <w:color w:val="000000"/>
          <w:lang w:eastAsia="bg-BG"/>
        </w:rPr>
      </w:pPr>
    </w:p>
    <w:p w14:paraId="766B50A6" w14:textId="6D24D73A" w:rsidR="003C0EFE" w:rsidRPr="003C0EFE" w:rsidRDefault="003C0EFE" w:rsidP="003C0EFE">
      <w:pPr>
        <w:spacing w:line="240" w:lineRule="auto"/>
        <w:rPr>
          <w:rFonts w:eastAsia="Times New Roman" w:cs="Arial"/>
        </w:rPr>
      </w:pPr>
      <w:r w:rsidRPr="003C0EFE">
        <w:rPr>
          <w:rFonts w:eastAsia="Times New Roman" w:cs="Arial"/>
          <w:i/>
          <w:iCs/>
          <w:color w:val="000000"/>
          <w:lang w:eastAsia="bg-BG"/>
        </w:rPr>
        <w:t>Педиатрични пациенти под 6-месечна възраст</w:t>
      </w:r>
    </w:p>
    <w:p w14:paraId="0E01D7C9"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При тази популация мидазолам е показан за седация само в интензивните отделения.</w:t>
      </w:r>
    </w:p>
    <w:p w14:paraId="778B3ADC" w14:textId="77777777" w:rsidR="003C0EFE" w:rsidRPr="003C0EFE" w:rsidRDefault="003C0EFE" w:rsidP="003C0EFE">
      <w:pPr>
        <w:spacing w:line="240" w:lineRule="auto"/>
        <w:rPr>
          <w:rFonts w:eastAsia="Times New Roman" w:cs="Arial"/>
          <w:color w:val="000000"/>
          <w:lang w:eastAsia="bg-BG"/>
        </w:rPr>
      </w:pPr>
    </w:p>
    <w:p w14:paraId="77BFE7A6" w14:textId="74B8FB3D" w:rsidR="003C0EFE" w:rsidRPr="003C0EFE" w:rsidRDefault="003C0EFE" w:rsidP="003C0EFE">
      <w:pPr>
        <w:spacing w:line="240" w:lineRule="auto"/>
        <w:rPr>
          <w:rFonts w:eastAsia="Times New Roman" w:cs="Arial"/>
        </w:rPr>
      </w:pPr>
      <w:r w:rsidRPr="003C0EFE">
        <w:rPr>
          <w:rFonts w:eastAsia="Times New Roman" w:cs="Arial"/>
          <w:color w:val="000000"/>
          <w:lang w:eastAsia="bg-BG"/>
        </w:rPr>
        <w:t xml:space="preserve">Педиатричните пациенти под 6 - месечна възраст са особено чувствителни към обструкция на дихателните пътища и хиповентилация. Поради това, титрирането с малки увеличения на дозата до получаване на клиничен ефект и внимателно наблюдение на честотата на дишане и кислородната сатурация са особено важни (вж. също точка </w:t>
      </w:r>
      <w:r w:rsidRPr="003C0EFE">
        <w:rPr>
          <w:rFonts w:eastAsia="Times New Roman" w:cs="Arial"/>
          <w:i/>
          <w:iCs/>
          <w:color w:val="000000"/>
          <w:lang w:eastAsia="bg-BG"/>
        </w:rPr>
        <w:t>Недоносени кърмачета</w:t>
      </w:r>
      <w:r w:rsidRPr="003C0EFE">
        <w:rPr>
          <w:rFonts w:eastAsia="Times New Roman" w:cs="Arial"/>
          <w:color w:val="000000"/>
          <w:lang w:eastAsia="bg-BG"/>
        </w:rPr>
        <w:t xml:space="preserve"> по-горе).</w:t>
      </w:r>
    </w:p>
    <w:p w14:paraId="363667B9" w14:textId="77777777" w:rsidR="003C0EFE" w:rsidRPr="003C0EFE" w:rsidRDefault="003C0EFE" w:rsidP="003C0EFE">
      <w:pPr>
        <w:spacing w:line="240" w:lineRule="auto"/>
        <w:rPr>
          <w:rFonts w:eastAsia="Times New Roman" w:cs="Arial"/>
          <w:i/>
          <w:iCs/>
          <w:color w:val="000000"/>
          <w:lang w:eastAsia="bg-BG"/>
        </w:rPr>
      </w:pPr>
    </w:p>
    <w:p w14:paraId="1826BCE6" w14:textId="335DF2BF" w:rsidR="003C0EFE" w:rsidRPr="003C0EFE" w:rsidRDefault="003C0EFE" w:rsidP="003C0EFE">
      <w:pPr>
        <w:spacing w:line="240" w:lineRule="auto"/>
        <w:rPr>
          <w:rFonts w:eastAsia="Times New Roman" w:cs="Arial"/>
        </w:rPr>
      </w:pPr>
      <w:r w:rsidRPr="003C0EFE">
        <w:rPr>
          <w:rFonts w:eastAsia="Times New Roman" w:cs="Arial"/>
          <w:i/>
          <w:iCs/>
          <w:color w:val="000000"/>
          <w:lang w:eastAsia="bg-BG"/>
        </w:rPr>
        <w:t>Едновременна употреба с алкохол/депресанти на ЦНС</w:t>
      </w:r>
    </w:p>
    <w:p w14:paraId="2129851F"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 xml:space="preserve">Едновременната употреба на мидазолам с алкохол и/или депресанти на ЦНС трябва да се избягва. Такова едновременно приложение може да засили клиничните ефекти на </w:t>
      </w:r>
      <w:r w:rsidRPr="003C0EFE">
        <w:rPr>
          <w:rFonts w:eastAsia="Times New Roman" w:cs="Arial"/>
          <w:color w:val="000000"/>
          <w:lang w:eastAsia="bg-BG"/>
        </w:rPr>
        <w:lastRenderedPageBreak/>
        <w:t>мидазолам, което може да включва тежка седация или клинично значима респираторна депресия (вж. точка 4.5).</w:t>
      </w:r>
    </w:p>
    <w:p w14:paraId="109118DB" w14:textId="77777777" w:rsidR="003C0EFE" w:rsidRPr="003C0EFE" w:rsidRDefault="003C0EFE" w:rsidP="003C0EFE">
      <w:pPr>
        <w:spacing w:line="240" w:lineRule="auto"/>
        <w:rPr>
          <w:rFonts w:eastAsia="Times New Roman" w:cs="Arial"/>
          <w:i/>
          <w:iCs/>
          <w:color w:val="000000"/>
          <w:lang w:eastAsia="bg-BG"/>
        </w:rPr>
      </w:pPr>
    </w:p>
    <w:p w14:paraId="50E4A744" w14:textId="6035F1FB" w:rsidR="003C0EFE" w:rsidRPr="003C0EFE" w:rsidRDefault="003C0EFE" w:rsidP="003C0EFE">
      <w:pPr>
        <w:spacing w:line="240" w:lineRule="auto"/>
        <w:rPr>
          <w:rFonts w:eastAsia="Times New Roman" w:cs="Arial"/>
        </w:rPr>
      </w:pPr>
      <w:r w:rsidRPr="003C0EFE">
        <w:rPr>
          <w:rFonts w:eastAsia="Times New Roman" w:cs="Arial"/>
          <w:i/>
          <w:iCs/>
          <w:color w:val="000000"/>
          <w:lang w:eastAsia="bg-BG"/>
        </w:rPr>
        <w:t>Анамнеза за злоупотреба с алкохол или лекарства</w:t>
      </w:r>
    </w:p>
    <w:p w14:paraId="6EF1AD99"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Както при другите бензодиазепини, приложението на мидазолам трябва да се избягва при пациенти с анамнеза за злоупотреба с алкохол или лекарства.</w:t>
      </w:r>
    </w:p>
    <w:p w14:paraId="469A2130" w14:textId="77777777" w:rsidR="003C0EFE" w:rsidRPr="003C0EFE" w:rsidRDefault="003C0EFE" w:rsidP="003C0EFE">
      <w:pPr>
        <w:spacing w:line="240" w:lineRule="auto"/>
        <w:rPr>
          <w:rFonts w:eastAsia="Times New Roman" w:cs="Arial"/>
          <w:color w:val="000000"/>
          <w:u w:val="single"/>
          <w:lang w:eastAsia="bg-BG"/>
        </w:rPr>
      </w:pPr>
    </w:p>
    <w:p w14:paraId="489DB4E0" w14:textId="297347E7" w:rsidR="003C0EFE" w:rsidRPr="003C0EFE" w:rsidRDefault="003C0EFE" w:rsidP="003C0EFE">
      <w:pPr>
        <w:spacing w:line="240" w:lineRule="auto"/>
        <w:rPr>
          <w:rFonts w:eastAsia="Times New Roman" w:cs="Arial"/>
        </w:rPr>
      </w:pPr>
      <w:r w:rsidRPr="003C0EFE">
        <w:rPr>
          <w:rFonts w:eastAsia="Times New Roman" w:cs="Arial"/>
          <w:color w:val="000000"/>
          <w:u w:val="single"/>
          <w:lang w:eastAsia="bg-BG"/>
        </w:rPr>
        <w:t>Риск от едновременната употреба с опиоиди:</w:t>
      </w:r>
    </w:p>
    <w:p w14:paraId="6530DD99"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 xml:space="preserve">Едновременната употреба на </w:t>
      </w:r>
      <w:r w:rsidRPr="003C0EFE">
        <w:rPr>
          <w:rFonts w:eastAsia="Times New Roman" w:cs="Arial"/>
          <w:color w:val="000000"/>
          <w:lang w:val="en-US"/>
        </w:rPr>
        <w:t>MIDAZOLAM</w:t>
      </w:r>
      <w:r w:rsidRPr="003C0EFE">
        <w:rPr>
          <w:rFonts w:eastAsia="Times New Roman" w:cs="Arial"/>
          <w:color w:val="000000"/>
          <w:lang w:val="ru-RU"/>
        </w:rPr>
        <w:t xml:space="preserve"> </w:t>
      </w:r>
      <w:r w:rsidRPr="003C0EFE">
        <w:rPr>
          <w:rFonts w:eastAsia="Times New Roman" w:cs="Arial"/>
          <w:color w:val="000000"/>
          <w:lang w:eastAsia="bg-BG"/>
        </w:rPr>
        <w:t>с опиоиди може да доведе до седация, респираторна депресия, кома и смърт.</w:t>
      </w:r>
    </w:p>
    <w:p w14:paraId="1EB229D3"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 xml:space="preserve">Поради тези рискове едновременното предписване с опиоиди на седативни лекарствени продукти, като бензодиазепини или сродни лекарства, като </w:t>
      </w:r>
      <w:r w:rsidRPr="003C0EFE">
        <w:rPr>
          <w:rFonts w:eastAsia="Times New Roman" w:cs="Arial"/>
          <w:color w:val="000000"/>
          <w:lang w:val="en-US"/>
        </w:rPr>
        <w:t>MIDAZOLAM</w:t>
      </w:r>
      <w:r w:rsidRPr="003C0EFE">
        <w:rPr>
          <w:rFonts w:eastAsia="Times New Roman" w:cs="Arial"/>
          <w:color w:val="000000"/>
          <w:lang w:val="ru-RU"/>
        </w:rPr>
        <w:t xml:space="preserve">, </w:t>
      </w:r>
      <w:r w:rsidRPr="003C0EFE">
        <w:rPr>
          <w:rFonts w:eastAsia="Times New Roman" w:cs="Arial"/>
          <w:color w:val="000000"/>
          <w:lang w:eastAsia="bg-BG"/>
        </w:rPr>
        <w:t xml:space="preserve">трябва да бъде ограничено до пациенти, при които не е възможно прилагането на алтернативно лечение. Ако се вземе решение за предписването на </w:t>
      </w:r>
      <w:r w:rsidRPr="003C0EFE">
        <w:rPr>
          <w:rFonts w:eastAsia="Times New Roman" w:cs="Arial"/>
          <w:color w:val="000000"/>
          <w:lang w:val="en-US"/>
        </w:rPr>
        <w:t>MIDAZOLAM</w:t>
      </w:r>
      <w:r w:rsidRPr="003C0EFE">
        <w:rPr>
          <w:rFonts w:eastAsia="Times New Roman" w:cs="Arial"/>
          <w:color w:val="000000"/>
          <w:lang w:val="ru-RU"/>
        </w:rPr>
        <w:t xml:space="preserve"> </w:t>
      </w:r>
      <w:r w:rsidRPr="003C0EFE">
        <w:rPr>
          <w:rFonts w:eastAsia="Times New Roman" w:cs="Arial"/>
          <w:color w:val="000000"/>
          <w:lang w:eastAsia="bg-BG"/>
        </w:rPr>
        <w:t>едновременно с опиоиди, трябва да се използва най-ниската ефикасна доза, като продължителността на лечението трябва да бъде възможно най-кратка (вж. също общата препоръка за дозировката в точка 4.2).</w:t>
      </w:r>
    </w:p>
    <w:p w14:paraId="45C0E22D" w14:textId="77777777" w:rsidR="003C0EFE" w:rsidRPr="003C0EFE" w:rsidRDefault="003C0EFE" w:rsidP="003C0EFE">
      <w:pPr>
        <w:spacing w:line="240" w:lineRule="auto"/>
        <w:rPr>
          <w:rFonts w:eastAsia="Times New Roman" w:cs="Arial"/>
          <w:color w:val="000000"/>
          <w:lang w:eastAsia="bg-BG"/>
        </w:rPr>
      </w:pPr>
    </w:p>
    <w:p w14:paraId="33FB4511" w14:textId="21F81817" w:rsidR="003C0EFE" w:rsidRPr="003C0EFE" w:rsidRDefault="003C0EFE" w:rsidP="003C0EFE">
      <w:pPr>
        <w:spacing w:line="240" w:lineRule="auto"/>
        <w:rPr>
          <w:rFonts w:eastAsia="Times New Roman" w:cs="Arial"/>
        </w:rPr>
      </w:pPr>
      <w:r w:rsidRPr="003C0EFE">
        <w:rPr>
          <w:rFonts w:eastAsia="Times New Roman" w:cs="Arial"/>
          <w:color w:val="000000"/>
          <w:lang w:eastAsia="bg-BG"/>
        </w:rPr>
        <w:t>Пациентите трябва да бъдат внимателно проследявани за признаци и симптоми на респираторна депресия и седация.</w:t>
      </w:r>
    </w:p>
    <w:p w14:paraId="4995669B"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В тази връзка се препоръчва пациентите и техните болногледачи (когато е приложимо) да бъдат информирани за тези симптоми (вж. точка 4.5).</w:t>
      </w:r>
    </w:p>
    <w:p w14:paraId="24E7F7C6" w14:textId="77777777" w:rsidR="003C0EFE" w:rsidRPr="003C0EFE" w:rsidRDefault="003C0EFE" w:rsidP="003C0EFE">
      <w:pPr>
        <w:spacing w:line="240" w:lineRule="auto"/>
        <w:rPr>
          <w:rFonts w:eastAsia="Times New Roman" w:cs="Arial"/>
          <w:color w:val="000000"/>
          <w:u w:val="single"/>
          <w:lang w:eastAsia="bg-BG"/>
        </w:rPr>
      </w:pPr>
    </w:p>
    <w:p w14:paraId="038E2274" w14:textId="13B1BE8E" w:rsidR="003C0EFE" w:rsidRPr="003C0EFE" w:rsidRDefault="003C0EFE" w:rsidP="003C0EFE">
      <w:pPr>
        <w:spacing w:line="240" w:lineRule="auto"/>
        <w:rPr>
          <w:rFonts w:eastAsia="Times New Roman" w:cs="Arial"/>
        </w:rPr>
      </w:pPr>
      <w:r w:rsidRPr="003C0EFE">
        <w:rPr>
          <w:rFonts w:eastAsia="Times New Roman" w:cs="Arial"/>
          <w:color w:val="000000"/>
          <w:u w:val="single"/>
          <w:lang w:eastAsia="bg-BG"/>
        </w:rPr>
        <w:t>Критерии за изписване</w:t>
      </w:r>
    </w:p>
    <w:p w14:paraId="7ECC5CF5"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След приложение на мидазолам, пациентите трябва да бъдат изписвани от болницата или лекарския кабинет само когато това е препоръчано от лекуващия лекар и ако пациентът е с придружител. Препоръчва се пациентите да бъдат придружавани, когато се връщат вкъщи след изписване.</w:t>
      </w:r>
    </w:p>
    <w:p w14:paraId="499AE7FE" w14:textId="77777777" w:rsidR="003C0EFE" w:rsidRPr="003C0EFE" w:rsidRDefault="003C0EFE" w:rsidP="003C0EFE">
      <w:pPr>
        <w:spacing w:line="240" w:lineRule="auto"/>
        <w:rPr>
          <w:rFonts w:eastAsia="Times New Roman" w:cs="Arial"/>
          <w:color w:val="000000"/>
          <w:lang w:eastAsia="bg-BG"/>
        </w:rPr>
      </w:pPr>
    </w:p>
    <w:p w14:paraId="01171247" w14:textId="72192485" w:rsidR="003C0EFE" w:rsidRPr="003C0EFE" w:rsidRDefault="003C0EFE" w:rsidP="003C0EFE">
      <w:pPr>
        <w:spacing w:line="240" w:lineRule="auto"/>
        <w:rPr>
          <w:rFonts w:eastAsia="Times New Roman" w:cs="Arial"/>
        </w:rPr>
      </w:pPr>
      <w:r w:rsidRPr="003C0EFE">
        <w:rPr>
          <w:rFonts w:eastAsia="Times New Roman" w:cs="Arial"/>
          <w:color w:val="000000"/>
          <w:lang w:eastAsia="bg-BG"/>
        </w:rPr>
        <w:t xml:space="preserve">Това лекарство съдържа по - малко от 1 </w:t>
      </w:r>
      <w:proofErr w:type="spellStart"/>
      <w:r w:rsidRPr="003C0EFE">
        <w:rPr>
          <w:rFonts w:eastAsia="Times New Roman" w:cs="Arial"/>
          <w:color w:val="000000"/>
          <w:lang w:val="en-US"/>
        </w:rPr>
        <w:t>mmol</w:t>
      </w:r>
      <w:proofErr w:type="spellEnd"/>
      <w:r w:rsidRPr="003C0EFE">
        <w:rPr>
          <w:rFonts w:eastAsia="Times New Roman" w:cs="Arial"/>
          <w:color w:val="000000"/>
          <w:lang w:val="ru-RU"/>
        </w:rPr>
        <w:t xml:space="preserve"> </w:t>
      </w:r>
      <w:r w:rsidRPr="003C0EFE">
        <w:rPr>
          <w:rFonts w:eastAsia="Times New Roman" w:cs="Arial"/>
          <w:color w:val="000000"/>
          <w:lang w:eastAsia="bg-BG"/>
        </w:rPr>
        <w:t xml:space="preserve">(23 </w:t>
      </w:r>
      <w:r w:rsidRPr="003C0EFE">
        <w:rPr>
          <w:rFonts w:eastAsia="Times New Roman" w:cs="Arial"/>
          <w:color w:val="000000"/>
          <w:lang w:val="en-US"/>
        </w:rPr>
        <w:t>mg</w:t>
      </w:r>
      <w:r w:rsidRPr="003C0EFE">
        <w:rPr>
          <w:rFonts w:eastAsia="Times New Roman" w:cs="Arial"/>
          <w:color w:val="000000"/>
          <w:lang w:val="ru-RU"/>
        </w:rPr>
        <w:t xml:space="preserve">) </w:t>
      </w:r>
      <w:r w:rsidRPr="003C0EFE">
        <w:rPr>
          <w:rFonts w:eastAsia="Times New Roman" w:cs="Arial"/>
          <w:color w:val="000000"/>
          <w:lang w:eastAsia="bg-BG"/>
        </w:rPr>
        <w:t>натрий в една ампула, т.е. практически не съдържа натрий.</w:t>
      </w:r>
    </w:p>
    <w:p w14:paraId="06C4E474" w14:textId="381201EE" w:rsidR="003C0EFE" w:rsidRPr="003C0EFE" w:rsidRDefault="003C0EFE" w:rsidP="003C0EFE"/>
    <w:p w14:paraId="302A1C2B" w14:textId="0E8AB250" w:rsidR="00426E5F" w:rsidRDefault="002C50EE" w:rsidP="00A65A81">
      <w:pPr>
        <w:pStyle w:val="Heading2"/>
      </w:pPr>
      <w:r>
        <w:t>4.5. Взаимодействие с други лекарствени продукти и други форми на взаимодействие</w:t>
      </w:r>
    </w:p>
    <w:p w14:paraId="79E75FDB" w14:textId="3C5548A0" w:rsidR="003C0EFE" w:rsidRDefault="003C0EFE" w:rsidP="003C0EFE"/>
    <w:p w14:paraId="0BFA7BD1" w14:textId="77777777" w:rsidR="003C0EFE" w:rsidRPr="003C0EFE" w:rsidRDefault="003C0EFE" w:rsidP="003C0EFE">
      <w:pPr>
        <w:spacing w:line="240" w:lineRule="auto"/>
        <w:rPr>
          <w:rFonts w:eastAsia="Times New Roman" w:cs="Arial"/>
        </w:rPr>
      </w:pPr>
      <w:r w:rsidRPr="003C0EFE">
        <w:rPr>
          <w:rFonts w:eastAsia="Times New Roman" w:cs="Arial"/>
          <w:color w:val="000000"/>
          <w:u w:val="single"/>
          <w:lang w:eastAsia="bg-BG"/>
        </w:rPr>
        <w:t>Фармакокинетични взаимодействия</w:t>
      </w:r>
    </w:p>
    <w:p w14:paraId="236CAF75"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 xml:space="preserve">Мидазолам се метаболизира от </w:t>
      </w:r>
      <w:r w:rsidRPr="003C0EFE">
        <w:rPr>
          <w:rFonts w:eastAsia="Times New Roman" w:cs="Arial"/>
          <w:color w:val="000000"/>
          <w:lang w:val="en-US"/>
        </w:rPr>
        <w:t>CYP</w:t>
      </w:r>
      <w:r w:rsidRPr="003C0EFE">
        <w:rPr>
          <w:rFonts w:eastAsia="Times New Roman" w:cs="Arial"/>
          <w:color w:val="000000"/>
          <w:lang w:val="ru-RU"/>
        </w:rPr>
        <w:t>3</w:t>
      </w:r>
      <w:r w:rsidRPr="003C0EFE">
        <w:rPr>
          <w:rFonts w:eastAsia="Times New Roman" w:cs="Arial"/>
          <w:color w:val="000000"/>
          <w:lang w:val="en-US"/>
        </w:rPr>
        <w:t>A</w:t>
      </w:r>
      <w:r w:rsidRPr="003C0EFE">
        <w:rPr>
          <w:rFonts w:eastAsia="Times New Roman" w:cs="Arial"/>
          <w:color w:val="000000"/>
          <w:lang w:val="ru-RU"/>
        </w:rPr>
        <w:t>4.</w:t>
      </w:r>
    </w:p>
    <w:p w14:paraId="7B91816E" w14:textId="77777777" w:rsidR="003C0EFE" w:rsidRPr="003C0EFE" w:rsidRDefault="003C0EFE" w:rsidP="003C0EFE">
      <w:pPr>
        <w:spacing w:line="240" w:lineRule="auto"/>
        <w:rPr>
          <w:rFonts w:eastAsia="Times New Roman" w:cs="Arial"/>
          <w:color w:val="000000"/>
          <w:lang w:eastAsia="bg-BG"/>
        </w:rPr>
      </w:pPr>
    </w:p>
    <w:p w14:paraId="1B93EDA1" w14:textId="1F758C3B" w:rsidR="003C0EFE" w:rsidRPr="003C0EFE" w:rsidRDefault="003C0EFE" w:rsidP="003C0EFE">
      <w:pPr>
        <w:spacing w:line="240" w:lineRule="auto"/>
        <w:rPr>
          <w:rFonts w:eastAsia="Times New Roman" w:cs="Arial"/>
        </w:rPr>
      </w:pPr>
      <w:r w:rsidRPr="003C0EFE">
        <w:rPr>
          <w:rFonts w:eastAsia="Times New Roman" w:cs="Arial"/>
          <w:color w:val="000000"/>
          <w:lang w:eastAsia="bg-BG"/>
        </w:rPr>
        <w:t xml:space="preserve">Инхибиторите и индукторите на </w:t>
      </w:r>
      <w:r w:rsidRPr="003C0EFE">
        <w:rPr>
          <w:rFonts w:eastAsia="Times New Roman" w:cs="Arial"/>
          <w:color w:val="000000"/>
          <w:lang w:val="en-US"/>
        </w:rPr>
        <w:t>CYP</w:t>
      </w:r>
      <w:r w:rsidRPr="003C0EFE">
        <w:rPr>
          <w:rFonts w:eastAsia="Times New Roman" w:cs="Arial"/>
          <w:color w:val="000000"/>
          <w:lang w:val="ru-RU"/>
        </w:rPr>
        <w:t>3</w:t>
      </w:r>
      <w:r w:rsidRPr="003C0EFE">
        <w:rPr>
          <w:rFonts w:eastAsia="Times New Roman" w:cs="Arial"/>
          <w:color w:val="000000"/>
          <w:lang w:val="en-US"/>
        </w:rPr>
        <w:t>A</w:t>
      </w:r>
      <w:r w:rsidRPr="003C0EFE">
        <w:rPr>
          <w:rFonts w:eastAsia="Times New Roman" w:cs="Arial"/>
          <w:color w:val="000000"/>
          <w:lang w:val="ru-RU"/>
        </w:rPr>
        <w:t xml:space="preserve">4 </w:t>
      </w:r>
      <w:r w:rsidRPr="003C0EFE">
        <w:rPr>
          <w:rFonts w:eastAsia="Times New Roman" w:cs="Arial"/>
          <w:color w:val="000000"/>
          <w:lang w:eastAsia="bg-BG"/>
        </w:rPr>
        <w:t>могат съответно да повишат и намалят плазмените концентрации, а следователно и ефектите на мидазолам, което изисква съответно коригиране на дозата.</w:t>
      </w:r>
    </w:p>
    <w:p w14:paraId="062DCC1D" w14:textId="77777777" w:rsidR="003C0EFE" w:rsidRPr="003C0EFE" w:rsidRDefault="003C0EFE" w:rsidP="003C0EFE">
      <w:pPr>
        <w:rPr>
          <w:rFonts w:eastAsia="Times New Roman" w:cs="Arial"/>
          <w:color w:val="000000"/>
          <w:lang w:eastAsia="bg-BG"/>
        </w:rPr>
      </w:pPr>
    </w:p>
    <w:p w14:paraId="00293D08" w14:textId="77777777" w:rsidR="003C0EFE" w:rsidRPr="003C0EFE" w:rsidRDefault="003C0EFE" w:rsidP="003C0EFE">
      <w:pPr>
        <w:rPr>
          <w:rFonts w:eastAsia="Times New Roman" w:cs="Arial"/>
        </w:rPr>
      </w:pPr>
      <w:r w:rsidRPr="003C0EFE">
        <w:rPr>
          <w:rFonts w:eastAsia="Times New Roman" w:cs="Arial"/>
          <w:color w:val="000000"/>
          <w:lang w:eastAsia="bg-BG"/>
        </w:rPr>
        <w:t>Фармакокинетичните взаимодействия с инхибитори и индуктори на С</w:t>
      </w:r>
      <w:r w:rsidRPr="003C0EFE">
        <w:rPr>
          <w:rFonts w:eastAsia="Times New Roman" w:cs="Arial"/>
          <w:color w:val="000000"/>
          <w:lang w:val="en-US"/>
        </w:rPr>
        <w:t>YP</w:t>
      </w:r>
      <w:r w:rsidRPr="003C0EFE">
        <w:rPr>
          <w:rFonts w:eastAsia="Times New Roman" w:cs="Arial"/>
          <w:color w:val="000000"/>
          <w:lang w:val="ru-RU"/>
        </w:rPr>
        <w:t>3</w:t>
      </w:r>
      <w:r w:rsidRPr="003C0EFE">
        <w:rPr>
          <w:rFonts w:eastAsia="Times New Roman" w:cs="Arial"/>
          <w:color w:val="000000"/>
          <w:lang w:val="en-US"/>
        </w:rPr>
        <w:t>A</w:t>
      </w:r>
      <w:r w:rsidRPr="003C0EFE">
        <w:rPr>
          <w:rFonts w:eastAsia="Times New Roman" w:cs="Arial"/>
          <w:color w:val="000000"/>
          <w:lang w:val="ru-RU"/>
        </w:rPr>
        <w:t xml:space="preserve">4 </w:t>
      </w:r>
      <w:r w:rsidRPr="003C0EFE">
        <w:rPr>
          <w:rFonts w:eastAsia="Times New Roman" w:cs="Arial"/>
          <w:color w:val="000000"/>
          <w:lang w:eastAsia="bg-BG"/>
        </w:rPr>
        <w:t>са по-зразени след перорално приложение на мидазолам в сравнение с интравенозно, особено поради</w:t>
      </w:r>
      <w:r w:rsidRPr="003C0EFE">
        <w:rPr>
          <w:rFonts w:eastAsia="Times New Roman" w:cs="Arial"/>
          <w:color w:val="000000"/>
          <w:lang w:val="ru-RU" w:eastAsia="bg-BG"/>
        </w:rPr>
        <w:t xml:space="preserve"> </w:t>
      </w:r>
      <w:r w:rsidRPr="003C0EFE">
        <w:rPr>
          <w:rFonts w:eastAsia="Times New Roman" w:cs="Arial"/>
          <w:color w:val="000000"/>
          <w:lang w:eastAsia="bg-BG"/>
        </w:rPr>
        <w:t xml:space="preserve">наличието на </w:t>
      </w:r>
      <w:r w:rsidRPr="003C0EFE">
        <w:rPr>
          <w:rFonts w:eastAsia="Times New Roman" w:cs="Arial"/>
          <w:color w:val="000000"/>
          <w:lang w:val="en-US"/>
        </w:rPr>
        <w:t>CYP</w:t>
      </w:r>
      <w:r w:rsidRPr="003C0EFE">
        <w:rPr>
          <w:rFonts w:eastAsia="Times New Roman" w:cs="Arial"/>
          <w:color w:val="000000"/>
          <w:lang w:val="ru-RU"/>
        </w:rPr>
        <w:t>3</w:t>
      </w:r>
      <w:r w:rsidRPr="003C0EFE">
        <w:rPr>
          <w:rFonts w:eastAsia="Times New Roman" w:cs="Arial"/>
          <w:color w:val="000000"/>
          <w:lang w:val="en-US"/>
        </w:rPr>
        <w:t>A</w:t>
      </w:r>
      <w:r w:rsidRPr="003C0EFE">
        <w:rPr>
          <w:rFonts w:eastAsia="Times New Roman" w:cs="Arial"/>
          <w:color w:val="000000"/>
          <w:lang w:val="ru-RU"/>
        </w:rPr>
        <w:t xml:space="preserve">4 </w:t>
      </w:r>
      <w:r w:rsidRPr="003C0EFE">
        <w:rPr>
          <w:rFonts w:eastAsia="Times New Roman" w:cs="Arial"/>
          <w:color w:val="000000"/>
          <w:lang w:eastAsia="bg-BG"/>
        </w:rPr>
        <w:t>в горните отдели на стомашно - чревния тракт. Това е така тъй като при пероралния път на въвеждане се променя системния клирънс и бионаличността, докато при парентералния път на приложение се проявяват само промените в системния клирънс.</w:t>
      </w:r>
    </w:p>
    <w:p w14:paraId="4DDBE264" w14:textId="77777777" w:rsidR="003C0EFE" w:rsidRPr="003C0EFE" w:rsidRDefault="003C0EFE" w:rsidP="003C0EFE">
      <w:pPr>
        <w:spacing w:line="240" w:lineRule="auto"/>
        <w:rPr>
          <w:rFonts w:eastAsia="Times New Roman" w:cs="Arial"/>
          <w:color w:val="000000"/>
          <w:lang w:eastAsia="bg-BG"/>
        </w:rPr>
      </w:pPr>
    </w:p>
    <w:p w14:paraId="491717B3" w14:textId="4A983FFE" w:rsidR="003C0EFE" w:rsidRPr="003C0EFE" w:rsidRDefault="003C0EFE" w:rsidP="003C0EFE">
      <w:pPr>
        <w:spacing w:line="240" w:lineRule="auto"/>
        <w:rPr>
          <w:rFonts w:eastAsia="Times New Roman" w:cs="Arial"/>
        </w:rPr>
      </w:pPr>
      <w:r w:rsidRPr="003C0EFE">
        <w:rPr>
          <w:rFonts w:eastAsia="Times New Roman" w:cs="Arial"/>
          <w:color w:val="000000"/>
          <w:lang w:eastAsia="bg-BG"/>
        </w:rPr>
        <w:lastRenderedPageBreak/>
        <w:t xml:space="preserve">След интравенозно приложение на еднократна доза мидазолам последствията върху максималния клиничен ефект, дължащи се на инхибиране на </w:t>
      </w:r>
      <w:r w:rsidRPr="003C0EFE">
        <w:rPr>
          <w:rFonts w:eastAsia="Times New Roman" w:cs="Arial"/>
          <w:color w:val="000000"/>
          <w:lang w:val="en-US"/>
        </w:rPr>
        <w:t>CYP</w:t>
      </w:r>
      <w:r w:rsidRPr="003C0EFE">
        <w:rPr>
          <w:rFonts w:eastAsia="Times New Roman" w:cs="Arial"/>
          <w:color w:val="000000"/>
          <w:lang w:val="ru-RU"/>
        </w:rPr>
        <w:t>3</w:t>
      </w:r>
      <w:r w:rsidRPr="003C0EFE">
        <w:rPr>
          <w:rFonts w:eastAsia="Times New Roman" w:cs="Arial"/>
          <w:color w:val="000000"/>
          <w:lang w:val="en-US"/>
        </w:rPr>
        <w:t>A</w:t>
      </w:r>
      <w:r w:rsidRPr="003C0EFE">
        <w:rPr>
          <w:rFonts w:eastAsia="Times New Roman" w:cs="Arial"/>
          <w:color w:val="000000"/>
          <w:lang w:val="ru-RU"/>
        </w:rPr>
        <w:t xml:space="preserve">4, </w:t>
      </w:r>
      <w:r w:rsidRPr="003C0EFE">
        <w:rPr>
          <w:rFonts w:eastAsia="Times New Roman" w:cs="Arial"/>
          <w:color w:val="000000"/>
          <w:lang w:eastAsia="bg-BG"/>
        </w:rPr>
        <w:t xml:space="preserve">ще бъдат малки, докато продължителността на ефекта може да бъде увеличена. След продължително приложение на мидазолам, обаче, при наличие на инхибиране на </w:t>
      </w:r>
      <w:r w:rsidRPr="003C0EFE">
        <w:rPr>
          <w:rFonts w:eastAsia="Times New Roman" w:cs="Arial"/>
          <w:color w:val="000000"/>
          <w:lang w:val="en-US"/>
        </w:rPr>
        <w:t>CYP</w:t>
      </w:r>
      <w:r w:rsidRPr="003C0EFE">
        <w:rPr>
          <w:rFonts w:eastAsia="Times New Roman" w:cs="Arial"/>
          <w:color w:val="000000"/>
          <w:lang w:val="ru-RU"/>
        </w:rPr>
        <w:t>3</w:t>
      </w:r>
      <w:r w:rsidRPr="003C0EFE">
        <w:rPr>
          <w:rFonts w:eastAsia="Times New Roman" w:cs="Arial"/>
          <w:color w:val="000000"/>
          <w:lang w:val="en-US"/>
        </w:rPr>
        <w:t>A</w:t>
      </w:r>
      <w:r w:rsidRPr="003C0EFE">
        <w:rPr>
          <w:rFonts w:eastAsia="Times New Roman" w:cs="Arial"/>
          <w:color w:val="000000"/>
          <w:lang w:val="ru-RU"/>
        </w:rPr>
        <w:t xml:space="preserve">4 </w:t>
      </w:r>
      <w:r w:rsidRPr="003C0EFE">
        <w:rPr>
          <w:rFonts w:eastAsia="Times New Roman" w:cs="Arial"/>
          <w:color w:val="000000"/>
          <w:lang w:eastAsia="bg-BG"/>
        </w:rPr>
        <w:t>ще се увеличат силата и продължителността на ефекта.</w:t>
      </w:r>
    </w:p>
    <w:p w14:paraId="2D977A98" w14:textId="77777777" w:rsidR="003C0EFE" w:rsidRPr="003C0EFE" w:rsidRDefault="003C0EFE" w:rsidP="003C0EFE">
      <w:pPr>
        <w:spacing w:line="240" w:lineRule="auto"/>
        <w:rPr>
          <w:rFonts w:eastAsia="Times New Roman" w:cs="Arial"/>
          <w:color w:val="000000"/>
          <w:lang w:eastAsia="bg-BG"/>
        </w:rPr>
      </w:pPr>
    </w:p>
    <w:p w14:paraId="15F505EC" w14:textId="0788FE7B" w:rsidR="003C0EFE" w:rsidRPr="003C0EFE" w:rsidRDefault="003C0EFE" w:rsidP="003C0EFE">
      <w:pPr>
        <w:spacing w:line="240" w:lineRule="auto"/>
        <w:rPr>
          <w:rFonts w:eastAsia="Times New Roman" w:cs="Arial"/>
        </w:rPr>
      </w:pPr>
      <w:r w:rsidRPr="003C0EFE">
        <w:rPr>
          <w:rFonts w:eastAsia="Times New Roman" w:cs="Arial"/>
          <w:color w:val="000000"/>
          <w:lang w:eastAsia="bg-BG"/>
        </w:rPr>
        <w:t xml:space="preserve">Няма проучвания на фармакокинетиката на мидазолам под влияние на </w:t>
      </w:r>
      <w:r w:rsidRPr="003C0EFE">
        <w:rPr>
          <w:rFonts w:eastAsia="Times New Roman" w:cs="Arial"/>
          <w:color w:val="000000"/>
          <w:lang w:val="en-US"/>
        </w:rPr>
        <w:t>CYP</w:t>
      </w:r>
      <w:r w:rsidRPr="003C0EFE">
        <w:rPr>
          <w:rFonts w:eastAsia="Times New Roman" w:cs="Arial"/>
          <w:color w:val="000000"/>
          <w:lang w:val="ru-RU"/>
        </w:rPr>
        <w:t>3</w:t>
      </w:r>
      <w:r w:rsidRPr="003C0EFE">
        <w:rPr>
          <w:rFonts w:eastAsia="Times New Roman" w:cs="Arial"/>
          <w:color w:val="000000"/>
          <w:lang w:eastAsia="bg-BG"/>
        </w:rPr>
        <w:t xml:space="preserve">А4 след ректално и интрамускулно приложение. Очаква се, че тези взаимодействия ще са по - слабо изразени при ректален път на приложение в сравнение с перорален поради заобикаляне на стомашно - чревния тракт, докато след интрамускулно приложение ефектите на изменението под въздействие на </w:t>
      </w:r>
      <w:r w:rsidRPr="003C0EFE">
        <w:rPr>
          <w:rFonts w:eastAsia="Times New Roman" w:cs="Arial"/>
          <w:color w:val="000000"/>
          <w:lang w:val="en-US"/>
        </w:rPr>
        <w:t>CYP</w:t>
      </w:r>
      <w:r w:rsidRPr="003C0EFE">
        <w:rPr>
          <w:rFonts w:eastAsia="Times New Roman" w:cs="Arial"/>
          <w:color w:val="000000"/>
          <w:lang w:val="ru-RU"/>
        </w:rPr>
        <w:t>3</w:t>
      </w:r>
      <w:r w:rsidRPr="003C0EFE">
        <w:rPr>
          <w:rFonts w:eastAsia="Times New Roman" w:cs="Arial"/>
          <w:color w:val="000000"/>
          <w:lang w:val="en-US"/>
        </w:rPr>
        <w:t>A</w:t>
      </w:r>
      <w:r w:rsidRPr="003C0EFE">
        <w:rPr>
          <w:rFonts w:eastAsia="Times New Roman" w:cs="Arial"/>
          <w:color w:val="000000"/>
          <w:lang w:val="ru-RU"/>
        </w:rPr>
        <w:t xml:space="preserve">4 </w:t>
      </w:r>
      <w:r w:rsidRPr="003C0EFE">
        <w:rPr>
          <w:rFonts w:eastAsia="Times New Roman" w:cs="Arial"/>
          <w:color w:val="000000"/>
          <w:lang w:eastAsia="bg-BG"/>
        </w:rPr>
        <w:t>не би трябвало да са значително по - различни от наблюдаваните след интравенозно приложение на мидазолам.</w:t>
      </w:r>
    </w:p>
    <w:p w14:paraId="64DC5B2B" w14:textId="77777777" w:rsidR="003C0EFE" w:rsidRPr="003C0EFE" w:rsidRDefault="003C0EFE" w:rsidP="003C0EFE">
      <w:pPr>
        <w:spacing w:line="240" w:lineRule="auto"/>
        <w:rPr>
          <w:rFonts w:eastAsia="Times New Roman" w:cs="Arial"/>
          <w:color w:val="000000"/>
          <w:lang w:eastAsia="bg-BG"/>
        </w:rPr>
      </w:pPr>
    </w:p>
    <w:p w14:paraId="73F0F311" w14:textId="2746DEC1" w:rsidR="003C0EFE" w:rsidRPr="003C0EFE" w:rsidRDefault="003C0EFE" w:rsidP="003C0EFE">
      <w:pPr>
        <w:spacing w:line="240" w:lineRule="auto"/>
        <w:rPr>
          <w:rFonts w:eastAsia="Times New Roman" w:cs="Arial"/>
        </w:rPr>
      </w:pPr>
      <w:r w:rsidRPr="003C0EFE">
        <w:rPr>
          <w:rFonts w:eastAsia="Times New Roman" w:cs="Arial"/>
          <w:color w:val="000000"/>
          <w:lang w:eastAsia="bg-BG"/>
        </w:rPr>
        <w:t xml:space="preserve">Поради това се препоръчва внимателно проследяване на клиничните ефекти и жизнените признаци при употреба на мидазолам. Като се има предвид, че те може да са по-изразени и да продължат по - дълго при едновременно приложение на инхибитор на </w:t>
      </w:r>
      <w:r w:rsidRPr="003C0EFE">
        <w:rPr>
          <w:rFonts w:eastAsia="Times New Roman" w:cs="Arial"/>
          <w:color w:val="000000"/>
          <w:lang w:val="en-US"/>
        </w:rPr>
        <w:t>CYP</w:t>
      </w:r>
      <w:r w:rsidRPr="003C0EFE">
        <w:rPr>
          <w:rFonts w:eastAsia="Times New Roman" w:cs="Arial"/>
          <w:color w:val="000000"/>
          <w:lang w:val="ru-RU"/>
        </w:rPr>
        <w:t>3</w:t>
      </w:r>
      <w:r w:rsidRPr="003C0EFE">
        <w:rPr>
          <w:rFonts w:eastAsia="Times New Roman" w:cs="Arial"/>
          <w:color w:val="000000"/>
          <w:lang w:val="en-US"/>
        </w:rPr>
        <w:t>A</w:t>
      </w:r>
      <w:r w:rsidRPr="003C0EFE">
        <w:rPr>
          <w:rFonts w:eastAsia="Times New Roman" w:cs="Arial"/>
          <w:color w:val="000000"/>
          <w:lang w:val="ru-RU"/>
        </w:rPr>
        <w:t xml:space="preserve">4, </w:t>
      </w:r>
      <w:r w:rsidRPr="003C0EFE">
        <w:rPr>
          <w:rFonts w:eastAsia="Times New Roman" w:cs="Arial"/>
          <w:color w:val="000000"/>
          <w:lang w:eastAsia="bg-BG"/>
        </w:rPr>
        <w:t xml:space="preserve">дори и ако той е даден само веднъж. Трябва да се отбележи, че приложението на високи дози или продължителна инфузия на мидазолам при пациенти, получаващи мощни инхибитори на </w:t>
      </w:r>
      <w:r w:rsidRPr="003C0EFE">
        <w:rPr>
          <w:rFonts w:eastAsia="Times New Roman" w:cs="Arial"/>
          <w:color w:val="000000"/>
          <w:lang w:val="en-US"/>
        </w:rPr>
        <w:t>CYP</w:t>
      </w:r>
      <w:r w:rsidRPr="003C0EFE">
        <w:rPr>
          <w:rFonts w:eastAsia="Times New Roman" w:cs="Arial"/>
          <w:color w:val="000000"/>
          <w:lang w:val="ru-RU"/>
        </w:rPr>
        <w:t>3</w:t>
      </w:r>
      <w:r w:rsidRPr="003C0EFE">
        <w:rPr>
          <w:rFonts w:eastAsia="Times New Roman" w:cs="Arial"/>
          <w:color w:val="000000"/>
          <w:lang w:val="en-US"/>
        </w:rPr>
        <w:t>A</w:t>
      </w:r>
      <w:r w:rsidRPr="003C0EFE">
        <w:rPr>
          <w:rFonts w:eastAsia="Times New Roman" w:cs="Arial"/>
          <w:color w:val="000000"/>
          <w:lang w:val="ru-RU"/>
        </w:rPr>
        <w:t xml:space="preserve">4, </w:t>
      </w:r>
      <w:r w:rsidRPr="003C0EFE">
        <w:rPr>
          <w:rFonts w:eastAsia="Times New Roman" w:cs="Arial"/>
          <w:color w:val="000000"/>
          <w:lang w:eastAsia="bg-BG"/>
        </w:rPr>
        <w:t>напр. при пациенти в интензивните отделения, може да доведе до продължителен хипнотичен ефект, забавено възстановяване и потискане на дишането, което налага промяна в дозата на мидазолам.</w:t>
      </w:r>
    </w:p>
    <w:p w14:paraId="1407CBF2" w14:textId="77777777" w:rsidR="003C0EFE" w:rsidRPr="003C0EFE" w:rsidRDefault="003C0EFE" w:rsidP="003C0EFE">
      <w:pPr>
        <w:spacing w:line="240" w:lineRule="auto"/>
        <w:rPr>
          <w:rFonts w:eastAsia="Times New Roman" w:cs="Arial"/>
          <w:color w:val="000000"/>
          <w:lang w:eastAsia="bg-BG"/>
        </w:rPr>
      </w:pPr>
    </w:p>
    <w:p w14:paraId="7DA9C630" w14:textId="74A25E47" w:rsidR="003C0EFE" w:rsidRPr="003C0EFE" w:rsidRDefault="003C0EFE" w:rsidP="003C0EFE">
      <w:pPr>
        <w:spacing w:line="240" w:lineRule="auto"/>
        <w:rPr>
          <w:rFonts w:eastAsia="Times New Roman" w:cs="Arial"/>
        </w:rPr>
      </w:pPr>
      <w:r w:rsidRPr="003C0EFE">
        <w:rPr>
          <w:rFonts w:eastAsia="Times New Roman" w:cs="Arial"/>
          <w:color w:val="000000"/>
          <w:lang w:eastAsia="bg-BG"/>
        </w:rPr>
        <w:t>По отношение на индукцията трябва да се има предвид, че за процеса на индукция са необходими няколко дни, за да се достигне максималния ефект и също така няколко дни, за да отзвучи. За разлика от няколкодневно лечение с индуктор, краткотрайното лечение се очаква да доведе до по - слабо изразени взаимодействия тип „лекарство - лекарство“ с мидазолам. При мощните индуктори, обаче, не може да се изключи клинично значима индукция дори и след краткотрайно лечение.</w:t>
      </w:r>
    </w:p>
    <w:p w14:paraId="337E0A1E" w14:textId="77777777" w:rsidR="003C0EFE" w:rsidRPr="003C0EFE" w:rsidRDefault="003C0EFE" w:rsidP="003C0EFE">
      <w:pPr>
        <w:spacing w:line="240" w:lineRule="auto"/>
        <w:rPr>
          <w:rFonts w:eastAsia="Times New Roman" w:cs="Arial"/>
          <w:color w:val="000000"/>
          <w:lang w:eastAsia="bg-BG"/>
        </w:rPr>
      </w:pPr>
    </w:p>
    <w:p w14:paraId="752518BE" w14:textId="0A27CA06" w:rsidR="003C0EFE" w:rsidRPr="003C0EFE" w:rsidRDefault="003C0EFE" w:rsidP="003C0EFE">
      <w:pPr>
        <w:spacing w:line="240" w:lineRule="auto"/>
        <w:rPr>
          <w:rFonts w:eastAsia="Times New Roman" w:cs="Arial"/>
        </w:rPr>
      </w:pPr>
      <w:r w:rsidRPr="003C0EFE">
        <w:rPr>
          <w:rFonts w:eastAsia="Times New Roman" w:cs="Arial"/>
          <w:color w:val="000000"/>
          <w:lang w:eastAsia="bg-BG"/>
        </w:rPr>
        <w:t>Не е известно мидазолам да променя фармакокинетиката на други лекарства.</w:t>
      </w:r>
    </w:p>
    <w:p w14:paraId="73F800AD" w14:textId="77777777" w:rsidR="003C0EFE" w:rsidRPr="003C0EFE" w:rsidRDefault="003C0EFE" w:rsidP="003C0EFE">
      <w:pPr>
        <w:spacing w:line="240" w:lineRule="auto"/>
        <w:rPr>
          <w:rFonts w:eastAsia="Times New Roman" w:cs="Arial"/>
          <w:color w:val="000000"/>
          <w:u w:val="single"/>
          <w:lang w:eastAsia="bg-BG"/>
        </w:rPr>
      </w:pPr>
    </w:p>
    <w:p w14:paraId="2B333439" w14:textId="0556F4BF" w:rsidR="003C0EFE" w:rsidRPr="003C0EFE" w:rsidRDefault="003C0EFE" w:rsidP="003C0EFE">
      <w:pPr>
        <w:spacing w:line="240" w:lineRule="auto"/>
        <w:rPr>
          <w:rFonts w:eastAsia="Times New Roman" w:cs="Arial"/>
        </w:rPr>
      </w:pPr>
      <w:r w:rsidRPr="003C0EFE">
        <w:rPr>
          <w:rFonts w:eastAsia="Times New Roman" w:cs="Arial"/>
          <w:color w:val="000000"/>
          <w:u w:val="single"/>
          <w:lang w:eastAsia="bg-BG"/>
        </w:rPr>
        <w:t xml:space="preserve">Лекарства, които инхибират </w:t>
      </w:r>
      <w:r w:rsidRPr="003C0EFE">
        <w:rPr>
          <w:rFonts w:eastAsia="Times New Roman" w:cs="Arial"/>
          <w:color w:val="000000"/>
          <w:u w:val="single"/>
          <w:lang w:val="en-US"/>
        </w:rPr>
        <w:t>CYP</w:t>
      </w:r>
      <w:r w:rsidRPr="003C0EFE">
        <w:rPr>
          <w:rFonts w:eastAsia="Times New Roman" w:cs="Arial"/>
          <w:color w:val="000000"/>
          <w:u w:val="single"/>
          <w:lang w:val="ru-RU"/>
        </w:rPr>
        <w:t>3</w:t>
      </w:r>
      <w:r w:rsidRPr="003C0EFE">
        <w:rPr>
          <w:rFonts w:eastAsia="Times New Roman" w:cs="Arial"/>
          <w:color w:val="000000"/>
          <w:u w:val="single"/>
          <w:lang w:val="en-US"/>
        </w:rPr>
        <w:t>A</w:t>
      </w:r>
      <w:r w:rsidRPr="003C0EFE">
        <w:rPr>
          <w:rFonts w:eastAsia="Times New Roman" w:cs="Arial"/>
          <w:color w:val="000000"/>
          <w:u w:val="single"/>
          <w:lang w:val="ru-RU"/>
        </w:rPr>
        <w:t>4</w:t>
      </w:r>
    </w:p>
    <w:p w14:paraId="62B1B925" w14:textId="77777777" w:rsidR="003C0EFE" w:rsidRPr="003C0EFE" w:rsidRDefault="003C0EFE" w:rsidP="003C0EFE">
      <w:pPr>
        <w:spacing w:line="240" w:lineRule="auto"/>
        <w:rPr>
          <w:rFonts w:eastAsia="Times New Roman" w:cs="Arial"/>
          <w:i/>
          <w:iCs/>
          <w:color w:val="000000"/>
          <w:u w:val="single"/>
          <w:lang w:eastAsia="bg-BG"/>
        </w:rPr>
      </w:pPr>
    </w:p>
    <w:p w14:paraId="66674AA4" w14:textId="0C3EDD05" w:rsidR="003C0EFE" w:rsidRPr="003C0EFE" w:rsidRDefault="003C0EFE" w:rsidP="003C0EFE">
      <w:pPr>
        <w:spacing w:line="240" w:lineRule="auto"/>
        <w:rPr>
          <w:rFonts w:eastAsia="Times New Roman" w:cs="Arial"/>
        </w:rPr>
      </w:pPr>
      <w:r w:rsidRPr="003C0EFE">
        <w:rPr>
          <w:rFonts w:eastAsia="Times New Roman" w:cs="Arial"/>
          <w:i/>
          <w:iCs/>
          <w:color w:val="000000"/>
          <w:u w:val="single"/>
          <w:lang w:eastAsia="bg-BG"/>
        </w:rPr>
        <w:t>Азолови антимикотиии</w:t>
      </w:r>
    </w:p>
    <w:p w14:paraId="1E8A62F7" w14:textId="77777777" w:rsidR="003C0EFE" w:rsidRPr="003C0EFE" w:rsidRDefault="003C0EFE" w:rsidP="003C0EFE">
      <w:pPr>
        <w:pStyle w:val="ListParagraph"/>
        <w:numPr>
          <w:ilvl w:val="0"/>
          <w:numId w:val="40"/>
        </w:numPr>
        <w:spacing w:line="240" w:lineRule="auto"/>
        <w:rPr>
          <w:rFonts w:eastAsia="Times New Roman" w:cs="Arial"/>
          <w:color w:val="000000"/>
          <w:lang w:eastAsia="bg-BG"/>
        </w:rPr>
      </w:pPr>
      <w:r w:rsidRPr="003C0EFE">
        <w:rPr>
          <w:rFonts w:eastAsia="Times New Roman" w:cs="Arial"/>
          <w:color w:val="000000"/>
          <w:lang w:eastAsia="bg-BG"/>
        </w:rPr>
        <w:t>Кетоконазол повишава плазмените концентрации на интравенозно приложен мидазолам 5 пъти, като терминалният полуживот се увеличава около 3 пъти. Ако парентерално приложен мидазолам бъде приложен едновременно с кетоконазол, мощен инхибитор на С</w:t>
      </w:r>
      <w:r w:rsidRPr="003C0EFE">
        <w:rPr>
          <w:rFonts w:eastAsia="Times New Roman" w:cs="Arial"/>
          <w:color w:val="000000"/>
          <w:lang w:val="en-US"/>
        </w:rPr>
        <w:t>YP</w:t>
      </w:r>
      <w:r w:rsidRPr="003C0EFE">
        <w:rPr>
          <w:rFonts w:eastAsia="Times New Roman" w:cs="Arial"/>
          <w:color w:val="000000"/>
          <w:lang w:val="ru-RU"/>
        </w:rPr>
        <w:t>3</w:t>
      </w:r>
      <w:r w:rsidRPr="003C0EFE">
        <w:rPr>
          <w:rFonts w:eastAsia="Times New Roman" w:cs="Arial"/>
          <w:color w:val="000000"/>
          <w:lang w:eastAsia="bg-BG"/>
        </w:rPr>
        <w:t>А4, това трябва да се извърши в интензивно отделение или при подобни условия с осигурени възможности за стриктно клинично наблюдение и за подходящо медицинско лечение при респираторна депресия и/или продължителна седация. Трябва да се имат предвид внимателно дозиране и коригиране на дозата, особено при интензивно приложение на повече от една доза мидазолам. Същите препоръки може да се отнасят и до другите азолови антимикотици (вижте по - нататък), тъй като има съобщения за засилени, макар и в по-малка степен, седативни ефекти при интравенозно приложение на мидазолам.</w:t>
      </w:r>
    </w:p>
    <w:p w14:paraId="7B23D30C" w14:textId="77777777" w:rsidR="003C0EFE" w:rsidRPr="003C0EFE" w:rsidRDefault="003C0EFE" w:rsidP="003C0EFE">
      <w:pPr>
        <w:pStyle w:val="ListParagraph"/>
        <w:numPr>
          <w:ilvl w:val="0"/>
          <w:numId w:val="40"/>
        </w:numPr>
        <w:spacing w:line="240" w:lineRule="auto"/>
        <w:rPr>
          <w:rFonts w:eastAsia="Times New Roman" w:cs="Arial"/>
          <w:color w:val="000000"/>
          <w:lang w:eastAsia="bg-BG"/>
        </w:rPr>
      </w:pPr>
      <w:r w:rsidRPr="003C0EFE">
        <w:rPr>
          <w:rFonts w:eastAsia="Times New Roman" w:cs="Arial"/>
          <w:color w:val="000000"/>
          <w:lang w:eastAsia="bg-BG"/>
        </w:rPr>
        <w:t>Вориконазол повишава експозицията на интравенозно приложен мидазолам 3 пъти, като елиминационният му полуживот се увеличава около 3 пъти.</w:t>
      </w:r>
    </w:p>
    <w:p w14:paraId="46056E09" w14:textId="77777777" w:rsidR="003C0EFE" w:rsidRPr="003C0EFE" w:rsidRDefault="003C0EFE" w:rsidP="003C0EFE">
      <w:pPr>
        <w:pStyle w:val="ListParagraph"/>
        <w:numPr>
          <w:ilvl w:val="0"/>
          <w:numId w:val="40"/>
        </w:numPr>
        <w:spacing w:line="240" w:lineRule="auto"/>
        <w:rPr>
          <w:rFonts w:eastAsia="Times New Roman" w:cs="Arial"/>
          <w:color w:val="000000"/>
          <w:lang w:eastAsia="bg-BG"/>
        </w:rPr>
      </w:pPr>
      <w:r w:rsidRPr="003C0EFE">
        <w:rPr>
          <w:rFonts w:eastAsia="Times New Roman" w:cs="Arial"/>
          <w:color w:val="000000"/>
          <w:lang w:eastAsia="bg-BG"/>
        </w:rPr>
        <w:t>Флуконазол и итраконазол повишават плазмените концентрации на интравенозен мидазолам 2-3 пъти с едновременно увеличение на терминалния полуживот въответно с 2,4 пъти за итраконазол и 1,5 за флуконазол.</w:t>
      </w:r>
    </w:p>
    <w:p w14:paraId="3D0DF138" w14:textId="595B3BFD" w:rsidR="003C0EFE" w:rsidRPr="003C0EFE" w:rsidRDefault="003C0EFE" w:rsidP="003C0EFE">
      <w:pPr>
        <w:pStyle w:val="ListParagraph"/>
        <w:numPr>
          <w:ilvl w:val="0"/>
          <w:numId w:val="40"/>
        </w:numPr>
        <w:spacing w:line="240" w:lineRule="auto"/>
        <w:rPr>
          <w:rFonts w:eastAsia="Times New Roman" w:cs="Arial"/>
          <w:color w:val="000000"/>
          <w:lang w:eastAsia="bg-BG"/>
        </w:rPr>
      </w:pPr>
      <w:r w:rsidRPr="003C0EFE">
        <w:rPr>
          <w:rFonts w:eastAsia="Times New Roman" w:cs="Arial"/>
          <w:color w:val="000000"/>
          <w:lang w:eastAsia="bg-BG"/>
        </w:rPr>
        <w:lastRenderedPageBreak/>
        <w:t>Позаконазол повишава плазмените концентрации на интравенозно приложен мидазопам около 2 пъти.</w:t>
      </w:r>
    </w:p>
    <w:p w14:paraId="1C194842" w14:textId="3D886953" w:rsidR="003C0EFE" w:rsidRPr="003C0EFE" w:rsidRDefault="003C0EFE" w:rsidP="003C0EFE">
      <w:pPr>
        <w:spacing w:line="240" w:lineRule="auto"/>
        <w:rPr>
          <w:rFonts w:eastAsia="Times New Roman" w:cs="Arial"/>
          <w:color w:val="000000"/>
          <w:lang w:eastAsia="bg-BG"/>
        </w:rPr>
      </w:pPr>
    </w:p>
    <w:p w14:paraId="070EBDFF"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Трябва да се има предвид, че ако мидазолам се прилага перорално, експозицията му ще бъде драстично по - голяма от споменатите по - горе, особено при кетоконазол, итраконазол, вориконазол.</w:t>
      </w:r>
    </w:p>
    <w:p w14:paraId="602391A0" w14:textId="77777777" w:rsidR="003C0EFE" w:rsidRPr="003C0EFE" w:rsidRDefault="003C0EFE" w:rsidP="003C0EFE">
      <w:pPr>
        <w:spacing w:line="240" w:lineRule="auto"/>
        <w:rPr>
          <w:rFonts w:eastAsia="Times New Roman" w:cs="Arial"/>
          <w:b/>
          <w:bCs/>
          <w:color w:val="000000"/>
          <w:lang w:eastAsia="bg-BG"/>
        </w:rPr>
      </w:pPr>
    </w:p>
    <w:p w14:paraId="5B9B8A0B" w14:textId="041CCE50" w:rsidR="003C0EFE" w:rsidRPr="003C0EFE" w:rsidRDefault="003C0EFE" w:rsidP="003C0EFE">
      <w:pPr>
        <w:spacing w:line="240" w:lineRule="auto"/>
        <w:rPr>
          <w:rFonts w:eastAsia="Times New Roman" w:cs="Arial"/>
        </w:rPr>
      </w:pPr>
      <w:r w:rsidRPr="003C0EFE">
        <w:rPr>
          <w:rFonts w:eastAsia="Times New Roman" w:cs="Arial"/>
          <w:b/>
          <w:bCs/>
          <w:color w:val="000000"/>
          <w:lang w:eastAsia="bg-BG"/>
        </w:rPr>
        <w:t>Мидазолам ампули не е показан за перорално приложение.</w:t>
      </w:r>
    </w:p>
    <w:p w14:paraId="5FB8490B" w14:textId="77777777" w:rsidR="003C0EFE" w:rsidRPr="003C0EFE" w:rsidRDefault="003C0EFE" w:rsidP="003C0EFE">
      <w:pPr>
        <w:spacing w:line="240" w:lineRule="auto"/>
        <w:rPr>
          <w:rFonts w:eastAsia="Times New Roman" w:cs="Arial"/>
          <w:i/>
          <w:iCs/>
          <w:color w:val="000000"/>
          <w:u w:val="single"/>
          <w:lang w:eastAsia="bg-BG"/>
        </w:rPr>
      </w:pPr>
    </w:p>
    <w:p w14:paraId="790BC0DA" w14:textId="4F969AAA" w:rsidR="003C0EFE" w:rsidRPr="003C0EFE" w:rsidRDefault="003C0EFE" w:rsidP="003C0EFE">
      <w:pPr>
        <w:spacing w:line="240" w:lineRule="auto"/>
        <w:rPr>
          <w:rFonts w:eastAsia="Times New Roman" w:cs="Arial"/>
        </w:rPr>
      </w:pPr>
      <w:r w:rsidRPr="003C0EFE">
        <w:rPr>
          <w:rFonts w:eastAsia="Times New Roman" w:cs="Arial"/>
          <w:i/>
          <w:iCs/>
          <w:color w:val="000000"/>
          <w:u w:val="single"/>
          <w:lang w:eastAsia="bg-BG"/>
        </w:rPr>
        <w:t>Макролидни антибиотици</w:t>
      </w:r>
    </w:p>
    <w:p w14:paraId="52F26ADF" w14:textId="77777777" w:rsidR="003C0EFE" w:rsidRPr="003C0EFE" w:rsidRDefault="003C0EFE" w:rsidP="003C0EFE">
      <w:pPr>
        <w:pStyle w:val="ListParagraph"/>
        <w:numPr>
          <w:ilvl w:val="0"/>
          <w:numId w:val="41"/>
        </w:numPr>
        <w:spacing w:line="240" w:lineRule="auto"/>
        <w:rPr>
          <w:rFonts w:eastAsia="Times New Roman" w:cs="Arial"/>
          <w:color w:val="000000"/>
          <w:lang w:eastAsia="bg-BG"/>
        </w:rPr>
      </w:pPr>
      <w:r w:rsidRPr="003C0EFE">
        <w:rPr>
          <w:rFonts w:eastAsia="Times New Roman" w:cs="Arial"/>
          <w:color w:val="000000"/>
          <w:lang w:eastAsia="bg-BG"/>
        </w:rPr>
        <w:t>Еритромицин води до повишаване на плазмените концентрации на интравенозно приложен мидазолам с около 1,6-2 пъти, свързано с увеличаване на терминалния му полуживот с 1,5 - 1,8 пъти.</w:t>
      </w:r>
    </w:p>
    <w:p w14:paraId="38FADAA2" w14:textId="77777777" w:rsidR="003C0EFE" w:rsidRPr="003C0EFE" w:rsidRDefault="003C0EFE" w:rsidP="003C0EFE">
      <w:pPr>
        <w:pStyle w:val="ListParagraph"/>
        <w:numPr>
          <w:ilvl w:val="0"/>
          <w:numId w:val="41"/>
        </w:numPr>
        <w:spacing w:line="240" w:lineRule="auto"/>
        <w:rPr>
          <w:rFonts w:eastAsia="Times New Roman" w:cs="Arial"/>
          <w:color w:val="000000"/>
          <w:lang w:eastAsia="bg-BG"/>
        </w:rPr>
      </w:pPr>
      <w:r w:rsidRPr="003C0EFE">
        <w:rPr>
          <w:rFonts w:eastAsia="Times New Roman" w:cs="Arial"/>
          <w:color w:val="000000"/>
          <w:lang w:eastAsia="bg-BG"/>
        </w:rPr>
        <w:t>Кларитромицин повишава плазмените концентрации на мидазолам с до 2,5 пъти и терминалния му полуживот с 1,5 - 2 пъти.</w:t>
      </w:r>
    </w:p>
    <w:p w14:paraId="43B32DF9" w14:textId="77777777" w:rsidR="003C0EFE" w:rsidRPr="003C0EFE" w:rsidRDefault="003C0EFE" w:rsidP="003C0EFE">
      <w:pPr>
        <w:spacing w:line="240" w:lineRule="auto"/>
        <w:rPr>
          <w:rFonts w:eastAsia="Times New Roman" w:cs="Arial"/>
          <w:i/>
          <w:iCs/>
          <w:color w:val="000000"/>
          <w:lang w:eastAsia="bg-BG"/>
        </w:rPr>
      </w:pPr>
    </w:p>
    <w:p w14:paraId="0AA248BB" w14:textId="3BD70A4E" w:rsidR="003C0EFE" w:rsidRPr="003C0EFE" w:rsidRDefault="003C0EFE" w:rsidP="003C0EFE">
      <w:pPr>
        <w:spacing w:line="240" w:lineRule="auto"/>
        <w:rPr>
          <w:rFonts w:eastAsia="Times New Roman" w:cs="Arial"/>
        </w:rPr>
      </w:pPr>
      <w:r w:rsidRPr="003C0EFE">
        <w:rPr>
          <w:rFonts w:eastAsia="Times New Roman" w:cs="Arial"/>
          <w:i/>
          <w:iCs/>
          <w:color w:val="000000"/>
          <w:lang w:eastAsia="bg-BG"/>
        </w:rPr>
        <w:t>Допълнителна информация за перорално приложен мидазолам</w:t>
      </w:r>
    </w:p>
    <w:p w14:paraId="0ECCD32D" w14:textId="77777777" w:rsidR="003C0EFE" w:rsidRPr="003C0EFE" w:rsidRDefault="003C0EFE" w:rsidP="003C0EFE">
      <w:pPr>
        <w:pStyle w:val="ListParagraph"/>
        <w:numPr>
          <w:ilvl w:val="0"/>
          <w:numId w:val="42"/>
        </w:numPr>
        <w:spacing w:line="240" w:lineRule="auto"/>
        <w:rPr>
          <w:rFonts w:eastAsia="Times New Roman" w:cs="Arial"/>
          <w:color w:val="000000"/>
          <w:lang w:eastAsia="bg-BG"/>
        </w:rPr>
      </w:pPr>
      <w:r w:rsidRPr="003C0EFE">
        <w:rPr>
          <w:rFonts w:eastAsia="Times New Roman" w:cs="Arial"/>
          <w:color w:val="000000"/>
          <w:lang w:eastAsia="bg-BG"/>
        </w:rPr>
        <w:t>Рокситромицин: въпреки че няма информация за приложение на рокситромицин с интравенозно приложен мидазолам, слабият ефект върху терминалния полуживот на перорално приложен мидазолам таблетки, водещ до повишение с 30 %, показва, че ефектите на рокситромицин върху интравенозно приложен мидазолам може да са малки.</w:t>
      </w:r>
    </w:p>
    <w:p w14:paraId="724C6294" w14:textId="77777777" w:rsidR="003C0EFE" w:rsidRPr="003C0EFE" w:rsidRDefault="003C0EFE" w:rsidP="003C0EFE">
      <w:pPr>
        <w:spacing w:line="240" w:lineRule="auto"/>
        <w:rPr>
          <w:rFonts w:eastAsia="Times New Roman" w:cs="Arial"/>
          <w:i/>
          <w:iCs/>
          <w:color w:val="000000"/>
          <w:lang w:val="ru-RU"/>
        </w:rPr>
      </w:pPr>
    </w:p>
    <w:p w14:paraId="62CE2363" w14:textId="4BF788EA" w:rsidR="003C0EFE" w:rsidRPr="003C0EFE" w:rsidRDefault="003C0EFE" w:rsidP="003C0EFE">
      <w:pPr>
        <w:spacing w:line="240" w:lineRule="auto"/>
        <w:rPr>
          <w:rFonts w:eastAsia="Times New Roman" w:cs="Arial"/>
        </w:rPr>
      </w:pPr>
      <w:r w:rsidRPr="003C0EFE">
        <w:rPr>
          <w:rFonts w:eastAsia="Times New Roman" w:cs="Arial"/>
          <w:i/>
          <w:iCs/>
          <w:color w:val="000000"/>
          <w:lang w:val="en-US"/>
        </w:rPr>
        <w:t xml:space="preserve">HIV </w:t>
      </w:r>
      <w:r w:rsidRPr="003C0EFE">
        <w:rPr>
          <w:rFonts w:eastAsia="Times New Roman" w:cs="Arial"/>
          <w:i/>
          <w:iCs/>
          <w:color w:val="000000"/>
          <w:lang w:eastAsia="bg-BG"/>
        </w:rPr>
        <w:t>протеазни инхибитори</w:t>
      </w:r>
    </w:p>
    <w:p w14:paraId="19307618" w14:textId="77777777" w:rsidR="003C0EFE" w:rsidRPr="003C0EFE" w:rsidRDefault="003C0EFE" w:rsidP="003C0EFE">
      <w:pPr>
        <w:pStyle w:val="ListParagraph"/>
        <w:numPr>
          <w:ilvl w:val="0"/>
          <w:numId w:val="42"/>
        </w:numPr>
        <w:spacing w:line="240" w:lineRule="auto"/>
        <w:rPr>
          <w:rFonts w:eastAsia="Times New Roman" w:cs="Arial"/>
          <w:color w:val="000000"/>
          <w:lang w:eastAsia="bg-BG"/>
        </w:rPr>
      </w:pPr>
      <w:r w:rsidRPr="003C0EFE">
        <w:rPr>
          <w:rFonts w:eastAsia="Times New Roman" w:cs="Arial"/>
          <w:color w:val="000000"/>
          <w:lang w:eastAsia="bg-BG"/>
        </w:rPr>
        <w:t xml:space="preserve">Саквинавир и други </w:t>
      </w:r>
      <w:r w:rsidRPr="003C0EFE">
        <w:rPr>
          <w:rFonts w:eastAsia="Times New Roman" w:cs="Arial"/>
          <w:color w:val="000000"/>
          <w:lang w:val="en-US"/>
        </w:rPr>
        <w:t>HIV</w:t>
      </w:r>
      <w:r w:rsidRPr="003C0EFE">
        <w:rPr>
          <w:rFonts w:eastAsia="Times New Roman" w:cs="Arial"/>
          <w:color w:val="000000"/>
          <w:lang w:val="ru-RU"/>
        </w:rPr>
        <w:t xml:space="preserve"> </w:t>
      </w:r>
      <w:r w:rsidRPr="003C0EFE">
        <w:rPr>
          <w:rFonts w:eastAsia="Times New Roman" w:cs="Arial"/>
          <w:color w:val="000000"/>
          <w:lang w:eastAsia="bg-BG"/>
        </w:rPr>
        <w:t xml:space="preserve">протеазни инхибитори: едновременното приложение с протеазни инхибитори може да предизвика голямо увеличение на концентрацията на мидазолам. При едновременно приложение с лопинавир, подсилващ ефекта на ритонавир, плазмените концентрации на интравенозно приложен мидазолам се повишават около 4,5 пъти, свързано с подобно повишаване на терминалния полуживот. При едновременно приложение на парентерално приложен мидазолам с </w:t>
      </w:r>
      <w:r w:rsidRPr="003C0EFE">
        <w:rPr>
          <w:rFonts w:eastAsia="Times New Roman" w:cs="Arial"/>
          <w:color w:val="000000"/>
          <w:lang w:val="en-US"/>
        </w:rPr>
        <w:t>H</w:t>
      </w:r>
      <w:r w:rsidRPr="003C0EFE">
        <w:rPr>
          <w:rFonts w:eastAsia="Times New Roman" w:cs="Arial"/>
          <w:color w:val="000000"/>
          <w:lang w:val="ru-RU"/>
        </w:rPr>
        <w:t>1</w:t>
      </w:r>
      <w:r w:rsidRPr="003C0EFE">
        <w:rPr>
          <w:rFonts w:eastAsia="Times New Roman" w:cs="Arial"/>
          <w:color w:val="000000"/>
          <w:lang w:val="en-US"/>
        </w:rPr>
        <w:t>V</w:t>
      </w:r>
      <w:r w:rsidRPr="003C0EFE">
        <w:rPr>
          <w:rFonts w:eastAsia="Times New Roman" w:cs="Arial"/>
          <w:color w:val="000000"/>
          <w:lang w:val="ru-RU"/>
        </w:rPr>
        <w:t xml:space="preserve"> </w:t>
      </w:r>
      <w:r w:rsidRPr="003C0EFE">
        <w:rPr>
          <w:rFonts w:eastAsia="Times New Roman" w:cs="Arial"/>
          <w:color w:val="000000"/>
          <w:lang w:eastAsia="bg-BG"/>
        </w:rPr>
        <w:t>протеазни инхибитори лечението трябва да се извършва при условия, подобни на описаните по - горе в точката за азолови микотици, кетоконазол.</w:t>
      </w:r>
    </w:p>
    <w:p w14:paraId="6F95AB4A" w14:textId="77777777" w:rsidR="003C0EFE" w:rsidRPr="003C0EFE" w:rsidRDefault="003C0EFE" w:rsidP="003C0EFE">
      <w:pPr>
        <w:spacing w:line="240" w:lineRule="auto"/>
        <w:rPr>
          <w:rFonts w:eastAsia="Times New Roman" w:cs="Arial"/>
          <w:i/>
          <w:iCs/>
          <w:color w:val="000000"/>
          <w:lang w:eastAsia="bg-BG"/>
        </w:rPr>
      </w:pPr>
    </w:p>
    <w:p w14:paraId="732F241F" w14:textId="776EC558" w:rsidR="003C0EFE" w:rsidRPr="003C0EFE" w:rsidRDefault="003C0EFE" w:rsidP="003C0EFE">
      <w:pPr>
        <w:spacing w:line="240" w:lineRule="auto"/>
        <w:rPr>
          <w:rFonts w:eastAsia="Times New Roman" w:cs="Arial"/>
        </w:rPr>
      </w:pPr>
      <w:r w:rsidRPr="003C0EFE">
        <w:rPr>
          <w:rFonts w:eastAsia="Times New Roman" w:cs="Arial"/>
          <w:i/>
          <w:iCs/>
          <w:color w:val="000000"/>
          <w:lang w:eastAsia="bg-BG"/>
        </w:rPr>
        <w:t>Допълнителна информация за перорално приложен мидазолам</w:t>
      </w:r>
    </w:p>
    <w:p w14:paraId="7289BC4F" w14:textId="77777777" w:rsidR="003C0EFE" w:rsidRPr="003C0EFE" w:rsidRDefault="003C0EFE" w:rsidP="003C0EFE">
      <w:pPr>
        <w:pStyle w:val="ListParagraph"/>
        <w:numPr>
          <w:ilvl w:val="0"/>
          <w:numId w:val="42"/>
        </w:numPr>
        <w:spacing w:line="240" w:lineRule="auto"/>
        <w:rPr>
          <w:rFonts w:eastAsia="Times New Roman" w:cs="Arial"/>
          <w:color w:val="000000"/>
          <w:lang w:eastAsia="bg-BG"/>
        </w:rPr>
      </w:pPr>
      <w:r w:rsidRPr="003C0EFE">
        <w:rPr>
          <w:rFonts w:eastAsia="Times New Roman" w:cs="Arial"/>
          <w:color w:val="000000"/>
          <w:lang w:eastAsia="bg-BG"/>
        </w:rPr>
        <w:t xml:space="preserve">Въз основа на данни от други инхибитори на </w:t>
      </w:r>
      <w:r w:rsidRPr="003C0EFE">
        <w:rPr>
          <w:rFonts w:eastAsia="Times New Roman" w:cs="Arial"/>
          <w:color w:val="000000"/>
          <w:lang w:val="en-US"/>
        </w:rPr>
        <w:t>CYP</w:t>
      </w:r>
      <w:r w:rsidRPr="003C0EFE">
        <w:rPr>
          <w:rFonts w:eastAsia="Times New Roman" w:cs="Arial"/>
          <w:color w:val="000000"/>
          <w:lang w:val="ru-RU"/>
        </w:rPr>
        <w:t>3</w:t>
      </w:r>
      <w:r w:rsidRPr="003C0EFE">
        <w:rPr>
          <w:rFonts w:eastAsia="Times New Roman" w:cs="Arial"/>
          <w:color w:val="000000"/>
          <w:lang w:val="en-US"/>
        </w:rPr>
        <w:t>A</w:t>
      </w:r>
      <w:r w:rsidRPr="003C0EFE">
        <w:rPr>
          <w:rFonts w:eastAsia="Times New Roman" w:cs="Arial"/>
          <w:color w:val="000000"/>
          <w:lang w:val="ru-RU"/>
        </w:rPr>
        <w:t xml:space="preserve">4 </w:t>
      </w:r>
      <w:r w:rsidRPr="003C0EFE">
        <w:rPr>
          <w:rFonts w:eastAsia="Times New Roman" w:cs="Arial"/>
          <w:color w:val="000000"/>
          <w:lang w:eastAsia="bg-BG"/>
        </w:rPr>
        <w:t>се очаква плазмените</w:t>
      </w:r>
    </w:p>
    <w:p w14:paraId="290A1711"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концентрации на мидазолам да са значимо по - високи, когато мидазолам се прилага перорално. Поради това протеазните инхибитори не трябва да се прилагат едновременно с перорално приложен мидазолам.</w:t>
      </w:r>
    </w:p>
    <w:p w14:paraId="358CCC4B" w14:textId="77777777" w:rsidR="003C0EFE" w:rsidRPr="003C0EFE" w:rsidRDefault="003C0EFE" w:rsidP="003C0EFE">
      <w:pPr>
        <w:spacing w:line="240" w:lineRule="auto"/>
        <w:rPr>
          <w:rFonts w:eastAsia="Times New Roman" w:cs="Arial"/>
          <w:i/>
          <w:iCs/>
          <w:color w:val="000000"/>
          <w:lang w:eastAsia="bg-BG"/>
        </w:rPr>
      </w:pPr>
    </w:p>
    <w:p w14:paraId="03239E1A" w14:textId="5BD92C7E" w:rsidR="003C0EFE" w:rsidRPr="003C0EFE" w:rsidRDefault="003C0EFE" w:rsidP="003C0EFE">
      <w:pPr>
        <w:spacing w:line="240" w:lineRule="auto"/>
        <w:rPr>
          <w:rFonts w:eastAsia="Times New Roman" w:cs="Arial"/>
        </w:rPr>
      </w:pPr>
      <w:r w:rsidRPr="003C0EFE">
        <w:rPr>
          <w:rFonts w:eastAsia="Times New Roman" w:cs="Arial"/>
          <w:i/>
          <w:iCs/>
          <w:color w:val="000000"/>
          <w:lang w:eastAsia="bg-BG"/>
        </w:rPr>
        <w:t>Блокери на калциевите канали</w:t>
      </w:r>
    </w:p>
    <w:p w14:paraId="08750465" w14:textId="77777777" w:rsidR="003C0EFE" w:rsidRPr="003C0EFE" w:rsidRDefault="003C0EFE" w:rsidP="003C0EFE">
      <w:pPr>
        <w:pStyle w:val="ListParagraph"/>
        <w:numPr>
          <w:ilvl w:val="0"/>
          <w:numId w:val="42"/>
        </w:numPr>
        <w:spacing w:line="240" w:lineRule="auto"/>
        <w:rPr>
          <w:rFonts w:eastAsia="Times New Roman" w:cs="Arial"/>
          <w:color w:val="000000"/>
          <w:lang w:eastAsia="bg-BG"/>
        </w:rPr>
      </w:pPr>
      <w:r w:rsidRPr="003C0EFE">
        <w:rPr>
          <w:rFonts w:eastAsia="Times New Roman" w:cs="Arial"/>
          <w:color w:val="000000"/>
          <w:lang w:eastAsia="bg-BG"/>
        </w:rPr>
        <w:t>Дилтиазем: еднократна доза дилтиазем повишава плазмената концентрация на</w:t>
      </w:r>
    </w:p>
    <w:p w14:paraId="0C364BF9"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интравенозен мидазолам с около 2 %, а терминалният полуживот се удължава с 43 %.</w:t>
      </w:r>
    </w:p>
    <w:p w14:paraId="37ECC9F8" w14:textId="77777777" w:rsidR="003C0EFE" w:rsidRPr="003C0EFE" w:rsidRDefault="003C0EFE" w:rsidP="003C0EFE">
      <w:pPr>
        <w:spacing w:line="240" w:lineRule="auto"/>
        <w:rPr>
          <w:rFonts w:eastAsia="Times New Roman" w:cs="Arial"/>
          <w:i/>
          <w:iCs/>
          <w:color w:val="000000"/>
          <w:lang w:eastAsia="bg-BG"/>
        </w:rPr>
      </w:pPr>
    </w:p>
    <w:p w14:paraId="1A0D392F" w14:textId="75863003" w:rsidR="003C0EFE" w:rsidRPr="003C0EFE" w:rsidRDefault="003C0EFE" w:rsidP="003C0EFE">
      <w:pPr>
        <w:spacing w:line="240" w:lineRule="auto"/>
        <w:rPr>
          <w:rFonts w:eastAsia="Times New Roman" w:cs="Arial"/>
        </w:rPr>
      </w:pPr>
      <w:r w:rsidRPr="003C0EFE">
        <w:rPr>
          <w:rFonts w:eastAsia="Times New Roman" w:cs="Arial"/>
          <w:i/>
          <w:iCs/>
          <w:color w:val="000000"/>
          <w:lang w:eastAsia="bg-BG"/>
        </w:rPr>
        <w:t>Допълнителна информация за перорално приложен мидазолам</w:t>
      </w:r>
    </w:p>
    <w:p w14:paraId="08579154" w14:textId="77777777" w:rsidR="003C0EFE" w:rsidRPr="003C0EFE" w:rsidRDefault="003C0EFE" w:rsidP="003C0EFE">
      <w:pPr>
        <w:pStyle w:val="ListParagraph"/>
        <w:numPr>
          <w:ilvl w:val="0"/>
          <w:numId w:val="42"/>
        </w:numPr>
        <w:spacing w:line="240" w:lineRule="auto"/>
        <w:rPr>
          <w:rFonts w:eastAsia="Times New Roman" w:cs="Arial"/>
          <w:color w:val="000000"/>
          <w:lang w:eastAsia="bg-BG"/>
        </w:rPr>
      </w:pPr>
      <w:r w:rsidRPr="003C0EFE">
        <w:rPr>
          <w:rFonts w:eastAsia="Times New Roman" w:cs="Arial"/>
          <w:color w:val="000000"/>
          <w:lang w:eastAsia="bg-BG"/>
        </w:rPr>
        <w:t>Верапамил/дилтиазем повишават плазмената концентрация на перорално приложен</w:t>
      </w:r>
    </w:p>
    <w:p w14:paraId="226EFA84"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мидазолам съответно с 3 и 4 пъти. Терминалният полуживот на мидазолам се удължава съответно с 41 % и 49 %.</w:t>
      </w:r>
    </w:p>
    <w:p w14:paraId="15A17297" w14:textId="77777777" w:rsidR="003C0EFE" w:rsidRPr="003C0EFE" w:rsidRDefault="003C0EFE" w:rsidP="003C0EFE">
      <w:pPr>
        <w:spacing w:line="240" w:lineRule="auto"/>
        <w:rPr>
          <w:rFonts w:eastAsia="Times New Roman" w:cs="Arial"/>
          <w:i/>
          <w:iCs/>
          <w:color w:val="000000"/>
          <w:lang w:eastAsia="bg-BG"/>
        </w:rPr>
      </w:pPr>
    </w:p>
    <w:p w14:paraId="168D59DF" w14:textId="120CF1B5" w:rsidR="003C0EFE" w:rsidRPr="003C0EFE" w:rsidRDefault="003C0EFE" w:rsidP="003C0EFE">
      <w:pPr>
        <w:spacing w:line="240" w:lineRule="auto"/>
        <w:rPr>
          <w:rFonts w:eastAsia="Times New Roman" w:cs="Arial"/>
        </w:rPr>
      </w:pPr>
      <w:r w:rsidRPr="003C0EFE">
        <w:rPr>
          <w:rFonts w:eastAsia="Times New Roman" w:cs="Arial"/>
          <w:i/>
          <w:iCs/>
          <w:color w:val="000000"/>
          <w:lang w:eastAsia="bg-BG"/>
        </w:rPr>
        <w:t>Различни лекарства/растителни продукти</w:t>
      </w:r>
    </w:p>
    <w:p w14:paraId="47BD712A" w14:textId="77777777" w:rsidR="003C0EFE" w:rsidRPr="003C0EFE" w:rsidRDefault="003C0EFE" w:rsidP="003C0EFE">
      <w:pPr>
        <w:pStyle w:val="ListParagraph"/>
        <w:numPr>
          <w:ilvl w:val="0"/>
          <w:numId w:val="42"/>
        </w:numPr>
        <w:spacing w:line="240" w:lineRule="auto"/>
        <w:rPr>
          <w:rFonts w:eastAsia="Times New Roman" w:cs="Arial"/>
          <w:color w:val="000000"/>
          <w:lang w:eastAsia="bg-BG"/>
        </w:rPr>
      </w:pPr>
      <w:r w:rsidRPr="003C0EFE">
        <w:rPr>
          <w:rFonts w:eastAsia="Times New Roman" w:cs="Arial"/>
          <w:color w:val="000000"/>
          <w:lang w:eastAsia="bg-BG"/>
        </w:rPr>
        <w:lastRenderedPageBreak/>
        <w:t>Аторвастатин показва 1,4 - кратно повишаване на плазмените концентрации на интравенозно приложен мидазолам в сравнение с контролната група.</w:t>
      </w:r>
    </w:p>
    <w:p w14:paraId="71FD0168" w14:textId="77777777" w:rsidR="003C0EFE" w:rsidRPr="003C0EFE" w:rsidRDefault="003C0EFE" w:rsidP="003C0EFE">
      <w:pPr>
        <w:spacing w:line="240" w:lineRule="auto"/>
        <w:rPr>
          <w:rFonts w:eastAsia="Times New Roman" w:cs="Arial"/>
          <w:i/>
          <w:iCs/>
          <w:color w:val="000000"/>
          <w:lang w:eastAsia="bg-BG"/>
        </w:rPr>
      </w:pPr>
    </w:p>
    <w:p w14:paraId="49AB3817" w14:textId="6DB5C96B" w:rsidR="003C0EFE" w:rsidRPr="003C0EFE" w:rsidRDefault="003C0EFE" w:rsidP="003C0EFE">
      <w:pPr>
        <w:spacing w:line="240" w:lineRule="auto"/>
        <w:rPr>
          <w:rFonts w:eastAsia="Times New Roman" w:cs="Arial"/>
        </w:rPr>
      </w:pPr>
      <w:r w:rsidRPr="003C0EFE">
        <w:rPr>
          <w:rFonts w:eastAsia="Times New Roman" w:cs="Arial"/>
          <w:i/>
          <w:iCs/>
          <w:color w:val="000000"/>
          <w:lang w:eastAsia="bg-BG"/>
        </w:rPr>
        <w:t>Допълнителна информация за перорално приложен мидазолам</w:t>
      </w:r>
    </w:p>
    <w:p w14:paraId="04EF0455" w14:textId="77777777" w:rsidR="003C0EFE" w:rsidRPr="003C0EFE" w:rsidRDefault="003C0EFE" w:rsidP="003C0EFE">
      <w:pPr>
        <w:pStyle w:val="ListParagraph"/>
        <w:numPr>
          <w:ilvl w:val="0"/>
          <w:numId w:val="42"/>
        </w:numPr>
        <w:spacing w:line="240" w:lineRule="auto"/>
        <w:rPr>
          <w:rFonts w:eastAsia="Times New Roman" w:cs="Arial"/>
          <w:color w:val="000000"/>
          <w:lang w:eastAsia="bg-BG"/>
        </w:rPr>
      </w:pPr>
      <w:r w:rsidRPr="003C0EFE">
        <w:rPr>
          <w:rFonts w:eastAsia="Times New Roman" w:cs="Arial"/>
          <w:color w:val="000000"/>
          <w:lang w:eastAsia="bg-BG"/>
        </w:rPr>
        <w:t>Нефазодон повишава плазмените концентрации на перорално приложен мидазолам с 4,6 пъти и удължава терминалния му полуживот с 1,6 пъти.</w:t>
      </w:r>
    </w:p>
    <w:p w14:paraId="353D7416" w14:textId="6085E926" w:rsidR="003C0EFE" w:rsidRPr="003C0EFE" w:rsidRDefault="003C0EFE" w:rsidP="003C0EFE">
      <w:pPr>
        <w:pStyle w:val="ListParagraph"/>
        <w:numPr>
          <w:ilvl w:val="0"/>
          <w:numId w:val="42"/>
        </w:numPr>
        <w:spacing w:line="240" w:lineRule="auto"/>
        <w:rPr>
          <w:rFonts w:eastAsia="Times New Roman" w:cs="Arial"/>
          <w:color w:val="000000"/>
          <w:lang w:eastAsia="bg-BG"/>
        </w:rPr>
      </w:pPr>
      <w:r w:rsidRPr="003C0EFE">
        <w:rPr>
          <w:rFonts w:eastAsia="Times New Roman" w:cs="Arial"/>
          <w:color w:val="000000"/>
          <w:lang w:eastAsia="bg-BG"/>
        </w:rPr>
        <w:t xml:space="preserve">Апрепитант 80 </w:t>
      </w:r>
      <w:r w:rsidRPr="003C0EFE">
        <w:rPr>
          <w:rFonts w:eastAsia="Times New Roman" w:cs="Arial"/>
          <w:color w:val="000000"/>
          <w:lang w:val="en-US"/>
        </w:rPr>
        <w:t>mg</w:t>
      </w:r>
      <w:r w:rsidRPr="003C0EFE">
        <w:rPr>
          <w:rFonts w:eastAsia="Times New Roman" w:cs="Arial"/>
          <w:color w:val="000000"/>
          <w:lang w:val="ru-RU"/>
        </w:rPr>
        <w:t xml:space="preserve"> </w:t>
      </w:r>
      <w:r w:rsidRPr="003C0EFE">
        <w:rPr>
          <w:rFonts w:eastAsia="Times New Roman" w:cs="Arial"/>
          <w:color w:val="000000"/>
          <w:lang w:eastAsia="bg-BG"/>
        </w:rPr>
        <w:t>дневно предизвиква дозо-зависимо повишаване на плазмените концентрации на перорално приложен мидазолам с 3,3 пъти и удължава терминалния полуживот с около 2 пъти.</w:t>
      </w:r>
    </w:p>
    <w:p w14:paraId="0C4E4075" w14:textId="1ACF3907" w:rsidR="003C0EFE" w:rsidRPr="003C0EFE" w:rsidRDefault="003C0EFE" w:rsidP="003C0EFE">
      <w:pPr>
        <w:spacing w:line="240" w:lineRule="auto"/>
        <w:rPr>
          <w:rFonts w:eastAsia="Times New Roman" w:cs="Arial"/>
          <w:color w:val="000000"/>
          <w:lang w:eastAsia="bg-BG"/>
        </w:rPr>
      </w:pPr>
    </w:p>
    <w:p w14:paraId="3A0B8D86" w14:textId="77777777" w:rsidR="003C0EFE" w:rsidRPr="003C0EFE" w:rsidRDefault="003C0EFE" w:rsidP="003C0EFE">
      <w:pPr>
        <w:spacing w:line="240" w:lineRule="auto"/>
        <w:rPr>
          <w:rFonts w:eastAsia="Times New Roman" w:cs="Arial"/>
        </w:rPr>
      </w:pPr>
      <w:r w:rsidRPr="003C0EFE">
        <w:rPr>
          <w:rFonts w:eastAsia="Times New Roman" w:cs="Arial"/>
          <w:color w:val="000000"/>
          <w:u w:val="single"/>
          <w:lang w:eastAsia="bg-BG"/>
        </w:rPr>
        <w:t xml:space="preserve">Лекарства, който индуцират </w:t>
      </w:r>
      <w:r w:rsidRPr="003C0EFE">
        <w:rPr>
          <w:rFonts w:eastAsia="Times New Roman" w:cs="Arial"/>
          <w:color w:val="000000"/>
          <w:u w:val="single"/>
          <w:lang w:val="en-US"/>
        </w:rPr>
        <w:t>CYP3A4</w:t>
      </w:r>
    </w:p>
    <w:p w14:paraId="684123C5" w14:textId="77777777" w:rsidR="003C0EFE" w:rsidRPr="003C0EFE" w:rsidRDefault="003C0EFE" w:rsidP="003C0EFE">
      <w:pPr>
        <w:pStyle w:val="ListParagraph"/>
        <w:numPr>
          <w:ilvl w:val="0"/>
          <w:numId w:val="43"/>
        </w:numPr>
        <w:spacing w:line="240" w:lineRule="auto"/>
        <w:rPr>
          <w:rFonts w:eastAsia="Times New Roman" w:cs="Arial"/>
          <w:color w:val="000000"/>
          <w:lang w:eastAsia="bg-BG"/>
        </w:rPr>
      </w:pPr>
      <w:r w:rsidRPr="003C0EFE">
        <w:rPr>
          <w:rFonts w:eastAsia="Times New Roman" w:cs="Arial"/>
          <w:color w:val="000000"/>
          <w:lang w:eastAsia="bg-BG"/>
        </w:rPr>
        <w:t xml:space="preserve">След приложение на рифампицин 600 </w:t>
      </w:r>
      <w:r w:rsidRPr="003C0EFE">
        <w:rPr>
          <w:rFonts w:eastAsia="Times New Roman" w:cs="Arial"/>
          <w:color w:val="000000"/>
          <w:lang w:val="en-US"/>
        </w:rPr>
        <w:t>mg</w:t>
      </w:r>
      <w:r w:rsidRPr="003C0EFE">
        <w:rPr>
          <w:rFonts w:eastAsia="Times New Roman" w:cs="Arial"/>
          <w:color w:val="000000"/>
          <w:lang w:val="ru-RU"/>
        </w:rPr>
        <w:t xml:space="preserve"> </w:t>
      </w:r>
      <w:r w:rsidRPr="003C0EFE">
        <w:rPr>
          <w:rFonts w:eastAsia="Times New Roman" w:cs="Arial"/>
          <w:color w:val="000000"/>
          <w:lang w:eastAsia="bg-BG"/>
        </w:rPr>
        <w:t>веднъж дневно в продължение на 7 дни</w:t>
      </w:r>
    </w:p>
    <w:p w14:paraId="26063175"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плазмените концентрации на интравенозно приложен мидазолам намаляват с около 60 %. Терминалният полуживот намалява с около 50 - 60 %.</w:t>
      </w:r>
    </w:p>
    <w:p w14:paraId="7E724CA9" w14:textId="77777777" w:rsidR="003C0EFE" w:rsidRPr="003C0EFE" w:rsidRDefault="003C0EFE" w:rsidP="003C0EFE">
      <w:pPr>
        <w:spacing w:line="240" w:lineRule="auto"/>
        <w:rPr>
          <w:rFonts w:eastAsia="Times New Roman" w:cs="Arial"/>
          <w:i/>
          <w:iCs/>
          <w:color w:val="000000"/>
          <w:lang w:eastAsia="bg-BG"/>
        </w:rPr>
      </w:pPr>
    </w:p>
    <w:p w14:paraId="56A416C4" w14:textId="77AB3738" w:rsidR="003C0EFE" w:rsidRPr="003C0EFE" w:rsidRDefault="003C0EFE" w:rsidP="003C0EFE">
      <w:pPr>
        <w:spacing w:line="240" w:lineRule="auto"/>
        <w:rPr>
          <w:rFonts w:eastAsia="Times New Roman" w:cs="Arial"/>
        </w:rPr>
      </w:pPr>
      <w:r w:rsidRPr="003C0EFE">
        <w:rPr>
          <w:rFonts w:eastAsia="Times New Roman" w:cs="Arial"/>
          <w:i/>
          <w:iCs/>
          <w:color w:val="000000"/>
          <w:lang w:eastAsia="bg-BG"/>
        </w:rPr>
        <w:t>Допълнителна информация за перорално приложен мидазолам</w:t>
      </w:r>
    </w:p>
    <w:p w14:paraId="6AA9AA86" w14:textId="77777777" w:rsidR="003C0EFE" w:rsidRPr="003C0EFE" w:rsidRDefault="003C0EFE" w:rsidP="003C0EFE">
      <w:pPr>
        <w:pStyle w:val="ListParagraph"/>
        <w:numPr>
          <w:ilvl w:val="0"/>
          <w:numId w:val="43"/>
        </w:numPr>
        <w:spacing w:line="240" w:lineRule="auto"/>
        <w:rPr>
          <w:rFonts w:eastAsia="Times New Roman" w:cs="Arial"/>
          <w:color w:val="000000"/>
          <w:lang w:eastAsia="bg-BG"/>
        </w:rPr>
      </w:pPr>
      <w:r w:rsidRPr="003C0EFE">
        <w:rPr>
          <w:rFonts w:eastAsia="Times New Roman" w:cs="Arial"/>
          <w:color w:val="000000"/>
          <w:lang w:eastAsia="bg-BG"/>
        </w:rPr>
        <w:t>Рифампицин води до намаление на плазмените концентрации на перорално приложен мидазолам с 96 % при здрави лица, като психомоторните му ефекти са изчезнали почти напълно.</w:t>
      </w:r>
    </w:p>
    <w:p w14:paraId="48FB9496" w14:textId="77777777" w:rsidR="003C0EFE" w:rsidRPr="003C0EFE" w:rsidRDefault="003C0EFE" w:rsidP="003C0EFE">
      <w:pPr>
        <w:pStyle w:val="ListParagraph"/>
        <w:numPr>
          <w:ilvl w:val="0"/>
          <w:numId w:val="43"/>
        </w:numPr>
        <w:spacing w:line="240" w:lineRule="auto"/>
        <w:rPr>
          <w:rFonts w:eastAsia="Times New Roman" w:cs="Arial"/>
          <w:color w:val="000000"/>
          <w:lang w:eastAsia="bg-BG"/>
        </w:rPr>
      </w:pPr>
      <w:r w:rsidRPr="003C0EFE">
        <w:rPr>
          <w:rFonts w:eastAsia="Times New Roman" w:cs="Arial"/>
          <w:color w:val="000000"/>
          <w:lang w:eastAsia="bg-BG"/>
        </w:rPr>
        <w:t>Карбамазепин/фенитоин: многократно приложение на карбамазепин или фенитоин води до намаление на плазмените концентрации на перорално приложен мидазолам с до 90 % и скъсява терминалния му полуживот със 60 %.</w:t>
      </w:r>
    </w:p>
    <w:p w14:paraId="382025E3" w14:textId="596313CD" w:rsidR="003C0EFE" w:rsidRPr="003C0EFE" w:rsidRDefault="003C0EFE" w:rsidP="003C0EFE">
      <w:pPr>
        <w:pStyle w:val="ListParagraph"/>
        <w:numPr>
          <w:ilvl w:val="0"/>
          <w:numId w:val="43"/>
        </w:numPr>
        <w:spacing w:line="240" w:lineRule="auto"/>
        <w:rPr>
          <w:rFonts w:eastAsia="Times New Roman" w:cs="Arial"/>
          <w:color w:val="000000"/>
          <w:lang w:eastAsia="bg-BG"/>
        </w:rPr>
      </w:pPr>
      <w:r w:rsidRPr="003C0EFE">
        <w:rPr>
          <w:rFonts w:eastAsia="Times New Roman" w:cs="Arial"/>
          <w:color w:val="000000"/>
          <w:lang w:eastAsia="bg-BG"/>
        </w:rPr>
        <w:t xml:space="preserve">Ефавиренц: петкратното увеличение на съотношението на </w:t>
      </w:r>
      <w:r w:rsidRPr="003C0EFE">
        <w:rPr>
          <w:rFonts w:eastAsia="Times New Roman" w:cs="Arial"/>
          <w:color w:val="000000"/>
          <w:lang w:val="en-US"/>
        </w:rPr>
        <w:t>CYP</w:t>
      </w:r>
      <w:r w:rsidRPr="003C0EFE">
        <w:rPr>
          <w:rFonts w:eastAsia="Times New Roman" w:cs="Arial"/>
          <w:color w:val="000000"/>
          <w:lang w:val="ru-RU"/>
        </w:rPr>
        <w:t>3</w:t>
      </w:r>
      <w:r w:rsidRPr="003C0EFE">
        <w:rPr>
          <w:rFonts w:eastAsia="Times New Roman" w:cs="Arial"/>
          <w:color w:val="000000"/>
          <w:lang w:val="en-US"/>
        </w:rPr>
        <w:t>A</w:t>
      </w:r>
      <w:r w:rsidRPr="003C0EFE">
        <w:rPr>
          <w:rFonts w:eastAsia="Times New Roman" w:cs="Arial"/>
          <w:color w:val="000000"/>
          <w:lang w:val="ru-RU"/>
        </w:rPr>
        <w:t xml:space="preserve">4 </w:t>
      </w:r>
      <w:r w:rsidRPr="003C0EFE">
        <w:rPr>
          <w:rFonts w:eastAsia="Times New Roman" w:cs="Arial"/>
          <w:color w:val="000000"/>
          <w:lang w:eastAsia="bg-BG"/>
        </w:rPr>
        <w:t xml:space="preserve">- генерирания метаболит α - хидроксимидазолам към мидазолам потвърждава неговия </w:t>
      </w:r>
      <w:r w:rsidRPr="003C0EFE">
        <w:rPr>
          <w:rFonts w:eastAsia="Times New Roman" w:cs="Arial"/>
          <w:color w:val="000000"/>
          <w:lang w:val="en-US"/>
        </w:rPr>
        <w:t>CYP</w:t>
      </w:r>
      <w:r w:rsidRPr="003C0EFE">
        <w:rPr>
          <w:rFonts w:eastAsia="Times New Roman" w:cs="Arial"/>
          <w:color w:val="000000"/>
          <w:lang w:val="ru-RU"/>
        </w:rPr>
        <w:t>3</w:t>
      </w:r>
      <w:r w:rsidRPr="003C0EFE">
        <w:rPr>
          <w:rFonts w:eastAsia="Times New Roman" w:cs="Arial"/>
          <w:color w:val="000000"/>
          <w:lang w:val="en-US"/>
        </w:rPr>
        <w:t>A</w:t>
      </w:r>
      <w:r w:rsidRPr="003C0EFE">
        <w:rPr>
          <w:rFonts w:eastAsia="Times New Roman" w:cs="Arial"/>
          <w:color w:val="000000"/>
          <w:lang w:val="ru-RU"/>
        </w:rPr>
        <w:t xml:space="preserve">4 </w:t>
      </w:r>
      <w:r w:rsidRPr="003C0EFE">
        <w:rPr>
          <w:rFonts w:eastAsia="Times New Roman" w:cs="Arial"/>
          <w:color w:val="000000"/>
          <w:lang w:eastAsia="bg-BG"/>
        </w:rPr>
        <w:t>- индуциращ ефект.</w:t>
      </w:r>
    </w:p>
    <w:p w14:paraId="0652914C" w14:textId="77777777" w:rsidR="003C0EFE" w:rsidRPr="003C0EFE" w:rsidRDefault="003C0EFE" w:rsidP="003C0EFE">
      <w:pPr>
        <w:spacing w:line="240" w:lineRule="auto"/>
        <w:rPr>
          <w:rFonts w:eastAsia="Times New Roman" w:cs="Arial"/>
          <w:i/>
          <w:iCs/>
          <w:color w:val="000000"/>
          <w:lang w:eastAsia="bg-BG"/>
        </w:rPr>
      </w:pPr>
    </w:p>
    <w:p w14:paraId="445A4C62" w14:textId="01F3F033" w:rsidR="003C0EFE" w:rsidRPr="003C0EFE" w:rsidRDefault="003C0EFE" w:rsidP="003C0EFE">
      <w:pPr>
        <w:spacing w:line="240" w:lineRule="auto"/>
        <w:rPr>
          <w:rFonts w:eastAsia="Times New Roman" w:cs="Arial"/>
        </w:rPr>
      </w:pPr>
      <w:r w:rsidRPr="003C0EFE">
        <w:rPr>
          <w:rFonts w:eastAsia="Times New Roman" w:cs="Arial"/>
          <w:i/>
          <w:iCs/>
          <w:color w:val="000000"/>
          <w:lang w:eastAsia="bg-BG"/>
        </w:rPr>
        <w:t>Растителни продукти и храна</w:t>
      </w:r>
    </w:p>
    <w:p w14:paraId="57311A0D" w14:textId="77777777" w:rsidR="003C0EFE" w:rsidRPr="003C0EFE" w:rsidRDefault="003C0EFE" w:rsidP="003C0EFE">
      <w:pPr>
        <w:pStyle w:val="ListParagraph"/>
        <w:numPr>
          <w:ilvl w:val="0"/>
          <w:numId w:val="44"/>
        </w:numPr>
        <w:spacing w:line="240" w:lineRule="auto"/>
        <w:rPr>
          <w:rFonts w:eastAsia="Times New Roman" w:cs="Arial"/>
          <w:color w:val="000000"/>
          <w:lang w:eastAsia="bg-BG"/>
        </w:rPr>
      </w:pPr>
      <w:r w:rsidRPr="003C0EFE">
        <w:rPr>
          <w:rFonts w:eastAsia="Times New Roman" w:cs="Arial"/>
          <w:color w:val="000000"/>
          <w:lang w:eastAsia="bg-BG"/>
        </w:rPr>
        <w:t xml:space="preserve">Жълтият кантарион намалява плазмените концентрации на мидазолам с около 20 - 40 %, а терминалния му полуживот с около 15 - 17 %. В зависимост от конкретния екстракт на Жълт кантарион </w:t>
      </w:r>
      <w:r w:rsidRPr="003C0EFE">
        <w:rPr>
          <w:rFonts w:eastAsia="Times New Roman" w:cs="Arial"/>
          <w:color w:val="000000"/>
          <w:lang w:val="en-US"/>
        </w:rPr>
        <w:t>CYP</w:t>
      </w:r>
      <w:r w:rsidRPr="003C0EFE">
        <w:rPr>
          <w:rFonts w:eastAsia="Times New Roman" w:cs="Arial"/>
          <w:color w:val="000000"/>
          <w:lang w:val="ru-RU"/>
        </w:rPr>
        <w:t>3</w:t>
      </w:r>
      <w:r w:rsidRPr="003C0EFE">
        <w:rPr>
          <w:rFonts w:eastAsia="Times New Roman" w:cs="Arial"/>
          <w:color w:val="000000"/>
          <w:lang w:val="en-US"/>
        </w:rPr>
        <w:t>A</w:t>
      </w:r>
      <w:r w:rsidRPr="003C0EFE">
        <w:rPr>
          <w:rFonts w:eastAsia="Times New Roman" w:cs="Arial"/>
          <w:color w:val="000000"/>
          <w:lang w:val="ru-RU"/>
        </w:rPr>
        <w:t xml:space="preserve">4 </w:t>
      </w:r>
      <w:r w:rsidRPr="003C0EFE">
        <w:rPr>
          <w:rFonts w:eastAsia="Times New Roman" w:cs="Arial"/>
          <w:color w:val="000000"/>
          <w:lang w:eastAsia="bg-BG"/>
        </w:rPr>
        <w:t>- индуциращият ефект може да варира.</w:t>
      </w:r>
    </w:p>
    <w:p w14:paraId="22E47419" w14:textId="77777777" w:rsidR="003C0EFE" w:rsidRPr="003C0EFE" w:rsidRDefault="003C0EFE" w:rsidP="003C0EFE">
      <w:pPr>
        <w:spacing w:line="240" w:lineRule="auto"/>
        <w:rPr>
          <w:rFonts w:eastAsia="Times New Roman" w:cs="Arial"/>
          <w:color w:val="000000"/>
          <w:u w:val="single"/>
          <w:lang w:eastAsia="bg-BG"/>
        </w:rPr>
      </w:pPr>
    </w:p>
    <w:p w14:paraId="11C14562" w14:textId="289CD001" w:rsidR="003C0EFE" w:rsidRPr="003C0EFE" w:rsidRDefault="003C0EFE" w:rsidP="003C0EFE">
      <w:pPr>
        <w:spacing w:line="240" w:lineRule="auto"/>
        <w:rPr>
          <w:rFonts w:eastAsia="Times New Roman" w:cs="Arial"/>
        </w:rPr>
      </w:pPr>
      <w:r w:rsidRPr="003C0EFE">
        <w:rPr>
          <w:rFonts w:eastAsia="Times New Roman" w:cs="Arial"/>
          <w:color w:val="000000"/>
          <w:u w:val="single"/>
          <w:lang w:eastAsia="bg-BG"/>
        </w:rPr>
        <w:t>Фармакодинамични взаимодействия</w:t>
      </w:r>
    </w:p>
    <w:p w14:paraId="69BB48B0" w14:textId="77777777" w:rsidR="003C0EFE" w:rsidRPr="003C0EFE" w:rsidRDefault="003C0EFE" w:rsidP="003C0EFE">
      <w:pPr>
        <w:spacing w:line="240" w:lineRule="auto"/>
        <w:rPr>
          <w:rFonts w:eastAsia="Times New Roman" w:cs="Arial"/>
          <w:i/>
          <w:iCs/>
          <w:color w:val="000000"/>
          <w:lang w:eastAsia="bg-BG"/>
        </w:rPr>
      </w:pPr>
    </w:p>
    <w:p w14:paraId="3E8F8037" w14:textId="663065B9" w:rsidR="003C0EFE" w:rsidRPr="003C0EFE" w:rsidRDefault="003C0EFE" w:rsidP="003C0EFE">
      <w:pPr>
        <w:spacing w:line="240" w:lineRule="auto"/>
        <w:rPr>
          <w:rFonts w:eastAsia="Times New Roman" w:cs="Arial"/>
          <w:i/>
          <w:iCs/>
          <w:color w:val="000000"/>
          <w:lang w:eastAsia="bg-BG"/>
        </w:rPr>
      </w:pPr>
      <w:r w:rsidRPr="003C0EFE">
        <w:rPr>
          <w:rFonts w:eastAsia="Times New Roman" w:cs="Arial"/>
          <w:i/>
          <w:iCs/>
          <w:color w:val="000000"/>
          <w:lang w:eastAsia="bg-BG"/>
        </w:rPr>
        <w:t>Взаимодействия „лекарство-лекарство"</w:t>
      </w:r>
    </w:p>
    <w:p w14:paraId="22369FFD"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Едновременното приложение на мидазолам с други седативни/сънотворни лекарствени продукти и депресантите на ЦНС, включително алкохол, може да доведе до засилена седация и респираторна депресия. Примерите включват производни на опиати (независимо дали се използват като аналгетици, антитусиви или заместващи лечения), антипсихотици, други бензодиазепини, използвани като анксиолитици или хипнотици, барбитурати, пропофол, кетамин, етомидат, седативни антидепресанти, Н1 - антихистамини от по-стари поколения и централнодействащи антихипертензивни лекарствени продукти.</w:t>
      </w:r>
    </w:p>
    <w:p w14:paraId="511B7B84" w14:textId="77777777" w:rsidR="003C0EFE" w:rsidRPr="003C0EFE" w:rsidRDefault="003C0EFE" w:rsidP="003C0EFE">
      <w:pPr>
        <w:spacing w:line="240" w:lineRule="auto"/>
        <w:rPr>
          <w:rFonts w:eastAsia="Times New Roman" w:cs="Arial"/>
          <w:color w:val="000000"/>
          <w:lang w:eastAsia="bg-BG"/>
        </w:rPr>
      </w:pPr>
    </w:p>
    <w:p w14:paraId="24A476DE" w14:textId="50E08A03" w:rsidR="003C0EFE" w:rsidRPr="003C0EFE" w:rsidRDefault="003C0EFE" w:rsidP="003C0EFE">
      <w:pPr>
        <w:spacing w:line="240" w:lineRule="auto"/>
        <w:rPr>
          <w:rFonts w:eastAsia="Times New Roman" w:cs="Arial"/>
        </w:rPr>
      </w:pPr>
      <w:r w:rsidRPr="003C0EFE">
        <w:rPr>
          <w:rFonts w:eastAsia="Times New Roman" w:cs="Arial"/>
          <w:color w:val="000000"/>
          <w:lang w:eastAsia="bg-BG"/>
        </w:rPr>
        <w:t>Алкохолът може значимо да усили седативния ефект на мидазолам. Приемът на алкохол трябва на всяка цена да се избягва при лечение с мидазолам (вж. точка 4.4).</w:t>
      </w:r>
    </w:p>
    <w:p w14:paraId="0D0BD960" w14:textId="77777777" w:rsidR="003C0EFE" w:rsidRPr="003C0EFE" w:rsidRDefault="003C0EFE" w:rsidP="003C0EFE">
      <w:pPr>
        <w:spacing w:line="240" w:lineRule="auto"/>
        <w:rPr>
          <w:rFonts w:eastAsia="Times New Roman" w:cs="Arial"/>
          <w:color w:val="000000"/>
          <w:lang w:eastAsia="bg-BG"/>
        </w:rPr>
      </w:pPr>
    </w:p>
    <w:p w14:paraId="5470E0D7" w14:textId="265E5C68" w:rsidR="003C0EFE" w:rsidRPr="003C0EFE" w:rsidRDefault="003C0EFE" w:rsidP="003C0EFE">
      <w:pPr>
        <w:spacing w:line="240" w:lineRule="auto"/>
        <w:rPr>
          <w:rFonts w:eastAsia="Times New Roman" w:cs="Arial"/>
        </w:rPr>
      </w:pPr>
      <w:r w:rsidRPr="003C0EFE">
        <w:rPr>
          <w:rFonts w:eastAsia="Times New Roman" w:cs="Arial"/>
          <w:color w:val="000000"/>
          <w:lang w:eastAsia="bg-BG"/>
        </w:rPr>
        <w:t>Мидазолам намалява минималната алвеоларна концентрация (МАС) на инхалационните анестетици.</w:t>
      </w:r>
    </w:p>
    <w:p w14:paraId="5FA8F6FE" w14:textId="77777777" w:rsidR="003C0EFE" w:rsidRPr="003C0EFE" w:rsidRDefault="003C0EFE" w:rsidP="003C0EFE">
      <w:pPr>
        <w:spacing w:line="240" w:lineRule="auto"/>
        <w:rPr>
          <w:rFonts w:eastAsia="Times New Roman" w:cs="Arial"/>
          <w:color w:val="000000"/>
          <w:u w:val="single"/>
          <w:lang w:eastAsia="bg-BG"/>
        </w:rPr>
      </w:pPr>
    </w:p>
    <w:p w14:paraId="096E68CF" w14:textId="1A9EF851" w:rsidR="003C0EFE" w:rsidRPr="003C0EFE" w:rsidRDefault="003C0EFE" w:rsidP="003C0EFE">
      <w:pPr>
        <w:spacing w:line="240" w:lineRule="auto"/>
        <w:rPr>
          <w:rFonts w:eastAsia="Times New Roman" w:cs="Arial"/>
        </w:rPr>
      </w:pPr>
      <w:r w:rsidRPr="003C0EFE">
        <w:rPr>
          <w:rFonts w:eastAsia="Times New Roman" w:cs="Arial"/>
          <w:color w:val="000000"/>
          <w:u w:val="single"/>
          <w:lang w:eastAsia="bg-BG"/>
        </w:rPr>
        <w:t>Опиоиди:</w:t>
      </w:r>
    </w:p>
    <w:p w14:paraId="759C0615" w14:textId="77777777" w:rsidR="003C0EFE" w:rsidRPr="003C0EFE" w:rsidRDefault="003C0EFE" w:rsidP="003C0EFE">
      <w:pPr>
        <w:spacing w:line="240" w:lineRule="auto"/>
        <w:rPr>
          <w:rFonts w:eastAsia="Times New Roman" w:cs="Arial"/>
          <w:color w:val="000000"/>
          <w:lang w:eastAsia="bg-BG"/>
        </w:rPr>
      </w:pPr>
    </w:p>
    <w:p w14:paraId="70E6576F" w14:textId="4FB53416" w:rsidR="003C0EFE" w:rsidRPr="003C0EFE" w:rsidRDefault="003C0EFE" w:rsidP="003C0EFE">
      <w:pPr>
        <w:spacing w:line="240" w:lineRule="auto"/>
        <w:rPr>
          <w:rFonts w:eastAsia="Times New Roman" w:cs="Arial"/>
          <w:color w:val="000000"/>
          <w:lang w:eastAsia="bg-BG"/>
        </w:rPr>
      </w:pPr>
      <w:r w:rsidRPr="003C0EFE">
        <w:rPr>
          <w:rFonts w:eastAsia="Times New Roman" w:cs="Arial"/>
          <w:color w:val="000000"/>
          <w:lang w:eastAsia="bg-BG"/>
        </w:rPr>
        <w:t xml:space="preserve">Едновременната употреба с опиоиди на седативни лекарствени продукти, като бензодиазепини </w:t>
      </w:r>
    </w:p>
    <w:p w14:paraId="6BB7725C" w14:textId="7018579F" w:rsidR="003C0EFE" w:rsidRPr="003C0EFE" w:rsidRDefault="003C0EFE" w:rsidP="003C0EFE">
      <w:pPr>
        <w:spacing w:line="240" w:lineRule="auto"/>
        <w:rPr>
          <w:rFonts w:eastAsia="Times New Roman" w:cs="Arial"/>
        </w:rPr>
      </w:pPr>
      <w:r w:rsidRPr="003C0EFE">
        <w:rPr>
          <w:rFonts w:eastAsia="Times New Roman" w:cs="Arial"/>
          <w:color w:val="000000"/>
          <w:lang w:eastAsia="bg-BG"/>
        </w:rPr>
        <w:t xml:space="preserve">или сродни лекарства, като </w:t>
      </w:r>
      <w:r w:rsidRPr="003C0EFE">
        <w:rPr>
          <w:rFonts w:eastAsia="Times New Roman" w:cs="Arial"/>
          <w:color w:val="000000"/>
          <w:lang w:val="en-US"/>
        </w:rPr>
        <w:t>MIDAZOLAM</w:t>
      </w:r>
      <w:r w:rsidRPr="003C0EFE">
        <w:rPr>
          <w:rFonts w:eastAsia="Times New Roman" w:cs="Arial"/>
          <w:color w:val="000000"/>
          <w:lang w:val="ru-RU"/>
        </w:rPr>
        <w:t xml:space="preserve">, </w:t>
      </w:r>
      <w:r w:rsidRPr="003C0EFE">
        <w:rPr>
          <w:rFonts w:eastAsia="Times New Roman" w:cs="Arial"/>
          <w:color w:val="000000"/>
          <w:lang w:eastAsia="bg-BG"/>
        </w:rPr>
        <w:t>повишава риска от седация, респираторна депресия, кома и смърт поради допълнителния потискащ ефект върху централната нервна система (ЦНС). Дозировката и продължителността на едновременната употреба трябва да бъдат ограничени (вж. точка 4.4).</w:t>
      </w:r>
    </w:p>
    <w:p w14:paraId="1ACB7C97" w14:textId="77777777" w:rsidR="003C0EFE" w:rsidRPr="003C0EFE" w:rsidRDefault="003C0EFE" w:rsidP="003C0EFE">
      <w:pPr>
        <w:spacing w:line="240" w:lineRule="auto"/>
        <w:rPr>
          <w:rFonts w:ascii="Times New Roman" w:eastAsia="Times New Roman" w:hAnsi="Times New Roman" w:cs="Times New Roman"/>
          <w:color w:val="000000"/>
          <w:lang w:eastAsia="bg-BG"/>
        </w:rPr>
      </w:pPr>
    </w:p>
    <w:p w14:paraId="73662265" w14:textId="46D45291" w:rsidR="00426E5F" w:rsidRDefault="002C50EE" w:rsidP="00A65A81">
      <w:pPr>
        <w:pStyle w:val="Heading2"/>
      </w:pPr>
      <w:r>
        <w:t>4.6. Фертилитет, бременност и кърмене</w:t>
      </w:r>
    </w:p>
    <w:p w14:paraId="5A7051A0" w14:textId="21F855DF" w:rsidR="003C0EFE" w:rsidRDefault="003C0EFE" w:rsidP="003C0EFE"/>
    <w:p w14:paraId="6C22EA37" w14:textId="77777777" w:rsidR="003C0EFE" w:rsidRPr="003C0EFE" w:rsidRDefault="003C0EFE" w:rsidP="003C0EFE">
      <w:pPr>
        <w:pStyle w:val="Heading3"/>
        <w:rPr>
          <w:rFonts w:eastAsia="Times New Roman"/>
          <w:u w:val="single"/>
        </w:rPr>
      </w:pPr>
      <w:r w:rsidRPr="003C0EFE">
        <w:rPr>
          <w:rFonts w:eastAsia="Times New Roman"/>
          <w:u w:val="single"/>
          <w:lang w:eastAsia="bg-BG"/>
        </w:rPr>
        <w:t>Бременност</w:t>
      </w:r>
    </w:p>
    <w:p w14:paraId="12802463"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Няма достатъчно данни, за да се оцени безопасността на мидазолам по време на бременност.</w:t>
      </w:r>
    </w:p>
    <w:p w14:paraId="5900B844"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Опити върху животни не отчитат тератогенен ефект, но е наблюдавана фетотоксичност, както и при други бензодиазепини. Няма данни за експозиция на бременни в първите два триместъра на бременността.</w:t>
      </w:r>
    </w:p>
    <w:p w14:paraId="3B0BBF66" w14:textId="77777777" w:rsidR="003C0EFE" w:rsidRPr="003C0EFE" w:rsidRDefault="003C0EFE" w:rsidP="003C0EFE">
      <w:pPr>
        <w:rPr>
          <w:rFonts w:eastAsia="Times New Roman" w:cs="Arial"/>
          <w:color w:val="000000"/>
          <w:lang w:eastAsia="bg-BG"/>
        </w:rPr>
      </w:pPr>
    </w:p>
    <w:p w14:paraId="273DD4C8" w14:textId="77777777" w:rsidR="003C0EFE" w:rsidRPr="003C0EFE" w:rsidRDefault="003C0EFE" w:rsidP="003C0EFE">
      <w:pPr>
        <w:rPr>
          <w:rFonts w:eastAsia="Times New Roman" w:cs="Arial"/>
        </w:rPr>
      </w:pPr>
      <w:r w:rsidRPr="003C0EFE">
        <w:rPr>
          <w:rFonts w:eastAsia="Times New Roman" w:cs="Arial"/>
          <w:color w:val="000000"/>
          <w:lang w:eastAsia="bg-BG"/>
        </w:rPr>
        <w:t>Има съобщения, че приложението на високи дози мидазолам в третия триместър по време на раждане или при въвеждане в анестезия при цезарово сечение води до странични ефекти върху</w:t>
      </w:r>
      <w:r w:rsidRPr="003C0EFE">
        <w:rPr>
          <w:rFonts w:eastAsia="Times New Roman" w:cs="Arial"/>
          <w:color w:val="000000"/>
          <w:lang w:val="ru-RU" w:eastAsia="bg-BG"/>
        </w:rPr>
        <w:t xml:space="preserve"> </w:t>
      </w:r>
      <w:r w:rsidRPr="003C0EFE">
        <w:rPr>
          <w:rFonts w:eastAsia="Times New Roman" w:cs="Arial"/>
          <w:color w:val="000000"/>
          <w:lang w:eastAsia="bg-BG"/>
        </w:rPr>
        <w:t>майката или плода (инхалационен риск при майката, промени в сърдечната честота при плода, хипотония, слабост при сучене, хипотермия и респираторна депресия при новороденото).</w:t>
      </w:r>
    </w:p>
    <w:p w14:paraId="3882ED06" w14:textId="77777777" w:rsidR="003C0EFE" w:rsidRPr="003C0EFE" w:rsidRDefault="003C0EFE" w:rsidP="003C0EFE">
      <w:pPr>
        <w:spacing w:line="240" w:lineRule="auto"/>
        <w:rPr>
          <w:rFonts w:eastAsia="Times New Roman" w:cs="Arial"/>
          <w:color w:val="000000"/>
          <w:lang w:eastAsia="bg-BG"/>
        </w:rPr>
      </w:pPr>
    </w:p>
    <w:p w14:paraId="0A18CFC1" w14:textId="7784B0E3" w:rsidR="003C0EFE" w:rsidRPr="003C0EFE" w:rsidRDefault="003C0EFE" w:rsidP="003C0EFE">
      <w:pPr>
        <w:spacing w:line="240" w:lineRule="auto"/>
        <w:rPr>
          <w:rFonts w:eastAsia="Times New Roman" w:cs="Arial"/>
        </w:rPr>
      </w:pPr>
      <w:r w:rsidRPr="003C0EFE">
        <w:rPr>
          <w:rFonts w:eastAsia="Times New Roman" w:cs="Arial"/>
          <w:color w:val="000000"/>
          <w:lang w:eastAsia="bg-BG"/>
        </w:rPr>
        <w:t>Освен това, новородени, родени от майки, които са приемали продължително време бензодиазепини през късна бременност, могат да развият физическа зависимост и да са изложени на известен риск от развитие на симптоми на отнемане в постнаталния период.</w:t>
      </w:r>
    </w:p>
    <w:p w14:paraId="55D29528" w14:textId="77777777" w:rsidR="003C0EFE" w:rsidRPr="003C0EFE" w:rsidRDefault="003C0EFE" w:rsidP="003C0EFE">
      <w:pPr>
        <w:spacing w:line="240" w:lineRule="auto"/>
        <w:rPr>
          <w:rFonts w:eastAsia="Times New Roman" w:cs="Arial"/>
          <w:color w:val="000000"/>
          <w:lang w:eastAsia="bg-BG"/>
        </w:rPr>
      </w:pPr>
    </w:p>
    <w:p w14:paraId="74E6E372" w14:textId="11CBE310" w:rsidR="003C0EFE" w:rsidRPr="003C0EFE" w:rsidRDefault="003C0EFE" w:rsidP="003C0EFE">
      <w:pPr>
        <w:spacing w:line="240" w:lineRule="auto"/>
        <w:rPr>
          <w:rFonts w:eastAsia="Times New Roman" w:cs="Arial"/>
        </w:rPr>
      </w:pPr>
      <w:r w:rsidRPr="003C0EFE">
        <w:rPr>
          <w:rFonts w:eastAsia="Times New Roman" w:cs="Arial"/>
          <w:color w:val="000000"/>
          <w:lang w:eastAsia="bg-BG"/>
        </w:rPr>
        <w:t>Следователно, мидазолам може да се използва по време на бременност само при категорична необходимост, но е препоръчително да се избягва неговата употреба при цезарово сечение.</w:t>
      </w:r>
    </w:p>
    <w:p w14:paraId="45C55BDE" w14:textId="77777777" w:rsidR="003C0EFE" w:rsidRPr="003C0EFE" w:rsidRDefault="003C0EFE" w:rsidP="003C0EFE">
      <w:pPr>
        <w:spacing w:line="240" w:lineRule="auto"/>
        <w:rPr>
          <w:rFonts w:eastAsia="Times New Roman" w:cs="Arial"/>
          <w:color w:val="000000"/>
          <w:lang w:eastAsia="bg-BG"/>
        </w:rPr>
      </w:pPr>
    </w:p>
    <w:p w14:paraId="58B07F6E" w14:textId="0AB11027" w:rsidR="003C0EFE" w:rsidRPr="003C0EFE" w:rsidRDefault="003C0EFE" w:rsidP="003C0EFE">
      <w:pPr>
        <w:spacing w:line="240" w:lineRule="auto"/>
        <w:rPr>
          <w:rFonts w:eastAsia="Times New Roman" w:cs="Arial"/>
        </w:rPr>
      </w:pPr>
      <w:r w:rsidRPr="003C0EFE">
        <w:rPr>
          <w:rFonts w:eastAsia="Times New Roman" w:cs="Arial"/>
          <w:color w:val="000000"/>
          <w:lang w:eastAsia="bg-BG"/>
        </w:rPr>
        <w:t>Ако се налага операция към края на бременността, винаги трябва да се отчита рискът за новороденото.</w:t>
      </w:r>
    </w:p>
    <w:p w14:paraId="36609019" w14:textId="77777777" w:rsidR="003C0EFE" w:rsidRPr="003C0EFE" w:rsidRDefault="003C0EFE" w:rsidP="003C0EFE">
      <w:pPr>
        <w:spacing w:line="240" w:lineRule="auto"/>
        <w:rPr>
          <w:rFonts w:eastAsia="Times New Roman" w:cs="Arial"/>
          <w:color w:val="000000"/>
          <w:u w:val="single"/>
          <w:lang w:eastAsia="bg-BG"/>
        </w:rPr>
      </w:pPr>
    </w:p>
    <w:p w14:paraId="061571E9" w14:textId="3F623A3A" w:rsidR="003C0EFE" w:rsidRPr="003C0EFE" w:rsidRDefault="003C0EFE" w:rsidP="003C0EFE">
      <w:pPr>
        <w:pStyle w:val="Heading3"/>
        <w:rPr>
          <w:rFonts w:eastAsia="Times New Roman"/>
          <w:u w:val="single"/>
        </w:rPr>
      </w:pPr>
      <w:r w:rsidRPr="003C0EFE">
        <w:rPr>
          <w:rFonts w:eastAsia="Times New Roman"/>
          <w:u w:val="single"/>
          <w:lang w:eastAsia="bg-BG"/>
        </w:rPr>
        <w:t>Кърмене</w:t>
      </w:r>
    </w:p>
    <w:p w14:paraId="7FBFAE0A" w14:textId="77777777" w:rsidR="003C0EFE" w:rsidRPr="003C0EFE" w:rsidRDefault="003C0EFE" w:rsidP="003C0EFE">
      <w:pPr>
        <w:spacing w:line="240" w:lineRule="auto"/>
        <w:rPr>
          <w:rFonts w:eastAsia="Times New Roman" w:cs="Arial"/>
        </w:rPr>
      </w:pPr>
      <w:r w:rsidRPr="003C0EFE">
        <w:rPr>
          <w:rFonts w:eastAsia="Times New Roman" w:cs="Arial"/>
          <w:color w:val="000000"/>
          <w:lang w:eastAsia="bg-BG"/>
        </w:rPr>
        <w:t>Мидазолам се екскретира в малки количества в кърмата. Кърмещите майки трябва да бъдат посъветвани да преустановят кърменето за 24 часа след приложението на мидазолам.</w:t>
      </w:r>
    </w:p>
    <w:p w14:paraId="4F031152" w14:textId="4CBA7D0D" w:rsidR="003C0EFE" w:rsidRPr="003C0EFE" w:rsidRDefault="003C0EFE" w:rsidP="003C0EFE"/>
    <w:p w14:paraId="2B2E0E23" w14:textId="1B17A3B6" w:rsidR="00426E5F" w:rsidRDefault="002C50EE" w:rsidP="00A65A81">
      <w:pPr>
        <w:pStyle w:val="Heading2"/>
      </w:pPr>
      <w:r>
        <w:t>4.7. Ефекти върху способността за шофиране и работа с машини</w:t>
      </w:r>
    </w:p>
    <w:p w14:paraId="74F05096" w14:textId="425071AB" w:rsidR="003C0EFE" w:rsidRDefault="003C0EFE" w:rsidP="003C0EFE"/>
    <w:p w14:paraId="420CDCAC" w14:textId="77777777" w:rsidR="003C0EFE" w:rsidRPr="003C0EFE" w:rsidRDefault="003C0EFE" w:rsidP="003C0EFE">
      <w:pPr>
        <w:rPr>
          <w:sz w:val="24"/>
          <w:szCs w:val="24"/>
        </w:rPr>
      </w:pPr>
      <w:r w:rsidRPr="003C0EFE">
        <w:rPr>
          <w:lang w:eastAsia="bg-BG"/>
        </w:rPr>
        <w:t>Седиране, амнезия, намалено внимание и засягане на мускулните функции могат да повлияят неблагоприятно способността за шофиране или работа с машини. Преди прием на мидазолам всеки пациент трябва изрично да бъде предупреден да не шофира и да не работи с машини докато не се възстанови напълно. Лекарят трябва да прецени кога тези дейности могат да се възобновят. Препоръчително е пациентът да бъде придружен от някой до вкъщи след изписването от болницата.</w:t>
      </w:r>
    </w:p>
    <w:p w14:paraId="23258B9C" w14:textId="77777777" w:rsidR="003C0EFE" w:rsidRPr="003C0EFE" w:rsidRDefault="003C0EFE" w:rsidP="003C0EFE"/>
    <w:p w14:paraId="25EF1252" w14:textId="027A8103" w:rsidR="00426E5F" w:rsidRDefault="002C50EE" w:rsidP="00A65A81">
      <w:pPr>
        <w:pStyle w:val="Heading2"/>
      </w:pPr>
      <w:r>
        <w:lastRenderedPageBreak/>
        <w:t>4.8. Нежелани лекарствени реакции</w:t>
      </w:r>
    </w:p>
    <w:p w14:paraId="30B4115B" w14:textId="070A8B8F" w:rsidR="003C0EFE" w:rsidRDefault="003C0EFE" w:rsidP="003C0EFE"/>
    <w:p w14:paraId="2DF91A51" w14:textId="77777777" w:rsidR="003C0EFE" w:rsidRPr="003C0EFE" w:rsidRDefault="003C0EFE" w:rsidP="003C0EFE">
      <w:pPr>
        <w:rPr>
          <w:sz w:val="24"/>
          <w:szCs w:val="24"/>
        </w:rPr>
      </w:pPr>
      <w:r w:rsidRPr="003C0EFE">
        <w:rPr>
          <w:lang w:eastAsia="bg-BG"/>
        </w:rPr>
        <w:t>Следните нежелани реакции са били докладвани при инжектиране на мидазолам.</w:t>
      </w:r>
    </w:p>
    <w:p w14:paraId="358BA693" w14:textId="77777777" w:rsidR="003C0EFE" w:rsidRDefault="003C0EFE" w:rsidP="003C0EFE">
      <w:pPr>
        <w:rPr>
          <w:lang w:eastAsia="bg-BG"/>
        </w:rPr>
      </w:pPr>
    </w:p>
    <w:p w14:paraId="48735B1C" w14:textId="114595AC" w:rsidR="003C0EFE" w:rsidRPr="003C0EFE" w:rsidRDefault="003C0EFE" w:rsidP="003C0EFE">
      <w:pPr>
        <w:rPr>
          <w:sz w:val="24"/>
          <w:szCs w:val="24"/>
        </w:rPr>
      </w:pPr>
      <w:r w:rsidRPr="003C0EFE">
        <w:rPr>
          <w:lang w:eastAsia="bg-BG"/>
        </w:rPr>
        <w:t>Категориите според честотата на поява са следните:</w:t>
      </w:r>
    </w:p>
    <w:p w14:paraId="0C7B182B" w14:textId="77777777" w:rsidR="003C0EFE" w:rsidRPr="003C0EFE" w:rsidRDefault="003C0EFE" w:rsidP="003C0EFE">
      <w:pPr>
        <w:rPr>
          <w:sz w:val="24"/>
          <w:szCs w:val="24"/>
        </w:rPr>
      </w:pPr>
      <w:r w:rsidRPr="003C0EFE">
        <w:rPr>
          <w:lang w:eastAsia="bg-BG"/>
        </w:rPr>
        <w:t>Много чести: ≥ 1/10;</w:t>
      </w:r>
    </w:p>
    <w:p w14:paraId="695AD8AD" w14:textId="77777777" w:rsidR="003C0EFE" w:rsidRPr="003C0EFE" w:rsidRDefault="003C0EFE" w:rsidP="003C0EFE">
      <w:pPr>
        <w:rPr>
          <w:sz w:val="24"/>
          <w:szCs w:val="24"/>
        </w:rPr>
      </w:pPr>
      <w:r w:rsidRPr="003C0EFE">
        <w:rPr>
          <w:lang w:eastAsia="bg-BG"/>
        </w:rPr>
        <w:t>Чести: ≥1/100 до &lt; 1/10;</w:t>
      </w:r>
    </w:p>
    <w:p w14:paraId="5D374162" w14:textId="77777777" w:rsidR="003C0EFE" w:rsidRPr="003C0EFE" w:rsidRDefault="003C0EFE" w:rsidP="003C0EFE">
      <w:pPr>
        <w:rPr>
          <w:sz w:val="24"/>
          <w:szCs w:val="24"/>
        </w:rPr>
      </w:pPr>
      <w:r w:rsidRPr="003C0EFE">
        <w:rPr>
          <w:lang w:eastAsia="bg-BG"/>
        </w:rPr>
        <w:t>Нечести: ≥1/1 000 до &lt; 1/100;</w:t>
      </w:r>
    </w:p>
    <w:p w14:paraId="2BD432F5" w14:textId="77777777" w:rsidR="003C0EFE" w:rsidRPr="003C0EFE" w:rsidRDefault="003C0EFE" w:rsidP="003C0EFE">
      <w:pPr>
        <w:rPr>
          <w:sz w:val="24"/>
          <w:szCs w:val="24"/>
        </w:rPr>
      </w:pPr>
      <w:r w:rsidRPr="003C0EFE">
        <w:rPr>
          <w:lang w:eastAsia="bg-BG"/>
        </w:rPr>
        <w:t>Редки: ≥1/10 000 до &lt; 1/1 000</w:t>
      </w:r>
    </w:p>
    <w:p w14:paraId="06B39921" w14:textId="77777777" w:rsidR="003C0EFE" w:rsidRPr="003C0EFE" w:rsidRDefault="003C0EFE" w:rsidP="003C0EFE">
      <w:pPr>
        <w:rPr>
          <w:sz w:val="24"/>
          <w:szCs w:val="24"/>
        </w:rPr>
      </w:pPr>
      <w:r w:rsidRPr="003C0EFE">
        <w:rPr>
          <w:lang w:eastAsia="bg-BG"/>
        </w:rPr>
        <w:t>Много редки: &lt;1/10 000;</w:t>
      </w:r>
    </w:p>
    <w:p w14:paraId="33063C57" w14:textId="77777777" w:rsidR="003C0EFE" w:rsidRPr="003C0EFE" w:rsidRDefault="003C0EFE" w:rsidP="003C0EFE">
      <w:pPr>
        <w:rPr>
          <w:sz w:val="24"/>
          <w:szCs w:val="24"/>
        </w:rPr>
      </w:pPr>
      <w:r w:rsidRPr="003C0EFE">
        <w:rPr>
          <w:lang w:eastAsia="bg-BG"/>
        </w:rPr>
        <w:t>С неизвестна честота: не може да се определи от наличните данни;</w:t>
      </w:r>
    </w:p>
    <w:p w14:paraId="3A98999B" w14:textId="49822CFE" w:rsidR="003C0EFE" w:rsidRDefault="003C0EFE" w:rsidP="003C0EFE"/>
    <w:tbl>
      <w:tblPr>
        <w:tblStyle w:val="TableGrid"/>
        <w:tblW w:w="0" w:type="auto"/>
        <w:tblLook w:val="04A0" w:firstRow="1" w:lastRow="0" w:firstColumn="1" w:lastColumn="0" w:noHBand="0" w:noVBand="1"/>
      </w:tblPr>
      <w:tblGrid>
        <w:gridCol w:w="2989"/>
        <w:gridCol w:w="6361"/>
      </w:tblGrid>
      <w:tr w:rsidR="003C0EFE" w14:paraId="437DB1F1" w14:textId="77777777" w:rsidTr="003C0EFE">
        <w:tc>
          <w:tcPr>
            <w:tcW w:w="9576" w:type="dxa"/>
            <w:gridSpan w:val="2"/>
          </w:tcPr>
          <w:p w14:paraId="4D1F43ED" w14:textId="79C05132" w:rsidR="003C0EFE" w:rsidRPr="003C0EFE" w:rsidRDefault="003C0EFE" w:rsidP="003C0EFE">
            <w:pPr>
              <w:rPr>
                <w:b/>
              </w:rPr>
            </w:pPr>
            <w:r w:rsidRPr="003C0EFE">
              <w:rPr>
                <w:b/>
              </w:rPr>
              <w:t>Нарушения на имунната система</w:t>
            </w:r>
          </w:p>
        </w:tc>
      </w:tr>
      <w:tr w:rsidR="003C0EFE" w14:paraId="3AE0BC2D" w14:textId="77777777" w:rsidTr="005E6288">
        <w:tc>
          <w:tcPr>
            <w:tcW w:w="3056" w:type="dxa"/>
          </w:tcPr>
          <w:p w14:paraId="48203208" w14:textId="0C41CF20" w:rsidR="003C0EFE" w:rsidRDefault="003C0EFE" w:rsidP="003C0EFE">
            <w:r>
              <w:t>С неизвестна честота</w:t>
            </w:r>
          </w:p>
        </w:tc>
        <w:tc>
          <w:tcPr>
            <w:tcW w:w="6520" w:type="dxa"/>
          </w:tcPr>
          <w:p w14:paraId="162C41B0" w14:textId="53B3B8B2" w:rsidR="003C0EFE" w:rsidRDefault="003C0EFE" w:rsidP="003C0EFE">
            <w:r>
              <w:t>Свръхчувствителност, ангиоедем, анафилактичен шок</w:t>
            </w:r>
          </w:p>
        </w:tc>
      </w:tr>
      <w:tr w:rsidR="003C0EFE" w14:paraId="6B8EAD81" w14:textId="77777777" w:rsidTr="003C0EFE">
        <w:tc>
          <w:tcPr>
            <w:tcW w:w="9576" w:type="dxa"/>
            <w:gridSpan w:val="2"/>
          </w:tcPr>
          <w:p w14:paraId="44C242EF" w14:textId="27FD4C7C" w:rsidR="003C0EFE" w:rsidRPr="003C0EFE" w:rsidRDefault="003C0EFE" w:rsidP="003C0EFE">
            <w:pPr>
              <w:rPr>
                <w:b/>
              </w:rPr>
            </w:pPr>
            <w:r w:rsidRPr="003C0EFE">
              <w:rPr>
                <w:b/>
                <w:lang w:eastAsia="bg-BG"/>
              </w:rPr>
              <w:t>Психични нарушения</w:t>
            </w:r>
          </w:p>
        </w:tc>
      </w:tr>
      <w:tr w:rsidR="003C0EFE" w14:paraId="15E63ADA" w14:textId="77777777" w:rsidTr="005E6288">
        <w:tc>
          <w:tcPr>
            <w:tcW w:w="3056" w:type="dxa"/>
          </w:tcPr>
          <w:p w14:paraId="5BA3102B" w14:textId="519E470B" w:rsidR="003C0EFE" w:rsidRDefault="003C0EFE" w:rsidP="003C0EFE">
            <w:r>
              <w:t>С неизвестна честота</w:t>
            </w:r>
          </w:p>
        </w:tc>
        <w:tc>
          <w:tcPr>
            <w:tcW w:w="6520" w:type="dxa"/>
          </w:tcPr>
          <w:p w14:paraId="19B02774" w14:textId="4018557A" w:rsidR="003C0EFE" w:rsidRDefault="003C0EFE" w:rsidP="003C0EFE">
            <w:r>
              <w:t>Състояние на объркване, еуфорично настроение, халюцинации, ажитираност*, враждебност*, гняв*, агресивност*, възбуда*. Физическа лекарствена зависимост и синдром на отнемане Злоупотреба</w:t>
            </w:r>
          </w:p>
        </w:tc>
      </w:tr>
      <w:tr w:rsidR="003C0EFE" w14:paraId="526DCF12" w14:textId="77777777" w:rsidTr="003C0EFE">
        <w:tc>
          <w:tcPr>
            <w:tcW w:w="9576" w:type="dxa"/>
            <w:gridSpan w:val="2"/>
          </w:tcPr>
          <w:p w14:paraId="26061559" w14:textId="0A502236" w:rsidR="003C0EFE" w:rsidRPr="003C0EFE" w:rsidRDefault="003C0EFE" w:rsidP="003C0EFE">
            <w:pPr>
              <w:rPr>
                <w:b/>
              </w:rPr>
            </w:pPr>
            <w:r w:rsidRPr="003C0EFE">
              <w:rPr>
                <w:b/>
                <w:lang w:eastAsia="bg-BG"/>
              </w:rPr>
              <w:t>Нарушения на нервната система</w:t>
            </w:r>
          </w:p>
        </w:tc>
      </w:tr>
      <w:tr w:rsidR="003C0EFE" w14:paraId="58A7EBC8" w14:textId="77777777" w:rsidTr="005E6288">
        <w:tc>
          <w:tcPr>
            <w:tcW w:w="3056" w:type="dxa"/>
          </w:tcPr>
          <w:p w14:paraId="59ADDA47" w14:textId="6B5FCBB0" w:rsidR="003C0EFE" w:rsidRDefault="003C0EFE" w:rsidP="003C0EFE">
            <w:r>
              <w:t>С неизвестна честота</w:t>
            </w:r>
          </w:p>
        </w:tc>
        <w:tc>
          <w:tcPr>
            <w:tcW w:w="6520" w:type="dxa"/>
          </w:tcPr>
          <w:p w14:paraId="551603F1" w14:textId="77777777" w:rsidR="003C0EFE" w:rsidRDefault="003C0EFE" w:rsidP="003C0EFE">
            <w:r>
              <w:t>Неволеви движения (включително тонично/клонични движения и мускулен тремор)*, хиперактивност*</w:t>
            </w:r>
          </w:p>
          <w:p w14:paraId="48A208B2" w14:textId="77777777" w:rsidR="003C0EFE" w:rsidRDefault="003C0EFE" w:rsidP="003C0EFE">
            <w:r>
              <w:t>Седация (пролонгирана и постоперативна), намалено внимание, сънливост, главоболие, замаяност, атаксия, антероградна амнезия**, продължителността на която е пряко свързана с приложената доза.</w:t>
            </w:r>
          </w:p>
          <w:p w14:paraId="0B346DD5" w14:textId="77777777" w:rsidR="003C0EFE" w:rsidRDefault="003C0EFE" w:rsidP="003C0EFE">
            <w:r>
              <w:t>Има съобщения за гърчове при недоносени кърмачета и новородеии.</w:t>
            </w:r>
          </w:p>
          <w:p w14:paraId="7D9BAF7B" w14:textId="75663DB2" w:rsidR="003C0EFE" w:rsidRDefault="003C0EFE" w:rsidP="003C0EFE">
            <w:r>
              <w:rPr>
                <w:u w:val="single"/>
              </w:rPr>
              <w:t>Гърчове при отнемане.</w:t>
            </w:r>
          </w:p>
        </w:tc>
      </w:tr>
      <w:tr w:rsidR="003C0EFE" w14:paraId="38173138" w14:textId="77777777" w:rsidTr="003C0EFE">
        <w:tc>
          <w:tcPr>
            <w:tcW w:w="9576" w:type="dxa"/>
            <w:gridSpan w:val="2"/>
          </w:tcPr>
          <w:p w14:paraId="3F5B995C" w14:textId="473456C0" w:rsidR="003C0EFE" w:rsidRPr="003C0EFE" w:rsidRDefault="003C0EFE" w:rsidP="003C0EFE">
            <w:pPr>
              <w:rPr>
                <w:b/>
              </w:rPr>
            </w:pPr>
            <w:r w:rsidRPr="003C0EFE">
              <w:rPr>
                <w:b/>
              </w:rPr>
              <w:t>Сърдечни нарушения</w:t>
            </w:r>
          </w:p>
        </w:tc>
      </w:tr>
      <w:tr w:rsidR="003C0EFE" w14:paraId="5FC939EC" w14:textId="77777777" w:rsidTr="005E6288">
        <w:tc>
          <w:tcPr>
            <w:tcW w:w="3056" w:type="dxa"/>
          </w:tcPr>
          <w:p w14:paraId="6CC8002A" w14:textId="455BA93D" w:rsidR="003C0EFE" w:rsidRDefault="003C0EFE" w:rsidP="003C0EFE">
            <w:r>
              <w:t>С неизвестна честота</w:t>
            </w:r>
          </w:p>
        </w:tc>
        <w:tc>
          <w:tcPr>
            <w:tcW w:w="6520" w:type="dxa"/>
          </w:tcPr>
          <w:p w14:paraId="4FBB4EC2" w14:textId="68786E16" w:rsidR="003C0EFE" w:rsidRDefault="003C0EFE" w:rsidP="003C0EFE">
            <w:r>
              <w:t>Сърдечен арест, брадикардия</w:t>
            </w:r>
          </w:p>
        </w:tc>
      </w:tr>
      <w:tr w:rsidR="003C0EFE" w14:paraId="744AB878" w14:textId="77777777" w:rsidTr="003C0EFE">
        <w:tc>
          <w:tcPr>
            <w:tcW w:w="9576" w:type="dxa"/>
            <w:gridSpan w:val="2"/>
          </w:tcPr>
          <w:p w14:paraId="717017B7" w14:textId="0E312676" w:rsidR="003C0EFE" w:rsidRPr="003C0EFE" w:rsidRDefault="003C0EFE" w:rsidP="003C0EFE">
            <w:pPr>
              <w:rPr>
                <w:b/>
              </w:rPr>
            </w:pPr>
            <w:r w:rsidRPr="003C0EFE">
              <w:rPr>
                <w:b/>
              </w:rPr>
              <w:t>Съдови нарушения</w:t>
            </w:r>
          </w:p>
        </w:tc>
      </w:tr>
      <w:tr w:rsidR="003C0EFE" w14:paraId="336020CE" w14:textId="77777777" w:rsidTr="005E6288">
        <w:tc>
          <w:tcPr>
            <w:tcW w:w="3056" w:type="dxa"/>
          </w:tcPr>
          <w:p w14:paraId="7193D07F" w14:textId="3B892A33" w:rsidR="003C0EFE" w:rsidRDefault="003C0EFE" w:rsidP="003C0EFE">
            <w:r>
              <w:t>С неизвестна честота</w:t>
            </w:r>
          </w:p>
        </w:tc>
        <w:tc>
          <w:tcPr>
            <w:tcW w:w="6520" w:type="dxa"/>
          </w:tcPr>
          <w:p w14:paraId="4EB2908C" w14:textId="1824BC79" w:rsidR="003C0EFE" w:rsidRDefault="003C0EFE" w:rsidP="003C0EFE">
            <w:r>
              <w:t>Хипотония, вазодилатация, тромбофлебит, тромбоза</w:t>
            </w:r>
          </w:p>
        </w:tc>
      </w:tr>
      <w:tr w:rsidR="005E6288" w14:paraId="6BC2808D" w14:textId="77777777" w:rsidTr="00866FE3">
        <w:tc>
          <w:tcPr>
            <w:tcW w:w="9576" w:type="dxa"/>
            <w:gridSpan w:val="2"/>
          </w:tcPr>
          <w:p w14:paraId="21A9021B" w14:textId="31E29447" w:rsidR="005E6288" w:rsidRPr="005E6288" w:rsidRDefault="005E6288" w:rsidP="005E6288">
            <w:pPr>
              <w:rPr>
                <w:b/>
              </w:rPr>
            </w:pPr>
            <w:r w:rsidRPr="005E6288">
              <w:rPr>
                <w:b/>
                <w:lang w:eastAsia="bg-BG"/>
              </w:rPr>
              <w:t>Респираторни нарушения</w:t>
            </w:r>
          </w:p>
        </w:tc>
      </w:tr>
      <w:tr w:rsidR="005E6288" w14:paraId="02D2E592" w14:textId="77777777" w:rsidTr="005E6288">
        <w:tc>
          <w:tcPr>
            <w:tcW w:w="3056" w:type="dxa"/>
          </w:tcPr>
          <w:p w14:paraId="1FCA8AA6" w14:textId="0C6E4C8C" w:rsidR="005E6288" w:rsidRDefault="005E6288" w:rsidP="005E6288">
            <w:r>
              <w:rPr>
                <w:i/>
                <w:iCs/>
              </w:rPr>
              <w:t>С</w:t>
            </w:r>
            <w:r>
              <w:t xml:space="preserve"> неизвестна честота</w:t>
            </w:r>
          </w:p>
        </w:tc>
        <w:tc>
          <w:tcPr>
            <w:tcW w:w="6520" w:type="dxa"/>
          </w:tcPr>
          <w:p w14:paraId="3835CBA9" w14:textId="7E7B44C9" w:rsidR="005E6288" w:rsidRDefault="005E6288" w:rsidP="005E6288">
            <w:r>
              <w:t>Респираторна депресия, апнея, респираторен арест, диспнея, ларингоспазъм, хълцане</w:t>
            </w:r>
          </w:p>
        </w:tc>
      </w:tr>
      <w:tr w:rsidR="005E6288" w14:paraId="0CC6EDCF" w14:textId="77777777" w:rsidTr="00BE21E1">
        <w:tc>
          <w:tcPr>
            <w:tcW w:w="9576" w:type="dxa"/>
            <w:gridSpan w:val="2"/>
          </w:tcPr>
          <w:p w14:paraId="5C2183B7" w14:textId="7B9B0EA2" w:rsidR="005E6288" w:rsidRPr="005E6288" w:rsidRDefault="005E6288" w:rsidP="005E6288">
            <w:pPr>
              <w:rPr>
                <w:b/>
              </w:rPr>
            </w:pPr>
            <w:r>
              <w:rPr>
                <w:b/>
                <w:lang w:eastAsia="bg-BG"/>
              </w:rPr>
              <w:t>Стомашно-</w:t>
            </w:r>
            <w:r w:rsidRPr="005E6288">
              <w:rPr>
                <w:b/>
                <w:lang w:eastAsia="bg-BG"/>
              </w:rPr>
              <w:t>чревни нарушения</w:t>
            </w:r>
          </w:p>
        </w:tc>
      </w:tr>
      <w:tr w:rsidR="005E6288" w14:paraId="0B228AD0" w14:textId="77777777" w:rsidTr="005E6288">
        <w:tc>
          <w:tcPr>
            <w:tcW w:w="3056" w:type="dxa"/>
          </w:tcPr>
          <w:p w14:paraId="469DC802" w14:textId="2484616A" w:rsidR="005E6288" w:rsidRDefault="005E6288" w:rsidP="005E6288">
            <w:r>
              <w:rPr>
                <w:i/>
                <w:iCs/>
              </w:rPr>
              <w:t>С</w:t>
            </w:r>
            <w:r>
              <w:t xml:space="preserve"> неизвестна честота</w:t>
            </w:r>
          </w:p>
        </w:tc>
        <w:tc>
          <w:tcPr>
            <w:tcW w:w="6520" w:type="dxa"/>
          </w:tcPr>
          <w:p w14:paraId="2E0EDC34" w14:textId="0599F6E1" w:rsidR="005E6288" w:rsidRDefault="005E6288" w:rsidP="005E6288">
            <w:r>
              <w:t>Гадене, повръщане, запек, сухота в устата</w:t>
            </w:r>
          </w:p>
        </w:tc>
      </w:tr>
      <w:tr w:rsidR="005E6288" w14:paraId="1880673D" w14:textId="77777777" w:rsidTr="008774CC">
        <w:tc>
          <w:tcPr>
            <w:tcW w:w="9576" w:type="dxa"/>
            <w:gridSpan w:val="2"/>
          </w:tcPr>
          <w:p w14:paraId="339C9156" w14:textId="775FEAFB" w:rsidR="005E6288" w:rsidRPr="005E6288" w:rsidRDefault="005E6288" w:rsidP="005E6288">
            <w:pPr>
              <w:rPr>
                <w:b/>
              </w:rPr>
            </w:pPr>
            <w:r w:rsidRPr="005E6288">
              <w:rPr>
                <w:b/>
              </w:rPr>
              <w:t>Нарушения на кожната и подкожната тъкан</w:t>
            </w:r>
          </w:p>
        </w:tc>
      </w:tr>
      <w:tr w:rsidR="005E6288" w14:paraId="118ACE4F" w14:textId="77777777" w:rsidTr="005E6288">
        <w:tc>
          <w:tcPr>
            <w:tcW w:w="3056" w:type="dxa"/>
          </w:tcPr>
          <w:p w14:paraId="11053E38" w14:textId="60DFA609" w:rsidR="005E6288" w:rsidRDefault="005E6288" w:rsidP="005E6288">
            <w:r>
              <w:t>С неизвестна честота</w:t>
            </w:r>
          </w:p>
        </w:tc>
        <w:tc>
          <w:tcPr>
            <w:tcW w:w="6520" w:type="dxa"/>
          </w:tcPr>
          <w:p w14:paraId="1130A085" w14:textId="7EF189F2" w:rsidR="005E6288" w:rsidRDefault="005E6288" w:rsidP="005E6288">
            <w:r>
              <w:t>Обрив, уртикария, пруритус</w:t>
            </w:r>
          </w:p>
        </w:tc>
      </w:tr>
      <w:tr w:rsidR="005E6288" w14:paraId="7A62EE6C" w14:textId="77777777" w:rsidTr="00DC2024">
        <w:tc>
          <w:tcPr>
            <w:tcW w:w="9576" w:type="dxa"/>
            <w:gridSpan w:val="2"/>
          </w:tcPr>
          <w:p w14:paraId="0A3DA801" w14:textId="36CA6BC1" w:rsidR="005E6288" w:rsidRPr="005E6288" w:rsidRDefault="005E6288" w:rsidP="005E6288">
            <w:pPr>
              <w:rPr>
                <w:b/>
              </w:rPr>
            </w:pPr>
            <w:r w:rsidRPr="005E6288">
              <w:rPr>
                <w:b/>
                <w:lang w:eastAsia="bg-BG"/>
              </w:rPr>
              <w:t>Общи нарушения и ефекти на мястото на приложение</w:t>
            </w:r>
          </w:p>
        </w:tc>
      </w:tr>
      <w:tr w:rsidR="005E6288" w14:paraId="5CDAFE9B" w14:textId="77777777" w:rsidTr="005E6288">
        <w:tc>
          <w:tcPr>
            <w:tcW w:w="3056" w:type="dxa"/>
          </w:tcPr>
          <w:p w14:paraId="4061B10D" w14:textId="5399AF63" w:rsidR="005E6288" w:rsidRDefault="005E6288" w:rsidP="005E6288">
            <w:r>
              <w:t>С неизвестна честота</w:t>
            </w:r>
          </w:p>
        </w:tc>
        <w:tc>
          <w:tcPr>
            <w:tcW w:w="6520" w:type="dxa"/>
          </w:tcPr>
          <w:p w14:paraId="7ED21776" w14:textId="49EA59E2" w:rsidR="005E6288" w:rsidRDefault="005E6288" w:rsidP="005E6288">
            <w:r>
              <w:t>Умора, еритема на мястото на инжектиране, болка на мястото на инжектиране</w:t>
            </w:r>
          </w:p>
        </w:tc>
      </w:tr>
      <w:tr w:rsidR="005E6288" w14:paraId="4F1962B6" w14:textId="77777777" w:rsidTr="00AE2F63">
        <w:tc>
          <w:tcPr>
            <w:tcW w:w="9576" w:type="dxa"/>
            <w:gridSpan w:val="2"/>
          </w:tcPr>
          <w:p w14:paraId="699D3579" w14:textId="2B84EB5A" w:rsidR="005E6288" w:rsidRPr="005E6288" w:rsidRDefault="005E6288" w:rsidP="005E6288">
            <w:pPr>
              <w:rPr>
                <w:b/>
              </w:rPr>
            </w:pPr>
            <w:r w:rsidRPr="005E6288">
              <w:rPr>
                <w:b/>
              </w:rPr>
              <w:t>Наранявания, отравяния и усложнения, възникнали в резултат на интервенции.</w:t>
            </w:r>
          </w:p>
        </w:tc>
      </w:tr>
      <w:tr w:rsidR="005E6288" w14:paraId="4A25522F" w14:textId="77777777" w:rsidTr="005E6288">
        <w:tc>
          <w:tcPr>
            <w:tcW w:w="3056" w:type="dxa"/>
          </w:tcPr>
          <w:p w14:paraId="1BECAE58" w14:textId="3576F523" w:rsidR="005E6288" w:rsidRDefault="005E6288" w:rsidP="005E6288">
            <w:r>
              <w:t>С неизвестна честота</w:t>
            </w:r>
          </w:p>
        </w:tc>
        <w:tc>
          <w:tcPr>
            <w:tcW w:w="6520" w:type="dxa"/>
          </w:tcPr>
          <w:p w14:paraId="61E931B8" w14:textId="2FA70F24" w:rsidR="005E6288" w:rsidRDefault="005E6288" w:rsidP="005E6288">
            <w:r>
              <w:t>Падания, фрактури***</w:t>
            </w:r>
          </w:p>
        </w:tc>
      </w:tr>
      <w:tr w:rsidR="005E6288" w14:paraId="53AF8652" w14:textId="77777777" w:rsidTr="00301F68">
        <w:tc>
          <w:tcPr>
            <w:tcW w:w="9576" w:type="dxa"/>
            <w:gridSpan w:val="2"/>
          </w:tcPr>
          <w:p w14:paraId="59274C86" w14:textId="7F5CCA3C" w:rsidR="005E6288" w:rsidRPr="005E6288" w:rsidRDefault="005E6288" w:rsidP="005E6288">
            <w:pPr>
              <w:rPr>
                <w:b/>
              </w:rPr>
            </w:pPr>
            <w:r w:rsidRPr="005E6288">
              <w:rPr>
                <w:b/>
              </w:rPr>
              <w:t>Социални предпоставки</w:t>
            </w:r>
          </w:p>
        </w:tc>
      </w:tr>
      <w:tr w:rsidR="005E6288" w14:paraId="4BC04CD8" w14:textId="77777777" w:rsidTr="005E6288">
        <w:tc>
          <w:tcPr>
            <w:tcW w:w="3056" w:type="dxa"/>
          </w:tcPr>
          <w:p w14:paraId="0FC0E93C" w14:textId="655A7406" w:rsidR="005E6288" w:rsidRDefault="005E6288" w:rsidP="005E6288">
            <w:r>
              <w:lastRenderedPageBreak/>
              <w:t>С неизвестна честота</w:t>
            </w:r>
          </w:p>
        </w:tc>
        <w:tc>
          <w:tcPr>
            <w:tcW w:w="6520" w:type="dxa"/>
          </w:tcPr>
          <w:p w14:paraId="76C0566B" w14:textId="5A220150" w:rsidR="005E6288" w:rsidRDefault="005E6288" w:rsidP="005E6288">
            <w:r>
              <w:t>Физическо насилие*</w:t>
            </w:r>
          </w:p>
        </w:tc>
      </w:tr>
    </w:tbl>
    <w:p w14:paraId="385F2B8C" w14:textId="4448BF99" w:rsidR="005E6288" w:rsidRPr="005E6288" w:rsidRDefault="005E6288" w:rsidP="005E6288">
      <w:pPr>
        <w:spacing w:line="240" w:lineRule="auto"/>
        <w:rPr>
          <w:rFonts w:eastAsia="Times New Roman" w:cs="Arial"/>
          <w:color w:val="000000"/>
          <w:lang w:eastAsia="bg-BG"/>
        </w:rPr>
      </w:pPr>
      <w:r w:rsidRPr="005E6288">
        <w:rPr>
          <w:rFonts w:eastAsia="Times New Roman" w:cs="Arial"/>
          <w:color w:val="000000"/>
          <w:lang w:val="ru-RU" w:eastAsia="bg-BG"/>
        </w:rPr>
        <w:t>*</w:t>
      </w:r>
      <w:r w:rsidRPr="005E6288">
        <w:rPr>
          <w:rFonts w:eastAsia="Times New Roman" w:cs="Arial"/>
          <w:color w:val="000000"/>
          <w:lang w:eastAsia="bg-BG"/>
        </w:rPr>
        <w:t>Такива парадоксални реакции са били съобщавани особено при деца и пациенти в старческа възраст (вж. точка 4.4).</w:t>
      </w:r>
    </w:p>
    <w:p w14:paraId="36166ED4" w14:textId="127BA2AF" w:rsidR="005E6288" w:rsidRPr="005E6288" w:rsidRDefault="005E6288" w:rsidP="005E6288">
      <w:pPr>
        <w:spacing w:line="240" w:lineRule="auto"/>
        <w:rPr>
          <w:rFonts w:eastAsia="Times New Roman" w:cs="Arial"/>
          <w:color w:val="000000"/>
          <w:lang w:eastAsia="bg-BG"/>
        </w:rPr>
      </w:pPr>
      <w:r w:rsidRPr="005E6288">
        <w:rPr>
          <w:rFonts w:eastAsia="Times New Roman" w:cs="Arial"/>
          <w:color w:val="000000"/>
          <w:lang w:val="ru-RU" w:eastAsia="bg-BG"/>
        </w:rPr>
        <w:t>**</w:t>
      </w:r>
      <w:r w:rsidRPr="005E6288">
        <w:rPr>
          <w:rFonts w:eastAsia="Times New Roman" w:cs="Arial"/>
          <w:color w:val="000000"/>
          <w:lang w:eastAsia="bg-BG"/>
        </w:rPr>
        <w:t>Антероградната амнезия може все още да се наблюдава в края на процедурата, а при отделни случаи се наблюдава и пролонгирана амнезия (вж. точка 4.4).</w:t>
      </w:r>
    </w:p>
    <w:p w14:paraId="15A6941C" w14:textId="7AC6E99E" w:rsidR="005E6288" w:rsidRPr="005E6288" w:rsidRDefault="005E6288" w:rsidP="005E6288">
      <w:pPr>
        <w:spacing w:line="240" w:lineRule="auto"/>
        <w:rPr>
          <w:rFonts w:eastAsia="Times New Roman" w:cs="Arial"/>
          <w:color w:val="000000"/>
          <w:lang w:eastAsia="bg-BG"/>
        </w:rPr>
      </w:pPr>
      <w:r w:rsidRPr="005E6288">
        <w:rPr>
          <w:rFonts w:eastAsia="Times New Roman" w:cs="Arial"/>
          <w:color w:val="000000"/>
          <w:lang w:val="ru-RU" w:eastAsia="bg-BG"/>
        </w:rPr>
        <w:t>***</w:t>
      </w:r>
      <w:r w:rsidRPr="005E6288">
        <w:rPr>
          <w:rFonts w:eastAsia="Times New Roman" w:cs="Arial"/>
          <w:color w:val="000000"/>
          <w:lang w:eastAsia="bg-BG"/>
        </w:rPr>
        <w:t>Рискът от падане и фрактури е увеличен при пациенти, които приемат допълнителни седативи (включително алкохолни напитки) и при пациенти в старческа възраст.</w:t>
      </w:r>
    </w:p>
    <w:p w14:paraId="00CF6A44" w14:textId="77777777" w:rsidR="005E6288" w:rsidRDefault="005E6288" w:rsidP="005E6288">
      <w:pPr>
        <w:spacing w:line="240" w:lineRule="auto"/>
        <w:rPr>
          <w:rFonts w:eastAsia="Times New Roman" w:cs="Arial"/>
          <w:color w:val="000000"/>
          <w:u w:val="single"/>
          <w:lang w:eastAsia="bg-BG"/>
        </w:rPr>
      </w:pPr>
    </w:p>
    <w:p w14:paraId="328CA886" w14:textId="3BFD55C0" w:rsidR="005E6288" w:rsidRPr="005E6288" w:rsidRDefault="005E6288" w:rsidP="005E6288">
      <w:pPr>
        <w:spacing w:line="240" w:lineRule="auto"/>
        <w:rPr>
          <w:rFonts w:eastAsia="Times New Roman" w:cs="Arial"/>
        </w:rPr>
      </w:pPr>
      <w:r w:rsidRPr="005E6288">
        <w:rPr>
          <w:rFonts w:eastAsia="Times New Roman" w:cs="Arial"/>
          <w:color w:val="000000"/>
          <w:u w:val="single"/>
          <w:lang w:eastAsia="bg-BG"/>
        </w:rPr>
        <w:t>Зависимост</w:t>
      </w:r>
    </w:p>
    <w:p w14:paraId="5929F8EA" w14:textId="77777777" w:rsidR="005E6288" w:rsidRPr="005E6288" w:rsidRDefault="005E6288" w:rsidP="005E6288">
      <w:pPr>
        <w:spacing w:line="240" w:lineRule="auto"/>
        <w:rPr>
          <w:rFonts w:eastAsia="Times New Roman" w:cs="Arial"/>
        </w:rPr>
      </w:pPr>
      <w:r w:rsidRPr="005E6288">
        <w:rPr>
          <w:rFonts w:eastAsia="Times New Roman" w:cs="Arial"/>
          <w:color w:val="000000"/>
          <w:lang w:eastAsia="bg-BG"/>
        </w:rPr>
        <w:t>Употребата на мидазолам дори в терапевтични дози, може да предизвика физическа зависимост. Прекъсването на лечението след продължително интравенозно приложение, особено внезапното прекъсване, може да доведе до симптоми на отнемане, включително гърчове (вж. точка 4.4). Докладвани са случай на злоупотреба.</w:t>
      </w:r>
    </w:p>
    <w:p w14:paraId="1757932A" w14:textId="77777777" w:rsidR="005E6288" w:rsidRDefault="005E6288" w:rsidP="005E6288">
      <w:pPr>
        <w:spacing w:line="240" w:lineRule="auto"/>
        <w:rPr>
          <w:rFonts w:eastAsia="Times New Roman" w:cs="Arial"/>
          <w:color w:val="000000"/>
          <w:lang w:eastAsia="bg-BG"/>
        </w:rPr>
      </w:pPr>
    </w:p>
    <w:p w14:paraId="3A3F19DA" w14:textId="305065A1" w:rsidR="005E6288" w:rsidRPr="005E6288" w:rsidRDefault="005E6288" w:rsidP="005E6288">
      <w:pPr>
        <w:spacing w:line="240" w:lineRule="auto"/>
        <w:rPr>
          <w:rFonts w:eastAsia="Times New Roman" w:cs="Arial"/>
        </w:rPr>
      </w:pPr>
      <w:r w:rsidRPr="005E6288">
        <w:rPr>
          <w:rFonts w:eastAsia="Times New Roman" w:cs="Arial"/>
          <w:color w:val="000000"/>
          <w:lang w:eastAsia="bg-BG"/>
        </w:rPr>
        <w:t>Докладвани са тежки сърдечно - респираторни нежелани реакции. По-вероятно е животозастрашаващи инциденти да възникват при пациенти над 60 - годишна възраст и такива с предходна дихателна недостатъчност, особено когато мидазолам се прилага твърде бързо или във високи дози (вж. точка 4.4).</w:t>
      </w:r>
    </w:p>
    <w:p w14:paraId="3061BB04" w14:textId="77777777" w:rsidR="005E6288" w:rsidRDefault="005E6288" w:rsidP="005E6288">
      <w:pPr>
        <w:spacing w:line="240" w:lineRule="auto"/>
        <w:rPr>
          <w:rFonts w:eastAsia="Times New Roman" w:cs="Arial"/>
          <w:color w:val="000000"/>
          <w:u w:val="single"/>
          <w:lang w:eastAsia="bg-BG"/>
        </w:rPr>
      </w:pPr>
    </w:p>
    <w:p w14:paraId="21CF88CE" w14:textId="302C5911" w:rsidR="005E6288" w:rsidRPr="005E6288" w:rsidRDefault="005E6288" w:rsidP="005E6288">
      <w:pPr>
        <w:spacing w:line="240" w:lineRule="auto"/>
        <w:rPr>
          <w:rFonts w:eastAsia="Times New Roman" w:cs="Arial"/>
        </w:rPr>
      </w:pPr>
      <w:r w:rsidRPr="005E6288">
        <w:rPr>
          <w:rFonts w:eastAsia="Times New Roman" w:cs="Arial"/>
          <w:color w:val="000000"/>
          <w:u w:val="single"/>
          <w:lang w:eastAsia="bg-BG"/>
        </w:rPr>
        <w:t>Съобщаване на подозирани нежелани реакции</w:t>
      </w:r>
    </w:p>
    <w:p w14:paraId="31BFFAB0" w14:textId="77777777" w:rsidR="005E6288" w:rsidRPr="005E6288" w:rsidRDefault="005E6288" w:rsidP="005E6288">
      <w:pPr>
        <w:spacing w:line="240" w:lineRule="auto"/>
        <w:rPr>
          <w:rFonts w:eastAsia="Times New Roman" w:cs="Arial"/>
        </w:rPr>
      </w:pPr>
      <w:r w:rsidRPr="005E6288">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ул.,Дамян Груев” № 8, 1303 София, тел.: +35928903417, уебсайт: </w:t>
      </w:r>
      <w:r w:rsidRPr="005E6288">
        <w:rPr>
          <w:rFonts w:eastAsia="Times New Roman" w:cs="Arial"/>
        </w:rPr>
        <w:fldChar w:fldCharType="begin"/>
      </w:r>
      <w:r w:rsidRPr="005E6288">
        <w:rPr>
          <w:rFonts w:eastAsia="Times New Roman" w:cs="Arial"/>
        </w:rPr>
        <w:instrText xml:space="preserve"> HYPERLINK "http://www.bda.bg" </w:instrText>
      </w:r>
      <w:r w:rsidRPr="005E6288">
        <w:rPr>
          <w:rFonts w:eastAsia="Times New Roman" w:cs="Arial"/>
        </w:rPr>
      </w:r>
      <w:r w:rsidRPr="005E6288">
        <w:rPr>
          <w:rFonts w:eastAsia="Times New Roman" w:cs="Arial"/>
        </w:rPr>
        <w:fldChar w:fldCharType="separate"/>
      </w:r>
      <w:r w:rsidRPr="005E6288">
        <w:rPr>
          <w:rFonts w:eastAsia="Times New Roman" w:cs="Arial"/>
          <w:color w:val="000000"/>
          <w:u w:val="single"/>
          <w:lang w:val="en-US"/>
        </w:rPr>
        <w:t>www</w:t>
      </w:r>
      <w:r w:rsidRPr="005E6288">
        <w:rPr>
          <w:rFonts w:eastAsia="Times New Roman" w:cs="Arial"/>
          <w:color w:val="000000"/>
          <w:u w:val="single"/>
          <w:lang w:val="ru-RU"/>
        </w:rPr>
        <w:t>.</w:t>
      </w:r>
      <w:proofErr w:type="spellStart"/>
      <w:r w:rsidRPr="005E6288">
        <w:rPr>
          <w:rFonts w:eastAsia="Times New Roman" w:cs="Arial"/>
          <w:color w:val="000000"/>
          <w:u w:val="single"/>
          <w:lang w:val="en-US"/>
        </w:rPr>
        <w:t>bda</w:t>
      </w:r>
      <w:proofErr w:type="spellEnd"/>
      <w:r w:rsidRPr="005E6288">
        <w:rPr>
          <w:rFonts w:eastAsia="Times New Roman" w:cs="Arial"/>
          <w:color w:val="000000"/>
          <w:u w:val="single"/>
          <w:lang w:val="ru-RU"/>
        </w:rPr>
        <w:t>.</w:t>
      </w:r>
      <w:proofErr w:type="spellStart"/>
      <w:r w:rsidRPr="005E6288">
        <w:rPr>
          <w:rFonts w:eastAsia="Times New Roman" w:cs="Arial"/>
          <w:color w:val="000000"/>
          <w:u w:val="single"/>
          <w:lang w:val="en-US"/>
        </w:rPr>
        <w:t>bg</w:t>
      </w:r>
      <w:proofErr w:type="spellEnd"/>
      <w:r w:rsidRPr="005E6288">
        <w:rPr>
          <w:rFonts w:eastAsia="Times New Roman" w:cs="Arial"/>
        </w:rPr>
        <w:fldChar w:fldCharType="end"/>
      </w:r>
      <w:r w:rsidRPr="005E6288">
        <w:rPr>
          <w:rFonts w:eastAsia="Times New Roman" w:cs="Arial"/>
          <w:color w:val="000000"/>
          <w:lang w:val="ru-RU"/>
        </w:rPr>
        <w:t>.</w:t>
      </w:r>
    </w:p>
    <w:p w14:paraId="2204F314" w14:textId="77777777" w:rsidR="003C0EFE" w:rsidRPr="003C0EFE" w:rsidRDefault="003C0EFE" w:rsidP="003C0EFE"/>
    <w:p w14:paraId="5B0378B8" w14:textId="15B580E6" w:rsidR="00426E5F" w:rsidRDefault="002C50EE" w:rsidP="00A65A81">
      <w:pPr>
        <w:pStyle w:val="Heading2"/>
      </w:pPr>
      <w:r>
        <w:t>4.9. Предозиране</w:t>
      </w:r>
    </w:p>
    <w:p w14:paraId="6F1EB016" w14:textId="07562ADA" w:rsidR="005E6288" w:rsidRDefault="005E6288" w:rsidP="005E6288"/>
    <w:p w14:paraId="44220C69" w14:textId="77777777" w:rsidR="005E6288" w:rsidRPr="005E6288" w:rsidRDefault="005E6288" w:rsidP="005E6288">
      <w:pPr>
        <w:pStyle w:val="Heading3"/>
        <w:rPr>
          <w:rFonts w:eastAsia="Times New Roman"/>
          <w:u w:val="single"/>
        </w:rPr>
      </w:pPr>
      <w:r w:rsidRPr="005E6288">
        <w:rPr>
          <w:rFonts w:eastAsia="Times New Roman"/>
          <w:u w:val="single"/>
          <w:lang w:eastAsia="bg-BG"/>
        </w:rPr>
        <w:t>Симптоми</w:t>
      </w:r>
    </w:p>
    <w:p w14:paraId="0FB6A9D1" w14:textId="4A9487D6" w:rsidR="005E6288" w:rsidRDefault="005E6288" w:rsidP="005E6288">
      <w:pPr>
        <w:rPr>
          <w:lang w:eastAsia="bg-BG"/>
        </w:rPr>
      </w:pPr>
      <w:r w:rsidRPr="005E6288">
        <w:rPr>
          <w:lang w:eastAsia="bg-BG"/>
        </w:rPr>
        <w:t>Както другите бензодиазепини, мидазолам обикновено предизвиква сънливост, атаксия, дизартрия и нистагъм. Предозирането с мидазолам рядко е животозастрашаващо, ако лекарството е прието самостоятелно, но може да доведе до арефлексия, апнея, хипотония, кардио-респираторна депресия и в редки случай до кома. Комата, ако се появи, обикновено продължава няколко часа, но може да бъде продължителна или циклична, особено при пациенти в старческа възраст. Ефектите на респираторната депресия на бензодиазепините са по - сериозни при пациенти с респираторно заболяване.</w:t>
      </w:r>
    </w:p>
    <w:p w14:paraId="3F2BF96E" w14:textId="150CBEE4" w:rsidR="005E6288" w:rsidRDefault="005E6288" w:rsidP="005E6288">
      <w:pPr>
        <w:rPr>
          <w:lang w:eastAsia="bg-BG"/>
        </w:rPr>
      </w:pPr>
    </w:p>
    <w:p w14:paraId="7EE51224" w14:textId="77777777" w:rsidR="005E6288" w:rsidRPr="005E6288" w:rsidRDefault="005E6288" w:rsidP="005E6288">
      <w:pPr>
        <w:rPr>
          <w:sz w:val="24"/>
          <w:szCs w:val="24"/>
        </w:rPr>
      </w:pPr>
      <w:r w:rsidRPr="005E6288">
        <w:rPr>
          <w:lang w:eastAsia="bg-BG"/>
        </w:rPr>
        <w:t>Бензодиазепините засилват ефектите на другите депресанти на централната нервна система, включително алкохол.</w:t>
      </w:r>
    </w:p>
    <w:p w14:paraId="4B56FC0A" w14:textId="77777777" w:rsidR="005E6288" w:rsidRDefault="005E6288" w:rsidP="005E6288">
      <w:pPr>
        <w:rPr>
          <w:lang w:eastAsia="bg-BG"/>
        </w:rPr>
      </w:pPr>
    </w:p>
    <w:p w14:paraId="34F5F114" w14:textId="3A6838C7" w:rsidR="005E6288" w:rsidRPr="005E6288" w:rsidRDefault="005E6288" w:rsidP="005E6288">
      <w:pPr>
        <w:pStyle w:val="Heading3"/>
        <w:rPr>
          <w:rFonts w:eastAsia="Times New Roman"/>
          <w:u w:val="single"/>
        </w:rPr>
      </w:pPr>
      <w:r w:rsidRPr="005E6288">
        <w:rPr>
          <w:rFonts w:eastAsia="Times New Roman"/>
          <w:u w:val="single"/>
          <w:lang w:eastAsia="bg-BG"/>
        </w:rPr>
        <w:t>Лечение</w:t>
      </w:r>
    </w:p>
    <w:p w14:paraId="5A2E6BCC" w14:textId="77777777" w:rsidR="005E6288" w:rsidRPr="005E6288" w:rsidRDefault="005E6288" w:rsidP="005E6288">
      <w:pPr>
        <w:rPr>
          <w:sz w:val="24"/>
          <w:szCs w:val="24"/>
        </w:rPr>
      </w:pPr>
      <w:r w:rsidRPr="005E6288">
        <w:rPr>
          <w:lang w:eastAsia="bg-BG"/>
        </w:rPr>
        <w:t>Проследяват се жизнените признаци на пациентите и се предприемат поддържащи мерки според клиничното състояние на пациента. По - специално, пациентите могат да имат нужда от симптоматично лечение на сърдечно - респираторните ефекти или ефектите на централната нервна система.</w:t>
      </w:r>
    </w:p>
    <w:p w14:paraId="4780FC9F" w14:textId="77777777" w:rsidR="005E6288" w:rsidRDefault="005E6288" w:rsidP="005E6288">
      <w:pPr>
        <w:rPr>
          <w:lang w:eastAsia="bg-BG"/>
        </w:rPr>
      </w:pPr>
    </w:p>
    <w:p w14:paraId="41EA61A7" w14:textId="2D022CE4" w:rsidR="005E6288" w:rsidRPr="005E6288" w:rsidRDefault="005E6288" w:rsidP="005E6288">
      <w:pPr>
        <w:rPr>
          <w:sz w:val="24"/>
          <w:szCs w:val="24"/>
        </w:rPr>
      </w:pPr>
      <w:r w:rsidRPr="005E6288">
        <w:rPr>
          <w:lang w:eastAsia="bg-BG"/>
        </w:rPr>
        <w:lastRenderedPageBreak/>
        <w:t>При перорален прием трябва да се предотврати по - нататъшната абсорбция по подходящ начин, например лечение до 1 - 2 часа с активен въглен. Ако активният въглен се използва при сънливи пациенти, защитата на дихателните пътища е задължителна. В случай на смесено поглъщане, може да се предвиди стомашна промивка, но не като рутинна мярка.</w:t>
      </w:r>
    </w:p>
    <w:p w14:paraId="3BEA77C9" w14:textId="77777777" w:rsidR="005E6288" w:rsidRDefault="005E6288" w:rsidP="005E6288">
      <w:pPr>
        <w:rPr>
          <w:lang w:eastAsia="bg-BG"/>
        </w:rPr>
      </w:pPr>
    </w:p>
    <w:p w14:paraId="57B116C3" w14:textId="3FC3218A" w:rsidR="005E6288" w:rsidRPr="005E6288" w:rsidRDefault="005E6288" w:rsidP="005E6288">
      <w:pPr>
        <w:rPr>
          <w:sz w:val="24"/>
          <w:szCs w:val="24"/>
        </w:rPr>
      </w:pPr>
      <w:r w:rsidRPr="005E6288">
        <w:rPr>
          <w:lang w:eastAsia="bg-BG"/>
        </w:rPr>
        <w:t>При тежка депресия на ЦНС трябва да се има предвид употребата на флумазенил, бензодиазепинов антагонист. Това трябва да се извърши само при строго наблюдение на състоянието на пациента. Той има кратък полуживот (около един час), поради което пациентите, на които е приложен, се нуждаят от наблюдение след отзвучаване на ефекта му. Флумазенил трябва да се използва изключително внимателно при приложение на лекарства, които намаляват гърчовия праг (напр. трициклични антидепресанти). За допълнителна информация относно правилната употреба на това лекарство, направете справка с информацията за предписване на това лекарство.</w:t>
      </w:r>
    </w:p>
    <w:p w14:paraId="2503E0B6" w14:textId="77777777" w:rsidR="005E6288" w:rsidRPr="005E6288" w:rsidRDefault="005E6288" w:rsidP="005E6288"/>
    <w:p w14:paraId="02081B24" w14:textId="1F46E296" w:rsidR="00395555" w:rsidRPr="00395555" w:rsidRDefault="002C50EE" w:rsidP="008A6AF2">
      <w:pPr>
        <w:pStyle w:val="Heading1"/>
      </w:pPr>
      <w:r>
        <w:t>5. ФАРМАКОЛОГИЧНИ СВОЙСТВА</w:t>
      </w:r>
    </w:p>
    <w:p w14:paraId="5279C268" w14:textId="630FEBFD" w:rsidR="00426E5F" w:rsidRDefault="002C50EE" w:rsidP="00A65A81">
      <w:pPr>
        <w:pStyle w:val="Heading2"/>
      </w:pPr>
      <w:r>
        <w:t>5.1. Фармакодинамични свойства</w:t>
      </w:r>
    </w:p>
    <w:p w14:paraId="74DD3960" w14:textId="65EF0A5D" w:rsidR="005E6288" w:rsidRDefault="005E6288" w:rsidP="005E6288"/>
    <w:p w14:paraId="1058FDCC" w14:textId="77777777" w:rsidR="005E6288" w:rsidRPr="005E6288" w:rsidRDefault="005E6288" w:rsidP="005E6288">
      <w:pPr>
        <w:spacing w:line="240" w:lineRule="auto"/>
        <w:rPr>
          <w:rFonts w:eastAsia="Times New Roman" w:cs="Arial"/>
        </w:rPr>
      </w:pPr>
      <w:r w:rsidRPr="005E6288">
        <w:rPr>
          <w:rFonts w:eastAsia="Times New Roman" w:cs="Arial"/>
          <w:color w:val="000000"/>
          <w:lang w:eastAsia="bg-BG"/>
        </w:rPr>
        <w:t xml:space="preserve">Фармакотерапевтична група: Хипнотици и седативни средства (бензодиазепинови производни) АТС код: </w:t>
      </w:r>
      <w:r w:rsidRPr="005E6288">
        <w:rPr>
          <w:rFonts w:eastAsia="Times New Roman" w:cs="Arial"/>
          <w:color w:val="000000"/>
          <w:lang w:val="en-US"/>
        </w:rPr>
        <w:t>N</w:t>
      </w:r>
      <w:r w:rsidRPr="005E6288">
        <w:rPr>
          <w:rFonts w:eastAsia="Times New Roman" w:cs="Arial"/>
          <w:color w:val="000000"/>
          <w:lang w:val="ru-RU"/>
        </w:rPr>
        <w:t>05</w:t>
      </w:r>
      <w:r w:rsidRPr="005E6288">
        <w:rPr>
          <w:rFonts w:eastAsia="Times New Roman" w:cs="Arial"/>
          <w:color w:val="000000"/>
          <w:lang w:val="en-US"/>
        </w:rPr>
        <w:t>CD</w:t>
      </w:r>
      <w:r w:rsidRPr="005E6288">
        <w:rPr>
          <w:rFonts w:eastAsia="Times New Roman" w:cs="Arial"/>
          <w:color w:val="000000"/>
          <w:lang w:val="ru-RU"/>
        </w:rPr>
        <w:t>08</w:t>
      </w:r>
    </w:p>
    <w:p w14:paraId="50F84BA5" w14:textId="77777777" w:rsidR="005E6288" w:rsidRPr="005E6288" w:rsidRDefault="005E6288" w:rsidP="005E6288">
      <w:pPr>
        <w:spacing w:line="240" w:lineRule="auto"/>
        <w:rPr>
          <w:rFonts w:eastAsia="Times New Roman" w:cs="Arial"/>
          <w:color w:val="000000"/>
          <w:lang w:eastAsia="bg-BG"/>
        </w:rPr>
      </w:pPr>
    </w:p>
    <w:p w14:paraId="410D4464" w14:textId="406A8189" w:rsidR="005E6288" w:rsidRPr="005E6288" w:rsidRDefault="005E6288" w:rsidP="005E6288">
      <w:pPr>
        <w:spacing w:line="240" w:lineRule="auto"/>
        <w:rPr>
          <w:rFonts w:eastAsia="Times New Roman" w:cs="Arial"/>
        </w:rPr>
      </w:pPr>
      <w:r w:rsidRPr="005E6288">
        <w:rPr>
          <w:rFonts w:eastAsia="Times New Roman" w:cs="Arial"/>
          <w:color w:val="000000"/>
          <w:lang w:eastAsia="bg-BG"/>
        </w:rPr>
        <w:t>Мидазолам е производно на имидазобензодиазепиновата група. Свободната база е липофилна субстанция, която е ниско разтворима във вода.</w:t>
      </w:r>
    </w:p>
    <w:p w14:paraId="6536DA55" w14:textId="77777777" w:rsidR="005E6288" w:rsidRPr="005E6288" w:rsidRDefault="005E6288" w:rsidP="005E6288">
      <w:pPr>
        <w:spacing w:line="240" w:lineRule="auto"/>
        <w:rPr>
          <w:rFonts w:eastAsia="Times New Roman" w:cs="Arial"/>
          <w:color w:val="000000"/>
          <w:lang w:eastAsia="bg-BG"/>
        </w:rPr>
      </w:pPr>
    </w:p>
    <w:p w14:paraId="35057C88" w14:textId="607AE1D7" w:rsidR="005E6288" w:rsidRPr="005E6288" w:rsidRDefault="005E6288" w:rsidP="005E6288">
      <w:pPr>
        <w:spacing w:line="240" w:lineRule="auto"/>
        <w:rPr>
          <w:rFonts w:eastAsia="Times New Roman" w:cs="Arial"/>
        </w:rPr>
      </w:pPr>
      <w:r w:rsidRPr="005E6288">
        <w:rPr>
          <w:rFonts w:eastAsia="Times New Roman" w:cs="Arial"/>
          <w:color w:val="000000"/>
          <w:lang w:eastAsia="bg-BG"/>
        </w:rPr>
        <w:t>Основният азотен атом на втора позиция в системата на имидазобензодиазепиновия пръстен позволява на активното вещество да формира водно-разтворими соли с киселините. Това води до образуването на стабилен и добре поносим разтвор за инжектиране.</w:t>
      </w:r>
    </w:p>
    <w:p w14:paraId="5F029243" w14:textId="77777777" w:rsidR="005E6288" w:rsidRPr="005E6288" w:rsidRDefault="005E6288" w:rsidP="005E6288">
      <w:pPr>
        <w:spacing w:line="240" w:lineRule="auto"/>
        <w:rPr>
          <w:rFonts w:eastAsia="Times New Roman" w:cs="Arial"/>
          <w:color w:val="000000"/>
          <w:lang w:eastAsia="bg-BG"/>
        </w:rPr>
      </w:pPr>
    </w:p>
    <w:p w14:paraId="2E873CD5" w14:textId="0462D7EF" w:rsidR="005E6288" w:rsidRPr="005E6288" w:rsidRDefault="005E6288" w:rsidP="005E6288">
      <w:pPr>
        <w:spacing w:line="240" w:lineRule="auto"/>
        <w:rPr>
          <w:rFonts w:eastAsia="Times New Roman" w:cs="Arial"/>
        </w:rPr>
      </w:pPr>
      <w:r w:rsidRPr="005E6288">
        <w:rPr>
          <w:rFonts w:eastAsia="Times New Roman" w:cs="Arial"/>
          <w:color w:val="000000"/>
          <w:lang w:eastAsia="bg-BG"/>
        </w:rPr>
        <w:t>Фармакологичното действие на мидазолам се характеризира с кратка продължителност поради бързата му метаболитна трансформация. Мидазолам има седативен и сънотворен ефект с изразена интензивност. Също така има анксиолитичен ефект, антиконвулсивен и миорелаксиращ ефект.</w:t>
      </w:r>
    </w:p>
    <w:p w14:paraId="4616805B" w14:textId="77777777" w:rsidR="005E6288" w:rsidRPr="005E6288" w:rsidRDefault="005E6288" w:rsidP="005E6288">
      <w:pPr>
        <w:rPr>
          <w:rFonts w:eastAsia="Times New Roman" w:cs="Arial"/>
          <w:color w:val="000000"/>
          <w:lang w:eastAsia="bg-BG"/>
        </w:rPr>
      </w:pPr>
    </w:p>
    <w:p w14:paraId="1E6D809B" w14:textId="6846FCD2" w:rsidR="005E6288" w:rsidRPr="005E6288" w:rsidRDefault="005E6288" w:rsidP="005E6288">
      <w:pPr>
        <w:rPr>
          <w:rFonts w:eastAsia="Times New Roman" w:cs="Arial"/>
          <w:color w:val="000000"/>
          <w:lang w:eastAsia="bg-BG"/>
        </w:rPr>
      </w:pPr>
      <w:r w:rsidRPr="005E6288">
        <w:rPr>
          <w:rFonts w:eastAsia="Times New Roman" w:cs="Arial"/>
          <w:color w:val="000000"/>
          <w:lang w:eastAsia="bg-BG"/>
        </w:rPr>
        <w:t>След интрамускулно или интравенозно приложение настъпва краткотрайна антероградна амнезия (пациентът не помни събитията по време на максималния ефект на активното вещество).</w:t>
      </w:r>
    </w:p>
    <w:p w14:paraId="065E00D3" w14:textId="77777777" w:rsidR="005E6288" w:rsidRPr="005E6288" w:rsidRDefault="005E6288" w:rsidP="005E6288"/>
    <w:p w14:paraId="5C51B4CC" w14:textId="7555B053" w:rsidR="00426E5F" w:rsidRDefault="002C50EE" w:rsidP="00A65A81">
      <w:pPr>
        <w:pStyle w:val="Heading2"/>
      </w:pPr>
      <w:r>
        <w:t>5.2. Фармакокинетични свойства</w:t>
      </w:r>
    </w:p>
    <w:p w14:paraId="735A4EE5" w14:textId="6A919303" w:rsidR="005E6288" w:rsidRDefault="005E6288" w:rsidP="005E6288"/>
    <w:p w14:paraId="4A2662FE" w14:textId="77777777" w:rsidR="005E6288" w:rsidRPr="005E6288" w:rsidRDefault="005E6288" w:rsidP="005E6288">
      <w:pPr>
        <w:pStyle w:val="Heading3"/>
        <w:rPr>
          <w:rFonts w:eastAsia="Times New Roman"/>
          <w:u w:val="single"/>
        </w:rPr>
      </w:pPr>
      <w:r w:rsidRPr="005E6288">
        <w:rPr>
          <w:rFonts w:eastAsia="Times New Roman"/>
          <w:u w:val="single"/>
          <w:lang w:eastAsia="bg-BG"/>
        </w:rPr>
        <w:t>Абсорбция след интрамускулно приложение</w:t>
      </w:r>
    </w:p>
    <w:p w14:paraId="3DB088E9" w14:textId="77777777" w:rsidR="005E6288" w:rsidRPr="005E6288" w:rsidRDefault="005E6288" w:rsidP="005E6288">
      <w:pPr>
        <w:spacing w:line="240" w:lineRule="auto"/>
        <w:rPr>
          <w:rFonts w:eastAsia="Times New Roman" w:cs="Arial"/>
        </w:rPr>
      </w:pPr>
      <w:r w:rsidRPr="005E6288">
        <w:rPr>
          <w:rFonts w:eastAsia="Times New Roman" w:cs="Arial"/>
          <w:color w:val="000000"/>
          <w:lang w:eastAsia="bg-BG"/>
        </w:rPr>
        <w:t xml:space="preserve">Абсорбцията от мускулната тъкан е бърза и пълна. Максимални плазмени концентрации се достигат до 30 минути. Абсолютната бионаличност след интрамускулно приложение е </w:t>
      </w:r>
      <w:r w:rsidRPr="005E6288">
        <w:rPr>
          <w:rFonts w:eastAsia="Times New Roman" w:cs="Arial"/>
          <w:i/>
          <w:iCs/>
          <w:color w:val="000000"/>
          <w:lang w:eastAsia="bg-BG"/>
        </w:rPr>
        <w:t>%.</w:t>
      </w:r>
    </w:p>
    <w:p w14:paraId="74EDACFD" w14:textId="77777777" w:rsidR="005E6288" w:rsidRPr="005E6288" w:rsidRDefault="005E6288" w:rsidP="005E6288">
      <w:pPr>
        <w:spacing w:line="240" w:lineRule="auto"/>
        <w:rPr>
          <w:rFonts w:eastAsia="Times New Roman" w:cs="Arial"/>
          <w:color w:val="000000"/>
          <w:u w:val="single"/>
          <w:lang w:eastAsia="bg-BG"/>
        </w:rPr>
      </w:pPr>
    </w:p>
    <w:p w14:paraId="388115EE" w14:textId="04D18526" w:rsidR="005E6288" w:rsidRPr="005E6288" w:rsidRDefault="005E6288" w:rsidP="005E6288">
      <w:pPr>
        <w:pStyle w:val="Heading3"/>
        <w:rPr>
          <w:rFonts w:eastAsia="Times New Roman"/>
          <w:u w:val="single"/>
        </w:rPr>
      </w:pPr>
      <w:r w:rsidRPr="005E6288">
        <w:rPr>
          <w:rFonts w:eastAsia="Times New Roman"/>
          <w:u w:val="single"/>
          <w:lang w:eastAsia="bg-BG"/>
        </w:rPr>
        <w:lastRenderedPageBreak/>
        <w:t>Абсорбция след ректално приложение</w:t>
      </w:r>
    </w:p>
    <w:p w14:paraId="6DC1C29D" w14:textId="5D1249DD" w:rsidR="005E6288" w:rsidRPr="005E6288" w:rsidRDefault="005E6288" w:rsidP="005E6288">
      <w:pPr>
        <w:rPr>
          <w:rFonts w:eastAsia="Times New Roman" w:cs="Arial"/>
          <w:color w:val="000000"/>
          <w:lang w:eastAsia="bg-BG"/>
        </w:rPr>
      </w:pPr>
      <w:r w:rsidRPr="005E6288">
        <w:rPr>
          <w:rFonts w:eastAsia="Times New Roman" w:cs="Arial"/>
          <w:color w:val="000000"/>
          <w:lang w:eastAsia="bg-BG"/>
        </w:rPr>
        <w:t>След ректално приложение мидазолам се абсорбира бързо. Максимална плазмена концентрация се достига до 30 минути. Абсолютната бионаличност е около 50 %.</w:t>
      </w:r>
    </w:p>
    <w:p w14:paraId="21A8891D" w14:textId="59A0F19A" w:rsidR="005E6288" w:rsidRPr="005E6288" w:rsidRDefault="005E6288" w:rsidP="005E6288">
      <w:pPr>
        <w:rPr>
          <w:rFonts w:eastAsia="Times New Roman" w:cs="Arial"/>
          <w:color w:val="000000"/>
          <w:lang w:eastAsia="bg-BG"/>
        </w:rPr>
      </w:pPr>
    </w:p>
    <w:p w14:paraId="40FE969E" w14:textId="77777777" w:rsidR="005E6288" w:rsidRPr="005E6288" w:rsidRDefault="005E6288" w:rsidP="005E6288">
      <w:pPr>
        <w:pStyle w:val="Heading3"/>
        <w:rPr>
          <w:rFonts w:eastAsia="Times New Roman"/>
          <w:u w:val="single"/>
        </w:rPr>
      </w:pPr>
      <w:r w:rsidRPr="005E6288">
        <w:rPr>
          <w:rFonts w:eastAsia="Times New Roman"/>
          <w:u w:val="single"/>
          <w:lang w:eastAsia="bg-BG"/>
        </w:rPr>
        <w:t>Разпределение</w:t>
      </w:r>
    </w:p>
    <w:p w14:paraId="01E5113B" w14:textId="77777777" w:rsidR="005E6288" w:rsidRPr="005E6288" w:rsidRDefault="005E6288" w:rsidP="005E6288">
      <w:pPr>
        <w:spacing w:line="240" w:lineRule="auto"/>
        <w:rPr>
          <w:rFonts w:eastAsia="Times New Roman" w:cs="Arial"/>
        </w:rPr>
      </w:pPr>
      <w:r w:rsidRPr="005E6288">
        <w:rPr>
          <w:rFonts w:eastAsia="Times New Roman" w:cs="Arial"/>
          <w:color w:val="000000"/>
          <w:lang w:eastAsia="bg-BG"/>
        </w:rPr>
        <w:t>Когато мидазолам се инжектира интравенозно, кривата плазмената концентрация - време показва една или две ясни фази на разпределение. Обемът на разпределение при достигане на стабилно състояние е 0,7-1,2</w:t>
      </w:r>
      <w:r w:rsidRPr="005E6288">
        <w:rPr>
          <w:rFonts w:eastAsia="Times New Roman" w:cs="Arial"/>
          <w:color w:val="000000"/>
          <w:lang w:val="ru-RU"/>
        </w:rPr>
        <w:t>1/</w:t>
      </w:r>
      <w:r w:rsidRPr="005E6288">
        <w:rPr>
          <w:rFonts w:eastAsia="Times New Roman" w:cs="Arial"/>
          <w:color w:val="000000"/>
          <w:lang w:val="en-US"/>
        </w:rPr>
        <w:t>kg</w:t>
      </w:r>
      <w:r w:rsidRPr="005E6288">
        <w:rPr>
          <w:rFonts w:eastAsia="Times New Roman" w:cs="Arial"/>
          <w:color w:val="000000"/>
          <w:lang w:val="ru-RU"/>
        </w:rPr>
        <w:t xml:space="preserve">. </w:t>
      </w:r>
      <w:r w:rsidRPr="005E6288">
        <w:rPr>
          <w:rFonts w:eastAsia="Times New Roman" w:cs="Arial"/>
          <w:color w:val="000000"/>
          <w:lang w:eastAsia="bg-BG"/>
        </w:rPr>
        <w:t>96 - 98 % от мидазолам се свързват с плазмените протеини. Основната фракция на свързващите протеини е албуминът. Мидазолам преминава бавно и в незначително количество в цереброспиналната течност. Доказано е, че при хора мидазолам бавно прониква през плацентарната бариера и във феталното кръвообращение. Малки количества са установени в кърмата.</w:t>
      </w:r>
    </w:p>
    <w:p w14:paraId="2489BFCC" w14:textId="77777777" w:rsidR="005E6288" w:rsidRPr="005E6288" w:rsidRDefault="005E6288" w:rsidP="005E6288">
      <w:pPr>
        <w:spacing w:line="240" w:lineRule="auto"/>
        <w:rPr>
          <w:rFonts w:eastAsia="Times New Roman" w:cs="Arial"/>
          <w:color w:val="000000"/>
          <w:u w:val="single"/>
          <w:lang w:eastAsia="bg-BG"/>
        </w:rPr>
      </w:pPr>
    </w:p>
    <w:p w14:paraId="4BD2B224" w14:textId="524B0EF5" w:rsidR="005E6288" w:rsidRPr="005E6288" w:rsidRDefault="005E6288" w:rsidP="005E6288">
      <w:pPr>
        <w:pStyle w:val="Heading3"/>
        <w:rPr>
          <w:rFonts w:eastAsia="Times New Roman"/>
          <w:u w:val="single"/>
        </w:rPr>
      </w:pPr>
      <w:r w:rsidRPr="005E6288">
        <w:rPr>
          <w:rFonts w:eastAsia="Times New Roman"/>
          <w:u w:val="single"/>
          <w:lang w:eastAsia="bg-BG"/>
        </w:rPr>
        <w:t>Метаболизъм</w:t>
      </w:r>
    </w:p>
    <w:p w14:paraId="6D08E146" w14:textId="77777777" w:rsidR="005E6288" w:rsidRPr="005E6288" w:rsidRDefault="005E6288" w:rsidP="005E6288">
      <w:pPr>
        <w:spacing w:line="240" w:lineRule="auto"/>
        <w:rPr>
          <w:rFonts w:eastAsia="Times New Roman" w:cs="Arial"/>
        </w:rPr>
      </w:pPr>
      <w:r w:rsidRPr="005E6288">
        <w:rPr>
          <w:rFonts w:eastAsia="Times New Roman" w:cs="Arial"/>
          <w:color w:val="000000"/>
          <w:lang w:eastAsia="bg-BG"/>
        </w:rPr>
        <w:t>Мидазолам се елиминира почти изцяло чрез биотрансформация. Фракцията на дозата, отделена през черния дроб е 30 - 60 %. Мидазолам се хидроксилира от цитохром Р4503А4 изоензим и основният метаболит в урината и плазмата е алфа-хидроксимидазолам. Плазмените му концентрации са 12 % от тези на първоначалното активно вещество. Алфа - хидроксимидазолам е фармакологично активен, но допринася само минимално (около 10 %) за ефектите на мидазолам, приложен интравенозно.</w:t>
      </w:r>
    </w:p>
    <w:p w14:paraId="4AD5C20F" w14:textId="77777777" w:rsidR="005E6288" w:rsidRPr="005E6288" w:rsidRDefault="005E6288" w:rsidP="005E6288">
      <w:pPr>
        <w:spacing w:line="240" w:lineRule="auto"/>
        <w:rPr>
          <w:rFonts w:eastAsia="Times New Roman" w:cs="Arial"/>
          <w:color w:val="000000"/>
          <w:u w:val="single"/>
          <w:lang w:eastAsia="bg-BG"/>
        </w:rPr>
      </w:pPr>
    </w:p>
    <w:p w14:paraId="08B7353E" w14:textId="538FB313" w:rsidR="005E6288" w:rsidRPr="005E6288" w:rsidRDefault="005E6288" w:rsidP="005E6288">
      <w:pPr>
        <w:pStyle w:val="Heading3"/>
        <w:rPr>
          <w:rFonts w:eastAsia="Times New Roman"/>
          <w:u w:val="single"/>
        </w:rPr>
      </w:pPr>
      <w:r w:rsidRPr="005E6288">
        <w:rPr>
          <w:rFonts w:eastAsia="Times New Roman"/>
          <w:u w:val="single"/>
          <w:lang w:eastAsia="bg-BG"/>
        </w:rPr>
        <w:t>Елиминиране</w:t>
      </w:r>
    </w:p>
    <w:p w14:paraId="778233E8" w14:textId="77777777" w:rsidR="005E6288" w:rsidRPr="005E6288" w:rsidRDefault="005E6288" w:rsidP="005E6288">
      <w:pPr>
        <w:spacing w:line="240" w:lineRule="auto"/>
        <w:rPr>
          <w:rFonts w:eastAsia="Times New Roman" w:cs="Arial"/>
        </w:rPr>
      </w:pPr>
      <w:r w:rsidRPr="005E6288">
        <w:rPr>
          <w:rFonts w:eastAsia="Times New Roman" w:cs="Arial"/>
          <w:color w:val="000000"/>
          <w:lang w:eastAsia="bg-BG"/>
        </w:rPr>
        <w:t xml:space="preserve">При здрави доброволци елиминационният полуживот на мидазолам е 1,5 - 2,5 часа. Плазменият клирънс е в границите 300-500 </w:t>
      </w:r>
      <w:r w:rsidRPr="005E6288">
        <w:rPr>
          <w:rFonts w:eastAsia="Times New Roman" w:cs="Arial"/>
          <w:color w:val="000000"/>
          <w:lang w:val="en-US"/>
        </w:rPr>
        <w:t>ml</w:t>
      </w:r>
      <w:r w:rsidRPr="005E6288">
        <w:rPr>
          <w:rFonts w:eastAsia="Times New Roman" w:cs="Arial"/>
          <w:color w:val="000000"/>
          <w:lang w:val="ru-RU"/>
        </w:rPr>
        <w:t>/</w:t>
      </w:r>
      <w:r w:rsidRPr="005E6288">
        <w:rPr>
          <w:rFonts w:eastAsia="Times New Roman" w:cs="Arial"/>
          <w:color w:val="000000"/>
          <w:lang w:val="en-US"/>
        </w:rPr>
        <w:t>min</w:t>
      </w:r>
      <w:r w:rsidRPr="005E6288">
        <w:rPr>
          <w:rFonts w:eastAsia="Times New Roman" w:cs="Arial"/>
          <w:color w:val="000000"/>
          <w:lang w:val="ru-RU"/>
        </w:rPr>
        <w:t xml:space="preserve">. </w:t>
      </w:r>
      <w:r w:rsidRPr="005E6288">
        <w:rPr>
          <w:rFonts w:eastAsia="Times New Roman" w:cs="Arial"/>
          <w:color w:val="000000"/>
          <w:lang w:eastAsia="bg-BG"/>
        </w:rPr>
        <w:t xml:space="preserve">Мидазолам се екскретира основно през бъбреците (60 -80 % от инжектирана доза) </w:t>
      </w:r>
      <w:r w:rsidRPr="005E6288">
        <w:rPr>
          <w:rFonts w:eastAsia="Times New Roman" w:cs="Arial"/>
          <w:i/>
          <w:iCs/>
          <w:color w:val="000000"/>
          <w:lang w:eastAsia="bg-BG"/>
        </w:rPr>
        <w:t>и се</w:t>
      </w:r>
      <w:r w:rsidRPr="005E6288">
        <w:rPr>
          <w:rFonts w:eastAsia="Times New Roman" w:cs="Arial"/>
          <w:color w:val="000000"/>
          <w:lang w:eastAsia="bg-BG"/>
        </w:rPr>
        <w:t xml:space="preserve"> открива под формата на глюкороконюгиран алфа-хидроксимидазолам. Под 1 % от дозата се открива в урината като непроменено лекарство. Елиминационният полуживот на алфа-хидроксимидазолам е под 1 час. Когато мидазолам се прилага чрез интравенозна инфузия кинетиката му на елиминиране се отличава от тази след приложение на болусна инжекция.</w:t>
      </w:r>
    </w:p>
    <w:p w14:paraId="7D0E92EA" w14:textId="77777777" w:rsidR="005E6288" w:rsidRPr="005E6288" w:rsidRDefault="005E6288" w:rsidP="005E6288">
      <w:pPr>
        <w:spacing w:line="240" w:lineRule="auto"/>
        <w:rPr>
          <w:rFonts w:eastAsia="Times New Roman" w:cs="Arial"/>
          <w:color w:val="000000"/>
          <w:u w:val="single"/>
          <w:lang w:eastAsia="bg-BG"/>
        </w:rPr>
      </w:pPr>
    </w:p>
    <w:p w14:paraId="590E47D0" w14:textId="05829158" w:rsidR="005E6288" w:rsidRPr="005E6288" w:rsidRDefault="005E6288" w:rsidP="005E6288">
      <w:pPr>
        <w:spacing w:line="240" w:lineRule="auto"/>
        <w:rPr>
          <w:rFonts w:eastAsia="Times New Roman" w:cs="Arial"/>
        </w:rPr>
      </w:pPr>
      <w:r w:rsidRPr="005E6288">
        <w:rPr>
          <w:rFonts w:eastAsia="Times New Roman" w:cs="Arial"/>
          <w:color w:val="000000"/>
          <w:u w:val="single"/>
          <w:lang w:eastAsia="bg-BG"/>
        </w:rPr>
        <w:t>Фармакокинетика при специални групи пациенти</w:t>
      </w:r>
    </w:p>
    <w:p w14:paraId="7D09C6D8" w14:textId="77777777" w:rsidR="005E6288" w:rsidRPr="005E6288" w:rsidRDefault="005E6288" w:rsidP="005E6288">
      <w:pPr>
        <w:spacing w:line="240" w:lineRule="auto"/>
        <w:rPr>
          <w:rFonts w:eastAsia="Times New Roman" w:cs="Arial"/>
          <w:i/>
          <w:iCs/>
          <w:color w:val="000000"/>
          <w:lang w:eastAsia="bg-BG"/>
        </w:rPr>
      </w:pPr>
    </w:p>
    <w:p w14:paraId="13E5CC35" w14:textId="332712D2" w:rsidR="005E6288" w:rsidRPr="005E6288" w:rsidRDefault="005E6288" w:rsidP="005E6288">
      <w:pPr>
        <w:spacing w:line="240" w:lineRule="auto"/>
        <w:rPr>
          <w:rFonts w:eastAsia="Times New Roman" w:cs="Arial"/>
        </w:rPr>
      </w:pPr>
      <w:r w:rsidRPr="005E6288">
        <w:rPr>
          <w:rFonts w:eastAsia="Times New Roman" w:cs="Arial"/>
          <w:i/>
          <w:iCs/>
          <w:color w:val="000000"/>
          <w:lang w:eastAsia="bg-BG"/>
        </w:rPr>
        <w:t>Пациенти в старческа възраст</w:t>
      </w:r>
    </w:p>
    <w:p w14:paraId="71D7D854" w14:textId="77777777" w:rsidR="005E6288" w:rsidRPr="005E6288" w:rsidRDefault="005E6288" w:rsidP="005E6288">
      <w:pPr>
        <w:spacing w:line="240" w:lineRule="auto"/>
        <w:rPr>
          <w:rFonts w:eastAsia="Times New Roman" w:cs="Arial"/>
        </w:rPr>
      </w:pPr>
      <w:r w:rsidRPr="005E6288">
        <w:rPr>
          <w:rFonts w:eastAsia="Times New Roman" w:cs="Arial"/>
          <w:color w:val="000000"/>
          <w:lang w:eastAsia="bg-BG"/>
        </w:rPr>
        <w:t>При пациенти над 60-годишна възраст елиминационният полуживот може да нарасне до 4 пъти.</w:t>
      </w:r>
    </w:p>
    <w:p w14:paraId="559846FC" w14:textId="77777777" w:rsidR="005E6288" w:rsidRPr="005E6288" w:rsidRDefault="005E6288" w:rsidP="005E6288">
      <w:pPr>
        <w:spacing w:line="240" w:lineRule="auto"/>
        <w:rPr>
          <w:rFonts w:eastAsia="Times New Roman" w:cs="Arial"/>
          <w:i/>
          <w:iCs/>
          <w:color w:val="000000"/>
          <w:lang w:eastAsia="bg-BG"/>
        </w:rPr>
      </w:pPr>
    </w:p>
    <w:p w14:paraId="00930EDF" w14:textId="7FFFCC6B" w:rsidR="005E6288" w:rsidRPr="005E6288" w:rsidRDefault="005E6288" w:rsidP="005E6288">
      <w:pPr>
        <w:spacing w:line="240" w:lineRule="auto"/>
        <w:rPr>
          <w:rFonts w:eastAsia="Times New Roman" w:cs="Arial"/>
        </w:rPr>
      </w:pPr>
      <w:r w:rsidRPr="005E6288">
        <w:rPr>
          <w:rFonts w:eastAsia="Times New Roman" w:cs="Arial"/>
          <w:i/>
          <w:iCs/>
          <w:color w:val="000000"/>
          <w:lang w:eastAsia="bg-BG"/>
        </w:rPr>
        <w:t>Педиатрична популация</w:t>
      </w:r>
    </w:p>
    <w:p w14:paraId="24AE3A55" w14:textId="77777777" w:rsidR="005E6288" w:rsidRPr="005E6288" w:rsidRDefault="005E6288" w:rsidP="005E6288">
      <w:pPr>
        <w:spacing w:line="240" w:lineRule="auto"/>
        <w:rPr>
          <w:rFonts w:eastAsia="Times New Roman" w:cs="Arial"/>
        </w:rPr>
      </w:pPr>
      <w:r w:rsidRPr="005E6288">
        <w:rPr>
          <w:rFonts w:eastAsia="Times New Roman" w:cs="Arial"/>
          <w:color w:val="000000"/>
          <w:lang w:eastAsia="bg-BG"/>
        </w:rPr>
        <w:t>Степента на абсорбция при ректално приложение е подобна на тази при възрастни, но бионаличността е по-малка (5-18 %). При деца от 3 до 10-годишна възраст елиминационният полуживот след интравенозно и ректално приложение е по-кратък (1-1,5 пъти) от това при възрастни. Това съвпада с увеличения метаболитен клирънс при деца.</w:t>
      </w:r>
    </w:p>
    <w:p w14:paraId="5236F222" w14:textId="77777777" w:rsidR="005E6288" w:rsidRPr="005E6288" w:rsidRDefault="005E6288" w:rsidP="005E6288">
      <w:pPr>
        <w:spacing w:line="240" w:lineRule="auto"/>
        <w:rPr>
          <w:rFonts w:eastAsia="Times New Roman" w:cs="Arial"/>
          <w:i/>
          <w:iCs/>
          <w:color w:val="000000"/>
          <w:lang w:eastAsia="bg-BG"/>
        </w:rPr>
      </w:pPr>
    </w:p>
    <w:p w14:paraId="4B00A6FF" w14:textId="13522A8C" w:rsidR="005E6288" w:rsidRPr="005E6288" w:rsidRDefault="005E6288" w:rsidP="005E6288">
      <w:pPr>
        <w:spacing w:line="240" w:lineRule="auto"/>
        <w:rPr>
          <w:rFonts w:eastAsia="Times New Roman" w:cs="Arial"/>
        </w:rPr>
      </w:pPr>
      <w:r w:rsidRPr="005E6288">
        <w:rPr>
          <w:rFonts w:eastAsia="Times New Roman" w:cs="Arial"/>
          <w:i/>
          <w:iCs/>
          <w:color w:val="000000"/>
          <w:lang w:eastAsia="bg-BG"/>
        </w:rPr>
        <w:t>Новородени</w:t>
      </w:r>
    </w:p>
    <w:p w14:paraId="73135AFD" w14:textId="77777777" w:rsidR="005E6288" w:rsidRPr="005E6288" w:rsidRDefault="005E6288" w:rsidP="005E6288">
      <w:pPr>
        <w:spacing w:line="240" w:lineRule="auto"/>
        <w:rPr>
          <w:rFonts w:eastAsia="Times New Roman" w:cs="Arial"/>
        </w:rPr>
      </w:pPr>
      <w:r w:rsidRPr="005E6288">
        <w:rPr>
          <w:rFonts w:eastAsia="Times New Roman" w:cs="Arial"/>
          <w:color w:val="000000"/>
          <w:lang w:eastAsia="bg-BG"/>
        </w:rPr>
        <w:t>При новородени елиминационният полуживот е средно 6-12 часа, вероятно поради незрялост на черния дроб, а клирънсът е намален (вж. точка 4.4).</w:t>
      </w:r>
    </w:p>
    <w:p w14:paraId="472AABC6" w14:textId="77777777" w:rsidR="005E6288" w:rsidRPr="005E6288" w:rsidRDefault="005E6288" w:rsidP="005E6288">
      <w:pPr>
        <w:spacing w:line="240" w:lineRule="auto"/>
        <w:rPr>
          <w:rFonts w:eastAsia="Times New Roman" w:cs="Arial"/>
          <w:i/>
          <w:iCs/>
          <w:color w:val="000000"/>
          <w:lang w:eastAsia="bg-BG"/>
        </w:rPr>
      </w:pPr>
    </w:p>
    <w:p w14:paraId="4896960B" w14:textId="20F3E1D0" w:rsidR="005E6288" w:rsidRPr="005E6288" w:rsidRDefault="005E6288" w:rsidP="005E6288">
      <w:pPr>
        <w:spacing w:line="240" w:lineRule="auto"/>
        <w:rPr>
          <w:rFonts w:eastAsia="Times New Roman" w:cs="Arial"/>
        </w:rPr>
      </w:pPr>
      <w:r w:rsidRPr="005E6288">
        <w:rPr>
          <w:rFonts w:eastAsia="Times New Roman" w:cs="Arial"/>
          <w:i/>
          <w:iCs/>
          <w:color w:val="000000"/>
          <w:lang w:eastAsia="bg-BG"/>
        </w:rPr>
        <w:t>Пациенти с наднормено тегло</w:t>
      </w:r>
    </w:p>
    <w:p w14:paraId="540700D5" w14:textId="77777777" w:rsidR="005E6288" w:rsidRPr="005E6288" w:rsidRDefault="005E6288" w:rsidP="005E6288">
      <w:pPr>
        <w:spacing w:line="240" w:lineRule="auto"/>
        <w:rPr>
          <w:rFonts w:eastAsia="Times New Roman" w:cs="Arial"/>
        </w:rPr>
      </w:pPr>
      <w:r w:rsidRPr="005E6288">
        <w:rPr>
          <w:rFonts w:eastAsia="Times New Roman" w:cs="Arial"/>
          <w:color w:val="000000"/>
          <w:lang w:eastAsia="bg-BG"/>
        </w:rPr>
        <w:lastRenderedPageBreak/>
        <w:t>Средното време на полуживот при тези пациенти е по-голямо от това при тези с тегло в границите на нормата (5,9 срещу 2,3 часа). Това се дължи на увеличение с приблизително 50 % на обема на разпределение, коригиран за общото телесно тегло. Клирънсът не се различава значимо при пациенти със затлъстяване и пациенти без затлъстяване.</w:t>
      </w:r>
    </w:p>
    <w:p w14:paraId="3EB54FC4" w14:textId="77777777" w:rsidR="005E6288" w:rsidRPr="005E6288" w:rsidRDefault="005E6288" w:rsidP="005E6288">
      <w:pPr>
        <w:spacing w:line="240" w:lineRule="auto"/>
        <w:rPr>
          <w:rFonts w:eastAsia="Times New Roman" w:cs="Arial"/>
          <w:i/>
          <w:iCs/>
          <w:color w:val="000000"/>
          <w:lang w:eastAsia="bg-BG"/>
        </w:rPr>
      </w:pPr>
    </w:p>
    <w:p w14:paraId="2BB7C73E" w14:textId="4B0CA225" w:rsidR="005E6288" w:rsidRPr="005E6288" w:rsidRDefault="005E6288" w:rsidP="005E6288">
      <w:pPr>
        <w:spacing w:line="240" w:lineRule="auto"/>
        <w:rPr>
          <w:rFonts w:eastAsia="Times New Roman" w:cs="Arial"/>
        </w:rPr>
      </w:pPr>
      <w:r w:rsidRPr="005E6288">
        <w:rPr>
          <w:rFonts w:eastAsia="Times New Roman" w:cs="Arial"/>
          <w:i/>
          <w:iCs/>
          <w:color w:val="000000"/>
          <w:lang w:eastAsia="bg-BG"/>
        </w:rPr>
        <w:t>Пациенти с увредена чернодробна функция</w:t>
      </w:r>
    </w:p>
    <w:p w14:paraId="44636386" w14:textId="77777777" w:rsidR="005E6288" w:rsidRPr="005E6288" w:rsidRDefault="005E6288" w:rsidP="005E6288">
      <w:pPr>
        <w:spacing w:line="240" w:lineRule="auto"/>
        <w:rPr>
          <w:rFonts w:eastAsia="Times New Roman" w:cs="Arial"/>
        </w:rPr>
      </w:pPr>
      <w:r w:rsidRPr="005E6288">
        <w:rPr>
          <w:rFonts w:eastAsia="Times New Roman" w:cs="Arial"/>
          <w:color w:val="000000"/>
          <w:lang w:eastAsia="bg-BG"/>
        </w:rPr>
        <w:t>Елиминационният полуживот при циротични пациенти може да бъде удължен, а клирънсът е намален в сравнение с тези при здрави доброволци (вж. точка 4.4).</w:t>
      </w:r>
    </w:p>
    <w:p w14:paraId="4516645A" w14:textId="77777777" w:rsidR="005E6288" w:rsidRPr="005E6288" w:rsidRDefault="005E6288" w:rsidP="005E6288">
      <w:pPr>
        <w:spacing w:line="240" w:lineRule="auto"/>
        <w:rPr>
          <w:rFonts w:eastAsia="Times New Roman" w:cs="Arial"/>
          <w:i/>
          <w:iCs/>
          <w:color w:val="000000"/>
          <w:lang w:eastAsia="bg-BG"/>
        </w:rPr>
      </w:pPr>
    </w:p>
    <w:p w14:paraId="33EDE8E4" w14:textId="4CC1E260" w:rsidR="005E6288" w:rsidRPr="005E6288" w:rsidRDefault="005E6288" w:rsidP="005E6288">
      <w:pPr>
        <w:spacing w:line="240" w:lineRule="auto"/>
        <w:rPr>
          <w:rFonts w:eastAsia="Times New Roman" w:cs="Arial"/>
        </w:rPr>
      </w:pPr>
      <w:r w:rsidRPr="005E6288">
        <w:rPr>
          <w:rFonts w:eastAsia="Times New Roman" w:cs="Arial"/>
          <w:i/>
          <w:iCs/>
          <w:color w:val="000000"/>
          <w:lang w:eastAsia="bg-BG"/>
        </w:rPr>
        <w:t>Пациенти с увредена бъбречна функция</w:t>
      </w:r>
    </w:p>
    <w:p w14:paraId="490C4B2B" w14:textId="77777777" w:rsidR="005E6288" w:rsidRPr="005E6288" w:rsidRDefault="005E6288" w:rsidP="005E6288">
      <w:pPr>
        <w:spacing w:line="240" w:lineRule="auto"/>
        <w:rPr>
          <w:rFonts w:eastAsia="Times New Roman" w:cs="Arial"/>
        </w:rPr>
      </w:pPr>
      <w:r w:rsidRPr="005E6288">
        <w:rPr>
          <w:rFonts w:eastAsia="Times New Roman" w:cs="Arial"/>
          <w:color w:val="000000"/>
          <w:lang w:eastAsia="bg-BG"/>
        </w:rPr>
        <w:t>Елиминационният полуживот при пациенти с хронична бъбречна недостатъчост е подобен на</w:t>
      </w:r>
      <w:r w:rsidRPr="005E6288">
        <w:rPr>
          <w:rFonts w:eastAsia="Times New Roman" w:cs="Arial"/>
          <w:color w:val="000000"/>
          <w:vertAlign w:val="subscript"/>
          <w:lang w:eastAsia="bg-BG"/>
        </w:rPr>
        <w:t xml:space="preserve"> </w:t>
      </w:r>
      <w:r w:rsidRPr="005E6288">
        <w:rPr>
          <w:rFonts w:eastAsia="Times New Roman" w:cs="Arial"/>
          <w:color w:val="000000"/>
          <w:lang w:eastAsia="bg-BG"/>
        </w:rPr>
        <w:t>този при здрави доброволци.</w:t>
      </w:r>
    </w:p>
    <w:p w14:paraId="77AC9060" w14:textId="77777777" w:rsidR="005E6288" w:rsidRPr="005E6288" w:rsidRDefault="005E6288" w:rsidP="005E6288">
      <w:pPr>
        <w:spacing w:line="240" w:lineRule="auto"/>
        <w:rPr>
          <w:rFonts w:eastAsia="Times New Roman" w:cs="Arial"/>
        </w:rPr>
      </w:pPr>
    </w:p>
    <w:p w14:paraId="0E619982" w14:textId="0714A49E" w:rsidR="005E6288" w:rsidRPr="005E6288" w:rsidRDefault="005E6288" w:rsidP="005E6288">
      <w:pPr>
        <w:rPr>
          <w:rFonts w:eastAsia="Times New Roman" w:cs="Arial"/>
          <w:i/>
          <w:iCs/>
          <w:color w:val="000000"/>
          <w:lang w:eastAsia="bg-BG"/>
        </w:rPr>
      </w:pPr>
      <w:r w:rsidRPr="005E6288">
        <w:rPr>
          <w:rFonts w:eastAsia="Times New Roman" w:cs="Arial"/>
          <w:i/>
          <w:iCs/>
          <w:color w:val="000000"/>
          <w:lang w:eastAsia="bg-BG"/>
        </w:rPr>
        <w:t>Пациенти в критично състояние</w:t>
      </w:r>
    </w:p>
    <w:p w14:paraId="6F8898FE" w14:textId="77777777" w:rsidR="005E6288" w:rsidRPr="005E6288" w:rsidRDefault="005E6288" w:rsidP="005E6288">
      <w:pPr>
        <w:rPr>
          <w:rFonts w:cs="Arial"/>
          <w:sz w:val="24"/>
          <w:szCs w:val="24"/>
        </w:rPr>
      </w:pPr>
      <w:r w:rsidRPr="005E6288">
        <w:rPr>
          <w:rFonts w:cs="Arial"/>
          <w:lang w:eastAsia="bg-BG"/>
        </w:rPr>
        <w:t>Елиминационният полуживот на мидазолам се удължава до 6 пъти при критично болни пациенти.</w:t>
      </w:r>
    </w:p>
    <w:p w14:paraId="58E7D102" w14:textId="77777777" w:rsidR="005E6288" w:rsidRPr="005E6288" w:rsidRDefault="005E6288" w:rsidP="005E6288">
      <w:pPr>
        <w:rPr>
          <w:rFonts w:cs="Arial"/>
          <w:i/>
          <w:iCs/>
          <w:lang w:eastAsia="bg-BG"/>
        </w:rPr>
      </w:pPr>
    </w:p>
    <w:p w14:paraId="6662396A" w14:textId="28442262" w:rsidR="005E6288" w:rsidRPr="005E6288" w:rsidRDefault="005E6288" w:rsidP="005E6288">
      <w:pPr>
        <w:rPr>
          <w:rFonts w:cs="Arial"/>
          <w:sz w:val="24"/>
          <w:szCs w:val="24"/>
        </w:rPr>
      </w:pPr>
      <w:r w:rsidRPr="005E6288">
        <w:rPr>
          <w:rFonts w:cs="Arial"/>
          <w:i/>
          <w:iCs/>
          <w:lang w:eastAsia="bg-BG"/>
        </w:rPr>
        <w:t>Пациенти със сърдечна недостатъчност</w:t>
      </w:r>
    </w:p>
    <w:p w14:paraId="3DFC05A9" w14:textId="504A1789" w:rsidR="005E6288" w:rsidRPr="005E6288" w:rsidRDefault="005E6288" w:rsidP="005E6288">
      <w:pPr>
        <w:rPr>
          <w:rFonts w:cs="Arial"/>
          <w:lang w:eastAsia="bg-BG"/>
        </w:rPr>
      </w:pPr>
      <w:r w:rsidRPr="005E6288">
        <w:rPr>
          <w:rFonts w:cs="Arial"/>
          <w:lang w:eastAsia="bg-BG"/>
        </w:rPr>
        <w:t>Елиминационният полуживот е удължен при пациенти със застойна сърдечна недостатъчност в сравнение със здрави доброволци (вж. точка 4.4).</w:t>
      </w:r>
    </w:p>
    <w:p w14:paraId="4575CC7E" w14:textId="77777777" w:rsidR="005E6288" w:rsidRPr="005E6288" w:rsidRDefault="005E6288" w:rsidP="005E6288"/>
    <w:p w14:paraId="028E658A" w14:textId="64958997" w:rsidR="00395555" w:rsidRDefault="002C50EE" w:rsidP="008A6AF2">
      <w:pPr>
        <w:pStyle w:val="Heading2"/>
      </w:pPr>
      <w:r>
        <w:t>5.3. Предклинични данни за безопасност</w:t>
      </w:r>
    </w:p>
    <w:p w14:paraId="57CC5439" w14:textId="54C7FDE6" w:rsidR="005E6288" w:rsidRDefault="005E6288" w:rsidP="005E6288"/>
    <w:p w14:paraId="73F34373" w14:textId="77777777" w:rsidR="005E6288" w:rsidRPr="005E6288" w:rsidRDefault="005E6288" w:rsidP="005E6288">
      <w:pPr>
        <w:rPr>
          <w:sz w:val="24"/>
          <w:szCs w:val="24"/>
        </w:rPr>
      </w:pPr>
      <w:r w:rsidRPr="005E6288">
        <w:rPr>
          <w:lang w:eastAsia="bg-BG"/>
        </w:rPr>
        <w:t>Няма допълнителни предклинични данни, които да не са изложени в текста на Кратката характеристика на продукта дотук.</w:t>
      </w:r>
    </w:p>
    <w:p w14:paraId="17644FAD" w14:textId="77777777" w:rsidR="005E6288" w:rsidRPr="005E6288" w:rsidRDefault="005E6288" w:rsidP="005E6288"/>
    <w:p w14:paraId="6A7820AB" w14:textId="566F7768" w:rsidR="008A6AF2" w:rsidRDefault="002C50EE" w:rsidP="00395555">
      <w:pPr>
        <w:pStyle w:val="Heading1"/>
      </w:pPr>
      <w:r>
        <w:t>7. ПРИТЕЖАТЕЛ НА РАЗРЕШЕНИЕТО ЗА УПОТРЕБА</w:t>
      </w:r>
    </w:p>
    <w:p w14:paraId="0D44A887" w14:textId="1E01EB0F" w:rsidR="005E6288" w:rsidRDefault="005E6288" w:rsidP="005E6288"/>
    <w:p w14:paraId="75A097CD" w14:textId="77777777" w:rsidR="005E6288" w:rsidRDefault="005E6288" w:rsidP="005E6288">
      <w:pPr>
        <w:rPr>
          <w:lang w:val="en-US"/>
        </w:rPr>
      </w:pPr>
      <w:r w:rsidRPr="005E6288">
        <w:rPr>
          <w:lang w:val="en-US"/>
        </w:rPr>
        <w:t xml:space="preserve">PANPHARMA Laboratories </w:t>
      </w:r>
    </w:p>
    <w:p w14:paraId="083844A3" w14:textId="77777777" w:rsidR="005E6288" w:rsidRDefault="005E6288" w:rsidP="005E6288">
      <w:pPr>
        <w:rPr>
          <w:lang w:val="en-US"/>
        </w:rPr>
      </w:pPr>
      <w:r w:rsidRPr="005E6288">
        <w:rPr>
          <w:lang w:val="en-US"/>
        </w:rPr>
        <w:t xml:space="preserve">Z. I. du </w:t>
      </w:r>
      <w:proofErr w:type="spellStart"/>
      <w:r w:rsidRPr="005E6288">
        <w:rPr>
          <w:lang w:val="en-US"/>
        </w:rPr>
        <w:t>Clairay-Luitrd</w:t>
      </w:r>
      <w:proofErr w:type="spellEnd"/>
      <w:r w:rsidRPr="005E6288">
        <w:rPr>
          <w:lang w:val="en-US"/>
        </w:rPr>
        <w:t xml:space="preserve">, </w:t>
      </w:r>
    </w:p>
    <w:p w14:paraId="06CDF7A8" w14:textId="2CEC81B2" w:rsidR="005E6288" w:rsidRPr="005E6288" w:rsidRDefault="005E6288" w:rsidP="005E6288">
      <w:pPr>
        <w:rPr>
          <w:sz w:val="24"/>
          <w:szCs w:val="24"/>
          <w:lang w:val="en-US"/>
        </w:rPr>
      </w:pPr>
      <w:proofErr w:type="gramStart"/>
      <w:r w:rsidRPr="005E6288">
        <w:rPr>
          <w:lang w:val="en-US"/>
        </w:rPr>
        <w:t>35133</w:t>
      </w:r>
      <w:proofErr w:type="gramEnd"/>
      <w:r w:rsidRPr="005E6288">
        <w:rPr>
          <w:lang w:val="en-US"/>
        </w:rPr>
        <w:t xml:space="preserve"> </w:t>
      </w:r>
      <w:proofErr w:type="spellStart"/>
      <w:r w:rsidRPr="005E6288">
        <w:rPr>
          <w:lang w:val="en-US"/>
        </w:rPr>
        <w:t>Fougdres</w:t>
      </w:r>
      <w:proofErr w:type="spellEnd"/>
      <w:r w:rsidRPr="005E6288">
        <w:rPr>
          <w:lang w:val="en-US"/>
        </w:rPr>
        <w:t>,</w:t>
      </w:r>
    </w:p>
    <w:p w14:paraId="4AA351C6" w14:textId="26A29A3C" w:rsidR="005E6288" w:rsidRPr="005E6288" w:rsidRDefault="005E6288" w:rsidP="005E6288">
      <w:r w:rsidRPr="005E6288">
        <w:rPr>
          <w:lang w:eastAsia="bg-BG"/>
        </w:rPr>
        <w:t>Франция</w:t>
      </w:r>
    </w:p>
    <w:p w14:paraId="04840D59" w14:textId="71ADD2D1" w:rsidR="002C50EE" w:rsidRDefault="002C50EE" w:rsidP="00395555">
      <w:pPr>
        <w:pStyle w:val="Heading1"/>
      </w:pPr>
      <w:r>
        <w:t>8. НОМЕР НА РАЗРЕШЕНИЕТО ЗА УПОТРЕБА</w:t>
      </w:r>
    </w:p>
    <w:p w14:paraId="347D7F35" w14:textId="4D85E1A8" w:rsidR="005E6288" w:rsidRDefault="005E6288" w:rsidP="005E6288"/>
    <w:p w14:paraId="242EB5DC" w14:textId="4D0E7F36" w:rsidR="005E6288" w:rsidRPr="005E6288" w:rsidRDefault="005E6288" w:rsidP="005E6288">
      <w:r>
        <w:t>Per. №: 20090429</w:t>
      </w:r>
    </w:p>
    <w:p w14:paraId="2CCB5832" w14:textId="40332BC2" w:rsidR="007C605B" w:rsidRDefault="002C50EE" w:rsidP="007C605B">
      <w:pPr>
        <w:pStyle w:val="Heading1"/>
      </w:pPr>
      <w:r>
        <w:t>9. ДАТА НА ПЪРВО РАЗРЕШАВАНЕ/ПОДНОВЯВАНЕ НА РАЗРЕШЕНИЕТО ЗА УПОТРЕБА</w:t>
      </w:r>
    </w:p>
    <w:p w14:paraId="062295F6" w14:textId="77DFA1BB" w:rsidR="005E6288" w:rsidRDefault="005E6288" w:rsidP="005E6288"/>
    <w:p w14:paraId="59E63BAA" w14:textId="77777777" w:rsidR="005E6288" w:rsidRPr="005E6288" w:rsidRDefault="005E6288" w:rsidP="005E6288">
      <w:pPr>
        <w:rPr>
          <w:sz w:val="24"/>
          <w:szCs w:val="24"/>
        </w:rPr>
      </w:pPr>
      <w:r w:rsidRPr="005E6288">
        <w:rPr>
          <w:lang w:eastAsia="bg-BG"/>
        </w:rPr>
        <w:t>Дата на първо разрешаване: 30.09.2009</w:t>
      </w:r>
    </w:p>
    <w:p w14:paraId="594C78F2" w14:textId="708BDA46" w:rsidR="005E6288" w:rsidRPr="005E6288" w:rsidRDefault="005E6288" w:rsidP="005E6288">
      <w:r w:rsidRPr="005E6288">
        <w:rPr>
          <w:lang w:eastAsia="bg-BG"/>
        </w:rPr>
        <w:t>Дата на подновяване: 07.08.2015</w:t>
      </w:r>
    </w:p>
    <w:p w14:paraId="0E9D0119" w14:textId="0245C6D7" w:rsidR="002C50EE" w:rsidRDefault="002C50EE" w:rsidP="002C50EE">
      <w:pPr>
        <w:pStyle w:val="Heading1"/>
      </w:pPr>
      <w:r>
        <w:lastRenderedPageBreak/>
        <w:t>10. ДАТА НА АКТУАЛИЗИРАНЕ НА ТЕКСТА</w:t>
      </w:r>
    </w:p>
    <w:p w14:paraId="43FB38A2" w14:textId="67369EB6" w:rsidR="007C605B" w:rsidRPr="003E3126" w:rsidRDefault="007C605B" w:rsidP="00426E5F">
      <w:bookmarkStart w:id="3" w:name="_GoBack"/>
      <w:bookmarkEnd w:id="0"/>
      <w:bookmarkEnd w:id="3"/>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42"/>
        <w:szCs w:val="4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42"/>
        <w:szCs w:val="4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42"/>
        <w:szCs w:val="4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42"/>
        <w:szCs w:val="4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42"/>
        <w:szCs w:val="4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42"/>
        <w:szCs w:val="4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42"/>
        <w:szCs w:val="4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42"/>
        <w:szCs w:val="4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42"/>
        <w:szCs w:val="42"/>
        <w:u w:val="none"/>
      </w:rPr>
    </w:lvl>
  </w:abstractNum>
  <w:abstractNum w:abstractNumId="3"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1320FFB"/>
    <w:multiLevelType w:val="hybridMultilevel"/>
    <w:tmpl w:val="A146AB10"/>
    <w:lvl w:ilvl="0" w:tplc="C712938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A7FDC"/>
    <w:multiLevelType w:val="hybridMultilevel"/>
    <w:tmpl w:val="F87E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0" w15:restartNumberingAfterBreak="0">
    <w:nsid w:val="122B3B9F"/>
    <w:multiLevelType w:val="hybridMultilevel"/>
    <w:tmpl w:val="1358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662AA"/>
    <w:multiLevelType w:val="hybridMultilevel"/>
    <w:tmpl w:val="9B3C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A53B9"/>
    <w:multiLevelType w:val="hybridMultilevel"/>
    <w:tmpl w:val="41F6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53F22"/>
    <w:multiLevelType w:val="hybridMultilevel"/>
    <w:tmpl w:val="993C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7"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20B533D"/>
    <w:multiLevelType w:val="hybridMultilevel"/>
    <w:tmpl w:val="7E42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8"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131AA3"/>
    <w:multiLevelType w:val="hybridMultilevel"/>
    <w:tmpl w:val="0B86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1D3846"/>
    <w:multiLevelType w:val="hybridMultilevel"/>
    <w:tmpl w:val="AE2E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F2AA5"/>
    <w:multiLevelType w:val="hybridMultilevel"/>
    <w:tmpl w:val="4E9C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155C4"/>
    <w:multiLevelType w:val="hybridMultilevel"/>
    <w:tmpl w:val="088A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4"/>
  </w:num>
  <w:num w:numId="2">
    <w:abstractNumId w:val="0"/>
  </w:num>
  <w:num w:numId="3">
    <w:abstractNumId w:val="19"/>
  </w:num>
  <w:num w:numId="4">
    <w:abstractNumId w:val="4"/>
  </w:num>
  <w:num w:numId="5">
    <w:abstractNumId w:val="1"/>
  </w:num>
  <w:num w:numId="6">
    <w:abstractNumId w:val="22"/>
  </w:num>
  <w:num w:numId="7">
    <w:abstractNumId w:val="17"/>
  </w:num>
  <w:num w:numId="8">
    <w:abstractNumId w:val="21"/>
  </w:num>
  <w:num w:numId="9">
    <w:abstractNumId w:val="3"/>
  </w:num>
  <w:num w:numId="10">
    <w:abstractNumId w:val="6"/>
  </w:num>
  <w:num w:numId="11">
    <w:abstractNumId w:val="37"/>
  </w:num>
  <w:num w:numId="12">
    <w:abstractNumId w:val="20"/>
  </w:num>
  <w:num w:numId="13">
    <w:abstractNumId w:val="26"/>
  </w:num>
  <w:num w:numId="14">
    <w:abstractNumId w:val="18"/>
  </w:num>
  <w:num w:numId="15">
    <w:abstractNumId w:val="36"/>
  </w:num>
  <w:num w:numId="16">
    <w:abstractNumId w:val="16"/>
  </w:num>
  <w:num w:numId="17">
    <w:abstractNumId w:val="31"/>
  </w:num>
  <w:num w:numId="18">
    <w:abstractNumId w:val="12"/>
  </w:num>
  <w:num w:numId="19">
    <w:abstractNumId w:val="33"/>
  </w:num>
  <w:num w:numId="20">
    <w:abstractNumId w:val="30"/>
  </w:num>
  <w:num w:numId="21">
    <w:abstractNumId w:val="24"/>
  </w:num>
  <w:num w:numId="22">
    <w:abstractNumId w:val="32"/>
  </w:num>
  <w:num w:numId="23">
    <w:abstractNumId w:val="25"/>
  </w:num>
  <w:num w:numId="24">
    <w:abstractNumId w:val="13"/>
  </w:num>
  <w:num w:numId="25">
    <w:abstractNumId w:val="29"/>
  </w:num>
  <w:num w:numId="26">
    <w:abstractNumId w:val="28"/>
  </w:num>
  <w:num w:numId="27">
    <w:abstractNumId w:val="39"/>
  </w:num>
  <w:num w:numId="28">
    <w:abstractNumId w:val="9"/>
  </w:num>
  <w:num w:numId="29">
    <w:abstractNumId w:val="27"/>
  </w:num>
  <w:num w:numId="30">
    <w:abstractNumId w:val="43"/>
  </w:num>
  <w:num w:numId="31">
    <w:abstractNumId w:val="7"/>
  </w:num>
  <w:num w:numId="32">
    <w:abstractNumId w:val="41"/>
  </w:num>
  <w:num w:numId="33">
    <w:abstractNumId w:val="2"/>
  </w:num>
  <w:num w:numId="34">
    <w:abstractNumId w:val="35"/>
  </w:num>
  <w:num w:numId="35">
    <w:abstractNumId w:val="5"/>
  </w:num>
  <w:num w:numId="36">
    <w:abstractNumId w:val="8"/>
  </w:num>
  <w:num w:numId="37">
    <w:abstractNumId w:val="23"/>
  </w:num>
  <w:num w:numId="38">
    <w:abstractNumId w:val="11"/>
  </w:num>
  <w:num w:numId="39">
    <w:abstractNumId w:val="14"/>
  </w:num>
  <w:num w:numId="40">
    <w:abstractNumId w:val="38"/>
  </w:num>
  <w:num w:numId="41">
    <w:abstractNumId w:val="10"/>
  </w:num>
  <w:num w:numId="42">
    <w:abstractNumId w:val="15"/>
  </w:num>
  <w:num w:numId="43">
    <w:abstractNumId w:val="42"/>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C0EFE"/>
    <w:rsid w:val="003E3126"/>
    <w:rsid w:val="00426E5F"/>
    <w:rsid w:val="004D4D6B"/>
    <w:rsid w:val="00517A5B"/>
    <w:rsid w:val="00593A00"/>
    <w:rsid w:val="005A66D9"/>
    <w:rsid w:val="005E6288"/>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6964</Words>
  <Characters>39697</Characters>
  <Application>Microsoft Office Word</Application>
  <DocSecurity>0</DocSecurity>
  <Lines>330</Lines>
  <Paragraphs>93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2022-02-21T19:18:00Z</dcterms:created>
  <dcterms:modified xsi:type="dcterms:W3CDTF">2022-02-21T19:18:00Z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