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14008A99" w:rsidR="0091385D" w:rsidRDefault="0091385D" w:rsidP="0091385D"/>
    <w:p w14:paraId="610A8271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val="en-US"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Миглустат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G.L.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100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>твърди капсули</w:t>
      </w:r>
    </w:p>
    <w:p w14:paraId="0E244F31" w14:textId="77777777" w:rsidR="006C1158" w:rsidRPr="006C1158" w:rsidRDefault="006C1158" w:rsidP="006C1158">
      <w:pPr>
        <w:rPr>
          <w:rFonts w:eastAsia="Times New Roman" w:cs="Arial"/>
          <w:color w:val="000000"/>
          <w:szCs w:val="20"/>
          <w:lang w:val="en-US"/>
        </w:rPr>
      </w:pPr>
    </w:p>
    <w:p w14:paraId="73D1D99C" w14:textId="55829894" w:rsidR="0091385D" w:rsidRPr="006C1158" w:rsidRDefault="006C1158" w:rsidP="006C1158">
      <w:pPr>
        <w:rPr>
          <w:rFonts w:cs="Arial"/>
          <w:sz w:val="24"/>
        </w:rPr>
      </w:pPr>
      <w:proofErr w:type="spellStart"/>
      <w:r w:rsidRPr="006C1158">
        <w:rPr>
          <w:rFonts w:eastAsia="Times New Roman" w:cs="Arial"/>
          <w:color w:val="000000"/>
          <w:szCs w:val="20"/>
          <w:lang w:val="en-US"/>
        </w:rPr>
        <w:t>Miglustat</w:t>
      </w:r>
      <w:proofErr w:type="spellEnd"/>
      <w:r w:rsidRPr="006C1158">
        <w:rPr>
          <w:rFonts w:eastAsia="Times New Roman" w:cs="Arial"/>
          <w:color w:val="000000"/>
          <w:szCs w:val="20"/>
          <w:lang w:val="en-US"/>
        </w:rPr>
        <w:t xml:space="preserve"> G.L.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100 </w:t>
      </w:r>
      <w:r w:rsidRPr="006C1158">
        <w:rPr>
          <w:rFonts w:eastAsia="Times New Roman" w:cs="Arial"/>
          <w:color w:val="000000"/>
          <w:szCs w:val="20"/>
          <w:lang w:val="en-US"/>
        </w:rPr>
        <w:t>mg capsules, hard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25061C3F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Всяка капсула съдържа 100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миглустат </w:t>
      </w:r>
      <w:r w:rsidRPr="006C1158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6C1158">
        <w:rPr>
          <w:rFonts w:eastAsia="Times New Roman" w:cs="Arial"/>
          <w:color w:val="000000"/>
          <w:szCs w:val="20"/>
          <w:lang w:val="en-US"/>
        </w:rPr>
        <w:t>miglustat</w:t>
      </w:r>
      <w:proofErr w:type="spellEnd"/>
      <w:r w:rsidRPr="006C1158">
        <w:rPr>
          <w:rFonts w:eastAsia="Times New Roman" w:cs="Arial"/>
          <w:color w:val="000000"/>
          <w:szCs w:val="20"/>
          <w:lang w:val="en-US"/>
        </w:rPr>
        <w:t>).</w:t>
      </w:r>
    </w:p>
    <w:p w14:paraId="73A408EB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6766364" w14:textId="624E5F1F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 xml:space="preserve">Помощно вещество с известно действие: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Всяка капсула съдържа 0,23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>натрий.</w:t>
      </w:r>
    </w:p>
    <w:p w14:paraId="7D950969" w14:textId="77777777" w:rsidR="006C1158" w:rsidRPr="006C1158" w:rsidRDefault="006C1158" w:rsidP="006C1158">
      <w:pPr>
        <w:rPr>
          <w:rFonts w:eastAsia="Times New Roman" w:cs="Arial"/>
          <w:color w:val="000000"/>
          <w:szCs w:val="20"/>
          <w:lang w:eastAsia="bg-BG"/>
        </w:rPr>
      </w:pPr>
    </w:p>
    <w:p w14:paraId="729D0A91" w14:textId="76F70558" w:rsidR="0091385D" w:rsidRPr="006C1158" w:rsidRDefault="006C1158" w:rsidP="006C1158">
      <w:pPr>
        <w:rPr>
          <w:rFonts w:cs="Arial"/>
          <w:sz w:val="24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За пълния списък на помощните вещества, вижте точка 6.1.</w:t>
      </w:r>
    </w:p>
    <w:p w14:paraId="03110A50" w14:textId="77777777" w:rsidR="0091385D" w:rsidRPr="0091385D" w:rsidRDefault="0091385D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63A34A46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Твърда капсула.</w:t>
      </w:r>
    </w:p>
    <w:p w14:paraId="4A991133" w14:textId="0A654CAE" w:rsidR="0091385D" w:rsidRPr="006C1158" w:rsidRDefault="006C1158" w:rsidP="006C1158">
      <w:pPr>
        <w:rPr>
          <w:rFonts w:cs="Arial"/>
          <w:sz w:val="24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Непрозрачни бели твърди желатинови капсули, размер 4, изпълнени с бял до почти бял гранулат.</w:t>
      </w:r>
    </w:p>
    <w:p w14:paraId="4129ADBB" w14:textId="77777777" w:rsidR="0091385D" w:rsidRPr="0091385D" w:rsidRDefault="0091385D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11B21E2C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Миглустат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G.L.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е показан за перорално лечение на възрастни пациенти с лека до умерена по тежест форма на болест на Гоше </w:t>
      </w:r>
      <w:r w:rsidRPr="006C1158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6C1158">
        <w:rPr>
          <w:rFonts w:eastAsia="Times New Roman" w:cs="Arial"/>
          <w:color w:val="000000"/>
          <w:szCs w:val="20"/>
          <w:lang w:val="en-US"/>
        </w:rPr>
        <w:t>Gaucher</w:t>
      </w:r>
      <w:proofErr w:type="spellEnd"/>
      <w:r w:rsidRPr="006C1158">
        <w:rPr>
          <w:rFonts w:eastAsia="Times New Roman" w:cs="Arial"/>
          <w:color w:val="000000"/>
          <w:szCs w:val="20"/>
          <w:lang w:val="en-US"/>
        </w:rPr>
        <w:t xml:space="preserve">)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тип 1. Миглустат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G.L. </w:t>
      </w:r>
      <w:r w:rsidRPr="006C1158">
        <w:rPr>
          <w:rFonts w:eastAsia="Times New Roman" w:cs="Arial"/>
          <w:color w:val="000000"/>
          <w:szCs w:val="20"/>
          <w:lang w:eastAsia="bg-BG"/>
        </w:rPr>
        <w:t>може да се прилага само за лечение на пациенти, при които ензим-заместващата терапия е неподходяща (вж. точки 4.4 и 5.1).</w:t>
      </w:r>
    </w:p>
    <w:p w14:paraId="27D7B88C" w14:textId="77777777" w:rsidR="006C1158" w:rsidRPr="006C1158" w:rsidRDefault="006C1158" w:rsidP="006C1158">
      <w:pPr>
        <w:rPr>
          <w:rFonts w:eastAsia="Times New Roman" w:cs="Arial"/>
          <w:color w:val="000000"/>
          <w:szCs w:val="20"/>
          <w:lang w:eastAsia="bg-BG"/>
        </w:rPr>
      </w:pPr>
    </w:p>
    <w:p w14:paraId="04B2E99C" w14:textId="147356DA" w:rsidR="0091385D" w:rsidRPr="006C1158" w:rsidRDefault="006C1158" w:rsidP="006C1158">
      <w:pPr>
        <w:rPr>
          <w:rFonts w:cs="Arial"/>
          <w:sz w:val="24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Миглустат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G.L.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е показан за лечение на прогресиращи неврологични прояви при възрастни пациенти и при педиатрични пациенти с болест на Ниман-Пик </w:t>
      </w:r>
      <w:r w:rsidRPr="006C1158">
        <w:rPr>
          <w:rFonts w:eastAsia="Times New Roman" w:cs="Arial"/>
          <w:color w:val="000000"/>
          <w:szCs w:val="20"/>
          <w:lang w:val="en-US"/>
        </w:rPr>
        <w:t>(</w:t>
      </w:r>
      <w:proofErr w:type="spellStart"/>
      <w:r w:rsidRPr="006C1158">
        <w:rPr>
          <w:rFonts w:eastAsia="Times New Roman" w:cs="Arial"/>
          <w:color w:val="000000"/>
          <w:szCs w:val="20"/>
          <w:lang w:val="en-US"/>
        </w:rPr>
        <w:t>Niemann</w:t>
      </w:r>
      <w:proofErr w:type="spellEnd"/>
      <w:r w:rsidRPr="006C1158">
        <w:rPr>
          <w:rFonts w:eastAsia="Times New Roman" w:cs="Arial"/>
          <w:color w:val="000000"/>
          <w:szCs w:val="20"/>
          <w:lang w:val="en-US"/>
        </w:rPr>
        <w:t xml:space="preserve">-Pick) </w:t>
      </w:r>
      <w:r w:rsidRPr="006C1158">
        <w:rPr>
          <w:rFonts w:eastAsia="Times New Roman" w:cs="Arial"/>
          <w:color w:val="000000"/>
          <w:szCs w:val="20"/>
          <w:lang w:eastAsia="bg-BG"/>
        </w:rPr>
        <w:t>тип С (вж. точки 4.4 и 5.1).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59CB8E9A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Лечението трябва да се ръководи от лекари с опит и специализирани в лечението на пациенти с болестта на Гоше или съответно болестта на Ниман-Пик тип С.</w:t>
      </w:r>
    </w:p>
    <w:p w14:paraId="727E7FDB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12A7DCA" w14:textId="7E3FD941" w:rsidR="006C1158" w:rsidRPr="00232C5D" w:rsidRDefault="006C1158" w:rsidP="00232C5D">
      <w:pPr>
        <w:pStyle w:val="Heading3"/>
        <w:rPr>
          <w:rFonts w:eastAsia="Times New Roman"/>
          <w:sz w:val="28"/>
          <w:u w:val="single"/>
          <w:lang w:eastAsia="bg-BG"/>
        </w:rPr>
      </w:pPr>
      <w:r w:rsidRPr="00232C5D">
        <w:rPr>
          <w:rFonts w:eastAsia="Times New Roman"/>
          <w:u w:val="single"/>
          <w:lang w:eastAsia="bg-BG"/>
        </w:rPr>
        <w:lastRenderedPageBreak/>
        <w:t>Дозировка</w:t>
      </w:r>
    </w:p>
    <w:p w14:paraId="50F83973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628920B" w14:textId="79FBEE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Дозировка при болест на Гоше тип 1</w:t>
      </w:r>
    </w:p>
    <w:p w14:paraId="49495423" w14:textId="77777777" w:rsidR="006C1158" w:rsidRPr="006C1158" w:rsidRDefault="006C1158" w:rsidP="006C1158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5D775396" w14:textId="5DC0D21C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i/>
          <w:iCs/>
          <w:color w:val="000000"/>
          <w:szCs w:val="20"/>
          <w:lang w:eastAsia="bg-BG"/>
        </w:rPr>
        <w:t>Възрастни</w:t>
      </w:r>
    </w:p>
    <w:p w14:paraId="7B45F4F6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5CE860C" w14:textId="1D2DA5FF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Препоръчителната начална доза за лечение на възрастни пациенти с болест на Гоше тип 1 е 100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>три пъти дневно.</w:t>
      </w:r>
    </w:p>
    <w:p w14:paraId="5AF9B3FF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EF94B0F" w14:textId="45D36C9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При някои пациенти, при поява на диария, може да се наложи временно редуциране на дозата до 100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>един или два пъти дневно.</w:t>
      </w:r>
    </w:p>
    <w:p w14:paraId="66AD8491" w14:textId="77777777" w:rsidR="006C1158" w:rsidRPr="006C1158" w:rsidRDefault="006C1158" w:rsidP="006C1158">
      <w:pPr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475300EC" w14:textId="7757A165" w:rsidR="0091385D" w:rsidRDefault="006C1158" w:rsidP="006C1158">
      <w:pPr>
        <w:rPr>
          <w:rFonts w:eastAsia="Times New Roman" w:cs="Arial"/>
          <w:i/>
          <w:iCs/>
          <w:color w:val="000000"/>
          <w:szCs w:val="20"/>
          <w:lang w:eastAsia="bg-BG"/>
        </w:rPr>
      </w:pPr>
      <w:r w:rsidRPr="006C1158">
        <w:rPr>
          <w:rFonts w:eastAsia="Times New Roman" w:cs="Arial"/>
          <w:i/>
          <w:iCs/>
          <w:color w:val="000000"/>
          <w:szCs w:val="20"/>
          <w:lang w:eastAsia="bg-BG"/>
        </w:rPr>
        <w:t>Педиатрична популация</w:t>
      </w:r>
    </w:p>
    <w:p w14:paraId="77D7910E" w14:textId="23E4BF8C" w:rsidR="006C1158" w:rsidRDefault="006C1158" w:rsidP="006C1158">
      <w:pPr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45FE80F4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Не е установена ефикасността на миглустат при деца и юноши от 0 до 17 години с болест на Гоше тип 1. Липсват данни.</w:t>
      </w:r>
    </w:p>
    <w:p w14:paraId="5E33C191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FA5DCC4" w14:textId="1B9C81FF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Дозировка при болест на Ниман-Пик тип С</w:t>
      </w:r>
    </w:p>
    <w:p w14:paraId="45C4AFBC" w14:textId="77777777" w:rsidR="006C1158" w:rsidRPr="006C1158" w:rsidRDefault="006C1158" w:rsidP="006C1158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29133A06" w14:textId="0295BEC8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i/>
          <w:iCs/>
          <w:color w:val="000000"/>
          <w:szCs w:val="20"/>
          <w:lang w:eastAsia="bg-BG"/>
        </w:rPr>
        <w:t>Възрастни</w:t>
      </w:r>
    </w:p>
    <w:p w14:paraId="61A5C474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Препоръчваната доза за лечението на възрастни пациенти с болест на </w:t>
      </w: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Ниман-Пик т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ип С е 200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>три пъти дневно.</w:t>
      </w:r>
    </w:p>
    <w:p w14:paraId="1D585E13" w14:textId="77777777" w:rsidR="006C1158" w:rsidRPr="006C1158" w:rsidRDefault="006C1158" w:rsidP="006C1158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2F6E92E6" w14:textId="2596982B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i/>
          <w:iCs/>
          <w:color w:val="000000"/>
          <w:szCs w:val="20"/>
          <w:lang w:eastAsia="bg-BG"/>
        </w:rPr>
        <w:t>Педиатрична популация</w:t>
      </w:r>
    </w:p>
    <w:p w14:paraId="40064597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Препоръчителната доза за лечението на юноши (на 12-годишна възраст и по-големи) с болест на </w:t>
      </w: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Ниман-Пик т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ип С е 200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>три пъти дневно.</w:t>
      </w:r>
    </w:p>
    <w:p w14:paraId="292B7B15" w14:textId="77777777" w:rsidR="006C1158" w:rsidRPr="006C1158" w:rsidRDefault="006C1158" w:rsidP="006C1158">
      <w:pPr>
        <w:rPr>
          <w:rFonts w:eastAsia="Times New Roman" w:cs="Arial"/>
          <w:color w:val="000000"/>
          <w:szCs w:val="20"/>
          <w:lang w:eastAsia="bg-BG"/>
        </w:rPr>
      </w:pPr>
    </w:p>
    <w:p w14:paraId="19952246" w14:textId="621DB812" w:rsidR="006C1158" w:rsidRPr="006C1158" w:rsidRDefault="006C1158" w:rsidP="006C1158">
      <w:pPr>
        <w:rPr>
          <w:rFonts w:cs="Arial"/>
          <w:sz w:val="28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Дозировката при пациенти под 12-годишна възраст трябва да бъде адаптирана въз основа на телесната повърхност, както е показано по-долу:</w:t>
      </w:r>
    </w:p>
    <w:p w14:paraId="6ACAF645" w14:textId="041DA7BA" w:rsidR="0091385D" w:rsidRPr="006C1158" w:rsidRDefault="0091385D" w:rsidP="0091385D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6C1158" w14:paraId="45B59149" w14:textId="77777777" w:rsidTr="006C1158">
        <w:tc>
          <w:tcPr>
            <w:tcW w:w="4750" w:type="dxa"/>
          </w:tcPr>
          <w:p w14:paraId="20794608" w14:textId="650C9D34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Телесна повърхност (</w:t>
            </w:r>
            <w:r>
              <w:rPr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50" w:type="dxa"/>
          </w:tcPr>
          <w:p w14:paraId="508DBA07" w14:textId="77777777" w:rsidR="006C1158" w:rsidRDefault="006C1158" w:rsidP="006C1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Препоръчвана доза</w:t>
            </w:r>
          </w:p>
          <w:p w14:paraId="67807280" w14:textId="2FF7CD5A" w:rsidR="006C1158" w:rsidRDefault="006C1158" w:rsidP="006C1158">
            <w:pPr>
              <w:rPr>
                <w:rFonts w:cs="Arial"/>
                <w:sz w:val="24"/>
              </w:rPr>
            </w:pPr>
          </w:p>
        </w:tc>
      </w:tr>
      <w:tr w:rsidR="006C1158" w14:paraId="17DED30B" w14:textId="77777777" w:rsidTr="006C1158">
        <w:tc>
          <w:tcPr>
            <w:tcW w:w="4750" w:type="dxa"/>
          </w:tcPr>
          <w:p w14:paraId="61936FDD" w14:textId="3626B4A2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sz w:val="20"/>
                <w:szCs w:val="20"/>
              </w:rPr>
              <w:t>&gt;1,25</w:t>
            </w:r>
          </w:p>
        </w:tc>
        <w:tc>
          <w:tcPr>
            <w:tcW w:w="4750" w:type="dxa"/>
          </w:tcPr>
          <w:p w14:paraId="70376306" w14:textId="05EC80E0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  <w:lang w:val="en-US"/>
              </w:rPr>
              <w:t xml:space="preserve">mg </w:t>
            </w:r>
            <w:r>
              <w:rPr>
                <w:sz w:val="20"/>
                <w:szCs w:val="20"/>
              </w:rPr>
              <w:t>три пъти дневно</w:t>
            </w:r>
          </w:p>
        </w:tc>
      </w:tr>
      <w:tr w:rsidR="006C1158" w14:paraId="21654C6D" w14:textId="77777777" w:rsidTr="006C1158">
        <w:tc>
          <w:tcPr>
            <w:tcW w:w="4750" w:type="dxa"/>
          </w:tcPr>
          <w:p w14:paraId="5A531C32" w14:textId="5D18B291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sz w:val="20"/>
                <w:szCs w:val="20"/>
              </w:rPr>
              <w:t>&gt;0,88-1,25</w:t>
            </w:r>
          </w:p>
        </w:tc>
        <w:tc>
          <w:tcPr>
            <w:tcW w:w="4750" w:type="dxa"/>
          </w:tcPr>
          <w:p w14:paraId="416D83C7" w14:textId="1787506D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  <w:lang w:val="en-US"/>
              </w:rPr>
              <w:t xml:space="preserve">mg </w:t>
            </w:r>
            <w:r>
              <w:rPr>
                <w:sz w:val="20"/>
                <w:szCs w:val="20"/>
              </w:rPr>
              <w:t>два пъти дневно</w:t>
            </w:r>
          </w:p>
        </w:tc>
      </w:tr>
      <w:tr w:rsidR="006C1158" w14:paraId="1F96F469" w14:textId="77777777" w:rsidTr="006C1158">
        <w:tc>
          <w:tcPr>
            <w:tcW w:w="4750" w:type="dxa"/>
          </w:tcPr>
          <w:p w14:paraId="4631B0FD" w14:textId="3D2520B7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sz w:val="20"/>
                <w:szCs w:val="20"/>
              </w:rPr>
              <w:t>&gt; 0,73-0,88</w:t>
            </w:r>
          </w:p>
        </w:tc>
        <w:tc>
          <w:tcPr>
            <w:tcW w:w="4750" w:type="dxa"/>
          </w:tcPr>
          <w:p w14:paraId="7B5FA702" w14:textId="5464F262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 xml:space="preserve">mg </w:t>
            </w:r>
            <w:r>
              <w:rPr>
                <w:sz w:val="20"/>
                <w:szCs w:val="20"/>
              </w:rPr>
              <w:t>три пъти дневно</w:t>
            </w:r>
          </w:p>
        </w:tc>
      </w:tr>
      <w:tr w:rsidR="006C1158" w14:paraId="4BF949DE" w14:textId="77777777" w:rsidTr="006C1158">
        <w:tc>
          <w:tcPr>
            <w:tcW w:w="4750" w:type="dxa"/>
          </w:tcPr>
          <w:p w14:paraId="7D2B1D35" w14:textId="3FB374A4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sz w:val="20"/>
                <w:szCs w:val="20"/>
              </w:rPr>
              <w:t>&gt; 0,47-0,73</w:t>
            </w:r>
          </w:p>
        </w:tc>
        <w:tc>
          <w:tcPr>
            <w:tcW w:w="4750" w:type="dxa"/>
          </w:tcPr>
          <w:p w14:paraId="7A0C7BE0" w14:textId="628E85A7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 xml:space="preserve">mg </w:t>
            </w:r>
            <w:r>
              <w:rPr>
                <w:sz w:val="20"/>
                <w:szCs w:val="20"/>
              </w:rPr>
              <w:t>два пъти дневно</w:t>
            </w:r>
          </w:p>
        </w:tc>
      </w:tr>
      <w:tr w:rsidR="006C1158" w14:paraId="3DB86186" w14:textId="77777777" w:rsidTr="006C1158">
        <w:tc>
          <w:tcPr>
            <w:tcW w:w="4750" w:type="dxa"/>
          </w:tcPr>
          <w:p w14:paraId="3593AF7A" w14:textId="10AA3BDA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sz w:val="20"/>
                <w:szCs w:val="20"/>
              </w:rPr>
              <w:t>≤0,47</w:t>
            </w:r>
          </w:p>
        </w:tc>
        <w:tc>
          <w:tcPr>
            <w:tcW w:w="4750" w:type="dxa"/>
          </w:tcPr>
          <w:p w14:paraId="7DBFAF63" w14:textId="6DC6C80D" w:rsidR="006C1158" w:rsidRDefault="006C1158" w:rsidP="006C1158">
            <w:pPr>
              <w:rPr>
                <w:rFonts w:cs="Arial"/>
                <w:sz w:val="24"/>
              </w:rPr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 xml:space="preserve">mg </w:t>
            </w:r>
            <w:r>
              <w:rPr>
                <w:sz w:val="20"/>
                <w:szCs w:val="20"/>
              </w:rPr>
              <w:t>един път дневно</w:t>
            </w:r>
          </w:p>
        </w:tc>
      </w:tr>
    </w:tbl>
    <w:p w14:paraId="5F2331B2" w14:textId="7DF57ADA" w:rsidR="006C1158" w:rsidRPr="006C1158" w:rsidRDefault="006C1158" w:rsidP="0091385D">
      <w:pPr>
        <w:rPr>
          <w:rFonts w:cs="Arial"/>
          <w:sz w:val="24"/>
        </w:rPr>
      </w:pPr>
    </w:p>
    <w:p w14:paraId="22529FC8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i/>
          <w:iCs/>
          <w:color w:val="000000"/>
          <w:szCs w:val="20"/>
          <w:lang w:eastAsia="bg-BG"/>
        </w:rPr>
        <w:t>Старческа възраст</w:t>
      </w:r>
    </w:p>
    <w:p w14:paraId="56C87786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Няма опит в употребата на миглустат при пациенти на възраст над 70 години.</w:t>
      </w:r>
    </w:p>
    <w:p w14:paraId="3E611501" w14:textId="77777777" w:rsidR="006C1158" w:rsidRPr="006C1158" w:rsidRDefault="006C1158" w:rsidP="006C1158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639E2E89" w14:textId="2A4BF0C9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i/>
          <w:iCs/>
          <w:color w:val="000000"/>
          <w:szCs w:val="20"/>
          <w:lang w:eastAsia="bg-BG"/>
        </w:rPr>
        <w:t>Нарушена бъбречна функция</w:t>
      </w:r>
    </w:p>
    <w:p w14:paraId="466C3C53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Фармакокинетичните данни показват увеличена системна експозиция на миглустат при пациенти с бъбречно увреждане. При пациенти с регулиран креатининов клирънс 50- 70 </w:t>
      </w:r>
      <w:r w:rsidRPr="006C1158">
        <w:rPr>
          <w:rFonts w:eastAsia="Times New Roman" w:cs="Arial"/>
          <w:color w:val="000000"/>
          <w:szCs w:val="20"/>
          <w:lang w:val="en-US"/>
        </w:rPr>
        <w:t>ml/min/1,73 m</w:t>
      </w:r>
      <w:r w:rsidRPr="006C1158">
        <w:rPr>
          <w:rFonts w:eastAsia="Times New Roman" w:cs="Arial"/>
          <w:color w:val="000000"/>
          <w:szCs w:val="20"/>
          <w:vertAlign w:val="superscript"/>
          <w:lang w:val="en-US"/>
        </w:rPr>
        <w:t>2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,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трябва да се започне с доза 100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два пъти дневно при пациенти с болестта на Гоше тип 1 и с доза 200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>два пъти дневно ( променена въз основа на телесната повърхност при пациенти под 12-годишна възраст) при пациенти с болест на Ниман-Пик тип С.</w:t>
      </w:r>
    </w:p>
    <w:p w14:paraId="2C887095" w14:textId="77777777" w:rsidR="006C1158" w:rsidRPr="006C1158" w:rsidRDefault="006C1158" w:rsidP="006C1158">
      <w:pPr>
        <w:rPr>
          <w:rFonts w:eastAsia="Times New Roman" w:cs="Arial"/>
          <w:color w:val="000000"/>
          <w:szCs w:val="20"/>
          <w:lang w:eastAsia="bg-BG"/>
        </w:rPr>
      </w:pPr>
    </w:p>
    <w:p w14:paraId="144AE0BC" w14:textId="6826918E" w:rsidR="006C1158" w:rsidRDefault="006C1158" w:rsidP="006C1158">
      <w:pPr>
        <w:rPr>
          <w:rFonts w:eastAsia="Times New Roman" w:cs="Arial"/>
          <w:color w:val="000000"/>
          <w:szCs w:val="20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lastRenderedPageBreak/>
        <w:t xml:space="preserve">При пациенти с регулиран креатининов клирънс 30-50 </w:t>
      </w:r>
      <w:r w:rsidRPr="006C1158">
        <w:rPr>
          <w:rFonts w:eastAsia="Times New Roman" w:cs="Arial"/>
          <w:color w:val="000000"/>
          <w:szCs w:val="20"/>
          <w:lang w:val="en-US"/>
        </w:rPr>
        <w:t>ml/min/1,73 m</w:t>
      </w:r>
      <w:r w:rsidRPr="006C1158">
        <w:rPr>
          <w:rFonts w:eastAsia="Times New Roman" w:cs="Arial"/>
          <w:color w:val="000000"/>
          <w:szCs w:val="20"/>
          <w:vertAlign w:val="superscript"/>
          <w:lang w:val="en-US"/>
        </w:rPr>
        <w:t>2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,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трябва да се започне с доза от една капсула 100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един път дневно при пациенти с болестта на Гоше тип 1 и с доза 100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6C1158">
        <w:rPr>
          <w:rFonts w:eastAsia="Times New Roman" w:cs="Arial"/>
          <w:color w:val="000000"/>
          <w:szCs w:val="20"/>
          <w:lang w:eastAsia="bg-BG"/>
        </w:rPr>
        <w:t>два пъти дневно (променена въз основа на телесната повърхност при пациенти под 12- годишна възраст) при пациенти с болест на Ниман-Пик тип С. Не се препоръчва прилагането  на лекарствения продукт при пациенти с тежко бъбречно увреждане (креатининов клирънс &lt;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 30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  </w:t>
      </w:r>
      <w:r w:rsidRPr="006C1158">
        <w:rPr>
          <w:rFonts w:eastAsia="Times New Roman" w:cs="Arial"/>
          <w:color w:val="000000"/>
          <w:szCs w:val="20"/>
          <w:lang w:val="en-US"/>
        </w:rPr>
        <w:t>ml/min/1,73 m</w:t>
      </w:r>
      <w:r w:rsidRPr="006C1158">
        <w:rPr>
          <w:rFonts w:eastAsia="Times New Roman" w:cs="Arial"/>
          <w:color w:val="000000"/>
          <w:szCs w:val="20"/>
          <w:vertAlign w:val="superscript"/>
          <w:lang w:eastAsia="bg-BG"/>
        </w:rPr>
        <w:t>2</w:t>
      </w:r>
      <w:r w:rsidRPr="006C1158">
        <w:rPr>
          <w:rFonts w:eastAsia="Times New Roman" w:cs="Arial"/>
          <w:color w:val="000000"/>
          <w:szCs w:val="20"/>
          <w:lang w:eastAsia="bg-BG"/>
        </w:rPr>
        <w:t>)(вж. точки 4.4 и 5.2).</w:t>
      </w:r>
    </w:p>
    <w:p w14:paraId="2AAAEDD2" w14:textId="7A726714" w:rsidR="006C1158" w:rsidRDefault="006C1158" w:rsidP="006C1158">
      <w:pPr>
        <w:rPr>
          <w:rFonts w:eastAsia="Times New Roman" w:cs="Arial"/>
          <w:color w:val="000000"/>
          <w:szCs w:val="20"/>
          <w:lang w:eastAsia="bg-BG"/>
        </w:rPr>
      </w:pPr>
    </w:p>
    <w:p w14:paraId="5F41B64F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i/>
          <w:iCs/>
          <w:color w:val="000000"/>
          <w:szCs w:val="20"/>
          <w:lang w:eastAsia="bg-BG"/>
        </w:rPr>
        <w:t>Нарушена чернодробна функция</w:t>
      </w:r>
    </w:p>
    <w:p w14:paraId="76FBCE03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Не е оценявана употребата на миглустат при чернодробно увреждане.</w:t>
      </w:r>
    </w:p>
    <w:p w14:paraId="6479BE6F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51B36B6" w14:textId="5A21F9D1" w:rsidR="006C1158" w:rsidRPr="00232C5D" w:rsidRDefault="006C1158" w:rsidP="00232C5D">
      <w:pPr>
        <w:pStyle w:val="Heading3"/>
        <w:rPr>
          <w:rFonts w:eastAsia="Times New Roman"/>
          <w:sz w:val="28"/>
          <w:u w:val="single"/>
          <w:lang w:eastAsia="bg-BG"/>
        </w:rPr>
      </w:pPr>
      <w:r w:rsidRPr="00232C5D">
        <w:rPr>
          <w:rFonts w:eastAsia="Times New Roman"/>
          <w:u w:val="single"/>
          <w:lang w:eastAsia="bg-BG"/>
        </w:rPr>
        <w:t>Начин на приложение</w:t>
      </w:r>
    </w:p>
    <w:p w14:paraId="700EB410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Перорално приложение.</w:t>
      </w:r>
    </w:p>
    <w:p w14:paraId="11E969A6" w14:textId="7F1EC2BE" w:rsidR="006C1158" w:rsidRPr="006C1158" w:rsidRDefault="006C1158" w:rsidP="006C1158">
      <w:pPr>
        <w:rPr>
          <w:rFonts w:cs="Arial"/>
          <w:sz w:val="28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Миглустат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G.L. </w:t>
      </w:r>
      <w:r w:rsidRPr="006C1158">
        <w:rPr>
          <w:rFonts w:eastAsia="Times New Roman" w:cs="Arial"/>
          <w:color w:val="000000"/>
          <w:szCs w:val="20"/>
          <w:lang w:eastAsia="bg-BG"/>
        </w:rPr>
        <w:t>може да бъде приет със или без храна.</w:t>
      </w:r>
    </w:p>
    <w:p w14:paraId="624FA931" w14:textId="77777777" w:rsidR="006C1158" w:rsidRPr="0091385D" w:rsidRDefault="006C1158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2309EAB0" w14:textId="54F9509D" w:rsidR="0091385D" w:rsidRPr="006C1158" w:rsidRDefault="006C1158" w:rsidP="0091385D">
      <w:pPr>
        <w:rPr>
          <w:rFonts w:cs="Arial"/>
          <w:sz w:val="24"/>
        </w:rPr>
      </w:pPr>
      <w:r w:rsidRPr="006C1158">
        <w:rPr>
          <w:rFonts w:cs="Arial"/>
          <w:szCs w:val="20"/>
        </w:rPr>
        <w:t>Свръхчувствителност към активната субстанция или към някое от помощните вещества, изброени в точка 6.1.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56834FFA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Тремор</w:t>
      </w:r>
    </w:p>
    <w:p w14:paraId="06A01BB7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По време на клинични изпитвания приблизително 37% от пациентите с болест на Гоше тип 1 и 58% от пациентите при клинично изпитване при болест на </w:t>
      </w:r>
      <w:proofErr w:type="spellStart"/>
      <w:r w:rsidRPr="006C1158">
        <w:rPr>
          <w:rFonts w:eastAsia="Times New Roman" w:cs="Arial"/>
          <w:color w:val="000000"/>
          <w:szCs w:val="20"/>
          <w:lang w:val="en-US"/>
        </w:rPr>
        <w:t>Niemann</w:t>
      </w:r>
      <w:proofErr w:type="spellEnd"/>
      <w:r w:rsidRPr="006C1158">
        <w:rPr>
          <w:rFonts w:eastAsia="Times New Roman" w:cs="Arial"/>
          <w:color w:val="000000"/>
          <w:szCs w:val="20"/>
          <w:lang w:val="en-US"/>
        </w:rPr>
        <w:t xml:space="preserve">-Pick </w:t>
      </w:r>
      <w:r w:rsidRPr="006C1158">
        <w:rPr>
          <w:rFonts w:eastAsia="Times New Roman" w:cs="Arial"/>
          <w:color w:val="000000"/>
          <w:szCs w:val="20"/>
          <w:lang w:eastAsia="bg-BG"/>
        </w:rPr>
        <w:t>тип С са съобщили за тремор. При болест на Гоше тип 1 е описан засилен физиологичен тремор на ръцете. Треморът се появява обикновено през първия месец и в много случаи отзвучава по време на лечението между 1-ия и 3-ия месец. Редуцирането на дозата може да подобри тремора, обикновено за няколко дни, но понякога може да се наложи прекратяване на лечението.</w:t>
      </w:r>
    </w:p>
    <w:p w14:paraId="209E191E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753F28D" w14:textId="6C7A0852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Гастроинтестинални нарушения</w:t>
      </w:r>
    </w:p>
    <w:p w14:paraId="7A8CF877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Гастроинтестинални нарушения, главно диария, са наблюдавани при повече от 80% от пациентите, или в началото на лечението или периодично по време на лечението (вж. точка 4.8).</w:t>
      </w:r>
    </w:p>
    <w:p w14:paraId="0D24E6FE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Механизмът най-вероятно е инхибиране на интестиналните дизахаридази, като захарозоизомалтазата в гастроинтестиналния тракт, което води до намалена абсорбция на хранителните дизахариди.</w:t>
      </w:r>
    </w:p>
    <w:p w14:paraId="7C25DF78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BBE5831" w14:textId="6C3659F4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В клиничната практика се наблюдават миглустат-индуцирани гастроинтестинални събития, които отговарят на индивидуализирани промени в хранителния режим (например, намаляване на приема на захароза, лактоза и на други въглехидрати), прием на миглустат между храненията и/или с антидиарични лекарства, като лоперамид.</w:t>
      </w:r>
    </w:p>
    <w:p w14:paraId="78E7B790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04A394D" w14:textId="75271F46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При някои пациенти може да е необходимо временно намаляване на дозата. Пациентите с хронична диария или с други упорити гастроинтестинални нарушения, които не се повлияват от тази мярка, трябва да бъдат изследвани в съответствие с клиничната практика. Миглустат не е оценяван при пациенти с анамнеза за значимо гастроинтестинално заболяване, включително възпалително заболяване на червата.</w:t>
      </w:r>
    </w:p>
    <w:p w14:paraId="10AB60CA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A850F39" w14:textId="730B398A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lastRenderedPageBreak/>
        <w:t>Ефекти върху сперматогенезата</w:t>
      </w:r>
    </w:p>
    <w:p w14:paraId="4DA5C5CA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Пациентите мъже трябва да използват надеждни методи за контрацепция по време на приема на миглустат. Изследвания при плъхове са показали, че миглустат влияе отрицателно върху сперматогенезата и параметрите на спермата и намалява фертилитета (вж. точки 4.6 и 5.3).</w:t>
      </w:r>
    </w:p>
    <w:p w14:paraId="6BA1A62E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Преди да се появи допълнителна информация, когато желаят да имат деца, пациентите мъже трябва да преустановят употребата на миглустат и да използват надеждни методи на контрацепция през следващите 3 месеца.</w:t>
      </w:r>
    </w:p>
    <w:p w14:paraId="1A8ED8FD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3711DB6" w14:textId="19ACF064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Специални популации</w:t>
      </w:r>
    </w:p>
    <w:p w14:paraId="0B3BEE35" w14:textId="158D9148" w:rsidR="0091385D" w:rsidRPr="006C1158" w:rsidRDefault="006C1158" w:rsidP="006C1158">
      <w:pPr>
        <w:rPr>
          <w:rFonts w:cs="Arial"/>
          <w:sz w:val="24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Поради ограничения опит, миглустат трябва да се използва с повишено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6C1158">
        <w:rPr>
          <w:rFonts w:eastAsia="Times New Roman" w:cs="Arial"/>
          <w:color w:val="000000"/>
          <w:szCs w:val="20"/>
          <w:lang w:eastAsia="bg-BG"/>
        </w:rPr>
        <w:t>внимание при пациенти с бъбречно или чернодробно увреждане.</w:t>
      </w:r>
    </w:p>
    <w:p w14:paraId="24E3E82F" w14:textId="33BC8B3D" w:rsidR="0091385D" w:rsidRDefault="0091385D" w:rsidP="0091385D"/>
    <w:p w14:paraId="63E97D70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Съществува тясна връзка между бъбречната функция и клирънса на миглустат. Плазмените концентрации на миглустат нарастват отчетливо при пациенти с тежко бъбречно увреждане (вж. точка 5.2). До този момент не е налице достатъчен клиничен опит с тези пациенти, за да може да се направят препоръки за дозиране. Не се препоръчва употребата на миглустат при пациенти с тежка форма на бъбречно увреждане (креатининов клирънс &lt;30 </w:t>
      </w:r>
      <w:r w:rsidRPr="006C1158">
        <w:rPr>
          <w:rFonts w:eastAsia="Times New Roman" w:cs="Arial"/>
          <w:color w:val="000000"/>
          <w:szCs w:val="20"/>
          <w:lang w:val="en-US"/>
        </w:rPr>
        <w:t>ml/min/1,73 m</w:t>
      </w:r>
      <w:r w:rsidRPr="006C1158">
        <w:rPr>
          <w:rFonts w:eastAsia="Times New Roman" w:cs="Arial"/>
          <w:color w:val="000000"/>
          <w:szCs w:val="20"/>
          <w:vertAlign w:val="superscript"/>
          <w:lang w:val="en-US"/>
        </w:rPr>
        <w:t>2</w:t>
      </w:r>
      <w:r w:rsidRPr="006C1158">
        <w:rPr>
          <w:rFonts w:eastAsia="Times New Roman" w:cs="Arial"/>
          <w:color w:val="000000"/>
          <w:szCs w:val="20"/>
          <w:lang w:val="en-US"/>
        </w:rPr>
        <w:t>).</w:t>
      </w:r>
    </w:p>
    <w:p w14:paraId="5E9D47EF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F7E1D70" w14:textId="486B7CBD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Болест на Гоше тип 1</w:t>
      </w:r>
    </w:p>
    <w:p w14:paraId="16259EDA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43C0CCE" w14:textId="52DD7D88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Въпреки че не са проведени директни сравнителни проучвания с ензим-заместващата терапия (ЕЗТ) при нелекувани пациенти с болест на Гоше тип 1, няма доказателства за предимства на миглустат по отношение на ефикасността и безопасността, в сравнение с ЕЗТ.</w:t>
      </w:r>
    </w:p>
    <w:p w14:paraId="45D83D36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C482C91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ЕЗТ е стандартна грижа при пациенти с болест на Гоше тип 1, при които се изисква лечение (вж. точка 5.1). </w:t>
      </w:r>
    </w:p>
    <w:p w14:paraId="3EC420BD" w14:textId="75DAC935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При пациенти с тежка форма на болест на Гоше, не са оценявани конкретно ефикасността и беозпасността на миглустат</w:t>
      </w:r>
    </w:p>
    <w:p w14:paraId="6C0E2628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528CDB4" w14:textId="535B2E5A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Препоръчва се редовен контрол на нивата на витамин В</w:t>
      </w:r>
      <w:r w:rsidRPr="006C1158">
        <w:rPr>
          <w:rFonts w:eastAsia="Times New Roman" w:cs="Arial"/>
          <w:color w:val="000000"/>
          <w:szCs w:val="20"/>
          <w:vertAlign w:val="subscript"/>
          <w:lang w:eastAsia="bg-BG"/>
        </w:rPr>
        <w:t>12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 поради високата честота на дефицит на витамин В</w:t>
      </w:r>
      <w:r w:rsidRPr="006C1158">
        <w:rPr>
          <w:rFonts w:eastAsia="Times New Roman" w:cs="Arial"/>
          <w:color w:val="000000"/>
          <w:szCs w:val="20"/>
          <w:vertAlign w:val="subscript"/>
          <w:lang w:eastAsia="bg-BG"/>
        </w:rPr>
        <w:t>12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 при пациенти с болест на Гоше тип 1.</w:t>
      </w:r>
    </w:p>
    <w:p w14:paraId="7F129699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9681A1B" w14:textId="62CD751C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При пациенти лекувани с миглустат, са съобщени случаи на периферна невропатия, със или без съпътстващи състояния, като дефицит на витамин В</w:t>
      </w:r>
      <w:r w:rsidRPr="006C1158">
        <w:rPr>
          <w:rFonts w:eastAsia="Times New Roman" w:cs="Arial"/>
          <w:color w:val="000000"/>
          <w:szCs w:val="20"/>
          <w:vertAlign w:val="subscript"/>
          <w:lang w:eastAsia="bg-BG"/>
        </w:rPr>
        <w:t>12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 или моноклонална гамапатия.</w:t>
      </w:r>
    </w:p>
    <w:p w14:paraId="79BE3B9F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Периферната невропатия иглежда се среща по-често при пациенти с болест на Гоше тип 1, в сравнение с общата популация. Всички пациенти трябва да бъдат прегледани от невролог в началото и по време на лечението.</w:t>
      </w:r>
    </w:p>
    <w:p w14:paraId="151CA7B3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2023D59" w14:textId="6566000C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При пациенти с болест на Гоше тип 1 се препоръчва проследяване на броя на тромбоцитите. При пациенти с болест на Гоше тип 1, които са преминали от ЕЗТ към лечение с миглустат, е наблюдавано слабо намаление на броя на трамбоцигите, без прояви на кървене.</w:t>
      </w:r>
    </w:p>
    <w:p w14:paraId="34F26D63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AF83919" w14:textId="07286D36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Болест на Ниман-Пик тип С</w:t>
      </w:r>
    </w:p>
    <w:p w14:paraId="2C93F7BB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FB37603" w14:textId="075A419E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Ползата от лечението с миглустат на неврологичните прояви при пациенти с болест на Ниман- Пик тип С трябва да се оценява редовно, например на всеки 6 месеца. </w:t>
      </w:r>
      <w:r w:rsidRPr="006C1158">
        <w:rPr>
          <w:rFonts w:eastAsia="Times New Roman" w:cs="Arial"/>
          <w:color w:val="000000"/>
          <w:szCs w:val="20"/>
          <w:lang w:eastAsia="bg-BG"/>
        </w:rPr>
        <w:lastRenderedPageBreak/>
        <w:t>Продължителността на лечението трябва да се оцени отново най-малко след 1 година лечение с миглустат.</w:t>
      </w:r>
    </w:p>
    <w:p w14:paraId="100756B8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2C3035E" w14:textId="439396A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Леко понижение на броя на тромбоцитите, без да е свързано с кървене, е наблюдавано при някои пациенти с болест на </w:t>
      </w: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Ниман-Пик т</w:t>
      </w:r>
      <w:r w:rsidRPr="006C1158">
        <w:rPr>
          <w:rFonts w:eastAsia="Times New Roman" w:cs="Arial"/>
          <w:color w:val="000000"/>
          <w:szCs w:val="20"/>
          <w:lang w:eastAsia="bg-BG"/>
        </w:rPr>
        <w:t>ип С, лекувани с миглустат. При пациенти, включени в клинично изпитване, 40%-50% от пациентите имат изходен брой на тромбоцитите под долната граница на нормата. Препоръчва се следене на броя на тромбоцитите при тези пациенти.</w:t>
      </w:r>
    </w:p>
    <w:p w14:paraId="1CC6B651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E65026B" w14:textId="0496805A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Педиатрична популация</w:t>
      </w:r>
    </w:p>
    <w:p w14:paraId="141A9179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Съобщен е намален растеж при някои педиатрични пациенти с болест на </w:t>
      </w: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 xml:space="preserve">Ниман-Пик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тип С в ранната фаза на лечение с миглустат, при което началното намалено наддаване на тегло може да се придружава или последва от намалено нарастване на височина. Растежът при деца и юноши трябва да се следи по време на лечението с Миглустат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G.L. </w:t>
      </w:r>
      <w:r w:rsidRPr="006C1158">
        <w:rPr>
          <w:rFonts w:eastAsia="Times New Roman" w:cs="Arial"/>
          <w:color w:val="000000"/>
          <w:szCs w:val="20"/>
          <w:lang w:eastAsia="bg-BG"/>
        </w:rPr>
        <w:t>Съотношението полза/риск трябва отново да се оценява на индивидуална основа с оглед продължаване на лечението.</w:t>
      </w:r>
    </w:p>
    <w:p w14:paraId="3D474675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A4B9730" w14:textId="0E4D0F0E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u w:val="single"/>
          <w:lang w:eastAsia="bg-BG"/>
        </w:rPr>
        <w:t>Този лекарствен продукт съдържа натрий</w:t>
      </w:r>
    </w:p>
    <w:p w14:paraId="633663F9" w14:textId="20F3EA2D" w:rsidR="006C1158" w:rsidRPr="006C1158" w:rsidRDefault="006C1158" w:rsidP="006C1158">
      <w:pPr>
        <w:rPr>
          <w:rFonts w:cs="Arial"/>
          <w:sz w:val="24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 xml:space="preserve">Този лекарствен продукт съдържа във всяка капсула по-малко от 1 </w:t>
      </w:r>
      <w:proofErr w:type="spellStart"/>
      <w:r w:rsidRPr="006C1158">
        <w:rPr>
          <w:rFonts w:eastAsia="Times New Roman" w:cs="Arial"/>
          <w:color w:val="000000"/>
          <w:szCs w:val="20"/>
          <w:lang w:val="en-US"/>
        </w:rPr>
        <w:t>mmol</w:t>
      </w:r>
      <w:proofErr w:type="spellEnd"/>
      <w:r w:rsidRPr="006C115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6C1158">
        <w:rPr>
          <w:rFonts w:eastAsia="Times New Roman" w:cs="Arial"/>
          <w:color w:val="000000"/>
          <w:szCs w:val="20"/>
          <w:lang w:eastAsia="bg-BG"/>
        </w:rPr>
        <w:t xml:space="preserve">(23 </w:t>
      </w:r>
      <w:r w:rsidRPr="006C1158">
        <w:rPr>
          <w:rFonts w:eastAsia="Times New Roman" w:cs="Arial"/>
          <w:color w:val="000000"/>
          <w:szCs w:val="20"/>
          <w:lang w:val="en-US"/>
        </w:rPr>
        <w:t xml:space="preserve">mg) </w:t>
      </w:r>
      <w:r w:rsidRPr="006C1158">
        <w:rPr>
          <w:rFonts w:eastAsia="Times New Roman" w:cs="Arial"/>
          <w:color w:val="000000"/>
          <w:szCs w:val="20"/>
          <w:lang w:eastAsia="bg-BG"/>
        </w:rPr>
        <w:t>натрий, което може да го определи като “свободен от натрий”.</w:t>
      </w:r>
    </w:p>
    <w:p w14:paraId="59078A64" w14:textId="77777777" w:rsidR="006C1158" w:rsidRPr="0091385D" w:rsidRDefault="006C1158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172AE819" w14:textId="2B1AAC0E" w:rsidR="0091385D" w:rsidRPr="006C1158" w:rsidRDefault="006C1158" w:rsidP="0091385D">
      <w:pPr>
        <w:rPr>
          <w:lang w:val="en-US"/>
        </w:rPr>
      </w:pPr>
      <w:r w:rsidRPr="006C1158">
        <w:t>Ограничените данни показват, че едновременното прилагане на миглустат и ензим-заместваща терапия с имиглуцераза при пациенти с болест на Гоше тип 1, може да доведе до понижаване</w:t>
      </w:r>
      <w:r w:rsidRPr="006C1158">
        <w:rPr>
          <w:lang w:val="en-US"/>
        </w:rPr>
        <w:t xml:space="preserve"> </w:t>
      </w:r>
      <w:r w:rsidRPr="006C1158">
        <w:t xml:space="preserve">на </w:t>
      </w:r>
      <w:r w:rsidRPr="006C1158">
        <w:t>плазмените концентрации на миглустат (в клинично проучване с малки паралелни групи е установено приблизително намаление от 22% на С</w:t>
      </w:r>
      <w:r w:rsidRPr="006C1158">
        <w:rPr>
          <w:vertAlign w:val="subscript"/>
          <w:lang w:val="en-US"/>
        </w:rPr>
        <w:t>max</w:t>
      </w:r>
      <w:r w:rsidRPr="006C1158">
        <w:t xml:space="preserve"> и 14% на </w:t>
      </w:r>
      <w:r w:rsidRPr="006C1158">
        <w:rPr>
          <w:lang w:val="en-US"/>
        </w:rPr>
        <w:t xml:space="preserve">AUC). </w:t>
      </w:r>
      <w:r w:rsidRPr="006C1158">
        <w:t>Това проучване показва също, че миглустат няма или има ограничен ефект върху фармакокинетиката на имиглуцеразата.</w:t>
      </w:r>
    </w:p>
    <w:p w14:paraId="5B2761C5" w14:textId="77777777" w:rsidR="0091385D" w:rsidRPr="0091385D" w:rsidRDefault="0091385D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38A09036" w14:textId="77777777" w:rsidR="006C1158" w:rsidRPr="006C1158" w:rsidRDefault="006C1158" w:rsidP="006C1158">
      <w:pPr>
        <w:pStyle w:val="Heading3"/>
        <w:rPr>
          <w:rFonts w:eastAsia="Times New Roman"/>
          <w:u w:val="single"/>
          <w:lang w:eastAsia="bg-BG"/>
        </w:rPr>
      </w:pPr>
      <w:r w:rsidRPr="006C1158">
        <w:rPr>
          <w:rFonts w:eastAsia="Times New Roman"/>
          <w:u w:val="single"/>
          <w:lang w:eastAsia="bg-BG"/>
        </w:rPr>
        <w:t>Бременност</w:t>
      </w:r>
    </w:p>
    <w:p w14:paraId="02C9377F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t>Няма достатъчно данни за употребата на миглустат при бременни жени. Проучванията при животни показват репродуктивна токсичност, включително дистокия (вж. точка 5.3). Не е известен потенциалният риск при хората. Миглустат преминава през плацентата и не трябва да се използва по време на бременност.</w:t>
      </w:r>
    </w:p>
    <w:p w14:paraId="63ED7A51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C62A85F" w14:textId="24D03E29" w:rsidR="006C1158" w:rsidRPr="006C1158" w:rsidRDefault="006C1158" w:rsidP="006C1158">
      <w:pPr>
        <w:pStyle w:val="Heading3"/>
        <w:rPr>
          <w:rFonts w:eastAsia="Times New Roman"/>
          <w:u w:val="single"/>
          <w:lang w:eastAsia="bg-BG"/>
        </w:rPr>
      </w:pPr>
      <w:r w:rsidRPr="006C1158">
        <w:rPr>
          <w:rFonts w:eastAsia="Times New Roman"/>
          <w:u w:val="single"/>
          <w:lang w:eastAsia="bg-BG"/>
        </w:rPr>
        <w:t>Кърмене</w:t>
      </w:r>
    </w:p>
    <w:p w14:paraId="6FE24F47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t>Не е известно, дали миглустат се екскретира в майчиното мляко. Миглустат не трябва да се приема по време на кърмене.</w:t>
      </w:r>
    </w:p>
    <w:p w14:paraId="7A5911AE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80856FE" w14:textId="287A63F2" w:rsidR="006C1158" w:rsidRPr="006C1158" w:rsidRDefault="006C1158" w:rsidP="006C1158">
      <w:pPr>
        <w:pStyle w:val="Heading3"/>
        <w:rPr>
          <w:rFonts w:eastAsia="Times New Roman"/>
          <w:u w:val="single"/>
          <w:lang w:eastAsia="bg-BG"/>
        </w:rPr>
      </w:pPr>
      <w:r w:rsidRPr="006C1158">
        <w:rPr>
          <w:rFonts w:eastAsia="Times New Roman"/>
          <w:u w:val="single"/>
          <w:lang w:eastAsia="bg-BG"/>
        </w:rPr>
        <w:t>Фертилитет</w:t>
      </w:r>
    </w:p>
    <w:p w14:paraId="52FE4662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t>Проучвания при плъхове са показат, че миглустат има нежелани ефекти върху параметрите на спермата (подвижност и морфология), което води до намаляване на фертилитета (вж. точки 4.4 и 5.3).</w:t>
      </w:r>
    </w:p>
    <w:p w14:paraId="7FDEFDF5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lastRenderedPageBreak/>
        <w:t>Докато се появи допълнителна информация, преди опитите за зачеване, пациентите мъже трябва да преустановят употребата на миглустат и да използват надеждни методи на контрацепция през следващите 3 месеца.</w:t>
      </w:r>
    </w:p>
    <w:p w14:paraId="41D05FF8" w14:textId="77777777" w:rsidR="006C1158" w:rsidRPr="006C1158" w:rsidRDefault="006C1158" w:rsidP="006C1158">
      <w:pPr>
        <w:rPr>
          <w:rFonts w:eastAsia="Times New Roman" w:cs="Arial"/>
          <w:color w:val="000000"/>
          <w:lang w:eastAsia="bg-BG"/>
        </w:rPr>
      </w:pPr>
    </w:p>
    <w:p w14:paraId="776662C5" w14:textId="46082716" w:rsidR="0091385D" w:rsidRPr="006C1158" w:rsidRDefault="006C1158" w:rsidP="006C1158">
      <w:pPr>
        <w:rPr>
          <w:rFonts w:cs="Arial"/>
        </w:rPr>
      </w:pPr>
      <w:r w:rsidRPr="006C1158">
        <w:rPr>
          <w:rFonts w:eastAsia="Times New Roman" w:cs="Arial"/>
          <w:color w:val="000000"/>
          <w:lang w:eastAsia="bg-BG"/>
        </w:rPr>
        <w:t>Пациентките във фертилна възраст трябва да използват контрацептивни средства. Пациентите от мъжки пол трябва да използват надеждни методи на контрацепция по време на приема на миглустат (вж. точки 4.4 и 5.3).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6A9D1813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t>Миглустат повлиява пренебрежимо слабо способността за шофиране и работа с машини.</w:t>
      </w:r>
    </w:p>
    <w:p w14:paraId="2B4135A6" w14:textId="27B17169" w:rsidR="0091385D" w:rsidRPr="006C1158" w:rsidRDefault="006C1158" w:rsidP="006C1158">
      <w:pPr>
        <w:rPr>
          <w:rFonts w:cs="Arial"/>
        </w:rPr>
      </w:pPr>
      <w:r w:rsidRPr="006C1158">
        <w:rPr>
          <w:rFonts w:eastAsia="Times New Roman" w:cs="Arial"/>
          <w:color w:val="000000"/>
          <w:lang w:eastAsia="bg-BG"/>
        </w:rPr>
        <w:t>Основната докладвана нежелана лекарствена реакция е замайване. Пациентите със замайване не трябва шофират или да работят с машини.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540803CE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u w:val="single"/>
          <w:lang w:eastAsia="bg-BG"/>
        </w:rPr>
        <w:t>Обобщен профил на безопасност</w:t>
      </w:r>
    </w:p>
    <w:p w14:paraId="5286C6AF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t>Най-честите нежелани лекарствени реакции, докладвани по време на лечение с миглустат, са: диария, флатуленция, коремна болка, загуба на тегло и тремор (вж. точка 4.4). Най-честата сериозна нежелана лекарствена реакция, докладвана при клиничните изпитвания с миглустат, е периферната невропатия (вж. точка 4.4).</w:t>
      </w:r>
    </w:p>
    <w:p w14:paraId="01CD4274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81010B" w14:textId="5ACCE72B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t xml:space="preserve">В 11 клинични проучвани, при различни показания, 247 пациенти са лекувани с миглустат в доза 50-200 </w:t>
      </w:r>
      <w:r w:rsidRPr="006C1158">
        <w:rPr>
          <w:rFonts w:eastAsia="Times New Roman" w:cs="Arial"/>
          <w:color w:val="000000"/>
          <w:lang w:val="en-US"/>
        </w:rPr>
        <w:t xml:space="preserve">mg </w:t>
      </w:r>
      <w:r w:rsidRPr="006C1158">
        <w:rPr>
          <w:rFonts w:eastAsia="Times New Roman" w:cs="Arial"/>
          <w:color w:val="000000"/>
          <w:lang w:eastAsia="bg-BG"/>
        </w:rPr>
        <w:t>три пъти дневно средно за период от 2,1 години. От тези пациенти, 132 са били с болест на Гоше тип 1 и 40 с болест на Ниман-Пик тип С. . Нежеланите лекарствени реакции са били от леки до умерено тежки и са се появявали с подобна честота при различните показания и дози.</w:t>
      </w:r>
    </w:p>
    <w:p w14:paraId="6DE08EA3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B11B1D3" w14:textId="16F5C703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u w:val="single"/>
          <w:lang w:eastAsia="bg-BG"/>
        </w:rPr>
        <w:t>Табличен списък на нежеланите лекарствени реакции</w:t>
      </w:r>
    </w:p>
    <w:p w14:paraId="00DFD9A7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t>Нежеланите лекарствени реакции от клиничните изпитвания и постмаркетинговите проучвания, появяващи се при &gt; 1% от пациентите, са изброени по-долу, класифицирана по системно-органни класове и според честотата:</w:t>
      </w:r>
    </w:p>
    <w:p w14:paraId="52E0D91B" w14:textId="77777777" w:rsidR="006C1158" w:rsidRPr="006C1158" w:rsidRDefault="006C1158" w:rsidP="006C1158">
      <w:pPr>
        <w:rPr>
          <w:rFonts w:eastAsia="Times New Roman" w:cs="Arial"/>
          <w:color w:val="000000"/>
          <w:lang w:eastAsia="bg-BG"/>
        </w:rPr>
      </w:pPr>
    </w:p>
    <w:p w14:paraId="570508C4" w14:textId="6953E764" w:rsidR="0091385D" w:rsidRPr="006C1158" w:rsidRDefault="006C1158" w:rsidP="006C1158">
      <w:pPr>
        <w:rPr>
          <w:rFonts w:cs="Arial"/>
        </w:rPr>
      </w:pPr>
      <w:r w:rsidRPr="006C1158">
        <w:rPr>
          <w:rFonts w:eastAsia="Times New Roman" w:cs="Arial"/>
          <w:color w:val="000000"/>
          <w:lang w:eastAsia="bg-BG"/>
        </w:rPr>
        <w:t>Много чести: ≥1/10</w:t>
      </w:r>
    </w:p>
    <w:p w14:paraId="1C14C881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Чести: ≥1/100 до &lt;1/10</w:t>
      </w:r>
    </w:p>
    <w:p w14:paraId="645CC744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Нечести: ≥1/1 000 до &lt;1/100</w:t>
      </w:r>
    </w:p>
    <w:p w14:paraId="565563B4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Редки: ≥1/10 000 до &lt;1/1 000</w:t>
      </w:r>
    </w:p>
    <w:p w14:paraId="24DECEBA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Много редки: &lt;1/10 000</w:t>
      </w:r>
    </w:p>
    <w:p w14:paraId="12AD8359" w14:textId="77777777" w:rsidR="006C1158" w:rsidRPr="006C1158" w:rsidRDefault="006C1158" w:rsidP="006C1158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С неизвестна честота: от наличните данни не може да бъде направена оценка</w:t>
      </w:r>
    </w:p>
    <w:p w14:paraId="5827A001" w14:textId="77777777" w:rsidR="006C1158" w:rsidRPr="006C1158" w:rsidRDefault="006C1158" w:rsidP="006C1158">
      <w:pPr>
        <w:rPr>
          <w:rFonts w:eastAsia="Times New Roman" w:cs="Arial"/>
          <w:color w:val="000000"/>
          <w:szCs w:val="20"/>
          <w:lang w:eastAsia="bg-BG"/>
        </w:rPr>
      </w:pPr>
    </w:p>
    <w:p w14:paraId="43E3C48F" w14:textId="550912EB" w:rsidR="0091385D" w:rsidRPr="006C1158" w:rsidRDefault="006C1158" w:rsidP="006C1158">
      <w:pPr>
        <w:rPr>
          <w:rFonts w:cs="Arial"/>
          <w:sz w:val="24"/>
        </w:rPr>
      </w:pPr>
      <w:r w:rsidRPr="006C1158">
        <w:rPr>
          <w:rFonts w:eastAsia="Times New Roman" w:cs="Arial"/>
          <w:color w:val="000000"/>
          <w:szCs w:val="20"/>
          <w:lang w:eastAsia="bg-BG"/>
        </w:rPr>
        <w:t>Във всяка група според честотата, нежеланите лекарствени реакции са представени в низходящ ред по отношение на тяхната сериозност.</w:t>
      </w:r>
    </w:p>
    <w:p w14:paraId="0CE4CAEA" w14:textId="61B9804E" w:rsidR="006C1158" w:rsidRDefault="006C1158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290B0E" w14:paraId="13CD991F" w14:textId="77777777" w:rsidTr="000F4AE9">
        <w:tc>
          <w:tcPr>
            <w:tcW w:w="3166" w:type="dxa"/>
            <w:vAlign w:val="center"/>
          </w:tcPr>
          <w:p w14:paraId="6C726413" w14:textId="1BAE585D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  <w:b/>
                <w:bCs/>
              </w:rPr>
              <w:t>Системно-органен клас</w:t>
            </w:r>
          </w:p>
        </w:tc>
        <w:tc>
          <w:tcPr>
            <w:tcW w:w="3167" w:type="dxa"/>
            <w:vAlign w:val="center"/>
          </w:tcPr>
          <w:p w14:paraId="7B762409" w14:textId="0A80B8B6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  <w:b/>
                <w:bCs/>
              </w:rPr>
              <w:t>Нежелана лекарствена реакция</w:t>
            </w:r>
          </w:p>
        </w:tc>
        <w:tc>
          <w:tcPr>
            <w:tcW w:w="3167" w:type="dxa"/>
            <w:vAlign w:val="center"/>
          </w:tcPr>
          <w:p w14:paraId="7E516646" w14:textId="073AD831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Честота</w:t>
            </w:r>
          </w:p>
        </w:tc>
      </w:tr>
      <w:tr w:rsidR="00290B0E" w14:paraId="1FF53A94" w14:textId="77777777" w:rsidTr="000F4AE9">
        <w:tc>
          <w:tcPr>
            <w:tcW w:w="3166" w:type="dxa"/>
            <w:vAlign w:val="bottom"/>
          </w:tcPr>
          <w:p w14:paraId="51780052" w14:textId="77847A82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  <w:i/>
                <w:iCs/>
              </w:rPr>
              <w:t>Нарушения на кръвта и лимфната система</w:t>
            </w:r>
          </w:p>
        </w:tc>
        <w:tc>
          <w:tcPr>
            <w:tcW w:w="3167" w:type="dxa"/>
            <w:vAlign w:val="center"/>
          </w:tcPr>
          <w:p w14:paraId="03B11D43" w14:textId="305CBB99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Тромбоцитопения</w:t>
            </w:r>
          </w:p>
        </w:tc>
        <w:tc>
          <w:tcPr>
            <w:tcW w:w="3167" w:type="dxa"/>
            <w:vAlign w:val="center"/>
          </w:tcPr>
          <w:p w14:paraId="3CBC5427" w14:textId="7095A57C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Чести</w:t>
            </w:r>
          </w:p>
        </w:tc>
      </w:tr>
      <w:tr w:rsidR="00290B0E" w14:paraId="65D385D6" w14:textId="77777777" w:rsidTr="000F4AE9">
        <w:tc>
          <w:tcPr>
            <w:tcW w:w="3166" w:type="dxa"/>
          </w:tcPr>
          <w:p w14:paraId="37FA7C22" w14:textId="77777777" w:rsidR="00290B0E" w:rsidRPr="00290B0E" w:rsidRDefault="00290B0E" w:rsidP="00290B0E">
            <w:pPr>
              <w:rPr>
                <w:rFonts w:cs="Arial"/>
              </w:rPr>
            </w:pPr>
          </w:p>
          <w:p w14:paraId="1DD51483" w14:textId="1F790862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  <w:i/>
                <w:iCs/>
              </w:rPr>
              <w:lastRenderedPageBreak/>
              <w:t>Нарушения на метаболизма и храненето</w:t>
            </w:r>
          </w:p>
        </w:tc>
        <w:tc>
          <w:tcPr>
            <w:tcW w:w="3167" w:type="dxa"/>
            <w:vAlign w:val="center"/>
          </w:tcPr>
          <w:p w14:paraId="01435DE3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lastRenderedPageBreak/>
              <w:t>Загуба на тегло</w:t>
            </w:r>
          </w:p>
          <w:p w14:paraId="1280A9C7" w14:textId="10758F7B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lastRenderedPageBreak/>
              <w:t>Намален апетит</w:t>
            </w:r>
          </w:p>
        </w:tc>
        <w:tc>
          <w:tcPr>
            <w:tcW w:w="3167" w:type="dxa"/>
            <w:vAlign w:val="center"/>
          </w:tcPr>
          <w:p w14:paraId="6CFDF601" w14:textId="090E1623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lastRenderedPageBreak/>
              <w:t>Много чести</w:t>
            </w:r>
          </w:p>
        </w:tc>
      </w:tr>
      <w:tr w:rsidR="00290B0E" w14:paraId="3FADED18" w14:textId="77777777" w:rsidTr="000F4AE9">
        <w:tc>
          <w:tcPr>
            <w:tcW w:w="3166" w:type="dxa"/>
            <w:vAlign w:val="bottom"/>
          </w:tcPr>
          <w:p w14:paraId="7C740162" w14:textId="77777777" w:rsidR="00290B0E" w:rsidRPr="00290B0E" w:rsidRDefault="00290B0E" w:rsidP="00290B0E">
            <w:pPr>
              <w:rPr>
                <w:rFonts w:cs="Arial"/>
              </w:rPr>
            </w:pPr>
          </w:p>
          <w:p w14:paraId="7EC25E25" w14:textId="09660BCC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  <w:i/>
                <w:iCs/>
              </w:rPr>
              <w:t>Психични нарушения</w:t>
            </w:r>
          </w:p>
        </w:tc>
        <w:tc>
          <w:tcPr>
            <w:tcW w:w="3167" w:type="dxa"/>
          </w:tcPr>
          <w:p w14:paraId="2ADF3E4B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Депресия</w:t>
            </w:r>
          </w:p>
          <w:p w14:paraId="51658B07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Безсъние</w:t>
            </w:r>
          </w:p>
          <w:p w14:paraId="01A2B7DE" w14:textId="3F9365D5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Намалено либидо</w:t>
            </w:r>
          </w:p>
        </w:tc>
        <w:tc>
          <w:tcPr>
            <w:tcW w:w="3167" w:type="dxa"/>
            <w:vAlign w:val="center"/>
          </w:tcPr>
          <w:p w14:paraId="5A746E07" w14:textId="14B67180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Чести</w:t>
            </w:r>
          </w:p>
        </w:tc>
      </w:tr>
      <w:tr w:rsidR="00290B0E" w14:paraId="3CE83304" w14:textId="77777777" w:rsidTr="005F3B82">
        <w:tc>
          <w:tcPr>
            <w:tcW w:w="3166" w:type="dxa"/>
            <w:vMerge w:val="restart"/>
          </w:tcPr>
          <w:p w14:paraId="0E6D7BE7" w14:textId="7DDB9BDA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  <w:i/>
                <w:iCs/>
              </w:rPr>
              <w:t>Нарушения на нервната система</w:t>
            </w:r>
          </w:p>
        </w:tc>
        <w:tc>
          <w:tcPr>
            <w:tcW w:w="3167" w:type="dxa"/>
            <w:vAlign w:val="center"/>
          </w:tcPr>
          <w:p w14:paraId="1936F9A7" w14:textId="23B95A56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Тремор</w:t>
            </w:r>
          </w:p>
        </w:tc>
        <w:tc>
          <w:tcPr>
            <w:tcW w:w="3167" w:type="dxa"/>
            <w:vAlign w:val="center"/>
          </w:tcPr>
          <w:p w14:paraId="6D144000" w14:textId="18CB58AE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Много чести</w:t>
            </w:r>
          </w:p>
        </w:tc>
      </w:tr>
      <w:tr w:rsidR="00290B0E" w14:paraId="40FDE469" w14:textId="77777777" w:rsidTr="005F3B82">
        <w:tc>
          <w:tcPr>
            <w:tcW w:w="3166" w:type="dxa"/>
            <w:vMerge/>
          </w:tcPr>
          <w:p w14:paraId="32F9F366" w14:textId="77777777" w:rsidR="00290B0E" w:rsidRPr="00290B0E" w:rsidRDefault="00290B0E" w:rsidP="00290B0E">
            <w:pPr>
              <w:rPr>
                <w:rFonts w:cs="Arial"/>
              </w:rPr>
            </w:pPr>
          </w:p>
        </w:tc>
        <w:tc>
          <w:tcPr>
            <w:tcW w:w="3167" w:type="dxa"/>
            <w:vAlign w:val="center"/>
          </w:tcPr>
          <w:p w14:paraId="4C15D0F8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Периферна невропатия</w:t>
            </w:r>
          </w:p>
          <w:p w14:paraId="7BFE980D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Атаксия</w:t>
            </w:r>
          </w:p>
          <w:p w14:paraId="711C2261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Амнезия</w:t>
            </w:r>
          </w:p>
          <w:p w14:paraId="5F5FE696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Парестезия</w:t>
            </w:r>
          </w:p>
          <w:p w14:paraId="7D1DF25D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Хипоестезия</w:t>
            </w:r>
          </w:p>
          <w:p w14:paraId="00E7CCE1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Главоболие</w:t>
            </w:r>
          </w:p>
          <w:p w14:paraId="39FB6CD1" w14:textId="57AB873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Замайване</w:t>
            </w:r>
          </w:p>
        </w:tc>
        <w:tc>
          <w:tcPr>
            <w:tcW w:w="3167" w:type="dxa"/>
            <w:vAlign w:val="center"/>
          </w:tcPr>
          <w:p w14:paraId="7D8A62D1" w14:textId="6A6F1AA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Чести</w:t>
            </w:r>
          </w:p>
        </w:tc>
      </w:tr>
      <w:tr w:rsidR="00290B0E" w14:paraId="5B8CB5A2" w14:textId="77777777" w:rsidTr="002F758C">
        <w:tc>
          <w:tcPr>
            <w:tcW w:w="3166" w:type="dxa"/>
            <w:vMerge w:val="restart"/>
          </w:tcPr>
          <w:p w14:paraId="67306CFB" w14:textId="462678BF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  <w:i/>
                <w:iCs/>
              </w:rPr>
              <w:t>Стомашно-чревни нарушения</w:t>
            </w:r>
          </w:p>
        </w:tc>
        <w:tc>
          <w:tcPr>
            <w:tcW w:w="3167" w:type="dxa"/>
            <w:vAlign w:val="center"/>
          </w:tcPr>
          <w:p w14:paraId="586624DB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Диария</w:t>
            </w:r>
          </w:p>
          <w:p w14:paraId="61A0CDA2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Флатуленция</w:t>
            </w:r>
          </w:p>
          <w:p w14:paraId="47D1B50C" w14:textId="70FDA52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Абдоминална болка</w:t>
            </w:r>
          </w:p>
        </w:tc>
        <w:tc>
          <w:tcPr>
            <w:tcW w:w="3167" w:type="dxa"/>
            <w:vAlign w:val="center"/>
          </w:tcPr>
          <w:p w14:paraId="531B5B5C" w14:textId="4DB5B92F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Много чести</w:t>
            </w:r>
          </w:p>
        </w:tc>
      </w:tr>
      <w:tr w:rsidR="00290B0E" w14:paraId="5610A800" w14:textId="77777777" w:rsidTr="002F758C">
        <w:tc>
          <w:tcPr>
            <w:tcW w:w="3166" w:type="dxa"/>
            <w:vMerge/>
          </w:tcPr>
          <w:p w14:paraId="4020E031" w14:textId="77777777" w:rsidR="00290B0E" w:rsidRPr="00290B0E" w:rsidRDefault="00290B0E" w:rsidP="00290B0E">
            <w:pPr>
              <w:rPr>
                <w:rFonts w:cs="Arial"/>
              </w:rPr>
            </w:pPr>
          </w:p>
        </w:tc>
        <w:tc>
          <w:tcPr>
            <w:tcW w:w="3167" w:type="dxa"/>
            <w:vAlign w:val="bottom"/>
          </w:tcPr>
          <w:p w14:paraId="4F8E2F31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Гадене</w:t>
            </w:r>
          </w:p>
          <w:p w14:paraId="1CB552F4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Повръщане</w:t>
            </w:r>
          </w:p>
          <w:p w14:paraId="733C208C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Раздуване/дискомфорт на корема</w:t>
            </w:r>
          </w:p>
          <w:p w14:paraId="4845978F" w14:textId="64B986C1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Обстипация Диспепсия</w:t>
            </w:r>
          </w:p>
        </w:tc>
        <w:tc>
          <w:tcPr>
            <w:tcW w:w="3167" w:type="dxa"/>
            <w:vAlign w:val="center"/>
          </w:tcPr>
          <w:p w14:paraId="30D42809" w14:textId="3C738988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Чести</w:t>
            </w:r>
          </w:p>
        </w:tc>
      </w:tr>
      <w:tr w:rsidR="00290B0E" w14:paraId="168ECD77" w14:textId="77777777" w:rsidTr="00C33234">
        <w:tc>
          <w:tcPr>
            <w:tcW w:w="3166" w:type="dxa"/>
            <w:vAlign w:val="center"/>
          </w:tcPr>
          <w:p w14:paraId="5809F3D2" w14:textId="243CF17D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  <w:i/>
                <w:iCs/>
              </w:rPr>
              <w:t>Нарушения на мускулно-скелетната система и съединителната тъкан</w:t>
            </w:r>
          </w:p>
        </w:tc>
        <w:tc>
          <w:tcPr>
            <w:tcW w:w="3167" w:type="dxa"/>
            <w:vAlign w:val="center"/>
          </w:tcPr>
          <w:p w14:paraId="3418F52D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 xml:space="preserve">Мускулни спазми </w:t>
            </w:r>
          </w:p>
          <w:p w14:paraId="10DBA7BE" w14:textId="32DF1AEE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Мускулна слабост</w:t>
            </w:r>
          </w:p>
        </w:tc>
        <w:tc>
          <w:tcPr>
            <w:tcW w:w="3167" w:type="dxa"/>
          </w:tcPr>
          <w:p w14:paraId="55BEDF71" w14:textId="63C7A1B3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Чести</w:t>
            </w:r>
          </w:p>
        </w:tc>
      </w:tr>
      <w:tr w:rsidR="00290B0E" w14:paraId="58A8EA54" w14:textId="77777777" w:rsidTr="00A65639">
        <w:trPr>
          <w:trHeight w:val="991"/>
        </w:trPr>
        <w:tc>
          <w:tcPr>
            <w:tcW w:w="3166" w:type="dxa"/>
            <w:vAlign w:val="center"/>
          </w:tcPr>
          <w:p w14:paraId="7F6D18C8" w14:textId="7C933F25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  <w:i/>
                <w:iCs/>
              </w:rPr>
              <w:t>Общи нарушения и ефекти на мястото на приложение</w:t>
            </w:r>
          </w:p>
        </w:tc>
        <w:tc>
          <w:tcPr>
            <w:tcW w:w="3167" w:type="dxa"/>
            <w:vAlign w:val="center"/>
          </w:tcPr>
          <w:p w14:paraId="37EA5698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Уморяемост</w:t>
            </w:r>
          </w:p>
          <w:p w14:paraId="2436DC41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Астения</w:t>
            </w:r>
          </w:p>
          <w:p w14:paraId="67AC5F43" w14:textId="7777777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Втрисане</w:t>
            </w:r>
          </w:p>
          <w:p w14:paraId="175CA699" w14:textId="5ACF6947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Физическо неразположение</w:t>
            </w:r>
          </w:p>
        </w:tc>
        <w:tc>
          <w:tcPr>
            <w:tcW w:w="3167" w:type="dxa"/>
          </w:tcPr>
          <w:p w14:paraId="586FEB76" w14:textId="70CAB209" w:rsidR="00290B0E" w:rsidRPr="00290B0E" w:rsidRDefault="00290B0E" w:rsidP="00290B0E">
            <w:pPr>
              <w:rPr>
                <w:rFonts w:cs="Arial"/>
                <w:smallCaps/>
              </w:rPr>
            </w:pPr>
            <w:r w:rsidRPr="00290B0E">
              <w:rPr>
                <w:rFonts w:cs="Arial"/>
              </w:rPr>
              <w:t>Чести</w:t>
            </w:r>
          </w:p>
        </w:tc>
      </w:tr>
      <w:tr w:rsidR="00290B0E" w14:paraId="07FE4097" w14:textId="77777777" w:rsidTr="00290B0E">
        <w:tc>
          <w:tcPr>
            <w:tcW w:w="3166" w:type="dxa"/>
          </w:tcPr>
          <w:p w14:paraId="53E48972" w14:textId="4F2C9752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  <w:i/>
                <w:iCs/>
              </w:rPr>
              <w:t>Изследвания</w:t>
            </w:r>
          </w:p>
        </w:tc>
        <w:tc>
          <w:tcPr>
            <w:tcW w:w="3167" w:type="dxa"/>
          </w:tcPr>
          <w:p w14:paraId="0179BE13" w14:textId="7CB5F9AE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Отклонения в изследванията на нервната проводимост</w:t>
            </w:r>
          </w:p>
        </w:tc>
        <w:tc>
          <w:tcPr>
            <w:tcW w:w="3167" w:type="dxa"/>
          </w:tcPr>
          <w:p w14:paraId="367D8258" w14:textId="6C3880B1" w:rsidR="00290B0E" w:rsidRPr="00290B0E" w:rsidRDefault="00290B0E" w:rsidP="00290B0E">
            <w:pPr>
              <w:rPr>
                <w:rFonts w:cs="Arial"/>
              </w:rPr>
            </w:pPr>
            <w:r w:rsidRPr="00290B0E">
              <w:rPr>
                <w:rFonts w:cs="Arial"/>
              </w:rPr>
              <w:t>Чести</w:t>
            </w:r>
          </w:p>
        </w:tc>
      </w:tr>
    </w:tbl>
    <w:p w14:paraId="247C16D7" w14:textId="4784FC2A" w:rsidR="006C1158" w:rsidRDefault="006C1158" w:rsidP="0091385D"/>
    <w:p w14:paraId="53CAAABA" w14:textId="210488C0" w:rsidR="006C1158" w:rsidRDefault="006C1158" w:rsidP="0091385D"/>
    <w:p w14:paraId="5A3BFCA0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u w:val="single"/>
          <w:lang w:eastAsia="bg-BG"/>
        </w:rPr>
        <w:t>Описание на избрани нежелани лекарствени реакции</w:t>
      </w:r>
    </w:p>
    <w:p w14:paraId="4A57759E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t>При 55% от пациентите е съобщено за загуба на теглото. Максимална загуба на теглото е наблюдавана след 6-ия до 12-ия месец от лечението.</w:t>
      </w:r>
    </w:p>
    <w:p w14:paraId="18481308" w14:textId="77777777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t>Миглустат е проучван при заболявания, при които някои прояви са били докладвани като нежелани лекарствени реакции, като напр. неврологични и невропсихологични симптоми/признаци, когнитивни нарушения и тромбоцитопения, които могат са се дължат също и на други, неизяснени, състояния.</w:t>
      </w:r>
    </w:p>
    <w:p w14:paraId="0E140402" w14:textId="77777777" w:rsidR="006C1158" w:rsidRPr="006C1158" w:rsidRDefault="006C1158" w:rsidP="006C11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0ECB36" w14:textId="070CB8A3" w:rsidR="006C1158" w:rsidRPr="006C1158" w:rsidRDefault="006C1158" w:rsidP="006C1158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5FEE5CC" w14:textId="09DDE68A" w:rsidR="006C1158" w:rsidRPr="00290B0E" w:rsidRDefault="006C1158" w:rsidP="00290B0E">
      <w:pPr>
        <w:spacing w:line="240" w:lineRule="auto"/>
        <w:rPr>
          <w:rFonts w:eastAsia="Times New Roman" w:cs="Arial"/>
          <w:lang w:eastAsia="bg-BG"/>
        </w:rPr>
      </w:pPr>
      <w:r w:rsidRPr="006C1158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се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Изпълнителната агенция по лекарствата, ул. „Дамян</w:t>
      </w:r>
      <w:r w:rsidR="00290B0E">
        <w:rPr>
          <w:rFonts w:eastAsia="Times New Roman" w:cs="Arial"/>
          <w:lang w:eastAsia="bg-BG"/>
        </w:rPr>
        <w:t xml:space="preserve"> </w:t>
      </w:r>
      <w:r w:rsidRPr="006C1158">
        <w:rPr>
          <w:rFonts w:eastAsia="Times New Roman" w:cs="Arial"/>
          <w:color w:val="000000"/>
          <w:lang w:eastAsia="bg-BG"/>
        </w:rPr>
        <w:t xml:space="preserve">Груев“ № 8, 1303 София, тел.: +359 2 8903417, уебсайт: </w:t>
      </w:r>
      <w:r w:rsidRPr="006C1158">
        <w:rPr>
          <w:rFonts w:eastAsia="Times New Roman" w:cs="Arial"/>
          <w:lang w:eastAsia="bg-BG"/>
        </w:rPr>
        <w:fldChar w:fldCharType="begin"/>
      </w:r>
      <w:r w:rsidRPr="006C1158">
        <w:rPr>
          <w:rFonts w:eastAsia="Times New Roman" w:cs="Arial"/>
          <w:lang w:eastAsia="bg-BG"/>
        </w:rPr>
        <w:instrText xml:space="preserve"> HYPERLINK "http://www.bda.bg" </w:instrText>
      </w:r>
      <w:r w:rsidRPr="006C1158">
        <w:rPr>
          <w:rFonts w:eastAsia="Times New Roman" w:cs="Arial"/>
          <w:lang w:eastAsia="bg-BG"/>
        </w:rPr>
      </w:r>
      <w:r w:rsidRPr="006C1158">
        <w:rPr>
          <w:rFonts w:eastAsia="Times New Roman" w:cs="Arial"/>
          <w:lang w:eastAsia="bg-BG"/>
        </w:rPr>
        <w:fldChar w:fldCharType="separate"/>
      </w:r>
      <w:r w:rsidRPr="006C1158">
        <w:rPr>
          <w:rFonts w:eastAsia="Times New Roman" w:cs="Arial"/>
          <w:color w:val="000000"/>
          <w:u w:val="single"/>
          <w:lang w:val="en-US"/>
        </w:rPr>
        <w:t>www.bda.bg</w:t>
      </w:r>
      <w:r w:rsidRPr="006C1158">
        <w:rPr>
          <w:rFonts w:eastAsia="Times New Roman" w:cs="Arial"/>
          <w:lang w:eastAsia="bg-BG"/>
        </w:rPr>
        <w:fldChar w:fldCharType="end"/>
      </w:r>
      <w:r w:rsidRPr="006C1158">
        <w:rPr>
          <w:rFonts w:eastAsia="Times New Roman" w:cs="Arial"/>
          <w:color w:val="000000"/>
          <w:u w:val="single"/>
          <w:lang w:val="en-US"/>
        </w:rPr>
        <w:t>.</w:t>
      </w:r>
    </w:p>
    <w:p w14:paraId="6A4870BE" w14:textId="77777777" w:rsidR="006C1158" w:rsidRPr="0091385D" w:rsidRDefault="006C1158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324CA6C1" w14:textId="77777777" w:rsidR="00290B0E" w:rsidRPr="00290B0E" w:rsidRDefault="00290B0E" w:rsidP="00290B0E">
      <w:pPr>
        <w:pStyle w:val="Heading3"/>
        <w:rPr>
          <w:rFonts w:eastAsia="Times New Roman"/>
          <w:sz w:val="28"/>
          <w:u w:val="single"/>
          <w:lang w:eastAsia="bg-BG"/>
        </w:rPr>
      </w:pPr>
      <w:r w:rsidRPr="00290B0E">
        <w:rPr>
          <w:rFonts w:eastAsia="Times New Roman"/>
          <w:u w:val="single"/>
          <w:lang w:eastAsia="bg-BG"/>
        </w:rPr>
        <w:t>Симптоми</w:t>
      </w:r>
    </w:p>
    <w:p w14:paraId="41A60E68" w14:textId="77777777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 xml:space="preserve">Не са установени остри симптоми при предозирането. По време на клинични изпитвания при </w:t>
      </w:r>
      <w:r w:rsidRPr="00290B0E">
        <w:rPr>
          <w:rFonts w:eastAsia="Times New Roman" w:cs="Arial"/>
          <w:color w:val="000000"/>
          <w:szCs w:val="20"/>
          <w:lang w:val="en-US"/>
        </w:rPr>
        <w:t>HIV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-позитивни пациенти, Миглустат е прилаган в дози до 3000 </w:t>
      </w:r>
      <w:r w:rsidRPr="00290B0E">
        <w:rPr>
          <w:rFonts w:eastAsia="Times New Roman" w:cs="Arial"/>
          <w:color w:val="000000"/>
          <w:szCs w:val="20"/>
          <w:lang w:val="en-US"/>
        </w:rPr>
        <w:t>mg</w:t>
      </w:r>
      <w:r w:rsidRPr="00290B0E">
        <w:rPr>
          <w:rFonts w:eastAsia="Times New Roman" w:cs="Arial"/>
          <w:color w:val="000000"/>
          <w:szCs w:val="20"/>
          <w:lang w:eastAsia="bg-BG"/>
        </w:rPr>
        <w:t>/дневно за 6 месеца.</w:t>
      </w:r>
    </w:p>
    <w:p w14:paraId="1A8392E3" w14:textId="77777777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 xml:space="preserve">Наблюдаваните нежелани лекарствени реакции включват гранулоцитопения, замайване и парестезия. При малка група пациенти, получавали 800 </w:t>
      </w:r>
      <w:r w:rsidRPr="00290B0E">
        <w:rPr>
          <w:rFonts w:eastAsia="Times New Roman" w:cs="Arial"/>
          <w:color w:val="000000"/>
          <w:szCs w:val="20"/>
          <w:lang w:val="en-US"/>
        </w:rPr>
        <w:t>mg</w:t>
      </w:r>
      <w:r w:rsidRPr="00290B0E">
        <w:rPr>
          <w:rFonts w:eastAsia="Times New Roman" w:cs="Arial"/>
          <w:color w:val="000000"/>
          <w:szCs w:val="20"/>
          <w:lang w:eastAsia="bg-BG"/>
        </w:rPr>
        <w:t>/дневно или по-висока доза, са наблюдавани левкопения и неутропения.</w:t>
      </w:r>
    </w:p>
    <w:p w14:paraId="310C46D2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4A6BF8B" w14:textId="78F38398" w:rsidR="00290B0E" w:rsidRPr="00290B0E" w:rsidRDefault="00290B0E" w:rsidP="00290B0E">
      <w:pPr>
        <w:pStyle w:val="Heading3"/>
        <w:rPr>
          <w:rFonts w:eastAsia="Times New Roman"/>
          <w:sz w:val="28"/>
          <w:u w:val="single"/>
          <w:lang w:eastAsia="bg-BG"/>
        </w:rPr>
      </w:pPr>
      <w:r w:rsidRPr="00290B0E">
        <w:rPr>
          <w:rFonts w:eastAsia="Times New Roman"/>
          <w:u w:val="single"/>
          <w:lang w:eastAsia="bg-BG"/>
        </w:rPr>
        <w:t>Лечение</w:t>
      </w:r>
    </w:p>
    <w:p w14:paraId="0F0079CB" w14:textId="4C0F105C" w:rsidR="0091385D" w:rsidRPr="00290B0E" w:rsidRDefault="00290B0E" w:rsidP="00290B0E">
      <w:pPr>
        <w:rPr>
          <w:rFonts w:cs="Arial"/>
          <w:sz w:val="24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>В случай на предозиране се препоръчват обши медицински грижи.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3AD443C3" w14:textId="77777777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>Фармакотерапевтична група: Други продукти, повлияващи храносмилателния тракт и метаболизма, АТС код: А16АХ06.</w:t>
      </w:r>
    </w:p>
    <w:p w14:paraId="6E016145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C386BA0" w14:textId="761DBDA5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u w:val="single"/>
          <w:lang w:eastAsia="bg-BG"/>
        </w:rPr>
        <w:t>Болест на Гоше тип 1</w:t>
      </w:r>
    </w:p>
    <w:p w14:paraId="6E6591DE" w14:textId="77777777" w:rsidR="00290B0E" w:rsidRPr="00290B0E" w:rsidRDefault="00290B0E" w:rsidP="00290B0E">
      <w:pPr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>Болестта на Гоше е наследствено метаболитно заболяване, предизвикано от невъзможността/неспособността за разграждане на глюкозилцерамида, което води до натрупване на това вещество в лизозомите и до често срещана патология. Миглустат е инхибитор на глюкозилцерамид синтетазата, ензимът, отговорен за първата стъпка в синтеза на повечето гликолипиди.</w:t>
      </w:r>
      <w:r w:rsidRPr="00290B0E">
        <w:rPr>
          <w:rFonts w:eastAsia="Times New Roman" w:cs="Arial"/>
          <w:i/>
          <w:iCs/>
          <w:color w:val="000000"/>
          <w:szCs w:val="20"/>
          <w:lang w:eastAsia="bg-BG"/>
        </w:rPr>
        <w:t xml:space="preserve"> </w:t>
      </w:r>
      <w:r w:rsidRPr="00290B0E">
        <w:rPr>
          <w:rFonts w:eastAsia="Times New Roman" w:cs="Arial"/>
          <w:i/>
          <w:iCs/>
          <w:color w:val="000000"/>
          <w:szCs w:val="20"/>
          <w:lang w:val="en-US"/>
        </w:rPr>
        <w:t>I</w:t>
      </w:r>
      <w:r w:rsidRPr="00290B0E">
        <w:rPr>
          <w:rFonts w:eastAsia="Times New Roman" w:cs="Arial"/>
          <w:i/>
          <w:iCs/>
          <w:color w:val="000000"/>
          <w:szCs w:val="20"/>
          <w:lang w:eastAsia="bg-BG"/>
        </w:rPr>
        <w:t xml:space="preserve">п </w:t>
      </w:r>
      <w:r w:rsidRPr="00290B0E">
        <w:rPr>
          <w:rFonts w:eastAsia="Times New Roman" w:cs="Arial"/>
          <w:i/>
          <w:iCs/>
          <w:color w:val="000000"/>
          <w:szCs w:val="20"/>
          <w:lang w:val="en-US"/>
        </w:rPr>
        <w:t>vitro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глюкозилцерамид синтетазата се инхибира от миглустат с </w:t>
      </w:r>
      <w:r w:rsidRPr="00290B0E">
        <w:rPr>
          <w:rFonts w:eastAsia="Times New Roman" w:cs="Arial"/>
          <w:color w:val="000000"/>
          <w:szCs w:val="20"/>
          <w:lang w:val="en-US"/>
        </w:rPr>
        <w:t>IC</w:t>
      </w:r>
      <w:r w:rsidRPr="00290B0E">
        <w:rPr>
          <w:rFonts w:eastAsia="Times New Roman" w:cs="Arial"/>
          <w:color w:val="000000"/>
          <w:szCs w:val="20"/>
          <w:vertAlign w:val="subscript"/>
          <w:lang w:val="en-US"/>
        </w:rPr>
        <w:t>50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 20-37 μМ. Освен това, инхибиторно действие върху нелизозомната глюкозилцерамидаза е доказано експериментално </w:t>
      </w:r>
      <w:r w:rsidRPr="00290B0E">
        <w:rPr>
          <w:rFonts w:eastAsia="Times New Roman" w:cs="Arial"/>
          <w:i/>
          <w:iCs/>
          <w:color w:val="000000"/>
          <w:szCs w:val="20"/>
          <w:lang w:val="en-US"/>
        </w:rPr>
        <w:t>in vitro.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290B0E">
        <w:rPr>
          <w:rFonts w:eastAsia="Times New Roman" w:cs="Arial"/>
          <w:color w:val="000000"/>
          <w:szCs w:val="20"/>
          <w:lang w:eastAsia="bg-BG"/>
        </w:rPr>
        <w:t>Инхибиторното действие върху глюкозилцерамид синтетазата дава обосновка за терапията за субстратна редукция при болестта на Гоше.</w:t>
      </w:r>
    </w:p>
    <w:p w14:paraId="0E939B79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999E33D" w14:textId="128EE27D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>Основното клинично изпитване на миглустат е проведено при пациенти, неспособни или отказващи да получат ЕЗТ. Причините за невъзможост да се приложи ЕЗТ включват натоварване с интравенозни инфузии и затруднен венозен достъп . 28 пациенти с лека до средна по тежест форма на болест на Гоше тип 1 са били включени в това 12-месечно несравнително проучване, като 22 пациенти са завършили проучването.</w:t>
      </w:r>
    </w:p>
    <w:p w14:paraId="184E32FE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FAF8316" w14:textId="4FC01E10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 xml:space="preserve">На 12-ия месец е установено средно намаляване на обема на черния дроб с 12,1% и средно намаляване на обема на слезката с 19,0%. Установено е средно увеличение на концентрацията на хемоглобина от 0,26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g/dl </w:t>
      </w:r>
      <w:r w:rsidRPr="00290B0E">
        <w:rPr>
          <w:rFonts w:eastAsia="Times New Roman" w:cs="Arial"/>
          <w:color w:val="000000"/>
          <w:szCs w:val="20"/>
          <w:lang w:eastAsia="bg-BG"/>
        </w:rPr>
        <w:t>и средно увеличение на броя на тромбоцитите от 8,29 х 10</w:t>
      </w:r>
      <w:r w:rsidRPr="00290B0E">
        <w:rPr>
          <w:rFonts w:eastAsia="Times New Roman" w:cs="Arial"/>
          <w:color w:val="000000"/>
          <w:szCs w:val="20"/>
          <w:vertAlign w:val="superscript"/>
          <w:lang w:eastAsia="bg-BG"/>
        </w:rPr>
        <w:t>9</w:t>
      </w:r>
      <w:r w:rsidRPr="00290B0E">
        <w:rPr>
          <w:rFonts w:eastAsia="Times New Roman" w:cs="Arial"/>
          <w:color w:val="000000"/>
          <w:szCs w:val="20"/>
          <w:lang w:eastAsia="bg-BG"/>
        </w:rPr>
        <w:t>/</w:t>
      </w:r>
      <w:r w:rsidRPr="00290B0E">
        <w:rPr>
          <w:rFonts w:eastAsia="Times New Roman" w:cs="Arial"/>
          <w:color w:val="000000"/>
          <w:szCs w:val="20"/>
          <w:lang w:val="en-US"/>
        </w:rPr>
        <w:t>l</w:t>
      </w:r>
      <w:r w:rsidRPr="00290B0E">
        <w:rPr>
          <w:rFonts w:eastAsia="Times New Roman" w:cs="Arial"/>
          <w:color w:val="000000"/>
          <w:szCs w:val="20"/>
          <w:lang w:eastAsia="bg-BG"/>
        </w:rPr>
        <w:t>. След това 18 пациенти продължават да получават миглустат според опционален протокол за удължено лечение. Клиничната полза при 13 пациенти е оценена на 24-тия и 36-тия месец. След тригодишно непрекъснато лечение с миглустат, средното намаление на обема на черния дроб и слезката е съответно 17,5% и 29,6%. Установено е средно увеличение от 22,2 х 10</w:t>
      </w:r>
      <w:r w:rsidRPr="00290B0E">
        <w:rPr>
          <w:rFonts w:eastAsia="Times New Roman" w:cs="Arial"/>
          <w:color w:val="000000"/>
          <w:szCs w:val="20"/>
          <w:vertAlign w:val="superscript"/>
          <w:lang w:eastAsia="bg-BG"/>
        </w:rPr>
        <w:t>9</w:t>
      </w:r>
      <w:r w:rsidRPr="00290B0E">
        <w:rPr>
          <w:rFonts w:eastAsia="Times New Roman" w:cs="Arial"/>
          <w:color w:val="000000"/>
          <w:szCs w:val="20"/>
          <w:lang w:eastAsia="bg-BG"/>
        </w:rPr>
        <w:t>/</w:t>
      </w:r>
      <w:r w:rsidRPr="00290B0E">
        <w:rPr>
          <w:rFonts w:eastAsia="Times New Roman" w:cs="Arial"/>
          <w:color w:val="000000"/>
          <w:szCs w:val="20"/>
          <w:lang w:val="en-US"/>
        </w:rPr>
        <w:t>l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 на броя на тромбоцитите и средно увеличение от 0,95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g/dl </w:t>
      </w:r>
      <w:r w:rsidRPr="00290B0E">
        <w:rPr>
          <w:rFonts w:eastAsia="Times New Roman" w:cs="Arial"/>
          <w:color w:val="000000"/>
          <w:szCs w:val="20"/>
          <w:lang w:eastAsia="bg-BG"/>
        </w:rPr>
        <w:t>в концентрацията на хемоглобина.</w:t>
      </w:r>
    </w:p>
    <w:p w14:paraId="248B0889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B44BA5B" w14:textId="0B06F253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>Проведено е второ, открито, контролирано проучване. Рандомизирани са 36 пациенти, които са получавали минимум 2 години ЕЗТ, разделени на три групи: продължаване на лечението с имиглуцераза, имиглуцераза в комбинация с миглустат или преминаване изцяло на миглустат. Това проучване е проведено за период от 6 месеца на рандомизирано сравнение, последван от 18 месеца период на продължение, през който всички пациенти получават миглустат като монотерапия. През първите 6 месеца при пациентите, преминали на миглуста, обемът на черния дроб и слезката, както и нивото на хемоглобина, остават непроменени. При някои пациенти е наблюдавано намаление на броя на тромбоцитите и увеличение на хитотриозидазната активност, което показва, че монотерапията с миглустат не може да поддържа еднакъв контрол на активността на болестта при всички пациенти. В периода на продължение участват 29 пациенти. При сравнение с измерванията на 6-ия месец, контролът на заболяването не се променя след 18 и 24 месеца монотерапия с миглустат (съответно 20 и 6 пациенти). Нито един пациент не е показал бързо влошаване на болестта на Гоше тип 1 след преминаване на монотерапия с миглустат.</w:t>
      </w:r>
    </w:p>
    <w:p w14:paraId="357CFCB8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6AE2D52" w14:textId="04D333F5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 xml:space="preserve">При горните две проучвания е прилагана обща дневна доза от 300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миглустат, разделена на три приема. Допълнително проучване на монотерапия е проведено при 18 пациенти с обща дневна доза от 150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mg,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като резултатите показват намалена ефикасност в сравнение с общата дневна доза от 300 </w:t>
      </w:r>
      <w:r w:rsidRPr="00290B0E">
        <w:rPr>
          <w:rFonts w:eastAsia="Times New Roman" w:cs="Arial"/>
          <w:color w:val="000000"/>
          <w:szCs w:val="20"/>
          <w:lang w:val="en-US"/>
        </w:rPr>
        <w:t>mg.</w:t>
      </w:r>
    </w:p>
    <w:p w14:paraId="423D010C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30D6ACC" w14:textId="16F7F9F6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 xml:space="preserve">Отворено, несравнително, 2-годишно проучване е включило 42 пациенти с тип 1 болест на Гоше, които са получили ЕЗТ в продължение на най-малко 3 години и са покрили критериите за стабилна болест в продължение на най-малко 2 години. Пациентите са били прехвърлени на монотерапия с миглустат 100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три пъти дневно. Обемът на черния дроб (като първичен показател за ефикасност) е бил непроменен от изходното ниво до края на лечението. Лечението с миглустат е прекратено преждевременно при 6 пациенти, поради потенциално влошаване на болестта, както е дефинирано в проучването. При 13 пациенти лечението е прекратено поради нежелано събитие. Наблюдавано е незначително средно намаляване на хемоглобина [-0,95 </w:t>
      </w:r>
      <w:r w:rsidRPr="00290B0E">
        <w:rPr>
          <w:rFonts w:eastAsia="Times New Roman" w:cs="Arial"/>
          <w:color w:val="000000"/>
          <w:szCs w:val="20"/>
          <w:lang w:val="en-US"/>
        </w:rPr>
        <w:t>g/</w:t>
      </w:r>
      <w:proofErr w:type="spellStart"/>
      <w:r w:rsidRPr="00290B0E">
        <w:rPr>
          <w:rFonts w:eastAsia="Times New Roman" w:cs="Arial"/>
          <w:color w:val="000000"/>
          <w:szCs w:val="20"/>
          <w:lang w:val="en-US"/>
        </w:rPr>
        <w:t>dL</w:t>
      </w:r>
      <w:proofErr w:type="spellEnd"/>
      <w:r w:rsidRPr="00290B0E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(95%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CI: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-1,38, -0,53)] и на броя на тромбоцитите [-44.1 х </w:t>
      </w:r>
      <w:r w:rsidRPr="00290B0E">
        <w:rPr>
          <w:rFonts w:eastAsia="Times New Roman" w:cs="Arial"/>
          <w:color w:val="000000"/>
          <w:szCs w:val="20"/>
          <w:lang w:val="en-US"/>
        </w:rPr>
        <w:t>10</w:t>
      </w:r>
      <w:r w:rsidRPr="00290B0E">
        <w:rPr>
          <w:rFonts w:eastAsia="Times New Roman" w:cs="Arial"/>
          <w:color w:val="000000"/>
          <w:szCs w:val="20"/>
          <w:vertAlign w:val="superscript"/>
          <w:lang w:val="en-US"/>
        </w:rPr>
        <w:t>9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/L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(95%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CI: </w:t>
      </w:r>
      <w:r w:rsidRPr="00290B0E">
        <w:rPr>
          <w:rFonts w:eastAsia="Times New Roman" w:cs="Arial"/>
          <w:color w:val="000000"/>
          <w:szCs w:val="20"/>
          <w:lang w:eastAsia="bg-BG"/>
        </w:rPr>
        <w:t>-57,6, -30,7)] между изходното ниво и края на лечението. 21 пациенти са завършили 24 месеца на лечение с миглустат. От тези пациенти, 18 на изходното ниво са били в рамките на установени терапевтични цели за обем на черния дроб и слезката, нива на хемоглобина и брой на тромбоцитите, като 16 пациенти са останали в тези терапевтични цели на 24-ия месец.</w:t>
      </w:r>
    </w:p>
    <w:p w14:paraId="30101C37" w14:textId="77777777" w:rsidR="00290B0E" w:rsidRPr="00290B0E" w:rsidRDefault="00290B0E" w:rsidP="00290B0E">
      <w:pPr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 xml:space="preserve">Костните прояви на болестта на Гоше тип 1 са били оценени в 3 открити клинични проучвания. при пациенти, лекувани с миглустат 100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290B0E">
        <w:rPr>
          <w:rFonts w:eastAsia="Times New Roman" w:cs="Arial"/>
          <w:color w:val="000000"/>
          <w:szCs w:val="20"/>
          <w:lang w:eastAsia="bg-BG"/>
        </w:rPr>
        <w:t>3 пъти дневно за период до 2 години (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n=72). </w:t>
      </w:r>
      <w:r>
        <w:rPr>
          <w:rFonts w:eastAsia="Times New Roman" w:cs="Arial"/>
          <w:color w:val="000000"/>
          <w:szCs w:val="20"/>
          <w:lang w:eastAsia="bg-BG"/>
        </w:rPr>
        <w:t xml:space="preserve">При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сборен анализ на неконтролирани данни, </w:t>
      </w:r>
      <w:r w:rsidRPr="00290B0E">
        <w:rPr>
          <w:rFonts w:eastAsia="Times New Roman" w:cs="Arial"/>
          <w:color w:val="000000"/>
          <w:szCs w:val="20"/>
          <w:lang w:val="en-US"/>
        </w:rPr>
        <w:t>Z</w:t>
      </w:r>
      <w:r w:rsidRPr="00290B0E">
        <w:rPr>
          <w:rFonts w:eastAsia="Times New Roman" w:cs="Arial"/>
          <w:color w:val="000000"/>
          <w:szCs w:val="20"/>
          <w:lang w:eastAsia="bg-BG"/>
        </w:rPr>
        <w:t>-скоровете на костната минерална плътност на  лумбален прешлен и шийка на бедрената кост се увеличават с повече от 0,1 единица в</w:t>
      </w:r>
      <w:r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290B0E">
        <w:rPr>
          <w:rFonts w:eastAsia="Times New Roman" w:cs="Arial"/>
          <w:color w:val="000000"/>
          <w:szCs w:val="20"/>
          <w:lang w:eastAsia="bg-BG"/>
        </w:rPr>
        <w:t>сравнение с изходните стойности при 27 (57%) и 28 (65%) от пациентите с лонгитудинални измервания на костната плътност. Не са наблюдавани събития на костна криза, аваскуларна некроза или фрактура по време на периода на лечение.</w:t>
      </w:r>
    </w:p>
    <w:p w14:paraId="213E9D35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5173FEC" w14:textId="5C4D6C3F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u w:val="single"/>
          <w:lang w:eastAsia="bg-BG"/>
        </w:rPr>
        <w:t>Болест на Ниман-Пик тип С</w:t>
      </w:r>
    </w:p>
    <w:p w14:paraId="7AADBE1C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CEE18B7" w14:textId="77777777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 xml:space="preserve">Болест на Ниман-Пик тип С е много рядко, неизменно прогресиращо и евентуално фатално невродегенеративно заболяване, характеризиращо се с нарушен вътреклетъчен </w:t>
      </w:r>
      <w:r w:rsidRPr="00290B0E">
        <w:rPr>
          <w:rFonts w:eastAsia="Times New Roman" w:cs="Arial"/>
          <w:color w:val="000000"/>
          <w:szCs w:val="20"/>
          <w:lang w:eastAsia="bg-BG"/>
        </w:rPr>
        <w:lastRenderedPageBreak/>
        <w:t>транспорт на липиди. Неврологичните прояви се считат за вторични на абнормното натрупване на гликосфинголипиди в невроните и глиалните клетки.</w:t>
      </w:r>
    </w:p>
    <w:p w14:paraId="53E5253A" w14:textId="77777777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</w:p>
    <w:p w14:paraId="3F8B5498" w14:textId="7536D70E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 xml:space="preserve">Данните в подкрепа на безопасността и ефикасността на миглустат при болест на Ниман-Пик тип С произхождат от проспективно отворено клинично изпитване и ретроспективно обзорно проучване. Клиничното изпитване включва 29 възрастни пациенти и юноши за 12-месечен контролиран период, последван от удължена терапия със средна обща продължителност 3,9 години и до 5,6 години. Като допълнение 12 педиатрични пациенти са включени в неконтролирано подпроучване със средна обща продължителност 3,1 години и до 4,4 години. От 41 пациенти, включени в изпитването, 14 пациенти са лекувани с миглустат в продължение на повече от 3 години. Обзорното проучване включва серия случаи на 66 пациенти лекувани с миглустат извън клиничното проучване със средна продължителност 1,5 години. Двата пакета данни включват деца, юноши и възрастни пациенти с възрастов интервал от 1 година до 43 години. Обичайната доза миглустат при възрастните пациенти е 200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290B0E">
        <w:rPr>
          <w:rFonts w:eastAsia="Times New Roman" w:cs="Arial"/>
          <w:color w:val="000000"/>
          <w:szCs w:val="20"/>
          <w:lang w:eastAsia="bg-BG"/>
        </w:rPr>
        <w:t>три пъти дневно и е коригирана спрямо телесната повърхност при педиатричните пациенти.</w:t>
      </w:r>
    </w:p>
    <w:p w14:paraId="4499D356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F3913E6" w14:textId="5EA3950C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>Като цяло, данните сочат, че лечението с миглустат може да намали прогресията на клинично значимите неврологични симптоми при пациенти с болест на Ниман-Пик тип С.</w:t>
      </w:r>
    </w:p>
    <w:p w14:paraId="2357EE76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8252AA0" w14:textId="1642FFB1" w:rsidR="0091385D" w:rsidRPr="00290B0E" w:rsidRDefault="00290B0E" w:rsidP="00290B0E">
      <w:pPr>
        <w:spacing w:line="240" w:lineRule="auto"/>
        <w:rPr>
          <w:rFonts w:eastAsia="Times New Roman" w:cs="Arial"/>
          <w:sz w:val="32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>Ползата от лечението с миглустат на неврологичните прояви при пациенти с болест на Ниман- Пик тип С трябва да се оценява редовно, например на всеки 6 месеца. Продължителността на лечението трябва да се оцени отново най-малко след 1 година лечение с миглустат (вж. точка 4.4).</w:t>
      </w:r>
    </w:p>
    <w:p w14:paraId="36152471" w14:textId="77777777" w:rsidR="0091385D" w:rsidRPr="0091385D" w:rsidRDefault="0091385D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7B99A355" w14:textId="77777777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 xml:space="preserve">Фармакокинетичните параметри на миглустат са оценени при здрави хора и при малък брой пациенти с болест на Гоше тип 1, болестта на </w:t>
      </w:r>
      <w:proofErr w:type="spellStart"/>
      <w:r w:rsidRPr="00290B0E">
        <w:rPr>
          <w:rFonts w:eastAsia="Times New Roman" w:cs="Arial"/>
          <w:color w:val="000000"/>
          <w:szCs w:val="20"/>
          <w:lang w:val="en-US"/>
        </w:rPr>
        <w:t>Fabry</w:t>
      </w:r>
      <w:proofErr w:type="spellEnd"/>
      <w:r w:rsidRPr="00290B0E">
        <w:rPr>
          <w:rFonts w:eastAsia="Times New Roman" w:cs="Arial"/>
          <w:color w:val="000000"/>
          <w:szCs w:val="20"/>
          <w:lang w:val="en-US"/>
        </w:rPr>
        <w:t xml:space="preserve">,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инфектирани с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HIV </w:t>
      </w:r>
      <w:r w:rsidRPr="00290B0E">
        <w:rPr>
          <w:rFonts w:eastAsia="Times New Roman" w:cs="Arial"/>
          <w:color w:val="000000"/>
          <w:szCs w:val="20"/>
          <w:lang w:eastAsia="bg-BG"/>
        </w:rPr>
        <w:t>пациенти и при възрастни, юноши и деца с болест на Ниман-Пик тип С или тип 3 на болестта на Гоше.</w:t>
      </w:r>
    </w:p>
    <w:p w14:paraId="29957335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01BF714" w14:textId="436C3762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>Кинетиката на миглустат изглежда е линейна и дозозависима, а не зависи от времето. При здрави хора миглустат се абсорбира бързо. Максимални плазмени концентрации се достигат около два часа сред приемането на дозата. Не е установена абсолютната бионаличност.</w:t>
      </w:r>
    </w:p>
    <w:p w14:paraId="5BE29634" w14:textId="77777777" w:rsidR="00290B0E" w:rsidRPr="00290B0E" w:rsidRDefault="00290B0E" w:rsidP="00290B0E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>Едновременното приемане на храна намалява степента на абсорбция (С</w:t>
      </w:r>
      <w:r w:rsidRPr="00290B0E">
        <w:rPr>
          <w:rFonts w:eastAsia="Times New Roman" w:cs="Arial"/>
          <w:color w:val="000000"/>
          <w:szCs w:val="20"/>
          <w:vertAlign w:val="subscript"/>
          <w:lang w:val="en-US"/>
        </w:rPr>
        <w:t>max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 намалява с 36% и </w:t>
      </w:r>
      <w:proofErr w:type="spellStart"/>
      <w:r w:rsidRPr="00290B0E">
        <w:rPr>
          <w:rFonts w:eastAsia="Times New Roman" w:cs="Arial"/>
          <w:color w:val="000000"/>
          <w:szCs w:val="20"/>
          <w:lang w:val="en-US"/>
        </w:rPr>
        <w:t>t</w:t>
      </w:r>
      <w:r w:rsidRPr="00290B0E">
        <w:rPr>
          <w:rFonts w:eastAsia="Times New Roman" w:cs="Arial"/>
          <w:color w:val="000000"/>
          <w:szCs w:val="20"/>
          <w:vertAlign w:val="subscript"/>
          <w:lang w:val="en-US"/>
        </w:rPr>
        <w:t>max</w:t>
      </w:r>
      <w:proofErr w:type="spellEnd"/>
      <w:r w:rsidRPr="00290B0E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се забавя с 2 часа), но няма статистически значим ефект върху степента на абсорбция на миглустат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(AUC </w:t>
      </w:r>
      <w:r w:rsidRPr="00290B0E">
        <w:rPr>
          <w:rFonts w:eastAsia="Times New Roman" w:cs="Arial"/>
          <w:color w:val="000000"/>
          <w:szCs w:val="20"/>
          <w:lang w:eastAsia="bg-BG"/>
        </w:rPr>
        <w:t>намалява с 14%).</w:t>
      </w:r>
    </w:p>
    <w:p w14:paraId="205DA413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48BA3FC" w14:textId="69271414" w:rsidR="0091385D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290B0E">
        <w:rPr>
          <w:rFonts w:eastAsia="Times New Roman" w:cs="Arial"/>
          <w:color w:val="000000"/>
          <w:szCs w:val="20"/>
          <w:lang w:eastAsia="bg-BG"/>
        </w:rPr>
        <w:t>Привидният обем на разпределение на миглустат е 83 1. Миглустат не се свързва с плазмените протеини. Миглустат се елиминира главно чрез ренална екскреция, с възстановяване в урината на непроменено лекарство, отговарящо на 70-80% от дозата. Привидният перорален клирънс</w:t>
      </w:r>
      <w:r>
        <w:rPr>
          <w:rFonts w:eastAsia="Times New Roman" w:cs="Arial"/>
          <w:sz w:val="28"/>
          <w:szCs w:val="24"/>
          <w:lang w:eastAsia="bg-BG"/>
        </w:rPr>
        <w:t xml:space="preserve">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(CL/F) </w:t>
      </w:r>
      <w:r w:rsidRPr="00290B0E">
        <w:rPr>
          <w:rFonts w:eastAsia="Times New Roman" w:cs="Arial"/>
          <w:color w:val="000000"/>
          <w:szCs w:val="20"/>
          <w:lang w:eastAsia="bg-BG"/>
        </w:rPr>
        <w:t xml:space="preserve">е 230 ± 39 </w:t>
      </w:r>
      <w:r w:rsidRPr="00290B0E">
        <w:rPr>
          <w:rFonts w:eastAsia="Times New Roman" w:cs="Arial"/>
          <w:color w:val="000000"/>
          <w:szCs w:val="20"/>
          <w:lang w:val="en-US"/>
        </w:rPr>
        <w:t xml:space="preserve">ml/min. </w:t>
      </w:r>
      <w:r w:rsidRPr="00290B0E">
        <w:rPr>
          <w:rFonts w:eastAsia="Times New Roman" w:cs="Arial"/>
          <w:color w:val="000000"/>
          <w:szCs w:val="20"/>
          <w:lang w:eastAsia="bg-BG"/>
        </w:rPr>
        <w:t>Средният полуживот е 6-7 часа.</w:t>
      </w:r>
    </w:p>
    <w:p w14:paraId="1B3A3F6D" w14:textId="249FEB40" w:rsidR="00290B0E" w:rsidRDefault="00290B0E" w:rsidP="00290B0E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8C2CBD2" w14:textId="77777777" w:rsidR="00290B0E" w:rsidRPr="00290B0E" w:rsidRDefault="00290B0E" w:rsidP="00290B0E">
      <w:pPr>
        <w:spacing w:line="240" w:lineRule="auto"/>
        <w:rPr>
          <w:rFonts w:eastAsia="Times New Roman" w:cs="Arial"/>
          <w:lang w:eastAsia="bg-BG"/>
        </w:rPr>
      </w:pPr>
      <w:r w:rsidRPr="00290B0E">
        <w:rPr>
          <w:rFonts w:eastAsia="Times New Roman" w:cs="Arial"/>
          <w:color w:val="000000"/>
          <w:lang w:eastAsia="bg-BG"/>
        </w:rPr>
        <w:t xml:space="preserve">След прилагане на еднократна доза от 100 </w:t>
      </w:r>
      <w:r w:rsidRPr="00290B0E">
        <w:rPr>
          <w:rFonts w:eastAsia="Times New Roman" w:cs="Arial"/>
          <w:color w:val="000000"/>
          <w:lang w:val="en-US"/>
        </w:rPr>
        <w:t xml:space="preserve">mg </w:t>
      </w:r>
      <w:r w:rsidRPr="00290B0E">
        <w:rPr>
          <w:rFonts w:eastAsia="Times New Roman" w:cs="Arial"/>
          <w:color w:val="000000"/>
          <w:vertAlign w:val="superscript"/>
          <w:lang w:eastAsia="bg-BG"/>
        </w:rPr>
        <w:t>14</w:t>
      </w:r>
      <w:r w:rsidRPr="00290B0E">
        <w:rPr>
          <w:rFonts w:eastAsia="Times New Roman" w:cs="Arial"/>
          <w:color w:val="000000"/>
          <w:lang w:eastAsia="bg-BG"/>
        </w:rPr>
        <w:t xml:space="preserve">С-миглустат при здрави доброволци, 83% от радиоактивността е възстановена в урината и 12% във фекалиите. Няколко метаболита са установени в урината и фекалиите. Преобладаващият метаболит в урината е миглустат глюкуронид, който отговаря на 5% от дозата. Терминалният полуживот на радиоактивността в плазмата е 150 часа, което предполага наличието на </w:t>
      </w:r>
      <w:r w:rsidRPr="00290B0E">
        <w:rPr>
          <w:rFonts w:eastAsia="Times New Roman" w:cs="Arial"/>
          <w:color w:val="000000"/>
          <w:lang w:eastAsia="bg-BG"/>
        </w:rPr>
        <w:lastRenderedPageBreak/>
        <w:t>един или повече метаболити с много дълъг полуживот. Метаболитът, отговорен за това, не е идентифициран, но може да кумулира и да достигне концентрации, надвишаващи тези на миглустат в стационарно състояние.</w:t>
      </w:r>
    </w:p>
    <w:p w14:paraId="4F18C532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1224E8" w14:textId="4DE11613" w:rsidR="00290B0E" w:rsidRPr="00290B0E" w:rsidRDefault="00290B0E" w:rsidP="00290B0E">
      <w:pPr>
        <w:spacing w:line="240" w:lineRule="auto"/>
        <w:rPr>
          <w:rFonts w:eastAsia="Times New Roman" w:cs="Arial"/>
          <w:lang w:eastAsia="bg-BG"/>
        </w:rPr>
      </w:pPr>
      <w:r w:rsidRPr="00290B0E">
        <w:rPr>
          <w:rFonts w:eastAsia="Times New Roman" w:cs="Arial"/>
          <w:color w:val="000000"/>
          <w:lang w:eastAsia="bg-BG"/>
        </w:rPr>
        <w:t>Фармакокинетиката на миглустат е подобна при възрастни пациенти с болест на Гоше тип 1 и болест на Ниман-Пик тип С, сравнена с тази, при здрави хора.</w:t>
      </w:r>
    </w:p>
    <w:p w14:paraId="578C8434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1ECE84" w14:textId="0451F765" w:rsidR="00290B0E" w:rsidRPr="00232C5D" w:rsidRDefault="00290B0E" w:rsidP="00232C5D">
      <w:pPr>
        <w:pStyle w:val="Heading3"/>
        <w:rPr>
          <w:rFonts w:eastAsia="Times New Roman"/>
          <w:u w:val="single"/>
          <w:lang w:eastAsia="bg-BG"/>
        </w:rPr>
      </w:pPr>
      <w:bookmarkStart w:id="1" w:name="_GoBack"/>
      <w:r w:rsidRPr="00232C5D">
        <w:rPr>
          <w:rFonts w:eastAsia="Times New Roman"/>
          <w:u w:val="single"/>
          <w:lang w:eastAsia="bg-BG"/>
        </w:rPr>
        <w:t>Педиатрична популация</w:t>
      </w:r>
    </w:p>
    <w:bookmarkEnd w:id="1"/>
    <w:p w14:paraId="73E59011" w14:textId="77777777" w:rsidR="00290B0E" w:rsidRPr="00290B0E" w:rsidRDefault="00290B0E" w:rsidP="00290B0E">
      <w:pPr>
        <w:spacing w:line="240" w:lineRule="auto"/>
        <w:rPr>
          <w:rFonts w:eastAsia="Times New Roman" w:cs="Arial"/>
          <w:lang w:eastAsia="bg-BG"/>
        </w:rPr>
      </w:pPr>
      <w:r w:rsidRPr="00290B0E">
        <w:rPr>
          <w:rFonts w:eastAsia="Times New Roman" w:cs="Arial"/>
          <w:color w:val="000000"/>
          <w:lang w:eastAsia="bg-BG"/>
        </w:rPr>
        <w:t xml:space="preserve">Фармакокинетични данни са получени при педиатрични пациенти с болестта на Гоше тип 3 на възраст от 3 до 15 години и пациенти с болест на Ниман-Пик тип С на възраст 5-16 години. При деца доза от 200 </w:t>
      </w:r>
      <w:r w:rsidRPr="00290B0E">
        <w:rPr>
          <w:rFonts w:eastAsia="Times New Roman" w:cs="Arial"/>
          <w:color w:val="000000"/>
          <w:lang w:val="en-US"/>
        </w:rPr>
        <w:t xml:space="preserve">mg, </w:t>
      </w:r>
      <w:r w:rsidRPr="00290B0E">
        <w:rPr>
          <w:rFonts w:eastAsia="Times New Roman" w:cs="Arial"/>
          <w:color w:val="000000"/>
          <w:lang w:eastAsia="bg-BG"/>
        </w:rPr>
        <w:t>приложена три пъти дневно, адаптирана спрямо телесната повърхност, води до стойности на С</w:t>
      </w:r>
      <w:r w:rsidRPr="00290B0E">
        <w:rPr>
          <w:rFonts w:eastAsia="Times New Roman" w:cs="Arial"/>
          <w:color w:val="000000"/>
          <w:lang w:val="en-US"/>
        </w:rPr>
        <w:t>max</w:t>
      </w:r>
      <w:r w:rsidRPr="00290B0E">
        <w:rPr>
          <w:rFonts w:eastAsia="Times New Roman" w:cs="Arial"/>
          <w:color w:val="000000"/>
          <w:lang w:eastAsia="bg-BG"/>
        </w:rPr>
        <w:t xml:space="preserve"> и </w:t>
      </w:r>
      <w:r w:rsidRPr="00290B0E">
        <w:rPr>
          <w:rFonts w:eastAsia="Times New Roman" w:cs="Arial"/>
          <w:color w:val="000000"/>
          <w:lang w:val="en-US"/>
        </w:rPr>
        <w:t>AUC</w:t>
      </w:r>
      <w:r w:rsidRPr="00290B0E">
        <w:rPr>
          <w:rFonts w:eastAsia="Times New Roman" w:cs="Arial"/>
          <w:smallCaps/>
          <w:color w:val="000000"/>
          <w:lang w:eastAsia="bg-BG"/>
        </w:rPr>
        <w:t>τ</w:t>
      </w:r>
      <w:r w:rsidRPr="00290B0E">
        <w:rPr>
          <w:rFonts w:eastAsia="Times New Roman" w:cs="Arial"/>
          <w:smallCaps/>
          <w:color w:val="000000"/>
          <w:lang w:val="en-US"/>
        </w:rPr>
        <w:t>,</w:t>
      </w:r>
      <w:r w:rsidRPr="00290B0E">
        <w:rPr>
          <w:rFonts w:eastAsia="Times New Roman" w:cs="Arial"/>
          <w:color w:val="000000"/>
          <w:lang w:val="en-US"/>
        </w:rPr>
        <w:t xml:space="preserve"> </w:t>
      </w:r>
      <w:r w:rsidRPr="00290B0E">
        <w:rPr>
          <w:rFonts w:eastAsia="Times New Roman" w:cs="Arial"/>
          <w:color w:val="000000"/>
          <w:lang w:eastAsia="bg-BG"/>
        </w:rPr>
        <w:t xml:space="preserve">приблизително два пъти по-високи от тези, достигнати след 100 </w:t>
      </w:r>
      <w:r w:rsidRPr="00290B0E">
        <w:rPr>
          <w:rFonts w:eastAsia="Times New Roman" w:cs="Arial"/>
          <w:color w:val="000000"/>
          <w:lang w:val="en-US"/>
        </w:rPr>
        <w:t xml:space="preserve">mg </w:t>
      </w:r>
      <w:r w:rsidRPr="00290B0E">
        <w:rPr>
          <w:rFonts w:eastAsia="Times New Roman" w:cs="Arial"/>
          <w:color w:val="000000"/>
          <w:lang w:eastAsia="bg-BG"/>
        </w:rPr>
        <w:t>три пъти дневно при пациенти с болестта на Гоше тип 1, което отговаря на линейната фармакокинетика на миглустат. В стационарно състояние концентрацията на миглустат в цереброспиналната течност при шестима пациенти с болестта на Гоше тип 3 е 31,4-67,2% от тази в плазмата.</w:t>
      </w:r>
    </w:p>
    <w:p w14:paraId="7ADEB78C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D4CE97" w14:textId="44B8A6AB" w:rsidR="00290B0E" w:rsidRPr="00290B0E" w:rsidRDefault="00290B0E" w:rsidP="00290B0E">
      <w:pPr>
        <w:spacing w:line="240" w:lineRule="auto"/>
        <w:rPr>
          <w:rFonts w:eastAsia="Times New Roman" w:cs="Arial"/>
          <w:lang w:eastAsia="bg-BG"/>
        </w:rPr>
      </w:pPr>
      <w:r w:rsidRPr="00290B0E">
        <w:rPr>
          <w:rFonts w:eastAsia="Times New Roman" w:cs="Arial"/>
          <w:color w:val="000000"/>
          <w:lang w:eastAsia="bg-BG"/>
        </w:rPr>
        <w:t xml:space="preserve">Ограничени данни при пациенти с болестта на </w:t>
      </w:r>
      <w:proofErr w:type="spellStart"/>
      <w:r w:rsidRPr="00290B0E">
        <w:rPr>
          <w:rFonts w:eastAsia="Times New Roman" w:cs="Arial"/>
          <w:color w:val="000000"/>
          <w:lang w:val="en-US"/>
        </w:rPr>
        <w:t>Fabry</w:t>
      </w:r>
      <w:proofErr w:type="spellEnd"/>
      <w:r w:rsidRPr="00290B0E">
        <w:rPr>
          <w:rFonts w:eastAsia="Times New Roman" w:cs="Arial"/>
          <w:color w:val="000000"/>
          <w:lang w:val="en-US"/>
        </w:rPr>
        <w:t xml:space="preserve"> </w:t>
      </w:r>
      <w:r w:rsidRPr="00290B0E">
        <w:rPr>
          <w:rFonts w:eastAsia="Times New Roman" w:cs="Arial"/>
          <w:color w:val="000000"/>
          <w:lang w:eastAsia="bg-BG"/>
        </w:rPr>
        <w:t xml:space="preserve">и с нарушена бъбречна функция показват, че </w:t>
      </w:r>
      <w:r w:rsidRPr="00290B0E">
        <w:rPr>
          <w:rFonts w:eastAsia="Times New Roman" w:cs="Arial"/>
          <w:color w:val="000000"/>
          <w:lang w:val="en-US"/>
        </w:rPr>
        <w:t xml:space="preserve">CL/F </w:t>
      </w:r>
      <w:r w:rsidRPr="00290B0E">
        <w:rPr>
          <w:rFonts w:eastAsia="Times New Roman" w:cs="Arial"/>
          <w:color w:val="000000"/>
          <w:lang w:eastAsia="bg-BG"/>
        </w:rPr>
        <w:t xml:space="preserve">намалява с намаляване на бъбречната функция. Въпреки че броят на пациентите с леко и средно бъбречно увреждане е много малък, данните показват приблизително намаление на </w:t>
      </w:r>
      <w:r w:rsidRPr="00290B0E">
        <w:rPr>
          <w:rFonts w:eastAsia="Times New Roman" w:cs="Arial"/>
          <w:color w:val="000000"/>
          <w:lang w:val="en-US"/>
        </w:rPr>
        <w:t xml:space="preserve">CL/F </w:t>
      </w:r>
      <w:r w:rsidRPr="00290B0E">
        <w:rPr>
          <w:rFonts w:eastAsia="Times New Roman" w:cs="Arial"/>
          <w:color w:val="000000"/>
          <w:lang w:eastAsia="bg-BG"/>
        </w:rPr>
        <w:t xml:space="preserve">съответно с 40% и 60%, при леко и умерено бъбречно увреждане (вж. точка 4.2). Данните при тежко бъбречно увреждане са ограничени само до двама пациенти с креатининов клирънс в обхвата 18-29 </w:t>
      </w:r>
      <w:r w:rsidRPr="00290B0E">
        <w:rPr>
          <w:rFonts w:eastAsia="Times New Roman" w:cs="Arial"/>
          <w:color w:val="000000"/>
          <w:lang w:val="en-US"/>
        </w:rPr>
        <w:t xml:space="preserve">ml/min </w:t>
      </w:r>
      <w:r w:rsidRPr="00290B0E">
        <w:rPr>
          <w:rFonts w:eastAsia="Times New Roman" w:cs="Arial"/>
          <w:color w:val="000000"/>
          <w:lang w:eastAsia="bg-BG"/>
        </w:rPr>
        <w:t xml:space="preserve">и не могат да се екстраполират под този обхват. Данните предполагат намаление в </w:t>
      </w:r>
      <w:r w:rsidRPr="00290B0E">
        <w:rPr>
          <w:rFonts w:eastAsia="Times New Roman" w:cs="Arial"/>
          <w:color w:val="000000"/>
          <w:lang w:val="en-US"/>
        </w:rPr>
        <w:t xml:space="preserve">CL/F </w:t>
      </w:r>
      <w:r w:rsidRPr="00290B0E">
        <w:rPr>
          <w:rFonts w:eastAsia="Times New Roman" w:cs="Arial"/>
          <w:color w:val="000000"/>
          <w:lang w:eastAsia="bg-BG"/>
        </w:rPr>
        <w:t>поне със 70% при пациенти с тежко бъбречно увреждане.</w:t>
      </w:r>
    </w:p>
    <w:p w14:paraId="70AD950A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065EC8" w14:textId="4D34765C" w:rsidR="00290B0E" w:rsidRPr="00290B0E" w:rsidRDefault="00290B0E" w:rsidP="00290B0E">
      <w:pPr>
        <w:spacing w:line="240" w:lineRule="auto"/>
        <w:rPr>
          <w:rFonts w:eastAsia="Times New Roman" w:cs="Arial"/>
          <w:lang w:eastAsia="bg-BG"/>
        </w:rPr>
      </w:pPr>
      <w:r w:rsidRPr="00290B0E">
        <w:rPr>
          <w:rFonts w:eastAsia="Times New Roman" w:cs="Arial"/>
          <w:color w:val="000000"/>
          <w:lang w:eastAsia="bg-BG"/>
        </w:rPr>
        <w:t>При наличния обхват от данни не е отбелязана значима връзка или влияние между фармакокинетичните параметри на миглустат и демографските променливи (възраст, индекс на телесната маса (ИТМ), пол или раса).</w:t>
      </w:r>
    </w:p>
    <w:p w14:paraId="5F17B4C3" w14:textId="77777777" w:rsidR="00290B0E" w:rsidRPr="00290B0E" w:rsidRDefault="00290B0E" w:rsidP="00290B0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10C800" w14:textId="4E3B96DE" w:rsidR="00290B0E" w:rsidRPr="00290B0E" w:rsidRDefault="00290B0E" w:rsidP="00290B0E">
      <w:pPr>
        <w:spacing w:line="240" w:lineRule="auto"/>
        <w:rPr>
          <w:rFonts w:eastAsia="Times New Roman" w:cs="Arial"/>
          <w:lang w:eastAsia="bg-BG"/>
        </w:rPr>
      </w:pPr>
      <w:r w:rsidRPr="00290B0E">
        <w:rPr>
          <w:rFonts w:eastAsia="Times New Roman" w:cs="Arial"/>
          <w:color w:val="000000"/>
          <w:lang w:eastAsia="bg-BG"/>
        </w:rPr>
        <w:t>Няма налични фармакокинетични данни за пациенти с чернодробно увреждане или при хора в старческа възраст (&gt; 70 години).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5534DE47" w14:textId="77777777" w:rsidR="00232C5D" w:rsidRPr="00232C5D" w:rsidRDefault="00232C5D" w:rsidP="00232C5D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32C5D">
        <w:rPr>
          <w:rFonts w:eastAsia="Times New Roman" w:cs="Arial"/>
          <w:color w:val="000000"/>
          <w:szCs w:val="20"/>
          <w:lang w:eastAsia="bg-BG"/>
        </w:rPr>
        <w:t>Главните ефекти, общи за всички видове, са загуба на тегло и диария, а при по-високи дози - увреждане на гастроинтестиналната лигавица (ерозии и язви). Други ефекти, наблюдавани при животните при дози, които водят до нива на експозиция, подобни на или умерено по-високи от нивото на клинично експозиция, включват: промени в лимфоидните органи при всички изследвани видове, промени на трансаминазите, вакуолизация на щитовидната жлеза и панкреаса, катаракти, нефропатия и миокардни промени при плъхове. Тези промени се считат за резултат от отслабването на организма.</w:t>
      </w:r>
    </w:p>
    <w:p w14:paraId="32CFC1AA" w14:textId="77777777" w:rsidR="00232C5D" w:rsidRPr="00232C5D" w:rsidRDefault="00232C5D" w:rsidP="00232C5D">
      <w:pPr>
        <w:rPr>
          <w:rFonts w:eastAsia="Times New Roman" w:cs="Arial"/>
          <w:color w:val="000000"/>
          <w:szCs w:val="20"/>
          <w:lang w:eastAsia="bg-BG"/>
        </w:rPr>
      </w:pPr>
    </w:p>
    <w:p w14:paraId="02A47E54" w14:textId="77777777" w:rsidR="00232C5D" w:rsidRPr="00232C5D" w:rsidRDefault="00232C5D" w:rsidP="00232C5D">
      <w:pPr>
        <w:rPr>
          <w:rFonts w:eastAsia="Times New Roman" w:cs="Arial"/>
          <w:sz w:val="28"/>
          <w:szCs w:val="24"/>
          <w:lang w:eastAsia="bg-BG"/>
        </w:rPr>
      </w:pPr>
      <w:r w:rsidRPr="00232C5D">
        <w:rPr>
          <w:rFonts w:eastAsia="Times New Roman" w:cs="Arial"/>
          <w:color w:val="000000"/>
          <w:szCs w:val="20"/>
          <w:lang w:eastAsia="bg-BG"/>
        </w:rPr>
        <w:t xml:space="preserve">Прилагането на миглустат при мъжки и женски </w:t>
      </w:r>
      <w:r w:rsidRPr="00232C5D">
        <w:rPr>
          <w:rFonts w:eastAsia="Times New Roman" w:cs="Arial"/>
          <w:color w:val="000000"/>
          <w:szCs w:val="20"/>
          <w:lang w:val="en-US"/>
        </w:rPr>
        <w:t xml:space="preserve">Sprague-Dawley </w:t>
      </w:r>
      <w:r w:rsidRPr="00232C5D">
        <w:rPr>
          <w:rFonts w:eastAsia="Times New Roman" w:cs="Arial"/>
          <w:color w:val="000000"/>
          <w:szCs w:val="20"/>
          <w:lang w:eastAsia="bg-BG"/>
        </w:rPr>
        <w:t xml:space="preserve">плъхове посредством перорален прием през сонда за период от 2 години при дозови нива 30,60 и 180 </w:t>
      </w:r>
      <w:r w:rsidRPr="00232C5D">
        <w:rPr>
          <w:rFonts w:eastAsia="Times New Roman" w:cs="Arial"/>
          <w:color w:val="000000"/>
          <w:szCs w:val="20"/>
          <w:lang w:val="en-US"/>
        </w:rPr>
        <w:t>mg/kg</w:t>
      </w:r>
      <w:r w:rsidRPr="00232C5D">
        <w:rPr>
          <w:rFonts w:eastAsia="Times New Roman" w:cs="Arial"/>
          <w:color w:val="000000"/>
          <w:szCs w:val="20"/>
          <w:lang w:eastAsia="bg-BG"/>
        </w:rPr>
        <w:t xml:space="preserve">/ден е довело до повишена честота на хиперплазия на тестикуларните интерстициални </w:t>
      </w:r>
      <w:r w:rsidRPr="00232C5D">
        <w:rPr>
          <w:rFonts w:eastAsia="Times New Roman" w:cs="Arial"/>
          <w:color w:val="000000"/>
          <w:szCs w:val="20"/>
          <w:u w:val="single"/>
          <w:lang w:eastAsia="bg-BG"/>
        </w:rPr>
        <w:t>клетки</w:t>
      </w:r>
      <w:r w:rsidRPr="00232C5D">
        <w:rPr>
          <w:rFonts w:eastAsia="Times New Roman" w:cs="Arial"/>
          <w:color w:val="000000"/>
          <w:szCs w:val="20"/>
          <w:lang w:eastAsia="bg-BG"/>
        </w:rPr>
        <w:t xml:space="preserve"> (клетки на </w:t>
      </w:r>
      <w:proofErr w:type="spellStart"/>
      <w:r w:rsidRPr="00232C5D">
        <w:rPr>
          <w:rFonts w:eastAsia="Times New Roman" w:cs="Arial"/>
          <w:color w:val="000000"/>
          <w:szCs w:val="20"/>
          <w:lang w:val="en-US"/>
        </w:rPr>
        <w:t>Leydig</w:t>
      </w:r>
      <w:proofErr w:type="spellEnd"/>
      <w:r w:rsidRPr="00232C5D">
        <w:rPr>
          <w:rFonts w:eastAsia="Times New Roman" w:cs="Arial"/>
          <w:color w:val="000000"/>
          <w:szCs w:val="20"/>
          <w:lang w:val="en-US"/>
        </w:rPr>
        <w:t xml:space="preserve">) </w:t>
      </w:r>
      <w:r w:rsidRPr="00232C5D">
        <w:rPr>
          <w:rFonts w:eastAsia="Times New Roman" w:cs="Arial"/>
          <w:color w:val="000000"/>
          <w:szCs w:val="20"/>
          <w:lang w:eastAsia="bg-BG"/>
        </w:rPr>
        <w:t xml:space="preserve">и на аденоми при мъжките плъхове, при всички дозови нива. Плазмените нива при най-ниската доза са били по-малки или сравними с тези, наблюдавани (въз основа на </w:t>
      </w:r>
      <w:r w:rsidRPr="00232C5D">
        <w:rPr>
          <w:rFonts w:eastAsia="Times New Roman" w:cs="Arial"/>
          <w:color w:val="000000"/>
          <w:szCs w:val="20"/>
          <w:lang w:val="en-US"/>
        </w:rPr>
        <w:t>AUC</w:t>
      </w:r>
      <w:r w:rsidRPr="00232C5D">
        <w:rPr>
          <w:rFonts w:eastAsia="Times New Roman" w:cs="Arial"/>
          <w:color w:val="000000"/>
          <w:szCs w:val="20"/>
          <w:vertAlign w:val="subscript"/>
          <w:lang w:eastAsia="bg-BG"/>
        </w:rPr>
        <w:t>0–∞</w:t>
      </w:r>
      <w:r w:rsidRPr="00232C5D">
        <w:rPr>
          <w:rFonts w:eastAsia="Times New Roman" w:cs="Arial"/>
          <w:color w:val="000000"/>
          <w:szCs w:val="20"/>
          <w:lang w:eastAsia="bg-BG"/>
        </w:rPr>
        <w:t xml:space="preserve">) при препоръчваната за хора доза. Нивото, при </w:t>
      </w:r>
      <w:r w:rsidRPr="00232C5D">
        <w:rPr>
          <w:rFonts w:eastAsia="Times New Roman" w:cs="Arial"/>
          <w:color w:val="000000"/>
          <w:szCs w:val="20"/>
          <w:lang w:eastAsia="bg-BG"/>
        </w:rPr>
        <w:lastRenderedPageBreak/>
        <w:t>което не се наблюдава ефект (</w:t>
      </w:r>
      <w:r w:rsidRPr="00232C5D">
        <w:rPr>
          <w:rFonts w:eastAsia="Times New Roman" w:cs="Arial"/>
          <w:color w:val="000000"/>
          <w:szCs w:val="20"/>
          <w:lang w:val="en-US"/>
        </w:rPr>
        <w:t>NOEL),</w:t>
      </w:r>
      <w:r w:rsidRPr="00232C5D">
        <w:rPr>
          <w:rFonts w:eastAsia="Times New Roman" w:cs="Arial"/>
          <w:color w:val="000000"/>
          <w:szCs w:val="20"/>
          <w:lang w:eastAsia="bg-BG"/>
        </w:rPr>
        <w:t xml:space="preserve"> не е  установено и ефектът не е дозозависим. Не е имало свързано с лекарството повишаване на туморната честота в други органи на мъжките или женските плъхове. Механистични</w:t>
      </w:r>
      <w:r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232C5D">
        <w:rPr>
          <w:rFonts w:eastAsia="Times New Roman" w:cs="Arial"/>
          <w:color w:val="000000"/>
          <w:szCs w:val="20"/>
          <w:lang w:eastAsia="bg-BG"/>
        </w:rPr>
        <w:t>проучвания разкриват специфичен за плъховете механизъм, за който се счита, че има малко практическо значение при хората.</w:t>
      </w:r>
    </w:p>
    <w:p w14:paraId="7B8F014D" w14:textId="77777777" w:rsidR="00232C5D" w:rsidRPr="00232C5D" w:rsidRDefault="00232C5D" w:rsidP="00232C5D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32C5D">
        <w:rPr>
          <w:rFonts w:eastAsia="Times New Roman" w:cs="Arial"/>
          <w:color w:val="000000"/>
          <w:szCs w:val="20"/>
          <w:lang w:eastAsia="bg-BG"/>
        </w:rPr>
        <w:t xml:space="preserve">Приложението на миглустат при мъжки и женски </w:t>
      </w:r>
      <w:r w:rsidRPr="00232C5D">
        <w:rPr>
          <w:rFonts w:eastAsia="Times New Roman" w:cs="Arial"/>
          <w:color w:val="000000"/>
          <w:szCs w:val="20"/>
          <w:lang w:val="en-US"/>
        </w:rPr>
        <w:t xml:space="preserve">CD1 </w:t>
      </w:r>
      <w:r w:rsidRPr="00232C5D">
        <w:rPr>
          <w:rFonts w:eastAsia="Times New Roman" w:cs="Arial"/>
          <w:color w:val="000000"/>
          <w:szCs w:val="20"/>
          <w:lang w:eastAsia="bg-BG"/>
        </w:rPr>
        <w:t xml:space="preserve">мишки посредством перорален прием през сонда при дозови нива от 210,420 и 840/500 </w:t>
      </w:r>
      <w:r w:rsidRPr="00232C5D">
        <w:rPr>
          <w:rFonts w:eastAsia="Times New Roman" w:cs="Arial"/>
          <w:color w:val="000000"/>
          <w:szCs w:val="20"/>
          <w:lang w:val="en-US"/>
        </w:rPr>
        <w:t>mg/kg</w:t>
      </w:r>
      <w:r w:rsidRPr="00232C5D">
        <w:rPr>
          <w:rFonts w:eastAsia="Times New Roman" w:cs="Arial"/>
          <w:color w:val="000000"/>
          <w:szCs w:val="20"/>
          <w:lang w:eastAsia="bg-BG"/>
        </w:rPr>
        <w:t xml:space="preserve">/ден (дозата се намалява след половин година) за период от 2 години е довело до повишена честота на възпалителните и хиперпластичните лезии в дебелото черво и при двата пола. Основани на </w:t>
      </w:r>
      <w:r w:rsidRPr="00232C5D">
        <w:rPr>
          <w:rFonts w:eastAsia="Times New Roman" w:cs="Arial"/>
          <w:color w:val="000000"/>
          <w:szCs w:val="20"/>
          <w:lang w:val="en-US"/>
        </w:rPr>
        <w:t>mg/kg</w:t>
      </w:r>
      <w:r w:rsidRPr="00232C5D">
        <w:rPr>
          <w:rFonts w:eastAsia="Times New Roman" w:cs="Arial"/>
          <w:color w:val="000000"/>
          <w:szCs w:val="20"/>
          <w:lang w:eastAsia="bg-BG"/>
        </w:rPr>
        <w:t xml:space="preserve">/ден и коригирани за разлики във фекалната екскреция, дозите съответстват на 8,16 и 33/19 пъти най- високата препоръчвана доза при хора (200 </w:t>
      </w:r>
      <w:r w:rsidRPr="00232C5D">
        <w:rPr>
          <w:rFonts w:eastAsia="Times New Roman" w:cs="Arial"/>
          <w:color w:val="000000"/>
          <w:szCs w:val="20"/>
          <w:lang w:val="en-US"/>
        </w:rPr>
        <w:t xml:space="preserve">mg </w:t>
      </w:r>
      <w:r w:rsidRPr="00232C5D">
        <w:rPr>
          <w:rFonts w:eastAsia="Times New Roman" w:cs="Arial"/>
          <w:color w:val="000000"/>
          <w:szCs w:val="20"/>
          <w:lang w:eastAsia="bg-BG"/>
        </w:rPr>
        <w:t>три пъти дневно). Карциноми на дебелото черво са се появявали инцидентно при всички дози, като статистически значимо повишаване е имало в групата на високите дози. Значението на тези находки при хора не може да бъде изключено. Не е имало свързано с лекарството повишаване на туморната честота в друг орган.</w:t>
      </w:r>
    </w:p>
    <w:p w14:paraId="1213D30F" w14:textId="77777777" w:rsidR="00232C5D" w:rsidRPr="00232C5D" w:rsidRDefault="00232C5D" w:rsidP="00232C5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831EE4C" w14:textId="7434364B" w:rsidR="00232C5D" w:rsidRPr="00232C5D" w:rsidRDefault="00232C5D" w:rsidP="00232C5D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32C5D">
        <w:rPr>
          <w:rFonts w:eastAsia="Times New Roman" w:cs="Arial"/>
          <w:color w:val="000000"/>
          <w:szCs w:val="20"/>
          <w:lang w:eastAsia="bg-BG"/>
        </w:rPr>
        <w:t>Миглустат не е показал потенциал за мутагенни или кластогенни ефекти при стандартната батерия от тестове за генотоксичност.</w:t>
      </w:r>
    </w:p>
    <w:p w14:paraId="36B58FF2" w14:textId="77777777" w:rsidR="00232C5D" w:rsidRPr="00232C5D" w:rsidRDefault="00232C5D" w:rsidP="00232C5D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E8FA5CF" w14:textId="77E21110" w:rsidR="00232C5D" w:rsidRPr="00232C5D" w:rsidRDefault="00232C5D" w:rsidP="00232C5D">
      <w:pPr>
        <w:spacing w:line="240" w:lineRule="auto"/>
        <w:rPr>
          <w:rFonts w:eastAsia="Times New Roman" w:cs="Arial"/>
          <w:sz w:val="28"/>
          <w:szCs w:val="24"/>
          <w:lang w:eastAsia="bg-BG"/>
        </w:rPr>
      </w:pPr>
      <w:r w:rsidRPr="00232C5D">
        <w:rPr>
          <w:rFonts w:eastAsia="Times New Roman" w:cs="Arial"/>
          <w:color w:val="000000"/>
          <w:szCs w:val="20"/>
          <w:lang w:eastAsia="bg-BG"/>
        </w:rPr>
        <w:t>Проучвания за токсичност при многократно приложение при плъхове са показали ефекти върху сперматогенния епител на тестисите. Други проучвания са показали промени в параметрите на спермата (мотилитет и морфология), които съвпадат с наблюдаваното понижаване на фертилитета. Тези промени са установени при плазмени нива, подобни на тези при пациенти, но показват обратимост. Миглустат влияе върху преживяемостта на ембриона/фетуса при плъхове и зайци, съобщава се за дистокия, увеличават се постимплантационните загуби и се наблюдава увеличение на случаите на съдови аномалии при зайци. Тези ефекти могат частично да се свържат с токсичност при майката.</w:t>
      </w:r>
    </w:p>
    <w:p w14:paraId="72A9B93C" w14:textId="77777777" w:rsidR="00232C5D" w:rsidRPr="00232C5D" w:rsidRDefault="00232C5D" w:rsidP="00232C5D">
      <w:pPr>
        <w:rPr>
          <w:rFonts w:eastAsia="Times New Roman" w:cs="Arial"/>
          <w:color w:val="000000"/>
          <w:szCs w:val="20"/>
          <w:lang w:eastAsia="bg-BG"/>
        </w:rPr>
      </w:pPr>
    </w:p>
    <w:p w14:paraId="52E4D01A" w14:textId="6E5FF793" w:rsidR="0091385D" w:rsidRPr="00232C5D" w:rsidRDefault="00232C5D" w:rsidP="00232C5D">
      <w:pPr>
        <w:rPr>
          <w:rFonts w:cs="Arial"/>
          <w:sz w:val="28"/>
        </w:rPr>
      </w:pPr>
      <w:r w:rsidRPr="00232C5D">
        <w:rPr>
          <w:rFonts w:eastAsia="Times New Roman" w:cs="Arial"/>
          <w:color w:val="000000"/>
          <w:szCs w:val="20"/>
          <w:lang w:eastAsia="bg-BG"/>
        </w:rPr>
        <w:t>При женски плъхове се наблюдават промени в лактацията по време на едногодишно проучване. Механизмът на тези ефекти не е известен.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3FD825DB" w14:textId="6C6CBE1A" w:rsidR="0091385D" w:rsidRPr="00232C5D" w:rsidRDefault="00232C5D" w:rsidP="0091385D">
      <w:pPr>
        <w:rPr>
          <w:sz w:val="24"/>
        </w:rPr>
      </w:pPr>
      <w:r w:rsidRPr="00232C5D">
        <w:rPr>
          <w:szCs w:val="20"/>
        </w:rPr>
        <w:t xml:space="preserve">G. L. Pharma GmbH, Schlossplatz </w:t>
      </w:r>
      <w:r w:rsidRPr="00232C5D">
        <w:rPr>
          <w:szCs w:val="20"/>
          <w:lang w:eastAsia="bg-BG"/>
        </w:rPr>
        <w:t>1,</w:t>
      </w:r>
      <w:r w:rsidRPr="00232C5D">
        <w:rPr>
          <w:szCs w:val="20"/>
        </w:rPr>
        <w:t xml:space="preserve"> </w:t>
      </w:r>
      <w:r w:rsidRPr="00232C5D">
        <w:rPr>
          <w:szCs w:val="20"/>
          <w:lang w:eastAsia="bg-BG"/>
        </w:rPr>
        <w:t xml:space="preserve">8502 </w:t>
      </w:r>
      <w:r w:rsidRPr="00232C5D">
        <w:rPr>
          <w:szCs w:val="20"/>
        </w:rPr>
        <w:t xml:space="preserve">Lannach, </w:t>
      </w:r>
      <w:r w:rsidRPr="00232C5D">
        <w:rPr>
          <w:szCs w:val="20"/>
          <w:lang w:eastAsia="bg-BG"/>
        </w:rPr>
        <w:t>Австрия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6E892CE5" w14:textId="4ECFF5F1" w:rsidR="0091385D" w:rsidRPr="00232C5D" w:rsidRDefault="00232C5D" w:rsidP="0091385D">
      <w:pPr>
        <w:rPr>
          <w:sz w:val="24"/>
        </w:rPr>
      </w:pPr>
      <w:r w:rsidRPr="00232C5D">
        <w:rPr>
          <w:szCs w:val="20"/>
        </w:rPr>
        <w:t>Pe</w:t>
      </w:r>
      <w:r w:rsidRPr="00232C5D">
        <w:rPr>
          <w:szCs w:val="20"/>
          <w:lang w:eastAsia="bg-BG"/>
        </w:rPr>
        <w:t>г</w:t>
      </w:r>
      <w:r w:rsidRPr="00232C5D">
        <w:rPr>
          <w:szCs w:val="20"/>
        </w:rPr>
        <w:t>. №20160417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497007FA" w14:textId="69EED464" w:rsidR="0091385D" w:rsidRDefault="0091385D" w:rsidP="0091385D"/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p w14:paraId="3E8FFCC4" w14:textId="34E0D3BB" w:rsidR="0091385D" w:rsidRDefault="0091385D" w:rsidP="0091385D"/>
    <w:p w14:paraId="30276F52" w14:textId="27D21FF8" w:rsidR="0091385D" w:rsidRPr="00232C5D" w:rsidRDefault="00232C5D" w:rsidP="0091385D">
      <w:pPr>
        <w:rPr>
          <w:sz w:val="24"/>
        </w:rPr>
      </w:pPr>
      <w:r w:rsidRPr="00232C5D">
        <w:rPr>
          <w:szCs w:val="20"/>
        </w:rPr>
        <w:t>11/2019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9"/>
  </w:num>
  <w:num w:numId="12">
    <w:abstractNumId w:val="13"/>
  </w:num>
  <w:num w:numId="13">
    <w:abstractNumId w:val="18"/>
  </w:num>
  <w:num w:numId="14">
    <w:abstractNumId w:val="11"/>
  </w:num>
  <w:num w:numId="15">
    <w:abstractNumId w:val="28"/>
  </w:num>
  <w:num w:numId="16">
    <w:abstractNumId w:val="9"/>
  </w:num>
  <w:num w:numId="17">
    <w:abstractNumId w:val="23"/>
  </w:num>
  <w:num w:numId="18">
    <w:abstractNumId w:val="7"/>
  </w:num>
  <w:num w:numId="19">
    <w:abstractNumId w:val="25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30"/>
  </w:num>
  <w:num w:numId="28">
    <w:abstractNumId w:val="6"/>
  </w:num>
  <w:num w:numId="29">
    <w:abstractNumId w:val="19"/>
  </w:num>
  <w:num w:numId="30">
    <w:abstractNumId w:val="33"/>
  </w:num>
  <w:num w:numId="31">
    <w:abstractNumId w:val="5"/>
  </w:num>
  <w:num w:numId="32">
    <w:abstractNumId w:val="32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32C5D"/>
    <w:rsid w:val="00290B0E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6C1158"/>
    <w:rsid w:val="0075649D"/>
    <w:rsid w:val="007C605B"/>
    <w:rsid w:val="008134C8"/>
    <w:rsid w:val="00814073"/>
    <w:rsid w:val="00826F0D"/>
    <w:rsid w:val="00893B92"/>
    <w:rsid w:val="008A6AF2"/>
    <w:rsid w:val="008C70A2"/>
    <w:rsid w:val="0091385D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4215</Words>
  <Characters>24028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2022-08-31T15:26:00Z</dcterms:created>
  <dcterms:modified xsi:type="dcterms:W3CDTF">2022-08-31T15:26:00Z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