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5290118B" w:rsidR="009F77A4" w:rsidRDefault="00DD466D" w:rsidP="00387A66">
      <w:pPr>
        <w:pStyle w:val="Heading1"/>
      </w:pPr>
      <w:r>
        <w:t>1.ИМЕ НА ЛЕКАРСТВЕНИЯ ПРОДУКТ</w:t>
      </w:r>
    </w:p>
    <w:p w14:paraId="7BFDE9B8" w14:textId="56FC2B15" w:rsidR="00F642ED" w:rsidRDefault="00F642ED" w:rsidP="00F642ED"/>
    <w:p w14:paraId="53F33C79" w14:textId="77777777" w:rsidR="00F642ED" w:rsidRPr="00F642ED" w:rsidRDefault="00F642ED" w:rsidP="00F642ED">
      <w:pPr>
        <w:rPr>
          <w:sz w:val="24"/>
          <w:szCs w:val="24"/>
          <w:lang w:val="en-US" w:eastAsia="bg-BG"/>
        </w:rPr>
      </w:pPr>
      <w:r w:rsidRPr="00F642ED">
        <w:rPr>
          <w:lang w:eastAsia="bg-BG"/>
        </w:rPr>
        <w:t xml:space="preserve">Милурит 150 </w:t>
      </w:r>
      <w:r w:rsidRPr="00F642ED">
        <w:rPr>
          <w:lang w:val="en-US"/>
        </w:rPr>
        <w:t xml:space="preserve">mg </w:t>
      </w:r>
      <w:r w:rsidRPr="00F642ED">
        <w:rPr>
          <w:lang w:eastAsia="bg-BG"/>
        </w:rPr>
        <w:t>таблетки</w:t>
      </w:r>
    </w:p>
    <w:p w14:paraId="3563D848" w14:textId="77777777" w:rsidR="00F642ED" w:rsidRPr="00F642ED" w:rsidRDefault="00F642ED" w:rsidP="00F642ED">
      <w:pPr>
        <w:rPr>
          <w:sz w:val="24"/>
          <w:szCs w:val="24"/>
          <w:lang w:val="en-US" w:eastAsia="bg-BG"/>
        </w:rPr>
      </w:pPr>
      <w:r w:rsidRPr="00F642ED">
        <w:rPr>
          <w:lang w:eastAsia="bg-BG"/>
        </w:rPr>
        <w:t xml:space="preserve">Милурит 200 </w:t>
      </w:r>
      <w:r w:rsidRPr="00F642ED">
        <w:rPr>
          <w:lang w:val="en-US"/>
        </w:rPr>
        <w:t xml:space="preserve">mg </w:t>
      </w:r>
      <w:r w:rsidRPr="00F642ED">
        <w:rPr>
          <w:lang w:eastAsia="bg-BG"/>
        </w:rPr>
        <w:t>таблетки</w:t>
      </w:r>
    </w:p>
    <w:p w14:paraId="65324F5B" w14:textId="77777777" w:rsidR="00F642ED" w:rsidRDefault="00F642ED" w:rsidP="00F642ED">
      <w:pPr>
        <w:rPr>
          <w:lang w:val="en-US"/>
        </w:rPr>
      </w:pPr>
    </w:p>
    <w:p w14:paraId="526D1254" w14:textId="55BD960D" w:rsidR="00F642ED" w:rsidRPr="00F642ED" w:rsidRDefault="00F642ED" w:rsidP="00F642ED">
      <w:pPr>
        <w:rPr>
          <w:sz w:val="24"/>
          <w:szCs w:val="24"/>
          <w:lang w:val="en-US" w:eastAsia="bg-BG"/>
        </w:rPr>
      </w:pPr>
      <w:proofErr w:type="spellStart"/>
      <w:r w:rsidRPr="00F642ED">
        <w:rPr>
          <w:lang w:val="en-US"/>
        </w:rPr>
        <w:t>Milurit</w:t>
      </w:r>
      <w:proofErr w:type="spellEnd"/>
      <w:r w:rsidRPr="00F642ED">
        <w:rPr>
          <w:lang w:val="en-US"/>
        </w:rPr>
        <w:t xml:space="preserve"> </w:t>
      </w:r>
      <w:r w:rsidRPr="00F642ED">
        <w:rPr>
          <w:lang w:eastAsia="bg-BG"/>
        </w:rPr>
        <w:t xml:space="preserve">150 </w:t>
      </w:r>
      <w:r w:rsidRPr="00F642ED">
        <w:rPr>
          <w:lang w:val="en-US"/>
        </w:rPr>
        <w:t>mg tablets</w:t>
      </w:r>
    </w:p>
    <w:p w14:paraId="3D6507FE" w14:textId="77777777" w:rsidR="00F642ED" w:rsidRPr="00F642ED" w:rsidRDefault="00F642ED" w:rsidP="00F642ED">
      <w:pPr>
        <w:rPr>
          <w:sz w:val="24"/>
          <w:szCs w:val="24"/>
          <w:lang w:val="en-US" w:eastAsia="bg-BG"/>
        </w:rPr>
      </w:pPr>
      <w:proofErr w:type="spellStart"/>
      <w:r w:rsidRPr="00F642ED">
        <w:rPr>
          <w:lang w:val="en-US"/>
        </w:rPr>
        <w:t>Milurit</w:t>
      </w:r>
      <w:proofErr w:type="spellEnd"/>
      <w:r w:rsidRPr="00F642ED">
        <w:rPr>
          <w:lang w:val="en-US"/>
        </w:rPr>
        <w:t xml:space="preserve"> 200 mg tablets</w:t>
      </w:r>
    </w:p>
    <w:p w14:paraId="230DAC8E" w14:textId="77777777" w:rsidR="00F642ED" w:rsidRPr="00F642ED" w:rsidRDefault="00F642ED" w:rsidP="00F642ED"/>
    <w:p w14:paraId="0DF202EC" w14:textId="44E76555" w:rsidR="00F53FB7" w:rsidRDefault="00DD466D" w:rsidP="00A93499">
      <w:pPr>
        <w:pStyle w:val="Heading1"/>
      </w:pPr>
      <w:r>
        <w:t>2. КАЧЕСТВЕН И КОЛИЧЕСТВЕН СЪСТАВ</w:t>
      </w:r>
    </w:p>
    <w:p w14:paraId="7C275457" w14:textId="0BDB89B1" w:rsidR="00F642ED" w:rsidRDefault="00F642ED" w:rsidP="00F642ED"/>
    <w:p w14:paraId="651A0192" w14:textId="77777777" w:rsidR="00F642ED" w:rsidRPr="00F642ED" w:rsidRDefault="00F642ED" w:rsidP="00F642ED">
      <w:pPr>
        <w:rPr>
          <w:sz w:val="24"/>
          <w:szCs w:val="24"/>
          <w:lang w:eastAsia="bg-BG"/>
        </w:rPr>
      </w:pPr>
      <w:r w:rsidRPr="00F642ED">
        <w:rPr>
          <w:i/>
          <w:iCs/>
          <w:lang w:eastAsia="bg-BG"/>
        </w:rPr>
        <w:t xml:space="preserve">Милурит 150 </w:t>
      </w:r>
      <w:r w:rsidRPr="00F642ED">
        <w:rPr>
          <w:i/>
          <w:iCs/>
          <w:lang w:val="en-US"/>
        </w:rPr>
        <w:t xml:space="preserve">mg </w:t>
      </w:r>
      <w:r w:rsidRPr="00F642ED">
        <w:rPr>
          <w:i/>
          <w:iCs/>
          <w:lang w:eastAsia="bg-BG"/>
        </w:rPr>
        <w:t>таблетки:</w:t>
      </w:r>
      <w:r w:rsidRPr="00F642ED">
        <w:rPr>
          <w:lang w:eastAsia="bg-BG"/>
        </w:rPr>
        <w:t xml:space="preserve"> 150 </w:t>
      </w:r>
      <w:r w:rsidRPr="00F642ED">
        <w:rPr>
          <w:lang w:val="en-US"/>
        </w:rPr>
        <w:t xml:space="preserve">mg </w:t>
      </w:r>
      <w:r w:rsidRPr="00F642ED">
        <w:rPr>
          <w:lang w:eastAsia="bg-BG"/>
        </w:rPr>
        <w:t xml:space="preserve">алопуринол </w:t>
      </w:r>
      <w:r w:rsidRPr="00F642ED">
        <w:rPr>
          <w:i/>
          <w:iCs/>
          <w:lang w:val="en-US"/>
        </w:rPr>
        <w:t>(allopurinol)</w:t>
      </w:r>
      <w:r w:rsidRPr="00F642ED">
        <w:rPr>
          <w:lang w:val="en-US"/>
        </w:rPr>
        <w:t xml:space="preserve"> </w:t>
      </w:r>
      <w:r w:rsidRPr="00F642ED">
        <w:rPr>
          <w:lang w:eastAsia="bg-BG"/>
        </w:rPr>
        <w:t>във всяка таблетка.</w:t>
      </w:r>
    </w:p>
    <w:p w14:paraId="003DF6FD" w14:textId="31BB1BB3" w:rsidR="00F642ED" w:rsidRPr="00F642ED" w:rsidRDefault="00F642ED" w:rsidP="00F642ED">
      <w:r w:rsidRPr="00F642ED">
        <w:rPr>
          <w:i/>
          <w:iCs/>
          <w:lang w:eastAsia="bg-BG"/>
        </w:rPr>
        <w:t xml:space="preserve">Милурит 200 </w:t>
      </w:r>
      <w:r w:rsidRPr="00F642ED">
        <w:rPr>
          <w:i/>
          <w:iCs/>
          <w:lang w:val="en-US"/>
        </w:rPr>
        <w:t xml:space="preserve">mg </w:t>
      </w:r>
      <w:r w:rsidRPr="00F642ED">
        <w:rPr>
          <w:i/>
          <w:iCs/>
          <w:lang w:eastAsia="bg-BG"/>
        </w:rPr>
        <w:t>таблетки:</w:t>
      </w:r>
      <w:r w:rsidRPr="00F642ED">
        <w:rPr>
          <w:lang w:eastAsia="bg-BG"/>
        </w:rPr>
        <w:t xml:space="preserve"> 200 </w:t>
      </w:r>
      <w:r w:rsidRPr="00F642ED">
        <w:rPr>
          <w:lang w:val="en-US"/>
        </w:rPr>
        <w:t xml:space="preserve">mg </w:t>
      </w:r>
      <w:r w:rsidRPr="00F642ED">
        <w:rPr>
          <w:lang w:eastAsia="bg-BG"/>
        </w:rPr>
        <w:t xml:space="preserve">алопуринол </w:t>
      </w:r>
      <w:r w:rsidRPr="00F642ED">
        <w:rPr>
          <w:i/>
          <w:iCs/>
          <w:lang w:val="en-US"/>
        </w:rPr>
        <w:t>(allopurinol)</w:t>
      </w:r>
      <w:r w:rsidRPr="00F642ED">
        <w:rPr>
          <w:lang w:val="en-US"/>
        </w:rPr>
        <w:t xml:space="preserve"> </w:t>
      </w:r>
      <w:r w:rsidRPr="00F642ED">
        <w:rPr>
          <w:lang w:eastAsia="bg-BG"/>
        </w:rPr>
        <w:t>във всяка таблетка.</w:t>
      </w:r>
    </w:p>
    <w:p w14:paraId="4CABB9ED" w14:textId="14531D26" w:rsidR="00F53FB7" w:rsidRDefault="00DD466D" w:rsidP="00A93499">
      <w:pPr>
        <w:pStyle w:val="Heading1"/>
      </w:pPr>
      <w:r>
        <w:t>3. ЛЕКАРСТВЕНА ФОРМА</w:t>
      </w:r>
    </w:p>
    <w:p w14:paraId="5391F6D2" w14:textId="21B6C316" w:rsidR="00F642ED" w:rsidRDefault="00F642ED" w:rsidP="00F642ED"/>
    <w:p w14:paraId="07D1942F" w14:textId="77777777" w:rsidR="00F642ED" w:rsidRPr="00F642ED" w:rsidRDefault="00F642ED" w:rsidP="00F642ED">
      <w:pPr>
        <w:rPr>
          <w:sz w:val="24"/>
          <w:szCs w:val="24"/>
          <w:lang w:eastAsia="bg-BG"/>
        </w:rPr>
      </w:pPr>
      <w:r w:rsidRPr="00F642ED">
        <w:rPr>
          <w:lang w:eastAsia="bg-BG"/>
        </w:rPr>
        <w:t>Таблетка</w:t>
      </w:r>
    </w:p>
    <w:p w14:paraId="506C9C43" w14:textId="77777777" w:rsidR="00F642ED" w:rsidRDefault="00F642ED" w:rsidP="00F642ED">
      <w:pPr>
        <w:rPr>
          <w:i/>
          <w:iCs/>
          <w:lang w:eastAsia="bg-BG"/>
        </w:rPr>
      </w:pPr>
    </w:p>
    <w:p w14:paraId="0E2E9463" w14:textId="02B0B717" w:rsidR="00F642ED" w:rsidRPr="00F642ED" w:rsidRDefault="00F642ED" w:rsidP="00F642ED">
      <w:pPr>
        <w:rPr>
          <w:sz w:val="24"/>
          <w:szCs w:val="24"/>
          <w:lang w:eastAsia="bg-BG"/>
        </w:rPr>
      </w:pPr>
      <w:r w:rsidRPr="00F642ED">
        <w:rPr>
          <w:i/>
          <w:iCs/>
          <w:lang w:eastAsia="bg-BG"/>
        </w:rPr>
        <w:t xml:space="preserve">Милурит 150 </w:t>
      </w:r>
      <w:r w:rsidRPr="00F642ED">
        <w:rPr>
          <w:i/>
          <w:iCs/>
          <w:lang w:val="en-US"/>
        </w:rPr>
        <w:t xml:space="preserve">mg </w:t>
      </w:r>
      <w:r w:rsidRPr="00F642ED">
        <w:rPr>
          <w:i/>
          <w:iCs/>
          <w:lang w:eastAsia="bg-BG"/>
        </w:rPr>
        <w:t>таблетки:</w:t>
      </w:r>
      <w:r w:rsidRPr="00F642ED">
        <w:rPr>
          <w:lang w:eastAsia="bg-BG"/>
        </w:rPr>
        <w:t xml:space="preserve"> Бели или сиво-бели, овални, таблетки с гравиран надпис “Е 353” от едната страна и с делителна черта от другата страна. Дължината на таблетката е около 11 </w:t>
      </w:r>
      <w:r w:rsidRPr="00F642ED">
        <w:rPr>
          <w:lang w:val="en-US"/>
        </w:rPr>
        <w:t xml:space="preserve">mm, </w:t>
      </w:r>
      <w:r w:rsidRPr="00F642ED">
        <w:rPr>
          <w:lang w:eastAsia="bg-BG"/>
        </w:rPr>
        <w:t xml:space="preserve">а ширината е около 5 </w:t>
      </w:r>
      <w:r w:rsidRPr="00F642ED">
        <w:rPr>
          <w:lang w:val="en-US"/>
        </w:rPr>
        <w:t>mm.</w:t>
      </w:r>
    </w:p>
    <w:p w14:paraId="2BFF4E1E" w14:textId="77777777" w:rsidR="00F642ED" w:rsidRPr="00F642ED" w:rsidRDefault="00F642ED" w:rsidP="00F642ED">
      <w:pPr>
        <w:rPr>
          <w:sz w:val="24"/>
          <w:szCs w:val="24"/>
          <w:lang w:eastAsia="bg-BG"/>
        </w:rPr>
      </w:pPr>
      <w:r w:rsidRPr="00F642ED">
        <w:rPr>
          <w:lang w:eastAsia="bg-BG"/>
        </w:rPr>
        <w:t>Таблетката може да бъде разделена на равни дози.</w:t>
      </w:r>
    </w:p>
    <w:p w14:paraId="1F0E4D1B" w14:textId="77777777" w:rsidR="00F642ED" w:rsidRDefault="00F642ED" w:rsidP="00F642ED">
      <w:pPr>
        <w:rPr>
          <w:i/>
          <w:iCs/>
          <w:lang w:eastAsia="bg-BG"/>
        </w:rPr>
      </w:pPr>
    </w:p>
    <w:p w14:paraId="7C64988E" w14:textId="6303ACF0" w:rsidR="00F642ED" w:rsidRPr="00F642ED" w:rsidRDefault="00F642ED" w:rsidP="00F642ED">
      <w:pPr>
        <w:rPr>
          <w:sz w:val="24"/>
          <w:szCs w:val="24"/>
          <w:lang w:eastAsia="bg-BG"/>
        </w:rPr>
      </w:pPr>
      <w:r w:rsidRPr="00F642ED">
        <w:rPr>
          <w:i/>
          <w:iCs/>
          <w:lang w:eastAsia="bg-BG"/>
        </w:rPr>
        <w:t xml:space="preserve">Милурит 200 </w:t>
      </w:r>
      <w:r w:rsidRPr="00F642ED">
        <w:rPr>
          <w:i/>
          <w:iCs/>
          <w:lang w:val="en-US"/>
        </w:rPr>
        <w:t xml:space="preserve">mg </w:t>
      </w:r>
      <w:r w:rsidRPr="00F642ED">
        <w:rPr>
          <w:i/>
          <w:iCs/>
          <w:lang w:eastAsia="bg-BG"/>
        </w:rPr>
        <w:t>таблетки:</w:t>
      </w:r>
      <w:r w:rsidRPr="00F642ED">
        <w:rPr>
          <w:lang w:eastAsia="bg-BG"/>
        </w:rPr>
        <w:t xml:space="preserve"> Бели или сиво-бели, овални, таблетки с гравиран надпис “Е 354” от едната страна и с </w:t>
      </w:r>
      <w:r w:rsidRPr="00F642ED">
        <w:rPr>
          <w:lang w:val="en-US"/>
        </w:rPr>
        <w:t xml:space="preserve">SNAP </w:t>
      </w:r>
      <w:r w:rsidRPr="00F642ED">
        <w:rPr>
          <w:lang w:eastAsia="bg-BG"/>
        </w:rPr>
        <w:t xml:space="preserve">делителна черта от другата страна. Дължината на таблетката е около 11,5 </w:t>
      </w:r>
      <w:r w:rsidRPr="00F642ED">
        <w:rPr>
          <w:lang w:val="en-US"/>
        </w:rPr>
        <w:t xml:space="preserve">mm, </w:t>
      </w:r>
      <w:r w:rsidRPr="00F642ED">
        <w:rPr>
          <w:lang w:eastAsia="bg-BG"/>
        </w:rPr>
        <w:t xml:space="preserve">а ширината е около 6 </w:t>
      </w:r>
      <w:r w:rsidRPr="00F642ED">
        <w:rPr>
          <w:lang w:val="en-US"/>
        </w:rPr>
        <w:t>mm.</w:t>
      </w:r>
    </w:p>
    <w:p w14:paraId="3A3D809D" w14:textId="77777777" w:rsidR="00F642ED" w:rsidRPr="00F642ED" w:rsidRDefault="00F642ED" w:rsidP="00F642ED">
      <w:pPr>
        <w:rPr>
          <w:sz w:val="24"/>
          <w:szCs w:val="24"/>
          <w:lang w:eastAsia="bg-BG"/>
        </w:rPr>
      </w:pPr>
      <w:r w:rsidRPr="00F642ED">
        <w:rPr>
          <w:lang w:eastAsia="bg-BG"/>
        </w:rPr>
        <w:t>Таблетката може да бъде разделена на равни дози.</w:t>
      </w:r>
    </w:p>
    <w:p w14:paraId="7B66F2F0" w14:textId="31F6B7B2" w:rsidR="00F642ED" w:rsidRPr="00F642ED" w:rsidRDefault="00F642ED" w:rsidP="00F642ED"/>
    <w:p w14:paraId="490FC2C4" w14:textId="6899DE43" w:rsidR="002C50EE" w:rsidRDefault="002C50EE" w:rsidP="002C50EE">
      <w:pPr>
        <w:pStyle w:val="Heading1"/>
      </w:pPr>
      <w:r>
        <w:t>4. КЛИНИЧНИ ДАННИ</w:t>
      </w:r>
    </w:p>
    <w:p w14:paraId="461901E4" w14:textId="4E45D261" w:rsidR="009F77A4" w:rsidRDefault="002C50EE" w:rsidP="00387A66">
      <w:pPr>
        <w:pStyle w:val="Heading2"/>
      </w:pPr>
      <w:r>
        <w:t>4.1. Терапевтични показания</w:t>
      </w:r>
    </w:p>
    <w:p w14:paraId="67A4A4E8" w14:textId="32575809" w:rsidR="00F642ED" w:rsidRDefault="00F642ED" w:rsidP="00F642ED"/>
    <w:p w14:paraId="54709996"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Възрастни:</w:t>
      </w:r>
    </w:p>
    <w:p w14:paraId="53693198" w14:textId="77777777" w:rsidR="00F642ED" w:rsidRPr="00F642ED" w:rsidRDefault="00F642ED" w:rsidP="00F642ED">
      <w:pPr>
        <w:pStyle w:val="ListParagraph"/>
        <w:numPr>
          <w:ilvl w:val="0"/>
          <w:numId w:val="40"/>
        </w:numPr>
        <w:spacing w:line="240" w:lineRule="auto"/>
        <w:rPr>
          <w:rFonts w:eastAsia="Times New Roman" w:cs="Arial"/>
          <w:color w:val="000000"/>
          <w:lang w:eastAsia="bg-BG"/>
        </w:rPr>
      </w:pPr>
      <w:r w:rsidRPr="00F642ED">
        <w:rPr>
          <w:rFonts w:eastAsia="Times New Roman" w:cs="Arial"/>
          <w:color w:val="000000"/>
          <w:lang w:eastAsia="bg-BG"/>
        </w:rPr>
        <w:t>Всички форми на хиперурикемия, които не се контролират с диета, включително вторична хиперурикемия от различен произход и клинични усложнения на хиперурикемични състояния, предимно клинично изявена подагра и уратна нефропатия, както и за разтваряне и профилактика на уратна калкулоза (камъни в бъбреците).</w:t>
      </w:r>
    </w:p>
    <w:p w14:paraId="4D84485B" w14:textId="7AACD4B6" w:rsidR="00F642ED" w:rsidRPr="00F642ED" w:rsidRDefault="00F642ED" w:rsidP="00F642ED">
      <w:pPr>
        <w:pStyle w:val="ListParagraph"/>
        <w:numPr>
          <w:ilvl w:val="0"/>
          <w:numId w:val="40"/>
        </w:numPr>
        <w:spacing w:line="240" w:lineRule="auto"/>
        <w:rPr>
          <w:rFonts w:eastAsia="Times New Roman" w:cs="Arial"/>
          <w:color w:val="000000"/>
          <w:lang w:eastAsia="bg-BG"/>
        </w:rPr>
      </w:pPr>
      <w:r w:rsidRPr="00F642ED">
        <w:rPr>
          <w:rFonts w:eastAsia="Times New Roman" w:cs="Arial"/>
          <w:color w:val="000000"/>
          <w:lang w:eastAsia="bg-BG"/>
        </w:rPr>
        <w:t>Лечение на рецидив на смесени калциевооксалатни бъбречни камъни при придружаваща хиперурикемия в случаите, когато приемът на течностите, диетичния режим и други подобни мерки са неефикасни.</w:t>
      </w:r>
    </w:p>
    <w:p w14:paraId="1A516B74" w14:textId="77777777" w:rsidR="00F642ED" w:rsidRPr="00F642ED" w:rsidRDefault="00F642ED" w:rsidP="00F642ED">
      <w:pPr>
        <w:spacing w:line="240" w:lineRule="auto"/>
        <w:rPr>
          <w:rFonts w:eastAsia="Times New Roman" w:cs="Arial"/>
          <w:i/>
          <w:iCs/>
          <w:color w:val="000000"/>
          <w:lang w:eastAsia="bg-BG"/>
        </w:rPr>
      </w:pPr>
    </w:p>
    <w:p w14:paraId="66D8A917" w14:textId="72C212A0"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Деца и юноши:</w:t>
      </w:r>
    </w:p>
    <w:p w14:paraId="47BCCE80" w14:textId="77777777" w:rsidR="00F642ED" w:rsidRPr="00F642ED" w:rsidRDefault="00F642ED" w:rsidP="00F642ED">
      <w:pPr>
        <w:pStyle w:val="ListParagraph"/>
        <w:numPr>
          <w:ilvl w:val="0"/>
          <w:numId w:val="41"/>
        </w:numPr>
        <w:spacing w:line="240" w:lineRule="auto"/>
        <w:rPr>
          <w:rFonts w:eastAsia="Times New Roman" w:cs="Arial"/>
          <w:color w:val="000000"/>
          <w:lang w:eastAsia="bg-BG"/>
        </w:rPr>
      </w:pPr>
      <w:r w:rsidRPr="00F642ED">
        <w:rPr>
          <w:rFonts w:eastAsia="Times New Roman" w:cs="Arial"/>
          <w:color w:val="000000"/>
          <w:lang w:eastAsia="bg-BG"/>
        </w:rPr>
        <w:lastRenderedPageBreak/>
        <w:t>Вторична хиперурикемия от различен произход.</w:t>
      </w:r>
    </w:p>
    <w:p w14:paraId="6C59955C" w14:textId="77777777" w:rsidR="00F642ED" w:rsidRPr="00F642ED" w:rsidRDefault="00F642ED" w:rsidP="00F642ED">
      <w:pPr>
        <w:pStyle w:val="ListParagraph"/>
        <w:numPr>
          <w:ilvl w:val="0"/>
          <w:numId w:val="41"/>
        </w:numPr>
        <w:spacing w:line="240" w:lineRule="auto"/>
        <w:rPr>
          <w:rFonts w:eastAsia="Times New Roman" w:cs="Arial"/>
          <w:color w:val="000000"/>
          <w:lang w:eastAsia="bg-BG"/>
        </w:rPr>
      </w:pPr>
      <w:r w:rsidRPr="00F642ED">
        <w:rPr>
          <w:rFonts w:eastAsia="Times New Roman" w:cs="Arial"/>
          <w:color w:val="000000"/>
          <w:lang w:eastAsia="bg-BG"/>
        </w:rPr>
        <w:t>Уратна нефропатия по време на лечение на левкемия.</w:t>
      </w:r>
    </w:p>
    <w:p w14:paraId="0C079580" w14:textId="3769AE89" w:rsidR="00F642ED" w:rsidRPr="00F642ED" w:rsidRDefault="00F642ED" w:rsidP="00F642ED">
      <w:pPr>
        <w:pStyle w:val="ListParagraph"/>
        <w:numPr>
          <w:ilvl w:val="0"/>
          <w:numId w:val="41"/>
        </w:numPr>
        <w:spacing w:line="240" w:lineRule="auto"/>
        <w:rPr>
          <w:rFonts w:eastAsia="Times New Roman" w:cs="Arial"/>
          <w:color w:val="000000"/>
          <w:lang w:eastAsia="bg-BG"/>
        </w:rPr>
      </w:pPr>
      <w:r w:rsidRPr="00F642ED">
        <w:rPr>
          <w:rFonts w:eastAsia="Times New Roman" w:cs="Arial"/>
          <w:i/>
          <w:iCs/>
          <w:color w:val="000000"/>
          <w:lang w:eastAsia="bg-BG"/>
        </w:rPr>
        <w:t>Наследствен</w:t>
      </w:r>
      <w:r w:rsidRPr="00F642ED">
        <w:rPr>
          <w:rFonts w:eastAsia="Times New Roman" w:cs="Arial"/>
          <w:color w:val="000000"/>
          <w:lang w:eastAsia="bg-BG"/>
        </w:rPr>
        <w:t xml:space="preserve"> ензимен дефицит, синдром на </w:t>
      </w:r>
      <w:proofErr w:type="spellStart"/>
      <w:r w:rsidRPr="00F642ED">
        <w:rPr>
          <w:rFonts w:eastAsia="Times New Roman" w:cs="Arial"/>
          <w:color w:val="000000"/>
          <w:lang w:val="en-US"/>
        </w:rPr>
        <w:t>Lesch-Nyhan</w:t>
      </w:r>
      <w:proofErr w:type="spellEnd"/>
      <w:r w:rsidRPr="00F642ED">
        <w:rPr>
          <w:rFonts w:eastAsia="Times New Roman" w:cs="Arial"/>
          <w:color w:val="000000"/>
          <w:lang w:val="en-US"/>
        </w:rPr>
        <w:t xml:space="preserve"> </w:t>
      </w:r>
      <w:r w:rsidRPr="00F642ED">
        <w:rPr>
          <w:rFonts w:eastAsia="Times New Roman" w:cs="Arial"/>
          <w:color w:val="000000"/>
          <w:lang w:eastAsia="bg-BG"/>
        </w:rPr>
        <w:t>(частичен или тотален дефицит на хипоксантин-гуанин фосфорибозил трансфераза) и дефицит на аденин фосфорибозилтрансфераза.</w:t>
      </w:r>
    </w:p>
    <w:p w14:paraId="1F9CA8A7" w14:textId="77777777" w:rsidR="00F642ED" w:rsidRPr="00F642ED" w:rsidRDefault="00F642ED" w:rsidP="00F642ED">
      <w:pPr>
        <w:spacing w:line="240" w:lineRule="auto"/>
        <w:rPr>
          <w:rFonts w:ascii="Times New Roman" w:eastAsia="Times New Roman" w:hAnsi="Times New Roman" w:cs="Times New Roman"/>
          <w:color w:val="000000"/>
          <w:sz w:val="20"/>
          <w:szCs w:val="20"/>
          <w:lang w:eastAsia="bg-BG"/>
        </w:rPr>
      </w:pPr>
    </w:p>
    <w:p w14:paraId="31744E5A" w14:textId="58A5BB4A" w:rsidR="009F77A4" w:rsidRDefault="002C50EE" w:rsidP="00387A66">
      <w:pPr>
        <w:pStyle w:val="Heading2"/>
      </w:pPr>
      <w:r>
        <w:t>4.2. Дозировка и начин на приложение</w:t>
      </w:r>
    </w:p>
    <w:p w14:paraId="690EF825" w14:textId="7E52A3B7" w:rsidR="00F642ED" w:rsidRDefault="00F642ED" w:rsidP="00F642ED"/>
    <w:p w14:paraId="16E8D2A0" w14:textId="77777777" w:rsidR="00F642ED" w:rsidRPr="00F642ED" w:rsidRDefault="00F642ED" w:rsidP="00F642ED">
      <w:pPr>
        <w:pStyle w:val="Heading3"/>
        <w:rPr>
          <w:rFonts w:eastAsia="Times New Roman"/>
          <w:u w:val="single"/>
          <w:lang w:eastAsia="bg-BG"/>
        </w:rPr>
      </w:pPr>
      <w:r w:rsidRPr="00F642ED">
        <w:rPr>
          <w:rFonts w:eastAsia="Times New Roman"/>
          <w:u w:val="single"/>
          <w:lang w:eastAsia="bg-BG"/>
        </w:rPr>
        <w:t>Дозировка</w:t>
      </w:r>
    </w:p>
    <w:p w14:paraId="4AE362F7" w14:textId="77777777" w:rsidR="00F642ED" w:rsidRPr="00F642ED" w:rsidRDefault="00F642ED" w:rsidP="00F642ED">
      <w:pPr>
        <w:spacing w:line="240" w:lineRule="auto"/>
        <w:rPr>
          <w:rFonts w:eastAsia="Times New Roman" w:cs="Arial"/>
          <w:i/>
          <w:iCs/>
          <w:color w:val="000000"/>
          <w:u w:val="single"/>
          <w:lang w:eastAsia="bg-BG"/>
        </w:rPr>
      </w:pPr>
    </w:p>
    <w:p w14:paraId="7CE4F5F3" w14:textId="6E1C3327"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Възрастни:</w:t>
      </w:r>
    </w:p>
    <w:p w14:paraId="76BC637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Алопуринол трябва да се въвежда в ниска доза, напр. 100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за да се намали рискът от нежелани лекарствени реакции, и да се увеличава само ако отговорът по отношение на нивата на урати в серума е незадоволителен. При нарушена бъбречна функция трябва да се проявява особено внимание </w:t>
      </w:r>
      <w:r w:rsidRPr="00F642ED">
        <w:rPr>
          <w:rFonts w:eastAsia="Times New Roman" w:cs="Arial"/>
          <w:i/>
          <w:iCs/>
          <w:color w:val="000000"/>
          <w:lang w:eastAsia="bg-BG"/>
        </w:rPr>
        <w:t>(вж. „Бъбречно увреждане“).</w:t>
      </w:r>
    </w:p>
    <w:p w14:paraId="2FDB4C16" w14:textId="77777777" w:rsidR="00F642ED" w:rsidRPr="00F642ED" w:rsidRDefault="00F642ED" w:rsidP="00F642ED">
      <w:pPr>
        <w:spacing w:line="240" w:lineRule="auto"/>
        <w:rPr>
          <w:rFonts w:eastAsia="Times New Roman" w:cs="Arial"/>
          <w:color w:val="000000"/>
          <w:lang w:eastAsia="bg-BG"/>
        </w:rPr>
      </w:pPr>
    </w:p>
    <w:p w14:paraId="34408D32" w14:textId="10588B0E"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Предлагат се следните дозови схеми:</w:t>
      </w:r>
    </w:p>
    <w:p w14:paraId="2B757D39"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100-200 </w:t>
      </w:r>
      <w:r w:rsidRPr="00F642ED">
        <w:rPr>
          <w:rFonts w:eastAsia="Times New Roman" w:cs="Arial"/>
          <w:color w:val="000000"/>
          <w:lang w:val="en-US"/>
        </w:rPr>
        <w:t xml:space="preserve">mg </w:t>
      </w:r>
      <w:r w:rsidRPr="00F642ED">
        <w:rPr>
          <w:rFonts w:eastAsia="Times New Roman" w:cs="Arial"/>
          <w:color w:val="000000"/>
          <w:lang w:eastAsia="bg-BG"/>
        </w:rPr>
        <w:t>дневно при леки форми,</w:t>
      </w:r>
    </w:p>
    <w:p w14:paraId="5551C72D"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300-600 </w:t>
      </w:r>
      <w:r w:rsidRPr="00F642ED">
        <w:rPr>
          <w:rFonts w:eastAsia="Times New Roman" w:cs="Arial"/>
          <w:color w:val="000000"/>
          <w:lang w:val="en-US"/>
        </w:rPr>
        <w:t xml:space="preserve">mg </w:t>
      </w:r>
      <w:r w:rsidRPr="00F642ED">
        <w:rPr>
          <w:rFonts w:eastAsia="Times New Roman" w:cs="Arial"/>
          <w:color w:val="000000"/>
          <w:lang w:eastAsia="bg-BG"/>
        </w:rPr>
        <w:t>дневно при умерено тежки форми,</w:t>
      </w:r>
    </w:p>
    <w:p w14:paraId="3D52F08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700-900 </w:t>
      </w:r>
      <w:r w:rsidRPr="00F642ED">
        <w:rPr>
          <w:rFonts w:eastAsia="Times New Roman" w:cs="Arial"/>
          <w:color w:val="000000"/>
          <w:lang w:val="en-US"/>
        </w:rPr>
        <w:t xml:space="preserve">mg </w:t>
      </w:r>
      <w:r w:rsidRPr="00F642ED">
        <w:rPr>
          <w:rFonts w:eastAsia="Times New Roman" w:cs="Arial"/>
          <w:color w:val="000000"/>
          <w:lang w:eastAsia="bg-BG"/>
        </w:rPr>
        <w:t>дневно при тежки форми.</w:t>
      </w:r>
    </w:p>
    <w:p w14:paraId="0429162D" w14:textId="77777777" w:rsidR="00F642ED" w:rsidRPr="00F642ED" w:rsidRDefault="00F642ED" w:rsidP="00F642ED">
      <w:pPr>
        <w:spacing w:line="240" w:lineRule="auto"/>
        <w:rPr>
          <w:rFonts w:eastAsia="Times New Roman" w:cs="Arial"/>
          <w:color w:val="000000"/>
          <w:lang w:eastAsia="bg-BG"/>
        </w:rPr>
      </w:pPr>
    </w:p>
    <w:p w14:paraId="31E22317" w14:textId="0B02C415"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Ако е необходимо определяне на дозата на база телесно тегло </w:t>
      </w:r>
      <w:r w:rsidRPr="00F642ED">
        <w:rPr>
          <w:rFonts w:eastAsia="Times New Roman" w:cs="Arial"/>
          <w:color w:val="000000"/>
          <w:lang w:val="en-US"/>
        </w:rPr>
        <w:t xml:space="preserve">(mg/kg), </w:t>
      </w:r>
      <w:r w:rsidRPr="00F642ED">
        <w:rPr>
          <w:rFonts w:eastAsia="Times New Roman" w:cs="Arial"/>
          <w:color w:val="000000"/>
          <w:lang w:eastAsia="bg-BG"/>
        </w:rPr>
        <w:t xml:space="preserve">трябва да се прилага доза от 2 до 10 </w:t>
      </w:r>
      <w:r w:rsidRPr="00F642ED">
        <w:rPr>
          <w:rFonts w:eastAsia="Times New Roman" w:cs="Arial"/>
          <w:color w:val="000000"/>
          <w:lang w:val="en-US"/>
        </w:rPr>
        <w:t xml:space="preserve">mg/kg </w:t>
      </w:r>
      <w:r w:rsidRPr="00F642ED">
        <w:rPr>
          <w:rFonts w:eastAsia="Times New Roman" w:cs="Arial"/>
          <w:color w:val="000000"/>
          <w:lang w:eastAsia="bg-BG"/>
        </w:rPr>
        <w:t>телесно тегло на ден.</w:t>
      </w:r>
    </w:p>
    <w:p w14:paraId="5629D2D8" w14:textId="77777777" w:rsidR="00F642ED" w:rsidRPr="00F642ED" w:rsidRDefault="00F642ED" w:rsidP="00F642ED">
      <w:pPr>
        <w:spacing w:line="240" w:lineRule="auto"/>
        <w:rPr>
          <w:rFonts w:eastAsia="Times New Roman" w:cs="Arial"/>
          <w:i/>
          <w:iCs/>
          <w:color w:val="000000"/>
          <w:u w:val="single"/>
          <w:lang w:eastAsia="bg-BG"/>
        </w:rPr>
      </w:pPr>
    </w:p>
    <w:p w14:paraId="4B68FE19" w14:textId="374466D5"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Педиатрична популаиия (Деца на възраст под 15 години):</w:t>
      </w:r>
    </w:p>
    <w:p w14:paraId="15E8EFA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Препоръчителната доза е 10 до 20 </w:t>
      </w:r>
      <w:r w:rsidRPr="00F642ED">
        <w:rPr>
          <w:rFonts w:eastAsia="Times New Roman" w:cs="Arial"/>
          <w:color w:val="000000"/>
          <w:lang w:val="en-US"/>
        </w:rPr>
        <w:t xml:space="preserve">mg/kg </w:t>
      </w:r>
      <w:r w:rsidRPr="00F642ED">
        <w:rPr>
          <w:rFonts w:eastAsia="Times New Roman" w:cs="Arial"/>
          <w:color w:val="000000"/>
          <w:lang w:eastAsia="bg-BG"/>
        </w:rPr>
        <w:t xml:space="preserve">телесно тегло на ден, до максимална доза от 400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разделена в три приема. Рядко има показания за употреба при деца, освен в случай на злокачествени образувания (най-вече левкемия) и определени ензимни нарушения, като синдром на </w:t>
      </w:r>
      <w:proofErr w:type="spellStart"/>
      <w:r w:rsidRPr="00F642ED">
        <w:rPr>
          <w:rFonts w:eastAsia="Times New Roman" w:cs="Arial"/>
          <w:color w:val="000000"/>
          <w:lang w:val="en-US"/>
        </w:rPr>
        <w:t>Lesch-Nyhan</w:t>
      </w:r>
      <w:proofErr w:type="spellEnd"/>
      <w:r w:rsidRPr="00F642ED">
        <w:rPr>
          <w:rFonts w:eastAsia="Times New Roman" w:cs="Arial"/>
          <w:color w:val="000000"/>
          <w:lang w:val="en-US"/>
        </w:rPr>
        <w:t>.</w:t>
      </w:r>
    </w:p>
    <w:p w14:paraId="6503AA63" w14:textId="77777777" w:rsidR="00F642ED" w:rsidRPr="00F642ED" w:rsidRDefault="00F642ED" w:rsidP="00F642ED">
      <w:pPr>
        <w:spacing w:line="240" w:lineRule="auto"/>
        <w:rPr>
          <w:rFonts w:eastAsia="Times New Roman" w:cs="Arial"/>
          <w:i/>
          <w:iCs/>
          <w:color w:val="000000"/>
          <w:u w:val="single"/>
          <w:lang w:eastAsia="bg-BG"/>
        </w:rPr>
      </w:pPr>
    </w:p>
    <w:p w14:paraId="243DD892" w14:textId="1D8A7DAA"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Старческа възраст:</w:t>
      </w:r>
    </w:p>
    <w:p w14:paraId="73AA0DC9"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Поради липсата на конкретни данни, трябва да се прилага най-ниската доза, при която се постига добро понижение на нивото на урати. По-специално внимание следва да се отдели на препоръките при бъбречно увреждане и определени случаи, посочени в точка 4.4 </w:t>
      </w:r>
      <w:r w:rsidRPr="00F642ED">
        <w:rPr>
          <w:rFonts w:eastAsia="Times New Roman" w:cs="Arial"/>
          <w:i/>
          <w:iCs/>
          <w:color w:val="000000"/>
          <w:lang w:eastAsia="bg-BG"/>
        </w:rPr>
        <w:t>(вж. т.4.4).</w:t>
      </w:r>
    </w:p>
    <w:p w14:paraId="6E511292" w14:textId="77777777" w:rsidR="00F642ED" w:rsidRPr="00F642ED" w:rsidRDefault="00F642ED" w:rsidP="00F642ED">
      <w:pPr>
        <w:spacing w:line="240" w:lineRule="auto"/>
        <w:rPr>
          <w:rFonts w:eastAsia="Times New Roman" w:cs="Arial"/>
          <w:i/>
          <w:iCs/>
          <w:color w:val="000000"/>
          <w:u w:val="single"/>
          <w:lang w:eastAsia="bg-BG"/>
        </w:rPr>
      </w:pPr>
    </w:p>
    <w:p w14:paraId="5DDFD36D" w14:textId="58AC8AAE"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Бъбречно увреждане:</w:t>
      </w:r>
    </w:p>
    <w:p w14:paraId="6EBEDCB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Тъй като алопуринол и неговите метаболити се екскретират през бъбреците, нарушената бъбречна функция може да доведе до задържане на активното вещество и/или на негови метаболити с последващо удължаване на плазмения им полуживот.</w:t>
      </w:r>
    </w:p>
    <w:p w14:paraId="2B26CD7F"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Таблицата по-долу може да послужи като справка за адаптиране на дозата при бъбречно увреждане:</w:t>
      </w:r>
    </w:p>
    <w:p w14:paraId="435FA27C" w14:textId="37425151" w:rsidR="00F642ED" w:rsidRPr="00F642ED" w:rsidRDefault="00F642ED" w:rsidP="00F642ED">
      <w:pPr>
        <w:rPr>
          <w:rFonts w:cs="Arial"/>
        </w:rPr>
      </w:pPr>
    </w:p>
    <w:tbl>
      <w:tblPr>
        <w:tblStyle w:val="TableGrid"/>
        <w:tblW w:w="0" w:type="auto"/>
        <w:tblLook w:val="04A0" w:firstRow="1" w:lastRow="0" w:firstColumn="1" w:lastColumn="0" w:noHBand="0" w:noVBand="1"/>
      </w:tblPr>
      <w:tblGrid>
        <w:gridCol w:w="3606"/>
        <w:gridCol w:w="5744"/>
      </w:tblGrid>
      <w:tr w:rsidR="00F642ED" w:rsidRPr="00F642ED" w14:paraId="331C0F55" w14:textId="77777777" w:rsidTr="00F642ED">
        <w:tc>
          <w:tcPr>
            <w:tcW w:w="3652" w:type="dxa"/>
            <w:vAlign w:val="bottom"/>
          </w:tcPr>
          <w:p w14:paraId="2A8076B7" w14:textId="417EEBE0" w:rsidR="00F642ED" w:rsidRPr="00F642ED" w:rsidRDefault="00F642ED" w:rsidP="00F642ED">
            <w:pPr>
              <w:rPr>
                <w:rFonts w:cs="Arial"/>
              </w:rPr>
            </w:pPr>
            <w:r w:rsidRPr="00F642ED">
              <w:rPr>
                <w:rFonts w:cs="Arial"/>
                <w:b/>
                <w:bCs/>
              </w:rPr>
              <w:t>Креатининов клирънс</w:t>
            </w:r>
          </w:p>
        </w:tc>
        <w:tc>
          <w:tcPr>
            <w:tcW w:w="5848" w:type="dxa"/>
            <w:vAlign w:val="bottom"/>
          </w:tcPr>
          <w:p w14:paraId="1D572466" w14:textId="3D2BCBA3" w:rsidR="00F642ED" w:rsidRPr="00F642ED" w:rsidRDefault="00F642ED" w:rsidP="00F642ED">
            <w:pPr>
              <w:rPr>
                <w:rFonts w:cs="Arial"/>
              </w:rPr>
            </w:pPr>
            <w:r w:rsidRPr="00F642ED">
              <w:rPr>
                <w:rFonts w:cs="Arial"/>
                <w:b/>
                <w:bCs/>
              </w:rPr>
              <w:t>Дневна доза</w:t>
            </w:r>
          </w:p>
        </w:tc>
      </w:tr>
      <w:tr w:rsidR="00F642ED" w:rsidRPr="00F642ED" w14:paraId="0DF6CB04" w14:textId="77777777" w:rsidTr="00F642ED">
        <w:tc>
          <w:tcPr>
            <w:tcW w:w="3652" w:type="dxa"/>
            <w:vAlign w:val="bottom"/>
          </w:tcPr>
          <w:p w14:paraId="56850525" w14:textId="54300F32" w:rsidR="00F642ED" w:rsidRPr="00F642ED" w:rsidRDefault="00F642ED" w:rsidP="00F642ED">
            <w:pPr>
              <w:rPr>
                <w:rFonts w:cs="Arial"/>
              </w:rPr>
            </w:pPr>
            <w:r w:rsidRPr="00F642ED">
              <w:rPr>
                <w:rFonts w:cs="Arial"/>
              </w:rPr>
              <w:t xml:space="preserve">&gt; 20 </w:t>
            </w:r>
            <w:r w:rsidRPr="00F642ED">
              <w:rPr>
                <w:rFonts w:cs="Arial"/>
                <w:lang w:val="en-US"/>
              </w:rPr>
              <w:t>ml/min</w:t>
            </w:r>
          </w:p>
        </w:tc>
        <w:tc>
          <w:tcPr>
            <w:tcW w:w="5848" w:type="dxa"/>
            <w:vAlign w:val="bottom"/>
          </w:tcPr>
          <w:p w14:paraId="48235167" w14:textId="52C3C8FB" w:rsidR="00F642ED" w:rsidRPr="00F642ED" w:rsidRDefault="00F642ED" w:rsidP="00F642ED">
            <w:pPr>
              <w:rPr>
                <w:rFonts w:cs="Arial"/>
              </w:rPr>
            </w:pPr>
            <w:r w:rsidRPr="00F642ED">
              <w:rPr>
                <w:rFonts w:cs="Arial"/>
              </w:rPr>
              <w:t>нормална доза</w:t>
            </w:r>
          </w:p>
        </w:tc>
      </w:tr>
      <w:tr w:rsidR="00F642ED" w:rsidRPr="00F642ED" w14:paraId="3C5B230E" w14:textId="77777777" w:rsidTr="00F642ED">
        <w:tc>
          <w:tcPr>
            <w:tcW w:w="3652" w:type="dxa"/>
            <w:vAlign w:val="bottom"/>
          </w:tcPr>
          <w:p w14:paraId="4FD70FD3" w14:textId="3C021A87" w:rsidR="00F642ED" w:rsidRPr="00F642ED" w:rsidRDefault="00F642ED" w:rsidP="00F642ED">
            <w:pPr>
              <w:rPr>
                <w:rFonts w:cs="Arial"/>
              </w:rPr>
            </w:pPr>
            <w:r w:rsidRPr="00F642ED">
              <w:rPr>
                <w:rFonts w:cs="Arial"/>
              </w:rPr>
              <w:t xml:space="preserve">10 до 20 </w:t>
            </w:r>
            <w:r w:rsidRPr="00F642ED">
              <w:rPr>
                <w:rFonts w:cs="Arial"/>
                <w:lang w:val="en-US"/>
              </w:rPr>
              <w:t>ml/min</w:t>
            </w:r>
          </w:p>
        </w:tc>
        <w:tc>
          <w:tcPr>
            <w:tcW w:w="5848" w:type="dxa"/>
            <w:vAlign w:val="bottom"/>
          </w:tcPr>
          <w:p w14:paraId="0886F469" w14:textId="37C0829D" w:rsidR="00F642ED" w:rsidRPr="00F642ED" w:rsidRDefault="00F642ED" w:rsidP="00F642ED">
            <w:pPr>
              <w:rPr>
                <w:rFonts w:cs="Arial"/>
              </w:rPr>
            </w:pPr>
            <w:r w:rsidRPr="00F642ED">
              <w:rPr>
                <w:rFonts w:cs="Arial"/>
              </w:rPr>
              <w:t xml:space="preserve">100 до 200 </w:t>
            </w:r>
            <w:r w:rsidRPr="00F642ED">
              <w:rPr>
                <w:rFonts w:cs="Arial"/>
                <w:lang w:val="en-US"/>
              </w:rPr>
              <w:t xml:space="preserve">mg </w:t>
            </w:r>
            <w:r w:rsidRPr="00F642ED">
              <w:rPr>
                <w:rFonts w:cs="Arial"/>
              </w:rPr>
              <w:t>дневно</w:t>
            </w:r>
          </w:p>
        </w:tc>
      </w:tr>
      <w:tr w:rsidR="00F642ED" w:rsidRPr="00F642ED" w14:paraId="72BE5F79" w14:textId="77777777" w:rsidTr="00F642ED">
        <w:tc>
          <w:tcPr>
            <w:tcW w:w="3652" w:type="dxa"/>
            <w:vAlign w:val="bottom"/>
          </w:tcPr>
          <w:p w14:paraId="0F5CB1CC" w14:textId="6F5F8524" w:rsidR="00F642ED" w:rsidRPr="00F642ED" w:rsidRDefault="00F642ED" w:rsidP="00F642ED">
            <w:pPr>
              <w:rPr>
                <w:rFonts w:cs="Arial"/>
              </w:rPr>
            </w:pPr>
            <w:r w:rsidRPr="00F642ED">
              <w:rPr>
                <w:rFonts w:cs="Arial"/>
              </w:rPr>
              <w:t xml:space="preserve">&lt;10 </w:t>
            </w:r>
            <w:r w:rsidRPr="00F642ED">
              <w:rPr>
                <w:rFonts w:cs="Arial"/>
                <w:lang w:val="en-US"/>
              </w:rPr>
              <w:t>ml/min</w:t>
            </w:r>
          </w:p>
        </w:tc>
        <w:tc>
          <w:tcPr>
            <w:tcW w:w="5848" w:type="dxa"/>
            <w:vAlign w:val="bottom"/>
          </w:tcPr>
          <w:p w14:paraId="721D8D30" w14:textId="3E83BA8D" w:rsidR="00F642ED" w:rsidRPr="00F642ED" w:rsidRDefault="00F642ED" w:rsidP="00F642ED">
            <w:pPr>
              <w:rPr>
                <w:rFonts w:cs="Arial"/>
              </w:rPr>
            </w:pPr>
            <w:r w:rsidRPr="00F642ED">
              <w:rPr>
                <w:rFonts w:cs="Arial"/>
              </w:rPr>
              <w:t xml:space="preserve">100 </w:t>
            </w:r>
            <w:r w:rsidRPr="00F642ED">
              <w:rPr>
                <w:rFonts w:cs="Arial"/>
                <w:lang w:val="en-US"/>
              </w:rPr>
              <w:t>mg</w:t>
            </w:r>
            <w:r w:rsidRPr="00F642ED">
              <w:rPr>
                <w:rFonts w:cs="Arial"/>
              </w:rPr>
              <w:t>/дневно или на по-големи интервали от време</w:t>
            </w:r>
          </w:p>
        </w:tc>
      </w:tr>
    </w:tbl>
    <w:p w14:paraId="06366805" w14:textId="3AE1A246" w:rsidR="00F642ED" w:rsidRPr="00F642ED" w:rsidRDefault="00F642ED" w:rsidP="00F642ED">
      <w:pPr>
        <w:rPr>
          <w:rFonts w:cs="Arial"/>
        </w:rPr>
      </w:pPr>
    </w:p>
    <w:p w14:paraId="45FA048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lastRenderedPageBreak/>
        <w:t xml:space="preserve">В случай на тежко увредена бъбречна функция може да е препоръчителна употребата на доза под 100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или на единични дози от 100 </w:t>
      </w:r>
      <w:r w:rsidRPr="00F642ED">
        <w:rPr>
          <w:rFonts w:eastAsia="Times New Roman" w:cs="Arial"/>
          <w:color w:val="000000"/>
          <w:lang w:val="en-US"/>
        </w:rPr>
        <w:t xml:space="preserve">mg </w:t>
      </w:r>
      <w:r w:rsidRPr="00F642ED">
        <w:rPr>
          <w:rFonts w:eastAsia="Times New Roman" w:cs="Arial"/>
          <w:color w:val="000000"/>
          <w:lang w:eastAsia="bg-BG"/>
        </w:rPr>
        <w:t>на интервали, по-големи от един ден.</w:t>
      </w:r>
    </w:p>
    <w:p w14:paraId="508848C8" w14:textId="77777777" w:rsidR="00F642ED" w:rsidRPr="00F642ED" w:rsidRDefault="00F642ED" w:rsidP="00F642ED">
      <w:pPr>
        <w:spacing w:line="240" w:lineRule="auto"/>
        <w:rPr>
          <w:rFonts w:eastAsia="Times New Roman" w:cs="Arial"/>
          <w:color w:val="000000"/>
          <w:lang w:eastAsia="bg-BG"/>
        </w:rPr>
      </w:pPr>
    </w:p>
    <w:p w14:paraId="238D9055" w14:textId="4BEFFB4B"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наличие на условия за наблюдение на концентрациите на оксипуринол в плазмата дозата</w:t>
      </w:r>
    </w:p>
    <w:p w14:paraId="08E6D111"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трябва да се коригира така, че да се поддържат нива на оксипуринол в плазмата под 100 микромол/литър (15,2 </w:t>
      </w:r>
      <w:r w:rsidRPr="00F642ED">
        <w:rPr>
          <w:rFonts w:eastAsia="Times New Roman" w:cs="Arial"/>
          <w:color w:val="000000"/>
          <w:lang w:val="en-US"/>
        </w:rPr>
        <w:t>mg</w:t>
      </w:r>
      <w:r w:rsidRPr="00F642ED">
        <w:rPr>
          <w:rFonts w:eastAsia="Times New Roman" w:cs="Arial"/>
          <w:color w:val="000000"/>
          <w:lang w:eastAsia="bg-BG"/>
        </w:rPr>
        <w:t>/литър).</w:t>
      </w:r>
    </w:p>
    <w:p w14:paraId="7D1B2B0C" w14:textId="175D0703" w:rsidR="00F642ED" w:rsidRPr="00F642ED" w:rsidRDefault="00F642ED" w:rsidP="00F642ED">
      <w:pPr>
        <w:rPr>
          <w:rFonts w:cs="Arial"/>
        </w:rPr>
      </w:pPr>
    </w:p>
    <w:p w14:paraId="620475D1"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Алопуринол и неговите метаболити се елиминират с бъбречна диализа. Ако се налага провеждане на диализа два-три пъти седмично, трябва да се обмисли възможността за прилагане на друга дозова схема от 300-400 </w:t>
      </w:r>
      <w:r w:rsidRPr="00F642ED">
        <w:rPr>
          <w:rFonts w:eastAsia="Times New Roman" w:cs="Arial"/>
          <w:color w:val="000000"/>
          <w:lang w:val="en-US"/>
        </w:rPr>
        <w:t xml:space="preserve">mg </w:t>
      </w:r>
      <w:r w:rsidRPr="00F642ED">
        <w:rPr>
          <w:rFonts w:eastAsia="Times New Roman" w:cs="Arial"/>
          <w:color w:val="000000"/>
          <w:lang w:eastAsia="bg-BG"/>
        </w:rPr>
        <w:t>алопуринол непосредствено след всяка диализа, без приложение в интервала между тях.</w:t>
      </w:r>
    </w:p>
    <w:p w14:paraId="2278DB33" w14:textId="77777777" w:rsidR="00F642ED" w:rsidRPr="00F642ED" w:rsidRDefault="00F642ED" w:rsidP="00F642ED">
      <w:pPr>
        <w:spacing w:line="240" w:lineRule="auto"/>
        <w:rPr>
          <w:rFonts w:eastAsia="Times New Roman" w:cs="Arial"/>
          <w:color w:val="000000"/>
          <w:lang w:eastAsia="bg-BG"/>
        </w:rPr>
      </w:pPr>
    </w:p>
    <w:p w14:paraId="6028BFDF" w14:textId="1FD75231"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бъбречно увреждане, едновременното приложение на алопуринол и тиазидни дуиретици трябва да става с повишено внимание. Алопуринол трябва да се прилага във възможно най-ниската ефективна доза при стриктно проследяване на бъбречната функция (вж. т. 4.5).</w:t>
      </w:r>
    </w:p>
    <w:p w14:paraId="26DD19FC" w14:textId="77777777" w:rsidR="00F642ED" w:rsidRPr="00F642ED" w:rsidRDefault="00F642ED" w:rsidP="00F642ED">
      <w:pPr>
        <w:spacing w:line="240" w:lineRule="auto"/>
        <w:rPr>
          <w:rFonts w:eastAsia="Times New Roman" w:cs="Arial"/>
          <w:i/>
          <w:iCs/>
          <w:color w:val="000000"/>
          <w:u w:val="single"/>
          <w:lang w:eastAsia="bg-BG"/>
        </w:rPr>
      </w:pPr>
    </w:p>
    <w:p w14:paraId="1655ABE6" w14:textId="117DEC40"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Чернодробно увреждане:</w:t>
      </w:r>
    </w:p>
    <w:p w14:paraId="6FB060E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чернодробно увреждане трябва да се прилагат намалени дози. Препоръчва се периодично провеждане на изследвания на чернодробната функция в ранните етапи на лечението.</w:t>
      </w:r>
    </w:p>
    <w:p w14:paraId="62CC74D0" w14:textId="77777777" w:rsidR="00F642ED" w:rsidRPr="00F642ED" w:rsidRDefault="00F642ED" w:rsidP="00F642ED">
      <w:pPr>
        <w:spacing w:line="240" w:lineRule="auto"/>
        <w:rPr>
          <w:rFonts w:eastAsia="Times New Roman" w:cs="Arial"/>
          <w:i/>
          <w:iCs/>
          <w:color w:val="000000"/>
          <w:u w:val="single"/>
          <w:lang w:eastAsia="bg-BG"/>
        </w:rPr>
      </w:pPr>
    </w:p>
    <w:p w14:paraId="5C819F22" w14:textId="0B3A9E02"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 xml:space="preserve">Лечение на състояние, свързани с интензивен кръговрат на урати, например неоплазми, синдром на </w:t>
      </w:r>
      <w:proofErr w:type="spellStart"/>
      <w:r w:rsidRPr="00F642ED">
        <w:rPr>
          <w:rFonts w:eastAsia="Times New Roman" w:cs="Arial"/>
          <w:i/>
          <w:iCs/>
          <w:color w:val="000000"/>
          <w:u w:val="single"/>
          <w:lang w:val="en-US"/>
        </w:rPr>
        <w:t>Lesch-Nyhan</w:t>
      </w:r>
      <w:proofErr w:type="spellEnd"/>
      <w:r w:rsidRPr="00F642ED">
        <w:rPr>
          <w:rFonts w:eastAsia="Times New Roman" w:cs="Arial"/>
          <w:i/>
          <w:iCs/>
          <w:color w:val="000000"/>
          <w:u w:val="single"/>
          <w:lang w:val="en-US"/>
        </w:rPr>
        <w:t>:</w:t>
      </w:r>
    </w:p>
    <w:p w14:paraId="73C2BDE1"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Препоръчително е да се коригира съществуваща хиперурикемия и/или хиперурикозурия с алопуринол преди започване на цитостатична терапия. От значение е да се осигури адекватна хидратация с цел поддържане на оптимална диуреза и да се направи опит за алкализация на урината с оглед повишаване разтворимостта на уратите в урината/пикочната киселина. Дозата на алопуринол трябва да бъде в по-ниската препоръчвана дозова схема.</w:t>
      </w:r>
    </w:p>
    <w:p w14:paraId="1433D862" w14:textId="77777777" w:rsidR="00F642ED" w:rsidRPr="00F642ED" w:rsidRDefault="00F642ED" w:rsidP="00F642ED">
      <w:pPr>
        <w:spacing w:line="240" w:lineRule="auto"/>
        <w:rPr>
          <w:rFonts w:eastAsia="Times New Roman" w:cs="Arial"/>
          <w:color w:val="000000"/>
          <w:lang w:eastAsia="bg-BG"/>
        </w:rPr>
      </w:pPr>
    </w:p>
    <w:p w14:paraId="10FB5B79" w14:textId="58AA3158"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Ако бъбречната функция е компрометирана от наличие на уратна нефропатия или друга патология, да се спазват указанията, посочени в </w:t>
      </w:r>
      <w:r w:rsidRPr="00F642ED">
        <w:rPr>
          <w:rFonts w:eastAsia="Times New Roman" w:cs="Arial"/>
          <w:i/>
          <w:iCs/>
          <w:color w:val="000000"/>
          <w:lang w:eastAsia="bg-BG"/>
        </w:rPr>
        <w:t>„Бъбречно увреждане“.</w:t>
      </w:r>
    </w:p>
    <w:p w14:paraId="5356B81B" w14:textId="77777777" w:rsidR="00F642ED" w:rsidRPr="00F642ED" w:rsidRDefault="00F642ED" w:rsidP="00F642ED">
      <w:pPr>
        <w:spacing w:line="240" w:lineRule="auto"/>
        <w:rPr>
          <w:rFonts w:eastAsia="Times New Roman" w:cs="Arial"/>
          <w:color w:val="000000"/>
          <w:lang w:eastAsia="bg-BG"/>
        </w:rPr>
      </w:pPr>
    </w:p>
    <w:p w14:paraId="15F0F8D1" w14:textId="2400F228"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Тези правила може да намалят риска от отлагане на ксантин и/или оксипуринол, което усложнява клиничното състояние </w:t>
      </w:r>
      <w:r w:rsidRPr="00F642ED">
        <w:rPr>
          <w:rFonts w:eastAsia="Times New Roman" w:cs="Arial"/>
          <w:i/>
          <w:iCs/>
          <w:color w:val="000000"/>
          <w:lang w:eastAsia="bg-BG"/>
        </w:rPr>
        <w:t>(вж. също точки 4.5 и 4.8).</w:t>
      </w:r>
    </w:p>
    <w:p w14:paraId="2EA5A172" w14:textId="77777777" w:rsidR="00F642ED" w:rsidRPr="00F642ED" w:rsidRDefault="00F642ED" w:rsidP="00F642ED">
      <w:pPr>
        <w:spacing w:line="240" w:lineRule="auto"/>
        <w:rPr>
          <w:rFonts w:eastAsia="Times New Roman" w:cs="Arial"/>
          <w:i/>
          <w:iCs/>
          <w:color w:val="000000"/>
          <w:u w:val="single"/>
          <w:lang w:eastAsia="bg-BG"/>
        </w:rPr>
      </w:pPr>
    </w:p>
    <w:p w14:paraId="588624D1" w14:textId="40E1B9E7"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Препоръка за наблюдение:</w:t>
      </w:r>
    </w:p>
    <w:p w14:paraId="2D3F5D4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Дозировката трябва да се адаптира чрез наблюдение на серумните концентрации на урати и нивата на урати/пикочна киселина в урината на подходящи интервали.</w:t>
      </w:r>
    </w:p>
    <w:p w14:paraId="69A9F5B4" w14:textId="77777777" w:rsidR="00F642ED" w:rsidRPr="00F642ED" w:rsidRDefault="00F642ED" w:rsidP="00F642ED">
      <w:pPr>
        <w:spacing w:line="240" w:lineRule="auto"/>
        <w:rPr>
          <w:rFonts w:eastAsia="Times New Roman" w:cs="Arial"/>
          <w:i/>
          <w:iCs/>
          <w:color w:val="000000"/>
          <w:u w:val="single"/>
          <w:lang w:eastAsia="bg-BG"/>
        </w:rPr>
      </w:pPr>
    </w:p>
    <w:p w14:paraId="72EAA0EB" w14:textId="232F53AE"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Препоръки за дозиране при кожни реакции:</w:t>
      </w:r>
    </w:p>
    <w:p w14:paraId="2E2C4AB0"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Приложението на алопуринол трябва да се спре незабавно</w:t>
      </w:r>
      <w:r w:rsidRPr="00F642ED">
        <w:rPr>
          <w:rFonts w:eastAsia="Times New Roman" w:cs="Arial"/>
          <w:i/>
          <w:iCs/>
          <w:color w:val="000000"/>
          <w:lang w:eastAsia="bg-BG"/>
        </w:rPr>
        <w:t>,</w:t>
      </w:r>
      <w:r w:rsidRPr="00F642ED">
        <w:rPr>
          <w:rFonts w:eastAsia="Times New Roman" w:cs="Arial"/>
          <w:color w:val="000000"/>
          <w:lang w:eastAsia="bg-BG"/>
        </w:rPr>
        <w:t xml:space="preserve"> ако възникнат кожни реакции. След възстановяването от леки реакции, алопуринол може да се прилага отново в ниска доза (например 50 </w:t>
      </w:r>
      <w:r w:rsidRPr="00F642ED">
        <w:rPr>
          <w:rFonts w:eastAsia="Times New Roman" w:cs="Arial"/>
          <w:color w:val="000000"/>
          <w:lang w:val="en-US"/>
        </w:rPr>
        <w:t>mg</w:t>
      </w:r>
      <w:r w:rsidRPr="00F642ED">
        <w:rPr>
          <w:rFonts w:eastAsia="Times New Roman" w:cs="Arial"/>
          <w:color w:val="000000"/>
          <w:lang w:eastAsia="bg-BG"/>
        </w:rPr>
        <w:t xml:space="preserve">/дневно) след внимателна оценка на рисковете. Впоследствие, дозата може да се увеличава постепенно, като се наблюдават кожните реакции и други възможни нежелани реакции. Ако се прояви обрив, приемът на алопуринол трябва да бъде прекратен </w:t>
      </w:r>
      <w:r w:rsidRPr="00F642ED">
        <w:rPr>
          <w:rFonts w:eastAsia="Times New Roman" w:cs="Arial"/>
          <w:i/>
          <w:iCs/>
          <w:color w:val="000000"/>
          <w:lang w:eastAsia="bg-BG"/>
        </w:rPr>
        <w:t>окончателно,</w:t>
      </w:r>
      <w:r w:rsidRPr="00F642ED">
        <w:rPr>
          <w:rFonts w:eastAsia="Times New Roman" w:cs="Arial"/>
          <w:color w:val="000000"/>
          <w:lang w:eastAsia="bg-BG"/>
        </w:rPr>
        <w:t xml:space="preserve"> като се има предвид, че могат да възникнат по-тежки реакции на свръхчувствителност (вж. т. 4.8).</w:t>
      </w:r>
    </w:p>
    <w:p w14:paraId="1E795E5D" w14:textId="77777777" w:rsidR="00F642ED" w:rsidRPr="00F642ED" w:rsidRDefault="00F642ED" w:rsidP="00F642ED">
      <w:pPr>
        <w:spacing w:line="240" w:lineRule="auto"/>
        <w:rPr>
          <w:rFonts w:eastAsia="Times New Roman" w:cs="Arial"/>
          <w:color w:val="000000"/>
          <w:u w:val="single"/>
          <w:lang w:eastAsia="bg-BG"/>
        </w:rPr>
      </w:pPr>
    </w:p>
    <w:p w14:paraId="743A0A64" w14:textId="3843DCC6" w:rsidR="00F642ED" w:rsidRPr="00F642ED" w:rsidRDefault="00F642ED" w:rsidP="00F642ED">
      <w:pPr>
        <w:pStyle w:val="Heading3"/>
        <w:rPr>
          <w:rFonts w:eastAsia="Times New Roman"/>
          <w:u w:val="single"/>
          <w:lang w:eastAsia="bg-BG"/>
        </w:rPr>
      </w:pPr>
      <w:r w:rsidRPr="00F642ED">
        <w:rPr>
          <w:rFonts w:eastAsia="Times New Roman"/>
          <w:u w:val="single"/>
          <w:lang w:eastAsia="bg-BG"/>
        </w:rPr>
        <w:t>Начин на приложение</w:t>
      </w:r>
    </w:p>
    <w:p w14:paraId="71AD90F7"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За перорално приложение.</w:t>
      </w:r>
    </w:p>
    <w:p w14:paraId="66E2B636" w14:textId="101D4716" w:rsidR="00F642ED" w:rsidRDefault="00F642ED" w:rsidP="00F642ED">
      <w:pPr>
        <w:rPr>
          <w:rFonts w:eastAsia="Times New Roman" w:cs="Arial"/>
          <w:color w:val="000000"/>
          <w:lang w:eastAsia="bg-BG"/>
        </w:rPr>
      </w:pPr>
      <w:r w:rsidRPr="00F642ED">
        <w:rPr>
          <w:rFonts w:eastAsia="Times New Roman" w:cs="Arial"/>
          <w:color w:val="000000"/>
          <w:lang w:eastAsia="bg-BG"/>
        </w:rPr>
        <w:t xml:space="preserve">Милурит таблетки трябва да се приема перорално веднъж дневно след хранене. Поносимостта му е добра, особено след прием на храна. Ако дневната доза надвиши 300 </w:t>
      </w:r>
      <w:r w:rsidRPr="00F642ED">
        <w:rPr>
          <w:rFonts w:eastAsia="Times New Roman" w:cs="Arial"/>
          <w:color w:val="000000"/>
          <w:lang w:val="en-US"/>
        </w:rPr>
        <w:t xml:space="preserve">mg </w:t>
      </w:r>
      <w:r w:rsidRPr="00F642ED">
        <w:rPr>
          <w:rFonts w:eastAsia="Times New Roman" w:cs="Arial"/>
          <w:color w:val="000000"/>
          <w:lang w:eastAsia="bg-BG"/>
        </w:rPr>
        <w:t>и при проява на признаци на стомашно-чревна непоносимост, може да е подходяща схема с разделяне на дозите.</w:t>
      </w:r>
    </w:p>
    <w:p w14:paraId="4E3CDA0D" w14:textId="77777777" w:rsidR="00F642ED" w:rsidRPr="00F642ED" w:rsidRDefault="00F642ED" w:rsidP="00F642ED">
      <w:pPr>
        <w:rPr>
          <w:rFonts w:cs="Arial"/>
        </w:rPr>
      </w:pPr>
    </w:p>
    <w:p w14:paraId="5D9E65DA" w14:textId="61C2943A" w:rsidR="009F77A4" w:rsidRDefault="002C50EE" w:rsidP="00387A66">
      <w:pPr>
        <w:pStyle w:val="Heading2"/>
      </w:pPr>
      <w:r>
        <w:t>4.3. Противопоказания</w:t>
      </w:r>
    </w:p>
    <w:p w14:paraId="00BD6F35" w14:textId="7E5FFA93" w:rsidR="00F642ED" w:rsidRDefault="00F642ED" w:rsidP="00F642ED"/>
    <w:p w14:paraId="657EAC56" w14:textId="269FF396" w:rsidR="00F642ED" w:rsidRDefault="00F642ED" w:rsidP="00F642ED">
      <w:pPr>
        <w:rPr>
          <w:lang w:eastAsia="bg-BG"/>
        </w:rPr>
      </w:pPr>
      <w:r w:rsidRPr="00F642ED">
        <w:rPr>
          <w:lang w:eastAsia="bg-BG"/>
        </w:rPr>
        <w:t>Свръхчувствителност към активното вещество или към някое от помощните вещества, изброени в точка 6.1.</w:t>
      </w:r>
    </w:p>
    <w:p w14:paraId="61508D51" w14:textId="77777777" w:rsidR="00F642ED" w:rsidRPr="00F642ED" w:rsidRDefault="00F642ED" w:rsidP="00F642ED">
      <w:pPr>
        <w:rPr>
          <w:sz w:val="24"/>
          <w:szCs w:val="24"/>
          <w:lang w:eastAsia="bg-BG"/>
        </w:rPr>
      </w:pPr>
    </w:p>
    <w:p w14:paraId="1C27CE53" w14:textId="6A4A55BC" w:rsidR="009F77A4" w:rsidRDefault="002C50EE" w:rsidP="00387A66">
      <w:pPr>
        <w:pStyle w:val="Heading2"/>
      </w:pPr>
      <w:r>
        <w:t>4.4. Специални предупреждения и предпазни мерки при употреба</w:t>
      </w:r>
    </w:p>
    <w:p w14:paraId="40C7EA0F" w14:textId="506B1658" w:rsidR="00F642ED" w:rsidRDefault="00F642ED" w:rsidP="00F642ED"/>
    <w:p w14:paraId="73FFC30B"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 xml:space="preserve">Синдром на свръхчувствителност, синдром на Стивънс-Джонсън </w:t>
      </w:r>
      <w:r w:rsidRPr="00F642ED">
        <w:rPr>
          <w:rFonts w:eastAsia="Times New Roman" w:cs="Arial"/>
          <w:color w:val="000000"/>
          <w:u w:val="single"/>
          <w:lang w:val="en-US"/>
        </w:rPr>
        <w:t xml:space="preserve">(SJS) </w:t>
      </w:r>
      <w:r w:rsidRPr="00F642ED">
        <w:rPr>
          <w:rFonts w:eastAsia="Times New Roman" w:cs="Arial"/>
          <w:color w:val="000000"/>
          <w:u w:val="single"/>
          <w:lang w:eastAsia="bg-BG"/>
        </w:rPr>
        <w:t xml:space="preserve">и токсична епидермална некролиза </w:t>
      </w:r>
      <w:r w:rsidRPr="00F642ED">
        <w:rPr>
          <w:rFonts w:eastAsia="Times New Roman" w:cs="Arial"/>
          <w:color w:val="000000"/>
          <w:u w:val="single"/>
          <w:lang w:val="en-US"/>
        </w:rPr>
        <w:t>(TEN)</w:t>
      </w:r>
    </w:p>
    <w:p w14:paraId="35EA721C"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Реакцията на свръхчувствителност към алопуринол може да се прояви по много различни начини, включително като макуло-папуларен екзантем, синдром на свръхчувствителност (известен също като </w:t>
      </w:r>
      <w:r w:rsidRPr="00F642ED">
        <w:rPr>
          <w:rFonts w:eastAsia="Times New Roman" w:cs="Arial"/>
          <w:color w:val="000000"/>
          <w:lang w:val="en-US"/>
        </w:rPr>
        <w:t xml:space="preserve">DRESS) </w:t>
      </w:r>
      <w:r w:rsidRPr="00F642ED">
        <w:rPr>
          <w:rFonts w:eastAsia="Times New Roman" w:cs="Arial"/>
          <w:color w:val="000000"/>
          <w:lang w:eastAsia="bg-BG"/>
        </w:rPr>
        <w:t xml:space="preserve">и синдром на Стивънс-Джонсън </w:t>
      </w:r>
      <w:r w:rsidRPr="00F642ED">
        <w:rPr>
          <w:rFonts w:eastAsia="Times New Roman" w:cs="Arial"/>
          <w:color w:val="000000"/>
          <w:lang w:val="en-US"/>
        </w:rPr>
        <w:t xml:space="preserve">(SJS) </w:t>
      </w:r>
      <w:r w:rsidRPr="00F642ED">
        <w:rPr>
          <w:rFonts w:eastAsia="Times New Roman" w:cs="Arial"/>
          <w:color w:val="000000"/>
          <w:lang w:eastAsia="bg-BG"/>
        </w:rPr>
        <w:t xml:space="preserve">и токсична епидермална некролиза </w:t>
      </w:r>
      <w:r w:rsidRPr="00F642ED">
        <w:rPr>
          <w:rFonts w:eastAsia="Times New Roman" w:cs="Arial"/>
          <w:color w:val="000000"/>
          <w:lang w:val="en-US"/>
        </w:rPr>
        <w:t xml:space="preserve">(TEN). </w:t>
      </w:r>
      <w:r w:rsidRPr="00F642ED">
        <w:rPr>
          <w:rFonts w:eastAsia="Times New Roman" w:cs="Arial"/>
          <w:color w:val="000000"/>
          <w:lang w:eastAsia="bg-BG"/>
        </w:rPr>
        <w:t xml:space="preserve">Тези реакции са клинични диагнози и техните клинични прояви са основание за вземане на решения. При поява на такива реакции по което и да е време от лечението, е необходимо незабавно спиране употребата на алопуринол. Лечението не трябва да се продължава при пациенти със синдром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 xml:space="preserve">За преодоляване на кожните реакции на свръхчувствителност може да е от полза прилагане на кортикостероиди. (Вж. т. 4.8 - </w:t>
      </w:r>
      <w:r w:rsidRPr="00F642ED">
        <w:rPr>
          <w:rFonts w:eastAsia="Times New Roman" w:cs="Arial"/>
          <w:i/>
          <w:iCs/>
          <w:color w:val="000000"/>
          <w:lang w:eastAsia="bg-BG"/>
        </w:rPr>
        <w:t>Нарушения на имунната система</w:t>
      </w:r>
      <w:r w:rsidRPr="00F642ED">
        <w:rPr>
          <w:rFonts w:eastAsia="Times New Roman" w:cs="Arial"/>
          <w:color w:val="000000"/>
          <w:lang w:eastAsia="bg-BG"/>
        </w:rPr>
        <w:t xml:space="preserve"> и </w:t>
      </w:r>
      <w:r w:rsidRPr="00F642ED">
        <w:rPr>
          <w:rFonts w:eastAsia="Times New Roman" w:cs="Arial"/>
          <w:i/>
          <w:iCs/>
          <w:color w:val="000000"/>
          <w:lang w:eastAsia="bg-BG"/>
        </w:rPr>
        <w:t>Нарушения на кожата и подкожната тъкан).</w:t>
      </w:r>
    </w:p>
    <w:p w14:paraId="3A09295B" w14:textId="77777777" w:rsidR="00F642ED" w:rsidRDefault="00F642ED" w:rsidP="00F642ED">
      <w:pPr>
        <w:spacing w:line="240" w:lineRule="auto"/>
        <w:rPr>
          <w:rFonts w:eastAsia="Times New Roman" w:cs="Arial"/>
          <w:color w:val="000000"/>
          <w:u w:val="single"/>
          <w:lang w:val="en-US"/>
        </w:rPr>
      </w:pPr>
    </w:p>
    <w:p w14:paraId="7E287269" w14:textId="4DFA22BC"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val="en-US"/>
        </w:rPr>
        <w:t xml:space="preserve">HLA-B*5801 </w:t>
      </w:r>
      <w:r w:rsidRPr="00F642ED">
        <w:rPr>
          <w:rFonts w:eastAsia="Times New Roman" w:cs="Arial"/>
          <w:color w:val="000000"/>
          <w:u w:val="single"/>
          <w:lang w:eastAsia="bg-BG"/>
        </w:rPr>
        <w:t>а</w:t>
      </w:r>
      <w:r>
        <w:rPr>
          <w:rFonts w:eastAsia="Times New Roman" w:cs="Arial"/>
          <w:color w:val="000000"/>
          <w:u w:val="single"/>
          <w:lang w:eastAsia="bg-BG"/>
        </w:rPr>
        <w:t>л</w:t>
      </w:r>
      <w:r w:rsidRPr="00F642ED">
        <w:rPr>
          <w:rFonts w:eastAsia="Times New Roman" w:cs="Arial"/>
          <w:color w:val="000000"/>
          <w:u w:val="single"/>
          <w:lang w:eastAsia="bg-BG"/>
        </w:rPr>
        <w:t>ел</w:t>
      </w:r>
    </w:p>
    <w:p w14:paraId="70BA28F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Установено е, че алелът </w:t>
      </w:r>
      <w:r w:rsidRPr="00F642ED">
        <w:rPr>
          <w:rFonts w:eastAsia="Times New Roman" w:cs="Arial"/>
          <w:color w:val="000000"/>
          <w:lang w:val="en-US"/>
        </w:rPr>
        <w:t xml:space="preserve">HLA-B*5801 </w:t>
      </w:r>
      <w:r w:rsidRPr="00F642ED">
        <w:rPr>
          <w:rFonts w:eastAsia="Times New Roman" w:cs="Arial"/>
          <w:color w:val="000000"/>
          <w:lang w:eastAsia="bg-BG"/>
        </w:rPr>
        <w:t xml:space="preserve">се свързва с риск от развитие на свързан с алопуринол синдром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Честотата на НЕА-В*5801 апела варира в широки граници между отделните етнически популации: до 20% в популацията от китайски произход, 8- 15% в тайландската популация, около 12% в корейската популация и 1 -2% сред хората с японски или европейски произход.</w:t>
      </w:r>
    </w:p>
    <w:p w14:paraId="30C291A1"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Трябва да се обмисли скрининг за </w:t>
      </w:r>
      <w:r w:rsidRPr="00F642ED">
        <w:rPr>
          <w:rFonts w:eastAsia="Times New Roman" w:cs="Arial"/>
          <w:color w:val="000000"/>
          <w:lang w:val="en-US"/>
        </w:rPr>
        <w:t xml:space="preserve">HLA-B*5801 </w:t>
      </w:r>
      <w:r w:rsidRPr="00F642ED">
        <w:rPr>
          <w:rFonts w:eastAsia="Times New Roman" w:cs="Arial"/>
          <w:color w:val="000000"/>
          <w:lang w:eastAsia="bg-BG"/>
        </w:rPr>
        <w:t xml:space="preserve">преди започване на лечение с алопуринол при пациентски подгрупи, за които е известен висок процент на този алел. Наличието на хронично бъбречно заболяване може да повиши допълнително риска при тези пациенти. В случай че няма генотипиране за </w:t>
      </w:r>
      <w:r w:rsidRPr="00F642ED">
        <w:rPr>
          <w:rFonts w:eastAsia="Times New Roman" w:cs="Arial"/>
          <w:color w:val="000000"/>
          <w:lang w:val="en-US"/>
        </w:rPr>
        <w:t xml:space="preserve">HLA-B*5801 </w:t>
      </w:r>
      <w:r w:rsidRPr="00F642ED">
        <w:rPr>
          <w:rFonts w:eastAsia="Times New Roman" w:cs="Arial"/>
          <w:color w:val="000000"/>
          <w:lang w:eastAsia="bg-BG"/>
        </w:rPr>
        <w:t>при пациенти от китайската етническа група хан или от тайландски или корейски произход, преди започване на лечението е необходимо ползите да бъдат внимателно преценени и да се счита, че те надвишават възможния риск. Използването на генотипиране при вземане на решение за лечение не е установено при други пациентски популации.</w:t>
      </w:r>
    </w:p>
    <w:p w14:paraId="335997B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Ако е известно, че пациентът е носител на </w:t>
      </w:r>
      <w:r w:rsidRPr="00F642ED">
        <w:rPr>
          <w:rFonts w:eastAsia="Times New Roman" w:cs="Arial"/>
          <w:color w:val="000000"/>
          <w:lang w:val="en-US"/>
        </w:rPr>
        <w:t xml:space="preserve">HLA-B*5801 </w:t>
      </w:r>
      <w:r w:rsidRPr="00F642ED">
        <w:rPr>
          <w:rFonts w:eastAsia="Times New Roman" w:cs="Arial"/>
          <w:color w:val="000000"/>
          <w:lang w:eastAsia="bg-BG"/>
        </w:rPr>
        <w:t xml:space="preserve">(особено при пациенти от китайската етническа група хан, от тайландски или корейски произход), не трябва да се започва лечение с алопуринол, освен при липсата на други възможности за лечение и ако се прецени, че ползите надвишават риска. Необходимо е допълнително наблюдение за признаци на синдром на свръхчувствителност или </w:t>
      </w:r>
      <w:r w:rsidRPr="00F642ED">
        <w:rPr>
          <w:rFonts w:eastAsia="Times New Roman" w:cs="Arial"/>
          <w:color w:val="000000"/>
          <w:lang w:val="en-US"/>
        </w:rPr>
        <w:t xml:space="preserve">SJS/TEN, </w:t>
      </w:r>
      <w:r w:rsidRPr="00F642ED">
        <w:rPr>
          <w:rFonts w:eastAsia="Times New Roman" w:cs="Arial"/>
          <w:color w:val="000000"/>
          <w:lang w:eastAsia="bg-BG"/>
        </w:rPr>
        <w:t>а пациентът трябва да бъде информиран за необходимостта от незабавно спиране на лечението при поява на първите симптоми.</w:t>
      </w:r>
    </w:p>
    <w:p w14:paraId="0F1F2E1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lastRenderedPageBreak/>
        <w:t xml:space="preserve">Въпреки това </w:t>
      </w:r>
      <w:r w:rsidRPr="00F642ED">
        <w:rPr>
          <w:rFonts w:eastAsia="Times New Roman" w:cs="Arial"/>
          <w:color w:val="000000"/>
          <w:lang w:val="en-US"/>
        </w:rPr>
        <w:t xml:space="preserve">SJS/TEN </w:t>
      </w:r>
      <w:r w:rsidRPr="00F642ED">
        <w:rPr>
          <w:rFonts w:eastAsia="Times New Roman" w:cs="Arial"/>
          <w:color w:val="000000"/>
          <w:lang w:eastAsia="bg-BG"/>
        </w:rPr>
        <w:t xml:space="preserve">може да възникне при пациенти, които не са носители на </w:t>
      </w:r>
      <w:r w:rsidRPr="00F642ED">
        <w:rPr>
          <w:rFonts w:eastAsia="Times New Roman" w:cs="Arial"/>
          <w:color w:val="000000"/>
          <w:lang w:val="en-US"/>
        </w:rPr>
        <w:t xml:space="preserve">HLA-B*5801, </w:t>
      </w:r>
      <w:r w:rsidRPr="00F642ED">
        <w:rPr>
          <w:rFonts w:eastAsia="Times New Roman" w:cs="Arial"/>
          <w:color w:val="000000"/>
          <w:lang w:eastAsia="bg-BG"/>
        </w:rPr>
        <w:t>без значение на техния етнически произход.</w:t>
      </w:r>
    </w:p>
    <w:p w14:paraId="52DD4A91" w14:textId="77777777" w:rsidR="00F642ED" w:rsidRDefault="00F642ED" w:rsidP="00F642ED">
      <w:pPr>
        <w:spacing w:line="240" w:lineRule="auto"/>
        <w:rPr>
          <w:rFonts w:eastAsia="Times New Roman" w:cs="Arial"/>
          <w:color w:val="000000"/>
          <w:u w:val="single"/>
          <w:lang w:eastAsia="bg-BG"/>
        </w:rPr>
      </w:pPr>
    </w:p>
    <w:p w14:paraId="3A37E892" w14:textId="10136383"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Хронично бъбречно увреждане</w:t>
      </w:r>
    </w:p>
    <w:p w14:paraId="0DE1F61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Възможно е пациентите с хронично бъбречно увреждане и едновременен прием на диуретици, особено тиазиди, да са изложени на по-висок риск за развитие на реакции на свръхчувствителност, в т.ч. </w:t>
      </w:r>
      <w:r w:rsidRPr="00F642ED">
        <w:rPr>
          <w:rFonts w:eastAsia="Times New Roman" w:cs="Arial"/>
          <w:color w:val="000000"/>
          <w:lang w:val="en-US"/>
        </w:rPr>
        <w:t xml:space="preserve">SJS/TEN </w:t>
      </w:r>
      <w:r w:rsidRPr="00F642ED">
        <w:rPr>
          <w:rFonts w:eastAsia="Times New Roman" w:cs="Arial"/>
          <w:color w:val="000000"/>
          <w:lang w:eastAsia="bg-BG"/>
        </w:rPr>
        <w:t xml:space="preserve">във връзка с употребата на алопуринол. Необходимо е повишено внимание за установяване на признаци на синдром на свръхчувствителност или </w:t>
      </w:r>
      <w:r w:rsidRPr="00F642ED">
        <w:rPr>
          <w:rFonts w:eastAsia="Times New Roman" w:cs="Arial"/>
          <w:color w:val="000000"/>
          <w:lang w:val="en-US"/>
        </w:rPr>
        <w:t xml:space="preserve">SJS/TEN, </w:t>
      </w:r>
      <w:r w:rsidRPr="00F642ED">
        <w:rPr>
          <w:rFonts w:eastAsia="Times New Roman" w:cs="Arial"/>
          <w:color w:val="000000"/>
          <w:lang w:eastAsia="bg-BG"/>
        </w:rPr>
        <w:t>като пациентът трябва да бъде информиран за необходимостта лечението да бъде спряно незабавно и окончателно при първата изява на симптоми (вж. т.4.8).</w:t>
      </w:r>
    </w:p>
    <w:p w14:paraId="3EEC8D69" w14:textId="77777777" w:rsidR="00F642ED" w:rsidRPr="00F642ED" w:rsidRDefault="00F642ED" w:rsidP="00F642ED">
      <w:pPr>
        <w:spacing w:line="240" w:lineRule="auto"/>
        <w:rPr>
          <w:rFonts w:eastAsia="Times New Roman" w:cs="Arial"/>
          <w:color w:val="000000"/>
          <w:u w:val="single"/>
          <w:lang w:eastAsia="bg-BG"/>
        </w:rPr>
      </w:pPr>
    </w:p>
    <w:p w14:paraId="30A9B987" w14:textId="0E827C70"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Чернодробно или бъбречно увреждане</w:t>
      </w:r>
    </w:p>
    <w:p w14:paraId="7A3F313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чернодробно или бъбречно увреждане трябва да се прилагат по-ниски дози (вж. т. 4.2). При пациенти, провеждащи лечение за хипертония или сърдечна недостатъчност, напр. с диуретици или АСЕ инхибитори, може да възникне известно съпътстващо влошаване на</w:t>
      </w:r>
    </w:p>
    <w:p w14:paraId="65507F5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бъбречната функция, поради което алопуринол трябва да се прилага предпазливо при тази група.</w:t>
      </w:r>
    </w:p>
    <w:p w14:paraId="6EA96C32" w14:textId="77777777" w:rsidR="00F642ED" w:rsidRPr="00F642ED" w:rsidRDefault="00F642ED" w:rsidP="00F642ED">
      <w:pPr>
        <w:spacing w:line="240" w:lineRule="auto"/>
        <w:rPr>
          <w:rFonts w:eastAsia="Times New Roman" w:cs="Arial"/>
          <w:color w:val="000000"/>
          <w:u w:val="single"/>
          <w:lang w:eastAsia="bg-BG"/>
        </w:rPr>
      </w:pPr>
    </w:p>
    <w:p w14:paraId="5C31535D" w14:textId="74A8A29C" w:rsidR="00F642ED" w:rsidRPr="00F642ED" w:rsidRDefault="00F642ED" w:rsidP="00F642ED">
      <w:pPr>
        <w:spacing w:line="240" w:lineRule="auto"/>
        <w:rPr>
          <w:rFonts w:eastAsia="Times New Roman" w:cs="Arial"/>
          <w:color w:val="000000"/>
          <w:u w:val="single"/>
          <w:lang w:eastAsia="bg-BG"/>
        </w:rPr>
      </w:pPr>
      <w:r w:rsidRPr="00F642ED">
        <w:rPr>
          <w:rFonts w:eastAsia="Times New Roman" w:cs="Arial"/>
          <w:color w:val="000000"/>
          <w:u w:val="single"/>
          <w:lang w:eastAsia="bg-BG"/>
        </w:rPr>
        <w:t>Безсимптомна хиперурикемия</w:t>
      </w:r>
    </w:p>
    <w:p w14:paraId="55AAA57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Безсимптомната хиперурикемия като цяло не се счита като показание за употребата на Милурит. Това състояние може да бъде коригирано чрез промяна в приема на течности и диетата, заедно с контрол на подлежащата причина.</w:t>
      </w:r>
    </w:p>
    <w:p w14:paraId="3FFA030D" w14:textId="77777777" w:rsidR="00F642ED" w:rsidRPr="00F642ED" w:rsidRDefault="00F642ED" w:rsidP="00F642ED">
      <w:pPr>
        <w:spacing w:line="240" w:lineRule="auto"/>
        <w:rPr>
          <w:rFonts w:eastAsia="Times New Roman" w:cs="Arial"/>
          <w:color w:val="000000"/>
          <w:u w:val="single"/>
          <w:lang w:eastAsia="bg-BG"/>
        </w:rPr>
      </w:pPr>
    </w:p>
    <w:p w14:paraId="0E9BAC77" w14:textId="04E0D28C"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Остър пристъп на подагра</w:t>
      </w:r>
    </w:p>
    <w:p w14:paraId="053414F8"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Лечение с алопуринол не трябва да се започва до пълното изчезване на симптомите на подагрозния пристъп, тъй като това може да провокира появата на нов пристъп.</w:t>
      </w:r>
    </w:p>
    <w:p w14:paraId="2CEF2CC3" w14:textId="77777777" w:rsidR="00F642ED" w:rsidRPr="00F642ED" w:rsidRDefault="00F642ED" w:rsidP="00F642ED">
      <w:pPr>
        <w:spacing w:line="240" w:lineRule="auto"/>
        <w:rPr>
          <w:rFonts w:eastAsia="Times New Roman" w:cs="Arial"/>
          <w:color w:val="000000"/>
          <w:lang w:eastAsia="bg-BG"/>
        </w:rPr>
      </w:pPr>
    </w:p>
    <w:p w14:paraId="3A15295D" w14:textId="7553DA6B"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В началните етапи от лечението с алопуринол, както и при останалите урикозурични продукти, може да се провокира появата на пристъп от подагрозен артрит. Затова се препоръчва профилактичното приложение на подходящи противовъзпалителни продукти или колхицин в продължение най-малко на един месец. За подробности относно дозировката, предупрежденията и предпазните мерки, трябва да се направи справка с литературата.</w:t>
      </w:r>
    </w:p>
    <w:p w14:paraId="67EAF4AC" w14:textId="77777777" w:rsidR="00F642ED" w:rsidRPr="00F642ED" w:rsidRDefault="00F642ED" w:rsidP="00F642ED">
      <w:pPr>
        <w:spacing w:line="240" w:lineRule="auto"/>
        <w:rPr>
          <w:rFonts w:eastAsia="Times New Roman" w:cs="Arial"/>
          <w:color w:val="000000"/>
          <w:lang w:eastAsia="bg-BG"/>
        </w:rPr>
      </w:pPr>
    </w:p>
    <w:p w14:paraId="58E0A243" w14:textId="6E951246"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поява на пристъп при пациенти, провеждащи лечение с алопуринол, терапията трябва да продължи в същата дозировка, а пристъпът да се лекува с подходящи противовъзпалителни продукти.</w:t>
      </w:r>
    </w:p>
    <w:p w14:paraId="524D3E79" w14:textId="77777777" w:rsidR="00F642ED" w:rsidRPr="00F642ED" w:rsidRDefault="00F642ED" w:rsidP="00F642ED">
      <w:pPr>
        <w:spacing w:line="240" w:lineRule="auto"/>
        <w:rPr>
          <w:rFonts w:eastAsia="Times New Roman" w:cs="Arial"/>
          <w:color w:val="000000"/>
          <w:u w:val="single"/>
          <w:lang w:eastAsia="bg-BG"/>
        </w:rPr>
      </w:pPr>
    </w:p>
    <w:p w14:paraId="3CBDB723" w14:textId="3BB96465"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Азатиоприн или 6-меркаптопурин</w:t>
      </w:r>
    </w:p>
    <w:p w14:paraId="5527888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Алопуринол не трябва да се предписва на пациенти, приемащи лечение с азатиоприн или 6- меркаптопурин, освен ако дозата на тези лекарства бъде намалена до 25% от първоначално предписаната доза (вж. т. 4.5).</w:t>
      </w:r>
    </w:p>
    <w:p w14:paraId="762B8001" w14:textId="77777777" w:rsidR="00F642ED" w:rsidRPr="00F642ED" w:rsidRDefault="00F642ED" w:rsidP="00F642ED">
      <w:pPr>
        <w:spacing w:line="240" w:lineRule="auto"/>
        <w:rPr>
          <w:rFonts w:eastAsia="Times New Roman" w:cs="Arial"/>
          <w:color w:val="000000"/>
          <w:u w:val="single"/>
          <w:lang w:eastAsia="bg-BG"/>
        </w:rPr>
      </w:pPr>
    </w:p>
    <w:p w14:paraId="68ADF344" w14:textId="7862823E"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Отлагане на ксантин:</w:t>
      </w:r>
    </w:p>
    <w:p w14:paraId="745A6F70"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При състояния, при които образуването на урати е силно повишено (напр. злокачествени заболявалия и тяхното лечение, синдром на </w:t>
      </w:r>
      <w:proofErr w:type="spellStart"/>
      <w:r w:rsidRPr="00F642ED">
        <w:rPr>
          <w:rFonts w:eastAsia="Times New Roman" w:cs="Arial"/>
          <w:color w:val="000000"/>
          <w:lang w:val="en-US"/>
        </w:rPr>
        <w:t>Lesch-Nyhan</w:t>
      </w:r>
      <w:proofErr w:type="spellEnd"/>
      <w:r w:rsidRPr="00F642ED">
        <w:rPr>
          <w:rFonts w:eastAsia="Times New Roman" w:cs="Arial"/>
          <w:color w:val="000000"/>
          <w:lang w:val="en-US"/>
        </w:rPr>
        <w:t xml:space="preserve">), </w:t>
      </w:r>
      <w:r w:rsidRPr="00F642ED">
        <w:rPr>
          <w:rFonts w:eastAsia="Times New Roman" w:cs="Arial"/>
          <w:color w:val="000000"/>
          <w:lang w:eastAsia="bg-BG"/>
        </w:rPr>
        <w:t>абсолютната концентрация на ксантин в урината би могла в редки случаи да се повиши до такава степен, че да доведе до отлагането му в пикочните пътища. Този риск може да бъде намален чрез адекватна хидратация, за да се постигне оптимално разреждане на урината.</w:t>
      </w:r>
    </w:p>
    <w:p w14:paraId="446F05E0" w14:textId="77777777" w:rsidR="00F642ED" w:rsidRPr="00F642ED" w:rsidRDefault="00F642ED" w:rsidP="00F642ED">
      <w:pPr>
        <w:spacing w:line="240" w:lineRule="auto"/>
        <w:rPr>
          <w:rFonts w:eastAsia="Times New Roman" w:cs="Arial"/>
          <w:color w:val="000000"/>
          <w:u w:val="single"/>
          <w:lang w:eastAsia="bg-BG"/>
        </w:rPr>
      </w:pPr>
    </w:p>
    <w:p w14:paraId="4C71FF91" w14:textId="7DDA8D63"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Влияние върху уратните бъбречни камъни</w:t>
      </w:r>
    </w:p>
    <w:p w14:paraId="4C663C7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Адекватната терапия с алопуринол ще доведе до разтваряне на големи уратни камъни в бъбречните легенчета, с много малка вероятност за засядане в уретерите.</w:t>
      </w:r>
    </w:p>
    <w:p w14:paraId="4D36CA10" w14:textId="77777777" w:rsidR="00F642ED" w:rsidRPr="00F642ED" w:rsidRDefault="00F642ED" w:rsidP="00F642ED">
      <w:pPr>
        <w:spacing w:line="240" w:lineRule="auto"/>
        <w:rPr>
          <w:rFonts w:eastAsia="Times New Roman" w:cs="Arial"/>
          <w:color w:val="000000"/>
          <w:lang w:eastAsia="bg-BG"/>
        </w:rPr>
      </w:pPr>
    </w:p>
    <w:p w14:paraId="092A4C18" w14:textId="7241466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При лечение на подагрозна нефропатия и уратна калкулоза, 24-часовата диуреза трябва да бъде не по-малко от 2 литра, </w:t>
      </w:r>
      <w:r w:rsidRPr="00F642ED">
        <w:rPr>
          <w:rFonts w:eastAsia="Times New Roman" w:cs="Arial"/>
          <w:color w:val="000000"/>
          <w:lang w:val="en-US"/>
        </w:rPr>
        <w:t xml:space="preserve">a pH </w:t>
      </w:r>
      <w:r w:rsidRPr="00F642ED">
        <w:rPr>
          <w:rFonts w:eastAsia="Times New Roman" w:cs="Arial"/>
          <w:color w:val="000000"/>
          <w:lang w:eastAsia="bg-BG"/>
        </w:rPr>
        <w:t>на урината да се поддържа в границите 6,4 - 6,8.</w:t>
      </w:r>
    </w:p>
    <w:p w14:paraId="7E63BBFD" w14:textId="77777777" w:rsidR="00F642ED" w:rsidRPr="00F642ED" w:rsidRDefault="00F642ED" w:rsidP="00F642ED">
      <w:pPr>
        <w:spacing w:line="240" w:lineRule="auto"/>
        <w:rPr>
          <w:rFonts w:eastAsia="Times New Roman" w:cs="Arial"/>
          <w:color w:val="000000"/>
          <w:u w:val="single"/>
          <w:lang w:eastAsia="bg-BG"/>
        </w:rPr>
      </w:pPr>
    </w:p>
    <w:p w14:paraId="36B5E44D" w14:textId="49F2B056"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Хемохроматоза:</w:t>
      </w:r>
    </w:p>
    <w:p w14:paraId="7B041E8F"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Първичното действие на алопуринол при лечението на подагра е потискане на ензима ксантин оксидаза. Възможно е ксантин оксидазата да има участие в намаляването и елиминирането на желязо, натрупано в черния дроб, В някои проучвания при гризачи е установено повишено натрупване на желязо при животни, лекувани с алопуринол, докато в други такова не е установено. Проучване при 28 здрави доброволци не е установило промяна в нивото на натрупване на желязо в черния дроб при лечение с алопуринол. Няма проучвания при хора, които изследват безопасността на приложението на алопуринол при пациенти с хематохроматоза. Приложението на алопуринол при пациенти или техни близки родственици трябва да се извършва с повишено внимание.</w:t>
      </w:r>
    </w:p>
    <w:p w14:paraId="6D4743AD" w14:textId="77777777" w:rsidR="00F642ED" w:rsidRPr="00F642ED" w:rsidRDefault="00F642ED" w:rsidP="00F642ED">
      <w:pPr>
        <w:spacing w:line="240" w:lineRule="auto"/>
        <w:rPr>
          <w:rFonts w:eastAsia="Times New Roman" w:cs="Arial"/>
          <w:color w:val="000000"/>
          <w:u w:val="single"/>
          <w:lang w:eastAsia="bg-BG"/>
        </w:rPr>
      </w:pPr>
    </w:p>
    <w:p w14:paraId="681543D1" w14:textId="532FD690"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Нарушения на щитовидната жлеза</w:t>
      </w:r>
    </w:p>
    <w:p w14:paraId="047342F8" w14:textId="5D23E9E2"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В дългосрочно, отворено, разширено проучване са наблюдавани повишени нива на </w:t>
      </w:r>
      <w:r w:rsidRPr="00F642ED">
        <w:rPr>
          <w:rFonts w:eastAsia="Times New Roman" w:cs="Arial"/>
          <w:color w:val="000000"/>
          <w:lang w:val="en-US"/>
        </w:rPr>
        <w:t>TSH (&gt;</w:t>
      </w:r>
      <w:r w:rsidRPr="00F642ED">
        <w:rPr>
          <w:rFonts w:eastAsia="Times New Roman" w:cs="Arial"/>
          <w:color w:val="000000"/>
          <w:lang w:eastAsia="bg-BG"/>
        </w:rPr>
        <w:t>5,5 μ</w:t>
      </w:r>
      <w:r w:rsidRPr="00F642ED">
        <w:rPr>
          <w:rFonts w:eastAsia="Times New Roman" w:cs="Arial"/>
          <w:color w:val="000000"/>
          <w:lang w:val="en-US"/>
        </w:rPr>
        <w:t xml:space="preserve">IU/mL) </w:t>
      </w:r>
      <w:r w:rsidRPr="00F642ED">
        <w:rPr>
          <w:rFonts w:eastAsia="Times New Roman" w:cs="Arial"/>
          <w:color w:val="000000"/>
          <w:lang w:eastAsia="bg-BG"/>
        </w:rPr>
        <w:t>при пациенти на дългосрочно лечение с алопуринол (5,8%). Необходимо е повишено внимание при прилагане на алопуринол при пациенти с променена функция на щитовидната жлеза</w:t>
      </w:r>
      <w:r w:rsidRPr="00F642ED">
        <w:rPr>
          <w:rFonts w:eastAsia="Times New Roman" w:cs="Arial"/>
          <w:color w:val="000000"/>
          <w:lang w:eastAsia="bg-BG"/>
        </w:rPr>
        <w:t>.</w:t>
      </w:r>
    </w:p>
    <w:p w14:paraId="56CEF008" w14:textId="5BDB3567" w:rsidR="00F642ED" w:rsidRPr="00F642ED" w:rsidRDefault="00F642ED" w:rsidP="00F642ED">
      <w:pPr>
        <w:spacing w:line="240" w:lineRule="auto"/>
        <w:rPr>
          <w:rFonts w:eastAsia="Times New Roman" w:cs="Arial"/>
          <w:color w:val="000000"/>
          <w:lang w:eastAsia="bg-BG"/>
        </w:rPr>
      </w:pPr>
    </w:p>
    <w:p w14:paraId="3919CDBD"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Натрий</w:t>
      </w:r>
    </w:p>
    <w:p w14:paraId="039C89BD" w14:textId="3F705BAE"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Това лекарство съдържа по-малко от 1 </w:t>
      </w:r>
      <w:r w:rsidRPr="00F642ED">
        <w:rPr>
          <w:rFonts w:eastAsia="Times New Roman" w:cs="Arial"/>
          <w:color w:val="000000"/>
          <w:lang w:val="en-US"/>
        </w:rPr>
        <w:t xml:space="preserve">mmol </w:t>
      </w:r>
      <w:r w:rsidRPr="00F642ED">
        <w:rPr>
          <w:rFonts w:eastAsia="Times New Roman" w:cs="Arial"/>
          <w:color w:val="000000"/>
          <w:lang w:eastAsia="bg-BG"/>
        </w:rPr>
        <w:t xml:space="preserve">натрий (23 </w:t>
      </w:r>
      <w:r w:rsidRPr="00F642ED">
        <w:rPr>
          <w:rFonts w:eastAsia="Times New Roman" w:cs="Arial"/>
          <w:color w:val="000000"/>
          <w:lang w:val="en-US"/>
        </w:rPr>
        <w:t xml:space="preserve">mg) </w:t>
      </w:r>
      <w:r w:rsidRPr="00F642ED">
        <w:rPr>
          <w:rFonts w:eastAsia="Times New Roman" w:cs="Arial"/>
          <w:color w:val="000000"/>
          <w:lang w:eastAsia="bg-BG"/>
        </w:rPr>
        <w:t>на таблетка, т.е. по същество не съдържа натрий.</w:t>
      </w:r>
    </w:p>
    <w:p w14:paraId="37450017" w14:textId="77777777" w:rsidR="00F642ED" w:rsidRPr="00F642ED" w:rsidRDefault="00F642ED" w:rsidP="00F642ED"/>
    <w:p w14:paraId="1DA47448" w14:textId="45D07A50"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9F12886" w14:textId="63AC983C" w:rsidR="00F642ED" w:rsidRDefault="00F642ED" w:rsidP="00F642ED"/>
    <w:p w14:paraId="0F8F225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6-меркаптопурин и азатиоприн:</w:t>
      </w:r>
    </w:p>
    <w:p w14:paraId="01252C11"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Азатиоприн се метаболизира до 6-меркаптопурин, който се инактивира от действието на ксантин оксидазата. При едновременно приложение на 6-меркаптопурин или азатиоприн с алопуринол, трябва да бъдат прилагани само една четвърт от обичайните дози на 6-меркаптопурин или азатиоприн, тъй като инхибирането от ксантин оксидазата може да удължи тяхното действие. Серумните концентрации на тези лекарствени продукти могат да достигнат токсично ниво, ако дозите не бъдат намалени (вж. т. 4.4).</w:t>
      </w:r>
    </w:p>
    <w:p w14:paraId="58C6CA36" w14:textId="77777777" w:rsidR="00F642ED" w:rsidRDefault="00F642ED" w:rsidP="00F642ED">
      <w:pPr>
        <w:spacing w:line="240" w:lineRule="auto"/>
        <w:rPr>
          <w:rFonts w:eastAsia="Times New Roman" w:cs="Arial"/>
          <w:i/>
          <w:iCs/>
          <w:color w:val="000000"/>
          <w:lang w:eastAsia="bg-BG"/>
        </w:rPr>
      </w:pPr>
    </w:p>
    <w:p w14:paraId="0A182E18" w14:textId="2BEDB1B2"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Видарабин (аденин арабино зид):</w:t>
      </w:r>
    </w:p>
    <w:p w14:paraId="5CACFEBF"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Данните показват, че плазменият полуживот на видарабин се повишава в присъствието на алопуринол. Когато двата продукта се използват едновременно, е необходимо допълнително наблюдение, за да се разпознаят повишените токсични ефекти.</w:t>
      </w:r>
    </w:p>
    <w:p w14:paraId="3C3A8FB8" w14:textId="77777777" w:rsidR="00F642ED" w:rsidRDefault="00F642ED" w:rsidP="00F642ED">
      <w:pPr>
        <w:spacing w:line="240" w:lineRule="auto"/>
        <w:rPr>
          <w:rFonts w:eastAsia="Times New Roman" w:cs="Arial"/>
          <w:i/>
          <w:iCs/>
          <w:color w:val="000000"/>
          <w:lang w:eastAsia="bg-BG"/>
        </w:rPr>
      </w:pPr>
    </w:p>
    <w:p w14:paraId="73B5DB49" w14:textId="5D485D92"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Салицилати и продукти сурикозурично действие:</w:t>
      </w:r>
    </w:p>
    <w:p w14:paraId="22AA6546"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Оксипуринол, основният метаболит на алопуринол, също притежава терапевтична активност и се екскретира през бъбреците по сходен с уратите механизъм. Затова активните вещества с урикозурична активност, като пробенецид или високите дози салицилати, могат да ускорят екскрецията на оксипуринол. Това може да намали </w:t>
      </w:r>
      <w:r w:rsidRPr="00F642ED">
        <w:rPr>
          <w:rFonts w:eastAsia="Times New Roman" w:cs="Arial"/>
          <w:color w:val="000000"/>
          <w:lang w:eastAsia="bg-BG"/>
        </w:rPr>
        <w:lastRenderedPageBreak/>
        <w:t>терапевтичната активност на алопуринол, но значимостта на този факт следва да се оценява при всеки отделен случай.</w:t>
      </w:r>
    </w:p>
    <w:p w14:paraId="2C779043" w14:textId="77777777" w:rsidR="00F642ED" w:rsidRDefault="00F642ED" w:rsidP="00F642ED">
      <w:pPr>
        <w:spacing w:line="240" w:lineRule="auto"/>
        <w:rPr>
          <w:rFonts w:eastAsia="Times New Roman" w:cs="Arial"/>
          <w:i/>
          <w:iCs/>
          <w:color w:val="000000"/>
          <w:lang w:eastAsia="bg-BG"/>
        </w:rPr>
      </w:pPr>
    </w:p>
    <w:p w14:paraId="7DFBFBAD" w14:textId="2DA84BFA"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Хлорпропамид:</w:t>
      </w:r>
    </w:p>
    <w:p w14:paraId="46F3267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Ако алопуринол се прилага по едно и също време с хлорпропамид, при пациенти с увредена бъбречна функция е възможно повишаване на риска от удължена хипогликемизираща активност, тъй като е възможна конкуренция между алопуринол и хлорпропамид за екскреция в бъбречните тубули.</w:t>
      </w:r>
    </w:p>
    <w:p w14:paraId="730E6CB0" w14:textId="77777777" w:rsidR="00F642ED" w:rsidRDefault="00F642ED" w:rsidP="00F642ED">
      <w:pPr>
        <w:spacing w:line="240" w:lineRule="auto"/>
        <w:rPr>
          <w:rFonts w:eastAsia="Times New Roman" w:cs="Arial"/>
          <w:i/>
          <w:iCs/>
          <w:color w:val="000000"/>
          <w:lang w:eastAsia="bg-BG"/>
        </w:rPr>
      </w:pPr>
    </w:p>
    <w:p w14:paraId="79177E91" w14:textId="01E61709"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Кумаринови антикоагуланти:</w:t>
      </w:r>
    </w:p>
    <w:p w14:paraId="155F6AA1"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Получени са редки съобщения за усилен ефект на варфарин и други кумаринови антикоагуланти, когато са били прилагани заедно с алопуринол; поради това всички пациенти, които получават антикоагуланти трябва да бъдат внимателно наблюдавани.</w:t>
      </w:r>
    </w:p>
    <w:p w14:paraId="5F6468B3" w14:textId="77777777" w:rsidR="00F642ED" w:rsidRDefault="00F642ED" w:rsidP="00F642ED">
      <w:pPr>
        <w:spacing w:line="240" w:lineRule="auto"/>
        <w:rPr>
          <w:rFonts w:eastAsia="Times New Roman" w:cs="Arial"/>
          <w:i/>
          <w:iCs/>
          <w:color w:val="000000"/>
          <w:lang w:eastAsia="bg-BG"/>
        </w:rPr>
      </w:pPr>
    </w:p>
    <w:p w14:paraId="088A4FF9" w14:textId="0B6C9387"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Фенитоин:</w:t>
      </w:r>
    </w:p>
    <w:p w14:paraId="3D2AC0C0"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може да инхибира чернодробната оксидация на фенитоин, но клиничното значение на този факт не е установено.</w:t>
      </w:r>
    </w:p>
    <w:p w14:paraId="6B9E01BE" w14:textId="77777777" w:rsidR="00F642ED" w:rsidRDefault="00F642ED" w:rsidP="00F642ED">
      <w:pPr>
        <w:spacing w:line="240" w:lineRule="auto"/>
        <w:rPr>
          <w:rFonts w:eastAsia="Times New Roman" w:cs="Arial"/>
          <w:i/>
          <w:iCs/>
          <w:color w:val="000000"/>
          <w:lang w:eastAsia="bg-BG"/>
        </w:rPr>
      </w:pPr>
    </w:p>
    <w:p w14:paraId="2C314F8E" w14:textId="1AE2031C"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Теофилин:</w:t>
      </w:r>
    </w:p>
    <w:p w14:paraId="7AC5D133" w14:textId="2A117FE2"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Има съобщения за инхибиране на метаболизма на теофилин. Механизмът на взаимодействие може да бъде обяснен с ангажирането на ксантин оксидазата в процеса на биотрансформация на теофилин при хората. Нивата на теофилин трябва да се наблюдават при пациенти в началото на терапията с алопуринол или при повишаване на дозите.</w:t>
      </w:r>
    </w:p>
    <w:p w14:paraId="00F499EE" w14:textId="77777777" w:rsidR="00F642ED" w:rsidRPr="00F642ED" w:rsidRDefault="00F642ED" w:rsidP="00F642ED">
      <w:pPr>
        <w:spacing w:line="240" w:lineRule="auto"/>
        <w:rPr>
          <w:rFonts w:eastAsia="Times New Roman" w:cs="Arial"/>
          <w:i/>
          <w:iCs/>
          <w:color w:val="000000"/>
          <w:lang w:eastAsia="bg-BG"/>
        </w:rPr>
      </w:pPr>
    </w:p>
    <w:p w14:paraId="11F790D5" w14:textId="27B5B52F"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Ампицилин/Амоксицилин:</w:t>
      </w:r>
    </w:p>
    <w:p w14:paraId="673F46C9" w14:textId="77777777" w:rsidR="00F642ED" w:rsidRPr="00F642ED" w:rsidRDefault="00F642ED" w:rsidP="00F642ED">
      <w:pPr>
        <w:rPr>
          <w:rFonts w:eastAsia="Times New Roman" w:cs="Arial"/>
          <w:lang w:eastAsia="bg-BG"/>
        </w:rPr>
      </w:pPr>
      <w:r w:rsidRPr="00F642ED">
        <w:rPr>
          <w:rFonts w:eastAsia="Times New Roman" w:cs="Arial"/>
          <w:color w:val="000000"/>
          <w:lang w:eastAsia="bg-BG"/>
        </w:rPr>
        <w:t>При пациенти, провеждащи лечение с ампицилин или амоксицилин, които приемат и алопуринол, е съобщавано за повишена честота на кожните обриви в сравнение с пациентите, които не са</w:t>
      </w:r>
      <w:r w:rsidRPr="00F642ED">
        <w:rPr>
          <w:rFonts w:eastAsia="Times New Roman" w:cs="Arial"/>
          <w:color w:val="000000"/>
          <w:lang w:eastAsia="bg-BG"/>
        </w:rPr>
        <w:t xml:space="preserve"> </w:t>
      </w:r>
      <w:r w:rsidRPr="00F642ED">
        <w:rPr>
          <w:rFonts w:eastAsia="Times New Roman" w:cs="Arial"/>
          <w:color w:val="000000"/>
          <w:lang w:eastAsia="bg-BG"/>
        </w:rPr>
        <w:t>приемали двете лекарства. Причината за съобщаваната взаимовръзка не е установена. Все пак се препоръчва пациентите, провеждащи лечение с алопуринол да използват алтернативи на ампицилин или амоксицмлин, когато това е възможно.</w:t>
      </w:r>
    </w:p>
    <w:p w14:paraId="73C1378E" w14:textId="77777777" w:rsidR="00F642ED" w:rsidRPr="00F642ED" w:rsidRDefault="00F642ED" w:rsidP="00F642ED">
      <w:pPr>
        <w:spacing w:line="240" w:lineRule="auto"/>
        <w:rPr>
          <w:rFonts w:eastAsia="Times New Roman" w:cs="Arial"/>
          <w:i/>
          <w:iCs/>
          <w:color w:val="000000"/>
          <w:lang w:eastAsia="bg-BG"/>
        </w:rPr>
      </w:pPr>
    </w:p>
    <w:p w14:paraId="018B8A27" w14:textId="3705C772"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 xml:space="preserve">Цитостатици (напр. циклофосфамид, доксорубицин, блеомицин, прокарбазин, мехлоретамин): </w:t>
      </w:r>
      <w:r w:rsidRPr="00F642ED">
        <w:rPr>
          <w:rFonts w:eastAsia="Times New Roman" w:cs="Arial"/>
          <w:color w:val="000000"/>
          <w:lang w:eastAsia="bg-BG"/>
        </w:rPr>
        <w:t>При приложението на алопуринол и цитостатици (напр. циклофосфамид, доксорубицин, блеомицин, прокарбазин, алкил халогениди) кръвни дискразии възникват по-често отколкото когато тези активни вещества се прилагат самостоятелно. Поради това трябва редовно да се проследява кръвната картина.</w:t>
      </w:r>
    </w:p>
    <w:p w14:paraId="613FBAA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неопластични заболявалия (различни от левкемия) е съобщавано за повишена степен на костно-мозъчна супресия от страна на циклофосфамид или други цитотоксични средства при наличие на алопуринол. Въпреки това, в едно добре контролирано проучване при пациенти, лекувани с циклофосфамид, доксорубицин, блеомицин, прокарбазин и/или мехлоретамин (хлорметин хидрохлорид) не е наблюдавано повишаване на токсичните реакции към тези цитотоксични средства от страна на алопуринол.</w:t>
      </w:r>
    </w:p>
    <w:p w14:paraId="1A2562FF" w14:textId="77777777" w:rsidR="00F642ED" w:rsidRPr="00F642ED" w:rsidRDefault="00F642ED" w:rsidP="00F642ED">
      <w:pPr>
        <w:spacing w:line="240" w:lineRule="auto"/>
        <w:rPr>
          <w:rFonts w:eastAsia="Times New Roman" w:cs="Arial"/>
          <w:i/>
          <w:iCs/>
          <w:color w:val="000000"/>
          <w:lang w:eastAsia="bg-BG"/>
        </w:rPr>
      </w:pPr>
    </w:p>
    <w:p w14:paraId="64E98E1C" w14:textId="567D25F1"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Алуминиев хидроксид:</w:t>
      </w:r>
    </w:p>
    <w:p w14:paraId="6EFDB8DD"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Ако се приема съпътстващо алуминиев хидроксид, алопуринол може да има по-слаб ефект. Трябва да има интервал от поне 3 часа между приема на двата лекарствени продукти.</w:t>
      </w:r>
    </w:p>
    <w:p w14:paraId="4E138F43" w14:textId="77777777" w:rsidR="00F642ED" w:rsidRPr="00F642ED" w:rsidRDefault="00F642ED" w:rsidP="00F642ED">
      <w:pPr>
        <w:spacing w:line="240" w:lineRule="auto"/>
        <w:rPr>
          <w:rFonts w:eastAsia="Times New Roman" w:cs="Arial"/>
          <w:i/>
          <w:iCs/>
          <w:color w:val="000000"/>
          <w:lang w:eastAsia="bg-BG"/>
        </w:rPr>
      </w:pPr>
    </w:p>
    <w:p w14:paraId="16A9D752" w14:textId="27539F50"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Циклоспорин:</w:t>
      </w:r>
    </w:p>
    <w:p w14:paraId="0CB620F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Съобщенията показват, че плазмената концентрация на циклоспорин може да бъде повишена по време на съпътстваща терапия с алопуринол. Възможността за усилване на токсичността от страна на циклоспорин трябва да се има предвид при едновременното приложение на двете лекарства.</w:t>
      </w:r>
    </w:p>
    <w:p w14:paraId="472231C5" w14:textId="77777777" w:rsidR="00F642ED" w:rsidRPr="00F642ED" w:rsidRDefault="00F642ED" w:rsidP="00F642ED">
      <w:pPr>
        <w:spacing w:line="240" w:lineRule="auto"/>
        <w:rPr>
          <w:rFonts w:eastAsia="Times New Roman" w:cs="Arial"/>
          <w:i/>
          <w:iCs/>
          <w:color w:val="000000"/>
          <w:lang w:eastAsia="bg-BG"/>
        </w:rPr>
      </w:pPr>
    </w:p>
    <w:p w14:paraId="421B2B60" w14:textId="5F6BD6F4"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Диданозин:</w:t>
      </w:r>
    </w:p>
    <w:p w14:paraId="275BC995"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здрави доброволци и пациенти с ХИВ, които са били на лечение с диданозин, плазмените стойности на С</w:t>
      </w:r>
      <w:r w:rsidRPr="00F642ED">
        <w:rPr>
          <w:rFonts w:eastAsia="Times New Roman" w:cs="Arial"/>
          <w:color w:val="000000"/>
          <w:lang w:val="en-US"/>
        </w:rPr>
        <w:t>max</w:t>
      </w:r>
      <w:r w:rsidRPr="00F642ED">
        <w:rPr>
          <w:rFonts w:eastAsia="Times New Roman" w:cs="Arial"/>
          <w:color w:val="000000"/>
          <w:lang w:eastAsia="bg-BG"/>
        </w:rPr>
        <w:t xml:space="preserve"> и </w:t>
      </w:r>
      <w:r w:rsidRPr="00F642ED">
        <w:rPr>
          <w:rFonts w:eastAsia="Times New Roman" w:cs="Arial"/>
          <w:color w:val="000000"/>
          <w:lang w:val="en-US"/>
        </w:rPr>
        <w:t xml:space="preserve">AUC </w:t>
      </w:r>
      <w:r w:rsidRPr="00F642ED">
        <w:rPr>
          <w:rFonts w:eastAsia="Times New Roman" w:cs="Arial"/>
          <w:color w:val="000000"/>
          <w:lang w:eastAsia="bg-BG"/>
        </w:rPr>
        <w:t xml:space="preserve">на диданозин са били приблизително два пъти по-високи при съпътстващо лечение с алопуринол (300 </w:t>
      </w:r>
      <w:r w:rsidRPr="00F642ED">
        <w:rPr>
          <w:rFonts w:eastAsia="Times New Roman" w:cs="Arial"/>
          <w:color w:val="000000"/>
          <w:lang w:val="en-US"/>
        </w:rPr>
        <w:t xml:space="preserve">mg </w:t>
      </w:r>
      <w:r w:rsidRPr="00F642ED">
        <w:rPr>
          <w:rFonts w:eastAsia="Times New Roman" w:cs="Arial"/>
          <w:color w:val="000000"/>
          <w:lang w:eastAsia="bg-BG"/>
        </w:rPr>
        <w:t>дневно), без това да е променило терминалния полуживот. Едновременно приложение на тези 2 лекарства като цяло не се препоръчва. Ако съпътстваща терапия е належаща, препоръчва се намаляване на дозата на диданозин, като пациентите трябва да бъдат внимателно наблюдавани.</w:t>
      </w:r>
    </w:p>
    <w:p w14:paraId="6C696EE3" w14:textId="77777777" w:rsidR="00F642ED" w:rsidRPr="00F642ED" w:rsidRDefault="00F642ED" w:rsidP="00F642ED">
      <w:pPr>
        <w:spacing w:line="240" w:lineRule="auto"/>
        <w:rPr>
          <w:rFonts w:eastAsia="Times New Roman" w:cs="Arial"/>
          <w:i/>
          <w:iCs/>
          <w:color w:val="000000"/>
          <w:lang w:eastAsia="bg-BG"/>
        </w:rPr>
      </w:pPr>
    </w:p>
    <w:p w14:paraId="07512C74" w14:textId="05DC3853"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АСЕ инхибитори:</w:t>
      </w:r>
    </w:p>
    <w:p w14:paraId="50231104"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Едновременното приложение с алопуринол е свързано с повишен риск от развитие на левкопения, особено при пациенти с нарушена бъбречна функция, поради което се препоръчва повишено внимание.</w:t>
      </w:r>
    </w:p>
    <w:p w14:paraId="7C4929DE" w14:textId="77777777" w:rsidR="00F642ED" w:rsidRPr="00F642ED" w:rsidRDefault="00F642ED" w:rsidP="00F642ED">
      <w:pPr>
        <w:spacing w:line="240" w:lineRule="auto"/>
        <w:rPr>
          <w:rFonts w:eastAsia="Times New Roman" w:cs="Arial"/>
          <w:color w:val="000000"/>
          <w:lang w:eastAsia="bg-BG"/>
        </w:rPr>
      </w:pPr>
    </w:p>
    <w:p w14:paraId="6C50AD1A" w14:textId="23CFF726"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Повишен риск от свръхчувствителност е съобщаван при едновременно прилагане на алопуринол с АСЕ инхибитори, особено при бъбречно увреждане.</w:t>
      </w:r>
    </w:p>
    <w:p w14:paraId="0900FF90" w14:textId="77777777" w:rsidR="00F642ED" w:rsidRPr="00F642ED" w:rsidRDefault="00F642ED" w:rsidP="00F642ED">
      <w:pPr>
        <w:spacing w:line="240" w:lineRule="auto"/>
        <w:rPr>
          <w:rFonts w:eastAsia="Times New Roman" w:cs="Arial"/>
          <w:color w:val="000000"/>
          <w:lang w:eastAsia="bg-BG"/>
        </w:rPr>
      </w:pPr>
    </w:p>
    <w:p w14:paraId="6E0DB8CD" w14:textId="1DD82B4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едновременно приложение на алопуринол и каптоприл, рискът от кожни реакции може да е повишен, особено при наличието на хронична бъбречна недостатъчност,</w:t>
      </w:r>
    </w:p>
    <w:p w14:paraId="1DFD247F" w14:textId="77777777" w:rsidR="00F642ED" w:rsidRPr="00F642ED" w:rsidRDefault="00F642ED" w:rsidP="00F642ED">
      <w:pPr>
        <w:spacing w:line="240" w:lineRule="auto"/>
        <w:rPr>
          <w:rFonts w:eastAsia="Times New Roman" w:cs="Arial"/>
          <w:i/>
          <w:iCs/>
          <w:color w:val="000000"/>
          <w:lang w:eastAsia="bg-BG"/>
        </w:rPr>
      </w:pPr>
    </w:p>
    <w:p w14:paraId="1F778224" w14:textId="0658F6B5"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Диуретици:</w:t>
      </w:r>
    </w:p>
    <w:p w14:paraId="46C867AF"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Съобщавано е, че взаимодействието между алопуринол и фуроземид води до повишени концентрации на серумни урати и плазмени концентрации на оксипуринол.</w:t>
      </w:r>
    </w:p>
    <w:p w14:paraId="763B71C8" w14:textId="77777777" w:rsidR="00F642ED" w:rsidRPr="00F642ED" w:rsidRDefault="00F642ED" w:rsidP="00F642ED">
      <w:pPr>
        <w:spacing w:line="240" w:lineRule="auto"/>
        <w:rPr>
          <w:rFonts w:eastAsia="Times New Roman" w:cs="Arial"/>
          <w:color w:val="000000"/>
          <w:lang w:eastAsia="bg-BG"/>
        </w:rPr>
      </w:pPr>
    </w:p>
    <w:p w14:paraId="113E7ECB" w14:textId="136DCC18"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Има съобщения за повишен риск от свръхчувствителност, когато алопуринол се</w:t>
      </w:r>
      <w:r w:rsidRPr="00F642ED">
        <w:rPr>
          <w:rFonts w:eastAsia="Times New Roman" w:cs="Arial"/>
          <w:color w:val="000000"/>
          <w:lang w:val="en-US"/>
        </w:rPr>
        <w:t xml:space="preserve"> </w:t>
      </w:r>
      <w:r w:rsidRPr="00F642ED">
        <w:rPr>
          <w:rFonts w:eastAsia="Times New Roman" w:cs="Arial"/>
          <w:color w:val="000000"/>
          <w:lang w:eastAsia="bg-BG"/>
        </w:rPr>
        <w:t>приема с диуретици, по-точно с тиазиди, особено при бъбречно увреждане.</w:t>
      </w:r>
    </w:p>
    <w:p w14:paraId="17809F35" w14:textId="77777777" w:rsidR="00F642ED" w:rsidRPr="00F642ED" w:rsidRDefault="00F642ED" w:rsidP="00F642ED"/>
    <w:p w14:paraId="48846BBA" w14:textId="3759208C" w:rsidR="009F77A4" w:rsidRDefault="002C50EE" w:rsidP="00387A66">
      <w:pPr>
        <w:pStyle w:val="Heading2"/>
      </w:pPr>
      <w:r>
        <w:t>4.6. Фертилитет, бременност и кърмене</w:t>
      </w:r>
    </w:p>
    <w:p w14:paraId="71426868" w14:textId="1BAC5DE9" w:rsidR="00F642ED" w:rsidRDefault="00F642ED" w:rsidP="00F642ED"/>
    <w:p w14:paraId="100D5313" w14:textId="77777777" w:rsidR="00F642ED" w:rsidRPr="00F642ED" w:rsidRDefault="00F642ED" w:rsidP="00F642ED">
      <w:pPr>
        <w:pStyle w:val="Heading3"/>
        <w:rPr>
          <w:rFonts w:eastAsia="Times New Roman"/>
          <w:sz w:val="28"/>
          <w:szCs w:val="28"/>
          <w:u w:val="single"/>
          <w:lang w:eastAsia="bg-BG"/>
        </w:rPr>
      </w:pPr>
      <w:r w:rsidRPr="00F642ED">
        <w:rPr>
          <w:rFonts w:eastAsia="Times New Roman"/>
          <w:u w:val="single"/>
          <w:lang w:eastAsia="bg-BG"/>
        </w:rPr>
        <w:t>Бременност</w:t>
      </w:r>
    </w:p>
    <w:p w14:paraId="6A38B20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Данните за безопасност на алопуринол при бременни жени са недостатъчни, макар че този продукт широко от много години, без видими вредни последици (вж. т. 5.3).</w:t>
      </w:r>
    </w:p>
    <w:p w14:paraId="1C12A43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трябва да се използва по време на бременност, само ако няма по-безопасна алтернатива и когато заболяването представлява риск за майката или нероденото дете.</w:t>
      </w:r>
    </w:p>
    <w:p w14:paraId="7FD43DC7" w14:textId="77777777" w:rsidR="00F642ED" w:rsidRPr="00F642ED" w:rsidRDefault="00F642ED" w:rsidP="00F642ED">
      <w:pPr>
        <w:spacing w:line="240" w:lineRule="auto"/>
        <w:rPr>
          <w:rFonts w:eastAsia="Times New Roman" w:cs="Arial"/>
          <w:color w:val="000000"/>
          <w:u w:val="single"/>
          <w:lang w:eastAsia="bg-BG"/>
        </w:rPr>
      </w:pPr>
    </w:p>
    <w:p w14:paraId="12338F01" w14:textId="13FA2E70" w:rsidR="00F642ED" w:rsidRPr="00F642ED" w:rsidRDefault="00F642ED" w:rsidP="00F642ED">
      <w:pPr>
        <w:pStyle w:val="Heading3"/>
        <w:rPr>
          <w:rFonts w:eastAsia="Times New Roman"/>
          <w:sz w:val="28"/>
          <w:szCs w:val="28"/>
          <w:u w:val="single"/>
          <w:lang w:eastAsia="bg-BG"/>
        </w:rPr>
      </w:pPr>
      <w:r w:rsidRPr="00F642ED">
        <w:rPr>
          <w:rFonts w:eastAsia="Times New Roman"/>
          <w:u w:val="single"/>
          <w:lang w:eastAsia="bg-BG"/>
        </w:rPr>
        <w:t>Кърмене</w:t>
      </w:r>
    </w:p>
    <w:p w14:paraId="5F01E0D8"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и неговият метаболит оксипуринол се екскретират в кърмата. Не се препоръчва употребата на алопуринол през периода на кърмене.</w:t>
      </w:r>
    </w:p>
    <w:p w14:paraId="661BA33F"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В кърмата на жени, приемащи алопуринол 300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е установено наличие на алопуринол в концентрация 1,4 </w:t>
      </w:r>
      <w:r w:rsidRPr="00F642ED">
        <w:rPr>
          <w:rFonts w:eastAsia="Times New Roman" w:cs="Arial"/>
          <w:color w:val="000000"/>
          <w:lang w:val="en-US"/>
        </w:rPr>
        <w:t>mg</w:t>
      </w:r>
      <w:r w:rsidRPr="00F642ED">
        <w:rPr>
          <w:rFonts w:eastAsia="Times New Roman" w:cs="Arial"/>
          <w:color w:val="000000"/>
          <w:lang w:eastAsia="bg-BG"/>
        </w:rPr>
        <w:t xml:space="preserve">/литър и оксипуринол - 53,7 </w:t>
      </w:r>
      <w:r w:rsidRPr="00F642ED">
        <w:rPr>
          <w:rFonts w:eastAsia="Times New Roman" w:cs="Arial"/>
          <w:color w:val="000000"/>
          <w:lang w:val="en-US"/>
        </w:rPr>
        <w:t>mg</w:t>
      </w:r>
      <w:r w:rsidRPr="00F642ED">
        <w:rPr>
          <w:rFonts w:eastAsia="Times New Roman" w:cs="Arial"/>
          <w:color w:val="000000"/>
          <w:lang w:eastAsia="bg-BG"/>
        </w:rPr>
        <w:t>/литър. Не са наблюдавани ефекти върху кърмачето.</w:t>
      </w:r>
    </w:p>
    <w:p w14:paraId="3E9B7E80" w14:textId="77777777" w:rsidR="00F642ED" w:rsidRPr="00F642ED" w:rsidRDefault="00F642ED" w:rsidP="00F642ED"/>
    <w:p w14:paraId="321AAB00" w14:textId="7D39D7FD" w:rsidR="009F77A4" w:rsidRDefault="002C50EE" w:rsidP="00387A66">
      <w:pPr>
        <w:pStyle w:val="Heading2"/>
      </w:pPr>
      <w:r>
        <w:lastRenderedPageBreak/>
        <w:t>4.7. Ефекти върху способността за шофиране и работа с машини</w:t>
      </w:r>
    </w:p>
    <w:p w14:paraId="2F20111A" w14:textId="7C3CE696" w:rsidR="00F642ED" w:rsidRDefault="00F642ED" w:rsidP="00F642ED"/>
    <w:p w14:paraId="061FDADA" w14:textId="77777777" w:rsidR="00F642ED" w:rsidRPr="00F642ED" w:rsidRDefault="00F642ED" w:rsidP="00F642ED">
      <w:pPr>
        <w:rPr>
          <w:sz w:val="24"/>
          <w:szCs w:val="24"/>
          <w:lang w:eastAsia="bg-BG"/>
        </w:rPr>
      </w:pPr>
      <w:r w:rsidRPr="00F642ED">
        <w:rPr>
          <w:lang w:eastAsia="bg-BG"/>
        </w:rPr>
        <w:t>Тъй като при пациенти, приемали алопуринол, са съобщавани нежелани реакции, като сънливост, световъртеж и атаксия, пациентите трябва да бъдат особено внимателни преди шофиране, работа с машини или извършване на опасни дейности, докато не са убедени, че алопуринол не повлиява неблагоприятно техните умения.</w:t>
      </w:r>
    </w:p>
    <w:p w14:paraId="47670805" w14:textId="77777777" w:rsidR="00F642ED" w:rsidRPr="00F642ED" w:rsidRDefault="00F642ED" w:rsidP="00F642ED"/>
    <w:p w14:paraId="136C86B8" w14:textId="40A084BE" w:rsidR="009F77A4" w:rsidRDefault="002C50EE" w:rsidP="00387A66">
      <w:pPr>
        <w:pStyle w:val="Heading2"/>
      </w:pPr>
      <w:r>
        <w:t>4.8. Нежелани лекарствени реакции</w:t>
      </w:r>
    </w:p>
    <w:p w14:paraId="69114E47" w14:textId="57F4F127" w:rsidR="00F642ED" w:rsidRDefault="00F642ED" w:rsidP="00F642ED"/>
    <w:p w14:paraId="7E0437A4" w14:textId="77777777" w:rsidR="00F642ED" w:rsidRPr="00F642ED" w:rsidRDefault="00F642ED" w:rsidP="00F642ED">
      <w:pPr>
        <w:rPr>
          <w:sz w:val="24"/>
          <w:szCs w:val="24"/>
          <w:lang w:eastAsia="bg-BG"/>
        </w:rPr>
      </w:pPr>
      <w:r w:rsidRPr="00F642ED">
        <w:rPr>
          <w:lang w:eastAsia="bg-BG"/>
        </w:rPr>
        <w:t>За този продукт няма съвременна клинична документация, която да се използва в подкрепа на определяне честотата на нежеланите лекарствени реакции. Нежеланите реакции могат да варират в честотата си в зависимост от приетата доза, както и наличието на други лекарствени продукти.</w:t>
      </w:r>
    </w:p>
    <w:p w14:paraId="6029419A" w14:textId="77777777" w:rsidR="00F642ED" w:rsidRDefault="00F642ED" w:rsidP="00F642ED">
      <w:pPr>
        <w:rPr>
          <w:lang w:eastAsia="bg-BG"/>
        </w:rPr>
      </w:pPr>
    </w:p>
    <w:p w14:paraId="02D78B90" w14:textId="6C1AEDFF" w:rsidR="00F642ED" w:rsidRPr="00F642ED" w:rsidRDefault="00F642ED" w:rsidP="00F642ED">
      <w:pPr>
        <w:rPr>
          <w:sz w:val="24"/>
          <w:szCs w:val="24"/>
          <w:lang w:eastAsia="bg-BG"/>
        </w:rPr>
      </w:pPr>
      <w:r w:rsidRPr="00F642ED">
        <w:rPr>
          <w:lang w:eastAsia="bg-BG"/>
        </w:rPr>
        <w:t>Честотата на нежеланите реакции описани по-долу е в приблизителни стойности: за повечето реакции не са налични подходящи данни за оценка на честотата. Нежеланите лекарствени реакции идентифицирани от постмаркетингово наблюдение са считани за редки или много редки.</w:t>
      </w:r>
    </w:p>
    <w:p w14:paraId="425F4054" w14:textId="77777777" w:rsidR="00F642ED" w:rsidRDefault="00F642ED" w:rsidP="00F642ED">
      <w:pPr>
        <w:rPr>
          <w:lang w:eastAsia="bg-BG"/>
        </w:rPr>
      </w:pPr>
    </w:p>
    <w:p w14:paraId="2211C5E4" w14:textId="29C6956D" w:rsidR="00F642ED" w:rsidRPr="00F642ED" w:rsidRDefault="00F642ED" w:rsidP="00F642ED">
      <w:pPr>
        <w:rPr>
          <w:sz w:val="24"/>
          <w:szCs w:val="24"/>
          <w:lang w:eastAsia="bg-BG"/>
        </w:rPr>
      </w:pPr>
      <w:r w:rsidRPr="00F642ED">
        <w:rPr>
          <w:lang w:eastAsia="bg-BG"/>
        </w:rPr>
        <w:t>За класифициране на честотата е използвана следната конвенция:</w:t>
      </w:r>
    </w:p>
    <w:p w14:paraId="1EE1869C" w14:textId="77777777" w:rsidR="00F642ED" w:rsidRPr="00F642ED" w:rsidRDefault="00F642ED" w:rsidP="00F642ED">
      <w:pPr>
        <w:rPr>
          <w:sz w:val="24"/>
          <w:szCs w:val="24"/>
          <w:lang w:eastAsia="bg-BG"/>
        </w:rPr>
      </w:pPr>
      <w:r w:rsidRPr="00F642ED">
        <w:rPr>
          <w:lang w:eastAsia="bg-BG"/>
        </w:rPr>
        <w:t>Много чести (≥1/10);</w:t>
      </w:r>
    </w:p>
    <w:p w14:paraId="4CF5E3CA" w14:textId="77777777" w:rsidR="00F642ED" w:rsidRPr="00F642ED" w:rsidRDefault="00F642ED" w:rsidP="00F642ED">
      <w:pPr>
        <w:rPr>
          <w:sz w:val="24"/>
          <w:szCs w:val="24"/>
          <w:lang w:eastAsia="bg-BG"/>
        </w:rPr>
      </w:pPr>
      <w:r w:rsidRPr="00F642ED">
        <w:rPr>
          <w:lang w:eastAsia="bg-BG"/>
        </w:rPr>
        <w:t>Чести (≥1/100 до &lt;1/10);</w:t>
      </w:r>
    </w:p>
    <w:p w14:paraId="1030A36A" w14:textId="77777777" w:rsidR="00F642ED" w:rsidRPr="00F642ED" w:rsidRDefault="00F642ED" w:rsidP="00F642ED">
      <w:pPr>
        <w:rPr>
          <w:sz w:val="24"/>
          <w:szCs w:val="24"/>
          <w:lang w:eastAsia="bg-BG"/>
        </w:rPr>
      </w:pPr>
      <w:r w:rsidRPr="00F642ED">
        <w:rPr>
          <w:lang w:eastAsia="bg-BG"/>
        </w:rPr>
        <w:t>Нечести (≥1/1 000 до &lt;1/100);</w:t>
      </w:r>
    </w:p>
    <w:p w14:paraId="34F9C39E" w14:textId="77777777" w:rsidR="00F642ED" w:rsidRPr="00F642ED" w:rsidRDefault="00F642ED" w:rsidP="00F642ED">
      <w:pPr>
        <w:rPr>
          <w:sz w:val="24"/>
          <w:szCs w:val="24"/>
          <w:lang w:eastAsia="bg-BG"/>
        </w:rPr>
      </w:pPr>
      <w:r w:rsidRPr="00F642ED">
        <w:rPr>
          <w:lang w:eastAsia="bg-BG"/>
        </w:rPr>
        <w:t>Редки (≥1/10 000 до &lt;1/1 000);</w:t>
      </w:r>
    </w:p>
    <w:p w14:paraId="6CD26162" w14:textId="77777777" w:rsidR="00F642ED" w:rsidRPr="00F642ED" w:rsidRDefault="00F642ED" w:rsidP="00F642ED">
      <w:pPr>
        <w:rPr>
          <w:sz w:val="24"/>
          <w:szCs w:val="24"/>
          <w:lang w:eastAsia="bg-BG"/>
        </w:rPr>
      </w:pPr>
      <w:r w:rsidRPr="00F642ED">
        <w:rPr>
          <w:lang w:eastAsia="bg-BG"/>
        </w:rPr>
        <w:t>Много редки (&lt;1/10 000);</w:t>
      </w:r>
    </w:p>
    <w:p w14:paraId="5DEED666" w14:textId="77777777" w:rsidR="00F642ED" w:rsidRPr="00F642ED" w:rsidRDefault="00F642ED" w:rsidP="00F642ED">
      <w:pPr>
        <w:rPr>
          <w:sz w:val="24"/>
          <w:szCs w:val="24"/>
          <w:lang w:eastAsia="bg-BG"/>
        </w:rPr>
      </w:pPr>
      <w:r w:rsidRPr="00F642ED">
        <w:rPr>
          <w:lang w:eastAsia="bg-BG"/>
        </w:rPr>
        <w:t>С неизвестна честота (от наличните данни не може да бъде направена оценка).</w:t>
      </w:r>
    </w:p>
    <w:p w14:paraId="677A7651" w14:textId="77777777" w:rsidR="00F642ED" w:rsidRDefault="00F642ED" w:rsidP="00F642ED">
      <w:pPr>
        <w:rPr>
          <w:lang w:eastAsia="bg-BG"/>
        </w:rPr>
      </w:pPr>
    </w:p>
    <w:p w14:paraId="6AD44C91" w14:textId="141AD049" w:rsidR="00F642ED" w:rsidRDefault="00F642ED" w:rsidP="00F642ED">
      <w:pPr>
        <w:rPr>
          <w:lang w:eastAsia="bg-BG"/>
        </w:rPr>
      </w:pPr>
      <w:r w:rsidRPr="00F642ED">
        <w:rPr>
          <w:lang w:eastAsia="bg-BG"/>
        </w:rPr>
        <w:t>Нежеланите реакции, свързани с алопуринол са редки в общата популация и в повечето случаи са леки. Честотата им е по-висока при наличие на бъбречни и/или чернодробни увреждания.</w:t>
      </w:r>
    </w:p>
    <w:p w14:paraId="63B540F5" w14:textId="3B89D8F0" w:rsidR="00F642ED" w:rsidRDefault="00F642ED" w:rsidP="00F642ED">
      <w:pPr>
        <w:rPr>
          <w:lang w:eastAsia="bg-BG"/>
        </w:rPr>
      </w:pPr>
    </w:p>
    <w:tbl>
      <w:tblPr>
        <w:tblStyle w:val="TableGrid"/>
        <w:tblW w:w="0" w:type="auto"/>
        <w:tblLook w:val="04A0" w:firstRow="1" w:lastRow="0" w:firstColumn="1" w:lastColumn="0" w:noHBand="0" w:noVBand="1"/>
      </w:tblPr>
      <w:tblGrid>
        <w:gridCol w:w="3133"/>
        <w:gridCol w:w="3082"/>
        <w:gridCol w:w="3135"/>
      </w:tblGrid>
      <w:tr w:rsidR="00F642ED" w14:paraId="66CB62F9" w14:textId="77777777" w:rsidTr="009440EF">
        <w:tc>
          <w:tcPr>
            <w:tcW w:w="9500" w:type="dxa"/>
            <w:gridSpan w:val="3"/>
          </w:tcPr>
          <w:p w14:paraId="1899FEA9" w14:textId="195B3302" w:rsidR="00F642ED" w:rsidRPr="00F642ED" w:rsidRDefault="00F642ED" w:rsidP="00F642ED">
            <w:pPr>
              <w:rPr>
                <w:rFonts w:cs="Arial"/>
                <w:lang w:eastAsia="bg-BG"/>
              </w:rPr>
            </w:pPr>
            <w:r w:rsidRPr="00F642ED">
              <w:rPr>
                <w:rFonts w:eastAsia="Times New Roman" w:cs="Arial"/>
                <w:b/>
                <w:bCs/>
                <w:color w:val="000000"/>
                <w:lang w:eastAsia="bg-BG"/>
              </w:rPr>
              <w:t>Таблица 1 Нежелани реакции</w:t>
            </w:r>
          </w:p>
        </w:tc>
      </w:tr>
      <w:tr w:rsidR="00F642ED" w14:paraId="6EF3F7AF" w14:textId="77777777" w:rsidTr="00F642ED">
        <w:tc>
          <w:tcPr>
            <w:tcW w:w="3166" w:type="dxa"/>
          </w:tcPr>
          <w:p w14:paraId="23A0D289" w14:textId="0DCE1F1D" w:rsidR="00F642ED" w:rsidRPr="00F642ED" w:rsidRDefault="00F642ED" w:rsidP="00F642ED">
            <w:pPr>
              <w:rPr>
                <w:rFonts w:cs="Arial"/>
                <w:lang w:eastAsia="bg-BG"/>
              </w:rPr>
            </w:pPr>
            <w:r w:rsidRPr="00F642ED">
              <w:rPr>
                <w:rFonts w:cs="Arial"/>
                <w:b/>
                <w:bCs/>
              </w:rPr>
              <w:t>Системо-органен клас</w:t>
            </w:r>
          </w:p>
        </w:tc>
        <w:tc>
          <w:tcPr>
            <w:tcW w:w="3167" w:type="dxa"/>
          </w:tcPr>
          <w:p w14:paraId="6BB990B5" w14:textId="378C59E0" w:rsidR="00F642ED" w:rsidRPr="00F642ED" w:rsidRDefault="00F642ED" w:rsidP="00F642ED">
            <w:pPr>
              <w:rPr>
                <w:rFonts w:cs="Arial"/>
                <w:lang w:eastAsia="bg-BG"/>
              </w:rPr>
            </w:pPr>
            <w:r w:rsidRPr="00F642ED">
              <w:rPr>
                <w:rFonts w:cs="Arial"/>
                <w:b/>
                <w:bCs/>
              </w:rPr>
              <w:t>Честота</w:t>
            </w:r>
          </w:p>
        </w:tc>
        <w:tc>
          <w:tcPr>
            <w:tcW w:w="3167" w:type="dxa"/>
          </w:tcPr>
          <w:p w14:paraId="48F15FC6" w14:textId="1E60C503" w:rsidR="00F642ED" w:rsidRPr="00F642ED" w:rsidRDefault="00F642ED" w:rsidP="00F642ED">
            <w:pPr>
              <w:rPr>
                <w:rFonts w:cs="Arial"/>
                <w:lang w:eastAsia="bg-BG"/>
              </w:rPr>
            </w:pPr>
            <w:r w:rsidRPr="00F642ED">
              <w:rPr>
                <w:rFonts w:cs="Arial"/>
                <w:b/>
                <w:bCs/>
              </w:rPr>
              <w:t>Нежелани реакции</w:t>
            </w:r>
          </w:p>
        </w:tc>
      </w:tr>
      <w:tr w:rsidR="00F642ED" w14:paraId="4D83BE2E" w14:textId="77777777" w:rsidTr="00F642ED">
        <w:tc>
          <w:tcPr>
            <w:tcW w:w="3166" w:type="dxa"/>
          </w:tcPr>
          <w:p w14:paraId="2071DCBA" w14:textId="0172C761" w:rsidR="00F642ED" w:rsidRPr="00F642ED" w:rsidRDefault="00F642ED" w:rsidP="00F642ED">
            <w:pPr>
              <w:rPr>
                <w:rFonts w:cs="Arial"/>
                <w:lang w:eastAsia="bg-BG"/>
              </w:rPr>
            </w:pPr>
            <w:r w:rsidRPr="00F642ED">
              <w:rPr>
                <w:rFonts w:cs="Arial"/>
              </w:rPr>
              <w:t>Инфекции и инфестации</w:t>
            </w:r>
          </w:p>
        </w:tc>
        <w:tc>
          <w:tcPr>
            <w:tcW w:w="3167" w:type="dxa"/>
          </w:tcPr>
          <w:p w14:paraId="4B2D91A1" w14:textId="2B578C10" w:rsidR="00F642ED" w:rsidRPr="00F642ED" w:rsidRDefault="00F642ED" w:rsidP="00F642ED">
            <w:pPr>
              <w:rPr>
                <w:rFonts w:cs="Arial"/>
                <w:lang w:eastAsia="bg-BG"/>
              </w:rPr>
            </w:pPr>
            <w:r w:rsidRPr="00F642ED">
              <w:rPr>
                <w:rFonts w:cs="Arial"/>
              </w:rPr>
              <w:t>Много редки</w:t>
            </w:r>
          </w:p>
        </w:tc>
        <w:tc>
          <w:tcPr>
            <w:tcW w:w="3167" w:type="dxa"/>
          </w:tcPr>
          <w:p w14:paraId="2E38A0F6" w14:textId="58A501A7" w:rsidR="00F642ED" w:rsidRPr="00F642ED" w:rsidRDefault="00F642ED" w:rsidP="00F642ED">
            <w:pPr>
              <w:rPr>
                <w:rFonts w:cs="Arial"/>
                <w:lang w:eastAsia="bg-BG"/>
              </w:rPr>
            </w:pPr>
            <w:r w:rsidRPr="00F642ED">
              <w:rPr>
                <w:rFonts w:cs="Arial"/>
              </w:rPr>
              <w:t>фурунколоза</w:t>
            </w:r>
          </w:p>
        </w:tc>
      </w:tr>
      <w:tr w:rsidR="00F642ED" w14:paraId="47D456B9" w14:textId="77777777" w:rsidTr="00F642ED">
        <w:tc>
          <w:tcPr>
            <w:tcW w:w="3166" w:type="dxa"/>
          </w:tcPr>
          <w:p w14:paraId="5223C91F" w14:textId="4D3D3FB8" w:rsidR="00F642ED" w:rsidRPr="00F642ED" w:rsidRDefault="00F642ED" w:rsidP="00F642ED">
            <w:pPr>
              <w:rPr>
                <w:rFonts w:cs="Arial"/>
                <w:lang w:eastAsia="bg-BG"/>
              </w:rPr>
            </w:pPr>
            <w:r w:rsidRPr="00F642ED">
              <w:rPr>
                <w:rFonts w:cs="Arial"/>
              </w:rPr>
              <w:t>Нарушения на кръвта и лимфната система</w:t>
            </w:r>
          </w:p>
        </w:tc>
        <w:tc>
          <w:tcPr>
            <w:tcW w:w="3167" w:type="dxa"/>
          </w:tcPr>
          <w:p w14:paraId="41E77F01" w14:textId="41C2421F" w:rsidR="00F642ED" w:rsidRPr="00F642ED" w:rsidRDefault="00F642ED" w:rsidP="00F642ED">
            <w:pPr>
              <w:rPr>
                <w:rFonts w:cs="Arial"/>
                <w:lang w:eastAsia="bg-BG"/>
              </w:rPr>
            </w:pPr>
            <w:r w:rsidRPr="00F642ED">
              <w:rPr>
                <w:rFonts w:cs="Arial"/>
              </w:rPr>
              <w:t>Много редки</w:t>
            </w:r>
          </w:p>
        </w:tc>
        <w:tc>
          <w:tcPr>
            <w:tcW w:w="3167" w:type="dxa"/>
          </w:tcPr>
          <w:p w14:paraId="74D8B65C" w14:textId="77777777" w:rsidR="00F642ED" w:rsidRPr="00F642ED" w:rsidRDefault="00F642ED" w:rsidP="00F642ED">
            <w:pPr>
              <w:rPr>
                <w:rFonts w:cs="Arial"/>
              </w:rPr>
            </w:pPr>
            <w:r w:rsidRPr="00F642ED">
              <w:rPr>
                <w:rFonts w:cs="Arial"/>
              </w:rPr>
              <w:t>агранулоцитоза</w:t>
            </w:r>
            <w:r w:rsidRPr="00F642ED">
              <w:rPr>
                <w:rFonts w:cs="Arial"/>
                <w:vertAlign w:val="superscript"/>
              </w:rPr>
              <w:t>1</w:t>
            </w:r>
            <w:r w:rsidRPr="00F642ED">
              <w:rPr>
                <w:rFonts w:cs="Arial"/>
              </w:rPr>
              <w:t xml:space="preserve">, </w:t>
            </w:r>
          </w:p>
          <w:p w14:paraId="1D220198" w14:textId="3CA3D96B" w:rsidR="00F642ED" w:rsidRPr="00F642ED" w:rsidRDefault="00F642ED" w:rsidP="00F642ED">
            <w:pPr>
              <w:rPr>
                <w:rFonts w:cs="Arial"/>
              </w:rPr>
            </w:pPr>
            <w:r w:rsidRPr="00F642ED">
              <w:rPr>
                <w:rFonts w:cs="Arial"/>
              </w:rPr>
              <w:t>апластична анеми</w:t>
            </w:r>
            <w:r w:rsidRPr="00F642ED">
              <w:rPr>
                <w:rFonts w:cs="Arial"/>
                <w:vertAlign w:val="superscript"/>
              </w:rPr>
              <w:t>1</w:t>
            </w:r>
            <w:r w:rsidRPr="00F642ED">
              <w:rPr>
                <w:rFonts w:cs="Arial"/>
              </w:rPr>
              <w:t xml:space="preserve">, </w:t>
            </w:r>
          </w:p>
          <w:p w14:paraId="546F75A7" w14:textId="12F005FA" w:rsidR="00F642ED" w:rsidRPr="00F642ED" w:rsidRDefault="00F642ED" w:rsidP="00F642ED">
            <w:pPr>
              <w:rPr>
                <w:rFonts w:cs="Arial"/>
              </w:rPr>
            </w:pPr>
            <w:r w:rsidRPr="00F642ED">
              <w:rPr>
                <w:rFonts w:cs="Arial"/>
              </w:rPr>
              <w:t>тромбоцитопения</w:t>
            </w:r>
            <w:r w:rsidRPr="00F642ED">
              <w:rPr>
                <w:rFonts w:cs="Arial"/>
                <w:vertAlign w:val="superscript"/>
              </w:rPr>
              <w:t>1</w:t>
            </w:r>
            <w:r w:rsidRPr="00F642ED">
              <w:rPr>
                <w:rFonts w:cs="Arial"/>
              </w:rPr>
              <w:t xml:space="preserve"> гранулоцитоза,</w:t>
            </w:r>
          </w:p>
          <w:p w14:paraId="03AE7FC9" w14:textId="77777777" w:rsidR="00F642ED" w:rsidRPr="00F642ED" w:rsidRDefault="00F642ED" w:rsidP="00F642ED">
            <w:pPr>
              <w:rPr>
                <w:rFonts w:cs="Arial"/>
              </w:rPr>
            </w:pPr>
            <w:r w:rsidRPr="00F642ED">
              <w:rPr>
                <w:rFonts w:cs="Arial"/>
              </w:rPr>
              <w:t>левкопения,</w:t>
            </w:r>
          </w:p>
          <w:p w14:paraId="690033E9" w14:textId="165705A8" w:rsidR="00F642ED" w:rsidRPr="00F642ED" w:rsidRDefault="00F642ED" w:rsidP="00F642ED">
            <w:pPr>
              <w:rPr>
                <w:rFonts w:cs="Arial"/>
                <w:lang w:eastAsia="bg-BG"/>
              </w:rPr>
            </w:pPr>
            <w:r w:rsidRPr="00F642ED">
              <w:rPr>
                <w:rFonts w:cs="Arial"/>
              </w:rPr>
              <w:t>левкоцитоза, еозинофилия и чиста еритроцитна аплазия</w:t>
            </w:r>
          </w:p>
        </w:tc>
      </w:tr>
      <w:tr w:rsidR="00F642ED" w14:paraId="5EC30448" w14:textId="77777777" w:rsidTr="00F642ED">
        <w:trPr>
          <w:trHeight w:val="64"/>
        </w:trPr>
        <w:tc>
          <w:tcPr>
            <w:tcW w:w="3166" w:type="dxa"/>
            <w:vMerge w:val="restart"/>
          </w:tcPr>
          <w:p w14:paraId="380FD252" w14:textId="7D69E741" w:rsidR="00F642ED" w:rsidRPr="00F642ED" w:rsidRDefault="00F642ED" w:rsidP="00F642ED">
            <w:pPr>
              <w:rPr>
                <w:rFonts w:cs="Arial"/>
                <w:lang w:eastAsia="bg-BG"/>
              </w:rPr>
            </w:pPr>
            <w:r w:rsidRPr="00F642ED">
              <w:rPr>
                <w:rFonts w:cs="Arial"/>
              </w:rPr>
              <w:t>Нарушения на имунната система</w:t>
            </w:r>
          </w:p>
        </w:tc>
        <w:tc>
          <w:tcPr>
            <w:tcW w:w="3167" w:type="dxa"/>
          </w:tcPr>
          <w:p w14:paraId="520468D5" w14:textId="62D9A897" w:rsidR="00F642ED" w:rsidRPr="00F642ED" w:rsidRDefault="00F642ED" w:rsidP="00F642ED">
            <w:pPr>
              <w:rPr>
                <w:rFonts w:cs="Arial"/>
                <w:lang w:eastAsia="bg-BG"/>
              </w:rPr>
            </w:pPr>
            <w:r w:rsidRPr="00F642ED">
              <w:rPr>
                <w:rFonts w:cs="Arial"/>
              </w:rPr>
              <w:t>Нечести</w:t>
            </w:r>
          </w:p>
        </w:tc>
        <w:tc>
          <w:tcPr>
            <w:tcW w:w="3167" w:type="dxa"/>
          </w:tcPr>
          <w:p w14:paraId="0E369371" w14:textId="5325A310" w:rsidR="00F642ED" w:rsidRPr="00F642ED" w:rsidRDefault="00F642ED" w:rsidP="00F642ED">
            <w:pPr>
              <w:rPr>
                <w:rFonts w:cs="Arial"/>
                <w:lang w:eastAsia="bg-BG"/>
              </w:rPr>
            </w:pPr>
            <w:r w:rsidRPr="00F642ED">
              <w:rPr>
                <w:rFonts w:cs="Arial"/>
              </w:rPr>
              <w:t>свръхчувствителност</w:t>
            </w:r>
            <w:r w:rsidRPr="00F642ED">
              <w:rPr>
                <w:rFonts w:cs="Arial"/>
                <w:vertAlign w:val="superscript"/>
              </w:rPr>
              <w:t>3</w:t>
            </w:r>
          </w:p>
        </w:tc>
      </w:tr>
      <w:tr w:rsidR="00F642ED" w14:paraId="42CC62F4" w14:textId="77777777" w:rsidTr="00F9030B">
        <w:tc>
          <w:tcPr>
            <w:tcW w:w="3166" w:type="dxa"/>
            <w:vMerge/>
          </w:tcPr>
          <w:p w14:paraId="7A881AC4" w14:textId="77777777" w:rsidR="00F642ED" w:rsidRPr="00F642ED" w:rsidRDefault="00F642ED" w:rsidP="00F642ED">
            <w:pPr>
              <w:rPr>
                <w:rFonts w:cs="Arial"/>
                <w:lang w:eastAsia="bg-BG"/>
              </w:rPr>
            </w:pPr>
          </w:p>
        </w:tc>
        <w:tc>
          <w:tcPr>
            <w:tcW w:w="3167" w:type="dxa"/>
          </w:tcPr>
          <w:p w14:paraId="5277BE86" w14:textId="65ED8077" w:rsidR="00F642ED" w:rsidRPr="00F642ED" w:rsidRDefault="00F642ED" w:rsidP="00F642ED">
            <w:pPr>
              <w:rPr>
                <w:rFonts w:cs="Arial"/>
                <w:lang w:eastAsia="bg-BG"/>
              </w:rPr>
            </w:pPr>
            <w:r w:rsidRPr="00F642ED">
              <w:rPr>
                <w:rFonts w:cs="Arial"/>
              </w:rPr>
              <w:t>Много редки</w:t>
            </w:r>
          </w:p>
        </w:tc>
        <w:tc>
          <w:tcPr>
            <w:tcW w:w="3167" w:type="dxa"/>
            <w:vAlign w:val="bottom"/>
          </w:tcPr>
          <w:p w14:paraId="56D4F51E" w14:textId="63664565" w:rsidR="00F642ED" w:rsidRPr="00F642ED" w:rsidRDefault="00F642ED" w:rsidP="00F642ED">
            <w:pPr>
              <w:rPr>
                <w:rFonts w:cs="Arial"/>
                <w:lang w:eastAsia="bg-BG"/>
              </w:rPr>
            </w:pPr>
            <w:r w:rsidRPr="00F642ED">
              <w:rPr>
                <w:rFonts w:cs="Arial"/>
              </w:rPr>
              <w:t>ангиоимунобластен Т-клетьчен лимфом</w:t>
            </w:r>
            <w:r w:rsidRPr="00F642ED">
              <w:rPr>
                <w:rFonts w:cs="Arial"/>
                <w:vertAlign w:val="superscript"/>
              </w:rPr>
              <w:t>3</w:t>
            </w:r>
            <w:r w:rsidRPr="00F642ED">
              <w:rPr>
                <w:rFonts w:cs="Arial"/>
              </w:rPr>
              <w:t>, анафилактична реакция</w:t>
            </w:r>
          </w:p>
        </w:tc>
      </w:tr>
      <w:tr w:rsidR="00F642ED" w14:paraId="5EAC1762" w14:textId="77777777" w:rsidTr="00F9030B">
        <w:tc>
          <w:tcPr>
            <w:tcW w:w="3166" w:type="dxa"/>
            <w:vAlign w:val="bottom"/>
          </w:tcPr>
          <w:p w14:paraId="35FD096D" w14:textId="658130AB" w:rsidR="00F642ED" w:rsidRPr="00F642ED" w:rsidRDefault="00F642ED" w:rsidP="00F642ED">
            <w:pPr>
              <w:rPr>
                <w:rFonts w:cs="Arial"/>
                <w:lang w:eastAsia="bg-BG"/>
              </w:rPr>
            </w:pPr>
            <w:r w:rsidRPr="00F642ED">
              <w:rPr>
                <w:rFonts w:cs="Arial"/>
              </w:rPr>
              <w:lastRenderedPageBreak/>
              <w:t>Нарушения на метаболизма и храненето</w:t>
            </w:r>
          </w:p>
        </w:tc>
        <w:tc>
          <w:tcPr>
            <w:tcW w:w="3167" w:type="dxa"/>
          </w:tcPr>
          <w:p w14:paraId="475F6BD2" w14:textId="28350F6D" w:rsidR="00F642ED" w:rsidRPr="00F642ED" w:rsidRDefault="00F642ED" w:rsidP="00F642ED">
            <w:pPr>
              <w:rPr>
                <w:rFonts w:cs="Arial"/>
                <w:lang w:eastAsia="bg-BG"/>
              </w:rPr>
            </w:pPr>
            <w:r w:rsidRPr="00F642ED">
              <w:rPr>
                <w:rFonts w:cs="Arial"/>
              </w:rPr>
              <w:t>Много редки</w:t>
            </w:r>
          </w:p>
        </w:tc>
        <w:tc>
          <w:tcPr>
            <w:tcW w:w="3167" w:type="dxa"/>
            <w:vAlign w:val="bottom"/>
          </w:tcPr>
          <w:p w14:paraId="32B82D3C" w14:textId="169D9361" w:rsidR="00F642ED" w:rsidRPr="00F642ED" w:rsidRDefault="00F642ED" w:rsidP="00F642ED">
            <w:pPr>
              <w:rPr>
                <w:rFonts w:cs="Arial"/>
                <w:lang w:eastAsia="bg-BG"/>
              </w:rPr>
            </w:pPr>
            <w:r w:rsidRPr="00F642ED">
              <w:rPr>
                <w:rFonts w:cs="Arial"/>
              </w:rPr>
              <w:t>захарен диабет, хиперлипидемия</w:t>
            </w:r>
          </w:p>
        </w:tc>
      </w:tr>
      <w:tr w:rsidR="00F642ED" w14:paraId="269E156C" w14:textId="77777777" w:rsidTr="00F9030B">
        <w:tc>
          <w:tcPr>
            <w:tcW w:w="3166" w:type="dxa"/>
            <w:vAlign w:val="bottom"/>
          </w:tcPr>
          <w:p w14:paraId="0B09FA79" w14:textId="362BAE5B" w:rsidR="00F642ED" w:rsidRPr="00F642ED" w:rsidRDefault="00F642ED" w:rsidP="00F642ED">
            <w:pPr>
              <w:rPr>
                <w:rFonts w:cs="Arial"/>
                <w:lang w:eastAsia="bg-BG"/>
              </w:rPr>
            </w:pPr>
            <w:r w:rsidRPr="00F642ED">
              <w:rPr>
                <w:rFonts w:cs="Arial"/>
              </w:rPr>
              <w:t>Психични нарушения</w:t>
            </w:r>
          </w:p>
        </w:tc>
        <w:tc>
          <w:tcPr>
            <w:tcW w:w="3167" w:type="dxa"/>
            <w:vAlign w:val="bottom"/>
          </w:tcPr>
          <w:p w14:paraId="18DAAEB4" w14:textId="44CCA2CA" w:rsidR="00F642ED" w:rsidRPr="00F642ED" w:rsidRDefault="00F642ED" w:rsidP="00F642ED">
            <w:pPr>
              <w:rPr>
                <w:rFonts w:cs="Arial"/>
                <w:lang w:eastAsia="bg-BG"/>
              </w:rPr>
            </w:pPr>
            <w:r w:rsidRPr="00F642ED">
              <w:rPr>
                <w:rFonts w:cs="Arial"/>
              </w:rPr>
              <w:t>Много редки</w:t>
            </w:r>
          </w:p>
        </w:tc>
        <w:tc>
          <w:tcPr>
            <w:tcW w:w="3167" w:type="dxa"/>
            <w:vAlign w:val="bottom"/>
          </w:tcPr>
          <w:p w14:paraId="186CF274" w14:textId="798DEF07" w:rsidR="00F642ED" w:rsidRPr="00F642ED" w:rsidRDefault="00F642ED" w:rsidP="00F642ED">
            <w:pPr>
              <w:rPr>
                <w:rFonts w:cs="Arial"/>
                <w:lang w:eastAsia="bg-BG"/>
              </w:rPr>
            </w:pPr>
            <w:r w:rsidRPr="00F642ED">
              <w:rPr>
                <w:rFonts w:cs="Arial"/>
              </w:rPr>
              <w:t>депресия</w:t>
            </w:r>
          </w:p>
        </w:tc>
      </w:tr>
      <w:tr w:rsidR="00F642ED" w14:paraId="54BF6124" w14:textId="77777777" w:rsidTr="00F9030B">
        <w:tc>
          <w:tcPr>
            <w:tcW w:w="3166" w:type="dxa"/>
            <w:vMerge w:val="restart"/>
          </w:tcPr>
          <w:p w14:paraId="19A89C70" w14:textId="5517E2F7" w:rsidR="00F642ED" w:rsidRPr="00F642ED" w:rsidRDefault="00F642ED" w:rsidP="00F642ED">
            <w:pPr>
              <w:rPr>
                <w:rFonts w:cs="Arial"/>
                <w:lang w:eastAsia="bg-BG"/>
              </w:rPr>
            </w:pPr>
            <w:r w:rsidRPr="00F642ED">
              <w:rPr>
                <w:rFonts w:cs="Arial"/>
              </w:rPr>
              <w:t>Нарушения на нервната система</w:t>
            </w:r>
          </w:p>
        </w:tc>
        <w:tc>
          <w:tcPr>
            <w:tcW w:w="3167" w:type="dxa"/>
          </w:tcPr>
          <w:p w14:paraId="7486441C" w14:textId="106B0EA7" w:rsidR="00F642ED" w:rsidRPr="00F642ED" w:rsidRDefault="00F642ED" w:rsidP="00F642ED">
            <w:pPr>
              <w:rPr>
                <w:rFonts w:cs="Arial"/>
                <w:lang w:eastAsia="bg-BG"/>
              </w:rPr>
            </w:pPr>
            <w:r w:rsidRPr="00F642ED">
              <w:rPr>
                <w:rFonts w:cs="Arial"/>
              </w:rPr>
              <w:t>Много редки</w:t>
            </w:r>
          </w:p>
        </w:tc>
        <w:tc>
          <w:tcPr>
            <w:tcW w:w="3167" w:type="dxa"/>
            <w:vAlign w:val="bottom"/>
          </w:tcPr>
          <w:p w14:paraId="5DEFD4B1" w14:textId="761DC5E0" w:rsidR="00F642ED" w:rsidRPr="00F642ED" w:rsidRDefault="00F642ED" w:rsidP="00F642ED">
            <w:pPr>
              <w:rPr>
                <w:rFonts w:cs="Arial"/>
                <w:lang w:eastAsia="bg-BG"/>
              </w:rPr>
            </w:pPr>
            <w:r w:rsidRPr="00F642ED">
              <w:rPr>
                <w:rFonts w:cs="Arial"/>
              </w:rPr>
              <w:t>кома, парализа, атаксия, периферна невролатия, парестезия, сънливост, главоболие, дисгеузия</w:t>
            </w:r>
          </w:p>
        </w:tc>
      </w:tr>
      <w:tr w:rsidR="00F642ED" w14:paraId="3F3DE554" w14:textId="77777777" w:rsidTr="00F9030B">
        <w:tc>
          <w:tcPr>
            <w:tcW w:w="3166" w:type="dxa"/>
            <w:vMerge/>
          </w:tcPr>
          <w:p w14:paraId="4CFE8FEC" w14:textId="77777777" w:rsidR="00F642ED" w:rsidRPr="00F642ED" w:rsidRDefault="00F642ED" w:rsidP="00F642ED">
            <w:pPr>
              <w:rPr>
                <w:rFonts w:cs="Arial"/>
                <w:lang w:eastAsia="bg-BG"/>
              </w:rPr>
            </w:pPr>
          </w:p>
        </w:tc>
        <w:tc>
          <w:tcPr>
            <w:tcW w:w="3167" w:type="dxa"/>
            <w:vAlign w:val="bottom"/>
          </w:tcPr>
          <w:p w14:paraId="5CE43583" w14:textId="6F3D1ED4" w:rsidR="00F642ED" w:rsidRPr="00F642ED" w:rsidRDefault="00F642ED" w:rsidP="00F642ED">
            <w:pPr>
              <w:rPr>
                <w:rFonts w:cs="Arial"/>
                <w:lang w:eastAsia="bg-BG"/>
              </w:rPr>
            </w:pPr>
            <w:r w:rsidRPr="00F642ED">
              <w:rPr>
                <w:rFonts w:cs="Arial"/>
              </w:rPr>
              <w:t>С неизвестна честота</w:t>
            </w:r>
          </w:p>
        </w:tc>
        <w:tc>
          <w:tcPr>
            <w:tcW w:w="3167" w:type="dxa"/>
            <w:vAlign w:val="bottom"/>
          </w:tcPr>
          <w:p w14:paraId="39E5C831" w14:textId="16D49FFB" w:rsidR="00F642ED" w:rsidRPr="00F642ED" w:rsidRDefault="00F642ED" w:rsidP="00F642ED">
            <w:pPr>
              <w:rPr>
                <w:rFonts w:cs="Arial"/>
                <w:lang w:eastAsia="bg-BG"/>
              </w:rPr>
            </w:pPr>
            <w:r w:rsidRPr="00F642ED">
              <w:rPr>
                <w:rFonts w:cs="Arial"/>
              </w:rPr>
              <w:t>асептичен менингит</w:t>
            </w:r>
          </w:p>
        </w:tc>
      </w:tr>
      <w:tr w:rsidR="00F642ED" w14:paraId="14E73728" w14:textId="77777777" w:rsidTr="00F9030B">
        <w:tc>
          <w:tcPr>
            <w:tcW w:w="3166" w:type="dxa"/>
          </w:tcPr>
          <w:p w14:paraId="4493A613" w14:textId="760A287D" w:rsidR="00F642ED" w:rsidRPr="00F642ED" w:rsidRDefault="00F642ED" w:rsidP="00F642ED">
            <w:pPr>
              <w:rPr>
                <w:rFonts w:cs="Arial"/>
                <w:lang w:eastAsia="bg-BG"/>
              </w:rPr>
            </w:pPr>
            <w:r w:rsidRPr="00F642ED">
              <w:rPr>
                <w:rFonts w:cs="Arial"/>
              </w:rPr>
              <w:t>Нарушения на очите</w:t>
            </w:r>
          </w:p>
        </w:tc>
        <w:tc>
          <w:tcPr>
            <w:tcW w:w="3167" w:type="dxa"/>
          </w:tcPr>
          <w:p w14:paraId="6F570995" w14:textId="7EC0281C" w:rsidR="00F642ED" w:rsidRPr="00F642ED" w:rsidRDefault="00F642ED" w:rsidP="00F642ED">
            <w:pPr>
              <w:rPr>
                <w:rFonts w:cs="Arial"/>
                <w:lang w:eastAsia="bg-BG"/>
              </w:rPr>
            </w:pPr>
            <w:r w:rsidRPr="00F642ED">
              <w:rPr>
                <w:rFonts w:cs="Arial"/>
              </w:rPr>
              <w:t>Много редки</w:t>
            </w:r>
          </w:p>
        </w:tc>
        <w:tc>
          <w:tcPr>
            <w:tcW w:w="3167" w:type="dxa"/>
            <w:vAlign w:val="bottom"/>
          </w:tcPr>
          <w:p w14:paraId="79177B6F" w14:textId="2CCFBF2C" w:rsidR="00F642ED" w:rsidRPr="00F642ED" w:rsidRDefault="00F642ED" w:rsidP="00F642ED">
            <w:pPr>
              <w:rPr>
                <w:rFonts w:cs="Arial"/>
                <w:lang w:eastAsia="bg-BG"/>
              </w:rPr>
            </w:pPr>
            <w:r w:rsidRPr="00F642ED">
              <w:rPr>
                <w:rFonts w:cs="Arial"/>
              </w:rPr>
              <w:t>катаракта, зрителни нарушения, макулопатия</w:t>
            </w:r>
          </w:p>
        </w:tc>
      </w:tr>
      <w:tr w:rsidR="00F642ED" w14:paraId="457F5D3B" w14:textId="77777777" w:rsidTr="00FE7166">
        <w:tc>
          <w:tcPr>
            <w:tcW w:w="3166" w:type="dxa"/>
            <w:vAlign w:val="bottom"/>
          </w:tcPr>
          <w:p w14:paraId="053BA751" w14:textId="1A6BF0EE" w:rsidR="00F642ED" w:rsidRPr="00F642ED" w:rsidRDefault="00F642ED" w:rsidP="00F642ED">
            <w:pPr>
              <w:rPr>
                <w:rFonts w:cs="Arial"/>
                <w:lang w:eastAsia="bg-BG"/>
              </w:rPr>
            </w:pPr>
            <w:r w:rsidRPr="00F642ED">
              <w:rPr>
                <w:rFonts w:cs="Arial"/>
              </w:rPr>
              <w:t>Нарушения на ухото и лабиринта</w:t>
            </w:r>
          </w:p>
        </w:tc>
        <w:tc>
          <w:tcPr>
            <w:tcW w:w="3167" w:type="dxa"/>
          </w:tcPr>
          <w:p w14:paraId="5C8E813A" w14:textId="3A069CC6" w:rsidR="00F642ED" w:rsidRPr="00F642ED" w:rsidRDefault="00F642ED" w:rsidP="00F642ED">
            <w:pPr>
              <w:rPr>
                <w:rFonts w:cs="Arial"/>
                <w:lang w:eastAsia="bg-BG"/>
              </w:rPr>
            </w:pPr>
            <w:r w:rsidRPr="00F642ED">
              <w:rPr>
                <w:rFonts w:cs="Arial"/>
              </w:rPr>
              <w:t>Много редки</w:t>
            </w:r>
          </w:p>
        </w:tc>
        <w:tc>
          <w:tcPr>
            <w:tcW w:w="3167" w:type="dxa"/>
          </w:tcPr>
          <w:p w14:paraId="62006DC1" w14:textId="2AB92841" w:rsidR="00F642ED" w:rsidRPr="00F642ED" w:rsidRDefault="00F642ED" w:rsidP="00F642ED">
            <w:pPr>
              <w:rPr>
                <w:rFonts w:cs="Arial"/>
                <w:lang w:eastAsia="bg-BG"/>
              </w:rPr>
            </w:pPr>
            <w:r w:rsidRPr="00F642ED">
              <w:rPr>
                <w:rFonts w:cs="Arial"/>
              </w:rPr>
              <w:t>вертиго</w:t>
            </w:r>
          </w:p>
        </w:tc>
      </w:tr>
      <w:tr w:rsidR="00F642ED" w14:paraId="3C91A66A" w14:textId="77777777" w:rsidTr="00FE7166">
        <w:tc>
          <w:tcPr>
            <w:tcW w:w="3166" w:type="dxa"/>
          </w:tcPr>
          <w:p w14:paraId="42286B4A" w14:textId="1C4A14AA" w:rsidR="00F642ED" w:rsidRPr="00F642ED" w:rsidRDefault="00F642ED" w:rsidP="00F642ED">
            <w:pPr>
              <w:rPr>
                <w:rFonts w:cs="Arial"/>
                <w:lang w:eastAsia="bg-BG"/>
              </w:rPr>
            </w:pPr>
            <w:r w:rsidRPr="00F642ED">
              <w:rPr>
                <w:rFonts w:cs="Arial"/>
              </w:rPr>
              <w:t>Сърдечни нарушения</w:t>
            </w:r>
          </w:p>
        </w:tc>
        <w:tc>
          <w:tcPr>
            <w:tcW w:w="3167" w:type="dxa"/>
          </w:tcPr>
          <w:p w14:paraId="23A8BAF8" w14:textId="6107896F" w:rsidR="00F642ED" w:rsidRPr="00F642ED" w:rsidRDefault="00F642ED" w:rsidP="00F642ED">
            <w:pPr>
              <w:rPr>
                <w:rFonts w:cs="Arial"/>
                <w:lang w:eastAsia="bg-BG"/>
              </w:rPr>
            </w:pPr>
            <w:r w:rsidRPr="00F642ED">
              <w:rPr>
                <w:rFonts w:cs="Arial"/>
              </w:rPr>
              <w:t>Много редки</w:t>
            </w:r>
          </w:p>
        </w:tc>
        <w:tc>
          <w:tcPr>
            <w:tcW w:w="3167" w:type="dxa"/>
            <w:vAlign w:val="bottom"/>
          </w:tcPr>
          <w:p w14:paraId="1B1981B4" w14:textId="793052B1" w:rsidR="00F642ED" w:rsidRPr="00F642ED" w:rsidRDefault="00F642ED" w:rsidP="00F642ED">
            <w:pPr>
              <w:rPr>
                <w:rFonts w:cs="Arial"/>
                <w:lang w:eastAsia="bg-BG"/>
              </w:rPr>
            </w:pPr>
            <w:r w:rsidRPr="00F642ED">
              <w:rPr>
                <w:rFonts w:cs="Arial"/>
              </w:rPr>
              <w:t>стенокардия, брадикардия</w:t>
            </w:r>
          </w:p>
        </w:tc>
      </w:tr>
      <w:tr w:rsidR="00F642ED" w14:paraId="79BEB686" w14:textId="77777777" w:rsidTr="00FE7166">
        <w:tc>
          <w:tcPr>
            <w:tcW w:w="3166" w:type="dxa"/>
            <w:vAlign w:val="bottom"/>
          </w:tcPr>
          <w:p w14:paraId="3AAA0A0C" w14:textId="4DE15BAB" w:rsidR="00F642ED" w:rsidRPr="00F642ED" w:rsidRDefault="00F642ED" w:rsidP="00F642ED">
            <w:pPr>
              <w:rPr>
                <w:rFonts w:cs="Arial"/>
                <w:lang w:eastAsia="bg-BG"/>
              </w:rPr>
            </w:pPr>
            <w:r w:rsidRPr="00F642ED">
              <w:rPr>
                <w:rFonts w:cs="Arial"/>
              </w:rPr>
              <w:t>Съдови нарушения</w:t>
            </w:r>
          </w:p>
        </w:tc>
        <w:tc>
          <w:tcPr>
            <w:tcW w:w="3167" w:type="dxa"/>
            <w:vAlign w:val="bottom"/>
          </w:tcPr>
          <w:p w14:paraId="28504A86" w14:textId="59868344" w:rsidR="00F642ED" w:rsidRPr="00F642ED" w:rsidRDefault="00F642ED" w:rsidP="00F642ED">
            <w:pPr>
              <w:rPr>
                <w:rFonts w:cs="Arial"/>
                <w:lang w:eastAsia="bg-BG"/>
              </w:rPr>
            </w:pPr>
            <w:r w:rsidRPr="00F642ED">
              <w:rPr>
                <w:rFonts w:cs="Arial"/>
              </w:rPr>
              <w:t>Много редки</w:t>
            </w:r>
          </w:p>
        </w:tc>
        <w:tc>
          <w:tcPr>
            <w:tcW w:w="3167" w:type="dxa"/>
            <w:vAlign w:val="bottom"/>
          </w:tcPr>
          <w:p w14:paraId="2B47BA31" w14:textId="1866A0DF" w:rsidR="00F642ED" w:rsidRPr="00F642ED" w:rsidRDefault="00F642ED" w:rsidP="00F642ED">
            <w:pPr>
              <w:rPr>
                <w:rFonts w:cs="Arial"/>
                <w:lang w:eastAsia="bg-BG"/>
              </w:rPr>
            </w:pPr>
            <w:r w:rsidRPr="00F642ED">
              <w:rPr>
                <w:rFonts w:cs="Arial"/>
              </w:rPr>
              <w:t>хипертония</w:t>
            </w:r>
          </w:p>
        </w:tc>
      </w:tr>
      <w:tr w:rsidR="00F642ED" w14:paraId="529C33E7" w14:textId="77777777" w:rsidTr="00FE7166">
        <w:tc>
          <w:tcPr>
            <w:tcW w:w="3166" w:type="dxa"/>
            <w:vMerge w:val="restart"/>
          </w:tcPr>
          <w:p w14:paraId="246D32E2" w14:textId="34364455" w:rsidR="00F642ED" w:rsidRPr="00F642ED" w:rsidRDefault="00F642ED" w:rsidP="00F642ED">
            <w:pPr>
              <w:rPr>
                <w:rFonts w:cs="Arial"/>
                <w:lang w:eastAsia="bg-BG"/>
              </w:rPr>
            </w:pPr>
            <w:r w:rsidRPr="00F642ED">
              <w:rPr>
                <w:rFonts w:cs="Arial"/>
              </w:rPr>
              <w:t>Стомашно-чревни нарушения</w:t>
            </w:r>
          </w:p>
        </w:tc>
        <w:tc>
          <w:tcPr>
            <w:tcW w:w="3167" w:type="dxa"/>
          </w:tcPr>
          <w:p w14:paraId="0C45D9DA" w14:textId="20E848FF" w:rsidR="00F642ED" w:rsidRPr="00F642ED" w:rsidRDefault="00F642ED" w:rsidP="00F642ED">
            <w:pPr>
              <w:rPr>
                <w:rFonts w:cs="Arial"/>
                <w:lang w:eastAsia="bg-BG"/>
              </w:rPr>
            </w:pPr>
            <w:r w:rsidRPr="00F642ED">
              <w:rPr>
                <w:rFonts w:cs="Arial"/>
              </w:rPr>
              <w:t>Нечести</w:t>
            </w:r>
          </w:p>
        </w:tc>
        <w:tc>
          <w:tcPr>
            <w:tcW w:w="3167" w:type="dxa"/>
            <w:vAlign w:val="bottom"/>
          </w:tcPr>
          <w:p w14:paraId="6EC33A30" w14:textId="0A45297E" w:rsidR="00F642ED" w:rsidRPr="00F642ED" w:rsidRDefault="00F642ED" w:rsidP="00F642ED">
            <w:pPr>
              <w:rPr>
                <w:rFonts w:cs="Arial"/>
                <w:lang w:eastAsia="bg-BG"/>
              </w:rPr>
            </w:pPr>
            <w:r w:rsidRPr="00F642ED">
              <w:rPr>
                <w:rFonts w:cs="Arial"/>
              </w:rPr>
              <w:t>повръщане</w:t>
            </w:r>
            <w:r w:rsidRPr="00F642ED">
              <w:rPr>
                <w:rFonts w:cs="Arial"/>
                <w:vertAlign w:val="superscript"/>
              </w:rPr>
              <w:t>4</w:t>
            </w:r>
            <w:r w:rsidRPr="00F642ED">
              <w:rPr>
                <w:rFonts w:cs="Arial"/>
              </w:rPr>
              <w:t>, гадене</w:t>
            </w:r>
            <w:r w:rsidRPr="00F642ED">
              <w:rPr>
                <w:rFonts w:cs="Arial"/>
                <w:vertAlign w:val="superscript"/>
              </w:rPr>
              <w:t>4</w:t>
            </w:r>
            <w:r w:rsidRPr="00F642ED">
              <w:rPr>
                <w:rFonts w:cs="Arial"/>
              </w:rPr>
              <w:t>, диария</w:t>
            </w:r>
          </w:p>
        </w:tc>
      </w:tr>
      <w:tr w:rsidR="00F642ED" w14:paraId="2AFA284E" w14:textId="77777777" w:rsidTr="00FE7166">
        <w:tc>
          <w:tcPr>
            <w:tcW w:w="3166" w:type="dxa"/>
            <w:vMerge/>
          </w:tcPr>
          <w:p w14:paraId="4D80177C" w14:textId="77777777" w:rsidR="00F642ED" w:rsidRPr="00F642ED" w:rsidRDefault="00F642ED" w:rsidP="00F642ED">
            <w:pPr>
              <w:rPr>
                <w:rFonts w:cs="Arial"/>
                <w:lang w:eastAsia="bg-BG"/>
              </w:rPr>
            </w:pPr>
          </w:p>
        </w:tc>
        <w:tc>
          <w:tcPr>
            <w:tcW w:w="3167" w:type="dxa"/>
          </w:tcPr>
          <w:p w14:paraId="4611BF79" w14:textId="1A558BDC" w:rsidR="00F642ED" w:rsidRPr="00F642ED" w:rsidRDefault="00F642ED" w:rsidP="00F642ED">
            <w:pPr>
              <w:rPr>
                <w:rFonts w:cs="Arial"/>
                <w:lang w:eastAsia="bg-BG"/>
              </w:rPr>
            </w:pPr>
            <w:r w:rsidRPr="00F642ED">
              <w:rPr>
                <w:rFonts w:cs="Arial"/>
              </w:rPr>
              <w:t>Много редки</w:t>
            </w:r>
          </w:p>
        </w:tc>
        <w:tc>
          <w:tcPr>
            <w:tcW w:w="3167" w:type="dxa"/>
            <w:vAlign w:val="bottom"/>
          </w:tcPr>
          <w:p w14:paraId="31EB4D1D" w14:textId="5EE33C87" w:rsidR="00F642ED" w:rsidRPr="00F642ED" w:rsidRDefault="00F642ED" w:rsidP="00F642ED">
            <w:pPr>
              <w:rPr>
                <w:rFonts w:cs="Arial"/>
                <w:lang w:eastAsia="bg-BG"/>
              </w:rPr>
            </w:pPr>
            <w:r w:rsidRPr="00F642ED">
              <w:rPr>
                <w:rFonts w:cs="Arial"/>
              </w:rPr>
              <w:t>хематемеза, стеаторея, стоматит, промени в изхождането</w:t>
            </w:r>
          </w:p>
        </w:tc>
      </w:tr>
      <w:tr w:rsidR="00F642ED" w14:paraId="6A42D9F1" w14:textId="77777777" w:rsidTr="00FE7166">
        <w:tc>
          <w:tcPr>
            <w:tcW w:w="3166" w:type="dxa"/>
            <w:vMerge/>
          </w:tcPr>
          <w:p w14:paraId="59E8F8D9" w14:textId="77777777" w:rsidR="00F642ED" w:rsidRPr="00F642ED" w:rsidRDefault="00F642ED" w:rsidP="00F642ED">
            <w:pPr>
              <w:rPr>
                <w:rFonts w:cs="Arial"/>
                <w:lang w:eastAsia="bg-BG"/>
              </w:rPr>
            </w:pPr>
          </w:p>
        </w:tc>
        <w:tc>
          <w:tcPr>
            <w:tcW w:w="3167" w:type="dxa"/>
            <w:vAlign w:val="bottom"/>
          </w:tcPr>
          <w:p w14:paraId="599F85BB" w14:textId="4E95FD6E" w:rsidR="00F642ED" w:rsidRPr="00F642ED" w:rsidRDefault="00F642ED" w:rsidP="00F642ED">
            <w:pPr>
              <w:rPr>
                <w:rFonts w:cs="Arial"/>
                <w:lang w:eastAsia="bg-BG"/>
              </w:rPr>
            </w:pPr>
            <w:r w:rsidRPr="00F642ED">
              <w:rPr>
                <w:rFonts w:cs="Arial"/>
              </w:rPr>
              <w:t>С неизвестна честота</w:t>
            </w:r>
          </w:p>
        </w:tc>
        <w:tc>
          <w:tcPr>
            <w:tcW w:w="3167" w:type="dxa"/>
            <w:vAlign w:val="bottom"/>
          </w:tcPr>
          <w:p w14:paraId="57DA3C29" w14:textId="6B283E7F" w:rsidR="00F642ED" w:rsidRPr="00F642ED" w:rsidRDefault="00F642ED" w:rsidP="00F642ED">
            <w:pPr>
              <w:rPr>
                <w:rFonts w:cs="Arial"/>
                <w:lang w:eastAsia="bg-BG"/>
              </w:rPr>
            </w:pPr>
            <w:r w:rsidRPr="00F642ED">
              <w:rPr>
                <w:rFonts w:cs="Arial"/>
              </w:rPr>
              <w:t>коремна болка</w:t>
            </w:r>
          </w:p>
        </w:tc>
      </w:tr>
      <w:tr w:rsidR="00F642ED" w14:paraId="57783E2A" w14:textId="77777777" w:rsidTr="00FE7166">
        <w:tc>
          <w:tcPr>
            <w:tcW w:w="3166" w:type="dxa"/>
            <w:vMerge w:val="restart"/>
          </w:tcPr>
          <w:p w14:paraId="21AFE5B8" w14:textId="01F290AA" w:rsidR="00F642ED" w:rsidRPr="00F642ED" w:rsidRDefault="00F642ED" w:rsidP="00F642ED">
            <w:pPr>
              <w:rPr>
                <w:rFonts w:cs="Arial"/>
                <w:lang w:eastAsia="bg-BG"/>
              </w:rPr>
            </w:pPr>
            <w:r w:rsidRPr="00F642ED">
              <w:rPr>
                <w:rFonts w:cs="Arial"/>
              </w:rPr>
              <w:t>Хепатобилиарни нарушения</w:t>
            </w:r>
          </w:p>
        </w:tc>
        <w:tc>
          <w:tcPr>
            <w:tcW w:w="3167" w:type="dxa"/>
            <w:vAlign w:val="bottom"/>
          </w:tcPr>
          <w:p w14:paraId="740C7E49" w14:textId="51A48D6B" w:rsidR="00F642ED" w:rsidRPr="00F642ED" w:rsidRDefault="00F642ED" w:rsidP="00F642ED">
            <w:pPr>
              <w:rPr>
                <w:rFonts w:cs="Arial"/>
                <w:lang w:eastAsia="bg-BG"/>
              </w:rPr>
            </w:pPr>
            <w:r w:rsidRPr="00F642ED">
              <w:rPr>
                <w:rFonts w:cs="Arial"/>
              </w:rPr>
              <w:t>Нечести</w:t>
            </w:r>
          </w:p>
        </w:tc>
        <w:tc>
          <w:tcPr>
            <w:tcW w:w="3167" w:type="dxa"/>
            <w:vAlign w:val="bottom"/>
          </w:tcPr>
          <w:p w14:paraId="30D21C8A" w14:textId="77777777" w:rsidR="00F642ED" w:rsidRPr="00F642ED" w:rsidRDefault="00F642ED" w:rsidP="00F642ED">
            <w:pPr>
              <w:rPr>
                <w:rFonts w:cs="Arial"/>
              </w:rPr>
            </w:pPr>
            <w:r w:rsidRPr="00F642ED">
              <w:rPr>
                <w:rFonts w:cs="Arial"/>
              </w:rPr>
              <w:t>необичайни чернодробни</w:t>
            </w:r>
          </w:p>
          <w:p w14:paraId="1E55AA70" w14:textId="079D9C60" w:rsidR="00F642ED" w:rsidRPr="00F642ED" w:rsidRDefault="00F642ED" w:rsidP="00F642ED">
            <w:pPr>
              <w:rPr>
                <w:rFonts w:cs="Arial"/>
                <w:lang w:eastAsia="bg-BG"/>
              </w:rPr>
            </w:pPr>
            <w:r w:rsidRPr="00F642ED">
              <w:rPr>
                <w:rFonts w:cs="Arial"/>
              </w:rPr>
              <w:t>функционални изследвания</w:t>
            </w:r>
            <w:r w:rsidRPr="00F642ED">
              <w:rPr>
                <w:rFonts w:cs="Arial"/>
                <w:vertAlign w:val="superscript"/>
              </w:rPr>
              <w:t>3</w:t>
            </w:r>
          </w:p>
        </w:tc>
      </w:tr>
      <w:tr w:rsidR="00F642ED" w14:paraId="34C1F4FD" w14:textId="77777777" w:rsidTr="00FE7166">
        <w:tc>
          <w:tcPr>
            <w:tcW w:w="3166" w:type="dxa"/>
            <w:vMerge/>
          </w:tcPr>
          <w:p w14:paraId="3AF5A2EE" w14:textId="77777777" w:rsidR="00F642ED" w:rsidRPr="00F642ED" w:rsidRDefault="00F642ED" w:rsidP="00F642ED">
            <w:pPr>
              <w:rPr>
                <w:rFonts w:cs="Arial"/>
                <w:lang w:eastAsia="bg-BG"/>
              </w:rPr>
            </w:pPr>
          </w:p>
        </w:tc>
        <w:tc>
          <w:tcPr>
            <w:tcW w:w="3167" w:type="dxa"/>
          </w:tcPr>
          <w:p w14:paraId="7C785DD9" w14:textId="4484B1DE" w:rsidR="00F642ED" w:rsidRPr="00F642ED" w:rsidRDefault="00F642ED" w:rsidP="00F642ED">
            <w:pPr>
              <w:rPr>
                <w:rFonts w:cs="Arial"/>
                <w:lang w:eastAsia="bg-BG"/>
              </w:rPr>
            </w:pPr>
            <w:r w:rsidRPr="00F642ED">
              <w:rPr>
                <w:rFonts w:cs="Arial"/>
              </w:rPr>
              <w:t>Редки</w:t>
            </w:r>
          </w:p>
        </w:tc>
        <w:tc>
          <w:tcPr>
            <w:tcW w:w="3167" w:type="dxa"/>
            <w:vAlign w:val="bottom"/>
          </w:tcPr>
          <w:p w14:paraId="30B5426C" w14:textId="31A864D2" w:rsidR="00F642ED" w:rsidRPr="00F642ED" w:rsidRDefault="00F642ED" w:rsidP="00F642ED">
            <w:pPr>
              <w:rPr>
                <w:rFonts w:cs="Arial"/>
                <w:lang w:eastAsia="bg-BG"/>
              </w:rPr>
            </w:pPr>
            <w:r w:rsidRPr="00F642ED">
              <w:rPr>
                <w:rFonts w:cs="Arial"/>
              </w:rPr>
              <w:t>хепатит (включително чернодробна некроза и грануломатозен хепатит)</w:t>
            </w:r>
            <w:r w:rsidRPr="00F642ED">
              <w:rPr>
                <w:rFonts w:cs="Arial"/>
                <w:vertAlign w:val="superscript"/>
              </w:rPr>
              <w:t>5</w:t>
            </w:r>
          </w:p>
        </w:tc>
      </w:tr>
      <w:tr w:rsidR="00F642ED" w14:paraId="17B74CD7" w14:textId="77777777" w:rsidTr="002E7516">
        <w:tc>
          <w:tcPr>
            <w:tcW w:w="3166" w:type="dxa"/>
            <w:vMerge w:val="restart"/>
          </w:tcPr>
          <w:p w14:paraId="0FE059E4" w14:textId="217AD443" w:rsidR="00F642ED" w:rsidRPr="00F642ED" w:rsidRDefault="00F642ED" w:rsidP="00F642ED">
            <w:pPr>
              <w:rPr>
                <w:rFonts w:cs="Arial"/>
                <w:lang w:eastAsia="bg-BG"/>
              </w:rPr>
            </w:pPr>
            <w:r w:rsidRPr="00F642ED">
              <w:rPr>
                <w:rFonts w:cs="Arial"/>
              </w:rPr>
              <w:t>Нарушения на кожата и подкожната тъкан</w:t>
            </w:r>
          </w:p>
        </w:tc>
        <w:tc>
          <w:tcPr>
            <w:tcW w:w="3167" w:type="dxa"/>
            <w:vAlign w:val="bottom"/>
          </w:tcPr>
          <w:p w14:paraId="2CE53A59" w14:textId="002DBF6C" w:rsidR="00F642ED" w:rsidRPr="00F642ED" w:rsidRDefault="00F642ED" w:rsidP="00F642ED">
            <w:pPr>
              <w:rPr>
                <w:rFonts w:cs="Arial"/>
                <w:lang w:eastAsia="bg-BG"/>
              </w:rPr>
            </w:pPr>
            <w:r w:rsidRPr="00F642ED">
              <w:rPr>
                <w:rFonts w:cs="Arial"/>
              </w:rPr>
              <w:t>Чести</w:t>
            </w:r>
          </w:p>
        </w:tc>
        <w:tc>
          <w:tcPr>
            <w:tcW w:w="3167" w:type="dxa"/>
            <w:vAlign w:val="bottom"/>
          </w:tcPr>
          <w:p w14:paraId="70FC3CD9" w14:textId="761544BC" w:rsidR="00F642ED" w:rsidRPr="00F642ED" w:rsidRDefault="00F642ED" w:rsidP="00F642ED">
            <w:pPr>
              <w:rPr>
                <w:rFonts w:cs="Arial"/>
                <w:lang w:eastAsia="bg-BG"/>
              </w:rPr>
            </w:pPr>
            <w:r w:rsidRPr="00F642ED">
              <w:rPr>
                <w:rFonts w:cs="Arial"/>
              </w:rPr>
              <w:t>обрив</w:t>
            </w:r>
          </w:p>
        </w:tc>
      </w:tr>
      <w:tr w:rsidR="00F642ED" w14:paraId="4C5B0953" w14:textId="77777777" w:rsidTr="002E7516">
        <w:tc>
          <w:tcPr>
            <w:tcW w:w="3166" w:type="dxa"/>
            <w:vMerge/>
          </w:tcPr>
          <w:p w14:paraId="6E0B9F42" w14:textId="77777777" w:rsidR="00F642ED" w:rsidRPr="00F642ED" w:rsidRDefault="00F642ED" w:rsidP="00F642ED">
            <w:pPr>
              <w:rPr>
                <w:rFonts w:cs="Arial"/>
                <w:lang w:eastAsia="bg-BG"/>
              </w:rPr>
            </w:pPr>
          </w:p>
        </w:tc>
        <w:tc>
          <w:tcPr>
            <w:tcW w:w="3167" w:type="dxa"/>
          </w:tcPr>
          <w:p w14:paraId="4EE987EF" w14:textId="28FACA79" w:rsidR="00F642ED" w:rsidRPr="00F642ED" w:rsidRDefault="00F642ED" w:rsidP="00F642ED">
            <w:pPr>
              <w:rPr>
                <w:rFonts w:cs="Arial"/>
                <w:lang w:eastAsia="bg-BG"/>
              </w:rPr>
            </w:pPr>
            <w:r w:rsidRPr="00F642ED">
              <w:rPr>
                <w:rFonts w:cs="Arial"/>
              </w:rPr>
              <w:t>Редки</w:t>
            </w:r>
          </w:p>
        </w:tc>
        <w:tc>
          <w:tcPr>
            <w:tcW w:w="3167" w:type="dxa"/>
            <w:vAlign w:val="bottom"/>
          </w:tcPr>
          <w:p w14:paraId="7010B775" w14:textId="383654A8" w:rsidR="00F642ED" w:rsidRPr="00F642ED" w:rsidRDefault="00F642ED" w:rsidP="00F642ED">
            <w:pPr>
              <w:rPr>
                <w:rFonts w:cs="Arial"/>
                <w:lang w:eastAsia="bg-BG"/>
              </w:rPr>
            </w:pPr>
            <w:r w:rsidRPr="00F642ED">
              <w:rPr>
                <w:rFonts w:cs="Arial"/>
              </w:rPr>
              <w:t>синдром на Стивънс- Джонсън/токсична епидермална некролиза</w:t>
            </w:r>
            <w:r w:rsidRPr="00F642ED">
              <w:rPr>
                <w:rFonts w:cs="Arial"/>
                <w:vertAlign w:val="superscript"/>
              </w:rPr>
              <w:t>6</w:t>
            </w:r>
          </w:p>
        </w:tc>
      </w:tr>
      <w:tr w:rsidR="00F642ED" w14:paraId="55F7E18C" w14:textId="77777777" w:rsidTr="002E7516">
        <w:tc>
          <w:tcPr>
            <w:tcW w:w="3166" w:type="dxa"/>
            <w:vMerge/>
          </w:tcPr>
          <w:p w14:paraId="5B819EE0" w14:textId="77777777" w:rsidR="00F642ED" w:rsidRPr="00F642ED" w:rsidRDefault="00F642ED" w:rsidP="00F642ED">
            <w:pPr>
              <w:rPr>
                <w:rFonts w:cs="Arial"/>
                <w:lang w:eastAsia="bg-BG"/>
              </w:rPr>
            </w:pPr>
          </w:p>
        </w:tc>
        <w:tc>
          <w:tcPr>
            <w:tcW w:w="3167" w:type="dxa"/>
            <w:vAlign w:val="bottom"/>
          </w:tcPr>
          <w:p w14:paraId="16B8DC88" w14:textId="175A7C90" w:rsidR="00F642ED" w:rsidRPr="00F642ED" w:rsidRDefault="00F642ED" w:rsidP="00F642ED">
            <w:pPr>
              <w:rPr>
                <w:rFonts w:cs="Arial"/>
                <w:lang w:eastAsia="bg-BG"/>
              </w:rPr>
            </w:pPr>
            <w:r w:rsidRPr="00F642ED">
              <w:rPr>
                <w:rFonts w:cs="Arial"/>
              </w:rPr>
              <w:t>Много редки</w:t>
            </w:r>
          </w:p>
        </w:tc>
        <w:tc>
          <w:tcPr>
            <w:tcW w:w="3167" w:type="dxa"/>
            <w:vAlign w:val="bottom"/>
          </w:tcPr>
          <w:p w14:paraId="4CF10920" w14:textId="05695764" w:rsidR="00F642ED" w:rsidRPr="00F642ED" w:rsidRDefault="00F642ED" w:rsidP="00F642ED">
            <w:pPr>
              <w:rPr>
                <w:rFonts w:cs="Arial"/>
                <w:lang w:eastAsia="bg-BG"/>
              </w:rPr>
            </w:pPr>
            <w:r w:rsidRPr="00F642ED">
              <w:rPr>
                <w:rFonts w:cs="Arial"/>
              </w:rPr>
              <w:t>ангионевротичен оток</w:t>
            </w:r>
            <w:r w:rsidRPr="00F642ED">
              <w:rPr>
                <w:rFonts w:cs="Arial"/>
                <w:vertAlign w:val="superscript"/>
              </w:rPr>
              <w:t>7</w:t>
            </w:r>
            <w:r w:rsidRPr="00F642ED">
              <w:rPr>
                <w:rFonts w:cs="Arial"/>
              </w:rPr>
              <w:t>, лекарствен обрив, алопеция, промяна в цвета на косата</w:t>
            </w:r>
          </w:p>
        </w:tc>
      </w:tr>
      <w:tr w:rsidR="00F642ED" w14:paraId="2CAC7DF1" w14:textId="77777777" w:rsidTr="002E7516">
        <w:tc>
          <w:tcPr>
            <w:tcW w:w="3166" w:type="dxa"/>
            <w:vAlign w:val="bottom"/>
          </w:tcPr>
          <w:p w14:paraId="2194984B" w14:textId="3837763E" w:rsidR="00F642ED" w:rsidRPr="00F642ED" w:rsidRDefault="00F642ED" w:rsidP="00F642ED">
            <w:pPr>
              <w:rPr>
                <w:rFonts w:cs="Arial"/>
                <w:lang w:eastAsia="bg-BG"/>
              </w:rPr>
            </w:pPr>
            <w:r w:rsidRPr="00F642ED">
              <w:rPr>
                <w:rFonts w:cs="Arial"/>
              </w:rPr>
              <w:t>Нарушения на мускулно-</w:t>
            </w:r>
            <w:r w:rsidRPr="00F642ED">
              <w:rPr>
                <w:rFonts w:cs="Arial"/>
              </w:rPr>
              <w:t>скелетната система и съединителната тъкан</w:t>
            </w:r>
          </w:p>
        </w:tc>
        <w:tc>
          <w:tcPr>
            <w:tcW w:w="3167" w:type="dxa"/>
            <w:vAlign w:val="bottom"/>
          </w:tcPr>
          <w:p w14:paraId="5CA34651" w14:textId="7B4D5339" w:rsidR="00F642ED" w:rsidRPr="00F642ED" w:rsidRDefault="00F642ED" w:rsidP="00F642ED">
            <w:pPr>
              <w:rPr>
                <w:rFonts w:cs="Arial"/>
                <w:lang w:eastAsia="bg-BG"/>
              </w:rPr>
            </w:pPr>
            <w:r w:rsidRPr="00F642ED">
              <w:rPr>
                <w:rFonts w:cs="Arial"/>
              </w:rPr>
              <w:t>Много редки</w:t>
            </w:r>
          </w:p>
        </w:tc>
        <w:tc>
          <w:tcPr>
            <w:tcW w:w="3167" w:type="dxa"/>
            <w:vAlign w:val="bottom"/>
          </w:tcPr>
          <w:p w14:paraId="7ECD7FCB" w14:textId="607EB847" w:rsidR="00F642ED" w:rsidRPr="00F642ED" w:rsidRDefault="00F642ED" w:rsidP="00F642ED">
            <w:pPr>
              <w:rPr>
                <w:rFonts w:cs="Arial"/>
                <w:lang w:eastAsia="bg-BG"/>
              </w:rPr>
            </w:pPr>
            <w:r w:rsidRPr="00F642ED">
              <w:rPr>
                <w:rFonts w:cs="Arial"/>
              </w:rPr>
              <w:t>мускулна болка</w:t>
            </w:r>
          </w:p>
        </w:tc>
      </w:tr>
      <w:tr w:rsidR="00F642ED" w14:paraId="45FF8F24" w14:textId="77777777" w:rsidTr="00F642ED">
        <w:tc>
          <w:tcPr>
            <w:tcW w:w="3166" w:type="dxa"/>
            <w:vMerge w:val="restart"/>
          </w:tcPr>
          <w:p w14:paraId="70684F4E" w14:textId="375593AD" w:rsidR="00F642ED" w:rsidRPr="00F642ED" w:rsidRDefault="00F642ED" w:rsidP="00F642ED">
            <w:pPr>
              <w:rPr>
                <w:rFonts w:cs="Arial"/>
                <w:lang w:eastAsia="bg-BG"/>
              </w:rPr>
            </w:pPr>
            <w:r w:rsidRPr="00F642ED">
              <w:rPr>
                <w:rFonts w:cs="Arial"/>
              </w:rPr>
              <w:t>Нарушения на бъбреците и пикочните пътища</w:t>
            </w:r>
          </w:p>
        </w:tc>
        <w:tc>
          <w:tcPr>
            <w:tcW w:w="3167" w:type="dxa"/>
          </w:tcPr>
          <w:p w14:paraId="6CB74B7C" w14:textId="690F36FA" w:rsidR="00F642ED" w:rsidRPr="00F642ED" w:rsidRDefault="00F642ED" w:rsidP="00F642ED">
            <w:pPr>
              <w:rPr>
                <w:rFonts w:cs="Arial"/>
                <w:lang w:eastAsia="bg-BG"/>
              </w:rPr>
            </w:pPr>
            <w:r w:rsidRPr="00F642ED">
              <w:rPr>
                <w:rFonts w:cs="Arial"/>
              </w:rPr>
              <w:t>Редки</w:t>
            </w:r>
          </w:p>
        </w:tc>
        <w:tc>
          <w:tcPr>
            <w:tcW w:w="3167" w:type="dxa"/>
          </w:tcPr>
          <w:p w14:paraId="4ED7C078" w14:textId="07BCFA94" w:rsidR="00F642ED" w:rsidRPr="00F642ED" w:rsidRDefault="00F642ED" w:rsidP="00F642ED">
            <w:pPr>
              <w:rPr>
                <w:rFonts w:cs="Arial"/>
                <w:lang w:eastAsia="bg-BG"/>
              </w:rPr>
            </w:pPr>
            <w:r w:rsidRPr="00F642ED">
              <w:rPr>
                <w:rFonts w:cs="Arial"/>
              </w:rPr>
              <w:t>уролитиаза</w:t>
            </w:r>
          </w:p>
        </w:tc>
      </w:tr>
      <w:tr w:rsidR="00F642ED" w14:paraId="3BB92C45" w14:textId="77777777" w:rsidTr="00F642ED">
        <w:tc>
          <w:tcPr>
            <w:tcW w:w="3166" w:type="dxa"/>
            <w:vMerge/>
          </w:tcPr>
          <w:p w14:paraId="78231FDB" w14:textId="77777777" w:rsidR="00F642ED" w:rsidRPr="00F642ED" w:rsidRDefault="00F642ED" w:rsidP="00F642ED">
            <w:pPr>
              <w:rPr>
                <w:rFonts w:cs="Arial"/>
                <w:lang w:eastAsia="bg-BG"/>
              </w:rPr>
            </w:pPr>
          </w:p>
        </w:tc>
        <w:tc>
          <w:tcPr>
            <w:tcW w:w="3167" w:type="dxa"/>
          </w:tcPr>
          <w:p w14:paraId="768A1535" w14:textId="77E5A680" w:rsidR="00F642ED" w:rsidRPr="00F642ED" w:rsidRDefault="00F642ED" w:rsidP="00F642ED">
            <w:pPr>
              <w:rPr>
                <w:rFonts w:cs="Arial"/>
                <w:lang w:eastAsia="bg-BG"/>
              </w:rPr>
            </w:pPr>
            <w:r w:rsidRPr="00F642ED">
              <w:rPr>
                <w:rFonts w:cs="Arial"/>
              </w:rPr>
              <w:t>Много редки</w:t>
            </w:r>
          </w:p>
        </w:tc>
        <w:tc>
          <w:tcPr>
            <w:tcW w:w="3167" w:type="dxa"/>
          </w:tcPr>
          <w:p w14:paraId="2A5C8DD0" w14:textId="4031792E" w:rsidR="00F642ED" w:rsidRPr="00F642ED" w:rsidRDefault="00F642ED" w:rsidP="00F642ED">
            <w:pPr>
              <w:rPr>
                <w:rFonts w:cs="Arial"/>
                <w:lang w:eastAsia="bg-BG"/>
              </w:rPr>
            </w:pPr>
            <w:r w:rsidRPr="00F642ED">
              <w:rPr>
                <w:rFonts w:cs="Arial"/>
              </w:rPr>
              <w:t>хематурия, азотемия</w:t>
            </w:r>
          </w:p>
        </w:tc>
      </w:tr>
      <w:tr w:rsidR="00F642ED" w14:paraId="4F001A7D" w14:textId="77777777" w:rsidTr="00F642ED">
        <w:tc>
          <w:tcPr>
            <w:tcW w:w="3166" w:type="dxa"/>
          </w:tcPr>
          <w:p w14:paraId="49E42663" w14:textId="4502BD24" w:rsidR="00F642ED" w:rsidRPr="00F642ED" w:rsidRDefault="00F642ED" w:rsidP="00F642ED">
            <w:pPr>
              <w:rPr>
                <w:rFonts w:cs="Arial"/>
                <w:lang w:eastAsia="bg-BG"/>
              </w:rPr>
            </w:pPr>
            <w:r w:rsidRPr="00F642ED">
              <w:rPr>
                <w:rFonts w:cs="Arial"/>
              </w:rPr>
              <w:t>Нарушения на възпроизводителната система и гърдата</w:t>
            </w:r>
          </w:p>
        </w:tc>
        <w:tc>
          <w:tcPr>
            <w:tcW w:w="3167" w:type="dxa"/>
          </w:tcPr>
          <w:p w14:paraId="50A17D34" w14:textId="151EE958" w:rsidR="00F642ED" w:rsidRPr="00F642ED" w:rsidRDefault="00F642ED" w:rsidP="00F642ED">
            <w:pPr>
              <w:rPr>
                <w:rFonts w:cs="Arial"/>
                <w:lang w:eastAsia="bg-BG"/>
              </w:rPr>
            </w:pPr>
            <w:r w:rsidRPr="00F642ED">
              <w:rPr>
                <w:rFonts w:cs="Arial"/>
              </w:rPr>
              <w:t>Много редки</w:t>
            </w:r>
          </w:p>
        </w:tc>
        <w:tc>
          <w:tcPr>
            <w:tcW w:w="3167" w:type="dxa"/>
          </w:tcPr>
          <w:p w14:paraId="5E4D1A8A" w14:textId="5DEA9196" w:rsidR="00F642ED" w:rsidRPr="00F642ED" w:rsidRDefault="00F642ED" w:rsidP="00F642ED">
            <w:pPr>
              <w:rPr>
                <w:rFonts w:cs="Arial"/>
                <w:lang w:eastAsia="bg-BG"/>
              </w:rPr>
            </w:pPr>
            <w:r w:rsidRPr="00F642ED">
              <w:rPr>
                <w:rFonts w:cs="Arial"/>
              </w:rPr>
              <w:t>стерилитет при мъже, еректилна дисфункция, гинекомастия</w:t>
            </w:r>
          </w:p>
        </w:tc>
      </w:tr>
      <w:tr w:rsidR="00F642ED" w14:paraId="6D2FB020" w14:textId="77777777" w:rsidTr="00F642ED">
        <w:tc>
          <w:tcPr>
            <w:tcW w:w="3166" w:type="dxa"/>
          </w:tcPr>
          <w:p w14:paraId="52051F00" w14:textId="0ADFFF50" w:rsidR="00F642ED" w:rsidRPr="00F642ED" w:rsidRDefault="00F642ED" w:rsidP="00F642ED">
            <w:pPr>
              <w:rPr>
                <w:rFonts w:cs="Arial"/>
                <w:lang w:eastAsia="bg-BG"/>
              </w:rPr>
            </w:pPr>
            <w:r w:rsidRPr="00F642ED">
              <w:rPr>
                <w:rFonts w:cs="Arial"/>
              </w:rPr>
              <w:t>Общи нарушения и ефекти на мястото на приложение</w:t>
            </w:r>
          </w:p>
        </w:tc>
        <w:tc>
          <w:tcPr>
            <w:tcW w:w="3167" w:type="dxa"/>
          </w:tcPr>
          <w:p w14:paraId="29832AED" w14:textId="4E524F0B" w:rsidR="00F642ED" w:rsidRPr="00F642ED" w:rsidRDefault="00F642ED" w:rsidP="00F642ED">
            <w:pPr>
              <w:rPr>
                <w:rFonts w:cs="Arial"/>
                <w:lang w:eastAsia="bg-BG"/>
              </w:rPr>
            </w:pPr>
            <w:r w:rsidRPr="00F642ED">
              <w:rPr>
                <w:rFonts w:cs="Arial"/>
              </w:rPr>
              <w:t>Много редки</w:t>
            </w:r>
          </w:p>
        </w:tc>
        <w:tc>
          <w:tcPr>
            <w:tcW w:w="3167" w:type="dxa"/>
          </w:tcPr>
          <w:p w14:paraId="46AF2E90" w14:textId="77777777" w:rsidR="00F642ED" w:rsidRPr="00F642ED" w:rsidRDefault="00F642ED" w:rsidP="00F642ED">
            <w:pPr>
              <w:rPr>
                <w:rFonts w:cs="Arial"/>
              </w:rPr>
            </w:pPr>
            <w:r w:rsidRPr="00F642ED">
              <w:rPr>
                <w:rFonts w:cs="Arial"/>
              </w:rPr>
              <w:t>оток,</w:t>
            </w:r>
          </w:p>
          <w:p w14:paraId="499A34C9" w14:textId="77777777" w:rsidR="00F642ED" w:rsidRPr="00F642ED" w:rsidRDefault="00F642ED" w:rsidP="00F642ED">
            <w:pPr>
              <w:rPr>
                <w:rFonts w:cs="Arial"/>
              </w:rPr>
            </w:pPr>
            <w:r w:rsidRPr="00F642ED">
              <w:rPr>
                <w:rFonts w:cs="Arial"/>
              </w:rPr>
              <w:t>общо неразположение, астения,</w:t>
            </w:r>
          </w:p>
          <w:p w14:paraId="28129D77" w14:textId="3BE7E121" w:rsidR="00F642ED" w:rsidRPr="00F642ED" w:rsidRDefault="00F642ED" w:rsidP="00F642ED">
            <w:pPr>
              <w:rPr>
                <w:rFonts w:cs="Arial"/>
                <w:lang w:eastAsia="bg-BG"/>
              </w:rPr>
            </w:pPr>
            <w:r w:rsidRPr="00F642ED">
              <w:rPr>
                <w:rFonts w:cs="Arial"/>
              </w:rPr>
              <w:t>пирексия</w:t>
            </w:r>
            <w:r w:rsidRPr="00F642ED">
              <w:rPr>
                <w:rFonts w:cs="Arial"/>
                <w:vertAlign w:val="superscript"/>
              </w:rPr>
              <w:t>8</w:t>
            </w:r>
          </w:p>
        </w:tc>
      </w:tr>
      <w:tr w:rsidR="00F642ED" w14:paraId="73FFA647" w14:textId="77777777" w:rsidTr="00F642ED">
        <w:tc>
          <w:tcPr>
            <w:tcW w:w="3166" w:type="dxa"/>
          </w:tcPr>
          <w:p w14:paraId="5984A9EB" w14:textId="49B48E39" w:rsidR="00F642ED" w:rsidRPr="00F642ED" w:rsidRDefault="00F642ED" w:rsidP="00F642ED">
            <w:pPr>
              <w:rPr>
                <w:rFonts w:cs="Arial"/>
                <w:lang w:eastAsia="bg-BG"/>
              </w:rPr>
            </w:pPr>
            <w:r w:rsidRPr="00F642ED">
              <w:rPr>
                <w:rFonts w:cs="Arial"/>
              </w:rPr>
              <w:lastRenderedPageBreak/>
              <w:t>Изследвания</w:t>
            </w:r>
          </w:p>
        </w:tc>
        <w:tc>
          <w:tcPr>
            <w:tcW w:w="3167" w:type="dxa"/>
          </w:tcPr>
          <w:p w14:paraId="51778498" w14:textId="2EC0F561" w:rsidR="00F642ED" w:rsidRPr="00F642ED" w:rsidRDefault="00F642ED" w:rsidP="00F642ED">
            <w:pPr>
              <w:rPr>
                <w:rFonts w:cs="Arial"/>
                <w:lang w:eastAsia="bg-BG"/>
              </w:rPr>
            </w:pPr>
            <w:r w:rsidRPr="00F642ED">
              <w:rPr>
                <w:rFonts w:cs="Arial"/>
              </w:rPr>
              <w:t>Чести</w:t>
            </w:r>
          </w:p>
        </w:tc>
        <w:tc>
          <w:tcPr>
            <w:tcW w:w="3167" w:type="dxa"/>
          </w:tcPr>
          <w:p w14:paraId="7126AE75" w14:textId="3B924775" w:rsidR="00F642ED" w:rsidRPr="00F642ED" w:rsidRDefault="00F642ED" w:rsidP="00F642ED">
            <w:pPr>
              <w:rPr>
                <w:rFonts w:cs="Arial"/>
                <w:lang w:eastAsia="bg-BG"/>
              </w:rPr>
            </w:pPr>
            <w:r w:rsidRPr="00F642ED">
              <w:rPr>
                <w:rFonts w:cs="Arial"/>
              </w:rPr>
              <w:t>повишени нива на тиреостимулиращия хормон в кръвта</w:t>
            </w:r>
            <w:r w:rsidRPr="00F642ED">
              <w:rPr>
                <w:rFonts w:cs="Arial"/>
                <w:vertAlign w:val="superscript"/>
              </w:rPr>
              <w:t>9</w:t>
            </w:r>
          </w:p>
        </w:tc>
      </w:tr>
    </w:tbl>
    <w:p w14:paraId="3254322D" w14:textId="77777777" w:rsidR="00F642ED" w:rsidRDefault="00F642ED" w:rsidP="00F642ED">
      <w:pPr>
        <w:rPr>
          <w:lang w:eastAsia="bg-BG"/>
        </w:rPr>
      </w:pPr>
    </w:p>
    <w:p w14:paraId="496BF39C" w14:textId="0DA3DFB5"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1</w:t>
      </w:r>
      <w:r w:rsidRPr="00F642ED">
        <w:rPr>
          <w:rFonts w:eastAsia="Times New Roman" w:cs="Arial"/>
          <w:color w:val="000000"/>
          <w:lang w:eastAsia="bg-BG"/>
        </w:rPr>
        <w:t xml:space="preserve">Получени са много редки съобщения за тромбоцитопения, агранулоцитоза </w:t>
      </w:r>
      <w:r w:rsidRPr="00F642ED">
        <w:rPr>
          <w:rFonts w:eastAsia="Times New Roman" w:cs="Arial"/>
          <w:i/>
          <w:iCs/>
          <w:color w:val="000000"/>
          <w:lang w:eastAsia="bg-BG"/>
        </w:rPr>
        <w:t>и</w:t>
      </w:r>
      <w:r w:rsidRPr="00F642ED">
        <w:rPr>
          <w:rFonts w:eastAsia="Times New Roman" w:cs="Arial"/>
          <w:color w:val="000000"/>
          <w:lang w:eastAsia="bg-BG"/>
        </w:rPr>
        <w:t xml:space="preserve"> апластична анемия, особено при пациенти с увредена бъбречна и/или чернодробна функция, което повишава необходимостта от специални грижи за пациентите от тази група. (Вж. точки 4.2 </w:t>
      </w:r>
      <w:r w:rsidRPr="00F642ED">
        <w:rPr>
          <w:rFonts w:eastAsia="Times New Roman" w:cs="Arial"/>
          <w:i/>
          <w:iCs/>
          <w:color w:val="000000"/>
          <w:lang w:eastAsia="bg-BG"/>
        </w:rPr>
        <w:t>и</w:t>
      </w:r>
      <w:r w:rsidRPr="00F642ED">
        <w:rPr>
          <w:rFonts w:eastAsia="Times New Roman" w:cs="Arial"/>
          <w:color w:val="000000"/>
          <w:lang w:eastAsia="bg-BG"/>
        </w:rPr>
        <w:t xml:space="preserve"> 4.4).</w:t>
      </w:r>
    </w:p>
    <w:p w14:paraId="4D6D857B" w14:textId="2380F42F"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2</w:t>
      </w:r>
      <w:r w:rsidRPr="00F642ED">
        <w:rPr>
          <w:rFonts w:eastAsia="Times New Roman" w:cs="Arial"/>
          <w:color w:val="000000"/>
          <w:lang w:eastAsia="bg-BG"/>
        </w:rPr>
        <w:t xml:space="preserve">Тежките реакции на свръхчувствителност, включително кожни реакции, протичащи с ексфолиация, повишена температура, лимфаденопатия, артралгия и/или еозинофилия, включващи синдрома на Стивънс-Джонсън </w:t>
      </w:r>
      <w:r w:rsidRPr="00F642ED">
        <w:rPr>
          <w:rFonts w:eastAsia="Times New Roman" w:cs="Arial"/>
          <w:color w:val="000000"/>
          <w:lang w:val="en-US"/>
        </w:rPr>
        <w:t xml:space="preserve">(SJS) </w:t>
      </w:r>
      <w:r w:rsidRPr="00F642ED">
        <w:rPr>
          <w:rFonts w:eastAsia="Times New Roman" w:cs="Arial"/>
          <w:color w:val="000000"/>
          <w:lang w:eastAsia="bg-BG"/>
        </w:rPr>
        <w:t xml:space="preserve">н токсична епидермална некролиза </w:t>
      </w:r>
      <w:r w:rsidRPr="00F642ED">
        <w:rPr>
          <w:rFonts w:eastAsia="Times New Roman" w:cs="Arial"/>
          <w:color w:val="000000"/>
          <w:lang w:val="en-US"/>
        </w:rPr>
        <w:t xml:space="preserve">(TEN) </w:t>
      </w:r>
      <w:r w:rsidRPr="00F642ED">
        <w:rPr>
          <w:rFonts w:eastAsia="Times New Roman" w:cs="Arial"/>
          <w:color w:val="000000"/>
          <w:lang w:eastAsia="bg-BG"/>
        </w:rPr>
        <w:t xml:space="preserve">се наблюдават рядко (вж. „Нарушения на кожата и подкожната тъкан“). Съпътстващ васкулит и тьканен отговор може да се прояви по различни начини, включително хепатит, увредена бъбречна функция, остър холангит, ксантинови камъни и, в много редки случаи - гърчове. Много рядко е съобщавано за остър анафилактичен шок. Ако възникнат такива реакции, което може да стане всяко време в хода на лечението, Милурит трябва да бъде спрян </w:t>
      </w:r>
      <w:r w:rsidRPr="00F642ED">
        <w:rPr>
          <w:rFonts w:eastAsia="Times New Roman" w:cs="Arial"/>
          <w:i/>
          <w:iCs/>
          <w:color w:val="000000"/>
          <w:lang w:eastAsia="bg-BG"/>
        </w:rPr>
        <w:t>незабавно и окончателно.</w:t>
      </w:r>
    </w:p>
    <w:p w14:paraId="01F6751A" w14:textId="77777777" w:rsidR="00F642ED" w:rsidRPr="00F642ED" w:rsidRDefault="00F642ED" w:rsidP="00F642ED">
      <w:pPr>
        <w:spacing w:line="240" w:lineRule="auto"/>
        <w:rPr>
          <w:rFonts w:eastAsia="Times New Roman" w:cs="Arial"/>
          <w:color w:val="000000"/>
          <w:lang w:eastAsia="bg-BG"/>
        </w:rPr>
      </w:pPr>
    </w:p>
    <w:p w14:paraId="7DA6A967" w14:textId="2524705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Реакции на свръхчувствителност от забавен тип с полиорганно засягане (известно като синдром на свръхчувствителност или </w:t>
      </w:r>
      <w:r w:rsidRPr="00F642ED">
        <w:rPr>
          <w:rFonts w:eastAsia="Times New Roman" w:cs="Arial"/>
          <w:color w:val="000000"/>
          <w:lang w:val="en-US"/>
        </w:rPr>
        <w:t xml:space="preserve">DRESS) </w:t>
      </w:r>
      <w:r w:rsidRPr="00F642ED">
        <w:rPr>
          <w:rFonts w:eastAsia="Times New Roman" w:cs="Arial"/>
          <w:color w:val="000000"/>
          <w:lang w:eastAsia="bg-BG"/>
        </w:rPr>
        <w:t>с треска, обрив, васкулит, лимфаденопатия, псевдо лимфом, артралгиия, левкопения, еозинофилия, хепатоспленомегалия, отклонения от нормалните стойности в чернодробните функционални тестове и синдром на изчезващи жлъчни пътища (разрушаване и изчезване на интрахепаталните жлъчни канали), които се проявяват в различни комбинации. Могат да бъдат засегнати и други органи (например черен дроб, бели дробове, бъбреци, панкреас, миокарда и дебелото черво). Ако възникне някоя от тези реакции по време на лечението, трябва незабавно и окончателно да се прекрати приемът на Милурит.</w:t>
      </w:r>
    </w:p>
    <w:p w14:paraId="7DBDDFE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Приложението му повече не трябва да се възобновява при пациенти с реакция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Приложението на кортикостероиди може да е от полза за овладяване на кожните реакции на свръхчувствителност.</w:t>
      </w:r>
    </w:p>
    <w:p w14:paraId="31F1F5AB" w14:textId="77777777" w:rsidR="00F642ED" w:rsidRPr="00F642ED" w:rsidRDefault="00F642ED" w:rsidP="00F642ED">
      <w:pPr>
        <w:spacing w:line="240" w:lineRule="auto"/>
        <w:rPr>
          <w:rFonts w:eastAsia="Times New Roman" w:cs="Arial"/>
          <w:color w:val="000000"/>
          <w:lang w:eastAsia="bg-BG"/>
        </w:rPr>
      </w:pPr>
    </w:p>
    <w:p w14:paraId="7844B60D" w14:textId="66F72276"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възникване на генерализирани реакции на свръхчувствителност, обикновено има наличие на бъбречно и/или чернодробно увреждане, когато изходът е фатален (вж. т. 4.4).</w:t>
      </w:r>
    </w:p>
    <w:p w14:paraId="379DF638" w14:textId="77777777" w:rsidR="00F642ED" w:rsidRPr="00F642ED" w:rsidRDefault="00F642ED" w:rsidP="00F642ED">
      <w:pPr>
        <w:spacing w:line="240" w:lineRule="auto"/>
        <w:rPr>
          <w:rFonts w:eastAsia="Times New Roman" w:cs="Arial"/>
          <w:color w:val="000000"/>
          <w:lang w:eastAsia="bg-BG"/>
        </w:rPr>
      </w:pPr>
    </w:p>
    <w:p w14:paraId="7F091604" w14:textId="41FB8A80"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3</w:t>
      </w:r>
      <w:r w:rsidRPr="00F642ED">
        <w:rPr>
          <w:rFonts w:eastAsia="Times New Roman" w:cs="Arial"/>
          <w:color w:val="000000"/>
          <w:lang w:eastAsia="bg-BG"/>
        </w:rPr>
        <w:t>Ангиоаденобластен Т-клетьчен лимфом е описван много рядко след биопсия при генерализирана лимфаденопатия. Изглежда, че тя е обратима след спиране приложението на алопуринол.</w:t>
      </w:r>
    </w:p>
    <w:p w14:paraId="1A9E9D0E" w14:textId="2FD84295"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4</w:t>
      </w:r>
      <w:r w:rsidRPr="00F642ED">
        <w:rPr>
          <w:rFonts w:eastAsia="Times New Roman" w:cs="Arial"/>
          <w:color w:val="000000"/>
          <w:lang w:eastAsia="bg-BG"/>
        </w:rPr>
        <w:t>В ранни клинични изпитвания е съобщавано за гадене и повръщане. Според допълнителна информация, тази реакция не представлява значителен проблем и може да се избегне с прием на алопуринол след хранене.</w:t>
      </w:r>
    </w:p>
    <w:p w14:paraId="167F10AB" w14:textId="23AF2EFD" w:rsidR="00F642ED" w:rsidRPr="00F642ED" w:rsidRDefault="00F642ED" w:rsidP="00F642ED">
      <w:pPr>
        <w:spacing w:line="240" w:lineRule="auto"/>
        <w:rPr>
          <w:rFonts w:eastAsia="Times New Roman" w:cs="Arial"/>
          <w:color w:val="000000"/>
          <w:lang w:eastAsia="bg-BG"/>
        </w:rPr>
      </w:pPr>
    </w:p>
    <w:p w14:paraId="322A81D1" w14:textId="686B2308"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5</w:t>
      </w:r>
      <w:r w:rsidRPr="00F642ED">
        <w:rPr>
          <w:rFonts w:eastAsia="Times New Roman" w:cs="Arial"/>
          <w:color w:val="000000"/>
          <w:lang w:eastAsia="bg-BG"/>
        </w:rPr>
        <w:t>Чернодробна недостатъчност е съобщавана без изявени доказателства за по-генерализарана свръхчувствителност.</w:t>
      </w:r>
    </w:p>
    <w:p w14:paraId="1354D131" w14:textId="77777777" w:rsidR="00F642ED" w:rsidRPr="00F642ED" w:rsidRDefault="00F642ED" w:rsidP="00F642ED">
      <w:pPr>
        <w:spacing w:line="240" w:lineRule="auto"/>
        <w:rPr>
          <w:rFonts w:eastAsia="Times New Roman" w:cs="Arial"/>
          <w:color w:val="000000"/>
          <w:vertAlign w:val="superscript"/>
          <w:lang w:eastAsia="bg-BG"/>
        </w:rPr>
      </w:pPr>
    </w:p>
    <w:p w14:paraId="23C2ECD2" w14:textId="3B1798FC"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6</w:t>
      </w:r>
      <w:r w:rsidRPr="00F642ED">
        <w:rPr>
          <w:rFonts w:eastAsia="Times New Roman" w:cs="Arial"/>
          <w:color w:val="000000"/>
          <w:lang w:eastAsia="bg-BG"/>
        </w:rPr>
        <w:t xml:space="preserve">Кожните реакции са най-чести и биха могли да се проявят по всяко време на лечението. Те могат да бъдат придружени със сърбеж, макулопапуларни, понякога с лющене или с пурпура, и рядко като ексофилиативни промени, напр. синдром на Стивънс-Джонсън и токсична епидермална некролиза </w:t>
      </w:r>
      <w:r w:rsidRPr="00F642ED">
        <w:rPr>
          <w:rFonts w:eastAsia="Times New Roman" w:cs="Arial"/>
          <w:color w:val="000000"/>
          <w:lang w:val="en-US"/>
        </w:rPr>
        <w:t xml:space="preserve">(SJS/TEN). </w:t>
      </w:r>
      <w:r w:rsidRPr="00F642ED">
        <w:rPr>
          <w:rFonts w:eastAsia="Times New Roman" w:cs="Arial"/>
          <w:color w:val="000000"/>
          <w:lang w:eastAsia="bg-BG"/>
        </w:rPr>
        <w:t xml:space="preserve">Най-високият риск за възникване на </w:t>
      </w:r>
      <w:r w:rsidRPr="00F642ED">
        <w:rPr>
          <w:rFonts w:eastAsia="Times New Roman" w:cs="Arial"/>
          <w:color w:val="000000"/>
          <w:lang w:val="en-US"/>
        </w:rPr>
        <w:t xml:space="preserve">SJS </w:t>
      </w:r>
      <w:r w:rsidRPr="00F642ED">
        <w:rPr>
          <w:rFonts w:eastAsia="Times New Roman" w:cs="Arial"/>
          <w:color w:val="000000"/>
          <w:lang w:eastAsia="bg-BG"/>
        </w:rPr>
        <w:t xml:space="preserve">и </w:t>
      </w:r>
      <w:r w:rsidRPr="00F642ED">
        <w:rPr>
          <w:rFonts w:eastAsia="Times New Roman" w:cs="Arial"/>
          <w:color w:val="000000"/>
          <w:lang w:val="en-US"/>
        </w:rPr>
        <w:lastRenderedPageBreak/>
        <w:t xml:space="preserve">TEN </w:t>
      </w:r>
      <w:r w:rsidRPr="00F642ED">
        <w:rPr>
          <w:rFonts w:eastAsia="Times New Roman" w:cs="Arial"/>
          <w:color w:val="000000"/>
          <w:lang w:eastAsia="bg-BG"/>
        </w:rPr>
        <w:t xml:space="preserve">или други сериозни реакции на свръхчувствителност е през първите седмици на лечението. Най-добрите резултати при овладяване на такива реакции се постигат при ранно диагностициране и незабавно спиране на всяко подозирано лекарство. Лечението с Милурит трябва да бъде спряно незабавно при възникване на такива реакции. След възстановяването от леки реакции, ако се желае, алопуринол може да бъде възобновен в ниска доза (напр. 50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която постепенно да се повиши. Установено е, че алелът </w:t>
      </w:r>
      <w:r w:rsidRPr="00F642ED">
        <w:rPr>
          <w:rFonts w:eastAsia="Times New Roman" w:cs="Arial"/>
          <w:color w:val="000000"/>
          <w:lang w:val="en-US"/>
        </w:rPr>
        <w:t xml:space="preserve">HLA-B*5801 </w:t>
      </w:r>
      <w:r w:rsidRPr="00F642ED">
        <w:rPr>
          <w:rFonts w:eastAsia="Times New Roman" w:cs="Arial"/>
          <w:color w:val="000000"/>
          <w:lang w:eastAsia="bg-BG"/>
        </w:rPr>
        <w:t xml:space="preserve">се свързва с риск от развитие на свързан с алопуринол синдром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 xml:space="preserve">В случай на рецидивираща кожна реакция, приложението на алопуринол трябва да бъде спряно незабавно и окончателно, поради възможното възникване на по-тежки реакции на свръхчувствителност (вж. </w:t>
      </w:r>
      <w:r w:rsidRPr="00F642ED">
        <w:rPr>
          <w:rFonts w:eastAsia="Times New Roman" w:cs="Arial"/>
          <w:i/>
          <w:iCs/>
          <w:color w:val="000000"/>
          <w:lang w:eastAsia="bg-BG"/>
        </w:rPr>
        <w:t xml:space="preserve">Нарушения на имунната система). </w:t>
      </w:r>
      <w:r w:rsidRPr="00F642ED">
        <w:rPr>
          <w:rFonts w:eastAsia="Times New Roman" w:cs="Arial"/>
          <w:color w:val="000000"/>
          <w:lang w:eastAsia="bg-BG"/>
        </w:rPr>
        <w:t xml:space="preserve">Ако </w:t>
      </w:r>
      <w:r w:rsidRPr="00F642ED">
        <w:rPr>
          <w:rFonts w:eastAsia="Times New Roman" w:cs="Arial"/>
          <w:color w:val="000000"/>
          <w:lang w:val="en-US"/>
        </w:rPr>
        <w:t xml:space="preserve">SJS/TEN </w:t>
      </w:r>
      <w:r w:rsidRPr="00F642ED">
        <w:rPr>
          <w:rFonts w:eastAsia="Times New Roman" w:cs="Arial"/>
          <w:color w:val="000000"/>
          <w:lang w:eastAsia="bg-BG"/>
        </w:rPr>
        <w:t xml:space="preserve">или други сериозни реакции на свръхчувствителност не могат да бъдат изключени, приемът на алопуринол НЕ трябва да се възобновява поради възможността за тежки реакции и дори реакции с фатален край. Клиничната диагноза за </w:t>
      </w:r>
      <w:r w:rsidRPr="00F642ED">
        <w:rPr>
          <w:rFonts w:eastAsia="Times New Roman" w:cs="Arial"/>
          <w:color w:val="000000"/>
          <w:lang w:val="en-US"/>
        </w:rPr>
        <w:t xml:space="preserve">SJS/TEN </w:t>
      </w:r>
      <w:r w:rsidRPr="00F642ED">
        <w:rPr>
          <w:rFonts w:eastAsia="Times New Roman" w:cs="Arial"/>
          <w:color w:val="000000"/>
          <w:lang w:eastAsia="bg-BG"/>
        </w:rPr>
        <w:t>е основна база за вземане на решение. Ако такава реакция се развие по време на лечение, приемът на алопуринол трябва да се спре незабавно и окончателно.</w:t>
      </w:r>
    </w:p>
    <w:p w14:paraId="0803E91E" w14:textId="37EA0FE1"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7</w:t>
      </w:r>
      <w:r w:rsidRPr="00F642ED">
        <w:rPr>
          <w:rFonts w:eastAsia="Times New Roman" w:cs="Arial"/>
          <w:color w:val="000000"/>
          <w:lang w:eastAsia="bg-BG"/>
        </w:rPr>
        <w:t>Съобщено за поява на ангионевротичен оток с или без признаци и симптоми на по- генерализирани реакции на свръхчувствителност.</w:t>
      </w:r>
    </w:p>
    <w:p w14:paraId="1912D98D" w14:textId="3D223CDC"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8</w:t>
      </w:r>
      <w:r w:rsidRPr="00F642ED">
        <w:rPr>
          <w:rFonts w:eastAsia="Times New Roman" w:cs="Arial"/>
          <w:color w:val="000000"/>
          <w:lang w:eastAsia="bg-BG"/>
        </w:rPr>
        <w:t xml:space="preserve">Съобщени са случаи на фебрилитег с или без признаци и симптоми на по-генерализирана реакция на свръхчувствителност към алопуринол (вж. </w:t>
      </w:r>
      <w:r w:rsidRPr="00F642ED">
        <w:rPr>
          <w:rFonts w:eastAsia="Times New Roman" w:cs="Arial"/>
          <w:i/>
          <w:iCs/>
          <w:color w:val="000000"/>
          <w:lang w:eastAsia="bg-BG"/>
        </w:rPr>
        <w:t>„Нарушения на имунната система").</w:t>
      </w:r>
    </w:p>
    <w:p w14:paraId="0330ABCD" w14:textId="07075A6E"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9</w:t>
      </w:r>
      <w:r w:rsidRPr="00F642ED">
        <w:rPr>
          <w:rFonts w:eastAsia="Times New Roman" w:cs="Arial"/>
          <w:color w:val="000000"/>
          <w:lang w:eastAsia="bg-BG"/>
        </w:rPr>
        <w:t xml:space="preserve">Наличието на повишени нива на тиреостимулиращия хормон </w:t>
      </w:r>
      <w:r w:rsidRPr="00F642ED">
        <w:rPr>
          <w:rFonts w:eastAsia="Times New Roman" w:cs="Arial"/>
          <w:color w:val="000000"/>
          <w:lang w:val="en-US"/>
        </w:rPr>
        <w:t xml:space="preserve">(TSH) </w:t>
      </w:r>
      <w:r w:rsidRPr="00F642ED">
        <w:rPr>
          <w:rFonts w:eastAsia="Times New Roman" w:cs="Arial"/>
          <w:color w:val="000000"/>
          <w:lang w:eastAsia="bg-BG"/>
        </w:rPr>
        <w:t xml:space="preserve">в съответните проучвания не показва никакво въздействие върху нивата на свободния Т4, а нивата на </w:t>
      </w:r>
      <w:r w:rsidRPr="00F642ED">
        <w:rPr>
          <w:rFonts w:eastAsia="Times New Roman" w:cs="Arial"/>
          <w:color w:val="000000"/>
          <w:lang w:val="en-US"/>
        </w:rPr>
        <w:t xml:space="preserve">TSH </w:t>
      </w:r>
      <w:r w:rsidRPr="00F642ED">
        <w:rPr>
          <w:rFonts w:eastAsia="Times New Roman" w:cs="Arial"/>
          <w:color w:val="000000"/>
          <w:lang w:eastAsia="bg-BG"/>
        </w:rPr>
        <w:t>не са показателни за субклиничен хипотиреоидизъм.</w:t>
      </w:r>
    </w:p>
    <w:p w14:paraId="63C961C3" w14:textId="77777777" w:rsidR="00F642ED" w:rsidRPr="00F642ED" w:rsidRDefault="00F642ED" w:rsidP="00F642ED">
      <w:pPr>
        <w:spacing w:line="240" w:lineRule="auto"/>
        <w:rPr>
          <w:rFonts w:eastAsia="Times New Roman" w:cs="Arial"/>
          <w:color w:val="000000"/>
          <w:u w:val="single"/>
          <w:lang w:eastAsia="bg-BG"/>
        </w:rPr>
      </w:pPr>
    </w:p>
    <w:p w14:paraId="7D3B8613" w14:textId="4024EDF3"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Съобщаване на подозирани нежелани реакции</w:t>
      </w:r>
    </w:p>
    <w:p w14:paraId="12AA6299" w14:textId="6F93865B"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F642ED">
        <w:rPr>
          <w:rFonts w:eastAsia="Times New Roman" w:cs="Arial"/>
          <w:lang w:eastAsia="bg-BG"/>
        </w:rPr>
        <w:fldChar w:fldCharType="begin"/>
      </w:r>
      <w:r w:rsidRPr="00F642ED">
        <w:rPr>
          <w:rFonts w:eastAsia="Times New Roman" w:cs="Arial"/>
          <w:lang w:eastAsia="bg-BG"/>
        </w:rPr>
        <w:instrText xml:space="preserve"> HYPERLINK "http://www.bda.bg" </w:instrText>
      </w:r>
      <w:r w:rsidRPr="00F642ED">
        <w:rPr>
          <w:rFonts w:eastAsia="Times New Roman" w:cs="Arial"/>
          <w:lang w:eastAsia="bg-BG"/>
        </w:rPr>
      </w:r>
      <w:r w:rsidRPr="00F642ED">
        <w:rPr>
          <w:rFonts w:eastAsia="Times New Roman" w:cs="Arial"/>
          <w:lang w:eastAsia="bg-BG"/>
        </w:rPr>
        <w:fldChar w:fldCharType="separate"/>
      </w:r>
      <w:r w:rsidRPr="00F642ED">
        <w:rPr>
          <w:rFonts w:eastAsia="Times New Roman" w:cs="Arial"/>
          <w:color w:val="000000"/>
          <w:u w:val="single"/>
          <w:lang w:val="en-US"/>
        </w:rPr>
        <w:t>www.bda.bg</w:t>
      </w:r>
      <w:r w:rsidRPr="00F642ED">
        <w:rPr>
          <w:rFonts w:eastAsia="Times New Roman" w:cs="Arial"/>
          <w:lang w:eastAsia="bg-BG"/>
        </w:rPr>
        <w:fldChar w:fldCharType="end"/>
      </w:r>
    </w:p>
    <w:p w14:paraId="5E6D29CD" w14:textId="77777777" w:rsidR="00F642ED" w:rsidRPr="00F642ED" w:rsidRDefault="00F642ED" w:rsidP="00F642ED"/>
    <w:p w14:paraId="378A0F20" w14:textId="5F8E7CFA" w:rsidR="001D095A" w:rsidRDefault="002C50EE" w:rsidP="00340E8D">
      <w:pPr>
        <w:pStyle w:val="Heading2"/>
      </w:pPr>
      <w:r>
        <w:t>4.9. Предозиране</w:t>
      </w:r>
    </w:p>
    <w:p w14:paraId="785D5F0E" w14:textId="31148CEE" w:rsidR="00F642ED" w:rsidRDefault="00F642ED" w:rsidP="00F642ED"/>
    <w:p w14:paraId="0E6339CD" w14:textId="77777777" w:rsidR="00F642ED" w:rsidRPr="00F642ED" w:rsidRDefault="00F642ED" w:rsidP="00F642ED">
      <w:pPr>
        <w:rPr>
          <w:sz w:val="24"/>
          <w:szCs w:val="24"/>
          <w:lang w:eastAsia="bg-BG"/>
        </w:rPr>
      </w:pPr>
      <w:r w:rsidRPr="00F642ED">
        <w:rPr>
          <w:lang w:eastAsia="bg-BG"/>
        </w:rPr>
        <w:t xml:space="preserve">Има съобщения за поглъщане на до 22,5 </w:t>
      </w:r>
      <w:r w:rsidRPr="00F642ED">
        <w:rPr>
          <w:lang w:val="en-US"/>
        </w:rPr>
        <w:t xml:space="preserve">g </w:t>
      </w:r>
      <w:r w:rsidRPr="00F642ED">
        <w:rPr>
          <w:lang w:eastAsia="bg-BG"/>
        </w:rPr>
        <w:t xml:space="preserve">алопуринол без прояви на нежелани реакции. Симптомите и признаците са включвали гадене, повръщане, диария и световъртеж и са съобщени при пациент, който е погълнал 20 </w:t>
      </w:r>
      <w:r w:rsidRPr="00F642ED">
        <w:rPr>
          <w:lang w:val="en-US"/>
        </w:rPr>
        <w:t xml:space="preserve">g </w:t>
      </w:r>
      <w:r w:rsidRPr="00F642ED">
        <w:rPr>
          <w:lang w:eastAsia="bg-BG"/>
        </w:rPr>
        <w:t>алопуринол. Същият се е възстановил след прилагане на общи поддържащи мерки.</w:t>
      </w:r>
    </w:p>
    <w:p w14:paraId="5D6927E2" w14:textId="77777777" w:rsidR="00F642ED" w:rsidRDefault="00F642ED" w:rsidP="00F642ED">
      <w:pPr>
        <w:rPr>
          <w:lang w:eastAsia="bg-BG"/>
        </w:rPr>
      </w:pPr>
    </w:p>
    <w:p w14:paraId="0FAD357B" w14:textId="78EDFF54" w:rsidR="00F642ED" w:rsidRPr="00F642ED" w:rsidRDefault="00F642ED" w:rsidP="00F642ED">
      <w:pPr>
        <w:rPr>
          <w:sz w:val="24"/>
          <w:szCs w:val="24"/>
          <w:lang w:eastAsia="bg-BG"/>
        </w:rPr>
      </w:pPr>
      <w:r w:rsidRPr="00F642ED">
        <w:rPr>
          <w:lang w:eastAsia="bg-BG"/>
        </w:rPr>
        <w:t xml:space="preserve">Масивната абсорбция на алопуринол може да доведе до значително ннхибиране </w:t>
      </w:r>
      <w:r w:rsidRPr="00F642ED">
        <w:rPr>
          <w:i/>
          <w:iCs/>
          <w:lang w:eastAsia="bg-BG"/>
        </w:rPr>
        <w:t>на</w:t>
      </w:r>
      <w:r w:rsidRPr="00F642ED">
        <w:rPr>
          <w:lang w:eastAsia="bg-BG"/>
        </w:rPr>
        <w:t xml:space="preserve"> активността на ксантин оксидазата, което не се очаква да има неблагоприятни ефекти, освен ако е повли</w:t>
      </w:r>
      <w:r w:rsidRPr="00F642ED">
        <w:rPr>
          <w:u w:val="single"/>
          <w:lang w:eastAsia="bg-BG"/>
        </w:rPr>
        <w:t>яно</w:t>
      </w:r>
      <w:r w:rsidRPr="00F642ED">
        <w:rPr>
          <w:lang w:eastAsia="bg-BG"/>
        </w:rPr>
        <w:t xml:space="preserve"> от съпътстваща терапия, особено с 6-меркаптопурин и/или азатиоприн.</w:t>
      </w:r>
    </w:p>
    <w:p w14:paraId="4B723F2A" w14:textId="77777777" w:rsidR="00F642ED" w:rsidRDefault="00F642ED" w:rsidP="00F642ED">
      <w:pPr>
        <w:rPr>
          <w:u w:val="single"/>
          <w:lang w:eastAsia="bg-BG"/>
        </w:rPr>
      </w:pPr>
    </w:p>
    <w:p w14:paraId="02E97885" w14:textId="372617F7" w:rsidR="00F642ED" w:rsidRPr="00F642ED" w:rsidRDefault="00F642ED" w:rsidP="00F642ED">
      <w:pPr>
        <w:rPr>
          <w:sz w:val="24"/>
          <w:szCs w:val="24"/>
          <w:lang w:eastAsia="bg-BG"/>
        </w:rPr>
      </w:pPr>
      <w:r w:rsidRPr="00F642ED">
        <w:rPr>
          <w:u w:val="single"/>
          <w:lang w:eastAsia="bg-BG"/>
        </w:rPr>
        <w:t>Лечение:</w:t>
      </w:r>
    </w:p>
    <w:p w14:paraId="67A79D92" w14:textId="77777777" w:rsidR="00F642ED" w:rsidRPr="00F642ED" w:rsidRDefault="00F642ED" w:rsidP="00F642ED">
      <w:pPr>
        <w:rPr>
          <w:sz w:val="24"/>
          <w:szCs w:val="24"/>
          <w:lang w:eastAsia="bg-BG"/>
        </w:rPr>
      </w:pPr>
      <w:r w:rsidRPr="00F642ED">
        <w:rPr>
          <w:lang w:eastAsia="bg-BG"/>
        </w:rPr>
        <w:t>Не е известен специфичен антидот.</w:t>
      </w:r>
    </w:p>
    <w:p w14:paraId="7C6F4F37" w14:textId="6CD6BBF8" w:rsidR="00F642ED" w:rsidRPr="00F642ED" w:rsidRDefault="00F642ED" w:rsidP="00F642ED">
      <w:pPr>
        <w:rPr>
          <w:sz w:val="24"/>
          <w:szCs w:val="24"/>
          <w:lang w:eastAsia="bg-BG"/>
        </w:rPr>
      </w:pPr>
      <w:r w:rsidRPr="00F642ED">
        <w:rPr>
          <w:lang w:eastAsia="bg-BG"/>
        </w:rPr>
        <w:lastRenderedPageBreak/>
        <w:t>За да се подобри екскрецията на алопуринол и неговите метаболити, е необходима адекватна хидратация за поддържане на оптимална диуреза. Ако се прецени за необходимо, може да се приложи хемодиализа.</w:t>
      </w:r>
    </w:p>
    <w:p w14:paraId="02081B24" w14:textId="36FE76F4" w:rsidR="00395555" w:rsidRPr="00395555" w:rsidRDefault="002C50EE" w:rsidP="008A6AF2">
      <w:pPr>
        <w:pStyle w:val="Heading1"/>
      </w:pPr>
      <w:r>
        <w:t>5. ФАРМАКОЛОГИЧНИ СВОЙСТВА</w:t>
      </w:r>
    </w:p>
    <w:p w14:paraId="7F6CC5E1" w14:textId="455284C6" w:rsidR="00F62E44" w:rsidRDefault="002C50EE" w:rsidP="00387A66">
      <w:pPr>
        <w:pStyle w:val="Heading2"/>
      </w:pPr>
      <w:r>
        <w:t>5.1. Фармакодинамични свойства</w:t>
      </w:r>
    </w:p>
    <w:p w14:paraId="09BC6910" w14:textId="1C174915" w:rsidR="00F642ED" w:rsidRDefault="00F642ED" w:rsidP="00F642ED"/>
    <w:p w14:paraId="54A698D4" w14:textId="77777777" w:rsidR="00F642ED" w:rsidRPr="00F642ED" w:rsidRDefault="00F642ED" w:rsidP="00F642ED">
      <w:pPr>
        <w:rPr>
          <w:sz w:val="24"/>
          <w:szCs w:val="24"/>
          <w:lang w:eastAsia="bg-BG"/>
        </w:rPr>
      </w:pPr>
      <w:r w:rsidRPr="00F642ED">
        <w:rPr>
          <w:lang w:eastAsia="bg-BG"/>
        </w:rPr>
        <w:t>Фармакотерапевтична група: антиподагрозни лекарства; лекарства, инхибиращи образуването на пикочна киселина.</w:t>
      </w:r>
    </w:p>
    <w:p w14:paraId="1641D6C8" w14:textId="77777777" w:rsidR="00F642ED" w:rsidRPr="00F642ED" w:rsidRDefault="00F642ED" w:rsidP="00F642ED">
      <w:pPr>
        <w:rPr>
          <w:sz w:val="24"/>
          <w:szCs w:val="24"/>
          <w:lang w:eastAsia="bg-BG"/>
        </w:rPr>
      </w:pPr>
      <w:r w:rsidRPr="00F642ED">
        <w:rPr>
          <w:lang w:eastAsia="bg-BG"/>
        </w:rPr>
        <w:t>АТС код: М04А А01</w:t>
      </w:r>
    </w:p>
    <w:p w14:paraId="6FDB59C6" w14:textId="77777777" w:rsidR="00F642ED" w:rsidRDefault="00F642ED" w:rsidP="00F642ED">
      <w:pPr>
        <w:rPr>
          <w:u w:val="single"/>
          <w:lang w:eastAsia="bg-BG"/>
        </w:rPr>
      </w:pPr>
    </w:p>
    <w:p w14:paraId="76D9815B" w14:textId="7D34DBA6" w:rsidR="00F642ED" w:rsidRPr="00F642ED" w:rsidRDefault="00F642ED" w:rsidP="00F642ED">
      <w:pPr>
        <w:rPr>
          <w:sz w:val="24"/>
          <w:szCs w:val="24"/>
          <w:lang w:eastAsia="bg-BG"/>
        </w:rPr>
      </w:pPr>
      <w:r w:rsidRPr="00F642ED">
        <w:rPr>
          <w:u w:val="single"/>
          <w:lang w:eastAsia="bg-BG"/>
        </w:rPr>
        <w:t>Механизъм на действие</w:t>
      </w:r>
    </w:p>
    <w:p w14:paraId="114483F0" w14:textId="77777777" w:rsidR="00F642ED" w:rsidRPr="00F642ED" w:rsidRDefault="00F642ED" w:rsidP="00F642ED">
      <w:pPr>
        <w:rPr>
          <w:sz w:val="24"/>
          <w:szCs w:val="24"/>
          <w:lang w:eastAsia="bg-BG"/>
        </w:rPr>
      </w:pPr>
      <w:r w:rsidRPr="00F642ED">
        <w:rPr>
          <w:lang w:eastAsia="bg-BG"/>
        </w:rPr>
        <w:t>Алопуринол е инхибитор на ксантин осидазата. Алопуринол и неговият главен метаболит оксипуринол, понижават нивото на пикочна киселина в плазмата и урината като инхибират ксантин оксидазата, ензим, който катализира оксидацията на хипоксантин до ксантин и на ксантин до пикочна киселина. Допълнително инхибирането на пуриновия катаболизъм при някои, но не при всички пациенти с хиперурикемия, потиска новата биосинтеза на пурините, посредством инхибиране на обратната връзка на хипоксантин-гуанин фосфорибозилтрансферазата. Други метаболити на алопуринол са алопуринол рибозид и оксипурннол-7 рибозид.</w:t>
      </w:r>
    </w:p>
    <w:p w14:paraId="445B5BEF" w14:textId="77777777" w:rsidR="00F642ED" w:rsidRPr="00F642ED" w:rsidRDefault="00F642ED" w:rsidP="00F642ED"/>
    <w:p w14:paraId="544FFDAF" w14:textId="333BEB69" w:rsidR="00F62E44" w:rsidRDefault="002C50EE" w:rsidP="00387A66">
      <w:pPr>
        <w:pStyle w:val="Heading2"/>
      </w:pPr>
      <w:r>
        <w:t>5.2. Фармакокинетични свойства</w:t>
      </w:r>
    </w:p>
    <w:p w14:paraId="1CC2EAF2" w14:textId="7CBC0A8C" w:rsidR="00F642ED" w:rsidRDefault="00F642ED" w:rsidP="00F642ED"/>
    <w:p w14:paraId="5AD539E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Абсорбция</w:t>
      </w:r>
    </w:p>
    <w:p w14:paraId="10F61D01" w14:textId="77777777"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lang w:eastAsia="bg-BG"/>
        </w:rPr>
        <w:t xml:space="preserve">Алопуринол е активен при перорално приложение и се абсорбира бързо от горните отдели на стомашно-чревния тракт. В изпитвания е установено, че алопуринол се открива в кръвта 30-60 минути след приложението му. Изчислената бионаличност варира от 67% до 90%. Пиковите плазмени нива на алопуринол обикновено се наблюдават приблизително 1,5 часа след перорално приложение, но спадат бързо и той се открива в незначителни количества след 6-ия час. Пиковите нива на оксипуринол обикновено се </w:t>
      </w:r>
    </w:p>
    <w:p w14:paraId="411C51F4" w14:textId="304CE4E6"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наблюдават 3-5 часа след перорално приложение на алопуринол и са доста по-трайни.</w:t>
      </w:r>
    </w:p>
    <w:p w14:paraId="0140266D" w14:textId="77777777" w:rsidR="00F642ED" w:rsidRPr="00F642ED" w:rsidRDefault="00F642ED" w:rsidP="00F642ED">
      <w:pPr>
        <w:spacing w:line="240" w:lineRule="auto"/>
        <w:rPr>
          <w:rFonts w:eastAsia="Times New Roman" w:cs="Arial"/>
          <w:color w:val="000000"/>
          <w:u w:val="single"/>
          <w:lang w:eastAsia="bg-BG"/>
        </w:rPr>
      </w:pPr>
    </w:p>
    <w:p w14:paraId="7680C618" w14:textId="4CC373D9"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Разпределение</w:t>
      </w:r>
    </w:p>
    <w:p w14:paraId="453C795C"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се свързва в незначителна степен с плазмените протеини и поради това вариациите в свързването с протеин не се считат за значими след очистване. Явният обем на разпределение на алопуринол е приблизително 1,6 литра</w:t>
      </w:r>
      <w:r w:rsidRPr="00F642ED">
        <w:rPr>
          <w:rFonts w:eastAsia="Times New Roman" w:cs="Arial"/>
          <w:color w:val="000000"/>
          <w:lang w:val="en-US"/>
        </w:rPr>
        <w:t xml:space="preserve">/kg, </w:t>
      </w:r>
      <w:r w:rsidRPr="00F642ED">
        <w:rPr>
          <w:rFonts w:eastAsia="Times New Roman" w:cs="Arial"/>
          <w:color w:val="000000"/>
          <w:lang w:eastAsia="bg-BG"/>
        </w:rPr>
        <w:t>което предполага относително голямо разпределение в тъканите. Не е съобщавано за тъканни концентрации на алопуринол при хора, но е вероятно алопуринол и оксипуринол да се намират в най-високи концентрации в черния дроб и тънкочревната лигавица, където активността на ксантин оксидазата е висока.</w:t>
      </w:r>
    </w:p>
    <w:p w14:paraId="73163FD3" w14:textId="77777777" w:rsidR="00F642ED" w:rsidRPr="00F642ED" w:rsidRDefault="00F642ED" w:rsidP="00F642ED">
      <w:pPr>
        <w:spacing w:line="240" w:lineRule="auto"/>
        <w:rPr>
          <w:rFonts w:eastAsia="Times New Roman" w:cs="Arial"/>
          <w:color w:val="000000"/>
          <w:u w:val="single"/>
          <w:lang w:eastAsia="bg-BG"/>
        </w:rPr>
      </w:pPr>
    </w:p>
    <w:p w14:paraId="3C0894F7" w14:textId="150EC7DE"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Биотрансформация</w:t>
      </w:r>
    </w:p>
    <w:p w14:paraId="304799B4"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Основният метаболит на алопуринол е оксипуринол. Други метаболити на алопуринол са алопуринол рибозид и оксипуринол-7 рибозид.</w:t>
      </w:r>
    </w:p>
    <w:p w14:paraId="645CE9FE" w14:textId="77777777" w:rsidR="00F642ED" w:rsidRPr="00F642ED" w:rsidRDefault="00F642ED" w:rsidP="00F642ED">
      <w:pPr>
        <w:spacing w:line="240" w:lineRule="auto"/>
        <w:rPr>
          <w:rFonts w:eastAsia="Times New Roman" w:cs="Arial"/>
          <w:i/>
          <w:iCs/>
          <w:color w:val="000000"/>
          <w:lang w:eastAsia="bg-BG"/>
        </w:rPr>
      </w:pPr>
    </w:p>
    <w:p w14:paraId="45E05D4A" w14:textId="379B857D"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Елиминиране</w:t>
      </w:r>
    </w:p>
    <w:p w14:paraId="6C23C79F" w14:textId="77777777" w:rsidR="00F642ED" w:rsidRPr="00F642ED" w:rsidRDefault="00F642ED" w:rsidP="00F642ED">
      <w:pPr>
        <w:rPr>
          <w:rFonts w:eastAsia="Times New Roman" w:cs="Arial"/>
          <w:sz w:val="28"/>
          <w:szCs w:val="28"/>
          <w:lang w:eastAsia="bg-BG"/>
        </w:rPr>
      </w:pPr>
      <w:r w:rsidRPr="00F642ED">
        <w:rPr>
          <w:rFonts w:eastAsia="Times New Roman" w:cs="Arial"/>
          <w:color w:val="000000"/>
          <w:lang w:eastAsia="bg-BG"/>
        </w:rPr>
        <w:t xml:space="preserve">Приблизително 20% от приетия алопуринол се екскретира в изпражненията в рамките на 48-72 часа. Елиминирането на алопуринол става главно чрез метаболитно превръщане в </w:t>
      </w:r>
      <w:r w:rsidRPr="00F642ED">
        <w:rPr>
          <w:rFonts w:eastAsia="Times New Roman" w:cs="Arial"/>
          <w:color w:val="000000"/>
          <w:lang w:eastAsia="bg-BG"/>
        </w:rPr>
        <w:lastRenderedPageBreak/>
        <w:t>оксипуринол от ксантин оксидазата и алдехид оксидазата, като по-малко от 10% от непромененото лекарство се екскретира в урината. Алопуринол има плазмен полуживот от около 0,5 -1,5 часа. Оксипуринол е по-слаб инхибитор на ксантин оксидазата от алопуринол, но плазмения полуживот на оксипуринол е много по-дълъг. Изчислен е период от 13 до 30 часа при хора. Поради това</w:t>
      </w:r>
      <w:r w:rsidRPr="00F642ED">
        <w:rPr>
          <w:rFonts w:eastAsia="Times New Roman" w:cs="Arial"/>
          <w:color w:val="000000"/>
          <w:lang w:eastAsia="bg-BG"/>
        </w:rPr>
        <w:t xml:space="preserve"> </w:t>
      </w:r>
      <w:r w:rsidRPr="00F642ED">
        <w:rPr>
          <w:rFonts w:eastAsia="Times New Roman" w:cs="Arial"/>
          <w:color w:val="000000"/>
          <w:lang w:eastAsia="bg-BG"/>
        </w:rPr>
        <w:t xml:space="preserve">ефективното инхибиране на ксантин оксидазата се подържа повече от 24 часа след еднократна дневна доза алопуринол. Пациентите с нормална бъбречна функция акумулират постепенно оксипуринол до достигане на неговата стабилна плазмена концентрация. При такива пациенти, приемащи 300 </w:t>
      </w:r>
      <w:r w:rsidRPr="00F642ED">
        <w:rPr>
          <w:rFonts w:eastAsia="Times New Roman" w:cs="Arial"/>
          <w:color w:val="000000"/>
          <w:lang w:val="en-US"/>
        </w:rPr>
        <w:t xml:space="preserve">mg </w:t>
      </w:r>
      <w:r w:rsidRPr="00F642ED">
        <w:rPr>
          <w:rFonts w:eastAsia="Times New Roman" w:cs="Arial"/>
          <w:color w:val="000000"/>
          <w:lang w:eastAsia="bg-BG"/>
        </w:rPr>
        <w:t xml:space="preserve">алопуринол дневно, обикновено плазмените концентрации на оксипуринол са 5- 10 </w:t>
      </w:r>
      <w:r w:rsidRPr="00F642ED">
        <w:rPr>
          <w:rFonts w:eastAsia="Times New Roman" w:cs="Arial"/>
          <w:color w:val="000000"/>
          <w:lang w:val="en-US"/>
        </w:rPr>
        <w:t>mg</w:t>
      </w:r>
      <w:r w:rsidRPr="00F642ED">
        <w:rPr>
          <w:rFonts w:eastAsia="Times New Roman" w:cs="Arial"/>
          <w:color w:val="000000"/>
          <w:lang w:eastAsia="bg-BG"/>
        </w:rPr>
        <w:t>/литър.</w:t>
      </w:r>
    </w:p>
    <w:p w14:paraId="33AE1CD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Оксипуринол се елиминира непроменен с урината, но притежава дълъг елиминационен полуживот, тъй като подлежи на тубулна реабсорбция. Съобщените стойности на елиминационен полуживот варират в диапазона от 13,6 часа до 29 часа. Големите различия в тези стойности може да се дължат на вариации в дизайна на изпитванията и/или креатининовия клирьнс на пациентите.</w:t>
      </w:r>
    </w:p>
    <w:p w14:paraId="38005055" w14:textId="77777777" w:rsidR="00F642ED" w:rsidRPr="00F642ED" w:rsidRDefault="00F642ED" w:rsidP="00F642ED">
      <w:pPr>
        <w:spacing w:line="240" w:lineRule="auto"/>
        <w:rPr>
          <w:rFonts w:eastAsia="Times New Roman" w:cs="Arial"/>
          <w:color w:val="000000"/>
          <w:u w:val="single"/>
          <w:lang w:eastAsia="bg-BG"/>
        </w:rPr>
      </w:pPr>
    </w:p>
    <w:p w14:paraId="39963F19" w14:textId="0CE13D7B"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Фармакокинетика при пациенти с нарушена бъбречна функция</w:t>
      </w:r>
    </w:p>
    <w:p w14:paraId="53FF82BD"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Клирънсът на алопуринол и оксипуринол значително намаляват при пациенти с увредена бъбречна функция и водят до по-високи плазмени нива при хронична терапия. Пациентите с увредена бъбречна функция, при които стойностите на креатининовия клирънс са били между 10 и 20 </w:t>
      </w:r>
      <w:r w:rsidRPr="00F642ED">
        <w:rPr>
          <w:rFonts w:eastAsia="Times New Roman" w:cs="Arial"/>
          <w:color w:val="000000"/>
          <w:lang w:val="en-US"/>
        </w:rPr>
        <w:t xml:space="preserve">ml/min, </w:t>
      </w:r>
      <w:r w:rsidRPr="00F642ED">
        <w:rPr>
          <w:rFonts w:eastAsia="Times New Roman" w:cs="Arial"/>
          <w:color w:val="000000"/>
          <w:lang w:eastAsia="bg-BG"/>
        </w:rPr>
        <w:t xml:space="preserve">са показали плазмени концентрации на оксипуринол от приблизително 30 </w:t>
      </w:r>
      <w:r w:rsidRPr="00F642ED">
        <w:rPr>
          <w:rFonts w:eastAsia="Times New Roman" w:cs="Arial"/>
          <w:color w:val="000000"/>
          <w:lang w:val="en-US"/>
        </w:rPr>
        <w:t>mg</w:t>
      </w:r>
      <w:r w:rsidRPr="00F642ED">
        <w:rPr>
          <w:rFonts w:eastAsia="Times New Roman" w:cs="Arial"/>
          <w:color w:val="000000"/>
          <w:lang w:eastAsia="bg-BG"/>
        </w:rPr>
        <w:t xml:space="preserve">/литър след продължително приложение на 300 </w:t>
      </w:r>
      <w:r w:rsidRPr="00F642ED">
        <w:rPr>
          <w:rFonts w:eastAsia="Times New Roman" w:cs="Arial"/>
          <w:color w:val="000000"/>
          <w:lang w:val="en-US"/>
        </w:rPr>
        <w:t xml:space="preserve">mg </w:t>
      </w:r>
      <w:r w:rsidRPr="00F642ED">
        <w:rPr>
          <w:rFonts w:eastAsia="Times New Roman" w:cs="Arial"/>
          <w:color w:val="000000"/>
          <w:lang w:eastAsia="bg-BG"/>
        </w:rPr>
        <w:t xml:space="preserve">алопуринол дневно. Това е приблизително концентрацията, която би била достигната с дози от 600 </w:t>
      </w:r>
      <w:r w:rsidRPr="00F642ED">
        <w:rPr>
          <w:rFonts w:eastAsia="Times New Roman" w:cs="Arial"/>
          <w:color w:val="000000"/>
          <w:lang w:val="en-US"/>
        </w:rPr>
        <w:t xml:space="preserve">mg </w:t>
      </w:r>
      <w:r w:rsidRPr="00F642ED">
        <w:rPr>
          <w:rFonts w:eastAsia="Times New Roman" w:cs="Arial"/>
          <w:color w:val="000000"/>
          <w:lang w:eastAsia="bg-BG"/>
        </w:rPr>
        <w:t>дневно при хора с нормална бъбречна функция. Затова при пациентите с нарушена бъбречна функция е необходимо намаляване на дозите на Милурит.</w:t>
      </w:r>
    </w:p>
    <w:p w14:paraId="1F1E5F86" w14:textId="77777777" w:rsidR="00F642ED" w:rsidRPr="00F642ED" w:rsidRDefault="00F642ED" w:rsidP="00F642ED">
      <w:pPr>
        <w:spacing w:line="240" w:lineRule="auto"/>
        <w:rPr>
          <w:rFonts w:eastAsia="Times New Roman" w:cs="Arial"/>
          <w:color w:val="000000"/>
          <w:u w:val="single"/>
          <w:lang w:eastAsia="bg-BG"/>
        </w:rPr>
      </w:pPr>
    </w:p>
    <w:p w14:paraId="0C4772A4" w14:textId="7F168CA4"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Фармакокинетика в старческа възраст</w:t>
      </w:r>
    </w:p>
    <w:p w14:paraId="2C05B939" w14:textId="77777777" w:rsidR="00F642ED" w:rsidRPr="00F642ED" w:rsidRDefault="00F642ED" w:rsidP="00F642ED">
      <w:pPr>
        <w:spacing w:line="240" w:lineRule="auto"/>
        <w:rPr>
          <w:rFonts w:ascii="Times New Roman" w:eastAsia="Times New Roman" w:hAnsi="Times New Roman" w:cs="Times New Roman"/>
          <w:sz w:val="24"/>
          <w:szCs w:val="24"/>
          <w:lang w:eastAsia="bg-BG"/>
        </w:rPr>
      </w:pPr>
      <w:r w:rsidRPr="00F642ED">
        <w:rPr>
          <w:rFonts w:eastAsia="Times New Roman" w:cs="Arial"/>
          <w:color w:val="000000"/>
          <w:lang w:eastAsia="bg-BG"/>
        </w:rPr>
        <w:t xml:space="preserve">Не съществува вероятност фармакокинетиката на алопуринол да се промени от друго, освен от нарушаване на бъбречната функция (вж. </w:t>
      </w:r>
      <w:r w:rsidRPr="00F642ED">
        <w:rPr>
          <w:rFonts w:eastAsia="Times New Roman" w:cs="Arial"/>
          <w:i/>
          <w:iCs/>
          <w:color w:val="000000"/>
          <w:lang w:eastAsia="bg-BG"/>
        </w:rPr>
        <w:t>„ Фармакокинетика при пациенти с нарушена бъбречна функция ")</w:t>
      </w:r>
    </w:p>
    <w:p w14:paraId="54ED8562" w14:textId="729F89A9" w:rsidR="00F642ED" w:rsidRPr="00F642ED" w:rsidRDefault="00F642ED" w:rsidP="00F642ED"/>
    <w:p w14:paraId="6925FEB0" w14:textId="2884D5C1" w:rsidR="00F62E44" w:rsidRDefault="002C50EE" w:rsidP="00387A66">
      <w:pPr>
        <w:pStyle w:val="Heading2"/>
      </w:pPr>
      <w:r>
        <w:t>5.3. Предклинични данни за безопасност</w:t>
      </w:r>
    </w:p>
    <w:p w14:paraId="0B090B28" w14:textId="74FDC04A" w:rsidR="00F642ED" w:rsidRDefault="00F642ED" w:rsidP="00F642ED"/>
    <w:p w14:paraId="3E717AD2"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Мутагенност</w:t>
      </w:r>
    </w:p>
    <w:p w14:paraId="22818D80"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В цитогенетични проучвания е наблюдавано, че алопуринол не предизвиква хромозомни аберации при човешки кръвни клетки </w:t>
      </w:r>
      <w:r w:rsidRPr="00F642ED">
        <w:rPr>
          <w:rFonts w:eastAsia="Times New Roman" w:cs="Arial"/>
          <w:i/>
          <w:iCs/>
          <w:color w:val="000000"/>
          <w:lang w:val="en-US"/>
        </w:rPr>
        <w:t>in vitro</w:t>
      </w:r>
      <w:r w:rsidRPr="00F642ED">
        <w:rPr>
          <w:rFonts w:eastAsia="Times New Roman" w:cs="Arial"/>
          <w:color w:val="000000"/>
          <w:lang w:val="en-US"/>
        </w:rPr>
        <w:t xml:space="preserve"> </w:t>
      </w:r>
      <w:r w:rsidRPr="00F642ED">
        <w:rPr>
          <w:rFonts w:eastAsia="Times New Roman" w:cs="Arial"/>
          <w:color w:val="000000"/>
          <w:lang w:eastAsia="bg-BG"/>
        </w:rPr>
        <w:t>в дози до 100 микрограма</w:t>
      </w:r>
      <w:r w:rsidRPr="00F642ED">
        <w:rPr>
          <w:rFonts w:eastAsia="Times New Roman" w:cs="Arial"/>
          <w:color w:val="000000"/>
          <w:lang w:val="en-US"/>
        </w:rPr>
        <w:t xml:space="preserve">/ml </w:t>
      </w:r>
      <w:r w:rsidRPr="00F642ED">
        <w:rPr>
          <w:rFonts w:eastAsia="Times New Roman" w:cs="Arial"/>
          <w:color w:val="000000"/>
          <w:lang w:eastAsia="bg-BG"/>
        </w:rPr>
        <w:t xml:space="preserve">и </w:t>
      </w:r>
      <w:r w:rsidRPr="00F642ED">
        <w:rPr>
          <w:rFonts w:eastAsia="Times New Roman" w:cs="Arial"/>
          <w:i/>
          <w:iCs/>
          <w:color w:val="000000"/>
          <w:lang w:val="en-US"/>
        </w:rPr>
        <w:t>in vivo</w:t>
      </w:r>
      <w:r w:rsidRPr="00F642ED">
        <w:rPr>
          <w:rFonts w:eastAsia="Times New Roman" w:cs="Arial"/>
          <w:color w:val="000000"/>
          <w:lang w:val="en-US"/>
        </w:rPr>
        <w:t xml:space="preserve"> </w:t>
      </w:r>
      <w:r w:rsidRPr="00F642ED">
        <w:rPr>
          <w:rFonts w:eastAsia="Times New Roman" w:cs="Arial"/>
          <w:color w:val="000000"/>
          <w:lang w:eastAsia="bg-BG"/>
        </w:rPr>
        <w:t xml:space="preserve">в дози до 600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w:t>
      </w:r>
      <w:r w:rsidRPr="00F642ED">
        <w:rPr>
          <w:rFonts w:eastAsia="Times New Roman" w:cs="Arial"/>
          <w:i/>
          <w:iCs/>
          <w:color w:val="000000"/>
          <w:lang w:eastAsia="bg-BG"/>
        </w:rPr>
        <w:t>в</w:t>
      </w:r>
      <w:r w:rsidRPr="00F642ED">
        <w:rPr>
          <w:rFonts w:eastAsia="Times New Roman" w:cs="Arial"/>
          <w:color w:val="000000"/>
          <w:lang w:eastAsia="bg-BG"/>
        </w:rPr>
        <w:t xml:space="preserve"> продължение на средно 40 месеца.</w:t>
      </w:r>
    </w:p>
    <w:p w14:paraId="5F1E3EB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Алопуринол не образува нитрозни съединения, нито засяга лимфоцитната трансформация </w:t>
      </w:r>
      <w:r w:rsidRPr="00F642ED">
        <w:rPr>
          <w:rFonts w:eastAsia="Times New Roman" w:cs="Arial"/>
          <w:i/>
          <w:iCs/>
          <w:color w:val="000000"/>
          <w:lang w:val="en-US"/>
        </w:rPr>
        <w:t xml:space="preserve">in vitro. </w:t>
      </w:r>
      <w:r w:rsidRPr="00F642ED">
        <w:rPr>
          <w:rFonts w:eastAsia="Times New Roman" w:cs="Arial"/>
          <w:color w:val="000000"/>
          <w:lang w:eastAsia="bg-BG"/>
        </w:rPr>
        <w:t>Доказателства от биохимични и други цитологични проучвания твърдо предполагат, че алопуринол няма вредни ефекти върху ДНК в никой етап от клетъчния цикъл и не е мутагенен.</w:t>
      </w:r>
    </w:p>
    <w:p w14:paraId="65B2AE44" w14:textId="77777777" w:rsidR="00F642ED" w:rsidRPr="00F642ED" w:rsidRDefault="00F642ED" w:rsidP="00F642ED">
      <w:pPr>
        <w:spacing w:line="240" w:lineRule="auto"/>
        <w:rPr>
          <w:rFonts w:eastAsia="Times New Roman" w:cs="Arial"/>
          <w:color w:val="000000"/>
          <w:u w:val="single"/>
          <w:lang w:eastAsia="bg-BG"/>
        </w:rPr>
      </w:pPr>
    </w:p>
    <w:p w14:paraId="2658DCCE" w14:textId="2A4CF729"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Канцеоогенност</w:t>
      </w:r>
    </w:p>
    <w:p w14:paraId="3A1B9B03"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При мишки и плъхове, третирани с алопуринол в продължение на до 2 години, не са установени доказателства за канцерогенност.</w:t>
      </w:r>
    </w:p>
    <w:p w14:paraId="7976E435" w14:textId="77777777" w:rsidR="00F642ED" w:rsidRPr="00F642ED" w:rsidRDefault="00F642ED" w:rsidP="00F642ED">
      <w:pPr>
        <w:spacing w:line="240" w:lineRule="auto"/>
        <w:rPr>
          <w:rFonts w:eastAsia="Times New Roman" w:cs="Arial"/>
          <w:color w:val="000000"/>
          <w:u w:val="single"/>
          <w:lang w:eastAsia="bg-BG"/>
        </w:rPr>
      </w:pPr>
    </w:p>
    <w:p w14:paraId="50168334" w14:textId="12D466C2"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Тератогенност</w:t>
      </w:r>
    </w:p>
    <w:p w14:paraId="0AB435D0"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В изпитване, при което мишки са получавали интраперитонеално дози от 50 или 100 </w:t>
      </w:r>
      <w:r w:rsidRPr="00F642ED">
        <w:rPr>
          <w:rFonts w:eastAsia="Times New Roman" w:cs="Arial"/>
          <w:color w:val="000000"/>
          <w:lang w:val="en-US"/>
        </w:rPr>
        <w:t xml:space="preserve">mg/kg, </w:t>
      </w:r>
      <w:r w:rsidRPr="00F642ED">
        <w:rPr>
          <w:rFonts w:eastAsia="Times New Roman" w:cs="Arial"/>
          <w:color w:val="000000"/>
          <w:lang w:eastAsia="bg-BG"/>
        </w:rPr>
        <w:t xml:space="preserve">на 10- ия или 13-ия ден от бременността са установени аномалии при фетусите, </w:t>
      </w:r>
      <w:r w:rsidRPr="00F642ED">
        <w:rPr>
          <w:rFonts w:eastAsia="Times New Roman" w:cs="Arial"/>
          <w:color w:val="000000"/>
          <w:lang w:eastAsia="bg-BG"/>
        </w:rPr>
        <w:lastRenderedPageBreak/>
        <w:t xml:space="preserve">макар че подобно изпитване при плъхове в дози от 120 </w:t>
      </w:r>
      <w:r w:rsidRPr="00F642ED">
        <w:rPr>
          <w:rFonts w:eastAsia="Times New Roman" w:cs="Arial"/>
          <w:color w:val="000000"/>
          <w:lang w:val="en-US"/>
        </w:rPr>
        <w:t xml:space="preserve">mg/kg </w:t>
      </w:r>
      <w:r w:rsidRPr="00F642ED">
        <w:rPr>
          <w:rFonts w:eastAsia="Times New Roman" w:cs="Arial"/>
          <w:color w:val="000000"/>
          <w:lang w:eastAsia="bg-BG"/>
        </w:rPr>
        <w:t xml:space="preserve">на ден 12 от бременността не е констатирало аномалии. Широкообхватни изпитвания на високи перорални дози алопуринол при мишки до 100 </w:t>
      </w:r>
      <w:r w:rsidRPr="00F642ED">
        <w:rPr>
          <w:rFonts w:eastAsia="Times New Roman" w:cs="Arial"/>
          <w:color w:val="000000"/>
          <w:lang w:val="en-US"/>
        </w:rPr>
        <w:t xml:space="preserve">mg/kg </w:t>
      </w:r>
      <w:r w:rsidRPr="00F642ED">
        <w:rPr>
          <w:rFonts w:eastAsia="Times New Roman" w:cs="Arial"/>
          <w:color w:val="000000"/>
          <w:lang w:eastAsia="bg-BG"/>
        </w:rPr>
        <w:t xml:space="preserve">дневно, плъхове до 200 </w:t>
      </w:r>
      <w:r w:rsidRPr="00F642ED">
        <w:rPr>
          <w:rFonts w:eastAsia="Times New Roman" w:cs="Arial"/>
          <w:color w:val="000000"/>
          <w:lang w:val="en-US"/>
        </w:rPr>
        <w:t xml:space="preserve">mg/kg </w:t>
      </w:r>
      <w:r w:rsidRPr="00F642ED">
        <w:rPr>
          <w:rFonts w:eastAsia="Times New Roman" w:cs="Arial"/>
          <w:color w:val="000000"/>
          <w:lang w:eastAsia="bg-BG"/>
        </w:rPr>
        <w:t xml:space="preserve">дневно и зайци до 150 </w:t>
      </w:r>
      <w:r w:rsidRPr="00F642ED">
        <w:rPr>
          <w:rFonts w:eastAsia="Times New Roman" w:cs="Arial"/>
          <w:color w:val="000000"/>
          <w:lang w:val="en-US"/>
        </w:rPr>
        <w:t xml:space="preserve">mg/kg </w:t>
      </w:r>
      <w:r w:rsidRPr="00F642ED">
        <w:rPr>
          <w:rFonts w:eastAsia="Times New Roman" w:cs="Arial"/>
          <w:color w:val="000000"/>
          <w:lang w:eastAsia="bg-BG"/>
        </w:rPr>
        <w:t>дневно по време на 8-ия до 16-ия ден от бременността, не са показали тератогенни ефекти.</w:t>
      </w:r>
    </w:p>
    <w:p w14:paraId="3E8130D3"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Едно </w:t>
      </w:r>
      <w:r w:rsidRPr="00F642ED">
        <w:rPr>
          <w:rFonts w:eastAsia="Times New Roman" w:cs="Arial"/>
          <w:i/>
          <w:iCs/>
          <w:color w:val="000000"/>
          <w:lang w:val="en-US"/>
        </w:rPr>
        <w:t>in vitro</w:t>
      </w:r>
      <w:r w:rsidRPr="00F642ED">
        <w:rPr>
          <w:rFonts w:eastAsia="Times New Roman" w:cs="Arial"/>
          <w:color w:val="000000"/>
          <w:lang w:val="en-US"/>
        </w:rPr>
        <w:t xml:space="preserve"> </w:t>
      </w:r>
      <w:r w:rsidRPr="00F642ED">
        <w:rPr>
          <w:rFonts w:eastAsia="Times New Roman" w:cs="Arial"/>
          <w:color w:val="000000"/>
          <w:lang w:eastAsia="bg-BG"/>
        </w:rPr>
        <w:t>изпитване, в което е използвана клетъчна култура от фетални миши слюнчени жлези за откриване на ембриотоксичност, е показало, че не се очаква алопуринол да причини ембриотоксичност, без да причини токсични прояви и у майката.</w:t>
      </w:r>
    </w:p>
    <w:p w14:paraId="45C6D104" w14:textId="77777777" w:rsidR="00F642ED" w:rsidRPr="00F642ED" w:rsidRDefault="00F642ED" w:rsidP="00F642ED"/>
    <w:p w14:paraId="357049A8" w14:textId="0D5C5FAF" w:rsidR="00BB22B4" w:rsidRDefault="002C50EE" w:rsidP="00471F10">
      <w:pPr>
        <w:pStyle w:val="Heading1"/>
      </w:pPr>
      <w:r>
        <w:t>7. ПРИТЕЖАТЕЛ НА РАЗРЕШЕНИЕТО ЗА УПОТРЕБА</w:t>
      </w:r>
    </w:p>
    <w:p w14:paraId="2BCF870E" w14:textId="537CECB1" w:rsidR="00F642ED" w:rsidRDefault="00F642ED" w:rsidP="00F642ED"/>
    <w:p w14:paraId="787A22F0" w14:textId="77777777" w:rsidR="00F642ED" w:rsidRPr="00F642ED" w:rsidRDefault="00F642ED" w:rsidP="00F642ED">
      <w:pPr>
        <w:rPr>
          <w:sz w:val="24"/>
          <w:szCs w:val="24"/>
          <w:lang w:val="en-US" w:eastAsia="bg-BG"/>
        </w:rPr>
      </w:pPr>
      <w:r w:rsidRPr="00F642ED">
        <w:rPr>
          <w:lang w:val="en-US"/>
        </w:rPr>
        <w:t>Egis Pharmaceuticals PLC</w:t>
      </w:r>
    </w:p>
    <w:p w14:paraId="009B55F7" w14:textId="77777777" w:rsidR="00F642ED" w:rsidRPr="00F642ED" w:rsidRDefault="00F642ED" w:rsidP="00F642ED">
      <w:pPr>
        <w:rPr>
          <w:sz w:val="24"/>
          <w:szCs w:val="24"/>
          <w:lang w:val="en-US" w:eastAsia="bg-BG"/>
        </w:rPr>
      </w:pPr>
      <w:r w:rsidRPr="00F642ED">
        <w:rPr>
          <w:lang w:eastAsia="bg-BG"/>
        </w:rPr>
        <w:t xml:space="preserve">1106 </w:t>
      </w:r>
      <w:r w:rsidRPr="00F642ED">
        <w:rPr>
          <w:lang w:val="en-US"/>
        </w:rPr>
        <w:t xml:space="preserve">Budapest, </w:t>
      </w:r>
      <w:proofErr w:type="spellStart"/>
      <w:r w:rsidRPr="00F642ED">
        <w:rPr>
          <w:lang w:val="en-US"/>
        </w:rPr>
        <w:t>Kereszturi</w:t>
      </w:r>
      <w:proofErr w:type="spellEnd"/>
      <w:r w:rsidRPr="00F642ED">
        <w:rPr>
          <w:lang w:val="en-US"/>
        </w:rPr>
        <w:t xml:space="preserve"> tit 30-38.</w:t>
      </w:r>
    </w:p>
    <w:p w14:paraId="7A911C83" w14:textId="623D931C" w:rsidR="00F642ED" w:rsidRPr="00F642ED" w:rsidRDefault="00F642ED" w:rsidP="00F642ED">
      <w:r w:rsidRPr="00F642ED">
        <w:rPr>
          <w:lang w:eastAsia="bg-BG"/>
        </w:rPr>
        <w:t>Унгария</w:t>
      </w:r>
    </w:p>
    <w:p w14:paraId="0A53321D" w14:textId="7B9F7F22" w:rsidR="00EE6C97" w:rsidRDefault="00936AD0" w:rsidP="00A93499">
      <w:pPr>
        <w:pStyle w:val="Heading1"/>
      </w:pPr>
      <w:r>
        <w:t>8.</w:t>
      </w:r>
      <w:r w:rsidR="002C50EE">
        <w:t>НОМЕР НА РАЗРЕШЕНИЕТО ЗА УПОТРЕБА</w:t>
      </w:r>
    </w:p>
    <w:p w14:paraId="30DD2BD2" w14:textId="2FE6E37E" w:rsidR="00F642ED" w:rsidRDefault="00F642ED" w:rsidP="00F642ED"/>
    <w:p w14:paraId="2002C219" w14:textId="77777777" w:rsidR="00F642ED" w:rsidRPr="00F642ED" w:rsidRDefault="00F642ED" w:rsidP="00F642ED">
      <w:pPr>
        <w:rPr>
          <w:sz w:val="24"/>
          <w:szCs w:val="24"/>
          <w:lang w:eastAsia="bg-BG"/>
        </w:rPr>
      </w:pPr>
      <w:r w:rsidRPr="00F642ED">
        <w:rPr>
          <w:lang w:eastAsia="bg-BG"/>
        </w:rPr>
        <w:t xml:space="preserve">Милурит 150 </w:t>
      </w:r>
      <w:r w:rsidRPr="00F642ED">
        <w:rPr>
          <w:lang w:val="en-US"/>
        </w:rPr>
        <w:t xml:space="preserve">mg </w:t>
      </w:r>
      <w:r w:rsidRPr="00F642ED">
        <w:rPr>
          <w:lang w:eastAsia="bg-BG"/>
        </w:rPr>
        <w:t xml:space="preserve">таблетки: </w:t>
      </w:r>
      <w:r w:rsidRPr="00F642ED">
        <w:rPr>
          <w:lang w:val="en-US"/>
        </w:rPr>
        <w:t xml:space="preserve">Per. </w:t>
      </w:r>
      <w:r w:rsidRPr="00F642ED">
        <w:rPr>
          <w:lang w:eastAsia="bg-BG"/>
        </w:rPr>
        <w:t>№: 20180239</w:t>
      </w:r>
    </w:p>
    <w:p w14:paraId="47B22833" w14:textId="24DCE9A3" w:rsidR="00F642ED" w:rsidRPr="00F642ED" w:rsidRDefault="00F642ED" w:rsidP="00F642ED">
      <w:r w:rsidRPr="00F642ED">
        <w:rPr>
          <w:lang w:eastAsia="bg-BG"/>
        </w:rPr>
        <w:t xml:space="preserve">Милурит 200 </w:t>
      </w:r>
      <w:r w:rsidRPr="00F642ED">
        <w:rPr>
          <w:lang w:val="en-US"/>
        </w:rPr>
        <w:t xml:space="preserve">mg </w:t>
      </w:r>
      <w:r w:rsidRPr="00F642ED">
        <w:rPr>
          <w:lang w:eastAsia="bg-BG"/>
        </w:rPr>
        <w:t xml:space="preserve">таблетки: </w:t>
      </w:r>
      <w:r w:rsidRPr="00F642ED">
        <w:rPr>
          <w:lang w:val="en-US"/>
        </w:rPr>
        <w:t xml:space="preserve">Per. </w:t>
      </w:r>
      <w:r w:rsidRPr="00F642ED">
        <w:rPr>
          <w:lang w:eastAsia="bg-BG"/>
        </w:rPr>
        <w:t>№: 20180240</w:t>
      </w:r>
    </w:p>
    <w:p w14:paraId="7C2688F5" w14:textId="6D610EDF" w:rsidR="00F62E44" w:rsidRDefault="00F62E44" w:rsidP="00F62E44"/>
    <w:p w14:paraId="00481C21" w14:textId="77E2C018" w:rsidR="00F62E44" w:rsidRDefault="002C50EE" w:rsidP="00387A66">
      <w:pPr>
        <w:pStyle w:val="Heading1"/>
      </w:pPr>
      <w:r>
        <w:t>9. ДАТА НА ПЪРВО РАЗРЕШАВАНЕ/ПОДНОВЯВАНЕ НА РАЗРЕШЕНИЕТО ЗА УПОТРЕБА</w:t>
      </w:r>
    </w:p>
    <w:p w14:paraId="50F04FB4" w14:textId="2E2E9751" w:rsidR="00F642ED" w:rsidRDefault="00F642ED" w:rsidP="00F642ED"/>
    <w:p w14:paraId="4D3BAB71" w14:textId="77777777" w:rsidR="0020291F" w:rsidRPr="0020291F" w:rsidRDefault="0020291F" w:rsidP="0020291F">
      <w:pPr>
        <w:rPr>
          <w:sz w:val="24"/>
          <w:szCs w:val="24"/>
          <w:lang w:eastAsia="bg-BG"/>
        </w:rPr>
      </w:pPr>
      <w:r w:rsidRPr="0020291F">
        <w:rPr>
          <w:lang w:eastAsia="bg-BG"/>
        </w:rPr>
        <w:t>Дата на първо разрешение за употреба: 24.08.2018 г.</w:t>
      </w:r>
    </w:p>
    <w:p w14:paraId="4C6FB99E" w14:textId="052CF29C" w:rsidR="00F642ED" w:rsidRPr="00F642ED" w:rsidRDefault="0020291F" w:rsidP="0020291F">
      <w:r w:rsidRPr="0020291F">
        <w:rPr>
          <w:lang w:eastAsia="bg-BG"/>
        </w:rPr>
        <w:t>Дата на последно подновяване:</w:t>
      </w:r>
    </w:p>
    <w:p w14:paraId="43FB38A2" w14:textId="0C18A683" w:rsidR="007C605B" w:rsidRDefault="002C50EE" w:rsidP="005726E3">
      <w:pPr>
        <w:pStyle w:val="Heading1"/>
      </w:pPr>
      <w:r>
        <w:t>10. ДАТА НА АКТУАЛИЗИРАНЕ НА ТЕКСТА</w:t>
      </w:r>
      <w:bookmarkEnd w:id="0"/>
    </w:p>
    <w:p w14:paraId="472617BD" w14:textId="3D0C7C62" w:rsidR="00BB22B4" w:rsidRPr="0020291F" w:rsidRDefault="0020291F" w:rsidP="0020291F">
      <w:pPr>
        <w:rPr>
          <w:sz w:val="24"/>
          <w:szCs w:val="24"/>
          <w:lang w:eastAsia="bg-BG"/>
        </w:rPr>
      </w:pPr>
      <w:r w:rsidRPr="0020291F">
        <w:rPr>
          <w:lang w:eastAsia="bg-BG"/>
        </w:rPr>
        <w:t>Юли, 2022 г.</w:t>
      </w:r>
    </w:p>
    <w:sectPr w:rsidR="00BB22B4" w:rsidRPr="0020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567037"/>
    <w:multiLevelType w:val="hybridMultilevel"/>
    <w:tmpl w:val="93FC9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43408"/>
    <w:multiLevelType w:val="hybridMultilevel"/>
    <w:tmpl w:val="967225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3"/>
  </w:num>
  <w:num w:numId="14" w16cid:durableId="1670476636">
    <w:abstractNumId w:val="15"/>
  </w:num>
  <w:num w:numId="15" w16cid:durableId="1000155783">
    <w:abstractNumId w:val="34"/>
  </w:num>
  <w:num w:numId="16" w16cid:durableId="2056420707">
    <w:abstractNumId w:val="11"/>
  </w:num>
  <w:num w:numId="17" w16cid:durableId="1787119182">
    <w:abstractNumId w:val="29"/>
  </w:num>
  <w:num w:numId="18" w16cid:durableId="722945139">
    <w:abstractNumId w:val="8"/>
  </w:num>
  <w:num w:numId="19" w16cid:durableId="1678728408">
    <w:abstractNumId w:val="31"/>
  </w:num>
  <w:num w:numId="20" w16cid:durableId="1970816657">
    <w:abstractNumId w:val="28"/>
  </w:num>
  <w:num w:numId="21" w16cid:durableId="1531146514">
    <w:abstractNumId w:val="21"/>
  </w:num>
  <w:num w:numId="22" w16cid:durableId="1276465">
    <w:abstractNumId w:val="30"/>
  </w:num>
  <w:num w:numId="23" w16cid:durableId="1624310558">
    <w:abstractNumId w:val="22"/>
  </w:num>
  <w:num w:numId="24" w16cid:durableId="1692877547">
    <w:abstractNumId w:val="9"/>
  </w:num>
  <w:num w:numId="25" w16cid:durableId="50930855">
    <w:abstractNumId w:val="27"/>
  </w:num>
  <w:num w:numId="26" w16cid:durableId="176701536">
    <w:abstractNumId w:val="26"/>
  </w:num>
  <w:num w:numId="27" w16cid:durableId="2050564750">
    <w:abstractNumId w:val="36"/>
  </w:num>
  <w:num w:numId="28" w16cid:durableId="1820733422">
    <w:abstractNumId w:val="6"/>
  </w:num>
  <w:num w:numId="29" w16cid:durableId="973678124">
    <w:abstractNumId w:val="25"/>
  </w:num>
  <w:num w:numId="30" w16cid:durableId="154884452">
    <w:abstractNumId w:val="40"/>
  </w:num>
  <w:num w:numId="31" w16cid:durableId="1053964910">
    <w:abstractNumId w:val="5"/>
  </w:num>
  <w:num w:numId="32" w16cid:durableId="2073575793">
    <w:abstractNumId w:val="38"/>
  </w:num>
  <w:num w:numId="33" w16cid:durableId="1566643170">
    <w:abstractNumId w:val="33"/>
  </w:num>
  <w:num w:numId="34" w16cid:durableId="2060787732">
    <w:abstractNumId w:val="37"/>
  </w:num>
  <w:num w:numId="35" w16cid:durableId="34161354">
    <w:abstractNumId w:val="7"/>
  </w:num>
  <w:num w:numId="36" w16cid:durableId="1976908676">
    <w:abstractNumId w:val="10"/>
  </w:num>
  <w:num w:numId="37" w16cid:durableId="758528303">
    <w:abstractNumId w:val="18"/>
  </w:num>
  <w:num w:numId="38" w16cid:durableId="178396561">
    <w:abstractNumId w:val="39"/>
  </w:num>
  <w:num w:numId="39" w16cid:durableId="934825996">
    <w:abstractNumId w:val="13"/>
  </w:num>
  <w:num w:numId="40" w16cid:durableId="589388713">
    <w:abstractNumId w:val="14"/>
  </w:num>
  <w:num w:numId="41" w16cid:durableId="19007472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0291F"/>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462EE"/>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642ED"/>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5232</Words>
  <Characters>29829</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2023-03-23T22:31:00Z</dcterms:created>
  <dcterms:modified xsi:type="dcterms:W3CDTF">2023-03-23T22:31:00Z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