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AD77D08" w:rsidR="00C40420" w:rsidRDefault="00DD466D" w:rsidP="004A448E">
      <w:pPr>
        <w:pStyle w:val="Heading1"/>
      </w:pPr>
      <w:r>
        <w:t>1.ИМЕ НА ЛЕКАРСТВЕНИЯ ПРОДУКТ</w:t>
      </w:r>
    </w:p>
    <w:p w14:paraId="47E4749F" w14:textId="225AD400" w:rsidR="00EF0548" w:rsidRDefault="00EF0548" w:rsidP="00EF0548"/>
    <w:p w14:paraId="61827B76"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МИРАМ 0,2 </w:t>
      </w:r>
      <w:r w:rsidRPr="00EF0548">
        <w:rPr>
          <w:rFonts w:eastAsia="Times New Roman" w:cs="Arial"/>
          <w:color w:val="000000"/>
          <w:lang w:val="en-US"/>
        </w:rPr>
        <w:t xml:space="preserve">mg </w:t>
      </w:r>
      <w:r w:rsidRPr="00EF0548">
        <w:rPr>
          <w:rFonts w:eastAsia="Times New Roman" w:cs="Arial"/>
          <w:color w:val="000000"/>
          <w:lang w:eastAsia="bg-BG"/>
        </w:rPr>
        <w:t>таблетки</w:t>
      </w:r>
      <w:r w:rsidRPr="00EF0548">
        <w:rPr>
          <w:rFonts w:eastAsia="Times New Roman" w:cs="Arial"/>
          <w:color w:val="000000"/>
          <w:lang w:eastAsia="bg-BG"/>
        </w:rPr>
        <w:tab/>
      </w:r>
    </w:p>
    <w:p w14:paraId="1183CE7B" w14:textId="65C74DE2" w:rsidR="00EF0548" w:rsidRPr="00EF0548" w:rsidRDefault="00EF0548" w:rsidP="00EF0548">
      <w:pPr>
        <w:rPr>
          <w:rFonts w:cs="Arial"/>
        </w:rPr>
      </w:pPr>
      <w:r w:rsidRPr="00EF0548">
        <w:rPr>
          <w:rFonts w:eastAsia="Times New Roman" w:cs="Arial"/>
          <w:color w:val="000000"/>
          <w:lang w:val="en-US"/>
        </w:rPr>
        <w:t xml:space="preserve">MIRAM </w:t>
      </w:r>
      <w:r w:rsidRPr="00EF0548">
        <w:rPr>
          <w:rFonts w:eastAsia="Times New Roman" w:cs="Arial"/>
          <w:color w:val="000000"/>
          <w:lang w:eastAsia="bg-BG"/>
        </w:rPr>
        <w:t>0</w:t>
      </w:r>
      <w:proofErr w:type="gramStart"/>
      <w:r w:rsidRPr="00EF0548">
        <w:rPr>
          <w:rFonts w:eastAsia="Times New Roman" w:cs="Arial"/>
          <w:color w:val="000000"/>
          <w:lang w:eastAsia="bg-BG"/>
        </w:rPr>
        <w:t>,2</w:t>
      </w:r>
      <w:proofErr w:type="gramEnd"/>
      <w:r w:rsidRPr="00EF0548">
        <w:rPr>
          <w:rFonts w:eastAsia="Times New Roman" w:cs="Arial"/>
          <w:color w:val="000000"/>
          <w:lang w:eastAsia="bg-BG"/>
        </w:rPr>
        <w:t xml:space="preserve"> </w:t>
      </w:r>
      <w:r w:rsidRPr="00EF0548">
        <w:rPr>
          <w:rFonts w:eastAsia="Times New Roman" w:cs="Arial"/>
          <w:color w:val="000000"/>
          <w:lang w:val="en-US"/>
        </w:rPr>
        <w:t>mg tablets</w:t>
      </w:r>
    </w:p>
    <w:p w14:paraId="6920A680" w14:textId="076CB68B" w:rsidR="00C40420" w:rsidRDefault="00DD466D" w:rsidP="004A448E">
      <w:pPr>
        <w:pStyle w:val="Heading1"/>
      </w:pPr>
      <w:r>
        <w:t>2. КАЧЕСТВЕН И КОЛИЧЕСТВЕН СЪСТАВ</w:t>
      </w:r>
    </w:p>
    <w:p w14:paraId="70A396FC" w14:textId="4EE42CFE" w:rsidR="00EF0548" w:rsidRDefault="00EF0548" w:rsidP="00EF0548"/>
    <w:p w14:paraId="2E18C2BB"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Всяка таблетка от 0,2 </w:t>
      </w:r>
      <w:r w:rsidRPr="00EF0548">
        <w:rPr>
          <w:rFonts w:eastAsia="Times New Roman" w:cs="Arial"/>
          <w:color w:val="000000"/>
          <w:lang w:val="en-US"/>
        </w:rPr>
        <w:t xml:space="preserve">mg </w:t>
      </w:r>
      <w:r w:rsidRPr="00EF0548">
        <w:rPr>
          <w:rFonts w:eastAsia="Times New Roman" w:cs="Arial"/>
          <w:color w:val="000000"/>
          <w:lang w:eastAsia="bg-BG"/>
        </w:rPr>
        <w:t xml:space="preserve">съдържа дезмопресинов ацетат </w:t>
      </w:r>
      <w:r w:rsidRPr="00EF0548">
        <w:rPr>
          <w:rFonts w:eastAsia="Times New Roman" w:cs="Arial"/>
          <w:color w:val="000000"/>
          <w:lang w:val="en-US"/>
        </w:rPr>
        <w:t xml:space="preserve">(desmopressin acetate), </w:t>
      </w:r>
      <w:r w:rsidRPr="00EF0548">
        <w:rPr>
          <w:rFonts w:eastAsia="Times New Roman" w:cs="Arial"/>
          <w:color w:val="000000"/>
          <w:lang w:eastAsia="bg-BG"/>
        </w:rPr>
        <w:t xml:space="preserve">който отговаря на 0,178 </w:t>
      </w:r>
      <w:r w:rsidRPr="00EF0548">
        <w:rPr>
          <w:rFonts w:eastAsia="Times New Roman" w:cs="Arial"/>
          <w:color w:val="000000"/>
          <w:lang w:val="en-US"/>
        </w:rPr>
        <w:t xml:space="preserve">mg </w:t>
      </w:r>
      <w:r w:rsidRPr="00EF0548">
        <w:rPr>
          <w:rFonts w:eastAsia="Times New Roman" w:cs="Arial"/>
          <w:color w:val="000000"/>
          <w:lang w:eastAsia="bg-BG"/>
        </w:rPr>
        <w:t>дезмопресин (</w:t>
      </w:r>
      <w:r w:rsidRPr="00EF0548">
        <w:rPr>
          <w:rFonts w:eastAsia="Times New Roman" w:cs="Arial"/>
          <w:i/>
          <w:iCs/>
          <w:color w:val="000000"/>
          <w:lang w:val="en-US"/>
        </w:rPr>
        <w:t>desmopressin).</w:t>
      </w:r>
    </w:p>
    <w:p w14:paraId="06F347A5"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Помощно вещество с известно действие: 138,8 </w:t>
      </w:r>
      <w:r w:rsidRPr="00EF0548">
        <w:rPr>
          <w:rFonts w:eastAsia="Times New Roman" w:cs="Arial"/>
          <w:color w:val="000000"/>
          <w:lang w:val="en-US"/>
        </w:rPr>
        <w:t xml:space="preserve">mg </w:t>
      </w:r>
      <w:r w:rsidRPr="00EF0548">
        <w:rPr>
          <w:rFonts w:eastAsia="Times New Roman" w:cs="Arial"/>
          <w:color w:val="000000"/>
          <w:lang w:eastAsia="bg-BG"/>
        </w:rPr>
        <w:t>лактоза монохидрат в една таблетка.</w:t>
      </w:r>
    </w:p>
    <w:p w14:paraId="70796F4E" w14:textId="77777777" w:rsidR="00EF0548" w:rsidRDefault="00EF0548" w:rsidP="00EF0548">
      <w:pPr>
        <w:rPr>
          <w:rFonts w:eastAsia="Times New Roman" w:cs="Arial"/>
          <w:color w:val="000000"/>
          <w:lang w:eastAsia="bg-BG"/>
        </w:rPr>
      </w:pPr>
    </w:p>
    <w:p w14:paraId="229EF866" w14:textId="48DA0EDF" w:rsidR="00EF0548" w:rsidRPr="00EF0548" w:rsidRDefault="00EF0548" w:rsidP="00EF0548">
      <w:pPr>
        <w:rPr>
          <w:rFonts w:cs="Arial"/>
        </w:rPr>
      </w:pPr>
      <w:r w:rsidRPr="00EF0548">
        <w:rPr>
          <w:rFonts w:eastAsia="Times New Roman" w:cs="Arial"/>
          <w:color w:val="000000"/>
          <w:lang w:eastAsia="bg-BG"/>
        </w:rPr>
        <w:t>За пълния списък на помощните вещества, вижте точка 6.1.</w:t>
      </w:r>
    </w:p>
    <w:p w14:paraId="614984C4" w14:textId="7DAFEB8F" w:rsidR="008A6AF2" w:rsidRDefault="00DD466D" w:rsidP="002C50EE">
      <w:pPr>
        <w:pStyle w:val="Heading1"/>
      </w:pPr>
      <w:r>
        <w:t>3. ЛЕКАРСТВЕНА ФОРМА</w:t>
      </w:r>
    </w:p>
    <w:p w14:paraId="60ECC043" w14:textId="7598B928" w:rsidR="00EF0548" w:rsidRDefault="00EF0548" w:rsidP="00EF0548"/>
    <w:p w14:paraId="1A9B9688"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Таблетка</w:t>
      </w:r>
    </w:p>
    <w:p w14:paraId="269DB094" w14:textId="77777777" w:rsidR="00EF0548" w:rsidRDefault="00EF0548" w:rsidP="00EF0548">
      <w:pPr>
        <w:spacing w:line="240" w:lineRule="auto"/>
        <w:rPr>
          <w:rFonts w:eastAsia="Times New Roman" w:cs="Arial"/>
          <w:color w:val="000000"/>
          <w:lang w:eastAsia="bg-BG"/>
        </w:rPr>
      </w:pPr>
    </w:p>
    <w:p w14:paraId="5DEAA2EA" w14:textId="43FB9C08"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МИРАМ 0,2 </w:t>
      </w:r>
      <w:r w:rsidRPr="00EF0548">
        <w:rPr>
          <w:rFonts w:eastAsia="Times New Roman" w:cs="Arial"/>
          <w:color w:val="000000"/>
          <w:lang w:val="en-US"/>
        </w:rPr>
        <w:t xml:space="preserve">mg </w:t>
      </w:r>
      <w:r w:rsidRPr="00EF0548">
        <w:rPr>
          <w:rFonts w:eastAsia="Times New Roman" w:cs="Arial"/>
          <w:color w:val="000000"/>
          <w:lang w:eastAsia="bg-BG"/>
        </w:rPr>
        <w:t xml:space="preserve">таблетки са бели, двойно изпъкнали, кръгли таблетки с вдлъбнато релефно означение </w:t>
      </w:r>
      <w:r w:rsidRPr="00EF0548">
        <w:rPr>
          <w:rFonts w:eastAsia="Times New Roman" w:cs="Arial"/>
          <w:color w:val="000000"/>
          <w:lang w:val="en-US"/>
        </w:rPr>
        <w:t xml:space="preserve">“D”, </w:t>
      </w:r>
      <w:r w:rsidRPr="00EF0548">
        <w:rPr>
          <w:rFonts w:eastAsia="Times New Roman" w:cs="Arial"/>
          <w:color w:val="000000"/>
          <w:lang w:eastAsia="bg-BG"/>
        </w:rPr>
        <w:t>делителна черта и “0,2” от едната страна на таблетката и гладки от другата.</w:t>
      </w:r>
    </w:p>
    <w:p w14:paraId="369587C2" w14:textId="77777777" w:rsidR="00EF0548" w:rsidRDefault="00EF0548" w:rsidP="00EF0548">
      <w:pPr>
        <w:rPr>
          <w:rFonts w:eastAsia="Times New Roman" w:cs="Arial"/>
          <w:color w:val="000000"/>
          <w:lang w:eastAsia="bg-BG"/>
        </w:rPr>
      </w:pPr>
    </w:p>
    <w:p w14:paraId="7F04262B" w14:textId="0A8BF729" w:rsidR="00EF0548" w:rsidRPr="00EF0548" w:rsidRDefault="00EF0548" w:rsidP="00EF0548">
      <w:pPr>
        <w:rPr>
          <w:rFonts w:cs="Arial"/>
        </w:rPr>
      </w:pPr>
      <w:r w:rsidRPr="00EF0548">
        <w:rPr>
          <w:rFonts w:eastAsia="Times New Roman" w:cs="Arial"/>
          <w:color w:val="000000"/>
          <w:lang w:eastAsia="bg-BG"/>
        </w:rPr>
        <w:t>Делителната черта е само за улесняване на счупването с цел по-лесно поглъщане, а не за разделяне на равни дози.</w:t>
      </w:r>
    </w:p>
    <w:p w14:paraId="490FC2C4" w14:textId="32682B15" w:rsidR="002C50EE" w:rsidRDefault="002C50EE" w:rsidP="002C50EE">
      <w:pPr>
        <w:pStyle w:val="Heading1"/>
      </w:pPr>
      <w:r>
        <w:t>4. КЛИНИЧНИ ДАННИ</w:t>
      </w:r>
    </w:p>
    <w:p w14:paraId="0C8E6903" w14:textId="2185E93B" w:rsidR="008134C8" w:rsidRDefault="002C50EE" w:rsidP="004A448E">
      <w:pPr>
        <w:pStyle w:val="Heading2"/>
      </w:pPr>
      <w:r>
        <w:t>4.1. Терапевтични показания</w:t>
      </w:r>
    </w:p>
    <w:p w14:paraId="2951486A" w14:textId="2E53C507" w:rsidR="00EF0548" w:rsidRDefault="00EF0548" w:rsidP="00EF0548"/>
    <w:p w14:paraId="7BD4B7A1" w14:textId="77777777" w:rsidR="00EF0548" w:rsidRPr="00EF0548" w:rsidRDefault="00EF0548" w:rsidP="00EF0548">
      <w:pPr>
        <w:pStyle w:val="ListParagraph"/>
        <w:numPr>
          <w:ilvl w:val="0"/>
          <w:numId w:val="35"/>
        </w:numPr>
        <w:spacing w:line="240" w:lineRule="auto"/>
        <w:rPr>
          <w:rFonts w:eastAsia="Times New Roman" w:cs="Arial"/>
          <w:color w:val="000000"/>
          <w:lang w:eastAsia="bg-BG"/>
        </w:rPr>
      </w:pPr>
      <w:r w:rsidRPr="00EF0548">
        <w:rPr>
          <w:rFonts w:eastAsia="Times New Roman" w:cs="Arial"/>
          <w:color w:val="000000"/>
          <w:lang w:eastAsia="bg-BG"/>
        </w:rPr>
        <w:t>Безвкусен диабет с централен произход</w:t>
      </w:r>
    </w:p>
    <w:p w14:paraId="2A958A16" w14:textId="77777777" w:rsidR="00EF0548" w:rsidRPr="00EF0548" w:rsidRDefault="00EF0548" w:rsidP="00EF0548">
      <w:pPr>
        <w:pStyle w:val="ListParagraph"/>
        <w:numPr>
          <w:ilvl w:val="0"/>
          <w:numId w:val="35"/>
        </w:numPr>
        <w:spacing w:line="240" w:lineRule="auto"/>
        <w:rPr>
          <w:rFonts w:eastAsia="Times New Roman" w:cs="Arial"/>
          <w:color w:val="000000"/>
          <w:lang w:eastAsia="bg-BG"/>
        </w:rPr>
      </w:pPr>
      <w:r w:rsidRPr="00EF0548">
        <w:rPr>
          <w:rFonts w:eastAsia="Times New Roman" w:cs="Arial"/>
          <w:color w:val="000000"/>
          <w:lang w:eastAsia="bg-BG"/>
        </w:rPr>
        <w:t xml:space="preserve">Нощно напикаване </w:t>
      </w:r>
      <w:r w:rsidRPr="00EF0548">
        <w:rPr>
          <w:rFonts w:eastAsia="Times New Roman" w:cs="Arial"/>
          <w:color w:val="000000"/>
          <w:lang w:val="en-US"/>
        </w:rPr>
        <w:t xml:space="preserve">(enuresis </w:t>
      </w:r>
      <w:proofErr w:type="spellStart"/>
      <w:r w:rsidRPr="00EF0548">
        <w:rPr>
          <w:rFonts w:eastAsia="Times New Roman" w:cs="Arial"/>
          <w:color w:val="000000"/>
          <w:lang w:val="en-US"/>
        </w:rPr>
        <w:t>noctuma</w:t>
      </w:r>
      <w:proofErr w:type="spellEnd"/>
      <w:r w:rsidRPr="00EF0548">
        <w:rPr>
          <w:rFonts w:eastAsia="Times New Roman" w:cs="Arial"/>
          <w:color w:val="000000"/>
          <w:lang w:val="en-US"/>
        </w:rPr>
        <w:t xml:space="preserve">) </w:t>
      </w:r>
      <w:r w:rsidRPr="00EF0548">
        <w:rPr>
          <w:rFonts w:eastAsia="Times New Roman" w:cs="Arial"/>
          <w:color w:val="000000"/>
          <w:lang w:eastAsia="bg-BG"/>
        </w:rPr>
        <w:t>при деца над 5-годишна възраст.</w:t>
      </w:r>
    </w:p>
    <w:p w14:paraId="5EBA720F" w14:textId="45DF255D" w:rsidR="00EF0548" w:rsidRPr="00EF0548" w:rsidRDefault="00EF0548" w:rsidP="00EF0548">
      <w:pPr>
        <w:pStyle w:val="ListParagraph"/>
        <w:numPr>
          <w:ilvl w:val="0"/>
          <w:numId w:val="35"/>
        </w:numPr>
        <w:rPr>
          <w:rFonts w:cs="Arial"/>
        </w:rPr>
      </w:pPr>
      <w:r w:rsidRPr="00EF0548">
        <w:rPr>
          <w:rFonts w:eastAsia="Times New Roman" w:cs="Arial"/>
          <w:color w:val="000000"/>
          <w:lang w:eastAsia="bg-BG"/>
        </w:rPr>
        <w:t>Лечение на нощно напикаване, дължащо се на нощна полиурия при възрастни. За важна информация относно безопасната употреба, моля вж. точки 4.3 и 4.4.</w:t>
      </w:r>
    </w:p>
    <w:p w14:paraId="30BE2C7B" w14:textId="35542E26" w:rsidR="008134C8" w:rsidRDefault="002C50EE" w:rsidP="004A448E">
      <w:pPr>
        <w:pStyle w:val="Heading2"/>
      </w:pPr>
      <w:r>
        <w:t>4.2. Дозировка и начин на приложение</w:t>
      </w:r>
    </w:p>
    <w:p w14:paraId="797B3E7E" w14:textId="4D58434E" w:rsidR="00EF0548" w:rsidRDefault="00EF0548" w:rsidP="00EF0548"/>
    <w:p w14:paraId="65E88CBE" w14:textId="77777777" w:rsidR="00EF0548" w:rsidRPr="00EF0548" w:rsidRDefault="00EF0548" w:rsidP="00EF0548">
      <w:pPr>
        <w:pStyle w:val="Heading3"/>
        <w:rPr>
          <w:rFonts w:eastAsia="Times New Roman"/>
          <w:u w:val="single"/>
          <w:lang w:eastAsia="bg-BG"/>
        </w:rPr>
      </w:pPr>
      <w:r w:rsidRPr="00EF0548">
        <w:rPr>
          <w:rFonts w:eastAsia="Times New Roman"/>
          <w:u w:val="single"/>
          <w:lang w:eastAsia="bg-BG"/>
        </w:rPr>
        <w:t>Дозировка</w:t>
      </w:r>
    </w:p>
    <w:p w14:paraId="256C3169"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Дозата на дезмопресин трябва да бъде определена индивидуално.</w:t>
      </w:r>
    </w:p>
    <w:p w14:paraId="45C055F1" w14:textId="77777777" w:rsidR="00EF0548" w:rsidRDefault="00EF0548" w:rsidP="00EF0548">
      <w:pPr>
        <w:spacing w:line="240" w:lineRule="auto"/>
        <w:rPr>
          <w:rFonts w:eastAsia="Times New Roman" w:cs="Arial"/>
          <w:i/>
          <w:iCs/>
          <w:color w:val="000000"/>
          <w:u w:val="single"/>
          <w:lang w:eastAsia="bg-BG"/>
        </w:rPr>
      </w:pPr>
    </w:p>
    <w:p w14:paraId="42B0618F" w14:textId="2C3D4658" w:rsidR="00EF0548" w:rsidRPr="00EF0548" w:rsidRDefault="00EF0548" w:rsidP="00EF0548">
      <w:pPr>
        <w:spacing w:line="240" w:lineRule="auto"/>
        <w:rPr>
          <w:rFonts w:eastAsia="Times New Roman" w:cs="Arial"/>
          <w:lang w:eastAsia="bg-BG"/>
        </w:rPr>
      </w:pPr>
      <w:r w:rsidRPr="00EF0548">
        <w:rPr>
          <w:rFonts w:eastAsia="Times New Roman" w:cs="Arial"/>
          <w:i/>
          <w:iCs/>
          <w:color w:val="000000"/>
          <w:u w:val="single"/>
          <w:lang w:eastAsia="bg-BG"/>
        </w:rPr>
        <w:t>Безвкусен диабет</w:t>
      </w:r>
    </w:p>
    <w:p w14:paraId="6C847AD2" w14:textId="77777777" w:rsidR="00EF0548" w:rsidRDefault="00EF0548" w:rsidP="00EF0548">
      <w:pPr>
        <w:spacing w:line="240" w:lineRule="auto"/>
        <w:rPr>
          <w:rFonts w:eastAsia="Times New Roman" w:cs="Arial"/>
          <w:i/>
          <w:iCs/>
          <w:color w:val="000000"/>
          <w:lang w:eastAsia="bg-BG"/>
        </w:rPr>
      </w:pPr>
    </w:p>
    <w:p w14:paraId="039B91AE" w14:textId="7EADCC53" w:rsidR="00EF0548" w:rsidRPr="00EF0548" w:rsidRDefault="00EF0548" w:rsidP="00EF0548">
      <w:pPr>
        <w:spacing w:line="240" w:lineRule="auto"/>
        <w:rPr>
          <w:rFonts w:eastAsia="Times New Roman" w:cs="Arial"/>
          <w:lang w:eastAsia="bg-BG"/>
        </w:rPr>
      </w:pPr>
      <w:r w:rsidRPr="00EF0548">
        <w:rPr>
          <w:rFonts w:eastAsia="Times New Roman" w:cs="Arial"/>
          <w:i/>
          <w:iCs/>
          <w:color w:val="000000"/>
          <w:lang w:eastAsia="bg-BG"/>
        </w:rPr>
        <w:t>Възрастни и деца</w:t>
      </w:r>
    </w:p>
    <w:p w14:paraId="023074D1"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Подходяща начална доза за възрастни и деца е 100 микрограма (0,1 </w:t>
      </w:r>
      <w:r w:rsidRPr="00EF0548">
        <w:rPr>
          <w:rFonts w:eastAsia="Times New Roman" w:cs="Arial"/>
          <w:color w:val="000000"/>
          <w:lang w:val="en-US"/>
        </w:rPr>
        <w:t xml:space="preserve">mg) </w:t>
      </w:r>
      <w:r w:rsidRPr="00EF0548">
        <w:rPr>
          <w:rFonts w:eastAsia="Times New Roman" w:cs="Arial"/>
          <w:color w:val="000000"/>
          <w:lang w:eastAsia="bg-BG"/>
        </w:rPr>
        <w:t>три пъти дневно. След това дозовия режим трябва да се адаптира съобразно индивидуалната реакция на пациента.</w:t>
      </w:r>
    </w:p>
    <w:p w14:paraId="17FE16AC"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lastRenderedPageBreak/>
        <w:t>Клиничният опит е показал, че дневната доза варира между 200 микрограма (0,2</w:t>
      </w:r>
      <w:r w:rsidRPr="00EF0548">
        <w:rPr>
          <w:rFonts w:eastAsia="Times New Roman" w:cs="Arial"/>
          <w:color w:val="000000"/>
          <w:lang w:val="en-US"/>
        </w:rPr>
        <w:t xml:space="preserve"> mg) </w:t>
      </w:r>
      <w:r w:rsidRPr="00EF0548">
        <w:rPr>
          <w:rFonts w:eastAsia="Times New Roman" w:cs="Arial"/>
          <w:color w:val="000000"/>
          <w:lang w:eastAsia="bg-BG"/>
        </w:rPr>
        <w:t xml:space="preserve">и 1 200 микрограма (1,2 </w:t>
      </w:r>
      <w:r w:rsidRPr="00EF0548">
        <w:rPr>
          <w:rFonts w:eastAsia="Times New Roman" w:cs="Arial"/>
          <w:color w:val="000000"/>
          <w:lang w:val="en-US"/>
        </w:rPr>
        <w:t xml:space="preserve">mg). </w:t>
      </w:r>
      <w:r w:rsidRPr="00EF0548">
        <w:rPr>
          <w:rFonts w:eastAsia="Times New Roman" w:cs="Arial"/>
          <w:color w:val="000000"/>
          <w:lang w:eastAsia="bg-BG"/>
        </w:rPr>
        <w:t>Поддържащата доза за по-голямата част от пациентите е 100-</w:t>
      </w:r>
    </w:p>
    <w:p w14:paraId="09B8866D"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200 микрограма (0,1 - 0,2 </w:t>
      </w:r>
      <w:r w:rsidRPr="00EF0548">
        <w:rPr>
          <w:rFonts w:eastAsia="Times New Roman" w:cs="Arial"/>
          <w:color w:val="000000"/>
          <w:lang w:val="en-US"/>
        </w:rPr>
        <w:t xml:space="preserve">mg) </w:t>
      </w:r>
      <w:r w:rsidRPr="00EF0548">
        <w:rPr>
          <w:rFonts w:eastAsia="Times New Roman" w:cs="Arial"/>
          <w:color w:val="000000"/>
          <w:lang w:eastAsia="bg-BG"/>
        </w:rPr>
        <w:t>три пъти дневно. При поява на признаци за задържане на</w:t>
      </w:r>
    </w:p>
    <w:p w14:paraId="4E1AF3E8" w14:textId="3168AF12" w:rsidR="00EF0548" w:rsidRDefault="00EF0548" w:rsidP="00EF0548">
      <w:pPr>
        <w:rPr>
          <w:rFonts w:eastAsia="Times New Roman" w:cs="Arial"/>
          <w:color w:val="000000"/>
          <w:lang w:eastAsia="bg-BG"/>
        </w:rPr>
      </w:pPr>
      <w:r w:rsidRPr="00EF0548">
        <w:rPr>
          <w:rFonts w:eastAsia="Times New Roman" w:cs="Arial"/>
          <w:color w:val="000000"/>
          <w:lang w:eastAsia="bg-BG"/>
        </w:rPr>
        <w:t>течности/хипонатриемия, лечението трябва временно да се прекрати и да се адаптира дозата.</w:t>
      </w:r>
    </w:p>
    <w:p w14:paraId="181104DB" w14:textId="5FF40BB1" w:rsidR="00EF0548" w:rsidRDefault="00EF0548" w:rsidP="00EF0548">
      <w:pPr>
        <w:rPr>
          <w:rFonts w:eastAsia="Times New Roman" w:cs="Arial"/>
          <w:color w:val="000000"/>
          <w:lang w:eastAsia="bg-BG"/>
        </w:rPr>
      </w:pPr>
    </w:p>
    <w:p w14:paraId="13A201FE" w14:textId="77777777" w:rsidR="00EF0548" w:rsidRPr="00EF0548" w:rsidRDefault="00EF0548" w:rsidP="00EF0548">
      <w:pPr>
        <w:spacing w:line="240" w:lineRule="auto"/>
        <w:rPr>
          <w:rFonts w:eastAsia="Times New Roman" w:cs="Arial"/>
          <w:lang w:eastAsia="bg-BG"/>
        </w:rPr>
      </w:pPr>
      <w:r w:rsidRPr="00EF0548">
        <w:rPr>
          <w:rFonts w:eastAsia="Times New Roman" w:cs="Arial"/>
          <w:i/>
          <w:iCs/>
          <w:color w:val="000000"/>
          <w:u w:val="single"/>
          <w:lang w:eastAsia="bg-BG"/>
        </w:rPr>
        <w:t>Нощно напикаване</w:t>
      </w:r>
    </w:p>
    <w:p w14:paraId="08A1E726" w14:textId="77777777" w:rsidR="00EF0548" w:rsidRDefault="00EF0548" w:rsidP="00EF0548">
      <w:pPr>
        <w:spacing w:line="240" w:lineRule="auto"/>
        <w:rPr>
          <w:rFonts w:eastAsia="Times New Roman" w:cs="Arial"/>
          <w:i/>
          <w:iCs/>
          <w:color w:val="000000"/>
          <w:lang w:eastAsia="bg-BG"/>
        </w:rPr>
      </w:pPr>
    </w:p>
    <w:p w14:paraId="49333B80" w14:textId="12B6C4A0" w:rsidR="00EF0548" w:rsidRPr="00EF0548" w:rsidRDefault="00EF0548" w:rsidP="00EF0548">
      <w:pPr>
        <w:spacing w:line="240" w:lineRule="auto"/>
        <w:rPr>
          <w:rFonts w:eastAsia="Times New Roman" w:cs="Arial"/>
          <w:lang w:eastAsia="bg-BG"/>
        </w:rPr>
      </w:pPr>
      <w:r w:rsidRPr="00EF0548">
        <w:rPr>
          <w:rFonts w:eastAsia="Times New Roman" w:cs="Arial"/>
          <w:i/>
          <w:iCs/>
          <w:color w:val="000000"/>
          <w:lang w:eastAsia="bg-BG"/>
        </w:rPr>
        <w:t>Деца над 5-годишна възраст</w:t>
      </w:r>
    </w:p>
    <w:p w14:paraId="4D7E6941"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Подходяща начална доза е 200 микрограма (0,2 </w:t>
      </w:r>
      <w:r w:rsidRPr="00EF0548">
        <w:rPr>
          <w:rFonts w:eastAsia="Times New Roman" w:cs="Arial"/>
          <w:color w:val="000000"/>
          <w:lang w:val="en-US"/>
        </w:rPr>
        <w:t xml:space="preserve">mg) </w:t>
      </w:r>
      <w:r w:rsidRPr="00EF0548">
        <w:rPr>
          <w:rFonts w:eastAsia="Times New Roman" w:cs="Arial"/>
          <w:color w:val="000000"/>
          <w:lang w:eastAsia="bg-BG"/>
        </w:rPr>
        <w:t>преди</w:t>
      </w:r>
      <w:r w:rsidRPr="00EF0548">
        <w:rPr>
          <w:rFonts w:eastAsia="Times New Roman" w:cs="Arial"/>
          <w:color w:val="000000"/>
          <w:lang w:val="en-US"/>
        </w:rPr>
        <w:t xml:space="preserve"> </w:t>
      </w:r>
      <w:r w:rsidRPr="00EF0548">
        <w:rPr>
          <w:rFonts w:eastAsia="Times New Roman" w:cs="Arial"/>
          <w:color w:val="000000"/>
          <w:lang w:eastAsia="bg-BG"/>
        </w:rPr>
        <w:t xml:space="preserve">лягане. Дозата може да бъде повишена до 400 микрограма (0,4 </w:t>
      </w:r>
      <w:r w:rsidRPr="00EF0548">
        <w:rPr>
          <w:rFonts w:eastAsia="Times New Roman" w:cs="Arial"/>
          <w:color w:val="000000"/>
          <w:lang w:val="en-US"/>
        </w:rPr>
        <w:t xml:space="preserve">mg), </w:t>
      </w:r>
      <w:r w:rsidRPr="00EF0548">
        <w:rPr>
          <w:rFonts w:eastAsia="Times New Roman" w:cs="Arial"/>
          <w:color w:val="000000"/>
          <w:lang w:eastAsia="bg-BG"/>
        </w:rPr>
        <w:t>ако най-ниската доза не е достатъчно ефикасна.</w:t>
      </w:r>
    </w:p>
    <w:p w14:paraId="54BDFCB2" w14:textId="77777777" w:rsidR="00EF0548" w:rsidRDefault="00EF0548" w:rsidP="00EF0548">
      <w:pPr>
        <w:spacing w:line="240" w:lineRule="auto"/>
        <w:rPr>
          <w:rFonts w:eastAsia="Times New Roman" w:cs="Arial"/>
          <w:color w:val="000000"/>
          <w:lang w:eastAsia="bg-BG"/>
        </w:rPr>
      </w:pPr>
    </w:p>
    <w:p w14:paraId="0598AE98" w14:textId="462D590C"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При продължително лечение, на всеки три месеца трябва да се оставят периоди без лечение с продължителност от най-малко една седмица, за да се оцени появата на спонтанно оздравяване.</w:t>
      </w:r>
    </w:p>
    <w:p w14:paraId="2900B4BB" w14:textId="77777777" w:rsidR="00EF0548" w:rsidRDefault="00EF0548" w:rsidP="00EF0548">
      <w:pPr>
        <w:spacing w:line="240" w:lineRule="auto"/>
        <w:rPr>
          <w:rFonts w:eastAsia="Times New Roman" w:cs="Arial"/>
          <w:color w:val="000000"/>
          <w:lang w:eastAsia="bg-BG"/>
        </w:rPr>
      </w:pPr>
    </w:p>
    <w:p w14:paraId="4D6EB7BD" w14:textId="1794229E"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Приемът на течности трябва да бъде ограничен и мониториран. При поява на признаци и симптоми на задържане на течности и/или хипонатриемия (главоболие, гадене/повръщане, увеличение на телесното тегло, а в сериозните случаи конвулсии, кома), лечението трябва да бъде прекратено, докато пациентът се възстанови напълно. Ако лечението бъде продължено е необходимо строго ограничение на приеманите течности. (вж. точка 4.4).</w:t>
      </w:r>
    </w:p>
    <w:p w14:paraId="0BF0BBB8" w14:textId="77777777" w:rsidR="00EF0548" w:rsidRDefault="00EF0548" w:rsidP="00EF0548">
      <w:pPr>
        <w:spacing w:line="240" w:lineRule="auto"/>
        <w:rPr>
          <w:rFonts w:eastAsia="Times New Roman" w:cs="Arial"/>
          <w:i/>
          <w:iCs/>
          <w:color w:val="000000"/>
          <w:u w:val="single"/>
          <w:lang w:eastAsia="bg-BG"/>
        </w:rPr>
      </w:pPr>
    </w:p>
    <w:p w14:paraId="2B8BA22E" w14:textId="1B223FA7" w:rsidR="00EF0548" w:rsidRPr="00EF0548" w:rsidRDefault="00EF0548" w:rsidP="00EF0548">
      <w:pPr>
        <w:spacing w:line="240" w:lineRule="auto"/>
        <w:rPr>
          <w:rFonts w:eastAsia="Times New Roman" w:cs="Arial"/>
          <w:lang w:eastAsia="bg-BG"/>
        </w:rPr>
      </w:pPr>
      <w:r w:rsidRPr="00EF0548">
        <w:rPr>
          <w:rFonts w:eastAsia="Times New Roman" w:cs="Arial"/>
          <w:i/>
          <w:iCs/>
          <w:color w:val="000000"/>
          <w:u w:val="single"/>
          <w:lang w:eastAsia="bg-BG"/>
        </w:rPr>
        <w:t>Никтурия</w:t>
      </w:r>
    </w:p>
    <w:p w14:paraId="11980351" w14:textId="77777777" w:rsidR="00EF0548" w:rsidRDefault="00EF0548" w:rsidP="00EF0548">
      <w:pPr>
        <w:spacing w:line="240" w:lineRule="auto"/>
        <w:rPr>
          <w:rFonts w:eastAsia="Times New Roman" w:cs="Arial"/>
          <w:color w:val="000000"/>
          <w:lang w:eastAsia="bg-BG"/>
        </w:rPr>
      </w:pPr>
    </w:p>
    <w:p w14:paraId="26D9945B" w14:textId="2D5E315A"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Препоръчваната начална доза е 100 микрограма (0,1 </w:t>
      </w:r>
      <w:r w:rsidRPr="00EF0548">
        <w:rPr>
          <w:rFonts w:eastAsia="Times New Roman" w:cs="Arial"/>
          <w:color w:val="000000"/>
          <w:lang w:val="en-US"/>
        </w:rPr>
        <w:t xml:space="preserve">mg) </w:t>
      </w:r>
      <w:r w:rsidRPr="00EF0548">
        <w:rPr>
          <w:rFonts w:eastAsia="Times New Roman" w:cs="Arial"/>
          <w:color w:val="000000"/>
          <w:lang w:eastAsia="bg-BG"/>
        </w:rPr>
        <w:t xml:space="preserve">преди лягане. Ако ефектът е недостатъчен, дозата може да се повишава ежеседмично до 200 микрограма (0,2 </w:t>
      </w:r>
      <w:r w:rsidRPr="00EF0548">
        <w:rPr>
          <w:rFonts w:eastAsia="Times New Roman" w:cs="Arial"/>
          <w:color w:val="000000"/>
          <w:lang w:val="en-US"/>
        </w:rPr>
        <w:t xml:space="preserve">mg) </w:t>
      </w:r>
      <w:r w:rsidRPr="00EF0548">
        <w:rPr>
          <w:rFonts w:eastAsia="Times New Roman" w:cs="Arial"/>
          <w:color w:val="000000"/>
          <w:lang w:eastAsia="bg-BG"/>
        </w:rPr>
        <w:t xml:space="preserve">и постепенно до 400 микрограма (0,4 </w:t>
      </w:r>
      <w:r w:rsidRPr="00EF0548">
        <w:rPr>
          <w:rFonts w:eastAsia="Times New Roman" w:cs="Arial"/>
          <w:color w:val="000000"/>
          <w:lang w:val="en-US"/>
        </w:rPr>
        <w:t xml:space="preserve">mg). </w:t>
      </w:r>
      <w:r w:rsidRPr="00EF0548">
        <w:rPr>
          <w:rFonts w:eastAsia="Times New Roman" w:cs="Arial"/>
          <w:color w:val="000000"/>
          <w:lang w:eastAsia="bg-BG"/>
        </w:rPr>
        <w:t>Приемът на течности трябва да е ограничен и мониториран (вж. точка 4.4).</w:t>
      </w:r>
    </w:p>
    <w:p w14:paraId="6E75BB74" w14:textId="77777777" w:rsidR="00EF0548" w:rsidRDefault="00EF0548" w:rsidP="00EF0548">
      <w:pPr>
        <w:spacing w:line="240" w:lineRule="auto"/>
        <w:rPr>
          <w:rFonts w:eastAsia="Times New Roman" w:cs="Arial"/>
          <w:color w:val="000000"/>
          <w:lang w:eastAsia="bg-BG"/>
        </w:rPr>
      </w:pPr>
    </w:p>
    <w:p w14:paraId="041D3224" w14:textId="0FC4080E"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Преди поставяне на диагноза нощна полиурия е необходимо измерване на честотата на уриниране и обема на отделената урина за период не по-кратък от 48 часа. Ако нощната диуреза превишава обема на пикочния мехур или е повече от 1/3 от 24-часовата диуреза, нощната полиурия е установена.</w:t>
      </w:r>
    </w:p>
    <w:p w14:paraId="1F4BB008" w14:textId="77777777" w:rsidR="00EF0548" w:rsidRDefault="00EF0548" w:rsidP="00EF0548">
      <w:pPr>
        <w:rPr>
          <w:rFonts w:eastAsia="Times New Roman" w:cs="Arial"/>
          <w:color w:val="000000"/>
          <w:lang w:eastAsia="bg-BG"/>
        </w:rPr>
      </w:pPr>
    </w:p>
    <w:p w14:paraId="30715FBE" w14:textId="35ACD4CF" w:rsidR="00EF0548" w:rsidRDefault="00EF0548" w:rsidP="00EF0548">
      <w:pPr>
        <w:rPr>
          <w:rFonts w:eastAsia="Times New Roman" w:cs="Arial"/>
          <w:color w:val="000000"/>
          <w:lang w:eastAsia="bg-BG"/>
        </w:rPr>
      </w:pPr>
      <w:r w:rsidRPr="00EF0548">
        <w:rPr>
          <w:rFonts w:eastAsia="Times New Roman" w:cs="Arial"/>
          <w:color w:val="000000"/>
          <w:lang w:eastAsia="bg-BG"/>
        </w:rPr>
        <w:t>При поява на признаци или симптоми за задържане на течности и/или хипонатриемия (главоболие, гадене/повръщане, увеличение на телесното тегло, а сериозните случаи конвулсии, кома), лечението трябва да бъде прекратено до пълното възстановяване на пациента. При подновяване на лечението трябва да се ограничи приема на течности и да се контролират нивата на серумния натрий (вж. точка 4.4).</w:t>
      </w:r>
    </w:p>
    <w:p w14:paraId="426CE1FD" w14:textId="66268A1D" w:rsidR="00EF0548" w:rsidRDefault="00EF0548" w:rsidP="00EF0548">
      <w:pPr>
        <w:rPr>
          <w:rFonts w:eastAsia="Times New Roman" w:cs="Arial"/>
          <w:color w:val="000000"/>
          <w:lang w:eastAsia="bg-BG"/>
        </w:rPr>
      </w:pPr>
    </w:p>
    <w:p w14:paraId="178CF5AB"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Ако желаният клиничен ефект не се прояви до 4</w:t>
      </w:r>
      <w:r w:rsidRPr="00EF0548">
        <w:rPr>
          <w:rFonts w:ascii="Times New Roman" w:eastAsia="Times New Roman" w:hAnsi="Times New Roman" w:cs="Times New Roman"/>
          <w:color w:val="000000"/>
          <w:sz w:val="44"/>
          <w:szCs w:val="44"/>
          <w:lang w:eastAsia="bg-BG"/>
        </w:rPr>
        <w:t xml:space="preserve"> </w:t>
      </w:r>
      <w:r w:rsidRPr="00EF0548">
        <w:rPr>
          <w:rFonts w:eastAsia="Times New Roman" w:cs="Arial"/>
          <w:color w:val="000000"/>
          <w:lang w:eastAsia="bg-BG"/>
        </w:rPr>
        <w:t>седмици след титриране на дозата, лечението трябва да бъде прекратено.</w:t>
      </w:r>
    </w:p>
    <w:p w14:paraId="6DCFE340" w14:textId="77777777" w:rsidR="00EF0548" w:rsidRDefault="00EF0548" w:rsidP="00EF0548">
      <w:pPr>
        <w:spacing w:line="240" w:lineRule="auto"/>
        <w:rPr>
          <w:rFonts w:eastAsia="Times New Roman" w:cs="Arial"/>
          <w:color w:val="000000"/>
          <w:lang w:eastAsia="bg-BG"/>
        </w:rPr>
      </w:pPr>
    </w:p>
    <w:p w14:paraId="15B95799" w14:textId="4796588D"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Лечение на пациенти в старческа възраст (&gt;65 години) не се препоръчва. Ако независимо от това лекарят предпише дезмопресин, пациентът трябва да бъде контролиран, поради повишения риск от хипонатриемия. Трябва да се контролират нивата на серумния натрий преди лечението, три дни след началото на лечението или при всяко повишаване на дозата, и периодично при продължително лечение.</w:t>
      </w:r>
    </w:p>
    <w:p w14:paraId="2F3962F7" w14:textId="77777777" w:rsidR="00EF0548" w:rsidRDefault="00EF0548" w:rsidP="00EF0548">
      <w:pPr>
        <w:spacing w:line="240" w:lineRule="auto"/>
        <w:rPr>
          <w:rFonts w:eastAsia="Times New Roman" w:cs="Arial"/>
          <w:color w:val="000000"/>
          <w:u w:val="single"/>
          <w:lang w:eastAsia="bg-BG"/>
        </w:rPr>
      </w:pPr>
    </w:p>
    <w:p w14:paraId="02623E16" w14:textId="4127CEE8" w:rsidR="00EF0548" w:rsidRPr="00EF0548" w:rsidRDefault="00EF0548" w:rsidP="00EF0548">
      <w:pPr>
        <w:pStyle w:val="Heading3"/>
        <w:rPr>
          <w:rFonts w:eastAsia="Times New Roman"/>
          <w:u w:val="single"/>
          <w:lang w:eastAsia="bg-BG"/>
        </w:rPr>
      </w:pPr>
      <w:r w:rsidRPr="00EF0548">
        <w:rPr>
          <w:rFonts w:eastAsia="Times New Roman"/>
          <w:u w:val="single"/>
          <w:lang w:eastAsia="bg-BG"/>
        </w:rPr>
        <w:lastRenderedPageBreak/>
        <w:t>Начин на приложение</w:t>
      </w:r>
    </w:p>
    <w:p w14:paraId="5973ED95" w14:textId="77777777" w:rsidR="00EF0548" w:rsidRDefault="00EF0548" w:rsidP="00EF0548">
      <w:pPr>
        <w:rPr>
          <w:rFonts w:eastAsia="Times New Roman" w:cs="Arial"/>
          <w:color w:val="000000"/>
          <w:lang w:eastAsia="bg-BG"/>
        </w:rPr>
      </w:pPr>
    </w:p>
    <w:p w14:paraId="6F8D6741" w14:textId="5B4DF9C5" w:rsidR="00EF0548" w:rsidRPr="00EF0548" w:rsidRDefault="00EF0548" w:rsidP="00EF0548">
      <w:pPr>
        <w:rPr>
          <w:rFonts w:cs="Arial"/>
        </w:rPr>
      </w:pPr>
      <w:r w:rsidRPr="00EF0548">
        <w:rPr>
          <w:rFonts w:eastAsia="Times New Roman" w:cs="Arial"/>
          <w:color w:val="000000"/>
          <w:lang w:eastAsia="bg-BG"/>
        </w:rPr>
        <w:t>Таблетките МИРАМ не трябва да се приемат с храна.</w:t>
      </w:r>
    </w:p>
    <w:p w14:paraId="529F8904" w14:textId="77777777" w:rsidR="00EF0548" w:rsidRPr="00EF0548" w:rsidRDefault="00EF0548" w:rsidP="00EF0548"/>
    <w:p w14:paraId="28C984E8" w14:textId="5942E5C2" w:rsidR="008134C8" w:rsidRDefault="002C50EE" w:rsidP="004A448E">
      <w:pPr>
        <w:pStyle w:val="Heading2"/>
      </w:pPr>
      <w:r>
        <w:t>4.3. Противопоказания</w:t>
      </w:r>
    </w:p>
    <w:p w14:paraId="76753B95" w14:textId="0A7BC9DB" w:rsidR="00EF0548" w:rsidRDefault="00EF0548" w:rsidP="00EF0548"/>
    <w:p w14:paraId="4B192791" w14:textId="77777777" w:rsidR="00EF0548" w:rsidRPr="00EF0548" w:rsidRDefault="00EF0548" w:rsidP="00EF0548">
      <w:pPr>
        <w:pStyle w:val="ListParagraph"/>
        <w:numPr>
          <w:ilvl w:val="0"/>
          <w:numId w:val="36"/>
        </w:numPr>
        <w:spacing w:line="240" w:lineRule="auto"/>
      </w:pPr>
      <w:r w:rsidRPr="00EF0548">
        <w:t>Свръхчувствителност към активното(ите) вещество(а) или към някое от помощните вещества, изброени в точка 6.1</w:t>
      </w:r>
    </w:p>
    <w:p w14:paraId="1F0FB8EC" w14:textId="77777777" w:rsidR="00EF0548" w:rsidRPr="00EF0548" w:rsidRDefault="00EF0548" w:rsidP="00EF0548">
      <w:pPr>
        <w:pStyle w:val="ListParagraph"/>
        <w:numPr>
          <w:ilvl w:val="0"/>
          <w:numId w:val="36"/>
        </w:numPr>
        <w:spacing w:line="240" w:lineRule="auto"/>
      </w:pPr>
      <w:r w:rsidRPr="00EF0548">
        <w:t xml:space="preserve">Хабитуална или психогенна полидипсия (дължаща се на отделяне на урина повече от 40 </w:t>
      </w:r>
      <w:r w:rsidRPr="00EF0548">
        <w:rPr>
          <w:lang w:val="en-US"/>
        </w:rPr>
        <w:t xml:space="preserve">ml/kg/24 </w:t>
      </w:r>
      <w:r w:rsidRPr="00EF0548">
        <w:t>часа)</w:t>
      </w:r>
    </w:p>
    <w:p w14:paraId="39360802" w14:textId="77777777" w:rsidR="00EF0548" w:rsidRPr="00EF0548" w:rsidRDefault="00EF0548" w:rsidP="00EF0548">
      <w:pPr>
        <w:pStyle w:val="ListParagraph"/>
        <w:numPr>
          <w:ilvl w:val="0"/>
          <w:numId w:val="36"/>
        </w:numPr>
        <w:spacing w:line="240" w:lineRule="auto"/>
      </w:pPr>
      <w:r w:rsidRPr="00EF0548">
        <w:t>Анамнеза за сърдечна недостатъчност, известна сърдечна недостатъчност, съмнение за</w:t>
      </w:r>
    </w:p>
    <w:p w14:paraId="68DDF922" w14:textId="77777777" w:rsidR="00EF0548" w:rsidRPr="00EF0548" w:rsidRDefault="00EF0548" w:rsidP="00EF0548">
      <w:r w:rsidRPr="00EF0548">
        <w:t>сърдечна недостатъчност или други състояния, които изискват употреба на диуретици</w:t>
      </w:r>
    </w:p>
    <w:p w14:paraId="26AB8756" w14:textId="77777777" w:rsidR="00EF0548" w:rsidRPr="00EF0548" w:rsidRDefault="00EF0548" w:rsidP="00EF0548">
      <w:pPr>
        <w:pStyle w:val="ListParagraph"/>
        <w:numPr>
          <w:ilvl w:val="0"/>
          <w:numId w:val="37"/>
        </w:numPr>
        <w:spacing w:line="240" w:lineRule="auto"/>
      </w:pPr>
      <w:r w:rsidRPr="00EF0548">
        <w:t>Умерена или тежка бъбречна недостатъчност (креатининов клирънс &lt; 50</w:t>
      </w:r>
      <w:r w:rsidRPr="00EF0548">
        <w:rPr>
          <w:lang w:val="en-US"/>
        </w:rPr>
        <w:t xml:space="preserve"> ml/min)</w:t>
      </w:r>
    </w:p>
    <w:p w14:paraId="49FB7A73" w14:textId="14ACCDB0" w:rsidR="00EF0548" w:rsidRDefault="00EF0548" w:rsidP="00EF0548">
      <w:pPr>
        <w:pStyle w:val="ListParagraph"/>
        <w:numPr>
          <w:ilvl w:val="0"/>
          <w:numId w:val="37"/>
        </w:numPr>
      </w:pPr>
      <w:r w:rsidRPr="00EF0548">
        <w:t>Хипонатриемия или пр</w:t>
      </w:r>
      <w:r>
        <w:t>едразположение към хипонатриемия</w:t>
      </w:r>
    </w:p>
    <w:p w14:paraId="09D04987" w14:textId="77777777" w:rsidR="00EF0548" w:rsidRPr="00EF0548" w:rsidRDefault="00EF0548" w:rsidP="00EF0548">
      <w:pPr>
        <w:numPr>
          <w:ilvl w:val="0"/>
          <w:numId w:val="37"/>
        </w:numPr>
        <w:spacing w:line="240" w:lineRule="auto"/>
        <w:rPr>
          <w:rFonts w:eastAsia="Times New Roman" w:cs="Arial"/>
          <w:color w:val="000000"/>
          <w:lang w:eastAsia="bg-BG"/>
        </w:rPr>
      </w:pPr>
      <w:r w:rsidRPr="00EF0548">
        <w:rPr>
          <w:rFonts w:eastAsia="Times New Roman" w:cs="Arial"/>
          <w:color w:val="000000"/>
          <w:lang w:eastAsia="bg-BG"/>
        </w:rPr>
        <w:t>Синдром на неадекватна секреция на антидиуретичен хормон (СНСАДХ) - състояние, което се дължи на неадекватно висока секреция на АДХ.</w:t>
      </w:r>
    </w:p>
    <w:p w14:paraId="16A16343" w14:textId="77777777" w:rsidR="00EF0548" w:rsidRPr="00EF0548" w:rsidRDefault="00EF0548" w:rsidP="00EF0548">
      <w:pPr>
        <w:numPr>
          <w:ilvl w:val="0"/>
          <w:numId w:val="37"/>
        </w:numPr>
        <w:spacing w:line="240" w:lineRule="auto"/>
        <w:rPr>
          <w:rFonts w:eastAsia="Times New Roman" w:cs="Arial"/>
          <w:color w:val="000000"/>
          <w:lang w:eastAsia="bg-BG"/>
        </w:rPr>
      </w:pPr>
      <w:r w:rsidRPr="00EF0548">
        <w:rPr>
          <w:rFonts w:eastAsia="Times New Roman" w:cs="Arial"/>
          <w:color w:val="000000"/>
          <w:lang w:eastAsia="bg-BG"/>
        </w:rPr>
        <w:t xml:space="preserve">Болест на </w:t>
      </w:r>
      <w:r w:rsidRPr="00EF0548">
        <w:rPr>
          <w:rFonts w:eastAsia="Times New Roman" w:cs="Arial"/>
          <w:color w:val="000000"/>
          <w:lang w:val="en-US"/>
        </w:rPr>
        <w:t xml:space="preserve">von </w:t>
      </w:r>
      <w:proofErr w:type="spellStart"/>
      <w:r w:rsidRPr="00EF0548">
        <w:rPr>
          <w:rFonts w:eastAsia="Times New Roman" w:cs="Arial"/>
          <w:color w:val="000000"/>
          <w:lang w:val="en-US"/>
        </w:rPr>
        <w:t>Willebrand</w:t>
      </w:r>
      <w:proofErr w:type="spellEnd"/>
      <w:r w:rsidRPr="00EF0548">
        <w:rPr>
          <w:rFonts w:eastAsia="Times New Roman" w:cs="Arial"/>
          <w:color w:val="000000"/>
          <w:lang w:val="en-US"/>
        </w:rPr>
        <w:t xml:space="preserve">, </w:t>
      </w:r>
      <w:r w:rsidRPr="00EF0548">
        <w:rPr>
          <w:rFonts w:eastAsia="Times New Roman" w:cs="Arial"/>
          <w:color w:val="000000"/>
          <w:lang w:eastAsia="bg-BG"/>
        </w:rPr>
        <w:t>тип ІІВ</w:t>
      </w:r>
    </w:p>
    <w:p w14:paraId="445BA883" w14:textId="4869C30D" w:rsidR="00EF0548" w:rsidRPr="00EF0548" w:rsidRDefault="00EF0548" w:rsidP="00EF0548">
      <w:pPr>
        <w:pStyle w:val="ListParagraph"/>
        <w:numPr>
          <w:ilvl w:val="0"/>
          <w:numId w:val="37"/>
        </w:numPr>
        <w:rPr>
          <w:rFonts w:cs="Arial"/>
        </w:rPr>
      </w:pPr>
      <w:r w:rsidRPr="00EF0548">
        <w:rPr>
          <w:rFonts w:eastAsia="Times New Roman" w:cs="Arial"/>
          <w:color w:val="000000"/>
          <w:lang w:eastAsia="bg-BG"/>
        </w:rPr>
        <w:t>Тромботична тромбоцитопенична пурпура (ТТП)</w:t>
      </w:r>
    </w:p>
    <w:p w14:paraId="56B77A8C" w14:textId="77777777" w:rsidR="00EF0548" w:rsidRPr="00EF0548" w:rsidRDefault="00EF0548" w:rsidP="00EF0548"/>
    <w:p w14:paraId="212F509C" w14:textId="2BC41C29" w:rsidR="004F498A" w:rsidRDefault="002C50EE" w:rsidP="004A448E">
      <w:pPr>
        <w:pStyle w:val="Heading2"/>
      </w:pPr>
      <w:r>
        <w:t>4.4. Специални предупреждения и предпазни мерки при употреба</w:t>
      </w:r>
    </w:p>
    <w:p w14:paraId="1D791E13" w14:textId="4A8375D3" w:rsidR="00EF0548" w:rsidRDefault="00EF0548" w:rsidP="00EF0548"/>
    <w:p w14:paraId="74CF40F0" w14:textId="77777777" w:rsidR="00EF0548" w:rsidRPr="00EF0548" w:rsidRDefault="00EF0548" w:rsidP="00EF0548">
      <w:pPr>
        <w:spacing w:line="240" w:lineRule="auto"/>
        <w:rPr>
          <w:rFonts w:eastAsia="Times New Roman" w:cs="Arial"/>
          <w:lang w:eastAsia="bg-BG"/>
        </w:rPr>
      </w:pPr>
      <w:r w:rsidRPr="00EF0548">
        <w:rPr>
          <w:rFonts w:eastAsia="Times New Roman" w:cs="Arial"/>
          <w:i/>
          <w:iCs/>
          <w:color w:val="000000"/>
          <w:lang w:eastAsia="bg-BG"/>
        </w:rPr>
        <w:t>Общи</w:t>
      </w:r>
    </w:p>
    <w:p w14:paraId="4DFB1F43" w14:textId="3CB533A9"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Чувството за жажда обикновено автоматично се инхибира от адекватно лечение с дезмопресин ацетат таблетки. Все пак, съществува потенциална опасност от задръжка на течности и, в тежки случаи, водна интоксикация (свръххидратация с хипонатриемия), ако по време на лечението с дезмопресин ацетат таблетки се приема голямо количество течност. Поради това се препоръчва на пациентите да бъдат дадени указания за този риск, особено при пациенти в старческа възраст и родителите на малки деца.</w:t>
      </w:r>
    </w:p>
    <w:p w14:paraId="17914FF5" w14:textId="77777777" w:rsidR="00EF0548" w:rsidRDefault="00EF0548" w:rsidP="00EF0548">
      <w:pPr>
        <w:spacing w:line="240" w:lineRule="auto"/>
        <w:rPr>
          <w:rFonts w:eastAsia="Times New Roman" w:cs="Arial"/>
          <w:i/>
          <w:iCs/>
          <w:color w:val="000000"/>
          <w:lang w:eastAsia="bg-BG"/>
        </w:rPr>
      </w:pPr>
    </w:p>
    <w:p w14:paraId="35EB32B8" w14:textId="5C933CD3" w:rsidR="00EF0548" w:rsidRPr="00EF0548" w:rsidRDefault="00EF0548" w:rsidP="00EF0548">
      <w:pPr>
        <w:spacing w:line="240" w:lineRule="auto"/>
        <w:rPr>
          <w:rFonts w:eastAsia="Times New Roman" w:cs="Arial"/>
          <w:lang w:eastAsia="bg-BG"/>
        </w:rPr>
      </w:pPr>
      <w:r w:rsidRPr="00EF0548">
        <w:rPr>
          <w:rFonts w:eastAsia="Times New Roman" w:cs="Arial"/>
          <w:i/>
          <w:iCs/>
          <w:color w:val="000000"/>
          <w:lang w:eastAsia="bg-BG"/>
        </w:rPr>
        <w:t>С нощно напикаване</w:t>
      </w:r>
    </w:p>
    <w:p w14:paraId="1B058D78"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Лечението с дезмопресин на нощно напикаване, дължащо се на нощна полиурия при възрастни трябва да бъде започнато и контролирано от лекар специалист с опит в тази област.</w:t>
      </w:r>
    </w:p>
    <w:p w14:paraId="1DFBF116" w14:textId="77777777" w:rsidR="00EF0548" w:rsidRDefault="00EF0548" w:rsidP="00EF0548">
      <w:pPr>
        <w:spacing w:line="240" w:lineRule="auto"/>
        <w:rPr>
          <w:rFonts w:eastAsia="Times New Roman" w:cs="Arial"/>
          <w:color w:val="000000"/>
          <w:lang w:eastAsia="bg-BG"/>
        </w:rPr>
      </w:pPr>
    </w:p>
    <w:p w14:paraId="3F10F927" w14:textId="0E8BA314"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За лечение на нощно напикаване или никтурия, приемът на течности трябва да бъде ограничен до минимум в периода вечер 1 час преди прием на дозата до следващата сутрин, поне 8 часа след приложението на таблетките дезмопресин ацетат. Затова е препоръчително през този период приема на течности да става само при жажда. Лечението трябва да бъде контролирано на всеки три месеца, за да се определи дали все още има необходимост от лечение. Това може да се извърши чрез интерполиране след една седмица без лечение. Дезмопресин може да не се дава за нощно напикаване на деца под петгодишна възраст и не се препоръчва за лечение на никтурия при пациенти в старческа възраст над 65 години.</w:t>
      </w:r>
    </w:p>
    <w:p w14:paraId="304BFEF6" w14:textId="655CA305" w:rsidR="00EF0548" w:rsidRDefault="00EF0548" w:rsidP="00EF0548">
      <w:pPr>
        <w:rPr>
          <w:rFonts w:eastAsia="Times New Roman" w:cs="Arial"/>
          <w:color w:val="000000"/>
          <w:lang w:eastAsia="bg-BG"/>
        </w:rPr>
      </w:pPr>
      <w:r w:rsidRPr="00EF0548">
        <w:rPr>
          <w:rFonts w:eastAsia="Times New Roman" w:cs="Arial"/>
          <w:color w:val="000000"/>
          <w:lang w:eastAsia="bg-BG"/>
        </w:rPr>
        <w:t xml:space="preserve">Лечение без съпътстващо ограничаване на приема на течности може да доведе до задържане на течности и/или хипонатриемия със или без предупредителни признаци или симптоми (главоболие, гадене/повръщане, увеличаване на теглото и в сериозни случаи </w:t>
      </w:r>
      <w:r w:rsidRPr="00EF0548">
        <w:rPr>
          <w:rFonts w:eastAsia="Times New Roman" w:cs="Arial"/>
          <w:color w:val="000000"/>
          <w:lang w:eastAsia="bg-BG"/>
        </w:rPr>
        <w:lastRenderedPageBreak/>
        <w:t>конвулсии и кома). При деца и по-млади възрастни на лечение с дезмопресин за нощно напикаване, често са докладвани случаи на мозъчен оток.</w:t>
      </w:r>
    </w:p>
    <w:p w14:paraId="2DE6E257" w14:textId="0D85F030" w:rsidR="00EF0548" w:rsidRDefault="00EF0548" w:rsidP="00EF0548">
      <w:pPr>
        <w:rPr>
          <w:rFonts w:eastAsia="Times New Roman" w:cs="Arial"/>
          <w:color w:val="000000"/>
          <w:lang w:eastAsia="bg-BG"/>
        </w:rPr>
      </w:pPr>
    </w:p>
    <w:p w14:paraId="12D816CB"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При пациенти с инконтиненция на урина, трябва първо да бъдат лекувани, респ. изключени органични причини за повишена честота на микцията или никтурия (напр. доброкачествена хиперплазия на простатата (ДХП), инфекции на пикочните пътища, камъни/тумори в пикочния мехур, нарушения на сфинктера на пикочния мехур), полидипсия и неадекватно контролиран захарен диабет.</w:t>
      </w:r>
    </w:p>
    <w:p w14:paraId="52FFD6EF" w14:textId="77777777" w:rsidR="00EF0548" w:rsidRDefault="00EF0548" w:rsidP="00EF0548">
      <w:pPr>
        <w:spacing w:line="240" w:lineRule="auto"/>
        <w:rPr>
          <w:rFonts w:eastAsia="Times New Roman" w:cs="Arial"/>
          <w:i/>
          <w:iCs/>
          <w:color w:val="000000"/>
          <w:lang w:eastAsia="bg-BG"/>
        </w:rPr>
      </w:pPr>
    </w:p>
    <w:p w14:paraId="06EF1D73" w14:textId="63FBEEAA" w:rsidR="00EF0548" w:rsidRPr="00EF0548" w:rsidRDefault="00EF0548" w:rsidP="00EF0548">
      <w:pPr>
        <w:spacing w:line="240" w:lineRule="auto"/>
        <w:rPr>
          <w:rFonts w:eastAsia="Times New Roman" w:cs="Arial"/>
          <w:lang w:eastAsia="bg-BG"/>
        </w:rPr>
      </w:pPr>
      <w:r w:rsidRPr="00EF0548">
        <w:rPr>
          <w:rFonts w:eastAsia="Times New Roman" w:cs="Arial"/>
          <w:i/>
          <w:iCs/>
          <w:color w:val="000000"/>
          <w:lang w:eastAsia="bg-BG"/>
        </w:rPr>
        <w:t>Със съпътстващи заболявания</w:t>
      </w:r>
    </w:p>
    <w:p w14:paraId="1E4984FE"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При пациенти с нарушен воден и/или електролитен баланс (напр. при състояния като системна инфекция, треска или синдром на неадекватна секреция на антидиуретичен хормон), както и при пациенти с риск от повишено вътречерепно налягане, трябва да се предприемат допълнителни предпазни мерки относно приема на течности. Задържането на течности може да се мониторира чрез контрол на телесното тегло на пациента или чрез определяне на плазмения натрий или плазмения осмолалитет.</w:t>
      </w:r>
    </w:p>
    <w:p w14:paraId="057FD14E"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Възрастните хора и пациенти с нисък серумен натрий може да са с повишен риск от хипонатриемия.</w:t>
      </w:r>
    </w:p>
    <w:p w14:paraId="6B9C6B8A" w14:textId="77777777" w:rsidR="00EF0548" w:rsidRDefault="00EF0548" w:rsidP="00EF0548">
      <w:pPr>
        <w:rPr>
          <w:rFonts w:eastAsia="Times New Roman" w:cs="Arial"/>
          <w:color w:val="000000"/>
          <w:lang w:eastAsia="bg-BG"/>
        </w:rPr>
      </w:pPr>
    </w:p>
    <w:p w14:paraId="665C06F9" w14:textId="6AD677AE" w:rsidR="00EF0548" w:rsidRDefault="00EF0548" w:rsidP="00EF0548">
      <w:pPr>
        <w:rPr>
          <w:rFonts w:eastAsia="Times New Roman" w:cs="Arial"/>
          <w:color w:val="000000"/>
          <w:lang w:eastAsia="bg-BG"/>
        </w:rPr>
      </w:pPr>
      <w:r w:rsidRPr="00EF0548">
        <w:rPr>
          <w:rFonts w:eastAsia="Times New Roman" w:cs="Arial"/>
          <w:color w:val="000000"/>
          <w:lang w:eastAsia="bg-BG"/>
        </w:rPr>
        <w:t>При заболяване, което се характеризира с воден или електролитен дисбаланс, лечението е дезмопресин трябва да бъде прекратено (напр. в случай на системни инфекции, повишена температура или гастроентерит).</w:t>
      </w:r>
    </w:p>
    <w:p w14:paraId="40BA3370" w14:textId="425438D0" w:rsidR="00EF0548" w:rsidRDefault="00EF0548" w:rsidP="00EF0548">
      <w:pPr>
        <w:rPr>
          <w:rFonts w:eastAsia="Times New Roman" w:cs="Arial"/>
          <w:color w:val="000000"/>
          <w:lang w:eastAsia="bg-BG"/>
        </w:rPr>
      </w:pPr>
    </w:p>
    <w:p w14:paraId="57BC990B"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 xml:space="preserve">Преди започване на лечението трябва да се обсъди наличието на сериозни нарушения на </w:t>
      </w:r>
    </w:p>
    <w:p w14:paraId="7948185B" w14:textId="77777777" w:rsidR="00EF0548" w:rsidRPr="00EF0548" w:rsidRDefault="00EF0548" w:rsidP="00EF0548">
      <w:pPr>
        <w:spacing w:line="240" w:lineRule="auto"/>
        <w:rPr>
          <w:rFonts w:eastAsia="Times New Roman" w:cs="Arial"/>
          <w:lang w:eastAsia="bg-BG"/>
        </w:rPr>
      </w:pPr>
      <w:r w:rsidRPr="00EF0548">
        <w:rPr>
          <w:rFonts w:eastAsia="Times New Roman" w:cs="Arial"/>
          <w:color w:val="000000"/>
          <w:lang w:eastAsia="bg-BG"/>
        </w:rPr>
        <w:t>функцията на пикочния мехур и обструкция на пикочните пътища.</w:t>
      </w:r>
    </w:p>
    <w:p w14:paraId="5DDB4156" w14:textId="7328977B" w:rsidR="00EF0548" w:rsidRDefault="00EF0548" w:rsidP="00EF0548">
      <w:pPr>
        <w:spacing w:line="240" w:lineRule="auto"/>
        <w:rPr>
          <w:rFonts w:ascii="Times New Roman" w:eastAsia="Times New Roman" w:hAnsi="Times New Roman" w:cs="Times New Roman"/>
          <w:sz w:val="24"/>
          <w:szCs w:val="24"/>
          <w:lang w:eastAsia="bg-BG"/>
        </w:rPr>
      </w:pPr>
    </w:p>
    <w:p w14:paraId="38E3BF8D"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Антидиуретичният ефект на дезмопресин е по-слабо изразен от обичайно при хронични бъбречни заболявания.</w:t>
      </w:r>
    </w:p>
    <w:p w14:paraId="74178A01" w14:textId="77777777" w:rsidR="001C61EA" w:rsidRDefault="001C61EA" w:rsidP="001C61EA">
      <w:pPr>
        <w:spacing w:line="240" w:lineRule="auto"/>
        <w:rPr>
          <w:rFonts w:eastAsia="Times New Roman" w:cs="Arial"/>
          <w:color w:val="000000"/>
          <w:lang w:eastAsia="bg-BG"/>
        </w:rPr>
      </w:pPr>
    </w:p>
    <w:p w14:paraId="14384856" w14:textId="41F5219E"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Лекарственият продукт трябва да се прилага предпазливо, а при необходимост дозата да бъде намалена при пациенти със сърдечно-съдови заболявалия или пациенти с астма, епилепсия или мигрена.</w:t>
      </w:r>
    </w:p>
    <w:p w14:paraId="5E9D436C" w14:textId="77777777" w:rsidR="001C61EA" w:rsidRDefault="001C61EA" w:rsidP="001C61EA">
      <w:pPr>
        <w:spacing w:line="240" w:lineRule="auto"/>
        <w:rPr>
          <w:rFonts w:eastAsia="Times New Roman" w:cs="Arial"/>
          <w:color w:val="000000"/>
          <w:lang w:eastAsia="bg-BG"/>
        </w:rPr>
      </w:pPr>
    </w:p>
    <w:p w14:paraId="4E3BC2FD" w14:textId="46163FE0"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При пациенти с муковисцидоза, дезмопресин трябва да се използва предпазливо и дозата да се определя въз основа на плазмения осмолалитет.</w:t>
      </w:r>
    </w:p>
    <w:p w14:paraId="288300CE" w14:textId="77777777" w:rsidR="001C61EA" w:rsidRDefault="001C61EA" w:rsidP="001C61EA">
      <w:pPr>
        <w:spacing w:line="240" w:lineRule="auto"/>
        <w:rPr>
          <w:rFonts w:eastAsia="Times New Roman" w:cs="Arial"/>
          <w:i/>
          <w:iCs/>
          <w:color w:val="000000"/>
          <w:lang w:eastAsia="bg-BG"/>
        </w:rPr>
      </w:pPr>
    </w:p>
    <w:p w14:paraId="65B44324" w14:textId="52307846" w:rsidR="001C61EA" w:rsidRPr="001C61EA" w:rsidRDefault="001C61EA" w:rsidP="001C61EA">
      <w:pPr>
        <w:spacing w:line="240" w:lineRule="auto"/>
        <w:rPr>
          <w:rFonts w:eastAsia="Times New Roman" w:cs="Arial"/>
          <w:lang w:eastAsia="bg-BG"/>
        </w:rPr>
      </w:pPr>
      <w:r w:rsidRPr="001C61EA">
        <w:rPr>
          <w:rFonts w:eastAsia="Times New Roman" w:cs="Arial"/>
          <w:i/>
          <w:iCs/>
          <w:color w:val="000000"/>
          <w:lang w:eastAsia="bg-BG"/>
        </w:rPr>
        <w:t>Употреба с други лекарства</w:t>
      </w:r>
    </w:p>
    <w:p w14:paraId="4F80B71C"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Рискът от водна интоксикация се повишава при съпътстваща употреба на съединения, които могат да освободят вазопресин (АДХ), като трициклични антидепресанти, селективни инхибитори на обратното захващане на серотонин, хлорпромазин и карбамазепин (вж. точка 4.5).</w:t>
      </w:r>
    </w:p>
    <w:p w14:paraId="17FD90C1"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При съпътстваща употреба на НСПВС трябва да се вземат предпазни мерки за предотвратяване на хипонатриемия (вж. точка 4.5).</w:t>
      </w:r>
    </w:p>
    <w:p w14:paraId="79202576" w14:textId="77777777" w:rsidR="001C61EA" w:rsidRDefault="001C61EA" w:rsidP="001C61EA">
      <w:pPr>
        <w:spacing w:line="240" w:lineRule="auto"/>
        <w:rPr>
          <w:rFonts w:eastAsia="Times New Roman" w:cs="Arial"/>
          <w:color w:val="000000"/>
          <w:lang w:eastAsia="bg-BG"/>
        </w:rPr>
      </w:pPr>
    </w:p>
    <w:p w14:paraId="75A6FEF2" w14:textId="44C29D7A"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По време на лечението с дезмопресин трябва да се мониторират телесното тегло, серумния натрий и/или артериалното налягане</w:t>
      </w:r>
    </w:p>
    <w:p w14:paraId="77482FCF" w14:textId="228F8B05" w:rsidR="001C61EA" w:rsidRPr="00EF0548" w:rsidRDefault="001C61EA" w:rsidP="001C61EA">
      <w:pPr>
        <w:spacing w:line="240" w:lineRule="auto"/>
        <w:rPr>
          <w:rFonts w:eastAsia="Times New Roman" w:cs="Arial"/>
          <w:lang w:eastAsia="bg-BG"/>
        </w:rPr>
      </w:pPr>
      <w:r w:rsidRPr="001C61EA">
        <w:rPr>
          <w:rFonts w:eastAsia="Times New Roman" w:cs="Arial"/>
          <w:color w:val="000000"/>
          <w:lang w:eastAsia="bg-BG"/>
        </w:rPr>
        <w:t xml:space="preserve">Този лекарствен продукт съдържа лактоза. Пациенти с редки наследствени състояния на галактозна непоносимост, </w:t>
      </w:r>
      <w:r w:rsidRPr="001C61EA">
        <w:rPr>
          <w:rFonts w:eastAsia="Times New Roman" w:cs="Arial"/>
          <w:color w:val="000000"/>
          <w:lang w:val="en-US"/>
        </w:rPr>
        <w:t>Lapp</w:t>
      </w:r>
      <w:r w:rsidRPr="001C61EA">
        <w:rPr>
          <w:rFonts w:eastAsia="Times New Roman" w:cs="Arial"/>
          <w:color w:val="000000"/>
          <w:lang w:eastAsia="bg-BG"/>
        </w:rPr>
        <w:t>-лактазен дефицит или глюкозо-галактозна малабсорбция, не трябва да приемат това лекарство.</w:t>
      </w:r>
    </w:p>
    <w:p w14:paraId="34145755" w14:textId="77777777" w:rsidR="00EF0548" w:rsidRPr="00EF0548" w:rsidRDefault="00EF0548" w:rsidP="00EF0548">
      <w:pPr>
        <w:rPr>
          <w:rFonts w:cs="Arial"/>
        </w:rPr>
      </w:pPr>
    </w:p>
    <w:p w14:paraId="619DED1E" w14:textId="614A1F65"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3A34586" w14:textId="59AF0BBB" w:rsidR="001C61EA" w:rsidRDefault="001C61EA" w:rsidP="001C61EA"/>
    <w:p w14:paraId="4AB36AEA"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Съобщава се за усилен (но не удължен) ефект на дезмопресинов ацетат при едновременно приложение с индометацин. Необходимо е да се обмисли възможна корекция на дозата на дезмопресинов ацетат таблетки при едновременно приложение на тези два лекарствени продукта, а също и при комбинация на дезмопресинов ацетат таблетки с други НСПВС. Това е необходимо, тъй като НСПВС може да доведе до ретенция на течности/хипонатриемия (вж. също точка 4.4).</w:t>
      </w:r>
    </w:p>
    <w:p w14:paraId="250B2900" w14:textId="77777777" w:rsidR="001C61EA" w:rsidRDefault="001C61EA" w:rsidP="001C61EA">
      <w:pPr>
        <w:spacing w:line="240" w:lineRule="auto"/>
        <w:rPr>
          <w:rFonts w:eastAsia="Times New Roman" w:cs="Arial"/>
          <w:color w:val="000000"/>
          <w:lang w:eastAsia="bg-BG"/>
        </w:rPr>
      </w:pPr>
    </w:p>
    <w:p w14:paraId="6019661A" w14:textId="36959F40"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 xml:space="preserve">Лекарства, за които е известно, че нарушават освобождаването на АДХ (като трициклични антидепресанти, </w:t>
      </w:r>
      <w:r w:rsidRPr="001C61EA">
        <w:rPr>
          <w:rFonts w:eastAsia="Times New Roman" w:cs="Arial"/>
          <w:color w:val="000000"/>
          <w:lang w:val="en-US"/>
        </w:rPr>
        <w:t xml:space="preserve">SSRIs, </w:t>
      </w:r>
      <w:r w:rsidRPr="001C61EA">
        <w:rPr>
          <w:rFonts w:eastAsia="Times New Roman" w:cs="Arial"/>
          <w:color w:val="000000"/>
          <w:lang w:eastAsia="bg-BG"/>
        </w:rPr>
        <w:t>хлорпромазин и карбамазепин може да имат адитивен антидиуретичен ефект и така да повишат риска от задръжка на вода/хипонатриемия (вж. точка 4.4).</w:t>
      </w:r>
    </w:p>
    <w:p w14:paraId="4089361D" w14:textId="77777777" w:rsidR="001C61EA" w:rsidRDefault="001C61EA" w:rsidP="001C61EA">
      <w:pPr>
        <w:spacing w:line="240" w:lineRule="auto"/>
        <w:rPr>
          <w:rFonts w:eastAsia="Times New Roman" w:cs="Arial"/>
          <w:color w:val="000000"/>
          <w:lang w:eastAsia="bg-BG"/>
        </w:rPr>
      </w:pPr>
    </w:p>
    <w:p w14:paraId="496EDE25" w14:textId="3830BB2B"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Съпътстващото лечение с лоперамид може да доведе до почти трикратно повишаване на плазмената концентрация на дезмопресин, което води до повишен риск от задържане на течности/хипонатриемия. Други лекарствени продукти, които забавят чревния транспорт може да имат същия ефект. Все пак това не е било проучено.</w:t>
      </w:r>
    </w:p>
    <w:p w14:paraId="41D293DD" w14:textId="77777777" w:rsidR="001C61EA" w:rsidRDefault="001C61EA" w:rsidP="001C61EA">
      <w:pPr>
        <w:spacing w:line="240" w:lineRule="auto"/>
        <w:rPr>
          <w:rFonts w:eastAsia="Times New Roman" w:cs="Arial"/>
          <w:color w:val="000000"/>
          <w:lang w:eastAsia="bg-BG"/>
        </w:rPr>
      </w:pPr>
    </w:p>
    <w:p w14:paraId="3D4CFE18" w14:textId="6AEDDA0A"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 xml:space="preserve">Освен това е малко вероятно дезмопресин да взаимодейства с лекарствени продукти, които се метаболизират от цитохром Р450, тъй като </w:t>
      </w:r>
      <w:r w:rsidRPr="001C61EA">
        <w:rPr>
          <w:rFonts w:eastAsia="Times New Roman" w:cs="Arial"/>
          <w:i/>
          <w:iCs/>
          <w:color w:val="000000"/>
          <w:lang w:val="en-US"/>
        </w:rPr>
        <w:t>in vitro</w:t>
      </w:r>
      <w:r w:rsidRPr="001C61EA">
        <w:rPr>
          <w:rFonts w:eastAsia="Times New Roman" w:cs="Arial"/>
          <w:color w:val="000000"/>
          <w:lang w:val="en-US"/>
        </w:rPr>
        <w:t xml:space="preserve"> </w:t>
      </w:r>
      <w:r w:rsidRPr="001C61EA">
        <w:rPr>
          <w:rFonts w:eastAsia="Times New Roman" w:cs="Arial"/>
          <w:color w:val="000000"/>
          <w:lang w:eastAsia="bg-BG"/>
        </w:rPr>
        <w:t xml:space="preserve">проучванията са показали, че дезмопресин не инхибира този чернодробен ензим. Все пак официални </w:t>
      </w:r>
      <w:r w:rsidRPr="001C61EA">
        <w:rPr>
          <w:rFonts w:eastAsia="Times New Roman" w:cs="Arial"/>
          <w:i/>
          <w:iCs/>
          <w:color w:val="000000"/>
          <w:lang w:val="en-US"/>
        </w:rPr>
        <w:t>in vivo</w:t>
      </w:r>
      <w:r w:rsidRPr="001C61EA">
        <w:rPr>
          <w:rFonts w:eastAsia="Times New Roman" w:cs="Arial"/>
          <w:color w:val="000000"/>
          <w:lang w:val="en-US"/>
        </w:rPr>
        <w:t xml:space="preserve"> </w:t>
      </w:r>
      <w:r w:rsidRPr="001C61EA">
        <w:rPr>
          <w:rFonts w:eastAsia="Times New Roman" w:cs="Arial"/>
          <w:color w:val="000000"/>
          <w:lang w:eastAsia="bg-BG"/>
        </w:rPr>
        <w:t>проучвания за взаимодействие не са провеждани.</w:t>
      </w:r>
    </w:p>
    <w:p w14:paraId="20349781" w14:textId="77777777" w:rsidR="001C61EA" w:rsidRDefault="001C61EA" w:rsidP="001C61EA">
      <w:pPr>
        <w:spacing w:line="240" w:lineRule="auto"/>
        <w:rPr>
          <w:rFonts w:eastAsia="Times New Roman" w:cs="Arial"/>
          <w:color w:val="000000"/>
          <w:u w:val="single"/>
          <w:lang w:eastAsia="bg-BG"/>
        </w:rPr>
      </w:pPr>
    </w:p>
    <w:p w14:paraId="4DBCB197" w14:textId="467F6438" w:rsidR="001C61EA" w:rsidRPr="001C61EA" w:rsidRDefault="001C61EA" w:rsidP="001C61EA">
      <w:pPr>
        <w:spacing w:line="240" w:lineRule="auto"/>
        <w:rPr>
          <w:rFonts w:eastAsia="Times New Roman" w:cs="Arial"/>
          <w:lang w:eastAsia="bg-BG"/>
        </w:rPr>
      </w:pPr>
      <w:r w:rsidRPr="001C61EA">
        <w:rPr>
          <w:rFonts w:eastAsia="Times New Roman" w:cs="Arial"/>
          <w:color w:val="000000"/>
          <w:u w:val="single"/>
          <w:lang w:eastAsia="bg-BG"/>
        </w:rPr>
        <w:t>Едновременното лечение с диметикон може да намали абсорбцията на дезмопресин.</w:t>
      </w:r>
    </w:p>
    <w:p w14:paraId="00A06504" w14:textId="77777777" w:rsidR="001C61EA" w:rsidRDefault="001C61EA" w:rsidP="001C61EA">
      <w:pPr>
        <w:spacing w:line="240" w:lineRule="auto"/>
        <w:rPr>
          <w:rFonts w:eastAsia="Times New Roman" w:cs="Arial"/>
          <w:color w:val="000000"/>
          <w:lang w:eastAsia="bg-BG"/>
        </w:rPr>
      </w:pPr>
    </w:p>
    <w:p w14:paraId="2B61EE0F" w14:textId="09CF2EC2"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Стандартизирана храна с 27% мазнини значително е понижила абсорбцията</w:t>
      </w:r>
      <w:r w:rsidRPr="001C61EA">
        <w:rPr>
          <w:rFonts w:eastAsia="Times New Roman" w:cs="Arial"/>
          <w:color w:val="000000"/>
          <w:lang w:val="en-US"/>
        </w:rPr>
        <w:t xml:space="preserve"> (</w:t>
      </w:r>
      <w:r w:rsidRPr="001C61EA">
        <w:rPr>
          <w:rFonts w:eastAsia="Times New Roman" w:cs="Arial"/>
          <w:color w:val="000000"/>
          <w:lang w:eastAsia="bg-BG"/>
        </w:rPr>
        <w:t>скорост и обем)</w:t>
      </w:r>
      <w:r w:rsidRPr="001C61EA">
        <w:rPr>
          <w:rFonts w:eastAsia="Times New Roman" w:cs="Arial"/>
          <w:color w:val="000000"/>
          <w:lang w:val="en-US"/>
        </w:rPr>
        <w:t xml:space="preserve"> </w:t>
      </w:r>
      <w:r w:rsidRPr="001C61EA">
        <w:rPr>
          <w:rFonts w:eastAsia="Times New Roman" w:cs="Arial"/>
          <w:color w:val="000000"/>
          <w:lang w:eastAsia="bg-BG"/>
        </w:rPr>
        <w:t>на перорално прилаган дезмопресин с приблизително 40%. Не е наблюдаван съществен ефект върху фармакодинамиката (отделяне на урина или осмолалитет). Все пак не може да бъде</w:t>
      </w:r>
      <w:r>
        <w:rPr>
          <w:rFonts w:eastAsia="Times New Roman" w:cs="Arial"/>
          <w:lang w:eastAsia="bg-BG"/>
        </w:rPr>
        <w:t xml:space="preserve"> </w:t>
      </w:r>
      <w:r w:rsidRPr="001C61EA">
        <w:rPr>
          <w:rFonts w:eastAsia="Times New Roman" w:cs="Arial"/>
          <w:color w:val="000000"/>
          <w:u w:val="single"/>
          <w:lang w:eastAsia="bg-BG"/>
        </w:rPr>
        <w:t>изключено, че при определени пациенти се постига различен ефект, ако дезмопресин се приема</w:t>
      </w:r>
      <w:r>
        <w:rPr>
          <w:rFonts w:eastAsia="Times New Roman" w:cs="Arial"/>
          <w:lang w:eastAsia="bg-BG"/>
        </w:rPr>
        <w:t xml:space="preserve"> </w:t>
      </w:r>
      <w:r w:rsidRPr="001C61EA">
        <w:rPr>
          <w:rFonts w:eastAsia="Times New Roman" w:cs="Arial"/>
          <w:color w:val="000000"/>
          <w:u w:val="single"/>
          <w:lang w:eastAsia="bg-BG"/>
        </w:rPr>
        <w:t>с храна.</w:t>
      </w:r>
      <w:r w:rsidRPr="001C61EA">
        <w:rPr>
          <w:rFonts w:eastAsia="Times New Roman" w:cs="Arial"/>
          <w:color w:val="000000"/>
          <w:lang w:eastAsia="bg-BG"/>
        </w:rPr>
        <w:t xml:space="preserve"> В ниски дози приемът на храна може да намали продължителността на</w:t>
      </w:r>
      <w:r w:rsidRPr="001C61EA">
        <w:rPr>
          <w:rFonts w:eastAsia="Times New Roman" w:cs="Arial"/>
          <w:i/>
          <w:iCs/>
          <w:color w:val="000000"/>
          <w:lang w:eastAsia="bg-BG"/>
        </w:rPr>
        <w:t xml:space="preserve"> </w:t>
      </w:r>
      <w:r w:rsidRPr="001C61EA">
        <w:rPr>
          <w:rFonts w:eastAsia="Times New Roman" w:cs="Arial"/>
          <w:color w:val="000000"/>
          <w:lang w:eastAsia="bg-BG"/>
        </w:rPr>
        <w:t>антидиуретичния ефект.</w:t>
      </w:r>
    </w:p>
    <w:p w14:paraId="394A7584" w14:textId="6C41767B" w:rsidR="004F498A" w:rsidRDefault="002C50EE" w:rsidP="004A448E">
      <w:pPr>
        <w:pStyle w:val="Heading2"/>
      </w:pPr>
      <w:r>
        <w:t>4.6. Фертилитет, бременност и кърмене</w:t>
      </w:r>
    </w:p>
    <w:p w14:paraId="266B3AC1" w14:textId="7AB9D181" w:rsidR="001C61EA" w:rsidRDefault="001C61EA" w:rsidP="001C61EA"/>
    <w:p w14:paraId="53A02E11" w14:textId="77777777" w:rsidR="001C61EA" w:rsidRPr="001C61EA" w:rsidRDefault="001C61EA" w:rsidP="001C61EA">
      <w:pPr>
        <w:pStyle w:val="Heading3"/>
        <w:rPr>
          <w:rFonts w:eastAsia="Times New Roman"/>
          <w:u w:val="single"/>
          <w:lang w:eastAsia="bg-BG"/>
        </w:rPr>
      </w:pPr>
      <w:r w:rsidRPr="001C61EA">
        <w:rPr>
          <w:rFonts w:eastAsia="Times New Roman"/>
          <w:u w:val="single"/>
          <w:lang w:eastAsia="bg-BG"/>
        </w:rPr>
        <w:t>Бременност</w:t>
      </w:r>
    </w:p>
    <w:p w14:paraId="04BE9E51" w14:textId="77777777" w:rsidR="001C61EA" w:rsidRDefault="001C61EA" w:rsidP="001C61EA">
      <w:pPr>
        <w:spacing w:line="240" w:lineRule="auto"/>
        <w:rPr>
          <w:rFonts w:eastAsia="Times New Roman" w:cs="Arial"/>
          <w:color w:val="000000"/>
          <w:lang w:eastAsia="bg-BG"/>
        </w:rPr>
      </w:pPr>
    </w:p>
    <w:p w14:paraId="4314198B" w14:textId="4D53039E"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Данните от проучвания проведени при ограничен брой бременни жени (</w:t>
      </w:r>
      <w:r w:rsidRPr="001C61EA">
        <w:rPr>
          <w:rFonts w:eastAsia="Times New Roman" w:cs="Arial"/>
          <w:color w:val="000000"/>
          <w:lang w:val="en-US"/>
        </w:rPr>
        <w:t>n</w:t>
      </w:r>
      <w:r w:rsidRPr="001C61EA">
        <w:rPr>
          <w:rFonts w:eastAsia="Times New Roman" w:cs="Arial"/>
          <w:color w:val="000000"/>
          <w:lang w:eastAsia="bg-BG"/>
        </w:rPr>
        <w:t>=53) с безвкусен диабет са показали редки случаи на малформации при деца родени от бременност, по време на която е прилагана терапията. До настоящия момент няма достоверни епидемиологични данни. Проучванията с животни не са показали директни или индиректни вредни ефекти по отношение на бременността, ембрионалното/феталното развитие, раждането или постнаталното развитие. Необходима е предпазливост, когато се предписва на бременни жени. Поради повишения риск от прееклампсия се препоръчва мониториране на артериалното налягане.</w:t>
      </w:r>
    </w:p>
    <w:p w14:paraId="791B3DA8" w14:textId="77777777" w:rsidR="001C61EA" w:rsidRDefault="001C61EA" w:rsidP="001C61EA">
      <w:pPr>
        <w:spacing w:line="240" w:lineRule="auto"/>
        <w:rPr>
          <w:rFonts w:eastAsia="Times New Roman" w:cs="Arial"/>
          <w:color w:val="000000"/>
          <w:u w:val="single"/>
          <w:lang w:eastAsia="bg-BG"/>
        </w:rPr>
      </w:pPr>
    </w:p>
    <w:p w14:paraId="7524BB64" w14:textId="1FCC3BB4" w:rsidR="001C61EA" w:rsidRPr="001C61EA" w:rsidRDefault="001C61EA" w:rsidP="001C61EA">
      <w:pPr>
        <w:pStyle w:val="Heading3"/>
        <w:rPr>
          <w:rFonts w:eastAsia="Times New Roman"/>
          <w:u w:val="single"/>
          <w:lang w:eastAsia="bg-BG"/>
        </w:rPr>
      </w:pPr>
      <w:r w:rsidRPr="001C61EA">
        <w:rPr>
          <w:rFonts w:eastAsia="Times New Roman"/>
          <w:u w:val="single"/>
          <w:lang w:eastAsia="bg-BG"/>
        </w:rPr>
        <w:t>Кърмене</w:t>
      </w:r>
    </w:p>
    <w:p w14:paraId="565EE0F1" w14:textId="77777777" w:rsidR="001C61EA" w:rsidRDefault="001C61EA" w:rsidP="001C61EA">
      <w:pPr>
        <w:spacing w:line="240" w:lineRule="auto"/>
        <w:rPr>
          <w:rFonts w:eastAsia="Times New Roman" w:cs="Arial"/>
          <w:color w:val="000000"/>
          <w:lang w:eastAsia="bg-BG"/>
        </w:rPr>
      </w:pPr>
    </w:p>
    <w:p w14:paraId="1D35D9A0" w14:textId="25194AFF"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lastRenderedPageBreak/>
        <w:t>Резултатите от анализите, извършени на кърмата на майки-кърмачки лекувани с високи дози дезмопресин (300 микрограма интраназално) са показали, че количеството дезмопресин, което може да премине в кърмачето е значително по-малко от необходимото, за да повлияе диурезата.</w:t>
      </w:r>
    </w:p>
    <w:p w14:paraId="3E0E3640" w14:textId="77777777" w:rsidR="001C61EA" w:rsidRDefault="001C61EA" w:rsidP="001C61EA">
      <w:pPr>
        <w:spacing w:line="240" w:lineRule="auto"/>
        <w:rPr>
          <w:rFonts w:eastAsia="Times New Roman" w:cs="Arial"/>
          <w:color w:val="000000"/>
          <w:lang w:eastAsia="bg-BG"/>
        </w:rPr>
      </w:pPr>
    </w:p>
    <w:p w14:paraId="35EA90FD" w14:textId="10E86242"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Приложението на бременни и кърмещи жени трябва да става само след внимателно обсъждане на предимствата и рисковете от приложението.</w:t>
      </w:r>
    </w:p>
    <w:p w14:paraId="44A27DF4" w14:textId="77777777" w:rsidR="001C61EA" w:rsidRDefault="001C61EA" w:rsidP="001C61EA">
      <w:pPr>
        <w:spacing w:line="240" w:lineRule="auto"/>
        <w:rPr>
          <w:rFonts w:eastAsia="Times New Roman" w:cs="Arial"/>
          <w:color w:val="000000"/>
          <w:u w:val="single"/>
          <w:lang w:eastAsia="bg-BG"/>
        </w:rPr>
      </w:pPr>
    </w:p>
    <w:p w14:paraId="02C906CA" w14:textId="4243F889" w:rsidR="001C61EA" w:rsidRPr="001C61EA" w:rsidRDefault="001C61EA" w:rsidP="001C61EA">
      <w:pPr>
        <w:pStyle w:val="Heading3"/>
        <w:rPr>
          <w:rFonts w:eastAsia="Times New Roman"/>
          <w:u w:val="single"/>
          <w:lang w:eastAsia="bg-BG"/>
        </w:rPr>
      </w:pPr>
      <w:r w:rsidRPr="001C61EA">
        <w:rPr>
          <w:rFonts w:eastAsia="Times New Roman"/>
          <w:u w:val="single"/>
          <w:lang w:eastAsia="bg-BG"/>
        </w:rPr>
        <w:t>Фертилитет</w:t>
      </w:r>
    </w:p>
    <w:p w14:paraId="70863204" w14:textId="77777777" w:rsidR="001C61EA" w:rsidRDefault="001C61EA" w:rsidP="001C61EA">
      <w:pPr>
        <w:rPr>
          <w:rFonts w:eastAsia="Times New Roman" w:cs="Arial"/>
          <w:color w:val="000000"/>
          <w:lang w:eastAsia="bg-BG"/>
        </w:rPr>
      </w:pPr>
    </w:p>
    <w:p w14:paraId="45A7486F" w14:textId="6739A768" w:rsidR="001C61EA" w:rsidRDefault="001C61EA" w:rsidP="001C61EA">
      <w:pPr>
        <w:rPr>
          <w:rFonts w:eastAsia="Times New Roman" w:cs="Arial"/>
          <w:color w:val="000000"/>
          <w:lang w:eastAsia="bg-BG"/>
        </w:rPr>
      </w:pPr>
      <w:r w:rsidRPr="001C61EA">
        <w:rPr>
          <w:rFonts w:eastAsia="Times New Roman" w:cs="Arial"/>
          <w:color w:val="000000"/>
          <w:lang w:eastAsia="bg-BG"/>
        </w:rPr>
        <w:t>Няма данни за влияние върху фертилитета.</w:t>
      </w:r>
    </w:p>
    <w:p w14:paraId="29D8269C" w14:textId="77777777" w:rsidR="001C61EA" w:rsidRPr="001C61EA" w:rsidRDefault="001C61EA" w:rsidP="001C61EA">
      <w:pPr>
        <w:rPr>
          <w:rFonts w:cs="Arial"/>
        </w:rPr>
      </w:pPr>
    </w:p>
    <w:p w14:paraId="064DF1DE" w14:textId="644E02BD" w:rsidR="00CF77F7" w:rsidRDefault="002C50EE" w:rsidP="004A448E">
      <w:pPr>
        <w:pStyle w:val="Heading2"/>
      </w:pPr>
      <w:r>
        <w:t>4.7. Ефекти върху способността за шофиране и работа с машини</w:t>
      </w:r>
    </w:p>
    <w:p w14:paraId="1FCC0539" w14:textId="70F11925" w:rsidR="001C61EA" w:rsidRDefault="001C61EA" w:rsidP="001C61EA"/>
    <w:p w14:paraId="6C5E9E8B" w14:textId="7AEF2568" w:rsidR="001C61EA" w:rsidRDefault="001C61EA" w:rsidP="001C61EA">
      <w:r w:rsidRPr="001C61EA">
        <w:t>Не са провеждани проучвания за ефектите върху способността за шофиране и работа с машини. Дезмопресин няма известни ефекти върху способността за шофиране или работа с машини. Този лекарствен продукт се счита за безопасен въз основа на неговия фармакодинамичен профил.</w:t>
      </w:r>
    </w:p>
    <w:p w14:paraId="437AEEB5" w14:textId="77777777" w:rsidR="001C61EA" w:rsidRPr="001C61EA" w:rsidRDefault="001C61EA" w:rsidP="001C61EA"/>
    <w:p w14:paraId="37A3FD9F" w14:textId="132D8593" w:rsidR="00CF77F7" w:rsidRDefault="002C50EE" w:rsidP="004A448E">
      <w:pPr>
        <w:pStyle w:val="Heading2"/>
      </w:pPr>
      <w:r>
        <w:t>4.8. Нежелани лекарствени реакции</w:t>
      </w:r>
    </w:p>
    <w:p w14:paraId="546A13BF" w14:textId="77777777" w:rsidR="001C61EA" w:rsidRPr="001C61EA" w:rsidRDefault="001C61EA" w:rsidP="001C61EA"/>
    <w:p w14:paraId="15A5C4C3"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Лечение без съпътстващо ограничаване приема на течности може да доведе до задържане на течности/хипонатриемия със или без придружаващи предупредителни признаци или симптоми. Такива симптоми включват главоболие, гадене/повръщане, понижение на серумния натрий, увеличаване на телесното тегло и в сериозни случаи конвулсии и кома (вж. точка 4.4).</w:t>
      </w:r>
    </w:p>
    <w:p w14:paraId="7247DE22" w14:textId="77777777" w:rsidR="001C61EA" w:rsidRDefault="001C61EA" w:rsidP="001C61EA">
      <w:pPr>
        <w:spacing w:line="240" w:lineRule="auto"/>
        <w:rPr>
          <w:rFonts w:eastAsia="Times New Roman" w:cs="Arial"/>
          <w:color w:val="000000"/>
          <w:lang w:eastAsia="bg-BG"/>
        </w:rPr>
      </w:pPr>
    </w:p>
    <w:p w14:paraId="137A324D" w14:textId="0647244A"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Честотата на описаните по-долу нежелани лекарствени реакции е определена съобразно следната конвенция: много чести (≥1/10); чести (≥1/100 до &lt;1/10); нечести (≥1/1 000 до &lt;1/100); редки (≥1/10 000 до &lt;1/1 000); много редки (&lt;1/10 000); с неизвестна честота (оценка на честотата не може да бъде направена от наличните данни).</w:t>
      </w:r>
    </w:p>
    <w:p w14:paraId="649D6C0D" w14:textId="77777777" w:rsidR="001C61EA" w:rsidRDefault="001C61EA" w:rsidP="001C61EA">
      <w:pPr>
        <w:spacing w:line="240" w:lineRule="auto"/>
        <w:rPr>
          <w:rFonts w:eastAsia="Times New Roman" w:cs="Arial"/>
          <w:i/>
          <w:iCs/>
          <w:color w:val="000000"/>
          <w:u w:val="single"/>
          <w:lang w:eastAsia="bg-BG"/>
        </w:rPr>
      </w:pPr>
    </w:p>
    <w:p w14:paraId="51E8760F" w14:textId="04845AD6" w:rsidR="001C61EA" w:rsidRPr="001C61EA" w:rsidRDefault="001C61EA" w:rsidP="001C61EA">
      <w:pPr>
        <w:spacing w:line="240" w:lineRule="auto"/>
        <w:rPr>
          <w:rFonts w:eastAsia="Times New Roman" w:cs="Arial"/>
          <w:lang w:eastAsia="bg-BG"/>
        </w:rPr>
      </w:pPr>
      <w:r w:rsidRPr="001C61EA">
        <w:rPr>
          <w:rFonts w:eastAsia="Times New Roman" w:cs="Arial"/>
          <w:i/>
          <w:iCs/>
          <w:color w:val="000000"/>
          <w:u w:val="single"/>
          <w:lang w:eastAsia="bg-BG"/>
        </w:rPr>
        <w:t>Нощно напикаване и безвкусен диабет</w:t>
      </w:r>
    </w:p>
    <w:p w14:paraId="073CD184" w14:textId="77777777" w:rsidR="001C61EA" w:rsidRDefault="001C61EA" w:rsidP="001C61EA">
      <w:pPr>
        <w:rPr>
          <w:rFonts w:eastAsia="Times New Roman" w:cs="Arial"/>
          <w:color w:val="000000"/>
          <w:lang w:eastAsia="bg-BG"/>
        </w:rPr>
      </w:pPr>
    </w:p>
    <w:p w14:paraId="367DF008" w14:textId="286A140C" w:rsidR="001C61EA" w:rsidRDefault="001C61EA" w:rsidP="001C61EA">
      <w:pPr>
        <w:rPr>
          <w:rFonts w:eastAsia="Times New Roman" w:cs="Arial"/>
          <w:color w:val="000000"/>
          <w:lang w:eastAsia="bg-BG"/>
        </w:rPr>
      </w:pPr>
      <w:r w:rsidRPr="001C61EA">
        <w:rPr>
          <w:rFonts w:eastAsia="Times New Roman" w:cs="Arial"/>
          <w:color w:val="000000"/>
          <w:lang w:eastAsia="bg-BG"/>
        </w:rPr>
        <w:t>Най-често включват главоболие и стомашно-чревни нарушения.</w:t>
      </w:r>
    </w:p>
    <w:p w14:paraId="088FC93C" w14:textId="77777777" w:rsidR="001C61EA" w:rsidRDefault="001C61EA" w:rsidP="001C61EA">
      <w:pPr>
        <w:rPr>
          <w:rFonts w:eastAsia="Times New Roman" w:cs="Arial"/>
          <w:color w:val="000000"/>
          <w:lang w:eastAsia="bg-BG"/>
        </w:rPr>
      </w:pPr>
    </w:p>
    <w:tbl>
      <w:tblPr>
        <w:tblStyle w:val="TableGrid"/>
        <w:tblW w:w="0" w:type="auto"/>
        <w:tblLook w:val="04A0" w:firstRow="1" w:lastRow="0" w:firstColumn="1" w:lastColumn="0" w:noHBand="0" w:noVBand="1"/>
      </w:tblPr>
      <w:tblGrid>
        <w:gridCol w:w="4666"/>
        <w:gridCol w:w="4684"/>
      </w:tblGrid>
      <w:tr w:rsidR="001C61EA" w14:paraId="34FF12D6" w14:textId="77777777" w:rsidTr="00CF637E">
        <w:tc>
          <w:tcPr>
            <w:tcW w:w="4750" w:type="dxa"/>
            <w:vAlign w:val="bottom"/>
          </w:tcPr>
          <w:p w14:paraId="465B4F92" w14:textId="2440A190" w:rsidR="001C61EA" w:rsidRPr="001C61EA" w:rsidRDefault="001C61EA" w:rsidP="001C61EA">
            <w:pPr>
              <w:rPr>
                <w:rFonts w:cs="Arial"/>
              </w:rPr>
            </w:pPr>
            <w:r w:rsidRPr="001C61EA">
              <w:rPr>
                <w:i/>
                <w:iCs/>
              </w:rPr>
              <w:t xml:space="preserve">Нарушения на имунната система </w:t>
            </w:r>
            <w:r w:rsidRPr="001C61EA">
              <w:t>Много редки</w:t>
            </w:r>
          </w:p>
        </w:tc>
        <w:tc>
          <w:tcPr>
            <w:tcW w:w="4750" w:type="dxa"/>
            <w:vAlign w:val="bottom"/>
          </w:tcPr>
          <w:p w14:paraId="5E82DC17" w14:textId="77777777" w:rsidR="001C61EA" w:rsidRPr="001C61EA" w:rsidRDefault="001C61EA" w:rsidP="001C61EA">
            <w:r w:rsidRPr="001C61EA">
              <w:tab/>
            </w:r>
          </w:p>
          <w:p w14:paraId="5D4242D5" w14:textId="77777777" w:rsidR="001C61EA" w:rsidRPr="001C61EA" w:rsidRDefault="001C61EA" w:rsidP="001C61EA"/>
          <w:p w14:paraId="3808645D" w14:textId="520AD579" w:rsidR="001C61EA" w:rsidRPr="001C61EA" w:rsidRDefault="001C61EA" w:rsidP="001C61EA">
            <w:pPr>
              <w:rPr>
                <w:rFonts w:cs="Arial"/>
              </w:rPr>
            </w:pPr>
            <w:r w:rsidRPr="001C61EA">
              <w:t>Алергични реакции</w:t>
            </w:r>
            <w:r w:rsidRPr="001C61EA">
              <w:tab/>
            </w:r>
          </w:p>
        </w:tc>
      </w:tr>
      <w:tr w:rsidR="001C61EA" w14:paraId="3E40B287" w14:textId="77777777" w:rsidTr="00CF637E">
        <w:tc>
          <w:tcPr>
            <w:tcW w:w="4750" w:type="dxa"/>
          </w:tcPr>
          <w:p w14:paraId="3882676C" w14:textId="04AC529C" w:rsidR="001C61EA" w:rsidRPr="001C61EA" w:rsidRDefault="001C61EA" w:rsidP="001C61EA">
            <w:pPr>
              <w:rPr>
                <w:rFonts w:cs="Arial"/>
              </w:rPr>
            </w:pPr>
            <w:r w:rsidRPr="001C61EA">
              <w:rPr>
                <w:i/>
                <w:iCs/>
              </w:rPr>
              <w:t xml:space="preserve">Нарушения на метаболизма и храненето </w:t>
            </w:r>
            <w:r w:rsidRPr="001C61EA">
              <w:t>С неизвестна честота</w:t>
            </w:r>
          </w:p>
        </w:tc>
        <w:tc>
          <w:tcPr>
            <w:tcW w:w="4750" w:type="dxa"/>
            <w:vAlign w:val="bottom"/>
          </w:tcPr>
          <w:p w14:paraId="61E9E15E" w14:textId="77777777" w:rsidR="001C61EA" w:rsidRPr="001C61EA" w:rsidRDefault="001C61EA" w:rsidP="001C61EA"/>
          <w:p w14:paraId="7DC65F3D" w14:textId="6477C3EA" w:rsidR="001C61EA" w:rsidRPr="001C61EA" w:rsidRDefault="001C61EA" w:rsidP="001C61EA">
            <w:pPr>
              <w:rPr>
                <w:rFonts w:cs="Arial"/>
              </w:rPr>
            </w:pPr>
            <w:r w:rsidRPr="001C61EA">
              <w:t xml:space="preserve">Задържане на течности, хипонатриемия </w:t>
            </w:r>
            <w:r w:rsidRPr="001C61EA">
              <w:rPr>
                <w:u w:val="single"/>
              </w:rPr>
              <w:t>Лечението без съпътстващо намаление</w:t>
            </w:r>
          </w:p>
        </w:tc>
      </w:tr>
      <w:tr w:rsidR="001C61EA" w14:paraId="4942D6A1" w14:textId="77777777" w:rsidTr="001C61EA">
        <w:tc>
          <w:tcPr>
            <w:tcW w:w="4750" w:type="dxa"/>
          </w:tcPr>
          <w:p w14:paraId="530DB930" w14:textId="77777777" w:rsidR="001C61EA" w:rsidRPr="001C61EA" w:rsidRDefault="001C61EA" w:rsidP="001C61EA">
            <w:pPr>
              <w:rPr>
                <w:rFonts w:cs="Arial"/>
              </w:rPr>
            </w:pPr>
          </w:p>
        </w:tc>
        <w:tc>
          <w:tcPr>
            <w:tcW w:w="4750" w:type="dxa"/>
          </w:tcPr>
          <w:p w14:paraId="50863F9A" w14:textId="1617AB5F" w:rsidR="001C61EA" w:rsidRPr="001C61EA" w:rsidRDefault="001C61EA" w:rsidP="001C61EA">
            <w:pPr>
              <w:rPr>
                <w:rFonts w:cs="Arial"/>
              </w:rPr>
            </w:pPr>
            <w:r w:rsidRPr="001C61EA">
              <w:t>приема на течности може да доведе до задръжка на вода/хипонатриемия със съответстващите симптоми (главоболие, гадене/повръщане, понижение на серумния натрий, повишение на телесното тегло и в много тежки случаи, конвулсии).</w:t>
            </w:r>
          </w:p>
        </w:tc>
      </w:tr>
      <w:tr w:rsidR="001C61EA" w14:paraId="7A83C757" w14:textId="77777777" w:rsidTr="001C61EA">
        <w:tc>
          <w:tcPr>
            <w:tcW w:w="4750" w:type="dxa"/>
          </w:tcPr>
          <w:p w14:paraId="251609EF" w14:textId="77777777" w:rsidR="001C61EA" w:rsidRPr="001C61EA" w:rsidRDefault="001C61EA" w:rsidP="001C61EA">
            <w:r w:rsidRPr="001C61EA">
              <w:rPr>
                <w:i/>
                <w:iCs/>
              </w:rPr>
              <w:lastRenderedPageBreak/>
              <w:t>Психични нарушения</w:t>
            </w:r>
          </w:p>
          <w:p w14:paraId="2430B69B" w14:textId="5987CA4F" w:rsidR="001C61EA" w:rsidRPr="001C61EA" w:rsidRDefault="001C61EA" w:rsidP="001C61EA">
            <w:pPr>
              <w:rPr>
                <w:rFonts w:cs="Arial"/>
              </w:rPr>
            </w:pPr>
            <w:r w:rsidRPr="001C61EA">
              <w:t>Много редки</w:t>
            </w:r>
          </w:p>
        </w:tc>
        <w:tc>
          <w:tcPr>
            <w:tcW w:w="4750" w:type="dxa"/>
          </w:tcPr>
          <w:p w14:paraId="7BDA2329" w14:textId="49692EE6" w:rsidR="001C61EA" w:rsidRPr="001C61EA" w:rsidRDefault="001C61EA" w:rsidP="001C61EA">
            <w:pPr>
              <w:rPr>
                <w:rFonts w:cs="Arial"/>
              </w:rPr>
            </w:pPr>
            <w:r w:rsidRPr="001C61EA">
              <w:t xml:space="preserve">Емоционални нарушения, </w:t>
            </w:r>
            <w:r w:rsidRPr="001C61EA">
              <w:rPr>
                <w:lang w:val="en-US"/>
              </w:rPr>
              <w:t xml:space="preserve">NOS </w:t>
            </w:r>
            <w:r w:rsidRPr="001C61EA">
              <w:t>при деца</w:t>
            </w:r>
          </w:p>
        </w:tc>
      </w:tr>
      <w:tr w:rsidR="001C61EA" w14:paraId="1E4BFB94" w14:textId="77777777" w:rsidTr="001C61EA">
        <w:tc>
          <w:tcPr>
            <w:tcW w:w="4750" w:type="dxa"/>
          </w:tcPr>
          <w:p w14:paraId="2C8340BA" w14:textId="633908D1" w:rsidR="001C61EA" w:rsidRPr="001C61EA" w:rsidRDefault="001C61EA" w:rsidP="001C61EA">
            <w:pPr>
              <w:rPr>
                <w:rFonts w:cs="Arial"/>
              </w:rPr>
            </w:pPr>
            <w:r w:rsidRPr="001C61EA">
              <w:rPr>
                <w:i/>
                <w:iCs/>
              </w:rPr>
              <w:t xml:space="preserve">Нарушения на нервната система </w:t>
            </w:r>
            <w:r w:rsidRPr="001C61EA">
              <w:t>Чести</w:t>
            </w:r>
          </w:p>
        </w:tc>
        <w:tc>
          <w:tcPr>
            <w:tcW w:w="4750" w:type="dxa"/>
          </w:tcPr>
          <w:p w14:paraId="4256FD9B" w14:textId="1E141CE9" w:rsidR="001C61EA" w:rsidRPr="001C61EA" w:rsidRDefault="001C61EA" w:rsidP="001C61EA">
            <w:pPr>
              <w:rPr>
                <w:rFonts w:cs="Arial"/>
              </w:rPr>
            </w:pPr>
            <w:r w:rsidRPr="001C61EA">
              <w:t>Главоболие</w:t>
            </w:r>
          </w:p>
        </w:tc>
      </w:tr>
      <w:tr w:rsidR="001C61EA" w14:paraId="747E4915" w14:textId="77777777" w:rsidTr="001C61EA">
        <w:tc>
          <w:tcPr>
            <w:tcW w:w="4750" w:type="dxa"/>
          </w:tcPr>
          <w:p w14:paraId="63FF0F31" w14:textId="5B35ECA0" w:rsidR="001C61EA" w:rsidRPr="001C61EA" w:rsidRDefault="001C61EA" w:rsidP="001C61EA">
            <w:pPr>
              <w:rPr>
                <w:rFonts w:cs="Arial"/>
              </w:rPr>
            </w:pPr>
            <w:r w:rsidRPr="001C61EA">
              <w:rPr>
                <w:i/>
                <w:iCs/>
              </w:rPr>
              <w:t xml:space="preserve">Стомашно-чревни нарушения </w:t>
            </w:r>
            <w:r w:rsidRPr="001C61EA">
              <w:t>Чести</w:t>
            </w:r>
          </w:p>
        </w:tc>
        <w:tc>
          <w:tcPr>
            <w:tcW w:w="4750" w:type="dxa"/>
          </w:tcPr>
          <w:p w14:paraId="4AF6AE01" w14:textId="3EC3AFF5" w:rsidR="001C61EA" w:rsidRPr="001C61EA" w:rsidRDefault="001C61EA" w:rsidP="001C61EA">
            <w:pPr>
              <w:rPr>
                <w:rFonts w:cs="Arial"/>
              </w:rPr>
            </w:pPr>
            <w:r w:rsidRPr="001C61EA">
              <w:t>Коремна болка, гадене</w:t>
            </w:r>
          </w:p>
        </w:tc>
      </w:tr>
      <w:tr w:rsidR="001C61EA" w14:paraId="12FD9D75" w14:textId="77777777" w:rsidTr="001C61EA">
        <w:tc>
          <w:tcPr>
            <w:tcW w:w="4750" w:type="dxa"/>
          </w:tcPr>
          <w:p w14:paraId="7442312D" w14:textId="77777777" w:rsidR="001C61EA" w:rsidRPr="001C61EA" w:rsidRDefault="001C61EA" w:rsidP="001C61EA">
            <w:r w:rsidRPr="001C61EA">
              <w:rPr>
                <w:i/>
                <w:iCs/>
              </w:rPr>
              <w:t>Нарушения на кожата и подкожните тъкани</w:t>
            </w:r>
          </w:p>
          <w:p w14:paraId="2BC699F9" w14:textId="2A65901F" w:rsidR="001C61EA" w:rsidRPr="001C61EA" w:rsidRDefault="001C61EA" w:rsidP="001C61EA">
            <w:pPr>
              <w:rPr>
                <w:rFonts w:cs="Arial"/>
              </w:rPr>
            </w:pPr>
            <w:r w:rsidRPr="001C61EA">
              <w:t>Много редки</w:t>
            </w:r>
          </w:p>
        </w:tc>
        <w:tc>
          <w:tcPr>
            <w:tcW w:w="4750" w:type="dxa"/>
          </w:tcPr>
          <w:p w14:paraId="7D0DBC4C" w14:textId="1556CA02" w:rsidR="001C61EA" w:rsidRPr="001C61EA" w:rsidRDefault="001C61EA" w:rsidP="001C61EA">
            <w:pPr>
              <w:rPr>
                <w:rFonts w:cs="Arial"/>
              </w:rPr>
            </w:pPr>
            <w:r w:rsidRPr="001C61EA">
              <w:t>Алергични кожни реакции</w:t>
            </w:r>
          </w:p>
        </w:tc>
      </w:tr>
    </w:tbl>
    <w:p w14:paraId="2F40FA4B" w14:textId="77777777" w:rsidR="001C61EA" w:rsidRPr="001C61EA" w:rsidRDefault="001C61EA" w:rsidP="001C61EA">
      <w:pPr>
        <w:spacing w:line="240" w:lineRule="auto"/>
        <w:rPr>
          <w:rFonts w:eastAsia="Times New Roman" w:cs="Arial"/>
          <w:lang w:eastAsia="bg-BG"/>
        </w:rPr>
      </w:pPr>
      <w:r w:rsidRPr="001C61EA">
        <w:rPr>
          <w:rFonts w:eastAsia="Times New Roman" w:cs="Arial"/>
          <w:i/>
          <w:iCs/>
          <w:color w:val="000000"/>
          <w:u w:val="single"/>
          <w:lang w:eastAsia="bg-BG"/>
        </w:rPr>
        <w:t>Никтурия</w:t>
      </w:r>
    </w:p>
    <w:p w14:paraId="2AE42CBB" w14:textId="77777777" w:rsidR="001C61EA" w:rsidRDefault="001C61EA" w:rsidP="001C61EA">
      <w:pPr>
        <w:spacing w:line="240" w:lineRule="auto"/>
        <w:rPr>
          <w:rFonts w:eastAsia="Times New Roman" w:cs="Arial"/>
          <w:color w:val="000000"/>
          <w:lang w:eastAsia="bg-BG"/>
        </w:rPr>
      </w:pPr>
    </w:p>
    <w:p w14:paraId="6ACEDDC5" w14:textId="0E67458F"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В клинични проучвания приблизително 35% от пациентите са получили нежелани лекарствени реакции в периода на титриране на дозата. 8% от пациентите са прекратили лечението, поради нежелани реакции по време на титриране на дозата, а 2% са прекратили лечението след двойно сляп период (0,63% в групата на лечение с дезмопресин и 1,45% в групата на лечение с плацебо).</w:t>
      </w:r>
    </w:p>
    <w:p w14:paraId="7FA62DC3" w14:textId="77777777" w:rsidR="001C61EA" w:rsidRDefault="001C61EA" w:rsidP="001C61EA">
      <w:pPr>
        <w:spacing w:line="240" w:lineRule="auto"/>
        <w:rPr>
          <w:rFonts w:eastAsia="Times New Roman" w:cs="Arial"/>
          <w:color w:val="000000"/>
          <w:lang w:eastAsia="bg-BG"/>
        </w:rPr>
      </w:pPr>
    </w:p>
    <w:p w14:paraId="1D1EB632" w14:textId="0E94DB1A"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При продължително лечение, приблизително 24% от пациентите са получили нежелани реакции.</w:t>
      </w:r>
    </w:p>
    <w:p w14:paraId="394B64A5" w14:textId="77777777" w:rsidR="001C61EA" w:rsidRDefault="001C61EA" w:rsidP="001C61EA">
      <w:pPr>
        <w:rPr>
          <w:rFonts w:eastAsia="Times New Roman" w:cs="Arial"/>
          <w:color w:val="000000"/>
          <w:lang w:eastAsia="bg-BG"/>
        </w:rPr>
      </w:pPr>
    </w:p>
    <w:p w14:paraId="4B5BBF97" w14:textId="1C60D307" w:rsidR="001C61EA" w:rsidRDefault="001C61EA" w:rsidP="001C61EA">
      <w:pPr>
        <w:rPr>
          <w:rFonts w:eastAsia="Times New Roman" w:cs="Arial"/>
          <w:color w:val="000000"/>
          <w:lang w:eastAsia="bg-BG"/>
        </w:rPr>
      </w:pPr>
      <w:r w:rsidRPr="001C61EA">
        <w:rPr>
          <w:rFonts w:eastAsia="Times New Roman" w:cs="Arial"/>
          <w:color w:val="000000"/>
          <w:lang w:eastAsia="bg-BG"/>
        </w:rPr>
        <w:t>Най-честия нежелан ефект е бил главоболието. Петнадесет процента от пациентите са получили главоболие в периода на титриране на дозата, а 6% при продължително лечение.</w:t>
      </w:r>
    </w:p>
    <w:p w14:paraId="498C7927" w14:textId="2D109D31" w:rsidR="001C61EA" w:rsidRDefault="001C61EA" w:rsidP="001C61EA">
      <w:pPr>
        <w:rPr>
          <w:rFonts w:eastAsia="Times New Roman" w:cs="Arial"/>
          <w:color w:val="000000"/>
          <w:lang w:eastAsia="bg-BG"/>
        </w:rPr>
      </w:pPr>
    </w:p>
    <w:tbl>
      <w:tblPr>
        <w:tblStyle w:val="TableGrid"/>
        <w:tblW w:w="0" w:type="auto"/>
        <w:tblLook w:val="04A0" w:firstRow="1" w:lastRow="0" w:firstColumn="1" w:lastColumn="0" w:noHBand="0" w:noVBand="1"/>
      </w:tblPr>
      <w:tblGrid>
        <w:gridCol w:w="4672"/>
        <w:gridCol w:w="4678"/>
      </w:tblGrid>
      <w:tr w:rsidR="001C61EA" w14:paraId="13B86106" w14:textId="77777777" w:rsidTr="001C61EA">
        <w:tc>
          <w:tcPr>
            <w:tcW w:w="4750" w:type="dxa"/>
          </w:tcPr>
          <w:p w14:paraId="4490859B" w14:textId="7D12A3C3" w:rsidR="001C61EA" w:rsidRPr="001C61EA" w:rsidRDefault="001C61EA" w:rsidP="001C61EA">
            <w:pPr>
              <w:rPr>
                <w:rFonts w:cs="Arial"/>
              </w:rPr>
            </w:pPr>
            <w:r w:rsidRPr="001C61EA">
              <w:rPr>
                <w:i/>
                <w:iCs/>
              </w:rPr>
              <w:t xml:space="preserve">Нарушения на метаболизма и храненето </w:t>
            </w:r>
            <w:r w:rsidRPr="001C61EA">
              <w:t>Чести</w:t>
            </w:r>
          </w:p>
        </w:tc>
        <w:tc>
          <w:tcPr>
            <w:tcW w:w="4750" w:type="dxa"/>
          </w:tcPr>
          <w:p w14:paraId="77625DE0" w14:textId="4F216900" w:rsidR="001C61EA" w:rsidRPr="001C61EA" w:rsidRDefault="001C61EA" w:rsidP="001C61EA">
            <w:pPr>
              <w:rPr>
                <w:rFonts w:cs="Arial"/>
              </w:rPr>
            </w:pPr>
            <w:r w:rsidRPr="001C61EA">
              <w:t>Хипонатриемия (титриране на дозата)</w:t>
            </w:r>
          </w:p>
        </w:tc>
      </w:tr>
      <w:tr w:rsidR="001C61EA" w14:paraId="616FFBD1" w14:textId="77777777" w:rsidTr="001C61EA">
        <w:tc>
          <w:tcPr>
            <w:tcW w:w="4750" w:type="dxa"/>
          </w:tcPr>
          <w:p w14:paraId="4FC5F3E6" w14:textId="77777777" w:rsidR="001C61EA" w:rsidRPr="001C61EA" w:rsidRDefault="001C61EA" w:rsidP="001C61EA">
            <w:r w:rsidRPr="001C61EA">
              <w:rPr>
                <w:i/>
                <w:iCs/>
              </w:rPr>
              <w:t>Нарушения на нервната система</w:t>
            </w:r>
          </w:p>
          <w:p w14:paraId="782AA2A8" w14:textId="77777777" w:rsidR="001C61EA" w:rsidRPr="001C61EA" w:rsidRDefault="001C61EA" w:rsidP="001C61EA">
            <w:r w:rsidRPr="001C61EA">
              <w:t>Много чести</w:t>
            </w:r>
          </w:p>
          <w:p w14:paraId="236EE664" w14:textId="16AEFAA6" w:rsidR="001C61EA" w:rsidRPr="001C61EA" w:rsidRDefault="001C61EA" w:rsidP="001C61EA">
            <w:pPr>
              <w:rPr>
                <w:rFonts w:cs="Arial"/>
              </w:rPr>
            </w:pPr>
            <w:r w:rsidRPr="001C61EA">
              <w:t>Чести</w:t>
            </w:r>
          </w:p>
        </w:tc>
        <w:tc>
          <w:tcPr>
            <w:tcW w:w="4750" w:type="dxa"/>
          </w:tcPr>
          <w:p w14:paraId="7089618B" w14:textId="51D27045" w:rsidR="001C61EA" w:rsidRPr="001C61EA" w:rsidRDefault="001C61EA" w:rsidP="001C61EA">
            <w:pPr>
              <w:rPr>
                <w:rFonts w:cs="Arial"/>
              </w:rPr>
            </w:pPr>
            <w:r w:rsidRPr="001C61EA">
              <w:t>Главоболие (титриране на дозата) Главоболие (продължително лечение) Замаяност</w:t>
            </w:r>
          </w:p>
        </w:tc>
      </w:tr>
      <w:tr w:rsidR="001C61EA" w14:paraId="70F55AC7" w14:textId="77777777" w:rsidTr="001C61EA">
        <w:tc>
          <w:tcPr>
            <w:tcW w:w="4750" w:type="dxa"/>
          </w:tcPr>
          <w:p w14:paraId="1129E93A" w14:textId="77777777" w:rsidR="001C61EA" w:rsidRPr="001C61EA" w:rsidRDefault="001C61EA" w:rsidP="001C61EA">
            <w:r w:rsidRPr="001C61EA">
              <w:rPr>
                <w:i/>
                <w:iCs/>
              </w:rPr>
              <w:t>Сърдечни нарушения</w:t>
            </w:r>
          </w:p>
          <w:p w14:paraId="201C778A" w14:textId="0FE5079A" w:rsidR="001C61EA" w:rsidRPr="001C61EA" w:rsidRDefault="001C61EA" w:rsidP="001C61EA">
            <w:pPr>
              <w:rPr>
                <w:rFonts w:cs="Arial"/>
              </w:rPr>
            </w:pPr>
            <w:r w:rsidRPr="001C61EA">
              <w:t>Чести</w:t>
            </w:r>
          </w:p>
        </w:tc>
        <w:tc>
          <w:tcPr>
            <w:tcW w:w="4750" w:type="dxa"/>
          </w:tcPr>
          <w:p w14:paraId="7F22B136" w14:textId="606154E4" w:rsidR="001C61EA" w:rsidRPr="001C61EA" w:rsidRDefault="001C61EA" w:rsidP="001C61EA">
            <w:pPr>
              <w:rPr>
                <w:rFonts w:cs="Arial"/>
              </w:rPr>
            </w:pPr>
            <w:r w:rsidRPr="001C61EA">
              <w:t>Периферни отоци (продължително лечение)</w:t>
            </w:r>
          </w:p>
        </w:tc>
      </w:tr>
      <w:tr w:rsidR="001C61EA" w14:paraId="6729924A" w14:textId="77777777" w:rsidTr="001C61EA">
        <w:tc>
          <w:tcPr>
            <w:tcW w:w="4750" w:type="dxa"/>
          </w:tcPr>
          <w:p w14:paraId="1102A6A4" w14:textId="77777777" w:rsidR="001C61EA" w:rsidRPr="001C61EA" w:rsidRDefault="001C61EA" w:rsidP="001C61EA">
            <w:r w:rsidRPr="001C61EA">
              <w:rPr>
                <w:i/>
                <w:iCs/>
              </w:rPr>
              <w:t>Стомашно-чревни нарушения</w:t>
            </w:r>
          </w:p>
          <w:p w14:paraId="0FA86F5E" w14:textId="2DBFA610" w:rsidR="001C61EA" w:rsidRPr="001C61EA" w:rsidRDefault="001C61EA" w:rsidP="001C61EA">
            <w:pPr>
              <w:rPr>
                <w:rFonts w:cs="Arial"/>
              </w:rPr>
            </w:pPr>
            <w:r w:rsidRPr="001C61EA">
              <w:t>Чести</w:t>
            </w:r>
          </w:p>
        </w:tc>
        <w:tc>
          <w:tcPr>
            <w:tcW w:w="4750" w:type="dxa"/>
          </w:tcPr>
          <w:p w14:paraId="2C528E67" w14:textId="77777777" w:rsidR="001C61EA" w:rsidRPr="001C61EA" w:rsidRDefault="001C61EA" w:rsidP="001C61EA">
            <w:r w:rsidRPr="001C61EA">
              <w:t>Гадене</w:t>
            </w:r>
          </w:p>
          <w:p w14:paraId="762DD00B" w14:textId="77777777" w:rsidR="001C61EA" w:rsidRPr="001C61EA" w:rsidRDefault="001C61EA" w:rsidP="001C61EA">
            <w:r w:rsidRPr="001C61EA">
              <w:t>Увеличаване на телесното тегло (продължително лечение)</w:t>
            </w:r>
          </w:p>
          <w:p w14:paraId="4BC5325A" w14:textId="569332E7" w:rsidR="001C61EA" w:rsidRPr="001C61EA" w:rsidRDefault="001C61EA" w:rsidP="001C61EA">
            <w:pPr>
              <w:rPr>
                <w:rFonts w:cs="Arial"/>
              </w:rPr>
            </w:pPr>
            <w:r w:rsidRPr="001C61EA">
              <w:t>Коремна болка (титриране на дозата) Сухота в устата (титриране на дозата)</w:t>
            </w:r>
          </w:p>
        </w:tc>
      </w:tr>
      <w:tr w:rsidR="001C61EA" w14:paraId="30F90655" w14:textId="77777777" w:rsidTr="001C61EA">
        <w:tc>
          <w:tcPr>
            <w:tcW w:w="4750" w:type="dxa"/>
          </w:tcPr>
          <w:p w14:paraId="681499F6" w14:textId="77777777" w:rsidR="001C61EA" w:rsidRPr="001C61EA" w:rsidRDefault="001C61EA" w:rsidP="001C61EA">
            <w:r w:rsidRPr="001C61EA">
              <w:rPr>
                <w:i/>
                <w:iCs/>
              </w:rPr>
              <w:t>Нарушения на бъбреците и пикочните пътища</w:t>
            </w:r>
          </w:p>
          <w:p w14:paraId="40DE1ACB" w14:textId="79636E98" w:rsidR="001C61EA" w:rsidRPr="001C61EA" w:rsidRDefault="001C61EA" w:rsidP="001C61EA">
            <w:pPr>
              <w:rPr>
                <w:rFonts w:cs="Arial"/>
              </w:rPr>
            </w:pPr>
            <w:r w:rsidRPr="001C61EA">
              <w:t>Чести</w:t>
            </w:r>
          </w:p>
        </w:tc>
        <w:tc>
          <w:tcPr>
            <w:tcW w:w="4750" w:type="dxa"/>
          </w:tcPr>
          <w:p w14:paraId="23B6A588" w14:textId="7696C390" w:rsidR="001C61EA" w:rsidRPr="001C61EA" w:rsidRDefault="001C61EA" w:rsidP="001C61EA">
            <w:pPr>
              <w:rPr>
                <w:rFonts w:cs="Arial"/>
              </w:rPr>
            </w:pPr>
            <w:r w:rsidRPr="001C61EA">
              <w:t>Често уриниране (продължително лечение),</w:t>
            </w:r>
          </w:p>
        </w:tc>
      </w:tr>
    </w:tbl>
    <w:p w14:paraId="716B3A56" w14:textId="17DA491A" w:rsidR="001C61EA" w:rsidRDefault="001C61EA" w:rsidP="001C61EA">
      <w:pPr>
        <w:rPr>
          <w:rFonts w:cs="Arial"/>
        </w:rPr>
      </w:pPr>
    </w:p>
    <w:p w14:paraId="5AD1577E"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u w:val="single"/>
          <w:lang w:eastAsia="bg-BG"/>
        </w:rPr>
        <w:t>Съобщаване на подозирани нежелани реакции</w:t>
      </w:r>
    </w:p>
    <w:p w14:paraId="2C16611B"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w:t>
      </w:r>
    </w:p>
    <w:p w14:paraId="2C331E39" w14:textId="71980499" w:rsidR="001C61EA" w:rsidRPr="001C61EA" w:rsidRDefault="001C61EA" w:rsidP="001C61EA">
      <w:pPr>
        <w:rPr>
          <w:rFonts w:cs="Arial"/>
        </w:rPr>
      </w:pPr>
      <w:r w:rsidRPr="001C61EA">
        <w:rPr>
          <w:rFonts w:eastAsia="Times New Roman" w:cs="Arial"/>
          <w:color w:val="000000"/>
          <w:lang w:eastAsia="bg-BG"/>
        </w:rPr>
        <w:t xml:space="preserve">№ 8,1303 София, тел.: +35928903417, уебсайт: </w:t>
      </w:r>
      <w:r w:rsidRPr="001C61EA">
        <w:rPr>
          <w:rFonts w:eastAsia="Times New Roman" w:cs="Arial"/>
          <w:lang w:eastAsia="bg-BG"/>
        </w:rPr>
        <w:fldChar w:fldCharType="begin"/>
      </w:r>
      <w:r w:rsidRPr="001C61EA">
        <w:rPr>
          <w:rFonts w:eastAsia="Times New Roman" w:cs="Arial"/>
          <w:lang w:eastAsia="bg-BG"/>
        </w:rPr>
        <w:instrText xml:space="preserve"> HYPERLINK "http://www.bda.bg" </w:instrText>
      </w:r>
      <w:r w:rsidRPr="001C61EA">
        <w:rPr>
          <w:rFonts w:eastAsia="Times New Roman" w:cs="Arial"/>
          <w:lang w:eastAsia="bg-BG"/>
        </w:rPr>
        <w:fldChar w:fldCharType="separate"/>
      </w:r>
      <w:r w:rsidRPr="001C61EA">
        <w:rPr>
          <w:rFonts w:eastAsia="Times New Roman" w:cs="Arial"/>
          <w:color w:val="000000"/>
          <w:u w:val="single"/>
          <w:lang w:val="en-US"/>
        </w:rPr>
        <w:t>www.bda.bg</w:t>
      </w:r>
      <w:r w:rsidRPr="001C61EA">
        <w:rPr>
          <w:rFonts w:eastAsia="Times New Roman" w:cs="Arial"/>
          <w:lang w:eastAsia="bg-BG"/>
        </w:rPr>
        <w:fldChar w:fldCharType="end"/>
      </w:r>
      <w:r w:rsidRPr="001C61EA">
        <w:rPr>
          <w:rFonts w:eastAsia="Times New Roman" w:cs="Arial"/>
          <w:color w:val="000000"/>
          <w:lang w:val="en-US"/>
        </w:rPr>
        <w:t>.</w:t>
      </w:r>
    </w:p>
    <w:p w14:paraId="0A023CE0" w14:textId="40B86800" w:rsidR="00CF77F7" w:rsidRDefault="002C50EE" w:rsidP="004A448E">
      <w:pPr>
        <w:pStyle w:val="Heading2"/>
      </w:pPr>
      <w:r>
        <w:t>4.9. Предозиране</w:t>
      </w:r>
    </w:p>
    <w:p w14:paraId="7D7AA356" w14:textId="64D90430" w:rsidR="001C61EA" w:rsidRDefault="001C61EA" w:rsidP="001C61EA"/>
    <w:p w14:paraId="7B49E18A"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Симптоми</w:t>
      </w:r>
    </w:p>
    <w:p w14:paraId="5C5E65A4"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lastRenderedPageBreak/>
        <w:t>Предозирането може да доведе до водна интоксикация. Свръххидратация може да се появи, ако по време на лечението се приема изключително голямо количество вода.</w:t>
      </w:r>
    </w:p>
    <w:p w14:paraId="2C6E1DD2"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Симптоми на тежка ретенция на течности:</w:t>
      </w:r>
    </w:p>
    <w:p w14:paraId="177AC195"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Конвулсии и безсъзнание</w:t>
      </w:r>
    </w:p>
    <w:p w14:paraId="72E6DDE0" w14:textId="77777777" w:rsidR="001C61EA" w:rsidRDefault="001C61EA" w:rsidP="001C61EA">
      <w:pPr>
        <w:spacing w:line="240" w:lineRule="auto"/>
        <w:rPr>
          <w:rFonts w:eastAsia="Times New Roman" w:cs="Arial"/>
          <w:color w:val="000000"/>
          <w:lang w:eastAsia="bg-BG"/>
        </w:rPr>
      </w:pPr>
    </w:p>
    <w:p w14:paraId="5B611EC2" w14:textId="0333BD03"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Лечение</w:t>
      </w:r>
    </w:p>
    <w:p w14:paraId="37E5EA12"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Въпреки че лечението на хипонатриемията трябва да бъде индивидуализирано, трябва да се направят следните общи препоръки:</w:t>
      </w:r>
    </w:p>
    <w:p w14:paraId="74829FA5" w14:textId="0A51761B" w:rsidR="001C61EA" w:rsidRPr="001C61EA" w:rsidRDefault="001C61EA" w:rsidP="001C61EA">
      <w:pPr>
        <w:rPr>
          <w:rFonts w:cs="Arial"/>
        </w:rPr>
      </w:pPr>
      <w:r w:rsidRPr="001C61EA">
        <w:rPr>
          <w:rFonts w:eastAsia="Times New Roman" w:cs="Arial"/>
          <w:color w:val="000000"/>
          <w:lang w:eastAsia="bg-BG"/>
        </w:rPr>
        <w:t>Хипонатриемията се лекува посредством спиране на терапията с дезмопресин, ограничаване приема на течности и ако е необходимо симптоматична терапия. Антидиуретичният ефект може да продължи дълъг период от време в случаите на предозиране, затова трябва да се имат предвид и потенциално повишените взаимодействия с други лекарствени продукти, които се екскретират през бъбреците.</w:t>
      </w:r>
    </w:p>
    <w:p w14:paraId="02081B24" w14:textId="1F46E296" w:rsidR="00395555" w:rsidRPr="00395555" w:rsidRDefault="002C50EE" w:rsidP="008A6AF2">
      <w:pPr>
        <w:pStyle w:val="Heading1"/>
      </w:pPr>
      <w:r>
        <w:t>5. ФАРМАКОЛОГИЧНИ СВОЙСТВА</w:t>
      </w:r>
    </w:p>
    <w:p w14:paraId="32B6DE66" w14:textId="1DDAC6A7" w:rsidR="00CF77F7" w:rsidRDefault="002C50EE" w:rsidP="004A448E">
      <w:pPr>
        <w:pStyle w:val="Heading2"/>
      </w:pPr>
      <w:r>
        <w:t>5.1. Фармакодинамични свойства</w:t>
      </w:r>
    </w:p>
    <w:p w14:paraId="6D03AAD7" w14:textId="40BDE075" w:rsidR="001C61EA" w:rsidRDefault="001C61EA" w:rsidP="001C61EA"/>
    <w:p w14:paraId="6ADBC799" w14:textId="77777777"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Фармакотерапевтична група: Вазопресин и аналози, АТС код: Н01ВА02</w:t>
      </w:r>
    </w:p>
    <w:p w14:paraId="3283054F" w14:textId="77777777" w:rsidR="001F0ECD" w:rsidRDefault="001C61EA" w:rsidP="001C61EA">
      <w:pPr>
        <w:spacing w:line="240" w:lineRule="auto"/>
        <w:rPr>
          <w:rFonts w:eastAsia="Times New Roman" w:cs="Arial"/>
          <w:color w:val="000000"/>
          <w:lang w:eastAsia="bg-BG"/>
        </w:rPr>
      </w:pPr>
      <w:r w:rsidRPr="001C61EA">
        <w:rPr>
          <w:rFonts w:eastAsia="Times New Roman" w:cs="Arial"/>
          <w:color w:val="000000"/>
          <w:lang w:eastAsia="bg-BG"/>
        </w:rPr>
        <w:t>Дезмопресин е синтетичен аналог на естествения хормон аргинин-вазопресин. Дезмопресин се отличава от естествения хормон по две химични разлики: деаминация на 1-цистеин и заместване на 8-</w:t>
      </w:r>
      <w:r w:rsidRPr="001C61EA">
        <w:rPr>
          <w:rFonts w:eastAsia="Times New Roman" w:cs="Arial"/>
          <w:color w:val="000000"/>
          <w:lang w:val="en-US"/>
        </w:rPr>
        <w:t>L</w:t>
      </w:r>
      <w:r w:rsidRPr="001C61EA">
        <w:rPr>
          <w:rFonts w:eastAsia="Times New Roman" w:cs="Arial"/>
          <w:color w:val="000000"/>
          <w:lang w:eastAsia="bg-BG"/>
        </w:rPr>
        <w:t>-аргинин с 8</w:t>
      </w:r>
      <w:r w:rsidRPr="001C61EA">
        <w:rPr>
          <w:rFonts w:eastAsia="Times New Roman" w:cs="Arial"/>
          <w:color w:val="000000"/>
          <w:lang w:val="en-US"/>
        </w:rPr>
        <w:t>-D</w:t>
      </w:r>
      <w:r w:rsidRPr="001C61EA">
        <w:rPr>
          <w:rFonts w:eastAsia="Times New Roman" w:cs="Arial"/>
          <w:color w:val="000000"/>
          <w:lang w:eastAsia="bg-BG"/>
        </w:rPr>
        <w:t xml:space="preserve">-аргинин. Тази промяна значително удължава антидиуретичния ефект и почти елиминира пресорния ефект в терапевтични дози. </w:t>
      </w:r>
    </w:p>
    <w:p w14:paraId="3C30D826" w14:textId="77777777" w:rsidR="001F0ECD" w:rsidRDefault="001F0ECD" w:rsidP="001C61EA">
      <w:pPr>
        <w:spacing w:line="240" w:lineRule="auto"/>
        <w:rPr>
          <w:rFonts w:eastAsia="Times New Roman" w:cs="Arial"/>
          <w:color w:val="000000"/>
          <w:lang w:eastAsia="bg-BG"/>
        </w:rPr>
      </w:pPr>
    </w:p>
    <w:p w14:paraId="0C851772" w14:textId="676F843C" w:rsidR="001C61EA" w:rsidRPr="001C61EA" w:rsidRDefault="001C61EA" w:rsidP="001C61EA">
      <w:pPr>
        <w:spacing w:line="240" w:lineRule="auto"/>
        <w:rPr>
          <w:rFonts w:eastAsia="Times New Roman" w:cs="Arial"/>
          <w:lang w:eastAsia="bg-BG"/>
        </w:rPr>
      </w:pPr>
      <w:r w:rsidRPr="001C61EA">
        <w:rPr>
          <w:rFonts w:eastAsia="Times New Roman" w:cs="Arial"/>
          <w:color w:val="000000"/>
          <w:lang w:eastAsia="bg-BG"/>
        </w:rPr>
        <w:t xml:space="preserve">Дезмопресин е мощен агент с </w:t>
      </w:r>
      <w:r w:rsidRPr="001C61EA">
        <w:rPr>
          <w:rFonts w:eastAsia="Times New Roman" w:cs="Arial"/>
          <w:smallCaps/>
          <w:color w:val="000000"/>
          <w:lang w:eastAsia="bg-BG"/>
        </w:rPr>
        <w:t>ЕС</w:t>
      </w:r>
      <w:r w:rsidRPr="001C61EA">
        <w:rPr>
          <w:rFonts w:eastAsia="Times New Roman" w:cs="Arial"/>
          <w:smallCaps/>
          <w:color w:val="000000"/>
          <w:vertAlign w:val="subscript"/>
          <w:lang w:eastAsia="bg-BG"/>
        </w:rPr>
        <w:t>50</w:t>
      </w:r>
      <w:r w:rsidRPr="001C61EA">
        <w:rPr>
          <w:rFonts w:eastAsia="Times New Roman" w:cs="Arial"/>
          <w:color w:val="000000"/>
          <w:lang w:eastAsia="bg-BG"/>
        </w:rPr>
        <w:t xml:space="preserve"> от 1,6 </w:t>
      </w:r>
      <w:proofErr w:type="spellStart"/>
      <w:r w:rsidRPr="001C61EA">
        <w:rPr>
          <w:rFonts w:eastAsia="Times New Roman" w:cs="Arial"/>
          <w:color w:val="000000"/>
          <w:lang w:val="en-US"/>
        </w:rPr>
        <w:t>pg</w:t>
      </w:r>
      <w:proofErr w:type="spellEnd"/>
      <w:r w:rsidRPr="001C61EA">
        <w:rPr>
          <w:rFonts w:eastAsia="Times New Roman" w:cs="Arial"/>
          <w:color w:val="000000"/>
          <w:lang w:val="en-US"/>
        </w:rPr>
        <w:t xml:space="preserve">/ml </w:t>
      </w:r>
      <w:r w:rsidRPr="001C61EA">
        <w:rPr>
          <w:rFonts w:eastAsia="Times New Roman" w:cs="Arial"/>
          <w:color w:val="000000"/>
          <w:lang w:eastAsia="bg-BG"/>
        </w:rPr>
        <w:t>по отношение на антидиуретичния ефект. След перорално приложение ефектът продължава от 6 до 14 часа или повече.</w:t>
      </w:r>
    </w:p>
    <w:p w14:paraId="2C07DA99" w14:textId="77777777" w:rsidR="001F0ECD" w:rsidRDefault="001F0ECD" w:rsidP="001C61EA">
      <w:pPr>
        <w:spacing w:line="240" w:lineRule="auto"/>
        <w:rPr>
          <w:rFonts w:eastAsia="Times New Roman" w:cs="Arial"/>
          <w:color w:val="000000"/>
          <w:lang w:eastAsia="bg-BG"/>
        </w:rPr>
      </w:pPr>
    </w:p>
    <w:p w14:paraId="7991E0FA" w14:textId="77777777" w:rsidR="001F0ECD" w:rsidRDefault="001C61EA" w:rsidP="001C61EA">
      <w:pPr>
        <w:spacing w:line="240" w:lineRule="auto"/>
        <w:rPr>
          <w:rFonts w:eastAsia="Times New Roman" w:cs="Arial"/>
          <w:color w:val="000000"/>
          <w:lang w:eastAsia="bg-BG"/>
        </w:rPr>
      </w:pPr>
      <w:r w:rsidRPr="001C61EA">
        <w:rPr>
          <w:rFonts w:eastAsia="Times New Roman" w:cs="Arial"/>
          <w:color w:val="000000"/>
          <w:lang w:eastAsia="bg-BG"/>
        </w:rPr>
        <w:t xml:space="preserve">Клинични проучвания с таблетки дезмопресин за лечение на никтурия са показали следното: </w:t>
      </w:r>
    </w:p>
    <w:p w14:paraId="3E9CE272" w14:textId="65CD385B" w:rsidR="001F0ECD" w:rsidRDefault="001F0ECD" w:rsidP="001F0ECD">
      <w:pPr>
        <w:spacing w:line="240" w:lineRule="auto"/>
        <w:jc w:val="both"/>
        <w:rPr>
          <w:rFonts w:eastAsia="Times New Roman" w:cs="Arial"/>
          <w:color w:val="000000"/>
          <w:lang w:eastAsia="bg-BG"/>
        </w:rPr>
      </w:pPr>
      <w:r>
        <w:rPr>
          <w:rFonts w:eastAsia="Times New Roman" w:cs="Arial"/>
          <w:color w:val="000000"/>
          <w:lang w:eastAsia="bg-BG"/>
        </w:rPr>
        <w:t>-</w:t>
      </w:r>
      <w:r w:rsidR="001C61EA" w:rsidRPr="001C61EA">
        <w:rPr>
          <w:rFonts w:eastAsia="Times New Roman" w:cs="Arial"/>
          <w:color w:val="000000"/>
          <w:lang w:eastAsia="bg-BG"/>
        </w:rPr>
        <w:t>При 39% от пациентите е било установено намаление с поне 50% на нощното уриниране. Резултатът при пациентите на лечение с плацебо е бил съответно 5% (р&lt;0,0001).</w:t>
      </w:r>
    </w:p>
    <w:p w14:paraId="68E12264" w14:textId="23A80BA7" w:rsidR="001C61EA" w:rsidRPr="001C61EA" w:rsidRDefault="001F0ECD" w:rsidP="001F0ECD">
      <w:pPr>
        <w:spacing w:line="240" w:lineRule="auto"/>
        <w:jc w:val="both"/>
        <w:rPr>
          <w:rFonts w:eastAsia="Times New Roman" w:cs="Arial"/>
          <w:lang w:eastAsia="bg-BG"/>
        </w:rPr>
      </w:pPr>
      <w:r>
        <w:rPr>
          <w:rFonts w:eastAsia="Times New Roman" w:cs="Arial"/>
          <w:color w:val="000000"/>
          <w:lang w:eastAsia="bg-BG"/>
        </w:rPr>
        <w:t>-</w:t>
      </w:r>
      <w:r w:rsidR="001C61EA" w:rsidRPr="001C61EA">
        <w:rPr>
          <w:rFonts w:eastAsia="Times New Roman" w:cs="Arial"/>
          <w:color w:val="000000"/>
          <w:lang w:eastAsia="bg-BG"/>
        </w:rPr>
        <w:t>В групата пациенти на лечение с дезмопресин, средната честота на нощно уриниране е намаляла с 44% в сравнение с групата с плацебо, в която е 15% (р&lt;0,0001).</w:t>
      </w:r>
    </w:p>
    <w:p w14:paraId="1FF13617" w14:textId="00D3D027" w:rsidR="001C61EA" w:rsidRPr="001C61EA" w:rsidRDefault="001F0ECD" w:rsidP="001F0ECD">
      <w:pPr>
        <w:spacing w:line="240" w:lineRule="auto"/>
        <w:jc w:val="both"/>
        <w:rPr>
          <w:rFonts w:eastAsia="Times New Roman" w:cs="Arial"/>
          <w:lang w:eastAsia="bg-BG"/>
        </w:rPr>
      </w:pPr>
      <w:r>
        <w:rPr>
          <w:rFonts w:eastAsia="Times New Roman" w:cs="Arial"/>
          <w:color w:val="000000"/>
          <w:lang w:eastAsia="bg-BG"/>
        </w:rPr>
        <w:t>-</w:t>
      </w:r>
      <w:r w:rsidR="001C61EA" w:rsidRPr="001C61EA">
        <w:rPr>
          <w:rFonts w:eastAsia="Times New Roman" w:cs="Arial"/>
          <w:color w:val="000000"/>
          <w:lang w:eastAsia="bg-BG"/>
        </w:rPr>
        <w:t>Средната продължителност на първото заспиване без прекъсване се е удължила с 64% в групата пациенти на лечение с дезмопресин в сравнение с 20% в групата пациенти на лечение с плацебо (р&lt;0,0001).</w:t>
      </w:r>
    </w:p>
    <w:p w14:paraId="4F58C723" w14:textId="68673890" w:rsidR="001C61EA" w:rsidRDefault="001F0ECD" w:rsidP="001F0ECD">
      <w:pPr>
        <w:jc w:val="both"/>
        <w:rPr>
          <w:rFonts w:eastAsia="Times New Roman" w:cs="Arial"/>
          <w:color w:val="000000"/>
          <w:lang w:eastAsia="bg-BG"/>
        </w:rPr>
      </w:pPr>
      <w:r>
        <w:rPr>
          <w:rFonts w:eastAsia="Times New Roman" w:cs="Arial"/>
          <w:color w:val="000000"/>
          <w:lang w:eastAsia="bg-BG"/>
        </w:rPr>
        <w:t>-</w:t>
      </w:r>
      <w:r w:rsidR="001C61EA" w:rsidRPr="001F0ECD">
        <w:rPr>
          <w:rFonts w:eastAsia="Times New Roman" w:cs="Arial"/>
          <w:color w:val="000000"/>
          <w:lang w:eastAsia="bg-BG"/>
        </w:rPr>
        <w:t>Средната продължителност на първия сън без прекъсване се е удължила с два часа при приложение на дезмопресин в сравнение с 31 минути при приложение на плацебо (р&lt;0,0001).</w:t>
      </w:r>
    </w:p>
    <w:p w14:paraId="5AF1D403" w14:textId="77777777" w:rsidR="001F0ECD" w:rsidRPr="001F0ECD" w:rsidRDefault="001F0ECD" w:rsidP="001F0ECD">
      <w:pPr>
        <w:jc w:val="both"/>
        <w:rPr>
          <w:rFonts w:cs="Arial"/>
        </w:rPr>
      </w:pPr>
    </w:p>
    <w:p w14:paraId="37795CD3" w14:textId="77777777" w:rsidR="001F0ECD" w:rsidRDefault="002C50EE" w:rsidP="001F0ECD">
      <w:pPr>
        <w:pStyle w:val="Heading2"/>
      </w:pPr>
      <w:r>
        <w:t>5.2. Фармакокинетични свойства</w:t>
      </w:r>
    </w:p>
    <w:p w14:paraId="5B923261" w14:textId="77777777" w:rsidR="001F0ECD" w:rsidRDefault="001F0ECD" w:rsidP="001F0ECD">
      <w:pPr>
        <w:pStyle w:val="Heading2"/>
      </w:pPr>
    </w:p>
    <w:p w14:paraId="145703C9" w14:textId="45EACB9D" w:rsidR="001F0ECD" w:rsidRPr="001F0ECD" w:rsidRDefault="001F0ECD" w:rsidP="001F0ECD">
      <w:pPr>
        <w:pStyle w:val="Heading2"/>
      </w:pPr>
      <w:bookmarkStart w:id="1" w:name="_GoBack"/>
      <w:r w:rsidRPr="00F825C3">
        <w:rPr>
          <w:rStyle w:val="Heading3Char"/>
          <w:u w:val="single"/>
        </w:rPr>
        <w:t>А</w:t>
      </w:r>
      <w:bookmarkEnd w:id="1"/>
      <w:r w:rsidRPr="00F825C3">
        <w:rPr>
          <w:rStyle w:val="Heading3Char"/>
          <w:u w:val="single"/>
        </w:rPr>
        <w:t>бсорбция</w:t>
      </w:r>
    </w:p>
    <w:p w14:paraId="6938FE19" w14:textId="77777777" w:rsidR="001F0ECD" w:rsidRPr="001F0ECD" w:rsidRDefault="001F0ECD" w:rsidP="001F0ECD">
      <w:pPr>
        <w:spacing w:line="240" w:lineRule="auto"/>
        <w:rPr>
          <w:rFonts w:eastAsia="Times New Roman" w:cs="Arial"/>
          <w:lang w:eastAsia="bg-BG"/>
        </w:rPr>
      </w:pPr>
      <w:r w:rsidRPr="001F0ECD">
        <w:rPr>
          <w:rFonts w:eastAsia="Times New Roman" w:cs="Arial"/>
          <w:color w:val="000000"/>
          <w:lang w:eastAsia="bg-BG"/>
        </w:rPr>
        <w:t>Абсолютната бионаличност след перорално приложение на дезмопресин варира между 0,08% и 0,16%. Бионаличността на дезмопресин варира умерено до значително между отделните пациенти и за всеки пациент. Същевременно приемът на храна намалява степента и обема на абсорбция с 40%. Средната максимална плазмена концентрация се достига в рамките на 2 часа.</w:t>
      </w:r>
    </w:p>
    <w:p w14:paraId="16F6C177" w14:textId="77777777" w:rsidR="001F0ECD" w:rsidRDefault="001F0ECD" w:rsidP="001F0ECD">
      <w:pPr>
        <w:spacing w:line="240" w:lineRule="auto"/>
        <w:rPr>
          <w:rFonts w:eastAsia="Times New Roman" w:cs="Arial"/>
          <w:color w:val="000000"/>
          <w:u w:val="single"/>
          <w:lang w:eastAsia="bg-BG"/>
        </w:rPr>
      </w:pPr>
    </w:p>
    <w:p w14:paraId="450C34DB" w14:textId="77777777" w:rsidR="001F0ECD" w:rsidRPr="00F825C3" w:rsidRDefault="001F0ECD" w:rsidP="00F825C3">
      <w:pPr>
        <w:pStyle w:val="Heading3"/>
        <w:rPr>
          <w:rFonts w:eastAsia="Times New Roman"/>
          <w:u w:val="single"/>
          <w:lang w:eastAsia="bg-BG"/>
        </w:rPr>
      </w:pPr>
      <w:r w:rsidRPr="00F825C3">
        <w:rPr>
          <w:rFonts w:eastAsia="Times New Roman"/>
          <w:u w:val="single"/>
          <w:lang w:eastAsia="bg-BG"/>
        </w:rPr>
        <w:lastRenderedPageBreak/>
        <w:t>Разпределение</w:t>
      </w:r>
      <w:r w:rsidRPr="00F825C3">
        <w:rPr>
          <w:rFonts w:eastAsia="Times New Roman"/>
          <w:u w:val="single"/>
          <w:lang w:eastAsia="bg-BG"/>
        </w:rPr>
        <w:tab/>
      </w:r>
      <w:r w:rsidRPr="00F825C3">
        <w:rPr>
          <w:rFonts w:eastAsia="Times New Roman"/>
          <w:u w:val="single"/>
          <w:lang w:eastAsia="bg-BG"/>
        </w:rPr>
        <w:tab/>
      </w:r>
    </w:p>
    <w:p w14:paraId="05A58B4E" w14:textId="749DF240" w:rsidR="001F0ECD" w:rsidRDefault="001F0ECD" w:rsidP="001F0ECD">
      <w:pPr>
        <w:spacing w:line="240" w:lineRule="auto"/>
        <w:rPr>
          <w:rFonts w:eastAsia="Times New Roman" w:cs="Arial"/>
          <w:color w:val="000000"/>
          <w:lang w:eastAsia="bg-BG"/>
        </w:rPr>
      </w:pPr>
      <w:r w:rsidRPr="001F0ECD">
        <w:rPr>
          <w:rFonts w:eastAsia="Times New Roman" w:cs="Arial"/>
          <w:color w:val="000000"/>
          <w:lang w:eastAsia="bg-BG"/>
        </w:rPr>
        <w:t xml:space="preserve">Обемът на разпределение на дезмопресин е 0,2-0,3 </w:t>
      </w:r>
      <w:r w:rsidRPr="001F0ECD">
        <w:rPr>
          <w:rFonts w:eastAsia="Times New Roman" w:cs="Arial"/>
          <w:color w:val="000000"/>
          <w:lang w:val="en-US"/>
        </w:rPr>
        <w:t xml:space="preserve">l/kg. </w:t>
      </w:r>
      <w:r w:rsidRPr="001F0ECD">
        <w:rPr>
          <w:rFonts w:eastAsia="Times New Roman" w:cs="Arial"/>
          <w:color w:val="000000"/>
          <w:lang w:eastAsia="bg-BG"/>
        </w:rPr>
        <w:t>Плазменият</w:t>
      </w:r>
      <w:r w:rsidRPr="001F0ECD">
        <w:rPr>
          <w:rFonts w:eastAsia="Times New Roman" w:cs="Arial"/>
          <w:color w:val="000000"/>
          <w:lang w:val="en-US"/>
        </w:rPr>
        <w:t xml:space="preserve"> </w:t>
      </w:r>
      <w:r>
        <w:rPr>
          <w:rFonts w:eastAsia="Times New Roman" w:cs="Arial"/>
          <w:color w:val="000000"/>
          <w:lang w:eastAsia="bg-BG"/>
        </w:rPr>
        <w:t>полуживот е 2-3 часа.</w:t>
      </w:r>
      <w:r w:rsidRPr="001F0ECD">
        <w:rPr>
          <w:rFonts w:eastAsia="Times New Roman" w:cs="Arial"/>
          <w:color w:val="000000"/>
          <w:lang w:eastAsia="bg-BG"/>
        </w:rPr>
        <w:t>Полуживотът след перорално приложение е между 2 и 3 часа. Дезмопресин не преминава</w:t>
      </w:r>
      <w:r w:rsidRPr="001F0ECD">
        <w:rPr>
          <w:rFonts w:eastAsia="Times New Roman" w:cs="Arial"/>
          <w:i/>
          <w:iCs/>
          <w:color w:val="000000"/>
          <w:lang w:eastAsia="bg-BG"/>
        </w:rPr>
        <w:t xml:space="preserve"> </w:t>
      </w:r>
      <w:r w:rsidRPr="001F0ECD">
        <w:rPr>
          <w:rFonts w:eastAsia="Times New Roman" w:cs="Arial"/>
          <w:color w:val="000000"/>
          <w:lang w:eastAsia="bg-BG"/>
        </w:rPr>
        <w:t>кръвно-мозъчната бариера.</w:t>
      </w:r>
    </w:p>
    <w:p w14:paraId="6A637EAD" w14:textId="05FFB5C0" w:rsidR="001F0ECD" w:rsidRDefault="001F0ECD" w:rsidP="001F0ECD">
      <w:pPr>
        <w:spacing w:line="240" w:lineRule="auto"/>
        <w:rPr>
          <w:rFonts w:eastAsia="Times New Roman" w:cs="Arial"/>
          <w:color w:val="000000"/>
          <w:lang w:eastAsia="bg-BG"/>
        </w:rPr>
      </w:pPr>
    </w:p>
    <w:p w14:paraId="6CD75AAF" w14:textId="77777777" w:rsidR="001F0ECD" w:rsidRPr="00F825C3" w:rsidRDefault="001F0ECD" w:rsidP="00F825C3">
      <w:pPr>
        <w:pStyle w:val="Heading3"/>
        <w:rPr>
          <w:rFonts w:eastAsia="Times New Roman"/>
          <w:u w:val="single"/>
          <w:lang w:eastAsia="bg-BG"/>
        </w:rPr>
      </w:pPr>
      <w:r w:rsidRPr="00F825C3">
        <w:rPr>
          <w:rFonts w:eastAsia="Times New Roman"/>
          <w:u w:val="single"/>
          <w:lang w:eastAsia="bg-BG"/>
        </w:rPr>
        <w:t>Биотрансформация</w:t>
      </w:r>
    </w:p>
    <w:p w14:paraId="1CBEDF44" w14:textId="77777777" w:rsidR="001F0ECD" w:rsidRPr="001F0ECD" w:rsidRDefault="001F0ECD" w:rsidP="001F0ECD">
      <w:pPr>
        <w:spacing w:line="240" w:lineRule="auto"/>
        <w:rPr>
          <w:rFonts w:eastAsia="Times New Roman" w:cs="Arial"/>
          <w:lang w:eastAsia="bg-BG"/>
        </w:rPr>
      </w:pPr>
      <w:r w:rsidRPr="001F0ECD">
        <w:rPr>
          <w:rFonts w:eastAsia="Times New Roman" w:cs="Arial"/>
          <w:i/>
          <w:iCs/>
          <w:color w:val="000000"/>
          <w:lang w:val="en-US"/>
        </w:rPr>
        <w:t>In vitro</w:t>
      </w:r>
      <w:r w:rsidRPr="001F0ECD">
        <w:rPr>
          <w:rFonts w:eastAsia="Times New Roman" w:cs="Arial"/>
          <w:color w:val="000000"/>
          <w:lang w:val="en-US"/>
        </w:rPr>
        <w:t xml:space="preserve"> </w:t>
      </w:r>
      <w:r w:rsidRPr="001F0ECD">
        <w:rPr>
          <w:rFonts w:eastAsia="Times New Roman" w:cs="Arial"/>
          <w:color w:val="000000"/>
          <w:lang w:eastAsia="bg-BG"/>
        </w:rPr>
        <w:t xml:space="preserve">проучвания проведени с човешки чернодробни микрозоми са показали, че само незначително количество от дезмопресин се метаболизира в черния дроб. </w:t>
      </w:r>
      <w:r w:rsidRPr="001F0ECD">
        <w:rPr>
          <w:rFonts w:eastAsia="Times New Roman" w:cs="Arial"/>
          <w:i/>
          <w:iCs/>
          <w:color w:val="000000"/>
          <w:lang w:val="en-US"/>
        </w:rPr>
        <w:t>In vivo</w:t>
      </w:r>
      <w:r w:rsidRPr="001F0ECD">
        <w:rPr>
          <w:rFonts w:eastAsia="Times New Roman" w:cs="Arial"/>
          <w:color w:val="000000"/>
          <w:lang w:val="en-US"/>
        </w:rPr>
        <w:t xml:space="preserve"> </w:t>
      </w:r>
      <w:r w:rsidRPr="001F0ECD">
        <w:rPr>
          <w:rFonts w:eastAsia="Times New Roman" w:cs="Arial"/>
          <w:color w:val="000000"/>
          <w:lang w:eastAsia="bg-BG"/>
        </w:rPr>
        <w:t>метаболизъм в черния дроб не е вероятен.</w:t>
      </w:r>
    </w:p>
    <w:p w14:paraId="0D68D46F" w14:textId="77777777" w:rsidR="001F0ECD" w:rsidRDefault="001F0ECD" w:rsidP="001F0ECD">
      <w:pPr>
        <w:spacing w:line="240" w:lineRule="auto"/>
        <w:rPr>
          <w:rFonts w:eastAsia="Times New Roman" w:cs="Arial"/>
          <w:color w:val="000000"/>
          <w:u w:val="single"/>
          <w:lang w:eastAsia="bg-BG"/>
        </w:rPr>
      </w:pPr>
    </w:p>
    <w:p w14:paraId="6187F88F" w14:textId="74C03973" w:rsidR="001F0ECD" w:rsidRPr="00F825C3" w:rsidRDefault="001F0ECD" w:rsidP="00F825C3">
      <w:pPr>
        <w:pStyle w:val="Heading3"/>
        <w:rPr>
          <w:rFonts w:eastAsia="Times New Roman"/>
          <w:u w:val="single"/>
          <w:lang w:eastAsia="bg-BG"/>
        </w:rPr>
      </w:pPr>
      <w:r w:rsidRPr="00F825C3">
        <w:rPr>
          <w:rFonts w:eastAsia="Times New Roman"/>
          <w:u w:val="single"/>
          <w:lang w:eastAsia="bg-BG"/>
        </w:rPr>
        <w:t>Елиминиране</w:t>
      </w:r>
    </w:p>
    <w:p w14:paraId="3DEC46BD" w14:textId="09AA7048" w:rsidR="001F0ECD" w:rsidRDefault="001F0ECD" w:rsidP="001F0ECD">
      <w:pPr>
        <w:spacing w:line="240" w:lineRule="auto"/>
        <w:rPr>
          <w:rFonts w:eastAsia="Times New Roman" w:cs="Arial"/>
          <w:color w:val="000000"/>
          <w:lang w:eastAsia="bg-BG"/>
        </w:rPr>
      </w:pPr>
      <w:r w:rsidRPr="001F0ECD">
        <w:rPr>
          <w:rFonts w:eastAsia="Times New Roman" w:cs="Arial"/>
          <w:color w:val="000000"/>
          <w:lang w:eastAsia="bg-BG"/>
        </w:rPr>
        <w:t>След интравенозно приложение 45% от приложената доза дезмопресин е била открита в урината в рамките на 24 часа.</w:t>
      </w:r>
    </w:p>
    <w:p w14:paraId="6AA23858" w14:textId="77777777" w:rsidR="001F0ECD" w:rsidRPr="001F0ECD" w:rsidRDefault="001F0ECD" w:rsidP="001F0ECD">
      <w:pPr>
        <w:spacing w:line="240" w:lineRule="auto"/>
        <w:rPr>
          <w:rFonts w:eastAsia="Times New Roman" w:cs="Arial"/>
          <w:lang w:eastAsia="bg-BG"/>
        </w:rPr>
      </w:pPr>
    </w:p>
    <w:p w14:paraId="648E39DA" w14:textId="6C587F07" w:rsidR="00CF77F7" w:rsidRDefault="002C50EE" w:rsidP="004A448E">
      <w:pPr>
        <w:pStyle w:val="Heading2"/>
      </w:pPr>
      <w:r>
        <w:t>5.3. Предклинични данни за безопасност</w:t>
      </w:r>
    </w:p>
    <w:p w14:paraId="1A0E2170" w14:textId="2B257CC3" w:rsidR="001F0ECD" w:rsidRDefault="001F0ECD" w:rsidP="001F0ECD"/>
    <w:p w14:paraId="6AC96F57" w14:textId="77777777" w:rsidR="001F0ECD" w:rsidRPr="001F0ECD" w:rsidRDefault="001F0ECD" w:rsidP="001F0ECD">
      <w:pPr>
        <w:spacing w:line="240" w:lineRule="auto"/>
        <w:rPr>
          <w:rFonts w:eastAsia="Times New Roman" w:cs="Arial"/>
          <w:lang w:eastAsia="bg-BG"/>
        </w:rPr>
      </w:pPr>
      <w:r w:rsidRPr="001F0ECD">
        <w:rPr>
          <w:rFonts w:eastAsia="Times New Roman" w:cs="Arial"/>
          <w:color w:val="000000"/>
          <w:lang w:eastAsia="bg-BG"/>
        </w:rPr>
        <w:t>Неклиничните данни не са показали особен риск за хората на база на конвенционалните фармакологични проучвания за безопасност, генотоксичност и репродуктивна токсичност.</w:t>
      </w:r>
    </w:p>
    <w:p w14:paraId="29060E81" w14:textId="77777777" w:rsidR="001F0ECD" w:rsidRDefault="001F0ECD" w:rsidP="001F0ECD">
      <w:pPr>
        <w:rPr>
          <w:rFonts w:eastAsia="Times New Roman" w:cs="Arial"/>
          <w:color w:val="000000"/>
          <w:lang w:eastAsia="bg-BG"/>
        </w:rPr>
      </w:pPr>
    </w:p>
    <w:p w14:paraId="58300BB9" w14:textId="21B14739" w:rsidR="001F0ECD" w:rsidRPr="001F0ECD" w:rsidRDefault="001F0ECD" w:rsidP="001F0ECD">
      <w:pPr>
        <w:rPr>
          <w:rFonts w:cs="Arial"/>
        </w:rPr>
      </w:pPr>
      <w:r w:rsidRPr="001F0ECD">
        <w:rPr>
          <w:rFonts w:eastAsia="Times New Roman" w:cs="Arial"/>
          <w:color w:val="000000"/>
          <w:lang w:eastAsia="bg-BG"/>
        </w:rPr>
        <w:t>При плъхове с дневна доза от 47,4 микрограма</w:t>
      </w:r>
      <w:r w:rsidRPr="001F0ECD">
        <w:rPr>
          <w:rFonts w:eastAsia="Times New Roman" w:cs="Arial"/>
          <w:color w:val="000000"/>
          <w:lang w:val="en-US"/>
        </w:rPr>
        <w:t xml:space="preserve">/kg </w:t>
      </w:r>
      <w:r w:rsidRPr="001F0ECD">
        <w:rPr>
          <w:rFonts w:eastAsia="Times New Roman" w:cs="Arial"/>
          <w:color w:val="000000"/>
          <w:lang w:eastAsia="bg-BG"/>
        </w:rPr>
        <w:t>телесно тегло, т.е. при експозиция считана за много над максималната доза при хора е установено увреждане на бъбречната функция с повишаване на серумния креатинин, както и хиалинна дегенерация на тубулния епител. Уврежданията са били обратими след преустановяване лечението с дезмопресин. Проучвания върху карциногенните свойства не са налични.</w:t>
      </w:r>
    </w:p>
    <w:p w14:paraId="6A7820AB" w14:textId="0A5F5FEB" w:rsidR="008A6AF2" w:rsidRDefault="002C50EE" w:rsidP="00395555">
      <w:pPr>
        <w:pStyle w:val="Heading1"/>
      </w:pPr>
      <w:r>
        <w:t>7. ПРИТЕЖАТЕЛ НА РАЗРЕШЕНИЕТО ЗА УПОТРЕБА</w:t>
      </w:r>
    </w:p>
    <w:p w14:paraId="07EF7245" w14:textId="07FF87E1" w:rsidR="001F0ECD" w:rsidRDefault="001F0ECD" w:rsidP="001F0ECD"/>
    <w:p w14:paraId="53618759" w14:textId="77777777" w:rsidR="001F0ECD" w:rsidRPr="001F0ECD" w:rsidRDefault="001F0ECD" w:rsidP="001F0ECD">
      <w:pPr>
        <w:spacing w:line="240" w:lineRule="auto"/>
        <w:rPr>
          <w:rFonts w:eastAsia="Times New Roman" w:cs="Arial"/>
          <w:lang w:val="en-US" w:eastAsia="bg-BG"/>
        </w:rPr>
      </w:pPr>
      <w:proofErr w:type="spellStart"/>
      <w:r w:rsidRPr="001F0ECD">
        <w:rPr>
          <w:rFonts w:eastAsia="Times New Roman" w:cs="Arial"/>
          <w:color w:val="000000"/>
          <w:lang w:val="en-US"/>
        </w:rPr>
        <w:t>Teva</w:t>
      </w:r>
      <w:proofErr w:type="spellEnd"/>
      <w:r w:rsidRPr="001F0ECD">
        <w:rPr>
          <w:rFonts w:eastAsia="Times New Roman" w:cs="Arial"/>
          <w:color w:val="000000"/>
          <w:lang w:val="en-US"/>
        </w:rPr>
        <w:t xml:space="preserve"> B.V.</w:t>
      </w:r>
    </w:p>
    <w:p w14:paraId="5F924955" w14:textId="77777777" w:rsidR="001F0ECD" w:rsidRPr="001F0ECD" w:rsidRDefault="001F0ECD" w:rsidP="001F0ECD">
      <w:pPr>
        <w:spacing w:line="240" w:lineRule="auto"/>
        <w:rPr>
          <w:rFonts w:eastAsia="Times New Roman" w:cs="Arial"/>
          <w:lang w:val="en-US" w:eastAsia="bg-BG"/>
        </w:rPr>
      </w:pPr>
      <w:proofErr w:type="spellStart"/>
      <w:r w:rsidRPr="001F0ECD">
        <w:rPr>
          <w:rFonts w:eastAsia="Times New Roman" w:cs="Arial"/>
          <w:color w:val="000000"/>
          <w:lang w:val="en-US"/>
        </w:rPr>
        <w:t>Swensweg</w:t>
      </w:r>
      <w:proofErr w:type="spellEnd"/>
      <w:r w:rsidRPr="001F0ECD">
        <w:rPr>
          <w:rFonts w:eastAsia="Times New Roman" w:cs="Arial"/>
          <w:color w:val="000000"/>
          <w:lang w:val="en-US"/>
        </w:rPr>
        <w:t xml:space="preserve"> </w:t>
      </w:r>
      <w:r w:rsidRPr="001F0ECD">
        <w:rPr>
          <w:rFonts w:eastAsia="Times New Roman" w:cs="Arial"/>
          <w:color w:val="000000"/>
          <w:lang w:eastAsia="bg-BG"/>
        </w:rPr>
        <w:t xml:space="preserve">5, 2031 </w:t>
      </w:r>
      <w:r w:rsidRPr="001F0ECD">
        <w:rPr>
          <w:rFonts w:eastAsia="Times New Roman" w:cs="Arial"/>
          <w:color w:val="000000"/>
          <w:lang w:val="en-US"/>
        </w:rPr>
        <w:t>GA Haarlem</w:t>
      </w:r>
    </w:p>
    <w:p w14:paraId="710C68CD" w14:textId="0A142038" w:rsidR="001F0ECD" w:rsidRPr="001F0ECD" w:rsidRDefault="001F0ECD" w:rsidP="001F0ECD">
      <w:pPr>
        <w:rPr>
          <w:rFonts w:cs="Arial"/>
        </w:rPr>
      </w:pPr>
      <w:r w:rsidRPr="001F0ECD">
        <w:rPr>
          <w:rFonts w:eastAsia="Times New Roman" w:cs="Arial"/>
          <w:color w:val="000000"/>
          <w:lang w:eastAsia="bg-BG"/>
        </w:rPr>
        <w:t>Нидерландия</w:t>
      </w:r>
    </w:p>
    <w:p w14:paraId="7BA1BA64" w14:textId="4124ABC2" w:rsidR="00CF77F7" w:rsidRDefault="002C50EE" w:rsidP="004A448E">
      <w:pPr>
        <w:pStyle w:val="Heading1"/>
      </w:pPr>
      <w:r>
        <w:t>8. НОМЕР НА РАЗРЕШЕНИЕТО ЗА УПОТРЕБА</w:t>
      </w:r>
    </w:p>
    <w:p w14:paraId="36DDF9C9" w14:textId="7CC4525B" w:rsidR="001F0ECD" w:rsidRDefault="001F0ECD" w:rsidP="001F0ECD"/>
    <w:p w14:paraId="1298720F" w14:textId="3619F2D7" w:rsidR="001F0ECD" w:rsidRPr="001F0ECD" w:rsidRDefault="001F0ECD" w:rsidP="001F0ECD">
      <w:pPr>
        <w:rPr>
          <w:rFonts w:cs="Arial"/>
        </w:rPr>
      </w:pPr>
      <w:r w:rsidRPr="001F0ECD">
        <w:rPr>
          <w:rFonts w:cs="Arial"/>
          <w:lang w:val="en-US"/>
        </w:rPr>
        <w:t xml:space="preserve">Per. </w:t>
      </w:r>
      <w:r w:rsidRPr="001F0ECD">
        <w:rPr>
          <w:rFonts w:cs="Arial"/>
        </w:rPr>
        <w:t>№ 20090025</w:t>
      </w:r>
    </w:p>
    <w:p w14:paraId="2CCB5832" w14:textId="1C85ECBD" w:rsidR="007C605B" w:rsidRDefault="002C50EE" w:rsidP="007C605B">
      <w:pPr>
        <w:pStyle w:val="Heading1"/>
      </w:pPr>
      <w:r>
        <w:t>9. ДАТА НА ПЪРВО РАЗРЕШАВАНЕ/ПОДНОВЯВАНЕ НА РАЗРЕШЕНИЕТО ЗА УПОТРЕБА</w:t>
      </w:r>
    </w:p>
    <w:p w14:paraId="58D7BED6" w14:textId="67C11013" w:rsidR="001F0ECD" w:rsidRDefault="001F0ECD" w:rsidP="001F0ECD"/>
    <w:p w14:paraId="4A19834E" w14:textId="77777777" w:rsidR="001F0ECD" w:rsidRPr="001F0ECD" w:rsidRDefault="001F0ECD" w:rsidP="001F0ECD">
      <w:pPr>
        <w:spacing w:line="240" w:lineRule="auto"/>
        <w:rPr>
          <w:rFonts w:eastAsia="Times New Roman" w:cs="Arial"/>
          <w:lang w:eastAsia="bg-BG"/>
        </w:rPr>
      </w:pPr>
      <w:r w:rsidRPr="001F0ECD">
        <w:rPr>
          <w:rFonts w:eastAsia="Times New Roman" w:cs="Arial"/>
          <w:color w:val="000000"/>
          <w:lang w:eastAsia="bg-BG"/>
        </w:rPr>
        <w:t>Дата на първо разрешаване: 28 януари 2009 г.</w:t>
      </w:r>
    </w:p>
    <w:p w14:paraId="74929E2A" w14:textId="4FCF2FB6" w:rsidR="001F0ECD" w:rsidRPr="001F0ECD" w:rsidRDefault="001F0ECD" w:rsidP="001F0ECD">
      <w:pPr>
        <w:rPr>
          <w:rFonts w:cs="Arial"/>
        </w:rPr>
      </w:pPr>
      <w:r w:rsidRPr="001F0ECD">
        <w:rPr>
          <w:rFonts w:eastAsia="Times New Roman" w:cs="Arial"/>
          <w:color w:val="000000"/>
          <w:lang w:eastAsia="bg-BG"/>
        </w:rPr>
        <w:t>Дата на последно подновяване: 16 юли 2012 г.</w:t>
      </w:r>
    </w:p>
    <w:p w14:paraId="0E9D0119" w14:textId="18CAB506" w:rsidR="002C50EE" w:rsidRDefault="002C50EE" w:rsidP="002C50EE">
      <w:pPr>
        <w:pStyle w:val="Heading1"/>
      </w:pPr>
      <w:r>
        <w:t>10. ДАТА НА АКТУАЛИЗИРАНЕ НА ТЕКСТА</w:t>
      </w:r>
    </w:p>
    <w:p w14:paraId="338F6B84" w14:textId="201C739B" w:rsidR="001F0ECD" w:rsidRDefault="001F0ECD" w:rsidP="001F0ECD"/>
    <w:p w14:paraId="7E8BD42D" w14:textId="77777777" w:rsidR="001F0ECD" w:rsidRPr="001F0ECD" w:rsidRDefault="001F0ECD" w:rsidP="001F0EC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928E8"/>
    <w:multiLevelType w:val="hybridMultilevel"/>
    <w:tmpl w:val="A4864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A10E3"/>
    <w:multiLevelType w:val="hybridMultilevel"/>
    <w:tmpl w:val="4FE8E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3C61DBF"/>
    <w:multiLevelType w:val="hybridMultilevel"/>
    <w:tmpl w:val="4B766B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7"/>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11"/>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C61EA"/>
    <w:rsid w:val="001D1B23"/>
    <w:rsid w:val="001F0ECD"/>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EF0548"/>
    <w:rsid w:val="00F37B64"/>
    <w:rsid w:val="00F825C3"/>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16679</Characters>
  <Application>Microsoft Office Word</Application>
  <DocSecurity>0</DocSecurity>
  <Lines>138</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2022-04-03T14:25:00Z</dcterms:created>
  <dcterms:modified xsi:type="dcterms:W3CDTF">2022-05-09T01:37:00Z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