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52FDDB7C" w:rsidR="009F77A4" w:rsidRDefault="00DD466D" w:rsidP="00387A66">
      <w:pPr>
        <w:pStyle w:val="Heading1"/>
      </w:pPr>
      <w:r>
        <w:t>1.ИМЕ НА ЛЕКАРСТВЕНИЯ ПРОДУКТ</w:t>
      </w:r>
    </w:p>
    <w:p w14:paraId="6FDA0048" w14:textId="1949BB00" w:rsidR="002F09FD" w:rsidRDefault="002F09FD" w:rsidP="002F09FD"/>
    <w:p w14:paraId="516E05BD" w14:textId="77777777" w:rsidR="002F09FD" w:rsidRDefault="002F09FD" w:rsidP="002F09FD">
      <w:pPr>
        <w:rPr>
          <w:lang w:eastAsia="bg-BG"/>
        </w:rPr>
      </w:pPr>
      <w:r w:rsidRPr="002F09FD">
        <w:rPr>
          <w:lang w:eastAsia="bg-BG"/>
        </w:rPr>
        <w:t xml:space="preserve">Модитен депо 25 </w:t>
      </w:r>
      <w:r w:rsidRPr="002F09FD">
        <w:rPr>
          <w:lang w:val="en-US"/>
        </w:rPr>
        <w:t xml:space="preserve">mg/ml </w:t>
      </w:r>
      <w:r w:rsidRPr="002F09FD">
        <w:rPr>
          <w:lang w:eastAsia="bg-BG"/>
        </w:rPr>
        <w:t xml:space="preserve">инжекционен разтвор </w:t>
      </w:r>
    </w:p>
    <w:p w14:paraId="1D5F9CB1" w14:textId="44677E88" w:rsidR="002F09FD" w:rsidRPr="002F09FD" w:rsidRDefault="002F09FD" w:rsidP="002F09FD">
      <w:pPr>
        <w:rPr>
          <w:sz w:val="24"/>
          <w:szCs w:val="24"/>
          <w:lang w:val="en-US" w:eastAsia="bg-BG"/>
        </w:rPr>
      </w:pPr>
      <w:proofErr w:type="spellStart"/>
      <w:r w:rsidRPr="002F09FD">
        <w:rPr>
          <w:lang w:val="en-US"/>
        </w:rPr>
        <w:t>Moditen</w:t>
      </w:r>
      <w:proofErr w:type="spellEnd"/>
      <w:r w:rsidRPr="002F09FD">
        <w:rPr>
          <w:lang w:val="en-US"/>
        </w:rPr>
        <w:t xml:space="preserve"> depo </w:t>
      </w:r>
      <w:r w:rsidRPr="002F09FD">
        <w:rPr>
          <w:lang w:eastAsia="bg-BG"/>
        </w:rPr>
        <w:t xml:space="preserve">25 </w:t>
      </w:r>
      <w:r w:rsidRPr="002F09FD">
        <w:rPr>
          <w:lang w:val="en-US"/>
        </w:rPr>
        <w:t>mg/ml solution for injection</w:t>
      </w:r>
    </w:p>
    <w:p w14:paraId="3C97B7C2" w14:textId="77777777" w:rsidR="002F09FD" w:rsidRPr="002F09FD" w:rsidRDefault="002F09FD" w:rsidP="002F09FD"/>
    <w:p w14:paraId="0DF202EC" w14:textId="54338D8E" w:rsidR="00F53FB7" w:rsidRDefault="00DD466D" w:rsidP="00A93499">
      <w:pPr>
        <w:pStyle w:val="Heading1"/>
      </w:pPr>
      <w:r>
        <w:t>2. КАЧЕСТВЕН И КОЛИЧЕСТВЕН СЪСТАВ</w:t>
      </w:r>
    </w:p>
    <w:p w14:paraId="58CA5482" w14:textId="6518DA7D" w:rsidR="002F09FD" w:rsidRDefault="002F09FD" w:rsidP="002F09FD"/>
    <w:p w14:paraId="70585D8B" w14:textId="77777777" w:rsidR="002F09FD" w:rsidRPr="002F09FD" w:rsidRDefault="002F09FD" w:rsidP="002F09FD">
      <w:pPr>
        <w:rPr>
          <w:sz w:val="24"/>
          <w:szCs w:val="24"/>
          <w:lang w:eastAsia="bg-BG"/>
        </w:rPr>
      </w:pPr>
      <w:r w:rsidRPr="002F09FD">
        <w:rPr>
          <w:lang w:eastAsia="bg-BG"/>
        </w:rPr>
        <w:t xml:space="preserve">1 </w:t>
      </w:r>
      <w:r w:rsidRPr="002F09FD">
        <w:rPr>
          <w:lang w:val="en-US"/>
        </w:rPr>
        <w:t xml:space="preserve">ml </w:t>
      </w:r>
      <w:r w:rsidRPr="002F09FD">
        <w:rPr>
          <w:lang w:eastAsia="bg-BG"/>
        </w:rPr>
        <w:t>от инжекционния разтвор (1</w:t>
      </w:r>
      <w:r w:rsidRPr="002F09FD">
        <w:rPr>
          <w:lang w:val="en-US"/>
        </w:rPr>
        <w:t xml:space="preserve"> </w:t>
      </w:r>
      <w:r w:rsidRPr="002F09FD">
        <w:rPr>
          <w:lang w:eastAsia="bg-BG"/>
        </w:rPr>
        <w:t xml:space="preserve">ампула) съдържа 25 </w:t>
      </w:r>
      <w:r w:rsidRPr="002F09FD">
        <w:rPr>
          <w:lang w:val="en-US"/>
        </w:rPr>
        <w:t xml:space="preserve">mg </w:t>
      </w:r>
      <w:r w:rsidRPr="002F09FD">
        <w:rPr>
          <w:lang w:eastAsia="bg-BG"/>
        </w:rPr>
        <w:t xml:space="preserve">флуфеназинов деканоат </w:t>
      </w:r>
      <w:r w:rsidRPr="002F09FD">
        <w:rPr>
          <w:i/>
          <w:iCs/>
          <w:lang w:val="en-US"/>
        </w:rPr>
        <w:t>(fluphenazine decanoate),</w:t>
      </w:r>
      <w:r w:rsidRPr="002F09FD">
        <w:rPr>
          <w:lang w:val="en-US"/>
        </w:rPr>
        <w:t xml:space="preserve"> </w:t>
      </w:r>
      <w:r w:rsidRPr="002F09FD">
        <w:rPr>
          <w:lang w:eastAsia="bg-BG"/>
        </w:rPr>
        <w:t xml:space="preserve">еквивалентен на 18,48 флуфеназин </w:t>
      </w:r>
      <w:r w:rsidRPr="002F09FD">
        <w:rPr>
          <w:i/>
          <w:iCs/>
          <w:lang w:val="en-US"/>
        </w:rPr>
        <w:t>(fluphenazine).</w:t>
      </w:r>
    </w:p>
    <w:p w14:paraId="47F7D8A4" w14:textId="77777777" w:rsidR="002F09FD" w:rsidRDefault="002F09FD" w:rsidP="002F09FD">
      <w:pPr>
        <w:rPr>
          <w:lang w:eastAsia="bg-BG"/>
        </w:rPr>
      </w:pPr>
    </w:p>
    <w:p w14:paraId="09098A85" w14:textId="38D46A1E" w:rsidR="002F09FD" w:rsidRPr="002F09FD" w:rsidRDefault="002F09FD" w:rsidP="002F09FD">
      <w:pPr>
        <w:rPr>
          <w:sz w:val="24"/>
          <w:szCs w:val="24"/>
          <w:lang w:eastAsia="bg-BG"/>
        </w:rPr>
      </w:pPr>
      <w:r w:rsidRPr="002F09FD">
        <w:rPr>
          <w:lang w:eastAsia="bg-BG"/>
        </w:rPr>
        <w:t xml:space="preserve">Помощни вещества с известно действие: бензилов алкохол (12 </w:t>
      </w:r>
      <w:r w:rsidRPr="002F09FD">
        <w:rPr>
          <w:lang w:val="en-US"/>
        </w:rPr>
        <w:t xml:space="preserve">mg/ml), </w:t>
      </w:r>
      <w:r w:rsidRPr="002F09FD">
        <w:rPr>
          <w:lang w:eastAsia="bg-BG"/>
        </w:rPr>
        <w:t>рафинирано сусамово масло.</w:t>
      </w:r>
    </w:p>
    <w:p w14:paraId="0582D065" w14:textId="77777777" w:rsidR="002F09FD" w:rsidRPr="002F09FD" w:rsidRDefault="002F09FD" w:rsidP="002F09FD"/>
    <w:p w14:paraId="4CABB9ED" w14:textId="50D09840" w:rsidR="00F53FB7" w:rsidRDefault="00DD466D" w:rsidP="00A93499">
      <w:pPr>
        <w:pStyle w:val="Heading1"/>
      </w:pPr>
      <w:r>
        <w:t>3. ЛЕКАРСТВЕНА ФОРМА</w:t>
      </w:r>
    </w:p>
    <w:p w14:paraId="6D6DB034" w14:textId="240DBCBE" w:rsidR="002F09FD" w:rsidRDefault="002F09FD" w:rsidP="002F09FD"/>
    <w:p w14:paraId="0FC6C08D" w14:textId="77777777" w:rsidR="002F09FD" w:rsidRPr="002F09FD" w:rsidRDefault="002F09FD" w:rsidP="002F09FD">
      <w:pPr>
        <w:rPr>
          <w:sz w:val="24"/>
          <w:szCs w:val="24"/>
          <w:lang w:eastAsia="bg-BG"/>
        </w:rPr>
      </w:pPr>
      <w:r w:rsidRPr="002F09FD">
        <w:rPr>
          <w:lang w:eastAsia="bg-BG"/>
        </w:rPr>
        <w:t>Инжекционен разтвор</w:t>
      </w:r>
    </w:p>
    <w:p w14:paraId="3E0E969F" w14:textId="0352AF01" w:rsidR="002F09FD" w:rsidRPr="002F09FD" w:rsidRDefault="002F09FD" w:rsidP="002F09FD">
      <w:pPr>
        <w:rPr>
          <w:sz w:val="24"/>
          <w:szCs w:val="24"/>
          <w:lang w:eastAsia="bg-BG"/>
        </w:rPr>
      </w:pPr>
      <w:r w:rsidRPr="002F09FD">
        <w:rPr>
          <w:lang w:eastAsia="bg-BG"/>
        </w:rPr>
        <w:t>Инжекционният разтвор е бистър, маслен разтвор, жълтеникав на цвят.</w:t>
      </w:r>
    </w:p>
    <w:p w14:paraId="490FC2C4" w14:textId="6899DE43" w:rsidR="002C50EE" w:rsidRDefault="002C50EE" w:rsidP="002C50EE">
      <w:pPr>
        <w:pStyle w:val="Heading1"/>
      </w:pPr>
      <w:r>
        <w:t>4. КЛИНИЧНИ ДАННИ</w:t>
      </w:r>
    </w:p>
    <w:p w14:paraId="461901E4" w14:textId="0685F2AB" w:rsidR="009F77A4" w:rsidRDefault="002C50EE" w:rsidP="00387A66">
      <w:pPr>
        <w:pStyle w:val="Heading2"/>
      </w:pPr>
      <w:r>
        <w:t>4.1. Терапевтични показания</w:t>
      </w:r>
    </w:p>
    <w:p w14:paraId="11E3A25A" w14:textId="77777777" w:rsidR="002F09FD" w:rsidRDefault="002F09FD" w:rsidP="002F09FD"/>
    <w:p w14:paraId="477F6BCD" w14:textId="64D8187B" w:rsidR="002F09FD" w:rsidRDefault="002F09FD" w:rsidP="002F09FD">
      <w:pPr>
        <w:rPr>
          <w:lang w:eastAsia="bg-BG"/>
        </w:rPr>
      </w:pPr>
      <w:r w:rsidRPr="002F09FD">
        <w:rPr>
          <w:lang w:eastAsia="bg-BG"/>
        </w:rPr>
        <w:t>Поддържащо лечение и профилактика на пристъпи на шизофрения и други психози.</w:t>
      </w:r>
    </w:p>
    <w:p w14:paraId="513012F4" w14:textId="77777777" w:rsidR="002F09FD" w:rsidRPr="002F09FD" w:rsidRDefault="002F09FD" w:rsidP="002F09FD">
      <w:pPr>
        <w:rPr>
          <w:sz w:val="24"/>
          <w:szCs w:val="24"/>
          <w:lang w:eastAsia="bg-BG"/>
        </w:rPr>
      </w:pPr>
    </w:p>
    <w:p w14:paraId="31744E5A" w14:textId="21C43221" w:rsidR="009F77A4" w:rsidRDefault="002C50EE" w:rsidP="00387A66">
      <w:pPr>
        <w:pStyle w:val="Heading2"/>
      </w:pPr>
      <w:r>
        <w:t>4.2. Дозировка и начин на приложение</w:t>
      </w:r>
    </w:p>
    <w:p w14:paraId="7EC3E3FE" w14:textId="3C54068A" w:rsidR="002F09FD" w:rsidRDefault="002F09FD" w:rsidP="002F09FD"/>
    <w:p w14:paraId="676FD9DC" w14:textId="77777777" w:rsidR="002F09FD" w:rsidRPr="002F09FD" w:rsidRDefault="002F09FD" w:rsidP="002F09FD">
      <w:pPr>
        <w:pStyle w:val="Heading3"/>
        <w:rPr>
          <w:rFonts w:eastAsia="Times New Roman"/>
          <w:u w:val="single"/>
          <w:lang w:eastAsia="bg-BG"/>
        </w:rPr>
      </w:pPr>
      <w:r w:rsidRPr="002F09FD">
        <w:rPr>
          <w:rFonts w:eastAsia="Times New Roman"/>
          <w:u w:val="single"/>
          <w:lang w:eastAsia="bg-BG"/>
        </w:rPr>
        <w:t>Дозировка</w:t>
      </w:r>
    </w:p>
    <w:p w14:paraId="25381D85" w14:textId="77777777" w:rsidR="002F09FD" w:rsidRPr="002F09FD" w:rsidRDefault="002F09FD" w:rsidP="002F09FD">
      <w:pPr>
        <w:spacing w:line="240" w:lineRule="auto"/>
        <w:rPr>
          <w:rFonts w:eastAsia="Times New Roman" w:cs="Arial"/>
          <w:color w:val="000000"/>
          <w:lang w:eastAsia="bg-BG"/>
        </w:rPr>
      </w:pPr>
    </w:p>
    <w:p w14:paraId="4905B05A" w14:textId="459CA378"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Най-подходящата доза и честотата на приложение трябва да се индивидуализират.</w:t>
      </w:r>
    </w:p>
    <w:p w14:paraId="188B921A" w14:textId="77777777" w:rsidR="002F09FD" w:rsidRPr="002F09FD" w:rsidRDefault="002F09FD" w:rsidP="002F09FD">
      <w:pPr>
        <w:spacing w:line="240" w:lineRule="auto"/>
        <w:rPr>
          <w:rFonts w:eastAsia="Times New Roman" w:cs="Arial"/>
          <w:color w:val="000000"/>
          <w:lang w:eastAsia="bg-BG"/>
        </w:rPr>
      </w:pPr>
    </w:p>
    <w:p w14:paraId="7A4B47F4" w14:textId="74D13282"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 xml:space="preserve">Обичайната начална доза е 12,5 до 25 </w:t>
      </w:r>
      <w:r w:rsidRPr="002F09FD">
        <w:rPr>
          <w:rFonts w:eastAsia="Times New Roman" w:cs="Arial"/>
          <w:color w:val="000000"/>
          <w:lang w:val="en-US"/>
        </w:rPr>
        <w:t xml:space="preserve">mg </w:t>
      </w:r>
      <w:r w:rsidRPr="002F09FD">
        <w:rPr>
          <w:rFonts w:eastAsia="Times New Roman" w:cs="Arial"/>
          <w:color w:val="000000"/>
          <w:lang w:eastAsia="bg-BG"/>
        </w:rPr>
        <w:t xml:space="preserve">Модитен депо. Последващите дози и интервалите на дозиране са индивидуални. Интервалът между отделните инжекции обикновено е 15 до 35 дни. Ако са необходими дози, по-високи от 50 </w:t>
      </w:r>
      <w:r w:rsidRPr="002F09FD">
        <w:rPr>
          <w:rFonts w:eastAsia="Times New Roman" w:cs="Arial"/>
          <w:color w:val="000000"/>
          <w:lang w:val="en-US"/>
        </w:rPr>
        <w:t xml:space="preserve">mg, </w:t>
      </w:r>
      <w:r w:rsidRPr="002F09FD">
        <w:rPr>
          <w:rFonts w:eastAsia="Times New Roman" w:cs="Arial"/>
          <w:color w:val="000000"/>
          <w:lang w:eastAsia="bg-BG"/>
        </w:rPr>
        <w:t xml:space="preserve">те се увеличават постепенно с 12.5 </w:t>
      </w:r>
      <w:r w:rsidRPr="002F09FD">
        <w:rPr>
          <w:rFonts w:eastAsia="Times New Roman" w:cs="Arial"/>
          <w:color w:val="000000"/>
          <w:lang w:val="en-US"/>
        </w:rPr>
        <w:t>mg.</w:t>
      </w:r>
    </w:p>
    <w:p w14:paraId="351464FC"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 xml:space="preserve">Еднократната доза не трябва да надхвърля 100 </w:t>
      </w:r>
      <w:r w:rsidRPr="002F09FD">
        <w:rPr>
          <w:rFonts w:eastAsia="Times New Roman" w:cs="Arial"/>
          <w:color w:val="000000"/>
          <w:lang w:val="en-US"/>
        </w:rPr>
        <w:t>mg.</w:t>
      </w:r>
    </w:p>
    <w:p w14:paraId="24B9CE53" w14:textId="77777777" w:rsidR="002F09FD" w:rsidRPr="002F09FD" w:rsidRDefault="002F09FD" w:rsidP="002F09FD">
      <w:pPr>
        <w:spacing w:line="240" w:lineRule="auto"/>
        <w:rPr>
          <w:rFonts w:eastAsia="Times New Roman" w:cs="Arial"/>
          <w:color w:val="000000"/>
          <w:lang w:eastAsia="bg-BG"/>
        </w:rPr>
      </w:pPr>
    </w:p>
    <w:p w14:paraId="6A72EF6F" w14:textId="3D70A013"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 xml:space="preserve">Пациенти, които преди това не са били лекувани с фенотиазини, трябва в началото да се лекуват с инжекционни разтвори с кратко действие или с перорални форми на фенотиазини. Когато се установи, че пациентите понасят добре фенотиазините, те могат да преминат към лечение с Модитен депо. Прилага се начална доза от 12,5 </w:t>
      </w:r>
      <w:r w:rsidRPr="002F09FD">
        <w:rPr>
          <w:rFonts w:eastAsia="Times New Roman" w:cs="Arial"/>
          <w:color w:val="000000"/>
          <w:lang w:val="en-US"/>
        </w:rPr>
        <w:t xml:space="preserve">mg </w:t>
      </w:r>
      <w:r w:rsidRPr="002F09FD">
        <w:rPr>
          <w:rFonts w:eastAsia="Times New Roman" w:cs="Arial"/>
          <w:color w:val="000000"/>
          <w:lang w:eastAsia="bg-BG"/>
        </w:rPr>
        <w:t xml:space="preserve">Модитен депо интрамускулно. При липса на тежки нежелани реакции, 5 до 10 дни по-късно може да се приложи допълнително доза от 25 </w:t>
      </w:r>
      <w:r w:rsidRPr="002F09FD">
        <w:rPr>
          <w:rFonts w:eastAsia="Times New Roman" w:cs="Arial"/>
          <w:color w:val="000000"/>
          <w:lang w:val="en-US"/>
        </w:rPr>
        <w:t xml:space="preserve">mg. </w:t>
      </w:r>
      <w:r w:rsidRPr="002F09FD">
        <w:rPr>
          <w:rFonts w:eastAsia="Times New Roman" w:cs="Arial"/>
          <w:color w:val="000000"/>
          <w:lang w:eastAsia="bg-BG"/>
        </w:rPr>
        <w:t>След това дозата се коригира индивидуално.</w:t>
      </w:r>
    </w:p>
    <w:p w14:paraId="63D8E281" w14:textId="77777777" w:rsidR="002F09FD" w:rsidRPr="002F09FD" w:rsidRDefault="002F09FD" w:rsidP="002F09FD">
      <w:pPr>
        <w:spacing w:line="240" w:lineRule="auto"/>
        <w:rPr>
          <w:rFonts w:eastAsia="Times New Roman" w:cs="Arial"/>
          <w:color w:val="000000"/>
          <w:lang w:eastAsia="bg-BG"/>
        </w:rPr>
      </w:pPr>
    </w:p>
    <w:p w14:paraId="56587800" w14:textId="072CFC54"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 xml:space="preserve">Ако пациентът вече се лекува с фенотиазини, те може да се заместят с Модитен депо. Отново се прилага начална доза от 12.5 </w:t>
      </w:r>
      <w:r w:rsidRPr="002F09FD">
        <w:rPr>
          <w:rFonts w:eastAsia="Times New Roman" w:cs="Arial"/>
          <w:color w:val="000000"/>
          <w:lang w:val="en-US"/>
        </w:rPr>
        <w:t xml:space="preserve">mg </w:t>
      </w:r>
      <w:r w:rsidRPr="002F09FD">
        <w:rPr>
          <w:rFonts w:eastAsia="Times New Roman" w:cs="Arial"/>
          <w:color w:val="000000"/>
          <w:lang w:eastAsia="bg-BG"/>
        </w:rPr>
        <w:t>интрамускулно, за да се определи поносимостта на пациента към Модитен депо, и след това дозата се приспособява индивидуално.</w:t>
      </w:r>
    </w:p>
    <w:p w14:paraId="5F822B0B" w14:textId="77777777" w:rsidR="002F09FD" w:rsidRPr="002F09FD" w:rsidRDefault="002F09FD" w:rsidP="002F09FD">
      <w:pPr>
        <w:spacing w:line="240" w:lineRule="auto"/>
        <w:rPr>
          <w:rFonts w:eastAsia="Times New Roman" w:cs="Arial"/>
          <w:i/>
          <w:iCs/>
          <w:color w:val="000000"/>
          <w:lang w:eastAsia="bg-BG"/>
        </w:rPr>
      </w:pPr>
    </w:p>
    <w:p w14:paraId="1B006973" w14:textId="12764D5A" w:rsidR="002F09FD" w:rsidRPr="002F09FD" w:rsidRDefault="002F09FD" w:rsidP="002F09FD">
      <w:pPr>
        <w:spacing w:line="240" w:lineRule="auto"/>
        <w:rPr>
          <w:rFonts w:eastAsia="Times New Roman" w:cs="Arial"/>
          <w:sz w:val="24"/>
          <w:szCs w:val="24"/>
          <w:lang w:eastAsia="bg-BG"/>
        </w:rPr>
      </w:pPr>
      <w:r w:rsidRPr="002F09FD">
        <w:rPr>
          <w:rFonts w:eastAsia="Times New Roman" w:cs="Arial"/>
          <w:i/>
          <w:iCs/>
          <w:color w:val="000000"/>
          <w:lang w:eastAsia="bg-BG"/>
        </w:rPr>
        <w:t>Старческа възраст</w:t>
      </w:r>
    </w:p>
    <w:p w14:paraId="79DA2542"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При пациентите в старческа възраст обикновено са необходими по-ниски дози, 1/3</w:t>
      </w:r>
      <w:r w:rsidRPr="002F09FD">
        <w:rPr>
          <w:rFonts w:eastAsia="Times New Roman" w:cs="Arial"/>
          <w:color w:val="000000"/>
          <w:lang w:val="en-US"/>
        </w:rPr>
        <w:t xml:space="preserve"> </w:t>
      </w:r>
      <w:r w:rsidRPr="002F09FD">
        <w:rPr>
          <w:rFonts w:eastAsia="Times New Roman" w:cs="Arial"/>
          <w:color w:val="000000"/>
          <w:lang w:eastAsia="bg-BG"/>
        </w:rPr>
        <w:t>до 1/4 от дозата за възрастни.</w:t>
      </w:r>
    </w:p>
    <w:p w14:paraId="4420B3B0" w14:textId="77777777" w:rsidR="002F09FD" w:rsidRPr="002F09FD" w:rsidRDefault="002F09FD" w:rsidP="002F09FD">
      <w:pPr>
        <w:spacing w:line="240" w:lineRule="auto"/>
        <w:rPr>
          <w:rFonts w:eastAsia="Times New Roman" w:cs="Arial"/>
          <w:color w:val="000000"/>
          <w:lang w:eastAsia="bg-BG"/>
        </w:rPr>
      </w:pPr>
    </w:p>
    <w:p w14:paraId="40D455EE" w14:textId="39DF917B"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При поява на екстрапирамидни реакции се прилагат антипаркинсонови средства</w:t>
      </w:r>
      <w:r w:rsidRPr="002F09FD">
        <w:rPr>
          <w:rFonts w:eastAsia="Times New Roman" w:cs="Arial"/>
          <w:color w:val="000000"/>
          <w:lang w:eastAsia="bg-BG"/>
        </w:rPr>
        <w:t>.</w:t>
      </w:r>
    </w:p>
    <w:p w14:paraId="7E8BA52F" w14:textId="359A3E88" w:rsidR="002F09FD" w:rsidRPr="002F09FD" w:rsidRDefault="002F09FD" w:rsidP="002F09FD">
      <w:pPr>
        <w:rPr>
          <w:rFonts w:cs="Arial"/>
        </w:rPr>
      </w:pPr>
    </w:p>
    <w:p w14:paraId="3C01937B"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Ако лекарят намира, че дозата на Модитен депо е твърде ниска, терапията може да се допълни с перорални форми на фенотиазини.</w:t>
      </w:r>
    </w:p>
    <w:p w14:paraId="567D8891" w14:textId="77777777" w:rsidR="002F09FD" w:rsidRPr="002F09FD" w:rsidRDefault="002F09FD" w:rsidP="002F09FD">
      <w:pPr>
        <w:spacing w:line="240" w:lineRule="auto"/>
        <w:rPr>
          <w:rFonts w:eastAsia="Times New Roman" w:cs="Arial"/>
          <w:i/>
          <w:iCs/>
          <w:color w:val="000000"/>
          <w:lang w:eastAsia="bg-BG"/>
        </w:rPr>
      </w:pPr>
    </w:p>
    <w:p w14:paraId="2383AD21" w14:textId="32EA02E3" w:rsidR="002F09FD" w:rsidRPr="002F09FD" w:rsidRDefault="002F09FD" w:rsidP="002F09FD">
      <w:pPr>
        <w:spacing w:line="240" w:lineRule="auto"/>
        <w:rPr>
          <w:rFonts w:eastAsia="Times New Roman" w:cs="Arial"/>
          <w:sz w:val="24"/>
          <w:szCs w:val="24"/>
          <w:lang w:eastAsia="bg-BG"/>
        </w:rPr>
      </w:pPr>
      <w:r w:rsidRPr="002F09FD">
        <w:rPr>
          <w:rFonts w:eastAsia="Times New Roman" w:cs="Arial"/>
          <w:i/>
          <w:iCs/>
          <w:color w:val="000000"/>
          <w:lang w:eastAsia="bg-BG"/>
        </w:rPr>
        <w:t>Педиатрична популация</w:t>
      </w:r>
    </w:p>
    <w:p w14:paraId="2A51DB14" w14:textId="77777777" w:rsidR="002F09FD" w:rsidRPr="002F09FD" w:rsidRDefault="002F09FD" w:rsidP="002F09FD">
      <w:pPr>
        <w:spacing w:line="240" w:lineRule="auto"/>
        <w:rPr>
          <w:rFonts w:eastAsia="Times New Roman" w:cs="Arial"/>
          <w:color w:val="000000"/>
          <w:u w:val="single"/>
          <w:lang w:eastAsia="bg-BG"/>
        </w:rPr>
      </w:pPr>
    </w:p>
    <w:p w14:paraId="0D957D7E" w14:textId="28ED152B"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u w:val="single"/>
          <w:lang w:eastAsia="bg-BG"/>
        </w:rPr>
        <w:t>Деца и юноши на възраст между 12 и 18 години</w:t>
      </w:r>
    </w:p>
    <w:p w14:paraId="3AFC0E96"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Приложението на Модитен депо не се препоръчва поради липса на данни за безопасност и ефикасност.</w:t>
      </w:r>
    </w:p>
    <w:p w14:paraId="55F45CE3" w14:textId="77777777" w:rsidR="002F09FD" w:rsidRPr="002F09FD" w:rsidRDefault="002F09FD" w:rsidP="002F09FD">
      <w:pPr>
        <w:spacing w:line="240" w:lineRule="auto"/>
        <w:rPr>
          <w:rFonts w:eastAsia="Times New Roman" w:cs="Arial"/>
          <w:color w:val="000000"/>
          <w:u w:val="single"/>
          <w:lang w:eastAsia="bg-BG"/>
        </w:rPr>
      </w:pPr>
    </w:p>
    <w:p w14:paraId="72C852BA" w14:textId="214E5A8B"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u w:val="single"/>
          <w:lang w:eastAsia="bg-BG"/>
        </w:rPr>
        <w:t>Деца на възраст под 12 години</w:t>
      </w:r>
    </w:p>
    <w:p w14:paraId="0A1A994B"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Приложението на Модитен депо не се препоръчва при деца на възраст под 12 години поради липса на данни за безопасност и ефикасност (вж. точка 4.3).</w:t>
      </w:r>
    </w:p>
    <w:p w14:paraId="7B56A76C" w14:textId="77777777" w:rsidR="002F09FD" w:rsidRPr="002F09FD" w:rsidRDefault="002F09FD" w:rsidP="002F09FD">
      <w:pPr>
        <w:spacing w:line="240" w:lineRule="auto"/>
        <w:rPr>
          <w:rFonts w:eastAsia="Times New Roman" w:cs="Arial"/>
          <w:color w:val="000000"/>
          <w:u w:val="single"/>
          <w:lang w:eastAsia="bg-BG"/>
        </w:rPr>
      </w:pPr>
    </w:p>
    <w:p w14:paraId="39777F21" w14:textId="1A9C5ADE"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u w:val="single"/>
          <w:lang w:eastAsia="bg-BG"/>
        </w:rPr>
        <w:t>Бъбречно увреждане</w:t>
      </w:r>
    </w:p>
    <w:p w14:paraId="3854E743"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При пациенти с увредена бъбречна функция са показани по-ниски дози.</w:t>
      </w:r>
    </w:p>
    <w:p w14:paraId="3472DC16" w14:textId="77777777" w:rsidR="002F09FD" w:rsidRPr="002F09FD" w:rsidRDefault="002F09FD" w:rsidP="002F09FD">
      <w:pPr>
        <w:spacing w:line="240" w:lineRule="auto"/>
        <w:rPr>
          <w:rFonts w:eastAsia="Times New Roman" w:cs="Arial"/>
          <w:color w:val="000000"/>
          <w:u w:val="single"/>
          <w:lang w:eastAsia="bg-BG"/>
        </w:rPr>
      </w:pPr>
    </w:p>
    <w:p w14:paraId="2C38B9C0" w14:textId="4661E3F4"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u w:val="single"/>
          <w:lang w:eastAsia="bg-BG"/>
        </w:rPr>
        <w:t>Чернодробно увреждане</w:t>
      </w:r>
    </w:p>
    <w:p w14:paraId="173ACE5F"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Пациенти с нарушена чернодробна функция не трябва да се лекуват с флуфеназин.</w:t>
      </w:r>
    </w:p>
    <w:p w14:paraId="72769D51" w14:textId="77777777" w:rsidR="002F09FD" w:rsidRPr="002F09FD" w:rsidRDefault="002F09FD" w:rsidP="002F09FD">
      <w:pPr>
        <w:spacing w:line="240" w:lineRule="auto"/>
        <w:rPr>
          <w:rFonts w:eastAsia="Times New Roman" w:cs="Arial"/>
          <w:color w:val="000000"/>
          <w:u w:val="single"/>
          <w:lang w:eastAsia="bg-BG"/>
        </w:rPr>
      </w:pPr>
    </w:p>
    <w:p w14:paraId="460BE143" w14:textId="357206AB" w:rsidR="002F09FD" w:rsidRPr="002F09FD" w:rsidRDefault="002F09FD" w:rsidP="002F09FD">
      <w:pPr>
        <w:pStyle w:val="Heading3"/>
        <w:rPr>
          <w:rFonts w:eastAsia="Times New Roman"/>
          <w:u w:val="single"/>
          <w:lang w:eastAsia="bg-BG"/>
        </w:rPr>
      </w:pPr>
      <w:r w:rsidRPr="002F09FD">
        <w:rPr>
          <w:rFonts w:eastAsia="Times New Roman"/>
          <w:u w:val="single"/>
          <w:lang w:eastAsia="bg-BG"/>
        </w:rPr>
        <w:t>Начин на приложение</w:t>
      </w:r>
    </w:p>
    <w:p w14:paraId="50CD9D82"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Лекарството трябва да се прилага дълбоко интрамускулно. Иглата и спринцовката трябва да са сухи. Инжекционният разтвор не трябва да се смесва с други инжекционни разтвори.</w:t>
      </w:r>
    </w:p>
    <w:p w14:paraId="795DA7D7" w14:textId="77777777" w:rsidR="002F09FD" w:rsidRPr="002F09FD" w:rsidRDefault="002F09FD" w:rsidP="002F09FD"/>
    <w:p w14:paraId="5D9E65DA" w14:textId="118BCF56" w:rsidR="009F77A4" w:rsidRDefault="002C50EE" w:rsidP="00387A66">
      <w:pPr>
        <w:pStyle w:val="Heading2"/>
      </w:pPr>
      <w:r>
        <w:t>4.3. Противопоказания</w:t>
      </w:r>
    </w:p>
    <w:p w14:paraId="3B9DCAD8" w14:textId="2F7B8794" w:rsidR="002F09FD" w:rsidRDefault="002F09FD" w:rsidP="002F09FD"/>
    <w:p w14:paraId="10D7EDC7" w14:textId="77777777" w:rsidR="002F09FD" w:rsidRPr="002F09FD" w:rsidRDefault="002F09FD" w:rsidP="002F09FD">
      <w:pPr>
        <w:rPr>
          <w:sz w:val="24"/>
          <w:szCs w:val="24"/>
          <w:lang w:eastAsia="bg-BG"/>
        </w:rPr>
      </w:pPr>
      <w:r w:rsidRPr="002F09FD">
        <w:rPr>
          <w:lang w:eastAsia="bg-BG"/>
        </w:rPr>
        <w:t>Свръхчувствителност към флуфеназин или към някое от помощните вещества, изброени в точка 6.1, манифестни или подозирани субкортикални мозъчни увреждания, тежки нарушения на съзнанието, тежка мозъчна атеросклероза, феохромоцитом, тежка бъбречна, чернодробна или сърдечна недостатъчност, свръхчувствителност към други фенотиазини.</w:t>
      </w:r>
    </w:p>
    <w:p w14:paraId="1DABE51B" w14:textId="77777777" w:rsidR="002F09FD" w:rsidRDefault="002F09FD" w:rsidP="002F09FD">
      <w:pPr>
        <w:rPr>
          <w:lang w:eastAsia="bg-BG"/>
        </w:rPr>
      </w:pPr>
    </w:p>
    <w:p w14:paraId="46C9A330" w14:textId="33C813C9" w:rsidR="002F09FD" w:rsidRPr="002F09FD" w:rsidRDefault="002F09FD" w:rsidP="002F09FD">
      <w:pPr>
        <w:rPr>
          <w:sz w:val="24"/>
          <w:szCs w:val="24"/>
          <w:lang w:eastAsia="bg-BG"/>
        </w:rPr>
      </w:pPr>
      <w:r w:rsidRPr="002F09FD">
        <w:rPr>
          <w:lang w:eastAsia="bg-BG"/>
        </w:rPr>
        <w:t>Остра интоксикация със средства, потискащи ЦНС (алкохол, антидепресанти, невролептици, седативни средства, анксиолитици, сънотворни и наркотични средства).</w:t>
      </w:r>
    </w:p>
    <w:p w14:paraId="4639D5B3" w14:textId="77777777" w:rsidR="002F09FD" w:rsidRDefault="002F09FD" w:rsidP="002F09FD">
      <w:pPr>
        <w:rPr>
          <w:lang w:eastAsia="bg-BG"/>
        </w:rPr>
      </w:pPr>
    </w:p>
    <w:p w14:paraId="4086559C" w14:textId="2AA2E50C" w:rsidR="002F09FD" w:rsidRPr="002F09FD" w:rsidRDefault="002F09FD" w:rsidP="002F09FD">
      <w:pPr>
        <w:rPr>
          <w:sz w:val="24"/>
          <w:szCs w:val="24"/>
          <w:lang w:eastAsia="bg-BG"/>
        </w:rPr>
      </w:pPr>
      <w:r w:rsidRPr="002F09FD">
        <w:rPr>
          <w:lang w:eastAsia="bg-BG"/>
        </w:rPr>
        <w:t>Деца до 12-годишна възраст.</w:t>
      </w:r>
    </w:p>
    <w:p w14:paraId="310CFAB4" w14:textId="77777777" w:rsidR="002F09FD" w:rsidRPr="002F09FD" w:rsidRDefault="002F09FD" w:rsidP="002F09FD"/>
    <w:p w14:paraId="1C27CE53" w14:textId="22527EA3" w:rsidR="009F77A4" w:rsidRDefault="002C50EE" w:rsidP="00387A66">
      <w:pPr>
        <w:pStyle w:val="Heading2"/>
      </w:pPr>
      <w:r>
        <w:lastRenderedPageBreak/>
        <w:t>4.4. Специални предупреждения и предпазни мерки при употреба</w:t>
      </w:r>
    </w:p>
    <w:p w14:paraId="51D0F47A" w14:textId="583FCE2D" w:rsidR="002F09FD" w:rsidRDefault="002F09FD" w:rsidP="002F09FD"/>
    <w:p w14:paraId="58FC65B8" w14:textId="77777777" w:rsidR="002F09FD" w:rsidRPr="002F09FD" w:rsidRDefault="002F09FD" w:rsidP="002F09FD">
      <w:pPr>
        <w:rPr>
          <w:sz w:val="24"/>
          <w:szCs w:val="24"/>
          <w:lang w:eastAsia="bg-BG"/>
        </w:rPr>
      </w:pPr>
      <w:r w:rsidRPr="002F09FD">
        <w:rPr>
          <w:lang w:eastAsia="bg-BG"/>
        </w:rPr>
        <w:t>Модитен депо не е предназначен за лечение на непсихотични разстройства и за краткотрайна употреба (под 3 месеца).</w:t>
      </w:r>
    </w:p>
    <w:p w14:paraId="0A78DB50" w14:textId="77777777" w:rsidR="002F09FD" w:rsidRDefault="002F09FD" w:rsidP="002F09FD">
      <w:pPr>
        <w:rPr>
          <w:lang w:eastAsia="bg-BG"/>
        </w:rPr>
      </w:pPr>
    </w:p>
    <w:p w14:paraId="65D716F0" w14:textId="36B64B70" w:rsidR="002F09FD" w:rsidRPr="002F09FD" w:rsidRDefault="002F09FD" w:rsidP="002F09FD">
      <w:pPr>
        <w:rPr>
          <w:sz w:val="24"/>
          <w:szCs w:val="24"/>
          <w:lang w:eastAsia="bg-BG"/>
        </w:rPr>
      </w:pPr>
      <w:r w:rsidRPr="002F09FD">
        <w:rPr>
          <w:lang w:eastAsia="bg-BG"/>
        </w:rPr>
        <w:t>Модитен депо не е ефективен за лечение на поведенчески нарушения при пациенти с умствено изоставане.</w:t>
      </w:r>
    </w:p>
    <w:p w14:paraId="7322F5F1" w14:textId="77777777" w:rsidR="002F09FD" w:rsidRDefault="002F09FD" w:rsidP="002F09FD">
      <w:pPr>
        <w:rPr>
          <w:lang w:eastAsia="bg-BG"/>
        </w:rPr>
      </w:pPr>
    </w:p>
    <w:p w14:paraId="0797DFE4" w14:textId="59823473" w:rsidR="002F09FD" w:rsidRPr="002F09FD" w:rsidRDefault="002F09FD" w:rsidP="002F09FD">
      <w:pPr>
        <w:rPr>
          <w:sz w:val="24"/>
          <w:szCs w:val="24"/>
          <w:lang w:eastAsia="bg-BG"/>
        </w:rPr>
      </w:pPr>
      <w:r w:rsidRPr="002F09FD">
        <w:rPr>
          <w:lang w:eastAsia="bg-BG"/>
        </w:rPr>
        <w:t>Повишена смъртност при пациенти в старческа възраст с деменция</w:t>
      </w:r>
    </w:p>
    <w:p w14:paraId="6874D41D" w14:textId="77777777" w:rsidR="002F09FD" w:rsidRPr="002F09FD" w:rsidRDefault="002F09FD" w:rsidP="002F09FD">
      <w:pPr>
        <w:rPr>
          <w:sz w:val="24"/>
          <w:szCs w:val="24"/>
          <w:lang w:eastAsia="bg-BG"/>
        </w:rPr>
      </w:pPr>
      <w:r w:rsidRPr="002F09FD">
        <w:rPr>
          <w:lang w:eastAsia="bg-BG"/>
        </w:rPr>
        <w:t>Данните от две големи обзервационни проучвания показват, че при пациентите в старческа възраст с деменция, които са лекувани с антипсихотици, се наблюдава леко завишен риск от смъртост в сравнение с тези, които не се лекуват. Няма достатъчно данни, за да се получи категорична прогноза за точената степен на риск и причината за повишения риск не е известена.</w:t>
      </w:r>
    </w:p>
    <w:p w14:paraId="64FA55C4" w14:textId="77777777" w:rsidR="002F09FD" w:rsidRPr="002F09FD" w:rsidRDefault="002F09FD" w:rsidP="002F09FD">
      <w:pPr>
        <w:rPr>
          <w:sz w:val="24"/>
          <w:szCs w:val="24"/>
          <w:lang w:eastAsia="bg-BG"/>
        </w:rPr>
      </w:pPr>
      <w:r w:rsidRPr="002F09FD">
        <w:rPr>
          <w:lang w:eastAsia="bg-BG"/>
        </w:rPr>
        <w:t>Модитен депо не е разрешен за употреба за лечение на деменция, асоциирана с поведенчески нарушения.</w:t>
      </w:r>
    </w:p>
    <w:p w14:paraId="45FBEB5C" w14:textId="77777777" w:rsidR="002F09FD" w:rsidRDefault="002F09FD" w:rsidP="002F09FD">
      <w:pPr>
        <w:rPr>
          <w:lang w:eastAsia="bg-BG"/>
        </w:rPr>
      </w:pPr>
    </w:p>
    <w:p w14:paraId="22D576BB" w14:textId="6C81119E" w:rsidR="002F09FD" w:rsidRDefault="002F09FD" w:rsidP="002F09FD">
      <w:pPr>
        <w:rPr>
          <w:lang w:eastAsia="bg-BG"/>
        </w:rPr>
      </w:pPr>
      <w:r w:rsidRPr="002F09FD">
        <w:rPr>
          <w:lang w:eastAsia="bg-BG"/>
        </w:rPr>
        <w:t>Лекарственият продукт трябва да се прилага с голяма предпазливост при пациенти с конвулсивни заболявания, тъй като може да понижи гърчовия праг и да потенцира гърчове или да индуцира генерализиран епилептичен пристъп.</w:t>
      </w:r>
    </w:p>
    <w:p w14:paraId="2E8DDB80" w14:textId="3992CC1B" w:rsidR="002F09FD" w:rsidRDefault="002F09FD" w:rsidP="002F09FD"/>
    <w:p w14:paraId="4D6DA244" w14:textId="77777777"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Флуфеназин трябва да се прилага предпазливо при пациенти със сърдечно-съдови заболявания (сърдечна недостатъчност, исхемична болест на сърцето, опасни нарушения на сърдечния ритъм), тъй като може да предизвика понижение на артериалното налягане. Ако артериалното налягане се понижи значително, не трябва да се прилага адреналин.</w:t>
      </w:r>
    </w:p>
    <w:p w14:paraId="04846AD3" w14:textId="77777777" w:rsidR="002F09FD" w:rsidRDefault="002F09FD" w:rsidP="002F09FD">
      <w:pPr>
        <w:spacing w:line="240" w:lineRule="auto"/>
        <w:rPr>
          <w:rFonts w:ascii="Times New Roman" w:eastAsia="Times New Roman" w:hAnsi="Times New Roman" w:cs="Times New Roman"/>
          <w:color w:val="000000"/>
          <w:lang w:eastAsia="bg-BG"/>
        </w:rPr>
      </w:pPr>
    </w:p>
    <w:p w14:paraId="01F6E24C" w14:textId="4EF412DC"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Докладвани са случаи на венозен тромбемболизъм (ВТЕ) при прием на антипсихотични лекарства. Тъй като при пациентите, лекувани с антипсихотици, често са налице придобити рискови фактори за ВТЕ, всички възможни рискови фактори за ВТЕ трябва да бъдат идентифицирани преди и по време на лечение с Модитен депо и да се предприемат превантивни мерки.</w:t>
      </w:r>
    </w:p>
    <w:p w14:paraId="7445B400" w14:textId="77777777" w:rsidR="002F09FD" w:rsidRDefault="002F09FD" w:rsidP="002F09FD">
      <w:pPr>
        <w:spacing w:line="240" w:lineRule="auto"/>
        <w:rPr>
          <w:rFonts w:ascii="Times New Roman" w:eastAsia="Times New Roman" w:hAnsi="Times New Roman" w:cs="Times New Roman"/>
          <w:color w:val="000000"/>
          <w:lang w:eastAsia="bg-BG"/>
        </w:rPr>
      </w:pPr>
    </w:p>
    <w:p w14:paraId="77543E0B" w14:textId="6702DF84"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Флуфеназин трябва да се предписва предпазливо при пациенти с бъбречна недостатъчност.</w:t>
      </w:r>
    </w:p>
    <w:p w14:paraId="6777C723" w14:textId="77777777" w:rsidR="002F09FD" w:rsidRDefault="002F09FD" w:rsidP="002F09FD">
      <w:pPr>
        <w:spacing w:line="240" w:lineRule="auto"/>
        <w:rPr>
          <w:rFonts w:ascii="Times New Roman" w:eastAsia="Times New Roman" w:hAnsi="Times New Roman" w:cs="Times New Roman"/>
          <w:color w:val="000000"/>
          <w:lang w:eastAsia="bg-BG"/>
        </w:rPr>
      </w:pPr>
    </w:p>
    <w:p w14:paraId="75DD344A" w14:textId="3117572B"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При пациенти в старческа възраст и изтощени болни флуфеназин трябва да се прилага в най- ниските ефективни дози, тъй като при тях нежеланите реакции може да се проявяват по-често.</w:t>
      </w:r>
    </w:p>
    <w:p w14:paraId="492EB73A" w14:textId="77777777" w:rsidR="002F09FD" w:rsidRDefault="002F09FD" w:rsidP="002F09FD">
      <w:pPr>
        <w:spacing w:line="240" w:lineRule="auto"/>
        <w:rPr>
          <w:rFonts w:ascii="Times New Roman" w:eastAsia="Times New Roman" w:hAnsi="Times New Roman" w:cs="Times New Roman"/>
          <w:color w:val="000000"/>
          <w:lang w:eastAsia="bg-BG"/>
        </w:rPr>
      </w:pPr>
    </w:p>
    <w:p w14:paraId="422BFB3C" w14:textId="791F8498"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Флуфеназин трябва да се прилага предпазливо при пациенти, изложени на високи температури или в контакт с фосфороорганични инсектициди.</w:t>
      </w:r>
    </w:p>
    <w:p w14:paraId="1E1426AB" w14:textId="77777777" w:rsidR="002F09FD" w:rsidRDefault="002F09FD" w:rsidP="002F09FD">
      <w:pPr>
        <w:spacing w:line="240" w:lineRule="auto"/>
        <w:rPr>
          <w:rFonts w:ascii="Times New Roman" w:eastAsia="Times New Roman" w:hAnsi="Times New Roman" w:cs="Times New Roman"/>
          <w:color w:val="000000"/>
          <w:lang w:eastAsia="bg-BG"/>
        </w:rPr>
      </w:pPr>
    </w:p>
    <w:p w14:paraId="2C520C7B" w14:textId="2037F73A"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Пациенти с планирана операция, които се лекуват с флуфеназин, са изложени на риск от хипотензивна реакция, поради това се налага използването на по-ниски дози анестетици или депресанти на ЦНС.</w:t>
      </w:r>
    </w:p>
    <w:p w14:paraId="0080F96A" w14:textId="77777777" w:rsidR="002F09FD" w:rsidRDefault="002F09FD" w:rsidP="002F09FD">
      <w:pPr>
        <w:spacing w:line="240" w:lineRule="auto"/>
        <w:rPr>
          <w:rFonts w:ascii="Times New Roman" w:eastAsia="Times New Roman" w:hAnsi="Times New Roman" w:cs="Times New Roman"/>
          <w:color w:val="000000"/>
          <w:lang w:eastAsia="bg-BG"/>
        </w:rPr>
      </w:pPr>
    </w:p>
    <w:p w14:paraId="62B5A2CC" w14:textId="061C2340"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Флуфеназин не трябва да се прилага при пациенти с кръвна дикразия или чернодробно увреждане, както и при болни, получаващи лекарства, които предизвикват подобни нарушения, тъй като може да се появи холестатична жълтеница или комбиниран холестатичен- хепатоцелуларен иктер. Жълтеницата обикновено се развива през първите две до четири седмици на лечение и не е задължително дозо-зависима или свързана с продължителността на лечение.</w:t>
      </w:r>
    </w:p>
    <w:p w14:paraId="14A3500E" w14:textId="77777777" w:rsidR="002F09FD" w:rsidRDefault="002F09FD" w:rsidP="002F09FD">
      <w:pPr>
        <w:spacing w:line="240" w:lineRule="auto"/>
        <w:rPr>
          <w:rFonts w:ascii="Times New Roman" w:eastAsia="Times New Roman" w:hAnsi="Times New Roman" w:cs="Times New Roman"/>
          <w:color w:val="000000"/>
          <w:lang w:eastAsia="bg-BG"/>
        </w:rPr>
      </w:pPr>
    </w:p>
    <w:p w14:paraId="6D335D53" w14:textId="6EECFC98"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lastRenderedPageBreak/>
        <w:t>Необходимо е внимание при пациенти с анамнеза за тумори на гърдата (въпреки че изследванията не са доказали връзка между повишената пролактинова екскреция и туморите на гърдата по време на лечение с фенотиазини).</w:t>
      </w:r>
    </w:p>
    <w:p w14:paraId="1795D7AD" w14:textId="77777777" w:rsidR="002F09FD" w:rsidRDefault="002F09FD" w:rsidP="002F09FD">
      <w:pPr>
        <w:spacing w:line="240" w:lineRule="auto"/>
        <w:rPr>
          <w:rFonts w:ascii="Times New Roman" w:eastAsia="Times New Roman" w:hAnsi="Times New Roman" w:cs="Times New Roman"/>
          <w:color w:val="000000"/>
          <w:lang w:eastAsia="bg-BG"/>
        </w:rPr>
      </w:pPr>
    </w:p>
    <w:p w14:paraId="66902499" w14:textId="5842D944"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Както при всички фенотиазини, и при лечение с флуфеназин също може да се развие “мълчалива” пневмония.</w:t>
      </w:r>
    </w:p>
    <w:p w14:paraId="3588666F" w14:textId="77777777" w:rsidR="002F09FD" w:rsidRDefault="002F09FD" w:rsidP="002F09FD">
      <w:pPr>
        <w:spacing w:line="240" w:lineRule="auto"/>
        <w:rPr>
          <w:rFonts w:ascii="Times New Roman" w:eastAsia="Times New Roman" w:hAnsi="Times New Roman" w:cs="Times New Roman"/>
          <w:color w:val="000000"/>
          <w:lang w:eastAsia="bg-BG"/>
        </w:rPr>
      </w:pPr>
    </w:p>
    <w:p w14:paraId="455E417E" w14:textId="4C034C06" w:rsidR="002F09FD" w:rsidRDefault="002F09FD" w:rsidP="002F09FD">
      <w:pPr>
        <w:spacing w:line="240" w:lineRule="auto"/>
        <w:rPr>
          <w:rFonts w:ascii="Times New Roman" w:eastAsia="Times New Roman" w:hAnsi="Times New Roman" w:cs="Times New Roman"/>
          <w:color w:val="000000"/>
          <w:lang w:eastAsia="bg-BG"/>
        </w:rPr>
      </w:pPr>
      <w:r w:rsidRPr="002F09FD">
        <w:rPr>
          <w:rFonts w:ascii="Times New Roman" w:eastAsia="Times New Roman" w:hAnsi="Times New Roman" w:cs="Times New Roman"/>
          <w:color w:val="000000"/>
          <w:lang w:eastAsia="bg-BG"/>
        </w:rPr>
        <w:t xml:space="preserve">При пациенти, лекувани е невролептици, включително флуфеназин, може да се развие късна </w:t>
      </w:r>
    </w:p>
    <w:p w14:paraId="42D8EDB4" w14:textId="6A7FD6BF"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дискинезия и поради това при болни с необходимост от хронично лечение се прилагат най- ниските ефективни дози, като редовно се преценява нуждата от продължително лечение. При поява на признаци на късна дискинезия лечението с невролептици трябва да се преустанови.</w:t>
      </w:r>
    </w:p>
    <w:p w14:paraId="2ACAFC9A" w14:textId="77777777" w:rsidR="002F09FD" w:rsidRDefault="002F09FD" w:rsidP="002F09FD">
      <w:pPr>
        <w:spacing w:line="240" w:lineRule="auto"/>
        <w:rPr>
          <w:rFonts w:ascii="Times New Roman" w:eastAsia="Times New Roman" w:hAnsi="Times New Roman" w:cs="Times New Roman"/>
          <w:color w:val="000000"/>
          <w:lang w:eastAsia="bg-BG"/>
        </w:rPr>
      </w:pPr>
    </w:p>
    <w:p w14:paraId="1723F05B" w14:textId="4CCE8B83"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Пациентите, получаващи антипаркинсонови лекарства по време на лечение с Модитен депо, в случай на внезапно преустановяване трябва да продължат с предписаните антипаркинсонови лекарства за няколко дни.</w:t>
      </w:r>
    </w:p>
    <w:p w14:paraId="46226212" w14:textId="77777777" w:rsidR="002F09FD" w:rsidRDefault="002F09FD" w:rsidP="002F09FD">
      <w:pPr>
        <w:spacing w:line="240" w:lineRule="auto"/>
        <w:rPr>
          <w:rFonts w:ascii="Times New Roman" w:eastAsia="Times New Roman" w:hAnsi="Times New Roman" w:cs="Times New Roman"/>
          <w:b/>
          <w:bCs/>
          <w:i/>
          <w:iCs/>
          <w:color w:val="000000"/>
          <w:lang w:eastAsia="bg-BG"/>
        </w:rPr>
      </w:pPr>
    </w:p>
    <w:p w14:paraId="58C87DFE" w14:textId="48497BE2"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b/>
          <w:bCs/>
          <w:i/>
          <w:iCs/>
          <w:color w:val="000000"/>
          <w:lang w:eastAsia="bg-BG"/>
        </w:rPr>
        <w:t>Специални предупреждения относно помощните вещества</w:t>
      </w:r>
    </w:p>
    <w:p w14:paraId="1E965630" w14:textId="77777777"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 xml:space="preserve">Това лекарство съдържа 12 </w:t>
      </w:r>
      <w:r w:rsidRPr="002F09FD">
        <w:rPr>
          <w:rFonts w:ascii="Times New Roman" w:eastAsia="Times New Roman" w:hAnsi="Times New Roman" w:cs="Times New Roman"/>
          <w:color w:val="000000"/>
          <w:lang w:val="en-US"/>
        </w:rPr>
        <w:t xml:space="preserve">mg </w:t>
      </w:r>
      <w:r w:rsidRPr="002F09FD">
        <w:rPr>
          <w:rFonts w:ascii="Times New Roman" w:eastAsia="Times New Roman" w:hAnsi="Times New Roman" w:cs="Times New Roman"/>
          <w:color w:val="000000"/>
          <w:lang w:eastAsia="bg-BG"/>
        </w:rPr>
        <w:t xml:space="preserve">бензилов алкохол в 1 </w:t>
      </w:r>
      <w:r w:rsidRPr="002F09FD">
        <w:rPr>
          <w:rFonts w:ascii="Times New Roman" w:eastAsia="Times New Roman" w:hAnsi="Times New Roman" w:cs="Times New Roman"/>
          <w:color w:val="000000"/>
          <w:lang w:val="en-US"/>
        </w:rPr>
        <w:t xml:space="preserve">ml, </w:t>
      </w:r>
      <w:r w:rsidRPr="002F09FD">
        <w:rPr>
          <w:rFonts w:ascii="Times New Roman" w:eastAsia="Times New Roman" w:hAnsi="Times New Roman" w:cs="Times New Roman"/>
          <w:color w:val="000000"/>
          <w:lang w:eastAsia="bg-BG"/>
        </w:rPr>
        <w:t xml:space="preserve">които са еквивалентни на 0,16 </w:t>
      </w:r>
      <w:r w:rsidRPr="002F09FD">
        <w:rPr>
          <w:rFonts w:ascii="Times New Roman" w:eastAsia="Times New Roman" w:hAnsi="Times New Roman" w:cs="Times New Roman"/>
          <w:color w:val="000000"/>
          <w:lang w:val="en-US"/>
        </w:rPr>
        <w:t xml:space="preserve">mg/kg </w:t>
      </w:r>
      <w:r w:rsidRPr="002F09FD">
        <w:rPr>
          <w:rFonts w:ascii="Times New Roman" w:eastAsia="Times New Roman" w:hAnsi="Times New Roman" w:cs="Times New Roman"/>
          <w:color w:val="000000"/>
          <w:lang w:eastAsia="bg-BG"/>
        </w:rPr>
        <w:t xml:space="preserve">(при средно телесно тегло 75 </w:t>
      </w:r>
      <w:r w:rsidRPr="002F09FD">
        <w:rPr>
          <w:rFonts w:ascii="Times New Roman" w:eastAsia="Times New Roman" w:hAnsi="Times New Roman" w:cs="Times New Roman"/>
          <w:color w:val="000000"/>
          <w:lang w:val="en-US"/>
        </w:rPr>
        <w:t xml:space="preserve">kg). </w:t>
      </w:r>
      <w:r w:rsidRPr="002F09FD">
        <w:rPr>
          <w:rFonts w:ascii="Times New Roman" w:eastAsia="Times New Roman" w:hAnsi="Times New Roman" w:cs="Times New Roman"/>
          <w:color w:val="000000"/>
          <w:lang w:eastAsia="bg-BG"/>
        </w:rPr>
        <w:t>Бензиновият алкохол може да причини алергични реакции. Лекарствени продукти, съдържащи бензилов алкохол трябва да се използват с повишено внимание при лица с чернодробно или бъбречно увреждане поради риск от кумулиране и токсичност (метаболитна ацидоза). Големи количества бензилов алкохол могат да се натрупат в организма на пациента и може да причинят метаболитна ацидоза.</w:t>
      </w:r>
    </w:p>
    <w:p w14:paraId="4FC56A34" w14:textId="77777777" w:rsidR="002F09FD" w:rsidRDefault="002F09FD" w:rsidP="002F09FD">
      <w:pPr>
        <w:spacing w:line="240" w:lineRule="auto"/>
        <w:rPr>
          <w:rFonts w:ascii="Times New Roman" w:eastAsia="Times New Roman" w:hAnsi="Times New Roman" w:cs="Times New Roman"/>
          <w:color w:val="000000"/>
          <w:lang w:eastAsia="bg-BG"/>
        </w:rPr>
      </w:pPr>
    </w:p>
    <w:p w14:paraId="08752BE9" w14:textId="301925A1"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ascii="Times New Roman" w:eastAsia="Times New Roman" w:hAnsi="Times New Roman" w:cs="Times New Roman"/>
          <w:color w:val="000000"/>
          <w:lang w:eastAsia="bg-BG"/>
        </w:rPr>
        <w:t>Сусамовото масло в редки случаи може да причини тежки алергични реакции.</w:t>
      </w:r>
    </w:p>
    <w:p w14:paraId="4FACE912" w14:textId="77777777" w:rsidR="002F09FD" w:rsidRPr="002F09FD" w:rsidRDefault="002F09FD" w:rsidP="002F09FD"/>
    <w:p w14:paraId="1DA47448" w14:textId="63882920"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799EA177" w14:textId="55A54133" w:rsidR="002F09FD" w:rsidRDefault="002F09FD" w:rsidP="002F09FD"/>
    <w:p w14:paraId="27F0A26C"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Когато флуфеназин се приема едновременно с алкохол, антихистамини, антидепресанти, други невролептици, седативни средства, сънотворни или наркотични средства, той може да засили инхибиторния ефект върху ЦНС.</w:t>
      </w:r>
    </w:p>
    <w:p w14:paraId="227236EC" w14:textId="77777777" w:rsidR="002F09FD" w:rsidRPr="002F09FD" w:rsidRDefault="002F09FD" w:rsidP="002F09FD">
      <w:pPr>
        <w:spacing w:line="240" w:lineRule="auto"/>
        <w:rPr>
          <w:rFonts w:eastAsia="Times New Roman" w:cs="Arial"/>
          <w:color w:val="000000"/>
          <w:lang w:eastAsia="bg-BG"/>
        </w:rPr>
      </w:pPr>
    </w:p>
    <w:p w14:paraId="5593BEA8" w14:textId="1C23BF65"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 xml:space="preserve">Барбитурати, небарбитурови сънотворни средства, карбамазепин, гризеофулвин, фенилбутазин и рифампицин индуцират метаболизма на фенотиазините, докато парацетамол, хлорамфеникол, дисулфирам, МАО инхибитори, три циклични антидепресанти, </w:t>
      </w:r>
      <w:r w:rsidRPr="002F09FD">
        <w:rPr>
          <w:rFonts w:eastAsia="Times New Roman" w:cs="Arial"/>
          <w:color w:val="000000"/>
          <w:lang w:val="en-US"/>
        </w:rPr>
        <w:t xml:space="preserve">SSRI </w:t>
      </w:r>
      <w:r w:rsidRPr="002F09FD">
        <w:rPr>
          <w:rFonts w:eastAsia="Times New Roman" w:cs="Arial"/>
          <w:color w:val="000000"/>
          <w:lang w:eastAsia="bg-BG"/>
        </w:rPr>
        <w:t>антидепресанти и орални контрацептиви го инхибират.</w:t>
      </w:r>
    </w:p>
    <w:p w14:paraId="478CC5EA" w14:textId="77777777" w:rsidR="002F09FD" w:rsidRPr="002F09FD" w:rsidRDefault="002F09FD" w:rsidP="002F09FD">
      <w:pPr>
        <w:spacing w:line="240" w:lineRule="auto"/>
        <w:rPr>
          <w:rFonts w:eastAsia="Times New Roman" w:cs="Arial"/>
          <w:color w:val="000000"/>
          <w:lang w:eastAsia="bg-BG"/>
        </w:rPr>
      </w:pPr>
    </w:p>
    <w:p w14:paraId="2006206E" w14:textId="12B1BC2D"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Фенотиазините може да увеличат нивото на кръвната глюкоза, тъй като те повлияват метаболизма на въглехидратите. Поради това при диабетици е необходимо коригиране на дозата на антидиабетните средства.</w:t>
      </w:r>
    </w:p>
    <w:p w14:paraId="309C0ABC" w14:textId="77777777" w:rsidR="002F09FD" w:rsidRPr="002F09FD" w:rsidRDefault="002F09FD" w:rsidP="002F09FD">
      <w:pPr>
        <w:spacing w:line="240" w:lineRule="auto"/>
        <w:rPr>
          <w:rFonts w:eastAsia="Times New Roman" w:cs="Arial"/>
          <w:color w:val="000000"/>
          <w:lang w:eastAsia="bg-BG"/>
        </w:rPr>
      </w:pPr>
    </w:p>
    <w:p w14:paraId="2616D6EE" w14:textId="7E918B5A"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Флуфеназин антагонизира действието на адреналина и другите симпатомиметици и намалява хипотензивния ефект на алфа-адренергичните блокери.</w:t>
      </w:r>
    </w:p>
    <w:p w14:paraId="6258E8AE" w14:textId="77777777" w:rsidR="002F09FD" w:rsidRPr="002F09FD" w:rsidRDefault="002F09FD" w:rsidP="002F09FD">
      <w:pPr>
        <w:spacing w:line="240" w:lineRule="auto"/>
        <w:rPr>
          <w:rFonts w:eastAsia="Times New Roman" w:cs="Arial"/>
          <w:color w:val="000000"/>
          <w:lang w:eastAsia="bg-BG"/>
        </w:rPr>
      </w:pPr>
    </w:p>
    <w:p w14:paraId="5540406D" w14:textId="6D549EB1"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Поради блокиране на допаминовите рецептори, той намалява антипаркинеоновите ефекти на леводопа.</w:t>
      </w:r>
    </w:p>
    <w:p w14:paraId="1CF478E1" w14:textId="07E34922"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Той може да понижи гърчовия праг, поради това е необходимо известно коригиране на дозата на антиепилептични лекарства при едновременно приложение.</w:t>
      </w:r>
    </w:p>
    <w:p w14:paraId="48AA6332" w14:textId="77777777" w:rsidR="002F09FD" w:rsidRPr="002F09FD" w:rsidRDefault="002F09FD" w:rsidP="002F09FD">
      <w:pPr>
        <w:spacing w:line="240" w:lineRule="auto"/>
        <w:rPr>
          <w:rFonts w:eastAsia="Times New Roman" w:cs="Arial"/>
          <w:color w:val="000000"/>
          <w:lang w:eastAsia="bg-BG"/>
        </w:rPr>
      </w:pPr>
    </w:p>
    <w:p w14:paraId="69CE1D10" w14:textId="0CCDA7C8"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lastRenderedPageBreak/>
        <w:t>Когато се прилага едновременно с антикоагуланти, той може да потенцира тяхното действие и поради това се препоръчва периодичен контрол на протромбиновото време.</w:t>
      </w:r>
    </w:p>
    <w:p w14:paraId="2C8DA8F8" w14:textId="77777777" w:rsidR="002F09FD" w:rsidRPr="002F09FD" w:rsidRDefault="002F09FD" w:rsidP="002F09FD">
      <w:pPr>
        <w:spacing w:line="240" w:lineRule="auto"/>
        <w:rPr>
          <w:rFonts w:eastAsia="Times New Roman" w:cs="Arial"/>
          <w:color w:val="000000"/>
          <w:lang w:eastAsia="bg-BG"/>
        </w:rPr>
      </w:pPr>
    </w:p>
    <w:p w14:paraId="4CDB91DD" w14:textId="77777777" w:rsidR="002F09FD" w:rsidRPr="002F09FD" w:rsidRDefault="002F09FD" w:rsidP="002F09FD">
      <w:pPr>
        <w:spacing w:line="240" w:lineRule="auto"/>
        <w:rPr>
          <w:rFonts w:eastAsia="Times New Roman" w:cs="Arial"/>
          <w:color w:val="000000"/>
          <w:lang w:eastAsia="bg-BG"/>
        </w:rPr>
      </w:pPr>
      <w:r w:rsidRPr="002F09FD">
        <w:rPr>
          <w:rFonts w:eastAsia="Times New Roman" w:cs="Arial"/>
          <w:color w:val="000000"/>
          <w:lang w:eastAsia="bg-BG"/>
        </w:rPr>
        <w:t xml:space="preserve">Модитен депо рядко предизвиква тежка хипотония. Ако това стане, незабавно трябва да се приложи нордареналин интравенозно. Адреналин не трябва да се прилага едновременно с </w:t>
      </w:r>
    </w:p>
    <w:p w14:paraId="233DDA09" w14:textId="5197EFE9"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Флуфеназин, тъй като когато той се използва в комбинация с фенотиазини, не повишава, а понижава артериалното налягане. Това трябва да се има предвид особено при операция и анестезия.</w:t>
      </w:r>
    </w:p>
    <w:p w14:paraId="6FF8036E" w14:textId="77777777" w:rsidR="002F09FD" w:rsidRPr="002F09FD" w:rsidRDefault="002F09FD" w:rsidP="002F09FD">
      <w:pPr>
        <w:spacing w:line="240" w:lineRule="auto"/>
        <w:rPr>
          <w:rFonts w:eastAsia="Times New Roman" w:cs="Arial"/>
          <w:color w:val="000000"/>
          <w:lang w:eastAsia="bg-BG"/>
        </w:rPr>
      </w:pPr>
    </w:p>
    <w:p w14:paraId="16E26257" w14:textId="1E77AB6C"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Едновременната употреба с антиаритмични средства трябва да се избягва или да се извършва под стриктно лекарско наблюдение.</w:t>
      </w:r>
    </w:p>
    <w:p w14:paraId="3FC31BD1" w14:textId="77777777" w:rsidR="002F09FD" w:rsidRPr="002F09FD" w:rsidRDefault="002F09FD" w:rsidP="002F09FD"/>
    <w:p w14:paraId="48846BBA" w14:textId="096F05BB" w:rsidR="009F77A4" w:rsidRDefault="002C50EE" w:rsidP="00387A66">
      <w:pPr>
        <w:pStyle w:val="Heading2"/>
      </w:pPr>
      <w:r>
        <w:t>4.6. Фертилитет, бременност и кърмене</w:t>
      </w:r>
    </w:p>
    <w:p w14:paraId="033B829F" w14:textId="1D0EBD45" w:rsidR="002F09FD" w:rsidRDefault="002F09FD" w:rsidP="002F09FD"/>
    <w:p w14:paraId="52A36119" w14:textId="77777777" w:rsidR="002F09FD" w:rsidRPr="002F09FD" w:rsidRDefault="002F09FD" w:rsidP="002F09FD">
      <w:pPr>
        <w:pStyle w:val="Heading3"/>
        <w:rPr>
          <w:rFonts w:eastAsia="Times New Roman"/>
          <w:u w:val="single"/>
          <w:lang w:eastAsia="bg-BG"/>
        </w:rPr>
      </w:pPr>
      <w:r w:rsidRPr="002F09FD">
        <w:rPr>
          <w:rFonts w:eastAsia="Times New Roman"/>
          <w:u w:val="single"/>
          <w:lang w:eastAsia="bg-BG"/>
        </w:rPr>
        <w:t>Бременност</w:t>
      </w:r>
    </w:p>
    <w:p w14:paraId="60D0D339"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Не може да се изключи риск. Лекарството може да се използва по време на бременност само, ако потенциалната полза оправдава потенциалния риск за плода.</w:t>
      </w:r>
    </w:p>
    <w:p w14:paraId="14DE927E" w14:textId="77777777" w:rsidR="002F09FD" w:rsidRPr="002F09FD" w:rsidRDefault="002F09FD" w:rsidP="002F09FD">
      <w:pPr>
        <w:spacing w:line="240" w:lineRule="auto"/>
        <w:rPr>
          <w:rFonts w:eastAsia="Times New Roman" w:cs="Arial"/>
          <w:color w:val="000000"/>
          <w:lang w:eastAsia="bg-BG"/>
        </w:rPr>
      </w:pPr>
    </w:p>
    <w:p w14:paraId="46441510" w14:textId="205C6D6C"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Новородени, изложени на антипсихотици (включително флуфеназинов деканоат) по време на третия триместър на бременността, са изложени на риск от нежелани реакции, включително екстрапирамидни и/или симптоми на отнемането, които могат да варират по тежест и продължителност след раждането. Има съобщения за възбуда, хипертония, хипотония, тремор, сънливост, респираторен дистрес или хранително разстройство. Следователно, новородените трябва да се наблюдават внимателно.</w:t>
      </w:r>
    </w:p>
    <w:p w14:paraId="4840CB89" w14:textId="77777777" w:rsidR="002F09FD" w:rsidRPr="002F09FD" w:rsidRDefault="002F09FD" w:rsidP="002F09FD">
      <w:pPr>
        <w:spacing w:line="240" w:lineRule="auto"/>
        <w:rPr>
          <w:rFonts w:eastAsia="Times New Roman" w:cs="Arial"/>
          <w:color w:val="000000"/>
          <w:u w:val="single"/>
          <w:lang w:eastAsia="bg-BG"/>
        </w:rPr>
      </w:pPr>
    </w:p>
    <w:p w14:paraId="3CE8DB1B" w14:textId="39A69F7A" w:rsidR="002F09FD" w:rsidRPr="002F09FD" w:rsidRDefault="002F09FD" w:rsidP="002F09FD">
      <w:pPr>
        <w:pStyle w:val="Heading3"/>
        <w:rPr>
          <w:rFonts w:eastAsia="Times New Roman"/>
          <w:u w:val="single"/>
          <w:lang w:eastAsia="bg-BG"/>
        </w:rPr>
      </w:pPr>
      <w:r w:rsidRPr="002F09FD">
        <w:rPr>
          <w:rFonts w:eastAsia="Times New Roman"/>
          <w:u w:val="single"/>
          <w:lang w:eastAsia="bg-BG"/>
        </w:rPr>
        <w:t>Кърмене</w:t>
      </w:r>
    </w:p>
    <w:p w14:paraId="4C2A81E9"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Флуфеназин се екскретира в кърмата и поради това кърменето трябва да се преустанови по време на лечението.</w:t>
      </w:r>
    </w:p>
    <w:p w14:paraId="597FB9B0" w14:textId="77777777" w:rsidR="002F09FD" w:rsidRPr="002F09FD" w:rsidRDefault="002F09FD" w:rsidP="002F09FD"/>
    <w:p w14:paraId="321AAB00" w14:textId="78C7FF67" w:rsidR="009F77A4" w:rsidRDefault="002C50EE" w:rsidP="00387A66">
      <w:pPr>
        <w:pStyle w:val="Heading2"/>
      </w:pPr>
      <w:r>
        <w:t>4.7. Ефекти върху способността за шофиране и работа с машини</w:t>
      </w:r>
    </w:p>
    <w:p w14:paraId="2B9E1911" w14:textId="6B346462" w:rsidR="002F09FD" w:rsidRDefault="002F09FD" w:rsidP="002F09FD"/>
    <w:p w14:paraId="53FC012E" w14:textId="3D24FE64" w:rsidR="002F09FD" w:rsidRDefault="002F09FD" w:rsidP="002F09FD">
      <w:pPr>
        <w:rPr>
          <w:lang w:eastAsia="bg-BG"/>
        </w:rPr>
      </w:pPr>
      <w:r>
        <w:t>Лекарството може да има силен ефект върху способността да се шофира и да се рабори с</w:t>
      </w:r>
      <w:r>
        <w:t xml:space="preserve"> </w:t>
      </w:r>
      <w:r w:rsidRPr="002F09FD">
        <w:rPr>
          <w:lang w:eastAsia="bg-BG"/>
        </w:rPr>
        <w:t>машини. Пациентите трябва да са предупредени за това. Лекарят трябва да оцени способността да се шофира въз основа на основното заболяване и ефектите на лечението.</w:t>
      </w:r>
    </w:p>
    <w:p w14:paraId="4F401739" w14:textId="77777777" w:rsidR="002F09FD" w:rsidRPr="002F09FD" w:rsidRDefault="002F09FD" w:rsidP="002F09FD">
      <w:pPr>
        <w:rPr>
          <w:sz w:val="24"/>
          <w:szCs w:val="24"/>
          <w:lang w:eastAsia="bg-BG"/>
        </w:rPr>
      </w:pPr>
    </w:p>
    <w:p w14:paraId="136C86B8" w14:textId="1BAF857F" w:rsidR="009F77A4" w:rsidRDefault="002C50EE" w:rsidP="00387A66">
      <w:pPr>
        <w:pStyle w:val="Heading2"/>
      </w:pPr>
      <w:r>
        <w:t>4.8. Нежелани лекарствени реакции</w:t>
      </w:r>
    </w:p>
    <w:p w14:paraId="37A12C15" w14:textId="68C7B7D4" w:rsidR="002F09FD" w:rsidRDefault="002F09FD" w:rsidP="002F09FD"/>
    <w:p w14:paraId="2EB1EFF0"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t>Нежелани реакции, които могат да възникнат по време на лечение с флуфеназин се класифицират в следните групи по реда на честотата:</w:t>
      </w:r>
    </w:p>
    <w:p w14:paraId="00312FAC" w14:textId="77777777" w:rsidR="002F09FD" w:rsidRPr="002F09FD" w:rsidRDefault="002F09FD" w:rsidP="002F09FD">
      <w:pPr>
        <w:pStyle w:val="ListParagraph"/>
        <w:numPr>
          <w:ilvl w:val="0"/>
          <w:numId w:val="40"/>
        </w:numPr>
        <w:spacing w:line="240" w:lineRule="auto"/>
        <w:rPr>
          <w:rFonts w:eastAsia="Times New Roman" w:cs="Arial"/>
          <w:sz w:val="24"/>
          <w:szCs w:val="24"/>
          <w:lang w:eastAsia="bg-BG"/>
        </w:rPr>
      </w:pPr>
      <w:r w:rsidRPr="002F09FD">
        <w:rPr>
          <w:rFonts w:eastAsia="Times New Roman" w:cs="Arial"/>
          <w:color w:val="000000"/>
          <w:lang w:eastAsia="bg-BG"/>
        </w:rPr>
        <w:t>Много чести (≥1/10),</w:t>
      </w:r>
    </w:p>
    <w:p w14:paraId="1D7C4A6C" w14:textId="77777777" w:rsidR="002F09FD" w:rsidRPr="002F09FD" w:rsidRDefault="002F09FD" w:rsidP="002F09FD">
      <w:pPr>
        <w:pStyle w:val="ListParagraph"/>
        <w:numPr>
          <w:ilvl w:val="0"/>
          <w:numId w:val="40"/>
        </w:numPr>
        <w:spacing w:line="240" w:lineRule="auto"/>
        <w:rPr>
          <w:rFonts w:eastAsia="Times New Roman" w:cs="Arial"/>
          <w:sz w:val="24"/>
          <w:szCs w:val="24"/>
          <w:lang w:eastAsia="bg-BG"/>
        </w:rPr>
      </w:pPr>
      <w:r w:rsidRPr="002F09FD">
        <w:rPr>
          <w:rFonts w:eastAsia="Times New Roman" w:cs="Arial"/>
          <w:color w:val="000000"/>
          <w:lang w:eastAsia="bg-BG"/>
        </w:rPr>
        <w:t>Чести (≥1/100 до &lt;1/10),</w:t>
      </w:r>
    </w:p>
    <w:p w14:paraId="4AE06DC6" w14:textId="77777777" w:rsidR="002F09FD" w:rsidRPr="002F09FD" w:rsidRDefault="002F09FD" w:rsidP="002F09FD">
      <w:pPr>
        <w:pStyle w:val="ListParagraph"/>
        <w:numPr>
          <w:ilvl w:val="0"/>
          <w:numId w:val="40"/>
        </w:numPr>
        <w:spacing w:line="240" w:lineRule="auto"/>
        <w:rPr>
          <w:rFonts w:eastAsia="Times New Roman" w:cs="Arial"/>
          <w:sz w:val="24"/>
          <w:szCs w:val="24"/>
          <w:lang w:eastAsia="bg-BG"/>
        </w:rPr>
      </w:pPr>
      <w:r w:rsidRPr="002F09FD">
        <w:rPr>
          <w:rFonts w:eastAsia="Times New Roman" w:cs="Arial"/>
          <w:color w:val="000000"/>
          <w:lang w:eastAsia="bg-BG"/>
        </w:rPr>
        <w:t>Нечести (≥1/1000 до &lt;1/100),</w:t>
      </w:r>
    </w:p>
    <w:p w14:paraId="7FF9072F" w14:textId="77777777" w:rsidR="002F09FD" w:rsidRPr="002F09FD" w:rsidRDefault="002F09FD" w:rsidP="002F09FD">
      <w:pPr>
        <w:pStyle w:val="ListParagraph"/>
        <w:numPr>
          <w:ilvl w:val="0"/>
          <w:numId w:val="40"/>
        </w:numPr>
        <w:spacing w:line="240" w:lineRule="auto"/>
        <w:rPr>
          <w:rFonts w:eastAsia="Times New Roman" w:cs="Arial"/>
          <w:sz w:val="24"/>
          <w:szCs w:val="24"/>
          <w:lang w:eastAsia="bg-BG"/>
        </w:rPr>
      </w:pPr>
      <w:r w:rsidRPr="002F09FD">
        <w:rPr>
          <w:rFonts w:eastAsia="Times New Roman" w:cs="Arial"/>
          <w:color w:val="000000"/>
          <w:lang w:eastAsia="bg-BG"/>
        </w:rPr>
        <w:t>Редки (≥ 1/10 000 до &lt;1/1000),</w:t>
      </w:r>
    </w:p>
    <w:p w14:paraId="2620B57A" w14:textId="77777777" w:rsidR="002F09FD" w:rsidRPr="002F09FD" w:rsidRDefault="002F09FD" w:rsidP="002F09FD">
      <w:pPr>
        <w:pStyle w:val="ListParagraph"/>
        <w:numPr>
          <w:ilvl w:val="0"/>
          <w:numId w:val="40"/>
        </w:numPr>
        <w:spacing w:line="240" w:lineRule="auto"/>
        <w:rPr>
          <w:rFonts w:eastAsia="Times New Roman" w:cs="Arial"/>
          <w:sz w:val="24"/>
          <w:szCs w:val="24"/>
          <w:lang w:eastAsia="bg-BG"/>
        </w:rPr>
      </w:pPr>
      <w:r w:rsidRPr="002F09FD">
        <w:rPr>
          <w:rFonts w:eastAsia="Times New Roman" w:cs="Arial"/>
          <w:color w:val="000000"/>
          <w:lang w:eastAsia="bg-BG"/>
        </w:rPr>
        <w:t>Много редки (&lt;1/10 000),</w:t>
      </w:r>
    </w:p>
    <w:p w14:paraId="291223A9" w14:textId="0E2B1712" w:rsidR="002F09FD" w:rsidRPr="002F09FD" w:rsidRDefault="002F09FD" w:rsidP="002F09FD">
      <w:pPr>
        <w:pStyle w:val="ListParagraph"/>
        <w:numPr>
          <w:ilvl w:val="0"/>
          <w:numId w:val="40"/>
        </w:numPr>
        <w:spacing w:line="240" w:lineRule="auto"/>
        <w:rPr>
          <w:rFonts w:eastAsia="Times New Roman" w:cs="Arial"/>
          <w:sz w:val="24"/>
          <w:szCs w:val="24"/>
          <w:lang w:eastAsia="bg-BG"/>
        </w:rPr>
      </w:pPr>
      <w:r w:rsidRPr="002F09FD">
        <w:rPr>
          <w:rFonts w:eastAsia="Times New Roman" w:cs="Arial"/>
          <w:color w:val="000000"/>
          <w:lang w:eastAsia="bg-BG"/>
        </w:rPr>
        <w:t>С неизвестна честота (честотата не може да бъде оценена от наличните данни).</w:t>
      </w:r>
    </w:p>
    <w:p w14:paraId="37EED5FF" w14:textId="77777777" w:rsidR="002F09FD" w:rsidRPr="002F09FD" w:rsidRDefault="002F09FD" w:rsidP="002F09FD">
      <w:pPr>
        <w:spacing w:line="240" w:lineRule="auto"/>
        <w:rPr>
          <w:rFonts w:eastAsia="Times New Roman" w:cs="Arial"/>
          <w:sz w:val="24"/>
          <w:szCs w:val="24"/>
          <w:lang w:eastAsia="bg-BG"/>
        </w:rPr>
      </w:pPr>
      <w:r w:rsidRPr="002F09FD">
        <w:rPr>
          <w:rFonts w:eastAsia="Times New Roman" w:cs="Arial"/>
          <w:color w:val="000000"/>
          <w:lang w:eastAsia="bg-BG"/>
        </w:rPr>
        <w:lastRenderedPageBreak/>
        <w:t>В рамките на всяка група по честота, нежеланите лекарствени реакции са изброени в низходящ ред по отношение на тежестта.</w:t>
      </w:r>
    </w:p>
    <w:p w14:paraId="33AC59DA" w14:textId="77777777" w:rsidR="002F09FD" w:rsidRPr="002F09FD" w:rsidRDefault="002F09FD" w:rsidP="002F09FD">
      <w:pPr>
        <w:spacing w:line="240" w:lineRule="auto"/>
        <w:rPr>
          <w:rFonts w:eastAsia="Times New Roman" w:cs="Arial"/>
          <w:color w:val="000000"/>
          <w:lang w:eastAsia="bg-BG"/>
        </w:rPr>
      </w:pPr>
    </w:p>
    <w:p w14:paraId="60947C0A" w14:textId="4FDEDC0A" w:rsidR="002F09FD" w:rsidRPr="002F09FD" w:rsidRDefault="002F09FD" w:rsidP="002F09FD">
      <w:pPr>
        <w:spacing w:line="240" w:lineRule="auto"/>
        <w:rPr>
          <w:rFonts w:ascii="Times New Roman" w:eastAsia="Times New Roman" w:hAnsi="Times New Roman" w:cs="Times New Roman"/>
          <w:sz w:val="24"/>
          <w:szCs w:val="24"/>
          <w:lang w:eastAsia="bg-BG"/>
        </w:rPr>
      </w:pPr>
      <w:r w:rsidRPr="002F09FD">
        <w:rPr>
          <w:rFonts w:eastAsia="Times New Roman" w:cs="Arial"/>
          <w:color w:val="000000"/>
          <w:lang w:eastAsia="bg-BG"/>
        </w:rPr>
        <w:t>Честота на нежеланите лекарствени реакции, изброени от отделните органи и системи:</w:t>
      </w:r>
    </w:p>
    <w:tbl>
      <w:tblPr>
        <w:tblStyle w:val="TableGrid"/>
        <w:tblW w:w="0" w:type="auto"/>
        <w:tblLook w:val="04A0" w:firstRow="1" w:lastRow="0" w:firstColumn="1" w:lastColumn="0" w:noHBand="0" w:noVBand="1"/>
      </w:tblPr>
      <w:tblGrid>
        <w:gridCol w:w="1671"/>
        <w:gridCol w:w="1280"/>
        <w:gridCol w:w="1708"/>
        <w:gridCol w:w="1543"/>
        <w:gridCol w:w="1470"/>
        <w:gridCol w:w="1678"/>
      </w:tblGrid>
      <w:tr w:rsidR="002F09FD" w14:paraId="78642998" w14:textId="77777777" w:rsidTr="002F09FD">
        <w:tc>
          <w:tcPr>
            <w:tcW w:w="1671" w:type="dxa"/>
          </w:tcPr>
          <w:p w14:paraId="289719FE" w14:textId="77777777" w:rsidR="002F09FD" w:rsidRDefault="002F09FD" w:rsidP="002F09FD"/>
        </w:tc>
        <w:tc>
          <w:tcPr>
            <w:tcW w:w="1441" w:type="dxa"/>
          </w:tcPr>
          <w:p w14:paraId="47CCE7E2" w14:textId="0DCDEDEB" w:rsidR="002F09FD" w:rsidRDefault="002F09FD" w:rsidP="002F09FD">
            <w:r>
              <w:rPr>
                <w:b/>
                <w:bCs/>
              </w:rPr>
              <w:t>Чести</w:t>
            </w:r>
          </w:p>
        </w:tc>
        <w:tc>
          <w:tcPr>
            <w:tcW w:w="1708" w:type="dxa"/>
          </w:tcPr>
          <w:p w14:paraId="1AE8B54D" w14:textId="302D07AB" w:rsidR="002F09FD" w:rsidRDefault="002F09FD" w:rsidP="002F09FD">
            <w:r>
              <w:rPr>
                <w:b/>
                <w:bCs/>
              </w:rPr>
              <w:t>Нечести</w:t>
            </w:r>
          </w:p>
        </w:tc>
        <w:tc>
          <w:tcPr>
            <w:tcW w:w="1547" w:type="dxa"/>
          </w:tcPr>
          <w:p w14:paraId="6C800989" w14:textId="4A8C06E8" w:rsidR="002F09FD" w:rsidRDefault="002F09FD" w:rsidP="002F09FD">
            <w:r>
              <w:rPr>
                <w:b/>
                <w:bCs/>
              </w:rPr>
              <w:t>Редки</w:t>
            </w:r>
          </w:p>
        </w:tc>
        <w:tc>
          <w:tcPr>
            <w:tcW w:w="1531" w:type="dxa"/>
          </w:tcPr>
          <w:p w14:paraId="06FAC050" w14:textId="78F1DFAC" w:rsidR="002F09FD" w:rsidRDefault="002F09FD" w:rsidP="002F09FD">
            <w:r>
              <w:rPr>
                <w:b/>
                <w:bCs/>
              </w:rPr>
              <w:t>Много редки</w:t>
            </w:r>
          </w:p>
        </w:tc>
        <w:tc>
          <w:tcPr>
            <w:tcW w:w="1678" w:type="dxa"/>
          </w:tcPr>
          <w:p w14:paraId="5CB07422" w14:textId="721ED12D" w:rsidR="002F09FD" w:rsidRDefault="002F09FD" w:rsidP="002F09FD">
            <w:r>
              <w:rPr>
                <w:b/>
                <w:bCs/>
              </w:rPr>
              <w:t>С неизвестна честота</w:t>
            </w:r>
          </w:p>
        </w:tc>
      </w:tr>
      <w:tr w:rsidR="002F09FD" w14:paraId="47C1546A" w14:textId="77777777" w:rsidTr="002F09FD">
        <w:tc>
          <w:tcPr>
            <w:tcW w:w="1671" w:type="dxa"/>
          </w:tcPr>
          <w:p w14:paraId="359CA5FA" w14:textId="234BA9C1" w:rsidR="002F09FD" w:rsidRDefault="002F09FD" w:rsidP="002F09FD">
            <w:r>
              <w:rPr>
                <w:b/>
                <w:bCs/>
              </w:rPr>
              <w:t>Нарушения на кръвта и лимфната система</w:t>
            </w:r>
          </w:p>
        </w:tc>
        <w:tc>
          <w:tcPr>
            <w:tcW w:w="1441" w:type="dxa"/>
          </w:tcPr>
          <w:p w14:paraId="5598481A" w14:textId="77777777" w:rsidR="002F09FD" w:rsidRDefault="002F09FD" w:rsidP="002F09FD"/>
        </w:tc>
        <w:tc>
          <w:tcPr>
            <w:tcW w:w="1708" w:type="dxa"/>
          </w:tcPr>
          <w:p w14:paraId="4E12F6F2" w14:textId="77777777" w:rsidR="002F09FD" w:rsidRDefault="002F09FD" w:rsidP="002F09FD"/>
        </w:tc>
        <w:tc>
          <w:tcPr>
            <w:tcW w:w="1547" w:type="dxa"/>
          </w:tcPr>
          <w:p w14:paraId="48987229" w14:textId="77777777" w:rsidR="002F09FD" w:rsidRDefault="002F09FD" w:rsidP="002F09FD"/>
        </w:tc>
        <w:tc>
          <w:tcPr>
            <w:tcW w:w="1531" w:type="dxa"/>
          </w:tcPr>
          <w:p w14:paraId="1B607D57" w14:textId="77777777" w:rsidR="002F09FD" w:rsidRDefault="002F09FD" w:rsidP="002F09FD"/>
        </w:tc>
        <w:tc>
          <w:tcPr>
            <w:tcW w:w="1678" w:type="dxa"/>
          </w:tcPr>
          <w:p w14:paraId="5FB54267" w14:textId="28BC1513" w:rsidR="002F09FD" w:rsidRDefault="002F09FD" w:rsidP="002F09FD">
            <w:r>
              <w:t>Левкопения, агранулоци- тоза, тромбоцито- пения, еозинофилия, панцитопения</w:t>
            </w:r>
          </w:p>
        </w:tc>
      </w:tr>
      <w:tr w:rsidR="002F09FD" w14:paraId="3BDE0F7D" w14:textId="77777777" w:rsidTr="002F09FD">
        <w:tc>
          <w:tcPr>
            <w:tcW w:w="1671" w:type="dxa"/>
          </w:tcPr>
          <w:p w14:paraId="5ED04F08" w14:textId="52814A13" w:rsidR="002F09FD" w:rsidRDefault="002F09FD" w:rsidP="002F09FD">
            <w:r>
              <w:rPr>
                <w:b/>
                <w:bCs/>
              </w:rPr>
              <w:t>Нарушения на имунната система</w:t>
            </w:r>
          </w:p>
        </w:tc>
        <w:tc>
          <w:tcPr>
            <w:tcW w:w="1441" w:type="dxa"/>
          </w:tcPr>
          <w:p w14:paraId="7874CEA7" w14:textId="77777777" w:rsidR="002F09FD" w:rsidRDefault="002F09FD" w:rsidP="002F09FD"/>
        </w:tc>
        <w:tc>
          <w:tcPr>
            <w:tcW w:w="1708" w:type="dxa"/>
          </w:tcPr>
          <w:p w14:paraId="3428DA53" w14:textId="77777777" w:rsidR="002F09FD" w:rsidRDefault="002F09FD" w:rsidP="002F09FD"/>
        </w:tc>
        <w:tc>
          <w:tcPr>
            <w:tcW w:w="1547" w:type="dxa"/>
          </w:tcPr>
          <w:p w14:paraId="1E4C6D28" w14:textId="77777777" w:rsidR="002F09FD" w:rsidRDefault="002F09FD" w:rsidP="002F09FD"/>
        </w:tc>
        <w:tc>
          <w:tcPr>
            <w:tcW w:w="1531" w:type="dxa"/>
          </w:tcPr>
          <w:p w14:paraId="75046A8D" w14:textId="4503A261" w:rsidR="002F09FD" w:rsidRDefault="002F09FD" w:rsidP="002F09FD">
            <w:r>
              <w:t>Астма, оток на ларинкса и ангиоедем</w:t>
            </w:r>
          </w:p>
        </w:tc>
        <w:tc>
          <w:tcPr>
            <w:tcW w:w="1678" w:type="dxa"/>
          </w:tcPr>
          <w:p w14:paraId="457886F4" w14:textId="77777777" w:rsidR="002F09FD" w:rsidRDefault="002F09FD" w:rsidP="002F09FD"/>
        </w:tc>
      </w:tr>
      <w:tr w:rsidR="002F09FD" w14:paraId="0DDD15BA" w14:textId="77777777" w:rsidTr="002F09FD">
        <w:tc>
          <w:tcPr>
            <w:tcW w:w="1671" w:type="dxa"/>
          </w:tcPr>
          <w:p w14:paraId="510507E0" w14:textId="37793729" w:rsidR="002F09FD" w:rsidRDefault="002F09FD" w:rsidP="002F09FD">
            <w:r>
              <w:rPr>
                <w:b/>
                <w:bCs/>
              </w:rPr>
              <w:t>Нарушения на ендокриннат а система</w:t>
            </w:r>
          </w:p>
        </w:tc>
        <w:tc>
          <w:tcPr>
            <w:tcW w:w="1441" w:type="dxa"/>
          </w:tcPr>
          <w:p w14:paraId="490BF191" w14:textId="77777777" w:rsidR="002F09FD" w:rsidRDefault="002F09FD" w:rsidP="002F09FD"/>
        </w:tc>
        <w:tc>
          <w:tcPr>
            <w:tcW w:w="1708" w:type="dxa"/>
          </w:tcPr>
          <w:p w14:paraId="6A3F35AB" w14:textId="4045E428" w:rsidR="002F09FD" w:rsidRDefault="002F09FD" w:rsidP="002F09FD">
            <w:r>
              <w:t>Гинекомастия, нарушена лактация, нарушения в либидото с импотентност, менструални нарушения, фалшиво положителни тестове за бременност</w:t>
            </w:r>
          </w:p>
        </w:tc>
        <w:tc>
          <w:tcPr>
            <w:tcW w:w="1547" w:type="dxa"/>
          </w:tcPr>
          <w:p w14:paraId="15FAD3D7" w14:textId="77777777" w:rsidR="002F09FD" w:rsidRDefault="002F09FD" w:rsidP="002F09FD"/>
        </w:tc>
        <w:tc>
          <w:tcPr>
            <w:tcW w:w="1531" w:type="dxa"/>
          </w:tcPr>
          <w:p w14:paraId="529D961A" w14:textId="77777777" w:rsidR="002F09FD" w:rsidRDefault="002F09FD" w:rsidP="002F09FD"/>
        </w:tc>
        <w:tc>
          <w:tcPr>
            <w:tcW w:w="1678" w:type="dxa"/>
          </w:tcPr>
          <w:p w14:paraId="029449BA" w14:textId="77777777" w:rsidR="002F09FD" w:rsidRDefault="002F09FD" w:rsidP="002F09FD"/>
        </w:tc>
      </w:tr>
      <w:tr w:rsidR="002F09FD" w14:paraId="6BDEDD4A" w14:textId="77777777" w:rsidTr="002F09FD">
        <w:tc>
          <w:tcPr>
            <w:tcW w:w="1671" w:type="dxa"/>
          </w:tcPr>
          <w:p w14:paraId="75973A0A" w14:textId="544E9837" w:rsidR="002F09FD" w:rsidRDefault="002F09FD" w:rsidP="002F09FD">
            <w:r>
              <w:rPr>
                <w:b/>
                <w:bCs/>
              </w:rPr>
              <w:t>Нарушения на метаболизма и храненето</w:t>
            </w:r>
          </w:p>
        </w:tc>
        <w:tc>
          <w:tcPr>
            <w:tcW w:w="1441" w:type="dxa"/>
          </w:tcPr>
          <w:p w14:paraId="459A8EB0" w14:textId="77777777" w:rsidR="002F09FD" w:rsidRDefault="002F09FD" w:rsidP="002F09FD"/>
        </w:tc>
        <w:tc>
          <w:tcPr>
            <w:tcW w:w="1708" w:type="dxa"/>
          </w:tcPr>
          <w:p w14:paraId="5560D5EB" w14:textId="66324CF8" w:rsidR="002F09FD" w:rsidRDefault="002F09FD" w:rsidP="002F09FD">
            <w:r>
              <w:t>Повишен апетит, наддаване на тегло</w:t>
            </w:r>
          </w:p>
        </w:tc>
        <w:tc>
          <w:tcPr>
            <w:tcW w:w="1547" w:type="dxa"/>
          </w:tcPr>
          <w:p w14:paraId="7EFB8C5B" w14:textId="77777777" w:rsidR="002F09FD" w:rsidRDefault="002F09FD" w:rsidP="002F09FD"/>
        </w:tc>
        <w:tc>
          <w:tcPr>
            <w:tcW w:w="1531" w:type="dxa"/>
          </w:tcPr>
          <w:p w14:paraId="13448628" w14:textId="77777777" w:rsidR="002F09FD" w:rsidRDefault="002F09FD" w:rsidP="002F09FD"/>
        </w:tc>
        <w:tc>
          <w:tcPr>
            <w:tcW w:w="1678" w:type="dxa"/>
          </w:tcPr>
          <w:p w14:paraId="46DB7330" w14:textId="77777777" w:rsidR="002F09FD" w:rsidRDefault="002F09FD" w:rsidP="002F09FD"/>
        </w:tc>
      </w:tr>
      <w:tr w:rsidR="002F09FD" w14:paraId="5B01E4D5" w14:textId="77777777" w:rsidTr="002F09FD">
        <w:tc>
          <w:tcPr>
            <w:tcW w:w="1671" w:type="dxa"/>
          </w:tcPr>
          <w:p w14:paraId="5FDC4C74" w14:textId="32BFC1E0" w:rsidR="002F09FD" w:rsidRDefault="002F09FD" w:rsidP="002F09FD">
            <w:r>
              <w:rPr>
                <w:b/>
                <w:bCs/>
              </w:rPr>
              <w:t>Психични нарушения</w:t>
            </w:r>
          </w:p>
        </w:tc>
        <w:tc>
          <w:tcPr>
            <w:tcW w:w="1441" w:type="dxa"/>
          </w:tcPr>
          <w:p w14:paraId="216DDFA0" w14:textId="77777777" w:rsidR="002F09FD" w:rsidRDefault="002F09FD" w:rsidP="002F09FD"/>
        </w:tc>
        <w:tc>
          <w:tcPr>
            <w:tcW w:w="1708" w:type="dxa"/>
          </w:tcPr>
          <w:p w14:paraId="0F28BCAB" w14:textId="77777777" w:rsidR="002F09FD" w:rsidRDefault="002F09FD" w:rsidP="002F09FD"/>
        </w:tc>
        <w:tc>
          <w:tcPr>
            <w:tcW w:w="1547" w:type="dxa"/>
          </w:tcPr>
          <w:p w14:paraId="28DAA0CC" w14:textId="017D8AEA" w:rsidR="002F09FD" w:rsidRDefault="002F09FD" w:rsidP="002F09FD">
            <w:r>
              <w:t>Сънливост, летаргия</w:t>
            </w:r>
          </w:p>
        </w:tc>
        <w:tc>
          <w:tcPr>
            <w:tcW w:w="1531" w:type="dxa"/>
          </w:tcPr>
          <w:p w14:paraId="6657802F" w14:textId="77777777" w:rsidR="002F09FD" w:rsidRDefault="002F09FD" w:rsidP="002F09FD"/>
        </w:tc>
        <w:tc>
          <w:tcPr>
            <w:tcW w:w="1678" w:type="dxa"/>
          </w:tcPr>
          <w:p w14:paraId="4846F2FF" w14:textId="77777777" w:rsidR="002F09FD" w:rsidRDefault="002F09FD" w:rsidP="002F09FD">
            <w:r>
              <w:t>Безпокойство, възбуда или странни сънища,. депресивни</w:t>
            </w:r>
          </w:p>
          <w:p w14:paraId="64E4FF1F" w14:textId="77777777" w:rsidR="002F09FD" w:rsidRDefault="002F09FD" w:rsidP="002F09FD">
            <w:r>
              <w:t>състояния,</w:t>
            </w:r>
          </w:p>
          <w:p w14:paraId="401C2F70" w14:textId="77777777" w:rsidR="002F09FD" w:rsidRDefault="002F09FD" w:rsidP="002F09FD">
            <w:r>
              <w:t>повишена</w:t>
            </w:r>
          </w:p>
          <w:p w14:paraId="1454BA1A" w14:textId="77777777" w:rsidR="002F09FD" w:rsidRDefault="002F09FD" w:rsidP="002F09FD">
            <w:r>
              <w:t>склонност към</w:t>
            </w:r>
          </w:p>
          <w:p w14:paraId="117425D4" w14:textId="77777777" w:rsidR="002F09FD" w:rsidRDefault="002F09FD" w:rsidP="002F09FD">
            <w:r>
              <w:t>самоубийство</w:t>
            </w:r>
          </w:p>
          <w:p w14:paraId="45DD6F41" w14:textId="77777777" w:rsidR="002F09FD" w:rsidRDefault="002F09FD" w:rsidP="002F09FD"/>
        </w:tc>
      </w:tr>
      <w:tr w:rsidR="002F09FD" w14:paraId="461C3A6D" w14:textId="77777777" w:rsidTr="002F09FD">
        <w:tc>
          <w:tcPr>
            <w:tcW w:w="1671" w:type="dxa"/>
          </w:tcPr>
          <w:p w14:paraId="72B49F82" w14:textId="5E990D45" w:rsidR="002F09FD" w:rsidRDefault="002F09FD" w:rsidP="002F09FD">
            <w:r>
              <w:rPr>
                <w:b/>
                <w:bCs/>
              </w:rPr>
              <w:t>нарушения</w:t>
            </w:r>
          </w:p>
        </w:tc>
        <w:tc>
          <w:tcPr>
            <w:tcW w:w="1441" w:type="dxa"/>
          </w:tcPr>
          <w:p w14:paraId="16584028" w14:textId="77777777" w:rsidR="002F09FD" w:rsidRDefault="002F09FD" w:rsidP="002F09FD"/>
        </w:tc>
        <w:tc>
          <w:tcPr>
            <w:tcW w:w="1708" w:type="dxa"/>
          </w:tcPr>
          <w:p w14:paraId="52A1F0CF" w14:textId="77777777" w:rsidR="002F09FD" w:rsidRDefault="002F09FD" w:rsidP="002F09FD"/>
        </w:tc>
        <w:tc>
          <w:tcPr>
            <w:tcW w:w="1547" w:type="dxa"/>
          </w:tcPr>
          <w:p w14:paraId="29A00A78" w14:textId="309F0807" w:rsidR="002F09FD" w:rsidRDefault="002F09FD" w:rsidP="002F09FD">
            <w:r>
              <w:t>жълтеница</w:t>
            </w:r>
          </w:p>
        </w:tc>
        <w:tc>
          <w:tcPr>
            <w:tcW w:w="1531" w:type="dxa"/>
          </w:tcPr>
          <w:p w14:paraId="7BBE6C31" w14:textId="77777777" w:rsidR="002F09FD" w:rsidRDefault="002F09FD" w:rsidP="002F09FD"/>
        </w:tc>
        <w:tc>
          <w:tcPr>
            <w:tcW w:w="1678" w:type="dxa"/>
          </w:tcPr>
          <w:p w14:paraId="53498265" w14:textId="77777777" w:rsidR="002F09FD" w:rsidRDefault="002F09FD" w:rsidP="002F09FD"/>
        </w:tc>
      </w:tr>
      <w:tr w:rsidR="002F09FD" w14:paraId="1A43BE91" w14:textId="77777777" w:rsidTr="002F09FD">
        <w:tc>
          <w:tcPr>
            <w:tcW w:w="1671" w:type="dxa"/>
          </w:tcPr>
          <w:p w14:paraId="43FA4A5A" w14:textId="6537A1CB" w:rsidR="002F09FD" w:rsidRDefault="002F09FD" w:rsidP="002F09FD">
            <w:r>
              <w:rPr>
                <w:b/>
                <w:bCs/>
              </w:rPr>
              <w:t xml:space="preserve">Нарушения на кожата и </w:t>
            </w:r>
            <w:r>
              <w:rPr>
                <w:b/>
                <w:bCs/>
              </w:rPr>
              <w:lastRenderedPageBreak/>
              <w:t>подкожната тъкан</w:t>
            </w:r>
          </w:p>
        </w:tc>
        <w:tc>
          <w:tcPr>
            <w:tcW w:w="1441" w:type="dxa"/>
          </w:tcPr>
          <w:p w14:paraId="740347F7" w14:textId="77777777" w:rsidR="002F09FD" w:rsidRDefault="002F09FD" w:rsidP="002F09FD"/>
        </w:tc>
        <w:tc>
          <w:tcPr>
            <w:tcW w:w="1708" w:type="dxa"/>
          </w:tcPr>
          <w:p w14:paraId="3CECD6CD" w14:textId="2246E115" w:rsidR="002F09FD" w:rsidRDefault="002F09FD" w:rsidP="002F09FD">
            <w:r>
              <w:t>Изпотяване</w:t>
            </w:r>
          </w:p>
        </w:tc>
        <w:tc>
          <w:tcPr>
            <w:tcW w:w="1547" w:type="dxa"/>
          </w:tcPr>
          <w:p w14:paraId="64F94AEA" w14:textId="1435B188" w:rsidR="002F09FD" w:rsidRDefault="002F09FD" w:rsidP="002F09FD">
            <w:r>
              <w:t>Пигмента</w:t>
            </w:r>
            <w:r>
              <w:softHyphen/>
              <w:t xml:space="preserve">цията на </w:t>
            </w:r>
            <w:r>
              <w:lastRenderedPageBreak/>
              <w:t>кожата, фоточув- ствителност, алергичен дерматит, уртикария, себорея, еритема, екзема, ексфолиати- вен дерматит</w:t>
            </w:r>
          </w:p>
        </w:tc>
        <w:tc>
          <w:tcPr>
            <w:tcW w:w="1531" w:type="dxa"/>
          </w:tcPr>
          <w:p w14:paraId="4ABBE80C" w14:textId="77777777" w:rsidR="002F09FD" w:rsidRDefault="002F09FD" w:rsidP="002F09FD"/>
        </w:tc>
        <w:tc>
          <w:tcPr>
            <w:tcW w:w="1678" w:type="dxa"/>
          </w:tcPr>
          <w:p w14:paraId="25C1E38F" w14:textId="77777777" w:rsidR="002F09FD" w:rsidRDefault="002F09FD" w:rsidP="002F09FD"/>
        </w:tc>
      </w:tr>
      <w:tr w:rsidR="002F09FD" w14:paraId="38C5BD2C" w14:textId="77777777" w:rsidTr="002F09FD">
        <w:tc>
          <w:tcPr>
            <w:tcW w:w="1671" w:type="dxa"/>
          </w:tcPr>
          <w:p w14:paraId="33F27D72" w14:textId="6AE86C25" w:rsidR="002F09FD" w:rsidRDefault="002F09FD" w:rsidP="002F09FD">
            <w:r>
              <w:rPr>
                <w:b/>
                <w:bCs/>
              </w:rPr>
              <w:t>Нарушения на бъбреците н пикочните пътища</w:t>
            </w:r>
          </w:p>
        </w:tc>
        <w:tc>
          <w:tcPr>
            <w:tcW w:w="1441" w:type="dxa"/>
          </w:tcPr>
          <w:p w14:paraId="78C33DCD" w14:textId="77777777" w:rsidR="002F09FD" w:rsidRDefault="002F09FD" w:rsidP="002F09FD"/>
        </w:tc>
        <w:tc>
          <w:tcPr>
            <w:tcW w:w="1708" w:type="dxa"/>
          </w:tcPr>
          <w:p w14:paraId="7526D4EF" w14:textId="7189BB0E" w:rsidR="002F09FD" w:rsidRDefault="002F09FD" w:rsidP="002F09FD">
            <w:r>
              <w:t>Полиурия, парализа на пикочния мехур</w:t>
            </w:r>
          </w:p>
        </w:tc>
        <w:tc>
          <w:tcPr>
            <w:tcW w:w="1547" w:type="dxa"/>
          </w:tcPr>
          <w:p w14:paraId="6DC3D194" w14:textId="4BD9EC6A" w:rsidR="002F09FD" w:rsidRDefault="002F09FD" w:rsidP="002F09FD">
            <w:r>
              <w:t>Нощно напикаване, невъзмож</w:t>
            </w:r>
            <w:r>
              <w:softHyphen/>
              <w:t>ност за задържане на урина</w:t>
            </w:r>
          </w:p>
        </w:tc>
        <w:tc>
          <w:tcPr>
            <w:tcW w:w="1531" w:type="dxa"/>
          </w:tcPr>
          <w:p w14:paraId="0C4C053E" w14:textId="77777777" w:rsidR="002F09FD" w:rsidRDefault="002F09FD" w:rsidP="002F09FD"/>
        </w:tc>
        <w:tc>
          <w:tcPr>
            <w:tcW w:w="1678" w:type="dxa"/>
          </w:tcPr>
          <w:p w14:paraId="5B71D358" w14:textId="77777777" w:rsidR="002F09FD" w:rsidRDefault="002F09FD" w:rsidP="002F09FD"/>
        </w:tc>
      </w:tr>
      <w:tr w:rsidR="002F09FD" w14:paraId="735203D8" w14:textId="77777777" w:rsidTr="002F09FD">
        <w:tc>
          <w:tcPr>
            <w:tcW w:w="1671" w:type="dxa"/>
          </w:tcPr>
          <w:p w14:paraId="14F71189" w14:textId="024F80BE" w:rsidR="002F09FD" w:rsidRDefault="002F09FD" w:rsidP="002F09FD">
            <w:r>
              <w:rPr>
                <w:b/>
                <w:bCs/>
              </w:rPr>
              <w:t>Бременност, пуерпериум и перинатална условия</w:t>
            </w:r>
          </w:p>
        </w:tc>
        <w:tc>
          <w:tcPr>
            <w:tcW w:w="1441" w:type="dxa"/>
          </w:tcPr>
          <w:p w14:paraId="6568725C" w14:textId="77777777" w:rsidR="002F09FD" w:rsidRDefault="002F09FD" w:rsidP="002F09FD"/>
        </w:tc>
        <w:tc>
          <w:tcPr>
            <w:tcW w:w="1708" w:type="dxa"/>
          </w:tcPr>
          <w:p w14:paraId="72F81919" w14:textId="77777777" w:rsidR="002F09FD" w:rsidRDefault="002F09FD" w:rsidP="002F09FD"/>
        </w:tc>
        <w:tc>
          <w:tcPr>
            <w:tcW w:w="1547" w:type="dxa"/>
          </w:tcPr>
          <w:p w14:paraId="32E7C094" w14:textId="77777777" w:rsidR="002F09FD" w:rsidRDefault="002F09FD" w:rsidP="002F09FD"/>
        </w:tc>
        <w:tc>
          <w:tcPr>
            <w:tcW w:w="1531" w:type="dxa"/>
          </w:tcPr>
          <w:p w14:paraId="7FD3C833" w14:textId="77777777" w:rsidR="002F09FD" w:rsidRDefault="002F09FD" w:rsidP="002F09FD"/>
        </w:tc>
        <w:tc>
          <w:tcPr>
            <w:tcW w:w="1678" w:type="dxa"/>
          </w:tcPr>
          <w:p w14:paraId="7AB455F1" w14:textId="3F0AB185" w:rsidR="002F09FD" w:rsidRDefault="002F09FD" w:rsidP="002F09FD">
            <w:r>
              <w:t>Синдром на отнемане при новородените (вж. 4.6)</w:t>
            </w:r>
          </w:p>
        </w:tc>
      </w:tr>
      <w:tr w:rsidR="002F09FD" w14:paraId="093BF178" w14:textId="77777777" w:rsidTr="002F09FD">
        <w:tc>
          <w:tcPr>
            <w:tcW w:w="1671" w:type="dxa"/>
          </w:tcPr>
          <w:p w14:paraId="5BC58086" w14:textId="18491383" w:rsidR="002F09FD" w:rsidRDefault="002F09FD" w:rsidP="002F09FD">
            <w:r>
              <w:rPr>
                <w:b/>
                <w:bCs/>
              </w:rPr>
              <w:t>Нарушения на възпроизво</w:t>
            </w:r>
            <w:r>
              <w:rPr>
                <w:b/>
                <w:bCs/>
              </w:rPr>
              <w:softHyphen/>
              <w:t>дителната система и гърдата</w:t>
            </w:r>
          </w:p>
        </w:tc>
        <w:tc>
          <w:tcPr>
            <w:tcW w:w="1441" w:type="dxa"/>
          </w:tcPr>
          <w:p w14:paraId="42E07A0F" w14:textId="77777777" w:rsidR="002F09FD" w:rsidRDefault="002F09FD" w:rsidP="002F09FD"/>
        </w:tc>
        <w:tc>
          <w:tcPr>
            <w:tcW w:w="1708" w:type="dxa"/>
          </w:tcPr>
          <w:p w14:paraId="38B76213" w14:textId="77777777" w:rsidR="002F09FD" w:rsidRDefault="002F09FD" w:rsidP="002F09FD"/>
        </w:tc>
        <w:tc>
          <w:tcPr>
            <w:tcW w:w="1547" w:type="dxa"/>
          </w:tcPr>
          <w:p w14:paraId="6E3A3776" w14:textId="467E4B0D" w:rsidR="002F09FD" w:rsidRDefault="002F09FD" w:rsidP="002F09FD">
            <w:r>
              <w:t>Приапизъм, нарушения на еякулацията</w:t>
            </w:r>
          </w:p>
        </w:tc>
        <w:tc>
          <w:tcPr>
            <w:tcW w:w="1531" w:type="dxa"/>
          </w:tcPr>
          <w:p w14:paraId="4A6E8B6C" w14:textId="77777777" w:rsidR="002F09FD" w:rsidRDefault="002F09FD" w:rsidP="002F09FD"/>
        </w:tc>
        <w:tc>
          <w:tcPr>
            <w:tcW w:w="1678" w:type="dxa"/>
          </w:tcPr>
          <w:p w14:paraId="0DE79B42" w14:textId="77777777" w:rsidR="002F09FD" w:rsidRDefault="002F09FD" w:rsidP="002F09FD"/>
        </w:tc>
      </w:tr>
    </w:tbl>
    <w:p w14:paraId="1B2323CD" w14:textId="77777777" w:rsidR="0004245E" w:rsidRDefault="0004245E" w:rsidP="0004245E">
      <w:pPr>
        <w:spacing w:line="240" w:lineRule="auto"/>
        <w:rPr>
          <w:rFonts w:ascii="Times New Roman" w:eastAsia="Times New Roman" w:hAnsi="Times New Roman" w:cs="Times New Roman"/>
          <w:color w:val="000000"/>
          <w:u w:val="single"/>
          <w:lang w:eastAsia="bg-BG"/>
        </w:rPr>
      </w:pPr>
    </w:p>
    <w:p w14:paraId="3D6B9AF7" w14:textId="261F5596" w:rsidR="0004245E" w:rsidRPr="0004245E" w:rsidRDefault="0004245E" w:rsidP="0004245E">
      <w:pPr>
        <w:spacing w:line="240" w:lineRule="auto"/>
        <w:rPr>
          <w:rFonts w:eastAsia="Times New Roman" w:cs="Arial"/>
          <w:lang w:eastAsia="bg-BG"/>
        </w:rPr>
      </w:pPr>
      <w:r w:rsidRPr="0004245E">
        <w:rPr>
          <w:rFonts w:eastAsia="Times New Roman" w:cs="Arial"/>
          <w:color w:val="000000"/>
          <w:u w:val="single"/>
          <w:lang w:eastAsia="bg-BG"/>
        </w:rPr>
        <w:t>Други нежелани лекарствени реакции</w:t>
      </w:r>
    </w:p>
    <w:p w14:paraId="6424C3BB" w14:textId="77777777" w:rsidR="0004245E" w:rsidRPr="0004245E" w:rsidRDefault="0004245E" w:rsidP="0004245E">
      <w:pPr>
        <w:spacing w:line="240" w:lineRule="auto"/>
        <w:rPr>
          <w:rFonts w:eastAsia="Times New Roman" w:cs="Arial"/>
          <w:lang w:eastAsia="bg-BG"/>
        </w:rPr>
      </w:pPr>
      <w:r w:rsidRPr="0004245E">
        <w:rPr>
          <w:rFonts w:eastAsia="Times New Roman" w:cs="Arial"/>
          <w:color w:val="000000"/>
          <w:lang w:eastAsia="bg-BG"/>
        </w:rPr>
        <w:t>Няколко внезапни, неочаквани и необясними смъртни случаи при хоспитализирани пациенти, които са получавали фенотиазини.</w:t>
      </w:r>
    </w:p>
    <w:p w14:paraId="49E76332" w14:textId="77777777" w:rsidR="0004245E" w:rsidRPr="0004245E" w:rsidRDefault="0004245E" w:rsidP="0004245E">
      <w:pPr>
        <w:spacing w:line="240" w:lineRule="auto"/>
        <w:rPr>
          <w:rFonts w:eastAsia="Times New Roman" w:cs="Arial"/>
          <w:color w:val="000000"/>
          <w:u w:val="single"/>
          <w:lang w:eastAsia="bg-BG"/>
        </w:rPr>
      </w:pPr>
    </w:p>
    <w:p w14:paraId="7175BA24" w14:textId="2E212DD0" w:rsidR="0004245E" w:rsidRPr="0004245E" w:rsidRDefault="0004245E" w:rsidP="0004245E">
      <w:pPr>
        <w:spacing w:line="240" w:lineRule="auto"/>
        <w:rPr>
          <w:rFonts w:eastAsia="Times New Roman" w:cs="Arial"/>
          <w:lang w:eastAsia="bg-BG"/>
        </w:rPr>
      </w:pPr>
      <w:r w:rsidRPr="0004245E">
        <w:rPr>
          <w:rFonts w:eastAsia="Times New Roman" w:cs="Arial"/>
          <w:color w:val="000000"/>
          <w:u w:val="single"/>
          <w:lang w:eastAsia="bg-BG"/>
        </w:rPr>
        <w:t>Съобщаване на подозирани нежелани реакции</w:t>
      </w:r>
    </w:p>
    <w:p w14:paraId="4C72F5C8" w14:textId="77777777" w:rsidR="0004245E" w:rsidRPr="0004245E" w:rsidRDefault="0004245E" w:rsidP="0004245E">
      <w:pPr>
        <w:spacing w:line="240" w:lineRule="auto"/>
        <w:rPr>
          <w:rFonts w:eastAsia="Times New Roman" w:cs="Arial"/>
          <w:lang w:eastAsia="bg-BG"/>
        </w:rPr>
      </w:pPr>
      <w:r w:rsidRPr="0004245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Тел.:+35 928903417 уебсайт: </w:t>
      </w:r>
      <w:hyperlink r:id="rId5" w:history="1">
        <w:r w:rsidRPr="0004245E">
          <w:rPr>
            <w:rFonts w:eastAsia="Times New Roman" w:cs="Arial"/>
            <w:color w:val="000000"/>
            <w:u w:val="single"/>
            <w:lang w:val="en-US"/>
          </w:rPr>
          <w:t>www.bda.bg</w:t>
        </w:r>
      </w:hyperlink>
      <w:r w:rsidRPr="0004245E">
        <w:rPr>
          <w:rFonts w:eastAsia="Times New Roman" w:cs="Arial"/>
          <w:color w:val="000000"/>
          <w:lang w:val="en-US"/>
        </w:rPr>
        <w:t>.</w:t>
      </w:r>
    </w:p>
    <w:p w14:paraId="50E41CDA" w14:textId="77777777" w:rsidR="002F09FD" w:rsidRPr="002F09FD" w:rsidRDefault="002F09FD" w:rsidP="002F09FD"/>
    <w:p w14:paraId="378A0F20" w14:textId="55A6A949" w:rsidR="001D095A" w:rsidRDefault="002C50EE" w:rsidP="00340E8D">
      <w:pPr>
        <w:pStyle w:val="Heading2"/>
      </w:pPr>
      <w:r>
        <w:t>4.9. Предозиране</w:t>
      </w:r>
    </w:p>
    <w:p w14:paraId="75B92C5C" w14:textId="5BE7B344" w:rsidR="0004245E" w:rsidRDefault="0004245E" w:rsidP="0004245E"/>
    <w:p w14:paraId="239C7ADD"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u w:val="single"/>
          <w:lang w:eastAsia="bg-BG"/>
        </w:rPr>
        <w:t>Симптоми</w:t>
      </w:r>
    </w:p>
    <w:p w14:paraId="26152EED" w14:textId="77777777" w:rsidR="0004245E" w:rsidRPr="0004245E" w:rsidRDefault="0004245E" w:rsidP="0004245E">
      <w:pPr>
        <w:rPr>
          <w:rFonts w:eastAsia="Times New Roman" w:cs="Arial"/>
          <w:sz w:val="24"/>
          <w:szCs w:val="24"/>
          <w:lang w:eastAsia="bg-BG"/>
        </w:rPr>
      </w:pPr>
      <w:r w:rsidRPr="0004245E">
        <w:rPr>
          <w:rFonts w:eastAsia="Times New Roman" w:cs="Arial"/>
          <w:color w:val="000000"/>
          <w:lang w:eastAsia="bg-BG"/>
        </w:rPr>
        <w:t xml:space="preserve">Предозирането или интоксикацията може да доведат до тежки екстрапирамидн нарушения, силно понижение на артериалното налягане, миоза, хипотермия, задръжка на урината, електрокардиографски промени и нарушения на сърдечния ритъм, подобни на </w:t>
      </w:r>
      <w:r w:rsidRPr="0004245E">
        <w:rPr>
          <w:rFonts w:eastAsia="Times New Roman" w:cs="Arial"/>
          <w:color w:val="000000"/>
          <w:lang w:eastAsia="bg-BG"/>
        </w:rPr>
        <w:lastRenderedPageBreak/>
        <w:t>тези,</w:t>
      </w:r>
      <w:r w:rsidRPr="0004245E">
        <w:rPr>
          <w:rFonts w:eastAsia="Times New Roman" w:cs="Arial"/>
          <w:color w:val="000000"/>
          <w:lang w:eastAsia="bg-BG"/>
        </w:rPr>
        <w:t xml:space="preserve"> </w:t>
      </w:r>
      <w:r w:rsidRPr="0004245E">
        <w:rPr>
          <w:rFonts w:eastAsia="Times New Roman" w:cs="Arial"/>
          <w:color w:val="000000"/>
          <w:lang w:eastAsia="bg-BG"/>
        </w:rPr>
        <w:t>наблюдавани при предозиране на хинидин, седация и нарушения на съзнанието, които може да доведат до загуба на съзнанието с арефлексия, спазми и кома.</w:t>
      </w:r>
    </w:p>
    <w:p w14:paraId="320AFDFE" w14:textId="77777777" w:rsidR="0004245E" w:rsidRPr="0004245E" w:rsidRDefault="0004245E" w:rsidP="0004245E">
      <w:pPr>
        <w:spacing w:line="240" w:lineRule="auto"/>
        <w:rPr>
          <w:rFonts w:eastAsia="Times New Roman" w:cs="Arial"/>
          <w:color w:val="000000"/>
          <w:u w:val="single"/>
          <w:lang w:eastAsia="bg-BG"/>
        </w:rPr>
      </w:pPr>
    </w:p>
    <w:p w14:paraId="15B5F12C" w14:textId="005AAF7D"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u w:val="single"/>
          <w:lang w:eastAsia="bg-BG"/>
        </w:rPr>
        <w:t>Лечение</w:t>
      </w:r>
    </w:p>
    <w:p w14:paraId="7FF1EBDD"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lang w:eastAsia="bg-BG"/>
        </w:rPr>
        <w:t>Няма специфичен антидот. Лечението е симптоматично. Пациентът трябва да се наблюдава внимателно. При аритмия са ефективни натриев бикарбонат и магнезиев сулфат.</w:t>
      </w:r>
    </w:p>
    <w:p w14:paraId="7EF2770A"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lang w:eastAsia="bg-BG"/>
        </w:rPr>
        <w:t>Екстрапирамидните нарушения се лекуват с антипаркинсонови лекарства. При тежка хипотония може да се прилага само норадреналин. Адреналин понижава допълнително артериалното налягане.</w:t>
      </w:r>
    </w:p>
    <w:p w14:paraId="62D51CA1" w14:textId="77777777" w:rsidR="0004245E" w:rsidRPr="0004245E" w:rsidRDefault="0004245E" w:rsidP="0004245E"/>
    <w:p w14:paraId="02081B24" w14:textId="36FE76F4" w:rsidR="00395555" w:rsidRPr="00395555" w:rsidRDefault="002C50EE" w:rsidP="008A6AF2">
      <w:pPr>
        <w:pStyle w:val="Heading1"/>
      </w:pPr>
      <w:r>
        <w:t>5. ФАРМАКОЛОГИЧНИ СВОЙСТВА</w:t>
      </w:r>
    </w:p>
    <w:p w14:paraId="7F6CC5E1" w14:textId="77352997" w:rsidR="00F62E44" w:rsidRDefault="002C50EE" w:rsidP="00387A66">
      <w:pPr>
        <w:pStyle w:val="Heading2"/>
      </w:pPr>
      <w:r>
        <w:t>5.1. Фармакодинамични свойства</w:t>
      </w:r>
    </w:p>
    <w:p w14:paraId="4D898B4D" w14:textId="30B1F625" w:rsidR="0004245E" w:rsidRDefault="0004245E" w:rsidP="0004245E"/>
    <w:p w14:paraId="11B30C69"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lang w:eastAsia="bg-BG"/>
        </w:rPr>
        <w:t xml:space="preserve">Фармакотерапевтична група: антипсихотици АТС код: </w:t>
      </w:r>
      <w:r w:rsidRPr="0004245E">
        <w:rPr>
          <w:rFonts w:eastAsia="Times New Roman" w:cs="Arial"/>
          <w:color w:val="000000"/>
          <w:lang w:val="en-US"/>
        </w:rPr>
        <w:t>N05AB02</w:t>
      </w:r>
    </w:p>
    <w:p w14:paraId="642D3592" w14:textId="77777777" w:rsidR="0004245E" w:rsidRPr="0004245E" w:rsidRDefault="0004245E" w:rsidP="0004245E">
      <w:pPr>
        <w:spacing w:line="240" w:lineRule="auto"/>
        <w:rPr>
          <w:rFonts w:eastAsia="Times New Roman" w:cs="Arial"/>
          <w:color w:val="000000"/>
          <w:u w:val="single"/>
          <w:lang w:eastAsia="bg-BG"/>
        </w:rPr>
      </w:pPr>
    </w:p>
    <w:p w14:paraId="1CEFCF85" w14:textId="582A2729"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u w:val="single"/>
          <w:lang w:eastAsia="bg-BG"/>
        </w:rPr>
        <w:t>Механизъм на действие</w:t>
      </w:r>
    </w:p>
    <w:p w14:paraId="36F8DDB6"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lang w:eastAsia="bg-BG"/>
        </w:rPr>
        <w:t xml:space="preserve">Флуфеназин е много мощен фенотиазинов невролептик, който спада към групата на класическите антипсихотични лекарства. Шизофренията е свързана с абнормна чувствителност на допаминовите рецептори. Флуфеназин е по-добър блокер на мозъчните допаминови </w:t>
      </w:r>
      <w:r w:rsidRPr="0004245E">
        <w:rPr>
          <w:rFonts w:eastAsia="Times New Roman" w:cs="Arial"/>
          <w:color w:val="000000"/>
          <w:lang w:val="en-US"/>
        </w:rPr>
        <w:t>D</w:t>
      </w:r>
      <w:r w:rsidRPr="0004245E">
        <w:rPr>
          <w:rFonts w:eastAsia="Times New Roman" w:cs="Arial"/>
          <w:color w:val="000000"/>
          <w:vertAlign w:val="subscript"/>
          <w:lang w:val="en-US"/>
        </w:rPr>
        <w:t>2</w:t>
      </w:r>
      <w:r w:rsidRPr="0004245E">
        <w:rPr>
          <w:rFonts w:eastAsia="Times New Roman" w:cs="Arial"/>
          <w:color w:val="000000"/>
          <w:lang w:val="en-US"/>
        </w:rPr>
        <w:t xml:space="preserve"> </w:t>
      </w:r>
      <w:r w:rsidRPr="0004245E">
        <w:rPr>
          <w:rFonts w:eastAsia="Times New Roman" w:cs="Arial"/>
          <w:color w:val="000000"/>
          <w:lang w:eastAsia="bg-BG"/>
        </w:rPr>
        <w:t xml:space="preserve">и </w:t>
      </w:r>
      <w:r w:rsidRPr="0004245E">
        <w:rPr>
          <w:rFonts w:eastAsia="Times New Roman" w:cs="Arial"/>
          <w:color w:val="000000"/>
          <w:lang w:val="en-US"/>
        </w:rPr>
        <w:t>D</w:t>
      </w:r>
      <w:r w:rsidRPr="0004245E">
        <w:rPr>
          <w:rFonts w:eastAsia="Times New Roman" w:cs="Arial"/>
          <w:color w:val="000000"/>
          <w:vertAlign w:val="subscript"/>
          <w:lang w:val="en-US"/>
        </w:rPr>
        <w:t>1</w:t>
      </w:r>
      <w:r w:rsidRPr="0004245E">
        <w:rPr>
          <w:rFonts w:eastAsia="Times New Roman" w:cs="Arial"/>
          <w:color w:val="000000"/>
          <w:lang w:val="en-US"/>
        </w:rPr>
        <w:t xml:space="preserve"> </w:t>
      </w:r>
      <w:r w:rsidRPr="0004245E">
        <w:rPr>
          <w:rFonts w:eastAsia="Times New Roman" w:cs="Arial"/>
          <w:color w:val="000000"/>
          <w:lang w:eastAsia="bg-BG"/>
        </w:rPr>
        <w:t>рецептори от другите типични невролептици. Както другите невролептици, но в по-малка степен, флуфеназин блокира също и серотониновите 5НТ</w:t>
      </w:r>
      <w:r w:rsidRPr="0004245E">
        <w:rPr>
          <w:rFonts w:eastAsia="Times New Roman" w:cs="Arial"/>
          <w:color w:val="000000"/>
          <w:vertAlign w:val="subscript"/>
          <w:lang w:eastAsia="bg-BG"/>
        </w:rPr>
        <w:t>2</w:t>
      </w:r>
      <w:r w:rsidRPr="0004245E">
        <w:rPr>
          <w:rFonts w:eastAsia="Times New Roman" w:cs="Arial"/>
          <w:color w:val="000000"/>
          <w:lang w:eastAsia="bg-BG"/>
        </w:rPr>
        <w:t xml:space="preserve"> и 5НТ</w:t>
      </w:r>
      <w:r w:rsidRPr="0004245E">
        <w:rPr>
          <w:rFonts w:eastAsia="Times New Roman" w:cs="Arial"/>
          <w:color w:val="000000"/>
          <w:vertAlign w:val="subscript"/>
          <w:lang w:eastAsia="bg-BG"/>
        </w:rPr>
        <w:t>1</w:t>
      </w:r>
      <w:r w:rsidRPr="0004245E">
        <w:rPr>
          <w:rFonts w:eastAsia="Times New Roman" w:cs="Arial"/>
          <w:color w:val="000000"/>
          <w:lang w:eastAsia="bg-BG"/>
        </w:rPr>
        <w:t xml:space="preserve"> рецептори, адренергичните алфа-1 рецептори, хистам и новите </w:t>
      </w:r>
      <w:r w:rsidRPr="0004245E">
        <w:rPr>
          <w:rFonts w:eastAsia="Times New Roman" w:cs="Arial"/>
          <w:color w:val="000000"/>
          <w:lang w:val="en-US"/>
        </w:rPr>
        <w:t>H</w:t>
      </w:r>
      <w:r w:rsidRPr="0004245E">
        <w:rPr>
          <w:rFonts w:eastAsia="Times New Roman" w:cs="Arial"/>
          <w:color w:val="000000"/>
          <w:vertAlign w:val="subscript"/>
          <w:lang w:val="en-US"/>
        </w:rPr>
        <w:t>1</w:t>
      </w:r>
      <w:r w:rsidRPr="0004245E">
        <w:rPr>
          <w:rFonts w:eastAsia="Times New Roman" w:cs="Arial"/>
          <w:color w:val="000000"/>
          <w:lang w:val="en-US"/>
        </w:rPr>
        <w:t xml:space="preserve"> </w:t>
      </w:r>
      <w:r w:rsidRPr="0004245E">
        <w:rPr>
          <w:rFonts w:eastAsia="Times New Roman" w:cs="Arial"/>
          <w:color w:val="000000"/>
          <w:lang w:eastAsia="bg-BG"/>
        </w:rPr>
        <w:t>рецептори и холинергичните мускаринови рецептори, поради това антихолинергичните и седативните ефекти са изразени в по-малка степен, отколкото при някои други класически невролептици. Блокиране на допаминовите рецептори се наблюдава във всичките три допаминови системи - нигростриалната, мезолимбичната и тубероинфундибуларната система. Поради това, освен клиничната ефективност, са възможни и различни нежелани реакции, особено екстрапирамидни реакции и засилена пролактинова секреция.</w:t>
      </w:r>
    </w:p>
    <w:p w14:paraId="045E5208"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lang w:eastAsia="bg-BG"/>
        </w:rPr>
        <w:t>Модитен депо е парентерален фенотиазинов препарат под формата на депо. Той притежава същите основни качества като Модитен (флуфеназинов хидрохлорид), с изключение обаче на продължителността на действие.</w:t>
      </w:r>
    </w:p>
    <w:p w14:paraId="317DB840"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lang w:eastAsia="bg-BG"/>
        </w:rPr>
        <w:t>Важно предимство на Модитен депо е надеждното лечение на пациентите. Това е от особено значение при амбулаторно лечение, тъй като психотичните пациенти често не приемат лекарствата си редовно или дори отказват да ги приемат.</w:t>
      </w:r>
    </w:p>
    <w:p w14:paraId="363CB5DF" w14:textId="77777777" w:rsidR="0004245E" w:rsidRPr="0004245E" w:rsidRDefault="0004245E" w:rsidP="0004245E"/>
    <w:p w14:paraId="544FFDAF" w14:textId="7F35F429" w:rsidR="00F62E44" w:rsidRDefault="002C50EE" w:rsidP="00387A66">
      <w:pPr>
        <w:pStyle w:val="Heading2"/>
      </w:pPr>
      <w:r>
        <w:t>5.2. Фармакокинетични свойства</w:t>
      </w:r>
    </w:p>
    <w:p w14:paraId="53E4D336" w14:textId="0C87A473" w:rsidR="0004245E" w:rsidRDefault="0004245E" w:rsidP="0004245E"/>
    <w:p w14:paraId="3A979ADD"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u w:val="single"/>
          <w:lang w:eastAsia="bg-BG"/>
        </w:rPr>
        <w:t>Абсорбция и разпределение</w:t>
      </w:r>
    </w:p>
    <w:p w14:paraId="651CF6B6"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lang w:eastAsia="bg-BG"/>
        </w:rPr>
        <w:t>Флуфеназинов деканоат, естер на флуфеназин и деканоевата киселина, е лекарствената съставка на Модитен депо. Флуфеназинов деканоат се характеризира с постепенна хидролиза и освобождаване на активен флуфеназин, който навлиза в системното кръвообращение.</w:t>
      </w:r>
    </w:p>
    <w:p w14:paraId="5D7CB097" w14:textId="77777777" w:rsidR="0004245E" w:rsidRPr="0004245E" w:rsidRDefault="0004245E" w:rsidP="0004245E">
      <w:pPr>
        <w:spacing w:line="240" w:lineRule="auto"/>
        <w:rPr>
          <w:rFonts w:eastAsia="Times New Roman" w:cs="Arial"/>
          <w:color w:val="000000"/>
          <w:u w:val="single"/>
          <w:lang w:eastAsia="bg-BG"/>
        </w:rPr>
      </w:pPr>
    </w:p>
    <w:p w14:paraId="23318992" w14:textId="3935BC11"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u w:val="single"/>
          <w:lang w:eastAsia="bg-BG"/>
        </w:rPr>
        <w:t>Биотрансформация и елиминиране</w:t>
      </w:r>
    </w:p>
    <w:p w14:paraId="3E777DA1"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lang w:eastAsia="bg-BG"/>
        </w:rPr>
        <w:t xml:space="preserve">Началото на действието се наблюдава от 24 до 72 часа. Биологичният му полуживот е 7 до 10 дни и се повишава до 14,3 дни след няколко последователни приложения. </w:t>
      </w:r>
      <w:r w:rsidRPr="0004245E">
        <w:rPr>
          <w:rFonts w:eastAsia="Times New Roman" w:cs="Arial"/>
          <w:color w:val="000000"/>
          <w:lang w:eastAsia="bg-BG"/>
        </w:rPr>
        <w:lastRenderedPageBreak/>
        <w:t>Стандартна инжекция Модитен депо има индивидуален ефект при психотични пациенти, продължаващ от 15 до 35 дни. Равновесно състояние се достига след 4 до 6 седмици.</w:t>
      </w:r>
    </w:p>
    <w:p w14:paraId="4ABC7D7C" w14:textId="77777777" w:rsidR="0004245E" w:rsidRPr="0004245E" w:rsidRDefault="0004245E" w:rsidP="0004245E"/>
    <w:p w14:paraId="6925FEB0" w14:textId="7F150E87" w:rsidR="00F62E44" w:rsidRDefault="002C50EE" w:rsidP="00387A66">
      <w:pPr>
        <w:pStyle w:val="Heading2"/>
      </w:pPr>
      <w:r>
        <w:t>5.3. Предклинични данни за безопасност</w:t>
      </w:r>
    </w:p>
    <w:p w14:paraId="65DB5284" w14:textId="29F98D5D" w:rsidR="0004245E" w:rsidRDefault="0004245E" w:rsidP="0004245E"/>
    <w:p w14:paraId="1305AC2A" w14:textId="77777777" w:rsidR="0004245E" w:rsidRPr="0004245E" w:rsidRDefault="0004245E" w:rsidP="0004245E">
      <w:pPr>
        <w:rPr>
          <w:rFonts w:eastAsia="Times New Roman" w:cs="Arial"/>
          <w:sz w:val="24"/>
          <w:szCs w:val="24"/>
          <w:lang w:eastAsia="bg-BG"/>
        </w:rPr>
      </w:pPr>
      <w:r w:rsidRPr="0004245E">
        <w:rPr>
          <w:rFonts w:cs="Arial"/>
        </w:rPr>
        <w:t>Изследванията за остра токсичност при различните животински видове са показали висока</w:t>
      </w:r>
      <w:r w:rsidRPr="0004245E">
        <w:rPr>
          <w:rFonts w:cs="Arial"/>
          <w:vertAlign w:val="subscript"/>
        </w:rPr>
        <w:t xml:space="preserve"> </w:t>
      </w:r>
      <w:r w:rsidRPr="0004245E">
        <w:rPr>
          <w:rFonts w:cs="Arial"/>
        </w:rPr>
        <w:t xml:space="preserve">токсичност на флуфеназин. След перорално приложение на мишки се установяват стойности на </w:t>
      </w:r>
      <w:r w:rsidRPr="0004245E">
        <w:rPr>
          <w:rFonts w:cs="Arial"/>
          <w:lang w:val="en-US"/>
        </w:rPr>
        <w:t>LD</w:t>
      </w:r>
      <w:r w:rsidRPr="0004245E">
        <w:rPr>
          <w:rFonts w:cs="Arial"/>
          <w:vertAlign w:val="subscript"/>
          <w:lang w:val="en-US"/>
        </w:rPr>
        <w:t>50</w:t>
      </w:r>
      <w:r w:rsidRPr="0004245E">
        <w:rPr>
          <w:rFonts w:cs="Arial"/>
          <w:lang w:val="en-US"/>
        </w:rPr>
        <w:t xml:space="preserve"> </w:t>
      </w:r>
      <w:r w:rsidRPr="0004245E">
        <w:rPr>
          <w:rFonts w:cs="Arial"/>
        </w:rPr>
        <w:t xml:space="preserve">от 220 </w:t>
      </w:r>
      <w:r w:rsidRPr="0004245E">
        <w:rPr>
          <w:rFonts w:cs="Arial"/>
          <w:lang w:val="en-US"/>
        </w:rPr>
        <w:t xml:space="preserve">mg/kg. </w:t>
      </w:r>
      <w:r w:rsidRPr="0004245E">
        <w:rPr>
          <w:rFonts w:cs="Arial"/>
        </w:rPr>
        <w:t xml:space="preserve">Таргетният орган на токсичния ефект е черния дроб. Продължителното приложение (до една година) на 1 </w:t>
      </w:r>
      <w:r w:rsidRPr="0004245E">
        <w:rPr>
          <w:rFonts w:cs="Arial"/>
          <w:lang w:val="en-US"/>
        </w:rPr>
        <w:t xml:space="preserve">mg/kg </w:t>
      </w:r>
      <w:r w:rsidRPr="0004245E">
        <w:rPr>
          <w:rFonts w:cs="Arial"/>
        </w:rPr>
        <w:t>или повече флуфеназин дневно на плъхове е</w:t>
      </w:r>
      <w:r w:rsidRPr="0004245E">
        <w:rPr>
          <w:rFonts w:cs="Arial"/>
        </w:rPr>
        <w:t xml:space="preserve"> </w:t>
      </w:r>
      <w:r w:rsidRPr="0004245E">
        <w:rPr>
          <w:rFonts w:eastAsia="Times New Roman" w:cs="Arial"/>
          <w:color w:val="000000"/>
          <w:lang w:eastAsia="bg-BG"/>
        </w:rPr>
        <w:t>причинило поведенчески промени, проявяващи се с промени в реактивността на централната нервна система.</w:t>
      </w:r>
    </w:p>
    <w:p w14:paraId="5BAA8E37"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lang w:eastAsia="bg-BG"/>
        </w:rPr>
        <w:t xml:space="preserve">Приложението на флуфеназин по време на гестацията е относително безопасно. Не са установени промени във фетусите на плъхове, третирани с флуфеназинов хидрохлорид с доза от 100 </w:t>
      </w:r>
      <w:r w:rsidRPr="0004245E">
        <w:rPr>
          <w:rFonts w:eastAsia="Times New Roman" w:cs="Arial"/>
          <w:color w:val="000000"/>
          <w:lang w:val="en-US"/>
        </w:rPr>
        <w:t xml:space="preserve">mg/kg </w:t>
      </w:r>
      <w:r w:rsidRPr="0004245E">
        <w:rPr>
          <w:rFonts w:eastAsia="Times New Roman" w:cs="Arial"/>
          <w:color w:val="000000"/>
          <w:lang w:eastAsia="bg-BG"/>
        </w:rPr>
        <w:t xml:space="preserve">дневно или с флуфеназинов деканог с доза от 25 </w:t>
      </w:r>
      <w:r w:rsidRPr="0004245E">
        <w:rPr>
          <w:rFonts w:eastAsia="Times New Roman" w:cs="Arial"/>
          <w:color w:val="000000"/>
          <w:lang w:val="en-US"/>
        </w:rPr>
        <w:t xml:space="preserve">mg/kg </w:t>
      </w:r>
      <w:r w:rsidRPr="0004245E">
        <w:rPr>
          <w:rFonts w:eastAsia="Times New Roman" w:cs="Arial"/>
          <w:color w:val="000000"/>
          <w:lang w:eastAsia="bg-BG"/>
        </w:rPr>
        <w:t>дневно. Веществото не е тератогенно за плъхове и зайци, но се съобщава за цепнато небце при мишки и различни малформации при пилешки ембриони. Флуфеназин инхибира калмодулин, което води до функционални промени при лабораторните животни.</w:t>
      </w:r>
    </w:p>
    <w:p w14:paraId="391EAE58" w14:textId="77777777" w:rsidR="0004245E" w:rsidRPr="0004245E" w:rsidRDefault="0004245E" w:rsidP="0004245E">
      <w:pPr>
        <w:spacing w:line="240" w:lineRule="auto"/>
        <w:rPr>
          <w:rFonts w:eastAsia="Times New Roman" w:cs="Arial"/>
          <w:sz w:val="24"/>
          <w:szCs w:val="24"/>
          <w:lang w:eastAsia="bg-BG"/>
        </w:rPr>
      </w:pPr>
      <w:r w:rsidRPr="0004245E">
        <w:rPr>
          <w:rFonts w:eastAsia="Times New Roman" w:cs="Arial"/>
          <w:color w:val="000000"/>
          <w:lang w:eastAsia="bg-BG"/>
        </w:rPr>
        <w:t>Флуфеназин няма мутагенен потенциал, напротив, установена е протективна активност срещу мутагенния ефект на бензоалфапирин. Веществото няма канцерогенен ефект.</w:t>
      </w:r>
    </w:p>
    <w:p w14:paraId="65B0E27A" w14:textId="6913420E" w:rsidR="0004245E" w:rsidRPr="0004245E" w:rsidRDefault="0004245E" w:rsidP="0004245E"/>
    <w:p w14:paraId="357049A8" w14:textId="579AAD84" w:rsidR="00BB22B4" w:rsidRDefault="002C50EE" w:rsidP="00471F10">
      <w:pPr>
        <w:pStyle w:val="Heading1"/>
      </w:pPr>
      <w:r>
        <w:t>7. ПРИТЕЖАТЕЛ НА РАЗРЕШЕНИЕТО ЗА УПОТРЕБА</w:t>
      </w:r>
    </w:p>
    <w:p w14:paraId="63FF7C5D" w14:textId="5B52ECB3" w:rsidR="0004245E" w:rsidRDefault="0004245E" w:rsidP="0004245E"/>
    <w:p w14:paraId="174F84F8" w14:textId="256BF686" w:rsidR="0004245E" w:rsidRPr="0004245E" w:rsidRDefault="0004245E" w:rsidP="0004245E">
      <w:r>
        <w:t xml:space="preserve">KRKA, d. d., Novo mesto, Smarjeska cesta 6, 8501 Novo mesto, </w:t>
      </w:r>
      <w:r>
        <w:rPr>
          <w:lang w:eastAsia="bg-BG"/>
        </w:rPr>
        <w:t>Словения</w:t>
      </w:r>
    </w:p>
    <w:p w14:paraId="0A53321D" w14:textId="44C7142C" w:rsidR="00EE6C97" w:rsidRDefault="00936AD0" w:rsidP="00A93499">
      <w:pPr>
        <w:pStyle w:val="Heading1"/>
      </w:pPr>
      <w:r>
        <w:t>8.</w:t>
      </w:r>
      <w:r w:rsidR="002C50EE">
        <w:t>НОМЕР НА РАЗРЕШЕНИЕТО ЗА УПОТРЕБА</w:t>
      </w:r>
    </w:p>
    <w:p w14:paraId="245DB719" w14:textId="3A460F20" w:rsidR="0004245E" w:rsidRDefault="0004245E" w:rsidP="0004245E"/>
    <w:p w14:paraId="2CBF1EAF" w14:textId="41BA0676" w:rsidR="0004245E" w:rsidRPr="0004245E" w:rsidRDefault="0004245E" w:rsidP="0004245E">
      <w:pPr>
        <w:rPr>
          <w:sz w:val="24"/>
          <w:szCs w:val="24"/>
          <w:lang w:val="en-US" w:eastAsia="bg-BG"/>
        </w:rPr>
      </w:pPr>
      <w:r w:rsidRPr="0004245E">
        <w:rPr>
          <w:lang w:val="en-US"/>
        </w:rPr>
        <w:t>Per. №20010044</w:t>
      </w:r>
    </w:p>
    <w:p w14:paraId="7C2688F5" w14:textId="6D610EDF" w:rsidR="00F62E44" w:rsidRDefault="00F62E44" w:rsidP="00F62E44"/>
    <w:p w14:paraId="59C09214" w14:textId="4BB1008D" w:rsidR="0004245E" w:rsidRPr="0004245E" w:rsidRDefault="002C50EE" w:rsidP="0004245E">
      <w:pPr>
        <w:pStyle w:val="Heading1"/>
      </w:pPr>
      <w:r>
        <w:t>9. ДАТА НА ПЪРВО РАЗРЕШАВАНЕ/ПОДНОВЯВАНЕ НА РАЗРЕШЕНИЕТО ЗА УПОТРЕБА</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5454557"/>
    <w:multiLevelType w:val="hybridMultilevel"/>
    <w:tmpl w:val="10E69D7A"/>
    <w:lvl w:ilvl="0" w:tplc="D2464F5C">
      <w:start w:val="4"/>
      <w:numFmt w:val="bullet"/>
      <w:lvlText w:val="-"/>
      <w:lvlJc w:val="left"/>
      <w:pPr>
        <w:ind w:left="720" w:hanging="360"/>
      </w:pPr>
      <w:rPr>
        <w:rFonts w:ascii="Times New Roman" w:eastAsia="Times New Roman" w:hAnsi="Times New Roman" w:cs="Times New Roman" w:hint="default"/>
        <w:color w:val="00000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0"/>
  </w:num>
  <w:num w:numId="7" w16cid:durableId="1241988161">
    <w:abstractNumId w:val="13"/>
  </w:num>
  <w:num w:numId="8" w16cid:durableId="2102022361">
    <w:abstractNumId w:val="19"/>
  </w:num>
  <w:num w:numId="9" w16cid:durableId="1154613663">
    <w:abstractNumId w:val="2"/>
  </w:num>
  <w:num w:numId="10" w16cid:durableId="1733848127">
    <w:abstractNumId w:val="4"/>
  </w:num>
  <w:num w:numId="11" w16cid:durableId="1861704680">
    <w:abstractNumId w:val="34"/>
  </w:num>
  <w:num w:numId="12" w16cid:durableId="1434934028">
    <w:abstractNumId w:val="17"/>
  </w:num>
  <w:num w:numId="13" w16cid:durableId="479157895">
    <w:abstractNumId w:val="23"/>
  </w:num>
  <w:num w:numId="14" w16cid:durableId="1670476636">
    <w:abstractNumId w:val="15"/>
  </w:num>
  <w:num w:numId="15" w16cid:durableId="1000155783">
    <w:abstractNumId w:val="33"/>
  </w:num>
  <w:num w:numId="16" w16cid:durableId="2056420707">
    <w:abstractNumId w:val="12"/>
  </w:num>
  <w:num w:numId="17" w16cid:durableId="1787119182">
    <w:abstractNumId w:val="28"/>
  </w:num>
  <w:num w:numId="18" w16cid:durableId="722945139">
    <w:abstractNumId w:val="9"/>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10"/>
  </w:num>
  <w:num w:numId="25" w16cid:durableId="50930855">
    <w:abstractNumId w:val="26"/>
  </w:num>
  <w:num w:numId="26" w16cid:durableId="176701536">
    <w:abstractNumId w:val="25"/>
  </w:num>
  <w:num w:numId="27" w16cid:durableId="2050564750">
    <w:abstractNumId w:val="35"/>
  </w:num>
  <w:num w:numId="28" w16cid:durableId="1820733422">
    <w:abstractNumId w:val="7"/>
  </w:num>
  <w:num w:numId="29" w16cid:durableId="973678124">
    <w:abstractNumId w:val="24"/>
  </w:num>
  <w:num w:numId="30" w16cid:durableId="154884452">
    <w:abstractNumId w:val="39"/>
  </w:num>
  <w:num w:numId="31" w16cid:durableId="1053964910">
    <w:abstractNumId w:val="6"/>
  </w:num>
  <w:num w:numId="32" w16cid:durableId="2073575793">
    <w:abstractNumId w:val="37"/>
  </w:num>
  <w:num w:numId="33" w16cid:durableId="1566643170">
    <w:abstractNumId w:val="32"/>
  </w:num>
  <w:num w:numId="34" w16cid:durableId="2060787732">
    <w:abstractNumId w:val="36"/>
  </w:num>
  <w:num w:numId="35" w16cid:durableId="34161354">
    <w:abstractNumId w:val="8"/>
  </w:num>
  <w:num w:numId="36" w16cid:durableId="1976908676">
    <w:abstractNumId w:val="11"/>
  </w:num>
  <w:num w:numId="37" w16cid:durableId="758528303">
    <w:abstractNumId w:val="18"/>
  </w:num>
  <w:num w:numId="38" w16cid:durableId="178396561">
    <w:abstractNumId w:val="38"/>
  </w:num>
  <w:num w:numId="39" w16cid:durableId="934825996">
    <w:abstractNumId w:val="14"/>
  </w:num>
  <w:num w:numId="40" w16cid:durableId="352152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4245E"/>
    <w:rsid w:val="00185A46"/>
    <w:rsid w:val="001915B6"/>
    <w:rsid w:val="001A6EBD"/>
    <w:rsid w:val="001D095A"/>
    <w:rsid w:val="001D1B23"/>
    <w:rsid w:val="002B3C38"/>
    <w:rsid w:val="002B4DBB"/>
    <w:rsid w:val="002C50EE"/>
    <w:rsid w:val="002F09FD"/>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2586</Words>
  <Characters>14745</Characters>
  <Application>Microsoft Office Word</Application>
  <DocSecurity>0</DocSecurity>
  <Lines>122</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2023-03-24T06:14:00Z</dcterms:created>
  <dcterms:modified xsi:type="dcterms:W3CDTF">2023-03-24T06:14:00Z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