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3AD20BB7" w14:textId="105197DA" w:rsidR="0038411C" w:rsidRPr="0038411C" w:rsidRDefault="00C57319" w:rsidP="0038411C">
      <w:pPr>
        <w:spacing w:line="240" w:lineRule="auto"/>
        <w:rPr>
          <w:rFonts w:eastAsia="Times New Roman" w:cs="Arial"/>
          <w:lang w:eastAsia="bg-BG"/>
        </w:rPr>
      </w:pPr>
      <w:r>
        <w:rPr>
          <w:rFonts w:eastAsia="Times New Roman" w:cs="Arial"/>
          <w:b/>
          <w:bCs/>
          <w:color w:val="000000"/>
          <w:lang w:eastAsia="bg-BG"/>
        </w:rPr>
        <w:t xml:space="preserve">МОНТЕЛУКАСТ АКОРД </w:t>
      </w:r>
      <w:r w:rsidR="00566BD0">
        <w:rPr>
          <w:rFonts w:eastAsia="Times New Roman" w:cs="Arial"/>
          <w:b/>
          <w:bCs/>
          <w:color w:val="000000"/>
          <w:lang w:val="en-US" w:eastAsia="bg-BG"/>
        </w:rPr>
        <w:t>10</w:t>
      </w:r>
      <w:r w:rsidR="0038411C" w:rsidRPr="0038411C">
        <w:rPr>
          <w:rFonts w:eastAsia="Times New Roman" w:cs="Arial"/>
          <w:b/>
          <w:bCs/>
          <w:color w:val="000000"/>
          <w:lang w:eastAsia="bg-BG"/>
        </w:rPr>
        <w:t xml:space="preserve"> </w:t>
      </w:r>
      <w:r w:rsidR="0038411C" w:rsidRPr="0038411C">
        <w:rPr>
          <w:rFonts w:eastAsia="Times New Roman" w:cs="Arial"/>
          <w:b/>
          <w:bCs/>
          <w:color w:val="000000"/>
          <w:lang w:val="en-US"/>
        </w:rPr>
        <w:t xml:space="preserve">mg </w:t>
      </w:r>
      <w:r w:rsidR="00566BD0">
        <w:rPr>
          <w:rFonts w:eastAsia="Times New Roman" w:cs="Arial"/>
          <w:b/>
          <w:bCs/>
          <w:color w:val="000000"/>
        </w:rPr>
        <w:t xml:space="preserve">филмирани </w:t>
      </w:r>
      <w:r w:rsidR="00566BD0">
        <w:rPr>
          <w:rFonts w:eastAsia="Times New Roman" w:cs="Arial"/>
          <w:b/>
          <w:bCs/>
          <w:color w:val="000000"/>
          <w:lang w:eastAsia="bg-BG"/>
        </w:rPr>
        <w:t>таблетки</w:t>
      </w:r>
    </w:p>
    <w:p w14:paraId="27184386" w14:textId="69A3EE74"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val="en-US"/>
        </w:rPr>
        <w:t xml:space="preserve">MONTELUKAST ACCORD </w:t>
      </w:r>
      <w:r w:rsidR="00566BD0">
        <w:rPr>
          <w:rFonts w:eastAsia="Times New Roman" w:cs="Arial"/>
          <w:b/>
          <w:bCs/>
          <w:color w:val="000000"/>
        </w:rPr>
        <w:t>1</w:t>
      </w:r>
      <w:r w:rsidR="00566BD0">
        <w:rPr>
          <w:rFonts w:eastAsia="Times New Roman" w:cs="Arial"/>
          <w:b/>
          <w:bCs/>
          <w:color w:val="000000"/>
          <w:lang w:eastAsia="bg-BG"/>
        </w:rPr>
        <w:t>0</w:t>
      </w:r>
      <w:r w:rsidRPr="0038411C">
        <w:rPr>
          <w:rFonts w:eastAsia="Times New Roman" w:cs="Arial"/>
          <w:b/>
          <w:bCs/>
          <w:color w:val="000000"/>
          <w:lang w:eastAsia="bg-BG"/>
        </w:rPr>
        <w:t xml:space="preserve"> </w:t>
      </w:r>
      <w:r w:rsidR="00566BD0">
        <w:rPr>
          <w:rFonts w:eastAsia="Times New Roman" w:cs="Arial"/>
          <w:b/>
          <w:bCs/>
          <w:color w:val="000000"/>
          <w:lang w:val="en-US"/>
        </w:rPr>
        <w:t>mg film-coated</w:t>
      </w:r>
      <w:r w:rsidRPr="0038411C">
        <w:rPr>
          <w:rFonts w:eastAsia="Times New Roman" w:cs="Arial"/>
          <w:b/>
          <w:bCs/>
          <w:color w:val="000000"/>
          <w:lang w:val="en-US"/>
        </w:rPr>
        <w:t xml:space="preserve"> tablets</w:t>
      </w:r>
    </w:p>
    <w:p w14:paraId="3B3D2156" w14:textId="77777777" w:rsidR="0038411C" w:rsidRPr="0038411C" w:rsidRDefault="0038411C" w:rsidP="0038411C">
      <w:pPr>
        <w:rPr>
          <w:rFonts w:eastAsia="Times New Roman" w:cs="Arial"/>
          <w:b/>
          <w:bCs/>
          <w:color w:val="000000"/>
          <w:lang w:eastAsia="bg-BG"/>
        </w:rPr>
      </w:pPr>
    </w:p>
    <w:p w14:paraId="5015A1FD" w14:textId="4AE21EDE" w:rsidR="00A73575" w:rsidRPr="0038411C" w:rsidRDefault="00C57319" w:rsidP="0038411C">
      <w:pPr>
        <w:rPr>
          <w:rFonts w:cs="Arial"/>
        </w:rPr>
      </w:pPr>
      <w:r>
        <w:rPr>
          <w:rFonts w:eastAsia="Times New Roman" w:cs="Arial"/>
          <w:b/>
          <w:bCs/>
          <w:color w:val="000000"/>
          <w:lang w:eastAsia="bg-BG"/>
        </w:rPr>
        <w:t>За педиатрични пациенти от 6 до 14</w:t>
      </w:r>
      <w:r w:rsidR="0038411C" w:rsidRPr="0038411C">
        <w:rPr>
          <w:rFonts w:eastAsia="Times New Roman" w:cs="Arial"/>
          <w:b/>
          <w:bCs/>
          <w:color w:val="000000"/>
          <w:lang w:eastAsia="bg-BG"/>
        </w:rPr>
        <w:t xml:space="preserve"> години</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7BB85F7B" w14:textId="799519D2"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 xml:space="preserve">Всяка </w:t>
      </w:r>
      <w:r w:rsidR="00566BD0">
        <w:rPr>
          <w:rFonts w:eastAsia="Times New Roman" w:cs="Arial"/>
          <w:b/>
          <w:bCs/>
          <w:color w:val="000000"/>
          <w:lang w:eastAsia="bg-BG"/>
        </w:rPr>
        <w:t>филмирана таблетка</w:t>
      </w:r>
      <w:r w:rsidRPr="0038411C">
        <w:rPr>
          <w:rFonts w:eastAsia="Times New Roman" w:cs="Arial"/>
          <w:b/>
          <w:bCs/>
          <w:color w:val="000000"/>
          <w:lang w:eastAsia="bg-BG"/>
        </w:rPr>
        <w:t xml:space="preserve"> съдържа</w:t>
      </w:r>
      <w:r w:rsidR="00566BD0">
        <w:rPr>
          <w:rFonts w:eastAsia="Times New Roman" w:cs="Arial"/>
          <w:b/>
          <w:bCs/>
          <w:color w:val="000000"/>
          <w:lang w:eastAsia="bg-BG"/>
        </w:rPr>
        <w:t xml:space="preserve"> 10,4 </w:t>
      </w:r>
      <w:r w:rsidR="00566BD0">
        <w:rPr>
          <w:rFonts w:eastAsia="Times New Roman" w:cs="Arial"/>
          <w:b/>
          <w:bCs/>
          <w:color w:val="000000"/>
          <w:lang w:val="en-US" w:eastAsia="bg-BG"/>
        </w:rPr>
        <w:t>mg</w:t>
      </w:r>
      <w:r w:rsidRPr="0038411C">
        <w:rPr>
          <w:rFonts w:eastAsia="Times New Roman" w:cs="Arial"/>
          <w:b/>
          <w:bCs/>
          <w:color w:val="000000"/>
          <w:lang w:eastAsia="bg-BG"/>
        </w:rPr>
        <w:t xml:space="preserve"> монтелукаст натрий </w:t>
      </w:r>
      <w:r w:rsidRPr="0038411C">
        <w:rPr>
          <w:rFonts w:eastAsia="Times New Roman" w:cs="Arial"/>
          <w:b/>
          <w:bCs/>
          <w:i/>
          <w:iCs/>
          <w:color w:val="000000"/>
          <w:lang w:val="en-US"/>
        </w:rPr>
        <w:t>(</w:t>
      </w:r>
      <w:proofErr w:type="spellStart"/>
      <w:r w:rsidRPr="0038411C">
        <w:rPr>
          <w:rFonts w:eastAsia="Times New Roman" w:cs="Arial"/>
          <w:b/>
          <w:bCs/>
          <w:i/>
          <w:iCs/>
          <w:color w:val="000000"/>
          <w:lang w:val="en-US"/>
        </w:rPr>
        <w:t>montelukast</w:t>
      </w:r>
      <w:proofErr w:type="spellEnd"/>
      <w:r w:rsidRPr="0038411C">
        <w:rPr>
          <w:rFonts w:eastAsia="Times New Roman" w:cs="Arial"/>
          <w:b/>
          <w:bCs/>
          <w:i/>
          <w:iCs/>
          <w:color w:val="000000"/>
          <w:lang w:val="en-US"/>
        </w:rPr>
        <w:t xml:space="preserve"> sodium),</w:t>
      </w:r>
      <w:r w:rsidRPr="0038411C">
        <w:rPr>
          <w:rFonts w:eastAsia="Times New Roman" w:cs="Arial"/>
          <w:b/>
          <w:bCs/>
          <w:color w:val="000000"/>
          <w:lang w:val="en-US"/>
        </w:rPr>
        <w:t xml:space="preserve"> </w:t>
      </w:r>
      <w:r w:rsidR="00566BD0">
        <w:rPr>
          <w:rFonts w:eastAsia="Times New Roman" w:cs="Arial"/>
          <w:b/>
          <w:bCs/>
          <w:color w:val="000000"/>
          <w:lang w:eastAsia="bg-BG"/>
        </w:rPr>
        <w:t>който е еквивалентен на 10</w:t>
      </w:r>
      <w:r w:rsidRPr="0038411C">
        <w:rPr>
          <w:rFonts w:eastAsia="Times New Roman" w:cs="Arial"/>
          <w:b/>
          <w:bCs/>
          <w:color w:val="000000"/>
          <w:lang w:eastAsia="bg-BG"/>
        </w:rPr>
        <w:t xml:space="preserve">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монтелукаст </w:t>
      </w:r>
      <w:r w:rsidRPr="0038411C">
        <w:rPr>
          <w:rFonts w:eastAsia="Times New Roman" w:cs="Arial"/>
          <w:b/>
          <w:bCs/>
          <w:i/>
          <w:iCs/>
          <w:color w:val="000000"/>
          <w:lang w:val="en-US"/>
        </w:rPr>
        <w:t>(</w:t>
      </w:r>
      <w:proofErr w:type="spellStart"/>
      <w:r w:rsidRPr="0038411C">
        <w:rPr>
          <w:rFonts w:eastAsia="Times New Roman" w:cs="Arial"/>
          <w:b/>
          <w:bCs/>
          <w:i/>
          <w:iCs/>
          <w:color w:val="000000"/>
          <w:lang w:val="en-US"/>
        </w:rPr>
        <w:t>monielukast</w:t>
      </w:r>
      <w:proofErr w:type="spellEnd"/>
      <w:r w:rsidRPr="0038411C">
        <w:rPr>
          <w:rFonts w:eastAsia="Times New Roman" w:cs="Arial"/>
          <w:b/>
          <w:bCs/>
          <w:i/>
          <w:iCs/>
          <w:color w:val="000000"/>
          <w:lang w:val="en-US"/>
        </w:rPr>
        <w:t>).</w:t>
      </w:r>
    </w:p>
    <w:p w14:paraId="69EF65F4" w14:textId="77777777" w:rsidR="0038411C" w:rsidRPr="0038411C" w:rsidRDefault="0038411C" w:rsidP="0038411C">
      <w:pPr>
        <w:spacing w:line="240" w:lineRule="auto"/>
        <w:rPr>
          <w:rFonts w:eastAsia="Times New Roman" w:cs="Arial"/>
          <w:b/>
          <w:bCs/>
          <w:color w:val="000000"/>
          <w:u w:val="single"/>
          <w:lang w:eastAsia="bg-BG"/>
        </w:rPr>
      </w:pPr>
    </w:p>
    <w:p w14:paraId="6B33EA8A" w14:textId="3055E2ED" w:rsidR="0038411C" w:rsidRPr="0038411C" w:rsidRDefault="0038411C" w:rsidP="0038411C">
      <w:pPr>
        <w:spacing w:line="240" w:lineRule="auto"/>
        <w:rPr>
          <w:rFonts w:eastAsia="Times New Roman" w:cs="Arial"/>
          <w:lang w:eastAsia="bg-BG"/>
        </w:rPr>
      </w:pPr>
      <w:r w:rsidRPr="0038411C">
        <w:rPr>
          <w:rFonts w:eastAsia="Times New Roman" w:cs="Arial"/>
          <w:b/>
          <w:bCs/>
          <w:color w:val="000000"/>
          <w:u w:val="single"/>
          <w:lang w:eastAsia="bg-BG"/>
        </w:rPr>
        <w:t>Помощно(и) вешество(а) с известно действие:</w:t>
      </w:r>
    </w:p>
    <w:p w14:paraId="41B9AFE3" w14:textId="466890C7" w:rsidR="0038411C" w:rsidRPr="0038411C" w:rsidRDefault="00C57319" w:rsidP="0038411C">
      <w:pPr>
        <w:spacing w:line="240" w:lineRule="auto"/>
        <w:rPr>
          <w:rFonts w:eastAsia="Times New Roman" w:cs="Arial"/>
          <w:lang w:eastAsia="bg-BG"/>
        </w:rPr>
      </w:pPr>
      <w:r>
        <w:rPr>
          <w:rFonts w:eastAsia="Times New Roman" w:cs="Arial"/>
          <w:b/>
          <w:bCs/>
          <w:color w:val="000000"/>
          <w:lang w:eastAsia="bg-BG"/>
        </w:rPr>
        <w:t>Това лекарство съдържа 1</w:t>
      </w:r>
      <w:r w:rsidR="00566BD0">
        <w:rPr>
          <w:rFonts w:eastAsia="Times New Roman" w:cs="Arial"/>
          <w:b/>
          <w:bCs/>
          <w:color w:val="000000"/>
          <w:lang w:val="en-US" w:eastAsia="bg-BG"/>
        </w:rPr>
        <w:t>30</w:t>
      </w:r>
      <w:r>
        <w:rPr>
          <w:rFonts w:eastAsia="Times New Roman" w:cs="Arial"/>
          <w:b/>
          <w:bCs/>
          <w:color w:val="000000"/>
          <w:lang w:eastAsia="bg-BG"/>
        </w:rPr>
        <w:t>,</w:t>
      </w:r>
      <w:r w:rsidR="00566BD0">
        <w:rPr>
          <w:rFonts w:eastAsia="Times New Roman" w:cs="Arial"/>
          <w:b/>
          <w:bCs/>
          <w:color w:val="000000"/>
          <w:lang w:val="en-US" w:eastAsia="bg-BG"/>
        </w:rPr>
        <w:t>9</w:t>
      </w:r>
      <w:r>
        <w:rPr>
          <w:rFonts w:eastAsia="Times New Roman" w:cs="Arial"/>
          <w:b/>
          <w:bCs/>
          <w:color w:val="000000"/>
          <w:lang w:eastAsia="bg-BG"/>
        </w:rPr>
        <w:t>5</w:t>
      </w:r>
      <w:r w:rsidR="0038411C" w:rsidRPr="0038411C">
        <w:rPr>
          <w:rFonts w:eastAsia="Times New Roman" w:cs="Arial"/>
          <w:b/>
          <w:bCs/>
          <w:color w:val="000000"/>
          <w:lang w:eastAsia="bg-BG"/>
        </w:rPr>
        <w:t xml:space="preserve"> </w:t>
      </w:r>
      <w:r w:rsidR="0038411C" w:rsidRPr="0038411C">
        <w:rPr>
          <w:rFonts w:eastAsia="Times New Roman" w:cs="Arial"/>
          <w:b/>
          <w:bCs/>
          <w:color w:val="000000"/>
          <w:lang w:val="en-US"/>
        </w:rPr>
        <w:t xml:space="preserve">mg </w:t>
      </w:r>
      <w:r w:rsidR="00566BD0">
        <w:rPr>
          <w:rFonts w:eastAsia="Times New Roman" w:cs="Arial"/>
          <w:b/>
          <w:bCs/>
          <w:color w:val="000000"/>
          <w:lang w:eastAsia="bg-BG"/>
        </w:rPr>
        <w:t>лактоза</w:t>
      </w:r>
      <w:r w:rsidR="0038411C" w:rsidRPr="0038411C">
        <w:rPr>
          <w:rFonts w:eastAsia="Times New Roman" w:cs="Arial"/>
          <w:b/>
          <w:bCs/>
          <w:color w:val="000000"/>
          <w:lang w:val="en-US"/>
        </w:rPr>
        <w:t xml:space="preserve"> </w:t>
      </w:r>
      <w:r w:rsidR="0038411C" w:rsidRPr="0038411C">
        <w:rPr>
          <w:rFonts w:eastAsia="Times New Roman" w:cs="Arial"/>
          <w:b/>
          <w:bCs/>
          <w:color w:val="000000"/>
          <w:lang w:eastAsia="bg-BG"/>
        </w:rPr>
        <w:t>на таблетка.</w:t>
      </w:r>
    </w:p>
    <w:p w14:paraId="1872A28E" w14:textId="77777777" w:rsidR="0038411C" w:rsidRPr="0038411C" w:rsidRDefault="0038411C" w:rsidP="0038411C">
      <w:pPr>
        <w:rPr>
          <w:rFonts w:eastAsia="Times New Roman" w:cs="Arial"/>
          <w:b/>
          <w:bCs/>
          <w:color w:val="000000"/>
          <w:lang w:eastAsia="bg-BG"/>
        </w:rPr>
      </w:pPr>
    </w:p>
    <w:p w14:paraId="03110A50" w14:textId="202722E6" w:rsidR="0091385D" w:rsidRPr="0038411C" w:rsidRDefault="0038411C" w:rsidP="0038411C">
      <w:pPr>
        <w:rPr>
          <w:rFonts w:cs="Arial"/>
        </w:rPr>
      </w:pPr>
      <w:r w:rsidRPr="0038411C">
        <w:rPr>
          <w:rFonts w:eastAsia="Times New Roman" w:cs="Arial"/>
          <w:b/>
          <w:bCs/>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0C4C0BEA" w14:textId="53AD4A4B" w:rsidR="0038411C" w:rsidRDefault="00566BD0" w:rsidP="0038411C">
      <w:pPr>
        <w:spacing w:line="240" w:lineRule="auto"/>
        <w:rPr>
          <w:rFonts w:eastAsia="Times New Roman" w:cs="Arial"/>
          <w:b/>
          <w:bCs/>
          <w:color w:val="000000"/>
          <w:lang w:eastAsia="bg-BG"/>
        </w:rPr>
      </w:pPr>
      <w:r>
        <w:rPr>
          <w:rFonts w:eastAsia="Times New Roman" w:cs="Arial"/>
          <w:b/>
          <w:bCs/>
          <w:color w:val="000000"/>
          <w:lang w:eastAsia="bg-BG"/>
        </w:rPr>
        <w:t>Филмирана таблетка</w:t>
      </w:r>
    </w:p>
    <w:p w14:paraId="4129ADBB" w14:textId="5DFB75AE" w:rsidR="0091385D" w:rsidRPr="00566BD0" w:rsidRDefault="00566BD0" w:rsidP="00566BD0">
      <w:pPr>
        <w:spacing w:line="240" w:lineRule="auto"/>
        <w:rPr>
          <w:rFonts w:eastAsia="Times New Roman" w:cs="Arial"/>
          <w:lang w:eastAsia="bg-BG"/>
        </w:rPr>
      </w:pPr>
      <w:r>
        <w:rPr>
          <w:rFonts w:eastAsia="Times New Roman" w:cs="Arial"/>
          <w:b/>
          <w:bCs/>
          <w:color w:val="000000"/>
          <w:lang w:eastAsia="bg-BG"/>
        </w:rPr>
        <w:t xml:space="preserve">7,9 х 7,9 </w:t>
      </w:r>
      <w:r>
        <w:rPr>
          <w:rFonts w:eastAsia="Times New Roman" w:cs="Arial"/>
          <w:b/>
          <w:bCs/>
          <w:color w:val="000000"/>
          <w:lang w:val="en-US" w:eastAsia="bg-BG"/>
        </w:rPr>
        <w:t>mm</w:t>
      </w:r>
      <w:r>
        <w:rPr>
          <w:rFonts w:eastAsia="Times New Roman" w:cs="Arial"/>
          <w:b/>
          <w:bCs/>
          <w:color w:val="000000"/>
          <w:lang w:eastAsia="bg-BG"/>
        </w:rPr>
        <w:t xml:space="preserve">, бежови, квадратни, със заоблени ръбове, </w:t>
      </w:r>
      <w:r w:rsidR="0038411C" w:rsidRPr="0038411C">
        <w:rPr>
          <w:rFonts w:eastAsia="Times New Roman" w:cs="Arial"/>
          <w:b/>
          <w:bCs/>
          <w:color w:val="000000"/>
          <w:lang w:eastAsia="bg-BG"/>
        </w:rPr>
        <w:t>двойноизпъкнал</w:t>
      </w:r>
      <w:r>
        <w:rPr>
          <w:rFonts w:eastAsia="Times New Roman" w:cs="Arial"/>
          <w:b/>
          <w:bCs/>
          <w:color w:val="000000"/>
          <w:lang w:eastAsia="bg-BG"/>
        </w:rPr>
        <w:t>и, филмирани таблетки, с гравиран надпис „М10</w:t>
      </w:r>
      <w:r w:rsidR="0038411C" w:rsidRPr="0038411C">
        <w:rPr>
          <w:rFonts w:eastAsia="Times New Roman" w:cs="Arial"/>
          <w:b/>
          <w:bCs/>
          <w:color w:val="000000"/>
          <w:lang w:eastAsia="bg-BG"/>
        </w:rPr>
        <w:t xml:space="preserve">” от едната страна и </w:t>
      </w:r>
      <w:r>
        <w:rPr>
          <w:rFonts w:eastAsia="Times New Roman" w:cs="Arial"/>
          <w:b/>
          <w:bCs/>
          <w:color w:val="000000"/>
          <w:lang w:eastAsia="bg-BG"/>
        </w:rPr>
        <w:t>гладки</w:t>
      </w:r>
      <w:r w:rsidR="0038411C" w:rsidRPr="0038411C">
        <w:rPr>
          <w:rFonts w:eastAsia="Times New Roman" w:cs="Arial"/>
          <w:b/>
          <w:bCs/>
          <w:color w:val="000000"/>
          <w:lang w:eastAsia="bg-BG"/>
        </w:rPr>
        <w:t xml:space="preserve"> от другата.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7CC039A" w14:textId="514AF2C6" w:rsidR="0038411C" w:rsidRDefault="00566BD0" w:rsidP="00566BD0">
      <w:pPr>
        <w:spacing w:line="240" w:lineRule="auto"/>
        <w:rPr>
          <w:rFonts w:eastAsia="Times New Roman" w:cs="Arial"/>
          <w:lang w:eastAsia="bg-BG"/>
        </w:rPr>
      </w:pPr>
      <w:r>
        <w:rPr>
          <w:rFonts w:eastAsia="Times New Roman" w:cs="Arial"/>
          <w:b/>
          <w:bCs/>
          <w:color w:val="000000"/>
          <w:lang w:eastAsia="bg-BG"/>
        </w:rPr>
        <w:t>Монтелукаст Акорд 10</w:t>
      </w:r>
      <w:r w:rsidR="0038411C" w:rsidRPr="0038411C">
        <w:rPr>
          <w:rFonts w:eastAsia="Times New Roman" w:cs="Arial"/>
          <w:b/>
          <w:bCs/>
          <w:color w:val="000000"/>
          <w:lang w:eastAsia="bg-BG"/>
        </w:rPr>
        <w:t xml:space="preserve"> </w:t>
      </w:r>
      <w:r w:rsidR="0038411C" w:rsidRPr="0038411C">
        <w:rPr>
          <w:rFonts w:eastAsia="Times New Roman" w:cs="Arial"/>
          <w:b/>
          <w:bCs/>
          <w:color w:val="000000"/>
          <w:lang w:val="en-US"/>
        </w:rPr>
        <w:t xml:space="preserve">mg </w:t>
      </w:r>
      <w:r>
        <w:rPr>
          <w:rFonts w:eastAsia="Times New Roman" w:cs="Arial"/>
          <w:b/>
          <w:bCs/>
          <w:color w:val="000000"/>
        </w:rPr>
        <w:t xml:space="preserve">филмирани </w:t>
      </w:r>
      <w:r>
        <w:rPr>
          <w:rFonts w:eastAsia="Times New Roman" w:cs="Arial"/>
          <w:b/>
          <w:bCs/>
          <w:color w:val="000000"/>
          <w:lang w:eastAsia="bg-BG"/>
        </w:rPr>
        <w:t>таблетки</w:t>
      </w:r>
      <w:r w:rsidR="0038411C" w:rsidRPr="0038411C">
        <w:rPr>
          <w:rFonts w:eastAsia="Times New Roman" w:cs="Arial"/>
          <w:b/>
          <w:bCs/>
          <w:color w:val="000000"/>
          <w:lang w:eastAsia="bg-BG"/>
        </w:rPr>
        <w:t xml:space="preserve"> са показани кат</w:t>
      </w:r>
      <w:r w:rsidR="00C57319">
        <w:rPr>
          <w:rFonts w:eastAsia="Times New Roman" w:cs="Arial"/>
          <w:b/>
          <w:bCs/>
          <w:color w:val="000000"/>
          <w:lang w:eastAsia="bg-BG"/>
        </w:rPr>
        <w:t xml:space="preserve">о допълнителна терапия при </w:t>
      </w:r>
      <w:r w:rsidR="0038411C" w:rsidRPr="0038411C">
        <w:rPr>
          <w:rFonts w:eastAsia="Times New Roman" w:cs="Arial"/>
          <w:b/>
          <w:bCs/>
          <w:color w:val="000000"/>
          <w:lang w:eastAsia="bg-BG"/>
        </w:rPr>
        <w:t>пациенти</w:t>
      </w:r>
      <w:r w:rsidR="00C57319">
        <w:rPr>
          <w:rFonts w:eastAsia="Times New Roman" w:cs="Arial"/>
          <w:b/>
          <w:bCs/>
          <w:color w:val="000000"/>
          <w:lang w:eastAsia="bg-BG"/>
        </w:rPr>
        <w:t xml:space="preserve"> </w:t>
      </w:r>
      <w:r w:rsidR="0038411C" w:rsidRPr="0038411C">
        <w:rPr>
          <w:rFonts w:eastAsia="Times New Roman" w:cs="Arial"/>
          <w:b/>
          <w:bCs/>
          <w:color w:val="000000"/>
          <w:lang w:eastAsia="bg-BG"/>
        </w:rPr>
        <w:t>с лека до умерено тежка персистираща астма, чиито симптоми са недостатъчно добре контролирани с инхалаторни кортикостероиди и при които краткодействащите β-агонисти, прилагани при необходимост, осигуряват незадоволителен клиничен контрол на астмата.</w:t>
      </w:r>
      <w:r>
        <w:rPr>
          <w:rFonts w:eastAsia="Times New Roman" w:cs="Arial"/>
          <w:lang w:eastAsia="bg-BG"/>
        </w:rPr>
        <w:t xml:space="preserve"> </w:t>
      </w:r>
      <w:r w:rsidRPr="00566BD0">
        <w:rPr>
          <w:rFonts w:eastAsia="Times New Roman" w:cs="Arial"/>
          <w:b/>
          <w:lang w:eastAsia="bg-BG"/>
        </w:rPr>
        <w:t>При пациентите с астма, при които</w:t>
      </w:r>
      <w:r>
        <w:rPr>
          <w:rFonts w:eastAsia="Times New Roman" w:cs="Arial"/>
          <w:lang w:eastAsia="bg-BG"/>
        </w:rPr>
        <w:t xml:space="preserve"> </w:t>
      </w:r>
      <w:r>
        <w:rPr>
          <w:rFonts w:eastAsia="Times New Roman" w:cs="Arial"/>
          <w:b/>
          <w:bCs/>
          <w:color w:val="000000"/>
          <w:lang w:eastAsia="bg-BG"/>
        </w:rPr>
        <w:t xml:space="preserve">Монтелукаст Акорд 10 </w:t>
      </w:r>
      <w:r>
        <w:rPr>
          <w:rFonts w:eastAsia="Times New Roman" w:cs="Arial"/>
          <w:b/>
          <w:bCs/>
          <w:color w:val="000000"/>
          <w:lang w:val="en-US" w:eastAsia="bg-BG"/>
        </w:rPr>
        <w:t xml:space="preserve">mg </w:t>
      </w:r>
      <w:r>
        <w:rPr>
          <w:rFonts w:eastAsia="Times New Roman" w:cs="Arial"/>
          <w:b/>
          <w:bCs/>
          <w:color w:val="000000"/>
        </w:rPr>
        <w:t xml:space="preserve">филмирани </w:t>
      </w:r>
      <w:r>
        <w:rPr>
          <w:rFonts w:eastAsia="Times New Roman" w:cs="Arial"/>
          <w:b/>
          <w:bCs/>
          <w:color w:val="000000"/>
          <w:lang w:eastAsia="bg-BG"/>
        </w:rPr>
        <w:t>таблетки</w:t>
      </w:r>
      <w:r>
        <w:rPr>
          <w:rFonts w:eastAsia="Times New Roman" w:cs="Arial"/>
          <w:b/>
          <w:bCs/>
          <w:color w:val="000000"/>
          <w:lang w:eastAsia="bg-BG"/>
        </w:rPr>
        <w:t xml:space="preserve"> са показани за лечение на астмата, лекарството може също да осигури облекчение на симптомите на сезонен алергичен ринит.</w:t>
      </w:r>
      <w:r>
        <w:rPr>
          <w:rFonts w:eastAsia="Times New Roman" w:cs="Arial"/>
          <w:lang w:eastAsia="bg-BG"/>
        </w:rPr>
        <w:t xml:space="preserve"> </w:t>
      </w:r>
    </w:p>
    <w:p w14:paraId="435082F3" w14:textId="77777777" w:rsidR="00566BD0" w:rsidRPr="00566BD0" w:rsidRDefault="00566BD0" w:rsidP="00566BD0">
      <w:pPr>
        <w:spacing w:line="240" w:lineRule="auto"/>
        <w:rPr>
          <w:rFonts w:eastAsia="Times New Roman" w:cs="Arial"/>
          <w:lang w:eastAsia="bg-BG"/>
        </w:rPr>
      </w:pPr>
    </w:p>
    <w:p w14:paraId="04B2E99C" w14:textId="6D660A0E" w:rsidR="0091385D" w:rsidRPr="0038411C" w:rsidRDefault="00566BD0" w:rsidP="0038411C">
      <w:pPr>
        <w:rPr>
          <w:rFonts w:cs="Arial"/>
        </w:rPr>
      </w:pPr>
      <w:r>
        <w:rPr>
          <w:rFonts w:eastAsia="Times New Roman" w:cs="Arial"/>
          <w:b/>
          <w:bCs/>
          <w:color w:val="000000"/>
          <w:lang w:eastAsia="bg-BG"/>
        </w:rPr>
        <w:t xml:space="preserve">Монтелукаст Акорд 10 </w:t>
      </w:r>
      <w:r>
        <w:rPr>
          <w:rFonts w:eastAsia="Times New Roman" w:cs="Arial"/>
          <w:b/>
          <w:bCs/>
          <w:color w:val="000000"/>
          <w:lang w:val="en-US" w:eastAsia="bg-BG"/>
        </w:rPr>
        <w:t xml:space="preserve">mg </w:t>
      </w:r>
      <w:r>
        <w:rPr>
          <w:rFonts w:eastAsia="Times New Roman" w:cs="Arial"/>
          <w:b/>
          <w:bCs/>
          <w:color w:val="000000"/>
        </w:rPr>
        <w:t xml:space="preserve">филмирани </w:t>
      </w:r>
      <w:r>
        <w:rPr>
          <w:rFonts w:eastAsia="Times New Roman" w:cs="Arial"/>
          <w:b/>
          <w:bCs/>
          <w:color w:val="000000"/>
          <w:lang w:eastAsia="bg-BG"/>
        </w:rPr>
        <w:t>таблетки</w:t>
      </w:r>
      <w:r>
        <w:rPr>
          <w:rFonts w:eastAsia="Times New Roman" w:cs="Arial"/>
          <w:b/>
          <w:bCs/>
          <w:color w:val="000000"/>
          <w:lang w:eastAsia="bg-BG"/>
        </w:rPr>
        <w:t xml:space="preserve"> също така</w:t>
      </w:r>
      <w:r w:rsidRPr="0038411C">
        <w:rPr>
          <w:rFonts w:eastAsia="Times New Roman" w:cs="Arial"/>
          <w:b/>
          <w:bCs/>
          <w:color w:val="000000"/>
          <w:lang w:eastAsia="bg-BG"/>
        </w:rPr>
        <w:t xml:space="preserve"> </w:t>
      </w:r>
      <w:r w:rsidR="0038411C" w:rsidRPr="0038411C">
        <w:rPr>
          <w:rFonts w:eastAsia="Times New Roman" w:cs="Arial"/>
          <w:b/>
          <w:bCs/>
          <w:color w:val="000000"/>
          <w:lang w:eastAsia="bg-BG"/>
        </w:rPr>
        <w:t>са показани за профилактика на астма при пациенти, при които преобладаващият компонент е бронхоспазъм, индуциран от физическо усилие.</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687D6FE7" w14:textId="5AB91B02" w:rsidR="0038411C" w:rsidRDefault="0038411C" w:rsidP="0038411C">
      <w:pPr>
        <w:pStyle w:val="Heading3"/>
        <w:rPr>
          <w:rFonts w:eastAsia="Times New Roman"/>
          <w:b/>
          <w:u w:val="single"/>
          <w:lang w:val="en-US" w:eastAsia="bg-BG"/>
        </w:rPr>
      </w:pPr>
      <w:r w:rsidRPr="0038411C">
        <w:rPr>
          <w:rFonts w:eastAsia="Times New Roman"/>
          <w:b/>
          <w:u w:val="single"/>
          <w:lang w:eastAsia="bg-BG"/>
        </w:rPr>
        <w:t>Дозировка</w:t>
      </w:r>
      <w:r w:rsidR="00566BD0">
        <w:rPr>
          <w:rFonts w:eastAsia="Times New Roman"/>
          <w:b/>
          <w:u w:val="single"/>
          <w:lang w:val="en-US" w:eastAsia="bg-BG"/>
        </w:rPr>
        <w:t>:</w:t>
      </w:r>
    </w:p>
    <w:p w14:paraId="0A4E0FA5" w14:textId="6FBAE057" w:rsidR="00566BD0" w:rsidRDefault="00566BD0" w:rsidP="00566BD0">
      <w:pPr>
        <w:rPr>
          <w:lang w:val="en-US" w:eastAsia="bg-BG"/>
        </w:rPr>
      </w:pPr>
    </w:p>
    <w:p w14:paraId="6F3D5AAB" w14:textId="6701EB0D" w:rsidR="00566BD0" w:rsidRPr="00566BD0" w:rsidRDefault="00566BD0" w:rsidP="00566BD0">
      <w:pPr>
        <w:rPr>
          <w:b/>
          <w:lang w:eastAsia="bg-BG"/>
        </w:rPr>
      </w:pPr>
      <w:r w:rsidRPr="00566BD0">
        <w:rPr>
          <w:b/>
          <w:lang w:eastAsia="bg-BG"/>
        </w:rPr>
        <w:t>При възрастни и юноши на и над 15-годишна възраст с астма или с астма и придружаващ сезонен алергичен ринит, препоръчителната доза е една таблетка от 10</w:t>
      </w:r>
      <w:r w:rsidRPr="00566BD0">
        <w:rPr>
          <w:b/>
          <w:lang w:val="en-US" w:eastAsia="bg-BG"/>
        </w:rPr>
        <w:t xml:space="preserve"> mg </w:t>
      </w:r>
      <w:r w:rsidRPr="00566BD0">
        <w:rPr>
          <w:b/>
          <w:lang w:eastAsia="bg-BG"/>
        </w:rPr>
        <w:t>дневно, приета вечер.</w:t>
      </w:r>
    </w:p>
    <w:p w14:paraId="6ACAF645" w14:textId="54449AB6" w:rsidR="0091385D" w:rsidRPr="0038411C" w:rsidRDefault="0091385D" w:rsidP="0091385D">
      <w:pPr>
        <w:rPr>
          <w:rFonts w:cs="Arial"/>
        </w:rPr>
      </w:pPr>
    </w:p>
    <w:p w14:paraId="00AD1D11"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Обши препоръки:</w:t>
      </w:r>
    </w:p>
    <w:p w14:paraId="0C40C13D"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Терапевтичният ефект на монтелукаст върху показателите за контрол на астмата се проявява в рамките на един ден. На пациентите трябва да бъде препоръчано да продължат да приемат монтелукаст, дори ако тяхната астма е под контрол, както и по време на периодите на влошаване на астмата.</w:t>
      </w:r>
    </w:p>
    <w:p w14:paraId="478F4DCC" w14:textId="77777777" w:rsidR="0038411C" w:rsidRPr="0038411C" w:rsidRDefault="0038411C" w:rsidP="0038411C">
      <w:pPr>
        <w:spacing w:line="240" w:lineRule="auto"/>
        <w:rPr>
          <w:rFonts w:eastAsia="Times New Roman" w:cs="Arial"/>
          <w:b/>
          <w:bCs/>
          <w:color w:val="000000"/>
          <w:lang w:eastAsia="bg-BG"/>
        </w:rPr>
      </w:pPr>
    </w:p>
    <w:p w14:paraId="2B41ED25" w14:textId="4E344D89"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При пациентите с бъбречна недостатъчност или леко до средно тежко чернодробно увреждане, не се налага адаптация на дозата. Няма данни за приложение при пациенти с тежко чернодробно увреждане. Дозата е еднаква за мъже и жени.</w:t>
      </w:r>
    </w:p>
    <w:p w14:paraId="58A3220E" w14:textId="2029ED3C" w:rsidR="0038411C" w:rsidRDefault="0038411C" w:rsidP="0038411C">
      <w:pPr>
        <w:spacing w:line="240" w:lineRule="auto"/>
        <w:rPr>
          <w:rFonts w:eastAsia="Times New Roman" w:cs="Arial"/>
          <w:b/>
          <w:bCs/>
          <w:i/>
          <w:iCs/>
          <w:color w:val="000000"/>
          <w:u w:val="single"/>
          <w:lang w:eastAsia="bg-BG"/>
        </w:rPr>
      </w:pPr>
    </w:p>
    <w:p w14:paraId="037EDF7B" w14:textId="2CD6645C" w:rsidR="00954DAD" w:rsidRDefault="00954DAD" w:rsidP="0038411C">
      <w:pPr>
        <w:spacing w:line="240" w:lineRule="auto"/>
        <w:rPr>
          <w:rFonts w:eastAsia="Times New Roman" w:cs="Arial"/>
          <w:b/>
          <w:bCs/>
          <w:i/>
          <w:iCs/>
          <w:color w:val="000000"/>
          <w:u w:val="single"/>
          <w:lang w:eastAsia="bg-BG"/>
        </w:rPr>
      </w:pPr>
      <w:r>
        <w:rPr>
          <w:rFonts w:eastAsia="Times New Roman" w:cs="Arial"/>
          <w:b/>
          <w:bCs/>
          <w:i/>
          <w:iCs/>
          <w:color w:val="000000"/>
          <w:u w:val="single"/>
          <w:lang w:eastAsia="bg-BG"/>
        </w:rPr>
        <w:t xml:space="preserve">Лечение с Монтелукаст Акорд 10 </w:t>
      </w:r>
      <w:r>
        <w:rPr>
          <w:rFonts w:eastAsia="Times New Roman" w:cs="Arial"/>
          <w:b/>
          <w:bCs/>
          <w:i/>
          <w:iCs/>
          <w:color w:val="000000"/>
          <w:u w:val="single"/>
          <w:lang w:val="en-US" w:eastAsia="bg-BG"/>
        </w:rPr>
        <w:t xml:space="preserve">mg </w:t>
      </w:r>
      <w:r>
        <w:rPr>
          <w:rFonts w:eastAsia="Times New Roman" w:cs="Arial"/>
          <w:b/>
          <w:bCs/>
          <w:i/>
          <w:iCs/>
          <w:color w:val="000000"/>
          <w:u w:val="single"/>
          <w:lang w:eastAsia="bg-BG"/>
        </w:rPr>
        <w:t>филмирани таблетки във връзка с други лечения на астма</w:t>
      </w:r>
    </w:p>
    <w:p w14:paraId="5FC81AE4" w14:textId="540753B2" w:rsidR="00954DAD" w:rsidRDefault="00954DAD" w:rsidP="0038411C">
      <w:pPr>
        <w:spacing w:line="240" w:lineRule="auto"/>
        <w:rPr>
          <w:rFonts w:eastAsia="Times New Roman" w:cs="Arial"/>
          <w:b/>
          <w:bCs/>
          <w:i/>
          <w:iCs/>
          <w:color w:val="000000"/>
          <w:u w:val="single"/>
          <w:lang w:eastAsia="bg-BG"/>
        </w:rPr>
      </w:pPr>
    </w:p>
    <w:p w14:paraId="3822C781" w14:textId="529ACF9E" w:rsidR="00954DAD" w:rsidRPr="00954DAD" w:rsidRDefault="00954DAD" w:rsidP="0038411C">
      <w:pPr>
        <w:spacing w:line="240" w:lineRule="auto"/>
        <w:rPr>
          <w:rFonts w:eastAsia="Times New Roman" w:cs="Arial"/>
          <w:b/>
          <w:bCs/>
          <w:iCs/>
          <w:color w:val="000000"/>
          <w:lang w:eastAsia="bg-BG"/>
        </w:rPr>
      </w:pPr>
      <w:r w:rsidRPr="00954DAD">
        <w:rPr>
          <w:rFonts w:eastAsia="Times New Roman" w:cs="Arial"/>
          <w:b/>
          <w:bCs/>
          <w:iCs/>
          <w:color w:val="000000"/>
          <w:lang w:eastAsia="bg-BG"/>
        </w:rPr>
        <w:t xml:space="preserve">Монтелукаст Акорд 10 </w:t>
      </w:r>
      <w:r w:rsidRPr="00954DAD">
        <w:rPr>
          <w:rFonts w:eastAsia="Times New Roman" w:cs="Arial"/>
          <w:b/>
          <w:bCs/>
          <w:iCs/>
          <w:color w:val="000000"/>
          <w:lang w:val="en-US" w:eastAsia="bg-BG"/>
        </w:rPr>
        <w:t xml:space="preserve">mg </w:t>
      </w:r>
      <w:r w:rsidRPr="00954DAD">
        <w:rPr>
          <w:rFonts w:eastAsia="Times New Roman" w:cs="Arial"/>
          <w:b/>
          <w:bCs/>
          <w:iCs/>
          <w:color w:val="000000"/>
          <w:lang w:eastAsia="bg-BG"/>
        </w:rPr>
        <w:t>филмирани таблетки може да се добавят към съществуващи схеми за лечение.</w:t>
      </w:r>
    </w:p>
    <w:p w14:paraId="76E2B4AE" w14:textId="77777777" w:rsidR="00954DAD" w:rsidRPr="0038411C" w:rsidRDefault="00954DAD" w:rsidP="0038411C">
      <w:pPr>
        <w:spacing w:line="240" w:lineRule="auto"/>
        <w:rPr>
          <w:rFonts w:eastAsia="Times New Roman" w:cs="Arial"/>
          <w:b/>
          <w:bCs/>
          <w:i/>
          <w:iCs/>
          <w:color w:val="000000"/>
          <w:u w:val="single"/>
          <w:lang w:eastAsia="bg-BG"/>
        </w:rPr>
      </w:pPr>
    </w:p>
    <w:p w14:paraId="1B337B53" w14:textId="5FA85A75"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Монтелукаст като терапевтична алтернатива на инхалаторните кортикостеро</w:t>
      </w:r>
      <w:r w:rsidRPr="0038411C">
        <w:rPr>
          <w:rFonts w:eastAsia="Times New Roman" w:cs="Arial"/>
          <w:b/>
          <w:bCs/>
          <w:i/>
          <w:iCs/>
          <w:color w:val="000000"/>
          <w:lang w:eastAsia="bg-BG"/>
        </w:rPr>
        <w:t xml:space="preserve">иди в ниски </w:t>
      </w:r>
      <w:r w:rsidRPr="0038411C">
        <w:rPr>
          <w:rFonts w:eastAsia="Times New Roman" w:cs="Arial"/>
          <w:b/>
          <w:bCs/>
          <w:i/>
          <w:iCs/>
          <w:color w:val="000000"/>
          <w:u w:val="single"/>
          <w:lang w:eastAsia="bg-BG"/>
        </w:rPr>
        <w:t>дози при лека персистираша астма:</w:t>
      </w:r>
    </w:p>
    <w:p w14:paraId="210ED6F0"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Монтелукаст не се препоръчва като монотерапия при пациенти с умерена персистираша астма. Употребата на монтелукаст като терапевтична алтернатива на ниските дози инхалаторни кортикостероиди, при деца с лека персистираша астма, трябва да се обсъжда само при пациенти, които нямат скорошна анамнеза за тежки астматични пристъпи, налагащи прием на перорални кортикостероиди, и за които е установено, че не могат да използват инхалаторни кортикостероиди (вж. точка 4.1). Леката персистираша астма се дефинира като симптоми на астма по-често от веднъж седмично, но по-рядко от веднъж дневно, наличие на нощни симптоми по-често от два пъти месечно, но по-рядко от веднъж седмично, нормална белодробна функция между отделните епизоди. Ако при проследяването не се постига задоволителен контрол на астмата (обикновено в рамките на един месец), трябва да се оцени необходимостта от допълнително или различно противовъзпалително лечение, базирано на стъпаловиден подход за лечение на астма. Пациентите трябва периодично да се оценяват по отношение контрола на астмата.</w:t>
      </w:r>
    </w:p>
    <w:p w14:paraId="55E3876B" w14:textId="622934C7" w:rsidR="0038411C" w:rsidRPr="0038411C" w:rsidRDefault="0038411C" w:rsidP="0038411C">
      <w:pPr>
        <w:spacing w:line="240" w:lineRule="auto"/>
        <w:rPr>
          <w:rFonts w:eastAsia="Times New Roman" w:cs="Arial"/>
          <w:b/>
          <w:bCs/>
          <w:i/>
          <w:iCs/>
          <w:color w:val="000000"/>
          <w:u w:val="single"/>
          <w:lang w:eastAsia="bg-BG"/>
        </w:rPr>
      </w:pPr>
    </w:p>
    <w:p w14:paraId="6AC514C5"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Лечение с монтелукаст във връзка с друго лечение на астма:</w:t>
      </w:r>
    </w:p>
    <w:p w14:paraId="4DEEDACB" w14:textId="5ECC9D8D"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Когато лечението с монтелукаст се използва като допълнителна терапия към инхалаторните кортикостероиди, монтелукаст не трябва рязко да замества инхалаторните кортикостероиди (вж. точка 4.4). За възрастни и юноши на 15 години и по-големи, се предлагат монтелукаст филмирани таблетките от 10 </w:t>
      </w:r>
      <w:r w:rsidRPr="0038411C">
        <w:rPr>
          <w:rFonts w:eastAsia="Times New Roman" w:cs="Arial"/>
          <w:b/>
          <w:bCs/>
          <w:color w:val="000000"/>
          <w:lang w:val="en-US"/>
        </w:rPr>
        <w:t>mg.</w:t>
      </w:r>
    </w:p>
    <w:p w14:paraId="0FA932B2" w14:textId="77777777" w:rsidR="0038411C" w:rsidRPr="0038411C" w:rsidRDefault="0038411C" w:rsidP="0038411C">
      <w:pPr>
        <w:spacing w:line="240" w:lineRule="auto"/>
        <w:rPr>
          <w:rFonts w:eastAsia="Times New Roman" w:cs="Arial"/>
          <w:b/>
          <w:bCs/>
          <w:i/>
          <w:iCs/>
          <w:color w:val="000000"/>
          <w:u w:val="single"/>
          <w:lang w:eastAsia="bg-BG"/>
        </w:rPr>
      </w:pPr>
    </w:p>
    <w:p w14:paraId="5F4C6C1F" w14:textId="38BEED7A"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Педиатрична популация</w:t>
      </w:r>
    </w:p>
    <w:p w14:paraId="4DEE3040" w14:textId="78B672D5" w:rsidR="00C57319" w:rsidRDefault="00954DAD" w:rsidP="0038411C">
      <w:pPr>
        <w:spacing w:line="240" w:lineRule="auto"/>
        <w:rPr>
          <w:rFonts w:eastAsia="Times New Roman" w:cs="Arial"/>
          <w:sz w:val="24"/>
          <w:szCs w:val="24"/>
          <w:lang w:eastAsia="bg-BG"/>
        </w:rPr>
      </w:pPr>
      <w:r>
        <w:rPr>
          <w:rFonts w:eastAsia="Times New Roman" w:cs="Arial"/>
          <w:b/>
          <w:bCs/>
          <w:color w:val="000000"/>
          <w:lang w:eastAsia="bg-BG"/>
        </w:rPr>
        <w:lastRenderedPageBreak/>
        <w:t xml:space="preserve">Не давайте </w:t>
      </w:r>
      <w:r w:rsidRPr="00954DAD">
        <w:rPr>
          <w:rFonts w:eastAsia="Times New Roman" w:cs="Arial"/>
          <w:b/>
          <w:bCs/>
          <w:iCs/>
          <w:color w:val="000000"/>
          <w:lang w:eastAsia="bg-BG"/>
        </w:rPr>
        <w:t xml:space="preserve">Монтелукаст Акорд 10 </w:t>
      </w:r>
      <w:r w:rsidRPr="00954DAD">
        <w:rPr>
          <w:rFonts w:eastAsia="Times New Roman" w:cs="Arial"/>
          <w:b/>
          <w:bCs/>
          <w:iCs/>
          <w:color w:val="000000"/>
          <w:lang w:val="en-US" w:eastAsia="bg-BG"/>
        </w:rPr>
        <w:t xml:space="preserve">mg </w:t>
      </w:r>
      <w:r w:rsidRPr="00954DAD">
        <w:rPr>
          <w:rFonts w:eastAsia="Times New Roman" w:cs="Arial"/>
          <w:b/>
          <w:bCs/>
          <w:iCs/>
          <w:color w:val="000000"/>
          <w:lang w:eastAsia="bg-BG"/>
        </w:rPr>
        <w:t>филмирани таблетки</w:t>
      </w:r>
      <w:r>
        <w:rPr>
          <w:rFonts w:eastAsia="Times New Roman" w:cs="Arial"/>
          <w:b/>
          <w:bCs/>
          <w:color w:val="000000"/>
          <w:lang w:eastAsia="bg-BG"/>
        </w:rPr>
        <w:t xml:space="preserve"> на деца под 15</w:t>
      </w:r>
      <w:r w:rsidR="0038411C" w:rsidRPr="0038411C">
        <w:rPr>
          <w:rFonts w:eastAsia="Times New Roman" w:cs="Arial"/>
          <w:b/>
          <w:bCs/>
          <w:color w:val="000000"/>
          <w:lang w:eastAsia="bg-BG"/>
        </w:rPr>
        <w:t>-годишна възраст. Безопасността и ефикасност</w:t>
      </w:r>
      <w:r w:rsidR="00C57319">
        <w:rPr>
          <w:rFonts w:eastAsia="Times New Roman" w:cs="Arial"/>
          <w:b/>
          <w:bCs/>
          <w:color w:val="000000"/>
          <w:lang w:eastAsia="bg-BG"/>
        </w:rPr>
        <w:t xml:space="preserve">та на </w:t>
      </w:r>
      <w:r w:rsidRPr="00954DAD">
        <w:rPr>
          <w:rFonts w:eastAsia="Times New Roman" w:cs="Arial"/>
          <w:b/>
          <w:bCs/>
          <w:iCs/>
          <w:color w:val="000000"/>
          <w:lang w:eastAsia="bg-BG"/>
        </w:rPr>
        <w:t xml:space="preserve">Монтелукаст Акорд 10 </w:t>
      </w:r>
      <w:r w:rsidRPr="00954DAD">
        <w:rPr>
          <w:rFonts w:eastAsia="Times New Roman" w:cs="Arial"/>
          <w:b/>
          <w:bCs/>
          <w:iCs/>
          <w:color w:val="000000"/>
          <w:lang w:val="en-US" w:eastAsia="bg-BG"/>
        </w:rPr>
        <w:t xml:space="preserve">mg </w:t>
      </w:r>
      <w:r w:rsidRPr="00954DAD">
        <w:rPr>
          <w:rFonts w:eastAsia="Times New Roman" w:cs="Arial"/>
          <w:b/>
          <w:bCs/>
          <w:iCs/>
          <w:color w:val="000000"/>
          <w:lang w:eastAsia="bg-BG"/>
        </w:rPr>
        <w:t>филмирани таблетки</w:t>
      </w:r>
      <w:r>
        <w:rPr>
          <w:rFonts w:eastAsia="Times New Roman" w:cs="Arial"/>
          <w:b/>
          <w:bCs/>
          <w:color w:val="000000"/>
          <w:lang w:eastAsia="bg-BG"/>
        </w:rPr>
        <w:t xml:space="preserve"> при деца под 15</w:t>
      </w:r>
      <w:r w:rsidR="0038411C" w:rsidRPr="0038411C">
        <w:rPr>
          <w:rFonts w:eastAsia="Times New Roman" w:cs="Arial"/>
          <w:b/>
          <w:bCs/>
          <w:color w:val="000000"/>
          <w:lang w:eastAsia="bg-BG"/>
        </w:rPr>
        <w:t>-годишна възраст не е установена.</w:t>
      </w:r>
    </w:p>
    <w:p w14:paraId="223CEC56" w14:textId="77777777" w:rsidR="00C57319" w:rsidRDefault="00C57319" w:rsidP="0038411C">
      <w:pPr>
        <w:spacing w:line="240" w:lineRule="auto"/>
        <w:rPr>
          <w:rFonts w:eastAsia="Times New Roman" w:cs="Arial"/>
          <w:sz w:val="24"/>
          <w:szCs w:val="24"/>
          <w:lang w:eastAsia="bg-BG"/>
        </w:rPr>
      </w:pPr>
    </w:p>
    <w:p w14:paraId="101ED283" w14:textId="45BDED14"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За педиатрични пациенти на възраст от 6 до 14 години се предлагат таблетки за дъвчене от 5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За педиатрични пациенти на възраст от 2 до 5 години се предлагат таблетки за дъвчене от 4 </w:t>
      </w:r>
      <w:r w:rsidRPr="0038411C">
        <w:rPr>
          <w:rFonts w:eastAsia="Times New Roman" w:cs="Arial"/>
          <w:b/>
          <w:bCs/>
          <w:color w:val="000000"/>
          <w:lang w:val="en-US"/>
        </w:rPr>
        <w:t>mg.</w:t>
      </w:r>
    </w:p>
    <w:p w14:paraId="0DE22FF6" w14:textId="77777777" w:rsidR="0038411C" w:rsidRPr="0038411C" w:rsidRDefault="0038411C" w:rsidP="0038411C">
      <w:pPr>
        <w:spacing w:line="240" w:lineRule="auto"/>
        <w:rPr>
          <w:rFonts w:eastAsia="Times New Roman" w:cs="Arial"/>
          <w:b/>
          <w:bCs/>
          <w:color w:val="000000"/>
          <w:u w:val="single"/>
          <w:lang w:eastAsia="bg-BG"/>
        </w:rPr>
      </w:pPr>
    </w:p>
    <w:p w14:paraId="097E92B5" w14:textId="055E4DFA" w:rsidR="0038411C" w:rsidRPr="0038411C" w:rsidRDefault="0038411C" w:rsidP="0038411C">
      <w:pPr>
        <w:pStyle w:val="Heading3"/>
        <w:rPr>
          <w:rFonts w:eastAsia="Times New Roman"/>
          <w:b/>
          <w:u w:val="single"/>
          <w:lang w:eastAsia="bg-BG"/>
        </w:rPr>
      </w:pPr>
      <w:r w:rsidRPr="0038411C">
        <w:rPr>
          <w:rFonts w:eastAsia="Times New Roman"/>
          <w:b/>
          <w:u w:val="single"/>
          <w:lang w:eastAsia="bg-BG"/>
        </w:rPr>
        <w:t>Начин на приложение</w:t>
      </w:r>
    </w:p>
    <w:p w14:paraId="57CED62F"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За перорално приложение.</w:t>
      </w:r>
    </w:p>
    <w:p w14:paraId="2F3E3A59" w14:textId="77777777" w:rsidR="0038411C" w:rsidRPr="0091385D" w:rsidRDefault="0038411C"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309EAB0" w14:textId="75C542BE" w:rsidR="0091385D" w:rsidRPr="0038411C" w:rsidRDefault="0038411C" w:rsidP="0091385D">
      <w:pPr>
        <w:rPr>
          <w:rFonts w:cs="Arial"/>
        </w:rPr>
      </w:pPr>
      <w:r w:rsidRPr="0038411C">
        <w:rPr>
          <w:rFonts w:cs="Arial"/>
          <w:b/>
          <w:bCs/>
        </w:rPr>
        <w:t>Свръхчувствителност към активното вещество или към някое от помощните вещества, изброени в точка 6.1.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6C8CDFA5"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Пациентите трябва да бъдат съветвани никога да не използват пероралния монтелукаст за лечение на остри пристъпи на астма, както и да имат на разположение подходящи животоспасяващи лекарства. При развитие на остър астматичен пристъп трябва да се използва краткодействащ инхалаторен р-агонист. Пациентите трябва да се обърнат за съвет към лекуващия лекар възможно най-скоро, ако се нуждаят от повече инхалации на краткодействащи 0-агонисти, отколкото обичайно.</w:t>
      </w:r>
    </w:p>
    <w:p w14:paraId="2805CD0A" w14:textId="77777777" w:rsidR="0038411C" w:rsidRPr="0038411C" w:rsidRDefault="0038411C" w:rsidP="0038411C">
      <w:pPr>
        <w:spacing w:line="240" w:lineRule="auto"/>
        <w:rPr>
          <w:rFonts w:eastAsia="Times New Roman" w:cs="Arial"/>
          <w:b/>
          <w:bCs/>
          <w:color w:val="000000"/>
          <w:lang w:eastAsia="bg-BG"/>
        </w:rPr>
      </w:pPr>
    </w:p>
    <w:p w14:paraId="736CB1E7" w14:textId="3C3713F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Монтелукаст не трябва рязко да замества инхалаторните или пероралните кортикостероиди.</w:t>
      </w:r>
    </w:p>
    <w:p w14:paraId="347E6B27" w14:textId="77777777" w:rsidR="0038411C" w:rsidRPr="0038411C" w:rsidRDefault="0038411C" w:rsidP="0038411C">
      <w:pPr>
        <w:spacing w:line="240" w:lineRule="auto"/>
        <w:rPr>
          <w:rFonts w:eastAsia="Times New Roman" w:cs="Arial"/>
          <w:b/>
          <w:bCs/>
          <w:color w:val="000000"/>
          <w:lang w:eastAsia="bg-BG"/>
        </w:rPr>
      </w:pPr>
    </w:p>
    <w:p w14:paraId="2BF1D997" w14:textId="0197B81A"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Няма данни, които да показват, че дозата на пероралните кортикостероиди може да бъде намалена, когато едновременно се дава и монтелукаст.</w:t>
      </w:r>
    </w:p>
    <w:p w14:paraId="175FA418" w14:textId="77777777" w:rsidR="0038411C" w:rsidRPr="0038411C" w:rsidRDefault="0038411C" w:rsidP="0038411C">
      <w:pPr>
        <w:spacing w:line="240" w:lineRule="auto"/>
        <w:rPr>
          <w:rFonts w:eastAsia="Times New Roman" w:cs="Arial"/>
          <w:b/>
          <w:bCs/>
          <w:color w:val="000000"/>
          <w:lang w:eastAsia="bg-BG"/>
        </w:rPr>
      </w:pPr>
    </w:p>
    <w:p w14:paraId="78353445" w14:textId="70E1895D"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В редки случаи при пациентите на лечение с антиастматични средства, включително монтелукаст, може да се развие системна еозинофилия, понякога изявяваща се клинично с васкулитни симптоми, съответстващи на синдрома на </w:t>
      </w:r>
      <w:proofErr w:type="spellStart"/>
      <w:r w:rsidRPr="0038411C">
        <w:rPr>
          <w:rFonts w:eastAsia="Times New Roman" w:cs="Arial"/>
          <w:b/>
          <w:bCs/>
          <w:color w:val="000000"/>
          <w:lang w:val="en-US"/>
        </w:rPr>
        <w:t>Churg</w:t>
      </w:r>
      <w:proofErr w:type="spellEnd"/>
      <w:r w:rsidRPr="0038411C">
        <w:rPr>
          <w:rFonts w:eastAsia="Times New Roman" w:cs="Arial"/>
          <w:b/>
          <w:bCs/>
          <w:color w:val="000000"/>
          <w:lang w:val="en-US"/>
        </w:rPr>
        <w:t xml:space="preserve">-Strauss, </w:t>
      </w:r>
      <w:r w:rsidRPr="0038411C">
        <w:rPr>
          <w:rFonts w:eastAsia="Times New Roman" w:cs="Arial"/>
          <w:b/>
          <w:bCs/>
          <w:color w:val="000000"/>
          <w:lang w:eastAsia="bg-BG"/>
        </w:rPr>
        <w:t>състояние, което често се лекува със системни кортикостероиди. Понякога тези случаи се свързват с намаляване на дозата или прекратяване на пероралната кортикостероидна терапия. Въпреки че причинната връзка с левкотриеновия рецепторен антагонизъм не е установена, лекарите трябва да бъдат бдителни по отношение на поява на еозинофилия, васкулитен обрив, влошаване на белодробните симптоми, сърдечно-съдови усложнения и/нли невропатия при техните пациенти. Пациентите, които развият подобни симптоми, трябва да бъдат преразгледани и да се преоцени техния терапевтичния режим.</w:t>
      </w:r>
    </w:p>
    <w:p w14:paraId="2F569A1C" w14:textId="77777777" w:rsidR="0038411C" w:rsidRPr="0038411C" w:rsidRDefault="0038411C" w:rsidP="0038411C">
      <w:pPr>
        <w:spacing w:line="240" w:lineRule="auto"/>
        <w:rPr>
          <w:rFonts w:eastAsia="Times New Roman" w:cs="Arial"/>
          <w:b/>
          <w:bCs/>
          <w:color w:val="000000"/>
          <w:lang w:eastAsia="bg-BG"/>
        </w:rPr>
      </w:pPr>
    </w:p>
    <w:p w14:paraId="2C2320AC" w14:textId="4B26ECC8"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Лечението с монтелукаст не променя необходимостта пациентите с аспирин-чувствителна астма да избягват приема на аспирин и други нестероидни противовъзпалителни лекарствени продукти.</w:t>
      </w:r>
    </w:p>
    <w:p w14:paraId="78614EA3" w14:textId="77777777" w:rsidR="0038411C" w:rsidRPr="0038411C" w:rsidRDefault="0038411C" w:rsidP="0038411C">
      <w:pPr>
        <w:spacing w:line="240" w:lineRule="auto"/>
        <w:rPr>
          <w:rFonts w:eastAsia="Times New Roman" w:cs="Arial"/>
          <w:b/>
          <w:bCs/>
          <w:color w:val="000000"/>
          <w:lang w:eastAsia="bg-BG"/>
        </w:rPr>
      </w:pPr>
    </w:p>
    <w:p w14:paraId="5AA925A6" w14:textId="1EC220E6" w:rsidR="0038411C" w:rsidRPr="0038411C" w:rsidRDefault="00C57319" w:rsidP="0038411C">
      <w:pPr>
        <w:spacing w:line="240" w:lineRule="auto"/>
        <w:rPr>
          <w:rFonts w:eastAsia="Times New Roman" w:cs="Arial"/>
          <w:sz w:val="24"/>
          <w:szCs w:val="24"/>
          <w:lang w:eastAsia="bg-BG"/>
        </w:rPr>
      </w:pPr>
      <w:r>
        <w:rPr>
          <w:rFonts w:eastAsia="Times New Roman" w:cs="Arial"/>
          <w:b/>
          <w:bCs/>
          <w:color w:val="000000"/>
          <w:lang w:eastAsia="bg-BG"/>
        </w:rPr>
        <w:lastRenderedPageBreak/>
        <w:t>Монтелукаст Акорд 5</w:t>
      </w:r>
      <w:r w:rsidR="0038411C" w:rsidRPr="0038411C">
        <w:rPr>
          <w:rFonts w:eastAsia="Times New Roman" w:cs="Arial"/>
          <w:b/>
          <w:bCs/>
          <w:color w:val="000000"/>
          <w:lang w:eastAsia="bg-BG"/>
        </w:rPr>
        <w:t xml:space="preserve"> </w:t>
      </w:r>
      <w:r w:rsidR="0038411C" w:rsidRPr="0038411C">
        <w:rPr>
          <w:rFonts w:eastAsia="Times New Roman" w:cs="Arial"/>
          <w:b/>
          <w:bCs/>
          <w:color w:val="000000"/>
          <w:lang w:val="en-US"/>
        </w:rPr>
        <w:t xml:space="preserve">mg </w:t>
      </w:r>
      <w:r w:rsidR="0038411C" w:rsidRPr="0038411C">
        <w:rPr>
          <w:rFonts w:eastAsia="Times New Roman" w:cs="Arial"/>
          <w:b/>
          <w:bCs/>
          <w:color w:val="000000"/>
          <w:lang w:eastAsia="bg-BG"/>
        </w:rPr>
        <w:t xml:space="preserve">таблетки за дъвчене съдържат аспартам, източник на фенилаланин. Пациентите с фенилкетонурия трябва да имат предвид, че всяка </w:t>
      </w:r>
      <w:r>
        <w:rPr>
          <w:rFonts w:eastAsia="Times New Roman" w:cs="Arial"/>
          <w:b/>
          <w:bCs/>
          <w:color w:val="000000"/>
          <w:lang w:eastAsia="bg-BG"/>
        </w:rPr>
        <w:t>таблетка за дъвчене от 5</w:t>
      </w:r>
      <w:r w:rsidR="0038411C" w:rsidRPr="0038411C">
        <w:rPr>
          <w:rFonts w:eastAsia="Times New Roman" w:cs="Arial"/>
          <w:b/>
          <w:bCs/>
          <w:color w:val="000000"/>
          <w:lang w:eastAsia="bg-BG"/>
        </w:rPr>
        <w:t xml:space="preserve"> </w:t>
      </w:r>
      <w:r w:rsidR="0038411C" w:rsidRPr="0038411C">
        <w:rPr>
          <w:rFonts w:eastAsia="Times New Roman" w:cs="Arial"/>
          <w:b/>
          <w:bCs/>
          <w:color w:val="000000"/>
          <w:lang w:val="en-US"/>
        </w:rPr>
        <w:t xml:space="preserve">mg </w:t>
      </w:r>
      <w:r w:rsidR="0038411C" w:rsidRPr="0038411C">
        <w:rPr>
          <w:rFonts w:eastAsia="Times New Roman" w:cs="Arial"/>
          <w:b/>
          <w:bCs/>
          <w:color w:val="000000"/>
          <w:lang w:eastAsia="bg-BG"/>
        </w:rPr>
        <w:t>съдържа фенилаланин в количество, еквивалентно на 0,</w:t>
      </w:r>
      <w:r>
        <w:rPr>
          <w:rFonts w:eastAsia="Times New Roman" w:cs="Arial"/>
          <w:b/>
          <w:bCs/>
          <w:color w:val="000000"/>
          <w:lang w:eastAsia="bg-BG"/>
        </w:rPr>
        <w:t>842</w:t>
      </w:r>
      <w:r w:rsidR="0038411C" w:rsidRPr="0038411C">
        <w:rPr>
          <w:rFonts w:eastAsia="Times New Roman" w:cs="Arial"/>
          <w:b/>
          <w:bCs/>
          <w:color w:val="000000"/>
          <w:lang w:eastAsia="bg-BG"/>
        </w:rPr>
        <w:t xml:space="preserve"> фенилаланин на доза.</w:t>
      </w:r>
    </w:p>
    <w:p w14:paraId="141623A7" w14:textId="77777777" w:rsidR="0038411C" w:rsidRPr="0038411C" w:rsidRDefault="0038411C" w:rsidP="0038411C">
      <w:pPr>
        <w:rPr>
          <w:rFonts w:eastAsia="Times New Roman" w:cs="Arial"/>
          <w:b/>
          <w:bCs/>
          <w:color w:val="000000"/>
          <w:lang w:eastAsia="bg-BG"/>
        </w:rPr>
      </w:pPr>
    </w:p>
    <w:p w14:paraId="0B3BEE35" w14:textId="6C9E5323" w:rsidR="0091385D" w:rsidRPr="0038411C" w:rsidRDefault="0038411C" w:rsidP="0038411C">
      <w:pPr>
        <w:rPr>
          <w:rFonts w:cs="Arial"/>
        </w:rPr>
      </w:pPr>
      <w:r w:rsidRPr="0038411C">
        <w:rPr>
          <w:rFonts w:eastAsia="Times New Roman" w:cs="Arial"/>
          <w:b/>
          <w:bCs/>
          <w:color w:val="000000"/>
          <w:lang w:eastAsia="bg-BG"/>
        </w:rPr>
        <w:t>Съобщават се невро-психични събития при възрастни, юнош</w:t>
      </w:r>
      <w:r w:rsidR="00C57319">
        <w:rPr>
          <w:rFonts w:eastAsia="Times New Roman" w:cs="Arial"/>
          <w:b/>
          <w:bCs/>
          <w:color w:val="000000"/>
          <w:lang w:eastAsia="bg-BG"/>
        </w:rPr>
        <w:t>и и деца, приемащи монтелукаст 5</w:t>
      </w:r>
      <w:r w:rsidRPr="0038411C">
        <w:rPr>
          <w:rFonts w:eastAsia="Times New Roman" w:cs="Arial"/>
          <w:b/>
          <w:bCs/>
          <w:color w:val="000000"/>
          <w:lang w:eastAsia="bg-BG"/>
        </w:rPr>
        <w:t xml:space="preserve">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(вж. точка 4.8). Пациентите и лекарите трябва да бъдат предупредени за невро-психични събития. Пациентите и/или лицата, полагащи грижи, трябва да бъдат инструктирани да уведомят лекаря си, ако настъпят такива промени. Лекуващите лекари трябва внимателно да преценят съотношението полза/риск от продълж</w:t>
      </w:r>
      <w:r w:rsidR="00C57319">
        <w:rPr>
          <w:rFonts w:eastAsia="Times New Roman" w:cs="Arial"/>
          <w:b/>
          <w:bCs/>
          <w:color w:val="000000"/>
          <w:lang w:eastAsia="bg-BG"/>
        </w:rPr>
        <w:t>ителното лечение с монтелукаст 5</w:t>
      </w:r>
      <w:r w:rsidRPr="0038411C">
        <w:rPr>
          <w:rFonts w:eastAsia="Times New Roman" w:cs="Arial"/>
          <w:b/>
          <w:bCs/>
          <w:color w:val="000000"/>
          <w:lang w:eastAsia="bg-BG"/>
        </w:rPr>
        <w:t xml:space="preserve">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ако възникнат такива събития.</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72AE819" w14:textId="7648E5D5" w:rsidR="0091385D" w:rsidRPr="0038411C" w:rsidRDefault="0038411C" w:rsidP="0038411C">
      <w:pPr>
        <w:spacing w:line="240" w:lineRule="auto"/>
        <w:rPr>
          <w:rFonts w:eastAsia="Times New Roman" w:cs="Arial"/>
          <w:b/>
          <w:bCs/>
          <w:color w:val="000000"/>
          <w:lang w:eastAsia="bg-BG"/>
        </w:rPr>
      </w:pPr>
      <w:r w:rsidRPr="0038411C">
        <w:rPr>
          <w:rFonts w:eastAsia="Times New Roman" w:cs="Arial"/>
          <w:b/>
          <w:bCs/>
          <w:color w:val="000000"/>
          <w:lang w:eastAsia="bg-BG"/>
        </w:rPr>
        <w:t>Монтелукаст може да бъде прилаган с други видове лечения, използвани рутинно в профилактиката и хроничното лечение на астма. В клиничните изпитвания за лекарствени взаимодействия, препоръчителната клинична доза за монтелукаст не е имала клинично значими</w:t>
      </w:r>
      <w:r w:rsidRPr="0038411C">
        <w:rPr>
          <w:rFonts w:eastAsia="Times New Roman" w:cs="Arial"/>
          <w:sz w:val="24"/>
          <w:szCs w:val="24"/>
          <w:lang w:eastAsia="bg-BG"/>
        </w:rPr>
        <w:t xml:space="preserve"> </w:t>
      </w:r>
      <w:r w:rsidRPr="0038411C">
        <w:rPr>
          <w:rFonts w:eastAsia="Times New Roman" w:cs="Arial"/>
          <w:b/>
          <w:bCs/>
          <w:color w:val="000000"/>
          <w:lang w:eastAsia="bg-BG"/>
        </w:rPr>
        <w:t>ефекти върху фармакокинетиката на следните лекарствени продукти: теофилин, преднизон,</w:t>
      </w:r>
      <w:r w:rsidRPr="0038411C">
        <w:rPr>
          <w:rFonts w:eastAsia="Times New Roman" w:cs="Arial"/>
          <w:b/>
          <w:bCs/>
          <w:color w:val="000000"/>
          <w:vertAlign w:val="subscript"/>
          <w:lang w:eastAsia="bg-BG"/>
        </w:rPr>
        <w:t xml:space="preserve"> </w:t>
      </w:r>
      <w:r w:rsidRPr="0038411C">
        <w:rPr>
          <w:rFonts w:eastAsia="Times New Roman" w:cs="Arial"/>
          <w:b/>
          <w:bCs/>
          <w:color w:val="000000"/>
          <w:lang w:eastAsia="bg-BG"/>
        </w:rPr>
        <w:t>преднизолон, перорални контрацептиви (етинилестрадиол/норетиндрон 35/</w:t>
      </w:r>
      <w:r w:rsidRPr="0038411C">
        <w:rPr>
          <w:rFonts w:eastAsia="Times New Roman" w:cs="Arial"/>
          <w:b/>
          <w:bCs/>
          <w:color w:val="000000"/>
          <w:lang w:val="en-US"/>
        </w:rPr>
        <w:t xml:space="preserve">l), </w:t>
      </w:r>
      <w:r w:rsidRPr="0038411C">
        <w:rPr>
          <w:rFonts w:eastAsia="Times New Roman" w:cs="Arial"/>
          <w:b/>
          <w:bCs/>
          <w:color w:val="000000"/>
          <w:lang w:eastAsia="bg-BG"/>
        </w:rPr>
        <w:t>терфенадин,</w:t>
      </w:r>
      <w:r w:rsidRPr="0038411C">
        <w:rPr>
          <w:rFonts w:eastAsia="Times New Roman" w:cs="Arial"/>
          <w:sz w:val="24"/>
          <w:szCs w:val="24"/>
          <w:lang w:eastAsia="bg-BG"/>
        </w:rPr>
        <w:t xml:space="preserve"> </w:t>
      </w:r>
      <w:r w:rsidRPr="0038411C">
        <w:rPr>
          <w:rFonts w:eastAsia="Times New Roman" w:cs="Arial"/>
          <w:b/>
          <w:bCs/>
          <w:color w:val="000000"/>
          <w:lang w:eastAsia="bg-BG"/>
        </w:rPr>
        <w:t>дигоксин и варфарин.</w:t>
      </w:r>
    </w:p>
    <w:p w14:paraId="65A60C52" w14:textId="2E338E04" w:rsidR="0038411C" w:rsidRPr="0038411C" w:rsidRDefault="0038411C" w:rsidP="0038411C">
      <w:pPr>
        <w:spacing w:line="240" w:lineRule="auto"/>
        <w:rPr>
          <w:rFonts w:eastAsia="Times New Roman" w:cs="Arial"/>
          <w:b/>
          <w:bCs/>
          <w:color w:val="000000"/>
          <w:lang w:eastAsia="bg-BG"/>
        </w:rPr>
      </w:pPr>
    </w:p>
    <w:p w14:paraId="3F715C47"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Площта под кривата плазмена концентрация/време </w:t>
      </w:r>
      <w:r w:rsidRPr="0038411C">
        <w:rPr>
          <w:rFonts w:eastAsia="Times New Roman" w:cs="Arial"/>
          <w:b/>
          <w:bCs/>
          <w:color w:val="000000"/>
          <w:lang w:val="en-US"/>
        </w:rPr>
        <w:t xml:space="preserve">(AUC) </w:t>
      </w:r>
      <w:r w:rsidRPr="0038411C">
        <w:rPr>
          <w:rFonts w:eastAsia="Times New Roman" w:cs="Arial"/>
          <w:b/>
          <w:bCs/>
          <w:color w:val="000000"/>
          <w:lang w:eastAsia="bg-BG"/>
        </w:rPr>
        <w:t xml:space="preserve">за монтелукаст е била намалена приблизително с 40% при едновременно приложение на фенобарбитал. Тъй като монтелукаст се мегаболмзира от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ЗА4, 2С8 и 2С9, когато се прилага едновременно с индуктори на </w:t>
      </w:r>
      <w:r w:rsidRPr="0038411C">
        <w:rPr>
          <w:rFonts w:eastAsia="Times New Roman" w:cs="Arial"/>
          <w:b/>
          <w:bCs/>
          <w:color w:val="000000"/>
          <w:lang w:val="en-US"/>
        </w:rPr>
        <w:t xml:space="preserve">CYP </w:t>
      </w:r>
      <w:r w:rsidRPr="0038411C">
        <w:rPr>
          <w:rFonts w:eastAsia="Times New Roman" w:cs="Arial"/>
          <w:b/>
          <w:bCs/>
          <w:color w:val="000000"/>
          <w:lang w:eastAsia="bg-BG"/>
        </w:rPr>
        <w:t>ЗА4, 2С8 и 2С9, като фенитоин, фенобарбитал и рифампицин и особено при деца, е необходимо повишено внимание.</w:t>
      </w:r>
    </w:p>
    <w:p w14:paraId="4A72FE3A" w14:textId="77777777" w:rsidR="0038411C" w:rsidRPr="0038411C" w:rsidRDefault="0038411C" w:rsidP="0038411C">
      <w:pPr>
        <w:spacing w:line="240" w:lineRule="auto"/>
        <w:rPr>
          <w:rFonts w:eastAsia="Times New Roman" w:cs="Arial"/>
          <w:b/>
          <w:bCs/>
          <w:i/>
          <w:iCs/>
          <w:color w:val="000000"/>
          <w:lang w:val="en-US"/>
        </w:rPr>
      </w:pPr>
    </w:p>
    <w:p w14:paraId="7AEDD972" w14:textId="4DFEFE6A"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lang w:val="en-US"/>
        </w:rPr>
        <w:t>In vitro</w:t>
      </w:r>
      <w:r w:rsidRPr="0038411C">
        <w:rPr>
          <w:rFonts w:eastAsia="Times New Roman" w:cs="Arial"/>
          <w:b/>
          <w:bCs/>
          <w:color w:val="000000"/>
          <w:lang w:val="en-US"/>
        </w:rPr>
        <w:t xml:space="preserve"> </w:t>
      </w:r>
      <w:r w:rsidRPr="0038411C">
        <w:rPr>
          <w:rFonts w:eastAsia="Times New Roman" w:cs="Arial"/>
          <w:b/>
          <w:bCs/>
          <w:color w:val="000000"/>
          <w:lang w:eastAsia="bg-BG"/>
        </w:rPr>
        <w:t xml:space="preserve">проучвания са показали, че монтелукаст е мощен инхибитор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Въпреки това, данните от клинично проучване за лекарствени взаимодействия, включващо монтелукаст и розиглитазон (пробен субстрат, представителен за лекарствени продукти, които се метаболизират основно от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са показали, че монтелукаст не инхибира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w:t>
      </w:r>
      <w:r w:rsidRPr="0038411C">
        <w:rPr>
          <w:rFonts w:eastAsia="Times New Roman" w:cs="Arial"/>
          <w:b/>
          <w:bCs/>
          <w:i/>
          <w:iCs/>
          <w:color w:val="000000"/>
          <w:lang w:val="en-US"/>
        </w:rPr>
        <w:t>in vivo.</w:t>
      </w:r>
      <w:r w:rsidRPr="0038411C">
        <w:rPr>
          <w:rFonts w:eastAsia="Times New Roman" w:cs="Arial"/>
          <w:b/>
          <w:bCs/>
          <w:color w:val="000000"/>
          <w:lang w:val="en-US"/>
        </w:rPr>
        <w:t xml:space="preserve"> </w:t>
      </w:r>
      <w:r w:rsidRPr="0038411C">
        <w:rPr>
          <w:rFonts w:eastAsia="Times New Roman" w:cs="Arial"/>
          <w:b/>
          <w:bCs/>
          <w:color w:val="000000"/>
          <w:lang w:eastAsia="bg-BG"/>
        </w:rPr>
        <w:t>Следователно не се очаква монтелукаст да промени значимо метаболизма на лекарствените продукти, метаболизирани от този ензим (напр. паклитаксел, розиглитазон и репаглидин).</w:t>
      </w:r>
    </w:p>
    <w:p w14:paraId="045BBA19" w14:textId="77777777" w:rsidR="0038411C" w:rsidRPr="0038411C" w:rsidRDefault="0038411C" w:rsidP="0038411C">
      <w:pPr>
        <w:spacing w:line="240" w:lineRule="auto"/>
        <w:rPr>
          <w:rFonts w:eastAsia="Times New Roman" w:cs="Arial"/>
          <w:b/>
          <w:bCs/>
          <w:i/>
          <w:iCs/>
          <w:color w:val="000000"/>
          <w:lang w:val="en-US"/>
        </w:rPr>
      </w:pPr>
    </w:p>
    <w:p w14:paraId="11BBD976" w14:textId="41A22469"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lang w:val="en-US"/>
        </w:rPr>
        <w:t>In vitro</w:t>
      </w:r>
      <w:r w:rsidRPr="0038411C">
        <w:rPr>
          <w:rFonts w:eastAsia="Times New Roman" w:cs="Arial"/>
          <w:b/>
          <w:bCs/>
          <w:color w:val="000000"/>
          <w:lang w:val="en-US"/>
        </w:rPr>
        <w:t xml:space="preserve"> </w:t>
      </w:r>
      <w:r w:rsidRPr="0038411C">
        <w:rPr>
          <w:rFonts w:eastAsia="Times New Roman" w:cs="Arial"/>
          <w:b/>
          <w:bCs/>
          <w:color w:val="000000"/>
          <w:lang w:eastAsia="bg-BG"/>
        </w:rPr>
        <w:t xml:space="preserve">проучвания са показали, че монтелукаст е субстрат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и в по-малко значима степен на 2С9 и ЗА4. При клинично проучване на лекарствени взаимодействия, включващи монтелукаст и гемфиброзил (инхибитор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както и на 2С9), гемфиброзил повишава системната експозиция на монтелукаст с 4,4 пъти. Не се налага корекция на обичайната доза монтелукаст при едновременно приложение с гемфиброзил или други мощни инхибитори на </w:t>
      </w:r>
      <w:r w:rsidRPr="0038411C">
        <w:rPr>
          <w:rFonts w:eastAsia="Times New Roman" w:cs="Arial"/>
          <w:b/>
          <w:bCs/>
          <w:color w:val="000000"/>
          <w:lang w:val="en-US"/>
        </w:rPr>
        <w:t xml:space="preserve">CYP </w:t>
      </w:r>
      <w:r w:rsidRPr="0038411C">
        <w:rPr>
          <w:rFonts w:eastAsia="Times New Roman" w:cs="Arial"/>
          <w:b/>
          <w:bCs/>
          <w:color w:val="000000"/>
          <w:lang w:eastAsia="bg-BG"/>
        </w:rPr>
        <w:t>2С8, но лекарят трябва да е наясно с потенциала за увеличаване на нежеланите реакции.</w:t>
      </w:r>
    </w:p>
    <w:p w14:paraId="2FA7562F" w14:textId="77777777" w:rsidR="0038411C" w:rsidRPr="0038411C" w:rsidRDefault="0038411C" w:rsidP="0038411C">
      <w:pPr>
        <w:spacing w:line="240" w:lineRule="auto"/>
        <w:rPr>
          <w:rFonts w:eastAsia="Times New Roman" w:cs="Arial"/>
          <w:b/>
          <w:bCs/>
          <w:color w:val="000000"/>
          <w:lang w:eastAsia="bg-BG"/>
        </w:rPr>
      </w:pPr>
    </w:p>
    <w:p w14:paraId="0ADBFC55" w14:textId="7B816FB4"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Въз основа на </w:t>
      </w:r>
      <w:r w:rsidRPr="0038411C">
        <w:rPr>
          <w:rFonts w:eastAsia="Times New Roman" w:cs="Arial"/>
          <w:b/>
          <w:bCs/>
          <w:i/>
          <w:iCs/>
          <w:color w:val="000000"/>
          <w:lang w:val="en-US"/>
        </w:rPr>
        <w:t>in vitro</w:t>
      </w:r>
      <w:r w:rsidRPr="0038411C">
        <w:rPr>
          <w:rFonts w:eastAsia="Times New Roman" w:cs="Arial"/>
          <w:b/>
          <w:bCs/>
          <w:color w:val="000000"/>
          <w:lang w:val="en-US"/>
        </w:rPr>
        <w:t xml:space="preserve"> </w:t>
      </w:r>
      <w:r w:rsidRPr="0038411C">
        <w:rPr>
          <w:rFonts w:eastAsia="Times New Roman" w:cs="Arial"/>
          <w:b/>
          <w:bCs/>
          <w:color w:val="000000"/>
          <w:lang w:eastAsia="bg-BG"/>
        </w:rPr>
        <w:t xml:space="preserve">данни, клинично значими лекарствени взаимодействия с по-малко мощни инхибитори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(напр. триметоприм) не се очакват. Едновременното приложение на монтелукаст с итраконазол, мощен инхибитор на </w:t>
      </w:r>
      <w:r w:rsidRPr="0038411C">
        <w:rPr>
          <w:rFonts w:eastAsia="Times New Roman" w:cs="Arial"/>
          <w:b/>
          <w:bCs/>
          <w:color w:val="000000"/>
          <w:lang w:val="en-US"/>
        </w:rPr>
        <w:lastRenderedPageBreak/>
        <w:t xml:space="preserve">CYP </w:t>
      </w:r>
      <w:r w:rsidRPr="0038411C">
        <w:rPr>
          <w:rFonts w:eastAsia="Times New Roman" w:cs="Arial"/>
          <w:b/>
          <w:bCs/>
          <w:color w:val="000000"/>
          <w:lang w:eastAsia="bg-BG"/>
        </w:rPr>
        <w:t>ЗА4, не е довело до значително увеличаване на системната експозиция на монтелукаст.</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68020A63" w14:textId="77777777" w:rsidR="0038411C" w:rsidRPr="0038411C" w:rsidRDefault="0038411C" w:rsidP="0038411C">
      <w:pPr>
        <w:pStyle w:val="Heading3"/>
        <w:rPr>
          <w:rFonts w:eastAsia="Times New Roman"/>
          <w:b/>
          <w:u w:val="single"/>
          <w:lang w:eastAsia="bg-BG"/>
        </w:rPr>
      </w:pPr>
      <w:r w:rsidRPr="0038411C">
        <w:rPr>
          <w:rFonts w:eastAsia="Times New Roman"/>
          <w:b/>
          <w:u w:val="single"/>
          <w:lang w:eastAsia="bg-BG"/>
        </w:rPr>
        <w:t>Бременност</w:t>
      </w:r>
    </w:p>
    <w:p w14:paraId="2BA093CF" w14:textId="77777777" w:rsidR="00954DAD" w:rsidRDefault="00954DAD" w:rsidP="0038411C">
      <w:pPr>
        <w:spacing w:line="240" w:lineRule="auto"/>
        <w:rPr>
          <w:rFonts w:eastAsia="Times New Roman" w:cs="Arial"/>
          <w:b/>
          <w:bCs/>
          <w:color w:val="000000"/>
          <w:lang w:eastAsia="bg-BG"/>
        </w:rPr>
      </w:pPr>
    </w:p>
    <w:p w14:paraId="31555CBF" w14:textId="0A604E18"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Проучванията при животни не са показали вредни ефекти по отношение на бременността или ембрионалното/феталното развитие.</w:t>
      </w:r>
    </w:p>
    <w:p w14:paraId="2CED7449" w14:textId="77777777" w:rsidR="0038411C" w:rsidRPr="0038411C" w:rsidRDefault="0038411C" w:rsidP="0038411C">
      <w:pPr>
        <w:spacing w:line="240" w:lineRule="auto"/>
        <w:rPr>
          <w:rFonts w:eastAsia="Times New Roman" w:cs="Arial"/>
          <w:b/>
          <w:bCs/>
          <w:color w:val="000000"/>
          <w:lang w:eastAsia="bg-BG"/>
        </w:rPr>
      </w:pPr>
    </w:p>
    <w:p w14:paraId="32D3CAA1" w14:textId="63C2380F"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Данните, събрани от публикации за проспективни и ретроспективни кохортни проучвания за оценка на големи вродени дефекти при употреба на монтелукаст при бременни жени, не установяват риск, свързан с лекарствения продукт. Наличните проучвания имат ограничения, свързани с методологията, включително малка изследвана извадка, събиране на ретроспективни данни, в някои случаи, и несъпоставими контролни групи.</w:t>
      </w:r>
    </w:p>
    <w:p w14:paraId="1C1CAD9B" w14:textId="77777777" w:rsidR="0038411C" w:rsidRPr="0038411C" w:rsidRDefault="0038411C" w:rsidP="0038411C">
      <w:pPr>
        <w:spacing w:line="240" w:lineRule="auto"/>
        <w:rPr>
          <w:rFonts w:eastAsia="Times New Roman" w:cs="Arial"/>
          <w:b/>
          <w:bCs/>
          <w:color w:val="000000"/>
          <w:lang w:eastAsia="bg-BG"/>
        </w:rPr>
      </w:pPr>
    </w:p>
    <w:p w14:paraId="021141A8" w14:textId="765950AB" w:rsidR="0038411C" w:rsidRPr="0038411C" w:rsidRDefault="00954DAD" w:rsidP="0038411C">
      <w:pPr>
        <w:spacing w:line="240" w:lineRule="auto"/>
        <w:rPr>
          <w:rFonts w:eastAsia="Times New Roman" w:cs="Arial"/>
          <w:sz w:val="24"/>
          <w:szCs w:val="24"/>
          <w:lang w:eastAsia="bg-BG"/>
        </w:rPr>
      </w:pPr>
      <w:r w:rsidRPr="00954DAD">
        <w:rPr>
          <w:rFonts w:eastAsia="Times New Roman" w:cs="Arial"/>
          <w:b/>
          <w:bCs/>
          <w:iCs/>
          <w:color w:val="000000"/>
          <w:lang w:eastAsia="bg-BG"/>
        </w:rPr>
        <w:t xml:space="preserve">Монтелукаст Акорд 10 </w:t>
      </w:r>
      <w:r w:rsidRPr="00954DAD">
        <w:rPr>
          <w:rFonts w:eastAsia="Times New Roman" w:cs="Arial"/>
          <w:b/>
          <w:bCs/>
          <w:iCs/>
          <w:color w:val="000000"/>
          <w:lang w:val="en-US" w:eastAsia="bg-BG"/>
        </w:rPr>
        <w:t xml:space="preserve">mg </w:t>
      </w:r>
      <w:r w:rsidRPr="00954DAD">
        <w:rPr>
          <w:rFonts w:eastAsia="Times New Roman" w:cs="Arial"/>
          <w:b/>
          <w:bCs/>
          <w:iCs/>
          <w:color w:val="000000"/>
          <w:lang w:eastAsia="bg-BG"/>
        </w:rPr>
        <w:t>филмирани таблетки</w:t>
      </w:r>
      <w:r w:rsidR="0038411C" w:rsidRPr="0038411C">
        <w:rPr>
          <w:rFonts w:eastAsia="Times New Roman" w:cs="Arial"/>
          <w:b/>
          <w:bCs/>
          <w:color w:val="000000"/>
          <w:lang w:eastAsia="bg-BG"/>
        </w:rPr>
        <w:t xml:space="preserve"> може да бъде използван по време на бременност само в случай на категорична необходимост.</w:t>
      </w:r>
    </w:p>
    <w:p w14:paraId="1E2438E0" w14:textId="77777777" w:rsidR="0038411C" w:rsidRPr="0038411C" w:rsidRDefault="0038411C" w:rsidP="0038411C">
      <w:pPr>
        <w:spacing w:line="240" w:lineRule="auto"/>
        <w:rPr>
          <w:rFonts w:eastAsia="Times New Roman" w:cs="Arial"/>
          <w:b/>
          <w:bCs/>
          <w:i/>
          <w:iCs/>
          <w:color w:val="000000"/>
          <w:lang w:eastAsia="bg-BG"/>
        </w:rPr>
      </w:pPr>
    </w:p>
    <w:p w14:paraId="6B10823A" w14:textId="133CCA29" w:rsidR="0038411C" w:rsidRPr="0038411C" w:rsidRDefault="0038411C" w:rsidP="0038411C">
      <w:pPr>
        <w:pStyle w:val="Heading3"/>
        <w:rPr>
          <w:rFonts w:eastAsia="Times New Roman"/>
          <w:b/>
          <w:u w:val="single"/>
          <w:lang w:eastAsia="bg-BG"/>
        </w:rPr>
      </w:pPr>
      <w:r w:rsidRPr="0038411C">
        <w:rPr>
          <w:rFonts w:eastAsia="Times New Roman"/>
          <w:b/>
          <w:u w:val="single"/>
          <w:lang w:eastAsia="bg-BG"/>
        </w:rPr>
        <w:t>Кърмене</w:t>
      </w:r>
    </w:p>
    <w:p w14:paraId="7731651F" w14:textId="77777777" w:rsidR="00954DAD" w:rsidRDefault="00954DAD" w:rsidP="0038411C">
      <w:pPr>
        <w:rPr>
          <w:rFonts w:eastAsia="Times New Roman" w:cs="Arial"/>
          <w:b/>
          <w:bCs/>
          <w:color w:val="000000"/>
          <w:lang w:eastAsia="bg-BG"/>
        </w:rPr>
      </w:pPr>
    </w:p>
    <w:p w14:paraId="776662C5" w14:textId="6F2D7077" w:rsidR="0091385D" w:rsidRPr="0038411C" w:rsidRDefault="0038411C" w:rsidP="0038411C">
      <w:pPr>
        <w:rPr>
          <w:rFonts w:cs="Arial"/>
        </w:rPr>
      </w:pPr>
      <w:r w:rsidRPr="0038411C">
        <w:rPr>
          <w:rFonts w:eastAsia="Times New Roman" w:cs="Arial"/>
          <w:b/>
          <w:bCs/>
          <w:color w:val="000000"/>
          <w:lang w:eastAsia="bg-BG"/>
        </w:rPr>
        <w:t xml:space="preserve">Изпитванията при плъхове са показали, че монтелукаст се екскретира в кърмата (вижте точка 5.3). Не е известно дали монтелукаст/неговите метаболити се екскретират в човешката кърма. </w:t>
      </w:r>
      <w:r w:rsidR="00954DAD" w:rsidRPr="00954DAD">
        <w:rPr>
          <w:rFonts w:eastAsia="Times New Roman" w:cs="Arial"/>
          <w:b/>
          <w:bCs/>
          <w:iCs/>
          <w:color w:val="000000"/>
          <w:lang w:eastAsia="bg-BG"/>
        </w:rPr>
        <w:t xml:space="preserve">Монтелукаст Акорд 10 </w:t>
      </w:r>
      <w:r w:rsidR="00954DAD" w:rsidRPr="00954DAD">
        <w:rPr>
          <w:rFonts w:eastAsia="Times New Roman" w:cs="Arial"/>
          <w:b/>
          <w:bCs/>
          <w:iCs/>
          <w:color w:val="000000"/>
          <w:lang w:val="en-US" w:eastAsia="bg-BG"/>
        </w:rPr>
        <w:t xml:space="preserve">mg </w:t>
      </w:r>
      <w:r w:rsidR="00954DAD" w:rsidRPr="00954DAD">
        <w:rPr>
          <w:rFonts w:eastAsia="Times New Roman" w:cs="Arial"/>
          <w:b/>
          <w:bCs/>
          <w:iCs/>
          <w:color w:val="000000"/>
          <w:lang w:eastAsia="bg-BG"/>
        </w:rPr>
        <w:t>филмирани таблетки</w:t>
      </w:r>
      <w:r w:rsidRPr="0038411C">
        <w:rPr>
          <w:rFonts w:eastAsia="Times New Roman" w:cs="Arial"/>
          <w:b/>
          <w:bCs/>
          <w:color w:val="000000"/>
          <w:lang w:eastAsia="bg-BG"/>
        </w:rPr>
        <w:t xml:space="preserve"> </w:t>
      </w:r>
      <w:r w:rsidRPr="0038411C">
        <w:rPr>
          <w:rFonts w:eastAsia="Times New Roman" w:cs="Arial"/>
          <w:b/>
          <w:bCs/>
          <w:color w:val="000000"/>
          <w:lang w:eastAsia="bg-BG"/>
        </w:rPr>
        <w:t>може да бъде използван от кърмещи майки само при категорична необходимост.</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41BA0CE7" w:rsidR="0091385D" w:rsidRPr="0038411C" w:rsidRDefault="0038411C" w:rsidP="0091385D">
      <w:pPr>
        <w:rPr>
          <w:rFonts w:cs="Arial"/>
        </w:rPr>
      </w:pPr>
      <w:r w:rsidRPr="0038411C">
        <w:rPr>
          <w:rFonts w:cs="Arial"/>
          <w:b/>
          <w:bCs/>
        </w:rPr>
        <w:t>Монтелукаст не повлиява или повлиява в пренебрежима степен способността за шофиране и работа с машини. Въпреки това, в много редки случаи пациентите съобщават за свстовържеж или сънливост.</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536C432E" w14:textId="375646BE" w:rsidR="0038411C" w:rsidRPr="0038411C" w:rsidRDefault="0038411C" w:rsidP="0038411C">
      <w:pPr>
        <w:spacing w:line="240" w:lineRule="auto"/>
        <w:rPr>
          <w:rFonts w:eastAsia="Times New Roman" w:cs="Arial"/>
          <w:b/>
          <w:bCs/>
          <w:color w:val="000000"/>
          <w:lang w:eastAsia="bg-BG"/>
        </w:rPr>
      </w:pPr>
      <w:r w:rsidRPr="0038411C">
        <w:rPr>
          <w:rFonts w:eastAsia="Times New Roman" w:cs="Arial"/>
          <w:b/>
          <w:bCs/>
          <w:color w:val="000000"/>
          <w:lang w:eastAsia="bg-BG"/>
        </w:rPr>
        <w:t>Монтелукаст е оценяван в клинични изпитвания при пациенти с персистираща астма, както следва:</w:t>
      </w:r>
    </w:p>
    <w:p w14:paraId="03E4BD45" w14:textId="77777777" w:rsidR="0038411C" w:rsidRPr="0038411C" w:rsidRDefault="0038411C" w:rsidP="0038411C">
      <w:pPr>
        <w:spacing w:line="240" w:lineRule="auto"/>
        <w:rPr>
          <w:rFonts w:eastAsia="Times New Roman" w:cs="Arial"/>
          <w:sz w:val="24"/>
          <w:szCs w:val="24"/>
          <w:lang w:eastAsia="bg-BG"/>
        </w:rPr>
      </w:pPr>
    </w:p>
    <w:p w14:paraId="4D43CE00" w14:textId="4CFC6379" w:rsidR="0038411C" w:rsidRDefault="0038411C" w:rsidP="0038411C">
      <w:pPr>
        <w:numPr>
          <w:ilvl w:val="0"/>
          <w:numId w:val="2"/>
        </w:numPr>
        <w:spacing w:line="240" w:lineRule="auto"/>
        <w:rPr>
          <w:rFonts w:eastAsia="Times New Roman" w:cs="Arial"/>
          <w:b/>
          <w:bCs/>
          <w:color w:val="000000"/>
          <w:lang w:eastAsia="bg-BG"/>
        </w:rPr>
      </w:pPr>
      <w:r w:rsidRPr="0038411C">
        <w:rPr>
          <w:rFonts w:eastAsia="Times New Roman" w:cs="Arial"/>
          <w:b/>
          <w:bCs/>
          <w:color w:val="000000"/>
          <w:lang w:eastAsia="bg-BG"/>
        </w:rPr>
        <w:t xml:space="preserve">10 </w:t>
      </w:r>
      <w:r w:rsidRPr="0038411C">
        <w:rPr>
          <w:rFonts w:eastAsia="Times New Roman" w:cs="Arial"/>
          <w:b/>
          <w:bCs/>
          <w:color w:val="000000"/>
          <w:lang w:val="en-US"/>
        </w:rPr>
        <w:t xml:space="preserve">mg </w:t>
      </w:r>
      <w:r w:rsidRPr="0038411C">
        <w:rPr>
          <w:rFonts w:eastAsia="Times New Roman" w:cs="Arial"/>
          <w:b/>
          <w:bCs/>
          <w:color w:val="000000"/>
          <w:lang w:eastAsia="bg-BG"/>
        </w:rPr>
        <w:t>филмирани таблетки при приблизително 4 000 възрастни и юноши на възраст на и</w:t>
      </w:r>
      <w:r w:rsidR="004C4A8D">
        <w:rPr>
          <w:rFonts w:eastAsia="Times New Roman" w:cs="Arial"/>
          <w:b/>
          <w:bCs/>
          <w:color w:val="000000"/>
          <w:lang w:eastAsia="bg-BG"/>
        </w:rPr>
        <w:t xml:space="preserve"> </w:t>
      </w:r>
      <w:r w:rsidRPr="004C4A8D">
        <w:rPr>
          <w:rFonts w:eastAsia="Times New Roman" w:cs="Arial"/>
          <w:b/>
          <w:bCs/>
          <w:color w:val="000000"/>
          <w:lang w:eastAsia="bg-BG"/>
        </w:rPr>
        <w:t>над 15 години;</w:t>
      </w:r>
    </w:p>
    <w:p w14:paraId="098105FB" w14:textId="54663DFB" w:rsidR="00954DAD" w:rsidRPr="00954DAD" w:rsidRDefault="00954DAD" w:rsidP="00954DAD">
      <w:pPr>
        <w:numPr>
          <w:ilvl w:val="0"/>
          <w:numId w:val="2"/>
        </w:numPr>
        <w:spacing w:line="240" w:lineRule="auto"/>
        <w:rPr>
          <w:rFonts w:eastAsia="Times New Roman" w:cs="Arial"/>
          <w:b/>
          <w:bCs/>
          <w:color w:val="000000"/>
          <w:lang w:eastAsia="bg-BG"/>
        </w:rPr>
      </w:pPr>
      <w:r w:rsidRPr="0038411C">
        <w:rPr>
          <w:rFonts w:eastAsia="Times New Roman" w:cs="Arial"/>
          <w:b/>
          <w:bCs/>
          <w:color w:val="000000"/>
          <w:lang w:eastAsia="bg-BG"/>
        </w:rPr>
        <w:t xml:space="preserve">10 </w:t>
      </w:r>
      <w:r w:rsidRPr="0038411C">
        <w:rPr>
          <w:rFonts w:eastAsia="Times New Roman" w:cs="Arial"/>
          <w:b/>
          <w:bCs/>
          <w:color w:val="000000"/>
          <w:lang w:val="en-US"/>
        </w:rPr>
        <w:t xml:space="preserve">mg </w:t>
      </w:r>
      <w:r w:rsidRPr="0038411C">
        <w:rPr>
          <w:rFonts w:eastAsia="Times New Roman" w:cs="Arial"/>
          <w:b/>
          <w:bCs/>
          <w:color w:val="000000"/>
          <w:lang w:eastAsia="bg-BG"/>
        </w:rPr>
        <w:t>филмиран</w:t>
      </w:r>
      <w:r>
        <w:rPr>
          <w:rFonts w:eastAsia="Times New Roman" w:cs="Arial"/>
          <w:b/>
          <w:bCs/>
          <w:color w:val="000000"/>
          <w:lang w:eastAsia="bg-BG"/>
        </w:rPr>
        <w:t>и таблетки при приблизително 4</w:t>
      </w:r>
      <w:r w:rsidRPr="0038411C">
        <w:rPr>
          <w:rFonts w:eastAsia="Times New Roman" w:cs="Arial"/>
          <w:b/>
          <w:bCs/>
          <w:color w:val="000000"/>
          <w:lang w:eastAsia="bg-BG"/>
        </w:rPr>
        <w:t>00 възрастни и юноши</w:t>
      </w:r>
      <w:r>
        <w:rPr>
          <w:rFonts w:eastAsia="Times New Roman" w:cs="Arial"/>
          <w:b/>
          <w:bCs/>
          <w:color w:val="000000"/>
          <w:lang w:eastAsia="bg-BG"/>
        </w:rPr>
        <w:t xml:space="preserve"> с астма и сезонен алергичен ринит, на възраст на и над 15 години.</w:t>
      </w:r>
    </w:p>
    <w:p w14:paraId="51D1A259" w14:textId="2F51FF37" w:rsidR="0038411C" w:rsidRPr="004C4A8D" w:rsidRDefault="0038411C" w:rsidP="00C57319">
      <w:pPr>
        <w:numPr>
          <w:ilvl w:val="0"/>
          <w:numId w:val="2"/>
        </w:numPr>
        <w:spacing w:line="240" w:lineRule="auto"/>
        <w:rPr>
          <w:rFonts w:eastAsia="Times New Roman" w:cs="Arial"/>
          <w:b/>
          <w:bCs/>
          <w:color w:val="000000"/>
          <w:lang w:eastAsia="bg-BG"/>
        </w:rPr>
      </w:pPr>
      <w:r w:rsidRPr="0038411C">
        <w:rPr>
          <w:rFonts w:eastAsia="Times New Roman" w:cs="Arial"/>
          <w:b/>
          <w:bCs/>
          <w:color w:val="000000"/>
          <w:lang w:eastAsia="bg-BG"/>
        </w:rPr>
        <w:t xml:space="preserve">5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при приблизително 1 750 педиатрични пациенти на възраст</w:t>
      </w:r>
      <w:r w:rsidR="004C4A8D">
        <w:rPr>
          <w:rFonts w:eastAsia="Times New Roman" w:cs="Arial"/>
          <w:b/>
          <w:bCs/>
          <w:color w:val="000000"/>
          <w:lang w:eastAsia="bg-BG"/>
        </w:rPr>
        <w:t xml:space="preserve"> </w:t>
      </w:r>
      <w:r w:rsidRPr="004C4A8D">
        <w:rPr>
          <w:rFonts w:eastAsia="Times New Roman" w:cs="Arial"/>
          <w:b/>
          <w:bCs/>
          <w:color w:val="000000"/>
          <w:lang w:eastAsia="bg-BG"/>
        </w:rPr>
        <w:t xml:space="preserve">между 6 и 14 години; </w:t>
      </w:r>
    </w:p>
    <w:p w14:paraId="2816B69E" w14:textId="77777777" w:rsidR="0038411C" w:rsidRPr="0038411C" w:rsidRDefault="0038411C" w:rsidP="0038411C">
      <w:pPr>
        <w:spacing w:line="240" w:lineRule="auto"/>
        <w:rPr>
          <w:rFonts w:eastAsia="Times New Roman" w:cs="Arial"/>
          <w:sz w:val="24"/>
          <w:szCs w:val="24"/>
          <w:lang w:eastAsia="bg-BG"/>
        </w:rPr>
      </w:pPr>
    </w:p>
    <w:p w14:paraId="570508C4" w14:textId="0F52866F" w:rsidR="0091385D" w:rsidRDefault="0038411C" w:rsidP="0038411C">
      <w:pPr>
        <w:rPr>
          <w:rFonts w:eastAsia="Times New Roman" w:cs="Arial"/>
          <w:b/>
          <w:bCs/>
          <w:color w:val="000000"/>
          <w:lang w:eastAsia="bg-BG"/>
        </w:rPr>
      </w:pPr>
      <w:r w:rsidRPr="0038411C">
        <w:rPr>
          <w:rFonts w:eastAsia="Times New Roman" w:cs="Arial"/>
          <w:b/>
          <w:bCs/>
          <w:color w:val="000000"/>
          <w:lang w:eastAsia="bg-BG"/>
        </w:rPr>
        <w:lastRenderedPageBreak/>
        <w:t>Следните лекарствено-свързани нежелани реакции са съобщавани често (≥1/100 до &lt;1/10) в клинични изпитвания при астматични пациенти, лекувани с монтелукаст, и с по-висока честота при пациентите на плацебо:</w:t>
      </w:r>
    </w:p>
    <w:p w14:paraId="6BFBF9C2" w14:textId="3CA9727A" w:rsidR="004C4A8D" w:rsidRDefault="004C4A8D" w:rsidP="0038411C">
      <w:pPr>
        <w:rPr>
          <w:rFonts w:eastAsia="Times New Roman" w:cs="Arial"/>
          <w:b/>
          <w:bCs/>
          <w:color w:val="000000"/>
          <w:lang w:eastAsia="bg-BG"/>
        </w:rPr>
      </w:pPr>
    </w:p>
    <w:tbl>
      <w:tblPr>
        <w:tblStyle w:val="TableGrid"/>
        <w:tblW w:w="0" w:type="auto"/>
        <w:tblLook w:val="04A0" w:firstRow="1" w:lastRow="0" w:firstColumn="1" w:lastColumn="0" w:noHBand="0" w:noVBand="1"/>
      </w:tblPr>
      <w:tblGrid>
        <w:gridCol w:w="3116"/>
        <w:gridCol w:w="3117"/>
        <w:gridCol w:w="3117"/>
      </w:tblGrid>
      <w:tr w:rsidR="004C4A8D" w14:paraId="57BAFE18" w14:textId="77777777" w:rsidTr="004C4A8D">
        <w:tc>
          <w:tcPr>
            <w:tcW w:w="3116" w:type="dxa"/>
          </w:tcPr>
          <w:p w14:paraId="13F2F587" w14:textId="4CA108B8" w:rsidR="004C4A8D" w:rsidRDefault="004C4A8D" w:rsidP="004C4A8D">
            <w:pPr>
              <w:rPr>
                <w:rFonts w:cs="Arial"/>
              </w:rPr>
            </w:pPr>
            <w:r w:rsidRPr="0038411C">
              <w:rPr>
                <w:b/>
                <w:bCs/>
              </w:rPr>
              <w:t>Системо-органен клас</w:t>
            </w:r>
          </w:p>
        </w:tc>
        <w:tc>
          <w:tcPr>
            <w:tcW w:w="3117" w:type="dxa"/>
          </w:tcPr>
          <w:p w14:paraId="58D8555B" w14:textId="77777777" w:rsidR="004C4A8D" w:rsidRPr="0038411C" w:rsidRDefault="004C4A8D" w:rsidP="004C4A8D">
            <w:r w:rsidRPr="0038411C">
              <w:rPr>
                <w:b/>
                <w:bCs/>
              </w:rPr>
              <w:t>Възрастни и юноши на 15 и повече години (две 12- седмични изпитвания;</w:t>
            </w:r>
          </w:p>
          <w:p w14:paraId="6AC207A5" w14:textId="7E4F6E14" w:rsidR="004C4A8D" w:rsidRDefault="004C4A8D" w:rsidP="004C4A8D">
            <w:pPr>
              <w:rPr>
                <w:rFonts w:cs="Arial"/>
              </w:rPr>
            </w:pPr>
            <w:r w:rsidRPr="0038411C">
              <w:rPr>
                <w:b/>
                <w:bCs/>
                <w:lang w:val="en-US"/>
              </w:rPr>
              <w:t>n</w:t>
            </w:r>
            <w:r w:rsidRPr="0038411C">
              <w:rPr>
                <w:b/>
                <w:bCs/>
              </w:rPr>
              <w:t>=795)</w:t>
            </w:r>
          </w:p>
        </w:tc>
        <w:tc>
          <w:tcPr>
            <w:tcW w:w="3117" w:type="dxa"/>
          </w:tcPr>
          <w:p w14:paraId="30AC2959" w14:textId="483EF64B" w:rsidR="004C4A8D" w:rsidRDefault="004C4A8D" w:rsidP="004C4A8D">
            <w:pPr>
              <w:rPr>
                <w:rFonts w:cs="Arial"/>
              </w:rPr>
            </w:pPr>
            <w:r w:rsidRPr="0038411C">
              <w:rPr>
                <w:b/>
                <w:bCs/>
              </w:rPr>
              <w:t xml:space="preserve">Педиатрични пациенти от 6 до 14 години (едно 8-седмично изпитване; </w:t>
            </w:r>
            <w:r w:rsidRPr="0038411C">
              <w:rPr>
                <w:b/>
                <w:bCs/>
                <w:lang w:val="en-US"/>
              </w:rPr>
              <w:t>n</w:t>
            </w:r>
            <w:r w:rsidRPr="0038411C">
              <w:rPr>
                <w:b/>
                <w:bCs/>
              </w:rPr>
              <w:t xml:space="preserve">=201) (две 56-седмични изпитвания; </w:t>
            </w:r>
            <w:r w:rsidRPr="0038411C">
              <w:rPr>
                <w:b/>
                <w:bCs/>
                <w:lang w:val="en-US"/>
              </w:rPr>
              <w:t>n=615)</w:t>
            </w:r>
          </w:p>
        </w:tc>
      </w:tr>
      <w:tr w:rsidR="004C4A8D" w14:paraId="67922DF8" w14:textId="77777777" w:rsidTr="004C4A8D">
        <w:tc>
          <w:tcPr>
            <w:tcW w:w="3116" w:type="dxa"/>
          </w:tcPr>
          <w:p w14:paraId="3BB2B27D" w14:textId="327B6CFE" w:rsidR="004C4A8D" w:rsidRDefault="004C4A8D" w:rsidP="004C4A8D">
            <w:pPr>
              <w:rPr>
                <w:rFonts w:cs="Arial"/>
              </w:rPr>
            </w:pPr>
            <w:r w:rsidRPr="0038411C">
              <w:rPr>
                <w:b/>
                <w:bCs/>
              </w:rPr>
              <w:t>Нарушения на нервната система</w:t>
            </w:r>
          </w:p>
        </w:tc>
        <w:tc>
          <w:tcPr>
            <w:tcW w:w="3117" w:type="dxa"/>
          </w:tcPr>
          <w:p w14:paraId="51764219" w14:textId="44112CA2" w:rsidR="004C4A8D" w:rsidRDefault="004C4A8D" w:rsidP="004C4A8D">
            <w:pPr>
              <w:rPr>
                <w:rFonts w:cs="Arial"/>
              </w:rPr>
            </w:pPr>
            <w:r w:rsidRPr="0038411C">
              <w:rPr>
                <w:b/>
                <w:bCs/>
              </w:rPr>
              <w:t>главоболие</w:t>
            </w:r>
          </w:p>
        </w:tc>
        <w:tc>
          <w:tcPr>
            <w:tcW w:w="3117" w:type="dxa"/>
          </w:tcPr>
          <w:p w14:paraId="40D28702" w14:textId="61EA0CF4" w:rsidR="004C4A8D" w:rsidRDefault="004C4A8D" w:rsidP="004C4A8D">
            <w:pPr>
              <w:rPr>
                <w:rFonts w:cs="Arial"/>
              </w:rPr>
            </w:pPr>
            <w:r w:rsidRPr="0038411C">
              <w:rPr>
                <w:b/>
                <w:bCs/>
              </w:rPr>
              <w:t>главоболие</w:t>
            </w:r>
          </w:p>
        </w:tc>
      </w:tr>
      <w:tr w:rsidR="004C4A8D" w14:paraId="551A9B3C" w14:textId="77777777" w:rsidTr="004C4A8D">
        <w:tc>
          <w:tcPr>
            <w:tcW w:w="3116" w:type="dxa"/>
          </w:tcPr>
          <w:p w14:paraId="6DFA5F8E" w14:textId="6AFFDF21" w:rsidR="004C4A8D" w:rsidRDefault="004C4A8D" w:rsidP="004C4A8D">
            <w:pPr>
              <w:rPr>
                <w:rFonts w:cs="Arial"/>
              </w:rPr>
            </w:pPr>
            <w:r w:rsidRPr="0038411C">
              <w:rPr>
                <w:b/>
                <w:bCs/>
              </w:rPr>
              <w:t>Стомашно-чревни нарушения</w:t>
            </w:r>
          </w:p>
        </w:tc>
        <w:tc>
          <w:tcPr>
            <w:tcW w:w="3117" w:type="dxa"/>
          </w:tcPr>
          <w:p w14:paraId="3930A9F8" w14:textId="751FE3CE" w:rsidR="004C4A8D" w:rsidRDefault="004C4A8D" w:rsidP="004C4A8D">
            <w:pPr>
              <w:rPr>
                <w:rFonts w:cs="Arial"/>
              </w:rPr>
            </w:pPr>
            <w:r w:rsidRPr="0038411C">
              <w:rPr>
                <w:b/>
                <w:bCs/>
              </w:rPr>
              <w:t>коремна болка</w:t>
            </w:r>
          </w:p>
        </w:tc>
        <w:tc>
          <w:tcPr>
            <w:tcW w:w="3117" w:type="dxa"/>
          </w:tcPr>
          <w:p w14:paraId="1AF571C7" w14:textId="77777777" w:rsidR="004C4A8D" w:rsidRDefault="004C4A8D" w:rsidP="004C4A8D">
            <w:pPr>
              <w:rPr>
                <w:rFonts w:cs="Arial"/>
              </w:rPr>
            </w:pPr>
          </w:p>
        </w:tc>
      </w:tr>
    </w:tbl>
    <w:p w14:paraId="241B8EF7" w14:textId="6B5F0190" w:rsidR="0038411C" w:rsidRDefault="0038411C" w:rsidP="0091385D"/>
    <w:p w14:paraId="0FFAE34F"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С продължаване на лечението в клиничните изпитвания при ограничен брой пациенти до 2 години за възрастните и до 12 месеца за педиатрични пациенти на възраст между 6 и 14 години, профилът на безопасност не се е променил.</w:t>
      </w:r>
    </w:p>
    <w:p w14:paraId="2AB263AC" w14:textId="77777777" w:rsidR="0038411C" w:rsidRPr="0038411C" w:rsidRDefault="0038411C" w:rsidP="0038411C">
      <w:pPr>
        <w:spacing w:line="240" w:lineRule="auto"/>
        <w:rPr>
          <w:rFonts w:eastAsia="Times New Roman" w:cs="Arial"/>
          <w:b/>
          <w:bCs/>
          <w:color w:val="000000"/>
          <w:lang w:eastAsia="bg-BG"/>
        </w:rPr>
      </w:pPr>
    </w:p>
    <w:p w14:paraId="26EF0479" w14:textId="76F83266"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Кумулативно, 502 педиатрични пациенти на възраст между 2 и 5 години са били лекувани с монтелукаст за най-малко 3 месеца, 338 за 6 месеца и 534 пациенти за 12 месеца или повече. С продължаване на лечението профилът на безопасност при тези пациенти също не се е променил.</w:t>
      </w:r>
    </w:p>
    <w:p w14:paraId="4A139C4E" w14:textId="77777777" w:rsidR="0038411C" w:rsidRPr="0038411C" w:rsidRDefault="0038411C" w:rsidP="0038411C">
      <w:pPr>
        <w:spacing w:line="240" w:lineRule="auto"/>
        <w:rPr>
          <w:rFonts w:eastAsia="Times New Roman" w:cs="Arial"/>
          <w:b/>
          <w:bCs/>
          <w:color w:val="000000"/>
          <w:u w:val="single"/>
          <w:lang w:eastAsia="bg-BG"/>
        </w:rPr>
      </w:pPr>
    </w:p>
    <w:p w14:paraId="3A8B6754" w14:textId="18A697A0"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u w:val="single"/>
          <w:lang w:eastAsia="bg-BG"/>
        </w:rPr>
        <w:t>Табличен списък на нежеланите реакции</w:t>
      </w:r>
    </w:p>
    <w:p w14:paraId="73F78F25" w14:textId="1107E566" w:rsidR="0038411C" w:rsidRPr="0038411C" w:rsidRDefault="0038411C" w:rsidP="0038411C">
      <w:pPr>
        <w:rPr>
          <w:rFonts w:cs="Arial"/>
        </w:rPr>
      </w:pPr>
      <w:r w:rsidRPr="0038411C">
        <w:rPr>
          <w:rFonts w:eastAsia="Times New Roman" w:cs="Arial"/>
          <w:b/>
          <w:bCs/>
          <w:color w:val="000000"/>
          <w:lang w:eastAsia="bg-BG"/>
        </w:rPr>
        <w:t>Нежеланите реакции, съобщени при постмаркетингова употреба, са изброени в таблицата по-долу по системо-органен клас и термин за специфична нежелана реакция. Категориите честота са изчислени на базата на съответните клинични изпитвания.</w:t>
      </w:r>
    </w:p>
    <w:p w14:paraId="0117384F" w14:textId="1D7D3FF9" w:rsidR="0038411C" w:rsidRDefault="0038411C" w:rsidP="0091385D"/>
    <w:tbl>
      <w:tblPr>
        <w:tblStyle w:val="TableGrid"/>
        <w:tblW w:w="0" w:type="auto"/>
        <w:tblLook w:val="04A0" w:firstRow="1" w:lastRow="0" w:firstColumn="1" w:lastColumn="0" w:noHBand="0" w:noVBand="1"/>
      </w:tblPr>
      <w:tblGrid>
        <w:gridCol w:w="3113"/>
        <w:gridCol w:w="3157"/>
        <w:gridCol w:w="3080"/>
      </w:tblGrid>
      <w:tr w:rsidR="008F2494" w14:paraId="07BD4D4F" w14:textId="77777777" w:rsidTr="0038411C">
        <w:tc>
          <w:tcPr>
            <w:tcW w:w="3166" w:type="dxa"/>
          </w:tcPr>
          <w:p w14:paraId="6BD3C63F" w14:textId="4AEDAF00" w:rsidR="008F2494" w:rsidRPr="008F2494" w:rsidRDefault="008F2494" w:rsidP="008F2494">
            <w:r w:rsidRPr="008F2494">
              <w:rPr>
                <w:b/>
                <w:bCs/>
              </w:rPr>
              <w:t>Системо-органен клас</w:t>
            </w:r>
          </w:p>
        </w:tc>
        <w:tc>
          <w:tcPr>
            <w:tcW w:w="3167" w:type="dxa"/>
          </w:tcPr>
          <w:p w14:paraId="3669617D" w14:textId="1B5F7C34" w:rsidR="008F2494" w:rsidRPr="008F2494" w:rsidRDefault="008F2494" w:rsidP="008F2494">
            <w:r w:rsidRPr="008F2494">
              <w:rPr>
                <w:b/>
                <w:bCs/>
              </w:rPr>
              <w:t>Нежелани реакции</w:t>
            </w:r>
          </w:p>
        </w:tc>
        <w:tc>
          <w:tcPr>
            <w:tcW w:w="3167" w:type="dxa"/>
          </w:tcPr>
          <w:p w14:paraId="03CDC2F8" w14:textId="7BE95B17" w:rsidR="008F2494" w:rsidRPr="008F2494" w:rsidRDefault="008F2494" w:rsidP="008F2494">
            <w:r w:rsidRPr="008F2494">
              <w:rPr>
                <w:b/>
                <w:bCs/>
              </w:rPr>
              <w:t>Категория честота</w:t>
            </w:r>
          </w:p>
        </w:tc>
      </w:tr>
      <w:tr w:rsidR="008F2494" w14:paraId="7F514956" w14:textId="77777777" w:rsidTr="0038411C">
        <w:tc>
          <w:tcPr>
            <w:tcW w:w="3166" w:type="dxa"/>
          </w:tcPr>
          <w:p w14:paraId="044B7F6F" w14:textId="7CE78844" w:rsidR="008F2494" w:rsidRPr="008F2494" w:rsidRDefault="008F2494" w:rsidP="008F2494">
            <w:r w:rsidRPr="008F2494">
              <w:rPr>
                <w:b/>
                <w:bCs/>
              </w:rPr>
              <w:t>Инфекции и инфестации</w:t>
            </w:r>
          </w:p>
        </w:tc>
        <w:tc>
          <w:tcPr>
            <w:tcW w:w="3167" w:type="dxa"/>
          </w:tcPr>
          <w:p w14:paraId="5F646D7C" w14:textId="59638D5E" w:rsidR="008F2494" w:rsidRPr="008F2494" w:rsidRDefault="008F2494" w:rsidP="008F2494">
            <w:r w:rsidRPr="008F2494">
              <w:rPr>
                <w:b/>
                <w:bCs/>
              </w:rPr>
              <w:t>Инфекция на горните дихателни пътища</w:t>
            </w:r>
            <w:r w:rsidRPr="008F2494">
              <w:rPr>
                <w:b/>
                <w:bCs/>
                <w:vertAlign w:val="superscript"/>
              </w:rPr>
              <w:t>†</w:t>
            </w:r>
          </w:p>
        </w:tc>
        <w:tc>
          <w:tcPr>
            <w:tcW w:w="3167" w:type="dxa"/>
          </w:tcPr>
          <w:p w14:paraId="5B3321F1" w14:textId="77777777" w:rsidR="008F2494" w:rsidRPr="008F2494" w:rsidRDefault="008F2494" w:rsidP="008F2494">
            <w:r w:rsidRPr="008F2494">
              <w:rPr>
                <w:b/>
                <w:bCs/>
              </w:rPr>
              <w:t>Много чести</w:t>
            </w:r>
          </w:p>
          <w:p w14:paraId="2AC915AD" w14:textId="77777777" w:rsidR="008F2494" w:rsidRPr="008F2494" w:rsidRDefault="008F2494" w:rsidP="008F2494"/>
        </w:tc>
      </w:tr>
      <w:tr w:rsidR="008F2494" w14:paraId="125656B5" w14:textId="77777777" w:rsidTr="00971803">
        <w:trPr>
          <w:trHeight w:val="550"/>
        </w:trPr>
        <w:tc>
          <w:tcPr>
            <w:tcW w:w="3166" w:type="dxa"/>
            <w:vMerge w:val="restart"/>
            <w:tcBorders>
              <w:bottom w:val="single" w:sz="4" w:space="0" w:color="auto"/>
            </w:tcBorders>
          </w:tcPr>
          <w:p w14:paraId="7BCB52CB" w14:textId="77777777" w:rsidR="008F2494" w:rsidRPr="008F2494" w:rsidRDefault="008F2494" w:rsidP="008F2494">
            <w:pPr>
              <w:rPr>
                <w:rFonts w:cs="Arial"/>
              </w:rPr>
            </w:pPr>
            <w:r w:rsidRPr="008F2494">
              <w:rPr>
                <w:rFonts w:cs="Arial"/>
                <w:b/>
                <w:bCs/>
              </w:rPr>
              <w:t xml:space="preserve"> Нарушения на кръвта и</w:t>
            </w:r>
          </w:p>
          <w:p w14:paraId="6C7770FC" w14:textId="42343EA4" w:rsidR="008F2494" w:rsidRPr="008F2494" w:rsidRDefault="008F2494" w:rsidP="008F2494">
            <w:pPr>
              <w:rPr>
                <w:rFonts w:cs="Arial"/>
              </w:rPr>
            </w:pPr>
            <w:r w:rsidRPr="008F2494">
              <w:rPr>
                <w:rFonts w:cs="Arial"/>
                <w:b/>
                <w:bCs/>
              </w:rPr>
              <w:t>лимфната система</w:t>
            </w:r>
          </w:p>
        </w:tc>
        <w:tc>
          <w:tcPr>
            <w:tcW w:w="3167" w:type="dxa"/>
            <w:tcBorders>
              <w:bottom w:val="single" w:sz="4" w:space="0" w:color="auto"/>
            </w:tcBorders>
          </w:tcPr>
          <w:p w14:paraId="63EFDA09" w14:textId="77777777" w:rsidR="008F2494" w:rsidRPr="008F2494" w:rsidRDefault="008F2494" w:rsidP="008F2494">
            <w:r w:rsidRPr="008F2494">
              <w:rPr>
                <w:b/>
                <w:bCs/>
              </w:rPr>
              <w:t>Повишена склонност към</w:t>
            </w:r>
          </w:p>
          <w:p w14:paraId="3D36606B" w14:textId="038C699C" w:rsidR="008F2494" w:rsidRPr="008F2494" w:rsidRDefault="008F2494" w:rsidP="008F2494">
            <w:r w:rsidRPr="008F2494">
              <w:rPr>
                <w:b/>
                <w:bCs/>
              </w:rPr>
              <w:t>кървене</w:t>
            </w:r>
          </w:p>
        </w:tc>
        <w:tc>
          <w:tcPr>
            <w:tcW w:w="3167" w:type="dxa"/>
            <w:tcBorders>
              <w:bottom w:val="single" w:sz="4" w:space="0" w:color="auto"/>
            </w:tcBorders>
          </w:tcPr>
          <w:p w14:paraId="6A1DBFDC" w14:textId="04B43D7C" w:rsidR="008F2494" w:rsidRPr="008F2494" w:rsidRDefault="008F2494" w:rsidP="008F2494">
            <w:r w:rsidRPr="008F2494">
              <w:rPr>
                <w:b/>
                <w:bCs/>
              </w:rPr>
              <w:t xml:space="preserve">Редки </w:t>
            </w:r>
          </w:p>
        </w:tc>
      </w:tr>
      <w:tr w:rsidR="008F2494" w14:paraId="026519EA" w14:textId="77777777" w:rsidTr="00083763">
        <w:tc>
          <w:tcPr>
            <w:tcW w:w="3166" w:type="dxa"/>
            <w:vMerge/>
          </w:tcPr>
          <w:p w14:paraId="22686627" w14:textId="57F76CBE" w:rsidR="008F2494" w:rsidRPr="008F2494" w:rsidRDefault="008F2494" w:rsidP="008F2494">
            <w:pPr>
              <w:rPr>
                <w:rFonts w:cs="Arial"/>
              </w:rPr>
            </w:pPr>
          </w:p>
        </w:tc>
        <w:tc>
          <w:tcPr>
            <w:tcW w:w="3167" w:type="dxa"/>
            <w:vAlign w:val="bottom"/>
          </w:tcPr>
          <w:p w14:paraId="1A23BC43" w14:textId="340E3225" w:rsidR="008F2494" w:rsidRPr="008F2494" w:rsidRDefault="008F2494" w:rsidP="008F2494">
            <w:r w:rsidRPr="008F2494">
              <w:rPr>
                <w:b/>
                <w:bCs/>
              </w:rPr>
              <w:t>Тромбоцитопения</w:t>
            </w:r>
          </w:p>
        </w:tc>
        <w:tc>
          <w:tcPr>
            <w:tcW w:w="3167" w:type="dxa"/>
            <w:vAlign w:val="bottom"/>
          </w:tcPr>
          <w:p w14:paraId="67FA24DD" w14:textId="1FA67D13" w:rsidR="008F2494" w:rsidRPr="008F2494" w:rsidRDefault="008F2494" w:rsidP="008F2494">
            <w:r w:rsidRPr="008F2494">
              <w:rPr>
                <w:b/>
                <w:bCs/>
              </w:rPr>
              <w:t xml:space="preserve">Много редки </w:t>
            </w:r>
          </w:p>
        </w:tc>
      </w:tr>
      <w:tr w:rsidR="008F2494" w14:paraId="17C15905" w14:textId="77777777" w:rsidTr="00083763">
        <w:tc>
          <w:tcPr>
            <w:tcW w:w="3166" w:type="dxa"/>
            <w:vMerge w:val="restart"/>
          </w:tcPr>
          <w:p w14:paraId="7B9FE17F" w14:textId="1AFAC741" w:rsidR="008F2494" w:rsidRPr="008F2494" w:rsidRDefault="008F2494" w:rsidP="008F2494">
            <w:pPr>
              <w:rPr>
                <w:rFonts w:cs="Arial"/>
              </w:rPr>
            </w:pPr>
            <w:r w:rsidRPr="008F2494">
              <w:rPr>
                <w:rFonts w:cs="Arial"/>
                <w:b/>
                <w:bCs/>
              </w:rPr>
              <w:t>Нарушения на имунната система</w:t>
            </w:r>
          </w:p>
        </w:tc>
        <w:tc>
          <w:tcPr>
            <w:tcW w:w="3167" w:type="dxa"/>
            <w:vAlign w:val="bottom"/>
          </w:tcPr>
          <w:p w14:paraId="51190E41" w14:textId="77777777" w:rsidR="008F2494" w:rsidRPr="008F2494" w:rsidRDefault="008F2494" w:rsidP="008F2494">
            <w:r w:rsidRPr="008F2494">
              <w:rPr>
                <w:b/>
                <w:bCs/>
              </w:rPr>
              <w:t>Реакции на</w:t>
            </w:r>
          </w:p>
          <w:p w14:paraId="3F9ACDE2" w14:textId="4944B0F9" w:rsidR="008F2494" w:rsidRPr="008F2494" w:rsidRDefault="008F2494" w:rsidP="008F2494">
            <w:r w:rsidRPr="008F2494">
              <w:rPr>
                <w:b/>
                <w:bCs/>
              </w:rPr>
              <w:t>свръхчувствителност, включително анафилаксия</w:t>
            </w:r>
          </w:p>
        </w:tc>
        <w:tc>
          <w:tcPr>
            <w:tcW w:w="3167" w:type="dxa"/>
          </w:tcPr>
          <w:p w14:paraId="30D9348A" w14:textId="6B4626BB" w:rsidR="008F2494" w:rsidRPr="008F2494" w:rsidRDefault="008F2494" w:rsidP="008F2494">
            <w:r w:rsidRPr="008F2494">
              <w:rPr>
                <w:b/>
                <w:bCs/>
              </w:rPr>
              <w:t>Нечести</w:t>
            </w:r>
          </w:p>
        </w:tc>
      </w:tr>
      <w:tr w:rsidR="008F2494" w14:paraId="1E59CBA1" w14:textId="77777777" w:rsidTr="00083763">
        <w:tc>
          <w:tcPr>
            <w:tcW w:w="3166" w:type="dxa"/>
            <w:vMerge/>
          </w:tcPr>
          <w:p w14:paraId="6F80C1D9" w14:textId="77777777" w:rsidR="008F2494" w:rsidRPr="008F2494" w:rsidRDefault="008F2494" w:rsidP="008F2494">
            <w:pPr>
              <w:rPr>
                <w:rFonts w:cs="Arial"/>
              </w:rPr>
            </w:pPr>
          </w:p>
        </w:tc>
        <w:tc>
          <w:tcPr>
            <w:tcW w:w="3167" w:type="dxa"/>
            <w:vAlign w:val="bottom"/>
          </w:tcPr>
          <w:p w14:paraId="3999820A" w14:textId="7D48D1CF" w:rsidR="008F2494" w:rsidRPr="008F2494" w:rsidRDefault="008F2494" w:rsidP="008F2494">
            <w:r w:rsidRPr="008F2494">
              <w:rPr>
                <w:b/>
                <w:bCs/>
              </w:rPr>
              <w:t>Чернодробна еозинофилна инфилтрация</w:t>
            </w:r>
          </w:p>
        </w:tc>
        <w:tc>
          <w:tcPr>
            <w:tcW w:w="3167" w:type="dxa"/>
          </w:tcPr>
          <w:p w14:paraId="511E9C2A" w14:textId="6DA5F865" w:rsidR="008F2494" w:rsidRPr="008F2494" w:rsidRDefault="008F2494" w:rsidP="008F2494">
            <w:r w:rsidRPr="008F2494">
              <w:rPr>
                <w:b/>
                <w:bCs/>
              </w:rPr>
              <w:t>Много редки</w:t>
            </w:r>
          </w:p>
        </w:tc>
      </w:tr>
      <w:tr w:rsidR="008F2494" w14:paraId="2E8BA92C" w14:textId="77777777" w:rsidTr="00083763">
        <w:tc>
          <w:tcPr>
            <w:tcW w:w="3166" w:type="dxa"/>
            <w:vMerge w:val="restart"/>
          </w:tcPr>
          <w:p w14:paraId="5932B317" w14:textId="77777777" w:rsidR="008F2494" w:rsidRPr="008F2494" w:rsidRDefault="008F2494" w:rsidP="008F2494">
            <w:pPr>
              <w:spacing w:line="240" w:lineRule="auto"/>
              <w:rPr>
                <w:rFonts w:eastAsia="Times New Roman" w:cs="Arial"/>
                <w:lang w:eastAsia="bg-BG"/>
              </w:rPr>
            </w:pPr>
          </w:p>
          <w:p w14:paraId="75E5A731" w14:textId="090D55F8" w:rsidR="008F2494" w:rsidRPr="008F2494" w:rsidRDefault="008F2494" w:rsidP="008F2494">
            <w:pPr>
              <w:rPr>
                <w:rFonts w:cs="Arial"/>
              </w:rPr>
            </w:pPr>
            <w:r w:rsidRPr="008F2494">
              <w:rPr>
                <w:rFonts w:eastAsia="Times New Roman" w:cs="Arial"/>
                <w:b/>
                <w:bCs/>
                <w:color w:val="000000"/>
                <w:lang w:eastAsia="bg-BG"/>
              </w:rPr>
              <w:t>Психични нарушения</w:t>
            </w:r>
          </w:p>
        </w:tc>
        <w:tc>
          <w:tcPr>
            <w:tcW w:w="3167" w:type="dxa"/>
            <w:vAlign w:val="bottom"/>
          </w:tcPr>
          <w:p w14:paraId="064BFC7D" w14:textId="133720D2" w:rsidR="008F2494" w:rsidRPr="008F2494" w:rsidRDefault="008F2494" w:rsidP="008F2494">
            <w:r w:rsidRPr="008F2494">
              <w:rPr>
                <w:b/>
                <w:bCs/>
              </w:rPr>
              <w:t xml:space="preserve">Нарушения на съня, включително кошмари, безсъние, сомнамбулизъм, безпокойство, възбуда, включително агресивно </w:t>
            </w:r>
            <w:r w:rsidRPr="008F2494">
              <w:rPr>
                <w:b/>
                <w:bCs/>
              </w:rPr>
              <w:lastRenderedPageBreak/>
              <w:t>поведение или враждебност, депресия, психомоторна хиперактивност (включително раздразнителност, тревожност, тремор</w:t>
            </w:r>
            <w:r w:rsidRPr="008F2494">
              <w:rPr>
                <w:b/>
                <w:bCs/>
                <w:vertAlign w:val="superscript"/>
              </w:rPr>
              <w:t>₰</w:t>
            </w:r>
            <w:r w:rsidRPr="008F2494">
              <w:rPr>
                <w:b/>
                <w:bCs/>
              </w:rPr>
              <w:t>)</w:t>
            </w:r>
          </w:p>
        </w:tc>
        <w:tc>
          <w:tcPr>
            <w:tcW w:w="3167" w:type="dxa"/>
          </w:tcPr>
          <w:p w14:paraId="2C21FA4A" w14:textId="44F2E1F2" w:rsidR="008F2494" w:rsidRPr="008F2494" w:rsidRDefault="008F2494" w:rsidP="008F2494">
            <w:r w:rsidRPr="008F2494">
              <w:rPr>
                <w:b/>
                <w:bCs/>
              </w:rPr>
              <w:lastRenderedPageBreak/>
              <w:t>Нечести</w:t>
            </w:r>
          </w:p>
        </w:tc>
      </w:tr>
      <w:tr w:rsidR="008F2494" w14:paraId="1327D5E9" w14:textId="77777777" w:rsidTr="00083763">
        <w:tc>
          <w:tcPr>
            <w:tcW w:w="3166" w:type="dxa"/>
            <w:vMerge/>
          </w:tcPr>
          <w:p w14:paraId="3EE5D0FB" w14:textId="77777777" w:rsidR="008F2494" w:rsidRDefault="008F2494" w:rsidP="008F2494"/>
        </w:tc>
        <w:tc>
          <w:tcPr>
            <w:tcW w:w="3167" w:type="dxa"/>
            <w:vAlign w:val="bottom"/>
          </w:tcPr>
          <w:p w14:paraId="118EF86A" w14:textId="34D2C998" w:rsidR="008F2494" w:rsidRPr="008F2494" w:rsidRDefault="008F2494" w:rsidP="008F2494">
            <w:r w:rsidRPr="008F2494">
              <w:rPr>
                <w:b/>
                <w:bCs/>
              </w:rPr>
              <w:t>Нарушения на вниманието, нарушения на паметта, тик</w:t>
            </w:r>
          </w:p>
        </w:tc>
        <w:tc>
          <w:tcPr>
            <w:tcW w:w="3167" w:type="dxa"/>
          </w:tcPr>
          <w:p w14:paraId="34DCBC12" w14:textId="158CAD67" w:rsidR="008F2494" w:rsidRPr="008F2494" w:rsidRDefault="008F2494" w:rsidP="008F2494">
            <w:r w:rsidRPr="008F2494">
              <w:rPr>
                <w:b/>
                <w:bCs/>
              </w:rPr>
              <w:t>Редки</w:t>
            </w:r>
          </w:p>
        </w:tc>
      </w:tr>
      <w:tr w:rsidR="008F2494" w14:paraId="45CF39B6" w14:textId="77777777" w:rsidTr="0038411C">
        <w:tc>
          <w:tcPr>
            <w:tcW w:w="3166" w:type="dxa"/>
            <w:vMerge/>
          </w:tcPr>
          <w:p w14:paraId="7A45F72D" w14:textId="77777777" w:rsidR="008F2494" w:rsidRDefault="008F2494" w:rsidP="008F2494"/>
        </w:tc>
        <w:tc>
          <w:tcPr>
            <w:tcW w:w="3167" w:type="dxa"/>
          </w:tcPr>
          <w:p w14:paraId="692867A4" w14:textId="50E51272" w:rsidR="008F2494" w:rsidRPr="008F2494" w:rsidRDefault="008F2494" w:rsidP="008F2494">
            <w:r w:rsidRPr="008F2494">
              <w:rPr>
                <w:b/>
                <w:bCs/>
              </w:rPr>
              <w:t>Халюцинации, дезориентация, мисли за самоубийство и суицидно поведение (склонност към самоубийство), обсесивно- компулсивни симптоми, заекване</w:t>
            </w:r>
          </w:p>
        </w:tc>
        <w:tc>
          <w:tcPr>
            <w:tcW w:w="3167" w:type="dxa"/>
          </w:tcPr>
          <w:p w14:paraId="4E1CE6CE" w14:textId="7F018AEF" w:rsidR="008F2494" w:rsidRPr="008F2494" w:rsidRDefault="008F2494" w:rsidP="008F2494">
            <w:r w:rsidRPr="008F2494">
              <w:rPr>
                <w:b/>
                <w:bCs/>
              </w:rPr>
              <w:t>Много редки</w:t>
            </w:r>
          </w:p>
        </w:tc>
      </w:tr>
      <w:tr w:rsidR="008F2494" w14:paraId="6D6B1219" w14:textId="77777777" w:rsidTr="003174F8">
        <w:tc>
          <w:tcPr>
            <w:tcW w:w="3166" w:type="dxa"/>
            <w:vAlign w:val="bottom"/>
          </w:tcPr>
          <w:p w14:paraId="39E5E2E5" w14:textId="2D7EE251" w:rsidR="008F2494" w:rsidRPr="008F2494" w:rsidRDefault="008F2494" w:rsidP="008F2494">
            <w:r w:rsidRPr="008F2494">
              <w:rPr>
                <w:b/>
                <w:bCs/>
              </w:rPr>
              <w:t>Нарушения на нервната система</w:t>
            </w:r>
          </w:p>
        </w:tc>
        <w:tc>
          <w:tcPr>
            <w:tcW w:w="3167" w:type="dxa"/>
            <w:vAlign w:val="bottom"/>
          </w:tcPr>
          <w:p w14:paraId="433E349F" w14:textId="77BD18E9" w:rsidR="008F2494" w:rsidRPr="008F2494" w:rsidRDefault="008F2494" w:rsidP="008F2494">
            <w:r w:rsidRPr="008F2494">
              <w:rPr>
                <w:b/>
                <w:bCs/>
              </w:rPr>
              <w:t>Световъртеж, сънливост, парестезия/хипоестезия, гърчове</w:t>
            </w:r>
          </w:p>
        </w:tc>
        <w:tc>
          <w:tcPr>
            <w:tcW w:w="3167" w:type="dxa"/>
          </w:tcPr>
          <w:p w14:paraId="447591E7" w14:textId="2C719A88" w:rsidR="008F2494" w:rsidRPr="008F2494" w:rsidRDefault="008F2494" w:rsidP="008F2494">
            <w:r w:rsidRPr="008F2494">
              <w:rPr>
                <w:b/>
                <w:bCs/>
              </w:rPr>
              <w:t>Нечести</w:t>
            </w:r>
          </w:p>
        </w:tc>
      </w:tr>
      <w:tr w:rsidR="008F2494" w14:paraId="35AC4E18" w14:textId="77777777" w:rsidTr="003174F8">
        <w:tc>
          <w:tcPr>
            <w:tcW w:w="3166" w:type="dxa"/>
            <w:vAlign w:val="bottom"/>
          </w:tcPr>
          <w:p w14:paraId="3FA2385A" w14:textId="1D421EDD" w:rsidR="008F2494" w:rsidRPr="008F2494" w:rsidRDefault="008F2494" w:rsidP="008F2494">
            <w:r w:rsidRPr="008F2494">
              <w:rPr>
                <w:b/>
                <w:bCs/>
              </w:rPr>
              <w:t>Сърдечни нарушения</w:t>
            </w:r>
          </w:p>
        </w:tc>
        <w:tc>
          <w:tcPr>
            <w:tcW w:w="3167" w:type="dxa"/>
            <w:vAlign w:val="bottom"/>
          </w:tcPr>
          <w:p w14:paraId="4D58A47E" w14:textId="0CA6B465" w:rsidR="008F2494" w:rsidRPr="008F2494" w:rsidRDefault="008F2494" w:rsidP="008F2494">
            <w:r w:rsidRPr="008F2494">
              <w:rPr>
                <w:b/>
                <w:bCs/>
              </w:rPr>
              <w:t>Палпитации</w:t>
            </w:r>
          </w:p>
        </w:tc>
        <w:tc>
          <w:tcPr>
            <w:tcW w:w="3167" w:type="dxa"/>
            <w:vAlign w:val="bottom"/>
          </w:tcPr>
          <w:p w14:paraId="5CAB60C5" w14:textId="72632B54" w:rsidR="008F2494" w:rsidRPr="008F2494" w:rsidRDefault="008F2494" w:rsidP="008F2494">
            <w:r w:rsidRPr="008F2494">
              <w:rPr>
                <w:b/>
                <w:bCs/>
              </w:rPr>
              <w:t>Редки</w:t>
            </w:r>
          </w:p>
        </w:tc>
      </w:tr>
      <w:tr w:rsidR="008F2494" w14:paraId="339BCEEE" w14:textId="77777777" w:rsidTr="00073D79">
        <w:tc>
          <w:tcPr>
            <w:tcW w:w="3166" w:type="dxa"/>
            <w:vMerge w:val="restart"/>
            <w:vAlign w:val="bottom"/>
          </w:tcPr>
          <w:p w14:paraId="2E3CB11B" w14:textId="0DC20F1B" w:rsidR="008F2494" w:rsidRPr="008F2494" w:rsidRDefault="008F2494" w:rsidP="008F2494">
            <w:r w:rsidRPr="008F2494">
              <w:rPr>
                <w:b/>
                <w:bCs/>
              </w:rPr>
              <w:t>Респираторни, гръдни и медиастинални нарушения</w:t>
            </w:r>
          </w:p>
        </w:tc>
        <w:tc>
          <w:tcPr>
            <w:tcW w:w="3167" w:type="dxa"/>
            <w:vAlign w:val="bottom"/>
          </w:tcPr>
          <w:p w14:paraId="69633019" w14:textId="28FCD3C0" w:rsidR="008F2494" w:rsidRPr="008F2494" w:rsidRDefault="008F2494" w:rsidP="008F2494">
            <w:r w:rsidRPr="008F2494">
              <w:rPr>
                <w:b/>
                <w:bCs/>
              </w:rPr>
              <w:t>Епистаксис</w:t>
            </w:r>
          </w:p>
        </w:tc>
        <w:tc>
          <w:tcPr>
            <w:tcW w:w="3167" w:type="dxa"/>
            <w:vAlign w:val="bottom"/>
          </w:tcPr>
          <w:p w14:paraId="1D392060" w14:textId="06544013" w:rsidR="008F2494" w:rsidRPr="008F2494" w:rsidRDefault="008F2494" w:rsidP="008F2494">
            <w:r w:rsidRPr="008F2494">
              <w:rPr>
                <w:b/>
                <w:bCs/>
              </w:rPr>
              <w:t>Нечести</w:t>
            </w:r>
          </w:p>
        </w:tc>
      </w:tr>
      <w:tr w:rsidR="008F2494" w14:paraId="4F293513" w14:textId="77777777" w:rsidTr="00073D79">
        <w:tc>
          <w:tcPr>
            <w:tcW w:w="3166" w:type="dxa"/>
            <w:vMerge/>
            <w:vAlign w:val="bottom"/>
          </w:tcPr>
          <w:p w14:paraId="7B5E41F2" w14:textId="77777777" w:rsidR="008F2494" w:rsidRPr="008F2494" w:rsidRDefault="008F2494" w:rsidP="008F2494"/>
        </w:tc>
        <w:tc>
          <w:tcPr>
            <w:tcW w:w="3167" w:type="dxa"/>
            <w:vAlign w:val="bottom"/>
          </w:tcPr>
          <w:p w14:paraId="6A14D7AC" w14:textId="692ACBC7" w:rsidR="008F2494" w:rsidRPr="008F2494" w:rsidRDefault="008F2494" w:rsidP="008F2494">
            <w:r w:rsidRPr="008F2494">
              <w:rPr>
                <w:b/>
                <w:bCs/>
              </w:rPr>
              <w:t xml:space="preserve">Синдром на </w:t>
            </w:r>
            <w:proofErr w:type="spellStart"/>
            <w:r w:rsidRPr="008F2494">
              <w:rPr>
                <w:b/>
                <w:bCs/>
                <w:lang w:val="en-US"/>
              </w:rPr>
              <w:t>Churg</w:t>
            </w:r>
            <w:proofErr w:type="spellEnd"/>
            <w:r w:rsidRPr="008F2494">
              <w:rPr>
                <w:b/>
                <w:bCs/>
                <w:lang w:val="en-US"/>
              </w:rPr>
              <w:t xml:space="preserve">-Strauss (CSS) </w:t>
            </w:r>
            <w:r w:rsidRPr="008F2494">
              <w:rPr>
                <w:b/>
                <w:bCs/>
              </w:rPr>
              <w:t>(вижте точка 4.4)</w:t>
            </w:r>
          </w:p>
        </w:tc>
        <w:tc>
          <w:tcPr>
            <w:tcW w:w="3167" w:type="dxa"/>
          </w:tcPr>
          <w:p w14:paraId="3CA2DDF1" w14:textId="29D877F2" w:rsidR="008F2494" w:rsidRPr="008F2494" w:rsidRDefault="008F2494" w:rsidP="008F2494">
            <w:r w:rsidRPr="008F2494">
              <w:rPr>
                <w:b/>
                <w:bCs/>
              </w:rPr>
              <w:t>Много ред ки</w:t>
            </w:r>
          </w:p>
        </w:tc>
      </w:tr>
      <w:tr w:rsidR="008F2494" w14:paraId="0F90D35D" w14:textId="77777777" w:rsidTr="00073D79">
        <w:tc>
          <w:tcPr>
            <w:tcW w:w="3166" w:type="dxa"/>
            <w:vMerge/>
            <w:vAlign w:val="bottom"/>
          </w:tcPr>
          <w:p w14:paraId="7AE60186" w14:textId="77777777" w:rsidR="008F2494" w:rsidRPr="008F2494" w:rsidRDefault="008F2494" w:rsidP="008F2494"/>
        </w:tc>
        <w:tc>
          <w:tcPr>
            <w:tcW w:w="3167" w:type="dxa"/>
          </w:tcPr>
          <w:p w14:paraId="64D579E6" w14:textId="707E52E8" w:rsidR="008F2494" w:rsidRPr="008F2494" w:rsidRDefault="008F2494" w:rsidP="008F2494">
            <w:r w:rsidRPr="008F2494">
              <w:rPr>
                <w:b/>
                <w:bCs/>
              </w:rPr>
              <w:t>Белодробна еозинофилия</w:t>
            </w:r>
          </w:p>
        </w:tc>
        <w:tc>
          <w:tcPr>
            <w:tcW w:w="3167" w:type="dxa"/>
          </w:tcPr>
          <w:p w14:paraId="6CB24F15" w14:textId="393F7FE0" w:rsidR="008F2494" w:rsidRPr="008F2494" w:rsidRDefault="008F2494" w:rsidP="008F2494">
            <w:r w:rsidRPr="008F2494">
              <w:rPr>
                <w:b/>
                <w:bCs/>
              </w:rPr>
              <w:t>Много редки</w:t>
            </w:r>
          </w:p>
        </w:tc>
      </w:tr>
      <w:tr w:rsidR="008F2494" w14:paraId="3CAE3E23" w14:textId="77777777" w:rsidTr="0038411C">
        <w:tc>
          <w:tcPr>
            <w:tcW w:w="3166" w:type="dxa"/>
            <w:vMerge w:val="restart"/>
          </w:tcPr>
          <w:p w14:paraId="42095EA4" w14:textId="68CA4863" w:rsidR="008F2494" w:rsidRPr="008F2494" w:rsidRDefault="008F2494" w:rsidP="008F2494">
            <w:r w:rsidRPr="008F2494">
              <w:rPr>
                <w:b/>
                <w:bCs/>
              </w:rPr>
              <w:t>Стомашно-чревни нарушения</w:t>
            </w:r>
          </w:p>
        </w:tc>
        <w:tc>
          <w:tcPr>
            <w:tcW w:w="3167" w:type="dxa"/>
          </w:tcPr>
          <w:p w14:paraId="7C809AD5" w14:textId="541975F0" w:rsidR="008F2494" w:rsidRPr="008F2494" w:rsidRDefault="008F2494" w:rsidP="008F2494">
            <w:r w:rsidRPr="008F2494">
              <w:rPr>
                <w:b/>
                <w:bCs/>
              </w:rPr>
              <w:t>Диария</w:t>
            </w:r>
            <w:r w:rsidRPr="008F2494">
              <w:rPr>
                <w:b/>
                <w:bCs/>
                <w:lang w:val="en-US"/>
              </w:rPr>
              <w:t>†</w:t>
            </w:r>
            <w:r w:rsidRPr="008F2494">
              <w:rPr>
                <w:b/>
                <w:bCs/>
              </w:rPr>
              <w:t>, Гадене</w:t>
            </w:r>
            <w:r w:rsidRPr="008F2494">
              <w:rPr>
                <w:b/>
                <w:bCs/>
                <w:lang w:val="en-US"/>
              </w:rPr>
              <w:t>†</w:t>
            </w:r>
            <w:r w:rsidRPr="008F2494">
              <w:rPr>
                <w:b/>
                <w:bCs/>
              </w:rPr>
              <w:t>, Повръщане</w:t>
            </w:r>
            <w:r w:rsidRPr="008F2494">
              <w:rPr>
                <w:b/>
                <w:bCs/>
                <w:lang w:val="en-US"/>
              </w:rPr>
              <w:t>†</w:t>
            </w:r>
          </w:p>
        </w:tc>
        <w:tc>
          <w:tcPr>
            <w:tcW w:w="3167" w:type="dxa"/>
          </w:tcPr>
          <w:p w14:paraId="6CC0D4BD" w14:textId="6FCE4F8D" w:rsidR="008F2494" w:rsidRPr="008F2494" w:rsidRDefault="008F2494" w:rsidP="008F2494">
            <w:r w:rsidRPr="008F2494">
              <w:rPr>
                <w:b/>
                <w:bCs/>
              </w:rPr>
              <w:t>Чести</w:t>
            </w:r>
          </w:p>
        </w:tc>
      </w:tr>
      <w:tr w:rsidR="008F2494" w14:paraId="49B2D48F" w14:textId="77777777" w:rsidTr="009137CB">
        <w:tc>
          <w:tcPr>
            <w:tcW w:w="3166" w:type="dxa"/>
            <w:vMerge/>
          </w:tcPr>
          <w:p w14:paraId="039298B7" w14:textId="77777777" w:rsidR="008F2494" w:rsidRPr="008F2494" w:rsidRDefault="008F2494" w:rsidP="008F2494"/>
        </w:tc>
        <w:tc>
          <w:tcPr>
            <w:tcW w:w="3167" w:type="dxa"/>
            <w:vAlign w:val="bottom"/>
          </w:tcPr>
          <w:p w14:paraId="29F94959" w14:textId="58CECC7B" w:rsidR="008F2494" w:rsidRPr="008F2494" w:rsidRDefault="008F2494" w:rsidP="008F2494">
            <w:r w:rsidRPr="008F2494">
              <w:rPr>
                <w:b/>
                <w:bCs/>
              </w:rPr>
              <w:t>Сухота в устата, диспепсия</w:t>
            </w:r>
          </w:p>
        </w:tc>
        <w:tc>
          <w:tcPr>
            <w:tcW w:w="3167" w:type="dxa"/>
            <w:vAlign w:val="bottom"/>
          </w:tcPr>
          <w:p w14:paraId="5B7F9CE5" w14:textId="1087790E" w:rsidR="008F2494" w:rsidRPr="008F2494" w:rsidRDefault="008F2494" w:rsidP="008F2494">
            <w:r w:rsidRPr="008F2494">
              <w:rPr>
                <w:b/>
                <w:bCs/>
              </w:rPr>
              <w:t>Нечести</w:t>
            </w:r>
          </w:p>
        </w:tc>
      </w:tr>
      <w:tr w:rsidR="008F2494" w14:paraId="0A1E510E" w14:textId="77777777" w:rsidTr="009137CB">
        <w:tc>
          <w:tcPr>
            <w:tcW w:w="3166" w:type="dxa"/>
            <w:vMerge w:val="restart"/>
          </w:tcPr>
          <w:p w14:paraId="6C9143D8" w14:textId="3347E60B" w:rsidR="008F2494" w:rsidRPr="008F2494" w:rsidRDefault="008F2494" w:rsidP="008F2494">
            <w:r w:rsidRPr="008F2494">
              <w:rPr>
                <w:b/>
                <w:bCs/>
              </w:rPr>
              <w:t>Хепатобилиарни нарушения</w:t>
            </w:r>
          </w:p>
        </w:tc>
        <w:tc>
          <w:tcPr>
            <w:tcW w:w="3167" w:type="dxa"/>
            <w:vAlign w:val="bottom"/>
          </w:tcPr>
          <w:p w14:paraId="1BE4A3C4" w14:textId="383BD6EB" w:rsidR="008F2494" w:rsidRPr="008F2494" w:rsidRDefault="008F2494" w:rsidP="008F2494">
            <w:r w:rsidRPr="008F2494">
              <w:rPr>
                <w:b/>
                <w:bCs/>
              </w:rPr>
              <w:t xml:space="preserve">Повишени нива на серумните трансаминази </w:t>
            </w:r>
            <w:r w:rsidRPr="008F2494">
              <w:rPr>
                <w:b/>
                <w:bCs/>
                <w:lang w:val="en-US"/>
              </w:rPr>
              <w:t>(ALT, AST)</w:t>
            </w:r>
          </w:p>
        </w:tc>
        <w:tc>
          <w:tcPr>
            <w:tcW w:w="3167" w:type="dxa"/>
          </w:tcPr>
          <w:p w14:paraId="2D6B5811" w14:textId="6AB0BE20" w:rsidR="008F2494" w:rsidRPr="008F2494" w:rsidRDefault="008F2494" w:rsidP="008F2494">
            <w:r w:rsidRPr="008F2494">
              <w:rPr>
                <w:b/>
                <w:bCs/>
              </w:rPr>
              <w:t>Чести</w:t>
            </w:r>
          </w:p>
        </w:tc>
      </w:tr>
      <w:tr w:rsidR="008F2494" w14:paraId="42C12121" w14:textId="77777777" w:rsidTr="009137CB">
        <w:tc>
          <w:tcPr>
            <w:tcW w:w="3166" w:type="dxa"/>
            <w:vMerge/>
          </w:tcPr>
          <w:p w14:paraId="48184780" w14:textId="77777777" w:rsidR="008F2494" w:rsidRDefault="008F2494" w:rsidP="008F2494"/>
        </w:tc>
        <w:tc>
          <w:tcPr>
            <w:tcW w:w="3167" w:type="dxa"/>
            <w:vAlign w:val="bottom"/>
          </w:tcPr>
          <w:p w14:paraId="667BC2ED" w14:textId="197AB9C7" w:rsidR="008F2494" w:rsidRPr="008F2494" w:rsidRDefault="008F2494" w:rsidP="008F2494">
            <w:r w:rsidRPr="008F2494">
              <w:rPr>
                <w:b/>
                <w:bCs/>
              </w:rPr>
              <w:t>Хепатит (включително холестатичен, хепатоцелуларен, и смесен тип чернодробно увреждане)</w:t>
            </w:r>
          </w:p>
        </w:tc>
        <w:tc>
          <w:tcPr>
            <w:tcW w:w="3167" w:type="dxa"/>
          </w:tcPr>
          <w:p w14:paraId="34F1FE9A" w14:textId="1435CD34" w:rsidR="008F2494" w:rsidRPr="008F2494" w:rsidRDefault="008F2494" w:rsidP="008F2494">
            <w:r w:rsidRPr="008F2494">
              <w:rPr>
                <w:b/>
                <w:bCs/>
              </w:rPr>
              <w:t>Много редки</w:t>
            </w:r>
          </w:p>
        </w:tc>
      </w:tr>
      <w:tr w:rsidR="008F2494" w14:paraId="1F13F9EB" w14:textId="77777777" w:rsidTr="0038411C">
        <w:tc>
          <w:tcPr>
            <w:tcW w:w="3166" w:type="dxa"/>
            <w:vMerge w:val="restart"/>
          </w:tcPr>
          <w:p w14:paraId="18E986BE" w14:textId="77777777" w:rsidR="008F2494" w:rsidRPr="008F2494" w:rsidRDefault="008F2494" w:rsidP="008F2494">
            <w:pPr>
              <w:spacing w:line="240" w:lineRule="auto"/>
              <w:rPr>
                <w:rFonts w:eastAsia="Times New Roman" w:cs="Arial"/>
                <w:lang w:eastAsia="bg-BG"/>
              </w:rPr>
            </w:pPr>
            <w:r w:rsidRPr="008F2494">
              <w:rPr>
                <w:rFonts w:eastAsia="Times New Roman" w:cs="Arial"/>
                <w:b/>
                <w:bCs/>
                <w:color w:val="000000"/>
                <w:lang w:eastAsia="bg-BG"/>
              </w:rPr>
              <w:t>Нарушения на кожата и</w:t>
            </w:r>
          </w:p>
          <w:p w14:paraId="0620B7E6" w14:textId="51E2D52E" w:rsidR="008F2494" w:rsidRDefault="008F2494" w:rsidP="008F2494">
            <w:r w:rsidRPr="008F2494">
              <w:rPr>
                <w:rFonts w:eastAsia="Times New Roman" w:cs="Arial"/>
                <w:b/>
                <w:bCs/>
                <w:color w:val="000000"/>
                <w:lang w:eastAsia="bg-BG"/>
              </w:rPr>
              <w:t>подкожната тъкан</w:t>
            </w:r>
          </w:p>
        </w:tc>
        <w:tc>
          <w:tcPr>
            <w:tcW w:w="3167" w:type="dxa"/>
          </w:tcPr>
          <w:p w14:paraId="303B9BEB" w14:textId="124DB719" w:rsidR="008F2494" w:rsidRPr="008F2494" w:rsidRDefault="008F2494" w:rsidP="008F2494">
            <w:r w:rsidRPr="008F2494">
              <w:rPr>
                <w:b/>
                <w:bCs/>
              </w:rPr>
              <w:t>Обрив*</w:t>
            </w:r>
          </w:p>
        </w:tc>
        <w:tc>
          <w:tcPr>
            <w:tcW w:w="3167" w:type="dxa"/>
          </w:tcPr>
          <w:p w14:paraId="79D94409" w14:textId="4A760708" w:rsidR="008F2494" w:rsidRPr="008F2494" w:rsidRDefault="008F2494" w:rsidP="008F2494">
            <w:r w:rsidRPr="008F2494">
              <w:rPr>
                <w:b/>
                <w:bCs/>
              </w:rPr>
              <w:t>Чести</w:t>
            </w:r>
          </w:p>
        </w:tc>
      </w:tr>
      <w:tr w:rsidR="008F2494" w14:paraId="195C0A95" w14:textId="77777777" w:rsidTr="0038411C">
        <w:tc>
          <w:tcPr>
            <w:tcW w:w="3166" w:type="dxa"/>
            <w:vMerge/>
          </w:tcPr>
          <w:p w14:paraId="5C676E88" w14:textId="77777777" w:rsidR="008F2494" w:rsidRDefault="008F2494" w:rsidP="008F2494"/>
        </w:tc>
        <w:tc>
          <w:tcPr>
            <w:tcW w:w="3167" w:type="dxa"/>
          </w:tcPr>
          <w:p w14:paraId="07084029" w14:textId="2CF8ACA7" w:rsidR="008F2494" w:rsidRPr="008F2494" w:rsidRDefault="008F2494" w:rsidP="008F2494">
            <w:r w:rsidRPr="008F2494">
              <w:rPr>
                <w:b/>
                <w:bCs/>
              </w:rPr>
              <w:t>Кръвонасядания, уртикария, пруритус</w:t>
            </w:r>
          </w:p>
        </w:tc>
        <w:tc>
          <w:tcPr>
            <w:tcW w:w="3167" w:type="dxa"/>
          </w:tcPr>
          <w:p w14:paraId="629215D2" w14:textId="5B0447FA" w:rsidR="008F2494" w:rsidRPr="008F2494" w:rsidRDefault="008F2494" w:rsidP="008F2494">
            <w:r w:rsidRPr="008F2494">
              <w:rPr>
                <w:b/>
                <w:bCs/>
              </w:rPr>
              <w:t>Нечести</w:t>
            </w:r>
          </w:p>
        </w:tc>
      </w:tr>
      <w:tr w:rsidR="008F2494" w14:paraId="7A8525E0" w14:textId="77777777" w:rsidTr="00FC2A79">
        <w:tc>
          <w:tcPr>
            <w:tcW w:w="3166" w:type="dxa"/>
            <w:vMerge/>
          </w:tcPr>
          <w:p w14:paraId="7B0EC22E" w14:textId="77777777" w:rsidR="008F2494" w:rsidRDefault="008F2494" w:rsidP="008F2494"/>
        </w:tc>
        <w:tc>
          <w:tcPr>
            <w:tcW w:w="3167" w:type="dxa"/>
          </w:tcPr>
          <w:p w14:paraId="003C4691" w14:textId="4E4A1C55" w:rsidR="008F2494" w:rsidRPr="008F2494" w:rsidRDefault="008F2494" w:rsidP="008F2494">
            <w:r w:rsidRPr="008F2494">
              <w:rPr>
                <w:b/>
                <w:bCs/>
              </w:rPr>
              <w:t>Ангиоедем</w:t>
            </w:r>
          </w:p>
        </w:tc>
        <w:tc>
          <w:tcPr>
            <w:tcW w:w="3167" w:type="dxa"/>
            <w:vAlign w:val="bottom"/>
          </w:tcPr>
          <w:p w14:paraId="236BD2DD" w14:textId="0C2DD2E8" w:rsidR="008F2494" w:rsidRPr="008F2494" w:rsidRDefault="008F2494" w:rsidP="008F2494">
            <w:r w:rsidRPr="008F2494">
              <w:rPr>
                <w:b/>
                <w:bCs/>
              </w:rPr>
              <w:t>Редки</w:t>
            </w:r>
          </w:p>
        </w:tc>
      </w:tr>
      <w:tr w:rsidR="008F2494" w14:paraId="3D5F9189" w14:textId="77777777" w:rsidTr="0038411C">
        <w:tc>
          <w:tcPr>
            <w:tcW w:w="3166" w:type="dxa"/>
            <w:vMerge/>
          </w:tcPr>
          <w:p w14:paraId="610AF670" w14:textId="77777777" w:rsidR="008F2494" w:rsidRPr="008F2494" w:rsidRDefault="008F2494" w:rsidP="008F2494"/>
        </w:tc>
        <w:tc>
          <w:tcPr>
            <w:tcW w:w="3167" w:type="dxa"/>
          </w:tcPr>
          <w:p w14:paraId="7C9D0E76" w14:textId="3486A60B" w:rsidR="008F2494" w:rsidRPr="008F2494" w:rsidRDefault="008F2494" w:rsidP="008F2494">
            <w:r w:rsidRPr="008F2494">
              <w:rPr>
                <w:b/>
                <w:bCs/>
              </w:rPr>
              <w:t>Еритема нодозум, еритема мултиформе</w:t>
            </w:r>
          </w:p>
        </w:tc>
        <w:tc>
          <w:tcPr>
            <w:tcW w:w="3167" w:type="dxa"/>
          </w:tcPr>
          <w:p w14:paraId="3040B4A9" w14:textId="2C9CD302" w:rsidR="008F2494" w:rsidRPr="008F2494" w:rsidRDefault="008F2494" w:rsidP="008F2494">
            <w:r w:rsidRPr="008F2494">
              <w:rPr>
                <w:b/>
                <w:bCs/>
              </w:rPr>
              <w:t>Много редки</w:t>
            </w:r>
          </w:p>
        </w:tc>
      </w:tr>
      <w:tr w:rsidR="008F2494" w14:paraId="2ECC6229" w14:textId="77777777" w:rsidTr="0038411C">
        <w:tc>
          <w:tcPr>
            <w:tcW w:w="3166" w:type="dxa"/>
          </w:tcPr>
          <w:p w14:paraId="1757B37E" w14:textId="77777777" w:rsidR="008F2494" w:rsidRPr="008F2494" w:rsidRDefault="008F2494" w:rsidP="008F2494">
            <w:r w:rsidRPr="008F2494">
              <w:rPr>
                <w:b/>
                <w:bCs/>
              </w:rPr>
              <w:t>Нарушения на мускулно- скелетната система и</w:t>
            </w:r>
          </w:p>
          <w:p w14:paraId="165EFBF4" w14:textId="1A8DB25B" w:rsidR="008F2494" w:rsidRPr="008F2494" w:rsidRDefault="008F2494" w:rsidP="008F2494">
            <w:r w:rsidRPr="008F2494">
              <w:rPr>
                <w:b/>
                <w:bCs/>
              </w:rPr>
              <w:t>съединителната тъкан</w:t>
            </w:r>
          </w:p>
        </w:tc>
        <w:tc>
          <w:tcPr>
            <w:tcW w:w="3167" w:type="dxa"/>
          </w:tcPr>
          <w:p w14:paraId="54F4888B" w14:textId="49000EC5" w:rsidR="008F2494" w:rsidRPr="008F2494" w:rsidRDefault="008F2494" w:rsidP="008F2494">
            <w:r w:rsidRPr="008F2494">
              <w:rPr>
                <w:b/>
                <w:bCs/>
              </w:rPr>
              <w:t>Артралгия, миалгня, включително мускулни крампи</w:t>
            </w:r>
          </w:p>
        </w:tc>
        <w:tc>
          <w:tcPr>
            <w:tcW w:w="3167" w:type="dxa"/>
          </w:tcPr>
          <w:p w14:paraId="44273295" w14:textId="224380DF" w:rsidR="008F2494" w:rsidRPr="008F2494" w:rsidRDefault="008F2494" w:rsidP="008F2494">
            <w:r w:rsidRPr="008F2494">
              <w:rPr>
                <w:b/>
                <w:bCs/>
              </w:rPr>
              <w:t>Нечести</w:t>
            </w:r>
          </w:p>
        </w:tc>
      </w:tr>
      <w:tr w:rsidR="008F2494" w14:paraId="4D023239" w14:textId="77777777" w:rsidTr="0038411C">
        <w:tc>
          <w:tcPr>
            <w:tcW w:w="3166" w:type="dxa"/>
          </w:tcPr>
          <w:p w14:paraId="71DE852D" w14:textId="12B3B4AB" w:rsidR="008F2494" w:rsidRPr="008F2494" w:rsidRDefault="008F2494" w:rsidP="008F2494">
            <w:r w:rsidRPr="008F2494">
              <w:rPr>
                <w:b/>
                <w:bCs/>
              </w:rPr>
              <w:lastRenderedPageBreak/>
              <w:t>Нарушения на бъбреците и пикочните пътища</w:t>
            </w:r>
          </w:p>
        </w:tc>
        <w:tc>
          <w:tcPr>
            <w:tcW w:w="3167" w:type="dxa"/>
          </w:tcPr>
          <w:p w14:paraId="00A7F7BA" w14:textId="1326CCCE" w:rsidR="008F2494" w:rsidRPr="008F2494" w:rsidRDefault="008F2494" w:rsidP="008F2494">
            <w:r w:rsidRPr="008F2494">
              <w:rPr>
                <w:b/>
                <w:bCs/>
              </w:rPr>
              <w:t>Енуреза при деца</w:t>
            </w:r>
          </w:p>
        </w:tc>
        <w:tc>
          <w:tcPr>
            <w:tcW w:w="3167" w:type="dxa"/>
          </w:tcPr>
          <w:p w14:paraId="46D74F18" w14:textId="528BB5A7" w:rsidR="008F2494" w:rsidRPr="008F2494" w:rsidRDefault="008F2494" w:rsidP="008F2494">
            <w:r w:rsidRPr="008F2494">
              <w:rPr>
                <w:b/>
                <w:bCs/>
              </w:rPr>
              <w:t>Нечести</w:t>
            </w:r>
          </w:p>
        </w:tc>
      </w:tr>
      <w:tr w:rsidR="008F2494" w14:paraId="165B9DD5" w14:textId="77777777" w:rsidTr="0038411C">
        <w:tc>
          <w:tcPr>
            <w:tcW w:w="3166" w:type="dxa"/>
            <w:vMerge w:val="restart"/>
          </w:tcPr>
          <w:p w14:paraId="684D863A" w14:textId="644B0173" w:rsidR="008F2494" w:rsidRPr="008F2494" w:rsidRDefault="008F2494" w:rsidP="008F2494">
            <w:r w:rsidRPr="008F2494">
              <w:rPr>
                <w:b/>
                <w:bCs/>
              </w:rPr>
              <w:t>Общи нарушения и ефекти на мястото на приложение</w:t>
            </w:r>
          </w:p>
        </w:tc>
        <w:tc>
          <w:tcPr>
            <w:tcW w:w="3167" w:type="dxa"/>
          </w:tcPr>
          <w:p w14:paraId="012350E4" w14:textId="5D8F9067" w:rsidR="008F2494" w:rsidRPr="008F2494" w:rsidRDefault="008F2494" w:rsidP="008F2494">
            <w:r w:rsidRPr="008F2494">
              <w:rPr>
                <w:b/>
                <w:bCs/>
              </w:rPr>
              <w:t>Пирексия</w:t>
            </w:r>
            <w:r w:rsidRPr="008F2494">
              <w:rPr>
                <w:b/>
                <w:bCs/>
                <w:lang w:val="en-US"/>
              </w:rPr>
              <w:t>†</w:t>
            </w:r>
          </w:p>
        </w:tc>
        <w:tc>
          <w:tcPr>
            <w:tcW w:w="3167" w:type="dxa"/>
          </w:tcPr>
          <w:p w14:paraId="42E2EAEF" w14:textId="67A3A53E" w:rsidR="008F2494" w:rsidRPr="008F2494" w:rsidRDefault="008F2494" w:rsidP="008F2494">
            <w:r w:rsidRPr="008F2494">
              <w:rPr>
                <w:b/>
                <w:bCs/>
              </w:rPr>
              <w:t>Чести</w:t>
            </w:r>
          </w:p>
        </w:tc>
      </w:tr>
      <w:tr w:rsidR="008F2494" w14:paraId="761A0785" w14:textId="77777777" w:rsidTr="0038411C">
        <w:tc>
          <w:tcPr>
            <w:tcW w:w="3166" w:type="dxa"/>
            <w:vMerge/>
          </w:tcPr>
          <w:p w14:paraId="53C2AC80" w14:textId="77777777" w:rsidR="008F2494" w:rsidRPr="008F2494" w:rsidRDefault="008F2494" w:rsidP="008F2494"/>
        </w:tc>
        <w:tc>
          <w:tcPr>
            <w:tcW w:w="3167" w:type="dxa"/>
          </w:tcPr>
          <w:p w14:paraId="6E608636" w14:textId="0C0735F6" w:rsidR="008F2494" w:rsidRPr="008F2494" w:rsidRDefault="008F2494" w:rsidP="008F2494">
            <w:r w:rsidRPr="008F2494">
              <w:rPr>
                <w:b/>
                <w:bCs/>
              </w:rPr>
              <w:t>Астения/изтощение, физическо неразположение, оток</w:t>
            </w:r>
          </w:p>
        </w:tc>
        <w:tc>
          <w:tcPr>
            <w:tcW w:w="3167" w:type="dxa"/>
          </w:tcPr>
          <w:p w14:paraId="0809AC0C" w14:textId="0BADCA34" w:rsidR="008F2494" w:rsidRPr="008F2494" w:rsidRDefault="008F2494" w:rsidP="008F2494">
            <w:r w:rsidRPr="008F2494">
              <w:rPr>
                <w:b/>
                <w:bCs/>
              </w:rPr>
              <w:t>Нечести</w:t>
            </w:r>
          </w:p>
        </w:tc>
      </w:tr>
    </w:tbl>
    <w:p w14:paraId="690BE7E8" w14:textId="08CC8ED2" w:rsidR="0038411C" w:rsidRDefault="0038411C" w:rsidP="0091385D"/>
    <w:p w14:paraId="04893D5D" w14:textId="54E95FAE"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val="en-US"/>
        </w:rPr>
        <w:t>*</w:t>
      </w:r>
      <w:r w:rsidRPr="0038411C">
        <w:rPr>
          <w:rFonts w:eastAsia="Times New Roman" w:cs="Arial"/>
          <w:b/>
          <w:bCs/>
          <w:color w:val="000000"/>
          <w:lang w:eastAsia="bg-BG"/>
        </w:rPr>
        <w:t>Категория честота: определена за всяка нежелана реакция от честотата, съобщена в базата данни на клиничните изпитвания: много чести (≥1/10), чести (≥1/100 до</w:t>
      </w:r>
      <w:r w:rsidR="00C24C33">
        <w:rPr>
          <w:rFonts w:eastAsia="Times New Roman" w:cs="Arial"/>
          <w:b/>
          <w:bCs/>
          <w:color w:val="000000"/>
          <w:lang w:eastAsia="bg-BG"/>
        </w:rPr>
        <w:t xml:space="preserve"> &lt;1/10), нечести (≥1/1 000 до </w:t>
      </w:r>
      <w:r w:rsidRPr="0038411C">
        <w:rPr>
          <w:rFonts w:eastAsia="Times New Roman" w:cs="Arial"/>
          <w:b/>
          <w:bCs/>
          <w:color w:val="000000"/>
          <w:lang w:eastAsia="bg-BG"/>
        </w:rPr>
        <w:t>&lt; 1 /100), редки (≥1/10 000 до &lt;1/1 000), много редки (&lt;1/10 000).</w:t>
      </w:r>
    </w:p>
    <w:p w14:paraId="2003BC87" w14:textId="7CABAFA2" w:rsidR="0038411C" w:rsidRPr="0038411C" w:rsidRDefault="00C24C33" w:rsidP="0038411C">
      <w:pPr>
        <w:spacing w:line="240" w:lineRule="auto"/>
        <w:rPr>
          <w:rFonts w:eastAsia="Times New Roman" w:cs="Arial"/>
          <w:lang w:eastAsia="bg-BG"/>
        </w:rPr>
      </w:pPr>
      <w:r w:rsidRPr="00C24C33">
        <w:rPr>
          <w:b/>
          <w:bCs/>
          <w:vertAlign w:val="superscript"/>
          <w:lang w:val="en-US"/>
        </w:rPr>
        <w:t>†</w:t>
      </w:r>
      <w:r w:rsidR="0038411C" w:rsidRPr="0038411C">
        <w:rPr>
          <w:rFonts w:eastAsia="Times New Roman" w:cs="Arial"/>
          <w:b/>
          <w:bCs/>
          <w:color w:val="000000"/>
          <w:lang w:eastAsia="bg-BG"/>
        </w:rPr>
        <w:t>Тази нежелана реакция, съобщена като много честа при пациенти, приемали монтелукаст, е</w:t>
      </w:r>
    </w:p>
    <w:p w14:paraId="4A64532B"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съобщена и като много честа при пациенти, приемали плацебо в клиничните изпитвания.</w:t>
      </w:r>
    </w:p>
    <w:p w14:paraId="05D78772" w14:textId="1AF563E6" w:rsidR="0038411C" w:rsidRPr="0038411C" w:rsidRDefault="0038411C" w:rsidP="0038411C">
      <w:pPr>
        <w:spacing w:line="240" w:lineRule="auto"/>
        <w:rPr>
          <w:rFonts w:eastAsia="Times New Roman" w:cs="Arial"/>
          <w:lang w:eastAsia="bg-BG"/>
        </w:rPr>
      </w:pPr>
    </w:p>
    <w:p w14:paraId="4C8C5AE8" w14:textId="3DD70370" w:rsidR="0038411C" w:rsidRPr="0038411C" w:rsidRDefault="00C24C33" w:rsidP="0038411C">
      <w:pPr>
        <w:spacing w:line="240" w:lineRule="auto"/>
        <w:rPr>
          <w:rFonts w:eastAsia="Times New Roman" w:cs="Arial"/>
          <w:lang w:eastAsia="bg-BG"/>
        </w:rPr>
      </w:pPr>
      <w:r w:rsidRPr="00C24C33">
        <w:rPr>
          <w:b/>
          <w:bCs/>
          <w:vertAlign w:val="superscript"/>
          <w:lang w:val="en-US"/>
        </w:rPr>
        <w:t>†</w:t>
      </w:r>
      <w:r w:rsidR="0038411C" w:rsidRPr="0038411C">
        <w:rPr>
          <w:rFonts w:eastAsia="Times New Roman" w:cs="Arial"/>
          <w:b/>
          <w:bCs/>
          <w:color w:val="000000"/>
          <w:lang w:eastAsia="bg-BG"/>
        </w:rPr>
        <w:t>Тази нежелана реакция, съобщена като честа при пациенти, приемали монтелукаст, е съобщена и</w:t>
      </w:r>
      <w:r w:rsidR="008F2494" w:rsidRPr="008F2494">
        <w:rPr>
          <w:rFonts w:eastAsia="Times New Roman" w:cs="Arial"/>
          <w:lang w:eastAsia="bg-BG"/>
        </w:rPr>
        <w:t xml:space="preserve"> </w:t>
      </w:r>
      <w:r w:rsidR="0038411C" w:rsidRPr="0038411C">
        <w:rPr>
          <w:rFonts w:eastAsia="Times New Roman" w:cs="Arial"/>
          <w:b/>
          <w:bCs/>
          <w:color w:val="000000"/>
          <w:lang w:eastAsia="bg-BG"/>
        </w:rPr>
        <w:t>като честа при пациенти, приемали плацебо в клиничните изпитвания.</w:t>
      </w:r>
    </w:p>
    <w:p w14:paraId="3F8860AE" w14:textId="77777777" w:rsidR="0038411C" w:rsidRPr="0038411C" w:rsidRDefault="0038411C" w:rsidP="0038411C">
      <w:pPr>
        <w:spacing w:line="240" w:lineRule="auto"/>
        <w:rPr>
          <w:rFonts w:eastAsia="Times New Roman" w:cs="Arial"/>
          <w:lang w:eastAsia="bg-BG"/>
        </w:rPr>
      </w:pPr>
    </w:p>
    <w:p w14:paraId="6DF1CA5A"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Категория честота: редки</w:t>
      </w:r>
    </w:p>
    <w:p w14:paraId="76D5D51C" w14:textId="77777777" w:rsidR="0038411C" w:rsidRPr="008F2494" w:rsidRDefault="0038411C" w:rsidP="0038411C">
      <w:pPr>
        <w:spacing w:line="240" w:lineRule="auto"/>
        <w:rPr>
          <w:rFonts w:eastAsia="Times New Roman" w:cs="Arial"/>
          <w:b/>
          <w:bCs/>
          <w:color w:val="000000"/>
          <w:u w:val="single"/>
          <w:lang w:eastAsia="bg-BG"/>
        </w:rPr>
      </w:pPr>
    </w:p>
    <w:p w14:paraId="6FECC20C" w14:textId="346A8DFC" w:rsidR="0038411C" w:rsidRPr="0038411C" w:rsidRDefault="0038411C" w:rsidP="0038411C">
      <w:pPr>
        <w:spacing w:line="240" w:lineRule="auto"/>
        <w:rPr>
          <w:rFonts w:eastAsia="Times New Roman" w:cs="Arial"/>
          <w:lang w:eastAsia="bg-BG"/>
        </w:rPr>
      </w:pPr>
      <w:r w:rsidRPr="0038411C">
        <w:rPr>
          <w:rFonts w:eastAsia="Times New Roman" w:cs="Arial"/>
          <w:b/>
          <w:bCs/>
          <w:color w:val="000000"/>
          <w:u w:val="single"/>
          <w:lang w:eastAsia="bg-BG"/>
        </w:rPr>
        <w:t>Съобщаване на подозирани нежелани реакции</w:t>
      </w:r>
    </w:p>
    <w:p w14:paraId="68DD412A"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1330EF8A" w14:textId="77777777" w:rsidR="0038411C" w:rsidRPr="008F2494" w:rsidRDefault="0038411C" w:rsidP="0038411C">
      <w:pPr>
        <w:spacing w:line="240" w:lineRule="auto"/>
        <w:rPr>
          <w:rFonts w:eastAsia="Times New Roman" w:cs="Arial"/>
          <w:b/>
          <w:bCs/>
          <w:color w:val="000000"/>
          <w:lang w:eastAsia="bg-BG"/>
        </w:rPr>
      </w:pPr>
    </w:p>
    <w:p w14:paraId="0B19DD60" w14:textId="045D87D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Изпълнителна агенция по лекарствата</w:t>
      </w:r>
    </w:p>
    <w:p w14:paraId="7A4E5BAD"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ул.,,Дамян Груев“ № 8</w:t>
      </w:r>
    </w:p>
    <w:p w14:paraId="2B1FF7B5"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1303 София</w:t>
      </w:r>
    </w:p>
    <w:p w14:paraId="046E97F9"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Тел.:+35 928903417</w:t>
      </w:r>
    </w:p>
    <w:p w14:paraId="2A8FB21B" w14:textId="21C8EE4C" w:rsidR="0038411C" w:rsidRPr="008F2494" w:rsidRDefault="0038411C" w:rsidP="0038411C">
      <w:pPr>
        <w:rPr>
          <w:rFonts w:cs="Arial"/>
        </w:rPr>
      </w:pPr>
      <w:r w:rsidRPr="008F2494">
        <w:rPr>
          <w:rFonts w:eastAsia="Times New Roman" w:cs="Arial"/>
          <w:b/>
          <w:bCs/>
          <w:color w:val="000000"/>
          <w:lang w:eastAsia="bg-BG"/>
        </w:rPr>
        <w:t xml:space="preserve">уебсайт: </w:t>
      </w:r>
      <w:hyperlink r:id="rId5" w:history="1">
        <w:r w:rsidRPr="008F2494">
          <w:rPr>
            <w:rFonts w:eastAsia="Times New Roman" w:cs="Arial"/>
            <w:b/>
            <w:bCs/>
            <w:color w:val="000000"/>
            <w:u w:val="single"/>
            <w:lang w:val="en-US"/>
          </w:rPr>
          <w:t>www.bda.bg</w:t>
        </w:r>
      </w:hyperlink>
    </w:p>
    <w:p w14:paraId="04BACCFF" w14:textId="77777777" w:rsidR="0038411C" w:rsidRPr="0091385D" w:rsidRDefault="0038411C"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286A4116"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При изпитвания за хронична астма, монтелукаст е прилаган на възрастни пациенти в дози до 200 </w:t>
      </w:r>
      <w:r w:rsidRPr="00C24C33">
        <w:rPr>
          <w:rFonts w:eastAsia="Times New Roman" w:cs="Arial"/>
          <w:b/>
          <w:bCs/>
          <w:color w:val="000000"/>
          <w:lang w:val="en-US"/>
        </w:rPr>
        <w:t>mg</w:t>
      </w:r>
      <w:r w:rsidRPr="00C24C33">
        <w:rPr>
          <w:rFonts w:eastAsia="Times New Roman" w:cs="Arial"/>
          <w:b/>
          <w:bCs/>
          <w:color w:val="000000"/>
          <w:lang w:eastAsia="bg-BG"/>
        </w:rPr>
        <w:t xml:space="preserve">/дневно в продължение на 22 седмици и в краткосрочни изпитвания - до 900 </w:t>
      </w:r>
      <w:r w:rsidRPr="00C24C33">
        <w:rPr>
          <w:rFonts w:eastAsia="Times New Roman" w:cs="Arial"/>
          <w:b/>
          <w:bCs/>
          <w:color w:val="000000"/>
          <w:lang w:val="en-US"/>
        </w:rPr>
        <w:t xml:space="preserve">mg </w:t>
      </w:r>
      <w:r w:rsidRPr="00C24C33">
        <w:rPr>
          <w:rFonts w:eastAsia="Times New Roman" w:cs="Arial"/>
          <w:b/>
          <w:bCs/>
          <w:color w:val="000000"/>
          <w:lang w:eastAsia="bg-BG"/>
        </w:rPr>
        <w:t>дневно на пациенти за приблизително една седмица без клинично значими нежелани реакции.</w:t>
      </w:r>
    </w:p>
    <w:p w14:paraId="4380C225" w14:textId="77777777" w:rsidR="00C24C33" w:rsidRPr="00C24C33" w:rsidRDefault="00C24C33" w:rsidP="00C24C33">
      <w:pPr>
        <w:spacing w:line="240" w:lineRule="auto"/>
        <w:rPr>
          <w:rFonts w:eastAsia="Times New Roman" w:cs="Arial"/>
          <w:b/>
          <w:bCs/>
          <w:color w:val="000000"/>
          <w:lang w:eastAsia="bg-BG"/>
        </w:rPr>
      </w:pPr>
    </w:p>
    <w:p w14:paraId="0F4FBB0B" w14:textId="373D3E03"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От постмаркетинговия опит и клиничните изпитвания има съобщения за остро предозиране с монтелукаст. Те включват съобщения при възрастни и деца с дози от 1 000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и по-високи (приблизително 61 </w:t>
      </w:r>
      <w:r w:rsidRPr="00C24C33">
        <w:rPr>
          <w:rFonts w:eastAsia="Times New Roman" w:cs="Arial"/>
          <w:b/>
          <w:bCs/>
          <w:color w:val="000000"/>
          <w:lang w:val="en-US"/>
        </w:rPr>
        <w:t xml:space="preserve">mg/kg </w:t>
      </w:r>
      <w:r w:rsidRPr="00C24C33">
        <w:rPr>
          <w:rFonts w:eastAsia="Times New Roman" w:cs="Arial"/>
          <w:b/>
          <w:bCs/>
          <w:color w:val="000000"/>
          <w:lang w:eastAsia="bg-BG"/>
        </w:rPr>
        <w:t>при 42-месечно дете). Наблюдаваните клинична картина и лабораторни резултати са в съответствие с профила на безопасност при възрастни и педиатрични пациенти. В по-голямата част от съобщенията за предозиране не е имало нежелани събития.</w:t>
      </w:r>
    </w:p>
    <w:p w14:paraId="439E9EC2" w14:textId="77777777" w:rsidR="00C24C33" w:rsidRPr="00C24C33" w:rsidRDefault="00C24C33" w:rsidP="00C24C33">
      <w:pPr>
        <w:spacing w:line="240" w:lineRule="auto"/>
        <w:rPr>
          <w:rFonts w:eastAsia="Times New Roman" w:cs="Arial"/>
          <w:b/>
          <w:bCs/>
          <w:color w:val="000000"/>
          <w:u w:val="single"/>
          <w:lang w:eastAsia="bg-BG"/>
        </w:rPr>
      </w:pPr>
    </w:p>
    <w:p w14:paraId="00C74481" w14:textId="2D80DCAD"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lastRenderedPageBreak/>
        <w:t>Симптоми на предозиране</w:t>
      </w:r>
    </w:p>
    <w:p w14:paraId="0F0079CB" w14:textId="779BC27B" w:rsidR="0091385D" w:rsidRPr="00C24C33" w:rsidRDefault="00C24C33" w:rsidP="00C24C33">
      <w:pPr>
        <w:rPr>
          <w:rFonts w:cs="Arial"/>
        </w:rPr>
      </w:pPr>
      <w:r w:rsidRPr="00C24C33">
        <w:rPr>
          <w:rFonts w:eastAsia="Times New Roman" w:cs="Arial"/>
          <w:b/>
          <w:bCs/>
          <w:color w:val="000000"/>
          <w:lang w:eastAsia="bg-BG"/>
        </w:rPr>
        <w:t>Най-често наблюдаваните нежелани събития са в съответствие с профила на безопасност на монтелукаст и включват коремна болка, сомнолентност, жажда, главоболие, повръщане и психомоторна хиперреактивност.</w:t>
      </w:r>
    </w:p>
    <w:p w14:paraId="48FF1584" w14:textId="6BDF1CD4" w:rsidR="0091385D" w:rsidRDefault="0091385D" w:rsidP="0091385D"/>
    <w:p w14:paraId="13940CFF" w14:textId="77777777"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t>Лечение на предозирането</w:t>
      </w:r>
    </w:p>
    <w:p w14:paraId="6961D258" w14:textId="31C3607D" w:rsidR="00C24C33" w:rsidRPr="0044238A" w:rsidRDefault="00C24C33" w:rsidP="00C24C33">
      <w:pPr>
        <w:rPr>
          <w:rFonts w:cs="Arial"/>
        </w:rPr>
      </w:pPr>
      <w:r w:rsidRPr="0044238A">
        <w:rPr>
          <w:rFonts w:eastAsia="Times New Roman" w:cs="Arial"/>
          <w:b/>
          <w:bCs/>
          <w:color w:val="000000"/>
          <w:lang w:eastAsia="bg-BG"/>
        </w:rPr>
        <w:t>Няма специфична информация за лечението при предозиране на монтелукаст. Не е известно дали монтелукаст се диализира посредством перитонеална или хемодиализа.</w:t>
      </w:r>
    </w:p>
    <w:p w14:paraId="7A49BEC2" w14:textId="77777777" w:rsidR="00C24C33" w:rsidRPr="0091385D" w:rsidRDefault="00C24C33"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0C4D093E"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Фармакотерапевтична група: Левкотриенови рецепторни антагонисти</w:t>
      </w:r>
    </w:p>
    <w:p w14:paraId="02684327"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АТС код: </w:t>
      </w:r>
      <w:r w:rsidRPr="00C24C33">
        <w:rPr>
          <w:rFonts w:eastAsia="Times New Roman" w:cs="Arial"/>
          <w:b/>
          <w:bCs/>
          <w:color w:val="000000"/>
          <w:lang w:val="en-US"/>
        </w:rPr>
        <w:t xml:space="preserve">RO3D </w:t>
      </w:r>
      <w:r w:rsidRPr="00C24C33">
        <w:rPr>
          <w:rFonts w:eastAsia="Times New Roman" w:cs="Arial"/>
          <w:b/>
          <w:bCs/>
          <w:color w:val="000000"/>
          <w:lang w:eastAsia="bg-BG"/>
        </w:rPr>
        <w:t>СОЗ</w:t>
      </w:r>
    </w:p>
    <w:p w14:paraId="4C27DC8B" w14:textId="77777777" w:rsidR="00C24C33" w:rsidRPr="00C24C33" w:rsidRDefault="00C24C33" w:rsidP="00C24C33">
      <w:pPr>
        <w:spacing w:line="240" w:lineRule="auto"/>
        <w:rPr>
          <w:rFonts w:eastAsia="Times New Roman" w:cs="Arial"/>
          <w:b/>
          <w:bCs/>
          <w:color w:val="000000"/>
          <w:u w:val="single"/>
          <w:lang w:eastAsia="bg-BG"/>
        </w:rPr>
      </w:pPr>
    </w:p>
    <w:p w14:paraId="74E4E869" w14:textId="26C77031"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u w:val="single"/>
          <w:lang w:eastAsia="bg-BG"/>
        </w:rPr>
        <w:t>Механизъм на действие</w:t>
      </w:r>
    </w:p>
    <w:p w14:paraId="0CB4FBA9"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Цистенил-левкотриените </w:t>
      </w:r>
      <w:r w:rsidRPr="00C24C33">
        <w:rPr>
          <w:rFonts w:eastAsia="Times New Roman" w:cs="Arial"/>
          <w:b/>
          <w:bCs/>
          <w:color w:val="000000"/>
          <w:lang w:val="en-US"/>
        </w:rPr>
        <w:t xml:space="preserve">(LTC4, LTD4, LTE4) </w:t>
      </w:r>
      <w:r w:rsidRPr="00C24C33">
        <w:rPr>
          <w:rFonts w:eastAsia="Times New Roman" w:cs="Arial"/>
          <w:b/>
          <w:bCs/>
          <w:color w:val="000000"/>
          <w:lang w:eastAsia="bg-BG"/>
        </w:rPr>
        <w:t xml:space="preserve">са мощни възпалителни ейкозаноиди, които се освобождават от различни клетки, включително мастоцитите и еозинофилни гранулоцити, Тези важни про-астматични медиатори се свързват с цистенил-левкотриенови рецептори </w:t>
      </w:r>
      <w:r w:rsidRPr="00C24C33">
        <w:rPr>
          <w:rFonts w:eastAsia="Times New Roman" w:cs="Arial"/>
          <w:b/>
          <w:bCs/>
          <w:color w:val="000000"/>
          <w:lang w:val="en-US"/>
        </w:rPr>
        <w:t>(</w:t>
      </w:r>
      <w:proofErr w:type="spellStart"/>
      <w:r w:rsidRPr="00C24C33">
        <w:rPr>
          <w:rFonts w:eastAsia="Times New Roman" w:cs="Arial"/>
          <w:b/>
          <w:bCs/>
          <w:color w:val="000000"/>
          <w:lang w:val="en-US"/>
        </w:rPr>
        <w:t>CysLT</w:t>
      </w:r>
      <w:proofErr w:type="spellEnd"/>
      <w:r w:rsidRPr="00C24C33">
        <w:rPr>
          <w:rFonts w:eastAsia="Times New Roman" w:cs="Arial"/>
          <w:b/>
          <w:bCs/>
          <w:color w:val="000000"/>
          <w:lang w:val="en-US"/>
        </w:rPr>
        <w:t xml:space="preserve">), </w:t>
      </w:r>
      <w:r w:rsidRPr="00C24C33">
        <w:rPr>
          <w:rFonts w:eastAsia="Times New Roman" w:cs="Arial"/>
          <w:b/>
          <w:bCs/>
          <w:color w:val="000000"/>
          <w:lang w:eastAsia="bg-BG"/>
        </w:rPr>
        <w:t>разположени в дихателните пътища при човека и причиняват реакции, включително бронхоконстрикция, слузна секреция, васкуларен пермеабилитет и струпване на еозинофили.</w:t>
      </w:r>
    </w:p>
    <w:p w14:paraId="5562AA13" w14:textId="77777777" w:rsidR="00C24C33" w:rsidRPr="00C24C33" w:rsidRDefault="00C24C33" w:rsidP="00C24C33">
      <w:pPr>
        <w:spacing w:line="240" w:lineRule="auto"/>
        <w:rPr>
          <w:rFonts w:eastAsia="Times New Roman" w:cs="Arial"/>
          <w:b/>
          <w:bCs/>
          <w:color w:val="000000"/>
          <w:u w:val="single"/>
          <w:lang w:eastAsia="bg-BG"/>
        </w:rPr>
      </w:pPr>
    </w:p>
    <w:p w14:paraId="16274203" w14:textId="3044AB0C"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u w:val="single"/>
          <w:lang w:eastAsia="bg-BG"/>
        </w:rPr>
        <w:t>Фармакодннамични ефекти</w:t>
      </w:r>
    </w:p>
    <w:p w14:paraId="7B1C28BB"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Монтелукаст е активно вещество, което, приложено перорално, се свързва с висок афинитет и селективност към </w:t>
      </w:r>
      <w:proofErr w:type="spellStart"/>
      <w:r w:rsidRPr="00C24C33">
        <w:rPr>
          <w:rFonts w:eastAsia="Times New Roman" w:cs="Arial"/>
          <w:b/>
          <w:bCs/>
          <w:color w:val="000000"/>
          <w:lang w:val="en-US"/>
        </w:rPr>
        <w:t>CysLT</w:t>
      </w:r>
      <w:proofErr w:type="spellEnd"/>
      <w:r w:rsidRPr="00C24C33">
        <w:rPr>
          <w:rFonts w:eastAsia="Times New Roman" w:cs="Arial"/>
          <w:b/>
          <w:bCs/>
          <w:color w:val="000000"/>
          <w:lang w:eastAsia="bg-BG"/>
        </w:rPr>
        <w:t xml:space="preserve">1 рецептора. В клинични изпитвания монтелукаст инхибира бронхоконстрикцията, дължаща се на инхалиран </w:t>
      </w:r>
      <w:r w:rsidRPr="00C24C33">
        <w:rPr>
          <w:rFonts w:eastAsia="Times New Roman" w:cs="Arial"/>
          <w:b/>
          <w:bCs/>
          <w:color w:val="000000"/>
          <w:lang w:val="en-US"/>
        </w:rPr>
        <w:t xml:space="preserve">LTD4 </w:t>
      </w:r>
      <w:r w:rsidRPr="00C24C33">
        <w:rPr>
          <w:rFonts w:eastAsia="Times New Roman" w:cs="Arial"/>
          <w:b/>
          <w:bCs/>
          <w:color w:val="000000"/>
          <w:lang w:eastAsia="bg-BG"/>
        </w:rPr>
        <w:t xml:space="preserve">в дози от 5 </w:t>
      </w:r>
      <w:r w:rsidRPr="00C24C33">
        <w:rPr>
          <w:rFonts w:eastAsia="Times New Roman" w:cs="Arial"/>
          <w:b/>
          <w:bCs/>
          <w:color w:val="000000"/>
          <w:lang w:val="en-US"/>
        </w:rPr>
        <w:t xml:space="preserve">mg. </w:t>
      </w:r>
      <w:r w:rsidRPr="00C24C33">
        <w:rPr>
          <w:rFonts w:eastAsia="Times New Roman" w:cs="Arial"/>
          <w:b/>
          <w:bCs/>
          <w:color w:val="000000"/>
          <w:lang w:eastAsia="bg-BG"/>
        </w:rPr>
        <w:t>В рамките на два часа след перорално приложение се наблюдава бронходилатация. Бронходилатиращият ефект, предизвикан от β-агонистите е адитивен на този, предизвикан от монтелукаст. Лечението с монтелукаст инхибира бронхоконстрикцията, предизвикана от антигенна провокация, като в ранната, така и в късната фаза. Монтелукаст, в сравнение с плацебо, намалява броя на еозинофилите в периферната кръв при възрастни и педиатрични пациенти. В отделно изпитване, лечението с монтелукаст е довело до значимо понижение на броя на еозинофилите в дихателните пътища (определено в храчка). При възрастни и педиатрични пациенти от 2 до 14 годишна възраст, монтекуласт, в сравнение с плацебо, намалява еозинофилите в периферната кръв, като подобрява контрола на астмата.</w:t>
      </w:r>
    </w:p>
    <w:p w14:paraId="7C734C7E" w14:textId="77777777" w:rsidR="00C24C33" w:rsidRPr="00C24C33" w:rsidRDefault="00C24C33" w:rsidP="00C24C33">
      <w:pPr>
        <w:spacing w:line="240" w:lineRule="auto"/>
        <w:rPr>
          <w:rFonts w:eastAsia="Times New Roman" w:cs="Arial"/>
          <w:b/>
          <w:bCs/>
          <w:color w:val="000000"/>
          <w:u w:val="single"/>
          <w:lang w:eastAsia="bg-BG"/>
        </w:rPr>
      </w:pPr>
    </w:p>
    <w:p w14:paraId="02537E41" w14:textId="45237604"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u w:val="single"/>
          <w:lang w:eastAsia="bg-BG"/>
        </w:rPr>
        <w:t>Клинична ефикасност и безопасност</w:t>
      </w:r>
    </w:p>
    <w:p w14:paraId="581F41E1"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изпитвания при възрастни, 10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монтелукаст веднъж дневно, в сравнение с плацебо, е показал значително подобрение в сутрешните стойности на форсирания експираторен обем за минута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(10,4% спрямо 2,7% промяна от изходните стойности), сутрешната скорост на пиковия експираторен дебит </w:t>
      </w:r>
      <w:r w:rsidRPr="00C24C33">
        <w:rPr>
          <w:rFonts w:eastAsia="Times New Roman" w:cs="Arial"/>
          <w:b/>
          <w:bCs/>
          <w:color w:val="000000"/>
          <w:lang w:val="en-US"/>
        </w:rPr>
        <w:t xml:space="preserve">(AM PEFR) </w:t>
      </w:r>
      <w:r w:rsidRPr="00C24C33">
        <w:rPr>
          <w:rFonts w:eastAsia="Times New Roman" w:cs="Arial"/>
          <w:b/>
          <w:bCs/>
          <w:color w:val="000000"/>
          <w:lang w:eastAsia="bg-BG"/>
        </w:rPr>
        <w:t xml:space="preserve">(24,5 </w:t>
      </w:r>
      <w:r w:rsidRPr="00C24C33">
        <w:rPr>
          <w:rFonts w:eastAsia="Times New Roman" w:cs="Arial"/>
          <w:b/>
          <w:bCs/>
          <w:color w:val="000000"/>
          <w:lang w:val="en-US"/>
        </w:rPr>
        <w:t xml:space="preserve">l/min </w:t>
      </w:r>
      <w:r w:rsidRPr="00C24C33">
        <w:rPr>
          <w:rFonts w:eastAsia="Times New Roman" w:cs="Arial"/>
          <w:b/>
          <w:bCs/>
          <w:color w:val="000000"/>
          <w:lang w:eastAsia="bg-BG"/>
        </w:rPr>
        <w:t xml:space="preserve">спрямо 3,3 </w:t>
      </w:r>
      <w:r w:rsidRPr="00C24C33">
        <w:rPr>
          <w:rFonts w:eastAsia="Times New Roman" w:cs="Arial"/>
          <w:b/>
          <w:bCs/>
          <w:color w:val="000000"/>
          <w:lang w:val="en-US"/>
        </w:rPr>
        <w:t xml:space="preserve">l/min </w:t>
      </w:r>
      <w:r w:rsidRPr="00C24C33">
        <w:rPr>
          <w:rFonts w:eastAsia="Times New Roman" w:cs="Arial"/>
          <w:b/>
          <w:bCs/>
          <w:color w:val="000000"/>
          <w:lang w:eastAsia="bg-BG"/>
        </w:rPr>
        <w:t xml:space="preserve">промяна спрямо изходните стойности), както и значимо намаляване на общата употреба на β-агонисти (-26,1% спрямо -4,6% промяна от </w:t>
      </w:r>
      <w:r w:rsidRPr="00C24C33">
        <w:rPr>
          <w:rFonts w:eastAsia="Times New Roman" w:cs="Arial"/>
          <w:b/>
          <w:bCs/>
          <w:color w:val="000000"/>
          <w:lang w:eastAsia="bg-BG"/>
        </w:rPr>
        <w:lastRenderedPageBreak/>
        <w:t>изходните стойности). Подобрението в съобщаваните от пациентите симптоми през деня и нощта е било значително по-добро отколкото при плацебо.</w:t>
      </w:r>
    </w:p>
    <w:p w14:paraId="3BBE46E9" w14:textId="77777777" w:rsidR="00C24C33" w:rsidRPr="00C24C33" w:rsidRDefault="00C24C33" w:rsidP="00C24C33">
      <w:pPr>
        <w:rPr>
          <w:rFonts w:eastAsia="Times New Roman" w:cs="Arial"/>
          <w:b/>
          <w:bCs/>
          <w:color w:val="000000"/>
          <w:lang w:eastAsia="bg-BG"/>
        </w:rPr>
      </w:pPr>
    </w:p>
    <w:p w14:paraId="403922B4" w14:textId="77777777" w:rsidR="00C24C33" w:rsidRPr="00C24C33" w:rsidRDefault="00C24C33" w:rsidP="00C24C33">
      <w:pPr>
        <w:rPr>
          <w:rFonts w:eastAsia="Times New Roman" w:cs="Arial"/>
          <w:sz w:val="24"/>
          <w:szCs w:val="24"/>
          <w:lang w:eastAsia="bg-BG"/>
        </w:rPr>
      </w:pPr>
      <w:r w:rsidRPr="00C24C33">
        <w:rPr>
          <w:rFonts w:eastAsia="Times New Roman" w:cs="Arial"/>
          <w:b/>
          <w:bCs/>
          <w:color w:val="000000"/>
          <w:lang w:eastAsia="bg-BG"/>
        </w:rPr>
        <w:t xml:space="preserve">Изпитванията при възрастни са показали способността на монтелукаст да допълва клиничния ефект на инхалаторния кортикостероид (% промяна от изходните показатели за инхалаторен беклометазон плюс монтелукаст спрямо беклометазон по отношение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5,43% срещу 1,04%; употреба на β-агонисг: -8,70% срещу 2,64%). Сравнен с инхалаторен беклометазон (200 микрограма два пъти дневно с небулизатор), монтелукаст е демонстрирал по-бърз начален отговор, въпреки че за 12-седмично изпитване беклометазон осигурява по-добър среден терапевтичен ефект (% промяна от изходните показатели за монтелукаст спрямо беклометазон съответно за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7,49% срещу 13,3%; употреба на β-агонисти: -28,28% срещу 43,89%). Въпреки това, в сравнение с беклометазон, висок процент от пациентите, лекувани с монтелукаст, са постигнали подобни клинични отговори (напр. 50% от пациентите лекувани с беклометазон постигат подобрение във </w:t>
      </w:r>
      <w:r w:rsidRPr="00C24C33">
        <w:rPr>
          <w:rFonts w:eastAsia="Times New Roman" w:cs="Arial"/>
          <w:b/>
          <w:bCs/>
          <w:color w:val="000000"/>
          <w:lang w:val="en-US"/>
        </w:rPr>
        <w:t xml:space="preserve">FEV1 </w:t>
      </w:r>
      <w:r w:rsidRPr="00C24C33">
        <w:rPr>
          <w:rFonts w:eastAsia="Times New Roman" w:cs="Arial"/>
          <w:b/>
          <w:bCs/>
          <w:color w:val="000000"/>
          <w:lang w:eastAsia="bg-BG"/>
        </w:rPr>
        <w:t>от приблизително 11% или повече над изходните стойности,</w:t>
      </w:r>
      <w:r>
        <w:rPr>
          <w:rFonts w:eastAsia="Times New Roman" w:cs="Arial"/>
          <w:b/>
          <w:bCs/>
          <w:color w:val="000000"/>
          <w:lang w:eastAsia="bg-BG"/>
        </w:rPr>
        <w:t xml:space="preserve"> </w:t>
      </w:r>
      <w:r w:rsidRPr="00C24C33">
        <w:rPr>
          <w:rFonts w:eastAsia="Times New Roman" w:cs="Arial"/>
          <w:b/>
          <w:bCs/>
          <w:color w:val="000000"/>
          <w:lang w:eastAsia="bg-BG"/>
        </w:rPr>
        <w:t>докато приблизително 42% от пациентите третирани с монтелукаст са постигнали същия отговор).</w:t>
      </w:r>
    </w:p>
    <w:p w14:paraId="0DD20F53" w14:textId="77777777" w:rsidR="00C24C33" w:rsidRPr="00C24C33" w:rsidRDefault="00C24C33" w:rsidP="00C24C33">
      <w:pPr>
        <w:spacing w:line="240" w:lineRule="auto"/>
        <w:rPr>
          <w:rFonts w:eastAsia="Times New Roman" w:cs="Arial"/>
          <w:b/>
          <w:bCs/>
          <w:color w:val="000000"/>
          <w:lang w:eastAsia="bg-BG"/>
        </w:rPr>
      </w:pPr>
    </w:p>
    <w:p w14:paraId="6AF53A58" w14:textId="32C36A4E"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12-седмично плацебо-контролирано изпитване при педиатрични пациенти на възраст между 2 и 5 години, монтелукаст 4 </w:t>
      </w:r>
      <w:r w:rsidRPr="00C24C33">
        <w:rPr>
          <w:rFonts w:eastAsia="Times New Roman" w:cs="Arial"/>
          <w:b/>
          <w:bCs/>
          <w:color w:val="000000"/>
          <w:lang w:val="en-US"/>
        </w:rPr>
        <w:t xml:space="preserve">mg </w:t>
      </w:r>
      <w:r w:rsidRPr="00C24C33">
        <w:rPr>
          <w:rFonts w:eastAsia="Times New Roman" w:cs="Arial"/>
          <w:b/>
          <w:bCs/>
          <w:color w:val="000000"/>
          <w:lang w:eastAsia="bg-BG"/>
        </w:rPr>
        <w:t>веднъж дневно е подобрил показателите за контрол на астмата в сравнение с плацебо, независимо от съпътстващата контролна терапия (инхалаторни/ небулизирани кортикостероиди или натриев кромогликат). Шестдесет процента от пациентите не са били на друга контролна терапия. Монтелукаст е подобрил дневните симптоми (включително кашлица, хрипове, проблеми с дишането и ограничения на физическата активност) и нощните симптоми, в сравнение с плацебо. Освен това монтелукаст е намалил употребата на β-агонисти "при нужда" и приложението на кортикостероиди при влошаваща се астма, в сравнение с плацебо. Пациентите на лечение с монтелукаст са имали повече дни без астматични симптоми, в сравнение с тези, получавали плацебо. Терапевтичен ефект е бил постигнат още с първата доза.</w:t>
      </w:r>
    </w:p>
    <w:p w14:paraId="749928E9" w14:textId="77777777" w:rsidR="00C24C33" w:rsidRPr="00C24C33" w:rsidRDefault="00C24C33" w:rsidP="00C24C33">
      <w:pPr>
        <w:spacing w:line="240" w:lineRule="auto"/>
        <w:rPr>
          <w:rFonts w:eastAsia="Times New Roman" w:cs="Arial"/>
          <w:b/>
          <w:bCs/>
          <w:color w:val="000000"/>
          <w:lang w:eastAsia="bg-BG"/>
        </w:rPr>
      </w:pPr>
    </w:p>
    <w:p w14:paraId="5CCC227A" w14:textId="4C6C5F84"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12-месечно плацебо-контролирано изпитване при педиатрични пациенти на възраст между 2 и 5 години с лека астма и епизодични екзацербации, монтелукаст веднъж дневно 4 </w:t>
      </w:r>
      <w:r w:rsidRPr="00C24C33">
        <w:rPr>
          <w:rFonts w:eastAsia="Times New Roman" w:cs="Arial"/>
          <w:b/>
          <w:bCs/>
          <w:color w:val="000000"/>
          <w:lang w:val="en-US"/>
        </w:rPr>
        <w:t xml:space="preserve">mg </w:t>
      </w:r>
      <w:r w:rsidRPr="00C24C33">
        <w:rPr>
          <w:rFonts w:eastAsia="Times New Roman" w:cs="Arial"/>
          <w:b/>
          <w:bCs/>
          <w:color w:val="000000"/>
          <w:lang w:eastAsia="bg-BG"/>
        </w:rPr>
        <w:t>значимо (р</w:t>
      </w:r>
      <w:r w:rsidRPr="00C24C33">
        <w:rPr>
          <w:rFonts w:eastAsia="Times New Roman" w:cs="Arial"/>
          <w:color w:val="000000"/>
          <w:lang w:eastAsia="bg-BG"/>
        </w:rPr>
        <w:t>≤</w:t>
      </w:r>
      <w:r w:rsidRPr="00C24C33">
        <w:rPr>
          <w:rFonts w:eastAsia="Times New Roman" w:cs="Arial"/>
          <w:b/>
          <w:bCs/>
          <w:color w:val="000000"/>
          <w:lang w:eastAsia="bg-BG"/>
        </w:rPr>
        <w:t xml:space="preserve"> 0,001) е редуцирал годишната честота на епизодите на екзацербация на астмата (ЕЕ), в сравнение с плацебо (1,60 ЕЕ спрямо 2,34 ЕЕ, съответно), [ЕЕ се определя като ≥ 3 последователни дни с дневни симптоми, изискващи приложение на р-агонист, или кортикостероиди (перорални или инхалаторни), или хоспитализация за астма]. Процентът на намаляване в годишната ЕЕ честота е бил 31,9% с 95% доверителен интервал (СГ) от 16,9; 44,1.</w:t>
      </w:r>
    </w:p>
    <w:p w14:paraId="51BCA0A9" w14:textId="77777777" w:rsidR="00C24C33" w:rsidRPr="00C24C33" w:rsidRDefault="00C24C33" w:rsidP="00C24C33">
      <w:pPr>
        <w:spacing w:line="240" w:lineRule="auto"/>
        <w:rPr>
          <w:rFonts w:eastAsia="Times New Roman" w:cs="Arial"/>
          <w:b/>
          <w:bCs/>
          <w:color w:val="000000"/>
          <w:lang w:eastAsia="bg-BG"/>
        </w:rPr>
      </w:pPr>
    </w:p>
    <w:p w14:paraId="1E537A5D" w14:textId="6643CA81"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плацебо-контролирано проучване при педиатрични пациенти между 6 месеца и 5-годишна възраст, с интермитентна астма, но без персистираща астма, лечението с монтелукаст е проведено в продължение на 12-месечен период, или като схема от 4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веднъж дневно, или като поредица от 12-дневни курсове, като всеки един от тях започва в началото на епизод на интермитентни симптоми. Не е наблюдавана значима разлика между пациентите, лекувани с монтелукаст 4 </w:t>
      </w:r>
      <w:r w:rsidRPr="00C24C33">
        <w:rPr>
          <w:rFonts w:eastAsia="Times New Roman" w:cs="Arial"/>
          <w:b/>
          <w:bCs/>
          <w:color w:val="000000"/>
          <w:lang w:val="en-US"/>
        </w:rPr>
        <w:t xml:space="preserve">mg </w:t>
      </w:r>
      <w:r w:rsidRPr="00C24C33">
        <w:rPr>
          <w:rFonts w:eastAsia="Times New Roman" w:cs="Arial"/>
          <w:b/>
          <w:bCs/>
          <w:color w:val="000000"/>
          <w:lang w:eastAsia="bg-BG"/>
        </w:rPr>
        <w:t>или плацебо при броя на астматичните епизоди, завършващи с астматичен пристъп, определен като епизод на астма, изискващ използване на здравни ресурси, като например непланирано посещение в лекарски кабинет, спешна помощ или болница, или лечение с кортикостероид перорално, интравенозно или интрамускулно.</w:t>
      </w:r>
    </w:p>
    <w:p w14:paraId="3621CD9E" w14:textId="77777777" w:rsidR="00C24C33" w:rsidRPr="00C24C33" w:rsidRDefault="00C24C33" w:rsidP="00C24C33">
      <w:pPr>
        <w:spacing w:line="240" w:lineRule="auto"/>
        <w:rPr>
          <w:rFonts w:eastAsia="Times New Roman" w:cs="Arial"/>
          <w:b/>
          <w:bCs/>
          <w:color w:val="000000"/>
          <w:lang w:eastAsia="bg-BG"/>
        </w:rPr>
      </w:pPr>
    </w:p>
    <w:p w14:paraId="038A05AD" w14:textId="1A36748C"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8-седмично изпитване при педиатрични пациенти на възраст между 6 и 14 години, монтелукаст 5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веднъж дневно, в сравнение с плацебо, значително подобрява респираторната функция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8,71% спрямо 4,16% промяна от изходните стойности; </w:t>
      </w:r>
      <w:r w:rsidRPr="00C24C33">
        <w:rPr>
          <w:rFonts w:eastAsia="Times New Roman" w:cs="Arial"/>
          <w:b/>
          <w:bCs/>
          <w:color w:val="000000"/>
          <w:lang w:val="en-US"/>
        </w:rPr>
        <w:t xml:space="preserve">AM PEFR </w:t>
      </w:r>
      <w:r w:rsidRPr="00C24C33">
        <w:rPr>
          <w:rFonts w:eastAsia="Times New Roman" w:cs="Arial"/>
          <w:b/>
          <w:bCs/>
          <w:color w:val="000000"/>
          <w:lang w:eastAsia="bg-BG"/>
        </w:rPr>
        <w:t xml:space="preserve">27,9 </w:t>
      </w:r>
      <w:r w:rsidRPr="00C24C33">
        <w:rPr>
          <w:rFonts w:eastAsia="Times New Roman" w:cs="Arial"/>
          <w:b/>
          <w:bCs/>
          <w:color w:val="000000"/>
          <w:lang w:val="en-US"/>
        </w:rPr>
        <w:t xml:space="preserve">l/min </w:t>
      </w:r>
      <w:r w:rsidRPr="00C24C33">
        <w:rPr>
          <w:rFonts w:eastAsia="Times New Roman" w:cs="Arial"/>
          <w:b/>
          <w:bCs/>
          <w:color w:val="000000"/>
          <w:lang w:eastAsia="bg-BG"/>
        </w:rPr>
        <w:t xml:space="preserve">спрямо 17,8 </w:t>
      </w:r>
      <w:r w:rsidRPr="00C24C33">
        <w:rPr>
          <w:rFonts w:eastAsia="Times New Roman" w:cs="Arial"/>
          <w:b/>
          <w:bCs/>
          <w:color w:val="000000"/>
          <w:lang w:val="en-US"/>
        </w:rPr>
        <w:t xml:space="preserve">1/min </w:t>
      </w:r>
      <w:r w:rsidRPr="00C24C33">
        <w:rPr>
          <w:rFonts w:eastAsia="Times New Roman" w:cs="Arial"/>
          <w:b/>
          <w:bCs/>
          <w:color w:val="000000"/>
          <w:lang w:eastAsia="bg-BG"/>
        </w:rPr>
        <w:t>промяна от изходните стойности) и намаление употребата на β-агонист при необходимост (- 11,7% спрямо +8,2% промяна от изходната).</w:t>
      </w:r>
    </w:p>
    <w:p w14:paraId="47822149" w14:textId="77777777" w:rsidR="00C24C33" w:rsidRPr="00C24C33" w:rsidRDefault="00C24C33" w:rsidP="00C24C33">
      <w:pPr>
        <w:spacing w:line="240" w:lineRule="auto"/>
        <w:rPr>
          <w:rFonts w:eastAsia="Times New Roman" w:cs="Arial"/>
          <w:b/>
          <w:bCs/>
          <w:color w:val="000000"/>
          <w:lang w:eastAsia="bg-BG"/>
        </w:rPr>
      </w:pPr>
    </w:p>
    <w:p w14:paraId="610860B0" w14:textId="49D9E710"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12-месечно изпитване, сравняващо ефикасността на монтелукаст спрямо инхалаторен флутиказон по отношение контрола на астмата при педиатрични пациенти на възраст между 6 и 14 години с лека персистираща астма, монтелукаст е бил не по-малко ефикасен от флутиказон по отношение на повишаването на процента дни без лекарства за астма </w:t>
      </w:r>
      <w:r w:rsidRPr="00C24C33">
        <w:rPr>
          <w:rFonts w:eastAsia="Times New Roman" w:cs="Arial"/>
          <w:b/>
          <w:bCs/>
          <w:color w:val="000000"/>
          <w:lang w:val="en-US"/>
        </w:rPr>
        <w:t xml:space="preserve">(RFDs), </w:t>
      </w:r>
      <w:r w:rsidRPr="00C24C33">
        <w:rPr>
          <w:rFonts w:eastAsia="Times New Roman" w:cs="Arial"/>
          <w:b/>
          <w:bCs/>
          <w:color w:val="000000"/>
          <w:lang w:eastAsia="bg-BG"/>
        </w:rPr>
        <w:t xml:space="preserve">първичната крайна точка. Средно за 12-месечния терапевтичен период, процентът на </w:t>
      </w:r>
      <w:r w:rsidRPr="00C24C33">
        <w:rPr>
          <w:rFonts w:eastAsia="Times New Roman" w:cs="Arial"/>
          <w:b/>
          <w:bCs/>
          <w:color w:val="000000"/>
          <w:lang w:val="en-US"/>
        </w:rPr>
        <w:t xml:space="preserve">RFDs </w:t>
      </w:r>
      <w:r w:rsidRPr="00C24C33">
        <w:rPr>
          <w:rFonts w:eastAsia="Times New Roman" w:cs="Arial"/>
          <w:b/>
          <w:bCs/>
          <w:color w:val="000000"/>
          <w:lang w:eastAsia="bg-BG"/>
        </w:rPr>
        <w:t xml:space="preserve">се е повишил от 61,6 на 84,0 в групата за монтелукаст и от 60,9 на 86,7 в групата с флутиказон. Разликата между двете групи в ЛС незначително повишава процентът на </w:t>
      </w:r>
      <w:r w:rsidRPr="00C24C33">
        <w:rPr>
          <w:rFonts w:eastAsia="Times New Roman" w:cs="Arial"/>
          <w:b/>
          <w:bCs/>
          <w:color w:val="000000"/>
          <w:lang w:val="en-US"/>
        </w:rPr>
        <w:t xml:space="preserve">RFDs </w:t>
      </w:r>
      <w:r w:rsidRPr="00C24C33">
        <w:rPr>
          <w:rFonts w:eastAsia="Times New Roman" w:cs="Arial"/>
          <w:b/>
          <w:bCs/>
          <w:color w:val="000000"/>
          <w:lang w:eastAsia="bg-BG"/>
        </w:rPr>
        <w:t xml:space="preserve">- 2,8 с 95% </w:t>
      </w:r>
      <w:r w:rsidRPr="00C24C33">
        <w:rPr>
          <w:rFonts w:eastAsia="Times New Roman" w:cs="Arial"/>
          <w:b/>
          <w:bCs/>
          <w:color w:val="000000"/>
          <w:lang w:val="en-US"/>
        </w:rPr>
        <w:t xml:space="preserve">CI </w:t>
      </w:r>
      <w:r w:rsidRPr="00C24C33">
        <w:rPr>
          <w:rFonts w:eastAsia="Times New Roman" w:cs="Arial"/>
          <w:b/>
          <w:bCs/>
          <w:color w:val="000000"/>
          <w:lang w:eastAsia="bg-BG"/>
        </w:rPr>
        <w:t>от -4,7; -0,9, но в границите на предварително определения диапазон на неинфериорност. И монтелукаст, и флутиказон са подобрили вариабилните за контрола върху астмата, оценени след 12-месечен терапевтичен период:</w:t>
      </w:r>
    </w:p>
    <w:p w14:paraId="18A4C825" w14:textId="02E7FC0C"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val="en-US"/>
        </w:rPr>
        <w:t>FE</w:t>
      </w:r>
      <w:r w:rsidRPr="00C24C33">
        <w:rPr>
          <w:rFonts w:eastAsia="Times New Roman" w:cs="Arial"/>
          <w:b/>
          <w:bCs/>
          <w:color w:val="000000"/>
          <w:lang w:eastAsia="bg-BG"/>
        </w:rPr>
        <w:t>V1 се е повишил от 1,83 1 на 2,091 в групата с групата с монтелукаст и о</w:t>
      </w:r>
      <w:r w:rsidRPr="00C24C33">
        <w:rPr>
          <w:rFonts w:eastAsia="Times New Roman" w:cs="Arial"/>
          <w:b/>
          <w:bCs/>
          <w:color w:val="000000"/>
          <w:u w:val="single"/>
          <w:lang w:eastAsia="bg-BG"/>
        </w:rPr>
        <w:t xml:space="preserve">т </w:t>
      </w:r>
      <w:r w:rsidRPr="00C24C33">
        <w:rPr>
          <w:rFonts w:eastAsia="Times New Roman" w:cs="Arial"/>
          <w:b/>
          <w:bCs/>
          <w:color w:val="000000"/>
          <w:lang w:eastAsia="bg-BG"/>
        </w:rPr>
        <w:t>1,851 на 2,141</w:t>
      </w:r>
      <w:r w:rsidRPr="00C24C33">
        <w:rPr>
          <w:rFonts w:eastAsia="Times New Roman" w:cs="Arial"/>
          <w:sz w:val="24"/>
          <w:szCs w:val="24"/>
          <w:lang w:eastAsia="bg-BG"/>
        </w:rPr>
        <w:t xml:space="preserve"> </w:t>
      </w:r>
      <w:r w:rsidRPr="00C24C33">
        <w:rPr>
          <w:rFonts w:eastAsia="Times New Roman" w:cs="Arial"/>
          <w:b/>
          <w:bCs/>
          <w:color w:val="000000"/>
          <w:lang w:eastAsia="bg-BG"/>
        </w:rPr>
        <w:t xml:space="preserve">в групата с флутиказон. Междугруповата разликата в средното повишение на стойностите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по метода на най-малките квадрати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е била -0,02 1 с 95% </w:t>
      </w:r>
      <w:r w:rsidRPr="00C24C33">
        <w:rPr>
          <w:rFonts w:eastAsia="Times New Roman" w:cs="Arial"/>
          <w:b/>
          <w:bCs/>
          <w:color w:val="000000"/>
          <w:lang w:val="en-US"/>
        </w:rPr>
        <w:t xml:space="preserve">CI </w:t>
      </w:r>
      <w:r w:rsidRPr="00C24C33">
        <w:rPr>
          <w:rFonts w:eastAsia="Times New Roman" w:cs="Arial"/>
          <w:b/>
          <w:bCs/>
          <w:color w:val="000000"/>
          <w:lang w:eastAsia="bg-BG"/>
        </w:rPr>
        <w:t xml:space="preserve">от - 0,06, 0,02. Предвиденото незначително нарастване от изходните стойности в % за </w:t>
      </w:r>
      <w:r w:rsidRPr="00C24C33">
        <w:rPr>
          <w:rFonts w:eastAsia="Times New Roman" w:cs="Arial"/>
          <w:b/>
          <w:bCs/>
          <w:color w:val="000000"/>
          <w:lang w:val="en-US"/>
        </w:rPr>
        <w:t xml:space="preserve">FEV1 </w:t>
      </w:r>
      <w:r w:rsidRPr="00C24C33">
        <w:rPr>
          <w:rFonts w:eastAsia="Times New Roman" w:cs="Arial"/>
          <w:b/>
          <w:bCs/>
          <w:color w:val="000000"/>
          <w:lang w:eastAsia="bg-BG"/>
        </w:rPr>
        <w:t>е било 0,6%</w:t>
      </w:r>
      <w:r w:rsidRPr="00C24C33">
        <w:rPr>
          <w:rFonts w:eastAsia="Times New Roman" w:cs="Arial"/>
          <w:b/>
          <w:bCs/>
          <w:color w:val="000000"/>
          <w:lang w:val="en-US"/>
        </w:rPr>
        <w:t xml:space="preserve"> </w:t>
      </w:r>
      <w:r w:rsidRPr="00C24C33">
        <w:rPr>
          <w:rFonts w:eastAsia="Times New Roman" w:cs="Arial"/>
          <w:b/>
          <w:bCs/>
          <w:color w:val="000000"/>
          <w:lang w:eastAsia="bg-BG"/>
        </w:rPr>
        <w:t xml:space="preserve">в групата за монтелукаст и 2,7% в групата, лекувана с флутиказон. Разликата в средните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стойности за промяна спрямо изходното ниво в процента, предвиден за </w:t>
      </w:r>
      <w:r w:rsidRPr="00C24C33">
        <w:rPr>
          <w:rFonts w:eastAsia="Times New Roman" w:cs="Arial"/>
          <w:b/>
          <w:bCs/>
          <w:color w:val="000000"/>
          <w:lang w:val="en-US"/>
        </w:rPr>
        <w:t>FEV1,</w:t>
      </w:r>
      <w:r w:rsidRPr="00C24C33">
        <w:rPr>
          <w:rFonts w:eastAsia="Times New Roman" w:cs="Arial"/>
          <w:b/>
          <w:bCs/>
          <w:color w:val="000000"/>
          <w:lang w:eastAsia="bg-BG"/>
        </w:rPr>
        <w:t xml:space="preserve"> е била значима: -2,2% с 95% </w:t>
      </w:r>
      <w:r w:rsidRPr="00C24C33">
        <w:rPr>
          <w:rFonts w:eastAsia="Times New Roman" w:cs="Arial"/>
          <w:b/>
          <w:bCs/>
          <w:color w:val="000000"/>
          <w:lang w:val="en-US"/>
        </w:rPr>
        <w:t xml:space="preserve">CI </w:t>
      </w:r>
      <w:r w:rsidRPr="00C24C33">
        <w:rPr>
          <w:rFonts w:eastAsia="Times New Roman" w:cs="Arial"/>
          <w:b/>
          <w:bCs/>
          <w:color w:val="000000"/>
          <w:lang w:eastAsia="bg-BG"/>
        </w:rPr>
        <w:t>от -3,6; -0,7.</w:t>
      </w:r>
    </w:p>
    <w:p w14:paraId="56001478" w14:textId="77777777"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eastAsia="bg-BG"/>
        </w:rPr>
        <w:t xml:space="preserve">Процентът на дните с употреба на β-агонист е намалял от 38,0 до 15,4 в групата с монтелукаст и от 38,5 на 12,8 в групата с флутиказон. Междогруповата разлика в средните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стойности за процента дни с β-агонист е била значима: 2,7 с 95% </w:t>
      </w:r>
      <w:r w:rsidRPr="00C24C33">
        <w:rPr>
          <w:rFonts w:eastAsia="Times New Roman" w:cs="Arial"/>
          <w:b/>
          <w:bCs/>
          <w:color w:val="000000"/>
          <w:lang w:val="en-US"/>
        </w:rPr>
        <w:t xml:space="preserve">CI </w:t>
      </w:r>
      <w:r w:rsidRPr="00C24C33">
        <w:rPr>
          <w:rFonts w:eastAsia="Times New Roman" w:cs="Arial"/>
          <w:b/>
          <w:bCs/>
          <w:color w:val="000000"/>
          <w:lang w:eastAsia="bg-BG"/>
        </w:rPr>
        <w:t>от 0,9; 4,5.</w:t>
      </w:r>
    </w:p>
    <w:p w14:paraId="6C79026C" w14:textId="77777777"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eastAsia="bg-BG"/>
        </w:rPr>
        <w:t xml:space="preserve">Процентът на пациентите с астматичен пристъп (дефиниран като период на влошаване на астмата, който изисква лечение с перорални стероиди, непредвидено посещение при лекар, посещение на спешен център или хоспитализация) е бил 32,2 в групата на лечение с монтелукаст и 25,6 в групата на лечение с флутиказон; разликата в съотношението на вероятностите (95% </w:t>
      </w:r>
      <w:r w:rsidRPr="00C24C33">
        <w:rPr>
          <w:rFonts w:eastAsia="Times New Roman" w:cs="Arial"/>
          <w:b/>
          <w:bCs/>
          <w:color w:val="000000"/>
          <w:lang w:val="en-US"/>
        </w:rPr>
        <w:t xml:space="preserve">CI) </w:t>
      </w:r>
      <w:r w:rsidRPr="00C24C33">
        <w:rPr>
          <w:rFonts w:eastAsia="Times New Roman" w:cs="Arial"/>
          <w:b/>
          <w:bCs/>
          <w:color w:val="000000"/>
          <w:lang w:eastAsia="bg-BG"/>
        </w:rPr>
        <w:t>е била значима: равна на 1,38 (1,04; 1,84).</w:t>
      </w:r>
    </w:p>
    <w:p w14:paraId="49F65573" w14:textId="5D003834"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eastAsia="bg-BG"/>
        </w:rPr>
        <w:t xml:space="preserve">Процентът на пациентите със системна употреба на кортикостероиди (главно перорални) по време на изпитвания период е бил 17,8% в групата с монтелукаст и 10,5% за групата на флутиказон. Разликата между групите в средните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стойности е била значима: 7,3% с 95% </w:t>
      </w:r>
      <w:r w:rsidRPr="00C24C33">
        <w:rPr>
          <w:rFonts w:eastAsia="Times New Roman" w:cs="Arial"/>
          <w:b/>
          <w:bCs/>
          <w:color w:val="000000"/>
          <w:lang w:val="en-US"/>
        </w:rPr>
        <w:t xml:space="preserve">CI </w:t>
      </w:r>
      <w:r w:rsidRPr="00C24C33">
        <w:rPr>
          <w:rFonts w:eastAsia="Times New Roman" w:cs="Arial"/>
          <w:b/>
          <w:bCs/>
          <w:color w:val="000000"/>
          <w:lang w:eastAsia="bg-BG"/>
        </w:rPr>
        <w:t>от 2,9; 11,7.</w:t>
      </w:r>
    </w:p>
    <w:p w14:paraId="7D0D1F01" w14:textId="77777777" w:rsidR="00C24C33" w:rsidRPr="00C24C33" w:rsidRDefault="00C24C33" w:rsidP="00C24C33">
      <w:pPr>
        <w:spacing w:line="240" w:lineRule="auto"/>
        <w:rPr>
          <w:rFonts w:eastAsia="Times New Roman" w:cs="Arial"/>
          <w:b/>
          <w:bCs/>
          <w:color w:val="000000"/>
          <w:lang w:eastAsia="bg-BG"/>
        </w:rPr>
      </w:pPr>
    </w:p>
    <w:p w14:paraId="0A38EED4" w14:textId="33E7D04D" w:rsidR="00C24C33" w:rsidRPr="00C24C33" w:rsidRDefault="00C24C33" w:rsidP="00C24C33">
      <w:pPr>
        <w:spacing w:line="240" w:lineRule="auto"/>
        <w:rPr>
          <w:rFonts w:eastAsia="Times New Roman" w:cs="Arial"/>
          <w:b/>
          <w:bCs/>
          <w:color w:val="000000"/>
          <w:lang w:eastAsia="bg-BG"/>
        </w:rPr>
      </w:pPr>
      <w:r w:rsidRPr="00C24C33">
        <w:rPr>
          <w:rFonts w:eastAsia="Times New Roman" w:cs="Arial"/>
          <w:b/>
          <w:bCs/>
          <w:color w:val="000000"/>
          <w:lang w:eastAsia="bg-BG"/>
        </w:rPr>
        <w:t xml:space="preserve">В 12-седмично изпитване при възрастни (максимално понижение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22,33%в групата на монтелукаст спрямо 32,40% за плацебо; време за възстановяване в рамките на 5% от изходните стойности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44,22 минути спрямо 60,64 минути) е било демонстрирано значимо понижение в бронхоконстрикцията при усилие (Е1В). Този ефект е бил постоянен през целия 12- седмичен период на изпитването. Понижение в </w:t>
      </w:r>
      <w:r w:rsidRPr="00C24C33">
        <w:rPr>
          <w:rFonts w:eastAsia="Times New Roman" w:cs="Arial"/>
          <w:b/>
          <w:bCs/>
          <w:color w:val="000000"/>
          <w:lang w:val="en-US"/>
        </w:rPr>
        <w:t xml:space="preserve">EIB </w:t>
      </w:r>
      <w:r w:rsidRPr="00C24C33">
        <w:rPr>
          <w:rFonts w:eastAsia="Times New Roman" w:cs="Arial"/>
          <w:b/>
          <w:bCs/>
          <w:color w:val="000000"/>
          <w:lang w:eastAsia="bg-BG"/>
        </w:rPr>
        <w:t xml:space="preserve">е било демонстрирано и при краткосрочно изпитване на </w:t>
      </w:r>
      <w:r w:rsidRPr="00C24C33">
        <w:rPr>
          <w:rFonts w:eastAsia="Times New Roman" w:cs="Arial"/>
          <w:b/>
          <w:bCs/>
          <w:color w:val="000000"/>
          <w:lang w:eastAsia="bg-BG"/>
        </w:rPr>
        <w:lastRenderedPageBreak/>
        <w:t xml:space="preserve">педиатрични пациенти между 6 и 14 години (максимално понижение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18,27% спрямо 26,11% за плацебо; време за възстановяване в рамките на 5% от изходните стойности на </w:t>
      </w:r>
      <w:r w:rsidRPr="00C24C33">
        <w:rPr>
          <w:rFonts w:eastAsia="Times New Roman" w:cs="Arial"/>
          <w:b/>
          <w:bCs/>
          <w:color w:val="000000"/>
          <w:lang w:val="en-US"/>
        </w:rPr>
        <w:t xml:space="preserve">FEV1 </w:t>
      </w:r>
      <w:r w:rsidRPr="00C24C33">
        <w:rPr>
          <w:rFonts w:eastAsia="Times New Roman" w:cs="Arial"/>
          <w:b/>
          <w:bCs/>
          <w:color w:val="000000"/>
          <w:lang w:eastAsia="bg-BG"/>
        </w:rPr>
        <w:t>17,76 мин. спрямо 27,98 мин.). Ефектът и при двете изпитвания е бил демонстриран в края на интервала на дозиране веднъж дневно.</w:t>
      </w:r>
    </w:p>
    <w:p w14:paraId="5F2EE799" w14:textId="77777777" w:rsidR="00C24C33" w:rsidRPr="00C24C33" w:rsidRDefault="00C24C33" w:rsidP="00C24C33">
      <w:pPr>
        <w:spacing w:line="240" w:lineRule="auto"/>
        <w:rPr>
          <w:rFonts w:eastAsia="Times New Roman" w:cs="Arial"/>
          <w:sz w:val="24"/>
          <w:szCs w:val="24"/>
          <w:lang w:eastAsia="bg-BG"/>
        </w:rPr>
      </w:pPr>
    </w:p>
    <w:p w14:paraId="28252AA0" w14:textId="452EEA85" w:rsidR="0091385D"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При аспирин-чувствителни пациенти с астма, получаващи едновременно инхалаторни и/или перорални кортикостероиди, лечението с монтелукаст, в сравнение с плацебо е довело до значимо подобрение в контрола на астмата </w:t>
      </w:r>
      <w:r w:rsidRPr="00C24C33">
        <w:rPr>
          <w:rFonts w:eastAsia="Times New Roman" w:cs="Arial"/>
          <w:b/>
          <w:bCs/>
          <w:color w:val="000000"/>
          <w:lang w:val="en-US"/>
        </w:rPr>
        <w:t xml:space="preserve">(FEV1 </w:t>
      </w:r>
      <w:r w:rsidRPr="00C24C33">
        <w:rPr>
          <w:rFonts w:eastAsia="Times New Roman" w:cs="Arial"/>
          <w:b/>
          <w:bCs/>
          <w:color w:val="000000"/>
          <w:lang w:eastAsia="bg-BG"/>
        </w:rPr>
        <w:t>8,55% срещу -1,74% промяна от изходните стойности и намаление в общата употреба на β-агонисти -27,78% срещу 2,09% промяна от изходните стойности).</w:t>
      </w:r>
    </w:p>
    <w:p w14:paraId="36152471" w14:textId="77777777" w:rsidR="0091385D" w:rsidRPr="0091385D" w:rsidRDefault="0091385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39FED9F9" w14:textId="77777777" w:rsidR="00C24C33" w:rsidRPr="00C24C33" w:rsidRDefault="00C24C33" w:rsidP="00C24C33">
      <w:pPr>
        <w:pStyle w:val="Heading3"/>
        <w:rPr>
          <w:rFonts w:eastAsia="Times New Roman"/>
          <w:b/>
          <w:u w:val="single"/>
          <w:lang w:eastAsia="bg-BG"/>
        </w:rPr>
      </w:pPr>
      <w:r w:rsidRPr="00C24C33">
        <w:rPr>
          <w:rFonts w:eastAsia="Times New Roman"/>
          <w:b/>
          <w:u w:val="single"/>
          <w:lang w:eastAsia="bg-BG"/>
        </w:rPr>
        <w:t>Абсорбция:</w:t>
      </w:r>
    </w:p>
    <w:p w14:paraId="00FCFFE6"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След перорално приложение монтелукаст се абсорбира бързо. За филмираните таблетки от 10 </w:t>
      </w:r>
      <w:r w:rsidRPr="00C24C33">
        <w:rPr>
          <w:rFonts w:eastAsia="Times New Roman" w:cs="Arial"/>
          <w:b/>
          <w:bCs/>
          <w:color w:val="000000"/>
          <w:lang w:val="en-US"/>
        </w:rPr>
        <w:t xml:space="preserve">mg </w:t>
      </w:r>
      <w:r w:rsidRPr="00C24C33">
        <w:rPr>
          <w:rFonts w:eastAsia="Times New Roman" w:cs="Arial"/>
          <w:b/>
          <w:bCs/>
          <w:color w:val="000000"/>
          <w:lang w:eastAsia="bg-BG"/>
        </w:rPr>
        <w:t>средната пикова плазмена концентрация (С</w:t>
      </w:r>
      <w:r w:rsidRPr="00C24C33">
        <w:rPr>
          <w:rFonts w:eastAsia="Times New Roman" w:cs="Arial"/>
          <w:b/>
          <w:bCs/>
          <w:color w:val="000000"/>
          <w:lang w:val="en-US"/>
        </w:rPr>
        <w:t>m</w:t>
      </w:r>
      <w:r w:rsidRPr="00C24C33">
        <w:rPr>
          <w:rFonts w:eastAsia="Times New Roman" w:cs="Arial"/>
          <w:b/>
          <w:bCs/>
          <w:color w:val="000000"/>
          <w:lang w:eastAsia="bg-BG"/>
        </w:rPr>
        <w:t>ах) се достига три часа (Т</w:t>
      </w:r>
      <w:r w:rsidRPr="00C24C33">
        <w:rPr>
          <w:rFonts w:eastAsia="Times New Roman" w:cs="Arial"/>
          <w:b/>
          <w:bCs/>
          <w:color w:val="000000"/>
          <w:lang w:val="en-US"/>
        </w:rPr>
        <w:t>m</w:t>
      </w:r>
      <w:r w:rsidRPr="00C24C33">
        <w:rPr>
          <w:rFonts w:eastAsia="Times New Roman" w:cs="Arial"/>
          <w:b/>
          <w:bCs/>
          <w:color w:val="000000"/>
          <w:lang w:eastAsia="bg-BG"/>
        </w:rPr>
        <w:t xml:space="preserve">ах) след приложението при възрастни на гладно. Средната бионаличност след перорално приложение е 64%. Пероралната бионаличност и Стах не се повлияват от прием на стандартизирана порция храна. Безопасността и ефикасността са били доказани в клинични изпитвания, при които филмираните таблетки от 10 </w:t>
      </w:r>
      <w:r w:rsidRPr="00C24C33">
        <w:rPr>
          <w:rFonts w:eastAsia="Times New Roman" w:cs="Arial"/>
          <w:b/>
          <w:bCs/>
          <w:color w:val="000000"/>
          <w:lang w:val="en-US"/>
        </w:rPr>
        <w:t xml:space="preserve">mg </w:t>
      </w:r>
      <w:r w:rsidRPr="00C24C33">
        <w:rPr>
          <w:rFonts w:eastAsia="Times New Roman" w:cs="Arial"/>
          <w:b/>
          <w:bCs/>
          <w:color w:val="000000"/>
          <w:lang w:eastAsia="bg-BG"/>
        </w:rPr>
        <w:t>са прилагани независимо от времето на хранене.</w:t>
      </w:r>
    </w:p>
    <w:p w14:paraId="34B77368" w14:textId="77777777" w:rsidR="00C24C33" w:rsidRPr="00C24C33" w:rsidRDefault="00C24C33" w:rsidP="00C24C33">
      <w:pPr>
        <w:spacing w:line="240" w:lineRule="auto"/>
        <w:rPr>
          <w:rFonts w:eastAsia="Times New Roman" w:cs="Arial"/>
          <w:b/>
          <w:bCs/>
          <w:color w:val="000000"/>
          <w:lang w:eastAsia="bg-BG"/>
        </w:rPr>
      </w:pPr>
    </w:p>
    <w:p w14:paraId="04F1D740" w14:textId="59267DDD"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За таблетките за дъвчене от 5 </w:t>
      </w:r>
      <w:r w:rsidRPr="00C24C33">
        <w:rPr>
          <w:rFonts w:eastAsia="Times New Roman" w:cs="Arial"/>
          <w:b/>
          <w:bCs/>
          <w:color w:val="000000"/>
          <w:lang w:val="en-US"/>
        </w:rPr>
        <w:t xml:space="preserve">mg </w:t>
      </w:r>
      <w:r w:rsidRPr="00C24C33">
        <w:rPr>
          <w:rFonts w:eastAsia="Times New Roman" w:cs="Arial"/>
          <w:b/>
          <w:bCs/>
          <w:color w:val="000000"/>
          <w:lang w:eastAsia="bg-BG"/>
        </w:rPr>
        <w:t>Стах се достига за два часа след прилагането при възрастни на гладно. Средната бионаличност след перорално приложение е 73% и намалява до 63% от стандартизирана порция храна.</w:t>
      </w:r>
    </w:p>
    <w:p w14:paraId="7E05E8C4" w14:textId="3FE26F3E" w:rsidR="00C24C33" w:rsidRPr="00C24C33" w:rsidRDefault="00C24C33" w:rsidP="00C24C33">
      <w:pPr>
        <w:spacing w:line="240" w:lineRule="auto"/>
        <w:rPr>
          <w:rFonts w:eastAsia="Times New Roman" w:cs="Arial"/>
          <w:b/>
          <w:bCs/>
          <w:i/>
          <w:iCs/>
          <w:color w:val="000000"/>
          <w:lang w:eastAsia="bg-BG"/>
        </w:rPr>
      </w:pPr>
    </w:p>
    <w:p w14:paraId="18982535" w14:textId="539B0B1B" w:rsidR="00C24C33" w:rsidRPr="00C24C33" w:rsidRDefault="00C24C33" w:rsidP="00C24C33">
      <w:pPr>
        <w:pStyle w:val="Heading3"/>
        <w:rPr>
          <w:rFonts w:eastAsia="Times New Roman"/>
          <w:b/>
          <w:u w:val="single"/>
          <w:lang w:eastAsia="bg-BG"/>
        </w:rPr>
      </w:pPr>
      <w:r w:rsidRPr="00C24C33">
        <w:rPr>
          <w:rFonts w:eastAsia="Times New Roman"/>
          <w:b/>
          <w:u w:val="single"/>
          <w:lang w:eastAsia="bg-BG"/>
        </w:rPr>
        <w:t>Разпределение:</w:t>
      </w:r>
    </w:p>
    <w:p w14:paraId="148BA3FC" w14:textId="53BF92C6" w:rsidR="0091385D"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Монтелукаст се свързва повече от 99% с плазмените протеини. Обемът на разпределение в стационарно състояние </w:t>
      </w:r>
      <w:r w:rsidRPr="00C24C33">
        <w:rPr>
          <w:rFonts w:eastAsia="Times New Roman" w:cs="Arial"/>
          <w:b/>
          <w:bCs/>
          <w:color w:val="000000"/>
          <w:lang w:val="en-US"/>
        </w:rPr>
        <w:t xml:space="preserve">(steady-state) </w:t>
      </w:r>
      <w:r w:rsidRPr="00C24C33">
        <w:rPr>
          <w:rFonts w:eastAsia="Times New Roman" w:cs="Arial"/>
          <w:b/>
          <w:bCs/>
          <w:color w:val="000000"/>
          <w:lang w:eastAsia="bg-BG"/>
        </w:rPr>
        <w:t>достига 8-11 литра. Изпитванията, проведени при плъхове с радиомаркиран монтелукаст, са показали минимално преминаване на кръвно-мозъчната бариера. Освен това, концентрациите на радиомаркираното вещество на 24-ия час след дозата са</w:t>
      </w:r>
      <w:r w:rsidRPr="00C24C33">
        <w:rPr>
          <w:rFonts w:eastAsia="Times New Roman" w:cs="Arial"/>
          <w:sz w:val="24"/>
          <w:szCs w:val="24"/>
          <w:lang w:eastAsia="bg-BG"/>
        </w:rPr>
        <w:t xml:space="preserve"> </w:t>
      </w:r>
      <w:r w:rsidRPr="00C24C33">
        <w:rPr>
          <w:rFonts w:eastAsia="Times New Roman" w:cs="Arial"/>
          <w:b/>
          <w:bCs/>
          <w:color w:val="000000"/>
          <w:lang w:eastAsia="bg-BG"/>
        </w:rPr>
        <w:t>минимални и във всички други тъкани.</w:t>
      </w:r>
    </w:p>
    <w:p w14:paraId="4EE1BB0B" w14:textId="62A98D04" w:rsidR="0091385D" w:rsidRDefault="0091385D" w:rsidP="0091385D"/>
    <w:p w14:paraId="3F9B2B05" w14:textId="77777777"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t>Биотрансформация:</w:t>
      </w:r>
    </w:p>
    <w:p w14:paraId="3ECE2D57"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Монтелукаст се метаболизира в голяма степен. В изпитвания с терапевтични дози, плазмените концентрации на метаболитите на монтелукаст не са измерими в стационарно състояние при възрастни и деца.</w:t>
      </w:r>
    </w:p>
    <w:p w14:paraId="33E91806" w14:textId="77777777" w:rsidR="00C24C33" w:rsidRPr="00C24C33" w:rsidRDefault="00C24C33" w:rsidP="00C24C33">
      <w:pPr>
        <w:spacing w:line="240" w:lineRule="auto"/>
        <w:rPr>
          <w:rFonts w:eastAsia="Times New Roman" w:cs="Arial"/>
          <w:b/>
          <w:bCs/>
          <w:color w:val="000000"/>
          <w:lang w:eastAsia="bg-BG"/>
        </w:rPr>
      </w:pPr>
    </w:p>
    <w:p w14:paraId="06AE4A3C" w14:textId="0C1244E1"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Цитохром Р450 2С8 е основният ензим в метаболизма на монтелукаст. Освен това </w:t>
      </w:r>
      <w:r w:rsidRPr="00C24C33">
        <w:rPr>
          <w:rFonts w:eastAsia="Times New Roman" w:cs="Arial"/>
          <w:b/>
          <w:bCs/>
          <w:color w:val="000000"/>
          <w:lang w:val="en-US"/>
        </w:rPr>
        <w:t xml:space="preserve">CYP </w:t>
      </w:r>
      <w:r w:rsidRPr="00C24C33">
        <w:rPr>
          <w:rFonts w:eastAsia="Times New Roman" w:cs="Arial"/>
          <w:b/>
          <w:bCs/>
          <w:color w:val="000000"/>
          <w:lang w:eastAsia="bg-BG"/>
        </w:rPr>
        <w:t xml:space="preserve">ЗА4 и 2С9 могат да имат минимален принос, въпреки че за итраконазол, инхибитор на </w:t>
      </w:r>
      <w:r w:rsidRPr="00C24C33">
        <w:rPr>
          <w:rFonts w:eastAsia="Times New Roman" w:cs="Arial"/>
          <w:b/>
          <w:bCs/>
          <w:color w:val="000000"/>
          <w:lang w:val="en-US"/>
        </w:rPr>
        <w:t xml:space="preserve">CYP </w:t>
      </w:r>
      <w:r w:rsidRPr="00C24C33">
        <w:rPr>
          <w:rFonts w:eastAsia="Times New Roman" w:cs="Arial"/>
          <w:b/>
          <w:bCs/>
          <w:color w:val="000000"/>
          <w:lang w:eastAsia="bg-BG"/>
        </w:rPr>
        <w:t xml:space="preserve">3А4, е доказано, че не променя фармакокинетичните стойности на монтелукаст при здрави пациенти, които са приемали 10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монтелукаст дневно. Въз основа на </w:t>
      </w:r>
      <w:r w:rsidRPr="00C24C33">
        <w:rPr>
          <w:rFonts w:eastAsia="Times New Roman" w:cs="Arial"/>
          <w:b/>
          <w:bCs/>
          <w:i/>
          <w:iCs/>
          <w:color w:val="000000"/>
          <w:lang w:val="en-US"/>
        </w:rPr>
        <w:t>in vitro</w:t>
      </w:r>
      <w:r w:rsidRPr="00C24C33">
        <w:rPr>
          <w:rFonts w:eastAsia="Times New Roman" w:cs="Arial"/>
          <w:b/>
          <w:bCs/>
          <w:color w:val="000000"/>
          <w:lang w:val="en-US"/>
        </w:rPr>
        <w:t xml:space="preserve"> </w:t>
      </w:r>
      <w:r w:rsidRPr="00C24C33">
        <w:rPr>
          <w:rFonts w:eastAsia="Times New Roman" w:cs="Arial"/>
          <w:b/>
          <w:bCs/>
          <w:color w:val="000000"/>
          <w:lang w:eastAsia="bg-BG"/>
        </w:rPr>
        <w:t xml:space="preserve">резултати в човешки чернодробни микрозоми е установено, че терапевтичната плазмена концентрация на монтелукаст не инхибира цитохроми Р450 ЗА4,2С9, 1А2, 2А6, 2С19 или </w:t>
      </w:r>
      <w:r w:rsidRPr="00C24C33">
        <w:rPr>
          <w:rFonts w:eastAsia="Times New Roman" w:cs="Arial"/>
          <w:b/>
          <w:bCs/>
          <w:color w:val="000000"/>
          <w:lang w:val="en-US"/>
        </w:rPr>
        <w:t xml:space="preserve">2D6. </w:t>
      </w:r>
      <w:r w:rsidRPr="00C24C33">
        <w:rPr>
          <w:rFonts w:eastAsia="Times New Roman" w:cs="Arial"/>
          <w:b/>
          <w:bCs/>
          <w:color w:val="000000"/>
          <w:lang w:eastAsia="bg-BG"/>
        </w:rPr>
        <w:t>Приносът на метаболитите за терапевтичния ефект на монтелукаст е минимален.</w:t>
      </w:r>
    </w:p>
    <w:p w14:paraId="19269A9C" w14:textId="77777777" w:rsidR="00C24C33" w:rsidRPr="00C24C33" w:rsidRDefault="00C24C33" w:rsidP="00C24C33">
      <w:pPr>
        <w:spacing w:line="240" w:lineRule="auto"/>
        <w:rPr>
          <w:rFonts w:eastAsia="Times New Roman" w:cs="Arial"/>
          <w:b/>
          <w:bCs/>
          <w:i/>
          <w:iCs/>
          <w:color w:val="000000"/>
          <w:lang w:eastAsia="bg-BG"/>
        </w:rPr>
      </w:pPr>
    </w:p>
    <w:p w14:paraId="67629B4A" w14:textId="1A17ABCD"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lastRenderedPageBreak/>
        <w:t>Елиминиране:</w:t>
      </w:r>
    </w:p>
    <w:p w14:paraId="4CEC4843"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При здрави възрастни, плазмения клирънс на монтелукаст е средно 45 </w:t>
      </w:r>
      <w:r w:rsidRPr="00C24C33">
        <w:rPr>
          <w:rFonts w:eastAsia="Times New Roman" w:cs="Arial"/>
          <w:b/>
          <w:bCs/>
          <w:color w:val="000000"/>
          <w:lang w:val="en-US"/>
        </w:rPr>
        <w:t xml:space="preserve">ml/min. </w:t>
      </w:r>
      <w:r w:rsidRPr="00C24C33">
        <w:rPr>
          <w:rFonts w:eastAsia="Times New Roman" w:cs="Arial"/>
          <w:b/>
          <w:bCs/>
          <w:color w:val="000000"/>
          <w:lang w:eastAsia="bg-BG"/>
        </w:rPr>
        <w:t>След перорална доза на радиомаркиран монтелукаст, 86% от радиоактивността се открива в изпражненията на 5-я ден и &lt;0,2% - в урината. Това, заедно с определената перорална бионаличност показва, че монтелукаст и метаболитите му се екскретират основно през жлъчката.</w:t>
      </w:r>
    </w:p>
    <w:p w14:paraId="7B767FD0" w14:textId="77777777" w:rsidR="00C24C33" w:rsidRPr="00C24C33" w:rsidRDefault="00C24C33" w:rsidP="00C24C33">
      <w:pPr>
        <w:spacing w:line="240" w:lineRule="auto"/>
        <w:rPr>
          <w:rFonts w:eastAsia="Times New Roman" w:cs="Arial"/>
          <w:b/>
          <w:bCs/>
          <w:i/>
          <w:iCs/>
          <w:color w:val="000000"/>
          <w:lang w:eastAsia="bg-BG"/>
        </w:rPr>
      </w:pPr>
    </w:p>
    <w:p w14:paraId="1F9D1F23" w14:textId="790622EB"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i/>
          <w:iCs/>
          <w:color w:val="000000"/>
          <w:lang w:eastAsia="bg-BG"/>
        </w:rPr>
        <w:t>Специални групи пациенти:</w:t>
      </w:r>
    </w:p>
    <w:p w14:paraId="69C051A9"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Не се налага корекция на дозата при пациенти в старческа възраст или лека до умерено тежка чернодробна недостатъчност. Не са провеждани изпитвания при пациенти с бъбречно увреждане. Тъй като монтелукаст и метаболитите му се елиминират през жлъчката, не се очаква да е необходима корекция на дозата при пациенти с бъбречни увреждания. Няма данни за фармакокинетиката на монтелукаст при пациенти с тежка чернодробна недостатъчност </w:t>
      </w:r>
      <w:r w:rsidRPr="00C24C33">
        <w:rPr>
          <w:rFonts w:eastAsia="Times New Roman" w:cs="Arial"/>
          <w:b/>
          <w:bCs/>
          <w:color w:val="000000"/>
          <w:lang w:val="en-US"/>
        </w:rPr>
        <w:t xml:space="preserve">(Child- Pugh </w:t>
      </w:r>
      <w:r w:rsidRPr="00C24C33">
        <w:rPr>
          <w:rFonts w:eastAsia="Times New Roman" w:cs="Arial"/>
          <w:b/>
          <w:bCs/>
          <w:color w:val="000000"/>
          <w:lang w:eastAsia="bg-BG"/>
        </w:rPr>
        <w:t>степен &gt;9).</w:t>
      </w:r>
    </w:p>
    <w:p w14:paraId="368AF48E" w14:textId="77777777" w:rsidR="00C24C33" w:rsidRPr="00C24C33" w:rsidRDefault="00C24C33" w:rsidP="00C24C33">
      <w:pPr>
        <w:rPr>
          <w:rFonts w:eastAsia="Times New Roman" w:cs="Arial"/>
          <w:b/>
          <w:bCs/>
          <w:color w:val="000000"/>
          <w:lang w:eastAsia="bg-BG"/>
        </w:rPr>
      </w:pPr>
    </w:p>
    <w:p w14:paraId="1D93B5A9" w14:textId="104B5F12" w:rsidR="00C24C33" w:rsidRPr="00C24C33" w:rsidRDefault="00C24C33" w:rsidP="00C24C33">
      <w:pPr>
        <w:rPr>
          <w:rFonts w:cs="Arial"/>
        </w:rPr>
      </w:pPr>
      <w:r w:rsidRPr="00C24C33">
        <w:rPr>
          <w:rFonts w:eastAsia="Times New Roman" w:cs="Arial"/>
          <w:b/>
          <w:bCs/>
          <w:color w:val="000000"/>
          <w:lang w:eastAsia="bg-BG"/>
        </w:rPr>
        <w:t xml:space="preserve">При високи дози монтелукаст (20- и 60 пъти над препоръчаната доза за възрастни), е наблюдавано понижение на плазмената концентрация на теофилин. Този ефект не е наблюдаван при препоръчителната доза от 10 </w:t>
      </w:r>
      <w:r w:rsidRPr="00C24C33">
        <w:rPr>
          <w:rFonts w:eastAsia="Times New Roman" w:cs="Arial"/>
          <w:b/>
          <w:bCs/>
          <w:color w:val="000000"/>
          <w:lang w:val="en-US"/>
        </w:rPr>
        <w:t xml:space="preserve">mg </w:t>
      </w:r>
      <w:r w:rsidRPr="00C24C33">
        <w:rPr>
          <w:rFonts w:eastAsia="Times New Roman" w:cs="Arial"/>
          <w:b/>
          <w:bCs/>
          <w:color w:val="000000"/>
          <w:lang w:eastAsia="bg-BG"/>
        </w:rPr>
        <w:t>веднъж дневно.</w:t>
      </w:r>
    </w:p>
    <w:p w14:paraId="7050E717" w14:textId="77777777" w:rsidR="00C24C33" w:rsidRPr="0091385D" w:rsidRDefault="00C24C33"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7ACE19F7" w14:textId="77777777" w:rsidR="0044238A" w:rsidRPr="0044238A" w:rsidRDefault="0044238A" w:rsidP="0044238A">
      <w:pPr>
        <w:spacing w:line="240" w:lineRule="auto"/>
        <w:rPr>
          <w:rFonts w:eastAsia="Times New Roman" w:cs="Arial"/>
          <w:sz w:val="24"/>
          <w:szCs w:val="24"/>
          <w:lang w:eastAsia="bg-BG"/>
        </w:rPr>
      </w:pPr>
      <w:r w:rsidRPr="0044238A">
        <w:rPr>
          <w:rFonts w:eastAsia="Times New Roman" w:cs="Arial"/>
          <w:b/>
          <w:bCs/>
          <w:color w:val="000000"/>
          <w:lang w:eastAsia="bg-BG"/>
        </w:rPr>
        <w:t xml:space="preserve">При проучвания за токсичност при животни, са наблюдавани незначителни серумни биохимични промени в </w:t>
      </w:r>
      <w:r w:rsidRPr="0044238A">
        <w:rPr>
          <w:rFonts w:eastAsia="Times New Roman" w:cs="Arial"/>
          <w:b/>
          <w:bCs/>
          <w:color w:val="000000"/>
          <w:lang w:val="en-US"/>
        </w:rPr>
        <w:t xml:space="preserve">ALT, </w:t>
      </w:r>
      <w:r w:rsidRPr="0044238A">
        <w:rPr>
          <w:rFonts w:eastAsia="Times New Roman" w:cs="Arial"/>
          <w:b/>
          <w:bCs/>
          <w:color w:val="000000"/>
          <w:lang w:eastAsia="bg-BG"/>
        </w:rPr>
        <w:t xml:space="preserve">глюкоза, фосфор и триглицериди, които са имали преходен характер. Признаците на токсичност при животните са били увеличено слюноотделяне, стомашно-чревни симптоми, редки изпражнения и йонен дисбаланс. Те са наблюдавани при дози, осигуряващи &gt;17 пъти системната експозиция при клиничната доза. При маймуни нежеланите лекарствени реакции са възниквали при дози от 150 </w:t>
      </w:r>
      <w:r w:rsidRPr="0044238A">
        <w:rPr>
          <w:rFonts w:eastAsia="Times New Roman" w:cs="Arial"/>
          <w:b/>
          <w:bCs/>
          <w:color w:val="000000"/>
          <w:lang w:val="en-US"/>
        </w:rPr>
        <w:t>mg/kg</w:t>
      </w:r>
      <w:r w:rsidRPr="0044238A">
        <w:rPr>
          <w:rFonts w:eastAsia="Times New Roman" w:cs="Arial"/>
          <w:b/>
          <w:bCs/>
          <w:color w:val="000000"/>
          <w:lang w:eastAsia="bg-BG"/>
        </w:rPr>
        <w:t xml:space="preserve">/дневно (&gt; 232 пъти системната експозиция при клиничната доза). В проучвания при животни монтелукаст не е засегнал фертилитета или репродуктивната способност при системна експозиция, надвишаваща клиничната системна експозиция повече от 24 пъти. Леко понижаване на теглото на новородените е отбелязано при изследване на женския фертилитет при плъхове при 200 </w:t>
      </w:r>
      <w:r w:rsidRPr="0044238A">
        <w:rPr>
          <w:rFonts w:eastAsia="Times New Roman" w:cs="Arial"/>
          <w:b/>
          <w:bCs/>
          <w:color w:val="000000"/>
          <w:lang w:val="en-US"/>
        </w:rPr>
        <w:t>mg/kg</w:t>
      </w:r>
      <w:r w:rsidRPr="0044238A">
        <w:rPr>
          <w:rFonts w:eastAsia="Times New Roman" w:cs="Arial"/>
          <w:b/>
          <w:bCs/>
          <w:color w:val="000000"/>
          <w:lang w:eastAsia="bg-BG"/>
        </w:rPr>
        <w:t>/дневно (&gt; 69 пъти клиничната системна експозиция). В проучвания при зайци, по-висока честота на незавършена осификация в сравнение със съответните контролни животни, се наблюдава при системна експозиция &gt; 24 пъти над клиничната системна експозиция при клиничната доза. Не са наблюдавани аномалии при плъхове. Установено е, че монтелукаст преминава плацентарната бариера и се екскретира в кърмата на животните.</w:t>
      </w:r>
    </w:p>
    <w:p w14:paraId="1A3AEE02" w14:textId="77777777" w:rsidR="0044238A" w:rsidRPr="0044238A" w:rsidRDefault="0044238A" w:rsidP="0044238A">
      <w:pPr>
        <w:rPr>
          <w:rFonts w:eastAsia="Times New Roman" w:cs="Arial"/>
          <w:b/>
          <w:bCs/>
          <w:color w:val="000000"/>
          <w:lang w:eastAsia="bg-BG"/>
        </w:rPr>
      </w:pPr>
    </w:p>
    <w:p w14:paraId="31659051" w14:textId="77777777" w:rsidR="0044238A" w:rsidRPr="0044238A" w:rsidRDefault="0044238A" w:rsidP="0044238A">
      <w:pPr>
        <w:rPr>
          <w:rFonts w:eastAsia="Times New Roman" w:cs="Arial"/>
          <w:sz w:val="24"/>
          <w:szCs w:val="24"/>
          <w:lang w:eastAsia="bg-BG"/>
        </w:rPr>
      </w:pPr>
      <w:r w:rsidRPr="0044238A">
        <w:rPr>
          <w:rFonts w:eastAsia="Times New Roman" w:cs="Arial"/>
          <w:b/>
          <w:bCs/>
          <w:color w:val="000000"/>
          <w:lang w:eastAsia="bg-BG"/>
        </w:rPr>
        <w:t xml:space="preserve">Не са наблюдавани смъртни случаи при еднократен перорален прием на монтелукаст натрий при дози до 5 000 </w:t>
      </w:r>
      <w:r w:rsidRPr="0044238A">
        <w:rPr>
          <w:rFonts w:eastAsia="Times New Roman" w:cs="Arial"/>
          <w:b/>
          <w:bCs/>
          <w:color w:val="000000"/>
          <w:lang w:val="en-US"/>
        </w:rPr>
        <w:t xml:space="preserve">mg/kg </w:t>
      </w:r>
      <w:r w:rsidRPr="0044238A">
        <w:rPr>
          <w:rFonts w:eastAsia="Times New Roman" w:cs="Arial"/>
          <w:b/>
          <w:bCs/>
          <w:color w:val="000000"/>
          <w:lang w:eastAsia="bg-BG"/>
        </w:rPr>
        <w:t xml:space="preserve">при мишки и плъхове (съответно 15 000 </w:t>
      </w:r>
      <w:r w:rsidRPr="0044238A">
        <w:rPr>
          <w:rFonts w:eastAsia="Times New Roman" w:cs="Arial"/>
          <w:b/>
          <w:bCs/>
          <w:color w:val="000000"/>
          <w:lang w:val="en-US"/>
        </w:rPr>
        <w:t>mg/m</w:t>
      </w:r>
      <w:r w:rsidRPr="0044238A">
        <w:rPr>
          <w:rFonts w:eastAsia="Times New Roman" w:cs="Arial"/>
          <w:b/>
          <w:bCs/>
          <w:color w:val="000000"/>
          <w:vertAlign w:val="superscript"/>
          <w:lang w:val="en-US"/>
        </w:rPr>
        <w:t>2</w:t>
      </w:r>
      <w:r w:rsidRPr="0044238A">
        <w:rPr>
          <w:rFonts w:eastAsia="Times New Roman" w:cs="Arial"/>
          <w:b/>
          <w:bCs/>
          <w:color w:val="000000"/>
          <w:vertAlign w:val="superscript"/>
          <w:lang w:eastAsia="bg-BG"/>
        </w:rPr>
        <w:t xml:space="preserve"> </w:t>
      </w:r>
      <w:r w:rsidRPr="0044238A">
        <w:rPr>
          <w:rFonts w:eastAsia="Times New Roman" w:cs="Arial"/>
          <w:b/>
          <w:bCs/>
          <w:color w:val="000000"/>
          <w:lang w:eastAsia="bg-BG"/>
        </w:rPr>
        <w:t xml:space="preserve">и 30 000 </w:t>
      </w:r>
      <w:r w:rsidRPr="0044238A">
        <w:rPr>
          <w:rFonts w:eastAsia="Times New Roman" w:cs="Arial"/>
          <w:b/>
          <w:bCs/>
          <w:color w:val="000000"/>
          <w:lang w:val="en-US"/>
        </w:rPr>
        <w:t>mg/m</w:t>
      </w:r>
      <w:r w:rsidRPr="0044238A">
        <w:rPr>
          <w:rFonts w:eastAsia="Times New Roman" w:cs="Arial"/>
          <w:b/>
          <w:bCs/>
          <w:color w:val="000000"/>
          <w:vertAlign w:val="superscript"/>
          <w:lang w:val="en-US"/>
        </w:rPr>
        <w:t>2</w:t>
      </w:r>
      <w:r w:rsidRPr="0044238A">
        <w:rPr>
          <w:rFonts w:eastAsia="Times New Roman" w:cs="Arial"/>
          <w:b/>
          <w:bCs/>
          <w:color w:val="000000"/>
          <w:vertAlign w:val="superscript"/>
          <w:lang w:eastAsia="bg-BG"/>
        </w:rPr>
        <w:t xml:space="preserve"> </w:t>
      </w:r>
      <w:r w:rsidRPr="0044238A">
        <w:rPr>
          <w:rFonts w:eastAsia="Times New Roman" w:cs="Arial"/>
          <w:b/>
          <w:bCs/>
          <w:color w:val="000000"/>
          <w:lang w:eastAsia="bg-BG"/>
        </w:rPr>
        <w:t xml:space="preserve">при мишки и плъхове), което е максималната изпитвана доза. Тази доза е еквивалентна на 25 000 пъти препоръчваната дневна доза за възрастен човек (въз основа на тегло от 50 </w:t>
      </w:r>
      <w:r w:rsidRPr="0044238A">
        <w:rPr>
          <w:rFonts w:eastAsia="Times New Roman" w:cs="Arial"/>
          <w:b/>
          <w:bCs/>
          <w:color w:val="000000"/>
          <w:lang w:val="en-US"/>
        </w:rPr>
        <w:t xml:space="preserve">kg </w:t>
      </w:r>
      <w:r w:rsidRPr="0044238A">
        <w:rPr>
          <w:rFonts w:eastAsia="Times New Roman" w:cs="Arial"/>
          <w:b/>
          <w:bCs/>
          <w:color w:val="000000"/>
          <w:lang w:eastAsia="bg-BG"/>
        </w:rPr>
        <w:t>при възрастен пациент).</w:t>
      </w:r>
    </w:p>
    <w:p w14:paraId="205E3918" w14:textId="06FC1DCF" w:rsidR="0044238A" w:rsidRPr="0044238A" w:rsidRDefault="0044238A" w:rsidP="0044238A">
      <w:pPr>
        <w:spacing w:line="240" w:lineRule="auto"/>
        <w:rPr>
          <w:rFonts w:eastAsia="Times New Roman" w:cs="Arial"/>
          <w:sz w:val="24"/>
          <w:szCs w:val="24"/>
          <w:lang w:eastAsia="bg-BG"/>
        </w:rPr>
      </w:pPr>
    </w:p>
    <w:p w14:paraId="62B56B62" w14:textId="70A20374" w:rsidR="00954DAD" w:rsidRDefault="0044238A" w:rsidP="0044238A">
      <w:pPr>
        <w:rPr>
          <w:rFonts w:eastAsia="Times New Roman" w:cs="Arial"/>
          <w:b/>
          <w:bCs/>
          <w:color w:val="000000"/>
          <w:lang w:eastAsia="bg-BG"/>
        </w:rPr>
      </w:pPr>
      <w:r w:rsidRPr="0044238A">
        <w:rPr>
          <w:rFonts w:eastAsia="Times New Roman" w:cs="Arial"/>
          <w:b/>
          <w:bCs/>
          <w:color w:val="000000"/>
          <w:lang w:eastAsia="bg-BG"/>
        </w:rPr>
        <w:t xml:space="preserve">Установено е, че монтелукаст не е фототоксичен при мишки за в </w:t>
      </w:r>
      <w:r w:rsidRPr="0044238A">
        <w:rPr>
          <w:rFonts w:eastAsia="Times New Roman" w:cs="Arial"/>
          <w:b/>
          <w:bCs/>
          <w:color w:val="000000"/>
          <w:lang w:val="en-US"/>
        </w:rPr>
        <w:t xml:space="preserve">UVA, UVB </w:t>
      </w:r>
      <w:r w:rsidRPr="0044238A">
        <w:rPr>
          <w:rFonts w:eastAsia="Times New Roman" w:cs="Arial"/>
          <w:b/>
          <w:bCs/>
          <w:color w:val="000000"/>
          <w:lang w:eastAsia="bg-BG"/>
        </w:rPr>
        <w:t xml:space="preserve">или видимия спектър при дози до 500 </w:t>
      </w:r>
      <w:r w:rsidRPr="0044238A">
        <w:rPr>
          <w:rFonts w:eastAsia="Times New Roman" w:cs="Arial"/>
          <w:b/>
          <w:bCs/>
          <w:color w:val="000000"/>
          <w:lang w:val="en-US"/>
        </w:rPr>
        <w:t>mg/kg</w:t>
      </w:r>
      <w:r w:rsidRPr="0044238A">
        <w:rPr>
          <w:rFonts w:eastAsia="Times New Roman" w:cs="Arial"/>
          <w:b/>
          <w:bCs/>
          <w:color w:val="000000"/>
          <w:lang w:eastAsia="bg-BG"/>
        </w:rPr>
        <w:t>/ден (приблизително &gt; 200 пъти въз основа</w:t>
      </w:r>
      <w:r w:rsidR="00954DAD">
        <w:rPr>
          <w:rFonts w:eastAsia="Times New Roman" w:cs="Arial"/>
          <w:b/>
          <w:bCs/>
          <w:color w:val="000000"/>
          <w:lang w:eastAsia="bg-BG"/>
        </w:rPr>
        <w:t xml:space="preserve"> </w:t>
      </w:r>
      <w:r w:rsidRPr="0044238A">
        <w:rPr>
          <w:rFonts w:eastAsia="Times New Roman" w:cs="Arial"/>
          <w:b/>
          <w:bCs/>
          <w:color w:val="000000"/>
          <w:lang w:eastAsia="bg-BG"/>
        </w:rPr>
        <w:t xml:space="preserve">на системната експозиция). </w:t>
      </w:r>
    </w:p>
    <w:p w14:paraId="549052EC" w14:textId="77777777" w:rsidR="00954DAD" w:rsidRDefault="00954DAD" w:rsidP="0044238A">
      <w:pPr>
        <w:rPr>
          <w:rFonts w:eastAsia="Times New Roman" w:cs="Arial"/>
          <w:b/>
          <w:bCs/>
          <w:color w:val="000000"/>
          <w:lang w:eastAsia="bg-BG"/>
        </w:rPr>
      </w:pPr>
    </w:p>
    <w:p w14:paraId="52E4D01A" w14:textId="64E5879C" w:rsidR="0091385D" w:rsidRPr="0044238A" w:rsidRDefault="0044238A" w:rsidP="0044238A">
      <w:pPr>
        <w:rPr>
          <w:rFonts w:cs="Arial"/>
        </w:rPr>
      </w:pPr>
      <w:r w:rsidRPr="0044238A">
        <w:rPr>
          <w:rFonts w:eastAsia="Times New Roman" w:cs="Arial"/>
          <w:b/>
          <w:bCs/>
          <w:color w:val="000000"/>
          <w:lang w:eastAsia="bg-BG"/>
        </w:rPr>
        <w:t xml:space="preserve">Монтелукаст не е мутагенен при </w:t>
      </w:r>
      <w:r w:rsidRPr="0044238A">
        <w:rPr>
          <w:rFonts w:eastAsia="Times New Roman" w:cs="Arial"/>
          <w:b/>
          <w:bCs/>
          <w:i/>
          <w:iCs/>
          <w:color w:val="000000"/>
          <w:lang w:val="en-US"/>
        </w:rPr>
        <w:t>in vitro</w:t>
      </w:r>
      <w:r w:rsidRPr="0044238A">
        <w:rPr>
          <w:rFonts w:eastAsia="Times New Roman" w:cs="Arial"/>
          <w:b/>
          <w:bCs/>
          <w:color w:val="000000"/>
          <w:lang w:val="en-US"/>
        </w:rPr>
        <w:t xml:space="preserve"> </w:t>
      </w:r>
      <w:r w:rsidRPr="0044238A">
        <w:rPr>
          <w:rFonts w:eastAsia="Times New Roman" w:cs="Arial"/>
          <w:b/>
          <w:bCs/>
          <w:color w:val="000000"/>
          <w:lang w:eastAsia="bg-BG"/>
        </w:rPr>
        <w:t xml:space="preserve">и </w:t>
      </w:r>
      <w:r w:rsidRPr="0044238A">
        <w:rPr>
          <w:rFonts w:eastAsia="Times New Roman" w:cs="Arial"/>
          <w:b/>
          <w:bCs/>
          <w:i/>
          <w:iCs/>
          <w:color w:val="000000"/>
          <w:lang w:val="en-US"/>
        </w:rPr>
        <w:t>in vivo</w:t>
      </w:r>
      <w:r w:rsidRPr="0044238A">
        <w:rPr>
          <w:rFonts w:eastAsia="Times New Roman" w:cs="Arial"/>
          <w:b/>
          <w:bCs/>
          <w:color w:val="000000"/>
          <w:lang w:val="en-US"/>
        </w:rPr>
        <w:t xml:space="preserve"> </w:t>
      </w:r>
      <w:r w:rsidRPr="0044238A">
        <w:rPr>
          <w:rFonts w:eastAsia="Times New Roman" w:cs="Arial"/>
          <w:b/>
          <w:bCs/>
          <w:color w:val="000000"/>
          <w:lang w:eastAsia="bg-BG"/>
        </w:rPr>
        <w:t>тестове, нито е туморогенен при гризачи.</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4900052B" w14:textId="77777777" w:rsidR="0044238A" w:rsidRPr="0044238A" w:rsidRDefault="0044238A" w:rsidP="0044238A">
      <w:pPr>
        <w:spacing w:line="240" w:lineRule="auto"/>
        <w:rPr>
          <w:rFonts w:eastAsia="Times New Roman" w:cs="Arial"/>
          <w:lang w:val="en-US" w:eastAsia="bg-BG"/>
        </w:rPr>
      </w:pPr>
      <w:r w:rsidRPr="0044238A">
        <w:rPr>
          <w:rFonts w:eastAsia="Times New Roman" w:cs="Arial"/>
          <w:b/>
          <w:bCs/>
          <w:color w:val="000000"/>
          <w:lang w:val="en-US"/>
        </w:rPr>
        <w:t xml:space="preserve">Accord Healthcare </w:t>
      </w:r>
      <w:proofErr w:type="spellStart"/>
      <w:r w:rsidRPr="0044238A">
        <w:rPr>
          <w:rFonts w:eastAsia="Times New Roman" w:cs="Arial"/>
          <w:b/>
          <w:bCs/>
          <w:color w:val="000000"/>
          <w:lang w:val="en-US"/>
        </w:rPr>
        <w:t>Polska</w:t>
      </w:r>
      <w:proofErr w:type="spellEnd"/>
      <w:r w:rsidRPr="0044238A">
        <w:rPr>
          <w:rFonts w:eastAsia="Times New Roman" w:cs="Arial"/>
          <w:b/>
          <w:bCs/>
          <w:color w:val="000000"/>
          <w:lang w:val="en-US"/>
        </w:rPr>
        <w:t xml:space="preserve"> Sp. z </w:t>
      </w:r>
      <w:proofErr w:type="spellStart"/>
      <w:r w:rsidRPr="0044238A">
        <w:rPr>
          <w:rFonts w:eastAsia="Times New Roman" w:cs="Arial"/>
          <w:b/>
          <w:bCs/>
          <w:color w:val="000000"/>
          <w:lang w:val="en-US"/>
        </w:rPr>
        <w:t>o.o</w:t>
      </w:r>
      <w:proofErr w:type="spellEnd"/>
      <w:proofErr w:type="gramStart"/>
      <w:r w:rsidRPr="0044238A">
        <w:rPr>
          <w:rFonts w:eastAsia="Times New Roman" w:cs="Arial"/>
          <w:b/>
          <w:bCs/>
          <w:color w:val="000000"/>
          <w:lang w:val="en-US"/>
        </w:rPr>
        <w:t>.,</w:t>
      </w:r>
      <w:proofErr w:type="gramEnd"/>
    </w:p>
    <w:p w14:paraId="20D30F47" w14:textId="77777777" w:rsidR="0044238A" w:rsidRPr="0044238A" w:rsidRDefault="0044238A" w:rsidP="0044238A">
      <w:pPr>
        <w:spacing w:line="240" w:lineRule="auto"/>
        <w:rPr>
          <w:rFonts w:eastAsia="Times New Roman" w:cs="Arial"/>
          <w:lang w:val="en-US" w:eastAsia="bg-BG"/>
        </w:rPr>
      </w:pPr>
      <w:proofErr w:type="spellStart"/>
      <w:proofErr w:type="gramStart"/>
      <w:r w:rsidRPr="0044238A">
        <w:rPr>
          <w:rFonts w:eastAsia="Times New Roman" w:cs="Arial"/>
          <w:b/>
          <w:bCs/>
          <w:color w:val="000000"/>
          <w:lang w:val="en-US"/>
        </w:rPr>
        <w:t>ul</w:t>
      </w:r>
      <w:proofErr w:type="spellEnd"/>
      <w:proofErr w:type="gramEnd"/>
      <w:r w:rsidRPr="0044238A">
        <w:rPr>
          <w:rFonts w:eastAsia="Times New Roman" w:cs="Arial"/>
          <w:b/>
          <w:bCs/>
          <w:color w:val="000000"/>
          <w:lang w:val="en-US"/>
        </w:rPr>
        <w:t xml:space="preserve">. </w:t>
      </w:r>
      <w:r w:rsidRPr="0044238A">
        <w:rPr>
          <w:rFonts w:eastAsia="Times New Roman" w:cs="Arial"/>
          <w:b/>
          <w:bCs/>
          <w:color w:val="000000"/>
          <w:lang w:eastAsia="bg-BG"/>
        </w:rPr>
        <w:t>Taśmowa</w:t>
      </w:r>
      <w:r w:rsidRPr="0044238A">
        <w:rPr>
          <w:rFonts w:eastAsia="Times New Roman" w:cs="Arial"/>
          <w:b/>
          <w:bCs/>
          <w:color w:val="000000"/>
          <w:lang w:val="en-US"/>
        </w:rPr>
        <w:t xml:space="preserve"> 7,</w:t>
      </w:r>
    </w:p>
    <w:p w14:paraId="5BFDDA4D" w14:textId="77777777" w:rsidR="0044238A" w:rsidRPr="0044238A" w:rsidRDefault="0044238A" w:rsidP="0044238A">
      <w:pPr>
        <w:spacing w:line="240" w:lineRule="auto"/>
        <w:rPr>
          <w:rFonts w:eastAsia="Times New Roman" w:cs="Arial"/>
          <w:lang w:val="en-US" w:eastAsia="bg-BG"/>
        </w:rPr>
      </w:pPr>
      <w:r w:rsidRPr="0044238A">
        <w:rPr>
          <w:rFonts w:eastAsia="Times New Roman" w:cs="Arial"/>
          <w:b/>
          <w:bCs/>
          <w:color w:val="000000"/>
          <w:lang w:val="en-US"/>
        </w:rPr>
        <w:t xml:space="preserve">02-677, Warszawa, </w:t>
      </w:r>
      <w:proofErr w:type="spellStart"/>
      <w:r w:rsidRPr="0044238A">
        <w:rPr>
          <w:rFonts w:eastAsia="Times New Roman" w:cs="Arial"/>
          <w:b/>
          <w:bCs/>
          <w:color w:val="000000"/>
          <w:lang w:val="en-US"/>
        </w:rPr>
        <w:t>Mazowieckie</w:t>
      </w:r>
      <w:proofErr w:type="spellEnd"/>
      <w:r w:rsidRPr="0044238A">
        <w:rPr>
          <w:rFonts w:eastAsia="Times New Roman" w:cs="Arial"/>
          <w:b/>
          <w:bCs/>
          <w:color w:val="000000"/>
          <w:lang w:val="en-US"/>
        </w:rPr>
        <w:t>,</w:t>
      </w:r>
    </w:p>
    <w:p w14:paraId="3FD825DB" w14:textId="34ACAF10" w:rsidR="0091385D" w:rsidRPr="0044238A" w:rsidRDefault="0044238A" w:rsidP="0044238A">
      <w:pPr>
        <w:rPr>
          <w:rFonts w:cs="Arial"/>
        </w:rPr>
      </w:pPr>
      <w:r w:rsidRPr="0044238A">
        <w:rPr>
          <w:rFonts w:eastAsia="Times New Roman" w:cs="Arial"/>
          <w:b/>
          <w:bCs/>
          <w:color w:val="000000"/>
          <w:lang w:eastAsia="bg-BG"/>
        </w:rPr>
        <w:t>Полша</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56ABDAA7" w:rsidR="0091385D" w:rsidRPr="0044238A" w:rsidRDefault="00FA643B" w:rsidP="0091385D">
      <w:pPr>
        <w:rPr>
          <w:rFonts w:cs="Arial"/>
        </w:rPr>
      </w:pPr>
      <w:r>
        <w:rPr>
          <w:rFonts w:cs="Arial"/>
          <w:b/>
          <w:bCs/>
        </w:rPr>
        <w:t>Рег.№ 20120253</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1CC696BC" w14:textId="72F45B3C" w:rsidR="0044238A" w:rsidRPr="0044238A" w:rsidRDefault="00FA643B" w:rsidP="0044238A">
      <w:pPr>
        <w:spacing w:line="240" w:lineRule="auto"/>
        <w:rPr>
          <w:rFonts w:eastAsia="Times New Roman" w:cs="Arial"/>
          <w:lang w:eastAsia="bg-BG"/>
        </w:rPr>
      </w:pPr>
      <w:r>
        <w:rPr>
          <w:rFonts w:eastAsia="Times New Roman" w:cs="Arial"/>
          <w:b/>
          <w:bCs/>
          <w:color w:val="000000"/>
          <w:lang w:eastAsia="bg-BG"/>
        </w:rPr>
        <w:t>Дата на първо разрешаване: 18.05.2012</w:t>
      </w:r>
      <w:r w:rsidR="0044238A" w:rsidRPr="0044238A">
        <w:rPr>
          <w:rFonts w:eastAsia="Times New Roman" w:cs="Arial"/>
          <w:b/>
          <w:bCs/>
          <w:color w:val="000000"/>
          <w:lang w:eastAsia="bg-BG"/>
        </w:rPr>
        <w:t xml:space="preserve"> г.</w:t>
      </w:r>
    </w:p>
    <w:p w14:paraId="497007FA" w14:textId="4D14CC75" w:rsidR="0091385D" w:rsidRPr="0044238A" w:rsidRDefault="00FA643B" w:rsidP="0044238A">
      <w:pPr>
        <w:rPr>
          <w:rFonts w:cs="Arial"/>
        </w:rPr>
      </w:pPr>
      <w:r>
        <w:rPr>
          <w:rFonts w:eastAsia="Times New Roman" w:cs="Arial"/>
          <w:b/>
          <w:bCs/>
          <w:color w:val="000000"/>
          <w:lang w:eastAsia="bg-BG"/>
        </w:rPr>
        <w:t>Дата на последно подновяване: 05.04.2018</w:t>
      </w:r>
      <w:r w:rsidR="0044238A" w:rsidRPr="0044238A">
        <w:rPr>
          <w:rFonts w:eastAsia="Times New Roman" w:cs="Arial"/>
          <w:b/>
          <w:bCs/>
          <w:color w:val="000000"/>
          <w:lang w:eastAsia="bg-BG"/>
        </w:rPr>
        <w:t xml:space="preserve">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78659B96" w:rsidR="0091385D" w:rsidRPr="0044238A" w:rsidRDefault="00FA643B" w:rsidP="0091385D">
      <w:pPr>
        <w:rPr>
          <w:rFonts w:cs="Arial"/>
        </w:rPr>
      </w:pPr>
      <w:r>
        <w:rPr>
          <w:rFonts w:cs="Arial"/>
          <w:b/>
          <w:bCs/>
        </w:rPr>
        <w:t>Ноемвр</w:t>
      </w:r>
      <w:bookmarkStart w:id="1" w:name="_GoBack"/>
      <w:bookmarkEnd w:id="1"/>
      <w:r w:rsidR="0044238A" w:rsidRPr="0044238A">
        <w:rPr>
          <w:rFonts w:cs="Arial"/>
          <w:b/>
          <w:bCs/>
        </w:rPr>
        <w:t>и 2020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9E625F"/>
    <w:multiLevelType w:val="hybridMultilevel"/>
    <w:tmpl w:val="317849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E074F"/>
    <w:multiLevelType w:val="hybridMultilevel"/>
    <w:tmpl w:val="43DA81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2"/>
  </w:num>
  <w:num w:numId="28">
    <w:abstractNumId w:val="7"/>
  </w:num>
  <w:num w:numId="29">
    <w:abstractNumId w:val="20"/>
  </w:num>
  <w:num w:numId="30">
    <w:abstractNumId w:val="35"/>
  </w:num>
  <w:num w:numId="31">
    <w:abstractNumId w:val="6"/>
  </w:num>
  <w:num w:numId="32">
    <w:abstractNumId w:val="34"/>
  </w:num>
  <w:num w:numId="33">
    <w:abstractNumId w:val="28"/>
  </w:num>
  <w:num w:numId="34">
    <w:abstractNumId w:val="33"/>
  </w:num>
  <w:num w:numId="35">
    <w:abstractNumId w:val="3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8411C"/>
    <w:rsid w:val="00395555"/>
    <w:rsid w:val="003E3126"/>
    <w:rsid w:val="00426E5F"/>
    <w:rsid w:val="0044238A"/>
    <w:rsid w:val="004A448E"/>
    <w:rsid w:val="004C4A8D"/>
    <w:rsid w:val="004D4D6B"/>
    <w:rsid w:val="004F1CE7"/>
    <w:rsid w:val="004F498A"/>
    <w:rsid w:val="00517A5B"/>
    <w:rsid w:val="00566BD0"/>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8F1AF3"/>
    <w:rsid w:val="008F2494"/>
    <w:rsid w:val="0091385D"/>
    <w:rsid w:val="00954DAD"/>
    <w:rsid w:val="009773E4"/>
    <w:rsid w:val="009B171C"/>
    <w:rsid w:val="009F1313"/>
    <w:rsid w:val="00A20351"/>
    <w:rsid w:val="00A65A81"/>
    <w:rsid w:val="00A73575"/>
    <w:rsid w:val="00AA23EC"/>
    <w:rsid w:val="00AC63CE"/>
    <w:rsid w:val="00AE2107"/>
    <w:rsid w:val="00B275A8"/>
    <w:rsid w:val="00BF2600"/>
    <w:rsid w:val="00C0049F"/>
    <w:rsid w:val="00C07B84"/>
    <w:rsid w:val="00C24C33"/>
    <w:rsid w:val="00C33464"/>
    <w:rsid w:val="00C40420"/>
    <w:rsid w:val="00C57319"/>
    <w:rsid w:val="00C809A7"/>
    <w:rsid w:val="00C83063"/>
    <w:rsid w:val="00C87E90"/>
    <w:rsid w:val="00CA1B57"/>
    <w:rsid w:val="00CF77F7"/>
    <w:rsid w:val="00D86297"/>
    <w:rsid w:val="00DD466D"/>
    <w:rsid w:val="00EB6364"/>
    <w:rsid w:val="00F37B64"/>
    <w:rsid w:val="00FA643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4665</Words>
  <Characters>26596</Characters>
  <Application>Microsoft Office Word</Application>
  <DocSecurity>0</DocSecurity>
  <Lines>221</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2022-10-03T00:37:00Z</dcterms:created>
  <dcterms:modified xsi:type="dcterms:W3CDTF">2022-10-03T00:37:00Z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