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1BBB3756" w14:textId="03F811C9" w:rsidR="00C07B84" w:rsidRDefault="00DD466D" w:rsidP="00DD466D">
      <w:pPr>
        <w:pStyle w:val="Heading1"/>
      </w:pPr>
      <w:r>
        <w:t>1.ИМЕ НА ЛЕКАРСТВЕНИЯ ПРОДУКТ</w:t>
      </w:r>
    </w:p>
    <w:p w14:paraId="2F570DDC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МОНУРАЛ 3 </w:t>
      </w:r>
      <w:r w:rsidRPr="00957E26">
        <w:t xml:space="preserve">g </w:t>
      </w:r>
      <w:r w:rsidRPr="00957E26">
        <w:rPr>
          <w:lang w:eastAsia="bg-BG"/>
        </w:rPr>
        <w:t>гранули за перорален разтвор</w:t>
      </w:r>
    </w:p>
    <w:p w14:paraId="5ECEF155" w14:textId="3AECCE34" w:rsidR="00957E26" w:rsidRPr="00957E26" w:rsidRDefault="00957E26" w:rsidP="00957E26">
      <w:pPr>
        <w:rPr>
          <w:sz w:val="24"/>
          <w:szCs w:val="24"/>
        </w:rPr>
      </w:pPr>
      <w:r w:rsidRPr="00957E26">
        <w:t xml:space="preserve">MONURAL </w:t>
      </w:r>
      <w:r w:rsidRPr="00957E26">
        <w:rPr>
          <w:lang w:eastAsia="bg-BG"/>
        </w:rPr>
        <w:t xml:space="preserve">3 </w:t>
      </w:r>
      <w:r w:rsidRPr="00957E26">
        <w:t xml:space="preserve">g </w:t>
      </w:r>
      <w:proofErr w:type="spellStart"/>
      <w:r w:rsidRPr="00957E26">
        <w:t>granules</w:t>
      </w:r>
      <w:proofErr w:type="spellEnd"/>
      <w:r w:rsidRPr="00957E26">
        <w:t xml:space="preserve"> </w:t>
      </w:r>
      <w:proofErr w:type="spellStart"/>
      <w:r w:rsidRPr="00957E26">
        <w:t>for</w:t>
      </w:r>
      <w:proofErr w:type="spellEnd"/>
      <w:r w:rsidRPr="00957E26">
        <w:t xml:space="preserve"> </w:t>
      </w:r>
      <w:proofErr w:type="spellStart"/>
      <w:r w:rsidRPr="00957E26">
        <w:t>oral</w:t>
      </w:r>
      <w:proofErr w:type="spellEnd"/>
      <w:r w:rsidRPr="00957E26">
        <w:t xml:space="preserve"> </w:t>
      </w:r>
      <w:proofErr w:type="spellStart"/>
      <w:r w:rsidRPr="00957E26">
        <w:t>solution</w:t>
      </w:r>
      <w:proofErr w:type="spellEnd"/>
    </w:p>
    <w:p w14:paraId="3A916BC0" w14:textId="29AF6527" w:rsidR="00DD466D" w:rsidRDefault="00DD466D" w:rsidP="00DD466D">
      <w:pPr>
        <w:pStyle w:val="Heading1"/>
      </w:pPr>
      <w:r>
        <w:t>2. КАЧЕСТВЕН И КОЛИЧЕСТВЕН СЪСТАВ</w:t>
      </w:r>
    </w:p>
    <w:p w14:paraId="1B1358BB" w14:textId="77777777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 xml:space="preserve">МОНУРАЛ </w:t>
      </w:r>
      <w:r w:rsidRPr="00957E26">
        <w:rPr>
          <w:u w:val="single"/>
        </w:rPr>
        <w:t xml:space="preserve">3 g </w:t>
      </w:r>
      <w:r w:rsidRPr="00957E26">
        <w:rPr>
          <w:u w:val="single"/>
          <w:lang w:eastAsia="bg-BG"/>
        </w:rPr>
        <w:t>гранули за перорален разтвор:</w:t>
      </w:r>
    </w:p>
    <w:p w14:paraId="503FC2CB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Едно саше съдържа 5,631 </w:t>
      </w:r>
      <w:r w:rsidRPr="00957E26">
        <w:t xml:space="preserve">g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</w:t>
      </w:r>
      <w:proofErr w:type="spellStart"/>
      <w:r w:rsidRPr="00957E26">
        <w:rPr>
          <w:lang w:eastAsia="bg-BG"/>
        </w:rPr>
        <w:t>трометамол</w:t>
      </w:r>
      <w:proofErr w:type="spellEnd"/>
      <w:r w:rsidRPr="00957E26">
        <w:rPr>
          <w:lang w:eastAsia="bg-BG"/>
        </w:rPr>
        <w:t xml:space="preserve"> </w:t>
      </w:r>
      <w:r w:rsidRPr="00957E26">
        <w:t>(</w:t>
      </w:r>
      <w:proofErr w:type="spellStart"/>
      <w:r w:rsidRPr="00957E26">
        <w:t>fosfomycin</w:t>
      </w:r>
      <w:proofErr w:type="spellEnd"/>
      <w:r w:rsidRPr="00957E26">
        <w:t xml:space="preserve"> </w:t>
      </w:r>
      <w:proofErr w:type="spellStart"/>
      <w:r w:rsidRPr="00957E26">
        <w:t>trometamol</w:t>
      </w:r>
      <w:proofErr w:type="spellEnd"/>
      <w:r w:rsidRPr="00957E26">
        <w:t>)</w:t>
      </w:r>
    </w:p>
    <w:p w14:paraId="00189208" w14:textId="77777777" w:rsidR="00957E26" w:rsidRDefault="00957E26" w:rsidP="00957E26">
      <w:pPr>
        <w:rPr>
          <w:lang w:eastAsia="bg-BG"/>
        </w:rPr>
      </w:pPr>
    </w:p>
    <w:p w14:paraId="3920BCD0" w14:textId="4CB969B1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>Помощни вещества:</w:t>
      </w:r>
    </w:p>
    <w:p w14:paraId="37F853F3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Едно саше съдържа 2,213 </w:t>
      </w:r>
      <w:r w:rsidRPr="00957E26">
        <w:t xml:space="preserve">g </w:t>
      </w:r>
      <w:r w:rsidRPr="00957E26">
        <w:rPr>
          <w:lang w:eastAsia="bg-BG"/>
        </w:rPr>
        <w:t>захар, вижте точка 4.4.</w:t>
      </w:r>
    </w:p>
    <w:p w14:paraId="48C84EDA" w14:textId="77777777" w:rsidR="00957E26" w:rsidRPr="00957E26" w:rsidRDefault="00957E26" w:rsidP="00957E26"/>
    <w:p w14:paraId="74A1D0A0" w14:textId="49A6F181" w:rsidR="002B4DBB" w:rsidRDefault="00DD466D" w:rsidP="00C07B84">
      <w:pPr>
        <w:pStyle w:val="Heading1"/>
      </w:pPr>
      <w:r>
        <w:t>3. ЛЕКАРСТВЕНА ФОРМА</w:t>
      </w:r>
    </w:p>
    <w:p w14:paraId="72D1E5C8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>Гранули за перорален разтвор.</w:t>
      </w:r>
    </w:p>
    <w:p w14:paraId="248BCF56" w14:textId="77777777" w:rsidR="00957E26" w:rsidRPr="00957E26" w:rsidRDefault="00957E26" w:rsidP="00957E26"/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796922D0" w:rsidR="002B4DBB" w:rsidRDefault="002C50EE" w:rsidP="00C07B84">
      <w:pPr>
        <w:pStyle w:val="Heading2"/>
      </w:pPr>
      <w:r>
        <w:t>4.1. Терапевтични показания</w:t>
      </w:r>
    </w:p>
    <w:p w14:paraId="41EEECFA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МОНУРАЛ 3 </w:t>
      </w:r>
      <w:r w:rsidRPr="00957E26">
        <w:t xml:space="preserve">g </w:t>
      </w:r>
      <w:r w:rsidRPr="00957E26">
        <w:rPr>
          <w:lang w:eastAsia="bg-BG"/>
        </w:rPr>
        <w:t>гранули за перорален разтвор е показан при (вж. точка 5.1):</w:t>
      </w:r>
    </w:p>
    <w:p w14:paraId="1B72E435" w14:textId="77777777" w:rsidR="00957E26" w:rsidRDefault="00957E26" w:rsidP="00957E26">
      <w:pPr>
        <w:rPr>
          <w:lang w:eastAsia="bg-BG"/>
        </w:rPr>
      </w:pPr>
    </w:p>
    <w:p w14:paraId="0606173A" w14:textId="73799C6D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Лечение на остър, </w:t>
      </w:r>
      <w:proofErr w:type="spellStart"/>
      <w:r w:rsidRPr="00957E26">
        <w:rPr>
          <w:lang w:eastAsia="bg-BG"/>
        </w:rPr>
        <w:t>неусложнен</w:t>
      </w:r>
      <w:proofErr w:type="spellEnd"/>
      <w:r w:rsidRPr="00957E26">
        <w:rPr>
          <w:lang w:eastAsia="bg-BG"/>
        </w:rPr>
        <w:t xml:space="preserve"> цистит при жени и девойки.</w:t>
      </w:r>
    </w:p>
    <w:p w14:paraId="36EE6A87" w14:textId="77777777" w:rsidR="00957E26" w:rsidRDefault="00957E26" w:rsidP="00957E26">
      <w:pPr>
        <w:rPr>
          <w:lang w:eastAsia="bg-BG"/>
        </w:rPr>
      </w:pPr>
    </w:p>
    <w:p w14:paraId="32B5CED5" w14:textId="4672A345" w:rsidR="00957E26" w:rsidRPr="00957E26" w:rsidRDefault="00957E26" w:rsidP="00957E26">
      <w:pPr>
        <w:rPr>
          <w:sz w:val="24"/>
          <w:szCs w:val="24"/>
        </w:rPr>
      </w:pPr>
      <w:proofErr w:type="spellStart"/>
      <w:r w:rsidRPr="00957E26">
        <w:rPr>
          <w:lang w:eastAsia="bg-BG"/>
        </w:rPr>
        <w:t>Периоперативна</w:t>
      </w:r>
      <w:proofErr w:type="spellEnd"/>
      <w:r w:rsidRPr="00957E26">
        <w:rPr>
          <w:lang w:eastAsia="bg-BG"/>
        </w:rPr>
        <w:t xml:space="preserve"> антибиотична профилактика при </w:t>
      </w:r>
      <w:proofErr w:type="spellStart"/>
      <w:r w:rsidRPr="00957E26">
        <w:rPr>
          <w:lang w:eastAsia="bg-BG"/>
        </w:rPr>
        <w:t>трансректална</w:t>
      </w:r>
      <w:proofErr w:type="spellEnd"/>
      <w:r w:rsidRPr="00957E26">
        <w:rPr>
          <w:lang w:eastAsia="bg-BG"/>
        </w:rPr>
        <w:t xml:space="preserve"> биопсия на простатата при възрастни мъже.</w:t>
      </w:r>
    </w:p>
    <w:p w14:paraId="629342B2" w14:textId="77777777" w:rsidR="00957E26" w:rsidRDefault="00957E26" w:rsidP="00957E26">
      <w:pPr>
        <w:rPr>
          <w:lang w:eastAsia="bg-BG"/>
        </w:rPr>
      </w:pPr>
    </w:p>
    <w:p w14:paraId="03CC9527" w14:textId="5A82AF7D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>Трябва да се обърне внимание на официалното ръководство относно подходящата употреба на антибактериални агенти.</w:t>
      </w:r>
    </w:p>
    <w:p w14:paraId="51697AD3" w14:textId="77777777" w:rsidR="00957E26" w:rsidRPr="00957E26" w:rsidRDefault="00957E26" w:rsidP="00957E26"/>
    <w:p w14:paraId="71891A7D" w14:textId="21A97A3B" w:rsidR="001915B6" w:rsidRDefault="002C50EE" w:rsidP="00C07B84">
      <w:pPr>
        <w:pStyle w:val="Heading2"/>
      </w:pPr>
      <w:r>
        <w:t>4.2. Дозировка и начин на приложение</w:t>
      </w:r>
    </w:p>
    <w:p w14:paraId="06286FEB" w14:textId="77777777" w:rsidR="00957E26" w:rsidRDefault="00957E26" w:rsidP="00957E26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14DE6330" w14:textId="372AF5E7" w:rsidR="00957E26" w:rsidRPr="00957E26" w:rsidRDefault="00957E26" w:rsidP="00957E26">
      <w:pPr>
        <w:pStyle w:val="Heading3"/>
        <w:rPr>
          <w:rFonts w:eastAsia="Times New Roman"/>
          <w:u w:val="single"/>
        </w:rPr>
      </w:pPr>
      <w:r w:rsidRPr="00957E26">
        <w:rPr>
          <w:rFonts w:eastAsia="Times New Roman"/>
          <w:u w:val="single"/>
          <w:lang w:eastAsia="bg-BG"/>
        </w:rPr>
        <w:t>Дозировка</w:t>
      </w:r>
    </w:p>
    <w:p w14:paraId="08619BC4" w14:textId="77777777" w:rsidR="00957E26" w:rsidRDefault="00957E26" w:rsidP="00957E26">
      <w:pPr>
        <w:rPr>
          <w:i/>
          <w:iCs/>
          <w:lang w:eastAsia="bg-BG"/>
        </w:rPr>
      </w:pPr>
    </w:p>
    <w:p w14:paraId="328FF41E" w14:textId="024E13FE" w:rsidR="00957E26" w:rsidRPr="00957E26" w:rsidRDefault="00957E26" w:rsidP="00957E26">
      <w:pPr>
        <w:rPr>
          <w:sz w:val="24"/>
          <w:szCs w:val="24"/>
        </w:rPr>
      </w:pPr>
      <w:r w:rsidRPr="00957E26">
        <w:rPr>
          <w:i/>
          <w:iCs/>
          <w:lang w:eastAsia="bg-BG"/>
        </w:rPr>
        <w:t xml:space="preserve">Остър, </w:t>
      </w:r>
      <w:proofErr w:type="spellStart"/>
      <w:r w:rsidRPr="00957E26">
        <w:rPr>
          <w:i/>
          <w:iCs/>
          <w:lang w:eastAsia="bg-BG"/>
        </w:rPr>
        <w:t>неусложнен</w:t>
      </w:r>
      <w:proofErr w:type="spellEnd"/>
      <w:r w:rsidRPr="00957E26">
        <w:rPr>
          <w:i/>
          <w:iCs/>
          <w:lang w:eastAsia="bg-BG"/>
        </w:rPr>
        <w:t xml:space="preserve"> цистит при жени и девойки (&gt; 12 години):</w:t>
      </w:r>
    </w:p>
    <w:p w14:paraId="5794E7E8" w14:textId="23A1734B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3 </w:t>
      </w:r>
      <w:r w:rsidRPr="00957E26">
        <w:t xml:space="preserve">g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еднократно</w:t>
      </w:r>
    </w:p>
    <w:p w14:paraId="7EC43ED4" w14:textId="77777777" w:rsidR="00957E26" w:rsidRDefault="00957E26" w:rsidP="00957E26">
      <w:pPr>
        <w:rPr>
          <w:i/>
          <w:iCs/>
          <w:lang w:eastAsia="bg-BG"/>
        </w:rPr>
      </w:pPr>
    </w:p>
    <w:p w14:paraId="0691944A" w14:textId="798F051E" w:rsidR="00957E26" w:rsidRPr="00957E26" w:rsidRDefault="00957E26" w:rsidP="00957E26">
      <w:pPr>
        <w:rPr>
          <w:sz w:val="24"/>
          <w:szCs w:val="24"/>
        </w:rPr>
      </w:pPr>
      <w:proofErr w:type="spellStart"/>
      <w:r w:rsidRPr="00957E26">
        <w:rPr>
          <w:i/>
          <w:iCs/>
          <w:lang w:eastAsia="bg-BG"/>
        </w:rPr>
        <w:t>Периоперативна</w:t>
      </w:r>
      <w:proofErr w:type="spellEnd"/>
      <w:r w:rsidRPr="00957E26">
        <w:rPr>
          <w:i/>
          <w:iCs/>
          <w:lang w:eastAsia="bg-BG"/>
        </w:rPr>
        <w:t xml:space="preserve"> антибиотична профилактика при </w:t>
      </w:r>
      <w:proofErr w:type="spellStart"/>
      <w:r w:rsidRPr="00957E26">
        <w:rPr>
          <w:i/>
          <w:iCs/>
          <w:lang w:eastAsia="bg-BG"/>
        </w:rPr>
        <w:t>трансректална</w:t>
      </w:r>
      <w:proofErr w:type="spellEnd"/>
      <w:r w:rsidRPr="00957E26">
        <w:rPr>
          <w:i/>
          <w:iCs/>
          <w:lang w:eastAsia="bg-BG"/>
        </w:rPr>
        <w:t xml:space="preserve"> биопсия на простатата:</w:t>
      </w:r>
    </w:p>
    <w:p w14:paraId="19F288AB" w14:textId="49AB350A" w:rsidR="00957E26" w:rsidRPr="00957E26" w:rsidRDefault="00957E26" w:rsidP="00957E26">
      <w:pPr>
        <w:rPr>
          <w:sz w:val="24"/>
          <w:szCs w:val="24"/>
        </w:rPr>
      </w:pPr>
      <w:r w:rsidRPr="00957E26">
        <w:rPr>
          <w:i/>
          <w:iCs/>
          <w:lang w:eastAsia="bg-BG"/>
        </w:rPr>
        <w:t>3</w:t>
      </w:r>
      <w:r w:rsidRPr="00957E26">
        <w:rPr>
          <w:lang w:eastAsia="bg-BG"/>
        </w:rPr>
        <w:t xml:space="preserve"> </w:t>
      </w:r>
      <w:r w:rsidRPr="00957E26">
        <w:t xml:space="preserve">g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3 часа преди процедурата и 3 </w:t>
      </w:r>
      <w:r w:rsidRPr="00957E26">
        <w:t xml:space="preserve">g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24 часа след процедурата</w:t>
      </w:r>
    </w:p>
    <w:p w14:paraId="567B2191" w14:textId="77777777" w:rsidR="00957E26" w:rsidRDefault="00957E26" w:rsidP="00957E26">
      <w:pPr>
        <w:rPr>
          <w:i/>
          <w:iCs/>
          <w:lang w:eastAsia="bg-BG"/>
        </w:rPr>
      </w:pPr>
    </w:p>
    <w:p w14:paraId="0871BAED" w14:textId="593B6413" w:rsidR="00957E26" w:rsidRPr="00957E26" w:rsidRDefault="00957E26" w:rsidP="00957E26">
      <w:pPr>
        <w:rPr>
          <w:sz w:val="24"/>
          <w:szCs w:val="24"/>
        </w:rPr>
      </w:pPr>
      <w:r w:rsidRPr="00957E26">
        <w:rPr>
          <w:i/>
          <w:iCs/>
          <w:lang w:eastAsia="bg-BG"/>
        </w:rPr>
        <w:t>Бъбречно увреждане:</w:t>
      </w:r>
    </w:p>
    <w:p w14:paraId="0E1CCF6C" w14:textId="585A4B68" w:rsidR="00957E26" w:rsidRDefault="00957E26" w:rsidP="00957E26">
      <w:r w:rsidRPr="00957E26">
        <w:rPr>
          <w:lang w:eastAsia="bg-BG"/>
        </w:rPr>
        <w:t xml:space="preserve">Използването на МОНУРАЛ </w:t>
      </w:r>
      <w:r w:rsidRPr="00957E26">
        <w:t xml:space="preserve">3g </w:t>
      </w:r>
      <w:r w:rsidRPr="00957E26">
        <w:rPr>
          <w:lang w:eastAsia="bg-BG"/>
        </w:rPr>
        <w:t>гранули за перорален разтвор не се препоръчва при пациенти с тежко бъбречно увреждане (</w:t>
      </w:r>
      <w:proofErr w:type="spellStart"/>
      <w:r w:rsidRPr="00957E26">
        <w:rPr>
          <w:lang w:eastAsia="bg-BG"/>
        </w:rPr>
        <w:t>креатининов</w:t>
      </w:r>
      <w:proofErr w:type="spellEnd"/>
      <w:r w:rsidRPr="00957E26">
        <w:rPr>
          <w:lang w:eastAsia="bg-BG"/>
        </w:rPr>
        <w:t xml:space="preserve"> клирънс&lt; 10 </w:t>
      </w:r>
      <w:r w:rsidRPr="00957E26">
        <w:t>ml/</w:t>
      </w:r>
      <w:proofErr w:type="spellStart"/>
      <w:r w:rsidRPr="00957E26">
        <w:t>min</w:t>
      </w:r>
      <w:proofErr w:type="spellEnd"/>
      <w:r w:rsidRPr="00957E26">
        <w:t xml:space="preserve">, </w:t>
      </w:r>
      <w:r w:rsidRPr="00957E26">
        <w:rPr>
          <w:lang w:eastAsia="bg-BG"/>
        </w:rPr>
        <w:t xml:space="preserve">вж. точка </w:t>
      </w:r>
      <w:r w:rsidRPr="00957E26">
        <w:t>5.2).</w:t>
      </w:r>
    </w:p>
    <w:p w14:paraId="1B0BC819" w14:textId="2E082F77" w:rsidR="00957E26" w:rsidRDefault="00957E26" w:rsidP="00957E26"/>
    <w:p w14:paraId="7F64A605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i/>
          <w:iCs/>
          <w:lang w:eastAsia="bg-BG"/>
        </w:rPr>
        <w:t>Педиатрична популация</w:t>
      </w:r>
    </w:p>
    <w:p w14:paraId="53421835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Безопасността и ефикасността на МОНУРАЛ </w:t>
      </w:r>
      <w:r w:rsidRPr="00957E26">
        <w:t xml:space="preserve">3 g </w:t>
      </w:r>
      <w:r w:rsidRPr="00957E26">
        <w:rPr>
          <w:lang w:eastAsia="bg-BG"/>
        </w:rPr>
        <w:t>гранули за перорален разтвор при деца под 12- годишна възраст не са установени.</w:t>
      </w:r>
    </w:p>
    <w:p w14:paraId="68AFCEB8" w14:textId="77777777" w:rsidR="00957E26" w:rsidRDefault="00957E26" w:rsidP="00957E26">
      <w:pPr>
        <w:rPr>
          <w:lang w:eastAsia="bg-BG"/>
        </w:rPr>
      </w:pPr>
    </w:p>
    <w:p w14:paraId="29A795FA" w14:textId="3D28FE47" w:rsidR="00957E26" w:rsidRPr="00957E26" w:rsidRDefault="00957E26" w:rsidP="00957E26">
      <w:pPr>
        <w:pStyle w:val="Heading3"/>
        <w:rPr>
          <w:rFonts w:eastAsia="Times New Roman"/>
          <w:u w:val="single"/>
        </w:rPr>
      </w:pPr>
      <w:r w:rsidRPr="00957E26">
        <w:rPr>
          <w:rFonts w:eastAsia="Times New Roman"/>
          <w:u w:val="single"/>
          <w:lang w:eastAsia="bg-BG"/>
        </w:rPr>
        <w:t>Начин на приложение</w:t>
      </w:r>
    </w:p>
    <w:p w14:paraId="1D3160CE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>За перорално приложение.</w:t>
      </w:r>
    </w:p>
    <w:p w14:paraId="2BD6F8E4" w14:textId="77777777" w:rsidR="00957E26" w:rsidRDefault="00957E26" w:rsidP="00957E26">
      <w:pPr>
        <w:rPr>
          <w:lang w:eastAsia="bg-BG"/>
        </w:rPr>
      </w:pPr>
    </w:p>
    <w:p w14:paraId="0A5B6F2B" w14:textId="3B9A5C62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При показанието остър, </w:t>
      </w:r>
      <w:proofErr w:type="spellStart"/>
      <w:r w:rsidRPr="00957E26">
        <w:rPr>
          <w:lang w:eastAsia="bg-BG"/>
        </w:rPr>
        <w:t>неусложнен</w:t>
      </w:r>
      <w:proofErr w:type="spellEnd"/>
      <w:r w:rsidRPr="00957E26">
        <w:rPr>
          <w:lang w:eastAsia="bg-BG"/>
        </w:rPr>
        <w:t xml:space="preserve"> цистит при жени и девойки трябва да се приема на празен стомах (около 2-3 часа преди или 2-3 часа след хранене), за предпочитане преди лягане и след изпразване на пикочния мехур.</w:t>
      </w:r>
    </w:p>
    <w:p w14:paraId="19C5B692" w14:textId="77777777" w:rsidR="00957E26" w:rsidRDefault="00957E26" w:rsidP="00957E26">
      <w:pPr>
        <w:rPr>
          <w:lang w:eastAsia="bg-BG"/>
        </w:rPr>
      </w:pPr>
    </w:p>
    <w:p w14:paraId="0B11AD8B" w14:textId="7116FBC5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>Дозата трябва да се разтвори в чаша вода и да се приеме веднага след приготвянето й.</w:t>
      </w:r>
    </w:p>
    <w:p w14:paraId="7DC2ED04" w14:textId="77777777" w:rsidR="00957E26" w:rsidRPr="00957E26" w:rsidRDefault="00957E26" w:rsidP="00957E26"/>
    <w:p w14:paraId="3194B1C9" w14:textId="50F9B835" w:rsidR="001915B6" w:rsidRDefault="002C50EE" w:rsidP="00C07B84">
      <w:pPr>
        <w:pStyle w:val="Heading2"/>
      </w:pPr>
      <w:r>
        <w:t>4.3. Противопоказания</w:t>
      </w:r>
    </w:p>
    <w:p w14:paraId="40D04DEE" w14:textId="77777777" w:rsidR="00957E26" w:rsidRDefault="00957E26" w:rsidP="00957E26">
      <w:pPr>
        <w:rPr>
          <w:lang w:eastAsia="bg-BG"/>
        </w:rPr>
      </w:pPr>
    </w:p>
    <w:p w14:paraId="06712D91" w14:textId="3EEDB89E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171CB9CD" w14:textId="77777777" w:rsidR="00957E26" w:rsidRPr="00957E26" w:rsidRDefault="00957E26" w:rsidP="00957E26"/>
    <w:p w14:paraId="4B2B2AB1" w14:textId="124A76B6" w:rsidR="00605BCA" w:rsidRDefault="002C50EE" w:rsidP="00C07B84">
      <w:pPr>
        <w:pStyle w:val="Heading2"/>
      </w:pPr>
      <w:r>
        <w:t>4.4. Специални предупреждения и предпазни мерки при употреба</w:t>
      </w:r>
    </w:p>
    <w:p w14:paraId="337B079E" w14:textId="77777777" w:rsidR="00957E26" w:rsidRDefault="00957E26" w:rsidP="00957E26">
      <w:pPr>
        <w:rPr>
          <w:lang w:eastAsia="bg-BG"/>
        </w:rPr>
      </w:pPr>
    </w:p>
    <w:p w14:paraId="0D2BA8A6" w14:textId="1E26042D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>Реакции на свръхчувствителност</w:t>
      </w:r>
    </w:p>
    <w:p w14:paraId="5EF1AD2A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Сериозни и понякога с летален изход реакции на свръхчувствителност, включително анафилаксия и </w:t>
      </w:r>
      <w:proofErr w:type="spellStart"/>
      <w:r w:rsidRPr="00957E26">
        <w:rPr>
          <w:lang w:eastAsia="bg-BG"/>
        </w:rPr>
        <w:t>анафилактичен</w:t>
      </w:r>
      <w:proofErr w:type="spellEnd"/>
      <w:r w:rsidRPr="00957E26">
        <w:rPr>
          <w:lang w:eastAsia="bg-BG"/>
        </w:rPr>
        <w:t xml:space="preserve"> шок, могат да настъпят по време на лечение с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(вж. точки 4.3 и 4.8). Ако такива реакции настъпят, лечението с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трябва незабавно да се преустанови и да започне прилагане на подходящи спешни мерки.</w:t>
      </w:r>
    </w:p>
    <w:p w14:paraId="67635C84" w14:textId="77777777" w:rsidR="00957E26" w:rsidRDefault="00957E26" w:rsidP="00957E26">
      <w:pPr>
        <w:rPr>
          <w:lang w:eastAsia="bg-BG"/>
        </w:rPr>
      </w:pPr>
    </w:p>
    <w:p w14:paraId="788CFB52" w14:textId="69226401" w:rsidR="00957E26" w:rsidRPr="00957E26" w:rsidRDefault="00957E26" w:rsidP="00957E26">
      <w:pPr>
        <w:rPr>
          <w:sz w:val="24"/>
          <w:szCs w:val="24"/>
          <w:u w:val="single"/>
        </w:rPr>
      </w:pPr>
      <w:proofErr w:type="spellStart"/>
      <w:r w:rsidRPr="00957E26">
        <w:rPr>
          <w:u w:val="single"/>
          <w:lang w:eastAsia="bg-BG"/>
        </w:rPr>
        <w:t>Клостридиум</w:t>
      </w:r>
      <w:proofErr w:type="spellEnd"/>
      <w:r w:rsidRPr="00957E26">
        <w:rPr>
          <w:u w:val="single"/>
          <w:lang w:eastAsia="bg-BG"/>
        </w:rPr>
        <w:t xml:space="preserve"> </w:t>
      </w:r>
      <w:proofErr w:type="spellStart"/>
      <w:r w:rsidRPr="00957E26">
        <w:rPr>
          <w:u w:val="single"/>
          <w:lang w:eastAsia="bg-BG"/>
        </w:rPr>
        <w:t>дифициле</w:t>
      </w:r>
      <w:proofErr w:type="spellEnd"/>
      <w:r w:rsidRPr="00957E26">
        <w:rPr>
          <w:u w:val="single"/>
          <w:lang w:eastAsia="bg-BG"/>
        </w:rPr>
        <w:t xml:space="preserve"> </w:t>
      </w:r>
      <w:r w:rsidRPr="00957E26">
        <w:rPr>
          <w:u w:val="single"/>
        </w:rPr>
        <w:t>(</w:t>
      </w:r>
      <w:proofErr w:type="spellStart"/>
      <w:r w:rsidRPr="00957E26">
        <w:rPr>
          <w:u w:val="single"/>
        </w:rPr>
        <w:t>Clostridioides</w:t>
      </w:r>
      <w:proofErr w:type="spellEnd"/>
      <w:r w:rsidRPr="00957E26">
        <w:rPr>
          <w:u w:val="single"/>
        </w:rPr>
        <w:t xml:space="preserve"> </w:t>
      </w:r>
      <w:r w:rsidRPr="00957E26">
        <w:rPr>
          <w:u w:val="single"/>
          <w:lang w:eastAsia="bg-BG"/>
        </w:rPr>
        <w:t>(</w:t>
      </w:r>
      <w:proofErr w:type="spellStart"/>
      <w:r w:rsidRPr="00957E26">
        <w:rPr>
          <w:u w:val="single"/>
        </w:rPr>
        <w:t>difficile</w:t>
      </w:r>
      <w:proofErr w:type="spellEnd"/>
      <w:r w:rsidRPr="00957E26">
        <w:rPr>
          <w:u w:val="single"/>
        </w:rPr>
        <w:t>)-</w:t>
      </w:r>
      <w:r w:rsidRPr="00957E26">
        <w:rPr>
          <w:u w:val="single"/>
          <w:lang w:eastAsia="bg-BG"/>
        </w:rPr>
        <w:t>асоциирана диария</w:t>
      </w:r>
    </w:p>
    <w:p w14:paraId="53927B8A" w14:textId="77777777" w:rsidR="00957E26" w:rsidRPr="00957E26" w:rsidRDefault="00957E26" w:rsidP="00957E26">
      <w:pPr>
        <w:rPr>
          <w:sz w:val="24"/>
          <w:szCs w:val="24"/>
        </w:rPr>
      </w:pPr>
      <w:proofErr w:type="spellStart"/>
      <w:r w:rsidRPr="00957E26">
        <w:t>Clostridioides</w:t>
      </w:r>
      <w:proofErr w:type="spellEnd"/>
      <w:r w:rsidRPr="00957E26">
        <w:t xml:space="preserve"> </w:t>
      </w:r>
      <w:proofErr w:type="spellStart"/>
      <w:r w:rsidRPr="00957E26">
        <w:t>difficile</w:t>
      </w:r>
      <w:proofErr w:type="spellEnd"/>
      <w:r w:rsidRPr="00957E26">
        <w:rPr>
          <w:lang w:eastAsia="bg-BG"/>
        </w:rPr>
        <w:t xml:space="preserve">-асоцииран колит и </w:t>
      </w:r>
      <w:proofErr w:type="spellStart"/>
      <w:r w:rsidRPr="00957E26">
        <w:rPr>
          <w:lang w:eastAsia="bg-BG"/>
        </w:rPr>
        <w:t>псевдомембранозен</w:t>
      </w:r>
      <w:proofErr w:type="spellEnd"/>
      <w:r w:rsidRPr="00957E26">
        <w:rPr>
          <w:lang w:eastAsia="bg-BG"/>
        </w:rPr>
        <w:t xml:space="preserve"> колит са съобщавани при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и може да варират по тежест от умерени до животозастрашаващи (вж. точка 4.8). Ето защо е важно тази диагноза да се има предвид при пациенти, които са с диария по време на или след прилагането на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. Трябва да се обсъди преустановяване на лечението с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и прилагане на специфично лечение за </w:t>
      </w:r>
      <w:proofErr w:type="spellStart"/>
      <w:r w:rsidRPr="00957E26">
        <w:t>Clostridioides</w:t>
      </w:r>
      <w:proofErr w:type="spellEnd"/>
      <w:r w:rsidRPr="00957E26">
        <w:t xml:space="preserve"> </w:t>
      </w:r>
      <w:proofErr w:type="spellStart"/>
      <w:r w:rsidRPr="00957E26">
        <w:t>difficile</w:t>
      </w:r>
      <w:proofErr w:type="spellEnd"/>
      <w:r w:rsidRPr="00957E26">
        <w:t xml:space="preserve">. </w:t>
      </w:r>
      <w:r w:rsidRPr="00957E26">
        <w:rPr>
          <w:lang w:eastAsia="bg-BG"/>
        </w:rPr>
        <w:t>Не трябва да се дават лекарствени продукти, които инхибират перисталтиката.</w:t>
      </w:r>
    </w:p>
    <w:p w14:paraId="17D88992" w14:textId="77777777" w:rsidR="00957E26" w:rsidRDefault="00957E26" w:rsidP="00957E26">
      <w:pPr>
        <w:rPr>
          <w:lang w:eastAsia="bg-BG"/>
        </w:rPr>
      </w:pPr>
    </w:p>
    <w:p w14:paraId="359A35A0" w14:textId="73943595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>Педиатрична популация</w:t>
      </w:r>
    </w:p>
    <w:p w14:paraId="78080274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Безопасността и ефикасността на МОНУРАЛ </w:t>
      </w:r>
      <w:r w:rsidRPr="00957E26">
        <w:t xml:space="preserve">3g </w:t>
      </w:r>
      <w:r w:rsidRPr="00957E26">
        <w:rPr>
          <w:lang w:eastAsia="bg-BG"/>
        </w:rPr>
        <w:t>гранули за перорален разтвор при деца под 12- годишна възраст не са установени. Следователно това лекарство не трябва да се използва в тази възрастова група (вж. точка 4.2).</w:t>
      </w:r>
    </w:p>
    <w:p w14:paraId="7F4FF790" w14:textId="77777777" w:rsidR="00957E26" w:rsidRDefault="00957E26" w:rsidP="00957E26">
      <w:pPr>
        <w:rPr>
          <w:lang w:eastAsia="bg-BG"/>
        </w:rPr>
      </w:pPr>
    </w:p>
    <w:p w14:paraId="66531958" w14:textId="69E13234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>Персистиращи инфекции и пациенти от мъжки пол</w:t>
      </w:r>
    </w:p>
    <w:p w14:paraId="1D0032E4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В случай на персистиращи инфекции се препоръчва задълбочен преглед и преоценка на диагнозата, тъй като това често се дължи на усложнени инфекции на пикочните пътища или преобладаване на резистентни патогени (напр. </w:t>
      </w:r>
      <w:proofErr w:type="spellStart"/>
      <w:r w:rsidRPr="00957E26">
        <w:t>Staphylococcus</w:t>
      </w:r>
      <w:proofErr w:type="spellEnd"/>
      <w:r w:rsidRPr="00957E26">
        <w:t xml:space="preserve"> </w:t>
      </w:r>
      <w:proofErr w:type="spellStart"/>
      <w:r w:rsidRPr="00957E26">
        <w:t>saprophyticus</w:t>
      </w:r>
      <w:proofErr w:type="spellEnd"/>
      <w:r w:rsidRPr="00957E26">
        <w:t xml:space="preserve">), </w:t>
      </w:r>
      <w:r w:rsidRPr="00957E26">
        <w:rPr>
          <w:lang w:eastAsia="bg-BG"/>
        </w:rPr>
        <w:t xml:space="preserve">вж. точка 5.1). Като цяло инфекциите на пикочните пътища </w:t>
      </w:r>
      <w:r w:rsidRPr="00957E26">
        <w:t xml:space="preserve">(UTI) </w:t>
      </w:r>
      <w:r w:rsidRPr="00957E26">
        <w:rPr>
          <w:lang w:eastAsia="bg-BG"/>
        </w:rPr>
        <w:t xml:space="preserve">при пациенти от мъжки пол </w:t>
      </w:r>
      <w:r w:rsidRPr="00957E26">
        <w:rPr>
          <w:lang w:eastAsia="bg-BG"/>
        </w:rPr>
        <w:lastRenderedPageBreak/>
        <w:t xml:space="preserve">трябва да се разглеждат като усложнени </w:t>
      </w:r>
      <w:r w:rsidRPr="00957E26">
        <w:t xml:space="preserve">UTI, </w:t>
      </w:r>
      <w:r w:rsidRPr="00957E26">
        <w:rPr>
          <w:lang w:eastAsia="bg-BG"/>
        </w:rPr>
        <w:t>за които този лекарствен продукт не е показан (вж. точка 4.1)</w:t>
      </w:r>
    </w:p>
    <w:p w14:paraId="5F8A5B2F" w14:textId="77777777" w:rsidR="00957E26" w:rsidRDefault="00957E26" w:rsidP="00957E26">
      <w:pPr>
        <w:rPr>
          <w:lang w:eastAsia="bg-BG"/>
        </w:rPr>
      </w:pPr>
    </w:p>
    <w:p w14:paraId="2BAD1A37" w14:textId="39D94720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>Помощни вещества</w:t>
      </w:r>
    </w:p>
    <w:p w14:paraId="2AD36B1A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МОНУРАЛ съдържа захароза. Пациенти с редки наследствени проблеми на непоносимост към фруктоза, </w:t>
      </w:r>
      <w:proofErr w:type="spellStart"/>
      <w:r w:rsidRPr="00957E26">
        <w:rPr>
          <w:lang w:eastAsia="bg-BG"/>
        </w:rPr>
        <w:t>глюкозо-галактозна</w:t>
      </w:r>
      <w:proofErr w:type="spellEnd"/>
      <w:r w:rsidRPr="00957E26">
        <w:rPr>
          <w:lang w:eastAsia="bg-BG"/>
        </w:rPr>
        <w:t xml:space="preserve"> малабсорбция или </w:t>
      </w:r>
      <w:proofErr w:type="spellStart"/>
      <w:r w:rsidRPr="00957E26">
        <w:rPr>
          <w:lang w:eastAsia="bg-BG"/>
        </w:rPr>
        <w:t>захарозо-изомалтазен</w:t>
      </w:r>
      <w:proofErr w:type="spellEnd"/>
      <w:r w:rsidRPr="00957E26">
        <w:rPr>
          <w:lang w:eastAsia="bg-BG"/>
        </w:rPr>
        <w:t xml:space="preserve"> дефицит не </w:t>
      </w:r>
      <w:proofErr w:type="spellStart"/>
      <w:r w:rsidRPr="00957E26">
        <w:rPr>
          <w:lang w:eastAsia="bg-BG"/>
        </w:rPr>
        <w:t>трянва</w:t>
      </w:r>
      <w:proofErr w:type="spellEnd"/>
      <w:r w:rsidRPr="00957E26">
        <w:rPr>
          <w:lang w:eastAsia="bg-BG"/>
        </w:rPr>
        <w:t xml:space="preserve"> да приемат това лекарство.</w:t>
      </w:r>
    </w:p>
    <w:p w14:paraId="743A3C5B" w14:textId="77777777" w:rsidR="00957E26" w:rsidRDefault="00957E26" w:rsidP="00957E26">
      <w:pPr>
        <w:rPr>
          <w:lang w:eastAsia="bg-BG"/>
        </w:rPr>
      </w:pPr>
    </w:p>
    <w:p w14:paraId="4DB8D006" w14:textId="792A6C56" w:rsidR="00957E26" w:rsidRDefault="00957E26" w:rsidP="00957E26">
      <w:pPr>
        <w:rPr>
          <w:lang w:eastAsia="bg-BG"/>
        </w:rPr>
      </w:pPr>
      <w:r w:rsidRPr="00957E26">
        <w:rPr>
          <w:lang w:eastAsia="bg-BG"/>
        </w:rPr>
        <w:t xml:space="preserve">МОНУРАЛ съдържа сулфити, които в редки случаи може да причинят тежки реакции на свръхчувствителност и </w:t>
      </w:r>
      <w:proofErr w:type="spellStart"/>
      <w:r w:rsidRPr="00957E26">
        <w:rPr>
          <w:lang w:eastAsia="bg-BG"/>
        </w:rPr>
        <w:t>бронхоспазъм</w:t>
      </w:r>
      <w:proofErr w:type="spellEnd"/>
      <w:r w:rsidRPr="00957E26">
        <w:rPr>
          <w:lang w:eastAsia="bg-BG"/>
        </w:rPr>
        <w:t>.</w:t>
      </w:r>
    </w:p>
    <w:p w14:paraId="6014EF1D" w14:textId="77777777" w:rsidR="00957E26" w:rsidRDefault="00957E26" w:rsidP="00957E26"/>
    <w:p w14:paraId="6B8B140E" w14:textId="11E00700" w:rsidR="00957E26" w:rsidRDefault="00957E26" w:rsidP="00957E26">
      <w:r>
        <w:t xml:space="preserve">Това лекарство съдържа по-малко от 1 </w:t>
      </w:r>
      <w:r>
        <w:rPr>
          <w:lang w:val="en-US"/>
        </w:rPr>
        <w:t xml:space="preserve">mmol </w:t>
      </w:r>
      <w:r>
        <w:t xml:space="preserve">натрий (23 </w:t>
      </w:r>
      <w:r>
        <w:rPr>
          <w:lang w:val="en-US"/>
        </w:rPr>
        <w:t xml:space="preserve">mg) </w:t>
      </w:r>
      <w:r>
        <w:t>на саше, т.е. може да се каже, че практически не съдържа натрий.</w:t>
      </w:r>
    </w:p>
    <w:p w14:paraId="5A79533B" w14:textId="77777777" w:rsidR="00957E26" w:rsidRPr="00957E26" w:rsidRDefault="00957E26" w:rsidP="00957E26"/>
    <w:p w14:paraId="78BEBB3D" w14:textId="7B7ADC2A" w:rsidR="002C50EE" w:rsidRDefault="002C50EE" w:rsidP="002C50EE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335D4061" w14:textId="1B7B8C4D" w:rsidR="00957E26" w:rsidRDefault="00957E26" w:rsidP="00957E26"/>
    <w:p w14:paraId="0BC139F0" w14:textId="77777777" w:rsidR="00957E26" w:rsidRPr="00957E26" w:rsidRDefault="00957E26" w:rsidP="00957E26">
      <w:pPr>
        <w:rPr>
          <w:sz w:val="24"/>
          <w:szCs w:val="24"/>
          <w:u w:val="single"/>
        </w:rPr>
      </w:pPr>
      <w:proofErr w:type="spellStart"/>
      <w:r w:rsidRPr="00957E26">
        <w:rPr>
          <w:u w:val="single"/>
          <w:lang w:eastAsia="bg-BG"/>
        </w:rPr>
        <w:t>Метоклопрамид</w:t>
      </w:r>
      <w:proofErr w:type="spellEnd"/>
    </w:p>
    <w:p w14:paraId="0ED85A59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Едновременното приложение на </w:t>
      </w:r>
      <w:proofErr w:type="spellStart"/>
      <w:r w:rsidRPr="00957E26">
        <w:rPr>
          <w:lang w:eastAsia="bg-BG"/>
        </w:rPr>
        <w:t>метоклопрамид</w:t>
      </w:r>
      <w:proofErr w:type="spellEnd"/>
      <w:r w:rsidRPr="00957E26">
        <w:rPr>
          <w:lang w:eastAsia="bg-BG"/>
        </w:rPr>
        <w:t xml:space="preserve"> води до понижаване на концентрациите на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в серума и урината и трябва да се избягва.</w:t>
      </w:r>
    </w:p>
    <w:p w14:paraId="1D0EB79D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Други лекарствени продукти, които повишават стомашно-чревния </w:t>
      </w:r>
      <w:proofErr w:type="spellStart"/>
      <w:r w:rsidRPr="00957E26">
        <w:rPr>
          <w:lang w:eastAsia="bg-BG"/>
        </w:rPr>
        <w:t>мотилитет</w:t>
      </w:r>
      <w:proofErr w:type="spellEnd"/>
      <w:r w:rsidRPr="00957E26">
        <w:rPr>
          <w:lang w:eastAsia="bg-BG"/>
        </w:rPr>
        <w:t xml:space="preserve"> може да предизвикат подобни ефекти.</w:t>
      </w:r>
    </w:p>
    <w:p w14:paraId="3829A005" w14:textId="77777777" w:rsidR="00957E26" w:rsidRDefault="00957E26" w:rsidP="00957E26">
      <w:pPr>
        <w:rPr>
          <w:lang w:eastAsia="bg-BG"/>
        </w:rPr>
      </w:pPr>
    </w:p>
    <w:p w14:paraId="58A6CD1D" w14:textId="2A6D24CD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>Ефект на храната</w:t>
      </w:r>
    </w:p>
    <w:p w14:paraId="1217AB87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Храната може да забави абсорбцията на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>, с последващо леко понижение на пиковите плазмени нива и концентрациите в урината. Следователно за предпочитане е лекарственият продукт да се приема на празен стомах или около 2-3 часа след хранене.</w:t>
      </w:r>
    </w:p>
    <w:p w14:paraId="24E672DF" w14:textId="77777777" w:rsidR="00957E26" w:rsidRDefault="00957E26" w:rsidP="00957E26">
      <w:pPr>
        <w:rPr>
          <w:lang w:eastAsia="bg-BG"/>
        </w:rPr>
      </w:pPr>
    </w:p>
    <w:p w14:paraId="311C134A" w14:textId="2FECA799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 xml:space="preserve">Специфични проблеми, свързани с промяната в </w:t>
      </w:r>
      <w:r w:rsidRPr="00957E26">
        <w:rPr>
          <w:u w:val="single"/>
        </w:rPr>
        <w:t>INR</w:t>
      </w:r>
    </w:p>
    <w:p w14:paraId="1D1CCF08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Съобщени са множество случаи на повишена перорална </w:t>
      </w:r>
      <w:proofErr w:type="spellStart"/>
      <w:r w:rsidRPr="00957E26">
        <w:rPr>
          <w:lang w:eastAsia="bg-BG"/>
        </w:rPr>
        <w:t>антикоагулантна</w:t>
      </w:r>
      <w:proofErr w:type="spellEnd"/>
      <w:r w:rsidRPr="00957E26">
        <w:rPr>
          <w:lang w:eastAsia="bg-BG"/>
        </w:rPr>
        <w:t xml:space="preserve"> активност при пациенти, получаващи антибиотично лечение. Рисковите фактори включват тежка инфекция или възпаление, възраст и лошо общо здравословно състояние. При тези обстоятелства е трудно да се определи дали промяната в </w:t>
      </w:r>
      <w:r w:rsidRPr="00957E26">
        <w:t xml:space="preserve">INR </w:t>
      </w:r>
      <w:r w:rsidRPr="00957E26">
        <w:rPr>
          <w:lang w:eastAsia="bg-BG"/>
        </w:rPr>
        <w:t>се дължи на инфекциозното заболяване или на неговото лечение.</w:t>
      </w:r>
    </w:p>
    <w:p w14:paraId="753F34E1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Въпреки това някои класове антибиотици са по-често засегнати и по-специално: </w:t>
      </w:r>
      <w:proofErr w:type="spellStart"/>
      <w:r w:rsidRPr="00957E26">
        <w:rPr>
          <w:lang w:eastAsia="bg-BG"/>
        </w:rPr>
        <w:t>флуорохинолони</w:t>
      </w:r>
      <w:proofErr w:type="spellEnd"/>
      <w:r w:rsidRPr="00957E26">
        <w:rPr>
          <w:lang w:eastAsia="bg-BG"/>
        </w:rPr>
        <w:t xml:space="preserve">, </w:t>
      </w:r>
      <w:proofErr w:type="spellStart"/>
      <w:r w:rsidRPr="00957E26">
        <w:rPr>
          <w:lang w:eastAsia="bg-BG"/>
        </w:rPr>
        <w:t>макролиди</w:t>
      </w:r>
      <w:proofErr w:type="spellEnd"/>
      <w:r w:rsidRPr="00957E26">
        <w:rPr>
          <w:lang w:eastAsia="bg-BG"/>
        </w:rPr>
        <w:t xml:space="preserve">, циклили, </w:t>
      </w:r>
      <w:proofErr w:type="spellStart"/>
      <w:r w:rsidRPr="00957E26">
        <w:rPr>
          <w:lang w:eastAsia="bg-BG"/>
        </w:rPr>
        <w:t>котримоксазол</w:t>
      </w:r>
      <w:proofErr w:type="spellEnd"/>
      <w:r w:rsidRPr="00957E26">
        <w:rPr>
          <w:lang w:eastAsia="bg-BG"/>
        </w:rPr>
        <w:t xml:space="preserve"> и някои </w:t>
      </w:r>
      <w:proofErr w:type="spellStart"/>
      <w:r w:rsidRPr="00957E26">
        <w:rPr>
          <w:lang w:eastAsia="bg-BG"/>
        </w:rPr>
        <w:t>цефалоспорини</w:t>
      </w:r>
      <w:proofErr w:type="spellEnd"/>
      <w:r w:rsidRPr="00957E26">
        <w:rPr>
          <w:lang w:eastAsia="bg-BG"/>
        </w:rPr>
        <w:t>.</w:t>
      </w:r>
    </w:p>
    <w:p w14:paraId="01789B05" w14:textId="77777777" w:rsidR="00957E26" w:rsidRPr="00957E26" w:rsidRDefault="00957E26" w:rsidP="00957E26">
      <w:pPr>
        <w:rPr>
          <w:u w:val="single"/>
          <w:lang w:eastAsia="bg-BG"/>
        </w:rPr>
      </w:pPr>
    </w:p>
    <w:p w14:paraId="14DC86D0" w14:textId="37D1AA22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>Педиатрична популация</w:t>
      </w:r>
    </w:p>
    <w:p w14:paraId="6DC22F40" w14:textId="2688CFEE" w:rsidR="00957E26" w:rsidRDefault="00957E26" w:rsidP="00957E26">
      <w:pPr>
        <w:rPr>
          <w:lang w:eastAsia="bg-BG"/>
        </w:rPr>
      </w:pPr>
      <w:r w:rsidRPr="00957E26">
        <w:rPr>
          <w:lang w:eastAsia="bg-BG"/>
        </w:rPr>
        <w:t>Проучвания за взаимодействията са провеждани само при възрастни.</w:t>
      </w:r>
    </w:p>
    <w:p w14:paraId="699DB1D4" w14:textId="77777777" w:rsidR="00957E26" w:rsidRPr="00957E26" w:rsidRDefault="00957E26" w:rsidP="00957E26"/>
    <w:p w14:paraId="48221AB5" w14:textId="0ADFB8EE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7C0FAEDC" w14:textId="77777777" w:rsidR="00957E26" w:rsidRDefault="00957E26" w:rsidP="00957E26">
      <w:pPr>
        <w:rPr>
          <w:lang w:eastAsia="bg-BG"/>
        </w:rPr>
      </w:pPr>
    </w:p>
    <w:p w14:paraId="075EEF0A" w14:textId="09AE3ABA" w:rsidR="00957E26" w:rsidRPr="00957E26" w:rsidRDefault="00957E26" w:rsidP="00957E26">
      <w:pPr>
        <w:pStyle w:val="Heading3"/>
        <w:rPr>
          <w:rFonts w:eastAsia="Times New Roman"/>
          <w:u w:val="single"/>
        </w:rPr>
      </w:pPr>
      <w:r w:rsidRPr="00957E26">
        <w:rPr>
          <w:rFonts w:eastAsia="Times New Roman"/>
          <w:u w:val="single"/>
          <w:lang w:eastAsia="bg-BG"/>
        </w:rPr>
        <w:t>Бременност</w:t>
      </w:r>
    </w:p>
    <w:p w14:paraId="600514B8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Налични са само ограничени данни за безопасността на лечението с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през първия триместър на бременността (</w:t>
      </w:r>
      <w:r w:rsidRPr="00957E26">
        <w:t>n</w:t>
      </w:r>
      <w:r w:rsidRPr="00957E26">
        <w:rPr>
          <w:lang w:eastAsia="bg-BG"/>
        </w:rPr>
        <w:t xml:space="preserve">=152). Тези данни не дават сигнал за безопасност по отношение на </w:t>
      </w:r>
      <w:proofErr w:type="spellStart"/>
      <w:r w:rsidRPr="00957E26">
        <w:rPr>
          <w:lang w:eastAsia="bg-BG"/>
        </w:rPr>
        <w:t>тератогенност</w:t>
      </w:r>
      <w:proofErr w:type="spellEnd"/>
      <w:r w:rsidRPr="00957E26">
        <w:rPr>
          <w:lang w:eastAsia="bg-BG"/>
        </w:rPr>
        <w:t xml:space="preserve"> досега.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преминава през плацентата.</w:t>
      </w:r>
    </w:p>
    <w:p w14:paraId="3DF8B8A0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lastRenderedPageBreak/>
        <w:t>Проучванията при животни не показват преки или непреки вредни ефекти, свързани с репродуктивна токсичност (вж. точка 5.3).</w:t>
      </w:r>
    </w:p>
    <w:p w14:paraId="09CFAD8B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МОНУРАЛ </w:t>
      </w:r>
      <w:r w:rsidRPr="00957E26">
        <w:t xml:space="preserve">3g </w:t>
      </w:r>
      <w:r w:rsidRPr="00957E26">
        <w:rPr>
          <w:lang w:eastAsia="bg-BG"/>
        </w:rPr>
        <w:t>гранули за перорален разтвор трябва да се използва по време на бременност, само ако е клинично необходимо.</w:t>
      </w:r>
    </w:p>
    <w:p w14:paraId="2772E705" w14:textId="77777777" w:rsidR="00957E26" w:rsidRDefault="00957E26" w:rsidP="00957E26">
      <w:pPr>
        <w:rPr>
          <w:lang w:eastAsia="bg-BG"/>
        </w:rPr>
      </w:pPr>
    </w:p>
    <w:p w14:paraId="7F4151AF" w14:textId="5AB9DD7D" w:rsidR="00957E26" w:rsidRPr="00957E26" w:rsidRDefault="00957E26" w:rsidP="00957E26">
      <w:pPr>
        <w:pStyle w:val="Heading3"/>
        <w:rPr>
          <w:rFonts w:eastAsia="Times New Roman"/>
          <w:u w:val="single"/>
        </w:rPr>
      </w:pPr>
      <w:r w:rsidRPr="00957E26">
        <w:rPr>
          <w:rFonts w:eastAsia="Times New Roman"/>
          <w:u w:val="single"/>
          <w:lang w:eastAsia="bg-BG"/>
        </w:rPr>
        <w:t>Кърмене</w:t>
      </w:r>
    </w:p>
    <w:p w14:paraId="07E79C84" w14:textId="77777777" w:rsidR="00957E26" w:rsidRPr="00957E26" w:rsidRDefault="00957E26" w:rsidP="00957E26">
      <w:pPr>
        <w:rPr>
          <w:sz w:val="24"/>
          <w:szCs w:val="24"/>
        </w:rPr>
      </w:pP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се </w:t>
      </w:r>
      <w:proofErr w:type="spellStart"/>
      <w:r w:rsidRPr="00957E26">
        <w:rPr>
          <w:lang w:eastAsia="bg-BG"/>
        </w:rPr>
        <w:t>екскретира</w:t>
      </w:r>
      <w:proofErr w:type="spellEnd"/>
      <w:r w:rsidRPr="00957E26">
        <w:rPr>
          <w:lang w:eastAsia="bg-BG"/>
        </w:rPr>
        <w:t xml:space="preserve"> в кърмата в малки количества. Ако е необходимо по време на кърмене може да се използва единична доза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перорално.</w:t>
      </w:r>
    </w:p>
    <w:p w14:paraId="1508B256" w14:textId="77777777" w:rsidR="00957E26" w:rsidRPr="00957E26" w:rsidRDefault="00957E26" w:rsidP="00957E26">
      <w:pPr>
        <w:pStyle w:val="Heading3"/>
        <w:rPr>
          <w:rFonts w:eastAsia="Times New Roman"/>
          <w:u w:val="single"/>
          <w:lang w:eastAsia="bg-BG"/>
        </w:rPr>
      </w:pPr>
    </w:p>
    <w:p w14:paraId="5B6C23D5" w14:textId="7E155FCA" w:rsidR="00957E26" w:rsidRPr="00957E26" w:rsidRDefault="00957E26" w:rsidP="00957E26">
      <w:pPr>
        <w:pStyle w:val="Heading3"/>
        <w:rPr>
          <w:rFonts w:eastAsia="Times New Roman"/>
          <w:u w:val="single"/>
        </w:rPr>
      </w:pPr>
      <w:proofErr w:type="spellStart"/>
      <w:r w:rsidRPr="00957E26">
        <w:rPr>
          <w:rFonts w:eastAsia="Times New Roman"/>
          <w:u w:val="single"/>
          <w:lang w:eastAsia="bg-BG"/>
        </w:rPr>
        <w:t>Фертилитет</w:t>
      </w:r>
      <w:proofErr w:type="spellEnd"/>
    </w:p>
    <w:p w14:paraId="5EA77ED7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Няма налични данни при хора. При мъжки и женски плъхове пероралното приложение на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до 1000 </w:t>
      </w:r>
      <w:proofErr w:type="spellStart"/>
      <w:r w:rsidRPr="00957E26">
        <w:t>mg</w:t>
      </w:r>
      <w:proofErr w:type="spellEnd"/>
      <w:r w:rsidRPr="00957E26">
        <w:t>/</w:t>
      </w:r>
      <w:proofErr w:type="spellStart"/>
      <w:r w:rsidRPr="00957E26">
        <w:t>kg</w:t>
      </w:r>
      <w:proofErr w:type="spellEnd"/>
      <w:r w:rsidRPr="00957E26">
        <w:rPr>
          <w:lang w:eastAsia="bg-BG"/>
        </w:rPr>
        <w:t xml:space="preserve">/дневно не понижава </w:t>
      </w:r>
      <w:proofErr w:type="spellStart"/>
      <w:r w:rsidRPr="00957E26">
        <w:rPr>
          <w:lang w:eastAsia="bg-BG"/>
        </w:rPr>
        <w:t>фертилитета</w:t>
      </w:r>
      <w:proofErr w:type="spellEnd"/>
      <w:r w:rsidRPr="00957E26">
        <w:rPr>
          <w:lang w:eastAsia="bg-BG"/>
        </w:rPr>
        <w:t>.</w:t>
      </w:r>
    </w:p>
    <w:p w14:paraId="43C63916" w14:textId="77777777" w:rsidR="00957E26" w:rsidRPr="00957E26" w:rsidRDefault="00957E26" w:rsidP="00957E26"/>
    <w:p w14:paraId="5F675BDB" w14:textId="00B41E18" w:rsidR="002C50EE" w:rsidRDefault="002C50EE" w:rsidP="002C50EE">
      <w:pPr>
        <w:pStyle w:val="Heading2"/>
      </w:pPr>
      <w:r>
        <w:t>4.7. Ефекти върху способността за шофиране и работа с машини</w:t>
      </w:r>
    </w:p>
    <w:p w14:paraId="733C5892" w14:textId="77777777" w:rsidR="00957E26" w:rsidRDefault="00957E26" w:rsidP="00957E26"/>
    <w:p w14:paraId="18F32F0D" w14:textId="6D1EC9E1" w:rsidR="00957E26" w:rsidRDefault="00957E26" w:rsidP="00957E26">
      <w:r>
        <w:t>Не са провеждани конкретни проучвания, но пациентите трябва да бъдат уведомени, не се съобщава за замайване. Това може да повлияе на способността за шофиране и работа с машини</w:t>
      </w:r>
      <w:r>
        <w:rPr>
          <w:i/>
          <w:iCs/>
        </w:rPr>
        <w:t xml:space="preserve"> </w:t>
      </w:r>
      <w:r>
        <w:t>при някои пациенти (вж. точка 4.8).</w:t>
      </w:r>
    </w:p>
    <w:p w14:paraId="5133ABDB" w14:textId="77777777" w:rsidR="00957E26" w:rsidRPr="00957E26" w:rsidRDefault="00957E26" w:rsidP="00957E26"/>
    <w:p w14:paraId="1B3BD30D" w14:textId="4654D8C9" w:rsidR="002C50EE" w:rsidRDefault="002C50EE" w:rsidP="002C50EE">
      <w:pPr>
        <w:pStyle w:val="Heading2"/>
      </w:pPr>
      <w:r>
        <w:t>4.8. Нежелани лекарствени реакции</w:t>
      </w:r>
    </w:p>
    <w:p w14:paraId="4F31D39C" w14:textId="77777777" w:rsidR="00957E26" w:rsidRDefault="00957E26" w:rsidP="00957E26">
      <w:pPr>
        <w:rPr>
          <w:lang w:eastAsia="bg-BG"/>
        </w:rPr>
      </w:pPr>
    </w:p>
    <w:p w14:paraId="60455DDC" w14:textId="5728B197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>Обобщение на профила на безопасност</w:t>
      </w:r>
    </w:p>
    <w:p w14:paraId="602EBCA0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Най-честите нежелани лекарствени реакции след прилагане на единична доза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</w:t>
      </w:r>
      <w:proofErr w:type="spellStart"/>
      <w:r w:rsidRPr="00957E26">
        <w:rPr>
          <w:lang w:eastAsia="bg-BG"/>
        </w:rPr>
        <w:t>трометамол</w:t>
      </w:r>
      <w:proofErr w:type="spellEnd"/>
      <w:r w:rsidRPr="00957E26">
        <w:rPr>
          <w:lang w:eastAsia="bg-BG"/>
        </w:rPr>
        <w:t xml:space="preserve"> засягат стомашно-чревния тракт, предимно диария. Тези събития обикновено се самоограничават по продължителност и отзвучават спонтанно.</w:t>
      </w:r>
    </w:p>
    <w:p w14:paraId="4A533503" w14:textId="77777777" w:rsidR="00957E26" w:rsidRPr="00957E26" w:rsidRDefault="00957E26" w:rsidP="00957E26">
      <w:pPr>
        <w:rPr>
          <w:u w:val="single"/>
          <w:lang w:eastAsia="bg-BG"/>
        </w:rPr>
      </w:pPr>
    </w:p>
    <w:p w14:paraId="7C07420E" w14:textId="0D5D2B4F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>Табличен списък на нежеланите реакции</w:t>
      </w:r>
    </w:p>
    <w:p w14:paraId="3D7DFD8F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 xml:space="preserve">Следната таблица показва нежеланите реакции, съобщавани при употребата на </w:t>
      </w:r>
      <w:proofErr w:type="spellStart"/>
      <w:r w:rsidRPr="00957E26">
        <w:rPr>
          <w:lang w:eastAsia="bg-BG"/>
        </w:rPr>
        <w:t>фосфомицин</w:t>
      </w:r>
      <w:proofErr w:type="spellEnd"/>
      <w:r w:rsidRPr="00957E26">
        <w:rPr>
          <w:lang w:eastAsia="bg-BG"/>
        </w:rPr>
        <w:t xml:space="preserve"> </w:t>
      </w:r>
      <w:proofErr w:type="spellStart"/>
      <w:r w:rsidRPr="00957E26">
        <w:rPr>
          <w:lang w:eastAsia="bg-BG"/>
        </w:rPr>
        <w:t>трометамол</w:t>
      </w:r>
      <w:proofErr w:type="spellEnd"/>
      <w:r w:rsidRPr="00957E26">
        <w:rPr>
          <w:lang w:eastAsia="bg-BG"/>
        </w:rPr>
        <w:t xml:space="preserve">, от клинични изпитвания или </w:t>
      </w:r>
      <w:proofErr w:type="spellStart"/>
      <w:r w:rsidRPr="00957E26">
        <w:rPr>
          <w:lang w:eastAsia="bg-BG"/>
        </w:rPr>
        <w:t>постмаркетинговия</w:t>
      </w:r>
      <w:proofErr w:type="spellEnd"/>
      <w:r w:rsidRPr="00957E26">
        <w:rPr>
          <w:lang w:eastAsia="bg-BG"/>
        </w:rPr>
        <w:t xml:space="preserve"> опит.</w:t>
      </w:r>
    </w:p>
    <w:p w14:paraId="3F8E74EE" w14:textId="77777777" w:rsidR="00957E26" w:rsidRDefault="00957E26" w:rsidP="00957E26">
      <w:pPr>
        <w:rPr>
          <w:lang w:eastAsia="bg-BG"/>
        </w:rPr>
      </w:pPr>
    </w:p>
    <w:p w14:paraId="25753523" w14:textId="7525A095" w:rsidR="00957E26" w:rsidRPr="00957E26" w:rsidRDefault="00957E26" w:rsidP="00957E26">
      <w:pPr>
        <w:rPr>
          <w:sz w:val="24"/>
          <w:szCs w:val="24"/>
          <w:u w:val="single"/>
        </w:rPr>
      </w:pPr>
      <w:r w:rsidRPr="00957E26">
        <w:rPr>
          <w:u w:val="single"/>
          <w:lang w:eastAsia="bg-BG"/>
        </w:rPr>
        <w:t xml:space="preserve">Нежеланите реакции са изброени по </w:t>
      </w:r>
      <w:proofErr w:type="spellStart"/>
      <w:r w:rsidRPr="00957E26">
        <w:rPr>
          <w:u w:val="single"/>
          <w:lang w:eastAsia="bg-BG"/>
        </w:rPr>
        <w:t>системо</w:t>
      </w:r>
      <w:proofErr w:type="spellEnd"/>
      <w:r w:rsidRPr="00957E26">
        <w:rPr>
          <w:u w:val="single"/>
          <w:lang w:eastAsia="bg-BG"/>
        </w:rPr>
        <w:t>-органен клас и честота, като се използва следната конвенция:</w:t>
      </w:r>
    </w:p>
    <w:p w14:paraId="1C843F8E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>Много чести (</w:t>
      </w:r>
      <w:r w:rsidRPr="00957E26">
        <w:rPr>
          <w:lang w:val="en-US"/>
        </w:rPr>
        <w:t>≥</w:t>
      </w:r>
      <w:r w:rsidRPr="00957E26">
        <w:rPr>
          <w:lang w:eastAsia="bg-BG"/>
        </w:rPr>
        <w:t xml:space="preserve"> 1/10), чести (</w:t>
      </w:r>
      <w:r w:rsidRPr="00957E26">
        <w:rPr>
          <w:lang w:val="en-US"/>
        </w:rPr>
        <w:t>≥</w:t>
      </w:r>
      <w:r w:rsidRPr="00957E26">
        <w:rPr>
          <w:lang w:eastAsia="bg-BG"/>
        </w:rPr>
        <w:t xml:space="preserve"> 1/100 до &lt;1/10), нечести (</w:t>
      </w:r>
      <w:r w:rsidRPr="00957E26">
        <w:rPr>
          <w:lang w:val="en-US"/>
        </w:rPr>
        <w:t>≥</w:t>
      </w:r>
      <w:r w:rsidRPr="00957E26">
        <w:rPr>
          <w:lang w:eastAsia="bg-BG"/>
        </w:rPr>
        <w:t xml:space="preserve"> 1/1 000 до &lt;1/100); редки (</w:t>
      </w:r>
      <w:r w:rsidRPr="00957E26">
        <w:rPr>
          <w:lang w:val="en-US"/>
        </w:rPr>
        <w:t>≥</w:t>
      </w:r>
      <w:r w:rsidRPr="00957E26">
        <w:rPr>
          <w:lang w:eastAsia="bg-BG"/>
        </w:rPr>
        <w:t>1/10 000 до &lt;1/1 000), много редки (&lt;1/10 000), с неизвестна честота (от наличните данни не може да бъде направена оценка).</w:t>
      </w:r>
    </w:p>
    <w:p w14:paraId="1886FB23" w14:textId="77777777" w:rsidR="00957E26" w:rsidRPr="00957E26" w:rsidRDefault="00957E26" w:rsidP="00957E26">
      <w:pPr>
        <w:rPr>
          <w:sz w:val="24"/>
          <w:szCs w:val="24"/>
        </w:rPr>
      </w:pPr>
      <w:r w:rsidRPr="00957E26">
        <w:rPr>
          <w:lang w:eastAsia="bg-BG"/>
        </w:rPr>
        <w:t>В рамките на всяко групиране по честота нежеланите лекарствени реакции са представени в низходящ ред по отношение на сериозността.</w:t>
      </w:r>
    </w:p>
    <w:p w14:paraId="400D63E5" w14:textId="458FD4C6" w:rsidR="00957E26" w:rsidRDefault="00957E26" w:rsidP="00957E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2389"/>
        <w:gridCol w:w="2388"/>
        <w:gridCol w:w="2411"/>
      </w:tblGrid>
      <w:tr w:rsidR="0016251E" w14:paraId="33F95492" w14:textId="77777777" w:rsidTr="0016251E">
        <w:trPr>
          <w:trHeight w:val="255"/>
        </w:trPr>
        <w:tc>
          <w:tcPr>
            <w:tcW w:w="2388" w:type="dxa"/>
            <w:vMerge w:val="restart"/>
          </w:tcPr>
          <w:p w14:paraId="60760108" w14:textId="6A769EE9" w:rsidR="0016251E" w:rsidRPr="0016251E" w:rsidRDefault="0016251E" w:rsidP="0016251E">
            <w:pPr>
              <w:rPr>
                <w:b/>
                <w:bCs/>
              </w:rPr>
            </w:pPr>
            <w:proofErr w:type="spellStart"/>
            <w:r w:rsidRPr="0016251E">
              <w:rPr>
                <w:b/>
                <w:bCs/>
              </w:rPr>
              <w:t>Системо</w:t>
            </w:r>
            <w:proofErr w:type="spellEnd"/>
            <w:r w:rsidRPr="0016251E">
              <w:rPr>
                <w:b/>
                <w:bCs/>
              </w:rPr>
              <w:t>-органни класове</w:t>
            </w:r>
          </w:p>
        </w:tc>
        <w:tc>
          <w:tcPr>
            <w:tcW w:w="7188" w:type="dxa"/>
            <w:gridSpan w:val="3"/>
          </w:tcPr>
          <w:p w14:paraId="7DFF3422" w14:textId="77777777" w:rsidR="0016251E" w:rsidRPr="0016251E" w:rsidRDefault="0016251E" w:rsidP="0016251E">
            <w:pPr>
              <w:jc w:val="center"/>
              <w:rPr>
                <w:b/>
                <w:bCs/>
                <w:sz w:val="24"/>
                <w:szCs w:val="24"/>
              </w:rPr>
            </w:pPr>
            <w:r w:rsidRPr="0016251E">
              <w:rPr>
                <w:b/>
                <w:bCs/>
                <w:lang w:eastAsia="bg-BG"/>
              </w:rPr>
              <w:t>Нежелани лекарствени реакции</w:t>
            </w:r>
          </w:p>
          <w:p w14:paraId="14985B75" w14:textId="77777777" w:rsidR="0016251E" w:rsidRDefault="0016251E" w:rsidP="0016251E"/>
        </w:tc>
      </w:tr>
      <w:tr w:rsidR="0016251E" w14:paraId="6138914A" w14:textId="77777777" w:rsidTr="0016251E">
        <w:tc>
          <w:tcPr>
            <w:tcW w:w="2388" w:type="dxa"/>
            <w:vMerge/>
          </w:tcPr>
          <w:p w14:paraId="7F2E404C" w14:textId="77777777" w:rsidR="0016251E" w:rsidRDefault="0016251E" w:rsidP="0016251E"/>
        </w:tc>
        <w:tc>
          <w:tcPr>
            <w:tcW w:w="2389" w:type="dxa"/>
          </w:tcPr>
          <w:p w14:paraId="2C65ACF4" w14:textId="2C117796" w:rsidR="0016251E" w:rsidRPr="0016251E" w:rsidRDefault="0016251E" w:rsidP="0016251E">
            <w:pPr>
              <w:rPr>
                <w:b/>
                <w:bCs/>
              </w:rPr>
            </w:pPr>
            <w:r w:rsidRPr="0016251E">
              <w:rPr>
                <w:b/>
                <w:bCs/>
              </w:rPr>
              <w:t>Чести</w:t>
            </w:r>
          </w:p>
        </w:tc>
        <w:tc>
          <w:tcPr>
            <w:tcW w:w="2388" w:type="dxa"/>
          </w:tcPr>
          <w:p w14:paraId="53A8E488" w14:textId="35257316" w:rsidR="0016251E" w:rsidRPr="0016251E" w:rsidRDefault="0016251E" w:rsidP="0016251E">
            <w:pPr>
              <w:rPr>
                <w:b/>
                <w:bCs/>
              </w:rPr>
            </w:pPr>
            <w:r w:rsidRPr="0016251E">
              <w:rPr>
                <w:b/>
                <w:bCs/>
              </w:rPr>
              <w:t>Нечести</w:t>
            </w:r>
          </w:p>
        </w:tc>
        <w:tc>
          <w:tcPr>
            <w:tcW w:w="2411" w:type="dxa"/>
          </w:tcPr>
          <w:p w14:paraId="115411B9" w14:textId="78BCD24E" w:rsidR="0016251E" w:rsidRPr="0016251E" w:rsidRDefault="0016251E" w:rsidP="0016251E">
            <w:pPr>
              <w:rPr>
                <w:b/>
                <w:bCs/>
              </w:rPr>
            </w:pPr>
            <w:r w:rsidRPr="0016251E">
              <w:rPr>
                <w:b/>
                <w:bCs/>
              </w:rPr>
              <w:t>С неизвестна честота</w:t>
            </w:r>
          </w:p>
        </w:tc>
      </w:tr>
      <w:tr w:rsidR="0016251E" w14:paraId="26D37A7F" w14:textId="77777777" w:rsidTr="0016251E">
        <w:tc>
          <w:tcPr>
            <w:tcW w:w="2388" w:type="dxa"/>
          </w:tcPr>
          <w:p w14:paraId="522AAEBB" w14:textId="63BB35DF" w:rsidR="0016251E" w:rsidRDefault="0016251E" w:rsidP="0016251E">
            <w:r>
              <w:t xml:space="preserve">Инфекции и </w:t>
            </w:r>
            <w:proofErr w:type="spellStart"/>
            <w:r>
              <w:t>инфестации</w:t>
            </w:r>
            <w:proofErr w:type="spellEnd"/>
          </w:p>
        </w:tc>
        <w:tc>
          <w:tcPr>
            <w:tcW w:w="2389" w:type="dxa"/>
          </w:tcPr>
          <w:p w14:paraId="4A7E1686" w14:textId="7EDCE6D4" w:rsidR="0016251E" w:rsidRDefault="0016251E" w:rsidP="0016251E">
            <w:proofErr w:type="spellStart"/>
            <w:r>
              <w:t>Вулвовагинит</w:t>
            </w:r>
            <w:proofErr w:type="spellEnd"/>
          </w:p>
        </w:tc>
        <w:tc>
          <w:tcPr>
            <w:tcW w:w="2388" w:type="dxa"/>
          </w:tcPr>
          <w:p w14:paraId="6232DD4E" w14:textId="77777777" w:rsidR="0016251E" w:rsidRDefault="0016251E" w:rsidP="0016251E"/>
        </w:tc>
        <w:tc>
          <w:tcPr>
            <w:tcW w:w="2411" w:type="dxa"/>
          </w:tcPr>
          <w:p w14:paraId="5460F63E" w14:textId="77777777" w:rsidR="0016251E" w:rsidRDefault="0016251E" w:rsidP="0016251E"/>
        </w:tc>
      </w:tr>
      <w:tr w:rsidR="0016251E" w14:paraId="292C7FED" w14:textId="77777777" w:rsidTr="0016251E">
        <w:tc>
          <w:tcPr>
            <w:tcW w:w="2388" w:type="dxa"/>
          </w:tcPr>
          <w:p w14:paraId="1A0F290A" w14:textId="200E9510" w:rsidR="0016251E" w:rsidRDefault="0016251E" w:rsidP="0016251E">
            <w:r>
              <w:t>Нарушения на имунната система</w:t>
            </w:r>
          </w:p>
        </w:tc>
        <w:tc>
          <w:tcPr>
            <w:tcW w:w="2389" w:type="dxa"/>
          </w:tcPr>
          <w:p w14:paraId="52A6225F" w14:textId="77777777" w:rsidR="0016251E" w:rsidRDefault="0016251E" w:rsidP="0016251E"/>
        </w:tc>
        <w:tc>
          <w:tcPr>
            <w:tcW w:w="2388" w:type="dxa"/>
          </w:tcPr>
          <w:p w14:paraId="4A818A20" w14:textId="77777777" w:rsidR="0016251E" w:rsidRDefault="0016251E" w:rsidP="0016251E"/>
        </w:tc>
        <w:tc>
          <w:tcPr>
            <w:tcW w:w="2411" w:type="dxa"/>
          </w:tcPr>
          <w:p w14:paraId="7B9053D0" w14:textId="77777777" w:rsidR="0016251E" w:rsidRDefault="0016251E" w:rsidP="0016251E">
            <w:proofErr w:type="spellStart"/>
            <w:r>
              <w:t>Анафилактични</w:t>
            </w:r>
            <w:proofErr w:type="spellEnd"/>
            <w:r>
              <w:t xml:space="preserve"> реакции, </w:t>
            </w:r>
            <w:r>
              <w:lastRenderedPageBreak/>
              <w:t xml:space="preserve">включително </w:t>
            </w:r>
            <w:proofErr w:type="spellStart"/>
            <w:r>
              <w:t>анафилактичен</w:t>
            </w:r>
            <w:proofErr w:type="spellEnd"/>
            <w:r>
              <w:t xml:space="preserve"> шок, свръхчувствителност (вж.</w:t>
            </w:r>
          </w:p>
          <w:p w14:paraId="669CD1E1" w14:textId="6AEC5C0E" w:rsidR="0016251E" w:rsidRDefault="0016251E" w:rsidP="0016251E">
            <w:r>
              <w:t>точка 4.4)</w:t>
            </w:r>
          </w:p>
        </w:tc>
      </w:tr>
      <w:tr w:rsidR="0016251E" w14:paraId="5C4A8856" w14:textId="77777777" w:rsidTr="0016251E">
        <w:tc>
          <w:tcPr>
            <w:tcW w:w="2388" w:type="dxa"/>
          </w:tcPr>
          <w:p w14:paraId="2B34831C" w14:textId="6A79539D" w:rsidR="0016251E" w:rsidRDefault="0016251E" w:rsidP="0016251E">
            <w:r>
              <w:lastRenderedPageBreak/>
              <w:t>Нарушения на нервната система</w:t>
            </w:r>
          </w:p>
        </w:tc>
        <w:tc>
          <w:tcPr>
            <w:tcW w:w="2389" w:type="dxa"/>
          </w:tcPr>
          <w:p w14:paraId="1896A51D" w14:textId="08946AEB" w:rsidR="0016251E" w:rsidRDefault="0016251E" w:rsidP="0016251E">
            <w:r>
              <w:t>Главоболие, замайване</w:t>
            </w:r>
          </w:p>
        </w:tc>
        <w:tc>
          <w:tcPr>
            <w:tcW w:w="2388" w:type="dxa"/>
          </w:tcPr>
          <w:p w14:paraId="6648F823" w14:textId="77777777" w:rsidR="0016251E" w:rsidRDefault="0016251E" w:rsidP="0016251E"/>
        </w:tc>
        <w:tc>
          <w:tcPr>
            <w:tcW w:w="2411" w:type="dxa"/>
          </w:tcPr>
          <w:p w14:paraId="1864562C" w14:textId="77777777" w:rsidR="0016251E" w:rsidRDefault="0016251E" w:rsidP="0016251E"/>
        </w:tc>
      </w:tr>
      <w:tr w:rsidR="0016251E" w14:paraId="3185F3A7" w14:textId="77777777" w:rsidTr="0016251E">
        <w:tc>
          <w:tcPr>
            <w:tcW w:w="2388" w:type="dxa"/>
          </w:tcPr>
          <w:p w14:paraId="325D277B" w14:textId="4B898ED8" w:rsidR="0016251E" w:rsidRDefault="0016251E" w:rsidP="0016251E">
            <w:r>
              <w:t>Стомашно-чревни нарушения</w:t>
            </w:r>
          </w:p>
        </w:tc>
        <w:tc>
          <w:tcPr>
            <w:tcW w:w="2389" w:type="dxa"/>
          </w:tcPr>
          <w:p w14:paraId="3AC0642A" w14:textId="40D66727" w:rsidR="0016251E" w:rsidRDefault="0016251E" w:rsidP="0016251E">
            <w:r>
              <w:t>Диария, гадене, диспепсия, коремна болка</w:t>
            </w:r>
          </w:p>
        </w:tc>
        <w:tc>
          <w:tcPr>
            <w:tcW w:w="2388" w:type="dxa"/>
          </w:tcPr>
          <w:p w14:paraId="01CF67DE" w14:textId="7C401C54" w:rsidR="0016251E" w:rsidRDefault="0016251E" w:rsidP="0016251E">
            <w:r>
              <w:t>Повръщане</w:t>
            </w:r>
          </w:p>
        </w:tc>
        <w:tc>
          <w:tcPr>
            <w:tcW w:w="2411" w:type="dxa"/>
          </w:tcPr>
          <w:p w14:paraId="0CD06381" w14:textId="428BC890" w:rsidR="0016251E" w:rsidRDefault="0016251E" w:rsidP="0016251E">
            <w:r>
              <w:t>Антибиотично-асоцииран колит (вж. точка 4.4)</w:t>
            </w:r>
          </w:p>
        </w:tc>
      </w:tr>
      <w:tr w:rsidR="0016251E" w14:paraId="2B9FCB5E" w14:textId="77777777" w:rsidTr="0016251E">
        <w:tc>
          <w:tcPr>
            <w:tcW w:w="2388" w:type="dxa"/>
          </w:tcPr>
          <w:p w14:paraId="7AE12971" w14:textId="7739C204" w:rsidR="0016251E" w:rsidRDefault="0016251E" w:rsidP="0016251E">
            <w:r>
              <w:t>Нарушения на кожата и подкожната тъкан</w:t>
            </w:r>
          </w:p>
        </w:tc>
        <w:tc>
          <w:tcPr>
            <w:tcW w:w="2389" w:type="dxa"/>
          </w:tcPr>
          <w:p w14:paraId="2AFFD890" w14:textId="77777777" w:rsidR="0016251E" w:rsidRDefault="0016251E" w:rsidP="0016251E"/>
        </w:tc>
        <w:tc>
          <w:tcPr>
            <w:tcW w:w="2388" w:type="dxa"/>
          </w:tcPr>
          <w:p w14:paraId="3423DBF6" w14:textId="079A1482" w:rsidR="0016251E" w:rsidRDefault="0016251E" w:rsidP="0016251E">
            <w:r>
              <w:t xml:space="preserve">Обрив, уртикария, </w:t>
            </w:r>
            <w:proofErr w:type="spellStart"/>
            <w:r>
              <w:t>пруритус</w:t>
            </w:r>
            <w:proofErr w:type="spellEnd"/>
          </w:p>
        </w:tc>
        <w:tc>
          <w:tcPr>
            <w:tcW w:w="2411" w:type="dxa"/>
          </w:tcPr>
          <w:p w14:paraId="5EBA496D" w14:textId="3D116AAF" w:rsidR="0016251E" w:rsidRDefault="0016251E" w:rsidP="0016251E">
            <w:r>
              <w:t>Ангиоедем</w:t>
            </w:r>
          </w:p>
        </w:tc>
      </w:tr>
    </w:tbl>
    <w:p w14:paraId="22BADEA2" w14:textId="77777777" w:rsidR="0016251E" w:rsidRPr="0016251E" w:rsidRDefault="0016251E" w:rsidP="0016251E">
      <w:pPr>
        <w:rPr>
          <w:u w:val="single"/>
          <w:lang w:eastAsia="bg-BG"/>
        </w:rPr>
      </w:pPr>
    </w:p>
    <w:p w14:paraId="0B3920B4" w14:textId="38A811AD" w:rsidR="0016251E" w:rsidRPr="0016251E" w:rsidRDefault="0016251E" w:rsidP="0016251E">
      <w:pPr>
        <w:rPr>
          <w:sz w:val="24"/>
          <w:szCs w:val="24"/>
          <w:u w:val="single"/>
        </w:rPr>
      </w:pPr>
      <w:r w:rsidRPr="0016251E">
        <w:rPr>
          <w:u w:val="single"/>
          <w:lang w:eastAsia="bg-BG"/>
        </w:rPr>
        <w:t>Съобщаване на подозирани нежелани реакции</w:t>
      </w:r>
    </w:p>
    <w:p w14:paraId="29A84D3E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 Изпълнителна агенция по лекарствата, ул. „Дамян Груев” № 8, 1303 София, тел.: 359 2 8903417, уебсайт: </w:t>
      </w:r>
      <w:hyperlink r:id="rId5" w:history="1">
        <w:r w:rsidRPr="0016251E">
          <w:rPr>
            <w:lang w:val="en-US"/>
          </w:rPr>
          <w:t>www.bda.bg</w:t>
        </w:r>
      </w:hyperlink>
      <w:r w:rsidRPr="0016251E">
        <w:rPr>
          <w:lang w:val="en-US"/>
        </w:rPr>
        <w:t>.</w:t>
      </w:r>
    </w:p>
    <w:p w14:paraId="39E2863F" w14:textId="77777777" w:rsidR="00957E26" w:rsidRPr="00957E26" w:rsidRDefault="00957E26" w:rsidP="00957E26"/>
    <w:p w14:paraId="611C622D" w14:textId="326ECE61" w:rsidR="002C50EE" w:rsidRDefault="002C50EE" w:rsidP="002C50EE">
      <w:pPr>
        <w:pStyle w:val="Heading2"/>
      </w:pPr>
      <w:r>
        <w:t>4.9. Предозиране</w:t>
      </w:r>
    </w:p>
    <w:p w14:paraId="05EE4819" w14:textId="77777777" w:rsidR="0016251E" w:rsidRDefault="0016251E" w:rsidP="0016251E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205D12DB" w14:textId="494562DB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Опитът по отношение на предозирането на перорален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е ограничен. При парентерално приложение на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са съобщени случаи на хипотония, сънливост, електролитни нарушения, </w:t>
      </w:r>
      <w:proofErr w:type="spellStart"/>
      <w:r w:rsidRPr="0016251E">
        <w:rPr>
          <w:lang w:eastAsia="bg-BG"/>
        </w:rPr>
        <w:t>тромбоцитопения</w:t>
      </w:r>
      <w:proofErr w:type="spellEnd"/>
      <w:r w:rsidRPr="0016251E">
        <w:rPr>
          <w:lang w:eastAsia="bg-BG"/>
        </w:rPr>
        <w:t xml:space="preserve"> и </w:t>
      </w:r>
      <w:proofErr w:type="spellStart"/>
      <w:r w:rsidRPr="0016251E">
        <w:rPr>
          <w:lang w:eastAsia="bg-BG"/>
        </w:rPr>
        <w:t>хипопротромбинемия</w:t>
      </w:r>
      <w:proofErr w:type="spellEnd"/>
      <w:r w:rsidRPr="0016251E">
        <w:rPr>
          <w:lang w:eastAsia="bg-BG"/>
        </w:rPr>
        <w:t>.</w:t>
      </w:r>
    </w:p>
    <w:p w14:paraId="40AEBAFB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В случай на предозиране, пациентът трябва да бъде наблюдаван (особено нивата на плазмените/серумните електролити), а лечението трябва да бъде симптоматично и поддържащо. Препоръчва се </w:t>
      </w:r>
      <w:proofErr w:type="spellStart"/>
      <w:r w:rsidRPr="0016251E">
        <w:rPr>
          <w:lang w:eastAsia="bg-BG"/>
        </w:rPr>
        <w:t>рехидратация</w:t>
      </w:r>
      <w:proofErr w:type="spellEnd"/>
      <w:r w:rsidRPr="0016251E">
        <w:rPr>
          <w:lang w:eastAsia="bg-BG"/>
        </w:rPr>
        <w:t xml:space="preserve"> за подпомагане на елиминирането на активното</w:t>
      </w:r>
      <w:r>
        <w:rPr>
          <w:lang w:eastAsia="bg-BG"/>
        </w:rPr>
        <w:t xml:space="preserve"> </w:t>
      </w:r>
      <w:r w:rsidRPr="0016251E">
        <w:rPr>
          <w:lang w:eastAsia="bg-BG"/>
        </w:rPr>
        <w:t xml:space="preserve">вещество с урината.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се изчиства ефективно от организма чрез хемодиализа със среден полуживот на елиминиране от приблизително 4 часа.</w:t>
      </w:r>
    </w:p>
    <w:p w14:paraId="5FF02BBD" w14:textId="0A481145" w:rsidR="0016251E" w:rsidRPr="0016251E" w:rsidRDefault="0016251E" w:rsidP="0016251E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09CB2EA1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003C940C" w14:textId="77777777" w:rsidR="0016251E" w:rsidRDefault="0016251E" w:rsidP="0016251E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206ABD58" w14:textId="341762F8" w:rsidR="0016251E" w:rsidRPr="0016251E" w:rsidRDefault="0016251E" w:rsidP="0016251E">
      <w:pPr>
        <w:rPr>
          <w:sz w:val="24"/>
          <w:szCs w:val="24"/>
        </w:rPr>
      </w:pPr>
      <w:proofErr w:type="spellStart"/>
      <w:r w:rsidRPr="0016251E">
        <w:rPr>
          <w:lang w:eastAsia="bg-BG"/>
        </w:rPr>
        <w:t>Фармакотерапевтична</w:t>
      </w:r>
      <w:proofErr w:type="spellEnd"/>
      <w:r w:rsidRPr="0016251E">
        <w:rPr>
          <w:lang w:eastAsia="bg-BG"/>
        </w:rPr>
        <w:t xml:space="preserve"> група: </w:t>
      </w:r>
      <w:proofErr w:type="spellStart"/>
      <w:r w:rsidRPr="0016251E">
        <w:rPr>
          <w:lang w:eastAsia="bg-BG"/>
        </w:rPr>
        <w:t>Аитибактериални</w:t>
      </w:r>
      <w:proofErr w:type="spellEnd"/>
      <w:r w:rsidRPr="0016251E">
        <w:rPr>
          <w:lang w:eastAsia="bg-BG"/>
        </w:rPr>
        <w:t xml:space="preserve"> средства за системна употреба; Други антибактериални средства, АТС код: </w:t>
      </w:r>
      <w:r w:rsidRPr="0016251E">
        <w:rPr>
          <w:lang w:val="en-US"/>
        </w:rPr>
        <w:t>J01XX01</w:t>
      </w:r>
    </w:p>
    <w:p w14:paraId="6A0866F5" w14:textId="77777777" w:rsidR="0016251E" w:rsidRDefault="0016251E" w:rsidP="0016251E">
      <w:pPr>
        <w:rPr>
          <w:u w:val="single"/>
          <w:lang w:eastAsia="bg-BG"/>
        </w:rPr>
      </w:pPr>
    </w:p>
    <w:p w14:paraId="39EE9390" w14:textId="2F083C92" w:rsidR="0016251E" w:rsidRPr="0016251E" w:rsidRDefault="0016251E" w:rsidP="0016251E">
      <w:pPr>
        <w:rPr>
          <w:sz w:val="24"/>
          <w:szCs w:val="24"/>
        </w:rPr>
      </w:pPr>
      <w:r w:rsidRPr="0016251E">
        <w:rPr>
          <w:u w:val="single"/>
          <w:lang w:eastAsia="bg-BG"/>
        </w:rPr>
        <w:t>Механизъм на действие</w:t>
      </w:r>
    </w:p>
    <w:p w14:paraId="109FD6CE" w14:textId="77777777" w:rsidR="0016251E" w:rsidRPr="0016251E" w:rsidRDefault="0016251E" w:rsidP="0016251E">
      <w:pPr>
        <w:rPr>
          <w:sz w:val="24"/>
          <w:szCs w:val="24"/>
        </w:rPr>
      </w:pP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оказва бактерициден ефект върху </w:t>
      </w:r>
      <w:proofErr w:type="spellStart"/>
      <w:r w:rsidRPr="0016251E">
        <w:rPr>
          <w:lang w:eastAsia="bg-BG"/>
        </w:rPr>
        <w:t>пролифериращите</w:t>
      </w:r>
      <w:proofErr w:type="spellEnd"/>
      <w:r w:rsidRPr="0016251E">
        <w:rPr>
          <w:lang w:eastAsia="bg-BG"/>
        </w:rPr>
        <w:t xml:space="preserve"> патогени чрез предотвратяване на ензимния синтез на бактериалната клетъчна стена.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инхибира първия етап на синтеза на вътреклетъчната бактериална клетъчна стена като блокира синтезата на </w:t>
      </w:r>
      <w:proofErr w:type="spellStart"/>
      <w:r w:rsidRPr="0016251E">
        <w:rPr>
          <w:lang w:eastAsia="bg-BG"/>
        </w:rPr>
        <w:t>пептидогликан</w:t>
      </w:r>
      <w:proofErr w:type="spellEnd"/>
      <w:r w:rsidRPr="0016251E">
        <w:rPr>
          <w:lang w:eastAsia="bg-BG"/>
        </w:rPr>
        <w:t>.</w:t>
      </w:r>
    </w:p>
    <w:p w14:paraId="5F0047FE" w14:textId="77777777" w:rsidR="0016251E" w:rsidRPr="0016251E" w:rsidRDefault="0016251E" w:rsidP="0016251E">
      <w:pPr>
        <w:rPr>
          <w:sz w:val="24"/>
          <w:szCs w:val="24"/>
        </w:rPr>
      </w:pPr>
      <w:proofErr w:type="spellStart"/>
      <w:r w:rsidRPr="0016251E">
        <w:rPr>
          <w:lang w:eastAsia="bg-BG"/>
        </w:rPr>
        <w:lastRenderedPageBreak/>
        <w:t>Фосфомицин</w:t>
      </w:r>
      <w:proofErr w:type="spellEnd"/>
      <w:r w:rsidRPr="0016251E">
        <w:rPr>
          <w:lang w:eastAsia="bg-BG"/>
        </w:rPr>
        <w:t xml:space="preserve"> се транспортира активно в бактериалната клетка чрез две различни транспортни системи </w:t>
      </w:r>
      <w:r w:rsidRPr="0016251E">
        <w:rPr>
          <w:lang w:val="en-US"/>
        </w:rPr>
        <w:t>(</w:t>
      </w:r>
      <w:proofErr w:type="spellStart"/>
      <w:r w:rsidRPr="0016251E">
        <w:rPr>
          <w:lang w:val="en-US"/>
        </w:rPr>
        <w:t>sn</w:t>
      </w:r>
      <w:proofErr w:type="spellEnd"/>
      <w:r w:rsidRPr="0016251E">
        <w:rPr>
          <w:lang w:eastAsia="bg-BG"/>
        </w:rPr>
        <w:t>-</w:t>
      </w:r>
      <w:proofErr w:type="spellStart"/>
      <w:r w:rsidRPr="0016251E">
        <w:rPr>
          <w:lang w:eastAsia="bg-BG"/>
        </w:rPr>
        <w:t>глицерол</w:t>
      </w:r>
      <w:proofErr w:type="spellEnd"/>
      <w:r w:rsidRPr="0016251E">
        <w:rPr>
          <w:lang w:eastAsia="bg-BG"/>
        </w:rPr>
        <w:t>-З-фосфат и хексоза-6 транспортни системи).</w:t>
      </w:r>
    </w:p>
    <w:p w14:paraId="69F54247" w14:textId="77777777" w:rsidR="0016251E" w:rsidRDefault="0016251E" w:rsidP="0016251E">
      <w:pPr>
        <w:rPr>
          <w:u w:val="single"/>
          <w:lang w:eastAsia="bg-BG"/>
        </w:rPr>
      </w:pPr>
    </w:p>
    <w:p w14:paraId="28D6CD17" w14:textId="5F62BCE3" w:rsidR="0016251E" w:rsidRPr="0016251E" w:rsidRDefault="0016251E" w:rsidP="0016251E">
      <w:pPr>
        <w:rPr>
          <w:sz w:val="24"/>
          <w:szCs w:val="24"/>
        </w:rPr>
      </w:pPr>
      <w:r w:rsidRPr="0016251E">
        <w:rPr>
          <w:u w:val="single"/>
          <w:lang w:eastAsia="bg-BG"/>
        </w:rPr>
        <w:t>Връзка фармакокинетика/</w:t>
      </w:r>
      <w:proofErr w:type="spellStart"/>
      <w:r w:rsidRPr="0016251E">
        <w:rPr>
          <w:u w:val="single"/>
          <w:lang w:eastAsia="bg-BG"/>
        </w:rPr>
        <w:t>фармакодинамика</w:t>
      </w:r>
      <w:proofErr w:type="spellEnd"/>
    </w:p>
    <w:p w14:paraId="5386C1D2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Ограничените данни показват, че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най-вероятно действа по зависещ от времето начин.</w:t>
      </w:r>
    </w:p>
    <w:p w14:paraId="09F56E74" w14:textId="77777777" w:rsidR="0016251E" w:rsidRDefault="0016251E" w:rsidP="0016251E">
      <w:pPr>
        <w:rPr>
          <w:u w:val="single"/>
          <w:lang w:eastAsia="bg-BG"/>
        </w:rPr>
      </w:pPr>
    </w:p>
    <w:p w14:paraId="73C686A7" w14:textId="10F7B55D" w:rsidR="0016251E" w:rsidRPr="0016251E" w:rsidRDefault="0016251E" w:rsidP="0016251E">
      <w:pPr>
        <w:rPr>
          <w:sz w:val="24"/>
          <w:szCs w:val="24"/>
        </w:rPr>
      </w:pPr>
      <w:r w:rsidRPr="0016251E">
        <w:rPr>
          <w:u w:val="single"/>
          <w:lang w:eastAsia="bg-BG"/>
        </w:rPr>
        <w:t>Механизъм на резистентност</w:t>
      </w:r>
    </w:p>
    <w:p w14:paraId="2228AE0E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Основният механизъм на резистентност е хромозомна мутация, причиняваща промяна на бактериалните транспортни системи на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. Допълнителни механизми на резистентност, които са пренесени от </w:t>
      </w:r>
      <w:proofErr w:type="spellStart"/>
      <w:r w:rsidRPr="0016251E">
        <w:rPr>
          <w:lang w:eastAsia="bg-BG"/>
        </w:rPr>
        <w:t>плазмиди</w:t>
      </w:r>
      <w:proofErr w:type="spellEnd"/>
      <w:r w:rsidRPr="0016251E">
        <w:rPr>
          <w:lang w:eastAsia="bg-BG"/>
        </w:rPr>
        <w:t xml:space="preserve"> или </w:t>
      </w:r>
      <w:proofErr w:type="spellStart"/>
      <w:r w:rsidRPr="0016251E">
        <w:rPr>
          <w:lang w:eastAsia="bg-BG"/>
        </w:rPr>
        <w:t>транспозони</w:t>
      </w:r>
      <w:proofErr w:type="spellEnd"/>
      <w:r w:rsidRPr="0016251E">
        <w:rPr>
          <w:lang w:eastAsia="bg-BG"/>
        </w:rPr>
        <w:t xml:space="preserve">, пораждат ензимно </w:t>
      </w:r>
      <w:proofErr w:type="spellStart"/>
      <w:r w:rsidRPr="0016251E">
        <w:rPr>
          <w:lang w:eastAsia="bg-BG"/>
        </w:rPr>
        <w:t>инактивиране</w:t>
      </w:r>
      <w:proofErr w:type="spellEnd"/>
      <w:r w:rsidRPr="0016251E">
        <w:rPr>
          <w:lang w:eastAsia="bg-BG"/>
        </w:rPr>
        <w:t xml:space="preserve"> на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чрез свързване на молекулата към </w:t>
      </w:r>
      <w:proofErr w:type="spellStart"/>
      <w:r w:rsidRPr="0016251E">
        <w:rPr>
          <w:lang w:eastAsia="bg-BG"/>
        </w:rPr>
        <w:t>глутатион</w:t>
      </w:r>
      <w:proofErr w:type="spellEnd"/>
      <w:r w:rsidRPr="0016251E">
        <w:rPr>
          <w:lang w:eastAsia="bg-BG"/>
        </w:rPr>
        <w:t xml:space="preserve"> или съответно чрез разцепване на връзката въглерод-фосфор в молекулата на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>.</w:t>
      </w:r>
    </w:p>
    <w:p w14:paraId="75C4B720" w14:textId="77777777" w:rsidR="0016251E" w:rsidRDefault="0016251E" w:rsidP="0016251E">
      <w:pPr>
        <w:rPr>
          <w:u w:val="single"/>
          <w:lang w:eastAsia="bg-BG"/>
        </w:rPr>
      </w:pPr>
    </w:p>
    <w:p w14:paraId="0DAA0C75" w14:textId="00FC9AA1" w:rsidR="0016251E" w:rsidRPr="0016251E" w:rsidRDefault="0016251E" w:rsidP="0016251E">
      <w:pPr>
        <w:rPr>
          <w:sz w:val="24"/>
          <w:szCs w:val="24"/>
        </w:rPr>
      </w:pPr>
      <w:r w:rsidRPr="0016251E">
        <w:rPr>
          <w:u w:val="single"/>
          <w:lang w:eastAsia="bg-BG"/>
        </w:rPr>
        <w:t>Кръстосана резистентност</w:t>
      </w:r>
    </w:p>
    <w:p w14:paraId="4FAC8EEA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Не е известна кръстосана резистентност между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и други класове антибиотици.</w:t>
      </w:r>
    </w:p>
    <w:p w14:paraId="4F4E7BFF" w14:textId="77777777" w:rsidR="0016251E" w:rsidRDefault="0016251E" w:rsidP="0016251E">
      <w:pPr>
        <w:rPr>
          <w:u w:val="single"/>
          <w:lang w:eastAsia="bg-BG"/>
        </w:rPr>
      </w:pPr>
    </w:p>
    <w:p w14:paraId="29F37981" w14:textId="16B24003" w:rsidR="0016251E" w:rsidRPr="0016251E" w:rsidRDefault="0016251E" w:rsidP="0016251E">
      <w:pPr>
        <w:rPr>
          <w:sz w:val="24"/>
          <w:szCs w:val="24"/>
        </w:rPr>
      </w:pPr>
      <w:r w:rsidRPr="0016251E">
        <w:rPr>
          <w:u w:val="single"/>
          <w:lang w:eastAsia="bg-BG"/>
        </w:rPr>
        <w:t>Гранични стойности на изпитване за чувствителност</w:t>
      </w:r>
    </w:p>
    <w:p w14:paraId="7C89232D" w14:textId="279B1E6D" w:rsidR="0016251E" w:rsidRDefault="0016251E" w:rsidP="0016251E">
      <w:pPr>
        <w:rPr>
          <w:lang w:eastAsia="bg-BG"/>
        </w:rPr>
      </w:pPr>
      <w:r w:rsidRPr="0016251E">
        <w:rPr>
          <w:lang w:eastAsia="bg-BG"/>
        </w:rPr>
        <w:t xml:space="preserve">Граничните стойности на чувствителност, установени от Европейския комитет за изпитване на антимикробната чувствителност са както следва (таблица на граничните стойности на </w:t>
      </w:r>
      <w:r w:rsidRPr="0016251E">
        <w:rPr>
          <w:lang w:val="en-US"/>
        </w:rPr>
        <w:t xml:space="preserve">EUCASI </w:t>
      </w:r>
      <w:r w:rsidRPr="0016251E">
        <w:rPr>
          <w:lang w:eastAsia="bg-BG"/>
        </w:rPr>
        <w:t>версия 11):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6251E" w14:paraId="5D24BD7C" w14:textId="77777777" w:rsidTr="0016251E">
        <w:tc>
          <w:tcPr>
            <w:tcW w:w="3192" w:type="dxa"/>
          </w:tcPr>
          <w:p w14:paraId="706B999F" w14:textId="20CF435D" w:rsidR="0016251E" w:rsidRPr="0016251E" w:rsidRDefault="0016251E" w:rsidP="0016251E">
            <w:pPr>
              <w:rPr>
                <w:b/>
                <w:bCs/>
                <w:sz w:val="24"/>
                <w:szCs w:val="24"/>
              </w:rPr>
            </w:pPr>
            <w:r w:rsidRPr="0016251E">
              <w:rPr>
                <w:b/>
                <w:bCs/>
              </w:rPr>
              <w:t>Видове</w:t>
            </w:r>
          </w:p>
        </w:tc>
        <w:tc>
          <w:tcPr>
            <w:tcW w:w="3192" w:type="dxa"/>
          </w:tcPr>
          <w:p w14:paraId="6AF14AFE" w14:textId="4A580919" w:rsidR="0016251E" w:rsidRPr="0016251E" w:rsidRDefault="0016251E" w:rsidP="0016251E">
            <w:pPr>
              <w:rPr>
                <w:b/>
                <w:bCs/>
                <w:sz w:val="24"/>
                <w:szCs w:val="24"/>
              </w:rPr>
            </w:pPr>
            <w:r w:rsidRPr="0016251E">
              <w:rPr>
                <w:b/>
                <w:bCs/>
              </w:rPr>
              <w:t>чувствителни</w:t>
            </w:r>
          </w:p>
        </w:tc>
        <w:tc>
          <w:tcPr>
            <w:tcW w:w="3192" w:type="dxa"/>
          </w:tcPr>
          <w:p w14:paraId="45D6D135" w14:textId="2E61D468" w:rsidR="0016251E" w:rsidRPr="0016251E" w:rsidRDefault="0016251E" w:rsidP="0016251E">
            <w:pPr>
              <w:rPr>
                <w:b/>
                <w:bCs/>
                <w:sz w:val="24"/>
                <w:szCs w:val="24"/>
              </w:rPr>
            </w:pPr>
            <w:r w:rsidRPr="0016251E">
              <w:rPr>
                <w:b/>
                <w:bCs/>
              </w:rPr>
              <w:t>резистентни</w:t>
            </w:r>
          </w:p>
        </w:tc>
      </w:tr>
      <w:tr w:rsidR="0016251E" w14:paraId="1D9CD4DD" w14:textId="77777777" w:rsidTr="0016251E">
        <w:tc>
          <w:tcPr>
            <w:tcW w:w="3192" w:type="dxa"/>
          </w:tcPr>
          <w:p w14:paraId="65863914" w14:textId="7A1E68D4" w:rsidR="0016251E" w:rsidRDefault="0016251E" w:rsidP="0016251E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</w:rPr>
              <w:t>Ентеробактерии</w:t>
            </w:r>
            <w:proofErr w:type="spellEnd"/>
          </w:p>
        </w:tc>
        <w:tc>
          <w:tcPr>
            <w:tcW w:w="3192" w:type="dxa"/>
          </w:tcPr>
          <w:p w14:paraId="694897D8" w14:textId="7BA87F0E" w:rsidR="0016251E" w:rsidRDefault="0016251E" w:rsidP="0016251E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>≤</w:t>
            </w:r>
            <w:r>
              <w:t xml:space="preserve"> 8 </w:t>
            </w:r>
            <w:r>
              <w:rPr>
                <w:lang w:val="en-US"/>
              </w:rPr>
              <w:t>mg/1</w:t>
            </w:r>
          </w:p>
        </w:tc>
        <w:tc>
          <w:tcPr>
            <w:tcW w:w="3192" w:type="dxa"/>
          </w:tcPr>
          <w:p w14:paraId="20F622AC" w14:textId="0A1F279D" w:rsidR="0016251E" w:rsidRDefault="0016251E" w:rsidP="0016251E">
            <w:pPr>
              <w:rPr>
                <w:sz w:val="24"/>
                <w:szCs w:val="24"/>
              </w:rPr>
            </w:pPr>
            <w:r>
              <w:t xml:space="preserve">&gt; 8 </w:t>
            </w:r>
            <w:r>
              <w:rPr>
                <w:lang w:val="en-US"/>
              </w:rPr>
              <w:t>mg/1</w:t>
            </w:r>
          </w:p>
        </w:tc>
      </w:tr>
    </w:tbl>
    <w:p w14:paraId="0A068512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>Преобладаване на придобита резистентност</w:t>
      </w:r>
    </w:p>
    <w:p w14:paraId="372BB6A4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>Преобладаването на придобитата резистентност на отделните видове може да варира географски и във времето. Поради това е необходима информация на местно ниво за състоянието на резистентност главно с цел да се осигури подходящо лечение на тежки инфекции.</w:t>
      </w:r>
    </w:p>
    <w:p w14:paraId="230A86C6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>Следната таблица се основава на данни от програми за наблюдение и проучвания. Тя включва организми, подходящи за одобрените показания:</w:t>
      </w:r>
    </w:p>
    <w:p w14:paraId="2CEFD457" w14:textId="77777777" w:rsidR="0016251E" w:rsidRDefault="0016251E" w:rsidP="0016251E">
      <w:pPr>
        <w:rPr>
          <w:b/>
          <w:bCs/>
          <w:lang w:eastAsia="bg-BG"/>
        </w:rPr>
      </w:pPr>
    </w:p>
    <w:p w14:paraId="65E1218F" w14:textId="6404F31F" w:rsidR="0016251E" w:rsidRPr="0016251E" w:rsidRDefault="0016251E" w:rsidP="0016251E">
      <w:pPr>
        <w:rPr>
          <w:sz w:val="24"/>
          <w:szCs w:val="24"/>
        </w:rPr>
      </w:pPr>
      <w:r w:rsidRPr="0016251E">
        <w:rPr>
          <w:b/>
          <w:bCs/>
          <w:lang w:eastAsia="bg-BG"/>
        </w:rPr>
        <w:t>Често срещани чувствителни видове</w:t>
      </w:r>
    </w:p>
    <w:p w14:paraId="08D15DAB" w14:textId="77777777" w:rsidR="0016251E" w:rsidRPr="0016251E" w:rsidRDefault="0016251E" w:rsidP="0016251E">
      <w:pPr>
        <w:rPr>
          <w:b/>
          <w:bCs/>
          <w:sz w:val="24"/>
          <w:szCs w:val="24"/>
        </w:rPr>
      </w:pPr>
      <w:r w:rsidRPr="0016251E">
        <w:rPr>
          <w:b/>
          <w:bCs/>
          <w:i/>
          <w:iCs/>
          <w:lang w:eastAsia="bg-BG"/>
        </w:rPr>
        <w:t>Аеробни Грам-отрицателни микроорганизми</w:t>
      </w:r>
    </w:p>
    <w:p w14:paraId="6303201E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i/>
          <w:iCs/>
          <w:lang w:val="en-US"/>
        </w:rPr>
        <w:t>Escherichia coli</w:t>
      </w:r>
    </w:p>
    <w:p w14:paraId="09F4052E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b/>
          <w:bCs/>
          <w:lang w:eastAsia="bg-BG"/>
        </w:rPr>
        <w:t>Видове, при които придобитата резистентност може да е проблем</w:t>
      </w:r>
    </w:p>
    <w:p w14:paraId="717766DC" w14:textId="77777777" w:rsidR="0016251E" w:rsidRPr="0016251E" w:rsidRDefault="0016251E" w:rsidP="0016251E">
      <w:pPr>
        <w:rPr>
          <w:b/>
          <w:bCs/>
          <w:sz w:val="24"/>
          <w:szCs w:val="24"/>
        </w:rPr>
      </w:pPr>
      <w:r w:rsidRPr="0016251E">
        <w:rPr>
          <w:b/>
          <w:bCs/>
          <w:i/>
          <w:iCs/>
          <w:lang w:eastAsia="bg-BG"/>
        </w:rPr>
        <w:t>Аеробни Грам-положителни микроорганизми</w:t>
      </w:r>
    </w:p>
    <w:p w14:paraId="0CB20C1F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i/>
          <w:iCs/>
          <w:lang w:val="en-US"/>
        </w:rPr>
        <w:t>Enterococcus faecalis</w:t>
      </w:r>
    </w:p>
    <w:p w14:paraId="04EAFD9D" w14:textId="07B1CC8D" w:rsidR="0016251E" w:rsidRPr="0016251E" w:rsidRDefault="0016251E" w:rsidP="0016251E">
      <w:pPr>
        <w:rPr>
          <w:b/>
          <w:bCs/>
          <w:i/>
          <w:iCs/>
          <w:lang w:eastAsia="bg-BG"/>
        </w:rPr>
      </w:pPr>
      <w:r w:rsidRPr="0016251E">
        <w:rPr>
          <w:b/>
          <w:bCs/>
          <w:i/>
          <w:iCs/>
          <w:lang w:eastAsia="bg-BG"/>
        </w:rPr>
        <w:t>Аеробни Грам-отрицателни микроорганизми</w:t>
      </w:r>
    </w:p>
    <w:p w14:paraId="6721CB72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val="en-US"/>
        </w:rPr>
        <w:t>Klebsiella pneumonia</w:t>
      </w:r>
    </w:p>
    <w:p w14:paraId="1686D405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val="en-US"/>
        </w:rPr>
        <w:t>Proteus mirabilis</w:t>
      </w:r>
    </w:p>
    <w:p w14:paraId="4D80841B" w14:textId="77777777" w:rsidR="0016251E" w:rsidRPr="0016251E" w:rsidRDefault="0016251E" w:rsidP="0016251E">
      <w:pPr>
        <w:rPr>
          <w:sz w:val="24"/>
          <w:szCs w:val="24"/>
        </w:rPr>
      </w:pPr>
      <w:bookmarkStart w:id="1" w:name="bookmark0"/>
      <w:r w:rsidRPr="0016251E">
        <w:rPr>
          <w:b/>
          <w:bCs/>
          <w:lang w:eastAsia="bg-BG"/>
        </w:rPr>
        <w:t xml:space="preserve">Видове </w:t>
      </w:r>
      <w:r w:rsidRPr="0016251E">
        <w:rPr>
          <w:b/>
          <w:bCs/>
          <w:lang w:val="en-US"/>
        </w:rPr>
        <w:t xml:space="preserve">c </w:t>
      </w:r>
      <w:r w:rsidRPr="0016251E">
        <w:rPr>
          <w:b/>
          <w:bCs/>
          <w:lang w:eastAsia="bg-BG"/>
        </w:rPr>
        <w:t>присъща резистентност</w:t>
      </w:r>
      <w:bookmarkEnd w:id="1"/>
    </w:p>
    <w:p w14:paraId="5658D3CD" w14:textId="77777777" w:rsidR="0016251E" w:rsidRPr="0016251E" w:rsidRDefault="0016251E" w:rsidP="0016251E">
      <w:pPr>
        <w:rPr>
          <w:b/>
          <w:bCs/>
          <w:i/>
          <w:iCs/>
          <w:sz w:val="24"/>
          <w:szCs w:val="24"/>
        </w:rPr>
      </w:pPr>
      <w:r w:rsidRPr="0016251E">
        <w:rPr>
          <w:b/>
          <w:bCs/>
          <w:i/>
          <w:iCs/>
          <w:lang w:eastAsia="bg-BG"/>
        </w:rPr>
        <w:t>Аеробни Грам-положителни микроорганизми</w:t>
      </w:r>
    </w:p>
    <w:p w14:paraId="28C25111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val="en-US"/>
        </w:rPr>
        <w:t>Staphylococcus saprophyticus</w:t>
      </w:r>
    </w:p>
    <w:p w14:paraId="4B00E083" w14:textId="77777777" w:rsidR="0016251E" w:rsidRPr="0016251E" w:rsidRDefault="0016251E" w:rsidP="0016251E">
      <w:pPr>
        <w:rPr>
          <w:sz w:val="24"/>
          <w:szCs w:val="24"/>
        </w:rPr>
      </w:pPr>
    </w:p>
    <w:p w14:paraId="52C8908F" w14:textId="77777777" w:rsidR="0016251E" w:rsidRPr="0016251E" w:rsidRDefault="0016251E" w:rsidP="0016251E"/>
    <w:p w14:paraId="788B4E5E" w14:textId="26429D69" w:rsidR="002C50EE" w:rsidRDefault="002C50EE" w:rsidP="002C50EE">
      <w:pPr>
        <w:pStyle w:val="Heading2"/>
      </w:pPr>
      <w:r>
        <w:lastRenderedPageBreak/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7021A70E" w14:textId="77777777" w:rsidR="0016251E" w:rsidRDefault="0016251E" w:rsidP="0016251E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3715ED77" w14:textId="4508729C" w:rsidR="0016251E" w:rsidRPr="0016251E" w:rsidRDefault="0016251E" w:rsidP="0016251E">
      <w:pPr>
        <w:pStyle w:val="Heading3"/>
        <w:rPr>
          <w:rFonts w:eastAsia="Times New Roman"/>
          <w:u w:val="single"/>
        </w:rPr>
      </w:pPr>
      <w:r w:rsidRPr="0016251E">
        <w:rPr>
          <w:rFonts w:eastAsia="Times New Roman"/>
          <w:u w:val="single"/>
          <w:lang w:eastAsia="bg-BG"/>
        </w:rPr>
        <w:t>Абсорбция</w:t>
      </w:r>
    </w:p>
    <w:p w14:paraId="5F43B70F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След перорално приложение на единична доза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</w:t>
      </w:r>
      <w:proofErr w:type="spellStart"/>
      <w:r w:rsidRPr="0016251E">
        <w:rPr>
          <w:lang w:eastAsia="bg-BG"/>
        </w:rPr>
        <w:t>трометамол</w:t>
      </w:r>
      <w:proofErr w:type="spellEnd"/>
      <w:r w:rsidRPr="0016251E">
        <w:rPr>
          <w:lang w:eastAsia="bg-BG"/>
        </w:rPr>
        <w:t xml:space="preserve"> има абсолютна бионаличност около 33-53%. Скоростта и степента на абсорбция се намаляват от храната, но общото количество активно вещество, </w:t>
      </w:r>
      <w:proofErr w:type="spellStart"/>
      <w:r w:rsidRPr="0016251E">
        <w:rPr>
          <w:lang w:eastAsia="bg-BG"/>
        </w:rPr>
        <w:t>екскретирано</w:t>
      </w:r>
      <w:proofErr w:type="spellEnd"/>
      <w:r w:rsidRPr="0016251E">
        <w:rPr>
          <w:lang w:eastAsia="bg-BG"/>
        </w:rPr>
        <w:t xml:space="preserve"> с урината във времето, е същото. Средната концентрация на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в урината се поддържа над прага на минималната инхибираща концентрация (МИК) 128 </w:t>
      </w:r>
      <w:proofErr w:type="spellStart"/>
      <w:r w:rsidRPr="0016251E">
        <w:rPr>
          <w:lang w:val="en-US"/>
        </w:rPr>
        <w:t>μg</w:t>
      </w:r>
      <w:proofErr w:type="spellEnd"/>
      <w:r w:rsidRPr="0016251E">
        <w:rPr>
          <w:lang w:val="en-US"/>
        </w:rPr>
        <w:t xml:space="preserve">/ml </w:t>
      </w:r>
      <w:r w:rsidRPr="0016251E">
        <w:rPr>
          <w:lang w:eastAsia="bg-BG"/>
        </w:rPr>
        <w:t xml:space="preserve">най-малко 24 часа след приема на перорална доза 3 </w:t>
      </w:r>
      <w:r w:rsidRPr="0016251E">
        <w:rPr>
          <w:lang w:val="en-US"/>
        </w:rPr>
        <w:t xml:space="preserve">g </w:t>
      </w:r>
      <w:r w:rsidRPr="0016251E">
        <w:rPr>
          <w:lang w:eastAsia="bg-BG"/>
        </w:rPr>
        <w:t xml:space="preserve">на гладно или след хранене, но времето за достигане на максимална концентрация в урината се забавя с 4 часа.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</w:t>
      </w:r>
      <w:proofErr w:type="spellStart"/>
      <w:r w:rsidRPr="0016251E">
        <w:rPr>
          <w:lang w:eastAsia="bg-BG"/>
        </w:rPr>
        <w:t>трометамол</w:t>
      </w:r>
      <w:proofErr w:type="spellEnd"/>
      <w:r w:rsidRPr="0016251E">
        <w:rPr>
          <w:lang w:eastAsia="bg-BG"/>
        </w:rPr>
        <w:t xml:space="preserve"> е подложен на </w:t>
      </w:r>
      <w:proofErr w:type="spellStart"/>
      <w:r w:rsidRPr="0016251E">
        <w:rPr>
          <w:lang w:eastAsia="bg-BG"/>
        </w:rPr>
        <w:t>ентерохепатална</w:t>
      </w:r>
      <w:proofErr w:type="spellEnd"/>
      <w:r w:rsidRPr="0016251E">
        <w:rPr>
          <w:lang w:eastAsia="bg-BG"/>
        </w:rPr>
        <w:t xml:space="preserve"> рециркулация.</w:t>
      </w:r>
    </w:p>
    <w:p w14:paraId="4D61658C" w14:textId="77777777" w:rsidR="0016251E" w:rsidRDefault="0016251E" w:rsidP="0016251E">
      <w:pPr>
        <w:rPr>
          <w:lang w:eastAsia="bg-BG"/>
        </w:rPr>
      </w:pPr>
    </w:p>
    <w:p w14:paraId="43D2A991" w14:textId="2A5D03A4" w:rsidR="0016251E" w:rsidRPr="0016251E" w:rsidRDefault="0016251E" w:rsidP="0016251E">
      <w:pPr>
        <w:pStyle w:val="Heading3"/>
        <w:rPr>
          <w:rFonts w:eastAsia="Times New Roman"/>
          <w:u w:val="single"/>
        </w:rPr>
      </w:pPr>
      <w:r w:rsidRPr="0016251E">
        <w:rPr>
          <w:rFonts w:eastAsia="Times New Roman"/>
          <w:u w:val="single"/>
          <w:lang w:eastAsia="bg-BG"/>
        </w:rPr>
        <w:t>Разпределение</w:t>
      </w:r>
    </w:p>
    <w:p w14:paraId="03C007D5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Изглежда, че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не се </w:t>
      </w:r>
      <w:proofErr w:type="spellStart"/>
      <w:r w:rsidRPr="0016251E">
        <w:rPr>
          <w:lang w:eastAsia="bg-BG"/>
        </w:rPr>
        <w:t>метаболизира</w:t>
      </w:r>
      <w:proofErr w:type="spellEnd"/>
      <w:r w:rsidRPr="0016251E">
        <w:rPr>
          <w:lang w:eastAsia="bg-BG"/>
        </w:rPr>
        <w:t xml:space="preserve">.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се разпространява в тъканите, включително бъбреците и стената на пикочния мехур.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не се свързва с плазмените протеини и преминава </w:t>
      </w:r>
      <w:proofErr w:type="spellStart"/>
      <w:r w:rsidRPr="0016251E">
        <w:rPr>
          <w:lang w:eastAsia="bg-BG"/>
        </w:rPr>
        <w:t>плацентарната</w:t>
      </w:r>
      <w:proofErr w:type="spellEnd"/>
      <w:r w:rsidRPr="0016251E">
        <w:rPr>
          <w:lang w:eastAsia="bg-BG"/>
        </w:rPr>
        <w:t xml:space="preserve"> бариера.</w:t>
      </w:r>
    </w:p>
    <w:p w14:paraId="7FAB18EE" w14:textId="77777777" w:rsidR="0016251E" w:rsidRDefault="0016251E" w:rsidP="0016251E">
      <w:pPr>
        <w:rPr>
          <w:lang w:eastAsia="bg-BG"/>
        </w:rPr>
      </w:pPr>
    </w:p>
    <w:p w14:paraId="78F915EC" w14:textId="2C8183D4" w:rsidR="0016251E" w:rsidRPr="0016251E" w:rsidRDefault="0016251E" w:rsidP="0016251E">
      <w:pPr>
        <w:pStyle w:val="Heading3"/>
        <w:rPr>
          <w:rFonts w:eastAsia="Times New Roman"/>
          <w:u w:val="single"/>
        </w:rPr>
      </w:pPr>
      <w:r w:rsidRPr="0016251E">
        <w:rPr>
          <w:rFonts w:eastAsia="Times New Roman"/>
          <w:u w:val="single"/>
          <w:lang w:eastAsia="bg-BG"/>
        </w:rPr>
        <w:t>Елиминиране</w:t>
      </w:r>
    </w:p>
    <w:p w14:paraId="06CAEAA3" w14:textId="77777777" w:rsidR="0016251E" w:rsidRPr="0016251E" w:rsidRDefault="0016251E" w:rsidP="0016251E">
      <w:pPr>
        <w:rPr>
          <w:sz w:val="24"/>
          <w:szCs w:val="24"/>
        </w:rPr>
      </w:pP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се </w:t>
      </w:r>
      <w:proofErr w:type="spellStart"/>
      <w:r w:rsidRPr="0016251E">
        <w:rPr>
          <w:lang w:eastAsia="bg-BG"/>
        </w:rPr>
        <w:t>екскретира</w:t>
      </w:r>
      <w:proofErr w:type="spellEnd"/>
      <w:r w:rsidRPr="0016251E">
        <w:rPr>
          <w:lang w:eastAsia="bg-BG"/>
        </w:rPr>
        <w:t xml:space="preserve"> непроменен основно чрез бъбреците посредством </w:t>
      </w:r>
      <w:proofErr w:type="spellStart"/>
      <w:r w:rsidRPr="0016251E">
        <w:rPr>
          <w:lang w:eastAsia="bg-BG"/>
        </w:rPr>
        <w:t>гломерулна</w:t>
      </w:r>
      <w:proofErr w:type="spellEnd"/>
      <w:r w:rsidRPr="0016251E">
        <w:rPr>
          <w:lang w:eastAsia="bg-BG"/>
        </w:rPr>
        <w:t xml:space="preserve"> филтрация (40-50% от дозата се намира в урината) с елиминационен полуживот около 4 часа след перорално приложение и в по-малка степен във </w:t>
      </w:r>
      <w:proofErr w:type="spellStart"/>
      <w:r w:rsidRPr="0016251E">
        <w:rPr>
          <w:lang w:eastAsia="bg-BG"/>
        </w:rPr>
        <w:t>фецеса</w:t>
      </w:r>
      <w:proofErr w:type="spellEnd"/>
      <w:r w:rsidRPr="0016251E">
        <w:rPr>
          <w:lang w:eastAsia="bg-BG"/>
        </w:rPr>
        <w:t xml:space="preserve"> (18-28% от дозата). Макар храната да забавя абсорбцията на активното вещество, общото количество </w:t>
      </w:r>
      <w:proofErr w:type="spellStart"/>
      <w:r w:rsidRPr="0016251E">
        <w:rPr>
          <w:lang w:eastAsia="bg-BG"/>
        </w:rPr>
        <w:t>екскретирано</w:t>
      </w:r>
      <w:proofErr w:type="spellEnd"/>
      <w:r w:rsidRPr="0016251E">
        <w:rPr>
          <w:lang w:eastAsia="bg-BG"/>
        </w:rPr>
        <w:t xml:space="preserve"> активно вещество в урината във времето е същото.</w:t>
      </w:r>
    </w:p>
    <w:p w14:paraId="293DDB07" w14:textId="77777777" w:rsidR="0016251E" w:rsidRDefault="0016251E" w:rsidP="0016251E">
      <w:pPr>
        <w:rPr>
          <w:lang w:eastAsia="bg-BG"/>
        </w:rPr>
      </w:pPr>
    </w:p>
    <w:p w14:paraId="319811E8" w14:textId="61E85626" w:rsidR="0016251E" w:rsidRPr="0016251E" w:rsidRDefault="0016251E" w:rsidP="0016251E">
      <w:pPr>
        <w:pStyle w:val="Heading3"/>
        <w:rPr>
          <w:rFonts w:eastAsia="Times New Roman"/>
          <w:u w:val="single"/>
        </w:rPr>
      </w:pPr>
      <w:r w:rsidRPr="0016251E">
        <w:rPr>
          <w:rFonts w:eastAsia="Times New Roman"/>
          <w:u w:val="single"/>
          <w:lang w:eastAsia="bg-BG"/>
        </w:rPr>
        <w:t>Специални популации</w:t>
      </w:r>
    </w:p>
    <w:p w14:paraId="31F3CEF1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При пациенти с нарушена бъбречна функция елиминационният полуживот се увеличава пропорционално до степен на бъбречна недостатъчност. Концентрациите на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в урината при пациенти с нарушена бъбречна функция остават ефективни в продължение на 48 часа след обичайна доза, ако </w:t>
      </w:r>
      <w:proofErr w:type="spellStart"/>
      <w:r w:rsidRPr="0016251E">
        <w:rPr>
          <w:lang w:eastAsia="bg-BG"/>
        </w:rPr>
        <w:t>креатининовият</w:t>
      </w:r>
      <w:proofErr w:type="spellEnd"/>
      <w:r w:rsidRPr="0016251E">
        <w:rPr>
          <w:lang w:eastAsia="bg-BG"/>
        </w:rPr>
        <w:t xml:space="preserve"> клирънс е над 10 </w:t>
      </w:r>
      <w:r w:rsidRPr="0016251E">
        <w:rPr>
          <w:lang w:val="en-US"/>
        </w:rPr>
        <w:t>ml/min.</w:t>
      </w:r>
    </w:p>
    <w:p w14:paraId="7156CF56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При по-възрастните хора </w:t>
      </w:r>
      <w:proofErr w:type="spellStart"/>
      <w:r w:rsidRPr="0016251E">
        <w:rPr>
          <w:lang w:eastAsia="bg-BG"/>
        </w:rPr>
        <w:t>клирънсът</w:t>
      </w:r>
      <w:proofErr w:type="spellEnd"/>
      <w:r w:rsidRPr="0016251E">
        <w:rPr>
          <w:lang w:eastAsia="bg-BG"/>
        </w:rPr>
        <w:t xml:space="preserve"> на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 xml:space="preserve"> намалява в съответствие с обусловеното от възрастта намаляване на бъбречната функция.</w:t>
      </w:r>
    </w:p>
    <w:p w14:paraId="649D9205" w14:textId="77777777" w:rsidR="0016251E" w:rsidRPr="0016251E" w:rsidRDefault="0016251E" w:rsidP="0016251E"/>
    <w:p w14:paraId="134A69A8" w14:textId="5612C2DD" w:rsidR="002C50EE" w:rsidRDefault="002C50EE" w:rsidP="002C50EE">
      <w:pPr>
        <w:pStyle w:val="Heading2"/>
      </w:pPr>
      <w:r>
        <w:t>5.3. Предклинични данни за безопасност</w:t>
      </w:r>
    </w:p>
    <w:p w14:paraId="45B16295" w14:textId="77777777" w:rsidR="0016251E" w:rsidRDefault="0016251E" w:rsidP="0016251E">
      <w:pPr>
        <w:rPr>
          <w:lang w:eastAsia="bg-BG"/>
        </w:rPr>
      </w:pPr>
    </w:p>
    <w:p w14:paraId="4B6BAE5E" w14:textId="7DCD3D30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</w:t>
      </w:r>
      <w:proofErr w:type="spellStart"/>
      <w:r w:rsidRPr="0016251E">
        <w:rPr>
          <w:lang w:eastAsia="bg-BG"/>
        </w:rPr>
        <w:t>генотоксичност</w:t>
      </w:r>
      <w:proofErr w:type="spellEnd"/>
      <w:r w:rsidRPr="0016251E">
        <w:rPr>
          <w:lang w:eastAsia="bg-BG"/>
        </w:rPr>
        <w:t xml:space="preserve"> или репродуктивна токсичност.</w:t>
      </w:r>
    </w:p>
    <w:p w14:paraId="7D0D2EE7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 xml:space="preserve">Не са налични данни за канцерогенност за </w:t>
      </w:r>
      <w:proofErr w:type="spellStart"/>
      <w:r w:rsidRPr="0016251E">
        <w:rPr>
          <w:lang w:eastAsia="bg-BG"/>
        </w:rPr>
        <w:t>фосфомицин</w:t>
      </w:r>
      <w:proofErr w:type="spellEnd"/>
      <w:r w:rsidRPr="0016251E">
        <w:rPr>
          <w:lang w:eastAsia="bg-BG"/>
        </w:rPr>
        <w:t>.</w:t>
      </w:r>
    </w:p>
    <w:p w14:paraId="28CA7F03" w14:textId="77777777" w:rsidR="0016251E" w:rsidRPr="0016251E" w:rsidRDefault="0016251E" w:rsidP="0016251E"/>
    <w:p w14:paraId="28C40F19" w14:textId="411FC99E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4A0BC258" w14:textId="77777777" w:rsidR="0016251E" w:rsidRPr="0016251E" w:rsidRDefault="0016251E" w:rsidP="0016251E">
      <w:pPr>
        <w:rPr>
          <w:sz w:val="24"/>
          <w:szCs w:val="24"/>
          <w:lang w:val="en-US"/>
        </w:rPr>
      </w:pPr>
      <w:proofErr w:type="spellStart"/>
      <w:r w:rsidRPr="0016251E">
        <w:rPr>
          <w:lang w:val="en-US"/>
        </w:rPr>
        <w:t>Zambon</w:t>
      </w:r>
      <w:proofErr w:type="spellEnd"/>
      <w:r w:rsidRPr="0016251E">
        <w:rPr>
          <w:lang w:val="en-US"/>
        </w:rPr>
        <w:t xml:space="preserve"> S.p.A.</w:t>
      </w:r>
    </w:p>
    <w:p w14:paraId="4C797383" w14:textId="77777777" w:rsidR="0016251E" w:rsidRDefault="0016251E" w:rsidP="0016251E">
      <w:pPr>
        <w:rPr>
          <w:lang w:val="en-US"/>
        </w:rPr>
      </w:pPr>
      <w:r w:rsidRPr="0016251E">
        <w:rPr>
          <w:lang w:val="en-US"/>
        </w:rPr>
        <w:t xml:space="preserve">Via Lillo del </w:t>
      </w:r>
      <w:proofErr w:type="spellStart"/>
      <w:r w:rsidRPr="0016251E">
        <w:rPr>
          <w:lang w:val="en-US"/>
        </w:rPr>
        <w:t>Duca</w:t>
      </w:r>
      <w:proofErr w:type="spellEnd"/>
      <w:r w:rsidRPr="0016251E">
        <w:rPr>
          <w:lang w:val="en-US"/>
        </w:rPr>
        <w:t xml:space="preserve"> 10 </w:t>
      </w:r>
    </w:p>
    <w:p w14:paraId="51E9CC46" w14:textId="77777777" w:rsidR="0016251E" w:rsidRDefault="0016251E" w:rsidP="0016251E">
      <w:pPr>
        <w:rPr>
          <w:lang w:val="en-US"/>
        </w:rPr>
      </w:pPr>
      <w:r w:rsidRPr="0016251E">
        <w:rPr>
          <w:lang w:val="en-US"/>
        </w:rPr>
        <w:t xml:space="preserve">20091 Bresso </w:t>
      </w:r>
      <w:r>
        <w:rPr>
          <w:lang w:val="en-US"/>
        </w:rPr>
        <w:t>–</w:t>
      </w:r>
      <w:r w:rsidRPr="0016251E">
        <w:rPr>
          <w:lang w:val="en-US"/>
        </w:rPr>
        <w:t xml:space="preserve"> Milano </w:t>
      </w:r>
    </w:p>
    <w:p w14:paraId="402B83BC" w14:textId="4C396BCF" w:rsidR="0016251E" w:rsidRPr="0016251E" w:rsidRDefault="0016251E" w:rsidP="0016251E">
      <w:pPr>
        <w:rPr>
          <w:lang w:val="en-US"/>
        </w:rPr>
      </w:pPr>
      <w:r w:rsidRPr="0016251E">
        <w:rPr>
          <w:lang w:eastAsia="bg-BG"/>
        </w:rPr>
        <w:t>Италия</w:t>
      </w:r>
    </w:p>
    <w:p w14:paraId="7B8683EB" w14:textId="77777777" w:rsidR="0016251E" w:rsidRPr="0016251E" w:rsidRDefault="0016251E" w:rsidP="0016251E"/>
    <w:p w14:paraId="04840D59" w14:textId="114E7EBC" w:rsidR="002C50EE" w:rsidRDefault="002C50EE" w:rsidP="002C50EE">
      <w:pPr>
        <w:pStyle w:val="Heading1"/>
      </w:pPr>
      <w:r>
        <w:t>8. НОМЕР НА РАЗРЕШЕНИЕТО ЗА УПОТРЕБА</w:t>
      </w:r>
    </w:p>
    <w:p w14:paraId="0B60BBF4" w14:textId="2F017E54" w:rsidR="0016251E" w:rsidRPr="0016251E" w:rsidRDefault="0016251E" w:rsidP="0016251E">
      <w:r>
        <w:t>20060721</w:t>
      </w:r>
    </w:p>
    <w:p w14:paraId="5900CBF3" w14:textId="67582E1C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615C71E9" w14:textId="77777777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>Дата на първо разрешаване: 12 декември 2006 г.</w:t>
      </w:r>
    </w:p>
    <w:p w14:paraId="3CEDE0F5" w14:textId="0A433FDD" w:rsidR="0016251E" w:rsidRPr="0016251E" w:rsidRDefault="0016251E" w:rsidP="0016251E">
      <w:pPr>
        <w:rPr>
          <w:sz w:val="24"/>
          <w:szCs w:val="24"/>
        </w:rPr>
      </w:pPr>
      <w:r w:rsidRPr="0016251E">
        <w:rPr>
          <w:lang w:eastAsia="bg-BG"/>
        </w:rPr>
        <w:t>Дата на последно подновяване: 17 май 2012 г.</w:t>
      </w:r>
    </w:p>
    <w:p w14:paraId="0E9D0119" w14:textId="50F5C339" w:rsidR="002C50EE" w:rsidRDefault="002C50EE" w:rsidP="002C50EE">
      <w:pPr>
        <w:pStyle w:val="Heading1"/>
      </w:pPr>
      <w:r>
        <w:t>10. ДАТА НА АКТУАЛИЗИРАНЕ НА ТЕКСТА</w:t>
      </w:r>
    </w:p>
    <w:p w14:paraId="7F4F358C" w14:textId="5C681583" w:rsidR="0016251E" w:rsidRPr="0016251E" w:rsidRDefault="0016251E" w:rsidP="0016251E">
      <w:r>
        <w:t>04/2021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6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6251E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57E26"/>
    <w:rsid w:val="009773E4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2021-07-06T09:59:00Z</dcterms:created>
  <dcterms:modified xsi:type="dcterms:W3CDTF">2021-07-06T09:59:00Z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