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4F735328" w14:textId="039C9F21" w:rsidR="00DF4C8E" w:rsidRDefault="00DD466D" w:rsidP="00F44498">
      <w:pPr>
        <w:pStyle w:val="Heading1"/>
      </w:pPr>
      <w:r>
        <w:t>1.ИМЕ НА ЛЕКАРСТВЕНИЯ ПРОДУКТ</w:t>
      </w:r>
    </w:p>
    <w:p w14:paraId="2A916757" w14:textId="273650D8" w:rsidR="00E63157" w:rsidRDefault="00E63157" w:rsidP="00E63157"/>
    <w:p w14:paraId="6DC6DD9F" w14:textId="77777777" w:rsidR="00E63157" w:rsidRPr="00E63157" w:rsidRDefault="00E63157" w:rsidP="00E63157">
      <w:pPr>
        <w:rPr>
          <w:sz w:val="24"/>
          <w:szCs w:val="24"/>
        </w:rPr>
      </w:pPr>
      <w:r w:rsidRPr="00E63157">
        <w:rPr>
          <w:lang w:eastAsia="bg-BG"/>
        </w:rPr>
        <w:t xml:space="preserve">Мовалис 7,5 </w:t>
      </w:r>
      <w:r w:rsidRPr="00E63157">
        <w:rPr>
          <w:lang w:val="en-US"/>
        </w:rPr>
        <w:t xml:space="preserve">mg </w:t>
      </w:r>
      <w:r w:rsidRPr="00E63157">
        <w:rPr>
          <w:lang w:eastAsia="bg-BG"/>
        </w:rPr>
        <w:t>таблетки</w:t>
      </w:r>
    </w:p>
    <w:p w14:paraId="69C838F2" w14:textId="01311028" w:rsidR="00E63157" w:rsidRPr="00E63157" w:rsidRDefault="00E63157" w:rsidP="00E63157">
      <w:proofErr w:type="spellStart"/>
      <w:r w:rsidRPr="00E63157">
        <w:rPr>
          <w:lang w:val="en-US"/>
        </w:rPr>
        <w:t>Movalis</w:t>
      </w:r>
      <w:proofErr w:type="spellEnd"/>
      <w:r w:rsidRPr="00E63157">
        <w:rPr>
          <w:lang w:val="en-US"/>
        </w:rPr>
        <w:t xml:space="preserve"> </w:t>
      </w:r>
      <w:r w:rsidRPr="00E63157">
        <w:rPr>
          <w:lang w:eastAsia="bg-BG"/>
        </w:rPr>
        <w:t xml:space="preserve">7.5 </w:t>
      </w:r>
      <w:r w:rsidRPr="00E63157">
        <w:rPr>
          <w:lang w:val="en-US"/>
        </w:rPr>
        <w:t>mg tablets</w:t>
      </w:r>
    </w:p>
    <w:p w14:paraId="2BF7ACB1" w14:textId="52457784" w:rsidR="00DF4C8E" w:rsidRDefault="00DD466D" w:rsidP="00F44498">
      <w:pPr>
        <w:pStyle w:val="Heading1"/>
      </w:pPr>
      <w:r>
        <w:t>2. КАЧЕСТВЕН И КОЛИЧЕСТВЕН СЪСТАВ</w:t>
      </w:r>
    </w:p>
    <w:p w14:paraId="4E06EA81" w14:textId="7A5F3D36" w:rsidR="00E63157" w:rsidRDefault="00E63157" w:rsidP="00E63157"/>
    <w:p w14:paraId="1463F6D6" w14:textId="77777777" w:rsidR="00E63157" w:rsidRPr="00E63157" w:rsidRDefault="00E63157" w:rsidP="00E63157">
      <w:pPr>
        <w:rPr>
          <w:sz w:val="24"/>
          <w:szCs w:val="24"/>
        </w:rPr>
      </w:pPr>
      <w:r w:rsidRPr="00E63157">
        <w:rPr>
          <w:lang w:eastAsia="bg-BG"/>
        </w:rPr>
        <w:t xml:space="preserve">Всяка таблетка съдържа 7,5 </w:t>
      </w:r>
      <w:r w:rsidRPr="00E63157">
        <w:rPr>
          <w:lang w:val="en-US"/>
        </w:rPr>
        <w:t>mg</w:t>
      </w:r>
      <w:r w:rsidRPr="00E63157">
        <w:t xml:space="preserve"> </w:t>
      </w:r>
      <w:r w:rsidRPr="00E63157">
        <w:rPr>
          <w:lang w:eastAsia="bg-BG"/>
        </w:rPr>
        <w:t xml:space="preserve">мелоксикам </w:t>
      </w:r>
      <w:r w:rsidRPr="00E63157">
        <w:t>(</w:t>
      </w:r>
      <w:r w:rsidRPr="00E63157">
        <w:rPr>
          <w:lang w:val="en-US"/>
        </w:rPr>
        <w:t>meloxicam</w:t>
      </w:r>
      <w:r w:rsidRPr="00E63157">
        <w:t>)</w:t>
      </w:r>
    </w:p>
    <w:p w14:paraId="5B5F27B2" w14:textId="77777777" w:rsidR="00E63157" w:rsidRDefault="00E63157" w:rsidP="00E63157">
      <w:pPr>
        <w:rPr>
          <w:lang w:eastAsia="bg-BG"/>
        </w:rPr>
      </w:pPr>
    </w:p>
    <w:p w14:paraId="5A01393F" w14:textId="7BFE06FE" w:rsidR="00E63157" w:rsidRPr="00E63157" w:rsidRDefault="00E63157" w:rsidP="00E63157">
      <w:pPr>
        <w:rPr>
          <w:sz w:val="24"/>
          <w:szCs w:val="24"/>
        </w:rPr>
      </w:pPr>
      <w:r w:rsidRPr="00E63157">
        <w:rPr>
          <w:lang w:eastAsia="bg-BG"/>
        </w:rPr>
        <w:t xml:space="preserve">Помощни вещества: лактоза 23,5 </w:t>
      </w:r>
      <w:r w:rsidRPr="00E63157">
        <w:rPr>
          <w:lang w:val="en-US"/>
        </w:rPr>
        <w:t>mg</w:t>
      </w:r>
    </w:p>
    <w:p w14:paraId="32BC4577" w14:textId="77777777" w:rsidR="00E63157" w:rsidRPr="00E63157" w:rsidRDefault="00E63157" w:rsidP="00E63157"/>
    <w:p w14:paraId="614984C4" w14:textId="6C82C761" w:rsidR="008A6AF2" w:rsidRDefault="00DD466D" w:rsidP="002C50EE">
      <w:pPr>
        <w:pStyle w:val="Heading1"/>
      </w:pPr>
      <w:r>
        <w:t>3. ЛЕКАРСТВЕНА ФОРМА</w:t>
      </w:r>
    </w:p>
    <w:p w14:paraId="7027CDC5" w14:textId="420DF062" w:rsidR="00E63157" w:rsidRDefault="00E63157" w:rsidP="00E63157"/>
    <w:p w14:paraId="42192CC1" w14:textId="77777777" w:rsidR="00E63157" w:rsidRPr="00E63157" w:rsidRDefault="00E63157" w:rsidP="00E63157">
      <w:pPr>
        <w:rPr>
          <w:sz w:val="24"/>
          <w:szCs w:val="24"/>
        </w:rPr>
      </w:pPr>
      <w:r w:rsidRPr="00E63157">
        <w:rPr>
          <w:lang w:eastAsia="bg-BG"/>
        </w:rPr>
        <w:t>Таблетка</w:t>
      </w:r>
    </w:p>
    <w:p w14:paraId="5AD6CDB7" w14:textId="77777777" w:rsidR="00E63157" w:rsidRPr="00E63157" w:rsidRDefault="00E63157" w:rsidP="00E63157">
      <w:pPr>
        <w:rPr>
          <w:sz w:val="24"/>
          <w:szCs w:val="24"/>
        </w:rPr>
      </w:pPr>
      <w:r w:rsidRPr="00E63157">
        <w:rPr>
          <w:lang w:eastAsia="bg-BG"/>
        </w:rPr>
        <w:t xml:space="preserve">Светложълти, кръгли чупещи се таблетки, от едната страна изпъкнала със скосени ръбове и отпечатано лого на компанията, а от другата страна с делителна черта от двете страни на която е означено </w:t>
      </w:r>
      <w:r w:rsidRPr="00E63157">
        <w:rPr>
          <w:lang w:val="ru-RU"/>
        </w:rPr>
        <w:t>59</w:t>
      </w:r>
      <w:r w:rsidRPr="00E63157">
        <w:rPr>
          <w:lang w:val="en-US"/>
        </w:rPr>
        <w:t>D</w:t>
      </w:r>
      <w:r w:rsidRPr="00E63157">
        <w:rPr>
          <w:lang w:val="ru-RU"/>
        </w:rPr>
        <w:t>/59</w:t>
      </w:r>
      <w:r w:rsidRPr="00E63157">
        <w:rPr>
          <w:lang w:val="en-US"/>
        </w:rPr>
        <w:t>D</w:t>
      </w:r>
      <w:r w:rsidRPr="00E63157">
        <w:rPr>
          <w:lang w:val="ru-RU"/>
        </w:rPr>
        <w:t xml:space="preserve">. </w:t>
      </w:r>
      <w:r w:rsidRPr="00E63157">
        <w:rPr>
          <w:lang w:eastAsia="bg-BG"/>
        </w:rPr>
        <w:t>Делителната черта е само за да спомогне разчупването, с цел по -лесно поглъщане и не разделя на равни дози.</w:t>
      </w:r>
    </w:p>
    <w:p w14:paraId="2BCBB625" w14:textId="77777777" w:rsidR="00E63157" w:rsidRPr="00E63157" w:rsidRDefault="00E63157" w:rsidP="00E63157"/>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3B129A43" w14:textId="29029FB2" w:rsidR="00DF4C8E" w:rsidRDefault="00DF4C8E" w:rsidP="00DF4C8E">
      <w:pPr>
        <w:rPr>
          <w:rFonts w:cs="Arial"/>
          <w:sz w:val="24"/>
        </w:rPr>
      </w:pPr>
    </w:p>
    <w:p w14:paraId="46C7A2AB" w14:textId="77777777" w:rsidR="00E63157" w:rsidRPr="00E63157" w:rsidRDefault="00E63157" w:rsidP="00E63157">
      <w:pPr>
        <w:pStyle w:val="ListParagraph"/>
        <w:numPr>
          <w:ilvl w:val="0"/>
          <w:numId w:val="34"/>
        </w:numPr>
        <w:rPr>
          <w:sz w:val="24"/>
          <w:szCs w:val="24"/>
        </w:rPr>
      </w:pPr>
      <w:r w:rsidRPr="00E63157">
        <w:rPr>
          <w:lang w:eastAsia="bg-BG"/>
        </w:rPr>
        <w:t>Краткосрочно симптоматично лечение на обостряния на остеоартроза.</w:t>
      </w:r>
    </w:p>
    <w:p w14:paraId="64B5289C" w14:textId="27748688" w:rsidR="00E63157" w:rsidRPr="00E63157" w:rsidRDefault="00E63157" w:rsidP="00E63157">
      <w:pPr>
        <w:pStyle w:val="ListParagraph"/>
        <w:numPr>
          <w:ilvl w:val="0"/>
          <w:numId w:val="34"/>
        </w:numPr>
        <w:rPr>
          <w:sz w:val="24"/>
          <w:szCs w:val="24"/>
        </w:rPr>
      </w:pPr>
      <w:r w:rsidRPr="00E63157">
        <w:rPr>
          <w:lang w:eastAsia="bg-BG"/>
        </w:rPr>
        <w:t>Дългосрочно симптоматично лечение на ревматоиден артрит или анкилозиращ спондилит.</w:t>
      </w:r>
    </w:p>
    <w:p w14:paraId="3C59DEAE" w14:textId="77777777" w:rsidR="00E63157" w:rsidRPr="00E63157" w:rsidRDefault="00E63157" w:rsidP="00E63157">
      <w:pPr>
        <w:rPr>
          <w:sz w:val="24"/>
          <w:szCs w:val="24"/>
        </w:rPr>
      </w:pPr>
    </w:p>
    <w:p w14:paraId="778B4979" w14:textId="316A5DBF" w:rsidR="00DF4C8E" w:rsidRDefault="002C50EE" w:rsidP="00F44498">
      <w:pPr>
        <w:pStyle w:val="Heading2"/>
      </w:pPr>
      <w:r>
        <w:t>4.2. Дозировка и начин на приложение</w:t>
      </w:r>
    </w:p>
    <w:p w14:paraId="589B4226" w14:textId="57459CDF" w:rsidR="00E63157" w:rsidRDefault="00E63157" w:rsidP="00E63157"/>
    <w:p w14:paraId="6726D5AE"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Перорално приложение.</w:t>
      </w:r>
    </w:p>
    <w:p w14:paraId="15600154" w14:textId="77777777" w:rsidR="00E63157" w:rsidRPr="00E63157" w:rsidRDefault="00E63157" w:rsidP="00E63157">
      <w:pPr>
        <w:spacing w:line="240" w:lineRule="auto"/>
        <w:rPr>
          <w:rFonts w:eastAsia="Times New Roman" w:cs="Arial"/>
          <w:color w:val="000000"/>
          <w:lang w:eastAsia="bg-BG"/>
        </w:rPr>
      </w:pPr>
    </w:p>
    <w:p w14:paraId="57E05FBB" w14:textId="60075BF7" w:rsidR="00E63157" w:rsidRPr="00E63157" w:rsidRDefault="00E63157" w:rsidP="00E63157">
      <w:pPr>
        <w:spacing w:line="240" w:lineRule="auto"/>
        <w:rPr>
          <w:rFonts w:eastAsia="Times New Roman" w:cs="Arial"/>
        </w:rPr>
      </w:pPr>
      <w:r w:rsidRPr="00E63157">
        <w:rPr>
          <w:rFonts w:eastAsia="Times New Roman" w:cs="Arial"/>
          <w:color w:val="000000"/>
          <w:lang w:eastAsia="bg-BG"/>
        </w:rPr>
        <w:t>Общата дневна доза трябва да се приема еднократно, с вода или друга течност, по време на хранене.Нежеланите реакции могат да бъдат намалени като за контролиране на симптомите се употребява възможно най-ниската ефективна доза, за възможно най-кратък срок от време (вж.точка 4.4). Нуждите на пациентите от симптоматично лечение и терапевтичния отговор трябва да се оценяват периодично, особено при пациенти с остеоартрит.</w:t>
      </w:r>
    </w:p>
    <w:p w14:paraId="639C7F5B" w14:textId="77777777" w:rsidR="00E63157" w:rsidRPr="00E63157" w:rsidRDefault="00E63157" w:rsidP="00E63157">
      <w:pPr>
        <w:pStyle w:val="ListParagraph"/>
        <w:numPr>
          <w:ilvl w:val="0"/>
          <w:numId w:val="34"/>
        </w:numPr>
        <w:spacing w:line="240" w:lineRule="auto"/>
        <w:rPr>
          <w:rFonts w:eastAsia="Times New Roman" w:cs="Arial"/>
        </w:rPr>
      </w:pPr>
      <w:r w:rsidRPr="00E63157">
        <w:rPr>
          <w:rFonts w:eastAsia="Times New Roman" w:cs="Arial"/>
          <w:color w:val="000000"/>
          <w:lang w:eastAsia="bg-BG"/>
        </w:rPr>
        <w:t xml:space="preserve">Обостряния на остеоартроза: 7,5 </w:t>
      </w:r>
      <w:r w:rsidRPr="00E63157">
        <w:rPr>
          <w:rFonts w:eastAsia="Times New Roman" w:cs="Arial"/>
          <w:color w:val="000000"/>
          <w:lang w:val="en-US"/>
        </w:rPr>
        <w:t>mg</w:t>
      </w:r>
      <w:r w:rsidRPr="00E63157">
        <w:rPr>
          <w:rFonts w:eastAsia="Times New Roman" w:cs="Arial"/>
          <w:color w:val="000000"/>
          <w:lang w:val="ru-RU"/>
        </w:rPr>
        <w:t xml:space="preserve"> </w:t>
      </w:r>
      <w:r w:rsidRPr="00E63157">
        <w:rPr>
          <w:rFonts w:eastAsia="Times New Roman" w:cs="Arial"/>
          <w:color w:val="000000"/>
          <w:lang w:eastAsia="bg-BG"/>
        </w:rPr>
        <w:t xml:space="preserve">дневно (една таблетка 7,5 </w:t>
      </w:r>
      <w:r w:rsidRPr="00E63157">
        <w:rPr>
          <w:rFonts w:eastAsia="Times New Roman" w:cs="Arial"/>
          <w:color w:val="000000"/>
          <w:lang w:val="en-US"/>
        </w:rPr>
        <w:t>mg</w:t>
      </w:r>
      <w:r w:rsidRPr="00E63157">
        <w:rPr>
          <w:rFonts w:eastAsia="Times New Roman" w:cs="Arial"/>
          <w:color w:val="000000"/>
          <w:lang w:val="ru-RU"/>
        </w:rPr>
        <w:t>)</w:t>
      </w:r>
    </w:p>
    <w:p w14:paraId="5C81FD91" w14:textId="77777777" w:rsidR="00E63157" w:rsidRPr="00E63157" w:rsidRDefault="00E63157" w:rsidP="00E63157">
      <w:pPr>
        <w:pStyle w:val="ListParagraph"/>
        <w:numPr>
          <w:ilvl w:val="0"/>
          <w:numId w:val="34"/>
        </w:numPr>
        <w:spacing w:line="240" w:lineRule="auto"/>
        <w:rPr>
          <w:rFonts w:eastAsia="Times New Roman" w:cs="Arial"/>
        </w:rPr>
      </w:pPr>
      <w:r w:rsidRPr="00E63157">
        <w:rPr>
          <w:rFonts w:eastAsia="Times New Roman" w:cs="Arial"/>
          <w:color w:val="000000"/>
          <w:lang w:eastAsia="bg-BG"/>
        </w:rPr>
        <w:t xml:space="preserve">Ако е необходимо, при липса на подобрение дозата може да бъде повишена до 15 </w:t>
      </w:r>
      <w:r w:rsidRPr="00E63157">
        <w:rPr>
          <w:rFonts w:eastAsia="Times New Roman" w:cs="Arial"/>
          <w:color w:val="000000"/>
          <w:lang w:val="en-US"/>
        </w:rPr>
        <w:t>mg</w:t>
      </w:r>
      <w:r w:rsidRPr="00E63157">
        <w:rPr>
          <w:rFonts w:eastAsia="Times New Roman" w:cs="Arial"/>
          <w:color w:val="000000"/>
          <w:lang w:val="ru-RU"/>
        </w:rPr>
        <w:t xml:space="preserve"> </w:t>
      </w:r>
      <w:r w:rsidRPr="00E63157">
        <w:rPr>
          <w:rFonts w:eastAsia="Times New Roman" w:cs="Arial"/>
          <w:color w:val="000000"/>
          <w:lang w:eastAsia="bg-BG"/>
        </w:rPr>
        <w:t xml:space="preserve">дневно (две таблетки </w:t>
      </w:r>
      <w:r w:rsidRPr="00E63157">
        <w:rPr>
          <w:rFonts w:eastAsia="Times New Roman" w:cs="Arial"/>
          <w:color w:val="000000"/>
          <w:lang w:val="ru-RU"/>
        </w:rPr>
        <w:t>7,5</w:t>
      </w:r>
      <w:r w:rsidRPr="00E63157">
        <w:rPr>
          <w:rFonts w:eastAsia="Times New Roman" w:cs="Arial"/>
          <w:color w:val="000000"/>
          <w:lang w:val="en-US"/>
        </w:rPr>
        <w:t>mg</w:t>
      </w:r>
      <w:r w:rsidRPr="00E63157">
        <w:rPr>
          <w:rFonts w:eastAsia="Times New Roman" w:cs="Arial"/>
          <w:color w:val="000000"/>
          <w:lang w:val="ru-RU"/>
        </w:rPr>
        <w:t>)</w:t>
      </w:r>
    </w:p>
    <w:p w14:paraId="4599D9B5" w14:textId="088474D0" w:rsidR="00E63157" w:rsidRPr="00E63157" w:rsidRDefault="00E63157" w:rsidP="00E63157">
      <w:pPr>
        <w:pStyle w:val="ListParagraph"/>
        <w:numPr>
          <w:ilvl w:val="0"/>
          <w:numId w:val="34"/>
        </w:numPr>
        <w:spacing w:line="240" w:lineRule="auto"/>
        <w:rPr>
          <w:rFonts w:eastAsia="Times New Roman" w:cs="Arial"/>
        </w:rPr>
      </w:pPr>
      <w:r w:rsidRPr="00E63157">
        <w:rPr>
          <w:rFonts w:eastAsia="Times New Roman" w:cs="Arial"/>
          <w:color w:val="000000"/>
          <w:lang w:eastAsia="bg-BG"/>
        </w:rPr>
        <w:t xml:space="preserve">Ревматоиден артрит, анкилозиращ спондилит: 15 </w:t>
      </w:r>
      <w:r w:rsidRPr="00E63157">
        <w:rPr>
          <w:rFonts w:eastAsia="Times New Roman" w:cs="Arial"/>
          <w:color w:val="000000"/>
          <w:lang w:val="en-US"/>
        </w:rPr>
        <w:t>mg</w:t>
      </w:r>
      <w:r w:rsidRPr="00E63157">
        <w:rPr>
          <w:rFonts w:eastAsia="Times New Roman" w:cs="Arial"/>
          <w:color w:val="000000"/>
          <w:lang w:val="ru-RU"/>
        </w:rPr>
        <w:t xml:space="preserve"> </w:t>
      </w:r>
      <w:r w:rsidRPr="00E63157">
        <w:rPr>
          <w:rFonts w:eastAsia="Times New Roman" w:cs="Arial"/>
          <w:color w:val="000000"/>
          <w:lang w:eastAsia="bg-BG"/>
        </w:rPr>
        <w:t xml:space="preserve">дневно (две таблетки 7,5 </w:t>
      </w:r>
      <w:r w:rsidRPr="00E63157">
        <w:rPr>
          <w:rFonts w:eastAsia="Times New Roman" w:cs="Arial"/>
          <w:color w:val="000000"/>
          <w:lang w:val="en-US"/>
        </w:rPr>
        <w:t>mg</w:t>
      </w:r>
      <w:r w:rsidRPr="00E63157">
        <w:rPr>
          <w:rFonts w:eastAsia="Times New Roman" w:cs="Arial"/>
          <w:color w:val="000000"/>
          <w:lang w:val="ru-RU"/>
        </w:rPr>
        <w:t xml:space="preserve">) </w:t>
      </w:r>
      <w:r w:rsidRPr="00E63157">
        <w:rPr>
          <w:rFonts w:eastAsia="Times New Roman" w:cs="Arial"/>
          <w:color w:val="000000"/>
          <w:lang w:eastAsia="bg-BG"/>
        </w:rPr>
        <w:t>(вж. също точка „Специални популации” по-долу)</w:t>
      </w:r>
    </w:p>
    <w:p w14:paraId="3A41CD65"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lastRenderedPageBreak/>
        <w:t>В зависимост от терпевтичния отговор, дозата може да бъде намалена до 7,5</w:t>
      </w:r>
      <w:r w:rsidRPr="00E63157">
        <w:rPr>
          <w:rFonts w:eastAsia="Times New Roman" w:cs="Arial"/>
          <w:color w:val="000000"/>
          <w:lang w:val="ru-RU"/>
        </w:rPr>
        <w:t xml:space="preserve"> </w:t>
      </w:r>
      <w:r w:rsidRPr="00E63157">
        <w:rPr>
          <w:rFonts w:eastAsia="Times New Roman" w:cs="Arial"/>
          <w:color w:val="000000"/>
          <w:lang w:val="en-US"/>
        </w:rPr>
        <w:t>mg</w:t>
      </w:r>
      <w:r w:rsidRPr="00E63157">
        <w:rPr>
          <w:rFonts w:eastAsia="Times New Roman" w:cs="Arial"/>
          <w:color w:val="000000"/>
          <w:lang w:val="ru-RU"/>
        </w:rPr>
        <w:t xml:space="preserve"> </w:t>
      </w:r>
      <w:r w:rsidRPr="00E63157">
        <w:rPr>
          <w:rFonts w:eastAsia="Times New Roman" w:cs="Arial"/>
          <w:color w:val="000000"/>
          <w:lang w:eastAsia="bg-BG"/>
        </w:rPr>
        <w:t xml:space="preserve">дневно (една таблетка 7,5 </w:t>
      </w:r>
      <w:r w:rsidRPr="00E63157">
        <w:rPr>
          <w:rFonts w:eastAsia="Times New Roman" w:cs="Arial"/>
          <w:color w:val="000000"/>
          <w:lang w:val="en-US"/>
        </w:rPr>
        <w:t>mg</w:t>
      </w:r>
      <w:r w:rsidRPr="00E63157">
        <w:rPr>
          <w:rFonts w:eastAsia="Times New Roman" w:cs="Arial"/>
          <w:color w:val="000000"/>
          <w:lang w:val="ru-RU"/>
        </w:rPr>
        <w:t>)</w:t>
      </w:r>
    </w:p>
    <w:p w14:paraId="78891FB4" w14:textId="77777777" w:rsidR="00E63157" w:rsidRPr="00E63157" w:rsidRDefault="00E63157" w:rsidP="00E63157">
      <w:pPr>
        <w:rPr>
          <w:rFonts w:eastAsia="Times New Roman" w:cs="Arial"/>
          <w:color w:val="000000"/>
          <w:lang w:eastAsia="bg-BG"/>
        </w:rPr>
      </w:pPr>
    </w:p>
    <w:p w14:paraId="249FF486" w14:textId="3F923BFF" w:rsidR="00E63157" w:rsidRPr="00E63157" w:rsidRDefault="00E63157" w:rsidP="00E63157">
      <w:pPr>
        <w:rPr>
          <w:rFonts w:eastAsia="Times New Roman" w:cs="Arial"/>
          <w:color w:val="000000"/>
          <w:lang w:eastAsia="bg-BG"/>
        </w:rPr>
      </w:pPr>
      <w:r w:rsidRPr="00E63157">
        <w:rPr>
          <w:rFonts w:eastAsia="Times New Roman" w:cs="Arial"/>
          <w:color w:val="000000"/>
          <w:lang w:eastAsia="bg-BG"/>
        </w:rPr>
        <w:t xml:space="preserve">ДА НЕ СЕ ПРЕВИШАВА ДОЗАТА ОТ 15 </w:t>
      </w:r>
      <w:r w:rsidRPr="00E63157">
        <w:rPr>
          <w:rFonts w:eastAsia="Times New Roman" w:cs="Arial"/>
          <w:color w:val="000000"/>
          <w:lang w:val="en-US"/>
        </w:rPr>
        <w:t>MG</w:t>
      </w:r>
      <w:r w:rsidRPr="00E63157">
        <w:rPr>
          <w:rFonts w:eastAsia="Times New Roman" w:cs="Arial"/>
          <w:color w:val="000000"/>
          <w:lang w:val="ru-RU"/>
        </w:rPr>
        <w:t xml:space="preserve"> </w:t>
      </w:r>
      <w:r w:rsidRPr="00E63157">
        <w:rPr>
          <w:rFonts w:eastAsia="Times New Roman" w:cs="Arial"/>
          <w:color w:val="000000"/>
          <w:lang w:eastAsia="bg-BG"/>
        </w:rPr>
        <w:t>ДНЕВНО</w:t>
      </w:r>
    </w:p>
    <w:p w14:paraId="68147CED" w14:textId="75098163" w:rsidR="00E63157" w:rsidRPr="00E63157" w:rsidRDefault="00E63157" w:rsidP="00E63157">
      <w:pPr>
        <w:rPr>
          <w:rFonts w:eastAsia="Times New Roman" w:cs="Arial"/>
          <w:color w:val="000000"/>
          <w:lang w:eastAsia="bg-BG"/>
        </w:rPr>
      </w:pPr>
    </w:p>
    <w:p w14:paraId="635881E5" w14:textId="77777777" w:rsidR="00E63157" w:rsidRPr="00E63157" w:rsidRDefault="00E63157" w:rsidP="00E63157">
      <w:pPr>
        <w:spacing w:line="240" w:lineRule="auto"/>
        <w:rPr>
          <w:rFonts w:eastAsia="Times New Roman" w:cs="Arial"/>
        </w:rPr>
      </w:pPr>
      <w:r w:rsidRPr="00E63157">
        <w:rPr>
          <w:rFonts w:eastAsia="Times New Roman" w:cs="Arial"/>
          <w:color w:val="000000"/>
          <w:u w:val="single"/>
          <w:lang w:eastAsia="bg-BG"/>
        </w:rPr>
        <w:t>Специални популации</w:t>
      </w:r>
    </w:p>
    <w:p w14:paraId="156B6935" w14:textId="77777777" w:rsidR="00E63157" w:rsidRPr="00E63157" w:rsidRDefault="00E63157" w:rsidP="00E63157">
      <w:pPr>
        <w:spacing w:line="240" w:lineRule="auto"/>
        <w:rPr>
          <w:rFonts w:eastAsia="Times New Roman" w:cs="Arial"/>
          <w:i/>
          <w:iCs/>
          <w:color w:val="000000"/>
          <w:lang w:eastAsia="bg-BG"/>
        </w:rPr>
      </w:pPr>
    </w:p>
    <w:p w14:paraId="557C190A" w14:textId="701FF79E" w:rsidR="00E63157" w:rsidRPr="00E63157" w:rsidRDefault="00E63157" w:rsidP="00E63157">
      <w:pPr>
        <w:spacing w:line="240" w:lineRule="auto"/>
        <w:rPr>
          <w:rFonts w:eastAsia="Times New Roman" w:cs="Arial"/>
        </w:rPr>
      </w:pPr>
      <w:r w:rsidRPr="00E63157">
        <w:rPr>
          <w:rFonts w:eastAsia="Times New Roman" w:cs="Arial"/>
          <w:i/>
          <w:iCs/>
          <w:color w:val="000000"/>
          <w:lang w:eastAsia="bg-BG"/>
        </w:rPr>
        <w:t>Пациенти в старческа възраст и пациенти с повишен риск от нежелани реакции (вж. точка 5.2):</w:t>
      </w:r>
    </w:p>
    <w:p w14:paraId="14D96F39"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 xml:space="preserve">Препоръчваната доза за дългосрочно лечение на ревматоиден артрит и анкилозиращ спондилит при пациенти в старческа възраст е 7,5 </w:t>
      </w:r>
      <w:r w:rsidRPr="00E63157">
        <w:rPr>
          <w:rFonts w:eastAsia="Times New Roman" w:cs="Arial"/>
          <w:color w:val="000000"/>
          <w:lang w:val="en-US"/>
        </w:rPr>
        <w:t>mg</w:t>
      </w:r>
      <w:r w:rsidRPr="00E63157">
        <w:rPr>
          <w:rFonts w:eastAsia="Times New Roman" w:cs="Arial"/>
          <w:color w:val="000000"/>
          <w:lang w:val="ru-RU"/>
        </w:rPr>
        <w:t xml:space="preserve"> </w:t>
      </w:r>
      <w:r w:rsidRPr="00E63157">
        <w:rPr>
          <w:rFonts w:eastAsia="Times New Roman" w:cs="Arial"/>
          <w:color w:val="000000"/>
          <w:lang w:eastAsia="bg-BG"/>
        </w:rPr>
        <w:t xml:space="preserve">дневно. Пациенти с повишен риск от нежелани реакции трябва да започват лечение със 7,5 </w:t>
      </w:r>
      <w:r w:rsidRPr="00E63157">
        <w:rPr>
          <w:rFonts w:eastAsia="Times New Roman" w:cs="Arial"/>
          <w:color w:val="000000"/>
          <w:lang w:val="en-US"/>
        </w:rPr>
        <w:t>mg</w:t>
      </w:r>
      <w:r w:rsidRPr="00E63157">
        <w:rPr>
          <w:rFonts w:eastAsia="Times New Roman" w:cs="Arial"/>
          <w:color w:val="000000"/>
          <w:lang w:val="ru-RU"/>
        </w:rPr>
        <w:t xml:space="preserve"> </w:t>
      </w:r>
      <w:r w:rsidRPr="00E63157">
        <w:rPr>
          <w:rFonts w:eastAsia="Times New Roman" w:cs="Arial"/>
          <w:color w:val="000000"/>
          <w:lang w:eastAsia="bg-BG"/>
        </w:rPr>
        <w:t>дневно (вж. точка 4.4).</w:t>
      </w:r>
    </w:p>
    <w:p w14:paraId="75EF2735" w14:textId="77777777" w:rsidR="00E63157" w:rsidRPr="00E63157" w:rsidRDefault="00E63157" w:rsidP="00E63157">
      <w:pPr>
        <w:spacing w:line="240" w:lineRule="auto"/>
        <w:rPr>
          <w:rFonts w:eastAsia="Times New Roman" w:cs="Arial"/>
          <w:i/>
          <w:iCs/>
          <w:color w:val="000000"/>
          <w:lang w:eastAsia="bg-BG"/>
        </w:rPr>
      </w:pPr>
    </w:p>
    <w:p w14:paraId="748CA855" w14:textId="54AFC396" w:rsidR="00E63157" w:rsidRPr="00E63157" w:rsidRDefault="00E63157" w:rsidP="00E63157">
      <w:pPr>
        <w:spacing w:line="240" w:lineRule="auto"/>
        <w:rPr>
          <w:rFonts w:eastAsia="Times New Roman" w:cs="Arial"/>
        </w:rPr>
      </w:pPr>
      <w:r w:rsidRPr="00E63157">
        <w:rPr>
          <w:rFonts w:eastAsia="Times New Roman" w:cs="Arial"/>
          <w:i/>
          <w:iCs/>
          <w:color w:val="000000"/>
          <w:lang w:eastAsia="bg-BG"/>
        </w:rPr>
        <w:t>Бъбречно увреждане (вж. точка 5.2.)</w:t>
      </w:r>
    </w:p>
    <w:p w14:paraId="5322C1C9"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 xml:space="preserve">При диализирани пациенти с тежка бъбречна недостатъчност, дозата не трябва да превишава 7,5 </w:t>
      </w:r>
      <w:r w:rsidRPr="00E63157">
        <w:rPr>
          <w:rFonts w:eastAsia="Times New Roman" w:cs="Arial"/>
          <w:color w:val="000000"/>
          <w:lang w:val="en-US"/>
        </w:rPr>
        <w:t>mg</w:t>
      </w:r>
      <w:r w:rsidRPr="00E63157">
        <w:rPr>
          <w:rFonts w:eastAsia="Times New Roman" w:cs="Arial"/>
          <w:color w:val="000000"/>
          <w:lang w:val="ru-RU"/>
        </w:rPr>
        <w:t xml:space="preserve"> </w:t>
      </w:r>
      <w:r w:rsidRPr="00E63157">
        <w:rPr>
          <w:rFonts w:eastAsia="Times New Roman" w:cs="Arial"/>
          <w:color w:val="000000"/>
          <w:lang w:eastAsia="bg-BG"/>
        </w:rPr>
        <w:t xml:space="preserve">дневно. При пациенти с леко до умерено бъбречно увреждане не се налага намаляване на дозата (т.е пациенти с креатининов клирънс над 25 </w:t>
      </w:r>
      <w:r w:rsidRPr="00E63157">
        <w:rPr>
          <w:rFonts w:eastAsia="Times New Roman" w:cs="Arial"/>
          <w:color w:val="000000"/>
          <w:lang w:val="en-US"/>
        </w:rPr>
        <w:t>ml</w:t>
      </w:r>
      <w:r w:rsidRPr="00E63157">
        <w:rPr>
          <w:rFonts w:eastAsia="Times New Roman" w:cs="Arial"/>
          <w:color w:val="000000"/>
          <w:lang w:val="ru-RU"/>
        </w:rPr>
        <w:t>/</w:t>
      </w:r>
      <w:r w:rsidRPr="00E63157">
        <w:rPr>
          <w:rFonts w:eastAsia="Times New Roman" w:cs="Arial"/>
          <w:color w:val="000000"/>
          <w:lang w:val="en-US"/>
        </w:rPr>
        <w:t>min</w:t>
      </w:r>
      <w:r w:rsidRPr="00E63157">
        <w:rPr>
          <w:rFonts w:eastAsia="Times New Roman" w:cs="Arial"/>
          <w:color w:val="000000"/>
          <w:lang w:val="ru-RU"/>
        </w:rPr>
        <w:t xml:space="preserve">). </w:t>
      </w:r>
      <w:r w:rsidRPr="00E63157">
        <w:rPr>
          <w:rFonts w:eastAsia="Times New Roman" w:cs="Arial"/>
          <w:color w:val="000000"/>
          <w:lang w:eastAsia="bg-BG"/>
        </w:rPr>
        <w:t>(За пациенти с тежко бъбречно увреждане, без диализа вижте точка 4.3)</w:t>
      </w:r>
    </w:p>
    <w:p w14:paraId="4DE593B3" w14:textId="77777777" w:rsidR="00E63157" w:rsidRPr="00E63157" w:rsidRDefault="00E63157" w:rsidP="00E63157">
      <w:pPr>
        <w:spacing w:line="240" w:lineRule="auto"/>
        <w:rPr>
          <w:rFonts w:eastAsia="Times New Roman" w:cs="Arial"/>
          <w:i/>
          <w:iCs/>
          <w:color w:val="000000"/>
          <w:lang w:eastAsia="bg-BG"/>
        </w:rPr>
      </w:pPr>
    </w:p>
    <w:p w14:paraId="77710E10" w14:textId="72C014A9" w:rsidR="00E63157" w:rsidRPr="00E63157" w:rsidRDefault="00E63157" w:rsidP="00E63157">
      <w:pPr>
        <w:spacing w:line="240" w:lineRule="auto"/>
        <w:rPr>
          <w:rFonts w:eastAsia="Times New Roman" w:cs="Arial"/>
        </w:rPr>
      </w:pPr>
      <w:r w:rsidRPr="00E63157">
        <w:rPr>
          <w:rFonts w:eastAsia="Times New Roman" w:cs="Arial"/>
          <w:i/>
          <w:iCs/>
          <w:color w:val="000000"/>
          <w:lang w:eastAsia="bg-BG"/>
        </w:rPr>
        <w:t>Чернодробно увреждане (вж. точка 5.2.)</w:t>
      </w:r>
    </w:p>
    <w:p w14:paraId="4735780B"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Не се налага намаляване на дозата при пациенти с леко до умерено чернодробно увреждане. (За пациенти с тежко чернодробно увреждане, вижте точка 4.3)</w:t>
      </w:r>
    </w:p>
    <w:p w14:paraId="31E0E68F" w14:textId="77777777" w:rsidR="00E63157" w:rsidRPr="00E63157" w:rsidRDefault="00E63157" w:rsidP="00E63157">
      <w:pPr>
        <w:spacing w:line="240" w:lineRule="auto"/>
        <w:rPr>
          <w:rFonts w:eastAsia="Times New Roman" w:cs="Arial"/>
          <w:i/>
          <w:iCs/>
          <w:color w:val="000000"/>
          <w:lang w:eastAsia="bg-BG"/>
        </w:rPr>
      </w:pPr>
    </w:p>
    <w:p w14:paraId="694B1E20" w14:textId="7B60210D" w:rsidR="00E63157" w:rsidRPr="00E63157" w:rsidRDefault="00E63157" w:rsidP="00E63157">
      <w:pPr>
        <w:spacing w:line="240" w:lineRule="auto"/>
        <w:rPr>
          <w:rFonts w:eastAsia="Times New Roman" w:cs="Arial"/>
        </w:rPr>
      </w:pPr>
      <w:r w:rsidRPr="00E63157">
        <w:rPr>
          <w:rFonts w:eastAsia="Times New Roman" w:cs="Arial"/>
          <w:i/>
          <w:iCs/>
          <w:color w:val="000000"/>
          <w:lang w:eastAsia="bg-BG"/>
        </w:rPr>
        <w:t>Деца и юноши</w:t>
      </w:r>
    </w:p>
    <w:p w14:paraId="01CFB38E" w14:textId="77777777" w:rsidR="00E63157" w:rsidRPr="00E63157" w:rsidRDefault="00E63157" w:rsidP="00E63157">
      <w:pPr>
        <w:spacing w:line="240" w:lineRule="auto"/>
        <w:rPr>
          <w:rFonts w:eastAsia="Times New Roman" w:cs="Arial"/>
        </w:rPr>
      </w:pPr>
      <w:proofErr w:type="spellStart"/>
      <w:r w:rsidRPr="00E63157">
        <w:rPr>
          <w:rFonts w:eastAsia="Times New Roman" w:cs="Arial"/>
          <w:color w:val="000000"/>
          <w:lang w:val="en-US"/>
        </w:rPr>
        <w:t>Movalis</w:t>
      </w:r>
      <w:proofErr w:type="spellEnd"/>
      <w:r w:rsidRPr="00E63157">
        <w:rPr>
          <w:rFonts w:eastAsia="Times New Roman" w:cs="Arial"/>
          <w:color w:val="000000"/>
          <w:lang w:val="ru-RU"/>
        </w:rPr>
        <w:t xml:space="preserve"> </w:t>
      </w:r>
      <w:r w:rsidRPr="00E63157">
        <w:rPr>
          <w:rFonts w:eastAsia="Times New Roman" w:cs="Arial"/>
          <w:color w:val="000000"/>
          <w:lang w:eastAsia="bg-BG"/>
        </w:rPr>
        <w:t>7</w:t>
      </w:r>
      <w:proofErr w:type="gramStart"/>
      <w:r w:rsidRPr="00E63157">
        <w:rPr>
          <w:rFonts w:eastAsia="Times New Roman" w:cs="Arial"/>
          <w:color w:val="000000"/>
          <w:lang w:eastAsia="bg-BG"/>
        </w:rPr>
        <w:t>,5</w:t>
      </w:r>
      <w:proofErr w:type="gramEnd"/>
      <w:r w:rsidRPr="00E63157">
        <w:rPr>
          <w:rFonts w:eastAsia="Times New Roman" w:cs="Arial"/>
          <w:color w:val="000000"/>
          <w:lang w:eastAsia="bg-BG"/>
        </w:rPr>
        <w:t xml:space="preserve"> </w:t>
      </w:r>
      <w:r w:rsidRPr="00E63157">
        <w:rPr>
          <w:rFonts w:eastAsia="Times New Roman" w:cs="Arial"/>
          <w:color w:val="000000"/>
          <w:lang w:val="en-US"/>
        </w:rPr>
        <w:t>mg</w:t>
      </w:r>
      <w:r w:rsidRPr="00E63157">
        <w:rPr>
          <w:rFonts w:eastAsia="Times New Roman" w:cs="Arial"/>
          <w:color w:val="000000"/>
          <w:lang w:val="ru-RU"/>
        </w:rPr>
        <w:t xml:space="preserve"> </w:t>
      </w:r>
      <w:r w:rsidRPr="00E63157">
        <w:rPr>
          <w:rFonts w:eastAsia="Times New Roman" w:cs="Arial"/>
          <w:color w:val="000000"/>
          <w:lang w:eastAsia="bg-BG"/>
        </w:rPr>
        <w:t>е противопоказан при деца и юноши под 16 години (вж. точка 4.3).</w:t>
      </w:r>
    </w:p>
    <w:p w14:paraId="5B09F25D" w14:textId="77777777" w:rsidR="00E63157" w:rsidRPr="00E63157" w:rsidRDefault="00E63157" w:rsidP="00E63157">
      <w:pPr>
        <w:rPr>
          <w:rFonts w:eastAsia="Times New Roman" w:cs="Arial"/>
          <w:color w:val="000000"/>
          <w:lang w:eastAsia="bg-BG"/>
        </w:rPr>
      </w:pPr>
    </w:p>
    <w:p w14:paraId="08B5A562" w14:textId="1BF9D916" w:rsidR="00E63157" w:rsidRPr="00E63157" w:rsidRDefault="00E63157" w:rsidP="00E63157">
      <w:pPr>
        <w:rPr>
          <w:rFonts w:eastAsia="Times New Roman" w:cs="Arial"/>
          <w:color w:val="000000"/>
          <w:lang w:eastAsia="bg-BG"/>
        </w:rPr>
      </w:pPr>
      <w:r w:rsidRPr="00E63157">
        <w:rPr>
          <w:rFonts w:eastAsia="Times New Roman" w:cs="Arial"/>
          <w:color w:val="000000"/>
          <w:lang w:eastAsia="bg-BG"/>
        </w:rPr>
        <w:t>Този лекарствен продукт съществува и в други концентрации, които може да са по-подходящи.</w:t>
      </w:r>
    </w:p>
    <w:p w14:paraId="02F445A2" w14:textId="77777777" w:rsidR="00E63157" w:rsidRPr="00E63157" w:rsidRDefault="00E63157" w:rsidP="00E63157"/>
    <w:p w14:paraId="6A85390E" w14:textId="2E3522D9" w:rsidR="00DF4C8E" w:rsidRDefault="002C50EE" w:rsidP="00F44498">
      <w:pPr>
        <w:pStyle w:val="Heading2"/>
      </w:pPr>
      <w:r>
        <w:t>4.3. Противопоказания</w:t>
      </w:r>
    </w:p>
    <w:p w14:paraId="4786B8E5" w14:textId="16700FC5" w:rsidR="00E63157" w:rsidRDefault="00E63157" w:rsidP="00E63157"/>
    <w:p w14:paraId="39D624F3"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Този лекарствен продукт е противопоказан в следните ситуации:</w:t>
      </w:r>
    </w:p>
    <w:p w14:paraId="67545EEF" w14:textId="77777777" w:rsidR="00E63157" w:rsidRPr="00E63157" w:rsidRDefault="00E63157" w:rsidP="00E63157">
      <w:pPr>
        <w:pStyle w:val="ListParagraph"/>
        <w:numPr>
          <w:ilvl w:val="0"/>
          <w:numId w:val="36"/>
        </w:numPr>
        <w:spacing w:line="240" w:lineRule="auto"/>
        <w:rPr>
          <w:rFonts w:eastAsia="Times New Roman" w:cs="Arial"/>
        </w:rPr>
      </w:pPr>
      <w:r w:rsidRPr="00E63157">
        <w:rPr>
          <w:rFonts w:eastAsia="Times New Roman" w:cs="Arial"/>
          <w:color w:val="000000"/>
          <w:lang w:eastAsia="bg-BG"/>
        </w:rPr>
        <w:t>Трети триместър на бременността (вж. точка 4.6 „Бременност и кърмене”);</w:t>
      </w:r>
    </w:p>
    <w:p w14:paraId="2ACADCCE" w14:textId="77777777" w:rsidR="00E63157" w:rsidRPr="00E63157" w:rsidRDefault="00E63157" w:rsidP="00E63157">
      <w:pPr>
        <w:pStyle w:val="ListParagraph"/>
        <w:numPr>
          <w:ilvl w:val="0"/>
          <w:numId w:val="36"/>
        </w:numPr>
        <w:spacing w:line="240" w:lineRule="auto"/>
        <w:rPr>
          <w:rFonts w:eastAsia="Times New Roman" w:cs="Arial"/>
        </w:rPr>
      </w:pPr>
      <w:r w:rsidRPr="00E63157">
        <w:rPr>
          <w:rFonts w:eastAsia="Times New Roman" w:cs="Arial"/>
          <w:color w:val="000000"/>
          <w:lang w:eastAsia="bg-BG"/>
        </w:rPr>
        <w:t>Деца и юноши под 16 години;</w:t>
      </w:r>
    </w:p>
    <w:p w14:paraId="4385867B" w14:textId="77777777" w:rsidR="00E63157" w:rsidRPr="00E63157" w:rsidRDefault="00E63157" w:rsidP="00E63157">
      <w:pPr>
        <w:pStyle w:val="ListParagraph"/>
        <w:numPr>
          <w:ilvl w:val="0"/>
          <w:numId w:val="36"/>
        </w:numPr>
        <w:spacing w:line="240" w:lineRule="auto"/>
        <w:rPr>
          <w:rFonts w:eastAsia="Times New Roman" w:cs="Arial"/>
        </w:rPr>
      </w:pPr>
      <w:r w:rsidRPr="00E63157">
        <w:rPr>
          <w:rFonts w:eastAsia="Times New Roman" w:cs="Arial"/>
          <w:color w:val="000000"/>
          <w:lang w:eastAsia="bg-BG"/>
        </w:rPr>
        <w:t xml:space="preserve">Свръхчувствителност към мелоксикам или някое от помощните вещества, изброени в точка 6.1, или свръхчувствителност към вещества с подобно действие, напр. нестероидни противовъзпалителни средства (НСПВС), ацетилсалицилова киселина. </w:t>
      </w:r>
      <w:proofErr w:type="spellStart"/>
      <w:r w:rsidRPr="00E63157">
        <w:rPr>
          <w:rFonts w:eastAsia="Times New Roman" w:cs="Arial"/>
          <w:color w:val="000000"/>
          <w:lang w:val="en-US"/>
        </w:rPr>
        <w:t>Movalis</w:t>
      </w:r>
      <w:proofErr w:type="spellEnd"/>
      <w:r w:rsidRPr="00E63157">
        <w:rPr>
          <w:rFonts w:eastAsia="Times New Roman" w:cs="Arial"/>
          <w:color w:val="000000"/>
          <w:lang w:val="ru-RU"/>
        </w:rPr>
        <w:t xml:space="preserve"> </w:t>
      </w:r>
      <w:r w:rsidRPr="00E63157">
        <w:rPr>
          <w:rFonts w:eastAsia="Times New Roman" w:cs="Arial"/>
          <w:color w:val="000000"/>
          <w:lang w:eastAsia="bg-BG"/>
        </w:rPr>
        <w:t>не трябва да бъде прилаган при пациенти с изявени симптоми на астма, назални полипи, ангиоедем или уртикария, след прием на ацетилсалицилова киселина или други НСПВС;</w:t>
      </w:r>
    </w:p>
    <w:p w14:paraId="7484E6A3" w14:textId="77777777" w:rsidR="00E63157" w:rsidRPr="00E63157" w:rsidRDefault="00E63157" w:rsidP="00E63157">
      <w:pPr>
        <w:pStyle w:val="ListParagraph"/>
        <w:numPr>
          <w:ilvl w:val="0"/>
          <w:numId w:val="36"/>
        </w:numPr>
        <w:spacing w:line="240" w:lineRule="auto"/>
        <w:rPr>
          <w:rFonts w:eastAsia="Times New Roman" w:cs="Arial"/>
        </w:rPr>
      </w:pPr>
      <w:r w:rsidRPr="00E63157">
        <w:rPr>
          <w:rFonts w:eastAsia="Times New Roman" w:cs="Arial"/>
          <w:color w:val="000000"/>
          <w:lang w:eastAsia="bg-BG"/>
        </w:rPr>
        <w:t>Анамнеза за гастро-интестинално кървене или перфорация, свързани с предишно лечение с НСПВС;</w:t>
      </w:r>
    </w:p>
    <w:p w14:paraId="2990DFC5" w14:textId="77777777" w:rsidR="00E63157" w:rsidRPr="00E63157" w:rsidRDefault="00E63157" w:rsidP="00E63157">
      <w:pPr>
        <w:pStyle w:val="ListParagraph"/>
        <w:numPr>
          <w:ilvl w:val="0"/>
          <w:numId w:val="36"/>
        </w:numPr>
        <w:spacing w:line="240" w:lineRule="auto"/>
        <w:rPr>
          <w:rFonts w:eastAsia="Times New Roman" w:cs="Arial"/>
        </w:rPr>
      </w:pPr>
      <w:r w:rsidRPr="00E63157">
        <w:rPr>
          <w:rFonts w:eastAsia="Times New Roman" w:cs="Arial"/>
          <w:color w:val="000000"/>
          <w:lang w:eastAsia="bg-BG"/>
        </w:rPr>
        <w:t>Активна или анамнеза за повтаряща се пептична язва/хеморагия (два или повече отделни епизода с доказана язва или кървене);</w:t>
      </w:r>
    </w:p>
    <w:p w14:paraId="35E5596A" w14:textId="77777777" w:rsidR="00E63157" w:rsidRPr="00E63157" w:rsidRDefault="00E63157" w:rsidP="00E63157">
      <w:pPr>
        <w:pStyle w:val="ListParagraph"/>
        <w:numPr>
          <w:ilvl w:val="0"/>
          <w:numId w:val="36"/>
        </w:numPr>
        <w:spacing w:line="240" w:lineRule="auto"/>
        <w:rPr>
          <w:rFonts w:eastAsia="Times New Roman" w:cs="Arial"/>
        </w:rPr>
      </w:pPr>
      <w:r w:rsidRPr="00E63157">
        <w:rPr>
          <w:rFonts w:eastAsia="Times New Roman" w:cs="Arial"/>
          <w:color w:val="000000"/>
          <w:lang w:eastAsia="bg-BG"/>
        </w:rPr>
        <w:t>Силно нарушена чернодробна функция;</w:t>
      </w:r>
    </w:p>
    <w:p w14:paraId="3AA410F9" w14:textId="77777777" w:rsidR="00E63157" w:rsidRPr="00E63157" w:rsidRDefault="00E63157" w:rsidP="00E63157">
      <w:pPr>
        <w:pStyle w:val="ListParagraph"/>
        <w:numPr>
          <w:ilvl w:val="0"/>
          <w:numId w:val="36"/>
        </w:numPr>
        <w:spacing w:line="240" w:lineRule="auto"/>
        <w:rPr>
          <w:rFonts w:eastAsia="Times New Roman" w:cs="Arial"/>
        </w:rPr>
      </w:pPr>
      <w:r w:rsidRPr="00E63157">
        <w:rPr>
          <w:rFonts w:eastAsia="Times New Roman" w:cs="Arial"/>
          <w:color w:val="000000"/>
          <w:lang w:eastAsia="bg-BG"/>
        </w:rPr>
        <w:t>Тежка бъбречна недостатъчност без диализа;</w:t>
      </w:r>
    </w:p>
    <w:p w14:paraId="432BF5A7" w14:textId="77777777" w:rsidR="00E63157" w:rsidRPr="00E63157" w:rsidRDefault="00E63157" w:rsidP="00E63157">
      <w:pPr>
        <w:pStyle w:val="ListParagraph"/>
        <w:numPr>
          <w:ilvl w:val="0"/>
          <w:numId w:val="36"/>
        </w:numPr>
        <w:spacing w:line="240" w:lineRule="auto"/>
        <w:rPr>
          <w:rFonts w:eastAsia="Times New Roman" w:cs="Arial"/>
        </w:rPr>
      </w:pPr>
      <w:r w:rsidRPr="00E63157">
        <w:rPr>
          <w:rFonts w:eastAsia="Times New Roman" w:cs="Arial"/>
          <w:color w:val="000000"/>
          <w:lang w:eastAsia="bg-BG"/>
        </w:rPr>
        <w:t>Гастро-интестинално кървене, анамнеза за мозъчно-съдово кървене или други нарушения, свързани с кървене;</w:t>
      </w:r>
    </w:p>
    <w:p w14:paraId="087BCF4E" w14:textId="77777777" w:rsidR="00E63157" w:rsidRPr="00E63157" w:rsidRDefault="00E63157" w:rsidP="00E63157">
      <w:pPr>
        <w:pStyle w:val="ListParagraph"/>
        <w:numPr>
          <w:ilvl w:val="0"/>
          <w:numId w:val="36"/>
        </w:numPr>
        <w:spacing w:line="240" w:lineRule="auto"/>
        <w:rPr>
          <w:rFonts w:eastAsia="Times New Roman" w:cs="Arial"/>
        </w:rPr>
      </w:pPr>
      <w:r w:rsidRPr="00E63157">
        <w:rPr>
          <w:rFonts w:eastAsia="Times New Roman" w:cs="Arial"/>
          <w:color w:val="000000"/>
          <w:lang w:eastAsia="bg-BG"/>
        </w:rPr>
        <w:t>Тежка сърдечна недостатъчност.</w:t>
      </w:r>
    </w:p>
    <w:p w14:paraId="6419C597" w14:textId="77777777" w:rsidR="00E63157" w:rsidRPr="00E63157" w:rsidRDefault="00E63157" w:rsidP="00E63157"/>
    <w:p w14:paraId="115C9528" w14:textId="54D7A340" w:rsidR="00DF4C8E" w:rsidRDefault="002C50EE" w:rsidP="00F44498">
      <w:pPr>
        <w:pStyle w:val="Heading2"/>
      </w:pPr>
      <w:r>
        <w:lastRenderedPageBreak/>
        <w:t>4.4. Специални предупреждения и предпазни мерки при употреба</w:t>
      </w:r>
    </w:p>
    <w:p w14:paraId="6F9EA3F7" w14:textId="34053324" w:rsidR="00E63157" w:rsidRDefault="00E63157" w:rsidP="00E63157"/>
    <w:p w14:paraId="27869C46"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Нежеланите реакции могат да бъдат намалени, като за контролиране на симптомите се употребява възможно най-ниската ефективна доза, за възможно най-кратък срок от време (вж.точка 4.4 и гастро-интестинални и сърдечно-съдови рискове по-долу).</w:t>
      </w:r>
    </w:p>
    <w:p w14:paraId="2E56C51D" w14:textId="77777777" w:rsidR="00E63157" w:rsidRPr="00E63157" w:rsidRDefault="00E63157" w:rsidP="00E63157">
      <w:pPr>
        <w:rPr>
          <w:rFonts w:eastAsia="Times New Roman" w:cs="Arial"/>
          <w:color w:val="000000"/>
          <w:lang w:eastAsia="bg-BG"/>
        </w:rPr>
      </w:pPr>
    </w:p>
    <w:p w14:paraId="4687C205" w14:textId="43444D50" w:rsidR="00E63157" w:rsidRPr="00E63157" w:rsidRDefault="00E63157" w:rsidP="00E63157">
      <w:pPr>
        <w:rPr>
          <w:rFonts w:eastAsia="Times New Roman" w:cs="Arial"/>
          <w:color w:val="000000"/>
          <w:lang w:eastAsia="bg-BG"/>
        </w:rPr>
      </w:pPr>
      <w:r w:rsidRPr="00E63157">
        <w:rPr>
          <w:rFonts w:eastAsia="Times New Roman" w:cs="Arial"/>
          <w:color w:val="000000"/>
          <w:lang w:eastAsia="bg-BG"/>
        </w:rPr>
        <w:t>Препоръчваната максимална дневна доза не трябва да се превишава в случай на недостатъчен терапевтичен ефект и не трябва да се добавя допълнително НСПВС към лечението, тъх като това може да повиши токсичността, докато терапевтично преимущество не е доказано. Едновременната употреба на мелоксикам с НСПВС, включително циклоокситеназа-2 селективни инхибитори, трябва да се избягва.</w:t>
      </w:r>
    </w:p>
    <w:p w14:paraId="7F0A2542" w14:textId="51D4B536" w:rsidR="00E63157" w:rsidRPr="00E63157" w:rsidRDefault="00E63157" w:rsidP="00E63157">
      <w:pPr>
        <w:rPr>
          <w:rFonts w:cs="Arial"/>
        </w:rPr>
      </w:pPr>
    </w:p>
    <w:p w14:paraId="6838C3FD" w14:textId="2B0615B1" w:rsidR="00E63157" w:rsidRPr="00E63157" w:rsidRDefault="00E63157" w:rsidP="00E63157">
      <w:pPr>
        <w:rPr>
          <w:rFonts w:cs="Arial"/>
        </w:rPr>
      </w:pPr>
      <w:r w:rsidRPr="00E63157">
        <w:rPr>
          <w:rFonts w:cs="Arial"/>
        </w:rPr>
        <w:t xml:space="preserve">Мелоксикам не е подходящ за лечението </w:t>
      </w:r>
      <w:r w:rsidRPr="00E63157">
        <w:rPr>
          <w:rFonts w:cs="Arial"/>
          <w:i/>
          <w:iCs/>
        </w:rPr>
        <w:t>на</w:t>
      </w:r>
      <w:r w:rsidRPr="00E63157">
        <w:rPr>
          <w:rFonts w:cs="Arial"/>
        </w:rPr>
        <w:t xml:space="preserve"> пациенти, нуждаещи се от облекчение на остра болка.</w:t>
      </w:r>
    </w:p>
    <w:p w14:paraId="237AE3FF" w14:textId="3C89660F" w:rsidR="00E63157" w:rsidRPr="00E63157" w:rsidRDefault="00E63157" w:rsidP="00E63157">
      <w:pPr>
        <w:rPr>
          <w:rFonts w:cs="Arial"/>
        </w:rPr>
      </w:pPr>
    </w:p>
    <w:p w14:paraId="4E7B13FE" w14:textId="77777777" w:rsidR="00E63157" w:rsidRPr="00E63157" w:rsidRDefault="00E63157" w:rsidP="00E63157">
      <w:pPr>
        <w:rPr>
          <w:rFonts w:cs="Arial"/>
        </w:rPr>
      </w:pPr>
      <w:r w:rsidRPr="00E63157">
        <w:rPr>
          <w:rFonts w:cs="Arial"/>
        </w:rPr>
        <w:t>Клиничната полза от лечението тябва да се преосмисля при липсата на подобрение след няколко дни.</w:t>
      </w:r>
    </w:p>
    <w:p w14:paraId="3AF79E24" w14:textId="77777777" w:rsidR="00E63157" w:rsidRPr="00E63157" w:rsidRDefault="00E63157" w:rsidP="00E63157">
      <w:pPr>
        <w:rPr>
          <w:rFonts w:cs="Arial"/>
        </w:rPr>
      </w:pPr>
    </w:p>
    <w:p w14:paraId="62BAE0FF" w14:textId="7D80382A" w:rsidR="00E63157" w:rsidRPr="00E63157" w:rsidRDefault="00E63157" w:rsidP="00E63157">
      <w:pPr>
        <w:rPr>
          <w:rFonts w:cs="Arial"/>
        </w:rPr>
      </w:pPr>
      <w:r w:rsidRPr="00E63157">
        <w:rPr>
          <w:rFonts w:cs="Arial"/>
        </w:rPr>
        <w:t>При анамнеза за езофагит, гастрит и/или гастро-интестинална язва трябва да се осигури тяхното напълно излекуване преди започване на лечение с мелоксикам. Периодично трябва да се следи за възможно възобновяване при пациенти, лекувани с мелоксикам, имащи подобна анамнеза.</w:t>
      </w:r>
    </w:p>
    <w:p w14:paraId="7994832D" w14:textId="77777777" w:rsidR="00E63157" w:rsidRPr="00E63157" w:rsidRDefault="00E63157" w:rsidP="00E63157">
      <w:pPr>
        <w:rPr>
          <w:rFonts w:cs="Arial"/>
          <w:i/>
          <w:iCs/>
        </w:rPr>
      </w:pPr>
    </w:p>
    <w:p w14:paraId="36567BCA" w14:textId="2CE58DDE" w:rsidR="00E63157" w:rsidRPr="00E63157" w:rsidRDefault="00E63157" w:rsidP="00E63157">
      <w:pPr>
        <w:rPr>
          <w:rFonts w:cs="Arial"/>
        </w:rPr>
      </w:pPr>
      <w:r w:rsidRPr="00E63157">
        <w:rPr>
          <w:rFonts w:cs="Arial"/>
          <w:i/>
          <w:iCs/>
        </w:rPr>
        <w:t>Гастро-интестинални ефекти</w:t>
      </w:r>
    </w:p>
    <w:p w14:paraId="2ED7D677" w14:textId="77777777" w:rsidR="00E63157" w:rsidRPr="00E63157" w:rsidRDefault="00E63157" w:rsidP="00E63157">
      <w:pPr>
        <w:rPr>
          <w:rFonts w:cs="Arial"/>
        </w:rPr>
      </w:pPr>
      <w:r w:rsidRPr="00E63157">
        <w:rPr>
          <w:rFonts w:cs="Arial"/>
        </w:rPr>
        <w:t>Както и при другите НСПВС, гастро-интестинално (ГИ) кървене, язва или перфорация, които може да са фатални, могат да се проявят във всеки момент от лечението, с или без предупредителни симптоми, или предшестващо сериозно гастро-интестинално нарушение.</w:t>
      </w:r>
    </w:p>
    <w:p w14:paraId="2374A44A" w14:textId="77777777" w:rsidR="00E63157" w:rsidRPr="00E63157" w:rsidRDefault="00E63157" w:rsidP="00E63157">
      <w:pPr>
        <w:rPr>
          <w:rFonts w:cs="Arial"/>
        </w:rPr>
      </w:pPr>
    </w:p>
    <w:p w14:paraId="294B6428" w14:textId="4C8062E4" w:rsidR="00E63157" w:rsidRPr="00E63157" w:rsidRDefault="00E63157" w:rsidP="00E63157">
      <w:pPr>
        <w:rPr>
          <w:rFonts w:cs="Arial"/>
        </w:rPr>
      </w:pPr>
      <w:r w:rsidRPr="00E63157">
        <w:rPr>
          <w:rFonts w:cs="Arial"/>
        </w:rPr>
        <w:t>Ри</w:t>
      </w:r>
      <w:r w:rsidRPr="00E63157">
        <w:rPr>
          <w:rFonts w:cs="Arial"/>
        </w:rPr>
        <w:t>скът от гастро-интестинално кървене, язва или перфорация се повишава с увеличване на дозата на НСПВС, при пациенти с анамнеза за язва, осбено ако е усложнена от хеморагия или перфорация (вж. точка 4.3), както и при по-възрастни пациенти. Тези пациенти трява да започнат лечение с най-ниската възможна доза. Едновременно лечение с предпазни средства (напр. мизопростол или инхибитори на протонната помпа) трябва да се обмисли при подобни пациенти, както и при пациенти, нуждаещи се от едновременно лечение с ниски дози ацетилсалицилова киселина, или други лекарства, с вероятност да повишат гастроинтестиналния риск (вж. и точка 4.5 по-долу).</w:t>
      </w:r>
    </w:p>
    <w:p w14:paraId="6B590A8B" w14:textId="77777777" w:rsidR="00E63157" w:rsidRPr="00E63157" w:rsidRDefault="00E63157" w:rsidP="00E63157">
      <w:pPr>
        <w:rPr>
          <w:rFonts w:cs="Arial"/>
        </w:rPr>
      </w:pPr>
    </w:p>
    <w:p w14:paraId="4C4E0C9A" w14:textId="745E93CD" w:rsidR="00E63157" w:rsidRPr="00E63157" w:rsidRDefault="00E63157" w:rsidP="00E63157">
      <w:pPr>
        <w:rPr>
          <w:rFonts w:cs="Arial"/>
        </w:rPr>
      </w:pPr>
      <w:r w:rsidRPr="00E63157">
        <w:rPr>
          <w:rFonts w:cs="Arial"/>
        </w:rPr>
        <w:t>Пациенти с анамнеза за гастро-интестинална токсичност, особено пациенти в стрческа възраст, трябва да съобщават за всякакви необичайни абдоминални симптоми (по-специално ГИ кървене), особено в началната фаза на лечението.</w:t>
      </w:r>
    </w:p>
    <w:p w14:paraId="74B65F7B" w14:textId="77777777" w:rsidR="00E63157" w:rsidRPr="00E63157" w:rsidRDefault="00E63157" w:rsidP="00E63157">
      <w:pPr>
        <w:rPr>
          <w:rFonts w:cs="Arial"/>
        </w:rPr>
      </w:pPr>
    </w:p>
    <w:p w14:paraId="69464104" w14:textId="51F66610" w:rsidR="00E63157" w:rsidRPr="00E63157" w:rsidRDefault="00E63157" w:rsidP="00E63157">
      <w:pPr>
        <w:rPr>
          <w:rFonts w:cs="Arial"/>
        </w:rPr>
      </w:pPr>
      <w:r w:rsidRPr="00E63157">
        <w:rPr>
          <w:rFonts w:cs="Arial"/>
        </w:rPr>
        <w:t xml:space="preserve">Повишено внимание се препоръчва при пациенти, едновременно приемащи лекарства, които могат да увеличат риска от язва или кървене, като хепарин за терапевтично лечение или прилаган в гериатрията, антикоагуланти като варфарин, или други нестероидни противовъзпалителни средства, включително и ацетилсалицилова киселина, приемана в дози против възпаление (≥1 </w:t>
      </w:r>
      <w:r w:rsidRPr="00E63157">
        <w:rPr>
          <w:rFonts w:cs="Arial"/>
          <w:lang w:val="en-US"/>
        </w:rPr>
        <w:t>g</w:t>
      </w:r>
      <w:r w:rsidRPr="00E63157">
        <w:rPr>
          <w:rFonts w:cs="Arial"/>
          <w:lang w:val="ru-RU"/>
        </w:rPr>
        <w:t xml:space="preserve"> </w:t>
      </w:r>
      <w:r w:rsidRPr="00E63157">
        <w:rPr>
          <w:rFonts w:cs="Arial"/>
        </w:rPr>
        <w:t xml:space="preserve">като еднократен прием или ≥ </w:t>
      </w:r>
      <w:r w:rsidRPr="00E63157">
        <w:rPr>
          <w:rFonts w:cs="Arial"/>
          <w:lang w:val="ru-RU"/>
        </w:rPr>
        <w:t>3</w:t>
      </w:r>
      <w:r w:rsidRPr="00E63157">
        <w:rPr>
          <w:rFonts w:cs="Arial"/>
          <w:lang w:val="en-US"/>
        </w:rPr>
        <w:t>g</w:t>
      </w:r>
      <w:r w:rsidRPr="00E63157">
        <w:rPr>
          <w:rFonts w:cs="Arial"/>
          <w:lang w:val="ru-RU"/>
        </w:rPr>
        <w:t xml:space="preserve">, </w:t>
      </w:r>
      <w:r w:rsidRPr="00E63157">
        <w:rPr>
          <w:rFonts w:cs="Arial"/>
        </w:rPr>
        <w:t>като обща дневна доза) (вж. точка 4.5).</w:t>
      </w:r>
    </w:p>
    <w:p w14:paraId="485B41F9" w14:textId="77777777" w:rsidR="00E63157" w:rsidRPr="00E63157" w:rsidRDefault="00E63157" w:rsidP="00E63157">
      <w:pPr>
        <w:rPr>
          <w:rFonts w:cs="Arial"/>
        </w:rPr>
      </w:pPr>
    </w:p>
    <w:p w14:paraId="473924D3" w14:textId="1379F290" w:rsidR="00E63157" w:rsidRPr="00E63157" w:rsidRDefault="00E63157" w:rsidP="00E63157">
      <w:pPr>
        <w:rPr>
          <w:rFonts w:cs="Arial"/>
        </w:rPr>
      </w:pPr>
      <w:r w:rsidRPr="00E63157">
        <w:rPr>
          <w:rFonts w:cs="Arial"/>
        </w:rPr>
        <w:t>При поява на гастроинтестинално кървене или язва при пациенти, приемащи меклоксикам лечението трябва да бъде спряно.</w:t>
      </w:r>
    </w:p>
    <w:p w14:paraId="1C501EDC" w14:textId="77777777" w:rsidR="00E63157" w:rsidRPr="00E63157" w:rsidRDefault="00E63157" w:rsidP="00E63157">
      <w:pPr>
        <w:rPr>
          <w:rFonts w:cs="Arial"/>
        </w:rPr>
      </w:pPr>
    </w:p>
    <w:p w14:paraId="76467B7B" w14:textId="6FFEC81E" w:rsidR="00E63157" w:rsidRPr="00E63157" w:rsidRDefault="00E63157" w:rsidP="00E63157">
      <w:pPr>
        <w:rPr>
          <w:rFonts w:cs="Arial"/>
        </w:rPr>
      </w:pPr>
      <w:r w:rsidRPr="00E63157">
        <w:rPr>
          <w:rFonts w:cs="Arial"/>
        </w:rPr>
        <w:t>НСПВС трябва да се дават внимателно на пациенти с анамнеза за ГИ заболявания (улцерозен колит, болест на Крон), тъй като възпалението при тези състояния може да се активира (вж. точка 4.8 - нежелани реакции).</w:t>
      </w:r>
    </w:p>
    <w:p w14:paraId="09C8D230" w14:textId="77777777" w:rsidR="00E63157" w:rsidRPr="00E63157" w:rsidRDefault="00E63157" w:rsidP="00E63157">
      <w:pPr>
        <w:rPr>
          <w:rFonts w:cs="Arial"/>
          <w:i/>
          <w:iCs/>
        </w:rPr>
      </w:pPr>
    </w:p>
    <w:p w14:paraId="08FC0CCE" w14:textId="48BCB06B" w:rsidR="00E63157" w:rsidRPr="00E63157" w:rsidRDefault="00E63157" w:rsidP="00E63157">
      <w:pPr>
        <w:rPr>
          <w:rFonts w:cs="Arial"/>
        </w:rPr>
      </w:pPr>
      <w:r w:rsidRPr="00E63157">
        <w:rPr>
          <w:rFonts w:cs="Arial"/>
          <w:i/>
          <w:iCs/>
        </w:rPr>
        <w:t>Сърдечно-съдови и мозъчносъдови ефекти:</w:t>
      </w:r>
    </w:p>
    <w:p w14:paraId="4883FCB3" w14:textId="77777777" w:rsidR="00E63157" w:rsidRPr="00E63157" w:rsidRDefault="00E63157" w:rsidP="00E63157">
      <w:pPr>
        <w:rPr>
          <w:rFonts w:cs="Arial"/>
        </w:rPr>
      </w:pPr>
      <w:r w:rsidRPr="00E63157">
        <w:rPr>
          <w:rFonts w:cs="Arial"/>
        </w:rPr>
        <w:t>Необходимо е да се осигурят подходящо наблюдение и съвет за пациенти с анамнеза за хипертония и/или лека до умерена застойна сърдечна недостатъчност, тъй като има съобщения за отоци и задържане на течности, свързани с лечението с НСПВС.</w:t>
      </w:r>
    </w:p>
    <w:p w14:paraId="0A822BE8" w14:textId="77777777" w:rsidR="00E63157" w:rsidRPr="00E63157" w:rsidRDefault="00E63157" w:rsidP="00E63157">
      <w:pPr>
        <w:rPr>
          <w:rFonts w:cs="Arial"/>
        </w:rPr>
      </w:pPr>
      <w:r w:rsidRPr="00E63157">
        <w:rPr>
          <w:rFonts w:cs="Arial"/>
        </w:rPr>
        <w:t>Препоръчва се клинично наблюдение на кръвното налягане при пациенти в риск, преди лечението и особено при започване на лечение с мелоксикам.</w:t>
      </w:r>
    </w:p>
    <w:p w14:paraId="07EF768B" w14:textId="77777777" w:rsidR="00E63157" w:rsidRPr="00E63157" w:rsidRDefault="00E63157" w:rsidP="00E63157">
      <w:pPr>
        <w:rPr>
          <w:rFonts w:cs="Arial"/>
        </w:rPr>
      </w:pPr>
    </w:p>
    <w:p w14:paraId="3EDB24B2" w14:textId="2146747C" w:rsidR="00E63157" w:rsidRPr="00E63157" w:rsidRDefault="00E63157" w:rsidP="00E63157">
      <w:pPr>
        <w:rPr>
          <w:rFonts w:cs="Arial"/>
        </w:rPr>
      </w:pPr>
      <w:r w:rsidRPr="00E63157">
        <w:rPr>
          <w:rFonts w:cs="Arial"/>
        </w:rPr>
        <w:t>Клинични проучвания и епидемиологични данни показват, че употребата на някои НСПВС (особено във високи дози и при продължително приложение) може да бъде свързан с леко повишен риск от артериални тромботични събития (например миокарден инфаркт или инсулт</w:t>
      </w:r>
      <w:r w:rsidRPr="00E63157">
        <w:rPr>
          <w:rFonts w:cs="Arial"/>
        </w:rPr>
        <w:t>).</w:t>
      </w:r>
    </w:p>
    <w:p w14:paraId="7E1D1EAB" w14:textId="26EF8001" w:rsidR="00E63157" w:rsidRPr="00E63157" w:rsidRDefault="00E63157" w:rsidP="00E63157">
      <w:pPr>
        <w:rPr>
          <w:rFonts w:cs="Arial"/>
        </w:rPr>
      </w:pPr>
      <w:r w:rsidRPr="00E63157">
        <w:rPr>
          <w:rFonts w:cs="Arial"/>
        </w:rPr>
        <w:t>Няма достатъчно данни, за да се изключи такъв риск при мелоксикам.</w:t>
      </w:r>
    </w:p>
    <w:p w14:paraId="4D0E80BA" w14:textId="406D3BA8" w:rsidR="00E63157" w:rsidRPr="00E63157" w:rsidRDefault="00E63157" w:rsidP="00E63157">
      <w:pPr>
        <w:rPr>
          <w:rFonts w:cs="Arial"/>
        </w:rPr>
      </w:pPr>
    </w:p>
    <w:p w14:paraId="03AB6940"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Пациенти с неконтролирана хипертония, застойна сърдечна недостатъчност, установена исхемична болест на сърцето, заболяване на периферните артерии и/или мозъчно-съдова болест трябва да се лекуват с мелоксикам само след внимателно обмисляне. Такова обмисляне трябва да се прави преди започване на дългосрочно лечение на пациенти с рискови фактори за сърдечно-съдови събития (напр. хипертония, хиперлипидемия, захарен диабет, тютюнопушене).</w:t>
      </w:r>
    </w:p>
    <w:p w14:paraId="44B7F5A9" w14:textId="77777777" w:rsidR="00E63157" w:rsidRPr="00E63157" w:rsidRDefault="00E63157" w:rsidP="00E63157">
      <w:pPr>
        <w:spacing w:line="240" w:lineRule="auto"/>
        <w:rPr>
          <w:rFonts w:eastAsia="Times New Roman" w:cs="Arial"/>
          <w:i/>
          <w:iCs/>
          <w:color w:val="000000"/>
          <w:lang w:eastAsia="bg-BG"/>
        </w:rPr>
      </w:pPr>
    </w:p>
    <w:p w14:paraId="61F17724" w14:textId="5580AE9F" w:rsidR="00E63157" w:rsidRPr="00E63157" w:rsidRDefault="00E63157" w:rsidP="00E63157">
      <w:pPr>
        <w:spacing w:line="240" w:lineRule="auto"/>
        <w:rPr>
          <w:rFonts w:eastAsia="Times New Roman" w:cs="Arial"/>
        </w:rPr>
      </w:pPr>
      <w:r w:rsidRPr="00E63157">
        <w:rPr>
          <w:rFonts w:eastAsia="Times New Roman" w:cs="Arial"/>
          <w:i/>
          <w:iCs/>
          <w:color w:val="000000"/>
          <w:lang w:eastAsia="bg-BG"/>
        </w:rPr>
        <w:t>Кожни реакции</w:t>
      </w:r>
    </w:p>
    <w:p w14:paraId="07749771"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 xml:space="preserve">Съобщава се за животозастрашаващи кожни реакции като синдром на </w:t>
      </w:r>
      <w:r w:rsidRPr="00E63157">
        <w:rPr>
          <w:rFonts w:eastAsia="Times New Roman" w:cs="Arial"/>
          <w:color w:val="000000"/>
          <w:lang w:val="en-US"/>
        </w:rPr>
        <w:t>Stevens</w:t>
      </w:r>
      <w:r w:rsidRPr="00E63157">
        <w:rPr>
          <w:rFonts w:eastAsia="Times New Roman" w:cs="Arial"/>
          <w:color w:val="000000"/>
          <w:lang w:val="ru-RU"/>
        </w:rPr>
        <w:t>-</w:t>
      </w:r>
      <w:r w:rsidRPr="00E63157">
        <w:rPr>
          <w:rFonts w:eastAsia="Times New Roman" w:cs="Arial"/>
          <w:color w:val="000000"/>
          <w:lang w:val="en-US"/>
        </w:rPr>
        <w:t>Johnson</w:t>
      </w:r>
      <w:r w:rsidRPr="00E63157">
        <w:rPr>
          <w:rFonts w:eastAsia="Times New Roman" w:cs="Arial"/>
          <w:color w:val="000000"/>
          <w:lang w:val="ru-RU"/>
        </w:rPr>
        <w:t xml:space="preserve"> (</w:t>
      </w:r>
      <w:r w:rsidRPr="00E63157">
        <w:rPr>
          <w:rFonts w:eastAsia="Times New Roman" w:cs="Arial"/>
          <w:color w:val="000000"/>
          <w:lang w:val="en-US"/>
        </w:rPr>
        <w:t>SJS</w:t>
      </w:r>
      <w:r w:rsidRPr="00E63157">
        <w:rPr>
          <w:rFonts w:eastAsia="Times New Roman" w:cs="Arial"/>
          <w:color w:val="000000"/>
          <w:lang w:val="ru-RU"/>
        </w:rPr>
        <w:t xml:space="preserve">) </w:t>
      </w:r>
      <w:r w:rsidRPr="00E63157">
        <w:rPr>
          <w:rFonts w:eastAsia="Times New Roman" w:cs="Arial"/>
          <w:color w:val="000000"/>
          <w:lang w:eastAsia="bg-BG"/>
        </w:rPr>
        <w:t xml:space="preserve">и токсична епидермална некролиза </w:t>
      </w:r>
      <w:r w:rsidRPr="00E63157">
        <w:rPr>
          <w:rFonts w:eastAsia="Times New Roman" w:cs="Arial"/>
          <w:color w:val="000000"/>
          <w:lang w:val="ru-RU"/>
        </w:rPr>
        <w:t>(</w:t>
      </w:r>
      <w:r w:rsidRPr="00E63157">
        <w:rPr>
          <w:rFonts w:eastAsia="Times New Roman" w:cs="Arial"/>
          <w:color w:val="000000"/>
          <w:lang w:val="en-US"/>
        </w:rPr>
        <w:t>TEN</w:t>
      </w:r>
      <w:r w:rsidRPr="00E63157">
        <w:rPr>
          <w:rFonts w:eastAsia="Times New Roman" w:cs="Arial"/>
          <w:color w:val="000000"/>
          <w:lang w:val="ru-RU"/>
        </w:rPr>
        <w:t xml:space="preserve">) </w:t>
      </w:r>
      <w:r w:rsidRPr="00E63157">
        <w:rPr>
          <w:rFonts w:eastAsia="Times New Roman" w:cs="Arial"/>
          <w:color w:val="000000"/>
          <w:lang w:eastAsia="bg-BG"/>
        </w:rPr>
        <w:t xml:space="preserve">при употреба на мелоксикам. Необходимо е пациентите да бъдат предупредени за признаците и симптомите и внимателно наблюдавани за появата на такива кожни реакции. Рискът от поява на синдром на </w:t>
      </w:r>
      <w:r w:rsidRPr="00E63157">
        <w:rPr>
          <w:rFonts w:eastAsia="Times New Roman" w:cs="Arial"/>
          <w:color w:val="000000"/>
          <w:lang w:val="en-US"/>
        </w:rPr>
        <w:t>Stevens</w:t>
      </w:r>
      <w:r w:rsidRPr="00E63157">
        <w:rPr>
          <w:rFonts w:eastAsia="Times New Roman" w:cs="Arial"/>
          <w:color w:val="000000"/>
          <w:lang w:val="ru-RU"/>
        </w:rPr>
        <w:t>-</w:t>
      </w:r>
      <w:r w:rsidRPr="00E63157">
        <w:rPr>
          <w:rFonts w:eastAsia="Times New Roman" w:cs="Arial"/>
          <w:color w:val="000000"/>
          <w:lang w:val="en-US"/>
        </w:rPr>
        <w:t>Johnson</w:t>
      </w:r>
      <w:r w:rsidRPr="00E63157">
        <w:rPr>
          <w:rFonts w:eastAsia="Times New Roman" w:cs="Arial"/>
          <w:color w:val="000000"/>
          <w:lang w:val="ru-RU"/>
        </w:rPr>
        <w:t xml:space="preserve"> </w:t>
      </w:r>
      <w:r w:rsidRPr="00E63157">
        <w:rPr>
          <w:rFonts w:eastAsia="Times New Roman" w:cs="Arial"/>
          <w:color w:val="000000"/>
          <w:lang w:eastAsia="bg-BG"/>
        </w:rPr>
        <w:t xml:space="preserve">или токсична епидермална некролиза е най-висок през първите седмици от лечението. Ако са налице симптоми или признаци на токсична епидермална некролиза или синдром на </w:t>
      </w:r>
      <w:r w:rsidRPr="00E63157">
        <w:rPr>
          <w:rFonts w:eastAsia="Times New Roman" w:cs="Arial"/>
          <w:color w:val="000000"/>
          <w:lang w:val="en-US"/>
        </w:rPr>
        <w:t>Stevens</w:t>
      </w:r>
      <w:r w:rsidRPr="00E63157">
        <w:rPr>
          <w:rFonts w:eastAsia="Times New Roman" w:cs="Arial"/>
          <w:color w:val="000000"/>
          <w:lang w:val="ru-RU"/>
        </w:rPr>
        <w:t>-</w:t>
      </w:r>
      <w:r w:rsidRPr="00E63157">
        <w:rPr>
          <w:rFonts w:eastAsia="Times New Roman" w:cs="Arial"/>
          <w:color w:val="000000"/>
          <w:lang w:val="en-US"/>
        </w:rPr>
        <w:t>Johnson</w:t>
      </w:r>
      <w:r w:rsidRPr="00E63157">
        <w:rPr>
          <w:rFonts w:eastAsia="Times New Roman" w:cs="Arial"/>
          <w:color w:val="000000"/>
          <w:lang w:val="ru-RU"/>
        </w:rPr>
        <w:t xml:space="preserve"> </w:t>
      </w:r>
      <w:r w:rsidRPr="00E63157">
        <w:rPr>
          <w:rFonts w:eastAsia="Times New Roman" w:cs="Arial"/>
          <w:color w:val="000000"/>
          <w:lang w:eastAsia="bg-BG"/>
        </w:rPr>
        <w:t xml:space="preserve">(напр. прогресиращ кожен обрив, често с мехури или мукозни лезии), лечението с мелоксикам трябва да се преустанови. Най-добри резултати в овладяването на синдром на </w:t>
      </w:r>
      <w:r w:rsidRPr="00E63157">
        <w:rPr>
          <w:rFonts w:eastAsia="Times New Roman" w:cs="Arial"/>
          <w:color w:val="000000"/>
          <w:lang w:val="en-US"/>
        </w:rPr>
        <w:t>Stevens</w:t>
      </w:r>
      <w:r w:rsidRPr="00E63157">
        <w:rPr>
          <w:rFonts w:eastAsia="Times New Roman" w:cs="Arial"/>
          <w:color w:val="000000"/>
          <w:lang w:val="ru-RU"/>
        </w:rPr>
        <w:t>-</w:t>
      </w:r>
      <w:r w:rsidRPr="00E63157">
        <w:rPr>
          <w:rFonts w:eastAsia="Times New Roman" w:cs="Arial"/>
          <w:color w:val="000000"/>
          <w:lang w:val="en-US"/>
        </w:rPr>
        <w:t>Johnson</w:t>
      </w:r>
      <w:r w:rsidRPr="00E63157">
        <w:rPr>
          <w:rFonts w:eastAsia="Times New Roman" w:cs="Arial"/>
          <w:color w:val="000000"/>
          <w:lang w:val="ru-RU"/>
        </w:rPr>
        <w:t xml:space="preserve"> </w:t>
      </w:r>
      <w:r w:rsidRPr="00E63157">
        <w:rPr>
          <w:rFonts w:eastAsia="Times New Roman" w:cs="Arial"/>
          <w:color w:val="000000"/>
          <w:lang w:eastAsia="bg-BG"/>
        </w:rPr>
        <w:t xml:space="preserve">и токсична епидермална некролиза са налице при ранното диагностициране и незабавно прекратяване на всяко подозирано лекарство. Ранното спиране на лечението е свързано с по- добра прогноза. Ако пациентът развие синдром на </w:t>
      </w:r>
      <w:r w:rsidRPr="00E63157">
        <w:rPr>
          <w:rFonts w:eastAsia="Times New Roman" w:cs="Arial"/>
          <w:color w:val="000000"/>
          <w:lang w:val="en-US"/>
        </w:rPr>
        <w:t>Stevens</w:t>
      </w:r>
      <w:r w:rsidRPr="00E63157">
        <w:rPr>
          <w:rFonts w:eastAsia="Times New Roman" w:cs="Arial"/>
          <w:color w:val="000000"/>
          <w:lang w:val="ru-RU"/>
        </w:rPr>
        <w:t>-</w:t>
      </w:r>
      <w:r w:rsidRPr="00E63157">
        <w:rPr>
          <w:rFonts w:eastAsia="Times New Roman" w:cs="Arial"/>
          <w:color w:val="000000"/>
          <w:lang w:val="en-US"/>
        </w:rPr>
        <w:t>Johnson</w:t>
      </w:r>
      <w:r w:rsidRPr="00E63157">
        <w:rPr>
          <w:rFonts w:eastAsia="Times New Roman" w:cs="Arial"/>
          <w:color w:val="000000"/>
          <w:lang w:val="ru-RU"/>
        </w:rPr>
        <w:t xml:space="preserve"> </w:t>
      </w:r>
      <w:r w:rsidRPr="00E63157">
        <w:rPr>
          <w:rFonts w:eastAsia="Times New Roman" w:cs="Arial"/>
          <w:color w:val="000000"/>
          <w:lang w:eastAsia="bg-BG"/>
        </w:rPr>
        <w:t>или токсична епидермална некролиза по време на приема на мелоксикам, този лекарствен продукт не трябва да се прилага отново на този пациент.</w:t>
      </w:r>
    </w:p>
    <w:p w14:paraId="2F6EA270" w14:textId="77777777" w:rsidR="00E63157" w:rsidRPr="00E63157" w:rsidRDefault="00E63157" w:rsidP="00E63157">
      <w:pPr>
        <w:spacing w:line="240" w:lineRule="auto"/>
        <w:rPr>
          <w:rFonts w:eastAsia="Times New Roman" w:cs="Arial"/>
          <w:i/>
          <w:iCs/>
          <w:color w:val="000000"/>
          <w:lang w:eastAsia="bg-BG"/>
        </w:rPr>
      </w:pPr>
    </w:p>
    <w:p w14:paraId="1EE28B17" w14:textId="60581D73" w:rsidR="00E63157" w:rsidRPr="00E63157" w:rsidRDefault="00E63157" w:rsidP="00E63157">
      <w:pPr>
        <w:spacing w:line="240" w:lineRule="auto"/>
        <w:rPr>
          <w:rFonts w:eastAsia="Times New Roman" w:cs="Arial"/>
        </w:rPr>
      </w:pPr>
      <w:r w:rsidRPr="00E63157">
        <w:rPr>
          <w:rFonts w:eastAsia="Times New Roman" w:cs="Arial"/>
          <w:i/>
          <w:iCs/>
          <w:color w:val="000000"/>
          <w:lang w:eastAsia="bg-BG"/>
        </w:rPr>
        <w:t>Параметри на чернодробна и бъбречна функция</w:t>
      </w:r>
    </w:p>
    <w:p w14:paraId="73FEBE4E"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 xml:space="preserve">Както при повечето НСПВС, рядко са съобщавани повишени нива на серумните трансаминази, повишаване на серумен билирубин или други параметри на чернодробната функция, както и увеличаване на серумния креатинин, и азота от уреята в кръвта, и други лабораторни нарушения. В повечето случаи това са били незначителни и </w:t>
      </w:r>
      <w:r w:rsidRPr="00E63157">
        <w:rPr>
          <w:rFonts w:eastAsia="Times New Roman" w:cs="Arial"/>
          <w:color w:val="000000"/>
          <w:lang w:eastAsia="bg-BG"/>
        </w:rPr>
        <w:lastRenderedPageBreak/>
        <w:t>преходни повишения над нормалните стойности. Ако промените са значителни или постоянни, лечението с мелоксикам трябва да бъде прекъснато и да бъдат проведени съответните изследвания.</w:t>
      </w:r>
    </w:p>
    <w:p w14:paraId="24B2D55B" w14:textId="77777777" w:rsidR="00E63157" w:rsidRPr="00E63157" w:rsidRDefault="00E63157" w:rsidP="00E63157">
      <w:pPr>
        <w:spacing w:line="240" w:lineRule="auto"/>
        <w:rPr>
          <w:rFonts w:eastAsia="Times New Roman" w:cs="Arial"/>
          <w:i/>
          <w:iCs/>
          <w:color w:val="000000"/>
          <w:lang w:eastAsia="bg-BG"/>
        </w:rPr>
      </w:pPr>
    </w:p>
    <w:p w14:paraId="0ED7A515" w14:textId="425A7E7A" w:rsidR="00E63157" w:rsidRPr="00E63157" w:rsidRDefault="00E63157" w:rsidP="00E63157">
      <w:pPr>
        <w:spacing w:line="240" w:lineRule="auto"/>
        <w:rPr>
          <w:rFonts w:eastAsia="Times New Roman" w:cs="Arial"/>
        </w:rPr>
      </w:pPr>
      <w:r w:rsidRPr="00E63157">
        <w:rPr>
          <w:rFonts w:eastAsia="Times New Roman" w:cs="Arial"/>
          <w:i/>
          <w:iCs/>
          <w:color w:val="000000"/>
          <w:lang w:eastAsia="bg-BG"/>
        </w:rPr>
        <w:t>Функционална бъбречна недостатъчност</w:t>
      </w:r>
    </w:p>
    <w:p w14:paraId="01E4DC17" w14:textId="7BAFBF06" w:rsidR="00E63157" w:rsidRPr="00E63157" w:rsidRDefault="00E63157" w:rsidP="00E63157">
      <w:pPr>
        <w:spacing w:line="240" w:lineRule="auto"/>
        <w:rPr>
          <w:rFonts w:eastAsia="Times New Roman" w:cs="Arial"/>
          <w:color w:val="000000"/>
          <w:lang w:eastAsia="bg-BG"/>
        </w:rPr>
      </w:pPr>
      <w:r w:rsidRPr="00E63157">
        <w:rPr>
          <w:rFonts w:eastAsia="Times New Roman" w:cs="Arial"/>
          <w:color w:val="000000"/>
          <w:lang w:eastAsia="bg-BG"/>
        </w:rPr>
        <w:t>Посредством инхибиране на вазодилатиращия ефект на бъбречните простагландини, НСПВС могат да предизвикат функционална бъбречна недостатъчност чрез намаляване на гломерулната филтрация. Този нежелан ефект е дозо-зависим. В началото на лечението или след увеличаване на дозата се препоръчва внимателно мониториране на диурезата и бъбречната функция при пациенти със следните рискови фактори:</w:t>
      </w:r>
    </w:p>
    <w:p w14:paraId="20404783" w14:textId="77777777" w:rsidR="00E63157" w:rsidRPr="00E63157" w:rsidRDefault="00E63157" w:rsidP="00E63157">
      <w:pPr>
        <w:spacing w:line="240" w:lineRule="auto"/>
        <w:rPr>
          <w:rFonts w:eastAsia="Times New Roman" w:cs="Arial"/>
        </w:rPr>
      </w:pPr>
    </w:p>
    <w:p w14:paraId="57243375" w14:textId="77777777" w:rsidR="00E63157" w:rsidRPr="00E63157" w:rsidRDefault="00E63157" w:rsidP="00E63157">
      <w:pPr>
        <w:pStyle w:val="ListParagraph"/>
        <w:numPr>
          <w:ilvl w:val="0"/>
          <w:numId w:val="37"/>
        </w:numPr>
        <w:spacing w:line="240" w:lineRule="auto"/>
        <w:rPr>
          <w:rFonts w:eastAsia="Times New Roman" w:cs="Arial"/>
          <w:color w:val="000000"/>
          <w:lang w:eastAsia="bg-BG"/>
        </w:rPr>
      </w:pPr>
      <w:r w:rsidRPr="00E63157">
        <w:rPr>
          <w:rFonts w:eastAsia="Times New Roman" w:cs="Arial"/>
          <w:color w:val="000000"/>
          <w:lang w:eastAsia="bg-BG"/>
        </w:rPr>
        <w:t>Пациенти в старческа възраст</w:t>
      </w:r>
    </w:p>
    <w:p w14:paraId="7A1FB3B9" w14:textId="77777777" w:rsidR="00E63157" w:rsidRPr="00E63157" w:rsidRDefault="00E63157" w:rsidP="00E63157">
      <w:pPr>
        <w:pStyle w:val="ListParagraph"/>
        <w:numPr>
          <w:ilvl w:val="0"/>
          <w:numId w:val="37"/>
        </w:numPr>
        <w:spacing w:line="240" w:lineRule="auto"/>
        <w:rPr>
          <w:rFonts w:eastAsia="Times New Roman" w:cs="Arial"/>
          <w:color w:val="000000"/>
          <w:lang w:eastAsia="bg-BG"/>
        </w:rPr>
      </w:pPr>
      <w:r w:rsidRPr="00E63157">
        <w:rPr>
          <w:rFonts w:eastAsia="Times New Roman" w:cs="Arial"/>
          <w:color w:val="000000"/>
          <w:lang w:eastAsia="bg-BG"/>
        </w:rPr>
        <w:t xml:space="preserve">Съпътстващо лечение с лекарства, като АСЕ инхибитори, ангиотензин </w:t>
      </w:r>
      <w:r w:rsidRPr="00E63157">
        <w:rPr>
          <w:rFonts w:eastAsia="Times New Roman" w:cs="Arial"/>
          <w:color w:val="000000"/>
          <w:lang w:val="en-US"/>
        </w:rPr>
        <w:t>II</w:t>
      </w:r>
      <w:r w:rsidRPr="00E63157">
        <w:rPr>
          <w:rFonts w:eastAsia="Times New Roman" w:cs="Arial"/>
          <w:color w:val="000000"/>
          <w:lang w:eastAsia="bg-BG"/>
        </w:rPr>
        <w:t xml:space="preserve"> антагонисти, сартани, диуретици (вж. точка 4.4. Взаимодействие с други лекарствени продукти и други форми на взаимодействие)</w:t>
      </w:r>
    </w:p>
    <w:p w14:paraId="1A6761B8" w14:textId="77777777" w:rsidR="00E63157" w:rsidRPr="00E63157" w:rsidRDefault="00E63157" w:rsidP="00E63157">
      <w:pPr>
        <w:pStyle w:val="ListParagraph"/>
        <w:numPr>
          <w:ilvl w:val="0"/>
          <w:numId w:val="37"/>
        </w:numPr>
        <w:spacing w:line="240" w:lineRule="auto"/>
        <w:rPr>
          <w:rFonts w:eastAsia="Times New Roman" w:cs="Arial"/>
          <w:color w:val="000000"/>
          <w:lang w:eastAsia="bg-BG"/>
        </w:rPr>
      </w:pPr>
      <w:r w:rsidRPr="00E63157">
        <w:rPr>
          <w:rFonts w:eastAsia="Times New Roman" w:cs="Arial"/>
          <w:color w:val="000000"/>
          <w:lang w:eastAsia="bg-BG"/>
        </w:rPr>
        <w:t>Хиповолемия (с различен произход)</w:t>
      </w:r>
    </w:p>
    <w:p w14:paraId="22DEAC56" w14:textId="77777777" w:rsidR="00E63157" w:rsidRPr="00E63157" w:rsidRDefault="00E63157" w:rsidP="00E63157">
      <w:pPr>
        <w:pStyle w:val="ListParagraph"/>
        <w:numPr>
          <w:ilvl w:val="0"/>
          <w:numId w:val="37"/>
        </w:numPr>
        <w:spacing w:line="240" w:lineRule="auto"/>
        <w:rPr>
          <w:rFonts w:eastAsia="Times New Roman" w:cs="Arial"/>
          <w:color w:val="000000"/>
          <w:lang w:eastAsia="bg-BG"/>
        </w:rPr>
      </w:pPr>
      <w:r w:rsidRPr="00E63157">
        <w:rPr>
          <w:rFonts w:eastAsia="Times New Roman" w:cs="Arial"/>
          <w:color w:val="000000"/>
          <w:lang w:eastAsia="bg-BG"/>
        </w:rPr>
        <w:t>Застойна сърдечна дейност</w:t>
      </w:r>
    </w:p>
    <w:p w14:paraId="6CDFBE35" w14:textId="77777777" w:rsidR="00E63157" w:rsidRPr="00E63157" w:rsidRDefault="00E63157" w:rsidP="00E63157">
      <w:pPr>
        <w:pStyle w:val="ListParagraph"/>
        <w:numPr>
          <w:ilvl w:val="0"/>
          <w:numId w:val="37"/>
        </w:numPr>
        <w:spacing w:line="240" w:lineRule="auto"/>
        <w:rPr>
          <w:rFonts w:eastAsia="Times New Roman" w:cs="Arial"/>
          <w:color w:val="000000"/>
          <w:lang w:eastAsia="bg-BG"/>
        </w:rPr>
      </w:pPr>
      <w:r w:rsidRPr="00E63157">
        <w:rPr>
          <w:rFonts w:eastAsia="Times New Roman" w:cs="Arial"/>
          <w:color w:val="000000"/>
          <w:lang w:eastAsia="bg-BG"/>
        </w:rPr>
        <w:t>Бъбречна недостатъчност</w:t>
      </w:r>
    </w:p>
    <w:p w14:paraId="3E0DCD2D" w14:textId="77777777" w:rsidR="00E63157" w:rsidRPr="00E63157" w:rsidRDefault="00E63157" w:rsidP="00E63157">
      <w:pPr>
        <w:pStyle w:val="ListParagraph"/>
        <w:numPr>
          <w:ilvl w:val="0"/>
          <w:numId w:val="37"/>
        </w:numPr>
        <w:spacing w:line="240" w:lineRule="auto"/>
        <w:rPr>
          <w:rFonts w:eastAsia="Times New Roman" w:cs="Arial"/>
          <w:color w:val="000000"/>
          <w:lang w:eastAsia="bg-BG"/>
        </w:rPr>
      </w:pPr>
      <w:r w:rsidRPr="00E63157">
        <w:rPr>
          <w:rFonts w:eastAsia="Times New Roman" w:cs="Arial"/>
          <w:color w:val="000000"/>
          <w:lang w:eastAsia="bg-BG"/>
        </w:rPr>
        <w:t>Нефротичен синдром</w:t>
      </w:r>
    </w:p>
    <w:p w14:paraId="47D970E4" w14:textId="77777777" w:rsidR="00E63157" w:rsidRPr="00E63157" w:rsidRDefault="00E63157" w:rsidP="00E63157">
      <w:pPr>
        <w:pStyle w:val="ListParagraph"/>
        <w:numPr>
          <w:ilvl w:val="0"/>
          <w:numId w:val="37"/>
        </w:numPr>
        <w:spacing w:line="240" w:lineRule="auto"/>
        <w:rPr>
          <w:rFonts w:eastAsia="Times New Roman" w:cs="Arial"/>
          <w:color w:val="000000"/>
          <w:lang w:eastAsia="bg-BG"/>
        </w:rPr>
      </w:pPr>
      <w:r w:rsidRPr="00E63157">
        <w:rPr>
          <w:rFonts w:eastAsia="Times New Roman" w:cs="Arial"/>
          <w:color w:val="000000"/>
          <w:lang w:eastAsia="bg-BG"/>
        </w:rPr>
        <w:t>Лупусна нефропатия</w:t>
      </w:r>
    </w:p>
    <w:p w14:paraId="62350A66" w14:textId="51912230" w:rsidR="00E63157" w:rsidRPr="00E63157" w:rsidRDefault="00E63157" w:rsidP="00E63157">
      <w:pPr>
        <w:pStyle w:val="ListParagraph"/>
        <w:numPr>
          <w:ilvl w:val="0"/>
          <w:numId w:val="37"/>
        </w:numPr>
        <w:spacing w:line="240" w:lineRule="auto"/>
        <w:rPr>
          <w:rFonts w:eastAsia="Times New Roman" w:cs="Arial"/>
          <w:color w:val="000000"/>
          <w:lang w:eastAsia="bg-BG"/>
        </w:rPr>
      </w:pPr>
      <w:r w:rsidRPr="00E63157">
        <w:rPr>
          <w:rFonts w:eastAsia="Times New Roman" w:cs="Arial"/>
          <w:color w:val="000000"/>
          <w:lang w:eastAsia="bg-BG"/>
        </w:rPr>
        <w:t xml:space="preserve">Тежка чернодробна дисфункция (серумен албумин &lt;25 </w:t>
      </w:r>
      <w:r w:rsidRPr="00E63157">
        <w:rPr>
          <w:rFonts w:eastAsia="Times New Roman" w:cs="Arial"/>
          <w:color w:val="000000"/>
          <w:lang w:val="en-US"/>
        </w:rPr>
        <w:t>g</w:t>
      </w:r>
      <w:r w:rsidRPr="00E63157">
        <w:rPr>
          <w:rFonts w:eastAsia="Times New Roman" w:cs="Arial"/>
          <w:color w:val="000000"/>
          <w:lang w:val="ru-RU"/>
        </w:rPr>
        <w:t xml:space="preserve">/1 </w:t>
      </w:r>
      <w:r w:rsidRPr="00E63157">
        <w:rPr>
          <w:rFonts w:eastAsia="Times New Roman" w:cs="Arial"/>
          <w:color w:val="000000"/>
          <w:lang w:eastAsia="bg-BG"/>
        </w:rPr>
        <w:t xml:space="preserve">или </w:t>
      </w:r>
      <w:r w:rsidRPr="00E63157">
        <w:rPr>
          <w:rFonts w:eastAsia="Times New Roman" w:cs="Arial"/>
          <w:color w:val="000000"/>
          <w:lang w:val="en-US"/>
        </w:rPr>
        <w:t>Child</w:t>
      </w:r>
      <w:r w:rsidRPr="00E63157">
        <w:rPr>
          <w:rFonts w:eastAsia="Times New Roman" w:cs="Arial"/>
          <w:color w:val="000000"/>
          <w:lang w:val="ru-RU"/>
        </w:rPr>
        <w:t>-</w:t>
      </w:r>
      <w:r w:rsidRPr="00E63157">
        <w:rPr>
          <w:rFonts w:eastAsia="Times New Roman" w:cs="Arial"/>
          <w:color w:val="000000"/>
          <w:lang w:val="en-US"/>
        </w:rPr>
        <w:t>Pugh</w:t>
      </w:r>
      <w:r w:rsidRPr="00E63157">
        <w:rPr>
          <w:rFonts w:eastAsia="Times New Roman" w:cs="Arial"/>
          <w:color w:val="000000"/>
          <w:lang w:val="ru-RU"/>
        </w:rPr>
        <w:t xml:space="preserve"> </w:t>
      </w:r>
      <w:r w:rsidRPr="00E63157">
        <w:rPr>
          <w:rFonts w:eastAsia="Times New Roman" w:cs="Arial"/>
          <w:color w:val="000000"/>
          <w:lang w:val="en-US"/>
        </w:rPr>
        <w:t>score</w:t>
      </w:r>
      <w:r w:rsidRPr="00E63157">
        <w:rPr>
          <w:rFonts w:eastAsia="Times New Roman" w:cs="Arial"/>
          <w:color w:val="000000"/>
          <w:lang w:val="ru-RU"/>
        </w:rPr>
        <w:t xml:space="preserve"> </w:t>
      </w:r>
      <w:r w:rsidRPr="00E63157">
        <w:rPr>
          <w:rFonts w:eastAsia="Times New Roman" w:cs="Arial"/>
          <w:color w:val="000000"/>
          <w:lang w:eastAsia="bg-BG"/>
        </w:rPr>
        <w:t>&gt;10)</w:t>
      </w:r>
    </w:p>
    <w:p w14:paraId="03BEED4C" w14:textId="77777777" w:rsidR="00E63157" w:rsidRPr="00E63157" w:rsidRDefault="00E63157" w:rsidP="00E63157">
      <w:pPr>
        <w:spacing w:line="240" w:lineRule="auto"/>
        <w:rPr>
          <w:rFonts w:eastAsia="Times New Roman" w:cs="Arial"/>
          <w:color w:val="000000"/>
          <w:lang w:eastAsia="bg-BG"/>
        </w:rPr>
      </w:pPr>
    </w:p>
    <w:p w14:paraId="27DCDA2D" w14:textId="5D0429A8" w:rsidR="00E63157" w:rsidRPr="00E63157" w:rsidRDefault="00E63157" w:rsidP="00E63157">
      <w:pPr>
        <w:spacing w:line="240" w:lineRule="auto"/>
        <w:rPr>
          <w:rFonts w:eastAsia="Times New Roman" w:cs="Arial"/>
        </w:rPr>
      </w:pPr>
      <w:r w:rsidRPr="00E63157">
        <w:rPr>
          <w:rFonts w:eastAsia="Times New Roman" w:cs="Arial"/>
          <w:color w:val="000000"/>
          <w:lang w:eastAsia="bg-BG"/>
        </w:rPr>
        <w:t>В редки случаи НСПВС могат да причинят интерстициален нефрит, гломерулонефрит, бъбречна медуларна некроза или нефротичен синдром.</w:t>
      </w:r>
    </w:p>
    <w:p w14:paraId="76E599AB" w14:textId="77777777" w:rsidR="00E63157" w:rsidRPr="00E63157" w:rsidRDefault="00E63157" w:rsidP="00E63157">
      <w:pPr>
        <w:rPr>
          <w:rFonts w:eastAsia="Times New Roman" w:cs="Arial"/>
          <w:color w:val="000000"/>
          <w:lang w:eastAsia="bg-BG"/>
        </w:rPr>
      </w:pPr>
    </w:p>
    <w:p w14:paraId="39967EF0" w14:textId="61453D6A" w:rsidR="00E63157" w:rsidRPr="00E63157" w:rsidRDefault="00E63157" w:rsidP="00E63157">
      <w:pPr>
        <w:rPr>
          <w:rFonts w:eastAsia="Times New Roman" w:cs="Arial"/>
          <w:color w:val="000000"/>
          <w:lang w:val="ru-RU"/>
        </w:rPr>
      </w:pPr>
      <w:r w:rsidRPr="00E63157">
        <w:rPr>
          <w:rFonts w:eastAsia="Times New Roman" w:cs="Arial"/>
          <w:color w:val="000000"/>
          <w:lang w:eastAsia="bg-BG"/>
        </w:rPr>
        <w:t xml:space="preserve">Дозата мелоксикам при пациенти с краен стадий на бъбречна недостатъчност, подложени на хемодиализа, не трябва да надвишава 7,5 </w:t>
      </w:r>
      <w:r w:rsidRPr="00E63157">
        <w:rPr>
          <w:rFonts w:eastAsia="Times New Roman" w:cs="Arial"/>
          <w:color w:val="000000"/>
          <w:lang w:val="en-US"/>
        </w:rPr>
        <w:t>mg</w:t>
      </w:r>
      <w:r w:rsidRPr="00E63157">
        <w:rPr>
          <w:rFonts w:eastAsia="Times New Roman" w:cs="Arial"/>
          <w:color w:val="000000"/>
          <w:lang w:val="ru-RU"/>
        </w:rPr>
        <w:t xml:space="preserve">. </w:t>
      </w:r>
      <w:r w:rsidRPr="00E63157">
        <w:rPr>
          <w:rFonts w:eastAsia="Times New Roman" w:cs="Arial"/>
          <w:color w:val="000000"/>
          <w:lang w:eastAsia="bg-BG"/>
        </w:rPr>
        <w:t xml:space="preserve">При пациенти с леко до средно бъбречно нарушение не се налага намаляване на дозата (напр. пациенти с креатининов клирънс по-висок от 25 </w:t>
      </w:r>
      <w:r w:rsidRPr="00E63157">
        <w:rPr>
          <w:rFonts w:eastAsia="Times New Roman" w:cs="Arial"/>
          <w:color w:val="000000"/>
          <w:lang w:val="en-US"/>
        </w:rPr>
        <w:t>ml</w:t>
      </w:r>
      <w:r w:rsidRPr="00E63157">
        <w:rPr>
          <w:rFonts w:eastAsia="Times New Roman" w:cs="Arial"/>
          <w:color w:val="000000"/>
          <w:lang w:val="ru-RU"/>
        </w:rPr>
        <w:t>/</w:t>
      </w:r>
      <w:r w:rsidRPr="00E63157">
        <w:rPr>
          <w:rFonts w:eastAsia="Times New Roman" w:cs="Arial"/>
          <w:color w:val="000000"/>
          <w:lang w:val="en-US"/>
        </w:rPr>
        <w:t>min</w:t>
      </w:r>
      <w:r w:rsidRPr="00E63157">
        <w:rPr>
          <w:rFonts w:eastAsia="Times New Roman" w:cs="Arial"/>
          <w:color w:val="000000"/>
          <w:lang w:val="ru-RU"/>
        </w:rPr>
        <w:t>).</w:t>
      </w:r>
    </w:p>
    <w:p w14:paraId="3851F4EF" w14:textId="3B2E3E1B" w:rsidR="00E63157" w:rsidRPr="00E63157" w:rsidRDefault="00E63157" w:rsidP="00E63157">
      <w:pPr>
        <w:rPr>
          <w:rFonts w:eastAsia="Times New Roman" w:cs="Arial"/>
          <w:color w:val="000000"/>
          <w:lang w:val="ru-RU"/>
        </w:rPr>
      </w:pPr>
    </w:p>
    <w:p w14:paraId="04F99879" w14:textId="77777777" w:rsidR="00E63157" w:rsidRPr="00E63157" w:rsidRDefault="00E63157" w:rsidP="00E63157">
      <w:pPr>
        <w:spacing w:line="240" w:lineRule="auto"/>
        <w:rPr>
          <w:rFonts w:eastAsia="Times New Roman" w:cs="Arial"/>
        </w:rPr>
      </w:pPr>
      <w:r w:rsidRPr="00E63157">
        <w:rPr>
          <w:rFonts w:eastAsia="Times New Roman" w:cs="Arial"/>
          <w:i/>
          <w:iCs/>
          <w:color w:val="000000"/>
          <w:lang w:eastAsia="bg-BG"/>
        </w:rPr>
        <w:t>Задържане на натрий, калий и вода.</w:t>
      </w:r>
    </w:p>
    <w:p w14:paraId="765B2003"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При приложение на НСПВС е възможно възникване на задръжка на натрий, калий и вода, както и взаимодействие с натриуретичния ефект на диуретиците. Освен това, може да се появи понижаване на антихипертензивния ефект на антихипертензивните лекарства. При податливи пациенти вероятния резултат е задълбочаване или обостряне на сърдечна недостатъчност, хипертония или едем. За рискови пациенти се препоръчва клинично мониториране (вж. точки 4.2 и 4.3).</w:t>
      </w:r>
    </w:p>
    <w:p w14:paraId="53238B91" w14:textId="77777777" w:rsidR="00E63157" w:rsidRPr="00E63157" w:rsidRDefault="00E63157" w:rsidP="00E63157">
      <w:pPr>
        <w:spacing w:line="240" w:lineRule="auto"/>
        <w:rPr>
          <w:rFonts w:eastAsia="Times New Roman" w:cs="Arial"/>
          <w:i/>
          <w:iCs/>
          <w:color w:val="000000"/>
          <w:lang w:eastAsia="bg-BG"/>
        </w:rPr>
      </w:pPr>
    </w:p>
    <w:p w14:paraId="20E80CED" w14:textId="1EDB038A" w:rsidR="00E63157" w:rsidRPr="00E63157" w:rsidRDefault="00E63157" w:rsidP="00E63157">
      <w:pPr>
        <w:spacing w:line="240" w:lineRule="auto"/>
        <w:rPr>
          <w:rFonts w:eastAsia="Times New Roman" w:cs="Arial"/>
        </w:rPr>
      </w:pPr>
      <w:r w:rsidRPr="00E63157">
        <w:rPr>
          <w:rFonts w:eastAsia="Times New Roman" w:cs="Arial"/>
          <w:i/>
          <w:iCs/>
          <w:color w:val="000000"/>
          <w:lang w:eastAsia="bg-BG"/>
        </w:rPr>
        <w:t>Хиперкалиемия</w:t>
      </w:r>
    </w:p>
    <w:p w14:paraId="0144A111"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Хиперкалиемията може да се благоприятства при болни от диабет или при съпровождаща терапия, водеща до повишени нива на калий (вж. точка 4.5). В такива случаи трябва да се извършва редовно мониториране на нивата на калий.</w:t>
      </w:r>
    </w:p>
    <w:p w14:paraId="330D4349" w14:textId="77777777" w:rsidR="00E63157" w:rsidRPr="00E63157" w:rsidRDefault="00E63157" w:rsidP="00E63157">
      <w:pPr>
        <w:spacing w:line="240" w:lineRule="auto"/>
        <w:rPr>
          <w:rFonts w:eastAsia="Times New Roman" w:cs="Arial"/>
          <w:i/>
          <w:iCs/>
          <w:color w:val="000000"/>
          <w:lang w:eastAsia="bg-BG"/>
        </w:rPr>
      </w:pPr>
    </w:p>
    <w:p w14:paraId="40E3A8CC" w14:textId="44455651" w:rsidR="00E63157" w:rsidRPr="00E63157" w:rsidRDefault="00E63157" w:rsidP="00E63157">
      <w:pPr>
        <w:spacing w:line="240" w:lineRule="auto"/>
        <w:rPr>
          <w:rFonts w:eastAsia="Times New Roman" w:cs="Arial"/>
        </w:rPr>
      </w:pPr>
      <w:r w:rsidRPr="00E63157">
        <w:rPr>
          <w:rFonts w:eastAsia="Times New Roman" w:cs="Arial"/>
          <w:i/>
          <w:iCs/>
          <w:color w:val="000000"/>
          <w:lang w:eastAsia="bg-BG"/>
        </w:rPr>
        <w:t>Други предупреждения и предпазни мерки</w:t>
      </w:r>
    </w:p>
    <w:p w14:paraId="78CF669C"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 xml:space="preserve">Пациенти в старческа възраст, слаби или немощни пациенти, обикновено понасят нежелани лекарствени реакции по-трудно и такива болни трябва да бъдат внимателно наблюдавани. Както и при другите НСПВС, лекарственият продукт трябва да се прилага внимателно при пациенти в напреднала възраст, за които съществува по-голяма вероятност да страдат от нарушения в бъбречната, чернодробна или сърдечна функция. </w:t>
      </w:r>
      <w:r w:rsidRPr="00E63157">
        <w:rPr>
          <w:rFonts w:eastAsia="Times New Roman" w:cs="Arial"/>
          <w:color w:val="000000"/>
          <w:lang w:eastAsia="bg-BG"/>
        </w:rPr>
        <w:lastRenderedPageBreak/>
        <w:t>При пациентите в старческа възраст нежеланите лекарствени реакции на НСПВ могат да бъдат по-чести, особено гастро- интестинално кървене и перфорация, които могат да бъдат фатални (вж.точка 4.2).</w:t>
      </w:r>
    </w:p>
    <w:p w14:paraId="50B411B2" w14:textId="77777777" w:rsidR="00E63157" w:rsidRPr="00E63157" w:rsidRDefault="00E63157" w:rsidP="00E63157">
      <w:pPr>
        <w:spacing w:line="240" w:lineRule="auto"/>
        <w:rPr>
          <w:rFonts w:eastAsia="Times New Roman" w:cs="Arial"/>
          <w:color w:val="000000"/>
          <w:lang w:eastAsia="bg-BG"/>
        </w:rPr>
      </w:pPr>
    </w:p>
    <w:p w14:paraId="47A0656F" w14:textId="15AE09A1" w:rsidR="00E63157" w:rsidRPr="00E63157" w:rsidRDefault="00E63157" w:rsidP="00E63157">
      <w:pPr>
        <w:spacing w:line="240" w:lineRule="auto"/>
        <w:rPr>
          <w:rFonts w:eastAsia="Times New Roman" w:cs="Arial"/>
        </w:rPr>
      </w:pPr>
      <w:r w:rsidRPr="00E63157">
        <w:rPr>
          <w:rFonts w:eastAsia="Times New Roman" w:cs="Arial"/>
          <w:color w:val="000000"/>
          <w:lang w:eastAsia="bg-BG"/>
        </w:rPr>
        <w:t>Мелоксикам, както и другите НСПВС, може да маскира симптомите на вече съществуващо инфекциозно заболяване.</w:t>
      </w:r>
    </w:p>
    <w:p w14:paraId="38D6768F" w14:textId="77777777" w:rsidR="00E63157" w:rsidRPr="00E63157" w:rsidRDefault="00E63157" w:rsidP="00E63157">
      <w:pPr>
        <w:spacing w:line="240" w:lineRule="auto"/>
        <w:rPr>
          <w:rFonts w:eastAsia="Times New Roman" w:cs="Arial"/>
          <w:color w:val="000000"/>
          <w:lang w:eastAsia="bg-BG"/>
        </w:rPr>
      </w:pPr>
    </w:p>
    <w:p w14:paraId="6F60296A" w14:textId="04DD4CC3" w:rsidR="00E63157" w:rsidRPr="00E63157" w:rsidRDefault="00E63157" w:rsidP="00E63157">
      <w:pPr>
        <w:spacing w:line="240" w:lineRule="auto"/>
        <w:rPr>
          <w:rFonts w:eastAsia="Times New Roman" w:cs="Arial"/>
        </w:rPr>
      </w:pPr>
      <w:r w:rsidRPr="00E63157">
        <w:rPr>
          <w:rFonts w:eastAsia="Times New Roman" w:cs="Arial"/>
          <w:color w:val="000000"/>
          <w:lang w:eastAsia="bg-BG"/>
        </w:rPr>
        <w:t>Употребата на мелоксикам, може да наруши женския фертилитет и не се препоръчва при жени които правят опити да заченат. По тази причина при жените, които имат затруднения да забременеят или провеждат изследвания за стерилитет трябва да се прекрати употребата на мелоксикам (вж. точка 4.6).</w:t>
      </w:r>
    </w:p>
    <w:p w14:paraId="5445626A" w14:textId="77777777" w:rsidR="00E63157" w:rsidRPr="00E63157" w:rsidRDefault="00E63157" w:rsidP="00E63157">
      <w:pPr>
        <w:spacing w:line="240" w:lineRule="auto"/>
        <w:rPr>
          <w:rFonts w:eastAsia="Times New Roman" w:cs="Arial"/>
          <w:color w:val="000000"/>
          <w:lang w:val="en-US"/>
        </w:rPr>
      </w:pPr>
    </w:p>
    <w:p w14:paraId="5721BC65" w14:textId="2717B9F3" w:rsidR="00E63157" w:rsidRPr="00E63157" w:rsidRDefault="00E63157" w:rsidP="00E63157">
      <w:pPr>
        <w:spacing w:line="240" w:lineRule="auto"/>
        <w:rPr>
          <w:rFonts w:eastAsia="Times New Roman" w:cs="Arial"/>
        </w:rPr>
      </w:pPr>
      <w:proofErr w:type="spellStart"/>
      <w:r w:rsidRPr="00E63157">
        <w:rPr>
          <w:rFonts w:eastAsia="Times New Roman" w:cs="Arial"/>
          <w:color w:val="000000"/>
          <w:lang w:val="en-US"/>
        </w:rPr>
        <w:t>Movalis</w:t>
      </w:r>
      <w:proofErr w:type="spellEnd"/>
      <w:r w:rsidRPr="00E63157">
        <w:rPr>
          <w:rFonts w:eastAsia="Times New Roman" w:cs="Arial"/>
          <w:color w:val="000000"/>
        </w:rPr>
        <w:t xml:space="preserve"> </w:t>
      </w:r>
      <w:r w:rsidRPr="00E63157">
        <w:rPr>
          <w:rFonts w:eastAsia="Times New Roman" w:cs="Arial"/>
          <w:color w:val="000000"/>
          <w:lang w:eastAsia="bg-BG"/>
        </w:rPr>
        <w:t>таблетки 7</w:t>
      </w:r>
      <w:proofErr w:type="gramStart"/>
      <w:r w:rsidRPr="00E63157">
        <w:rPr>
          <w:rFonts w:eastAsia="Times New Roman" w:cs="Arial"/>
          <w:color w:val="000000"/>
          <w:lang w:eastAsia="bg-BG"/>
        </w:rPr>
        <w:t>,5</w:t>
      </w:r>
      <w:proofErr w:type="gramEnd"/>
      <w:r w:rsidRPr="00E63157">
        <w:rPr>
          <w:rFonts w:eastAsia="Times New Roman" w:cs="Arial"/>
          <w:color w:val="000000"/>
          <w:lang w:eastAsia="bg-BG"/>
        </w:rPr>
        <w:t xml:space="preserve"> </w:t>
      </w:r>
      <w:r w:rsidRPr="00E63157">
        <w:rPr>
          <w:rFonts w:eastAsia="Times New Roman" w:cs="Arial"/>
          <w:color w:val="000000"/>
          <w:lang w:val="en-US"/>
        </w:rPr>
        <w:t>mg</w:t>
      </w:r>
      <w:r w:rsidRPr="00E63157">
        <w:rPr>
          <w:rFonts w:eastAsia="Times New Roman" w:cs="Arial"/>
          <w:color w:val="000000"/>
        </w:rPr>
        <w:t xml:space="preserve"> </w:t>
      </w:r>
      <w:r w:rsidRPr="00E63157">
        <w:rPr>
          <w:rFonts w:eastAsia="Times New Roman" w:cs="Arial"/>
          <w:color w:val="000000"/>
          <w:lang w:eastAsia="bg-BG"/>
        </w:rPr>
        <w:t xml:space="preserve">съдържат лактоза. Пациентите с редките наследствени проблеми като галактозна непоносимост, </w:t>
      </w:r>
      <w:r w:rsidRPr="00E63157">
        <w:rPr>
          <w:rFonts w:eastAsia="Times New Roman" w:cs="Arial"/>
          <w:color w:val="000000"/>
          <w:lang w:val="en-US"/>
        </w:rPr>
        <w:t>Lapp</w:t>
      </w:r>
      <w:r w:rsidRPr="00E63157">
        <w:rPr>
          <w:rFonts w:eastAsia="Times New Roman" w:cs="Arial"/>
          <w:color w:val="000000"/>
          <w:lang w:eastAsia="bg-BG"/>
        </w:rPr>
        <w:t>-лактазна недостатъчност или глюкозно-галактозен синдром на малабсорбция не трябва да приемат този лекарствен продукт.</w:t>
      </w:r>
    </w:p>
    <w:p w14:paraId="78115E02" w14:textId="77777777" w:rsidR="00E63157" w:rsidRPr="00E63157" w:rsidRDefault="00E63157" w:rsidP="00E63157"/>
    <w:p w14:paraId="070777EC" w14:textId="3975B32B" w:rsidR="00DF4C8E" w:rsidRDefault="002C50EE" w:rsidP="00F44498">
      <w:pPr>
        <w:pStyle w:val="Heading2"/>
      </w:pPr>
      <w:r>
        <w:t>4.5. Взаимодействие с други лекарствени продукти и други форми на взаимодействие</w:t>
      </w:r>
    </w:p>
    <w:p w14:paraId="7367438C" w14:textId="5B9751E9" w:rsidR="00E63157" w:rsidRDefault="00E63157" w:rsidP="00E63157"/>
    <w:p w14:paraId="67B2F0C2"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Изпитвания за взаимодействия са провеждани само при възрастни.</w:t>
      </w:r>
    </w:p>
    <w:p w14:paraId="4F83D04B" w14:textId="77777777" w:rsidR="00E63157" w:rsidRPr="00E63157" w:rsidRDefault="00E63157" w:rsidP="00E63157">
      <w:pPr>
        <w:spacing w:line="240" w:lineRule="auto"/>
        <w:rPr>
          <w:rFonts w:eastAsia="Times New Roman" w:cs="Arial"/>
          <w:color w:val="000000"/>
          <w:u w:val="single"/>
          <w:lang w:eastAsia="bg-BG"/>
        </w:rPr>
      </w:pPr>
    </w:p>
    <w:p w14:paraId="56CB3E2F" w14:textId="3F62E1F8" w:rsidR="00E63157" w:rsidRPr="00E63157" w:rsidRDefault="00E63157" w:rsidP="00E63157">
      <w:pPr>
        <w:spacing w:line="240" w:lineRule="auto"/>
        <w:rPr>
          <w:rFonts w:eastAsia="Times New Roman" w:cs="Arial"/>
        </w:rPr>
      </w:pPr>
      <w:r w:rsidRPr="00E63157">
        <w:rPr>
          <w:rFonts w:eastAsia="Times New Roman" w:cs="Arial"/>
          <w:color w:val="000000"/>
          <w:u w:val="single"/>
          <w:lang w:eastAsia="bg-BG"/>
        </w:rPr>
        <w:t>Фрамкодинамични взаимодействия</w:t>
      </w:r>
    </w:p>
    <w:p w14:paraId="756B471C" w14:textId="77777777" w:rsidR="00E63157" w:rsidRPr="00E63157" w:rsidRDefault="00E63157" w:rsidP="00E63157">
      <w:pPr>
        <w:spacing w:line="240" w:lineRule="auto"/>
        <w:rPr>
          <w:rFonts w:eastAsia="Times New Roman" w:cs="Arial"/>
          <w:i/>
          <w:iCs/>
          <w:color w:val="000000"/>
          <w:lang w:eastAsia="bg-BG"/>
        </w:rPr>
      </w:pPr>
    </w:p>
    <w:p w14:paraId="4E1D66A4" w14:textId="0EDAA7FD" w:rsidR="00E63157" w:rsidRPr="00E63157" w:rsidRDefault="00E63157" w:rsidP="00E63157">
      <w:pPr>
        <w:spacing w:line="240" w:lineRule="auto"/>
        <w:rPr>
          <w:rFonts w:eastAsia="Times New Roman" w:cs="Arial"/>
        </w:rPr>
      </w:pPr>
      <w:r w:rsidRPr="00E63157">
        <w:rPr>
          <w:rFonts w:eastAsia="Times New Roman" w:cs="Arial"/>
          <w:i/>
          <w:iCs/>
          <w:color w:val="000000"/>
          <w:lang w:eastAsia="bg-BG"/>
        </w:rPr>
        <w:t xml:space="preserve">Други нестероидни противовъзпалителни средства (НСПВС) и ацетилсалицилова киселина &gt; </w:t>
      </w:r>
      <w:r w:rsidRPr="00E63157">
        <w:rPr>
          <w:rFonts w:eastAsia="Times New Roman" w:cs="Arial"/>
          <w:color w:val="000000"/>
          <w:lang w:val="ru-RU"/>
        </w:rPr>
        <w:t xml:space="preserve">3 </w:t>
      </w:r>
      <w:r w:rsidRPr="00E63157">
        <w:rPr>
          <w:rFonts w:eastAsia="Times New Roman" w:cs="Arial"/>
          <w:color w:val="000000"/>
          <w:lang w:val="en-US"/>
        </w:rPr>
        <w:t>g</w:t>
      </w:r>
      <w:r w:rsidRPr="00E63157">
        <w:rPr>
          <w:rFonts w:eastAsia="Times New Roman" w:cs="Arial"/>
          <w:color w:val="000000"/>
          <w:lang w:val="ru-RU"/>
        </w:rPr>
        <w:t>/</w:t>
      </w:r>
      <w:r w:rsidRPr="00E63157">
        <w:rPr>
          <w:rFonts w:eastAsia="Times New Roman" w:cs="Arial"/>
          <w:color w:val="000000"/>
          <w:lang w:val="en-US"/>
        </w:rPr>
        <w:t>d</w:t>
      </w:r>
      <w:r w:rsidRPr="00E63157">
        <w:rPr>
          <w:rFonts w:eastAsia="Times New Roman" w:cs="Arial"/>
          <w:color w:val="000000"/>
          <w:lang w:val="ru-RU"/>
        </w:rPr>
        <w:t>:</w:t>
      </w:r>
    </w:p>
    <w:p w14:paraId="58F78C0D"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 xml:space="preserve">едновременното прилагане (вж. точка 4.4) с други нестероидни противовъзпалителни средства, включително ацетилсалицилова киселина, прилагана в дози против възпаление ((≥ 1 </w:t>
      </w:r>
      <w:r w:rsidRPr="00E63157">
        <w:rPr>
          <w:rFonts w:eastAsia="Times New Roman" w:cs="Arial"/>
          <w:color w:val="000000"/>
          <w:lang w:val="en-US"/>
        </w:rPr>
        <w:t>g</w:t>
      </w:r>
      <w:r w:rsidRPr="00E63157">
        <w:rPr>
          <w:rFonts w:eastAsia="Times New Roman" w:cs="Arial"/>
          <w:color w:val="000000"/>
          <w:lang w:val="ru-RU"/>
        </w:rPr>
        <w:t xml:space="preserve"> </w:t>
      </w:r>
      <w:r w:rsidRPr="00E63157">
        <w:rPr>
          <w:rFonts w:eastAsia="Times New Roman" w:cs="Arial"/>
          <w:color w:val="000000"/>
          <w:lang w:eastAsia="bg-BG"/>
        </w:rPr>
        <w:t xml:space="preserve">като еднократен прием или ≥ </w:t>
      </w:r>
      <w:r w:rsidRPr="00E63157">
        <w:rPr>
          <w:rFonts w:eastAsia="Times New Roman" w:cs="Arial"/>
          <w:color w:val="000000"/>
          <w:lang w:val="ru-RU"/>
        </w:rPr>
        <w:t>3</w:t>
      </w:r>
      <w:r w:rsidRPr="00E63157">
        <w:rPr>
          <w:rFonts w:eastAsia="Times New Roman" w:cs="Arial"/>
          <w:color w:val="000000"/>
          <w:lang w:val="en-US"/>
        </w:rPr>
        <w:t>g</w:t>
      </w:r>
      <w:r w:rsidRPr="00E63157">
        <w:rPr>
          <w:rFonts w:eastAsia="Times New Roman" w:cs="Arial"/>
          <w:color w:val="000000"/>
          <w:lang w:val="ru-RU"/>
        </w:rPr>
        <w:t xml:space="preserve">, </w:t>
      </w:r>
      <w:r w:rsidRPr="00E63157">
        <w:rPr>
          <w:rFonts w:eastAsia="Times New Roman" w:cs="Arial"/>
          <w:color w:val="000000"/>
          <w:lang w:eastAsia="bg-BG"/>
        </w:rPr>
        <w:t>като обща дневна доза) не се препоръчва.</w:t>
      </w:r>
    </w:p>
    <w:p w14:paraId="2A825924" w14:textId="77777777" w:rsidR="00E63157" w:rsidRPr="00E63157" w:rsidRDefault="00E63157" w:rsidP="00E63157">
      <w:pPr>
        <w:spacing w:line="240" w:lineRule="auto"/>
        <w:rPr>
          <w:rFonts w:eastAsia="Times New Roman" w:cs="Arial"/>
          <w:i/>
          <w:iCs/>
          <w:color w:val="000000"/>
          <w:lang w:eastAsia="bg-BG"/>
        </w:rPr>
      </w:pPr>
    </w:p>
    <w:p w14:paraId="2BC4ACD6" w14:textId="075D89F6" w:rsidR="00E63157" w:rsidRPr="00E63157" w:rsidRDefault="00E63157" w:rsidP="00E63157">
      <w:pPr>
        <w:spacing w:line="240" w:lineRule="auto"/>
        <w:rPr>
          <w:rFonts w:eastAsia="Times New Roman" w:cs="Arial"/>
        </w:rPr>
      </w:pPr>
      <w:r w:rsidRPr="00E63157">
        <w:rPr>
          <w:rFonts w:eastAsia="Times New Roman" w:cs="Arial"/>
          <w:i/>
          <w:iCs/>
          <w:color w:val="000000"/>
          <w:lang w:eastAsia="bg-BG"/>
        </w:rPr>
        <w:t>Кортикостероиди( напр. глюкокортикоиди):</w:t>
      </w:r>
    </w:p>
    <w:p w14:paraId="3327469D"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Едновременната употреба с кортикостероиди изисква внимание поради повишен риск от кървене или гастроинтестинална язва.</w:t>
      </w:r>
    </w:p>
    <w:p w14:paraId="59B17189" w14:textId="77777777" w:rsidR="00E63157" w:rsidRPr="00E63157" w:rsidRDefault="00E63157" w:rsidP="00E63157">
      <w:pPr>
        <w:rPr>
          <w:rFonts w:eastAsia="Times New Roman" w:cs="Arial"/>
          <w:i/>
          <w:iCs/>
          <w:color w:val="000000"/>
          <w:lang w:eastAsia="bg-BG"/>
        </w:rPr>
      </w:pPr>
    </w:p>
    <w:p w14:paraId="4AE3B4FA" w14:textId="77777777" w:rsidR="00E63157" w:rsidRPr="00E63157" w:rsidRDefault="00E63157" w:rsidP="00E63157">
      <w:pPr>
        <w:rPr>
          <w:rFonts w:eastAsia="Times New Roman" w:cs="Arial"/>
        </w:rPr>
      </w:pPr>
      <w:r w:rsidRPr="00E63157">
        <w:rPr>
          <w:rFonts w:eastAsia="Times New Roman" w:cs="Arial"/>
          <w:i/>
          <w:iCs/>
          <w:color w:val="000000"/>
          <w:lang w:eastAsia="bg-BG"/>
        </w:rPr>
        <w:t xml:space="preserve">Антикоагуланти или хепарин в дози прилагани в гериатрията или при терапевтични дози </w:t>
      </w:r>
      <w:r w:rsidRPr="00E63157">
        <w:rPr>
          <w:rFonts w:eastAsia="Times New Roman" w:cs="Arial"/>
          <w:color w:val="000000"/>
          <w:lang w:eastAsia="bg-BG"/>
        </w:rPr>
        <w:t>Съществува повишен риск от кървене, поради потискане на функциите на тромбоцитите и увреждане на лигавицата на стомаха и дванадесетопръстика. НСПВС могат да повишат ефектите на антикоагуланти, като варфарин (вж. точка 4.4). Едновременното приложение на НСПВС с антикоагуланти или в дози, прилагани в гериатрията, или при терапевтични дози не се препоръчва (вж. точка 4.4).</w:t>
      </w:r>
    </w:p>
    <w:p w14:paraId="1CA2A78D"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В оставащите случаи на употреба с хепарин е необходимо внимание, поради повишен риск от кървене. Ако не може да бъде избегнато едновременното предписване на такива лекарствени продукти, е необходимо внимателно мониториране на ефектите на антикоагулантите.</w:t>
      </w:r>
    </w:p>
    <w:p w14:paraId="0B7A48E7" w14:textId="77777777" w:rsidR="00E63157" w:rsidRPr="00E63157" w:rsidRDefault="00E63157" w:rsidP="00E63157">
      <w:pPr>
        <w:spacing w:line="240" w:lineRule="auto"/>
        <w:rPr>
          <w:rFonts w:eastAsia="Times New Roman" w:cs="Arial"/>
          <w:i/>
          <w:iCs/>
          <w:color w:val="000000"/>
          <w:lang w:eastAsia="bg-BG"/>
        </w:rPr>
      </w:pPr>
    </w:p>
    <w:p w14:paraId="27027FB3" w14:textId="53D41D71" w:rsidR="00E63157" w:rsidRPr="00E63157" w:rsidRDefault="00E63157" w:rsidP="00E63157">
      <w:pPr>
        <w:spacing w:line="240" w:lineRule="auto"/>
        <w:rPr>
          <w:rFonts w:eastAsia="Times New Roman" w:cs="Arial"/>
        </w:rPr>
      </w:pPr>
      <w:r w:rsidRPr="00E63157">
        <w:rPr>
          <w:rFonts w:eastAsia="Times New Roman" w:cs="Arial"/>
          <w:i/>
          <w:iCs/>
          <w:color w:val="000000"/>
          <w:lang w:eastAsia="bg-BG"/>
        </w:rPr>
        <w:t>Тромболитици и антитромботични лекарства:</w:t>
      </w:r>
    </w:p>
    <w:p w14:paraId="25E9C7B3"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Повишвн риск от кървене, поради потискане на функциите на тромбоцитите и увреждане на лигавицата на стомаха и дванадесетопръстника.</w:t>
      </w:r>
    </w:p>
    <w:p w14:paraId="036E8A04" w14:textId="77777777" w:rsidR="00E63157" w:rsidRPr="00E63157" w:rsidRDefault="00E63157" w:rsidP="00E63157">
      <w:pPr>
        <w:spacing w:line="240" w:lineRule="auto"/>
        <w:rPr>
          <w:rFonts w:eastAsia="Times New Roman" w:cs="Arial"/>
          <w:i/>
          <w:iCs/>
          <w:color w:val="000000"/>
          <w:lang w:eastAsia="bg-BG"/>
        </w:rPr>
      </w:pPr>
    </w:p>
    <w:p w14:paraId="149EF76B" w14:textId="6D4B7904" w:rsidR="00E63157" w:rsidRPr="00E63157" w:rsidRDefault="00E63157" w:rsidP="00E63157">
      <w:pPr>
        <w:spacing w:line="240" w:lineRule="auto"/>
        <w:rPr>
          <w:rFonts w:eastAsia="Times New Roman" w:cs="Arial"/>
        </w:rPr>
      </w:pPr>
      <w:r w:rsidRPr="00E63157">
        <w:rPr>
          <w:rFonts w:eastAsia="Times New Roman" w:cs="Arial"/>
          <w:i/>
          <w:iCs/>
          <w:color w:val="000000"/>
          <w:lang w:eastAsia="bg-BG"/>
        </w:rPr>
        <w:lastRenderedPageBreak/>
        <w:t xml:space="preserve">Селективни инхибитори на обратното захващане на серотонина </w:t>
      </w:r>
      <w:r w:rsidRPr="00E63157">
        <w:rPr>
          <w:rFonts w:eastAsia="Times New Roman" w:cs="Arial"/>
          <w:i/>
          <w:iCs/>
          <w:color w:val="000000"/>
          <w:lang w:val="ru-RU"/>
        </w:rPr>
        <w:t>(</w:t>
      </w:r>
      <w:r w:rsidRPr="00E63157">
        <w:rPr>
          <w:rFonts w:eastAsia="Times New Roman" w:cs="Arial"/>
          <w:i/>
          <w:iCs/>
          <w:color w:val="000000"/>
          <w:lang w:val="en-US"/>
        </w:rPr>
        <w:t>SSRIs</w:t>
      </w:r>
      <w:r w:rsidRPr="00E63157">
        <w:rPr>
          <w:rFonts w:eastAsia="Times New Roman" w:cs="Arial"/>
          <w:i/>
          <w:iCs/>
          <w:color w:val="000000"/>
          <w:lang w:val="ru-RU"/>
        </w:rPr>
        <w:t xml:space="preserve">): </w:t>
      </w:r>
      <w:r w:rsidRPr="00E63157">
        <w:rPr>
          <w:rFonts w:eastAsia="Times New Roman" w:cs="Arial"/>
          <w:color w:val="000000"/>
          <w:lang w:eastAsia="bg-BG"/>
        </w:rPr>
        <w:t>Повишен риск от гастро-интестинално кървене.</w:t>
      </w:r>
    </w:p>
    <w:p w14:paraId="70271D07" w14:textId="77777777" w:rsidR="00E63157" w:rsidRPr="00E63157" w:rsidRDefault="00E63157" w:rsidP="00E63157">
      <w:pPr>
        <w:spacing w:line="240" w:lineRule="auto"/>
        <w:rPr>
          <w:rFonts w:eastAsia="Times New Roman" w:cs="Arial"/>
          <w:i/>
          <w:iCs/>
          <w:color w:val="000000"/>
          <w:lang w:eastAsia="bg-BG"/>
        </w:rPr>
      </w:pPr>
    </w:p>
    <w:p w14:paraId="31869219" w14:textId="33E8418A" w:rsidR="00E63157" w:rsidRPr="00E63157" w:rsidRDefault="00E63157" w:rsidP="00E63157">
      <w:pPr>
        <w:spacing w:line="240" w:lineRule="auto"/>
        <w:rPr>
          <w:rFonts w:eastAsia="Times New Roman" w:cs="Arial"/>
          <w:i/>
          <w:iCs/>
          <w:color w:val="000000"/>
          <w:lang w:eastAsia="bg-BG"/>
        </w:rPr>
      </w:pPr>
      <w:r w:rsidRPr="00E63157">
        <w:rPr>
          <w:rFonts w:eastAsia="Times New Roman" w:cs="Arial"/>
          <w:i/>
          <w:iCs/>
          <w:color w:val="000000"/>
          <w:lang w:eastAsia="bg-BG"/>
        </w:rPr>
        <w:t>Диуретици, АСЕ- инхибитори и ангиотензин-</w:t>
      </w:r>
      <w:r w:rsidRPr="00E63157">
        <w:rPr>
          <w:rFonts w:eastAsia="Times New Roman" w:cs="Arial"/>
          <w:i/>
          <w:iCs/>
          <w:color w:val="000000"/>
          <w:lang w:val="en-US"/>
        </w:rPr>
        <w:t>II</w:t>
      </w:r>
      <w:r w:rsidRPr="00E63157">
        <w:rPr>
          <w:rFonts w:eastAsia="Times New Roman" w:cs="Arial"/>
          <w:i/>
          <w:iCs/>
          <w:color w:val="000000"/>
          <w:lang w:val="ru-RU"/>
        </w:rPr>
        <w:t xml:space="preserve"> </w:t>
      </w:r>
      <w:r w:rsidRPr="00E63157">
        <w:rPr>
          <w:rFonts w:eastAsia="Times New Roman" w:cs="Arial"/>
          <w:i/>
          <w:iCs/>
          <w:color w:val="000000"/>
          <w:lang w:eastAsia="bg-BG"/>
        </w:rPr>
        <w:t>рецепторни антагонисти:</w:t>
      </w:r>
    </w:p>
    <w:p w14:paraId="129F94D6"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НСПВС могат да понижат ефекта на диуретиците и другите антихипертензивни лекарствени продукти. При някои пациенти с компрометирана бъбречна функция (напр. дехидратирани пациенти или пациенти в старческа възраст с компрометирана бъбречна функция) едновременната употреба с АСЕ- инхибитори или ангиотензин-</w:t>
      </w:r>
      <w:r w:rsidRPr="00E63157">
        <w:rPr>
          <w:rFonts w:eastAsia="Times New Roman" w:cs="Arial"/>
          <w:color w:val="000000"/>
          <w:lang w:val="en-US"/>
        </w:rPr>
        <w:t>II</w:t>
      </w:r>
      <w:r w:rsidRPr="00E63157">
        <w:rPr>
          <w:rFonts w:eastAsia="Times New Roman" w:cs="Arial"/>
          <w:color w:val="000000"/>
          <w:lang w:eastAsia="bg-BG"/>
        </w:rPr>
        <w:t xml:space="preserve"> рецепторни антагонисти и средства, които инхибират циколооксигеназата може да доведе до допълнително влошаване на бъбречната функция, включително е възможна остра бъбречна недостатъчност, която обикновено е обратима. Поради това, при едновременното предписване трябва да се внимава, особено при пациенти в старческа възраст. Пациентите трябва да бъдат адекватно хидратирани и да се обмисли мониториране на тяхната бъбречна функция след започване на съпътстващото лечение, и това да продължи да се извършва периодично (вж. точка 4.4).</w:t>
      </w:r>
    </w:p>
    <w:p w14:paraId="18756431" w14:textId="77777777" w:rsidR="00E63157" w:rsidRPr="00E63157" w:rsidRDefault="00E63157" w:rsidP="00E63157">
      <w:pPr>
        <w:spacing w:line="240" w:lineRule="auto"/>
        <w:rPr>
          <w:rFonts w:eastAsia="Times New Roman" w:cs="Arial"/>
          <w:i/>
          <w:iCs/>
          <w:color w:val="000000"/>
          <w:lang w:eastAsia="bg-BG"/>
        </w:rPr>
      </w:pPr>
    </w:p>
    <w:p w14:paraId="0F1DA1B9" w14:textId="50A65771" w:rsidR="00E63157" w:rsidRPr="00E63157" w:rsidRDefault="00E63157" w:rsidP="00E63157">
      <w:pPr>
        <w:spacing w:line="240" w:lineRule="auto"/>
        <w:rPr>
          <w:rFonts w:eastAsia="Times New Roman" w:cs="Arial"/>
        </w:rPr>
      </w:pPr>
      <w:r w:rsidRPr="00E63157">
        <w:rPr>
          <w:rFonts w:eastAsia="Times New Roman" w:cs="Arial"/>
          <w:i/>
          <w:iCs/>
          <w:color w:val="000000"/>
          <w:lang w:eastAsia="bg-BG"/>
        </w:rPr>
        <w:t>Други антихипертензивни средства (напр. бета-блокери):</w:t>
      </w:r>
    </w:p>
    <w:p w14:paraId="7ED1F0B9"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Както и за последните, може да настъпи понижаване на ефекта на бета-блокерите (поради инхибиране на простагландините, причиняващи вазодилатация).</w:t>
      </w:r>
    </w:p>
    <w:p w14:paraId="68F4F673" w14:textId="77777777" w:rsidR="00E63157" w:rsidRPr="00E63157" w:rsidRDefault="00E63157" w:rsidP="00E63157">
      <w:pPr>
        <w:spacing w:line="240" w:lineRule="auto"/>
        <w:rPr>
          <w:rFonts w:eastAsia="Times New Roman" w:cs="Arial"/>
          <w:i/>
          <w:iCs/>
          <w:color w:val="000000"/>
          <w:lang w:eastAsia="bg-BG"/>
        </w:rPr>
      </w:pPr>
    </w:p>
    <w:p w14:paraId="570CE417" w14:textId="6A9172FB" w:rsidR="00E63157" w:rsidRPr="00E63157" w:rsidRDefault="00E63157" w:rsidP="00E63157">
      <w:pPr>
        <w:spacing w:line="240" w:lineRule="auto"/>
        <w:rPr>
          <w:rFonts w:eastAsia="Times New Roman" w:cs="Arial"/>
        </w:rPr>
      </w:pPr>
      <w:r w:rsidRPr="00E63157">
        <w:rPr>
          <w:rFonts w:eastAsia="Times New Roman" w:cs="Arial"/>
          <w:i/>
          <w:iCs/>
          <w:color w:val="000000"/>
          <w:lang w:eastAsia="bg-BG"/>
        </w:rPr>
        <w:t>Инхибитори на калциневрин (напр. циклоспорин, такролимус):</w:t>
      </w:r>
    </w:p>
    <w:p w14:paraId="24971C00"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НСПВС могат да благоприятстват нефротоксичността на инхибиторите на калциневрин чрез медиаторните си ефекти върху бъбречните простагландини. По време на комбинираното лечение трябва да се измерва бъбречната функция. Препоръчва се внимателно мониториране на бъбречната функция, особено при пациенти в старческа възраст.</w:t>
      </w:r>
    </w:p>
    <w:p w14:paraId="3C5EF551" w14:textId="77777777" w:rsidR="00E63157" w:rsidRPr="00E63157" w:rsidRDefault="00E63157" w:rsidP="00E63157">
      <w:pPr>
        <w:spacing w:line="240" w:lineRule="auto"/>
        <w:rPr>
          <w:rFonts w:eastAsia="Times New Roman" w:cs="Arial"/>
          <w:i/>
          <w:iCs/>
          <w:color w:val="000000"/>
          <w:lang w:eastAsia="bg-BG"/>
        </w:rPr>
      </w:pPr>
    </w:p>
    <w:p w14:paraId="5419F714" w14:textId="189F8FDE" w:rsidR="00E63157" w:rsidRPr="00E63157" w:rsidRDefault="00E63157" w:rsidP="00E63157">
      <w:pPr>
        <w:spacing w:line="240" w:lineRule="auto"/>
        <w:rPr>
          <w:rFonts w:eastAsia="Times New Roman" w:cs="Arial"/>
        </w:rPr>
      </w:pPr>
      <w:r w:rsidRPr="00E63157">
        <w:rPr>
          <w:rFonts w:eastAsia="Times New Roman" w:cs="Arial"/>
          <w:i/>
          <w:iCs/>
          <w:color w:val="000000"/>
          <w:lang w:eastAsia="bg-BG"/>
        </w:rPr>
        <w:t>Интраутеринни изделия:</w:t>
      </w:r>
    </w:p>
    <w:p w14:paraId="03289442"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Съобщавано е, че НСПВС понижават ефекта на интраутеринните средства, но е необходимо понататъшно потвърждаване.</w:t>
      </w:r>
    </w:p>
    <w:p w14:paraId="723A0A20" w14:textId="77777777" w:rsidR="00E63157" w:rsidRPr="00E63157" w:rsidRDefault="00E63157" w:rsidP="00E63157">
      <w:pPr>
        <w:spacing w:line="240" w:lineRule="auto"/>
        <w:rPr>
          <w:rFonts w:eastAsia="Times New Roman" w:cs="Arial"/>
          <w:color w:val="000000"/>
          <w:u w:val="single"/>
          <w:lang w:eastAsia="bg-BG"/>
        </w:rPr>
      </w:pPr>
    </w:p>
    <w:p w14:paraId="46CC6139" w14:textId="21F5EAB6" w:rsidR="00E63157" w:rsidRPr="00E63157" w:rsidRDefault="00E63157" w:rsidP="00E63157">
      <w:pPr>
        <w:spacing w:line="240" w:lineRule="auto"/>
        <w:rPr>
          <w:rFonts w:eastAsia="Times New Roman" w:cs="Arial"/>
        </w:rPr>
      </w:pPr>
      <w:r w:rsidRPr="00E63157">
        <w:rPr>
          <w:rFonts w:eastAsia="Times New Roman" w:cs="Arial"/>
          <w:color w:val="000000"/>
          <w:u w:val="single"/>
          <w:lang w:eastAsia="bg-BG"/>
        </w:rPr>
        <w:t>Фармакокинетични взаимодействия: ефект на мелоксикам върху фармакокинетиката на други лекарства.</w:t>
      </w:r>
    </w:p>
    <w:p w14:paraId="13DE8E02" w14:textId="77777777" w:rsidR="00E63157" w:rsidRPr="00E63157" w:rsidRDefault="00E63157" w:rsidP="00E63157">
      <w:pPr>
        <w:spacing w:line="240" w:lineRule="auto"/>
        <w:rPr>
          <w:rFonts w:eastAsia="Times New Roman" w:cs="Arial"/>
          <w:i/>
          <w:iCs/>
          <w:color w:val="000000"/>
          <w:lang w:eastAsia="bg-BG"/>
        </w:rPr>
      </w:pPr>
    </w:p>
    <w:p w14:paraId="29BA98DC" w14:textId="37A36ECD" w:rsidR="00E63157" w:rsidRPr="00E63157" w:rsidRDefault="00E63157" w:rsidP="00E63157">
      <w:pPr>
        <w:spacing w:line="240" w:lineRule="auto"/>
        <w:rPr>
          <w:rFonts w:eastAsia="Times New Roman" w:cs="Arial"/>
        </w:rPr>
      </w:pPr>
      <w:r w:rsidRPr="00E63157">
        <w:rPr>
          <w:rFonts w:eastAsia="Times New Roman" w:cs="Arial"/>
          <w:i/>
          <w:iCs/>
          <w:color w:val="000000"/>
          <w:lang w:eastAsia="bg-BG"/>
        </w:rPr>
        <w:t>Литий:</w:t>
      </w:r>
    </w:p>
    <w:p w14:paraId="7686EF88"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Съобщавано е, че НСПВС повишават литиевите плазмени нива (поради намалената бъбречна екскрецията на литий), които могат да достигнат токсични стойности. Не се препоръчва едновременната употреба на литий с НСПВС (вж. точка 4.4). Ако такава комбинация е наложителна, трябва внимателно да бъдат мониторирани литиевите плазмени концентрации при започване на лечението с мелоксикам, при определяне на дозировката му и при преустановяване на лечението с лекарствения продукт.</w:t>
      </w:r>
    </w:p>
    <w:p w14:paraId="3AC81361" w14:textId="77777777" w:rsidR="00E63157" w:rsidRPr="00E63157" w:rsidRDefault="00E63157" w:rsidP="00E63157">
      <w:pPr>
        <w:spacing w:line="240" w:lineRule="auto"/>
        <w:rPr>
          <w:rFonts w:eastAsia="Times New Roman" w:cs="Arial"/>
          <w:i/>
          <w:iCs/>
          <w:color w:val="000000"/>
          <w:lang w:eastAsia="bg-BG"/>
        </w:rPr>
      </w:pPr>
    </w:p>
    <w:p w14:paraId="31A03CC7" w14:textId="5BFAACE7" w:rsidR="00E63157" w:rsidRPr="00E63157" w:rsidRDefault="00E63157" w:rsidP="00E63157">
      <w:pPr>
        <w:spacing w:line="240" w:lineRule="auto"/>
        <w:rPr>
          <w:rFonts w:eastAsia="Times New Roman" w:cs="Arial"/>
        </w:rPr>
      </w:pPr>
      <w:r w:rsidRPr="00E63157">
        <w:rPr>
          <w:rFonts w:eastAsia="Times New Roman" w:cs="Arial"/>
          <w:i/>
          <w:iCs/>
          <w:color w:val="000000"/>
          <w:lang w:eastAsia="bg-BG"/>
        </w:rPr>
        <w:t>Метотрексат:</w:t>
      </w:r>
    </w:p>
    <w:p w14:paraId="08FA439E" w14:textId="77777777" w:rsidR="00E63157" w:rsidRPr="00E63157" w:rsidRDefault="00E63157" w:rsidP="00E63157">
      <w:pPr>
        <w:rPr>
          <w:rFonts w:eastAsia="Times New Roman" w:cs="Arial"/>
        </w:rPr>
      </w:pPr>
      <w:r w:rsidRPr="00E63157">
        <w:rPr>
          <w:rFonts w:eastAsia="Times New Roman" w:cs="Arial"/>
          <w:color w:val="000000"/>
          <w:lang w:eastAsia="bg-BG"/>
        </w:rPr>
        <w:t xml:space="preserve">НСПВС могат да намалят тубулната секреция на метотрексат и по този начин на повишат плазмената му концентрация. Поради тази причина при пациенти на високи дози метотрекса (над 15 </w:t>
      </w:r>
      <w:r w:rsidRPr="00E63157">
        <w:rPr>
          <w:rFonts w:eastAsia="Times New Roman" w:cs="Arial"/>
          <w:color w:val="000000"/>
          <w:lang w:val="en-US"/>
        </w:rPr>
        <w:t>mg</w:t>
      </w:r>
      <w:r w:rsidRPr="00E63157">
        <w:rPr>
          <w:rFonts w:eastAsia="Times New Roman" w:cs="Arial"/>
          <w:color w:val="000000"/>
          <w:lang w:val="ru-RU"/>
        </w:rPr>
        <w:t xml:space="preserve"> </w:t>
      </w:r>
      <w:r w:rsidRPr="00E63157">
        <w:rPr>
          <w:rFonts w:eastAsia="Times New Roman" w:cs="Arial"/>
          <w:color w:val="000000"/>
          <w:lang w:eastAsia="bg-BG"/>
        </w:rPr>
        <w:t xml:space="preserve">седмично) не се препоръчва едновременното прилагане с НСПВС (вж. точка 4.4). Трябва да се има предвид риска от взаимодействие между НСПВС и метотрексат и при пациенти на ниски дози метотрексат, особено при тези с нарушена бъбречна фукнция. В случай, че е необходимо комбинирано лечение, трябва да се проследяват броя на кръвните клетки и бъбречната функция. Особено внимание се </w:t>
      </w:r>
      <w:r w:rsidRPr="00E63157">
        <w:rPr>
          <w:rFonts w:eastAsia="Times New Roman" w:cs="Arial"/>
          <w:color w:val="000000"/>
          <w:lang w:eastAsia="bg-BG"/>
        </w:rPr>
        <w:lastRenderedPageBreak/>
        <w:t xml:space="preserve">изисква в случай че НСПВС и метотрексат са приети в рамките на 3 дни като в този случай плазмените нива на метотрексат могат да се повишат и да причинят по-висока токсичност. Въпреки че фармакокинетиката на метотрексат (15 </w:t>
      </w:r>
      <w:r w:rsidRPr="00E63157">
        <w:rPr>
          <w:rFonts w:eastAsia="Times New Roman" w:cs="Arial"/>
          <w:color w:val="000000"/>
          <w:lang w:val="en-US"/>
        </w:rPr>
        <w:t>mg</w:t>
      </w:r>
      <w:r w:rsidRPr="00E63157">
        <w:rPr>
          <w:rFonts w:eastAsia="Times New Roman" w:cs="Arial"/>
          <w:color w:val="000000"/>
          <w:lang w:val="ru-RU"/>
        </w:rPr>
        <w:t xml:space="preserve"> </w:t>
      </w:r>
      <w:r w:rsidRPr="00E63157">
        <w:rPr>
          <w:rFonts w:eastAsia="Times New Roman" w:cs="Arial"/>
          <w:color w:val="000000"/>
          <w:lang w:eastAsia="bg-BG"/>
        </w:rPr>
        <w:t>седмично) не се повлиява значимо от едновременното лечение с мелоксикам, трябва да се има предвид, че хематологичната токсичност на метотрексат може да се засили от лечението с НСПВС (вж. по-горе). (Вж. точка 4.8)</w:t>
      </w:r>
    </w:p>
    <w:p w14:paraId="7B83C715" w14:textId="77777777" w:rsidR="00E63157" w:rsidRPr="00E63157" w:rsidRDefault="00E63157" w:rsidP="00E63157">
      <w:pPr>
        <w:spacing w:line="240" w:lineRule="auto"/>
        <w:rPr>
          <w:rFonts w:eastAsia="Times New Roman" w:cs="Arial"/>
          <w:color w:val="000000"/>
          <w:u w:val="single"/>
          <w:lang w:eastAsia="bg-BG"/>
        </w:rPr>
      </w:pPr>
    </w:p>
    <w:p w14:paraId="0400B2B5" w14:textId="00133278" w:rsidR="00E63157" w:rsidRPr="00E63157" w:rsidRDefault="00E63157" w:rsidP="00E63157">
      <w:pPr>
        <w:spacing w:line="240" w:lineRule="auto"/>
        <w:rPr>
          <w:rFonts w:eastAsia="Times New Roman" w:cs="Arial"/>
        </w:rPr>
      </w:pPr>
      <w:r w:rsidRPr="00E63157">
        <w:rPr>
          <w:rFonts w:eastAsia="Times New Roman" w:cs="Arial"/>
          <w:color w:val="000000"/>
          <w:u w:val="single"/>
          <w:lang w:eastAsia="bg-BG"/>
        </w:rPr>
        <w:t>Фармакокинетични взаимодействия: ефект на други лекарства върху Фармакокинетиката на мелоксикам</w:t>
      </w:r>
    </w:p>
    <w:p w14:paraId="6FBEA6D5" w14:textId="77777777" w:rsidR="00E63157" w:rsidRPr="00E63157" w:rsidRDefault="00E63157" w:rsidP="00E63157">
      <w:pPr>
        <w:spacing w:line="240" w:lineRule="auto"/>
        <w:rPr>
          <w:rFonts w:eastAsia="Times New Roman" w:cs="Arial"/>
          <w:i/>
          <w:iCs/>
          <w:color w:val="000000"/>
          <w:lang w:eastAsia="bg-BG"/>
        </w:rPr>
      </w:pPr>
    </w:p>
    <w:p w14:paraId="29D486F9" w14:textId="518B801D" w:rsidR="00E63157" w:rsidRPr="00E63157" w:rsidRDefault="00E63157" w:rsidP="00E63157">
      <w:pPr>
        <w:spacing w:line="240" w:lineRule="auto"/>
        <w:rPr>
          <w:rFonts w:eastAsia="Times New Roman" w:cs="Arial"/>
        </w:rPr>
      </w:pPr>
      <w:r w:rsidRPr="00E63157">
        <w:rPr>
          <w:rFonts w:eastAsia="Times New Roman" w:cs="Arial"/>
          <w:i/>
          <w:iCs/>
          <w:color w:val="000000"/>
          <w:lang w:eastAsia="bg-BG"/>
        </w:rPr>
        <w:t>Холестирамин</w:t>
      </w:r>
    </w:p>
    <w:p w14:paraId="594AC14B"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Холестираминът ускорява елиминирането на мелоксикам чрез прекъсване на ентерохепаталната циркулация, така че клирънса на мелоксикам се повишава с 50 % и времето на полуживот намалява до 13±3 часа. Това взаомодейстие има клинична значимост.</w:t>
      </w:r>
    </w:p>
    <w:p w14:paraId="14070E0A" w14:textId="77777777" w:rsidR="00E63157" w:rsidRPr="00E63157" w:rsidRDefault="00E63157" w:rsidP="00E63157">
      <w:pPr>
        <w:spacing w:line="240" w:lineRule="auto"/>
        <w:rPr>
          <w:rFonts w:eastAsia="Times New Roman" w:cs="Arial"/>
          <w:color w:val="000000"/>
          <w:lang w:eastAsia="bg-BG"/>
        </w:rPr>
      </w:pPr>
    </w:p>
    <w:p w14:paraId="23E634FC" w14:textId="09797841" w:rsidR="00E63157" w:rsidRPr="00E63157" w:rsidRDefault="00E63157" w:rsidP="00E63157">
      <w:pPr>
        <w:spacing w:line="240" w:lineRule="auto"/>
        <w:rPr>
          <w:rFonts w:eastAsia="Times New Roman" w:cs="Arial"/>
        </w:rPr>
      </w:pPr>
      <w:r w:rsidRPr="00E63157">
        <w:rPr>
          <w:rFonts w:eastAsia="Times New Roman" w:cs="Arial"/>
          <w:color w:val="000000"/>
          <w:lang w:eastAsia="bg-BG"/>
        </w:rPr>
        <w:t>Не са открити клинично значими фармакокинетични лекарствени взаимодействия по отношение на едновременната употреба с антиациди, циметицин и дигоксин.</w:t>
      </w:r>
    </w:p>
    <w:p w14:paraId="572E41D1" w14:textId="289C3493" w:rsidR="00E63157" w:rsidRPr="00E63157" w:rsidRDefault="00E63157" w:rsidP="00E63157"/>
    <w:p w14:paraId="29D2BD58" w14:textId="2FD1ED04" w:rsidR="00DF4C8E" w:rsidRDefault="002C50EE" w:rsidP="00F44498">
      <w:pPr>
        <w:pStyle w:val="Heading2"/>
      </w:pPr>
      <w:r>
        <w:t>4.6. Фертилитет, бременност и кърмене</w:t>
      </w:r>
    </w:p>
    <w:p w14:paraId="237E75E4" w14:textId="457D7196" w:rsidR="00E63157" w:rsidRDefault="00E63157" w:rsidP="00E63157"/>
    <w:p w14:paraId="59C9A7B5" w14:textId="77777777" w:rsidR="00E63157" w:rsidRPr="006229D6" w:rsidRDefault="00E63157" w:rsidP="006229D6">
      <w:pPr>
        <w:pStyle w:val="Heading3"/>
        <w:rPr>
          <w:rFonts w:eastAsia="Times New Roman"/>
          <w:b/>
        </w:rPr>
      </w:pPr>
      <w:bookmarkStart w:id="1" w:name="bookmark0"/>
      <w:r w:rsidRPr="006229D6">
        <w:rPr>
          <w:rFonts w:eastAsia="Times New Roman"/>
          <w:b/>
          <w:lang w:eastAsia="bg-BG"/>
        </w:rPr>
        <w:t>Бременност</w:t>
      </w:r>
      <w:bookmarkEnd w:id="1"/>
    </w:p>
    <w:p w14:paraId="28339F33" w14:textId="77777777" w:rsidR="00E63157" w:rsidRPr="00E63157" w:rsidRDefault="00E63157" w:rsidP="00E63157">
      <w:pPr>
        <w:spacing w:line="240" w:lineRule="auto"/>
        <w:rPr>
          <w:rFonts w:eastAsia="Times New Roman" w:cs="Arial"/>
        </w:rPr>
      </w:pPr>
      <w:r w:rsidRPr="00E63157">
        <w:rPr>
          <w:rFonts w:eastAsia="Times New Roman" w:cs="Arial"/>
          <w:color w:val="000000"/>
          <w:lang w:eastAsia="bg-BG"/>
        </w:rPr>
        <w:t>Инхибицията на простагландиновия синтез може нежелано да повлияе бременността и/или ембриофеталното развитие. Данни от епидемиологични проучвания предполагат повишен риск от спонтанен аборт и от сърдечни малформации и гастросхиза след употребата на инхибитори на простагландиновия синтез в ранна бременност. Абсолютният риск от сърдечно-съдови малформации е повишен от по-малко от 1% до приблизително 1,5%. Счита се, че риска се повишава с дозата и продължителността на лечението. Прилагането на инхибитори на простагландиновия синтез при животни води до повишаване на пре- и постнидационните загуби и ембриофетална смъртност. В допълнение се съобщава повишена честота на различни малформации, включително сърдечно-съдови, при животни, на които са приложени инхибитори на простагландиновия синтез по време на органогенезата.</w:t>
      </w:r>
    </w:p>
    <w:p w14:paraId="3F1ED6EA" w14:textId="77777777" w:rsidR="00E63157" w:rsidRPr="006229D6" w:rsidRDefault="00E63157" w:rsidP="00E63157">
      <w:pPr>
        <w:spacing w:line="240" w:lineRule="auto"/>
        <w:rPr>
          <w:rFonts w:eastAsia="Times New Roman" w:cs="Arial"/>
          <w:color w:val="000000"/>
          <w:lang w:eastAsia="bg-BG"/>
        </w:rPr>
      </w:pPr>
    </w:p>
    <w:p w14:paraId="5F6F3633" w14:textId="3E0E2143" w:rsidR="00E63157" w:rsidRPr="00E63157" w:rsidRDefault="00E63157" w:rsidP="00E63157">
      <w:pPr>
        <w:spacing w:line="240" w:lineRule="auto"/>
        <w:rPr>
          <w:rFonts w:eastAsia="Times New Roman" w:cs="Arial"/>
        </w:rPr>
      </w:pPr>
      <w:r w:rsidRPr="00E63157">
        <w:rPr>
          <w:rFonts w:eastAsia="Times New Roman" w:cs="Arial"/>
          <w:color w:val="000000"/>
          <w:lang w:eastAsia="bg-BG"/>
        </w:rPr>
        <w:t>Мелкосикам не трябва да се предписва по време на първия и втория триместър на бременността, освен ако това не е абсолютно необходимо. Ако мелокосикам се употребява от жена, която се опитва да зачене или по време на първия или втория триместьр на бременността, трябва да се използва най-ниската възможна доза, за възможно най-кратък период от време.</w:t>
      </w:r>
    </w:p>
    <w:p w14:paraId="14F5A4F9" w14:textId="77777777" w:rsidR="00E63157" w:rsidRPr="006229D6" w:rsidRDefault="00E63157" w:rsidP="00E63157">
      <w:pPr>
        <w:spacing w:line="240" w:lineRule="auto"/>
        <w:rPr>
          <w:rFonts w:eastAsia="Times New Roman" w:cs="Arial"/>
          <w:color w:val="000000"/>
          <w:lang w:eastAsia="bg-BG"/>
        </w:rPr>
      </w:pPr>
    </w:p>
    <w:p w14:paraId="487F3817" w14:textId="1D27A51A" w:rsidR="00E63157" w:rsidRPr="00E63157" w:rsidRDefault="00E63157" w:rsidP="00E63157">
      <w:pPr>
        <w:spacing w:line="240" w:lineRule="auto"/>
        <w:rPr>
          <w:rFonts w:eastAsia="Times New Roman" w:cs="Arial"/>
        </w:rPr>
      </w:pPr>
      <w:r w:rsidRPr="00E63157">
        <w:rPr>
          <w:rFonts w:eastAsia="Times New Roman" w:cs="Arial"/>
          <w:color w:val="000000"/>
          <w:lang w:eastAsia="bg-BG"/>
        </w:rPr>
        <w:t>По време на третия триместьр на бременността всички инхибитори на простагландиновия синтез могат да причинят на фетуса:</w:t>
      </w:r>
    </w:p>
    <w:p w14:paraId="63065D51" w14:textId="77777777" w:rsidR="00E63157" w:rsidRPr="006229D6" w:rsidRDefault="00E63157" w:rsidP="00E63157">
      <w:pPr>
        <w:pStyle w:val="ListParagraph"/>
        <w:numPr>
          <w:ilvl w:val="0"/>
          <w:numId w:val="2"/>
        </w:numPr>
        <w:spacing w:line="240" w:lineRule="auto"/>
        <w:rPr>
          <w:rFonts w:eastAsia="Times New Roman" w:cs="Arial"/>
          <w:color w:val="000000"/>
          <w:lang w:eastAsia="bg-BG"/>
        </w:rPr>
      </w:pPr>
      <w:r w:rsidRPr="006229D6">
        <w:rPr>
          <w:rFonts w:eastAsia="Times New Roman" w:cs="Arial"/>
          <w:color w:val="000000"/>
          <w:lang w:eastAsia="bg-BG"/>
        </w:rPr>
        <w:t>кардио-пулмонална токсичност (с преждевременно затваряне на дуктус артериозус и пулмонална хипертония);</w:t>
      </w:r>
    </w:p>
    <w:p w14:paraId="7B7A4438" w14:textId="2BBF3FFB" w:rsidR="00E63157" w:rsidRPr="006229D6" w:rsidRDefault="00E63157" w:rsidP="00E63157">
      <w:pPr>
        <w:pStyle w:val="ListParagraph"/>
        <w:numPr>
          <w:ilvl w:val="0"/>
          <w:numId w:val="2"/>
        </w:numPr>
        <w:spacing w:line="240" w:lineRule="auto"/>
        <w:rPr>
          <w:rFonts w:eastAsia="Times New Roman" w:cs="Arial"/>
          <w:color w:val="000000"/>
          <w:lang w:eastAsia="bg-BG"/>
        </w:rPr>
      </w:pPr>
      <w:r w:rsidRPr="006229D6">
        <w:rPr>
          <w:rFonts w:eastAsia="Times New Roman" w:cs="Arial"/>
          <w:color w:val="000000"/>
          <w:lang w:eastAsia="bg-BG"/>
        </w:rPr>
        <w:t>бъбречна дисфункция, която може да прерастне в бъбречна недостатъчност с олиго- хидроамниоза.</w:t>
      </w:r>
    </w:p>
    <w:p w14:paraId="7E213BD5" w14:textId="77777777" w:rsidR="00E63157" w:rsidRPr="006229D6" w:rsidRDefault="00E63157" w:rsidP="00E63157">
      <w:pPr>
        <w:spacing w:line="240" w:lineRule="auto"/>
        <w:rPr>
          <w:rFonts w:eastAsia="Times New Roman" w:cs="Arial"/>
        </w:rPr>
      </w:pPr>
      <w:r w:rsidRPr="00E63157">
        <w:rPr>
          <w:rFonts w:eastAsia="Times New Roman" w:cs="Arial"/>
          <w:color w:val="000000"/>
          <w:lang w:eastAsia="bg-BG"/>
        </w:rPr>
        <w:t>на майката и плода в края на бременността:</w:t>
      </w:r>
    </w:p>
    <w:p w14:paraId="53D7AA55" w14:textId="77777777" w:rsidR="006229D6" w:rsidRPr="006229D6" w:rsidRDefault="00E63157" w:rsidP="006229D6">
      <w:pPr>
        <w:pStyle w:val="ListParagraph"/>
        <w:numPr>
          <w:ilvl w:val="0"/>
          <w:numId w:val="2"/>
        </w:numPr>
        <w:spacing w:line="240" w:lineRule="auto"/>
        <w:rPr>
          <w:rFonts w:eastAsia="Times New Roman" w:cs="Arial"/>
        </w:rPr>
      </w:pPr>
      <w:r w:rsidRPr="006229D6">
        <w:rPr>
          <w:rFonts w:eastAsia="Times New Roman" w:cs="Arial"/>
          <w:color w:val="000000"/>
          <w:lang w:eastAsia="bg-BG"/>
        </w:rPr>
        <w:t>възможно удължаване на времето на кървене, антиагрегантен ефект, който може да се появи дори при много ниски дози;</w:t>
      </w:r>
    </w:p>
    <w:p w14:paraId="1D94B328" w14:textId="530A792E" w:rsidR="00E63157" w:rsidRPr="006229D6" w:rsidRDefault="00E63157" w:rsidP="006229D6">
      <w:pPr>
        <w:pStyle w:val="ListParagraph"/>
        <w:numPr>
          <w:ilvl w:val="0"/>
          <w:numId w:val="2"/>
        </w:numPr>
        <w:spacing w:line="240" w:lineRule="auto"/>
        <w:rPr>
          <w:rFonts w:eastAsia="Times New Roman" w:cs="Arial"/>
        </w:rPr>
      </w:pPr>
      <w:r w:rsidRPr="006229D6">
        <w:rPr>
          <w:rFonts w:eastAsia="Times New Roman" w:cs="Arial"/>
          <w:color w:val="000000"/>
          <w:lang w:eastAsia="bg-BG"/>
        </w:rPr>
        <w:lastRenderedPageBreak/>
        <w:t>инхибиране на маточните контракции, което да доведе до забавяне или удължаване на раждането.</w:t>
      </w:r>
    </w:p>
    <w:p w14:paraId="33979094" w14:textId="77777777" w:rsidR="00E63157" w:rsidRPr="006229D6" w:rsidRDefault="00E63157" w:rsidP="00E63157">
      <w:pPr>
        <w:spacing w:line="240" w:lineRule="auto"/>
        <w:rPr>
          <w:rFonts w:eastAsia="Times New Roman" w:cs="Arial"/>
          <w:color w:val="000000"/>
          <w:lang w:eastAsia="bg-BG"/>
        </w:rPr>
      </w:pPr>
    </w:p>
    <w:p w14:paraId="6CA9BA5A" w14:textId="76DA6668" w:rsidR="00E63157" w:rsidRPr="00E63157" w:rsidRDefault="00E63157" w:rsidP="00E63157">
      <w:pPr>
        <w:spacing w:line="240" w:lineRule="auto"/>
        <w:rPr>
          <w:rFonts w:eastAsia="Times New Roman" w:cs="Arial"/>
        </w:rPr>
      </w:pPr>
      <w:r w:rsidRPr="00E63157">
        <w:rPr>
          <w:rFonts w:eastAsia="Times New Roman" w:cs="Arial"/>
          <w:color w:val="000000"/>
          <w:lang w:eastAsia="bg-BG"/>
        </w:rPr>
        <w:t>Поради това, мелоксикам е противопоказан по време на третия триместьр на бременността.</w:t>
      </w:r>
    </w:p>
    <w:p w14:paraId="15D065B4" w14:textId="77777777" w:rsidR="00E63157" w:rsidRPr="006229D6" w:rsidRDefault="00E63157" w:rsidP="00E63157">
      <w:pPr>
        <w:spacing w:line="240" w:lineRule="auto"/>
        <w:rPr>
          <w:rFonts w:eastAsia="Times New Roman" w:cs="Arial"/>
          <w:b/>
          <w:bCs/>
          <w:color w:val="000000"/>
          <w:lang w:eastAsia="bg-BG"/>
        </w:rPr>
      </w:pPr>
      <w:bookmarkStart w:id="2" w:name="bookmark2"/>
    </w:p>
    <w:p w14:paraId="465F1112" w14:textId="2EC6A5B9" w:rsidR="00E63157" w:rsidRPr="006229D6" w:rsidRDefault="00E63157" w:rsidP="006229D6">
      <w:pPr>
        <w:pStyle w:val="Heading3"/>
        <w:rPr>
          <w:rFonts w:eastAsia="Times New Roman"/>
          <w:b/>
        </w:rPr>
      </w:pPr>
      <w:r w:rsidRPr="006229D6">
        <w:rPr>
          <w:rFonts w:eastAsia="Times New Roman"/>
          <w:b/>
          <w:lang w:eastAsia="bg-BG"/>
        </w:rPr>
        <w:t>Кърмене</w:t>
      </w:r>
      <w:bookmarkEnd w:id="2"/>
    </w:p>
    <w:p w14:paraId="787B6573" w14:textId="13AE69CE" w:rsidR="00E63157" w:rsidRPr="006229D6" w:rsidRDefault="00E63157" w:rsidP="00E63157">
      <w:pPr>
        <w:rPr>
          <w:rFonts w:eastAsia="Times New Roman" w:cs="Arial"/>
          <w:color w:val="000000"/>
          <w:lang w:eastAsia="bg-BG"/>
        </w:rPr>
      </w:pPr>
      <w:r w:rsidRPr="006229D6">
        <w:rPr>
          <w:rFonts w:eastAsia="Times New Roman" w:cs="Arial"/>
          <w:color w:val="000000"/>
          <w:lang w:eastAsia="bg-BG"/>
        </w:rPr>
        <w:t>Известно е, че НСПВС преминават в кърмата, въпреки че няма такъв опит с</w:t>
      </w:r>
      <w:r w:rsidRPr="006229D6">
        <w:rPr>
          <w:rFonts w:eastAsia="Times New Roman" w:cs="Arial"/>
          <w:color w:val="000000"/>
          <w:lang w:val="ru-RU"/>
        </w:rPr>
        <w:t xml:space="preserve"> </w:t>
      </w:r>
      <w:proofErr w:type="spellStart"/>
      <w:r w:rsidRPr="006229D6">
        <w:rPr>
          <w:rFonts w:eastAsia="Times New Roman" w:cs="Arial"/>
          <w:color w:val="000000"/>
          <w:lang w:val="en-US"/>
        </w:rPr>
        <w:t>Movalis</w:t>
      </w:r>
      <w:proofErr w:type="spellEnd"/>
      <w:r w:rsidRPr="006229D6">
        <w:rPr>
          <w:rFonts w:eastAsia="Times New Roman" w:cs="Arial"/>
          <w:color w:val="000000"/>
          <w:lang w:val="ru-RU"/>
        </w:rPr>
        <w:t xml:space="preserve">. </w:t>
      </w:r>
      <w:r w:rsidRPr="006229D6">
        <w:rPr>
          <w:rFonts w:eastAsia="Times New Roman" w:cs="Arial"/>
          <w:color w:val="000000"/>
          <w:lang w:eastAsia="bg-BG"/>
        </w:rPr>
        <w:t>По тази причина употребата му не се препоръчва при кърмачки.</w:t>
      </w:r>
    </w:p>
    <w:p w14:paraId="251DBF08" w14:textId="01365C6B" w:rsidR="006229D6" w:rsidRPr="006229D6" w:rsidRDefault="006229D6" w:rsidP="00E63157">
      <w:pPr>
        <w:rPr>
          <w:rFonts w:eastAsia="Times New Roman" w:cs="Arial"/>
          <w:color w:val="000000"/>
          <w:lang w:eastAsia="bg-BG"/>
        </w:rPr>
      </w:pPr>
    </w:p>
    <w:p w14:paraId="2BE4E834" w14:textId="77777777" w:rsidR="006229D6" w:rsidRPr="006229D6" w:rsidRDefault="006229D6" w:rsidP="006229D6">
      <w:pPr>
        <w:pStyle w:val="Heading3"/>
        <w:rPr>
          <w:rFonts w:eastAsia="Times New Roman"/>
          <w:b/>
        </w:rPr>
      </w:pPr>
      <w:r w:rsidRPr="006229D6">
        <w:rPr>
          <w:rFonts w:eastAsia="Times New Roman"/>
          <w:b/>
          <w:lang w:eastAsia="bg-BG"/>
        </w:rPr>
        <w:t>Кърмене</w:t>
      </w:r>
    </w:p>
    <w:p w14:paraId="07ACD8F4"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 xml:space="preserve">Известно е, че НСПВС преминават в кърмата, въпреки че няма такъв опит с </w:t>
      </w:r>
      <w:proofErr w:type="spellStart"/>
      <w:r w:rsidRPr="006229D6">
        <w:rPr>
          <w:rFonts w:eastAsia="Times New Roman" w:cs="Arial"/>
          <w:color w:val="000000"/>
          <w:lang w:val="en-US"/>
        </w:rPr>
        <w:t>Movalis</w:t>
      </w:r>
      <w:proofErr w:type="spellEnd"/>
      <w:r w:rsidRPr="006229D6">
        <w:rPr>
          <w:rFonts w:eastAsia="Times New Roman" w:cs="Arial"/>
          <w:color w:val="000000"/>
          <w:lang w:val="ru-RU"/>
        </w:rPr>
        <w:t xml:space="preserve">. </w:t>
      </w:r>
      <w:r w:rsidRPr="006229D6">
        <w:rPr>
          <w:rFonts w:eastAsia="Times New Roman" w:cs="Arial"/>
          <w:color w:val="000000"/>
          <w:lang w:eastAsia="bg-BG"/>
        </w:rPr>
        <w:t>По тази причина употребата му не се препоръчва при кърмачки.</w:t>
      </w:r>
    </w:p>
    <w:p w14:paraId="1EC2B6F4" w14:textId="77777777" w:rsidR="006229D6" w:rsidRPr="006229D6" w:rsidRDefault="006229D6" w:rsidP="006229D6">
      <w:pPr>
        <w:spacing w:line="240" w:lineRule="auto"/>
        <w:rPr>
          <w:rFonts w:eastAsia="Times New Roman" w:cs="Arial"/>
          <w:b/>
          <w:bCs/>
          <w:color w:val="000000"/>
          <w:lang w:eastAsia="bg-BG"/>
        </w:rPr>
      </w:pPr>
    </w:p>
    <w:p w14:paraId="0D0BB5C0" w14:textId="10EE3DBA" w:rsidR="006229D6" w:rsidRPr="006229D6" w:rsidRDefault="006229D6" w:rsidP="006229D6">
      <w:pPr>
        <w:pStyle w:val="Heading3"/>
        <w:rPr>
          <w:rFonts w:eastAsia="Times New Roman"/>
          <w:b/>
        </w:rPr>
      </w:pPr>
      <w:r w:rsidRPr="006229D6">
        <w:rPr>
          <w:rFonts w:eastAsia="Times New Roman"/>
          <w:b/>
          <w:lang w:eastAsia="bg-BG"/>
        </w:rPr>
        <w:t>Фертилнтет</w:t>
      </w:r>
    </w:p>
    <w:p w14:paraId="1D84256D" w14:textId="7ABB1679" w:rsidR="006229D6" w:rsidRDefault="006229D6" w:rsidP="006229D6">
      <w:pPr>
        <w:rPr>
          <w:rFonts w:eastAsia="Times New Roman" w:cs="Arial"/>
          <w:color w:val="000000"/>
          <w:lang w:eastAsia="bg-BG"/>
        </w:rPr>
      </w:pPr>
      <w:r w:rsidRPr="006229D6">
        <w:rPr>
          <w:rFonts w:eastAsia="Times New Roman" w:cs="Arial"/>
          <w:color w:val="000000"/>
          <w:lang w:eastAsia="bg-BG"/>
        </w:rPr>
        <w:t>Употребата на мелоксикам, както и на което и да е друго лекарство, за което е известно, че инхибира циклооксигеназата/простагландиновия синтез, може да наруши женския фертилитет и не се препоръчва при жени, които правят опити да заченат. По тази причина при жените, които имат затруднения да забременеят или провеждат изследвания за стерилитет трябва да се обмисли прекратяване употребата на мелоксикам.</w:t>
      </w:r>
    </w:p>
    <w:p w14:paraId="765A1B10" w14:textId="77777777" w:rsidR="006229D6" w:rsidRPr="006229D6" w:rsidRDefault="006229D6" w:rsidP="006229D6">
      <w:pPr>
        <w:rPr>
          <w:rFonts w:cs="Arial"/>
        </w:rPr>
      </w:pPr>
    </w:p>
    <w:p w14:paraId="4DF5A2E7" w14:textId="79CD1F6F" w:rsidR="00DF4C8E" w:rsidRDefault="002C50EE" w:rsidP="00F44498">
      <w:pPr>
        <w:pStyle w:val="Heading2"/>
      </w:pPr>
      <w:r>
        <w:t>4.7. Ефекти върху способността за шофиране и работа с машини</w:t>
      </w:r>
    </w:p>
    <w:p w14:paraId="4D3BD172" w14:textId="0ADEE074" w:rsidR="006229D6" w:rsidRDefault="006229D6" w:rsidP="006229D6"/>
    <w:p w14:paraId="2355740C" w14:textId="1117FF81" w:rsidR="006229D6" w:rsidRDefault="006229D6" w:rsidP="006229D6">
      <w:r w:rsidRPr="006229D6">
        <w:t>Не са провеждани проучвания на ефекта върху способността за шофиране и работа с машини. Въпреки това, на базата на фармакодинамичния профил и съобщаваните нежелани реакции, по- вероятно е мелоксикам да няма никакво или да оказва незначително влияние върху тези способности. Въпреки това, пациенти при които се появят зрителни нарушения, включително замъглено виждане, световъртеж, сънливост, замаяност или други оплаквания от страна на централната нервна система, трябва да се въздържат от шофиране и работа с машини.</w:t>
      </w:r>
    </w:p>
    <w:p w14:paraId="60B1A305" w14:textId="77777777" w:rsidR="006229D6" w:rsidRPr="006229D6" w:rsidRDefault="006229D6" w:rsidP="006229D6"/>
    <w:p w14:paraId="28229498" w14:textId="65E8FDF2" w:rsidR="00DF4C8E" w:rsidRDefault="002C50EE" w:rsidP="00F44498">
      <w:pPr>
        <w:pStyle w:val="Heading2"/>
      </w:pPr>
      <w:r>
        <w:t>4.8. Нежелани лекарствени реакции</w:t>
      </w:r>
    </w:p>
    <w:p w14:paraId="36630DDF" w14:textId="19C7E8A3" w:rsidR="006229D6" w:rsidRDefault="006229D6" w:rsidP="006229D6"/>
    <w:p w14:paraId="11A45870" w14:textId="77777777" w:rsidR="006229D6" w:rsidRPr="006229D6" w:rsidRDefault="006229D6" w:rsidP="006229D6">
      <w:pPr>
        <w:spacing w:line="240" w:lineRule="auto"/>
        <w:rPr>
          <w:rFonts w:eastAsia="Times New Roman" w:cs="Arial"/>
        </w:rPr>
      </w:pPr>
      <w:r w:rsidRPr="006229D6">
        <w:rPr>
          <w:rFonts w:eastAsia="Times New Roman" w:cs="Arial"/>
          <w:i/>
          <w:iCs/>
          <w:color w:val="000000"/>
          <w:lang w:eastAsia="bg-BG"/>
        </w:rPr>
        <w:t>а) Общо описание</w:t>
      </w:r>
    </w:p>
    <w:p w14:paraId="0BC854A2" w14:textId="77777777" w:rsidR="006229D6" w:rsidRPr="006229D6" w:rsidRDefault="006229D6" w:rsidP="006229D6">
      <w:pPr>
        <w:spacing w:line="240" w:lineRule="auto"/>
        <w:rPr>
          <w:rFonts w:eastAsia="Times New Roman" w:cs="Arial"/>
          <w:color w:val="000000"/>
          <w:lang w:eastAsia="bg-BG"/>
        </w:rPr>
      </w:pPr>
    </w:p>
    <w:p w14:paraId="68E181B9" w14:textId="6A7B0053" w:rsidR="006229D6" w:rsidRPr="006229D6" w:rsidRDefault="006229D6" w:rsidP="006229D6">
      <w:pPr>
        <w:spacing w:line="240" w:lineRule="auto"/>
        <w:rPr>
          <w:rFonts w:eastAsia="Times New Roman" w:cs="Arial"/>
        </w:rPr>
      </w:pPr>
      <w:r w:rsidRPr="006229D6">
        <w:rPr>
          <w:rFonts w:eastAsia="Times New Roman" w:cs="Arial"/>
          <w:color w:val="000000"/>
          <w:lang w:eastAsia="bg-BG"/>
        </w:rPr>
        <w:t>Клинични проучвания и епидемиологични данни показват, че употребата на някои НСПВС (особено във високи дози и при продължително приложение) може да се свърже с леко повишен риск от артериални тромботични събития (например миокарден инфаркт или инсулт) (вж. т. 4.4.).</w:t>
      </w:r>
    </w:p>
    <w:p w14:paraId="12E56F1B" w14:textId="77777777" w:rsidR="006229D6" w:rsidRPr="006229D6" w:rsidRDefault="006229D6" w:rsidP="006229D6">
      <w:pPr>
        <w:spacing w:line="240" w:lineRule="auto"/>
        <w:rPr>
          <w:rFonts w:eastAsia="Times New Roman" w:cs="Arial"/>
          <w:color w:val="000000"/>
          <w:lang w:eastAsia="bg-BG"/>
        </w:rPr>
      </w:pPr>
    </w:p>
    <w:p w14:paraId="2E3A8986" w14:textId="5020BC52" w:rsidR="006229D6" w:rsidRPr="006229D6" w:rsidRDefault="006229D6" w:rsidP="006229D6">
      <w:pPr>
        <w:spacing w:line="240" w:lineRule="auto"/>
        <w:rPr>
          <w:rFonts w:eastAsia="Times New Roman" w:cs="Arial"/>
        </w:rPr>
      </w:pPr>
      <w:r w:rsidRPr="006229D6">
        <w:rPr>
          <w:rFonts w:eastAsia="Times New Roman" w:cs="Arial"/>
          <w:color w:val="000000"/>
          <w:lang w:eastAsia="bg-BG"/>
        </w:rPr>
        <w:t>Има съобщения за отоци, хипертония и сърдечна недостатъчност, свързани с употребата на НСПВС.</w:t>
      </w:r>
    </w:p>
    <w:p w14:paraId="79952A0C" w14:textId="77777777" w:rsidR="006229D6" w:rsidRPr="006229D6" w:rsidRDefault="006229D6" w:rsidP="006229D6">
      <w:pPr>
        <w:spacing w:line="240" w:lineRule="auto"/>
        <w:rPr>
          <w:rFonts w:eastAsia="Times New Roman" w:cs="Arial"/>
          <w:color w:val="000000"/>
          <w:lang w:eastAsia="bg-BG"/>
        </w:rPr>
      </w:pPr>
    </w:p>
    <w:p w14:paraId="16BAA210" w14:textId="06E42612" w:rsidR="006229D6" w:rsidRPr="006229D6" w:rsidRDefault="006229D6" w:rsidP="006229D6">
      <w:pPr>
        <w:spacing w:line="240" w:lineRule="auto"/>
        <w:rPr>
          <w:rFonts w:eastAsia="Times New Roman" w:cs="Arial"/>
        </w:rPr>
      </w:pPr>
      <w:r w:rsidRPr="006229D6">
        <w:rPr>
          <w:rFonts w:eastAsia="Times New Roman" w:cs="Arial"/>
          <w:color w:val="000000"/>
          <w:lang w:eastAsia="bg-BG"/>
        </w:rPr>
        <w:t xml:space="preserve">Най-често наблюдаваните нежелани реакции са от страна на гастро-интестиналната система. Могат да се появят пептична язва, перфорация или гастро-интестинално кървене, които понякога са фатални, особено при пациенти в старческа възраст (вж. т. 4.4.). След употреба са съобщавани гадене, повръщане, диария, метеоризъм, </w:t>
      </w:r>
      <w:r w:rsidRPr="006229D6">
        <w:rPr>
          <w:rFonts w:eastAsia="Times New Roman" w:cs="Arial"/>
          <w:color w:val="000000"/>
          <w:lang w:eastAsia="bg-BG"/>
        </w:rPr>
        <w:lastRenderedPageBreak/>
        <w:t>констипация, диспепсия, болка в стомаха, мелена, хематемеза, улцерозен стоматит, обостряне на колит и болест на Крон (вж. точка 4.4. - Специални предупреждения и предпазни мерки при употреба). С по-малка честота е наблюдаван гастрит.</w:t>
      </w:r>
    </w:p>
    <w:p w14:paraId="4A47E7C7" w14:textId="77777777" w:rsidR="006229D6" w:rsidRPr="006229D6" w:rsidRDefault="006229D6" w:rsidP="006229D6">
      <w:pPr>
        <w:spacing w:line="240" w:lineRule="auto"/>
        <w:rPr>
          <w:rFonts w:eastAsia="Times New Roman" w:cs="Arial"/>
          <w:color w:val="000000"/>
          <w:lang w:eastAsia="bg-BG"/>
        </w:rPr>
      </w:pPr>
    </w:p>
    <w:p w14:paraId="10E80520" w14:textId="1F639495" w:rsidR="006229D6" w:rsidRPr="006229D6" w:rsidRDefault="006229D6" w:rsidP="006229D6">
      <w:pPr>
        <w:spacing w:line="240" w:lineRule="auto"/>
        <w:rPr>
          <w:rFonts w:eastAsia="Times New Roman" w:cs="Arial"/>
        </w:rPr>
      </w:pPr>
      <w:r w:rsidRPr="006229D6">
        <w:rPr>
          <w:rFonts w:eastAsia="Times New Roman" w:cs="Arial"/>
          <w:color w:val="000000"/>
          <w:lang w:eastAsia="bg-BG"/>
        </w:rPr>
        <w:t xml:space="preserve">Тежки кожни нежелани реакции </w:t>
      </w:r>
      <w:r w:rsidRPr="006229D6">
        <w:rPr>
          <w:rFonts w:eastAsia="Times New Roman" w:cs="Arial"/>
          <w:color w:val="000000"/>
        </w:rPr>
        <w:t>(</w:t>
      </w:r>
      <w:r w:rsidRPr="006229D6">
        <w:rPr>
          <w:rFonts w:eastAsia="Times New Roman" w:cs="Arial"/>
          <w:color w:val="000000"/>
          <w:lang w:val="en-US"/>
        </w:rPr>
        <w:t>SCARs</w:t>
      </w:r>
      <w:r w:rsidRPr="006229D6">
        <w:rPr>
          <w:rFonts w:eastAsia="Times New Roman" w:cs="Arial"/>
          <w:color w:val="000000"/>
        </w:rPr>
        <w:t xml:space="preserve">): </w:t>
      </w:r>
      <w:r w:rsidRPr="006229D6">
        <w:rPr>
          <w:rFonts w:eastAsia="Times New Roman" w:cs="Arial"/>
          <w:color w:val="000000"/>
          <w:lang w:eastAsia="bg-BG"/>
        </w:rPr>
        <w:t xml:space="preserve">докладвани са </w:t>
      </w:r>
      <w:r w:rsidRPr="006229D6">
        <w:rPr>
          <w:rFonts w:eastAsia="Times New Roman" w:cs="Arial"/>
          <w:color w:val="000000"/>
          <w:lang w:val="en-US"/>
        </w:rPr>
        <w:t>Stevens</w:t>
      </w:r>
      <w:r w:rsidRPr="006229D6">
        <w:rPr>
          <w:rFonts w:eastAsia="Times New Roman" w:cs="Arial"/>
          <w:color w:val="000000"/>
        </w:rPr>
        <w:t>-</w:t>
      </w:r>
      <w:r w:rsidRPr="006229D6">
        <w:rPr>
          <w:rFonts w:eastAsia="Times New Roman" w:cs="Arial"/>
          <w:color w:val="000000"/>
          <w:lang w:val="en-US"/>
        </w:rPr>
        <w:t>Johnson</w:t>
      </w:r>
      <w:r w:rsidRPr="006229D6">
        <w:rPr>
          <w:rFonts w:eastAsia="Times New Roman" w:cs="Arial"/>
          <w:color w:val="000000"/>
        </w:rPr>
        <w:t xml:space="preserve"> (</w:t>
      </w:r>
      <w:r w:rsidRPr="006229D6">
        <w:rPr>
          <w:rFonts w:eastAsia="Times New Roman" w:cs="Arial"/>
          <w:color w:val="000000"/>
          <w:lang w:val="en-US"/>
        </w:rPr>
        <w:t>SJS</w:t>
      </w:r>
      <w:r w:rsidRPr="006229D6">
        <w:rPr>
          <w:rFonts w:eastAsia="Times New Roman" w:cs="Arial"/>
          <w:color w:val="000000"/>
        </w:rPr>
        <w:t xml:space="preserve">) </w:t>
      </w:r>
      <w:r w:rsidRPr="006229D6">
        <w:rPr>
          <w:rFonts w:eastAsia="Times New Roman" w:cs="Arial"/>
          <w:color w:val="000000"/>
          <w:lang w:eastAsia="bg-BG"/>
        </w:rPr>
        <w:t xml:space="preserve">и токсична епидермална некролиза </w:t>
      </w:r>
      <w:r w:rsidRPr="006229D6">
        <w:rPr>
          <w:rFonts w:eastAsia="Times New Roman" w:cs="Arial"/>
          <w:color w:val="000000"/>
        </w:rPr>
        <w:t>(</w:t>
      </w:r>
      <w:r w:rsidRPr="006229D6">
        <w:rPr>
          <w:rFonts w:eastAsia="Times New Roman" w:cs="Arial"/>
          <w:color w:val="000000"/>
          <w:lang w:val="en-US"/>
        </w:rPr>
        <w:t>TEN</w:t>
      </w:r>
      <w:r w:rsidRPr="006229D6">
        <w:rPr>
          <w:rFonts w:eastAsia="Times New Roman" w:cs="Arial"/>
          <w:color w:val="000000"/>
        </w:rPr>
        <w:t xml:space="preserve">), </w:t>
      </w:r>
      <w:r w:rsidRPr="006229D6">
        <w:rPr>
          <w:rFonts w:eastAsia="Times New Roman" w:cs="Arial"/>
          <w:color w:val="000000"/>
          <w:lang w:eastAsia="bg-BG"/>
        </w:rPr>
        <w:t>(вж. т. 4.4).</w:t>
      </w:r>
    </w:p>
    <w:p w14:paraId="10955F77" w14:textId="77777777" w:rsidR="006229D6" w:rsidRPr="006229D6" w:rsidRDefault="006229D6" w:rsidP="006229D6">
      <w:pPr>
        <w:spacing w:line="240" w:lineRule="auto"/>
        <w:rPr>
          <w:rFonts w:eastAsia="Times New Roman" w:cs="Arial"/>
          <w:color w:val="000000"/>
          <w:lang w:eastAsia="bg-BG"/>
        </w:rPr>
      </w:pPr>
    </w:p>
    <w:p w14:paraId="301950C7" w14:textId="43939A5B" w:rsidR="006229D6" w:rsidRPr="006229D6" w:rsidRDefault="006229D6" w:rsidP="006229D6">
      <w:pPr>
        <w:spacing w:line="240" w:lineRule="auto"/>
        <w:rPr>
          <w:rFonts w:eastAsia="Times New Roman" w:cs="Arial"/>
        </w:rPr>
      </w:pPr>
      <w:r w:rsidRPr="006229D6">
        <w:rPr>
          <w:rFonts w:eastAsia="Times New Roman" w:cs="Arial"/>
          <w:color w:val="000000"/>
          <w:lang w:eastAsia="bg-BG"/>
        </w:rPr>
        <w:t xml:space="preserve">Честотата на наблюдаваните нежелани лекарствени реакции посочени по-долу се базира на съответната проява на съобщаваните нежелани реакции от 27 клинични изпитвания с продължителност на лечението - най-малко 14 дни. Информацията се основава на клинични изпитвания, включващи 15 197 пациенти, които са приемали дневни дози от 7,5 или 15 </w:t>
      </w:r>
      <w:r w:rsidRPr="006229D6">
        <w:rPr>
          <w:rFonts w:eastAsia="Times New Roman" w:cs="Arial"/>
          <w:color w:val="000000"/>
          <w:lang w:val="en-US"/>
        </w:rPr>
        <w:t>mg</w:t>
      </w:r>
      <w:r w:rsidRPr="006229D6">
        <w:rPr>
          <w:rFonts w:eastAsia="Times New Roman" w:cs="Arial"/>
          <w:color w:val="000000"/>
          <w:lang w:val="ru-RU"/>
        </w:rPr>
        <w:t xml:space="preserve"> </w:t>
      </w:r>
      <w:r w:rsidRPr="006229D6">
        <w:rPr>
          <w:rFonts w:eastAsia="Times New Roman" w:cs="Arial"/>
          <w:color w:val="000000"/>
          <w:lang w:eastAsia="bg-BG"/>
        </w:rPr>
        <w:t>мелоксикам таблетки или капсули за период до една година.</w:t>
      </w:r>
    </w:p>
    <w:p w14:paraId="563CA5F4"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Включени са нежелани лекарствни реакции, появили се в резултат на съобщения получени във връзка с употребата на продукта от пазара.ю</w:t>
      </w:r>
    </w:p>
    <w:p w14:paraId="6FB75C4D" w14:textId="77777777" w:rsidR="006229D6" w:rsidRPr="006229D6" w:rsidRDefault="006229D6" w:rsidP="006229D6">
      <w:pPr>
        <w:spacing w:line="240" w:lineRule="auto"/>
        <w:rPr>
          <w:rFonts w:eastAsia="Times New Roman" w:cs="Arial"/>
        </w:rPr>
      </w:pPr>
    </w:p>
    <w:p w14:paraId="25346552" w14:textId="4D7C19DE" w:rsidR="006229D6" w:rsidRPr="006229D6" w:rsidRDefault="006229D6" w:rsidP="006229D6">
      <w:pPr>
        <w:rPr>
          <w:rFonts w:eastAsia="Times New Roman" w:cs="Arial"/>
          <w:color w:val="000000"/>
          <w:lang w:eastAsia="bg-BG"/>
        </w:rPr>
      </w:pPr>
      <w:r w:rsidRPr="006229D6">
        <w:rPr>
          <w:rFonts w:eastAsia="Times New Roman" w:cs="Arial"/>
          <w:color w:val="000000"/>
          <w:lang w:eastAsia="bg-BG"/>
        </w:rPr>
        <w:t xml:space="preserve">Нежеланите реакции са класифицирани според честотата, използвайки следната конвенция: много чести (≥1/10), чести (≥1/100 до &lt;1/10), нечести (≥1/1 000 до &lt; </w:t>
      </w:r>
      <w:r w:rsidRPr="006229D6">
        <w:rPr>
          <w:rFonts w:eastAsia="Times New Roman" w:cs="Arial"/>
          <w:color w:val="000000"/>
          <w:lang w:val="en-US"/>
        </w:rPr>
        <w:t>l</w:t>
      </w:r>
      <w:r w:rsidRPr="006229D6">
        <w:rPr>
          <w:rFonts w:eastAsia="Times New Roman" w:cs="Arial"/>
          <w:color w:val="000000"/>
          <w:lang w:val="ru-RU"/>
        </w:rPr>
        <w:t>/100);</w:t>
      </w:r>
      <w:r w:rsidRPr="006229D6">
        <w:rPr>
          <w:rFonts w:eastAsia="Times New Roman" w:cs="Arial"/>
          <w:color w:val="000000"/>
          <w:lang w:eastAsia="bg-BG"/>
        </w:rPr>
        <w:t xml:space="preserve"> редки (≥1/10 000 до &lt; 1/1 000) или много редки (&lt;1/10 000), с неизвестна честота (от наличните данни не може да бъде направена оценка).</w:t>
      </w:r>
    </w:p>
    <w:p w14:paraId="2CF937FC" w14:textId="6FE58C52" w:rsidR="006229D6" w:rsidRPr="006229D6" w:rsidRDefault="006229D6" w:rsidP="006229D6">
      <w:pPr>
        <w:rPr>
          <w:rFonts w:eastAsia="Times New Roman" w:cs="Arial"/>
          <w:color w:val="000000"/>
          <w:lang w:eastAsia="bg-BG"/>
        </w:rPr>
      </w:pPr>
    </w:p>
    <w:p w14:paraId="51F766EB"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Редки: промени в броя на кръвните клетки (включително в диференциалното броене на белите кръвни клетки), левкопения и тромбоцитопения</w:t>
      </w:r>
    </w:p>
    <w:p w14:paraId="3E57F20B" w14:textId="77777777" w:rsidR="006229D6" w:rsidRPr="006229D6" w:rsidRDefault="006229D6" w:rsidP="006229D6">
      <w:pPr>
        <w:spacing w:line="240" w:lineRule="auto"/>
        <w:rPr>
          <w:rFonts w:eastAsia="Times New Roman" w:cs="Arial"/>
          <w:color w:val="000000"/>
          <w:lang w:eastAsia="bg-BG"/>
        </w:rPr>
      </w:pPr>
    </w:p>
    <w:p w14:paraId="1B3418C5" w14:textId="7D479625" w:rsidR="006229D6" w:rsidRPr="006229D6" w:rsidRDefault="006229D6" w:rsidP="006229D6">
      <w:pPr>
        <w:spacing w:line="240" w:lineRule="auto"/>
        <w:rPr>
          <w:rFonts w:eastAsia="Times New Roman" w:cs="Arial"/>
        </w:rPr>
      </w:pPr>
      <w:r w:rsidRPr="006229D6">
        <w:rPr>
          <w:rFonts w:eastAsia="Times New Roman" w:cs="Arial"/>
          <w:color w:val="000000"/>
          <w:lang w:eastAsia="bg-BG"/>
        </w:rPr>
        <w:t xml:space="preserve">Съобщавани са много редки случаи на агранулоцитоза ( вж. точка </w:t>
      </w:r>
      <w:r w:rsidRPr="006229D6">
        <w:rPr>
          <w:rFonts w:eastAsia="Times New Roman" w:cs="Arial"/>
          <w:i/>
          <w:iCs/>
          <w:color w:val="000000"/>
          <w:lang w:eastAsia="bg-BG"/>
        </w:rPr>
        <w:t>в)</w:t>
      </w:r>
    </w:p>
    <w:p w14:paraId="1A66DEDA" w14:textId="77777777" w:rsidR="006229D6" w:rsidRPr="006229D6" w:rsidRDefault="006229D6" w:rsidP="006229D6">
      <w:pPr>
        <w:spacing w:line="240" w:lineRule="auto"/>
        <w:rPr>
          <w:rFonts w:eastAsia="Times New Roman" w:cs="Arial"/>
          <w:color w:val="000000"/>
          <w:u w:val="single"/>
          <w:lang w:eastAsia="bg-BG"/>
        </w:rPr>
      </w:pPr>
    </w:p>
    <w:p w14:paraId="38A6F769" w14:textId="143A449C" w:rsidR="006229D6" w:rsidRPr="006229D6" w:rsidRDefault="006229D6" w:rsidP="006229D6">
      <w:pPr>
        <w:spacing w:line="240" w:lineRule="auto"/>
        <w:rPr>
          <w:rFonts w:eastAsia="Times New Roman" w:cs="Arial"/>
        </w:rPr>
      </w:pPr>
      <w:r w:rsidRPr="006229D6">
        <w:rPr>
          <w:rFonts w:eastAsia="Times New Roman" w:cs="Arial"/>
          <w:color w:val="000000"/>
          <w:u w:val="single"/>
          <w:lang w:eastAsia="bg-BG"/>
        </w:rPr>
        <w:t>Нарушения на имунната система</w:t>
      </w:r>
    </w:p>
    <w:p w14:paraId="786E59AC"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Нечести: алергични реакции, различни от анафилактични- или анафилкгоидни реакции.</w:t>
      </w:r>
    </w:p>
    <w:p w14:paraId="3C731638"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С неизвестна честота: анафилактични реакции или анафилкгоидни реакции</w:t>
      </w:r>
    </w:p>
    <w:p w14:paraId="09FD1596" w14:textId="77777777" w:rsidR="006229D6" w:rsidRPr="006229D6" w:rsidRDefault="006229D6" w:rsidP="006229D6">
      <w:pPr>
        <w:spacing w:line="240" w:lineRule="auto"/>
        <w:rPr>
          <w:rFonts w:eastAsia="Times New Roman" w:cs="Arial"/>
          <w:color w:val="000000"/>
          <w:u w:val="single"/>
          <w:lang w:eastAsia="bg-BG"/>
        </w:rPr>
      </w:pPr>
    </w:p>
    <w:p w14:paraId="26282A34" w14:textId="7780244A" w:rsidR="006229D6" w:rsidRPr="006229D6" w:rsidRDefault="006229D6" w:rsidP="006229D6">
      <w:pPr>
        <w:spacing w:line="240" w:lineRule="auto"/>
        <w:rPr>
          <w:rFonts w:eastAsia="Times New Roman" w:cs="Arial"/>
        </w:rPr>
      </w:pPr>
      <w:r w:rsidRPr="006229D6">
        <w:rPr>
          <w:rFonts w:eastAsia="Times New Roman" w:cs="Arial"/>
          <w:color w:val="000000"/>
          <w:u w:val="single"/>
          <w:lang w:eastAsia="bg-BG"/>
        </w:rPr>
        <w:t>Психични нарушения</w:t>
      </w:r>
    </w:p>
    <w:p w14:paraId="6DE7C7C8"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Редки: изменение на настроението, сънуване на кошмари</w:t>
      </w:r>
    </w:p>
    <w:p w14:paraId="6FE83B04"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С неизвестна честота: чувство на обърканост, дезориентация</w:t>
      </w:r>
    </w:p>
    <w:p w14:paraId="08E3E888" w14:textId="77777777" w:rsidR="006229D6" w:rsidRPr="006229D6" w:rsidRDefault="006229D6" w:rsidP="006229D6">
      <w:pPr>
        <w:spacing w:line="240" w:lineRule="auto"/>
        <w:rPr>
          <w:rFonts w:eastAsia="Times New Roman" w:cs="Arial"/>
          <w:color w:val="000000"/>
          <w:u w:val="single"/>
          <w:lang w:eastAsia="bg-BG"/>
        </w:rPr>
      </w:pPr>
    </w:p>
    <w:p w14:paraId="3B2CEFEE" w14:textId="4D31C1C8" w:rsidR="006229D6" w:rsidRPr="006229D6" w:rsidRDefault="006229D6" w:rsidP="006229D6">
      <w:pPr>
        <w:spacing w:line="240" w:lineRule="auto"/>
        <w:rPr>
          <w:rFonts w:eastAsia="Times New Roman" w:cs="Arial"/>
        </w:rPr>
      </w:pPr>
      <w:r w:rsidRPr="006229D6">
        <w:rPr>
          <w:rFonts w:eastAsia="Times New Roman" w:cs="Arial"/>
          <w:color w:val="000000"/>
          <w:u w:val="single"/>
          <w:lang w:eastAsia="bg-BG"/>
        </w:rPr>
        <w:t>Нарушения на нервната система</w:t>
      </w:r>
    </w:p>
    <w:p w14:paraId="45FD5175"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Чести: главоболие</w:t>
      </w:r>
    </w:p>
    <w:p w14:paraId="222AC0BC"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Нечести: замайване, сънливост</w:t>
      </w:r>
    </w:p>
    <w:p w14:paraId="33C8E2C2" w14:textId="77777777" w:rsidR="006229D6" w:rsidRPr="006229D6" w:rsidRDefault="006229D6" w:rsidP="006229D6">
      <w:pPr>
        <w:spacing w:line="240" w:lineRule="auto"/>
        <w:rPr>
          <w:rFonts w:eastAsia="Times New Roman" w:cs="Arial"/>
          <w:color w:val="000000"/>
          <w:u w:val="single"/>
          <w:lang w:eastAsia="bg-BG"/>
        </w:rPr>
      </w:pPr>
    </w:p>
    <w:p w14:paraId="5D30ADDC" w14:textId="2A5C58D6" w:rsidR="006229D6" w:rsidRPr="006229D6" w:rsidRDefault="006229D6" w:rsidP="006229D6">
      <w:pPr>
        <w:spacing w:line="240" w:lineRule="auto"/>
        <w:rPr>
          <w:rFonts w:eastAsia="Times New Roman" w:cs="Arial"/>
        </w:rPr>
      </w:pPr>
      <w:r w:rsidRPr="006229D6">
        <w:rPr>
          <w:rFonts w:eastAsia="Times New Roman" w:cs="Arial"/>
          <w:color w:val="000000"/>
          <w:u w:val="single"/>
          <w:lang w:eastAsia="bg-BG"/>
        </w:rPr>
        <w:t>Зрителни нарушения</w:t>
      </w:r>
    </w:p>
    <w:p w14:paraId="2F8AA84A"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Редки: нарушения в зрението, включително замъглено зрение; конюнктивит</w:t>
      </w:r>
    </w:p>
    <w:p w14:paraId="46B8B111" w14:textId="77777777" w:rsidR="006229D6" w:rsidRPr="006229D6" w:rsidRDefault="006229D6" w:rsidP="006229D6">
      <w:pPr>
        <w:spacing w:line="240" w:lineRule="auto"/>
        <w:rPr>
          <w:rFonts w:eastAsia="Times New Roman" w:cs="Arial"/>
          <w:color w:val="000000"/>
          <w:u w:val="single"/>
          <w:lang w:eastAsia="bg-BG"/>
        </w:rPr>
      </w:pPr>
    </w:p>
    <w:p w14:paraId="7566F0C7" w14:textId="3CAFFE39" w:rsidR="006229D6" w:rsidRPr="006229D6" w:rsidRDefault="006229D6" w:rsidP="006229D6">
      <w:pPr>
        <w:spacing w:line="240" w:lineRule="auto"/>
        <w:rPr>
          <w:rFonts w:eastAsia="Times New Roman" w:cs="Arial"/>
        </w:rPr>
      </w:pPr>
      <w:r w:rsidRPr="006229D6">
        <w:rPr>
          <w:rFonts w:eastAsia="Times New Roman" w:cs="Arial"/>
          <w:color w:val="000000"/>
          <w:u w:val="single"/>
          <w:lang w:eastAsia="bg-BG"/>
        </w:rPr>
        <w:t>Нарушения на слуховия апарат</w:t>
      </w:r>
    </w:p>
    <w:p w14:paraId="092FF097"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Нечести: световъртеж</w:t>
      </w:r>
    </w:p>
    <w:p w14:paraId="0F2D92B9"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Редки: бучене в ушите</w:t>
      </w:r>
    </w:p>
    <w:p w14:paraId="271DCD49" w14:textId="77777777" w:rsidR="006229D6" w:rsidRPr="006229D6" w:rsidRDefault="006229D6" w:rsidP="006229D6">
      <w:pPr>
        <w:spacing w:line="240" w:lineRule="auto"/>
        <w:rPr>
          <w:rFonts w:eastAsia="Times New Roman" w:cs="Arial"/>
          <w:color w:val="000000"/>
          <w:u w:val="single"/>
          <w:lang w:eastAsia="bg-BG"/>
        </w:rPr>
      </w:pPr>
    </w:p>
    <w:p w14:paraId="626269B8" w14:textId="366DA348" w:rsidR="006229D6" w:rsidRPr="006229D6" w:rsidRDefault="006229D6" w:rsidP="006229D6">
      <w:pPr>
        <w:spacing w:line="240" w:lineRule="auto"/>
        <w:rPr>
          <w:rFonts w:eastAsia="Times New Roman" w:cs="Arial"/>
        </w:rPr>
      </w:pPr>
      <w:r w:rsidRPr="006229D6">
        <w:rPr>
          <w:rFonts w:eastAsia="Times New Roman" w:cs="Arial"/>
          <w:color w:val="000000"/>
          <w:u w:val="single"/>
          <w:lang w:eastAsia="bg-BG"/>
        </w:rPr>
        <w:t>Съдечни нарушения</w:t>
      </w:r>
    </w:p>
    <w:p w14:paraId="747E9F9E"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Редки: сърцебиене</w:t>
      </w:r>
    </w:p>
    <w:p w14:paraId="09758A4E" w14:textId="77777777" w:rsidR="006229D6" w:rsidRPr="006229D6" w:rsidRDefault="006229D6" w:rsidP="006229D6">
      <w:pPr>
        <w:spacing w:line="240" w:lineRule="auto"/>
        <w:rPr>
          <w:rFonts w:eastAsia="Times New Roman" w:cs="Arial"/>
          <w:color w:val="000000"/>
          <w:lang w:eastAsia="bg-BG"/>
        </w:rPr>
      </w:pPr>
    </w:p>
    <w:p w14:paraId="38BE6031" w14:textId="4ECF8030" w:rsidR="006229D6" w:rsidRPr="006229D6" w:rsidRDefault="006229D6" w:rsidP="006229D6">
      <w:pPr>
        <w:spacing w:line="240" w:lineRule="auto"/>
        <w:rPr>
          <w:rFonts w:eastAsia="Times New Roman" w:cs="Arial"/>
        </w:rPr>
      </w:pPr>
      <w:r w:rsidRPr="006229D6">
        <w:rPr>
          <w:rFonts w:eastAsia="Times New Roman" w:cs="Arial"/>
          <w:color w:val="000000"/>
          <w:lang w:eastAsia="bg-BG"/>
        </w:rPr>
        <w:t>Съобщавана е сърдечна недостатъчност, във връзка с лечение с НСПВС.</w:t>
      </w:r>
    </w:p>
    <w:p w14:paraId="21DF1019" w14:textId="77777777" w:rsidR="006229D6" w:rsidRPr="006229D6" w:rsidRDefault="006229D6" w:rsidP="006229D6">
      <w:pPr>
        <w:spacing w:line="240" w:lineRule="auto"/>
        <w:rPr>
          <w:rFonts w:eastAsia="Times New Roman" w:cs="Arial"/>
          <w:color w:val="000000"/>
          <w:u w:val="single"/>
          <w:lang w:eastAsia="bg-BG"/>
        </w:rPr>
      </w:pPr>
    </w:p>
    <w:p w14:paraId="7A7D11F0" w14:textId="3D5931FA" w:rsidR="006229D6" w:rsidRPr="006229D6" w:rsidRDefault="006229D6" w:rsidP="006229D6">
      <w:pPr>
        <w:spacing w:line="240" w:lineRule="auto"/>
        <w:rPr>
          <w:rFonts w:eastAsia="Times New Roman" w:cs="Arial"/>
        </w:rPr>
      </w:pPr>
      <w:r w:rsidRPr="006229D6">
        <w:rPr>
          <w:rFonts w:eastAsia="Times New Roman" w:cs="Arial"/>
          <w:color w:val="000000"/>
          <w:u w:val="single"/>
          <w:lang w:eastAsia="bg-BG"/>
        </w:rPr>
        <w:t>Съдови нарушения</w:t>
      </w:r>
    </w:p>
    <w:p w14:paraId="2B2611BC"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lastRenderedPageBreak/>
        <w:t>Нечести: повишено кръвно налягане ( вж. точка 4.4), зачервяване</w:t>
      </w:r>
    </w:p>
    <w:p w14:paraId="1D36BD5C" w14:textId="77777777" w:rsidR="006229D6" w:rsidRPr="006229D6" w:rsidRDefault="006229D6" w:rsidP="006229D6">
      <w:pPr>
        <w:spacing w:line="240" w:lineRule="auto"/>
        <w:rPr>
          <w:rFonts w:eastAsia="Times New Roman" w:cs="Arial"/>
          <w:color w:val="000000"/>
          <w:u w:val="single"/>
          <w:lang w:eastAsia="bg-BG"/>
        </w:rPr>
      </w:pPr>
    </w:p>
    <w:p w14:paraId="6E832259" w14:textId="0579657A" w:rsidR="006229D6" w:rsidRPr="006229D6" w:rsidRDefault="006229D6" w:rsidP="006229D6">
      <w:pPr>
        <w:spacing w:line="240" w:lineRule="auto"/>
        <w:rPr>
          <w:rFonts w:eastAsia="Times New Roman" w:cs="Arial"/>
        </w:rPr>
      </w:pPr>
      <w:r w:rsidRPr="006229D6">
        <w:rPr>
          <w:rFonts w:eastAsia="Times New Roman" w:cs="Arial"/>
          <w:color w:val="000000"/>
          <w:u w:val="single"/>
          <w:lang w:eastAsia="bg-BG"/>
        </w:rPr>
        <w:t>Респираторни, торакални и медиастинални нарушения</w:t>
      </w:r>
    </w:p>
    <w:p w14:paraId="37C9B45B"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Редки: поява на астма при индивиди, алергични към аспирин или други НСПВС.</w:t>
      </w:r>
    </w:p>
    <w:p w14:paraId="3E523EE2" w14:textId="77777777" w:rsidR="006229D6" w:rsidRPr="006229D6" w:rsidRDefault="006229D6" w:rsidP="006229D6">
      <w:pPr>
        <w:spacing w:line="240" w:lineRule="auto"/>
        <w:rPr>
          <w:rFonts w:eastAsia="Times New Roman" w:cs="Arial"/>
          <w:color w:val="000000"/>
          <w:u w:val="single"/>
          <w:lang w:eastAsia="bg-BG"/>
        </w:rPr>
      </w:pPr>
    </w:p>
    <w:p w14:paraId="5018E2FF" w14:textId="580B2333" w:rsidR="006229D6" w:rsidRPr="006229D6" w:rsidRDefault="006229D6" w:rsidP="006229D6">
      <w:pPr>
        <w:spacing w:line="240" w:lineRule="auto"/>
        <w:rPr>
          <w:rFonts w:eastAsia="Times New Roman" w:cs="Arial"/>
        </w:rPr>
      </w:pPr>
      <w:r w:rsidRPr="006229D6">
        <w:rPr>
          <w:rFonts w:eastAsia="Times New Roman" w:cs="Arial"/>
          <w:color w:val="000000"/>
          <w:u w:val="single"/>
          <w:lang w:eastAsia="bg-BG"/>
        </w:rPr>
        <w:t>Гастроинтестинални нарушения:</w:t>
      </w:r>
    </w:p>
    <w:p w14:paraId="65C9259A"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Много чести: стомашно-чревни нежелани събития като цяло (включващи диспепсия, гадене, повръщане, стомашна болка, констипация, метеоризъм, диария)</w:t>
      </w:r>
    </w:p>
    <w:p w14:paraId="70B48465"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Нечести: окултна или макроскопска гастро-интестинална хеморагия, стоматит, гастрит, оригване</w:t>
      </w:r>
    </w:p>
    <w:p w14:paraId="584815C5"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Редки: колит, гастро-дуоденална язва, езофагит</w:t>
      </w:r>
    </w:p>
    <w:p w14:paraId="607802CD"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Много редки: гастро-интестинална перфорация</w:t>
      </w:r>
    </w:p>
    <w:p w14:paraId="77106350"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С неизвестна честота: панкреатит</w:t>
      </w:r>
    </w:p>
    <w:p w14:paraId="4ABEE308"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Гастро-интестинално кървене, язва или перфорация е възможно понякога да бъдат тежки и потенциално фатални, особено при пациенти в старческа възраст (вж. точка 4.4).</w:t>
      </w:r>
    </w:p>
    <w:p w14:paraId="51D761CB" w14:textId="77777777" w:rsidR="006229D6" w:rsidRPr="006229D6" w:rsidRDefault="006229D6" w:rsidP="006229D6">
      <w:pPr>
        <w:spacing w:line="240" w:lineRule="auto"/>
        <w:rPr>
          <w:rFonts w:eastAsia="Times New Roman" w:cs="Arial"/>
          <w:color w:val="000000"/>
          <w:u w:val="single"/>
          <w:lang w:eastAsia="bg-BG"/>
        </w:rPr>
      </w:pPr>
    </w:p>
    <w:p w14:paraId="18188433" w14:textId="74433865" w:rsidR="006229D6" w:rsidRPr="006229D6" w:rsidRDefault="006229D6" w:rsidP="006229D6">
      <w:pPr>
        <w:spacing w:line="240" w:lineRule="auto"/>
        <w:rPr>
          <w:rFonts w:eastAsia="Times New Roman" w:cs="Arial"/>
        </w:rPr>
      </w:pPr>
      <w:r w:rsidRPr="006229D6">
        <w:rPr>
          <w:rFonts w:eastAsia="Times New Roman" w:cs="Arial"/>
          <w:color w:val="000000"/>
          <w:u w:val="single"/>
          <w:lang w:eastAsia="bg-BG"/>
        </w:rPr>
        <w:t>Хепатобилиарни нарушения</w:t>
      </w:r>
    </w:p>
    <w:p w14:paraId="7F944747"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Нечести: нарушение на чернодробната функция (напр.повишени нива на трансаминазите или билирубин)</w:t>
      </w:r>
    </w:p>
    <w:p w14:paraId="767F7C2E"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Много редки: хепатит</w:t>
      </w:r>
    </w:p>
    <w:p w14:paraId="13CBE7A0" w14:textId="77777777" w:rsidR="006229D6" w:rsidRPr="006229D6" w:rsidRDefault="006229D6" w:rsidP="006229D6">
      <w:pPr>
        <w:spacing w:line="240" w:lineRule="auto"/>
        <w:rPr>
          <w:rFonts w:eastAsia="Times New Roman" w:cs="Arial"/>
        </w:rPr>
      </w:pPr>
    </w:p>
    <w:p w14:paraId="1081A2CB" w14:textId="77777777" w:rsidR="006229D6" w:rsidRPr="006229D6" w:rsidRDefault="006229D6" w:rsidP="006229D6">
      <w:pPr>
        <w:spacing w:line="240" w:lineRule="auto"/>
        <w:rPr>
          <w:rFonts w:eastAsia="Times New Roman" w:cs="Arial"/>
        </w:rPr>
      </w:pPr>
      <w:r w:rsidRPr="006229D6">
        <w:rPr>
          <w:rFonts w:eastAsia="Times New Roman" w:cs="Arial"/>
          <w:color w:val="000000"/>
          <w:u w:val="single"/>
          <w:lang w:eastAsia="bg-BG"/>
        </w:rPr>
        <w:t>Нарушения на кожата и подкожните тъкани</w:t>
      </w:r>
    </w:p>
    <w:p w14:paraId="584F0C07"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Нечести: ангиоедем, пруритус, обрив</w:t>
      </w:r>
    </w:p>
    <w:p w14:paraId="6B8D50EA"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Редки: синдром на Стивънс-Джонсън, токсична епидермална некролиза, уртикария</w:t>
      </w:r>
    </w:p>
    <w:p w14:paraId="54451475" w14:textId="4EED595A" w:rsidR="006229D6" w:rsidRPr="006229D6" w:rsidRDefault="006229D6" w:rsidP="006229D6">
      <w:pPr>
        <w:rPr>
          <w:rFonts w:eastAsia="Times New Roman" w:cs="Arial"/>
          <w:color w:val="000000"/>
          <w:lang w:eastAsia="bg-BG"/>
        </w:rPr>
      </w:pPr>
      <w:r w:rsidRPr="006229D6">
        <w:rPr>
          <w:rFonts w:eastAsia="Times New Roman" w:cs="Arial"/>
          <w:color w:val="000000"/>
          <w:lang w:eastAsia="bg-BG"/>
        </w:rPr>
        <w:t>Много редки: булозен дерматит, мултиформена еритема</w:t>
      </w:r>
    </w:p>
    <w:p w14:paraId="0289A4DF" w14:textId="6F5D8633" w:rsidR="006229D6" w:rsidRPr="006229D6" w:rsidRDefault="006229D6" w:rsidP="006229D6">
      <w:pPr>
        <w:rPr>
          <w:rFonts w:cs="Arial"/>
        </w:rPr>
      </w:pPr>
      <w:r w:rsidRPr="006229D6">
        <w:rPr>
          <w:rFonts w:cs="Arial"/>
        </w:rPr>
        <w:t>С неизвестна честота: реакции на фоточувствителност</w:t>
      </w:r>
    </w:p>
    <w:p w14:paraId="71F23DE6" w14:textId="753D85A1" w:rsidR="006229D6" w:rsidRPr="006229D6" w:rsidRDefault="006229D6" w:rsidP="006229D6">
      <w:pPr>
        <w:rPr>
          <w:rFonts w:cs="Arial"/>
        </w:rPr>
      </w:pPr>
    </w:p>
    <w:p w14:paraId="2085C061" w14:textId="77777777" w:rsidR="006229D6" w:rsidRPr="006229D6" w:rsidRDefault="006229D6" w:rsidP="006229D6">
      <w:pPr>
        <w:spacing w:line="240" w:lineRule="auto"/>
        <w:rPr>
          <w:rFonts w:eastAsia="Times New Roman" w:cs="Arial"/>
        </w:rPr>
      </w:pPr>
      <w:r w:rsidRPr="006229D6">
        <w:rPr>
          <w:rFonts w:eastAsia="Times New Roman" w:cs="Arial"/>
          <w:color w:val="000000"/>
          <w:u w:val="single"/>
          <w:lang w:eastAsia="bg-BG"/>
        </w:rPr>
        <w:t>Бъбречни и пикочополови нарушения</w:t>
      </w:r>
    </w:p>
    <w:p w14:paraId="463219C9"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Нечести: задръжка на натрий и вода, хиперкалиемия (вж. точка 4.4 Специални предупреждения и предпазни мерки при употреба) абнормни параметри на бъбречната функция (повишен серумен креатинин и/или серумна урея)</w:t>
      </w:r>
    </w:p>
    <w:p w14:paraId="0B1417FA"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Много редки: остра бъбречна недостатъчност, особено при пациенти с рискови фактори ( вж. точка 4.4)</w:t>
      </w:r>
    </w:p>
    <w:p w14:paraId="1CA65A2F" w14:textId="77777777" w:rsidR="006229D6" w:rsidRPr="006229D6" w:rsidRDefault="006229D6" w:rsidP="006229D6">
      <w:pPr>
        <w:spacing w:line="240" w:lineRule="auto"/>
        <w:rPr>
          <w:rFonts w:eastAsia="Times New Roman" w:cs="Arial"/>
          <w:color w:val="000000"/>
          <w:u w:val="single"/>
          <w:lang w:eastAsia="bg-BG"/>
        </w:rPr>
      </w:pPr>
    </w:p>
    <w:p w14:paraId="1CE89123" w14:textId="09FF27CB" w:rsidR="006229D6" w:rsidRPr="006229D6" w:rsidRDefault="006229D6" w:rsidP="006229D6">
      <w:pPr>
        <w:spacing w:line="240" w:lineRule="auto"/>
        <w:rPr>
          <w:rFonts w:eastAsia="Times New Roman" w:cs="Arial"/>
        </w:rPr>
      </w:pPr>
      <w:r w:rsidRPr="006229D6">
        <w:rPr>
          <w:rFonts w:eastAsia="Times New Roman" w:cs="Arial"/>
          <w:color w:val="000000"/>
          <w:u w:val="single"/>
          <w:lang w:eastAsia="bg-BG"/>
        </w:rPr>
        <w:t>Общи нарушения и условия на мястото на прилагане</w:t>
      </w:r>
    </w:p>
    <w:p w14:paraId="2114B1DA"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Нечести: едем, включително едем на долните крайници</w:t>
      </w:r>
    </w:p>
    <w:p w14:paraId="574E0356" w14:textId="77777777" w:rsidR="006229D6" w:rsidRPr="006229D6" w:rsidRDefault="006229D6" w:rsidP="006229D6">
      <w:pPr>
        <w:spacing w:line="240" w:lineRule="auto"/>
        <w:rPr>
          <w:rFonts w:eastAsia="Times New Roman" w:cs="Arial"/>
          <w:i/>
          <w:iCs/>
          <w:color w:val="000000"/>
          <w:lang w:eastAsia="bg-BG"/>
        </w:rPr>
      </w:pPr>
    </w:p>
    <w:p w14:paraId="31F7AC46" w14:textId="08AED9CE" w:rsidR="006229D6" w:rsidRPr="006229D6" w:rsidRDefault="006229D6" w:rsidP="006229D6">
      <w:pPr>
        <w:spacing w:line="240" w:lineRule="auto"/>
        <w:rPr>
          <w:rFonts w:eastAsia="Times New Roman" w:cs="Arial"/>
          <w:i/>
          <w:iCs/>
          <w:color w:val="000000"/>
          <w:lang w:eastAsia="bg-BG"/>
        </w:rPr>
      </w:pPr>
      <w:r w:rsidRPr="006229D6">
        <w:rPr>
          <w:rFonts w:eastAsia="Times New Roman" w:cs="Arial"/>
          <w:i/>
          <w:iCs/>
          <w:color w:val="000000"/>
          <w:lang w:eastAsia="bg-BG"/>
        </w:rPr>
        <w:t>в) Информация характеризираща определени сериозни и/или често появяващи се нежелани реакции</w:t>
      </w:r>
    </w:p>
    <w:p w14:paraId="3FDCBC52" w14:textId="77777777" w:rsidR="006229D6" w:rsidRPr="006229D6" w:rsidRDefault="006229D6" w:rsidP="006229D6">
      <w:pPr>
        <w:spacing w:line="240" w:lineRule="auto"/>
        <w:rPr>
          <w:rFonts w:eastAsia="Times New Roman" w:cs="Arial"/>
          <w:color w:val="000000"/>
          <w:lang w:eastAsia="bg-BG"/>
        </w:rPr>
      </w:pPr>
    </w:p>
    <w:p w14:paraId="0598B620" w14:textId="36E665D0" w:rsidR="006229D6" w:rsidRPr="006229D6" w:rsidRDefault="006229D6" w:rsidP="006229D6">
      <w:pPr>
        <w:spacing w:line="240" w:lineRule="auto"/>
        <w:rPr>
          <w:rFonts w:eastAsia="Times New Roman" w:cs="Arial"/>
        </w:rPr>
      </w:pPr>
      <w:r w:rsidRPr="006229D6">
        <w:rPr>
          <w:rFonts w:eastAsia="Times New Roman" w:cs="Arial"/>
          <w:color w:val="000000"/>
          <w:lang w:eastAsia="bg-BG"/>
        </w:rPr>
        <w:t>Много редки случаи на агранулоцитоза са съобщавани при пациенти, лекувани с мелоксикам и други потенциални миелотоксични лекарства (вж.точка 4.5).</w:t>
      </w:r>
    </w:p>
    <w:p w14:paraId="0E5D7C1C" w14:textId="77777777" w:rsidR="006229D6" w:rsidRPr="006229D6" w:rsidRDefault="006229D6" w:rsidP="006229D6">
      <w:pPr>
        <w:spacing w:line="240" w:lineRule="auto"/>
        <w:rPr>
          <w:rFonts w:eastAsia="Times New Roman" w:cs="Arial"/>
          <w:i/>
          <w:iCs/>
          <w:color w:val="000000"/>
          <w:lang w:eastAsia="bg-BG"/>
        </w:rPr>
      </w:pPr>
    </w:p>
    <w:p w14:paraId="4E8FA20C" w14:textId="123174E0" w:rsidR="006229D6" w:rsidRPr="006229D6" w:rsidRDefault="006229D6" w:rsidP="006229D6">
      <w:pPr>
        <w:spacing w:line="240" w:lineRule="auto"/>
        <w:rPr>
          <w:rFonts w:eastAsia="Times New Roman" w:cs="Arial"/>
        </w:rPr>
      </w:pPr>
      <w:r w:rsidRPr="006229D6">
        <w:rPr>
          <w:rFonts w:eastAsia="Times New Roman" w:cs="Arial"/>
          <w:i/>
          <w:iCs/>
          <w:color w:val="000000"/>
          <w:lang w:eastAsia="bg-BG"/>
        </w:rPr>
        <w:t>г) Нежелани реакци, които не са наблюдавани във връзка с продукта, но които като цяло са приети да се свързват с други съединения от този клас</w:t>
      </w:r>
    </w:p>
    <w:p w14:paraId="0F7ED482" w14:textId="77777777" w:rsidR="006229D6" w:rsidRPr="006229D6" w:rsidRDefault="006229D6" w:rsidP="006229D6">
      <w:pPr>
        <w:spacing w:line="240" w:lineRule="auto"/>
        <w:rPr>
          <w:rFonts w:eastAsia="Times New Roman" w:cs="Arial"/>
          <w:color w:val="000000"/>
          <w:lang w:eastAsia="bg-BG"/>
        </w:rPr>
      </w:pPr>
    </w:p>
    <w:p w14:paraId="77487794" w14:textId="0B351BF9" w:rsidR="006229D6" w:rsidRPr="006229D6" w:rsidRDefault="006229D6" w:rsidP="006229D6">
      <w:pPr>
        <w:spacing w:line="240" w:lineRule="auto"/>
        <w:rPr>
          <w:rFonts w:eastAsia="Times New Roman" w:cs="Arial"/>
        </w:rPr>
      </w:pPr>
      <w:r w:rsidRPr="006229D6">
        <w:rPr>
          <w:rFonts w:eastAsia="Times New Roman" w:cs="Arial"/>
          <w:color w:val="000000"/>
          <w:lang w:eastAsia="bg-BG"/>
        </w:rPr>
        <w:t>Съобщавано е органно бъбречно увреждане, водещо до остра бъбречна недостатъчност: много редки случаи на интестициален нефрит, остра тубулна некроза, нефротичен синдром и папиларна некроза(вж. точка 4.4).</w:t>
      </w:r>
    </w:p>
    <w:p w14:paraId="44EB1FF0" w14:textId="77777777" w:rsidR="006229D6" w:rsidRPr="006229D6" w:rsidRDefault="006229D6" w:rsidP="006229D6">
      <w:pPr>
        <w:spacing w:line="240" w:lineRule="auto"/>
        <w:rPr>
          <w:rFonts w:eastAsia="Times New Roman" w:cs="Arial"/>
          <w:color w:val="000000"/>
          <w:u w:val="single"/>
          <w:lang w:eastAsia="bg-BG"/>
        </w:rPr>
      </w:pPr>
    </w:p>
    <w:p w14:paraId="32206513" w14:textId="336F03A2" w:rsidR="006229D6" w:rsidRPr="006229D6" w:rsidRDefault="006229D6" w:rsidP="006229D6">
      <w:pPr>
        <w:spacing w:line="240" w:lineRule="auto"/>
        <w:rPr>
          <w:rFonts w:eastAsia="Times New Roman" w:cs="Arial"/>
        </w:rPr>
      </w:pPr>
      <w:r w:rsidRPr="006229D6">
        <w:rPr>
          <w:rFonts w:eastAsia="Times New Roman" w:cs="Arial"/>
          <w:color w:val="000000"/>
          <w:u w:val="single"/>
          <w:lang w:eastAsia="bg-BG"/>
        </w:rPr>
        <w:t>Съобщаване на подозирани нежелани реакции</w:t>
      </w:r>
    </w:p>
    <w:p w14:paraId="5D7694D4" w14:textId="77777777" w:rsidR="006229D6" w:rsidRDefault="006229D6" w:rsidP="006229D6">
      <w:pPr>
        <w:spacing w:line="240" w:lineRule="auto"/>
        <w:rPr>
          <w:rFonts w:eastAsia="Times New Roman" w:cs="Arial"/>
          <w:color w:val="000000"/>
          <w:lang w:eastAsia="bg-BG"/>
        </w:rPr>
      </w:pPr>
      <w:r w:rsidRPr="006229D6">
        <w:rPr>
          <w:rFonts w:eastAsia="Times New Roman" w:cs="Arial"/>
          <w:color w:val="000000"/>
          <w:lang w:eastAsia="bg-BG"/>
        </w:rPr>
        <w:lastRenderedPageBreak/>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 </w:t>
      </w:r>
    </w:p>
    <w:p w14:paraId="1FD24A91" w14:textId="56823D4D" w:rsidR="006229D6" w:rsidRPr="006229D6" w:rsidRDefault="006229D6" w:rsidP="006229D6">
      <w:pPr>
        <w:spacing w:line="240" w:lineRule="auto"/>
        <w:rPr>
          <w:rFonts w:eastAsia="Times New Roman" w:cs="Arial"/>
        </w:rPr>
      </w:pPr>
      <w:r w:rsidRPr="006229D6">
        <w:rPr>
          <w:rFonts w:eastAsia="Times New Roman" w:cs="Arial"/>
          <w:color w:val="000000"/>
          <w:lang w:eastAsia="bg-BG"/>
        </w:rPr>
        <w:t>1303 София</w:t>
      </w:r>
    </w:p>
    <w:p w14:paraId="747CEE7C" w14:textId="77777777" w:rsidR="006229D6" w:rsidRDefault="006229D6" w:rsidP="006229D6">
      <w:pPr>
        <w:spacing w:line="240" w:lineRule="auto"/>
        <w:rPr>
          <w:rFonts w:eastAsia="Times New Roman" w:cs="Arial"/>
          <w:color w:val="000000"/>
          <w:lang w:eastAsia="bg-BG"/>
        </w:rPr>
      </w:pPr>
      <w:r w:rsidRPr="006229D6">
        <w:rPr>
          <w:rFonts w:eastAsia="Times New Roman" w:cs="Arial"/>
          <w:color w:val="000000"/>
          <w:lang w:eastAsia="bg-BG"/>
        </w:rPr>
        <w:t xml:space="preserve">Тел.:+359 2 8903417 </w:t>
      </w:r>
    </w:p>
    <w:p w14:paraId="61836D26" w14:textId="29386B66" w:rsidR="006229D6" w:rsidRPr="006229D6" w:rsidRDefault="006229D6" w:rsidP="006229D6">
      <w:pPr>
        <w:spacing w:line="240" w:lineRule="auto"/>
        <w:rPr>
          <w:rFonts w:eastAsia="Times New Roman" w:cs="Arial"/>
        </w:rPr>
      </w:pPr>
      <w:r w:rsidRPr="006229D6">
        <w:rPr>
          <w:rFonts w:eastAsia="Times New Roman" w:cs="Arial"/>
          <w:color w:val="000000"/>
          <w:lang w:eastAsia="bg-BG"/>
        </w:rPr>
        <w:t xml:space="preserve">уебсайт: </w:t>
      </w:r>
      <w:r w:rsidRPr="006229D6">
        <w:rPr>
          <w:rFonts w:eastAsia="Times New Roman" w:cs="Arial"/>
        </w:rPr>
        <w:fldChar w:fldCharType="begin"/>
      </w:r>
      <w:r w:rsidRPr="006229D6">
        <w:rPr>
          <w:rFonts w:eastAsia="Times New Roman" w:cs="Arial"/>
        </w:rPr>
        <w:instrText xml:space="preserve"> HYPERLINK "http://www.bda.bg" </w:instrText>
      </w:r>
      <w:r w:rsidRPr="006229D6">
        <w:rPr>
          <w:rFonts w:eastAsia="Times New Roman" w:cs="Arial"/>
        </w:rPr>
      </w:r>
      <w:r w:rsidRPr="006229D6">
        <w:rPr>
          <w:rFonts w:eastAsia="Times New Roman" w:cs="Arial"/>
        </w:rPr>
        <w:fldChar w:fldCharType="separate"/>
      </w:r>
      <w:r w:rsidRPr="006229D6">
        <w:rPr>
          <w:rFonts w:eastAsia="Times New Roman" w:cs="Arial"/>
          <w:color w:val="000000"/>
          <w:u w:val="single"/>
          <w:lang w:val="en-US"/>
        </w:rPr>
        <w:t>www</w:t>
      </w:r>
      <w:r w:rsidRPr="006229D6">
        <w:rPr>
          <w:rFonts w:eastAsia="Times New Roman" w:cs="Arial"/>
          <w:color w:val="000000"/>
          <w:u w:val="single"/>
          <w:lang w:val="ru-RU"/>
        </w:rPr>
        <w:t>.</w:t>
      </w:r>
      <w:proofErr w:type="spellStart"/>
      <w:r w:rsidRPr="006229D6">
        <w:rPr>
          <w:rFonts w:eastAsia="Times New Roman" w:cs="Arial"/>
          <w:color w:val="000000"/>
          <w:u w:val="single"/>
          <w:lang w:val="en-US"/>
        </w:rPr>
        <w:t>bda</w:t>
      </w:r>
      <w:proofErr w:type="spellEnd"/>
      <w:r w:rsidRPr="006229D6">
        <w:rPr>
          <w:rFonts w:eastAsia="Times New Roman" w:cs="Arial"/>
          <w:color w:val="000000"/>
          <w:u w:val="single"/>
          <w:lang w:val="ru-RU"/>
        </w:rPr>
        <w:t>.</w:t>
      </w:r>
      <w:proofErr w:type="spellStart"/>
      <w:r w:rsidRPr="006229D6">
        <w:rPr>
          <w:rFonts w:eastAsia="Times New Roman" w:cs="Arial"/>
          <w:color w:val="000000"/>
          <w:u w:val="single"/>
          <w:lang w:val="en-US"/>
        </w:rPr>
        <w:t>bg</w:t>
      </w:r>
      <w:proofErr w:type="spellEnd"/>
      <w:r w:rsidRPr="006229D6">
        <w:rPr>
          <w:rFonts w:eastAsia="Times New Roman" w:cs="Arial"/>
        </w:rPr>
        <w:fldChar w:fldCharType="end"/>
      </w:r>
    </w:p>
    <w:p w14:paraId="543C730A" w14:textId="77777777" w:rsidR="006229D6" w:rsidRPr="006229D6" w:rsidRDefault="006229D6" w:rsidP="006229D6"/>
    <w:p w14:paraId="07687653" w14:textId="77D6015B" w:rsidR="00DF4C8E" w:rsidRDefault="002C50EE" w:rsidP="00F44498">
      <w:pPr>
        <w:pStyle w:val="Heading2"/>
      </w:pPr>
      <w:r>
        <w:t>4.9. Предозиране</w:t>
      </w:r>
    </w:p>
    <w:p w14:paraId="67FEF911" w14:textId="3BA5E881" w:rsidR="006229D6" w:rsidRDefault="006229D6" w:rsidP="006229D6"/>
    <w:p w14:paraId="49925B4E" w14:textId="77777777" w:rsidR="006229D6" w:rsidRPr="006229D6" w:rsidRDefault="006229D6" w:rsidP="006229D6">
      <w:pPr>
        <w:rPr>
          <w:sz w:val="24"/>
          <w:szCs w:val="24"/>
        </w:rPr>
      </w:pPr>
      <w:r w:rsidRPr="006229D6">
        <w:rPr>
          <w:lang w:eastAsia="bg-BG"/>
        </w:rPr>
        <w:t>Симптомите на остро предозиране с НСПВ обикновено се ограничават до летаргия, сънливост, гадене, повръщане и епигастрална болка, които в повечето случаи са обратими при съответните мерки. Може да се появи гастро-интестинално кървене. Тежкото отравяне може да предизвика хипертензия, остра бъбречна недостатъчност, чернодробна дисфункция, респираторна депресия, кома, конвулсии, сърдечно-съдов колапс и сърдечен арест. При терапевтично поглъщане на НСПВС са съобщавани анафилактоидни реакции, кого може да се появат и след предозоране.</w:t>
      </w:r>
    </w:p>
    <w:p w14:paraId="66D562D8" w14:textId="0EC589E5" w:rsidR="006229D6" w:rsidRPr="006229D6" w:rsidRDefault="006229D6" w:rsidP="006229D6">
      <w:r w:rsidRPr="006229D6">
        <w:rPr>
          <w:lang w:eastAsia="bg-BG"/>
        </w:rPr>
        <w:t xml:space="preserve">В случай на предозиране, пациентите трябва да бъдат подложени на симптоматично лечение и да бъдат приложени някои общо подкрепящи мерки. В клинично изпитвание е било установено, че перорална доза от 4 </w:t>
      </w:r>
      <w:r w:rsidRPr="006229D6">
        <w:rPr>
          <w:lang w:val="en-US"/>
        </w:rPr>
        <w:t>g</w:t>
      </w:r>
      <w:r w:rsidRPr="006229D6">
        <w:rPr>
          <w:lang w:val="ru-RU"/>
        </w:rPr>
        <w:t xml:space="preserve"> </w:t>
      </w:r>
      <w:r w:rsidRPr="006229D6">
        <w:rPr>
          <w:lang w:eastAsia="bg-BG"/>
        </w:rPr>
        <w:t>холестирамин, приемана три пъти дневно, ускорява елиминирането на мелоксикам.</w:t>
      </w:r>
    </w:p>
    <w:p w14:paraId="02081B24" w14:textId="1F46E296" w:rsidR="00395555" w:rsidRPr="00395555" w:rsidRDefault="002C50EE" w:rsidP="008A6AF2">
      <w:pPr>
        <w:pStyle w:val="Heading1"/>
      </w:pPr>
      <w:r>
        <w:t>5. ФАРМАКОЛОГИЧНИ СВОЙСТВА</w:t>
      </w:r>
    </w:p>
    <w:p w14:paraId="4D47A490" w14:textId="4B47BF67" w:rsidR="00DF4C8E" w:rsidRDefault="002C50EE" w:rsidP="00F44498">
      <w:pPr>
        <w:pStyle w:val="Heading2"/>
      </w:pPr>
      <w:r>
        <w:t>5.1. Фармакодинамични свойства</w:t>
      </w:r>
    </w:p>
    <w:p w14:paraId="1A86A883" w14:textId="3AFB781E" w:rsidR="006229D6" w:rsidRDefault="006229D6" w:rsidP="006229D6"/>
    <w:p w14:paraId="787A3145" w14:textId="02C1155D" w:rsidR="006229D6" w:rsidRPr="006229D6" w:rsidRDefault="006229D6" w:rsidP="006229D6">
      <w:pPr>
        <w:spacing w:line="240" w:lineRule="auto"/>
        <w:rPr>
          <w:rFonts w:eastAsia="Times New Roman" w:cs="Arial"/>
          <w:color w:val="000000"/>
          <w:lang w:eastAsia="bg-BG"/>
        </w:rPr>
      </w:pPr>
      <w:r w:rsidRPr="006229D6">
        <w:rPr>
          <w:rFonts w:eastAsia="Times New Roman" w:cs="Arial"/>
          <w:color w:val="000000"/>
          <w:lang w:eastAsia="bg-BG"/>
        </w:rPr>
        <w:t>Фармакотерапевтична група: Нестероидно противовъзпалително средство, Оксикам</w:t>
      </w:r>
    </w:p>
    <w:p w14:paraId="2B94643D"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 xml:space="preserve">АТС код: </w:t>
      </w:r>
      <w:r w:rsidRPr="006229D6">
        <w:rPr>
          <w:rFonts w:eastAsia="Times New Roman" w:cs="Arial"/>
          <w:color w:val="000000"/>
          <w:lang w:val="en-US"/>
        </w:rPr>
        <w:t>M</w:t>
      </w:r>
      <w:r w:rsidRPr="006229D6">
        <w:rPr>
          <w:rFonts w:eastAsia="Times New Roman" w:cs="Arial"/>
          <w:color w:val="000000"/>
          <w:lang w:val="ru-RU"/>
        </w:rPr>
        <w:t>01</w:t>
      </w:r>
      <w:r w:rsidRPr="006229D6">
        <w:rPr>
          <w:rFonts w:eastAsia="Times New Roman" w:cs="Arial"/>
          <w:color w:val="000000"/>
          <w:lang w:val="en-US"/>
        </w:rPr>
        <w:t>AC</w:t>
      </w:r>
      <w:r w:rsidRPr="006229D6">
        <w:rPr>
          <w:rFonts w:eastAsia="Times New Roman" w:cs="Arial"/>
          <w:color w:val="000000"/>
          <w:lang w:val="ru-RU"/>
        </w:rPr>
        <w:t>06</w:t>
      </w:r>
    </w:p>
    <w:p w14:paraId="76D6536B"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Мелоксикам е нестероидно противовъзпалително средство /НСПВС/ от класа на оксикамите, което има противовъзпалителни, аналгетични и антипиретични свойства.</w:t>
      </w:r>
    </w:p>
    <w:p w14:paraId="05A969BF" w14:textId="77777777" w:rsidR="006229D6" w:rsidRDefault="006229D6" w:rsidP="006229D6">
      <w:pPr>
        <w:spacing w:line="240" w:lineRule="auto"/>
        <w:rPr>
          <w:rFonts w:eastAsia="Times New Roman" w:cs="Arial"/>
          <w:color w:val="000000"/>
          <w:lang w:eastAsia="bg-BG"/>
        </w:rPr>
      </w:pPr>
    </w:p>
    <w:p w14:paraId="174B3938" w14:textId="2C8F046C" w:rsidR="006229D6" w:rsidRPr="006229D6" w:rsidRDefault="006229D6" w:rsidP="006229D6">
      <w:pPr>
        <w:spacing w:line="240" w:lineRule="auto"/>
        <w:rPr>
          <w:rFonts w:eastAsia="Times New Roman" w:cs="Arial"/>
        </w:rPr>
      </w:pPr>
      <w:r w:rsidRPr="006229D6">
        <w:rPr>
          <w:rFonts w:eastAsia="Times New Roman" w:cs="Arial"/>
          <w:color w:val="000000"/>
          <w:lang w:eastAsia="bg-BG"/>
        </w:rPr>
        <w:t>Противовъзпалителната активност на мелоксикам е доказана при класически модели на възпаление. Както и при другите НСПВС точният механизъм на действие остава неизвестен. Въпреки това съществува поне един общ начин на действие, характерен за всички НСПВС (включително мелоксикам): инхибиране на биосинтезата на простагландини - известни медиатори на възпалението.</w:t>
      </w:r>
    </w:p>
    <w:p w14:paraId="5C3BD829" w14:textId="71FF0579" w:rsidR="006229D6" w:rsidRPr="006229D6" w:rsidRDefault="006229D6" w:rsidP="006229D6"/>
    <w:p w14:paraId="79643DB7" w14:textId="4F4A74F1" w:rsidR="00DF4C8E" w:rsidRDefault="002C50EE" w:rsidP="00F44498">
      <w:pPr>
        <w:pStyle w:val="Heading2"/>
      </w:pPr>
      <w:r>
        <w:t>5.2. Фармакокинетични свойства</w:t>
      </w:r>
    </w:p>
    <w:p w14:paraId="76750FFF" w14:textId="03F3B0A9" w:rsidR="006229D6" w:rsidRDefault="006229D6" w:rsidP="006229D6"/>
    <w:p w14:paraId="213A36A6" w14:textId="77777777" w:rsidR="006229D6" w:rsidRPr="006229D6" w:rsidRDefault="006229D6" w:rsidP="006229D6">
      <w:pPr>
        <w:pStyle w:val="Heading3"/>
        <w:rPr>
          <w:rFonts w:eastAsia="Times New Roman"/>
          <w:u w:val="single"/>
        </w:rPr>
      </w:pPr>
      <w:r w:rsidRPr="006229D6">
        <w:rPr>
          <w:rFonts w:eastAsia="Times New Roman"/>
          <w:u w:val="single"/>
          <w:lang w:eastAsia="bg-BG"/>
        </w:rPr>
        <w:t>Абсорбция</w:t>
      </w:r>
    </w:p>
    <w:p w14:paraId="514F4E41"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Мелоксикам се абсорбира добре от гастро-интестиналния тракт, което рефлектира като висока абсолютна бионаличност от 90% след перорално приложение (капсули). Таблетките, пероралната суспензия и капсулите са биоеквивалентни.</w:t>
      </w:r>
    </w:p>
    <w:p w14:paraId="6A79E62F"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След прилагане на единична доза мелоксикам, средните максимални плазмени концентрации се достигат в рамките на 2 часа за суспензията и 5-6 часа за твърдите перорални форми (таблетки и капсули).</w:t>
      </w:r>
    </w:p>
    <w:p w14:paraId="6180795B"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 xml:space="preserve">При прилагане на многократни дози, </w:t>
      </w:r>
      <w:r w:rsidRPr="006229D6">
        <w:rPr>
          <w:rFonts w:eastAsia="Times New Roman" w:cs="Arial"/>
          <w:color w:val="000000"/>
          <w:lang w:val="en-US"/>
        </w:rPr>
        <w:t>steady</w:t>
      </w:r>
      <w:r w:rsidRPr="006229D6">
        <w:rPr>
          <w:rFonts w:eastAsia="Times New Roman" w:cs="Arial"/>
          <w:color w:val="000000"/>
          <w:lang w:val="ru-RU"/>
        </w:rPr>
        <w:t>-</w:t>
      </w:r>
      <w:r w:rsidRPr="006229D6">
        <w:rPr>
          <w:rFonts w:eastAsia="Times New Roman" w:cs="Arial"/>
          <w:color w:val="000000"/>
          <w:lang w:val="en-US"/>
        </w:rPr>
        <w:t>state</w:t>
      </w:r>
      <w:r w:rsidRPr="006229D6">
        <w:rPr>
          <w:rFonts w:eastAsia="Times New Roman" w:cs="Arial"/>
          <w:color w:val="000000"/>
          <w:lang w:val="ru-RU"/>
        </w:rPr>
        <w:t xml:space="preserve"> </w:t>
      </w:r>
      <w:r w:rsidRPr="006229D6">
        <w:rPr>
          <w:rFonts w:eastAsia="Times New Roman" w:cs="Arial"/>
          <w:color w:val="000000"/>
          <w:lang w:eastAsia="bg-BG"/>
        </w:rPr>
        <w:t xml:space="preserve">е постигнат за 3 до 5 дни. Дозирането веднъж дневно довежда до средни плазмени концентрации на лекарството с относително </w:t>
      </w:r>
      <w:r w:rsidRPr="006229D6">
        <w:rPr>
          <w:rFonts w:eastAsia="Times New Roman" w:cs="Arial"/>
          <w:color w:val="000000"/>
          <w:lang w:eastAsia="bg-BG"/>
        </w:rPr>
        <w:lastRenderedPageBreak/>
        <w:t>по-слабо отклонение на Р/Т концентрации в порядъка от 0,4-1,0 μ</w:t>
      </w:r>
      <w:r w:rsidRPr="006229D6">
        <w:rPr>
          <w:rFonts w:eastAsia="Times New Roman" w:cs="Arial"/>
          <w:color w:val="000000"/>
          <w:lang w:val="en-US"/>
        </w:rPr>
        <w:t>g</w:t>
      </w:r>
      <w:r w:rsidRPr="006229D6">
        <w:rPr>
          <w:rFonts w:eastAsia="Times New Roman" w:cs="Arial"/>
          <w:color w:val="000000"/>
          <w:lang w:val="ru-RU"/>
        </w:rPr>
        <w:t>/</w:t>
      </w:r>
      <w:r w:rsidRPr="006229D6">
        <w:rPr>
          <w:rFonts w:eastAsia="Times New Roman" w:cs="Arial"/>
          <w:color w:val="000000"/>
          <w:lang w:val="en-US"/>
        </w:rPr>
        <w:t>mL</w:t>
      </w:r>
      <w:r w:rsidRPr="006229D6">
        <w:rPr>
          <w:rFonts w:eastAsia="Times New Roman" w:cs="Arial"/>
          <w:color w:val="000000"/>
          <w:lang w:val="ru-RU"/>
        </w:rPr>
        <w:t xml:space="preserve"> </w:t>
      </w:r>
      <w:r w:rsidRPr="006229D6">
        <w:rPr>
          <w:rFonts w:eastAsia="Times New Roman" w:cs="Arial"/>
          <w:color w:val="000000"/>
          <w:lang w:eastAsia="bg-BG"/>
        </w:rPr>
        <w:t xml:space="preserve">за дози 7,5 </w:t>
      </w:r>
      <w:r w:rsidRPr="006229D6">
        <w:rPr>
          <w:rFonts w:eastAsia="Times New Roman" w:cs="Arial"/>
          <w:color w:val="000000"/>
          <w:lang w:val="en-US"/>
        </w:rPr>
        <w:t>mg</w:t>
      </w:r>
      <w:r w:rsidRPr="006229D6">
        <w:rPr>
          <w:rFonts w:eastAsia="Times New Roman" w:cs="Arial"/>
          <w:color w:val="000000"/>
          <w:lang w:val="ru-RU"/>
        </w:rPr>
        <w:t xml:space="preserve"> </w:t>
      </w:r>
      <w:r w:rsidRPr="006229D6">
        <w:rPr>
          <w:rFonts w:eastAsia="Times New Roman" w:cs="Arial"/>
          <w:color w:val="000000"/>
          <w:lang w:eastAsia="bg-BG"/>
        </w:rPr>
        <w:t>и 0,8-2,0 μ</w:t>
      </w:r>
      <w:r w:rsidRPr="006229D6">
        <w:rPr>
          <w:rFonts w:eastAsia="Times New Roman" w:cs="Arial"/>
          <w:color w:val="000000"/>
          <w:lang w:val="en-US"/>
        </w:rPr>
        <w:t>g</w:t>
      </w:r>
      <w:r w:rsidRPr="006229D6">
        <w:rPr>
          <w:rFonts w:eastAsia="Times New Roman" w:cs="Arial"/>
          <w:color w:val="000000"/>
          <w:lang w:val="ru-RU"/>
        </w:rPr>
        <w:t>/</w:t>
      </w:r>
      <w:r w:rsidRPr="006229D6">
        <w:rPr>
          <w:rFonts w:eastAsia="Times New Roman" w:cs="Arial"/>
          <w:color w:val="000000"/>
          <w:lang w:val="en-US"/>
        </w:rPr>
        <w:t>mL</w:t>
      </w:r>
      <w:r w:rsidRPr="006229D6">
        <w:rPr>
          <w:rFonts w:eastAsia="Times New Roman" w:cs="Arial"/>
          <w:color w:val="000000"/>
          <w:lang w:val="ru-RU"/>
        </w:rPr>
        <w:t xml:space="preserve"> </w:t>
      </w:r>
      <w:r w:rsidRPr="006229D6">
        <w:rPr>
          <w:rFonts w:eastAsia="Times New Roman" w:cs="Arial"/>
          <w:color w:val="000000"/>
          <w:lang w:eastAsia="bg-BG"/>
        </w:rPr>
        <w:t xml:space="preserve">за дози 15 </w:t>
      </w:r>
      <w:r w:rsidRPr="006229D6">
        <w:rPr>
          <w:rFonts w:eastAsia="Times New Roman" w:cs="Arial"/>
          <w:color w:val="000000"/>
          <w:lang w:val="en-US"/>
        </w:rPr>
        <w:t>mg</w:t>
      </w:r>
      <w:r w:rsidRPr="006229D6">
        <w:rPr>
          <w:rFonts w:eastAsia="Times New Roman" w:cs="Arial"/>
          <w:color w:val="000000"/>
          <w:lang w:val="ru-RU"/>
        </w:rPr>
        <w:t xml:space="preserve">, </w:t>
      </w:r>
      <w:r w:rsidRPr="006229D6">
        <w:rPr>
          <w:rFonts w:eastAsia="Times New Roman" w:cs="Arial"/>
          <w:color w:val="000000"/>
          <w:lang w:eastAsia="bg-BG"/>
        </w:rPr>
        <w:t xml:space="preserve">респективно (съответно </w:t>
      </w:r>
      <w:proofErr w:type="spellStart"/>
      <w:r w:rsidRPr="006229D6">
        <w:rPr>
          <w:rFonts w:eastAsia="Times New Roman" w:cs="Arial"/>
          <w:color w:val="000000"/>
          <w:lang w:val="en-US"/>
        </w:rPr>
        <w:t>Cmin</w:t>
      </w:r>
      <w:proofErr w:type="spellEnd"/>
      <w:r w:rsidRPr="006229D6">
        <w:rPr>
          <w:rFonts w:eastAsia="Times New Roman" w:cs="Arial"/>
          <w:color w:val="000000"/>
          <w:lang w:val="ru-RU"/>
        </w:rPr>
        <w:t xml:space="preserve"> </w:t>
      </w:r>
      <w:r w:rsidRPr="006229D6">
        <w:rPr>
          <w:rFonts w:eastAsia="Times New Roman" w:cs="Arial"/>
          <w:color w:val="000000"/>
          <w:lang w:eastAsia="bg-BG"/>
        </w:rPr>
        <w:t>и С</w:t>
      </w:r>
      <w:r w:rsidRPr="006229D6">
        <w:rPr>
          <w:rFonts w:eastAsia="Times New Roman" w:cs="Arial"/>
          <w:color w:val="000000"/>
          <w:lang w:val="en-US"/>
        </w:rPr>
        <w:t>max</w:t>
      </w:r>
      <w:r w:rsidRPr="006229D6">
        <w:rPr>
          <w:rFonts w:eastAsia="Times New Roman" w:cs="Arial"/>
          <w:color w:val="000000"/>
          <w:lang w:eastAsia="bg-BG"/>
        </w:rPr>
        <w:t xml:space="preserve"> при </w:t>
      </w:r>
      <w:r w:rsidRPr="006229D6">
        <w:rPr>
          <w:rFonts w:eastAsia="Times New Roman" w:cs="Arial"/>
          <w:color w:val="000000"/>
          <w:lang w:val="en-US"/>
        </w:rPr>
        <w:t>steady</w:t>
      </w:r>
      <w:r w:rsidRPr="006229D6">
        <w:rPr>
          <w:rFonts w:eastAsia="Times New Roman" w:cs="Arial"/>
          <w:color w:val="000000"/>
          <w:lang w:val="ru-RU"/>
        </w:rPr>
        <w:t xml:space="preserve"> </w:t>
      </w:r>
      <w:r w:rsidRPr="006229D6">
        <w:rPr>
          <w:rFonts w:eastAsia="Times New Roman" w:cs="Arial"/>
          <w:color w:val="000000"/>
          <w:lang w:val="en-US"/>
        </w:rPr>
        <w:t>state</w:t>
      </w:r>
      <w:r w:rsidRPr="006229D6">
        <w:rPr>
          <w:rFonts w:eastAsia="Times New Roman" w:cs="Arial"/>
          <w:color w:val="000000"/>
          <w:lang w:val="ru-RU"/>
        </w:rPr>
        <w:t>).</w:t>
      </w:r>
    </w:p>
    <w:p w14:paraId="18BC818F"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 xml:space="preserve">Средните максимални плазмени концентрации при </w:t>
      </w:r>
      <w:r w:rsidRPr="006229D6">
        <w:rPr>
          <w:rFonts w:eastAsia="Times New Roman" w:cs="Arial"/>
          <w:color w:val="000000"/>
          <w:lang w:val="en-US"/>
        </w:rPr>
        <w:t>steady</w:t>
      </w:r>
      <w:r w:rsidRPr="006229D6">
        <w:rPr>
          <w:rFonts w:eastAsia="Times New Roman" w:cs="Arial"/>
          <w:color w:val="000000"/>
          <w:lang w:val="ru-RU"/>
        </w:rPr>
        <w:t xml:space="preserve"> </w:t>
      </w:r>
      <w:r w:rsidRPr="006229D6">
        <w:rPr>
          <w:rFonts w:eastAsia="Times New Roman" w:cs="Arial"/>
          <w:color w:val="000000"/>
          <w:lang w:val="en-US"/>
        </w:rPr>
        <w:t>state</w:t>
      </w:r>
      <w:r w:rsidRPr="006229D6">
        <w:rPr>
          <w:rFonts w:eastAsia="Times New Roman" w:cs="Arial"/>
          <w:color w:val="000000"/>
          <w:lang w:val="ru-RU"/>
        </w:rPr>
        <w:t xml:space="preserve"> </w:t>
      </w:r>
      <w:r w:rsidRPr="006229D6">
        <w:rPr>
          <w:rFonts w:eastAsia="Times New Roman" w:cs="Arial"/>
          <w:color w:val="000000"/>
          <w:lang w:eastAsia="bg-BG"/>
        </w:rPr>
        <w:t>се достигат в рамките на 5 до 6 часа за таблетките, капсулите и пероралната суспензия, респективно. Степента на абсорбиране на мелоксикам след перорално приложение, не се променя при едновременно приемане на храна или употребата на неорганични антиациди.</w:t>
      </w:r>
    </w:p>
    <w:p w14:paraId="6D86FE74" w14:textId="77777777" w:rsidR="006229D6" w:rsidRPr="006229D6" w:rsidRDefault="006229D6" w:rsidP="006229D6">
      <w:pPr>
        <w:spacing w:line="240" w:lineRule="auto"/>
        <w:rPr>
          <w:rFonts w:eastAsia="Times New Roman" w:cs="Arial"/>
          <w:color w:val="000000"/>
          <w:u w:val="single"/>
          <w:lang w:eastAsia="bg-BG"/>
        </w:rPr>
      </w:pPr>
    </w:p>
    <w:p w14:paraId="12C31B33" w14:textId="73967157" w:rsidR="006229D6" w:rsidRPr="006229D6" w:rsidRDefault="006229D6" w:rsidP="006229D6">
      <w:pPr>
        <w:pStyle w:val="Heading3"/>
        <w:rPr>
          <w:rFonts w:eastAsia="Times New Roman"/>
          <w:u w:val="single"/>
        </w:rPr>
      </w:pPr>
      <w:r w:rsidRPr="006229D6">
        <w:rPr>
          <w:rFonts w:eastAsia="Times New Roman"/>
          <w:u w:val="single"/>
          <w:lang w:eastAsia="bg-BG"/>
        </w:rPr>
        <w:t>Разпределение</w:t>
      </w:r>
    </w:p>
    <w:p w14:paraId="61F73B9B"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Мелоксикам се свързва много здраво с плазмените протеини, основно с албумин (99%). Мелоксикам прониква добре в синовиалната течност, за да даде концентрации приблизително половината от тези в плазмата.</w:t>
      </w:r>
    </w:p>
    <w:p w14:paraId="64B69F78"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 xml:space="preserve">Обемът на разпределение е малък, т.е. приблизително 11 </w:t>
      </w:r>
      <w:r w:rsidRPr="006229D6">
        <w:rPr>
          <w:rFonts w:eastAsia="Times New Roman" w:cs="Arial"/>
          <w:color w:val="000000"/>
          <w:lang w:val="en-US"/>
        </w:rPr>
        <w:t>L</w:t>
      </w:r>
      <w:r w:rsidRPr="006229D6">
        <w:rPr>
          <w:rFonts w:eastAsia="Times New Roman" w:cs="Arial"/>
          <w:color w:val="000000"/>
          <w:lang w:val="ru-RU"/>
        </w:rPr>
        <w:t xml:space="preserve"> </w:t>
      </w:r>
      <w:r w:rsidRPr="006229D6">
        <w:rPr>
          <w:rFonts w:eastAsia="Times New Roman" w:cs="Arial"/>
          <w:color w:val="000000"/>
          <w:lang w:eastAsia="bg-BG"/>
        </w:rPr>
        <w:t xml:space="preserve">след интрамускулно. или интравенозно </w:t>
      </w:r>
      <w:r w:rsidRPr="006229D6">
        <w:rPr>
          <w:rFonts w:eastAsia="Times New Roman" w:cs="Arial"/>
          <w:color w:val="000000"/>
          <w:u w:val="single"/>
          <w:lang w:eastAsia="bg-BG"/>
        </w:rPr>
        <w:t xml:space="preserve">приложение и показва индивидуални отклонения от порядъка на 7-20 %. Обемът на разпределение след прием на многократни орални дози мелоксикам (7.5 до 15 </w:t>
      </w:r>
      <w:r w:rsidRPr="006229D6">
        <w:rPr>
          <w:rFonts w:eastAsia="Times New Roman" w:cs="Arial"/>
          <w:color w:val="000000"/>
          <w:u w:val="single"/>
          <w:lang w:val="en-US"/>
        </w:rPr>
        <w:t>mg</w:t>
      </w:r>
      <w:r w:rsidRPr="006229D6">
        <w:rPr>
          <w:rFonts w:eastAsia="Times New Roman" w:cs="Arial"/>
          <w:color w:val="000000"/>
          <w:u w:val="single"/>
          <w:lang w:val="ru-RU"/>
        </w:rPr>
        <w:t xml:space="preserve">) </w:t>
      </w:r>
      <w:r w:rsidRPr="006229D6">
        <w:rPr>
          <w:rFonts w:eastAsia="Times New Roman" w:cs="Arial"/>
          <w:color w:val="000000"/>
          <w:u w:val="single"/>
          <w:lang w:eastAsia="bg-BG"/>
        </w:rPr>
        <w:t xml:space="preserve">е около 16 </w:t>
      </w:r>
      <w:r w:rsidRPr="006229D6">
        <w:rPr>
          <w:rFonts w:eastAsia="Times New Roman" w:cs="Arial"/>
          <w:color w:val="000000"/>
          <w:u w:val="single"/>
          <w:lang w:val="en-US"/>
        </w:rPr>
        <w:t>L</w:t>
      </w:r>
      <w:r w:rsidRPr="006229D6">
        <w:rPr>
          <w:rFonts w:eastAsia="Times New Roman" w:cs="Arial"/>
          <w:color w:val="000000"/>
          <w:u w:val="single"/>
          <w:lang w:val="ru-RU"/>
        </w:rPr>
        <w:t xml:space="preserve"> </w:t>
      </w:r>
      <w:r w:rsidRPr="006229D6">
        <w:rPr>
          <w:rFonts w:eastAsia="Times New Roman" w:cs="Arial"/>
          <w:color w:val="000000"/>
          <w:u w:val="single"/>
          <w:lang w:eastAsia="bg-BG"/>
        </w:rPr>
        <w:t>с коефициенти на отклонение, вариращи от 11 до 32%.</w:t>
      </w:r>
    </w:p>
    <w:p w14:paraId="19DBB5F1" w14:textId="77777777" w:rsidR="006229D6" w:rsidRPr="006229D6" w:rsidRDefault="006229D6" w:rsidP="006229D6">
      <w:pPr>
        <w:spacing w:line="240" w:lineRule="auto"/>
        <w:rPr>
          <w:rFonts w:eastAsia="Times New Roman" w:cs="Arial"/>
          <w:color w:val="000000"/>
          <w:u w:val="single"/>
          <w:lang w:eastAsia="bg-BG"/>
        </w:rPr>
      </w:pPr>
    </w:p>
    <w:p w14:paraId="4D10A997" w14:textId="30ED4779" w:rsidR="006229D6" w:rsidRPr="006229D6" w:rsidRDefault="006229D6" w:rsidP="006229D6">
      <w:pPr>
        <w:pStyle w:val="Heading3"/>
        <w:rPr>
          <w:rFonts w:eastAsia="Times New Roman"/>
          <w:u w:val="single"/>
        </w:rPr>
      </w:pPr>
      <w:r w:rsidRPr="006229D6">
        <w:rPr>
          <w:rFonts w:eastAsia="Times New Roman"/>
          <w:u w:val="single"/>
          <w:lang w:eastAsia="bg-BG"/>
        </w:rPr>
        <w:t>Биотрансформация</w:t>
      </w:r>
    </w:p>
    <w:p w14:paraId="1346EE62"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Мелоксикам претърпява екстензивна чернодробна биотрансформация.</w:t>
      </w:r>
    </w:p>
    <w:p w14:paraId="2333E7FD"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 xml:space="preserve">В урината се откриват четири различни метаболита на мелоксикам, всички от които са фармакодинамично неактивни.Основният метаболит, 5’-карбоксимелоксикам (60 % от дозата), се образува посредством окисление на междинния метаболит 5 ’-хидроксиметилмелоксикам, който също се екскретира, но в по-ниска степен (9 % от дозата). Проведените ин витро проучвания предполагат, че </w:t>
      </w:r>
      <w:r w:rsidRPr="006229D6">
        <w:rPr>
          <w:rFonts w:eastAsia="Times New Roman" w:cs="Arial"/>
          <w:color w:val="000000"/>
          <w:lang w:val="en-US"/>
        </w:rPr>
        <w:t>CYP</w:t>
      </w:r>
      <w:r w:rsidRPr="006229D6">
        <w:rPr>
          <w:rFonts w:eastAsia="Times New Roman" w:cs="Arial"/>
          <w:color w:val="000000"/>
          <w:lang w:val="ru-RU"/>
        </w:rPr>
        <w:t xml:space="preserve"> </w:t>
      </w:r>
      <w:r w:rsidRPr="006229D6">
        <w:rPr>
          <w:rFonts w:eastAsia="Times New Roman" w:cs="Arial"/>
          <w:color w:val="000000"/>
          <w:lang w:eastAsia="bg-BG"/>
        </w:rPr>
        <w:t xml:space="preserve">2С9 играе важна роля в този метаболитен път, с минимален принос от </w:t>
      </w:r>
      <w:r w:rsidRPr="006229D6">
        <w:rPr>
          <w:rFonts w:eastAsia="Times New Roman" w:cs="Arial"/>
          <w:color w:val="000000"/>
          <w:lang w:val="en-US"/>
        </w:rPr>
        <w:t>CYP</w:t>
      </w:r>
      <w:r w:rsidRPr="006229D6">
        <w:rPr>
          <w:rFonts w:eastAsia="Times New Roman" w:cs="Arial"/>
          <w:color w:val="000000"/>
          <w:lang w:val="ru-RU"/>
        </w:rPr>
        <w:t xml:space="preserve"> </w:t>
      </w:r>
      <w:r w:rsidRPr="006229D6">
        <w:rPr>
          <w:rFonts w:eastAsia="Times New Roman" w:cs="Arial"/>
          <w:color w:val="000000"/>
          <w:lang w:eastAsia="bg-BG"/>
        </w:rPr>
        <w:t>3 А4 изоензим. Вероятно от пероксидазната активност на пациента зависят другите два метаболита, които представляват съответно 16 % и 4 % от приложената доза.</w:t>
      </w:r>
    </w:p>
    <w:p w14:paraId="20CE99C1" w14:textId="77777777" w:rsidR="006229D6" w:rsidRPr="006229D6" w:rsidRDefault="006229D6" w:rsidP="006229D6">
      <w:pPr>
        <w:spacing w:line="240" w:lineRule="auto"/>
        <w:rPr>
          <w:rFonts w:eastAsia="Times New Roman" w:cs="Arial"/>
          <w:color w:val="000000"/>
          <w:u w:val="single"/>
          <w:lang w:eastAsia="bg-BG"/>
        </w:rPr>
      </w:pPr>
    </w:p>
    <w:p w14:paraId="1957AC34" w14:textId="6EDC9F0D" w:rsidR="006229D6" w:rsidRPr="006229D6" w:rsidRDefault="006229D6" w:rsidP="006229D6">
      <w:pPr>
        <w:pStyle w:val="Heading3"/>
        <w:rPr>
          <w:rFonts w:eastAsia="Times New Roman"/>
          <w:u w:val="single"/>
        </w:rPr>
      </w:pPr>
      <w:r w:rsidRPr="006229D6">
        <w:rPr>
          <w:rFonts w:eastAsia="Times New Roman"/>
          <w:u w:val="single"/>
          <w:lang w:eastAsia="bg-BG"/>
        </w:rPr>
        <w:t>Елиминиране</w:t>
      </w:r>
    </w:p>
    <w:p w14:paraId="36CD0329" w14:textId="1CDF8EE2" w:rsidR="006229D6" w:rsidRPr="006229D6" w:rsidRDefault="006229D6" w:rsidP="006229D6">
      <w:pPr>
        <w:rPr>
          <w:rFonts w:eastAsia="Times New Roman" w:cs="Arial"/>
          <w:color w:val="000000"/>
          <w:lang w:eastAsia="bg-BG"/>
        </w:rPr>
      </w:pPr>
      <w:r w:rsidRPr="006229D6">
        <w:rPr>
          <w:rFonts w:eastAsia="Times New Roman" w:cs="Arial"/>
          <w:color w:val="000000"/>
          <w:lang w:eastAsia="bg-BG"/>
        </w:rPr>
        <w:t>Мелоксикам се екскретира основно под формата на метаболита, които се откриват в еднаква степен в урината и фекалиите. По-малко от 5 % от дневната доза се екскретира</w:t>
      </w:r>
      <w:r w:rsidRPr="006229D6">
        <w:rPr>
          <w:rFonts w:eastAsia="Times New Roman" w:cs="Arial"/>
          <w:color w:val="000000"/>
          <w:lang w:val="ru-RU"/>
        </w:rPr>
        <w:t xml:space="preserve"> </w:t>
      </w:r>
      <w:r w:rsidRPr="006229D6">
        <w:rPr>
          <w:rFonts w:eastAsia="Times New Roman" w:cs="Arial"/>
          <w:color w:val="000000"/>
          <w:lang w:eastAsia="bg-BG"/>
        </w:rPr>
        <w:t xml:space="preserve">непроменена във фекалиите и само следи от непроменено количество се екскретират в урината. Средният елиминационен полуживот варира между 13 и 25 часа след орално, интрамускулно и интравенозно приложение. Общият плазмен клирънс е около 7-12 </w:t>
      </w:r>
      <w:r w:rsidRPr="006229D6">
        <w:rPr>
          <w:rFonts w:eastAsia="Times New Roman" w:cs="Arial"/>
          <w:color w:val="000000"/>
          <w:lang w:val="en-US"/>
        </w:rPr>
        <w:t>mL</w:t>
      </w:r>
      <w:r w:rsidRPr="006229D6">
        <w:rPr>
          <w:rFonts w:eastAsia="Times New Roman" w:cs="Arial"/>
          <w:color w:val="000000"/>
          <w:lang w:val="ru-RU"/>
        </w:rPr>
        <w:t>/</w:t>
      </w:r>
      <w:r w:rsidRPr="006229D6">
        <w:rPr>
          <w:rFonts w:eastAsia="Times New Roman" w:cs="Arial"/>
          <w:color w:val="000000"/>
          <w:lang w:val="en-US"/>
        </w:rPr>
        <w:t>min</w:t>
      </w:r>
      <w:r w:rsidRPr="006229D6">
        <w:rPr>
          <w:rFonts w:eastAsia="Times New Roman" w:cs="Arial"/>
          <w:color w:val="000000"/>
          <w:lang w:val="ru-RU"/>
        </w:rPr>
        <w:t xml:space="preserve"> </w:t>
      </w:r>
      <w:r w:rsidRPr="006229D6">
        <w:rPr>
          <w:rFonts w:eastAsia="Times New Roman" w:cs="Arial"/>
          <w:color w:val="000000"/>
          <w:lang w:eastAsia="bg-BG"/>
        </w:rPr>
        <w:t>след едноратни дози, приложени орално, интравенозно или ректално.</w:t>
      </w:r>
    </w:p>
    <w:p w14:paraId="47792DA5" w14:textId="0ED8FFF7" w:rsidR="006229D6" w:rsidRPr="006229D6" w:rsidRDefault="006229D6" w:rsidP="006229D6">
      <w:pPr>
        <w:rPr>
          <w:rFonts w:eastAsia="Times New Roman" w:cs="Arial"/>
          <w:color w:val="000000"/>
          <w:lang w:eastAsia="bg-BG"/>
        </w:rPr>
      </w:pPr>
    </w:p>
    <w:p w14:paraId="54EE7BF2" w14:textId="77777777" w:rsidR="006229D6" w:rsidRPr="006229D6" w:rsidRDefault="006229D6" w:rsidP="006229D6">
      <w:pPr>
        <w:spacing w:line="240" w:lineRule="auto"/>
        <w:rPr>
          <w:rFonts w:eastAsia="Times New Roman" w:cs="Arial"/>
        </w:rPr>
      </w:pPr>
      <w:r w:rsidRPr="006229D6">
        <w:rPr>
          <w:rFonts w:eastAsia="Times New Roman" w:cs="Arial"/>
          <w:color w:val="000000"/>
          <w:u w:val="single"/>
          <w:lang w:eastAsia="bg-BG"/>
        </w:rPr>
        <w:t>Линейност/Нелинейност</w:t>
      </w:r>
    </w:p>
    <w:p w14:paraId="5C15C423"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 xml:space="preserve">Мелоксикам показва линейна фармакокинетика в терапевтичния дозов диапазон от 7,5 </w:t>
      </w:r>
      <w:r w:rsidRPr="006229D6">
        <w:rPr>
          <w:rFonts w:eastAsia="Times New Roman" w:cs="Arial"/>
          <w:color w:val="000000"/>
          <w:lang w:val="en-US"/>
        </w:rPr>
        <w:t>mg</w:t>
      </w:r>
      <w:r w:rsidRPr="006229D6">
        <w:rPr>
          <w:rFonts w:eastAsia="Times New Roman" w:cs="Arial"/>
          <w:color w:val="000000"/>
          <w:lang w:val="ru-RU"/>
        </w:rPr>
        <w:t xml:space="preserve"> </w:t>
      </w:r>
      <w:r w:rsidRPr="006229D6">
        <w:rPr>
          <w:rFonts w:eastAsia="Times New Roman" w:cs="Arial"/>
          <w:color w:val="000000"/>
          <w:lang w:eastAsia="bg-BG"/>
        </w:rPr>
        <w:t xml:space="preserve">до 15 </w:t>
      </w:r>
      <w:r w:rsidRPr="006229D6">
        <w:rPr>
          <w:rFonts w:eastAsia="Times New Roman" w:cs="Arial"/>
          <w:color w:val="000000"/>
          <w:lang w:val="en-US"/>
        </w:rPr>
        <w:t>mg</w:t>
      </w:r>
      <w:r w:rsidRPr="006229D6">
        <w:rPr>
          <w:rFonts w:eastAsia="Times New Roman" w:cs="Arial"/>
          <w:color w:val="000000"/>
          <w:lang w:val="ru-RU"/>
        </w:rPr>
        <w:t xml:space="preserve"> </w:t>
      </w:r>
      <w:r w:rsidRPr="006229D6">
        <w:rPr>
          <w:rFonts w:eastAsia="Times New Roman" w:cs="Arial"/>
          <w:color w:val="000000"/>
          <w:lang w:eastAsia="bg-BG"/>
        </w:rPr>
        <w:t>след перорално или интрамускулно приложение.</w:t>
      </w:r>
    </w:p>
    <w:p w14:paraId="58E1270D" w14:textId="77777777" w:rsidR="006229D6" w:rsidRPr="006229D6" w:rsidRDefault="006229D6" w:rsidP="006229D6">
      <w:pPr>
        <w:spacing w:line="240" w:lineRule="auto"/>
        <w:rPr>
          <w:rFonts w:eastAsia="Times New Roman" w:cs="Arial"/>
          <w:color w:val="000000"/>
          <w:u w:val="single"/>
          <w:lang w:eastAsia="bg-BG"/>
        </w:rPr>
      </w:pPr>
    </w:p>
    <w:p w14:paraId="4A1248A8" w14:textId="335EDA15" w:rsidR="006229D6" w:rsidRPr="006229D6" w:rsidRDefault="006229D6" w:rsidP="006229D6">
      <w:pPr>
        <w:spacing w:line="240" w:lineRule="auto"/>
        <w:rPr>
          <w:rFonts w:eastAsia="Times New Roman" w:cs="Arial"/>
        </w:rPr>
      </w:pPr>
      <w:r w:rsidRPr="006229D6">
        <w:rPr>
          <w:rFonts w:eastAsia="Times New Roman" w:cs="Arial"/>
          <w:color w:val="000000"/>
          <w:u w:val="single"/>
          <w:lang w:eastAsia="bg-BG"/>
        </w:rPr>
        <w:t>Специални популации</w:t>
      </w:r>
    </w:p>
    <w:p w14:paraId="40767D4A" w14:textId="77777777" w:rsidR="006229D6" w:rsidRPr="006229D6" w:rsidRDefault="006229D6" w:rsidP="006229D6">
      <w:pPr>
        <w:spacing w:line="240" w:lineRule="auto"/>
        <w:rPr>
          <w:rFonts w:eastAsia="Times New Roman" w:cs="Arial"/>
          <w:i/>
          <w:iCs/>
          <w:color w:val="000000"/>
          <w:lang w:eastAsia="bg-BG"/>
        </w:rPr>
      </w:pPr>
    </w:p>
    <w:p w14:paraId="3A7A3BFC" w14:textId="50A40C3E" w:rsidR="006229D6" w:rsidRPr="006229D6" w:rsidRDefault="006229D6" w:rsidP="006229D6">
      <w:pPr>
        <w:spacing w:line="240" w:lineRule="auto"/>
        <w:rPr>
          <w:rFonts w:eastAsia="Times New Roman" w:cs="Arial"/>
        </w:rPr>
      </w:pPr>
      <w:r w:rsidRPr="006229D6">
        <w:rPr>
          <w:rFonts w:eastAsia="Times New Roman" w:cs="Arial"/>
          <w:i/>
          <w:iCs/>
          <w:color w:val="000000"/>
          <w:lang w:eastAsia="bg-BG"/>
        </w:rPr>
        <w:t>Пациенти с чернодробна/бъбречна недостатъчност</w:t>
      </w:r>
    </w:p>
    <w:p w14:paraId="7E5BFC0C"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 xml:space="preserve">Фармакокинетиката на мелоксикам не се повлиява съществено нито от чернодробна, нито от лека до умерено тежка бъбречна недостатъчност. Пациенти с умерено тежко бъбречно увреждане са имали значително по-висок общ лекарствен клирънс. Намалено свързаване с белтъците се наблюдава при пациенти с терминална бъбречна увреда. При терминална бъбречна недостатъчност, повишаването на обема на разпределение може да доведе до по- висока концентрация на свободен мелоксикам и по тази причина не трябва да се надвишава дневната доза от 7,5 </w:t>
      </w:r>
      <w:r w:rsidRPr="006229D6">
        <w:rPr>
          <w:rFonts w:eastAsia="Times New Roman" w:cs="Arial"/>
          <w:color w:val="000000"/>
          <w:lang w:val="en-US"/>
        </w:rPr>
        <w:t>mg</w:t>
      </w:r>
      <w:r w:rsidRPr="006229D6">
        <w:rPr>
          <w:rFonts w:eastAsia="Times New Roman" w:cs="Arial"/>
          <w:color w:val="000000"/>
          <w:lang w:val="ru-RU"/>
        </w:rPr>
        <w:t>.</w:t>
      </w:r>
    </w:p>
    <w:p w14:paraId="5CC00960" w14:textId="77777777" w:rsidR="006229D6" w:rsidRPr="006229D6" w:rsidRDefault="006229D6" w:rsidP="006229D6">
      <w:pPr>
        <w:spacing w:line="240" w:lineRule="auto"/>
        <w:rPr>
          <w:rFonts w:eastAsia="Times New Roman" w:cs="Arial"/>
          <w:i/>
          <w:iCs/>
          <w:color w:val="000000"/>
          <w:lang w:eastAsia="bg-BG"/>
        </w:rPr>
      </w:pPr>
    </w:p>
    <w:p w14:paraId="29E15FD5" w14:textId="1CB166C3" w:rsidR="006229D6" w:rsidRPr="006229D6" w:rsidRDefault="006229D6" w:rsidP="006229D6">
      <w:pPr>
        <w:spacing w:line="240" w:lineRule="auto"/>
        <w:rPr>
          <w:rFonts w:eastAsia="Times New Roman" w:cs="Arial"/>
        </w:rPr>
      </w:pPr>
      <w:r w:rsidRPr="006229D6">
        <w:rPr>
          <w:rFonts w:eastAsia="Times New Roman" w:cs="Arial"/>
          <w:i/>
          <w:iCs/>
          <w:color w:val="000000"/>
          <w:lang w:eastAsia="bg-BG"/>
        </w:rPr>
        <w:t>Пациенти в старческа възраст</w:t>
      </w:r>
    </w:p>
    <w:p w14:paraId="46263171"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 xml:space="preserve">Пациентите в старческа възраст от мъжки пол проявяват подобни фармакокинетични параметри, в сравнение с тези при млади мъжки индивиди. Пациентите в старческа възраст от женски пол са показали по-високи </w:t>
      </w:r>
      <w:r w:rsidRPr="006229D6">
        <w:rPr>
          <w:rFonts w:eastAsia="Times New Roman" w:cs="Arial"/>
          <w:color w:val="000000"/>
          <w:lang w:val="en-US"/>
        </w:rPr>
        <w:t>AUC</w:t>
      </w:r>
      <w:r w:rsidRPr="006229D6">
        <w:rPr>
          <w:rFonts w:eastAsia="Times New Roman" w:cs="Arial"/>
          <w:color w:val="000000"/>
          <w:lang w:eastAsia="bg-BG"/>
        </w:rPr>
        <w:t>-стойности и по-дълъг елиминационен полуживот в сравнение с тези при млади пациенти от двата пола.</w:t>
      </w:r>
    </w:p>
    <w:p w14:paraId="42438555"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 xml:space="preserve">Средният плазмен клирънс при </w:t>
      </w:r>
      <w:r w:rsidRPr="006229D6">
        <w:rPr>
          <w:rFonts w:eastAsia="Times New Roman" w:cs="Arial"/>
          <w:color w:val="000000"/>
          <w:lang w:val="en-US"/>
        </w:rPr>
        <w:t>steady</w:t>
      </w:r>
      <w:r w:rsidRPr="006229D6">
        <w:rPr>
          <w:rFonts w:eastAsia="Times New Roman" w:cs="Arial"/>
          <w:color w:val="000000"/>
          <w:lang w:val="ru-RU"/>
        </w:rPr>
        <w:t xml:space="preserve"> </w:t>
      </w:r>
      <w:r w:rsidRPr="006229D6">
        <w:rPr>
          <w:rFonts w:eastAsia="Times New Roman" w:cs="Arial"/>
          <w:color w:val="000000"/>
          <w:lang w:val="en-US"/>
        </w:rPr>
        <w:t>state</w:t>
      </w:r>
      <w:r w:rsidRPr="006229D6">
        <w:rPr>
          <w:rFonts w:eastAsia="Times New Roman" w:cs="Arial"/>
          <w:color w:val="000000"/>
          <w:lang w:val="ru-RU"/>
        </w:rPr>
        <w:t xml:space="preserve"> </w:t>
      </w:r>
      <w:r w:rsidRPr="006229D6">
        <w:rPr>
          <w:rFonts w:eastAsia="Times New Roman" w:cs="Arial"/>
          <w:color w:val="000000"/>
          <w:lang w:eastAsia="bg-BG"/>
        </w:rPr>
        <w:t>при пациенти в напреднала възраст е малко по- нисък от този, който се съобщава при по-младите пациенти.</w:t>
      </w:r>
    </w:p>
    <w:p w14:paraId="35E06539" w14:textId="77777777" w:rsidR="006229D6" w:rsidRPr="006229D6" w:rsidRDefault="006229D6" w:rsidP="006229D6"/>
    <w:p w14:paraId="028E658A" w14:textId="4342B630" w:rsidR="00395555" w:rsidRDefault="002C50EE" w:rsidP="008A6AF2">
      <w:pPr>
        <w:pStyle w:val="Heading2"/>
      </w:pPr>
      <w:r>
        <w:t>5.3. Предклинични данни за безопасност</w:t>
      </w:r>
    </w:p>
    <w:p w14:paraId="71542933" w14:textId="44BD7A98" w:rsidR="006229D6" w:rsidRDefault="006229D6" w:rsidP="006229D6"/>
    <w:p w14:paraId="5FF7D8B6" w14:textId="77777777" w:rsidR="006229D6" w:rsidRPr="006229D6" w:rsidRDefault="006229D6" w:rsidP="006229D6">
      <w:pPr>
        <w:spacing w:line="240" w:lineRule="auto"/>
        <w:rPr>
          <w:rFonts w:eastAsia="Times New Roman" w:cs="Arial"/>
        </w:rPr>
      </w:pPr>
      <w:r w:rsidRPr="006229D6">
        <w:rPr>
          <w:rFonts w:eastAsia="Times New Roman" w:cs="Arial"/>
          <w:color w:val="000000"/>
          <w:lang w:eastAsia="bg-BG"/>
        </w:rPr>
        <w:t>В предклинични изпитвания при повтарящи се високи дози, при два животински вида, е установено, че токсикологичният профил на мелоксикам е идентичен с този на другите НСПВС: гастроинтестинални язви и ерозии, бъбречна папиларна некроза.</w:t>
      </w:r>
    </w:p>
    <w:p w14:paraId="529E780C" w14:textId="77777777" w:rsidR="006229D6" w:rsidRDefault="006229D6" w:rsidP="006229D6">
      <w:pPr>
        <w:spacing w:line="240" w:lineRule="auto"/>
        <w:rPr>
          <w:rFonts w:eastAsia="Times New Roman" w:cs="Arial"/>
          <w:color w:val="000000"/>
          <w:lang w:eastAsia="bg-BG"/>
        </w:rPr>
      </w:pPr>
    </w:p>
    <w:p w14:paraId="4241A871" w14:textId="28EACBF0" w:rsidR="006229D6" w:rsidRPr="006229D6" w:rsidRDefault="006229D6" w:rsidP="006229D6">
      <w:pPr>
        <w:spacing w:line="240" w:lineRule="auto"/>
        <w:rPr>
          <w:rFonts w:eastAsia="Times New Roman" w:cs="Arial"/>
        </w:rPr>
      </w:pPr>
      <w:r w:rsidRPr="006229D6">
        <w:rPr>
          <w:rFonts w:eastAsia="Times New Roman" w:cs="Arial"/>
          <w:color w:val="000000"/>
          <w:lang w:eastAsia="bg-BG"/>
        </w:rPr>
        <w:t xml:space="preserve">Репродуктивни проучвания с перорални дози при плъхове показват намаляване на броя на овулациите и инхибирането на нидацията и ембриотоксични ефекти (повишена резорбция) при токсични за майката дозови нива от 1 </w:t>
      </w:r>
      <w:r w:rsidRPr="006229D6">
        <w:rPr>
          <w:rFonts w:eastAsia="Times New Roman" w:cs="Arial"/>
          <w:color w:val="000000"/>
          <w:lang w:val="en-US"/>
        </w:rPr>
        <w:t>mg</w:t>
      </w:r>
      <w:r w:rsidRPr="006229D6">
        <w:rPr>
          <w:rFonts w:eastAsia="Times New Roman" w:cs="Arial"/>
          <w:color w:val="000000"/>
          <w:lang w:val="ru-RU"/>
        </w:rPr>
        <w:t>/</w:t>
      </w:r>
      <w:r w:rsidRPr="006229D6">
        <w:rPr>
          <w:rFonts w:eastAsia="Times New Roman" w:cs="Arial"/>
          <w:color w:val="000000"/>
          <w:lang w:val="en-US"/>
        </w:rPr>
        <w:t>kg</w:t>
      </w:r>
      <w:r w:rsidRPr="006229D6">
        <w:rPr>
          <w:rFonts w:eastAsia="Times New Roman" w:cs="Arial"/>
          <w:color w:val="000000"/>
          <w:lang w:val="ru-RU"/>
        </w:rPr>
        <w:t xml:space="preserve"> </w:t>
      </w:r>
      <w:r w:rsidRPr="006229D6">
        <w:rPr>
          <w:rFonts w:eastAsia="Times New Roman" w:cs="Arial"/>
          <w:color w:val="000000"/>
          <w:lang w:eastAsia="bg-BG"/>
        </w:rPr>
        <w:t xml:space="preserve">или по-високи. Изпитвания за токсичността върху възпроизводството на плъхове и зайци не показват тератогенност до перорални дози от 4 </w:t>
      </w:r>
      <w:r w:rsidRPr="006229D6">
        <w:rPr>
          <w:rFonts w:eastAsia="Times New Roman" w:cs="Arial"/>
          <w:color w:val="000000"/>
          <w:lang w:val="en-US"/>
        </w:rPr>
        <w:t>mg</w:t>
      </w:r>
      <w:r w:rsidRPr="006229D6">
        <w:rPr>
          <w:rFonts w:eastAsia="Times New Roman" w:cs="Arial"/>
          <w:color w:val="000000"/>
          <w:lang w:val="ru-RU"/>
        </w:rPr>
        <w:t>/</w:t>
      </w:r>
      <w:r w:rsidRPr="006229D6">
        <w:rPr>
          <w:rFonts w:eastAsia="Times New Roman" w:cs="Arial"/>
          <w:color w:val="000000"/>
          <w:lang w:val="en-US"/>
        </w:rPr>
        <w:t>kg</w:t>
      </w:r>
      <w:r w:rsidRPr="006229D6">
        <w:rPr>
          <w:rFonts w:eastAsia="Times New Roman" w:cs="Arial"/>
          <w:color w:val="000000"/>
          <w:lang w:val="ru-RU"/>
        </w:rPr>
        <w:t xml:space="preserve"> </w:t>
      </w:r>
      <w:r w:rsidRPr="006229D6">
        <w:rPr>
          <w:rFonts w:eastAsia="Times New Roman" w:cs="Arial"/>
          <w:color w:val="000000"/>
          <w:lang w:eastAsia="bg-BG"/>
        </w:rPr>
        <w:t xml:space="preserve">при плъхове и 80 </w:t>
      </w:r>
      <w:r w:rsidRPr="006229D6">
        <w:rPr>
          <w:rFonts w:eastAsia="Times New Roman" w:cs="Arial"/>
          <w:color w:val="000000"/>
          <w:lang w:val="en-US"/>
        </w:rPr>
        <w:t>mg</w:t>
      </w:r>
      <w:r w:rsidRPr="006229D6">
        <w:rPr>
          <w:rFonts w:eastAsia="Times New Roman" w:cs="Arial"/>
          <w:color w:val="000000"/>
          <w:lang w:val="ru-RU"/>
        </w:rPr>
        <w:t>/</w:t>
      </w:r>
      <w:r w:rsidRPr="006229D6">
        <w:rPr>
          <w:rFonts w:eastAsia="Times New Roman" w:cs="Arial"/>
          <w:color w:val="000000"/>
          <w:lang w:val="en-US"/>
        </w:rPr>
        <w:t>kg</w:t>
      </w:r>
      <w:r w:rsidRPr="006229D6">
        <w:rPr>
          <w:rFonts w:eastAsia="Times New Roman" w:cs="Arial"/>
          <w:color w:val="000000"/>
          <w:lang w:val="ru-RU"/>
        </w:rPr>
        <w:t xml:space="preserve"> </w:t>
      </w:r>
      <w:r w:rsidRPr="006229D6">
        <w:rPr>
          <w:rFonts w:eastAsia="Times New Roman" w:cs="Arial"/>
          <w:color w:val="000000"/>
          <w:lang w:eastAsia="bg-BG"/>
        </w:rPr>
        <w:t>при зайци.</w:t>
      </w:r>
    </w:p>
    <w:p w14:paraId="46CFB1F5" w14:textId="77777777" w:rsidR="006229D6" w:rsidRDefault="006229D6" w:rsidP="006229D6">
      <w:pPr>
        <w:rPr>
          <w:rFonts w:eastAsia="Times New Roman" w:cs="Arial"/>
          <w:color w:val="000000"/>
          <w:lang w:eastAsia="bg-BG"/>
        </w:rPr>
      </w:pPr>
    </w:p>
    <w:p w14:paraId="3414F6CE" w14:textId="671C615A" w:rsidR="006229D6" w:rsidRPr="006229D6" w:rsidRDefault="006229D6" w:rsidP="006229D6">
      <w:pPr>
        <w:rPr>
          <w:rFonts w:cs="Arial"/>
        </w:rPr>
      </w:pPr>
      <w:r w:rsidRPr="006229D6">
        <w:rPr>
          <w:rFonts w:eastAsia="Times New Roman" w:cs="Arial"/>
          <w:color w:val="000000"/>
          <w:lang w:eastAsia="bg-BG"/>
        </w:rPr>
        <w:t xml:space="preserve">Изследваните дозови нива надвишават клиничната доза (7,5-15 </w:t>
      </w:r>
      <w:r w:rsidRPr="006229D6">
        <w:rPr>
          <w:rFonts w:eastAsia="Times New Roman" w:cs="Arial"/>
          <w:color w:val="000000"/>
          <w:lang w:val="en-US"/>
        </w:rPr>
        <w:t>mg</w:t>
      </w:r>
      <w:r w:rsidRPr="006229D6">
        <w:rPr>
          <w:rFonts w:eastAsia="Times New Roman" w:cs="Arial"/>
          <w:color w:val="000000"/>
          <w:lang w:val="ru-RU"/>
        </w:rPr>
        <w:t xml:space="preserve">) </w:t>
      </w:r>
      <w:r w:rsidRPr="006229D6">
        <w:rPr>
          <w:rFonts w:eastAsia="Times New Roman" w:cs="Arial"/>
          <w:color w:val="000000"/>
          <w:lang w:eastAsia="bg-BG"/>
        </w:rPr>
        <w:t xml:space="preserve">с коефициент от 10 до 5 пъти, изчислен за </w:t>
      </w:r>
      <w:r w:rsidRPr="006229D6">
        <w:rPr>
          <w:rFonts w:eastAsia="Times New Roman" w:cs="Arial"/>
          <w:color w:val="000000"/>
          <w:lang w:val="en-US"/>
        </w:rPr>
        <w:t>mg</w:t>
      </w:r>
      <w:r w:rsidRPr="006229D6">
        <w:rPr>
          <w:rFonts w:eastAsia="Times New Roman" w:cs="Arial"/>
          <w:color w:val="000000"/>
          <w:lang w:val="ru-RU"/>
        </w:rPr>
        <w:t>/</w:t>
      </w:r>
      <w:r w:rsidRPr="006229D6">
        <w:rPr>
          <w:rFonts w:eastAsia="Times New Roman" w:cs="Arial"/>
          <w:color w:val="000000"/>
          <w:lang w:val="en-US"/>
        </w:rPr>
        <w:t>kg</w:t>
      </w:r>
      <w:r w:rsidRPr="006229D6">
        <w:rPr>
          <w:rFonts w:eastAsia="Times New Roman" w:cs="Arial"/>
          <w:color w:val="000000"/>
          <w:lang w:val="ru-RU"/>
        </w:rPr>
        <w:t xml:space="preserve"> </w:t>
      </w:r>
      <w:r w:rsidRPr="006229D6">
        <w:rPr>
          <w:rFonts w:eastAsia="Times New Roman" w:cs="Arial"/>
          <w:color w:val="000000"/>
          <w:lang w:eastAsia="bg-BG"/>
        </w:rPr>
        <w:t xml:space="preserve">от базовата доза (при човек с телесно тегло 75 </w:t>
      </w:r>
      <w:r w:rsidRPr="006229D6">
        <w:rPr>
          <w:rFonts w:eastAsia="Times New Roman" w:cs="Arial"/>
          <w:color w:val="000000"/>
          <w:lang w:val="en-US"/>
        </w:rPr>
        <w:t>kg</w:t>
      </w:r>
      <w:r w:rsidRPr="006229D6">
        <w:rPr>
          <w:rFonts w:eastAsia="Times New Roman" w:cs="Arial"/>
          <w:color w:val="000000"/>
          <w:lang w:val="ru-RU"/>
        </w:rPr>
        <w:t xml:space="preserve">). </w:t>
      </w:r>
      <w:r w:rsidRPr="006229D6">
        <w:rPr>
          <w:rFonts w:eastAsia="Times New Roman" w:cs="Arial"/>
          <w:color w:val="000000"/>
          <w:lang w:eastAsia="bg-BG"/>
        </w:rPr>
        <w:t xml:space="preserve">Фетотоксичният ефект в края на бременността, изразен при всички инхибитори на простагландиновия синтез е описан. Не са открити данни за мутагенен ефект </w:t>
      </w:r>
      <w:r w:rsidRPr="006229D6">
        <w:rPr>
          <w:rFonts w:eastAsia="Times New Roman" w:cs="Arial"/>
          <w:i/>
          <w:iCs/>
          <w:color w:val="000000"/>
          <w:lang w:val="en-US"/>
        </w:rPr>
        <w:t>in</w:t>
      </w:r>
      <w:r w:rsidRPr="006229D6">
        <w:rPr>
          <w:rFonts w:eastAsia="Times New Roman" w:cs="Arial"/>
          <w:i/>
          <w:iCs/>
          <w:color w:val="000000"/>
          <w:lang w:val="ru-RU"/>
        </w:rPr>
        <w:t xml:space="preserve"> </w:t>
      </w:r>
      <w:r w:rsidRPr="006229D6">
        <w:rPr>
          <w:rFonts w:eastAsia="Times New Roman" w:cs="Arial"/>
          <w:i/>
          <w:iCs/>
          <w:color w:val="000000"/>
          <w:lang w:val="en-US"/>
        </w:rPr>
        <w:t>vitro</w:t>
      </w:r>
      <w:r w:rsidRPr="006229D6">
        <w:rPr>
          <w:rFonts w:eastAsia="Times New Roman" w:cs="Arial"/>
          <w:i/>
          <w:iCs/>
          <w:color w:val="000000"/>
          <w:lang w:val="ru-RU"/>
        </w:rPr>
        <w:t>,</w:t>
      </w:r>
      <w:r w:rsidRPr="006229D6">
        <w:rPr>
          <w:rFonts w:eastAsia="Times New Roman" w:cs="Arial"/>
          <w:color w:val="000000"/>
          <w:lang w:val="ru-RU"/>
        </w:rPr>
        <w:t xml:space="preserve"> </w:t>
      </w:r>
      <w:r w:rsidRPr="006229D6">
        <w:rPr>
          <w:rFonts w:eastAsia="Times New Roman" w:cs="Arial"/>
          <w:color w:val="000000"/>
          <w:lang w:eastAsia="bg-BG"/>
        </w:rPr>
        <w:t xml:space="preserve">нито </w:t>
      </w:r>
      <w:r w:rsidRPr="006229D6">
        <w:rPr>
          <w:rFonts w:eastAsia="Times New Roman" w:cs="Arial"/>
          <w:i/>
          <w:iCs/>
          <w:color w:val="000000"/>
          <w:lang w:val="en-US"/>
        </w:rPr>
        <w:t>in</w:t>
      </w:r>
      <w:r w:rsidRPr="006229D6">
        <w:rPr>
          <w:rFonts w:eastAsia="Times New Roman" w:cs="Arial"/>
          <w:i/>
          <w:iCs/>
          <w:color w:val="000000"/>
          <w:lang w:val="ru-RU"/>
        </w:rPr>
        <w:t xml:space="preserve"> </w:t>
      </w:r>
      <w:r w:rsidRPr="006229D6">
        <w:rPr>
          <w:rFonts w:eastAsia="Times New Roman" w:cs="Arial"/>
          <w:i/>
          <w:iCs/>
          <w:color w:val="000000"/>
          <w:lang w:val="en-US"/>
        </w:rPr>
        <w:t>vivo</w:t>
      </w:r>
      <w:r w:rsidRPr="006229D6">
        <w:rPr>
          <w:rFonts w:eastAsia="Times New Roman" w:cs="Arial"/>
          <w:i/>
          <w:iCs/>
          <w:color w:val="000000"/>
          <w:lang w:val="ru-RU"/>
        </w:rPr>
        <w:t>.</w:t>
      </w:r>
      <w:r w:rsidRPr="006229D6">
        <w:rPr>
          <w:rFonts w:eastAsia="Times New Roman" w:cs="Arial"/>
          <w:color w:val="000000"/>
          <w:lang w:val="ru-RU"/>
        </w:rPr>
        <w:t xml:space="preserve"> </w:t>
      </w:r>
      <w:r w:rsidRPr="006229D6">
        <w:rPr>
          <w:rFonts w:eastAsia="Times New Roman" w:cs="Arial"/>
          <w:color w:val="000000"/>
          <w:lang w:eastAsia="bg-BG"/>
        </w:rPr>
        <w:t>Няма открит карциногенен риск при плъхове и мишки при дози значително надвишаващи клиничните.</w:t>
      </w:r>
    </w:p>
    <w:p w14:paraId="6A7820AB" w14:textId="2470579A" w:rsidR="008A6AF2" w:rsidRDefault="002C50EE" w:rsidP="00395555">
      <w:pPr>
        <w:pStyle w:val="Heading1"/>
      </w:pPr>
      <w:r>
        <w:t>7. ПРИТЕЖАТЕЛ НА РАЗРЕШЕНИЕТО ЗА УПОТРЕБА</w:t>
      </w:r>
    </w:p>
    <w:p w14:paraId="04DD705D" w14:textId="3E2C42DA" w:rsidR="006229D6" w:rsidRDefault="006229D6" w:rsidP="006229D6"/>
    <w:p w14:paraId="2F397DE4" w14:textId="77777777" w:rsidR="006229D6" w:rsidRPr="006229D6" w:rsidRDefault="006229D6" w:rsidP="006229D6">
      <w:pPr>
        <w:rPr>
          <w:sz w:val="24"/>
          <w:szCs w:val="24"/>
          <w:lang w:val="en-US"/>
        </w:rPr>
      </w:pPr>
      <w:proofErr w:type="spellStart"/>
      <w:r w:rsidRPr="006229D6">
        <w:rPr>
          <w:lang w:val="en-US"/>
        </w:rPr>
        <w:t>Boehringer</w:t>
      </w:r>
      <w:proofErr w:type="spellEnd"/>
      <w:r w:rsidRPr="006229D6">
        <w:rPr>
          <w:lang w:val="en-US"/>
        </w:rPr>
        <w:t xml:space="preserve"> </w:t>
      </w:r>
      <w:proofErr w:type="spellStart"/>
      <w:r w:rsidRPr="006229D6">
        <w:rPr>
          <w:lang w:val="en-US"/>
        </w:rPr>
        <w:t>Ingelheim</w:t>
      </w:r>
      <w:proofErr w:type="spellEnd"/>
      <w:r w:rsidRPr="006229D6">
        <w:rPr>
          <w:lang w:val="en-US"/>
        </w:rPr>
        <w:t xml:space="preserve"> International GmbH</w:t>
      </w:r>
    </w:p>
    <w:p w14:paraId="4B9F6C18" w14:textId="77777777" w:rsidR="006229D6" w:rsidRPr="006229D6" w:rsidRDefault="006229D6" w:rsidP="006229D6">
      <w:pPr>
        <w:rPr>
          <w:sz w:val="24"/>
          <w:szCs w:val="24"/>
          <w:lang w:val="en-US"/>
        </w:rPr>
      </w:pPr>
      <w:r w:rsidRPr="006229D6">
        <w:rPr>
          <w:lang w:val="en-US"/>
        </w:rPr>
        <w:t>Binger Str. 173</w:t>
      </w:r>
    </w:p>
    <w:p w14:paraId="3E02AD82" w14:textId="77777777" w:rsidR="006229D6" w:rsidRPr="006229D6" w:rsidRDefault="006229D6" w:rsidP="006229D6">
      <w:pPr>
        <w:rPr>
          <w:sz w:val="24"/>
          <w:szCs w:val="24"/>
          <w:lang w:val="ru-RU"/>
        </w:rPr>
      </w:pPr>
      <w:r w:rsidRPr="006229D6">
        <w:rPr>
          <w:lang w:val="en-US"/>
        </w:rPr>
        <w:t>D</w:t>
      </w:r>
      <w:r w:rsidRPr="006229D6">
        <w:rPr>
          <w:lang w:val="ru-RU"/>
        </w:rPr>
        <w:t xml:space="preserve">-55216 </w:t>
      </w:r>
      <w:proofErr w:type="spellStart"/>
      <w:r w:rsidRPr="006229D6">
        <w:rPr>
          <w:lang w:val="en-US"/>
        </w:rPr>
        <w:t>Ingelheim</w:t>
      </w:r>
      <w:proofErr w:type="spellEnd"/>
      <w:r w:rsidRPr="006229D6">
        <w:rPr>
          <w:lang w:val="ru-RU"/>
        </w:rPr>
        <w:t xml:space="preserve"> </w:t>
      </w:r>
      <w:r w:rsidRPr="006229D6">
        <w:rPr>
          <w:lang w:val="en-US"/>
        </w:rPr>
        <w:t>am</w:t>
      </w:r>
      <w:r w:rsidRPr="006229D6">
        <w:rPr>
          <w:lang w:val="ru-RU"/>
        </w:rPr>
        <w:t xml:space="preserve"> </w:t>
      </w:r>
      <w:proofErr w:type="spellStart"/>
      <w:r w:rsidRPr="006229D6">
        <w:rPr>
          <w:lang w:val="en-US"/>
        </w:rPr>
        <w:t>Rhein</w:t>
      </w:r>
      <w:proofErr w:type="spellEnd"/>
    </w:p>
    <w:p w14:paraId="430D7F56" w14:textId="07C7376F" w:rsidR="006229D6" w:rsidRPr="006229D6" w:rsidRDefault="006229D6" w:rsidP="006229D6">
      <w:r w:rsidRPr="006229D6">
        <w:rPr>
          <w:lang w:eastAsia="bg-BG"/>
        </w:rPr>
        <w:t>Германия</w:t>
      </w:r>
    </w:p>
    <w:p w14:paraId="04840D59" w14:textId="00A663B0" w:rsidR="002C50EE" w:rsidRDefault="002C50EE" w:rsidP="00395555">
      <w:pPr>
        <w:pStyle w:val="Heading1"/>
      </w:pPr>
      <w:r>
        <w:t>8. НОМЕР НА РАЗРЕШЕНИЕТО ЗА УПОТРЕБА</w:t>
      </w:r>
    </w:p>
    <w:p w14:paraId="0A4AF98F" w14:textId="79549347" w:rsidR="006229D6" w:rsidRDefault="006229D6" w:rsidP="006229D6"/>
    <w:p w14:paraId="3CA2F634" w14:textId="03D03021" w:rsidR="006229D6" w:rsidRPr="006229D6" w:rsidRDefault="006229D6" w:rsidP="006229D6">
      <w:r>
        <w:t>9600237</w:t>
      </w:r>
    </w:p>
    <w:p w14:paraId="2CCB5832" w14:textId="64D313F7" w:rsidR="007C605B" w:rsidRDefault="002C50EE" w:rsidP="007C605B">
      <w:pPr>
        <w:pStyle w:val="Heading1"/>
      </w:pPr>
      <w:r>
        <w:t>9. ДАТА НА ПЪРВО РАЗРЕШАВАНЕ/ПОДНОВЯВАНЕ НА РАЗРЕШЕНИЕТО ЗА УПОТРЕБА</w:t>
      </w:r>
    </w:p>
    <w:p w14:paraId="10B1CA7E" w14:textId="0FB1FC7F" w:rsidR="006229D6" w:rsidRDefault="006229D6" w:rsidP="006229D6"/>
    <w:p w14:paraId="28F4BACD" w14:textId="77777777" w:rsidR="006229D6" w:rsidRPr="006229D6" w:rsidRDefault="006229D6" w:rsidP="006229D6">
      <w:pPr>
        <w:rPr>
          <w:sz w:val="24"/>
          <w:szCs w:val="24"/>
        </w:rPr>
      </w:pPr>
      <w:r w:rsidRPr="006229D6">
        <w:rPr>
          <w:lang w:eastAsia="bg-BG"/>
        </w:rPr>
        <w:t>Дата на първо разрешаване: 01.10.1996</w:t>
      </w:r>
    </w:p>
    <w:p w14:paraId="3A305ADF" w14:textId="4FAF218A" w:rsidR="006229D6" w:rsidRPr="006229D6" w:rsidRDefault="006229D6" w:rsidP="006229D6">
      <w:r w:rsidRPr="006229D6">
        <w:rPr>
          <w:lang w:eastAsia="bg-BG"/>
        </w:rPr>
        <w:t>Дата на последно подновяване: 06.04.2007</w:t>
      </w:r>
    </w:p>
    <w:p w14:paraId="0E9D0119" w14:textId="0245C6D7" w:rsidR="002C50EE" w:rsidRDefault="002C50EE" w:rsidP="002C50EE">
      <w:pPr>
        <w:pStyle w:val="Heading1"/>
      </w:pPr>
      <w:r>
        <w:lastRenderedPageBreak/>
        <w:t>10. ДАТА НА АКТУАЛИЗИРАНЕ НА ТЕКСТА</w:t>
      </w:r>
    </w:p>
    <w:bookmarkEnd w:id="0"/>
    <w:p w14:paraId="43FB38A2" w14:textId="42107D88" w:rsidR="007C605B" w:rsidRPr="002B0A88" w:rsidRDefault="006229D6" w:rsidP="006229D6">
      <w:pPr>
        <w:rPr>
          <w:sz w:val="24"/>
          <w:szCs w:val="24"/>
        </w:rPr>
      </w:pPr>
      <w:r>
        <w:t>07/2017</w:t>
      </w:r>
      <w:bookmarkStart w:id="3" w:name="_GoBack"/>
      <w:bookmarkEnd w:id="3"/>
    </w:p>
    <w:sectPr w:rsidR="007C605B" w:rsidRPr="002B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0CC11BC"/>
    <w:multiLevelType w:val="hybridMultilevel"/>
    <w:tmpl w:val="3AF67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06022"/>
    <w:multiLevelType w:val="hybridMultilevel"/>
    <w:tmpl w:val="7D989758"/>
    <w:lvl w:ilvl="0" w:tplc="D7521F98">
      <w:start w:val="4"/>
      <w:numFmt w:val="bullet"/>
      <w:lvlText w:val="-"/>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96650"/>
    <w:multiLevelType w:val="hybridMultilevel"/>
    <w:tmpl w:val="5808A9C6"/>
    <w:lvl w:ilvl="0" w:tplc="D7521F98">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46DE1"/>
    <w:multiLevelType w:val="hybridMultilevel"/>
    <w:tmpl w:val="559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A5557"/>
    <w:multiLevelType w:val="hybridMultilevel"/>
    <w:tmpl w:val="4E26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BD4F54"/>
    <w:multiLevelType w:val="hybridMultilevel"/>
    <w:tmpl w:val="0894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4"/>
  </w:num>
  <w:num w:numId="4">
    <w:abstractNumId w:val="3"/>
  </w:num>
  <w:num w:numId="5">
    <w:abstractNumId w:val="1"/>
  </w:num>
  <w:num w:numId="6">
    <w:abstractNumId w:val="19"/>
  </w:num>
  <w:num w:numId="7">
    <w:abstractNumId w:val="12"/>
  </w:num>
  <w:num w:numId="8">
    <w:abstractNumId w:val="18"/>
  </w:num>
  <w:num w:numId="9">
    <w:abstractNumId w:val="2"/>
  </w:num>
  <w:num w:numId="10">
    <w:abstractNumId w:val="4"/>
  </w:num>
  <w:num w:numId="11">
    <w:abstractNumId w:val="33"/>
  </w:num>
  <w:num w:numId="12">
    <w:abstractNumId w:val="15"/>
  </w:num>
  <w:num w:numId="13">
    <w:abstractNumId w:val="22"/>
  </w:num>
  <w:num w:numId="14">
    <w:abstractNumId w:val="13"/>
  </w:num>
  <w:num w:numId="15">
    <w:abstractNumId w:val="32"/>
  </w:num>
  <w:num w:numId="16">
    <w:abstractNumId w:val="11"/>
  </w:num>
  <w:num w:numId="17">
    <w:abstractNumId w:val="28"/>
  </w:num>
  <w:num w:numId="18">
    <w:abstractNumId w:val="8"/>
  </w:num>
  <w:num w:numId="19">
    <w:abstractNumId w:val="30"/>
  </w:num>
  <w:num w:numId="20">
    <w:abstractNumId w:val="27"/>
  </w:num>
  <w:num w:numId="21">
    <w:abstractNumId w:val="20"/>
  </w:num>
  <w:num w:numId="22">
    <w:abstractNumId w:val="29"/>
  </w:num>
  <w:num w:numId="23">
    <w:abstractNumId w:val="21"/>
  </w:num>
  <w:num w:numId="24">
    <w:abstractNumId w:val="9"/>
  </w:num>
  <w:num w:numId="25">
    <w:abstractNumId w:val="26"/>
  </w:num>
  <w:num w:numId="26">
    <w:abstractNumId w:val="25"/>
  </w:num>
  <w:num w:numId="27">
    <w:abstractNumId w:val="35"/>
  </w:num>
  <w:num w:numId="28">
    <w:abstractNumId w:val="6"/>
  </w:num>
  <w:num w:numId="29">
    <w:abstractNumId w:val="24"/>
  </w:num>
  <w:num w:numId="30">
    <w:abstractNumId w:val="36"/>
  </w:num>
  <w:num w:numId="31">
    <w:abstractNumId w:val="5"/>
  </w:num>
  <w:num w:numId="32">
    <w:abstractNumId w:val="17"/>
  </w:num>
  <w:num w:numId="33">
    <w:abstractNumId w:val="34"/>
  </w:num>
  <w:num w:numId="34">
    <w:abstractNumId w:val="16"/>
  </w:num>
  <w:num w:numId="35">
    <w:abstractNumId w:val="7"/>
  </w:num>
  <w:num w:numId="36">
    <w:abstractNumId w:val="1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0A88"/>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229D6"/>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DF4C8E"/>
    <w:rsid w:val="00E63157"/>
    <w:rsid w:val="00EB6364"/>
    <w:rsid w:val="00F37B64"/>
    <w:rsid w:val="00F4449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5078</Words>
  <Characters>28950</Characters>
  <Application>Microsoft Office Word</Application>
  <DocSecurity>0</DocSecurity>
  <Lines>241</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SATHealth-Guest</cp:lastModifiedBy>
  <cp:revision>2</cp:revision>
  <dcterms:created xsi:type="dcterms:W3CDTF">2022-03-07T11:27:00Z</dcterms:created>
  <dcterms:modified xsi:type="dcterms:W3CDTF">2022-03-07T11:27:00Z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