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28012C85" w:rsidR="0091385D" w:rsidRDefault="0091385D" w:rsidP="0091385D"/>
    <w:p w14:paraId="63E9FD61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Моксогамма 0,3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>филмирани таблетки</w:t>
      </w:r>
    </w:p>
    <w:p w14:paraId="5015A1FD" w14:textId="22AA5AD7" w:rsidR="00A73575" w:rsidRPr="006C4C0B" w:rsidRDefault="006C4C0B" w:rsidP="006C4C0B">
      <w:pPr>
        <w:rPr>
          <w:rFonts w:cs="Arial"/>
          <w:sz w:val="24"/>
        </w:rPr>
      </w:pPr>
      <w:proofErr w:type="spellStart"/>
      <w:r w:rsidRPr="006C4C0B">
        <w:rPr>
          <w:rFonts w:eastAsia="Times New Roman" w:cs="Arial"/>
          <w:color w:val="000000"/>
          <w:szCs w:val="20"/>
          <w:lang w:val="en-US"/>
        </w:rPr>
        <w:t>Moxogamma</w:t>
      </w:r>
      <w:proofErr w:type="spellEnd"/>
      <w:r w:rsidRPr="006C4C0B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6C4C0B">
        <w:rPr>
          <w:rFonts w:eastAsia="Times New Roman" w:cs="Arial"/>
          <w:color w:val="000000"/>
          <w:szCs w:val="20"/>
          <w:lang w:eastAsia="bg-BG"/>
        </w:rPr>
        <w:t>0</w:t>
      </w:r>
      <w:proofErr w:type="gramStart"/>
      <w:r w:rsidRPr="006C4C0B">
        <w:rPr>
          <w:rFonts w:eastAsia="Times New Roman" w:cs="Arial"/>
          <w:color w:val="000000"/>
          <w:szCs w:val="20"/>
          <w:lang w:eastAsia="bg-BG"/>
        </w:rPr>
        <w:t>,3</w:t>
      </w:r>
      <w:proofErr w:type="gramEnd"/>
      <w:r w:rsidRPr="006C4C0B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6C4C0B">
        <w:rPr>
          <w:rFonts w:eastAsia="Times New Roman" w:cs="Arial"/>
          <w:color w:val="000000"/>
          <w:szCs w:val="20"/>
          <w:lang w:val="en-US"/>
        </w:rPr>
        <w:t>mg film-coated 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288788EF" w:rsidR="0091385D" w:rsidRDefault="0091385D" w:rsidP="0091385D"/>
    <w:p w14:paraId="20546CFC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Всяка таблетка съдържа 0,3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proofErr w:type="spellStart"/>
      <w:r w:rsidRPr="006C4C0B">
        <w:rPr>
          <w:rFonts w:eastAsia="Times New Roman" w:cs="Arial"/>
          <w:color w:val="000000"/>
          <w:szCs w:val="20"/>
          <w:lang w:val="en-US"/>
        </w:rPr>
        <w:t>mg</w:t>
      </w:r>
      <w:proofErr w:type="spellEnd"/>
      <w:r w:rsidRPr="006C4C0B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моксонидин </w:t>
      </w:r>
      <w:r w:rsidRPr="006C4C0B">
        <w:rPr>
          <w:rFonts w:eastAsia="Times New Roman" w:cs="Arial"/>
          <w:i/>
          <w:iCs/>
          <w:color w:val="000000"/>
          <w:szCs w:val="20"/>
          <w:lang w:val="en-US"/>
        </w:rPr>
        <w:t>(</w:t>
      </w:r>
      <w:proofErr w:type="spellStart"/>
      <w:r w:rsidRPr="006C4C0B">
        <w:rPr>
          <w:rFonts w:eastAsia="Times New Roman" w:cs="Arial"/>
          <w:i/>
          <w:iCs/>
          <w:color w:val="000000"/>
          <w:szCs w:val="20"/>
          <w:lang w:val="en-US"/>
        </w:rPr>
        <w:t>Moxonidine</w:t>
      </w:r>
      <w:proofErr w:type="spellEnd"/>
      <w:r w:rsidRPr="006C4C0B">
        <w:rPr>
          <w:rFonts w:eastAsia="Times New Roman" w:cs="Arial"/>
          <w:i/>
          <w:iCs/>
          <w:color w:val="000000"/>
          <w:szCs w:val="20"/>
          <w:lang w:val="en-US"/>
        </w:rPr>
        <w:t>).</w:t>
      </w:r>
    </w:p>
    <w:p w14:paraId="1A6CEB0F" w14:textId="77777777" w:rsidR="006C4C0B" w:rsidRPr="006C4C0B" w:rsidRDefault="006C4C0B" w:rsidP="006C4C0B">
      <w:pPr>
        <w:rPr>
          <w:rFonts w:eastAsia="Times New Roman" w:cs="Arial"/>
          <w:color w:val="000000"/>
          <w:szCs w:val="20"/>
          <w:lang w:eastAsia="bg-BG"/>
        </w:rPr>
      </w:pPr>
    </w:p>
    <w:p w14:paraId="03110A50" w14:textId="4927E444" w:rsidR="0091385D" w:rsidRPr="006C4C0B" w:rsidRDefault="006C4C0B" w:rsidP="006C4C0B">
      <w:pPr>
        <w:rPr>
          <w:rFonts w:cs="Arial"/>
          <w:sz w:val="24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Помощно вещество с известно действие: Лактоза Монохидрат За пълния списък на помощните вещества, вижте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277B91E7" w:rsidR="0091385D" w:rsidRDefault="0091385D" w:rsidP="0091385D"/>
    <w:p w14:paraId="5540A651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Филмирана таблетка</w:t>
      </w:r>
    </w:p>
    <w:p w14:paraId="6BC2E764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C395276" w14:textId="31858EC5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Външен вид на таблетките: Всички таблетки са кръгли, с диаметър около 6 </w:t>
      </w:r>
      <w:r w:rsidRPr="006C4C0B">
        <w:rPr>
          <w:rFonts w:eastAsia="Times New Roman" w:cs="Arial"/>
          <w:color w:val="000000"/>
          <w:szCs w:val="20"/>
          <w:lang w:val="en-US"/>
        </w:rPr>
        <w:t>mm.</w:t>
      </w:r>
    </w:p>
    <w:p w14:paraId="4129ADBB" w14:textId="2E1D34F6" w:rsidR="0091385D" w:rsidRPr="006C4C0B" w:rsidRDefault="006C4C0B" w:rsidP="006C4C0B">
      <w:pPr>
        <w:rPr>
          <w:rFonts w:cs="Arial"/>
          <w:sz w:val="24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Цветът на филмираните таблетки от 0,3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>е розов.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04B2E99C" w14:textId="0066E775" w:rsidR="0091385D" w:rsidRPr="006C4C0B" w:rsidRDefault="006C4C0B" w:rsidP="0091385D">
      <w:pPr>
        <w:rPr>
          <w:rFonts w:cs="Arial"/>
          <w:sz w:val="24"/>
        </w:rPr>
      </w:pPr>
      <w:r w:rsidRPr="006C4C0B">
        <w:rPr>
          <w:rFonts w:cs="Arial"/>
          <w:szCs w:val="20"/>
        </w:rPr>
        <w:t>Лека до среднотежка есенциална хипертония.</w:t>
      </w:r>
    </w:p>
    <w:p w14:paraId="6DFA4B9D" w14:textId="77777777" w:rsidR="0091385D" w:rsidRPr="0091385D" w:rsidRDefault="0091385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3A681DFB" w:rsidR="0091385D" w:rsidRDefault="0091385D" w:rsidP="0091385D"/>
    <w:p w14:paraId="3702F32E" w14:textId="77777777" w:rsidR="006C4C0B" w:rsidRPr="006C4C0B" w:rsidRDefault="006C4C0B" w:rsidP="006C4C0B">
      <w:pPr>
        <w:pStyle w:val="Heading3"/>
        <w:rPr>
          <w:rFonts w:eastAsia="Times New Roman"/>
          <w:sz w:val="28"/>
          <w:u w:val="single"/>
          <w:lang w:eastAsia="bg-BG"/>
        </w:rPr>
      </w:pPr>
      <w:r w:rsidRPr="006C4C0B">
        <w:rPr>
          <w:rFonts w:eastAsia="Times New Roman"/>
          <w:u w:val="single"/>
          <w:lang w:eastAsia="bg-BG"/>
        </w:rPr>
        <w:t>Дозировка</w:t>
      </w:r>
    </w:p>
    <w:p w14:paraId="23BBACE7" w14:textId="77777777" w:rsidR="006C4C0B" w:rsidRPr="006C4C0B" w:rsidRDefault="006C4C0B" w:rsidP="006C4C0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0737F1FF" w14:textId="18558428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i/>
          <w:iCs/>
          <w:color w:val="000000"/>
          <w:szCs w:val="20"/>
          <w:lang w:eastAsia="bg-BG"/>
        </w:rPr>
        <w:t>Възрастни</w:t>
      </w:r>
    </w:p>
    <w:p w14:paraId="084B85A7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Лечението с моксонидин трябва да се започне с най-ниската дозировка. Това означава една дневна доза от 0,2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моксонидин сутрин. Ако терапевтичното действие е недостатъчно, дозата може да се увеличи до 0,4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mg,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след три седмици. Тази доза може да се приема като една единична доза (сутрин) или да се назначи като две единични дози за деня (сутрин и вечер). Ако резултатите от лечението през следващите три седмици все още са незадоволителни, дозировката може да се повиши до максимума от 0,6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mg,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при което тя трябва да се раздели на два приема - сутрин и вечер. Единичната доза от 0,4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моксонидин и дневната доза от 0,6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>моксонидин не трябва да се превишават.</w:t>
      </w:r>
    </w:p>
    <w:p w14:paraId="5DD03A32" w14:textId="77777777" w:rsidR="006C4C0B" w:rsidRPr="006C4C0B" w:rsidRDefault="006C4C0B" w:rsidP="006C4C0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54530C1E" w14:textId="292DD1A4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i/>
          <w:iCs/>
          <w:color w:val="000000"/>
          <w:szCs w:val="20"/>
          <w:lang w:eastAsia="bg-BG"/>
        </w:rPr>
        <w:lastRenderedPageBreak/>
        <w:t>Педиатрична популация</w:t>
      </w:r>
    </w:p>
    <w:p w14:paraId="1104BA6F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Моксонидин не трябва да се прилага при деца и юноши на възраст до 16 години, тъй като не са налични достатъчно терапевтични данни за тази възрастова група.</w:t>
      </w:r>
    </w:p>
    <w:p w14:paraId="260F0489" w14:textId="77777777" w:rsidR="006C4C0B" w:rsidRPr="006C4C0B" w:rsidRDefault="006C4C0B" w:rsidP="006C4C0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D70FE80" w14:textId="558D3AA1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i/>
          <w:iCs/>
          <w:color w:val="000000"/>
          <w:szCs w:val="20"/>
          <w:lang w:eastAsia="bg-BG"/>
        </w:rPr>
        <w:t>Пациенти в старческа възраст</w:t>
      </w:r>
    </w:p>
    <w:p w14:paraId="72E06DF5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В случай, че няма нарушение на бъбречната функция, важи дозировката, препоръчвана за възрастни.</w:t>
      </w:r>
    </w:p>
    <w:p w14:paraId="74856C62" w14:textId="77777777" w:rsidR="006C4C0B" w:rsidRPr="006C4C0B" w:rsidRDefault="006C4C0B" w:rsidP="006C4C0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26E73AC7" w14:textId="71E4E07F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i/>
          <w:iCs/>
          <w:color w:val="000000"/>
          <w:szCs w:val="20"/>
          <w:lang w:eastAsia="bg-BG"/>
        </w:rPr>
        <w:t>Нарушения на бъбречната функция:</w:t>
      </w:r>
    </w:p>
    <w:p w14:paraId="475300EC" w14:textId="0FC6B7FE" w:rsidR="0091385D" w:rsidRPr="006C4C0B" w:rsidRDefault="006C4C0B" w:rsidP="006C4C0B">
      <w:pPr>
        <w:rPr>
          <w:rFonts w:cs="Arial"/>
          <w:sz w:val="24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При пациенти с умерено нарушение на бъбречната функция (гломерулна филтрация ≥ 30 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ml/min,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но &lt; 60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ml/min) </w:t>
      </w:r>
      <w:r w:rsidRPr="006C4C0B">
        <w:rPr>
          <w:rFonts w:eastAsia="Times New Roman" w:cs="Arial"/>
          <w:color w:val="000000"/>
          <w:szCs w:val="20"/>
          <w:lang w:eastAsia="bg-BG"/>
        </w:rPr>
        <w:t>не трябва да се превишава единичната доза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от 0,2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и дневната доза от 0,4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>моксонидин (вижте точка 4.4).</w:t>
      </w:r>
    </w:p>
    <w:p w14:paraId="6ACAF645" w14:textId="0A637204" w:rsidR="0091385D" w:rsidRDefault="0091385D" w:rsidP="0091385D"/>
    <w:p w14:paraId="048C36B3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При пациенти с тежко нарушение на бъбречната функция (гломерулна филтрация &lt; 30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ml/min),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не трябва да се превишава единичната доза от 0,2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и дневната доза от 0,3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>моксонидин (вижте точка 4.4).</w:t>
      </w:r>
    </w:p>
    <w:p w14:paraId="626FB118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21B1BF7" w14:textId="492D1AF3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u w:val="single"/>
          <w:lang w:eastAsia="bg-BG"/>
        </w:rPr>
        <w:t>Продължителност на лечението</w:t>
      </w:r>
    </w:p>
    <w:p w14:paraId="350C8947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Лечението не трябва да се прекратява рязко, а постепенно, в продължение на период от две седмици (вижте също точка 4.4).</w:t>
      </w:r>
    </w:p>
    <w:p w14:paraId="32F2F9C1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CFB4BA0" w14:textId="71E9D73B" w:rsidR="006C4C0B" w:rsidRPr="006C4C0B" w:rsidRDefault="006C4C0B" w:rsidP="006C4C0B">
      <w:pPr>
        <w:pStyle w:val="Heading3"/>
        <w:rPr>
          <w:rFonts w:eastAsia="Times New Roman"/>
          <w:sz w:val="28"/>
          <w:u w:val="single"/>
          <w:lang w:eastAsia="bg-BG"/>
        </w:rPr>
      </w:pPr>
      <w:r w:rsidRPr="006C4C0B">
        <w:rPr>
          <w:rFonts w:eastAsia="Times New Roman"/>
          <w:u w:val="single"/>
          <w:lang w:eastAsia="bg-BG"/>
        </w:rPr>
        <w:t>Начин на приложение:</w:t>
      </w:r>
    </w:p>
    <w:p w14:paraId="2419A6BF" w14:textId="0F910302" w:rsidR="006C4C0B" w:rsidRPr="006C4C0B" w:rsidRDefault="006C4C0B" w:rsidP="006C4C0B">
      <w:pPr>
        <w:rPr>
          <w:rFonts w:cs="Arial"/>
          <w:sz w:val="24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Тъй като едновременният прием на храна не повлиява фармакокинетиката на моксонидин, то той може да се приема преди, по време или след хранене. Таблетките трябва да се поглъщат с достатъчно количество течност.</w:t>
      </w:r>
    </w:p>
    <w:p w14:paraId="403B8B5C" w14:textId="77777777" w:rsidR="006C4C0B" w:rsidRPr="0091385D" w:rsidRDefault="006C4C0B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48168570" w:rsidR="0091385D" w:rsidRDefault="0091385D" w:rsidP="0091385D"/>
    <w:p w14:paraId="67A396C9" w14:textId="77777777" w:rsidR="006C4C0B" w:rsidRPr="006C4C0B" w:rsidRDefault="006C4C0B" w:rsidP="006C4C0B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Свръхчувствителност към активното вещество или към някое от помощните вещества, изброени в точка 6.1;</w:t>
      </w:r>
    </w:p>
    <w:p w14:paraId="701A5679" w14:textId="77777777" w:rsidR="006C4C0B" w:rsidRPr="006C4C0B" w:rsidRDefault="006C4C0B" w:rsidP="006C4C0B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Синдром на болния синусов възел;</w:t>
      </w:r>
    </w:p>
    <w:p w14:paraId="205598C2" w14:textId="77777777" w:rsidR="006C4C0B" w:rsidRPr="006C4C0B" w:rsidRDefault="006C4C0B" w:rsidP="006C4C0B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Брадикардия (под 50 удара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/min </w:t>
      </w:r>
      <w:r w:rsidRPr="006C4C0B">
        <w:rPr>
          <w:rFonts w:eastAsia="Times New Roman" w:cs="Arial"/>
          <w:color w:val="000000"/>
          <w:szCs w:val="20"/>
          <w:lang w:eastAsia="bg-BG"/>
        </w:rPr>
        <w:t>в покой);</w:t>
      </w:r>
    </w:p>
    <w:p w14:paraId="77E35166" w14:textId="77777777" w:rsidR="006C4C0B" w:rsidRPr="006C4C0B" w:rsidRDefault="006C4C0B" w:rsidP="006C4C0B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Атриовентрик</w:t>
      </w:r>
      <w:r>
        <w:rPr>
          <w:rFonts w:eastAsia="Times New Roman" w:cs="Arial"/>
          <w:color w:val="000000"/>
          <w:szCs w:val="20"/>
          <w:lang w:eastAsia="bg-BG"/>
        </w:rPr>
        <w:t xml:space="preserve">уларен блок II или III степен; </w:t>
      </w:r>
    </w:p>
    <w:p w14:paraId="2309EAB0" w14:textId="4DB3702D" w:rsidR="0091385D" w:rsidRPr="006C4C0B" w:rsidRDefault="006C4C0B" w:rsidP="006C4C0B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Сърдечна недостатъчност.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0A08B607" w:rsidR="0091385D" w:rsidRDefault="0091385D" w:rsidP="0091385D"/>
    <w:p w14:paraId="2B35A571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От постмаркетинговия опит са докладвани съобщения за случаи на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AV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блок в различна степен при пациенти лекувани с моксонидин. Изхождайки от тези съобщения не може да се изключи напълно ролята на моксонидин при забавяне на атриовентрикуларното състояние. Поради това се препоръчва внимание при лечение на пациенти с възможно предразположение за развитие на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AV </w:t>
      </w:r>
      <w:r w:rsidRPr="006C4C0B">
        <w:rPr>
          <w:rFonts w:eastAsia="Times New Roman" w:cs="Arial"/>
          <w:color w:val="000000"/>
          <w:szCs w:val="20"/>
          <w:lang w:eastAsia="bg-BG"/>
        </w:rPr>
        <w:t>блок.</w:t>
      </w:r>
    </w:p>
    <w:p w14:paraId="4418A0B7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Когато моксонидин се прилага при пациенти с атриовентрикуларен блок I степен, трябва да се положат специални грижи и повишено внимание, за да се избегне брадикардия.</w:t>
      </w:r>
    </w:p>
    <w:p w14:paraId="7FDA5CF3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Когато моксонидин се прилага при пациенти с тежка коронарна болест на сърцето или нестабилна ангина пекторис, трябва да се похожда много внимателно, тъй като терапевтичния опит при тази група пациенти е ограничен.</w:t>
      </w:r>
    </w:p>
    <w:p w14:paraId="3E4E30C3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72CD9A0" w14:textId="3A613580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Препоръчва се повишено внимание, когато моксонидин се прилага при пациенти с бъбречни нарушения, тъй като моксонидинът се екскретира главно през бъбреците. При тези пациенти се препоръчва много внимателно титриране на дозата, особено в началото на терапията. Дозирането трябва да започне с 0,2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дневно ида бъде завишено до 0,4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дневно при пациенти с умерено нарушение на бъбречната функция (гломерулна филтрация &gt;30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ml/ min,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но &lt; 60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ml/ min)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и до максимум 0,3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дневно при пациенти с тежко нарушение на бъбречната функция (гломерулна филтрация &lt; 30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ml/min), </w:t>
      </w:r>
      <w:r w:rsidRPr="006C4C0B">
        <w:rPr>
          <w:rFonts w:eastAsia="Times New Roman" w:cs="Arial"/>
          <w:color w:val="000000"/>
          <w:szCs w:val="20"/>
          <w:lang w:eastAsia="bg-BG"/>
        </w:rPr>
        <w:t>ако е клинично показано и има добра поносимост.</w:t>
      </w:r>
    </w:p>
    <w:p w14:paraId="0EA5B901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Ако моксонидин се използва в комбинация с бета-блокер и поради някаква причина лечението с двата медикамента трябва да се спре, първо трябва да се преустанови лечението с бета- блокера и след няколкодневен период — лечението с моксонидин. До сега не е наблюдаван рибаунд-ефект върху кръвното налягане след прекратяване на лечение с моксонидин. Въпреки това не е препоръчително рязко спиране на моксонидиновото лечение. Дозата трябва да се намалява постепенно в продължение на период от две седмици.</w:t>
      </w:r>
    </w:p>
    <w:p w14:paraId="2FCD8B05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6B701CE" w14:textId="0CAEFA85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Популацията пациенти в старческа възраст може да бъде по-чувствителна към кардио- васкуларните ефекти на лекарствата, понижаващи кръвното налягане. Поради това, лечението трябва да започва с най-ниската доза и покачването на дозата трябва да става внимателно с оглед да се избегнат сериозните усложнения, кото може да се причинят от тези реакции.</w:t>
      </w:r>
    </w:p>
    <w:p w14:paraId="715A905D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5CCF648" w14:textId="7B5B1C53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Пациенти, които страдат от редки вродени проблеми като галактозна непоносимост. </w:t>
      </w:r>
      <w:r w:rsidRPr="006C4C0B">
        <w:rPr>
          <w:rFonts w:eastAsia="Times New Roman" w:cs="Arial"/>
          <w:color w:val="000000"/>
          <w:szCs w:val="20"/>
          <w:lang w:val="en-US"/>
        </w:rPr>
        <w:t>Lapp-</w:t>
      </w:r>
    </w:p>
    <w:p w14:paraId="0B3BEE35" w14:textId="1310F5B6" w:rsidR="0091385D" w:rsidRPr="006C4C0B" w:rsidRDefault="006C4C0B" w:rsidP="006C4C0B">
      <w:pPr>
        <w:rPr>
          <w:rFonts w:cs="Arial"/>
          <w:sz w:val="24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лактазен дефицит, или глюкозо-галактозна малабсобция, не трябва да приемат това лекарство.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5C39DCD6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Едновременната употреба на моксонидин с други антихипертензивни средства има адитивен ефект.</w:t>
      </w:r>
    </w:p>
    <w:p w14:paraId="74AA9DE8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2D9E30C" w14:textId="694AC669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Тъй като трицикличните антидепресанти могат да намалят ефективността на централно действащите антихипертензивни лекарствени продукти, не се препоръчва едновременна употреба на трициклични антидепресанти с моксонидин.</w:t>
      </w:r>
    </w:p>
    <w:p w14:paraId="6BE80D03" w14:textId="57D77C78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Моксонидинът може да потенцира ефекта на трицикличните антидепресанти (избягвайте едновременното им предписване), транквилизаторите, алкохола, седативните и сънотворни средства.</w:t>
      </w:r>
    </w:p>
    <w:p w14:paraId="40481B22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Моксонидинът умерено засилва нарушенията на когнитивните функции при пациенти, които едновременно приемат лоразепам. Седативният ефект на бензодиазепините може да се засили при едновременна употреба на моксонидин.</w:t>
      </w:r>
    </w:p>
    <w:p w14:paraId="57AE614C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945C8AF" w14:textId="23A3A2EF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Моксонидинът се екскретира от организма чрез тубулна секреция. Не могат да бъдат изключени взаимодействия с други лекарствени продукти, които също се излъчват от организма чрез тубулна секреция.</w:t>
      </w:r>
    </w:p>
    <w:p w14:paraId="0D87891C" w14:textId="77777777" w:rsidR="006C4C0B" w:rsidRPr="006C4C0B" w:rsidRDefault="006C4C0B" w:rsidP="006C4C0B">
      <w:pPr>
        <w:rPr>
          <w:rFonts w:eastAsia="Times New Roman" w:cs="Arial"/>
          <w:color w:val="000000"/>
          <w:szCs w:val="20"/>
          <w:lang w:eastAsia="bg-BG"/>
        </w:rPr>
      </w:pPr>
    </w:p>
    <w:p w14:paraId="172AE819" w14:textId="627715AD" w:rsidR="0091385D" w:rsidRPr="006C4C0B" w:rsidRDefault="006C4C0B" w:rsidP="006C4C0B">
      <w:pPr>
        <w:rPr>
          <w:rFonts w:cs="Arial"/>
          <w:sz w:val="24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Толазолинът може да намали дозозависимо действието на моксонидин.</w:t>
      </w:r>
    </w:p>
    <w:p w14:paraId="5B2761C5" w14:textId="77777777" w:rsidR="0091385D" w:rsidRPr="0091385D" w:rsidRDefault="0091385D" w:rsidP="0091385D"/>
    <w:p w14:paraId="394A7584" w14:textId="10DEA5B3" w:rsidR="004F498A" w:rsidRDefault="002C50EE" w:rsidP="004A448E">
      <w:pPr>
        <w:pStyle w:val="Heading2"/>
      </w:pPr>
      <w:r>
        <w:lastRenderedPageBreak/>
        <w:t>4.6. Фертилитет, бременност и кърмене</w:t>
      </w:r>
    </w:p>
    <w:p w14:paraId="4887836B" w14:textId="11C96CFA" w:rsidR="0091385D" w:rsidRDefault="0091385D" w:rsidP="0091385D"/>
    <w:p w14:paraId="56C16B3D" w14:textId="77777777" w:rsidR="006C4C0B" w:rsidRPr="006C4C0B" w:rsidRDefault="006C4C0B" w:rsidP="006C4C0B">
      <w:pPr>
        <w:pStyle w:val="Heading3"/>
        <w:rPr>
          <w:rFonts w:eastAsia="Times New Roman"/>
          <w:sz w:val="28"/>
          <w:u w:val="single"/>
          <w:lang w:eastAsia="bg-BG"/>
        </w:rPr>
      </w:pPr>
      <w:r w:rsidRPr="006C4C0B">
        <w:rPr>
          <w:rFonts w:eastAsia="Times New Roman"/>
          <w:u w:val="single"/>
          <w:lang w:eastAsia="bg-BG"/>
        </w:rPr>
        <w:t>Бременност</w:t>
      </w:r>
    </w:p>
    <w:p w14:paraId="553BF221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Не са налице достатъчно данни за приложението на моксонидин при бременни жени. В експерименти с животни, при високи дози, е показан ембриотоксичен ефект (виж т. 5.3). Не е известно какъв е потенциалният риск при хора. Не се препоръчва употребата на моксонидин през бременността, освен в случай на безусловна необходимост.</w:t>
      </w:r>
    </w:p>
    <w:p w14:paraId="394ED9A0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7C4B633" w14:textId="0E10E5DC" w:rsidR="006C4C0B" w:rsidRPr="006C4C0B" w:rsidRDefault="006C4C0B" w:rsidP="006C4C0B">
      <w:pPr>
        <w:pStyle w:val="Heading3"/>
        <w:rPr>
          <w:rFonts w:eastAsia="Times New Roman"/>
          <w:sz w:val="28"/>
          <w:u w:val="single"/>
          <w:lang w:eastAsia="bg-BG"/>
        </w:rPr>
      </w:pPr>
      <w:r w:rsidRPr="006C4C0B">
        <w:rPr>
          <w:rFonts w:eastAsia="Times New Roman"/>
          <w:u w:val="single"/>
          <w:lang w:eastAsia="bg-BG"/>
        </w:rPr>
        <w:t>Кърмене</w:t>
      </w:r>
    </w:p>
    <w:p w14:paraId="776662C5" w14:textId="508EB70A" w:rsidR="0091385D" w:rsidRPr="006C4C0B" w:rsidRDefault="006C4C0B" w:rsidP="006C4C0B">
      <w:pPr>
        <w:rPr>
          <w:rFonts w:cs="Arial"/>
          <w:sz w:val="24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Моксонидинът преминава в майчиното мляко и затова не трябва да се приема по време на кърмене. Ако провеждането на терапия с моксонидин е наложително, то кърменето по време на лечението трябва да се спре.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2676810A" w:rsidR="0091385D" w:rsidRDefault="0091385D" w:rsidP="0091385D"/>
    <w:p w14:paraId="2B4135A6" w14:textId="18610744" w:rsidR="0091385D" w:rsidRPr="006C4C0B" w:rsidRDefault="006C4C0B" w:rsidP="0091385D">
      <w:pPr>
        <w:rPr>
          <w:rFonts w:cs="Arial"/>
          <w:sz w:val="24"/>
        </w:rPr>
      </w:pPr>
      <w:r w:rsidRPr="006C4C0B">
        <w:rPr>
          <w:rFonts w:cs="Arial"/>
          <w:szCs w:val="20"/>
        </w:rPr>
        <w:t>Няма данни, които сочат, че моксонидин повлиява способността за шофиране и работа с машини. Докладвани са случаи на сомнолентост и световъртеж. Това трябва да се има предвид при извършването на тези дейности.</w:t>
      </w:r>
    </w:p>
    <w:p w14:paraId="35801A15" w14:textId="77777777" w:rsidR="0091385D" w:rsidRPr="0091385D" w:rsidRDefault="0091385D" w:rsidP="0091385D"/>
    <w:p w14:paraId="37A3FD9F" w14:textId="0E7561E3" w:rsidR="00CF77F7" w:rsidRDefault="002C50EE" w:rsidP="004A448E">
      <w:pPr>
        <w:pStyle w:val="Heading2"/>
      </w:pPr>
      <w:r>
        <w:t>4.8. Нежелани лекарствени реакции</w:t>
      </w:r>
    </w:p>
    <w:p w14:paraId="4838F52A" w14:textId="4C2232D6" w:rsidR="0091385D" w:rsidRDefault="0091385D" w:rsidP="0091385D"/>
    <w:p w14:paraId="00D3881A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Най-честите докладвани нежелани реакции при приемане на моксонидин включват сухота в устата, замаяност, астения и сомнолентност.</w:t>
      </w:r>
    </w:p>
    <w:p w14:paraId="6D32A157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E18F6A8" w14:textId="36F196CA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Тези симптоми често намаляват след първите няколко седмици от започване на лечението.</w:t>
      </w:r>
    </w:p>
    <w:p w14:paraId="0A77F4A8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EBB6120" w14:textId="154B7298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Честотата на нежеланите реакции е представена по-долу, подредени по системно-органна класификация (проявени по време на плацебо-контролирани клинични проучвания с </w:t>
      </w:r>
      <w:r w:rsidRPr="006C4C0B">
        <w:rPr>
          <w:rFonts w:eastAsia="Times New Roman" w:cs="Arial"/>
          <w:color w:val="000000"/>
          <w:szCs w:val="20"/>
          <w:lang w:val="en-US"/>
        </w:rPr>
        <w:t>n</w:t>
      </w:r>
      <w:r w:rsidRPr="006C4C0B">
        <w:rPr>
          <w:rFonts w:eastAsia="Times New Roman" w:cs="Arial"/>
          <w:color w:val="000000"/>
          <w:szCs w:val="20"/>
          <w:lang w:eastAsia="bg-BG"/>
        </w:rPr>
        <w:t>=886 пациенти, приемали моксонидин):</w:t>
      </w:r>
    </w:p>
    <w:p w14:paraId="07B00EE9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589E29D" w14:textId="1A5D486C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Много чести (≥1/10)</w:t>
      </w:r>
    </w:p>
    <w:p w14:paraId="75C780A4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Чести (≥1/100 до &lt;1/10)</w:t>
      </w:r>
    </w:p>
    <w:p w14:paraId="019F0B18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Нечести (≥1/1 000 до &lt;1/100)</w:t>
      </w:r>
    </w:p>
    <w:p w14:paraId="4D794068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Редки (≥1/10 000 до &lt;1/1000)</w:t>
      </w:r>
    </w:p>
    <w:p w14:paraId="3FA8A176" w14:textId="7A61F0BC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Много редки (&lt;1/10 000)</w:t>
      </w:r>
    </w:p>
    <w:p w14:paraId="570508C4" w14:textId="4346FC57" w:rsidR="0091385D" w:rsidRPr="006C4C0B" w:rsidRDefault="006C4C0B" w:rsidP="006C4C0B">
      <w:pPr>
        <w:rPr>
          <w:rFonts w:cs="Arial"/>
          <w:sz w:val="24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С неизвестна честота (от наличните данни не може да бъде направена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6C4C0B">
        <w:rPr>
          <w:rFonts w:eastAsia="Times New Roman" w:cs="Arial"/>
          <w:color w:val="000000"/>
          <w:szCs w:val="20"/>
          <w:lang w:eastAsia="bg-BG"/>
        </w:rPr>
        <w:t>оценка).</w:t>
      </w:r>
    </w:p>
    <w:p w14:paraId="43E3C48F" w14:textId="17464143" w:rsidR="0091385D" w:rsidRDefault="0091385D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2363"/>
        <w:gridCol w:w="2374"/>
        <w:gridCol w:w="2371"/>
      </w:tblGrid>
      <w:tr w:rsidR="006C4C0B" w14:paraId="007F8F70" w14:textId="77777777" w:rsidTr="006C4C0B">
        <w:tc>
          <w:tcPr>
            <w:tcW w:w="2468" w:type="dxa"/>
          </w:tcPr>
          <w:p w14:paraId="6E72F043" w14:textId="4E9D013D" w:rsidR="006C4C0B" w:rsidRPr="006C4C0B" w:rsidRDefault="006C4C0B" w:rsidP="006C4C0B">
            <w:proofErr w:type="spellStart"/>
            <w:r w:rsidRPr="006C4C0B">
              <w:rPr>
                <w:szCs w:val="20"/>
                <w:lang w:val="en-US"/>
              </w:rPr>
              <w:t>MedDRA</w:t>
            </w:r>
            <w:proofErr w:type="spellEnd"/>
            <w:r w:rsidRPr="006C4C0B">
              <w:rPr>
                <w:szCs w:val="20"/>
                <w:lang w:val="en-US"/>
              </w:rPr>
              <w:t xml:space="preserve"> </w:t>
            </w:r>
            <w:r w:rsidRPr="006C4C0B">
              <w:rPr>
                <w:szCs w:val="20"/>
              </w:rPr>
              <w:t>системно- органна класификация</w:t>
            </w:r>
          </w:p>
        </w:tc>
        <w:tc>
          <w:tcPr>
            <w:tcW w:w="2363" w:type="dxa"/>
          </w:tcPr>
          <w:p w14:paraId="4A7829FC" w14:textId="784553BA" w:rsidR="006C4C0B" w:rsidRPr="006C4C0B" w:rsidRDefault="006C4C0B" w:rsidP="006C4C0B">
            <w:r w:rsidRPr="006C4C0B">
              <w:rPr>
                <w:szCs w:val="20"/>
              </w:rPr>
              <w:t>Много чести</w:t>
            </w:r>
          </w:p>
        </w:tc>
        <w:tc>
          <w:tcPr>
            <w:tcW w:w="2374" w:type="dxa"/>
          </w:tcPr>
          <w:p w14:paraId="7EEF74E5" w14:textId="16AA0D38" w:rsidR="006C4C0B" w:rsidRPr="006C4C0B" w:rsidRDefault="006C4C0B" w:rsidP="006C4C0B">
            <w:r w:rsidRPr="006C4C0B">
              <w:rPr>
                <w:szCs w:val="20"/>
              </w:rPr>
              <w:t>Чести</w:t>
            </w:r>
          </w:p>
        </w:tc>
        <w:tc>
          <w:tcPr>
            <w:tcW w:w="2371" w:type="dxa"/>
          </w:tcPr>
          <w:p w14:paraId="436478EA" w14:textId="14C9E08F" w:rsidR="006C4C0B" w:rsidRPr="006C4C0B" w:rsidRDefault="006C4C0B" w:rsidP="006C4C0B">
            <w:r w:rsidRPr="006C4C0B">
              <w:rPr>
                <w:szCs w:val="20"/>
              </w:rPr>
              <w:t>Нечести</w:t>
            </w:r>
          </w:p>
        </w:tc>
      </w:tr>
      <w:tr w:rsidR="006C4C0B" w14:paraId="6B2EA573" w14:textId="77777777" w:rsidTr="006C4C0B">
        <w:tc>
          <w:tcPr>
            <w:tcW w:w="2468" w:type="dxa"/>
          </w:tcPr>
          <w:p w14:paraId="38AE7AC7" w14:textId="1FB87ECE" w:rsidR="006C4C0B" w:rsidRPr="006C4C0B" w:rsidRDefault="006C4C0B" w:rsidP="006C4C0B">
            <w:r w:rsidRPr="006C4C0B">
              <w:rPr>
                <w:szCs w:val="20"/>
              </w:rPr>
              <w:t>Нарушения на метаболизма и храненето</w:t>
            </w:r>
          </w:p>
        </w:tc>
        <w:tc>
          <w:tcPr>
            <w:tcW w:w="2363" w:type="dxa"/>
          </w:tcPr>
          <w:p w14:paraId="18A8FBE3" w14:textId="77777777" w:rsidR="006C4C0B" w:rsidRPr="006C4C0B" w:rsidRDefault="006C4C0B" w:rsidP="006C4C0B"/>
        </w:tc>
        <w:tc>
          <w:tcPr>
            <w:tcW w:w="2374" w:type="dxa"/>
          </w:tcPr>
          <w:p w14:paraId="25D3FF5E" w14:textId="77777777" w:rsidR="006C4C0B" w:rsidRPr="006C4C0B" w:rsidRDefault="006C4C0B" w:rsidP="006C4C0B"/>
        </w:tc>
        <w:tc>
          <w:tcPr>
            <w:tcW w:w="2371" w:type="dxa"/>
          </w:tcPr>
          <w:p w14:paraId="50F89310" w14:textId="03E568CD" w:rsidR="006C4C0B" w:rsidRPr="006C4C0B" w:rsidRDefault="006C4C0B" w:rsidP="006C4C0B">
            <w:r w:rsidRPr="006C4C0B">
              <w:rPr>
                <w:szCs w:val="20"/>
              </w:rPr>
              <w:t>Задържане на течности, Анорексия</w:t>
            </w:r>
          </w:p>
        </w:tc>
      </w:tr>
      <w:tr w:rsidR="006C4C0B" w14:paraId="74EBBD66" w14:textId="77777777" w:rsidTr="006C4C0B">
        <w:tc>
          <w:tcPr>
            <w:tcW w:w="2468" w:type="dxa"/>
          </w:tcPr>
          <w:p w14:paraId="778E2868" w14:textId="12F22A49" w:rsidR="006C4C0B" w:rsidRPr="006C4C0B" w:rsidRDefault="006C4C0B" w:rsidP="006C4C0B">
            <w:r w:rsidRPr="006C4C0B">
              <w:rPr>
                <w:szCs w:val="20"/>
              </w:rPr>
              <w:t>Психични нарушения</w:t>
            </w:r>
          </w:p>
        </w:tc>
        <w:tc>
          <w:tcPr>
            <w:tcW w:w="2363" w:type="dxa"/>
          </w:tcPr>
          <w:p w14:paraId="23B112E5" w14:textId="77777777" w:rsidR="006C4C0B" w:rsidRPr="006C4C0B" w:rsidRDefault="006C4C0B" w:rsidP="006C4C0B"/>
        </w:tc>
        <w:tc>
          <w:tcPr>
            <w:tcW w:w="2374" w:type="dxa"/>
          </w:tcPr>
          <w:p w14:paraId="5B2EB16F" w14:textId="6F4CF3A1" w:rsidR="006C4C0B" w:rsidRPr="006C4C0B" w:rsidRDefault="006C4C0B" w:rsidP="006C4C0B">
            <w:r w:rsidRPr="006C4C0B">
              <w:rPr>
                <w:szCs w:val="20"/>
              </w:rPr>
              <w:t>Нарушения в мисловните процеси, Безсъние</w:t>
            </w:r>
          </w:p>
        </w:tc>
        <w:tc>
          <w:tcPr>
            <w:tcW w:w="2371" w:type="dxa"/>
          </w:tcPr>
          <w:p w14:paraId="2959CBCA" w14:textId="762B61C5" w:rsidR="006C4C0B" w:rsidRPr="006C4C0B" w:rsidRDefault="006C4C0B" w:rsidP="006C4C0B">
            <w:r w:rsidRPr="006C4C0B">
              <w:rPr>
                <w:szCs w:val="20"/>
              </w:rPr>
              <w:t>Тревожност, Нервност, Загуба на либидо</w:t>
            </w:r>
          </w:p>
        </w:tc>
      </w:tr>
      <w:tr w:rsidR="006C4C0B" w14:paraId="77B229C1" w14:textId="77777777" w:rsidTr="006C4C0B">
        <w:tc>
          <w:tcPr>
            <w:tcW w:w="2468" w:type="dxa"/>
          </w:tcPr>
          <w:p w14:paraId="12CDFB07" w14:textId="7952AD30" w:rsidR="006C4C0B" w:rsidRPr="006C4C0B" w:rsidRDefault="006C4C0B" w:rsidP="006C4C0B">
            <w:r w:rsidRPr="006C4C0B">
              <w:rPr>
                <w:szCs w:val="20"/>
              </w:rPr>
              <w:lastRenderedPageBreak/>
              <w:t>Нарушения на нервната система</w:t>
            </w:r>
          </w:p>
        </w:tc>
        <w:tc>
          <w:tcPr>
            <w:tcW w:w="2363" w:type="dxa"/>
          </w:tcPr>
          <w:p w14:paraId="0323F085" w14:textId="77777777" w:rsidR="006C4C0B" w:rsidRPr="006C4C0B" w:rsidRDefault="006C4C0B" w:rsidP="006C4C0B"/>
        </w:tc>
        <w:tc>
          <w:tcPr>
            <w:tcW w:w="2374" w:type="dxa"/>
          </w:tcPr>
          <w:p w14:paraId="14CEE1E8" w14:textId="73CAF68E" w:rsidR="006C4C0B" w:rsidRPr="006C4C0B" w:rsidRDefault="006C4C0B" w:rsidP="006C4C0B">
            <w:r w:rsidRPr="006C4C0B">
              <w:rPr>
                <w:szCs w:val="20"/>
              </w:rPr>
              <w:t>Нарушения на съня, Главоболие, Замаяност/ световъртеж, Сомнолентност</w:t>
            </w:r>
          </w:p>
        </w:tc>
        <w:tc>
          <w:tcPr>
            <w:tcW w:w="2371" w:type="dxa"/>
          </w:tcPr>
          <w:p w14:paraId="5FBD2E9D" w14:textId="4C61A9FC" w:rsidR="006C4C0B" w:rsidRPr="006C4C0B" w:rsidRDefault="006C4C0B" w:rsidP="006C4C0B">
            <w:r w:rsidRPr="006C4C0B">
              <w:rPr>
                <w:szCs w:val="20"/>
              </w:rPr>
              <w:t>Седиране, синкоп*, Парестезии по крайниците</w:t>
            </w:r>
          </w:p>
        </w:tc>
      </w:tr>
      <w:tr w:rsidR="006C4C0B" w14:paraId="2D8A1F36" w14:textId="77777777" w:rsidTr="006C4C0B">
        <w:tc>
          <w:tcPr>
            <w:tcW w:w="2468" w:type="dxa"/>
          </w:tcPr>
          <w:p w14:paraId="08F8C076" w14:textId="59C300E3" w:rsidR="006C4C0B" w:rsidRPr="006C4C0B" w:rsidRDefault="006C4C0B" w:rsidP="006C4C0B">
            <w:r w:rsidRPr="006C4C0B">
              <w:rPr>
                <w:szCs w:val="20"/>
              </w:rPr>
              <w:t>Нарушения на очите</w:t>
            </w:r>
          </w:p>
        </w:tc>
        <w:tc>
          <w:tcPr>
            <w:tcW w:w="2363" w:type="dxa"/>
          </w:tcPr>
          <w:p w14:paraId="49FC1F58" w14:textId="77777777" w:rsidR="006C4C0B" w:rsidRPr="006C4C0B" w:rsidRDefault="006C4C0B" w:rsidP="006C4C0B"/>
        </w:tc>
        <w:tc>
          <w:tcPr>
            <w:tcW w:w="2374" w:type="dxa"/>
          </w:tcPr>
          <w:p w14:paraId="684B60D0" w14:textId="77777777" w:rsidR="006C4C0B" w:rsidRPr="006C4C0B" w:rsidRDefault="006C4C0B" w:rsidP="006C4C0B"/>
        </w:tc>
        <w:tc>
          <w:tcPr>
            <w:tcW w:w="2371" w:type="dxa"/>
          </w:tcPr>
          <w:p w14:paraId="2ECDF058" w14:textId="2905E43A" w:rsidR="006C4C0B" w:rsidRPr="006C4C0B" w:rsidRDefault="006C4C0B" w:rsidP="006C4C0B">
            <w:r w:rsidRPr="006C4C0B">
              <w:rPr>
                <w:szCs w:val="20"/>
              </w:rPr>
              <w:t>Чувство за сърбеж или парене в окото</w:t>
            </w:r>
          </w:p>
        </w:tc>
      </w:tr>
      <w:tr w:rsidR="006C4C0B" w14:paraId="7CAAB5DA" w14:textId="77777777" w:rsidTr="006C4C0B">
        <w:tc>
          <w:tcPr>
            <w:tcW w:w="2468" w:type="dxa"/>
          </w:tcPr>
          <w:p w14:paraId="26DC19C9" w14:textId="62113DCA" w:rsidR="006C4C0B" w:rsidRPr="006C4C0B" w:rsidRDefault="006C4C0B" w:rsidP="006C4C0B">
            <w:r w:rsidRPr="006C4C0B">
              <w:rPr>
                <w:szCs w:val="20"/>
              </w:rPr>
              <w:t>Нарушения на ухото и лабиринта</w:t>
            </w:r>
          </w:p>
        </w:tc>
        <w:tc>
          <w:tcPr>
            <w:tcW w:w="2363" w:type="dxa"/>
          </w:tcPr>
          <w:p w14:paraId="64D5EC37" w14:textId="77777777" w:rsidR="006C4C0B" w:rsidRPr="006C4C0B" w:rsidRDefault="006C4C0B" w:rsidP="006C4C0B"/>
        </w:tc>
        <w:tc>
          <w:tcPr>
            <w:tcW w:w="2374" w:type="dxa"/>
          </w:tcPr>
          <w:p w14:paraId="7DD3DCA8" w14:textId="77777777" w:rsidR="006C4C0B" w:rsidRPr="006C4C0B" w:rsidRDefault="006C4C0B" w:rsidP="006C4C0B"/>
        </w:tc>
        <w:tc>
          <w:tcPr>
            <w:tcW w:w="2371" w:type="dxa"/>
          </w:tcPr>
          <w:p w14:paraId="43C521B3" w14:textId="4A7C5B7A" w:rsidR="006C4C0B" w:rsidRPr="006C4C0B" w:rsidRDefault="006C4C0B" w:rsidP="006C4C0B">
            <w:r w:rsidRPr="006C4C0B">
              <w:rPr>
                <w:szCs w:val="20"/>
              </w:rPr>
              <w:t>Тинитус</w:t>
            </w:r>
          </w:p>
        </w:tc>
      </w:tr>
      <w:tr w:rsidR="006C4C0B" w14:paraId="3580B0F7" w14:textId="77777777" w:rsidTr="006C4C0B">
        <w:tc>
          <w:tcPr>
            <w:tcW w:w="2468" w:type="dxa"/>
          </w:tcPr>
          <w:p w14:paraId="3C0F66A1" w14:textId="45719908" w:rsidR="006C4C0B" w:rsidRPr="006C4C0B" w:rsidRDefault="006C4C0B" w:rsidP="006C4C0B">
            <w:r w:rsidRPr="006C4C0B">
              <w:rPr>
                <w:szCs w:val="20"/>
              </w:rPr>
              <w:t>Сърдечни нарушения</w:t>
            </w:r>
          </w:p>
        </w:tc>
        <w:tc>
          <w:tcPr>
            <w:tcW w:w="2363" w:type="dxa"/>
          </w:tcPr>
          <w:p w14:paraId="35E100D6" w14:textId="77777777" w:rsidR="006C4C0B" w:rsidRPr="006C4C0B" w:rsidRDefault="006C4C0B" w:rsidP="006C4C0B"/>
        </w:tc>
        <w:tc>
          <w:tcPr>
            <w:tcW w:w="2374" w:type="dxa"/>
          </w:tcPr>
          <w:p w14:paraId="13E9DD20" w14:textId="77777777" w:rsidR="006C4C0B" w:rsidRPr="006C4C0B" w:rsidRDefault="006C4C0B" w:rsidP="006C4C0B"/>
        </w:tc>
        <w:tc>
          <w:tcPr>
            <w:tcW w:w="2371" w:type="dxa"/>
          </w:tcPr>
          <w:p w14:paraId="0DD4BDC4" w14:textId="3208A904" w:rsidR="006C4C0B" w:rsidRPr="006C4C0B" w:rsidRDefault="006C4C0B" w:rsidP="006C4C0B">
            <w:r w:rsidRPr="006C4C0B">
              <w:rPr>
                <w:szCs w:val="20"/>
              </w:rPr>
              <w:t>Брадикардия</w:t>
            </w:r>
          </w:p>
        </w:tc>
      </w:tr>
      <w:tr w:rsidR="006C4C0B" w14:paraId="3C821D78" w14:textId="77777777" w:rsidTr="006C4C0B">
        <w:tc>
          <w:tcPr>
            <w:tcW w:w="2468" w:type="dxa"/>
          </w:tcPr>
          <w:p w14:paraId="2511C661" w14:textId="1148C184" w:rsidR="006C4C0B" w:rsidRPr="006C4C0B" w:rsidRDefault="006C4C0B" w:rsidP="006C4C0B">
            <w:r w:rsidRPr="006C4C0B">
              <w:rPr>
                <w:szCs w:val="20"/>
              </w:rPr>
              <w:t>Съдови нарушения</w:t>
            </w:r>
          </w:p>
        </w:tc>
        <w:tc>
          <w:tcPr>
            <w:tcW w:w="2363" w:type="dxa"/>
          </w:tcPr>
          <w:p w14:paraId="35F43821" w14:textId="77777777" w:rsidR="006C4C0B" w:rsidRPr="006C4C0B" w:rsidRDefault="006C4C0B" w:rsidP="006C4C0B"/>
        </w:tc>
        <w:tc>
          <w:tcPr>
            <w:tcW w:w="2374" w:type="dxa"/>
          </w:tcPr>
          <w:p w14:paraId="751A0900" w14:textId="2F34AE3C" w:rsidR="006C4C0B" w:rsidRPr="006C4C0B" w:rsidRDefault="006C4C0B" w:rsidP="006C4C0B">
            <w:r w:rsidRPr="006C4C0B">
              <w:rPr>
                <w:szCs w:val="20"/>
              </w:rPr>
              <w:t>Вазодилатация</w:t>
            </w:r>
          </w:p>
        </w:tc>
        <w:tc>
          <w:tcPr>
            <w:tcW w:w="2371" w:type="dxa"/>
          </w:tcPr>
          <w:p w14:paraId="02D83BFD" w14:textId="130D0001" w:rsidR="006C4C0B" w:rsidRPr="006C4C0B" w:rsidRDefault="006C4C0B" w:rsidP="006C4C0B">
            <w:r w:rsidRPr="006C4C0B">
              <w:rPr>
                <w:szCs w:val="20"/>
              </w:rPr>
              <w:t>Хипотония* (включително ортостатична хипотония), Нарушения на периферната циркулация</w:t>
            </w:r>
          </w:p>
        </w:tc>
      </w:tr>
      <w:tr w:rsidR="006C4C0B" w14:paraId="60BBE5B9" w14:textId="77777777" w:rsidTr="006C4C0B">
        <w:tc>
          <w:tcPr>
            <w:tcW w:w="2468" w:type="dxa"/>
          </w:tcPr>
          <w:p w14:paraId="66B16627" w14:textId="74C5CF6C" w:rsidR="006C4C0B" w:rsidRPr="006C4C0B" w:rsidRDefault="006C4C0B" w:rsidP="006C4C0B">
            <w:r w:rsidRPr="006C4C0B">
              <w:rPr>
                <w:szCs w:val="20"/>
              </w:rPr>
              <w:t>Стомашно-чревни нарушения</w:t>
            </w:r>
          </w:p>
        </w:tc>
        <w:tc>
          <w:tcPr>
            <w:tcW w:w="2363" w:type="dxa"/>
          </w:tcPr>
          <w:p w14:paraId="3EA8C3AE" w14:textId="63B350C0" w:rsidR="006C4C0B" w:rsidRPr="006C4C0B" w:rsidRDefault="006C4C0B" w:rsidP="006C4C0B">
            <w:r w:rsidRPr="006C4C0B">
              <w:rPr>
                <w:szCs w:val="20"/>
              </w:rPr>
              <w:t>Сухота в устата</w:t>
            </w:r>
          </w:p>
        </w:tc>
        <w:tc>
          <w:tcPr>
            <w:tcW w:w="2374" w:type="dxa"/>
          </w:tcPr>
          <w:p w14:paraId="712DD2F4" w14:textId="77777777" w:rsidR="006C4C0B" w:rsidRPr="006C4C0B" w:rsidRDefault="006C4C0B" w:rsidP="006C4C0B">
            <w:r w:rsidRPr="006C4C0B">
              <w:rPr>
                <w:szCs w:val="20"/>
              </w:rPr>
              <w:t>Диария,</w:t>
            </w:r>
          </w:p>
          <w:p w14:paraId="6B67B80F" w14:textId="0602C87D" w:rsidR="006C4C0B" w:rsidRPr="006C4C0B" w:rsidRDefault="006C4C0B" w:rsidP="006C4C0B">
            <w:r w:rsidRPr="006C4C0B">
              <w:rPr>
                <w:szCs w:val="20"/>
              </w:rPr>
              <w:t>Гадене/Повръщане, Диспепсия*, Запек и други стомашно-чревни нарушения</w:t>
            </w:r>
          </w:p>
        </w:tc>
        <w:tc>
          <w:tcPr>
            <w:tcW w:w="2371" w:type="dxa"/>
          </w:tcPr>
          <w:p w14:paraId="050D0D17" w14:textId="33D221FA" w:rsidR="006C4C0B" w:rsidRPr="006C4C0B" w:rsidRDefault="006C4C0B" w:rsidP="006C4C0B">
            <w:r w:rsidRPr="006C4C0B">
              <w:rPr>
                <w:szCs w:val="20"/>
              </w:rPr>
              <w:t>Болка в паротироидните жлези</w:t>
            </w:r>
          </w:p>
        </w:tc>
      </w:tr>
      <w:tr w:rsidR="006C4C0B" w14:paraId="7173B796" w14:textId="77777777" w:rsidTr="006C4C0B">
        <w:tc>
          <w:tcPr>
            <w:tcW w:w="2468" w:type="dxa"/>
          </w:tcPr>
          <w:p w14:paraId="2368D728" w14:textId="1F6E4100" w:rsidR="006C4C0B" w:rsidRPr="006C4C0B" w:rsidRDefault="006C4C0B" w:rsidP="006C4C0B">
            <w:r w:rsidRPr="006C4C0B">
              <w:rPr>
                <w:szCs w:val="20"/>
              </w:rPr>
              <w:t>Нарушения на кожата и подкожната тъкана</w:t>
            </w:r>
          </w:p>
        </w:tc>
        <w:tc>
          <w:tcPr>
            <w:tcW w:w="2363" w:type="dxa"/>
          </w:tcPr>
          <w:p w14:paraId="0812D10F" w14:textId="77777777" w:rsidR="006C4C0B" w:rsidRPr="006C4C0B" w:rsidRDefault="006C4C0B" w:rsidP="006C4C0B"/>
        </w:tc>
        <w:tc>
          <w:tcPr>
            <w:tcW w:w="2374" w:type="dxa"/>
          </w:tcPr>
          <w:p w14:paraId="54EAD06A" w14:textId="63C053EC" w:rsidR="006C4C0B" w:rsidRPr="006C4C0B" w:rsidRDefault="006C4C0B" w:rsidP="006C4C0B">
            <w:r w:rsidRPr="006C4C0B">
              <w:rPr>
                <w:szCs w:val="20"/>
              </w:rPr>
              <w:t>Алергични реакции, включващи Обрив/пруритус</w:t>
            </w:r>
          </w:p>
        </w:tc>
        <w:tc>
          <w:tcPr>
            <w:tcW w:w="2371" w:type="dxa"/>
          </w:tcPr>
          <w:p w14:paraId="4F4A538A" w14:textId="6460640B" w:rsidR="006C4C0B" w:rsidRPr="006C4C0B" w:rsidRDefault="006C4C0B" w:rsidP="006C4C0B">
            <w:r w:rsidRPr="006C4C0B">
              <w:rPr>
                <w:szCs w:val="20"/>
              </w:rPr>
              <w:t>Ангиоедем</w:t>
            </w:r>
          </w:p>
        </w:tc>
      </w:tr>
      <w:tr w:rsidR="006C4C0B" w14:paraId="77B495DB" w14:textId="77777777" w:rsidTr="006C4C0B">
        <w:tc>
          <w:tcPr>
            <w:tcW w:w="2468" w:type="dxa"/>
          </w:tcPr>
          <w:p w14:paraId="7F56E941" w14:textId="60EAD5A2" w:rsidR="006C4C0B" w:rsidRPr="006C4C0B" w:rsidRDefault="006C4C0B" w:rsidP="006C4C0B">
            <w:r w:rsidRPr="006C4C0B">
              <w:rPr>
                <w:szCs w:val="20"/>
              </w:rPr>
              <w:t>Нарушения на мускулно-скелетната система и съединителната тъкан</w:t>
            </w:r>
          </w:p>
        </w:tc>
        <w:tc>
          <w:tcPr>
            <w:tcW w:w="2363" w:type="dxa"/>
          </w:tcPr>
          <w:p w14:paraId="443F54E1" w14:textId="77777777" w:rsidR="006C4C0B" w:rsidRPr="006C4C0B" w:rsidRDefault="006C4C0B" w:rsidP="006C4C0B"/>
        </w:tc>
        <w:tc>
          <w:tcPr>
            <w:tcW w:w="2374" w:type="dxa"/>
          </w:tcPr>
          <w:p w14:paraId="4CA815BA" w14:textId="2C128750" w:rsidR="006C4C0B" w:rsidRPr="006C4C0B" w:rsidRDefault="006C4C0B" w:rsidP="006C4C0B">
            <w:r w:rsidRPr="006C4C0B">
              <w:rPr>
                <w:szCs w:val="20"/>
              </w:rPr>
              <w:t>Болка в гърба</w:t>
            </w:r>
          </w:p>
        </w:tc>
        <w:tc>
          <w:tcPr>
            <w:tcW w:w="2371" w:type="dxa"/>
          </w:tcPr>
          <w:p w14:paraId="6756602D" w14:textId="5DDDCB46" w:rsidR="006C4C0B" w:rsidRPr="006C4C0B" w:rsidRDefault="006C4C0B" w:rsidP="006C4C0B">
            <w:r w:rsidRPr="006C4C0B">
              <w:rPr>
                <w:szCs w:val="20"/>
              </w:rPr>
              <w:t>Болка в шията, Слабост в краката</w:t>
            </w:r>
          </w:p>
        </w:tc>
      </w:tr>
      <w:tr w:rsidR="006C4C0B" w14:paraId="1D1A98CD" w14:textId="77777777" w:rsidTr="006C4C0B">
        <w:tc>
          <w:tcPr>
            <w:tcW w:w="2468" w:type="dxa"/>
          </w:tcPr>
          <w:p w14:paraId="65E5E7E5" w14:textId="1CE97656" w:rsidR="006C4C0B" w:rsidRPr="006C4C0B" w:rsidRDefault="006C4C0B" w:rsidP="006C4C0B">
            <w:r w:rsidRPr="006C4C0B">
              <w:rPr>
                <w:szCs w:val="20"/>
              </w:rPr>
              <w:t>Нарушения на възпроизводителната система и гърдата</w:t>
            </w:r>
          </w:p>
        </w:tc>
        <w:tc>
          <w:tcPr>
            <w:tcW w:w="2363" w:type="dxa"/>
          </w:tcPr>
          <w:p w14:paraId="3FFE276A" w14:textId="77777777" w:rsidR="006C4C0B" w:rsidRPr="006C4C0B" w:rsidRDefault="006C4C0B" w:rsidP="006C4C0B"/>
        </w:tc>
        <w:tc>
          <w:tcPr>
            <w:tcW w:w="2374" w:type="dxa"/>
          </w:tcPr>
          <w:p w14:paraId="143AE494" w14:textId="77777777" w:rsidR="006C4C0B" w:rsidRPr="006C4C0B" w:rsidRDefault="006C4C0B" w:rsidP="006C4C0B"/>
        </w:tc>
        <w:tc>
          <w:tcPr>
            <w:tcW w:w="2371" w:type="dxa"/>
          </w:tcPr>
          <w:p w14:paraId="325FB7CA" w14:textId="436D904B" w:rsidR="006C4C0B" w:rsidRPr="006C4C0B" w:rsidRDefault="006C4C0B" w:rsidP="006C4C0B">
            <w:r w:rsidRPr="006C4C0B">
              <w:rPr>
                <w:szCs w:val="20"/>
              </w:rPr>
              <w:t>Гинекомастия, Импотентност</w:t>
            </w:r>
          </w:p>
        </w:tc>
      </w:tr>
      <w:tr w:rsidR="006C4C0B" w14:paraId="4465A08D" w14:textId="77777777" w:rsidTr="006C4C0B">
        <w:tc>
          <w:tcPr>
            <w:tcW w:w="2468" w:type="dxa"/>
          </w:tcPr>
          <w:p w14:paraId="2064B0D7" w14:textId="5D4558EC" w:rsidR="006C4C0B" w:rsidRPr="006C4C0B" w:rsidRDefault="006C4C0B" w:rsidP="006C4C0B">
            <w:r w:rsidRPr="006C4C0B">
              <w:rPr>
                <w:szCs w:val="20"/>
              </w:rPr>
              <w:t>Общи нарушения и ефекти на мястото на приложение</w:t>
            </w:r>
          </w:p>
        </w:tc>
        <w:tc>
          <w:tcPr>
            <w:tcW w:w="2363" w:type="dxa"/>
          </w:tcPr>
          <w:p w14:paraId="51E0DCB4" w14:textId="77777777" w:rsidR="006C4C0B" w:rsidRPr="006C4C0B" w:rsidRDefault="006C4C0B" w:rsidP="006C4C0B"/>
        </w:tc>
        <w:tc>
          <w:tcPr>
            <w:tcW w:w="2374" w:type="dxa"/>
          </w:tcPr>
          <w:p w14:paraId="3A7FD2DD" w14:textId="4871411B" w:rsidR="006C4C0B" w:rsidRPr="006C4C0B" w:rsidRDefault="006C4C0B" w:rsidP="006C4C0B">
            <w:r w:rsidRPr="006C4C0B">
              <w:rPr>
                <w:szCs w:val="20"/>
              </w:rPr>
              <w:t>Астения</w:t>
            </w:r>
          </w:p>
        </w:tc>
        <w:tc>
          <w:tcPr>
            <w:tcW w:w="2371" w:type="dxa"/>
          </w:tcPr>
          <w:p w14:paraId="54C92A39" w14:textId="3BDB8DD0" w:rsidR="006C4C0B" w:rsidRPr="006C4C0B" w:rsidRDefault="006C4C0B" w:rsidP="006C4C0B">
            <w:r w:rsidRPr="006C4C0B">
              <w:rPr>
                <w:szCs w:val="20"/>
              </w:rPr>
              <w:t>Отоци</w:t>
            </w:r>
          </w:p>
        </w:tc>
      </w:tr>
    </w:tbl>
    <w:p w14:paraId="7D427509" w14:textId="77F5123C" w:rsidR="006C4C0B" w:rsidRPr="006C4C0B" w:rsidRDefault="006C4C0B" w:rsidP="0091385D">
      <w:pPr>
        <w:rPr>
          <w:rFonts w:cs="Arial"/>
          <w:sz w:val="24"/>
        </w:rPr>
      </w:pPr>
      <w:r w:rsidRPr="006C4C0B">
        <w:rPr>
          <w:rFonts w:cs="Arial"/>
          <w:szCs w:val="20"/>
        </w:rPr>
        <w:t>* няма увеличение на честотата на проявление в сравнение с плацебо.</w:t>
      </w:r>
    </w:p>
    <w:p w14:paraId="472DEDB4" w14:textId="4804F0BA" w:rsidR="006C4C0B" w:rsidRPr="006C4C0B" w:rsidRDefault="006C4C0B" w:rsidP="0091385D">
      <w:pPr>
        <w:rPr>
          <w:rFonts w:cs="Arial"/>
          <w:sz w:val="24"/>
        </w:rPr>
      </w:pPr>
    </w:p>
    <w:p w14:paraId="098AF003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bookmarkStart w:id="1" w:name="bookmark0"/>
      <w:r w:rsidRPr="006C4C0B">
        <w:rPr>
          <w:rFonts w:eastAsia="Times New Roman" w:cs="Arial"/>
          <w:b/>
          <w:bCs/>
          <w:color w:val="000000"/>
          <w:szCs w:val="20"/>
          <w:u w:val="single"/>
          <w:lang w:eastAsia="bg-BG"/>
        </w:rPr>
        <w:t>Съобщаване на подозирани нежелани реакции</w:t>
      </w:r>
      <w:bookmarkEnd w:id="1"/>
    </w:p>
    <w:p w14:paraId="32264D20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2916C35E" w14:textId="77777777" w:rsidR="006C4C0B" w:rsidRPr="006C4C0B" w:rsidRDefault="006C4C0B" w:rsidP="006C4C0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2" w:name="bookmark2"/>
    </w:p>
    <w:p w14:paraId="02699AA6" w14:textId="46A0FD00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b/>
          <w:bCs/>
          <w:color w:val="000000"/>
          <w:szCs w:val="20"/>
          <w:lang w:eastAsia="bg-BG"/>
        </w:rPr>
        <w:t>България</w:t>
      </w:r>
      <w:bookmarkEnd w:id="2"/>
    </w:p>
    <w:p w14:paraId="285E7380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Изпълнителна агенция по лекарствата</w:t>
      </w:r>
    </w:p>
    <w:p w14:paraId="4A81BAE3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ул. „Дамян Груев” № 8</w:t>
      </w:r>
    </w:p>
    <w:p w14:paraId="6DEB6895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lastRenderedPageBreak/>
        <w:t>1303 София</w:t>
      </w:r>
    </w:p>
    <w:p w14:paraId="7B181F53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Тел.:+35 928903417</w:t>
      </w:r>
    </w:p>
    <w:p w14:paraId="0093DD5A" w14:textId="6776B573" w:rsidR="006C4C0B" w:rsidRPr="006C4C0B" w:rsidRDefault="006C4C0B" w:rsidP="006C4C0B">
      <w:pPr>
        <w:rPr>
          <w:rFonts w:cs="Arial"/>
        </w:rPr>
      </w:pPr>
      <w:r w:rsidRPr="006C4C0B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6C4C0B">
          <w:rPr>
            <w:rFonts w:eastAsia="Times New Roman" w:cs="Arial"/>
            <w:color w:val="000000"/>
            <w:u w:val="single"/>
            <w:lang w:val="en-US"/>
          </w:rPr>
          <w:t>www.bda.be</w:t>
        </w:r>
      </w:hyperlink>
    </w:p>
    <w:p w14:paraId="3E7C5BE4" w14:textId="77777777" w:rsidR="006C4C0B" w:rsidRPr="0091385D" w:rsidRDefault="006C4C0B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296E7EBA" w:rsidR="0091385D" w:rsidRDefault="0091385D" w:rsidP="0091385D"/>
    <w:p w14:paraId="6A7523EE" w14:textId="77777777" w:rsidR="006C4C0B" w:rsidRPr="006C4C0B" w:rsidRDefault="006C4C0B" w:rsidP="006C4C0B">
      <w:pPr>
        <w:pStyle w:val="Heading3"/>
        <w:rPr>
          <w:rFonts w:eastAsia="Times New Roman"/>
          <w:sz w:val="28"/>
          <w:u w:val="single"/>
          <w:lang w:eastAsia="bg-BG"/>
        </w:rPr>
      </w:pPr>
      <w:r w:rsidRPr="006C4C0B">
        <w:rPr>
          <w:rFonts w:eastAsia="Times New Roman"/>
          <w:u w:val="single"/>
          <w:lang w:eastAsia="bg-BG"/>
        </w:rPr>
        <w:t>Сиптоми при предозиране</w:t>
      </w:r>
    </w:p>
    <w:p w14:paraId="2AF04B69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В малкото на брой докладвани случаи на предозиране, доза от 19,6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>е била погълната без фатален изход. Признаците и симптомите, които бяха докладвани, включват: главоболие, седиране, сомнолентност, хипотония, замяност, астения, брадикардия, сухата в устата, повръщане, умора и болка в горната част на корема.</w:t>
      </w:r>
    </w:p>
    <w:p w14:paraId="5F89CED6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При тежки случаи на предозиране се препоръчва внимателно проследяване, особено занарушения в съзнанието и подтискане на дишането.</w:t>
      </w:r>
    </w:p>
    <w:p w14:paraId="2C2503C2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4D0E3D3" w14:textId="6C8457B1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В допълнение, въз основа на някои проучвания върху животни с високи дози, е възможно да се проявят преходна хипертония, тахикардия и хипергликемия.</w:t>
      </w:r>
    </w:p>
    <w:p w14:paraId="1CC0E7B4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При случай на непреднамерено предозиране при 2-годишно дете е наблюдавано следното:</w:t>
      </w:r>
    </w:p>
    <w:p w14:paraId="69CAA14E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F8593E6" w14:textId="230DF708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Не е известно какво количество моксонидин е погълнало детето. Максималната доза, която би могла да бъде погълната е 14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mg. </w:t>
      </w:r>
      <w:r w:rsidRPr="006C4C0B">
        <w:rPr>
          <w:rFonts w:eastAsia="Times New Roman" w:cs="Arial"/>
          <w:color w:val="000000"/>
          <w:szCs w:val="20"/>
          <w:lang w:eastAsia="bg-BG"/>
        </w:rPr>
        <w:t>Детето показва следните симптоми:</w:t>
      </w:r>
    </w:p>
    <w:p w14:paraId="3287982D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Седиране, кома, хипотония, миоза и диспнея. Стомашна промивка, инфузии с глюкоза, контролирано дишане и положение на покой са довели до пълно отзвучаване на симптомите в течение на 11 часа.</w:t>
      </w:r>
    </w:p>
    <w:p w14:paraId="16E5C3FA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Въз основа на фармакодинамичните свойства на моксонидина могат да се очакват следните реакции при възрастни: седиране, хипотония, ортостатична дисрегулация, брадикардия, сухота в устата. В редки случаи могат да се наблюдават повръщане и парадоксално повишаване на кръвното налягане.</w:t>
      </w:r>
    </w:p>
    <w:p w14:paraId="62EA32ED" w14:textId="77777777" w:rsidR="006C4C0B" w:rsidRPr="006C4C0B" w:rsidRDefault="006C4C0B" w:rsidP="006C4C0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079C0831" w14:textId="1D9B1E68" w:rsidR="006C4C0B" w:rsidRPr="006C4C0B" w:rsidRDefault="006C4C0B" w:rsidP="006C4C0B">
      <w:pPr>
        <w:pStyle w:val="Heading3"/>
        <w:rPr>
          <w:rFonts w:eastAsia="Times New Roman"/>
          <w:sz w:val="28"/>
          <w:u w:val="single"/>
          <w:lang w:eastAsia="bg-BG"/>
        </w:rPr>
      </w:pPr>
      <w:bookmarkStart w:id="3" w:name="_GoBack"/>
      <w:r w:rsidRPr="006C4C0B">
        <w:rPr>
          <w:rFonts w:eastAsia="Times New Roman"/>
          <w:u w:val="single"/>
          <w:lang w:eastAsia="bg-BG"/>
        </w:rPr>
        <w:t>Лечение на предозирането</w:t>
      </w:r>
      <w:bookmarkEnd w:id="3"/>
    </w:p>
    <w:p w14:paraId="07F30663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Не е познат специфичен антидот. В случай на хипотония може да се счита, че вливането на течности и допамин ще подкрепи циркулацията. Брадикардията може да бъде лекувана с атропин.</w:t>
      </w:r>
    </w:p>
    <w:p w14:paraId="1148BB7D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а-рецепторните антагонисти може да намалят или да премахнат парадоксалните хипертензивни ефекти от предозирането с моксонидин.</w:t>
      </w:r>
    </w:p>
    <w:p w14:paraId="0F0079CB" w14:textId="2E4D74BE" w:rsidR="0091385D" w:rsidRPr="006C4C0B" w:rsidRDefault="006C4C0B" w:rsidP="006C4C0B">
      <w:pPr>
        <w:rPr>
          <w:rFonts w:cs="Arial"/>
          <w:sz w:val="24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Лечението се състои от мерки за намаляване на резорбцията, като стомашна промивка (само ако поемането на моксонидина е станало съвсем скоро), прилагане на активен въглен и слабителни средства, и други симптоматични мерки.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69385DDA" w:rsidR="00CF77F7" w:rsidRDefault="002C50EE" w:rsidP="004A448E">
      <w:pPr>
        <w:pStyle w:val="Heading2"/>
      </w:pPr>
      <w:r>
        <w:t>5.1. Фармакодинамични свойства</w:t>
      </w:r>
    </w:p>
    <w:p w14:paraId="32755095" w14:textId="77777777" w:rsidR="006C4C0B" w:rsidRPr="006C4C0B" w:rsidRDefault="006C4C0B" w:rsidP="006C4C0B"/>
    <w:p w14:paraId="10E79892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Фармакотерапевтична група: Антихипертензивни, антиадренергични средства с централно действие, агонисти на имидазолиновите рецептори.</w:t>
      </w:r>
    </w:p>
    <w:p w14:paraId="1FD4D403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АТС-код; С02АС05</w:t>
      </w:r>
    </w:p>
    <w:p w14:paraId="199C873A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2D628B1" w14:textId="59A13C8B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lastRenderedPageBreak/>
        <w:t>При много животински модели моксонидинът е показал силно хипотензивно действие. Наличните експериментални данни сочат, че мястото на действие на моксонидин е в централната нервна система (ЦНС).</w:t>
      </w:r>
    </w:p>
    <w:p w14:paraId="037B3D98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CE3F195" w14:textId="24FC70AC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Моксонидинът се свързва селективно с </w:t>
      </w:r>
      <w:r w:rsidRPr="006C4C0B">
        <w:rPr>
          <w:rFonts w:eastAsia="Times New Roman" w:cs="Arial"/>
          <w:color w:val="000000"/>
          <w:szCs w:val="20"/>
          <w:lang w:val="en-US"/>
        </w:rPr>
        <w:t>I</w:t>
      </w:r>
      <w:r w:rsidRPr="006C4C0B">
        <w:rPr>
          <w:rFonts w:eastAsia="Times New Roman" w:cs="Arial"/>
          <w:color w:val="000000"/>
          <w:szCs w:val="20"/>
          <w:vertAlign w:val="subscript"/>
          <w:lang w:val="en-US"/>
        </w:rPr>
        <w:t>1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-имидазолиновите рецептори в мозъчния ствол. Тези чувствителни към имидазолин рецептори се намират особено във вентролатералната </w:t>
      </w:r>
      <w:r w:rsidRPr="006C4C0B">
        <w:rPr>
          <w:rFonts w:eastAsia="Times New Roman" w:cs="Arial"/>
          <w:i/>
          <w:iCs/>
          <w:color w:val="000000"/>
          <w:szCs w:val="20"/>
          <w:lang w:val="en-US"/>
        </w:rPr>
        <w:t xml:space="preserve">Medulla oblongata </w:t>
      </w:r>
      <w:r w:rsidRPr="006C4C0B">
        <w:rPr>
          <w:rFonts w:eastAsia="Times New Roman" w:cs="Arial"/>
          <w:i/>
          <w:iCs/>
          <w:color w:val="000000"/>
          <w:szCs w:val="20"/>
          <w:lang w:eastAsia="bg-BG"/>
        </w:rPr>
        <w:t>-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 една област, която играе важна роля в централния контрол на симпатиковата нервна система. Влиянието на това взаимодействие с </w:t>
      </w:r>
      <w:r w:rsidRPr="006C4C0B">
        <w:rPr>
          <w:rFonts w:eastAsia="Times New Roman" w:cs="Arial"/>
          <w:color w:val="000000"/>
          <w:szCs w:val="20"/>
          <w:lang w:val="en-US"/>
        </w:rPr>
        <w:t>I</w:t>
      </w:r>
      <w:r w:rsidRPr="006C4C0B">
        <w:rPr>
          <w:rFonts w:eastAsia="Times New Roman" w:cs="Arial"/>
          <w:color w:val="000000"/>
          <w:szCs w:val="20"/>
          <w:vertAlign w:val="subscript"/>
          <w:lang w:val="en-US"/>
        </w:rPr>
        <w:t>1</w:t>
      </w:r>
      <w:r w:rsidRPr="006C4C0B">
        <w:rPr>
          <w:rFonts w:eastAsia="Times New Roman" w:cs="Arial"/>
          <w:color w:val="000000"/>
          <w:szCs w:val="20"/>
          <w:lang w:eastAsia="bg-BG"/>
        </w:rPr>
        <w:t>-имидазолиновите рецептори, очеевидно се изразява в намаляване активността на симпатикусовите нерви. Това бе доказано при</w:t>
      </w:r>
    </w:p>
    <w:p w14:paraId="3FB7AE75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симпатику совите нерви на сърцето, висцералните и ренални симпатикусови нерви. Моксонидинът се различава от другите централ подействащи антихипертензивни средства по това, че афинитета му към централните аг-адренорецептори е оскъден в сравнение с афинитета</w:t>
      </w:r>
    </w:p>
    <w:p w14:paraId="58DD7DEA" w14:textId="04AC835E" w:rsidR="0091385D" w:rsidRPr="006C4C0B" w:rsidRDefault="006C4C0B" w:rsidP="006C4C0B">
      <w:pPr>
        <w:rPr>
          <w:rFonts w:cs="Arial"/>
          <w:sz w:val="24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му към </w:t>
      </w:r>
      <w:r w:rsidRPr="006C4C0B">
        <w:rPr>
          <w:rFonts w:eastAsia="Times New Roman" w:cs="Arial"/>
          <w:color w:val="000000"/>
          <w:szCs w:val="20"/>
          <w:lang w:val="en-US"/>
        </w:rPr>
        <w:t>I</w:t>
      </w:r>
      <w:r w:rsidRPr="006C4C0B">
        <w:rPr>
          <w:rFonts w:eastAsia="Times New Roman" w:cs="Arial"/>
          <w:color w:val="000000"/>
          <w:szCs w:val="20"/>
          <w:vertAlign w:val="subscript"/>
          <w:lang w:val="en-US"/>
        </w:rPr>
        <w:t>1</w:t>
      </w:r>
      <w:r w:rsidRPr="006C4C0B">
        <w:rPr>
          <w:rFonts w:eastAsia="Times New Roman" w:cs="Arial"/>
          <w:color w:val="000000"/>
          <w:szCs w:val="20"/>
          <w:lang w:eastAsia="bg-BG"/>
        </w:rPr>
        <w:t>-имидазолиновите рецептори. Приема се, че седирането и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6C4C0B">
        <w:rPr>
          <w:rFonts w:eastAsia="Times New Roman" w:cs="Arial"/>
          <w:color w:val="000000"/>
          <w:szCs w:val="20"/>
          <w:lang w:eastAsia="bg-BG"/>
        </w:rPr>
        <w:t>сухотата в устата, които се срещат най-често като нежелани лекарствени реакции на антихипертензивните средства с централно действие, са резултат от въздействие върху α</w:t>
      </w:r>
      <w:r w:rsidRPr="006C4C0B">
        <w:rPr>
          <w:rFonts w:eastAsia="Times New Roman" w:cs="Arial"/>
          <w:color w:val="000000"/>
          <w:szCs w:val="20"/>
          <w:vertAlign w:val="subscript"/>
          <w:lang w:eastAsia="bg-BG"/>
        </w:rPr>
        <w:t>2</w:t>
      </w:r>
      <w:r w:rsidRPr="006C4C0B">
        <w:rPr>
          <w:rFonts w:eastAsia="Times New Roman" w:cs="Arial"/>
          <w:color w:val="000000"/>
          <w:szCs w:val="20"/>
          <w:lang w:eastAsia="bg-BG"/>
        </w:rPr>
        <w:t>-адренорецепторите.</w:t>
      </w:r>
    </w:p>
    <w:p w14:paraId="28252AA0" w14:textId="34E0FB4A" w:rsidR="0091385D" w:rsidRDefault="0091385D" w:rsidP="0091385D"/>
    <w:p w14:paraId="6AC879B8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При хората, Моксогамма води до намаляване на системното съдово съпротивление и съответно, на артериалното кръвно налягане.</w:t>
      </w:r>
    </w:p>
    <w:p w14:paraId="27F276F7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Средното систолно и диастолно артериално налягане, както в покой, така и при упражняване на усилия са снижени.</w:t>
      </w:r>
    </w:p>
    <w:p w14:paraId="36152471" w14:textId="1BCAA398" w:rsidR="0091385D" w:rsidRPr="006C4C0B" w:rsidRDefault="006C4C0B" w:rsidP="006C4C0B">
      <w:pPr>
        <w:rPr>
          <w:rFonts w:cs="Arial"/>
          <w:sz w:val="24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До този момент не са налични данни относно въздействието на моксонидина върху смъртността и сърдечносъдовата заболеваемост.</w:t>
      </w:r>
    </w:p>
    <w:p w14:paraId="181FF55D" w14:textId="77777777" w:rsidR="006C4C0B" w:rsidRPr="0091385D" w:rsidRDefault="006C4C0B" w:rsidP="0091385D"/>
    <w:p w14:paraId="35F84B81" w14:textId="6423E5BB" w:rsidR="00CF77F7" w:rsidRDefault="002C50EE" w:rsidP="004A448E">
      <w:pPr>
        <w:pStyle w:val="Heading2"/>
      </w:pPr>
      <w:r>
        <w:t>5.2. Фармакокинетични свойства</w:t>
      </w:r>
    </w:p>
    <w:p w14:paraId="5031193D" w14:textId="06A21EFE" w:rsidR="0091385D" w:rsidRDefault="0091385D" w:rsidP="0091385D"/>
    <w:p w14:paraId="75834ED9" w14:textId="77777777" w:rsidR="006C4C0B" w:rsidRPr="006C4C0B" w:rsidRDefault="006C4C0B" w:rsidP="006C4C0B">
      <w:pPr>
        <w:pStyle w:val="Heading3"/>
        <w:rPr>
          <w:rFonts w:eastAsia="Times New Roman"/>
          <w:sz w:val="28"/>
          <w:u w:val="single"/>
          <w:lang w:eastAsia="bg-BG"/>
        </w:rPr>
      </w:pPr>
      <w:r w:rsidRPr="006C4C0B">
        <w:rPr>
          <w:rFonts w:eastAsia="Times New Roman"/>
          <w:u w:val="single"/>
          <w:lang w:eastAsia="bg-BG"/>
        </w:rPr>
        <w:t>Абсорбция</w:t>
      </w:r>
    </w:p>
    <w:p w14:paraId="4974D497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Моксонидинът се резорбира бързо след орално приложение. При хора, се резорбира около 90 % от пероралната доза. Приемът на храна не оказва влияние върху фармакокинетиката на моксонидин.</w:t>
      </w:r>
    </w:p>
    <w:p w14:paraId="220C8524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Няма ефект на първо преминаване през черния дроб и бионаличностга възлиза на 88</w:t>
      </w:r>
      <w:r w:rsidRPr="006C4C0B">
        <w:rPr>
          <w:rFonts w:eastAsia="Times New Roman" w:cs="Arial"/>
          <w:i/>
          <w:iCs/>
          <w:color w:val="000000"/>
          <w:szCs w:val="20"/>
          <w:lang w:eastAsia="bg-BG"/>
        </w:rPr>
        <w:t xml:space="preserve"> %.</w:t>
      </w:r>
    </w:p>
    <w:p w14:paraId="209BD89B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55C7937" w14:textId="345AF5FE" w:rsidR="006C4C0B" w:rsidRPr="006C4C0B" w:rsidRDefault="006C4C0B" w:rsidP="006C4C0B">
      <w:pPr>
        <w:pStyle w:val="Heading3"/>
        <w:rPr>
          <w:rFonts w:eastAsia="Times New Roman"/>
          <w:sz w:val="28"/>
          <w:u w:val="single"/>
          <w:lang w:eastAsia="bg-BG"/>
        </w:rPr>
      </w:pPr>
      <w:r w:rsidRPr="006C4C0B">
        <w:rPr>
          <w:rFonts w:eastAsia="Times New Roman"/>
          <w:u w:val="single"/>
          <w:lang w:eastAsia="bg-BG"/>
        </w:rPr>
        <w:t>Разпределение</w:t>
      </w:r>
    </w:p>
    <w:p w14:paraId="57A3033A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Само около 7 % от моксонидина се свързват с човешките плазмени протеини </w:t>
      </w:r>
      <w:r w:rsidRPr="006C4C0B">
        <w:rPr>
          <w:rFonts w:eastAsia="Times New Roman" w:cs="Arial"/>
          <w:color w:val="000000"/>
          <w:szCs w:val="20"/>
          <w:lang w:val="en-US"/>
        </w:rPr>
        <w:t>(</w:t>
      </w:r>
      <w:proofErr w:type="spellStart"/>
      <w:r w:rsidRPr="006C4C0B">
        <w:rPr>
          <w:rFonts w:eastAsia="Times New Roman" w:cs="Arial"/>
          <w:color w:val="000000"/>
          <w:szCs w:val="20"/>
          <w:lang w:val="en-US"/>
        </w:rPr>
        <w:t>Vd</w:t>
      </w:r>
      <w:r w:rsidRPr="006C4C0B">
        <w:rPr>
          <w:rFonts w:eastAsia="Times New Roman" w:cs="Arial"/>
          <w:color w:val="000000"/>
          <w:szCs w:val="20"/>
          <w:vertAlign w:val="subscript"/>
          <w:lang w:val="en-US"/>
        </w:rPr>
        <w:t>ss</w:t>
      </w:r>
      <w:proofErr w:type="spellEnd"/>
      <w:r w:rsidRPr="006C4C0B">
        <w:rPr>
          <w:rFonts w:eastAsia="Times New Roman" w:cs="Arial"/>
          <w:color w:val="000000"/>
          <w:szCs w:val="20"/>
          <w:lang w:val="en-US"/>
        </w:rPr>
        <w:t xml:space="preserve">=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1,8 ± 0,4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l/kg). </w:t>
      </w:r>
      <w:r w:rsidRPr="006C4C0B">
        <w:rPr>
          <w:rFonts w:eastAsia="Times New Roman" w:cs="Arial"/>
          <w:color w:val="000000"/>
          <w:szCs w:val="20"/>
          <w:lang w:eastAsia="bg-BG"/>
        </w:rPr>
        <w:t>Максималните плазмени нива на моксонидин се достигат за 30-180 минути след приема на филмираната таблетка.</w:t>
      </w:r>
    </w:p>
    <w:p w14:paraId="14B9BB81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3BFB684" w14:textId="51B480B0" w:rsidR="006C4C0B" w:rsidRPr="006C4C0B" w:rsidRDefault="006C4C0B" w:rsidP="006C4C0B">
      <w:pPr>
        <w:pStyle w:val="Heading3"/>
        <w:rPr>
          <w:rFonts w:eastAsia="Times New Roman"/>
          <w:sz w:val="28"/>
          <w:u w:val="single"/>
          <w:lang w:eastAsia="bg-BG"/>
        </w:rPr>
      </w:pPr>
      <w:r w:rsidRPr="006C4C0B">
        <w:rPr>
          <w:rFonts w:eastAsia="Times New Roman"/>
          <w:u w:val="single"/>
          <w:lang w:eastAsia="bg-BG"/>
        </w:rPr>
        <w:t>Биотрансформация</w:t>
      </w:r>
    </w:p>
    <w:p w14:paraId="0CC9B5C1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10-20 % от моксонидина се метаболизира: основно до 4,5-дехидромоксонидин, както и до аминометанамидинов дериват, чрез отваряне на имидазолиновия пръстен .</w:t>
      </w:r>
    </w:p>
    <w:p w14:paraId="314E71C0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Антихипертензивното действие на 4,5-дехидромоксонидина възлиза само на 1/10, а действието на аминометанамидиновия дериват е по-малко от 1/100 от ефекта на моксонидина.</w:t>
      </w:r>
    </w:p>
    <w:p w14:paraId="2AD53DE7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96E94EA" w14:textId="69F65985" w:rsidR="006C4C0B" w:rsidRPr="006C4C0B" w:rsidRDefault="006C4C0B" w:rsidP="006C4C0B">
      <w:pPr>
        <w:pStyle w:val="Heading3"/>
        <w:rPr>
          <w:rFonts w:eastAsia="Times New Roman"/>
          <w:sz w:val="28"/>
          <w:u w:val="single"/>
          <w:lang w:eastAsia="bg-BG"/>
        </w:rPr>
      </w:pPr>
      <w:r w:rsidRPr="006C4C0B">
        <w:rPr>
          <w:rFonts w:eastAsia="Times New Roman"/>
          <w:u w:val="single"/>
          <w:lang w:eastAsia="bg-BG"/>
        </w:rPr>
        <w:t>Елиминиране</w:t>
      </w:r>
    </w:p>
    <w:p w14:paraId="12539766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Моксонидинът и неговите метаболити почти напълно се излъчват чрез бъбреците. Повече от 90 % от дозата се елиминира ренално през първите 24 часа, докато около 1 % </w:t>
      </w:r>
      <w:r w:rsidRPr="006C4C0B">
        <w:rPr>
          <w:rFonts w:eastAsia="Times New Roman" w:cs="Arial"/>
          <w:color w:val="000000"/>
          <w:szCs w:val="20"/>
          <w:lang w:eastAsia="bg-BG"/>
        </w:rPr>
        <w:lastRenderedPageBreak/>
        <w:t>се изхвърлят чрез изпражненията. Кумулативната екскреция на моксонидин в непроменен вид възлиза на около 50-75 %.</w:t>
      </w:r>
    </w:p>
    <w:p w14:paraId="2BE3D4FC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Средните стойности на плазмения елиминационен полуживот са 2,2 - 2,3 часа, а на реналния елиминационен полуживот - 2,6 - 2,8 часа.</w:t>
      </w:r>
    </w:p>
    <w:p w14:paraId="51FE29EB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E6E9279" w14:textId="70218BD4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u w:val="single"/>
          <w:lang w:eastAsia="bg-BG"/>
        </w:rPr>
        <w:t>Фармакокинетика при пациенти в старческа възраст</w:t>
      </w:r>
    </w:p>
    <w:p w14:paraId="52F61E5F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Малките разлики между фармакокинетичните свойства на моксонидин при здрави пациенти в старческа възраст и при по-млади възрастни е малко вероятно да бъдат клинично значими. Тъй като няма натрупване на моксонидин, при условие, че бъбречната функция е нормална, адаптиране на дозата не е необходимо.</w:t>
      </w:r>
    </w:p>
    <w:p w14:paraId="3A124538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6F80A5D" w14:textId="1E9AF769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u w:val="single"/>
          <w:lang w:eastAsia="bg-BG"/>
        </w:rPr>
        <w:t>Фармакокинетика при пациенти с нарушение на бъбречната функция</w:t>
      </w:r>
    </w:p>
    <w:p w14:paraId="228764A7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4B2622F" w14:textId="15D1892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u w:val="single"/>
          <w:lang w:eastAsia="bg-BG"/>
        </w:rPr>
        <w:t>При пациенти с умерено нарушение на бъбречната функция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 (гломерулна филтрация 30— 60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ml/min)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площта под кривата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(AUC)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е увеличена с 85 % , а клирънсът е намален с 52 %. При тези пациенти е необходимо адаптиране на дозата, като максималната дневна доза не трябва да е по-висока от 0,4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mg,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а максималната единична доза - не по-висока от 0,2 </w:t>
      </w:r>
      <w:r w:rsidRPr="006C4C0B">
        <w:rPr>
          <w:rFonts w:eastAsia="Times New Roman" w:cs="Arial"/>
          <w:color w:val="000000"/>
          <w:szCs w:val="20"/>
          <w:lang w:val="en-US"/>
        </w:rPr>
        <w:t>mg.</w:t>
      </w:r>
    </w:p>
    <w:p w14:paraId="0B2027EE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A6D7B18" w14:textId="5E695CF6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u w:val="single"/>
          <w:lang w:eastAsia="bg-BG"/>
        </w:rPr>
        <w:t>При пациенти с тежко нарушение на бъбречната функция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 (гломерулна филтрация &lt;30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ml/min) </w:t>
      </w:r>
      <w:r w:rsidRPr="006C4C0B">
        <w:rPr>
          <w:rFonts w:eastAsia="Times New Roman" w:cs="Arial"/>
          <w:color w:val="000000"/>
          <w:szCs w:val="20"/>
          <w:lang w:eastAsia="bg-BG"/>
        </w:rPr>
        <w:t>клирънсът е намален с 68</w:t>
      </w:r>
      <w:r w:rsidRPr="006C4C0B">
        <w:rPr>
          <w:rFonts w:eastAsia="Times New Roman" w:cs="Arial"/>
          <w:i/>
          <w:iCs/>
          <w:color w:val="000000"/>
          <w:szCs w:val="20"/>
          <w:lang w:eastAsia="bg-BG"/>
        </w:rPr>
        <w:t>%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 и времето на полуживот е удължено до 7 часа. </w:t>
      </w:r>
      <w:r w:rsidRPr="006C4C0B">
        <w:rPr>
          <w:rFonts w:eastAsia="Times New Roman" w:cs="Arial"/>
          <w:i/>
          <w:iCs/>
          <w:color w:val="000000"/>
          <w:szCs w:val="20"/>
          <w:lang w:eastAsia="bg-BG"/>
        </w:rPr>
        <w:t xml:space="preserve">При тези пациенти е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необходимо адаптиране на дозата, като максималната дневна доза не трябва да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e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по-висока от 0,3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mg,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а максималната единична доза - не по-висока от 0,2 </w:t>
      </w:r>
      <w:r w:rsidRPr="006C4C0B">
        <w:rPr>
          <w:rFonts w:eastAsia="Times New Roman" w:cs="Arial"/>
          <w:color w:val="000000"/>
          <w:szCs w:val="20"/>
          <w:lang w:val="en-US"/>
        </w:rPr>
        <w:t>mg.</w:t>
      </w:r>
    </w:p>
    <w:p w14:paraId="4028203B" w14:textId="77777777" w:rsidR="006C4C0B" w:rsidRPr="006C4C0B" w:rsidRDefault="006C4C0B" w:rsidP="006C4C0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5180F47" w14:textId="3F2D1915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u w:val="single"/>
          <w:lang w:eastAsia="bg-BG"/>
        </w:rPr>
        <w:t>Фармакокинетика при деца</w:t>
      </w:r>
    </w:p>
    <w:p w14:paraId="148BA3FC" w14:textId="570EDC2D" w:rsidR="0091385D" w:rsidRDefault="006C4C0B" w:rsidP="006C4C0B">
      <w:r w:rsidRPr="006C4C0B">
        <w:rPr>
          <w:rFonts w:eastAsia="Times New Roman" w:cs="Arial"/>
          <w:color w:val="000000"/>
          <w:szCs w:val="20"/>
          <w:lang w:eastAsia="bg-BG"/>
        </w:rPr>
        <w:t>Не са провеждани фармакокинетични изследвания при деца.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31455D09" w14:textId="4D0EFBF5" w:rsidR="0091385D" w:rsidRDefault="0091385D" w:rsidP="0091385D"/>
    <w:p w14:paraId="4855FBA2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прилагане, генотоксичност, карциногенен потенциал, репродуктивна токсичност и токсичност за развитието.</w:t>
      </w:r>
    </w:p>
    <w:p w14:paraId="25A34C65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Продължителното перорално лечение на плъхове в продължение на 52 седмици (е дози от 0.12- 4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/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kg)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и на кучета (с дози от 0.04-0.4 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mg/kg) </w:t>
      </w:r>
      <w:r w:rsidRPr="006C4C0B">
        <w:rPr>
          <w:rFonts w:eastAsia="Times New Roman" w:cs="Arial"/>
          <w:color w:val="000000"/>
          <w:szCs w:val="20"/>
          <w:lang w:eastAsia="bg-BG"/>
        </w:rPr>
        <w:t>показа значителни ефекти на моксонидин само при най-високите дози. Незначителни нарушения на електролитния баланс (намаляване на натрий в кръвта и увеличение на калия, уреята и креатинина) са открити при най-високата доза при плъхове и повръщане и обилно слюноотделяне само за високата доза при кучета. В допълнение, леко повишение на теглото на черния дроб беше проявено и при двата вида за високите дози.</w:t>
      </w:r>
    </w:p>
    <w:p w14:paraId="04B690AB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Изследванията върху репродуктивната токсичност не показват нито въздействие върху фертилитета, нито тератогенен потенциал.</w:t>
      </w:r>
    </w:p>
    <w:p w14:paraId="52E4D01A" w14:textId="6AD898A8" w:rsidR="0091385D" w:rsidRPr="006C4C0B" w:rsidRDefault="006C4C0B" w:rsidP="006C4C0B">
      <w:pPr>
        <w:rPr>
          <w:rFonts w:cs="Arial"/>
          <w:sz w:val="24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 xml:space="preserve">Ембриотоксични ефекти са били наблюдавани при плъхове в дози по-високи от 3 </w:t>
      </w:r>
      <w:r w:rsidRPr="006C4C0B">
        <w:rPr>
          <w:rFonts w:eastAsia="Times New Roman" w:cs="Arial"/>
          <w:color w:val="000000"/>
          <w:szCs w:val="20"/>
          <w:lang w:val="en-US"/>
        </w:rPr>
        <w:t>mg/kg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/дневно и при зайци, в дози по-високи от 0,7 </w:t>
      </w:r>
      <w:r w:rsidRPr="006C4C0B">
        <w:rPr>
          <w:rFonts w:eastAsia="Times New Roman" w:cs="Arial"/>
          <w:color w:val="000000"/>
          <w:szCs w:val="20"/>
          <w:lang w:val="en-US"/>
        </w:rPr>
        <w:t>mg/kg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/дневно. Повишена честота на загуба на ембриона или плода и забавено развитие на плода бяха наблюдавани при плъхове в дози по-високи от 2 </w:t>
      </w:r>
      <w:r w:rsidRPr="006C4C0B">
        <w:rPr>
          <w:rFonts w:eastAsia="Times New Roman" w:cs="Arial"/>
          <w:color w:val="000000"/>
          <w:szCs w:val="20"/>
          <w:lang w:val="en-US"/>
        </w:rPr>
        <w:t>mg/kg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/дневно и при зайци в дози по-високи от 0.7 </w:t>
      </w:r>
      <w:r w:rsidRPr="006C4C0B">
        <w:rPr>
          <w:rFonts w:eastAsia="Times New Roman" w:cs="Arial"/>
          <w:color w:val="000000"/>
          <w:szCs w:val="20"/>
          <w:lang w:val="en-US"/>
        </w:rPr>
        <w:t>mg/kg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/дневно. При перинатално и постнатално изследване при плъхове, с приложени дози от над 1 </w:t>
      </w:r>
      <w:r w:rsidRPr="006C4C0B">
        <w:rPr>
          <w:rFonts w:eastAsia="Times New Roman" w:cs="Arial"/>
          <w:color w:val="000000"/>
          <w:szCs w:val="20"/>
          <w:lang w:val="en-US"/>
        </w:rPr>
        <w:t>mg/kg</w:t>
      </w:r>
      <w:r w:rsidRPr="006C4C0B">
        <w:rPr>
          <w:rFonts w:eastAsia="Times New Roman" w:cs="Arial"/>
          <w:color w:val="000000"/>
          <w:szCs w:val="20"/>
          <w:lang w:eastAsia="bg-BG"/>
        </w:rPr>
        <w:t>/дневно, е било повлияно развитието и жизнеността на потомството.</w:t>
      </w:r>
    </w:p>
    <w:p w14:paraId="20E967BE" w14:textId="77777777" w:rsidR="0091385D" w:rsidRPr="0091385D" w:rsidRDefault="0091385D" w:rsidP="0091385D"/>
    <w:p w14:paraId="6A7820AB" w14:textId="353DB6D2" w:rsidR="008A6AF2" w:rsidRDefault="002C50EE" w:rsidP="00395555">
      <w:pPr>
        <w:pStyle w:val="Heading1"/>
      </w:pPr>
      <w:r>
        <w:lastRenderedPageBreak/>
        <w:t>7. ПРИТЕЖАТЕЛ НА РАЗРЕШЕНИЕТО ЗА УПОТРЕБА</w:t>
      </w:r>
    </w:p>
    <w:p w14:paraId="1B9B651E" w14:textId="3382E6AC" w:rsidR="0091385D" w:rsidRDefault="0091385D" w:rsidP="0091385D"/>
    <w:p w14:paraId="670D9549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Wörwag Pharma</w:t>
      </w:r>
      <w:r w:rsidRPr="006C4C0B">
        <w:rPr>
          <w:rFonts w:eastAsia="Times New Roman" w:cs="Arial"/>
          <w:color w:val="000000"/>
          <w:szCs w:val="20"/>
          <w:lang w:val="en-US"/>
        </w:rPr>
        <w:t xml:space="preserve"> GmbH </w:t>
      </w:r>
      <w:r w:rsidRPr="006C4C0B">
        <w:rPr>
          <w:rFonts w:eastAsia="Times New Roman" w:cs="Arial"/>
          <w:color w:val="000000"/>
          <w:szCs w:val="20"/>
          <w:lang w:eastAsia="bg-BG"/>
        </w:rPr>
        <w:t xml:space="preserve">&amp; </w:t>
      </w:r>
      <w:r w:rsidRPr="006C4C0B">
        <w:rPr>
          <w:rFonts w:eastAsia="Times New Roman" w:cs="Arial"/>
          <w:color w:val="000000"/>
          <w:szCs w:val="20"/>
          <w:lang w:val="en-US"/>
        </w:rPr>
        <w:t>Co. KG</w:t>
      </w:r>
    </w:p>
    <w:p w14:paraId="0F24ECA3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proofErr w:type="spellStart"/>
      <w:r w:rsidRPr="006C4C0B">
        <w:rPr>
          <w:rFonts w:eastAsia="Times New Roman" w:cs="Arial"/>
          <w:color w:val="000000"/>
          <w:szCs w:val="20"/>
          <w:lang w:val="en-US"/>
        </w:rPr>
        <w:t>Flugfeld-Allee</w:t>
      </w:r>
      <w:proofErr w:type="spellEnd"/>
      <w:r w:rsidRPr="006C4C0B">
        <w:rPr>
          <w:rFonts w:eastAsia="Times New Roman" w:cs="Arial"/>
          <w:color w:val="000000"/>
          <w:szCs w:val="20"/>
          <w:lang w:val="en-US"/>
        </w:rPr>
        <w:t xml:space="preserve"> 24</w:t>
      </w:r>
    </w:p>
    <w:p w14:paraId="1696D7E6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r w:rsidRPr="006C4C0B">
        <w:rPr>
          <w:rFonts w:eastAsia="Times New Roman" w:cs="Arial"/>
          <w:color w:val="000000"/>
          <w:szCs w:val="20"/>
          <w:lang w:val="en-US"/>
        </w:rPr>
        <w:t>71034 B</w:t>
      </w:r>
      <w:r w:rsidRPr="006C4C0B">
        <w:rPr>
          <w:rFonts w:eastAsia="Times New Roman" w:cs="Arial"/>
          <w:color w:val="000000"/>
          <w:szCs w:val="20"/>
          <w:lang w:eastAsia="bg-BG"/>
        </w:rPr>
        <w:t>ö</w:t>
      </w:r>
      <w:proofErr w:type="spellStart"/>
      <w:r w:rsidRPr="006C4C0B">
        <w:rPr>
          <w:rFonts w:eastAsia="Times New Roman" w:cs="Arial"/>
          <w:color w:val="000000"/>
          <w:szCs w:val="20"/>
          <w:lang w:val="en-US"/>
        </w:rPr>
        <w:t>blingen</w:t>
      </w:r>
      <w:proofErr w:type="spellEnd"/>
    </w:p>
    <w:p w14:paraId="3FD825DB" w14:textId="33E54C40" w:rsidR="0091385D" w:rsidRPr="006C4C0B" w:rsidRDefault="006C4C0B" w:rsidP="006C4C0B">
      <w:pPr>
        <w:rPr>
          <w:rFonts w:cs="Arial"/>
          <w:sz w:val="24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Германия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54CA436A" w:rsidR="0091385D" w:rsidRDefault="0091385D" w:rsidP="0091385D"/>
    <w:p w14:paraId="6E892CE5" w14:textId="18C8788A" w:rsidR="0091385D" w:rsidRPr="006C4C0B" w:rsidRDefault="006C4C0B" w:rsidP="0091385D">
      <w:pPr>
        <w:rPr>
          <w:rFonts w:cs="Arial"/>
          <w:sz w:val="24"/>
        </w:rPr>
      </w:pPr>
      <w:r w:rsidRPr="006C4C0B">
        <w:rPr>
          <w:rFonts w:cs="Arial"/>
          <w:szCs w:val="20"/>
        </w:rPr>
        <w:t>20060146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0F79A9B4" w:rsidR="0091385D" w:rsidRDefault="0091385D" w:rsidP="0091385D"/>
    <w:p w14:paraId="2777B2DB" w14:textId="77777777" w:rsidR="006C4C0B" w:rsidRPr="006C4C0B" w:rsidRDefault="006C4C0B" w:rsidP="006C4C0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6C4C0B">
        <w:rPr>
          <w:rFonts w:eastAsia="Times New Roman" w:cs="Arial"/>
          <w:color w:val="000000"/>
          <w:szCs w:val="20"/>
          <w:lang w:eastAsia="bg-BG"/>
        </w:rPr>
        <w:t>Дата на първо разрешване: 03 Април 2006</w:t>
      </w:r>
    </w:p>
    <w:p w14:paraId="497007FA" w14:textId="36153F5F" w:rsidR="0091385D" w:rsidRDefault="006C4C0B" w:rsidP="006C4C0B">
      <w:r w:rsidRPr="006C4C0B">
        <w:rPr>
          <w:rFonts w:eastAsia="Times New Roman" w:cs="Arial"/>
          <w:color w:val="000000"/>
          <w:szCs w:val="20"/>
          <w:lang w:eastAsia="bg-BG"/>
        </w:rPr>
        <w:t>Дата на последно подновяване: 29 Октомври 2010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34E0D3BB" w:rsidR="0091385D" w:rsidRDefault="0091385D" w:rsidP="0091385D"/>
    <w:p w14:paraId="30276F52" w14:textId="3001AB60" w:rsidR="0091385D" w:rsidRPr="006C4C0B" w:rsidRDefault="006C4C0B" w:rsidP="0091385D">
      <w:pPr>
        <w:rPr>
          <w:rFonts w:cs="Arial"/>
          <w:sz w:val="24"/>
        </w:rPr>
      </w:pPr>
      <w:r w:rsidRPr="006C4C0B">
        <w:rPr>
          <w:rFonts w:cs="Arial"/>
          <w:szCs w:val="20"/>
        </w:rPr>
        <w:t>10/2021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2C99"/>
    <w:multiLevelType w:val="hybridMultilevel"/>
    <w:tmpl w:val="64AA39FA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7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6"/>
  </w:num>
  <w:num w:numId="7">
    <w:abstractNumId w:val="11"/>
  </w:num>
  <w:num w:numId="8">
    <w:abstractNumId w:val="15"/>
  </w:num>
  <w:num w:numId="9">
    <w:abstractNumId w:val="2"/>
  </w:num>
  <w:num w:numId="10">
    <w:abstractNumId w:val="4"/>
  </w:num>
  <w:num w:numId="11">
    <w:abstractNumId w:val="30"/>
  </w:num>
  <w:num w:numId="12">
    <w:abstractNumId w:val="14"/>
  </w:num>
  <w:num w:numId="13">
    <w:abstractNumId w:val="19"/>
  </w:num>
  <w:num w:numId="14">
    <w:abstractNumId w:val="12"/>
  </w:num>
  <w:num w:numId="15">
    <w:abstractNumId w:val="29"/>
  </w:num>
  <w:num w:numId="16">
    <w:abstractNumId w:val="10"/>
  </w:num>
  <w:num w:numId="17">
    <w:abstractNumId w:val="24"/>
  </w:num>
  <w:num w:numId="18">
    <w:abstractNumId w:val="7"/>
  </w:num>
  <w:num w:numId="19">
    <w:abstractNumId w:val="26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9"/>
  </w:num>
  <w:num w:numId="25">
    <w:abstractNumId w:val="22"/>
  </w:num>
  <w:num w:numId="26">
    <w:abstractNumId w:val="21"/>
  </w:num>
  <w:num w:numId="27">
    <w:abstractNumId w:val="31"/>
  </w:num>
  <w:num w:numId="28">
    <w:abstractNumId w:val="6"/>
  </w:num>
  <w:num w:numId="29">
    <w:abstractNumId w:val="20"/>
  </w:num>
  <w:num w:numId="30">
    <w:abstractNumId w:val="34"/>
  </w:num>
  <w:num w:numId="31">
    <w:abstractNumId w:val="5"/>
  </w:num>
  <w:num w:numId="32">
    <w:abstractNumId w:val="33"/>
  </w:num>
  <w:num w:numId="33">
    <w:abstractNumId w:val="28"/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6C4C0B"/>
    <w:rsid w:val="0075649D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2591</Words>
  <Characters>14775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3</cp:revision>
  <dcterms:created xsi:type="dcterms:W3CDTF">2022-09-29T15:03:00Z</dcterms:created>
  <dcterms:modified xsi:type="dcterms:W3CDTF">2022-09-29T15:03:00Z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