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1516BB95" w:rsidR="00AA23EC" w:rsidRDefault="00DD466D" w:rsidP="00DD466D">
      <w:pPr>
        <w:pStyle w:val="Heading1"/>
      </w:pPr>
      <w:r>
        <w:t>1.ИМЕ НА ЛЕКАРСТВЕНИЯ ПРОДУКТ</w:t>
      </w:r>
    </w:p>
    <w:p w14:paraId="2426F389" w14:textId="05598F49" w:rsidR="00954D2D" w:rsidRDefault="00954D2D" w:rsidP="00954D2D"/>
    <w:p w14:paraId="5097E96B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Моксогамма 0,4 </w:t>
      </w:r>
      <w:r w:rsidRPr="00954D2D">
        <w:rPr>
          <w:lang w:val="en-US"/>
        </w:rPr>
        <w:t>mg</w:t>
      </w:r>
      <w:r w:rsidRPr="00954D2D">
        <w:t xml:space="preserve"> </w:t>
      </w:r>
      <w:r w:rsidRPr="00954D2D">
        <w:rPr>
          <w:lang w:eastAsia="bg-BG"/>
        </w:rPr>
        <w:t>филмирани таблетки</w:t>
      </w:r>
    </w:p>
    <w:p w14:paraId="57DAA60E" w14:textId="2DE48DEB" w:rsidR="00954D2D" w:rsidRPr="00954D2D" w:rsidRDefault="00954D2D" w:rsidP="00954D2D">
      <w:proofErr w:type="spellStart"/>
      <w:r w:rsidRPr="00954D2D">
        <w:rPr>
          <w:lang w:val="en-US"/>
        </w:rPr>
        <w:t>Moxogamma</w:t>
      </w:r>
      <w:proofErr w:type="spellEnd"/>
      <w:r w:rsidRPr="00954D2D">
        <w:t xml:space="preserve"> </w:t>
      </w:r>
      <w:r>
        <w:rPr>
          <w:lang w:eastAsia="bg-BG"/>
        </w:rPr>
        <w:t>0</w:t>
      </w:r>
      <w:proofErr w:type="gramStart"/>
      <w:r>
        <w:rPr>
          <w:lang w:eastAsia="bg-BG"/>
        </w:rPr>
        <w:t>,4</w:t>
      </w:r>
      <w:proofErr w:type="gramEnd"/>
      <w:r>
        <w:rPr>
          <w:lang w:eastAsia="bg-BG"/>
        </w:rPr>
        <w:t xml:space="preserve"> </w:t>
      </w:r>
      <w:r w:rsidRPr="00954D2D">
        <w:rPr>
          <w:lang w:val="en-US"/>
        </w:rPr>
        <w:t>mg</w:t>
      </w:r>
      <w:r w:rsidRPr="00954D2D">
        <w:t xml:space="preserve"> </w:t>
      </w:r>
      <w:r w:rsidRPr="00954D2D">
        <w:rPr>
          <w:lang w:val="en-US"/>
        </w:rPr>
        <w:t>film</w:t>
      </w:r>
      <w:r w:rsidRPr="00954D2D">
        <w:t>-</w:t>
      </w:r>
      <w:r w:rsidRPr="00954D2D">
        <w:rPr>
          <w:lang w:val="en-US"/>
        </w:rPr>
        <w:t>coated</w:t>
      </w:r>
      <w:r w:rsidRPr="00954D2D">
        <w:t xml:space="preserve"> </w:t>
      </w:r>
      <w:r w:rsidRPr="00954D2D">
        <w:rPr>
          <w:lang w:val="en-US"/>
        </w:rPr>
        <w:t>tablets</w:t>
      </w:r>
    </w:p>
    <w:p w14:paraId="0A368469" w14:textId="34252D70" w:rsidR="00C0049F" w:rsidRDefault="00DD466D" w:rsidP="009F1313">
      <w:pPr>
        <w:pStyle w:val="Heading1"/>
      </w:pPr>
      <w:r>
        <w:t>2. КАЧЕСТВЕН И КОЛИЧЕСТВЕН СЪСТАВ</w:t>
      </w:r>
    </w:p>
    <w:p w14:paraId="114CFCF4" w14:textId="5190D942" w:rsidR="00954D2D" w:rsidRDefault="00954D2D" w:rsidP="00954D2D"/>
    <w:p w14:paraId="64B788F0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Всяка таблетка съдържа 0,4 </w:t>
      </w:r>
      <w:r w:rsidRPr="00954D2D">
        <w:rPr>
          <w:lang w:val="en-US"/>
        </w:rPr>
        <w:t>mg</w:t>
      </w:r>
      <w:r w:rsidRPr="00954D2D">
        <w:t xml:space="preserve"> </w:t>
      </w:r>
      <w:r w:rsidRPr="00954D2D">
        <w:rPr>
          <w:lang w:eastAsia="bg-BG"/>
        </w:rPr>
        <w:t xml:space="preserve">моксонидин </w:t>
      </w:r>
      <w:r w:rsidRPr="00954D2D">
        <w:rPr>
          <w:i/>
          <w:iCs/>
          <w:lang w:eastAsia="bg-BG"/>
        </w:rPr>
        <w:t>(Мо</w:t>
      </w:r>
      <w:proofErr w:type="spellStart"/>
      <w:r w:rsidRPr="00954D2D">
        <w:rPr>
          <w:i/>
          <w:iCs/>
          <w:lang w:val="en-US"/>
        </w:rPr>
        <w:t>xonidine</w:t>
      </w:r>
      <w:proofErr w:type="spellEnd"/>
      <w:r w:rsidRPr="00954D2D">
        <w:rPr>
          <w:i/>
          <w:iCs/>
        </w:rPr>
        <w:t>).</w:t>
      </w:r>
    </w:p>
    <w:p w14:paraId="0544B770" w14:textId="77777777" w:rsidR="00954D2D" w:rsidRDefault="00954D2D" w:rsidP="00954D2D">
      <w:pPr>
        <w:rPr>
          <w:lang w:eastAsia="bg-BG"/>
        </w:rPr>
      </w:pPr>
    </w:p>
    <w:p w14:paraId="3CEB90CB" w14:textId="47A7A3D3" w:rsidR="00954D2D" w:rsidRPr="00954D2D" w:rsidRDefault="00954D2D" w:rsidP="00954D2D">
      <w:r w:rsidRPr="00954D2D">
        <w:rPr>
          <w:lang w:eastAsia="bg-BG"/>
        </w:rPr>
        <w:t>Помощно вещество с известно действие: Лактоза</w:t>
      </w:r>
      <w:r w:rsidRPr="00954D2D">
        <w:rPr>
          <w:lang w:val="ru-RU"/>
        </w:rPr>
        <w:t xml:space="preserve"> </w:t>
      </w:r>
      <w:r w:rsidRPr="00954D2D">
        <w:rPr>
          <w:lang w:eastAsia="bg-BG"/>
        </w:rPr>
        <w:t>Монохидрат</w:t>
      </w:r>
    </w:p>
    <w:p w14:paraId="614984C4" w14:textId="383DF8BD" w:rsidR="008A6AF2" w:rsidRDefault="00DD466D" w:rsidP="002C50EE">
      <w:pPr>
        <w:pStyle w:val="Heading1"/>
      </w:pPr>
      <w:r>
        <w:t>3. ЛЕКАРСТВЕНА ФОРМА</w:t>
      </w:r>
    </w:p>
    <w:p w14:paraId="3C7C3537" w14:textId="04124E8F" w:rsidR="00954D2D" w:rsidRDefault="00954D2D" w:rsidP="00954D2D"/>
    <w:p w14:paraId="71148368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Филмирана таблетка</w:t>
      </w:r>
    </w:p>
    <w:p w14:paraId="67F4E4CA" w14:textId="77777777" w:rsidR="00954D2D" w:rsidRDefault="00954D2D" w:rsidP="00954D2D">
      <w:pPr>
        <w:rPr>
          <w:lang w:eastAsia="bg-BG"/>
        </w:rPr>
      </w:pPr>
    </w:p>
    <w:p w14:paraId="3B022C62" w14:textId="4F937B7A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Външен вид на таблетките: Всички таблетки са кръгли, с диаметър около 6 </w:t>
      </w:r>
      <w:r w:rsidRPr="00954D2D">
        <w:rPr>
          <w:lang w:val="en-US"/>
        </w:rPr>
        <w:t>mm</w:t>
      </w:r>
      <w:r w:rsidRPr="00954D2D">
        <w:rPr>
          <w:lang w:val="ru-RU"/>
        </w:rPr>
        <w:t>.</w:t>
      </w:r>
    </w:p>
    <w:p w14:paraId="5D6D9254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Цветът на филмираните таблетки от 0,4 </w:t>
      </w:r>
      <w:r w:rsidRPr="00954D2D">
        <w:rPr>
          <w:lang w:val="en-US"/>
        </w:rPr>
        <w:t>mg</w:t>
      </w:r>
      <w:r w:rsidRPr="00954D2D">
        <w:rPr>
          <w:lang w:val="ru-RU"/>
        </w:rPr>
        <w:t xml:space="preserve"> </w:t>
      </w:r>
      <w:r w:rsidRPr="00954D2D">
        <w:rPr>
          <w:lang w:eastAsia="bg-BG"/>
        </w:rPr>
        <w:t>е тъмнорозов.</w:t>
      </w:r>
    </w:p>
    <w:p w14:paraId="4D5C73AE" w14:textId="77777777" w:rsidR="00954D2D" w:rsidRPr="00954D2D" w:rsidRDefault="00954D2D" w:rsidP="00954D2D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1A864943" w14:textId="38FA01AF" w:rsidR="00395555" w:rsidRDefault="00395555" w:rsidP="00395555"/>
    <w:p w14:paraId="6A1F6A6B" w14:textId="4D18D21D" w:rsidR="00954D2D" w:rsidRDefault="00954D2D" w:rsidP="00954D2D">
      <w:r>
        <w:t>Лека до среднотежка есенциална хипертония.</w:t>
      </w:r>
    </w:p>
    <w:p w14:paraId="3954BCEE" w14:textId="02E0C105" w:rsidR="00954D2D" w:rsidRPr="00395555" w:rsidRDefault="00954D2D" w:rsidP="00954D2D"/>
    <w:p w14:paraId="7C0CA5EB" w14:textId="03598608" w:rsidR="00C0049F" w:rsidRDefault="002C50EE" w:rsidP="009F1313">
      <w:pPr>
        <w:pStyle w:val="Heading2"/>
      </w:pPr>
      <w:r>
        <w:t>4.2. Дозировка и начин на приложение</w:t>
      </w:r>
    </w:p>
    <w:p w14:paraId="1C7790A4" w14:textId="31F4A2BC" w:rsidR="00954D2D" w:rsidRDefault="00954D2D" w:rsidP="00954D2D"/>
    <w:p w14:paraId="506DCB99" w14:textId="77777777" w:rsidR="00954D2D" w:rsidRPr="00954D2D" w:rsidRDefault="00954D2D" w:rsidP="00954D2D">
      <w:pPr>
        <w:pStyle w:val="Heading3"/>
        <w:rPr>
          <w:rFonts w:eastAsia="Times New Roman"/>
          <w:u w:val="single"/>
          <w:lang w:eastAsia="bg-BG"/>
        </w:rPr>
      </w:pPr>
      <w:r w:rsidRPr="00954D2D">
        <w:rPr>
          <w:rFonts w:eastAsia="Times New Roman"/>
          <w:u w:val="single"/>
          <w:lang w:eastAsia="bg-BG"/>
        </w:rPr>
        <w:t xml:space="preserve">Дозировка </w:t>
      </w:r>
    </w:p>
    <w:p w14:paraId="18F0FCF9" w14:textId="672F4D02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>
        <w:rPr>
          <w:rFonts w:eastAsia="Times New Roman" w:cs="Arial"/>
          <w:i/>
          <w:iCs/>
          <w:color w:val="000000"/>
          <w:szCs w:val="44"/>
          <w:lang w:eastAsia="bg-BG"/>
        </w:rPr>
        <w:t>В</w:t>
      </w:r>
      <w:r w:rsidRPr="00954D2D">
        <w:rPr>
          <w:rFonts w:eastAsia="Times New Roman" w:cs="Arial"/>
          <w:i/>
          <w:iCs/>
          <w:color w:val="000000"/>
          <w:szCs w:val="44"/>
          <w:lang w:eastAsia="bg-BG"/>
        </w:rPr>
        <w:t>ъзрастни</w:t>
      </w:r>
    </w:p>
    <w:p w14:paraId="70259E77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 xml:space="preserve">Лечението е моксонидин трябва да се започне с най-ниската дозировка. Това означава една дневна доза от 0,2 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eastAsia="bg-BG"/>
        </w:rPr>
        <w:t xml:space="preserve">моксонидин сутрин. Ако терапевтичното действие е недостатъчно, дозата може да се увеличи до 0,4 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, </w:t>
      </w:r>
      <w:r w:rsidRPr="00954D2D">
        <w:rPr>
          <w:rFonts w:eastAsia="Times New Roman" w:cs="Arial"/>
          <w:color w:val="000000"/>
          <w:szCs w:val="44"/>
          <w:lang w:eastAsia="bg-BG"/>
        </w:rPr>
        <w:t xml:space="preserve">след три седмици. Тази доза може да се приема като една единична доза (сутрин) или да се назначи като две единични дози за деня (сутрин и вечер). Ако резултатите от лечението през следващите три седмици все още са незадоволителни, дозировката може да се повиши до максимума от 0,6 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, </w:t>
      </w:r>
      <w:r w:rsidRPr="00954D2D">
        <w:rPr>
          <w:rFonts w:eastAsia="Times New Roman" w:cs="Arial"/>
          <w:color w:val="000000"/>
          <w:szCs w:val="44"/>
          <w:lang w:eastAsia="bg-BG"/>
        </w:rPr>
        <w:t xml:space="preserve">при което тя трябва да се раздели на два приема - сутрин и вечер. Единичната доза от 0,4 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eastAsia="bg-BG"/>
        </w:rPr>
        <w:t xml:space="preserve">моксонидин и дневната доза от 0,6 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eastAsia="bg-BG"/>
        </w:rPr>
        <w:t>моксонидин не трябва да се превишават.</w:t>
      </w:r>
    </w:p>
    <w:p w14:paraId="4B214EF1" w14:textId="77777777" w:rsidR="00954D2D" w:rsidRDefault="00954D2D" w:rsidP="00954D2D">
      <w:pPr>
        <w:spacing w:line="240" w:lineRule="auto"/>
        <w:rPr>
          <w:rFonts w:eastAsia="Times New Roman" w:cs="Arial"/>
          <w:i/>
          <w:iCs/>
          <w:color w:val="000000"/>
          <w:szCs w:val="44"/>
          <w:lang w:eastAsia="bg-BG"/>
        </w:rPr>
      </w:pPr>
    </w:p>
    <w:p w14:paraId="6E3D3C68" w14:textId="1CAA44E2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i/>
          <w:iCs/>
          <w:color w:val="000000"/>
          <w:szCs w:val="44"/>
          <w:lang w:eastAsia="bg-BG"/>
        </w:rPr>
        <w:t>Педиатрична популация</w:t>
      </w:r>
    </w:p>
    <w:p w14:paraId="3E434151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Моксонидин не трябва да се прилага при деца и юноши на възраст до 16 години, тъй като не са налични достатъчно терапевтични данни за тази възрастова група.</w:t>
      </w:r>
    </w:p>
    <w:p w14:paraId="0920266A" w14:textId="77777777" w:rsidR="00954D2D" w:rsidRDefault="00954D2D" w:rsidP="00954D2D">
      <w:pPr>
        <w:spacing w:line="240" w:lineRule="auto"/>
        <w:rPr>
          <w:rFonts w:eastAsia="Times New Roman" w:cs="Arial"/>
          <w:i/>
          <w:iCs/>
          <w:color w:val="000000"/>
          <w:szCs w:val="44"/>
          <w:lang w:eastAsia="bg-BG"/>
        </w:rPr>
      </w:pPr>
    </w:p>
    <w:p w14:paraId="352D8AAE" w14:textId="57DE6045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i/>
          <w:iCs/>
          <w:color w:val="000000"/>
          <w:szCs w:val="44"/>
          <w:lang w:eastAsia="bg-BG"/>
        </w:rPr>
        <w:t>Пациенти е старческа възраст:</w:t>
      </w:r>
    </w:p>
    <w:p w14:paraId="2F2E0F47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lastRenderedPageBreak/>
        <w:t>В случай, че няма нарушение на бъбречната функция, важи дозировката препоръчвана за възрастни.</w:t>
      </w:r>
    </w:p>
    <w:p w14:paraId="39A0E715" w14:textId="77777777" w:rsidR="00954D2D" w:rsidRDefault="00954D2D" w:rsidP="00954D2D">
      <w:pPr>
        <w:spacing w:line="240" w:lineRule="auto"/>
        <w:rPr>
          <w:rFonts w:eastAsia="Times New Roman" w:cs="Arial"/>
          <w:i/>
          <w:iCs/>
          <w:color w:val="000000"/>
          <w:szCs w:val="44"/>
          <w:lang w:eastAsia="bg-BG"/>
        </w:rPr>
      </w:pPr>
    </w:p>
    <w:p w14:paraId="150CD702" w14:textId="12C8BA54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i/>
          <w:iCs/>
          <w:color w:val="000000"/>
          <w:szCs w:val="44"/>
          <w:lang w:eastAsia="bg-BG"/>
        </w:rPr>
        <w:t>Нарушения на бъбречната функция:</w:t>
      </w:r>
    </w:p>
    <w:p w14:paraId="28A134C1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При пациенти сумерено нарушение на бъбречната функция (гломерулна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eastAsia="bg-BG"/>
        </w:rPr>
        <w:t xml:space="preserve">филтрация 30 </w:t>
      </w:r>
      <w:r w:rsidRPr="00954D2D">
        <w:rPr>
          <w:rFonts w:eastAsia="Times New Roman" w:cs="Arial"/>
          <w:color w:val="000000"/>
          <w:szCs w:val="44"/>
          <w:lang w:val="en-US"/>
        </w:rPr>
        <w:t>ml</w:t>
      </w:r>
      <w:r w:rsidRPr="00954D2D">
        <w:rPr>
          <w:rFonts w:eastAsia="Times New Roman" w:cs="Arial"/>
          <w:color w:val="000000"/>
          <w:szCs w:val="44"/>
          <w:lang w:val="ru-RU"/>
        </w:rPr>
        <w:t>/</w:t>
      </w:r>
      <w:r w:rsidRPr="00954D2D">
        <w:rPr>
          <w:rFonts w:eastAsia="Times New Roman" w:cs="Arial"/>
          <w:color w:val="000000"/>
          <w:szCs w:val="44"/>
          <w:lang w:val="en-US"/>
        </w:rPr>
        <w:t>min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, </w:t>
      </w:r>
      <w:r w:rsidRPr="00954D2D">
        <w:rPr>
          <w:rFonts w:eastAsia="Times New Roman" w:cs="Arial"/>
          <w:color w:val="000000"/>
          <w:szCs w:val="44"/>
          <w:lang w:eastAsia="bg-BG"/>
        </w:rPr>
        <w:t xml:space="preserve">но &lt; 60 </w:t>
      </w:r>
      <w:r w:rsidRPr="00954D2D">
        <w:rPr>
          <w:rFonts w:eastAsia="Times New Roman" w:cs="Arial"/>
          <w:color w:val="000000"/>
          <w:szCs w:val="44"/>
          <w:lang w:val="en-US"/>
        </w:rPr>
        <w:t>ml</w:t>
      </w:r>
      <w:r w:rsidRPr="00954D2D">
        <w:rPr>
          <w:rFonts w:eastAsia="Times New Roman" w:cs="Arial"/>
          <w:color w:val="000000"/>
          <w:szCs w:val="44"/>
          <w:lang w:val="ru-RU"/>
        </w:rPr>
        <w:t>/</w:t>
      </w:r>
      <w:r w:rsidRPr="00954D2D">
        <w:rPr>
          <w:rFonts w:eastAsia="Times New Roman" w:cs="Arial"/>
          <w:color w:val="000000"/>
          <w:szCs w:val="44"/>
          <w:lang w:val="en-US"/>
        </w:rPr>
        <w:t>min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) </w:t>
      </w:r>
      <w:r w:rsidRPr="00954D2D">
        <w:rPr>
          <w:rFonts w:eastAsia="Times New Roman" w:cs="Arial"/>
          <w:color w:val="000000"/>
          <w:szCs w:val="44"/>
          <w:lang w:eastAsia="bg-BG"/>
        </w:rPr>
        <w:t>не трябва да се превишава единичната доза от 0,2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eastAsia="bg-BG"/>
        </w:rPr>
        <w:t xml:space="preserve">и дневната доза от 0,4 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eastAsia="bg-BG"/>
        </w:rPr>
        <w:t>моксонидин (вижте точка 4.4).</w:t>
      </w:r>
    </w:p>
    <w:p w14:paraId="4B719F76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При пациенти с тежко нарушение на бъбречната функция (гломерулна филтрация &lt;30</w:t>
      </w:r>
      <w:r w:rsidRPr="00954D2D">
        <w:rPr>
          <w:rFonts w:eastAsia="Times New Roman" w:cs="Arial"/>
          <w:color w:val="000000"/>
          <w:szCs w:val="44"/>
          <w:lang w:val="en-US"/>
        </w:rPr>
        <w:t>ml</w:t>
      </w:r>
      <w:r w:rsidRPr="00954D2D">
        <w:rPr>
          <w:rFonts w:eastAsia="Times New Roman" w:cs="Arial"/>
          <w:color w:val="000000"/>
          <w:szCs w:val="44"/>
          <w:lang w:val="ru-RU"/>
        </w:rPr>
        <w:t>/</w:t>
      </w:r>
      <w:r w:rsidRPr="00954D2D">
        <w:rPr>
          <w:rFonts w:eastAsia="Times New Roman" w:cs="Arial"/>
          <w:color w:val="000000"/>
          <w:szCs w:val="44"/>
          <w:lang w:val="en-US"/>
        </w:rPr>
        <w:t>min</w:t>
      </w:r>
      <w:r w:rsidRPr="00954D2D">
        <w:rPr>
          <w:rFonts w:eastAsia="Times New Roman" w:cs="Arial"/>
          <w:color w:val="000000"/>
          <w:szCs w:val="44"/>
          <w:lang w:eastAsia="bg-BG"/>
        </w:rPr>
        <w:t xml:space="preserve"> не трябва да се превишава единичната доза от 0,2 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eastAsia="bg-BG"/>
        </w:rPr>
        <w:t>и дневната доза от 0,3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val="en-US"/>
        </w:rPr>
        <w:t>mg</w:t>
      </w:r>
      <w:r w:rsidRPr="00954D2D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954D2D">
        <w:rPr>
          <w:rFonts w:eastAsia="Times New Roman" w:cs="Arial"/>
          <w:color w:val="000000"/>
          <w:szCs w:val="44"/>
          <w:lang w:eastAsia="bg-BG"/>
        </w:rPr>
        <w:t>моксонидин (вижте точка 4.4),</w:t>
      </w:r>
    </w:p>
    <w:p w14:paraId="7285D1A6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szCs w:val="44"/>
          <w:u w:val="single"/>
          <w:lang w:eastAsia="bg-BG"/>
        </w:rPr>
      </w:pPr>
    </w:p>
    <w:p w14:paraId="60FF596B" w14:textId="6CCDDDCD" w:rsidR="00954D2D" w:rsidRDefault="00954D2D" w:rsidP="00954D2D">
      <w:pPr>
        <w:spacing w:line="240" w:lineRule="auto"/>
        <w:rPr>
          <w:rFonts w:eastAsia="Times New Roman" w:cs="Arial"/>
          <w:color w:val="000000"/>
          <w:szCs w:val="44"/>
          <w:u w:val="single"/>
          <w:lang w:eastAsia="bg-BG"/>
        </w:rPr>
      </w:pPr>
      <w:r w:rsidRPr="00954D2D">
        <w:rPr>
          <w:rFonts w:eastAsia="Times New Roman" w:cs="Arial"/>
          <w:color w:val="000000"/>
          <w:szCs w:val="44"/>
          <w:u w:val="single"/>
          <w:lang w:eastAsia="bg-BG"/>
        </w:rPr>
        <w:t>Продължителност на лечението:</w:t>
      </w:r>
    </w:p>
    <w:p w14:paraId="492979CC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Лечението не трябва да се прекратява рязко, а постепенно, в продължение на период от две седмици (вижте също точка 4.4).</w:t>
      </w:r>
    </w:p>
    <w:p w14:paraId="393D97FF" w14:textId="77777777" w:rsidR="00954D2D" w:rsidRPr="00954D2D" w:rsidRDefault="00954D2D" w:rsidP="00954D2D">
      <w:pPr>
        <w:spacing w:line="240" w:lineRule="auto"/>
        <w:rPr>
          <w:rFonts w:eastAsia="Times New Roman" w:cs="Arial"/>
          <w:color w:val="000000"/>
          <w:szCs w:val="44"/>
          <w:u w:val="single"/>
          <w:lang w:eastAsia="bg-BG"/>
        </w:rPr>
      </w:pPr>
    </w:p>
    <w:p w14:paraId="5732728E" w14:textId="4CE646F9" w:rsidR="00954D2D" w:rsidRPr="00954D2D" w:rsidRDefault="00954D2D" w:rsidP="00954D2D">
      <w:pPr>
        <w:pStyle w:val="Heading3"/>
        <w:rPr>
          <w:rFonts w:eastAsia="Times New Roman"/>
          <w:sz w:val="12"/>
          <w:u w:val="single"/>
        </w:rPr>
      </w:pPr>
      <w:r w:rsidRPr="00954D2D">
        <w:rPr>
          <w:rFonts w:eastAsia="Times New Roman"/>
          <w:u w:val="single"/>
          <w:lang w:eastAsia="bg-BG"/>
        </w:rPr>
        <w:t>Начин на приложение:</w:t>
      </w:r>
    </w:p>
    <w:p w14:paraId="45619D8F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Тъй като едновременният прием на храна не повлиява фармакокинетиката на моксонидин, то той може да се приема преди, по време или след хранене. Таблетките трябва да се поглъщат с достатъчно количество течност.</w:t>
      </w:r>
    </w:p>
    <w:p w14:paraId="30C3051F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</w:p>
    <w:p w14:paraId="1113D59D" w14:textId="77777777" w:rsidR="00954D2D" w:rsidRPr="00954D2D" w:rsidRDefault="00954D2D" w:rsidP="00954D2D"/>
    <w:p w14:paraId="62B13D0B" w14:textId="1CCF5447" w:rsidR="00395555" w:rsidRDefault="002C50EE" w:rsidP="008A6AF2">
      <w:pPr>
        <w:pStyle w:val="Heading2"/>
      </w:pPr>
      <w:r>
        <w:t>4.3. Противопоказания</w:t>
      </w:r>
    </w:p>
    <w:p w14:paraId="58E0DB44" w14:textId="4548B7BD" w:rsidR="00954D2D" w:rsidRDefault="00954D2D" w:rsidP="00954D2D"/>
    <w:p w14:paraId="124374E3" w14:textId="77777777" w:rsidR="00954D2D" w:rsidRPr="00954D2D" w:rsidRDefault="00954D2D" w:rsidP="00954D2D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54D2D">
        <w:rPr>
          <w:lang w:eastAsia="bg-BG"/>
        </w:rPr>
        <w:t>Свръхчувствителност към активното вещество или към някое от помощните вещества, изброени в точка 6.1;</w:t>
      </w:r>
    </w:p>
    <w:p w14:paraId="40E7D7AC" w14:textId="77777777" w:rsidR="00954D2D" w:rsidRPr="00954D2D" w:rsidRDefault="00954D2D" w:rsidP="00954D2D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54D2D">
        <w:rPr>
          <w:lang w:eastAsia="bg-BG"/>
        </w:rPr>
        <w:t>Синдром на болния синусов възел;</w:t>
      </w:r>
    </w:p>
    <w:p w14:paraId="1949A599" w14:textId="77777777" w:rsidR="00954D2D" w:rsidRPr="00954D2D" w:rsidRDefault="00954D2D" w:rsidP="00954D2D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54D2D">
        <w:rPr>
          <w:lang w:eastAsia="bg-BG"/>
        </w:rPr>
        <w:t>Брадикардия (под 50 удара</w:t>
      </w:r>
      <w:r w:rsidRPr="00954D2D">
        <w:rPr>
          <w:lang w:val="ru-RU"/>
        </w:rPr>
        <w:t>/</w:t>
      </w:r>
      <w:r w:rsidRPr="00954D2D">
        <w:rPr>
          <w:lang w:val="en-US"/>
        </w:rPr>
        <w:t>min</w:t>
      </w:r>
      <w:r w:rsidRPr="00954D2D">
        <w:rPr>
          <w:lang w:val="ru-RU"/>
        </w:rPr>
        <w:t xml:space="preserve"> </w:t>
      </w:r>
      <w:r w:rsidRPr="00954D2D">
        <w:rPr>
          <w:lang w:eastAsia="bg-BG"/>
        </w:rPr>
        <w:t>в покой);</w:t>
      </w:r>
    </w:p>
    <w:p w14:paraId="39629654" w14:textId="77777777" w:rsidR="00954D2D" w:rsidRPr="00954D2D" w:rsidRDefault="00954D2D" w:rsidP="00954D2D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54D2D">
        <w:rPr>
          <w:lang w:eastAsia="bg-BG"/>
        </w:rPr>
        <w:t>Атриовентрикуларен блок II или III степен;</w:t>
      </w:r>
    </w:p>
    <w:p w14:paraId="11BDA70E" w14:textId="5C9A0983" w:rsidR="00954D2D" w:rsidRDefault="00954D2D" w:rsidP="00954D2D">
      <w:pPr>
        <w:pStyle w:val="ListParagraph"/>
        <w:numPr>
          <w:ilvl w:val="0"/>
          <w:numId w:val="32"/>
        </w:numPr>
      </w:pPr>
      <w:r w:rsidRPr="00954D2D">
        <w:rPr>
          <w:lang w:eastAsia="bg-BG"/>
        </w:rPr>
        <w:t>Сърдечна недостатъчност.</w:t>
      </w:r>
    </w:p>
    <w:p w14:paraId="1C6BBD22" w14:textId="77777777" w:rsidR="00954D2D" w:rsidRPr="00954D2D" w:rsidRDefault="00954D2D" w:rsidP="00954D2D"/>
    <w:p w14:paraId="5A4AC413" w14:textId="32F6834F" w:rsidR="00395555" w:rsidRDefault="002C50EE" w:rsidP="008A6AF2">
      <w:pPr>
        <w:pStyle w:val="Heading2"/>
      </w:pPr>
      <w:r>
        <w:t>4.4. Специални предупреждения и предпазни мерки при употреба</w:t>
      </w:r>
    </w:p>
    <w:p w14:paraId="3618484A" w14:textId="69D9E648" w:rsidR="00954D2D" w:rsidRDefault="00954D2D" w:rsidP="00954D2D"/>
    <w:p w14:paraId="7E8EA3ED" w14:textId="58D6A30A" w:rsidR="00954D2D" w:rsidRPr="00954D2D" w:rsidRDefault="00954D2D" w:rsidP="00954D2D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О</w:t>
      </w:r>
      <w:r w:rsidRPr="00954D2D">
        <w:rPr>
          <w:rFonts w:eastAsia="Times New Roman" w:cs="Arial"/>
          <w:color w:val="000000"/>
          <w:lang w:eastAsia="bg-BG"/>
        </w:rPr>
        <w:t xml:space="preserve">т постмаркетинговия опит са докладвани съобщения за случаи на </w:t>
      </w:r>
      <w:r w:rsidRPr="00954D2D">
        <w:rPr>
          <w:rFonts w:eastAsia="Times New Roman" w:cs="Arial"/>
          <w:color w:val="000000"/>
          <w:lang w:val="en-US"/>
        </w:rPr>
        <w:t>AV</w:t>
      </w:r>
      <w:r w:rsidRPr="00954D2D">
        <w:rPr>
          <w:rFonts w:eastAsia="Times New Roman" w:cs="Arial"/>
          <w:color w:val="000000"/>
          <w:lang w:val="ru-RU"/>
        </w:rPr>
        <w:t xml:space="preserve"> </w:t>
      </w:r>
      <w:r w:rsidRPr="00954D2D">
        <w:rPr>
          <w:rFonts w:eastAsia="Times New Roman" w:cs="Arial"/>
          <w:color w:val="000000"/>
          <w:lang w:eastAsia="bg-BG"/>
        </w:rPr>
        <w:t xml:space="preserve">блок в различна степен при пациенти лекувани с моксонидин. Изхождайки от тези съобщения не може да се изключи напълно ролята на моксонидин при забавяне на атриовентрикуларното състояние. Поради това се препоръчва внимание при лечение на пациенти с възможно предразположение за развитие на </w:t>
      </w:r>
      <w:r w:rsidRPr="00954D2D">
        <w:rPr>
          <w:rFonts w:eastAsia="Times New Roman" w:cs="Arial"/>
          <w:color w:val="000000"/>
          <w:lang w:val="en-US"/>
        </w:rPr>
        <w:t>AV</w:t>
      </w:r>
      <w:r w:rsidRPr="00954D2D">
        <w:rPr>
          <w:rFonts w:eastAsia="Times New Roman" w:cs="Arial"/>
          <w:color w:val="000000"/>
          <w:lang w:val="ru-RU"/>
        </w:rPr>
        <w:t xml:space="preserve"> </w:t>
      </w:r>
      <w:r w:rsidRPr="00954D2D">
        <w:rPr>
          <w:rFonts w:eastAsia="Times New Roman" w:cs="Arial"/>
          <w:color w:val="000000"/>
          <w:lang w:eastAsia="bg-BG"/>
        </w:rPr>
        <w:t>блок.</w:t>
      </w:r>
    </w:p>
    <w:p w14:paraId="6622EFB6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133B1DC" w14:textId="3D399C03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Когато моксонидин се прилага при пациенти с атриовентрикуларен блок I степен, трябва да се положат специални грижи и повишено внимание, за да се избегне брадикардия.</w:t>
      </w:r>
    </w:p>
    <w:p w14:paraId="773B1B03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Когато моксонидин се прилага при пациенти с тежка коронарна болест на сърцето или нестабилна ангина пекторис, грябва да се похожда много внимателно,тъй като терапевтичния опит при тази група пациенти е ограничен.</w:t>
      </w:r>
    </w:p>
    <w:p w14:paraId="3CCED531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8836FB" w14:textId="6553040A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 xml:space="preserve">Препоръчва се повишено внимание, когато моксонидин се прилага при пациенти с бъбречни нарушения, тъй като моксонидинът се екскретира главно през бъбреците. При тези пациенти се препоръчва много внимателно титриране на дозата, особено в началото на терапията. Дозирането трябва да започне с 0,2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 xml:space="preserve"> </w:t>
      </w:r>
      <w:r w:rsidRPr="00954D2D">
        <w:rPr>
          <w:rFonts w:eastAsia="Times New Roman" w:cs="Arial"/>
          <w:color w:val="000000"/>
          <w:lang w:eastAsia="bg-BG"/>
        </w:rPr>
        <w:t xml:space="preserve">дневно ида бъде завишено до 0,4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 xml:space="preserve"> </w:t>
      </w:r>
      <w:r w:rsidRPr="00954D2D">
        <w:rPr>
          <w:rFonts w:eastAsia="Times New Roman" w:cs="Arial"/>
          <w:color w:val="000000"/>
          <w:lang w:eastAsia="bg-BG"/>
        </w:rPr>
        <w:t xml:space="preserve">дневно при пациенти с умерено нарушение на бъбречната функция (гломерулна </w:t>
      </w:r>
      <w:r w:rsidRPr="00954D2D">
        <w:rPr>
          <w:rFonts w:eastAsia="Times New Roman" w:cs="Arial"/>
          <w:color w:val="000000"/>
          <w:lang w:eastAsia="bg-BG"/>
        </w:rPr>
        <w:lastRenderedPageBreak/>
        <w:t xml:space="preserve">филтрация &gt;30 </w:t>
      </w:r>
      <w:r w:rsidRPr="00954D2D">
        <w:rPr>
          <w:rFonts w:eastAsia="Times New Roman" w:cs="Arial"/>
          <w:color w:val="000000"/>
          <w:lang w:val="en-US"/>
        </w:rPr>
        <w:t>ml</w:t>
      </w:r>
      <w:r w:rsidRPr="00954D2D">
        <w:rPr>
          <w:rFonts w:eastAsia="Times New Roman" w:cs="Arial"/>
          <w:color w:val="000000"/>
          <w:lang w:val="ru-RU"/>
        </w:rPr>
        <w:t xml:space="preserve">/ </w:t>
      </w:r>
      <w:r w:rsidRPr="00954D2D">
        <w:rPr>
          <w:rFonts w:eastAsia="Times New Roman" w:cs="Arial"/>
          <w:color w:val="000000"/>
          <w:lang w:val="en-US"/>
        </w:rPr>
        <w:t>min</w:t>
      </w:r>
      <w:r w:rsidRPr="00954D2D">
        <w:rPr>
          <w:rFonts w:eastAsia="Times New Roman" w:cs="Arial"/>
          <w:color w:val="000000"/>
          <w:lang w:val="ru-RU"/>
        </w:rPr>
        <w:t xml:space="preserve">, </w:t>
      </w:r>
      <w:r w:rsidRPr="00954D2D">
        <w:rPr>
          <w:rFonts w:eastAsia="Times New Roman" w:cs="Arial"/>
          <w:color w:val="000000"/>
          <w:lang w:eastAsia="bg-BG"/>
        </w:rPr>
        <w:t xml:space="preserve">но &lt; 60 </w:t>
      </w:r>
      <w:r w:rsidRPr="00954D2D">
        <w:rPr>
          <w:rFonts w:eastAsia="Times New Roman" w:cs="Arial"/>
          <w:color w:val="000000"/>
          <w:lang w:val="en-US"/>
        </w:rPr>
        <w:t>ml</w:t>
      </w:r>
      <w:r w:rsidRPr="00954D2D">
        <w:rPr>
          <w:rFonts w:eastAsia="Times New Roman" w:cs="Arial"/>
          <w:color w:val="000000"/>
          <w:lang w:val="ru-RU"/>
        </w:rPr>
        <w:t xml:space="preserve">/ </w:t>
      </w:r>
      <w:r w:rsidRPr="00954D2D">
        <w:rPr>
          <w:rFonts w:eastAsia="Times New Roman" w:cs="Arial"/>
          <w:color w:val="000000"/>
          <w:lang w:val="en-US"/>
        </w:rPr>
        <w:t>min</w:t>
      </w:r>
      <w:r w:rsidRPr="00954D2D">
        <w:rPr>
          <w:rFonts w:eastAsia="Times New Roman" w:cs="Arial"/>
          <w:color w:val="000000"/>
          <w:lang w:val="ru-RU"/>
        </w:rPr>
        <w:t xml:space="preserve">) </w:t>
      </w:r>
      <w:r w:rsidRPr="00954D2D">
        <w:rPr>
          <w:rFonts w:eastAsia="Times New Roman" w:cs="Arial"/>
          <w:color w:val="000000"/>
          <w:lang w:eastAsia="bg-BG"/>
        </w:rPr>
        <w:t xml:space="preserve">и до максимум 0,3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 xml:space="preserve"> </w:t>
      </w:r>
      <w:r w:rsidRPr="00954D2D">
        <w:rPr>
          <w:rFonts w:eastAsia="Times New Roman" w:cs="Arial"/>
          <w:color w:val="000000"/>
          <w:lang w:eastAsia="bg-BG"/>
        </w:rPr>
        <w:t xml:space="preserve">дневно при пациенти с тежко нарушение на бъбречната функция (гломерулна филтрация &lt; 30 </w:t>
      </w:r>
      <w:r w:rsidRPr="00954D2D">
        <w:rPr>
          <w:rFonts w:eastAsia="Times New Roman" w:cs="Arial"/>
          <w:color w:val="000000"/>
          <w:lang w:val="en-US"/>
        </w:rPr>
        <w:t>ml</w:t>
      </w:r>
      <w:r w:rsidRPr="00954D2D">
        <w:rPr>
          <w:rFonts w:eastAsia="Times New Roman" w:cs="Arial"/>
          <w:color w:val="000000"/>
          <w:lang w:val="ru-RU"/>
        </w:rPr>
        <w:t>/</w:t>
      </w:r>
      <w:r w:rsidRPr="00954D2D">
        <w:rPr>
          <w:rFonts w:eastAsia="Times New Roman" w:cs="Arial"/>
          <w:color w:val="000000"/>
          <w:lang w:val="en-US"/>
        </w:rPr>
        <w:t>min</w:t>
      </w:r>
      <w:r w:rsidRPr="00954D2D">
        <w:rPr>
          <w:rFonts w:eastAsia="Times New Roman" w:cs="Arial"/>
          <w:color w:val="000000"/>
          <w:lang w:val="ru-RU"/>
        </w:rPr>
        <w:t xml:space="preserve">), </w:t>
      </w:r>
      <w:r w:rsidRPr="00954D2D">
        <w:rPr>
          <w:rFonts w:eastAsia="Times New Roman" w:cs="Arial"/>
          <w:color w:val="000000"/>
          <w:lang w:eastAsia="bg-BG"/>
        </w:rPr>
        <w:t>ако е клинично показано и има добра поноси мост.</w:t>
      </w:r>
    </w:p>
    <w:p w14:paraId="4A81D09E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B1FC72" w14:textId="65D57F4E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Ако моксонидин се използва в комбинация с бета-блокер и поради някаква причина лечението с двата медикамента трябва да се спре, първо трябва да се преустанови лечението с бета- блокера и след няколкодневен период - лечението е моксонидин. До сега не е наблюдаван рибаунд-ефект върху кръвното налягане след прекратяване на лечение с моксонидин. Въпреки това не е препоръчително рязко спиране на моксонидиновото лечение. Дозата трябва да се намалява постепенно в продължение на период от две седмици.</w:t>
      </w:r>
    </w:p>
    <w:p w14:paraId="682C647D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2E8345" w14:textId="712D0BD8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Популацията пациенти в старческа възраст може да бъде по-чувствителна към кардио- васкуларните ефекти на лекарствата, понижаващи кръвното налягане. Поради това лечението трябва да започва с най-ниската доза и покачването на дозата трябва да става внимателно с оглед да се избегнат сериозните усложнения, кото може да се причинят от тези реакции.</w:t>
      </w:r>
    </w:p>
    <w:p w14:paraId="543378B6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6ED072" w14:textId="0A17F58B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 xml:space="preserve">Пациенти, които страдат от редки вродени проблеми, като галактозна непоносимост. </w:t>
      </w:r>
      <w:r w:rsidRPr="00954D2D">
        <w:rPr>
          <w:rFonts w:eastAsia="Times New Roman" w:cs="Arial"/>
          <w:color w:val="000000"/>
          <w:lang w:val="en-US"/>
        </w:rPr>
        <w:t>Lapp</w:t>
      </w:r>
    </w:p>
    <w:p w14:paraId="67645762" w14:textId="55AAC631" w:rsidR="00954D2D" w:rsidRDefault="00954D2D" w:rsidP="00954D2D">
      <w:pPr>
        <w:rPr>
          <w:rFonts w:eastAsia="Times New Roman" w:cs="Arial"/>
          <w:color w:val="000000"/>
          <w:lang w:eastAsia="bg-BG"/>
        </w:rPr>
      </w:pPr>
      <w:r w:rsidRPr="00954D2D">
        <w:rPr>
          <w:rFonts w:eastAsia="Times New Roman" w:cs="Arial"/>
          <w:color w:val="000000"/>
          <w:lang w:eastAsia="bg-BG"/>
        </w:rPr>
        <w:t>лактазен дефицит, или глюкозо-галактозна малабсобция, не трябва да приемат това лекарство.</w:t>
      </w:r>
    </w:p>
    <w:p w14:paraId="13822B1B" w14:textId="77777777" w:rsidR="00954D2D" w:rsidRPr="00954D2D" w:rsidRDefault="00954D2D" w:rsidP="00954D2D">
      <w:pPr>
        <w:rPr>
          <w:rFonts w:cs="Arial"/>
        </w:rPr>
      </w:pPr>
    </w:p>
    <w:p w14:paraId="1244F76A" w14:textId="03BC7478" w:rsidR="00395555" w:rsidRDefault="002C50EE" w:rsidP="008A6AF2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6FCCC1E9" w14:textId="1D37E8D4" w:rsidR="00954D2D" w:rsidRDefault="00954D2D" w:rsidP="00954D2D"/>
    <w:p w14:paraId="7747ABBF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Едновременната употреба на моксонидин с други антихипертензивни средства има адитивен ефект.</w:t>
      </w:r>
    </w:p>
    <w:p w14:paraId="04EBD720" w14:textId="1394B826" w:rsidR="00954D2D" w:rsidRDefault="00954D2D" w:rsidP="00954D2D"/>
    <w:p w14:paraId="3F550536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Тъй като трицикличните антидепресанти могат да намалят ефективността на централно действащите антихипертензивни лекарствени продукти, не се препоръчва едновременна употреба на трициклични антидепресанти с моксонидин.</w:t>
      </w:r>
    </w:p>
    <w:p w14:paraId="3BB5D111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Моксонидинът може да потенцира ефекта на трицикличните антидепресанти (избягвайте едновременното им предписване), транквилизаторите, алкохола, седативните и сънотворни средства.</w:t>
      </w:r>
    </w:p>
    <w:p w14:paraId="25D9DE14" w14:textId="77777777" w:rsidR="00954D2D" w:rsidRDefault="00954D2D" w:rsidP="00954D2D">
      <w:pPr>
        <w:rPr>
          <w:lang w:eastAsia="bg-BG"/>
        </w:rPr>
      </w:pPr>
    </w:p>
    <w:p w14:paraId="49225AF5" w14:textId="0E99302D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Моксонидинът умерено засилва нарушенията на когнитивните функции при пациенти, които едновременно приемат лоразепам. Седативният ефект на бензодиазепините може да се засили при едновременна употреба на моксонидин.</w:t>
      </w:r>
    </w:p>
    <w:p w14:paraId="4608446B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Моксонидинът се екскретира от организма чрез тубулна секреция. Не могат да бъдат изключени взаимодействия с други лекарствени продукти, които също се излъчват от организма чрез тубулна секреция.</w:t>
      </w:r>
    </w:p>
    <w:p w14:paraId="4635876D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Толазолинът може да намали дозозависимо действието на моксонидин.</w:t>
      </w:r>
    </w:p>
    <w:p w14:paraId="4B6943B9" w14:textId="77777777" w:rsidR="00954D2D" w:rsidRPr="00954D2D" w:rsidRDefault="00954D2D" w:rsidP="00954D2D"/>
    <w:p w14:paraId="6EADE4D6" w14:textId="322973CB" w:rsidR="00395555" w:rsidRDefault="002C50EE" w:rsidP="008A6AF2">
      <w:pPr>
        <w:pStyle w:val="Heading2"/>
      </w:pPr>
      <w:r>
        <w:t>4.6. Фертилитет, бременност и кърмене</w:t>
      </w:r>
    </w:p>
    <w:p w14:paraId="7B4BF401" w14:textId="2BDCD296" w:rsidR="00954D2D" w:rsidRDefault="00954D2D" w:rsidP="00954D2D"/>
    <w:p w14:paraId="653EE78C" w14:textId="77777777" w:rsidR="00954D2D" w:rsidRPr="00954D2D" w:rsidRDefault="00954D2D" w:rsidP="00954D2D">
      <w:pPr>
        <w:pStyle w:val="Heading3"/>
        <w:rPr>
          <w:rFonts w:eastAsia="Times New Roman"/>
          <w:u w:val="single"/>
        </w:rPr>
      </w:pPr>
      <w:r w:rsidRPr="00954D2D">
        <w:rPr>
          <w:rFonts w:eastAsia="Times New Roman"/>
          <w:u w:val="single"/>
          <w:lang w:eastAsia="bg-BG"/>
        </w:rPr>
        <w:t>Бременност</w:t>
      </w:r>
    </w:p>
    <w:p w14:paraId="3945C937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Не са налице достатъчно данни за приложението на моксонидин при бременни жени. В експерименти с животни, при високи дози, е показан ембриотоксичен ефект (виж т. 5.3). </w:t>
      </w:r>
      <w:r w:rsidRPr="00954D2D">
        <w:rPr>
          <w:lang w:eastAsia="bg-BG"/>
        </w:rPr>
        <w:lastRenderedPageBreak/>
        <w:t>Не е известно какъв е потенциалният риск при хора. Не се препоръчва употребата на моксонидин през бременността, освен в случай на безусловна необходимост.</w:t>
      </w:r>
    </w:p>
    <w:p w14:paraId="5411ACB2" w14:textId="77777777" w:rsidR="00954D2D" w:rsidRDefault="00954D2D" w:rsidP="00954D2D">
      <w:pPr>
        <w:rPr>
          <w:lang w:eastAsia="bg-BG"/>
        </w:rPr>
      </w:pPr>
    </w:p>
    <w:p w14:paraId="45451746" w14:textId="79B29BD8" w:rsidR="00954D2D" w:rsidRPr="00954D2D" w:rsidRDefault="00954D2D" w:rsidP="00954D2D">
      <w:pPr>
        <w:pStyle w:val="Heading3"/>
        <w:rPr>
          <w:rFonts w:eastAsia="Times New Roman"/>
          <w:u w:val="single"/>
        </w:rPr>
      </w:pPr>
      <w:r w:rsidRPr="00954D2D">
        <w:rPr>
          <w:rFonts w:eastAsia="Times New Roman"/>
          <w:u w:val="single"/>
          <w:lang w:eastAsia="bg-BG"/>
        </w:rPr>
        <w:t>Кърмене</w:t>
      </w:r>
    </w:p>
    <w:p w14:paraId="069ABF89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Моксонидинът преминава в майчиното мляко и затова не трябва да се приема по време на кърмене. Ако провеждането на терапия с моксонидин е наложително, то кърменето по време на лечението трябва да се спре.</w:t>
      </w:r>
    </w:p>
    <w:p w14:paraId="518780A9" w14:textId="77777777" w:rsidR="00954D2D" w:rsidRPr="00954D2D" w:rsidRDefault="00954D2D" w:rsidP="00954D2D"/>
    <w:p w14:paraId="5766770B" w14:textId="451B12FD" w:rsidR="00395555" w:rsidRDefault="002C50EE" w:rsidP="008A6AF2">
      <w:pPr>
        <w:pStyle w:val="Heading2"/>
      </w:pPr>
      <w:r>
        <w:t>4.7. Ефекти върху способността за шофиране и работа с машини</w:t>
      </w:r>
    </w:p>
    <w:p w14:paraId="3AB44416" w14:textId="30A4C11B" w:rsidR="00954D2D" w:rsidRDefault="00954D2D" w:rsidP="00954D2D"/>
    <w:p w14:paraId="6E5678E6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Няма данни, които сочат, че моксонидин повлиява способността за шофиране и работа с машини. Докладвани са случаи на сомнолентост и световъртеж. Това трябва да се има предвид при извършването на тези дейности.</w:t>
      </w:r>
    </w:p>
    <w:p w14:paraId="3B90FCBB" w14:textId="77777777" w:rsidR="00954D2D" w:rsidRPr="00954D2D" w:rsidRDefault="00954D2D" w:rsidP="00954D2D"/>
    <w:p w14:paraId="4FE16E21" w14:textId="0669007A" w:rsidR="00395555" w:rsidRDefault="002C50EE" w:rsidP="008A6AF2">
      <w:pPr>
        <w:pStyle w:val="Heading2"/>
      </w:pPr>
      <w:r>
        <w:t>4.8. Нежелани лекарствени реакции</w:t>
      </w:r>
    </w:p>
    <w:p w14:paraId="0543F19C" w14:textId="1A98A45F" w:rsidR="00954D2D" w:rsidRDefault="00954D2D" w:rsidP="00954D2D"/>
    <w:p w14:paraId="3968C794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Най-честите докладвани нежелани реакции при приемане на на моксонидин включват сухота в устата, замаяност, астения и сомнолентност.</w:t>
      </w:r>
    </w:p>
    <w:p w14:paraId="03BD5DC6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Тези симптоми често намаляват след първите няколко седмици от започване на лечението.</w:t>
      </w:r>
    </w:p>
    <w:p w14:paraId="12C322B7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Честотата на нежеланите реакции е представена по-долу, подредени по системно-органна класификация (проявени по време на плацебо-контролирани клинични проучвания с п=886 пациенти, приемали моксонидин):</w:t>
      </w:r>
    </w:p>
    <w:p w14:paraId="4F9D7C3C" w14:textId="77777777" w:rsidR="00954D2D" w:rsidRDefault="00954D2D" w:rsidP="00954D2D">
      <w:pPr>
        <w:rPr>
          <w:lang w:eastAsia="bg-BG"/>
        </w:rPr>
      </w:pPr>
    </w:p>
    <w:p w14:paraId="63177948" w14:textId="30C34E3E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Много чести (&gt; </w:t>
      </w:r>
      <w:r w:rsidRPr="00954D2D">
        <w:rPr>
          <w:lang w:val="en-US"/>
        </w:rPr>
        <w:t>I</w:t>
      </w:r>
      <w:r w:rsidRPr="00954D2D">
        <w:rPr>
          <w:lang w:eastAsia="bg-BG"/>
        </w:rPr>
        <w:t>/10)</w:t>
      </w:r>
    </w:p>
    <w:p w14:paraId="16949ED8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Чести (&gt;1/100 до &lt;1/10)</w:t>
      </w:r>
    </w:p>
    <w:p w14:paraId="5E9E7638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Нечести(&gt;1/1 000 до &lt;1/100)</w:t>
      </w:r>
    </w:p>
    <w:p w14:paraId="002A3391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Редки (&gt;1/10 000 до &lt;1/1000)</w:t>
      </w:r>
    </w:p>
    <w:p w14:paraId="6E08E065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Много редки (&lt;1/10 000)</w:t>
      </w:r>
    </w:p>
    <w:p w14:paraId="6CE69AEA" w14:textId="67B3F039" w:rsidR="00954D2D" w:rsidRDefault="00954D2D" w:rsidP="00954D2D">
      <w:pPr>
        <w:rPr>
          <w:lang w:eastAsia="bg-BG"/>
        </w:rPr>
      </w:pPr>
      <w:r w:rsidRPr="00954D2D">
        <w:rPr>
          <w:lang w:eastAsia="bg-BG"/>
        </w:rPr>
        <w:t>С неизвестна честота (от наличните данни не може да бъде направена оценка)</w:t>
      </w:r>
    </w:p>
    <w:p w14:paraId="7D13A028" w14:textId="74F41C7C" w:rsidR="00954D2D" w:rsidRDefault="00954D2D" w:rsidP="00954D2D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1923"/>
        <w:gridCol w:w="2761"/>
        <w:gridCol w:w="2198"/>
      </w:tblGrid>
      <w:tr w:rsidR="00954D2D" w14:paraId="72377F3F" w14:textId="77777777" w:rsidTr="00954D2D">
        <w:tc>
          <w:tcPr>
            <w:tcW w:w="2468" w:type="dxa"/>
          </w:tcPr>
          <w:p w14:paraId="21942A55" w14:textId="3C02470F" w:rsidR="00954D2D" w:rsidRPr="00954D2D" w:rsidRDefault="00954D2D" w:rsidP="00954D2D">
            <w:proofErr w:type="spellStart"/>
            <w:r w:rsidRPr="00954D2D">
              <w:rPr>
                <w:szCs w:val="44"/>
                <w:lang w:val="en-US"/>
              </w:rPr>
              <w:t>MedDRA</w:t>
            </w:r>
            <w:proofErr w:type="spellEnd"/>
            <w:r w:rsidRPr="00954D2D">
              <w:rPr>
                <w:szCs w:val="44"/>
                <w:lang w:val="en-US"/>
              </w:rPr>
              <w:t xml:space="preserve"> </w:t>
            </w:r>
            <w:r w:rsidRPr="00954D2D">
              <w:rPr>
                <w:szCs w:val="44"/>
              </w:rPr>
              <w:t>системно- органна класификация</w:t>
            </w:r>
          </w:p>
        </w:tc>
        <w:tc>
          <w:tcPr>
            <w:tcW w:w="2095" w:type="dxa"/>
          </w:tcPr>
          <w:p w14:paraId="4C28C9F5" w14:textId="3E6CD29B" w:rsidR="00954D2D" w:rsidRPr="00954D2D" w:rsidRDefault="00954D2D" w:rsidP="00954D2D">
            <w:r w:rsidRPr="00954D2D">
              <w:rPr>
                <w:szCs w:val="44"/>
              </w:rPr>
              <w:t>Много чести</w:t>
            </w:r>
          </w:p>
        </w:tc>
        <w:tc>
          <w:tcPr>
            <w:tcW w:w="2761" w:type="dxa"/>
          </w:tcPr>
          <w:p w14:paraId="53D895FE" w14:textId="6FD85B13" w:rsidR="00954D2D" w:rsidRPr="00954D2D" w:rsidRDefault="00954D2D" w:rsidP="00954D2D">
            <w:r w:rsidRPr="00954D2D">
              <w:rPr>
                <w:szCs w:val="44"/>
              </w:rPr>
              <w:t>Чести</w:t>
            </w:r>
          </w:p>
        </w:tc>
        <w:tc>
          <w:tcPr>
            <w:tcW w:w="2252" w:type="dxa"/>
          </w:tcPr>
          <w:p w14:paraId="36FF10E2" w14:textId="5A2ACEC7" w:rsidR="00954D2D" w:rsidRPr="00954D2D" w:rsidRDefault="00954D2D" w:rsidP="00954D2D">
            <w:r w:rsidRPr="00954D2D">
              <w:rPr>
                <w:szCs w:val="44"/>
              </w:rPr>
              <w:t>Нечести</w:t>
            </w:r>
          </w:p>
        </w:tc>
      </w:tr>
      <w:tr w:rsidR="00954D2D" w14:paraId="31AA1A61" w14:textId="77777777" w:rsidTr="00954D2D">
        <w:tc>
          <w:tcPr>
            <w:tcW w:w="2468" w:type="dxa"/>
          </w:tcPr>
          <w:p w14:paraId="56198939" w14:textId="374B9145" w:rsidR="00954D2D" w:rsidRPr="00954D2D" w:rsidRDefault="00954D2D" w:rsidP="00954D2D">
            <w:r w:rsidRPr="00954D2D">
              <w:rPr>
                <w:szCs w:val="44"/>
              </w:rPr>
              <w:t>Нарушения на метаболизма и храненето</w:t>
            </w:r>
          </w:p>
        </w:tc>
        <w:tc>
          <w:tcPr>
            <w:tcW w:w="2095" w:type="dxa"/>
          </w:tcPr>
          <w:p w14:paraId="2CB23AEE" w14:textId="77777777" w:rsidR="00954D2D" w:rsidRPr="00954D2D" w:rsidRDefault="00954D2D" w:rsidP="00954D2D"/>
        </w:tc>
        <w:tc>
          <w:tcPr>
            <w:tcW w:w="2761" w:type="dxa"/>
          </w:tcPr>
          <w:p w14:paraId="4C8B9387" w14:textId="77777777" w:rsidR="00954D2D" w:rsidRPr="00954D2D" w:rsidRDefault="00954D2D" w:rsidP="00954D2D"/>
        </w:tc>
        <w:tc>
          <w:tcPr>
            <w:tcW w:w="2252" w:type="dxa"/>
          </w:tcPr>
          <w:p w14:paraId="6910C9E6" w14:textId="77777777" w:rsidR="00954D2D" w:rsidRPr="00954D2D" w:rsidRDefault="00954D2D" w:rsidP="00954D2D">
            <w:r w:rsidRPr="00954D2D">
              <w:rPr>
                <w:szCs w:val="44"/>
              </w:rPr>
              <w:t>Задържане на течности,</w:t>
            </w:r>
          </w:p>
          <w:p w14:paraId="21A77E6F" w14:textId="441E617C" w:rsidR="00954D2D" w:rsidRPr="00954D2D" w:rsidRDefault="00954D2D" w:rsidP="00954D2D">
            <w:r w:rsidRPr="00954D2D">
              <w:rPr>
                <w:szCs w:val="44"/>
              </w:rPr>
              <w:t>Анорексия</w:t>
            </w:r>
          </w:p>
        </w:tc>
      </w:tr>
      <w:tr w:rsidR="00954D2D" w14:paraId="57042683" w14:textId="77777777" w:rsidTr="00954D2D">
        <w:tc>
          <w:tcPr>
            <w:tcW w:w="2468" w:type="dxa"/>
          </w:tcPr>
          <w:p w14:paraId="65C2BB9A" w14:textId="5C8E9F39" w:rsidR="00954D2D" w:rsidRPr="00954D2D" w:rsidRDefault="00954D2D" w:rsidP="00954D2D">
            <w:r w:rsidRPr="00954D2D">
              <w:rPr>
                <w:szCs w:val="44"/>
              </w:rPr>
              <w:t>Психични нарушения</w:t>
            </w:r>
          </w:p>
        </w:tc>
        <w:tc>
          <w:tcPr>
            <w:tcW w:w="2095" w:type="dxa"/>
          </w:tcPr>
          <w:p w14:paraId="7AA3DDE8" w14:textId="77777777" w:rsidR="00954D2D" w:rsidRPr="00954D2D" w:rsidRDefault="00954D2D" w:rsidP="00954D2D"/>
        </w:tc>
        <w:tc>
          <w:tcPr>
            <w:tcW w:w="2761" w:type="dxa"/>
          </w:tcPr>
          <w:p w14:paraId="7B84FAC0" w14:textId="667F2AFE" w:rsidR="00954D2D" w:rsidRPr="00954D2D" w:rsidRDefault="00954D2D" w:rsidP="00954D2D">
            <w:r w:rsidRPr="00954D2D">
              <w:rPr>
                <w:szCs w:val="44"/>
              </w:rPr>
              <w:t>Нарушения в мисловните процеси, Безсъние</w:t>
            </w:r>
          </w:p>
        </w:tc>
        <w:tc>
          <w:tcPr>
            <w:tcW w:w="2252" w:type="dxa"/>
          </w:tcPr>
          <w:p w14:paraId="37A13195" w14:textId="77777777" w:rsidR="00954D2D" w:rsidRPr="00954D2D" w:rsidRDefault="00954D2D" w:rsidP="00954D2D">
            <w:r w:rsidRPr="00954D2D">
              <w:rPr>
                <w:rFonts w:cs="Arial"/>
                <w:szCs w:val="38"/>
              </w:rPr>
              <w:t>Тревожност, Нервност,</w:t>
            </w:r>
          </w:p>
          <w:p w14:paraId="37948020" w14:textId="3DF7FCC4" w:rsidR="00954D2D" w:rsidRPr="00954D2D" w:rsidRDefault="00954D2D" w:rsidP="00954D2D">
            <w:r w:rsidRPr="00954D2D">
              <w:rPr>
                <w:rFonts w:cs="Arial"/>
                <w:szCs w:val="38"/>
              </w:rPr>
              <w:t>Загуба на либидо</w:t>
            </w:r>
          </w:p>
        </w:tc>
      </w:tr>
      <w:tr w:rsidR="00954D2D" w14:paraId="1B2FB0DE" w14:textId="77777777" w:rsidTr="00954D2D">
        <w:tc>
          <w:tcPr>
            <w:tcW w:w="2468" w:type="dxa"/>
          </w:tcPr>
          <w:p w14:paraId="55465617" w14:textId="6DA8CAA9" w:rsidR="00954D2D" w:rsidRPr="00954D2D" w:rsidRDefault="00954D2D" w:rsidP="00954D2D">
            <w:r w:rsidRPr="00954D2D">
              <w:rPr>
                <w:szCs w:val="44"/>
              </w:rPr>
              <w:t>Нарушения на нервната система</w:t>
            </w:r>
          </w:p>
        </w:tc>
        <w:tc>
          <w:tcPr>
            <w:tcW w:w="2095" w:type="dxa"/>
          </w:tcPr>
          <w:p w14:paraId="06619CC8" w14:textId="77777777" w:rsidR="00954D2D" w:rsidRPr="00954D2D" w:rsidRDefault="00954D2D" w:rsidP="00954D2D"/>
        </w:tc>
        <w:tc>
          <w:tcPr>
            <w:tcW w:w="2761" w:type="dxa"/>
          </w:tcPr>
          <w:p w14:paraId="7F739EF7" w14:textId="77777777" w:rsidR="00954D2D" w:rsidRPr="00954D2D" w:rsidRDefault="00954D2D" w:rsidP="00954D2D">
            <w:r w:rsidRPr="00954D2D">
              <w:rPr>
                <w:szCs w:val="44"/>
              </w:rPr>
              <w:t>Главоболие,</w:t>
            </w:r>
          </w:p>
          <w:p w14:paraId="11A66763" w14:textId="77777777" w:rsidR="00954D2D" w:rsidRPr="00954D2D" w:rsidRDefault="00954D2D" w:rsidP="00954D2D">
            <w:r w:rsidRPr="00954D2D">
              <w:rPr>
                <w:szCs w:val="44"/>
              </w:rPr>
              <w:t>Замаяност/световъртеж,</w:t>
            </w:r>
          </w:p>
          <w:p w14:paraId="69C851C3" w14:textId="37D90BF8" w:rsidR="00954D2D" w:rsidRPr="00954D2D" w:rsidRDefault="00954D2D" w:rsidP="00954D2D">
            <w:r w:rsidRPr="00954D2D">
              <w:rPr>
                <w:szCs w:val="44"/>
                <w:lang w:val="en-US"/>
              </w:rPr>
              <w:t>Co</w:t>
            </w:r>
            <w:r w:rsidRPr="00954D2D">
              <w:rPr>
                <w:szCs w:val="44"/>
              </w:rPr>
              <w:t>мнолентност</w:t>
            </w:r>
          </w:p>
        </w:tc>
        <w:tc>
          <w:tcPr>
            <w:tcW w:w="2252" w:type="dxa"/>
          </w:tcPr>
          <w:p w14:paraId="1CACFC1E" w14:textId="77777777" w:rsidR="00954D2D" w:rsidRPr="00954D2D" w:rsidRDefault="00954D2D" w:rsidP="00954D2D">
            <w:r w:rsidRPr="00954D2D">
              <w:rPr>
                <w:rFonts w:cs="Arial"/>
                <w:szCs w:val="38"/>
              </w:rPr>
              <w:t>Седиране, синкоп*</w:t>
            </w:r>
          </w:p>
          <w:p w14:paraId="44F58D04" w14:textId="3350C844" w:rsidR="00954D2D" w:rsidRPr="00954D2D" w:rsidRDefault="00954D2D" w:rsidP="00954D2D">
            <w:r w:rsidRPr="00954D2D">
              <w:rPr>
                <w:rFonts w:cs="Arial"/>
                <w:szCs w:val="38"/>
              </w:rPr>
              <w:t xml:space="preserve">Парестезии по </w:t>
            </w:r>
            <w:r w:rsidRPr="00954D2D">
              <w:rPr>
                <w:szCs w:val="44"/>
              </w:rPr>
              <w:t>крайниците</w:t>
            </w:r>
          </w:p>
        </w:tc>
      </w:tr>
      <w:tr w:rsidR="00954D2D" w14:paraId="715D7BBA" w14:textId="77777777" w:rsidTr="00954D2D">
        <w:tc>
          <w:tcPr>
            <w:tcW w:w="2468" w:type="dxa"/>
          </w:tcPr>
          <w:p w14:paraId="0FA0E308" w14:textId="2B807A23" w:rsidR="00954D2D" w:rsidRPr="00954D2D" w:rsidRDefault="00954D2D" w:rsidP="00954D2D">
            <w:r w:rsidRPr="00954D2D">
              <w:rPr>
                <w:szCs w:val="44"/>
              </w:rPr>
              <w:t>Нарушения на очите</w:t>
            </w:r>
          </w:p>
        </w:tc>
        <w:tc>
          <w:tcPr>
            <w:tcW w:w="2095" w:type="dxa"/>
          </w:tcPr>
          <w:p w14:paraId="2A326E18" w14:textId="77777777" w:rsidR="00954D2D" w:rsidRPr="00954D2D" w:rsidRDefault="00954D2D" w:rsidP="00954D2D"/>
        </w:tc>
        <w:tc>
          <w:tcPr>
            <w:tcW w:w="2761" w:type="dxa"/>
          </w:tcPr>
          <w:p w14:paraId="6BB64D6E" w14:textId="77777777" w:rsidR="00954D2D" w:rsidRPr="00954D2D" w:rsidRDefault="00954D2D" w:rsidP="00954D2D"/>
        </w:tc>
        <w:tc>
          <w:tcPr>
            <w:tcW w:w="2252" w:type="dxa"/>
          </w:tcPr>
          <w:p w14:paraId="4BC57670" w14:textId="7ADA6202" w:rsidR="00954D2D" w:rsidRPr="00954D2D" w:rsidRDefault="00954D2D" w:rsidP="00954D2D">
            <w:r w:rsidRPr="00954D2D">
              <w:rPr>
                <w:szCs w:val="44"/>
              </w:rPr>
              <w:t>Чувство за сърбеж или парене в окото</w:t>
            </w:r>
          </w:p>
        </w:tc>
      </w:tr>
      <w:tr w:rsidR="00954D2D" w14:paraId="0B18FC62" w14:textId="77777777" w:rsidTr="00954D2D">
        <w:tc>
          <w:tcPr>
            <w:tcW w:w="2468" w:type="dxa"/>
          </w:tcPr>
          <w:p w14:paraId="2A6094FE" w14:textId="26EEEA01" w:rsidR="00954D2D" w:rsidRPr="00954D2D" w:rsidRDefault="00954D2D" w:rsidP="00954D2D">
            <w:r w:rsidRPr="00954D2D">
              <w:rPr>
                <w:szCs w:val="44"/>
              </w:rPr>
              <w:lastRenderedPageBreak/>
              <w:t>Нарушения на ухото и лабиринта</w:t>
            </w:r>
          </w:p>
        </w:tc>
        <w:tc>
          <w:tcPr>
            <w:tcW w:w="2095" w:type="dxa"/>
          </w:tcPr>
          <w:p w14:paraId="5640A904" w14:textId="77777777" w:rsidR="00954D2D" w:rsidRPr="00954D2D" w:rsidRDefault="00954D2D" w:rsidP="00954D2D"/>
        </w:tc>
        <w:tc>
          <w:tcPr>
            <w:tcW w:w="2761" w:type="dxa"/>
          </w:tcPr>
          <w:p w14:paraId="09A0E901" w14:textId="77777777" w:rsidR="00954D2D" w:rsidRPr="00954D2D" w:rsidRDefault="00954D2D" w:rsidP="00954D2D"/>
        </w:tc>
        <w:tc>
          <w:tcPr>
            <w:tcW w:w="2252" w:type="dxa"/>
          </w:tcPr>
          <w:p w14:paraId="7D178A13" w14:textId="3693E4D5" w:rsidR="00954D2D" w:rsidRPr="00954D2D" w:rsidRDefault="00954D2D" w:rsidP="00954D2D">
            <w:r w:rsidRPr="00954D2D">
              <w:rPr>
                <w:szCs w:val="44"/>
              </w:rPr>
              <w:t>Тинитус</w:t>
            </w:r>
          </w:p>
        </w:tc>
      </w:tr>
      <w:tr w:rsidR="00954D2D" w14:paraId="5208B269" w14:textId="77777777" w:rsidTr="00954D2D">
        <w:tc>
          <w:tcPr>
            <w:tcW w:w="2468" w:type="dxa"/>
          </w:tcPr>
          <w:p w14:paraId="5896EA48" w14:textId="62BE8942" w:rsidR="00954D2D" w:rsidRPr="00954D2D" w:rsidRDefault="00954D2D" w:rsidP="00954D2D">
            <w:r w:rsidRPr="00954D2D">
              <w:rPr>
                <w:szCs w:val="44"/>
              </w:rPr>
              <w:t>Сърдечни нарушения</w:t>
            </w:r>
          </w:p>
        </w:tc>
        <w:tc>
          <w:tcPr>
            <w:tcW w:w="2095" w:type="dxa"/>
          </w:tcPr>
          <w:p w14:paraId="30A6AC37" w14:textId="77777777" w:rsidR="00954D2D" w:rsidRPr="00954D2D" w:rsidRDefault="00954D2D" w:rsidP="00954D2D"/>
        </w:tc>
        <w:tc>
          <w:tcPr>
            <w:tcW w:w="2761" w:type="dxa"/>
          </w:tcPr>
          <w:p w14:paraId="05298E94" w14:textId="77777777" w:rsidR="00954D2D" w:rsidRPr="00954D2D" w:rsidRDefault="00954D2D" w:rsidP="00954D2D"/>
        </w:tc>
        <w:tc>
          <w:tcPr>
            <w:tcW w:w="2252" w:type="dxa"/>
          </w:tcPr>
          <w:p w14:paraId="264F7A04" w14:textId="42A48690" w:rsidR="00954D2D" w:rsidRPr="00954D2D" w:rsidRDefault="00954D2D" w:rsidP="00954D2D">
            <w:r w:rsidRPr="00954D2D">
              <w:rPr>
                <w:szCs w:val="44"/>
              </w:rPr>
              <w:t>Брадикардия</w:t>
            </w:r>
          </w:p>
        </w:tc>
      </w:tr>
      <w:tr w:rsidR="00954D2D" w14:paraId="1FADD304" w14:textId="77777777" w:rsidTr="00954D2D">
        <w:tc>
          <w:tcPr>
            <w:tcW w:w="2468" w:type="dxa"/>
          </w:tcPr>
          <w:p w14:paraId="32B14082" w14:textId="3CCB1722" w:rsidR="00954D2D" w:rsidRPr="00954D2D" w:rsidRDefault="00954D2D" w:rsidP="00954D2D">
            <w:r w:rsidRPr="00954D2D">
              <w:rPr>
                <w:szCs w:val="44"/>
              </w:rPr>
              <w:t>Съдови нарушения</w:t>
            </w:r>
          </w:p>
        </w:tc>
        <w:tc>
          <w:tcPr>
            <w:tcW w:w="2095" w:type="dxa"/>
          </w:tcPr>
          <w:p w14:paraId="55049750" w14:textId="77777777" w:rsidR="00954D2D" w:rsidRPr="00954D2D" w:rsidRDefault="00954D2D" w:rsidP="00954D2D"/>
        </w:tc>
        <w:tc>
          <w:tcPr>
            <w:tcW w:w="2761" w:type="dxa"/>
          </w:tcPr>
          <w:p w14:paraId="2C2DBAF8" w14:textId="56433E81" w:rsidR="00954D2D" w:rsidRPr="00954D2D" w:rsidRDefault="00954D2D" w:rsidP="00954D2D">
            <w:r w:rsidRPr="00954D2D">
              <w:rPr>
                <w:szCs w:val="44"/>
              </w:rPr>
              <w:t>Вазодилатация</w:t>
            </w:r>
          </w:p>
        </w:tc>
        <w:tc>
          <w:tcPr>
            <w:tcW w:w="2252" w:type="dxa"/>
          </w:tcPr>
          <w:p w14:paraId="716A8CF0" w14:textId="6CC1BBD1" w:rsidR="00954D2D" w:rsidRPr="00954D2D" w:rsidRDefault="00954D2D" w:rsidP="00954D2D">
            <w:r w:rsidRPr="00954D2D">
              <w:rPr>
                <w:szCs w:val="44"/>
              </w:rPr>
              <w:t>Хипотония* (включително ортостатична хипотония),, Нарушения на периферната циркулация</w:t>
            </w:r>
          </w:p>
        </w:tc>
      </w:tr>
      <w:tr w:rsidR="00954D2D" w14:paraId="0DC078CB" w14:textId="77777777" w:rsidTr="00954D2D">
        <w:tc>
          <w:tcPr>
            <w:tcW w:w="2468" w:type="dxa"/>
          </w:tcPr>
          <w:p w14:paraId="6A8515CB" w14:textId="5F4F42C6" w:rsidR="00954D2D" w:rsidRPr="00954D2D" w:rsidRDefault="00954D2D" w:rsidP="00954D2D">
            <w:r w:rsidRPr="00954D2D">
              <w:rPr>
                <w:szCs w:val="44"/>
              </w:rPr>
              <w:t>Стомашно-чревни нарушения</w:t>
            </w:r>
          </w:p>
        </w:tc>
        <w:tc>
          <w:tcPr>
            <w:tcW w:w="2095" w:type="dxa"/>
          </w:tcPr>
          <w:p w14:paraId="0EA208AE" w14:textId="7EC19DE3" w:rsidR="00954D2D" w:rsidRPr="00954D2D" w:rsidRDefault="00954D2D" w:rsidP="00954D2D">
            <w:r w:rsidRPr="00954D2D">
              <w:rPr>
                <w:szCs w:val="44"/>
              </w:rPr>
              <w:t>Сухота в устата</w:t>
            </w:r>
          </w:p>
        </w:tc>
        <w:tc>
          <w:tcPr>
            <w:tcW w:w="2761" w:type="dxa"/>
          </w:tcPr>
          <w:p w14:paraId="64D3063F" w14:textId="77777777" w:rsidR="00954D2D" w:rsidRPr="00954D2D" w:rsidRDefault="00954D2D" w:rsidP="00954D2D">
            <w:r w:rsidRPr="00954D2D">
              <w:rPr>
                <w:szCs w:val="44"/>
              </w:rPr>
              <w:t>Диария,</w:t>
            </w:r>
          </w:p>
          <w:p w14:paraId="7933BF51" w14:textId="0EA39799" w:rsidR="00954D2D" w:rsidRPr="00954D2D" w:rsidRDefault="00954D2D" w:rsidP="00954D2D">
            <w:r w:rsidRPr="00954D2D">
              <w:rPr>
                <w:szCs w:val="44"/>
              </w:rPr>
              <w:t>Гадене/Повръщане, Диспепсия*, Запек и други стомашно-чревни нарушения</w:t>
            </w:r>
          </w:p>
        </w:tc>
        <w:tc>
          <w:tcPr>
            <w:tcW w:w="2252" w:type="dxa"/>
          </w:tcPr>
          <w:p w14:paraId="513F8AE6" w14:textId="34FB93F6" w:rsidR="00954D2D" w:rsidRPr="00954D2D" w:rsidRDefault="00954D2D" w:rsidP="00954D2D">
            <w:r w:rsidRPr="00954D2D">
              <w:rPr>
                <w:szCs w:val="44"/>
              </w:rPr>
              <w:t>Болка в паротироидните жлези</w:t>
            </w:r>
          </w:p>
        </w:tc>
      </w:tr>
      <w:tr w:rsidR="00954D2D" w14:paraId="5DADC6C5" w14:textId="77777777" w:rsidTr="00954D2D">
        <w:tc>
          <w:tcPr>
            <w:tcW w:w="2468" w:type="dxa"/>
          </w:tcPr>
          <w:p w14:paraId="2BE6B20E" w14:textId="4E4FAE95" w:rsidR="00954D2D" w:rsidRPr="00954D2D" w:rsidRDefault="00954D2D" w:rsidP="00954D2D">
            <w:r w:rsidRPr="00954D2D">
              <w:rPr>
                <w:szCs w:val="44"/>
              </w:rPr>
              <w:t>Нарушения на кожата и подкожната тъкан</w:t>
            </w:r>
          </w:p>
        </w:tc>
        <w:tc>
          <w:tcPr>
            <w:tcW w:w="2095" w:type="dxa"/>
          </w:tcPr>
          <w:p w14:paraId="4C49804D" w14:textId="77777777" w:rsidR="00954D2D" w:rsidRPr="00954D2D" w:rsidRDefault="00954D2D" w:rsidP="00954D2D"/>
        </w:tc>
        <w:tc>
          <w:tcPr>
            <w:tcW w:w="2761" w:type="dxa"/>
          </w:tcPr>
          <w:p w14:paraId="3ACBF32C" w14:textId="61E96BFC" w:rsidR="00954D2D" w:rsidRPr="00954D2D" w:rsidRDefault="00954D2D" w:rsidP="00954D2D">
            <w:r w:rsidRPr="00954D2D">
              <w:rPr>
                <w:szCs w:val="44"/>
              </w:rPr>
              <w:t>Алергични реакции, включващи Обрив/пруритус</w:t>
            </w:r>
          </w:p>
        </w:tc>
        <w:tc>
          <w:tcPr>
            <w:tcW w:w="2252" w:type="dxa"/>
          </w:tcPr>
          <w:p w14:paraId="3D3CB9B9" w14:textId="52E09064" w:rsidR="00954D2D" w:rsidRPr="00954D2D" w:rsidRDefault="00954D2D" w:rsidP="00954D2D">
            <w:r w:rsidRPr="00954D2D">
              <w:rPr>
                <w:szCs w:val="44"/>
              </w:rPr>
              <w:t>Ангиоедем</w:t>
            </w:r>
          </w:p>
        </w:tc>
      </w:tr>
      <w:tr w:rsidR="00954D2D" w14:paraId="6B8486B4" w14:textId="77777777" w:rsidTr="00954D2D">
        <w:tc>
          <w:tcPr>
            <w:tcW w:w="2468" w:type="dxa"/>
          </w:tcPr>
          <w:p w14:paraId="6EAF683A" w14:textId="0C10311C" w:rsidR="00954D2D" w:rsidRPr="00954D2D" w:rsidRDefault="00954D2D" w:rsidP="00954D2D">
            <w:r w:rsidRPr="00954D2D">
              <w:rPr>
                <w:szCs w:val="44"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2095" w:type="dxa"/>
          </w:tcPr>
          <w:p w14:paraId="5A3E7227" w14:textId="77777777" w:rsidR="00954D2D" w:rsidRPr="00954D2D" w:rsidRDefault="00954D2D" w:rsidP="00954D2D"/>
        </w:tc>
        <w:tc>
          <w:tcPr>
            <w:tcW w:w="2761" w:type="dxa"/>
          </w:tcPr>
          <w:p w14:paraId="28AE3064" w14:textId="6438BE69" w:rsidR="00954D2D" w:rsidRPr="00954D2D" w:rsidRDefault="00954D2D" w:rsidP="00954D2D">
            <w:r w:rsidRPr="00954D2D">
              <w:rPr>
                <w:szCs w:val="44"/>
              </w:rPr>
              <w:t>Болка в гърба</w:t>
            </w:r>
          </w:p>
        </w:tc>
        <w:tc>
          <w:tcPr>
            <w:tcW w:w="2252" w:type="dxa"/>
          </w:tcPr>
          <w:p w14:paraId="3D832739" w14:textId="6FEDA7AB" w:rsidR="00954D2D" w:rsidRPr="00954D2D" w:rsidRDefault="00954D2D" w:rsidP="00954D2D">
            <w:r w:rsidRPr="00954D2D">
              <w:rPr>
                <w:szCs w:val="44"/>
              </w:rPr>
              <w:t>Болка в шията, Слабост в краката</w:t>
            </w:r>
          </w:p>
        </w:tc>
      </w:tr>
      <w:tr w:rsidR="00954D2D" w14:paraId="7E84D2A7" w14:textId="77777777" w:rsidTr="00954D2D">
        <w:tc>
          <w:tcPr>
            <w:tcW w:w="2468" w:type="dxa"/>
          </w:tcPr>
          <w:p w14:paraId="56308ECA" w14:textId="0B46500C" w:rsidR="00954D2D" w:rsidRPr="00954D2D" w:rsidRDefault="00954D2D" w:rsidP="00954D2D">
            <w:r w:rsidRPr="00954D2D">
              <w:rPr>
                <w:szCs w:val="44"/>
              </w:rPr>
              <w:t>Нарушения на възпроизводителната система и гърдата</w:t>
            </w:r>
          </w:p>
        </w:tc>
        <w:tc>
          <w:tcPr>
            <w:tcW w:w="2095" w:type="dxa"/>
          </w:tcPr>
          <w:p w14:paraId="1FE2CEB3" w14:textId="77777777" w:rsidR="00954D2D" w:rsidRPr="00954D2D" w:rsidRDefault="00954D2D" w:rsidP="00954D2D"/>
        </w:tc>
        <w:tc>
          <w:tcPr>
            <w:tcW w:w="2761" w:type="dxa"/>
          </w:tcPr>
          <w:p w14:paraId="5B207168" w14:textId="77777777" w:rsidR="00954D2D" w:rsidRPr="00954D2D" w:rsidRDefault="00954D2D" w:rsidP="00954D2D"/>
        </w:tc>
        <w:tc>
          <w:tcPr>
            <w:tcW w:w="2252" w:type="dxa"/>
          </w:tcPr>
          <w:p w14:paraId="06AB8E75" w14:textId="237998D4" w:rsidR="00954D2D" w:rsidRPr="00954D2D" w:rsidRDefault="00954D2D" w:rsidP="00954D2D">
            <w:r w:rsidRPr="00954D2D">
              <w:rPr>
                <w:szCs w:val="44"/>
              </w:rPr>
              <w:t>Гинекомастия, Импотентност</w:t>
            </w:r>
          </w:p>
        </w:tc>
      </w:tr>
      <w:tr w:rsidR="00954D2D" w14:paraId="0B0558BD" w14:textId="77777777" w:rsidTr="00954D2D">
        <w:tc>
          <w:tcPr>
            <w:tcW w:w="2468" w:type="dxa"/>
          </w:tcPr>
          <w:p w14:paraId="48923AB1" w14:textId="0AE8C6E6" w:rsidR="00954D2D" w:rsidRPr="00954D2D" w:rsidRDefault="00954D2D" w:rsidP="00954D2D">
            <w:r w:rsidRPr="00954D2D">
              <w:rPr>
                <w:szCs w:val="44"/>
              </w:rPr>
              <w:t>Общи нарушения и ефекти на мястото на приложение</w:t>
            </w:r>
          </w:p>
        </w:tc>
        <w:tc>
          <w:tcPr>
            <w:tcW w:w="2095" w:type="dxa"/>
          </w:tcPr>
          <w:p w14:paraId="2CE2730A" w14:textId="77777777" w:rsidR="00954D2D" w:rsidRPr="00954D2D" w:rsidRDefault="00954D2D" w:rsidP="00954D2D"/>
        </w:tc>
        <w:tc>
          <w:tcPr>
            <w:tcW w:w="2761" w:type="dxa"/>
          </w:tcPr>
          <w:p w14:paraId="06641F34" w14:textId="1F231CC7" w:rsidR="00954D2D" w:rsidRPr="00954D2D" w:rsidRDefault="00954D2D" w:rsidP="00954D2D">
            <w:r w:rsidRPr="00954D2D">
              <w:rPr>
                <w:szCs w:val="44"/>
              </w:rPr>
              <w:t>Астения</w:t>
            </w:r>
          </w:p>
        </w:tc>
        <w:tc>
          <w:tcPr>
            <w:tcW w:w="2252" w:type="dxa"/>
          </w:tcPr>
          <w:p w14:paraId="4A0DB5D4" w14:textId="2113D31D" w:rsidR="00954D2D" w:rsidRPr="00954D2D" w:rsidRDefault="00954D2D" w:rsidP="00954D2D">
            <w:r w:rsidRPr="00954D2D">
              <w:rPr>
                <w:szCs w:val="44"/>
              </w:rPr>
              <w:t>Отоци</w:t>
            </w:r>
          </w:p>
        </w:tc>
      </w:tr>
    </w:tbl>
    <w:p w14:paraId="028E9679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val="ru-RU"/>
        </w:rPr>
        <w:t xml:space="preserve">* </w:t>
      </w:r>
      <w:r w:rsidRPr="00954D2D">
        <w:rPr>
          <w:rFonts w:eastAsia="Times New Roman" w:cs="Arial"/>
          <w:color w:val="000000"/>
          <w:szCs w:val="44"/>
          <w:lang w:eastAsia="bg-BG"/>
        </w:rPr>
        <w:t>няма увеличение на честотата на проявление в сравнение с плацебо.</w:t>
      </w:r>
    </w:p>
    <w:p w14:paraId="3B08C2ED" w14:textId="77777777" w:rsidR="00954D2D" w:rsidRPr="00954D2D" w:rsidRDefault="00954D2D" w:rsidP="00954D2D">
      <w:pPr>
        <w:spacing w:line="240" w:lineRule="auto"/>
        <w:rPr>
          <w:rFonts w:eastAsia="Times New Roman" w:cs="Arial"/>
          <w:b/>
          <w:bCs/>
          <w:color w:val="000000"/>
          <w:szCs w:val="44"/>
          <w:u w:val="single"/>
          <w:lang w:eastAsia="bg-BG"/>
        </w:rPr>
      </w:pPr>
      <w:bookmarkStart w:id="1" w:name="bookmark0"/>
    </w:p>
    <w:p w14:paraId="332F4FB0" w14:textId="2BAD865F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b/>
          <w:bCs/>
          <w:color w:val="000000"/>
          <w:szCs w:val="44"/>
          <w:u w:val="single"/>
          <w:lang w:eastAsia="bg-BG"/>
        </w:rPr>
        <w:t>Съобщаване на подозирани нежелани реакции</w:t>
      </w:r>
      <w:bookmarkEnd w:id="1"/>
    </w:p>
    <w:p w14:paraId="3910E177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3A994D9E" w14:textId="77777777" w:rsidR="00954D2D" w:rsidRPr="00954D2D" w:rsidRDefault="00954D2D" w:rsidP="00954D2D">
      <w:pPr>
        <w:spacing w:line="240" w:lineRule="auto"/>
        <w:rPr>
          <w:rFonts w:eastAsia="Times New Roman" w:cs="Arial"/>
          <w:b/>
          <w:bCs/>
          <w:color w:val="000000"/>
          <w:szCs w:val="44"/>
          <w:lang w:eastAsia="bg-BG"/>
        </w:rPr>
      </w:pPr>
      <w:bookmarkStart w:id="2" w:name="bookmark2"/>
    </w:p>
    <w:p w14:paraId="57A66A7F" w14:textId="5A2AE4D3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b/>
          <w:bCs/>
          <w:color w:val="000000"/>
          <w:szCs w:val="44"/>
          <w:lang w:eastAsia="bg-BG"/>
        </w:rPr>
        <w:t>България</w:t>
      </w:r>
      <w:bookmarkEnd w:id="2"/>
    </w:p>
    <w:p w14:paraId="265062EE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Изпълнителна агенция по лекарствата</w:t>
      </w:r>
    </w:p>
    <w:p w14:paraId="74F0014D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ул. „Дамян Груев” № 8</w:t>
      </w:r>
    </w:p>
    <w:p w14:paraId="366ED3B2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1303 София</w:t>
      </w:r>
    </w:p>
    <w:p w14:paraId="54BC1CB8" w14:textId="77777777" w:rsidR="00954D2D" w:rsidRPr="00954D2D" w:rsidRDefault="00954D2D" w:rsidP="00954D2D">
      <w:pPr>
        <w:spacing w:line="240" w:lineRule="auto"/>
        <w:rPr>
          <w:rFonts w:eastAsia="Times New Roman" w:cs="Arial"/>
          <w:sz w:val="12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>Тел.:+35 928903417</w:t>
      </w:r>
    </w:p>
    <w:p w14:paraId="4FA69C81" w14:textId="77777777" w:rsidR="00954D2D" w:rsidRPr="00954D2D" w:rsidRDefault="00954D2D" w:rsidP="00954D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D2D">
        <w:rPr>
          <w:rFonts w:eastAsia="Times New Roman" w:cs="Arial"/>
          <w:color w:val="000000"/>
          <w:szCs w:val="44"/>
          <w:lang w:eastAsia="bg-BG"/>
        </w:rPr>
        <w:t xml:space="preserve">уебсайт: </w:t>
      </w:r>
      <w:r w:rsidRPr="00954D2D">
        <w:fldChar w:fldCharType="begin"/>
      </w:r>
      <w:r w:rsidRPr="00954D2D">
        <w:instrText xml:space="preserve"> HYPERLINK "http://www.bda.bg" </w:instrText>
      </w:r>
      <w:r w:rsidRPr="00954D2D">
        <w:fldChar w:fldCharType="separate"/>
      </w:r>
      <w:r w:rsidRPr="00954D2D">
        <w:rPr>
          <w:lang w:val="en-US"/>
        </w:rPr>
        <w:t>www</w:t>
      </w:r>
      <w:r w:rsidRPr="00954D2D">
        <w:rPr>
          <w:lang w:val="ru-RU"/>
        </w:rPr>
        <w:t>.</w:t>
      </w:r>
      <w:proofErr w:type="spellStart"/>
      <w:r w:rsidRPr="00954D2D">
        <w:rPr>
          <w:lang w:val="en-US"/>
        </w:rPr>
        <w:t>bda</w:t>
      </w:r>
      <w:proofErr w:type="spellEnd"/>
      <w:r w:rsidRPr="00954D2D">
        <w:rPr>
          <w:lang w:val="ru-RU"/>
        </w:rPr>
        <w:t>.</w:t>
      </w:r>
      <w:proofErr w:type="spellStart"/>
      <w:r w:rsidRPr="00954D2D">
        <w:rPr>
          <w:lang w:val="en-US"/>
        </w:rPr>
        <w:t>bg</w:t>
      </w:r>
      <w:proofErr w:type="spellEnd"/>
      <w:r w:rsidRPr="00954D2D">
        <w:fldChar w:fldCharType="end"/>
      </w:r>
    </w:p>
    <w:p w14:paraId="53F5A7EC" w14:textId="77777777" w:rsidR="00954D2D" w:rsidRPr="00954D2D" w:rsidRDefault="00954D2D" w:rsidP="00954D2D"/>
    <w:p w14:paraId="4ED30546" w14:textId="576F945C" w:rsidR="007C605B" w:rsidRDefault="002C50EE" w:rsidP="009F1313">
      <w:pPr>
        <w:pStyle w:val="Heading2"/>
      </w:pPr>
      <w:r>
        <w:t>4.9. Предозиране</w:t>
      </w:r>
    </w:p>
    <w:p w14:paraId="6E9B7293" w14:textId="5C87537B" w:rsidR="00954D2D" w:rsidRDefault="00954D2D" w:rsidP="00954D2D"/>
    <w:p w14:paraId="366011AC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i/>
          <w:iCs/>
          <w:color w:val="000000"/>
          <w:lang w:eastAsia="bg-BG"/>
        </w:rPr>
        <w:t>Сиптоми при предозиране</w:t>
      </w:r>
    </w:p>
    <w:p w14:paraId="1E92BC04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lastRenderedPageBreak/>
        <w:t xml:space="preserve">В малкото на брой докладвани случаи на предозиране, доза от 19,6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 xml:space="preserve"> </w:t>
      </w:r>
      <w:r w:rsidRPr="00954D2D">
        <w:rPr>
          <w:rFonts w:eastAsia="Times New Roman" w:cs="Arial"/>
          <w:color w:val="000000"/>
          <w:lang w:val="en-US"/>
        </w:rPr>
        <w:t>e</w:t>
      </w:r>
      <w:r w:rsidRPr="00954D2D">
        <w:rPr>
          <w:rFonts w:eastAsia="Times New Roman" w:cs="Arial"/>
          <w:color w:val="000000"/>
          <w:lang w:val="ru-RU"/>
        </w:rPr>
        <w:t xml:space="preserve"> </w:t>
      </w:r>
      <w:r w:rsidRPr="00954D2D">
        <w:rPr>
          <w:rFonts w:eastAsia="Times New Roman" w:cs="Arial"/>
          <w:color w:val="000000"/>
          <w:lang w:eastAsia="bg-BG"/>
        </w:rPr>
        <w:t>била погълната без фатален изход, Признаците и симптомите, които бяха докладвани, включват: главоболие, седиране, сомнолентност, хипотония, замяност, астения, брадикардия, сухота в устата, повръщане, умора и болка в горната част на корема.</w:t>
      </w:r>
    </w:p>
    <w:p w14:paraId="7E43B8B2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При тежки случаи на предозиране се препоръчва внимателно проследяване особено занарушения в съзнанието и подтискане на дишането.</w:t>
      </w:r>
    </w:p>
    <w:p w14:paraId="07117D4D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В допълнение, възоснова на някои проучвания върху животни с високи дози, е възможно да се проявят преходна хипертония, тахикардия и хипергликемия.</w:t>
      </w:r>
    </w:p>
    <w:p w14:paraId="4E9A8D0B" w14:textId="4500B788" w:rsidR="00954D2D" w:rsidRPr="00954D2D" w:rsidRDefault="00954D2D" w:rsidP="00954D2D">
      <w:pPr>
        <w:rPr>
          <w:rFonts w:cs="Arial"/>
        </w:rPr>
      </w:pPr>
    </w:p>
    <w:p w14:paraId="700DCA48" w14:textId="2A805943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 xml:space="preserve">При случай на непреднамерено предозиране при </w:t>
      </w:r>
      <w:r>
        <w:rPr>
          <w:rFonts w:eastAsia="Times New Roman" w:cs="Arial"/>
          <w:color w:val="000000"/>
          <w:lang w:eastAsia="bg-BG"/>
        </w:rPr>
        <w:t>2-г</w:t>
      </w:r>
      <w:r w:rsidRPr="00954D2D">
        <w:rPr>
          <w:rFonts w:eastAsia="Times New Roman" w:cs="Arial"/>
          <w:color w:val="000000"/>
          <w:lang w:eastAsia="bg-BG"/>
        </w:rPr>
        <w:t>одишно дете е наблюдавано следното:</w:t>
      </w:r>
    </w:p>
    <w:p w14:paraId="5C160F49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 xml:space="preserve">Не е известно какво количество моксонидин е погълнало детето. Максималната доза, която би могла да бъде погълната е 14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 xml:space="preserve">. </w:t>
      </w:r>
      <w:r w:rsidRPr="00954D2D">
        <w:rPr>
          <w:rFonts w:eastAsia="Times New Roman" w:cs="Arial"/>
          <w:color w:val="000000"/>
          <w:lang w:eastAsia="bg-BG"/>
        </w:rPr>
        <w:t>Детето показва следните симптоми:</w:t>
      </w:r>
    </w:p>
    <w:p w14:paraId="55554959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Седиране, кома, хипотония, миоза и диспнея. Стомашна промивка, инфузии с глюкоза, контролирано дишане и положение на покой са довели до пълно отзвучаване на симптомите в течение на 11 часа.</w:t>
      </w:r>
    </w:p>
    <w:p w14:paraId="43EBAF67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Въз основа на фармакодинамичните свойства на моксонидина могат да се очакват следните реакции при възрастни: седиране, хипотония, ортостатична дисрегулация, брадикардия, сухота в устата. В редки случаи могат да се наблюдават повръщане и парадоксално повишаване на кръвното налягане.</w:t>
      </w:r>
    </w:p>
    <w:p w14:paraId="7BA9ADA5" w14:textId="77777777" w:rsidR="00954D2D" w:rsidRPr="00954D2D" w:rsidRDefault="00954D2D" w:rsidP="00954D2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3B4D49D" w14:textId="60C4DEF1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i/>
          <w:iCs/>
          <w:color w:val="000000"/>
          <w:lang w:eastAsia="bg-BG"/>
        </w:rPr>
        <w:t>Лечение на предозирането</w:t>
      </w:r>
    </w:p>
    <w:p w14:paraId="0B4D6ED8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Не е познат специфичен антидот. В случай на хипотония може да се счита, че вливането на течности и допамин ще подкрепи циркулацията. Брадикардията може да бъде лекувана с атропин.</w:t>
      </w:r>
    </w:p>
    <w:p w14:paraId="34A205D9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а-рецепторните антогонисти може да намалят или да премахнат парадоксалните хипертензивни ефекти от предозирането с моксонидин.</w:t>
      </w:r>
    </w:p>
    <w:p w14:paraId="46C72435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Лечението се състои от мерки за намаляване на резорбцията, като стомашна промивка (само ако поемането на моксонидина е станало съвсем скоро), прилагане на активен въглен и слабителни средства, и други симптоматични мерки.</w:t>
      </w:r>
    </w:p>
    <w:p w14:paraId="478DBDF6" w14:textId="77777777" w:rsidR="00954D2D" w:rsidRPr="00954D2D" w:rsidRDefault="00954D2D" w:rsidP="00954D2D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5350637D" w14:textId="78924A6C" w:rsidR="00395555" w:rsidRDefault="002C50EE" w:rsidP="008A6AF2">
      <w:pPr>
        <w:pStyle w:val="Heading2"/>
      </w:pPr>
      <w:r>
        <w:t>5.1. Фармакодинамични свойства</w:t>
      </w:r>
    </w:p>
    <w:p w14:paraId="1F3E024E" w14:textId="28EB387D" w:rsidR="00954D2D" w:rsidRDefault="00954D2D" w:rsidP="00954D2D"/>
    <w:p w14:paraId="0A18256D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Фармакотерапевтична група: Антихипертензивни, антиадренергични средства с централно действие, агонисти на имидазолиновите рецептори.</w:t>
      </w:r>
    </w:p>
    <w:p w14:paraId="4E5D337E" w14:textId="77777777" w:rsidR="00954D2D" w:rsidRDefault="00954D2D" w:rsidP="00954D2D">
      <w:pPr>
        <w:rPr>
          <w:lang w:eastAsia="bg-BG"/>
        </w:rPr>
      </w:pPr>
    </w:p>
    <w:p w14:paraId="5B6075F3" w14:textId="12A7E732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АТС-код: С02АС05</w:t>
      </w:r>
    </w:p>
    <w:p w14:paraId="0F55464C" w14:textId="77777777" w:rsidR="00954D2D" w:rsidRDefault="00954D2D" w:rsidP="00954D2D">
      <w:pPr>
        <w:rPr>
          <w:lang w:eastAsia="bg-BG"/>
        </w:rPr>
      </w:pPr>
    </w:p>
    <w:p w14:paraId="1E99E3B1" w14:textId="688D49CE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При много животински модели моксонидинът е показал силно хипотензивно действие. Наличните експериментални данни сочат, че мястото на действие на моксонидин е в централната нервна система (ЦНС).</w:t>
      </w:r>
    </w:p>
    <w:p w14:paraId="10C0ACCF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Моксонидинът се свързва селективно с </w:t>
      </w:r>
      <w:r w:rsidRPr="00954D2D">
        <w:rPr>
          <w:lang w:val="en-US"/>
        </w:rPr>
        <w:t>l</w:t>
      </w:r>
      <w:r w:rsidRPr="00954D2D">
        <w:rPr>
          <w:lang w:val="ru-RU"/>
        </w:rPr>
        <w:t>1</w:t>
      </w:r>
      <w:r w:rsidRPr="00954D2D">
        <w:rPr>
          <w:lang w:eastAsia="bg-BG"/>
        </w:rPr>
        <w:t xml:space="preserve">-имидазолиновите рецептори в мозъчния ствол. Тези чувствителни към имидазолин рецептори се намират особено във вентролатералната </w:t>
      </w:r>
      <w:r w:rsidRPr="00954D2D">
        <w:rPr>
          <w:i/>
          <w:iCs/>
          <w:lang w:val="en-US"/>
        </w:rPr>
        <w:t>Medulla</w:t>
      </w:r>
      <w:r w:rsidRPr="00954D2D">
        <w:rPr>
          <w:i/>
          <w:iCs/>
          <w:lang w:val="ru-RU"/>
        </w:rPr>
        <w:t xml:space="preserve"> </w:t>
      </w:r>
      <w:r w:rsidRPr="00954D2D">
        <w:rPr>
          <w:i/>
          <w:iCs/>
          <w:lang w:val="en-US"/>
        </w:rPr>
        <w:t>oblongata</w:t>
      </w:r>
      <w:r w:rsidRPr="00954D2D">
        <w:rPr>
          <w:lang w:val="ru-RU"/>
        </w:rPr>
        <w:t xml:space="preserve"> </w:t>
      </w:r>
      <w:r w:rsidRPr="00954D2D">
        <w:rPr>
          <w:lang w:eastAsia="bg-BG"/>
        </w:rPr>
        <w:t xml:space="preserve">- една област, която играе важна роля в централния контрол на симпатиковата нервна система. Влиянието на това взаимодействие с </w:t>
      </w:r>
      <w:r w:rsidRPr="00954D2D">
        <w:rPr>
          <w:lang w:val="en-US"/>
        </w:rPr>
        <w:t>l</w:t>
      </w:r>
      <w:r w:rsidRPr="00954D2D">
        <w:rPr>
          <w:lang w:eastAsia="bg-BG"/>
        </w:rPr>
        <w:t xml:space="preserve">1-имидазолиновите рецептори очевидно се изразява в намаляване активността на </w:t>
      </w:r>
      <w:r w:rsidRPr="00954D2D">
        <w:rPr>
          <w:lang w:eastAsia="bg-BG"/>
        </w:rPr>
        <w:lastRenderedPageBreak/>
        <w:t>симпатикусовите нерви. Това бе доказано при симпатикусовите нерви на сърцето, висцералните и ренални симпатикусови нерви.</w:t>
      </w:r>
    </w:p>
    <w:p w14:paraId="4AB23AD2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Моксонидинът се различава от другите централнодействащи антихипертензивни средства по това, че афинитета му към централните </w:t>
      </w:r>
      <w:r w:rsidRPr="00954D2D">
        <w:rPr>
          <w:lang w:val="en-US"/>
        </w:rPr>
        <w:t>α</w:t>
      </w:r>
      <w:r w:rsidRPr="00954D2D">
        <w:rPr>
          <w:vertAlign w:val="subscript"/>
          <w:lang w:val="ru-RU"/>
        </w:rPr>
        <w:t>2</w:t>
      </w:r>
      <w:r w:rsidRPr="00954D2D">
        <w:rPr>
          <w:lang w:eastAsia="bg-BG"/>
        </w:rPr>
        <w:t xml:space="preserve">-адрснорецептори е оскъден в сравнение е афинитета му към </w:t>
      </w:r>
      <w:r w:rsidRPr="00954D2D">
        <w:rPr>
          <w:lang w:val="en-US"/>
        </w:rPr>
        <w:t>I</w:t>
      </w:r>
      <w:r w:rsidRPr="00954D2D">
        <w:rPr>
          <w:lang w:val="ru-RU"/>
        </w:rPr>
        <w:t>1</w:t>
      </w:r>
      <w:r w:rsidRPr="00954D2D">
        <w:rPr>
          <w:lang w:eastAsia="bg-BG"/>
        </w:rPr>
        <w:t xml:space="preserve">-имидазолиновите рецептори. Приема се, че седирането и сухотата в устата, които се срещат най-често като нежелани лекарствени реакции на антихипертензивните средства с централно действие, са резултат от въздействие върху </w:t>
      </w:r>
      <w:r w:rsidRPr="00954D2D">
        <w:rPr>
          <w:lang w:val="en-US"/>
        </w:rPr>
        <w:t>α</w:t>
      </w:r>
      <w:r w:rsidRPr="00954D2D">
        <w:rPr>
          <w:vertAlign w:val="subscript"/>
          <w:lang w:val="ru-RU"/>
        </w:rPr>
        <w:t>2</w:t>
      </w:r>
      <w:r w:rsidRPr="00954D2D">
        <w:rPr>
          <w:lang w:eastAsia="bg-BG"/>
        </w:rPr>
        <w:t>-адренорецепторите.</w:t>
      </w:r>
    </w:p>
    <w:p w14:paraId="328757EA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При хората, Моксогамма води до намаляване на системното съдово съпротивление и съответно, на артериалното кръвно налягане.</w:t>
      </w:r>
    </w:p>
    <w:p w14:paraId="0D448CBE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Средното систолно и диастолно артериално налягане, както в покой, така и при упражняване на усилия са снижени.</w:t>
      </w:r>
    </w:p>
    <w:p w14:paraId="5D3F07D5" w14:textId="557678A5" w:rsidR="00954D2D" w:rsidRDefault="00954D2D" w:rsidP="00954D2D">
      <w:pPr>
        <w:rPr>
          <w:lang w:eastAsia="bg-BG"/>
        </w:rPr>
      </w:pPr>
      <w:r w:rsidRPr="00954D2D">
        <w:rPr>
          <w:lang w:eastAsia="bg-BG"/>
        </w:rPr>
        <w:t>До този момент не са налични данни относно въздействието на моксонидина върху смъртността и сърдечносъдовата заболеваемост.</w:t>
      </w:r>
    </w:p>
    <w:p w14:paraId="3CFF4422" w14:textId="77777777" w:rsidR="00954D2D" w:rsidRPr="00954D2D" w:rsidRDefault="00954D2D" w:rsidP="00954D2D"/>
    <w:p w14:paraId="26535098" w14:textId="27E59F4D" w:rsidR="00395555" w:rsidRDefault="002C50EE" w:rsidP="008A6AF2">
      <w:pPr>
        <w:pStyle w:val="Heading2"/>
      </w:pPr>
      <w:r>
        <w:t>5.2. Фармакокинетични свойства</w:t>
      </w:r>
    </w:p>
    <w:p w14:paraId="2F1D035F" w14:textId="07172869" w:rsidR="00954D2D" w:rsidRDefault="00954D2D" w:rsidP="00954D2D"/>
    <w:p w14:paraId="45C00AA8" w14:textId="77777777" w:rsidR="00954D2D" w:rsidRPr="00954D2D" w:rsidRDefault="00954D2D" w:rsidP="00954D2D">
      <w:pPr>
        <w:pStyle w:val="Heading3"/>
        <w:rPr>
          <w:rFonts w:eastAsia="Times New Roman"/>
          <w:u w:val="single"/>
        </w:rPr>
      </w:pPr>
      <w:r w:rsidRPr="00954D2D">
        <w:rPr>
          <w:rFonts w:eastAsia="Times New Roman"/>
          <w:u w:val="single"/>
          <w:lang w:eastAsia="bg-BG"/>
        </w:rPr>
        <w:t>Абсорбция</w:t>
      </w:r>
    </w:p>
    <w:p w14:paraId="7365AE0A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Моксонидинът се резорбира бързо след орално приложение. При хора, се резорбира около 90 % от пероралната доза. Приемът на храна не оказва влияние върху фармакокинетиката на моксонидин.</w:t>
      </w:r>
    </w:p>
    <w:p w14:paraId="0A793DD2" w14:textId="77777777" w:rsidR="00954D2D" w:rsidRPr="00954D2D" w:rsidRDefault="00954D2D" w:rsidP="00954D2D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54D2D">
        <w:rPr>
          <w:rFonts w:eastAsia="Times New Roman" w:cs="Arial"/>
          <w:color w:val="000000"/>
          <w:lang w:eastAsia="bg-BG"/>
        </w:rPr>
        <w:t xml:space="preserve">Няма ефект на първо преминаване през черния дроб и бионаличността възлиза на 88% </w:t>
      </w:r>
    </w:p>
    <w:p w14:paraId="47EB6833" w14:textId="77777777" w:rsidR="00954D2D" w:rsidRPr="00954D2D" w:rsidRDefault="00954D2D" w:rsidP="00954D2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ED29BC3" w14:textId="2D09580D" w:rsidR="00954D2D" w:rsidRPr="00954D2D" w:rsidRDefault="00954D2D" w:rsidP="00954D2D">
      <w:pPr>
        <w:pStyle w:val="Heading3"/>
        <w:rPr>
          <w:rFonts w:eastAsia="Times New Roman"/>
          <w:u w:val="single"/>
          <w:lang w:eastAsia="bg-BG"/>
        </w:rPr>
      </w:pPr>
      <w:r w:rsidRPr="00954D2D">
        <w:rPr>
          <w:rFonts w:eastAsia="Times New Roman"/>
          <w:u w:val="single"/>
          <w:lang w:eastAsia="bg-BG"/>
        </w:rPr>
        <w:t>Разпределение</w:t>
      </w:r>
    </w:p>
    <w:p w14:paraId="3A9241AC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 xml:space="preserve">Само около 7% от моксонидина се свързват с човешките плазмени протеини </w:t>
      </w:r>
      <w:r w:rsidRPr="00954D2D">
        <w:rPr>
          <w:rFonts w:eastAsia="Times New Roman" w:cs="Arial"/>
          <w:color w:val="000000"/>
          <w:lang w:val="ru-RU"/>
        </w:rPr>
        <w:t>(</w:t>
      </w:r>
      <w:proofErr w:type="spellStart"/>
      <w:r w:rsidRPr="00954D2D">
        <w:rPr>
          <w:rFonts w:eastAsia="Times New Roman" w:cs="Arial"/>
          <w:color w:val="000000"/>
          <w:lang w:val="en-US"/>
        </w:rPr>
        <w:t>Vdss</w:t>
      </w:r>
      <w:proofErr w:type="spellEnd"/>
      <w:r w:rsidRPr="00954D2D">
        <w:rPr>
          <w:rFonts w:eastAsia="Times New Roman" w:cs="Arial"/>
          <w:color w:val="000000"/>
          <w:lang w:val="ru-RU"/>
        </w:rPr>
        <w:t xml:space="preserve">= </w:t>
      </w:r>
      <w:r w:rsidRPr="00954D2D">
        <w:rPr>
          <w:rFonts w:eastAsia="Times New Roman" w:cs="Arial"/>
          <w:color w:val="000000"/>
          <w:lang w:eastAsia="bg-BG"/>
        </w:rPr>
        <w:t xml:space="preserve">1,8 ± 0,4 </w:t>
      </w:r>
      <w:r w:rsidRPr="00954D2D">
        <w:rPr>
          <w:rFonts w:eastAsia="Times New Roman" w:cs="Arial"/>
          <w:color w:val="000000"/>
          <w:lang w:val="ru-RU"/>
        </w:rPr>
        <w:t>1/</w:t>
      </w:r>
      <w:r w:rsidRPr="00954D2D">
        <w:rPr>
          <w:rFonts w:eastAsia="Times New Roman" w:cs="Arial"/>
          <w:color w:val="000000"/>
          <w:lang w:val="en-US"/>
        </w:rPr>
        <w:t>kg</w:t>
      </w:r>
      <w:r w:rsidRPr="00954D2D">
        <w:rPr>
          <w:rFonts w:eastAsia="Times New Roman" w:cs="Arial"/>
          <w:color w:val="000000"/>
          <w:lang w:val="ru-RU"/>
        </w:rPr>
        <w:t xml:space="preserve">). </w:t>
      </w:r>
      <w:r w:rsidRPr="00954D2D">
        <w:rPr>
          <w:rFonts w:eastAsia="Times New Roman" w:cs="Arial"/>
          <w:color w:val="000000"/>
          <w:lang w:eastAsia="bg-BG"/>
        </w:rPr>
        <w:t>Максималните плазмени нива на моксонидин се достигат за 30-180 минути след приема на филмираната таблетка.</w:t>
      </w:r>
    </w:p>
    <w:p w14:paraId="613FDF09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EE3CE0" w14:textId="37DAD591" w:rsidR="00954D2D" w:rsidRPr="00954D2D" w:rsidRDefault="00954D2D" w:rsidP="00954D2D">
      <w:pPr>
        <w:pStyle w:val="Heading3"/>
        <w:rPr>
          <w:rFonts w:eastAsia="Times New Roman"/>
          <w:u w:val="single"/>
        </w:rPr>
      </w:pPr>
      <w:r w:rsidRPr="00954D2D">
        <w:rPr>
          <w:rFonts w:eastAsia="Times New Roman"/>
          <w:u w:val="single"/>
          <w:lang w:eastAsia="bg-BG"/>
        </w:rPr>
        <w:t>Биотрансформация</w:t>
      </w:r>
    </w:p>
    <w:p w14:paraId="29A22B9A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10-20 % от моксонидина се метаболизира: основно до 4,5-дехидромоксонидин, както и до аминометанамидинов дериват, чрез отваряне на имидазолиновия пръстен .</w:t>
      </w:r>
    </w:p>
    <w:p w14:paraId="4D6F7EB3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Антихипертензивното действие на 4,5-дехидромоксонидина възлиза само на 1/10, а действието на аминометанамидиновия дериват е по-малко от 1/100 от ефекта на моксонидина.</w:t>
      </w:r>
    </w:p>
    <w:p w14:paraId="7046AE50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5C6501" w14:textId="6A5C416C" w:rsidR="00954D2D" w:rsidRPr="00954D2D" w:rsidRDefault="00954D2D" w:rsidP="00954D2D">
      <w:pPr>
        <w:pStyle w:val="Heading3"/>
        <w:rPr>
          <w:rFonts w:eastAsia="Times New Roman"/>
          <w:u w:val="single"/>
        </w:rPr>
      </w:pPr>
      <w:r w:rsidRPr="00954D2D">
        <w:rPr>
          <w:rFonts w:eastAsia="Times New Roman"/>
          <w:u w:val="single"/>
          <w:lang w:eastAsia="bg-BG"/>
        </w:rPr>
        <w:t>Елиминиране</w:t>
      </w:r>
    </w:p>
    <w:p w14:paraId="789BB83E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Моксонидинът и неговите метаболити почти напълно се излъчват чрез бъбреците. Повече от 90 % от дозата се елиминира ренално през първите 24 часа, докато около 1 % се изхвърлят чрез изпражненията. Кумулативната екскреция на моксонидин в непроменен вид възлиза на около 50-75 %.</w:t>
      </w:r>
    </w:p>
    <w:p w14:paraId="08F81D69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Средните стойности на плазмения елиминационен полуживот са 2,2 - 2,3 часа, а на реналния елиминационен полуживот - 2,6 - 2,8 часа.</w:t>
      </w:r>
    </w:p>
    <w:p w14:paraId="4F5778C4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8CF46D" w14:textId="629A2A59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u w:val="single"/>
          <w:lang w:eastAsia="bg-BG"/>
        </w:rPr>
        <w:t>Фармакокинетика при пациенти</w:t>
      </w:r>
      <w:r w:rsidRPr="00954D2D">
        <w:rPr>
          <w:rFonts w:eastAsia="Times New Roman" w:cs="Arial"/>
          <w:color w:val="000000"/>
          <w:lang w:eastAsia="bg-BG"/>
        </w:rPr>
        <w:t xml:space="preserve"> в </w:t>
      </w:r>
      <w:r w:rsidRPr="00954D2D">
        <w:rPr>
          <w:rFonts w:eastAsia="Times New Roman" w:cs="Arial"/>
          <w:color w:val="000000"/>
          <w:u w:val="single"/>
          <w:lang w:eastAsia="bg-BG"/>
        </w:rPr>
        <w:t>старческа възраст</w:t>
      </w:r>
    </w:p>
    <w:p w14:paraId="0789C4AE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Малките разлики между фармакокинетичните свойства на моксонидин при здрави пациенти в старческа възраст и при по-млади възрастни е малко вероятно да бъдат клинично значими. Тъй като няма натрупване на моксонидин, при условие, че бъбречната функция е нормална, адаптиране на дозата не е необходимо.</w:t>
      </w:r>
    </w:p>
    <w:p w14:paraId="23D013CD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4AFAD6" w14:textId="69C0C846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u w:val="single"/>
          <w:lang w:eastAsia="bg-BG"/>
        </w:rPr>
        <w:t>Фармакокинетика при пациенти с нарушение на бъбречната функция</w:t>
      </w:r>
    </w:p>
    <w:p w14:paraId="58724117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685C35B" w14:textId="0094684F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u w:val="single"/>
          <w:lang w:eastAsia="bg-BG"/>
        </w:rPr>
        <w:t>При пациенти с умерено нарушен</w:t>
      </w:r>
      <w:r w:rsidRPr="00954D2D">
        <w:rPr>
          <w:rFonts w:eastAsia="Times New Roman" w:cs="Arial"/>
          <w:color w:val="000000"/>
          <w:lang w:eastAsia="bg-BG"/>
        </w:rPr>
        <w:t>ие</w:t>
      </w:r>
      <w:r w:rsidRPr="00954D2D">
        <w:rPr>
          <w:rFonts w:eastAsia="Times New Roman" w:cs="Arial"/>
          <w:color w:val="000000"/>
          <w:u w:val="single"/>
          <w:lang w:eastAsia="bg-BG"/>
        </w:rPr>
        <w:t xml:space="preserve"> на бъ</w:t>
      </w:r>
      <w:r w:rsidRPr="00954D2D">
        <w:rPr>
          <w:rFonts w:eastAsia="Times New Roman" w:cs="Arial"/>
          <w:color w:val="000000"/>
          <w:lang w:eastAsia="bg-BG"/>
        </w:rPr>
        <w:t>бречн</w:t>
      </w:r>
      <w:r w:rsidRPr="00954D2D">
        <w:rPr>
          <w:rFonts w:eastAsia="Times New Roman" w:cs="Arial"/>
          <w:color w:val="000000"/>
          <w:u w:val="single"/>
          <w:lang w:eastAsia="bg-BG"/>
        </w:rPr>
        <w:t>ата функция</w:t>
      </w:r>
      <w:r w:rsidRPr="00954D2D">
        <w:rPr>
          <w:rFonts w:eastAsia="Times New Roman" w:cs="Arial"/>
          <w:color w:val="000000"/>
          <w:lang w:eastAsia="bg-BG"/>
        </w:rPr>
        <w:t xml:space="preserve"> (гломерулна филтрация 30 60 </w:t>
      </w:r>
      <w:r w:rsidRPr="00954D2D">
        <w:rPr>
          <w:rFonts w:eastAsia="Times New Roman" w:cs="Arial"/>
          <w:color w:val="000000"/>
          <w:lang w:val="en-US"/>
        </w:rPr>
        <w:t>ml</w:t>
      </w:r>
      <w:r w:rsidRPr="00954D2D">
        <w:rPr>
          <w:rFonts w:eastAsia="Times New Roman" w:cs="Arial"/>
          <w:color w:val="000000"/>
          <w:lang w:val="ru-RU"/>
        </w:rPr>
        <w:t>/</w:t>
      </w:r>
      <w:r w:rsidRPr="00954D2D">
        <w:rPr>
          <w:rFonts w:eastAsia="Times New Roman" w:cs="Arial"/>
          <w:color w:val="000000"/>
          <w:lang w:val="en-US"/>
        </w:rPr>
        <w:t>min</w:t>
      </w:r>
      <w:r w:rsidRPr="00954D2D">
        <w:rPr>
          <w:rFonts w:eastAsia="Times New Roman" w:cs="Arial"/>
          <w:color w:val="000000"/>
          <w:lang w:val="ru-RU"/>
        </w:rPr>
        <w:t xml:space="preserve">) </w:t>
      </w:r>
      <w:r w:rsidRPr="00954D2D">
        <w:rPr>
          <w:rFonts w:eastAsia="Times New Roman" w:cs="Arial"/>
          <w:color w:val="000000"/>
          <w:lang w:eastAsia="bg-BG"/>
        </w:rPr>
        <w:t xml:space="preserve">площта под кривата </w:t>
      </w:r>
      <w:r w:rsidRPr="00954D2D">
        <w:rPr>
          <w:rFonts w:eastAsia="Times New Roman" w:cs="Arial"/>
          <w:color w:val="000000"/>
          <w:lang w:val="ru-RU"/>
        </w:rPr>
        <w:t>(</w:t>
      </w:r>
      <w:r w:rsidRPr="00954D2D">
        <w:rPr>
          <w:rFonts w:eastAsia="Times New Roman" w:cs="Arial"/>
          <w:color w:val="000000"/>
          <w:lang w:val="en-US"/>
        </w:rPr>
        <w:t>AUC</w:t>
      </w:r>
      <w:r w:rsidRPr="00954D2D">
        <w:rPr>
          <w:rFonts w:eastAsia="Times New Roman" w:cs="Arial"/>
          <w:color w:val="000000"/>
          <w:lang w:val="ru-RU"/>
        </w:rPr>
        <w:t xml:space="preserve">) </w:t>
      </w:r>
      <w:r w:rsidRPr="00954D2D">
        <w:rPr>
          <w:rFonts w:eastAsia="Times New Roman" w:cs="Arial"/>
          <w:color w:val="000000"/>
          <w:lang w:eastAsia="bg-BG"/>
        </w:rPr>
        <w:t xml:space="preserve">е увеличена с 85 %, а клирънсът е намален с 52 %. При тези пациенти е необходимо адаптиране на дозата, като максималната дневна доза не трябва да е по-висока от 0,4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 xml:space="preserve">, </w:t>
      </w:r>
      <w:r w:rsidRPr="00954D2D">
        <w:rPr>
          <w:rFonts w:eastAsia="Times New Roman" w:cs="Arial"/>
          <w:color w:val="000000"/>
          <w:lang w:eastAsia="bg-BG"/>
        </w:rPr>
        <w:t xml:space="preserve">а максималната единична доза - не по-висока от 0,2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>.</w:t>
      </w:r>
    </w:p>
    <w:p w14:paraId="281F079A" w14:textId="77777777" w:rsidR="00954D2D" w:rsidRDefault="00954D2D" w:rsidP="00954D2D">
      <w:pPr>
        <w:spacing w:line="240" w:lineRule="auto"/>
        <w:rPr>
          <w:rFonts w:eastAsia="Times New Roman" w:cs="Arial"/>
          <w:smallCaps/>
          <w:color w:val="000000"/>
          <w:u w:val="single"/>
          <w:lang w:eastAsia="bg-BG"/>
        </w:rPr>
      </w:pPr>
    </w:p>
    <w:p w14:paraId="24A424D8" w14:textId="3237F782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smallCaps/>
          <w:color w:val="000000"/>
          <w:u w:val="single"/>
          <w:lang w:eastAsia="bg-BG"/>
        </w:rPr>
        <w:t>При</w:t>
      </w:r>
      <w:r w:rsidRPr="00954D2D">
        <w:rPr>
          <w:rFonts w:eastAsia="Times New Roman" w:cs="Arial"/>
          <w:color w:val="000000"/>
          <w:u w:val="single"/>
          <w:lang w:eastAsia="bg-BG"/>
        </w:rPr>
        <w:t xml:space="preserve"> пациенти с тежко нарушение</w:t>
      </w:r>
      <w:r w:rsidRPr="00954D2D">
        <w:rPr>
          <w:rFonts w:eastAsia="Times New Roman" w:cs="Arial"/>
          <w:color w:val="000000"/>
          <w:lang w:eastAsia="bg-BG"/>
        </w:rPr>
        <w:t xml:space="preserve"> на</w:t>
      </w:r>
      <w:r w:rsidRPr="00954D2D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954D2D">
        <w:rPr>
          <w:rFonts w:eastAsia="Times New Roman" w:cs="Arial"/>
          <w:color w:val="000000"/>
          <w:lang w:eastAsia="bg-BG"/>
        </w:rPr>
        <w:t>бъ</w:t>
      </w:r>
      <w:r w:rsidRPr="00954D2D">
        <w:rPr>
          <w:rFonts w:eastAsia="Times New Roman" w:cs="Arial"/>
          <w:color w:val="000000"/>
          <w:u w:val="single"/>
          <w:lang w:eastAsia="bg-BG"/>
        </w:rPr>
        <w:t>б</w:t>
      </w:r>
      <w:r w:rsidRPr="00954D2D">
        <w:rPr>
          <w:rFonts w:eastAsia="Times New Roman" w:cs="Arial"/>
          <w:color w:val="000000"/>
          <w:lang w:eastAsia="bg-BG"/>
        </w:rPr>
        <w:t>речната фун</w:t>
      </w:r>
      <w:r w:rsidRPr="00954D2D">
        <w:rPr>
          <w:rFonts w:eastAsia="Times New Roman" w:cs="Arial"/>
          <w:color w:val="000000"/>
          <w:u w:val="single"/>
          <w:lang w:eastAsia="bg-BG"/>
        </w:rPr>
        <w:t>кция</w:t>
      </w:r>
      <w:r w:rsidRPr="00954D2D">
        <w:rPr>
          <w:rFonts w:eastAsia="Times New Roman" w:cs="Arial"/>
          <w:color w:val="000000"/>
          <w:lang w:eastAsia="bg-BG"/>
        </w:rPr>
        <w:t xml:space="preserve"> (гломерулна филтрация &lt; 30 </w:t>
      </w:r>
      <w:r w:rsidRPr="00954D2D">
        <w:rPr>
          <w:rFonts w:eastAsia="Times New Roman" w:cs="Arial"/>
          <w:color w:val="000000"/>
          <w:lang w:val="en-US"/>
        </w:rPr>
        <w:t>ml</w:t>
      </w:r>
      <w:r w:rsidRPr="00954D2D">
        <w:rPr>
          <w:rFonts w:eastAsia="Times New Roman" w:cs="Arial"/>
          <w:color w:val="000000"/>
          <w:lang w:val="ru-RU"/>
        </w:rPr>
        <w:t>/</w:t>
      </w:r>
      <w:r w:rsidRPr="00954D2D">
        <w:rPr>
          <w:rFonts w:eastAsia="Times New Roman" w:cs="Arial"/>
          <w:color w:val="000000"/>
          <w:lang w:val="en-US"/>
        </w:rPr>
        <w:t>min</w:t>
      </w:r>
      <w:r w:rsidRPr="00954D2D">
        <w:rPr>
          <w:rFonts w:eastAsia="Times New Roman" w:cs="Arial"/>
          <w:color w:val="000000"/>
          <w:lang w:val="ru-RU"/>
        </w:rPr>
        <w:t xml:space="preserve">) </w:t>
      </w:r>
      <w:r w:rsidRPr="00954D2D">
        <w:rPr>
          <w:rFonts w:eastAsia="Times New Roman" w:cs="Arial"/>
          <w:color w:val="000000"/>
          <w:lang w:eastAsia="bg-BG"/>
        </w:rPr>
        <w:t xml:space="preserve">клирънсът е намален с 68% и времето на полуживот е удължено до 7 часа. При тези пациенти е необходимо адаптиране на дозата, като максималната дневна доза не трябва да е по-висока от 0,3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 xml:space="preserve">, </w:t>
      </w:r>
      <w:r w:rsidRPr="00954D2D">
        <w:rPr>
          <w:rFonts w:eastAsia="Times New Roman" w:cs="Arial"/>
          <w:color w:val="000000"/>
          <w:lang w:eastAsia="bg-BG"/>
        </w:rPr>
        <w:t xml:space="preserve">а максималната единична доза - не по-висока от 0,2 </w:t>
      </w:r>
      <w:r w:rsidRPr="00954D2D">
        <w:rPr>
          <w:rFonts w:eastAsia="Times New Roman" w:cs="Arial"/>
          <w:color w:val="000000"/>
          <w:lang w:val="en-US"/>
        </w:rPr>
        <w:t>mg</w:t>
      </w:r>
      <w:r w:rsidRPr="00954D2D">
        <w:rPr>
          <w:rFonts w:eastAsia="Times New Roman" w:cs="Arial"/>
          <w:color w:val="000000"/>
          <w:lang w:val="ru-RU"/>
        </w:rPr>
        <w:t>.</w:t>
      </w:r>
    </w:p>
    <w:p w14:paraId="69AEF993" w14:textId="77777777" w:rsidR="00954D2D" w:rsidRDefault="00954D2D" w:rsidP="00954D2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264171" w14:textId="49735C76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u w:val="single"/>
          <w:lang w:eastAsia="bg-BG"/>
        </w:rPr>
        <w:t>Фармакокинетика при деца</w:t>
      </w:r>
    </w:p>
    <w:p w14:paraId="7EA9771F" w14:textId="77777777" w:rsidR="00954D2D" w:rsidRPr="00954D2D" w:rsidRDefault="00954D2D" w:rsidP="00954D2D">
      <w:pPr>
        <w:spacing w:line="240" w:lineRule="auto"/>
        <w:rPr>
          <w:rFonts w:eastAsia="Times New Roman" w:cs="Arial"/>
        </w:rPr>
      </w:pPr>
      <w:r w:rsidRPr="00954D2D">
        <w:rPr>
          <w:rFonts w:eastAsia="Times New Roman" w:cs="Arial"/>
          <w:color w:val="000000"/>
          <w:lang w:eastAsia="bg-BG"/>
        </w:rPr>
        <w:t>Не са провеждани фармакокинетични изследвания при деца.</w:t>
      </w:r>
    </w:p>
    <w:p w14:paraId="1E75EFE8" w14:textId="78A96D04" w:rsidR="00954D2D" w:rsidRPr="00954D2D" w:rsidRDefault="00954D2D" w:rsidP="00954D2D"/>
    <w:p w14:paraId="028E658A" w14:textId="16C832E2" w:rsidR="00395555" w:rsidRDefault="002C50EE" w:rsidP="008A6AF2">
      <w:pPr>
        <w:pStyle w:val="Heading2"/>
      </w:pPr>
      <w:r>
        <w:t>5.3. Предклинични данни за безопасност</w:t>
      </w:r>
    </w:p>
    <w:p w14:paraId="1954C878" w14:textId="649B5831" w:rsidR="00954D2D" w:rsidRDefault="00954D2D" w:rsidP="00954D2D"/>
    <w:p w14:paraId="1B22150C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генотоксичност, карциногенен потенциал, репродуктивна токсичност и токсичност за развитието.</w:t>
      </w:r>
    </w:p>
    <w:p w14:paraId="717E1D4A" w14:textId="77777777" w:rsidR="00954D2D" w:rsidRDefault="00954D2D" w:rsidP="00954D2D">
      <w:pPr>
        <w:rPr>
          <w:lang w:eastAsia="bg-BG"/>
        </w:rPr>
      </w:pPr>
    </w:p>
    <w:p w14:paraId="3AEA2842" w14:textId="088C3B30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Продължителното перорално лечение на плъхове в продължение на 52 седмици (с дози от 0.12- 4 </w:t>
      </w:r>
      <w:r w:rsidRPr="00954D2D">
        <w:rPr>
          <w:lang w:val="en-US"/>
        </w:rPr>
        <w:t>mg</w:t>
      </w:r>
      <w:r w:rsidRPr="00954D2D">
        <w:rPr>
          <w:lang w:val="ru-RU"/>
        </w:rPr>
        <w:t xml:space="preserve"> </w:t>
      </w:r>
      <w:r w:rsidRPr="00954D2D">
        <w:rPr>
          <w:lang w:eastAsia="bg-BG"/>
        </w:rPr>
        <w:t xml:space="preserve">/ </w:t>
      </w:r>
      <w:r w:rsidRPr="00954D2D">
        <w:rPr>
          <w:lang w:val="en-US"/>
        </w:rPr>
        <w:t>kg</w:t>
      </w:r>
      <w:r w:rsidRPr="00954D2D">
        <w:rPr>
          <w:lang w:val="ru-RU"/>
        </w:rPr>
        <w:t xml:space="preserve">) </w:t>
      </w:r>
      <w:r w:rsidRPr="00954D2D">
        <w:rPr>
          <w:lang w:eastAsia="bg-BG"/>
        </w:rPr>
        <w:t xml:space="preserve">и на кучета (с дози от 0.04-0.4 </w:t>
      </w:r>
      <w:r w:rsidRPr="00954D2D">
        <w:rPr>
          <w:lang w:val="en-US"/>
        </w:rPr>
        <w:t>mg</w:t>
      </w:r>
      <w:r w:rsidRPr="00954D2D">
        <w:rPr>
          <w:lang w:val="ru-RU"/>
        </w:rPr>
        <w:t>/</w:t>
      </w:r>
      <w:r w:rsidRPr="00954D2D">
        <w:rPr>
          <w:lang w:val="en-US"/>
        </w:rPr>
        <w:t>kg</w:t>
      </w:r>
      <w:r w:rsidRPr="00954D2D">
        <w:rPr>
          <w:lang w:val="ru-RU"/>
        </w:rPr>
        <w:t xml:space="preserve">) </w:t>
      </w:r>
      <w:r w:rsidRPr="00954D2D">
        <w:rPr>
          <w:lang w:eastAsia="bg-BG"/>
        </w:rPr>
        <w:t>показа значителни ефекти на моксонидин само при най-високите дози. Незначителни нарушения на електролитния баланс (намаляване на натрий в кръвта и увеличение на калия, уреята и креатинина) са открити при най-високата доза при плъхове и повръщане и обилно слюноотделяне само за високата доза при кучета. В допълнение, леко повишение на теглото на черния дроб беше проявено и при двата вида за високите дози.</w:t>
      </w:r>
      <w:r>
        <w:rPr>
          <w:sz w:val="24"/>
          <w:szCs w:val="24"/>
        </w:rPr>
        <w:t xml:space="preserve"> </w:t>
      </w:r>
      <w:r w:rsidRPr="00954D2D">
        <w:rPr>
          <w:lang w:eastAsia="bg-BG"/>
        </w:rPr>
        <w:t>Изследванията върху репродуктивната токсичност не показват нито въздейстие върху фертилитета, нито тератогенен потенциал.</w:t>
      </w:r>
    </w:p>
    <w:p w14:paraId="36933D46" w14:textId="73226908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 xml:space="preserve">Ембриотоксични ефекти са били наблюдавани при плъхове в дози по-високи от 3 </w:t>
      </w:r>
      <w:r w:rsidRPr="00954D2D">
        <w:rPr>
          <w:lang w:val="en-US"/>
        </w:rPr>
        <w:t>mg</w:t>
      </w:r>
      <w:r w:rsidRPr="00954D2D">
        <w:rPr>
          <w:lang w:val="ru-RU"/>
        </w:rPr>
        <w:t>/</w:t>
      </w:r>
      <w:r w:rsidRPr="00954D2D">
        <w:rPr>
          <w:lang w:val="en-US"/>
        </w:rPr>
        <w:t>kg</w:t>
      </w:r>
      <w:r w:rsidRPr="00954D2D">
        <w:rPr>
          <w:lang w:val="ru-RU"/>
        </w:rPr>
        <w:t>/</w:t>
      </w:r>
      <w:r w:rsidRPr="00954D2D">
        <w:rPr>
          <w:lang w:eastAsia="bg-BG"/>
        </w:rPr>
        <w:t>дневно</w:t>
      </w:r>
      <w:r>
        <w:rPr>
          <w:sz w:val="24"/>
          <w:szCs w:val="24"/>
        </w:rPr>
        <w:t xml:space="preserve"> </w:t>
      </w:r>
      <w:r w:rsidRPr="00954D2D">
        <w:rPr>
          <w:lang w:eastAsia="bg-BG"/>
        </w:rPr>
        <w:t xml:space="preserve">и при зайци, в дози по-високи от 0,7 </w:t>
      </w:r>
      <w:r w:rsidRPr="00954D2D">
        <w:rPr>
          <w:lang w:val="en-US"/>
        </w:rPr>
        <w:t>mg</w:t>
      </w:r>
      <w:r w:rsidRPr="00954D2D">
        <w:rPr>
          <w:lang w:val="ru-RU"/>
        </w:rPr>
        <w:t>/</w:t>
      </w:r>
      <w:r w:rsidRPr="00954D2D">
        <w:rPr>
          <w:lang w:val="en-US"/>
        </w:rPr>
        <w:t>kg</w:t>
      </w:r>
      <w:r w:rsidRPr="00954D2D">
        <w:rPr>
          <w:lang w:eastAsia="bg-BG"/>
        </w:rPr>
        <w:t>/дневно. Повишена честота на загуба на ембриона</w:t>
      </w:r>
      <w:r>
        <w:rPr>
          <w:sz w:val="24"/>
          <w:szCs w:val="24"/>
        </w:rPr>
        <w:t xml:space="preserve"> </w:t>
      </w:r>
      <w:r w:rsidRPr="00954D2D">
        <w:rPr>
          <w:lang w:eastAsia="bg-BG"/>
        </w:rPr>
        <w:t xml:space="preserve">или плода и забавено развитие на плода бяха наблюдавани при плъхове в дози по-високи и от 2 </w:t>
      </w:r>
      <w:r w:rsidRPr="00954D2D">
        <w:rPr>
          <w:lang w:val="en-US"/>
        </w:rPr>
        <w:t>mg</w:t>
      </w:r>
      <w:r w:rsidRPr="00954D2D">
        <w:rPr>
          <w:lang w:val="ru-RU"/>
        </w:rPr>
        <w:t>/</w:t>
      </w:r>
      <w:r w:rsidRPr="00954D2D">
        <w:rPr>
          <w:lang w:val="en-US"/>
        </w:rPr>
        <w:t>kg</w:t>
      </w:r>
      <w:r w:rsidRPr="00954D2D">
        <w:rPr>
          <w:lang w:eastAsia="bg-BG"/>
        </w:rPr>
        <w:t>/дневно и при зайци в дози по-високи от 0.7 mg/kg/дневно. При перинатално и</w:t>
      </w:r>
      <w:r>
        <w:rPr>
          <w:lang w:eastAsia="bg-BG"/>
        </w:rPr>
        <w:t xml:space="preserve"> </w:t>
      </w:r>
      <w:r>
        <w:t xml:space="preserve">постнатално изследване при плъхове, с приложени дози от над 1 </w:t>
      </w:r>
      <w:r>
        <w:rPr>
          <w:lang w:val="en-US"/>
        </w:rPr>
        <w:t>mg</w:t>
      </w:r>
      <w:r w:rsidRPr="00954D2D">
        <w:rPr>
          <w:lang w:val="ru-RU"/>
        </w:rPr>
        <w:t>/</w:t>
      </w:r>
      <w:r>
        <w:rPr>
          <w:lang w:val="en-US"/>
        </w:rPr>
        <w:t>kg</w:t>
      </w:r>
      <w:r>
        <w:t>/дневно, е било повлияно развитието и жизнеността на потомството.</w:t>
      </w:r>
    </w:p>
    <w:p w14:paraId="6A7820AB" w14:textId="06C75305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27C88B3C" w14:textId="53923AE9" w:rsidR="00954D2D" w:rsidRDefault="00954D2D" w:rsidP="00954D2D"/>
    <w:p w14:paraId="3DA4BDBB" w14:textId="77777777" w:rsidR="00954D2D" w:rsidRPr="00954D2D" w:rsidRDefault="00954D2D" w:rsidP="00954D2D">
      <w:pPr>
        <w:rPr>
          <w:sz w:val="24"/>
          <w:szCs w:val="24"/>
          <w:lang w:val="en-US"/>
        </w:rPr>
      </w:pPr>
      <w:proofErr w:type="spellStart"/>
      <w:r w:rsidRPr="00954D2D">
        <w:rPr>
          <w:lang w:val="en-US"/>
        </w:rPr>
        <w:t>Worwag</w:t>
      </w:r>
      <w:proofErr w:type="spellEnd"/>
      <w:r w:rsidRPr="00954D2D">
        <w:rPr>
          <w:lang w:val="en-US"/>
        </w:rPr>
        <w:t xml:space="preserve"> Pharma GmbH </w:t>
      </w:r>
      <w:r w:rsidRPr="00954D2D">
        <w:rPr>
          <w:lang w:eastAsia="bg-BG"/>
        </w:rPr>
        <w:t xml:space="preserve">&amp; </w:t>
      </w:r>
      <w:r w:rsidRPr="00954D2D">
        <w:rPr>
          <w:lang w:val="en-US"/>
        </w:rPr>
        <w:t>Co. KG</w:t>
      </w:r>
    </w:p>
    <w:p w14:paraId="740F7D75" w14:textId="77777777" w:rsidR="00954D2D" w:rsidRPr="00954D2D" w:rsidRDefault="00954D2D" w:rsidP="00954D2D">
      <w:pPr>
        <w:rPr>
          <w:sz w:val="24"/>
          <w:szCs w:val="24"/>
          <w:lang w:val="en-US"/>
        </w:rPr>
      </w:pPr>
      <w:proofErr w:type="spellStart"/>
      <w:r w:rsidRPr="00954D2D">
        <w:rPr>
          <w:lang w:val="en-US"/>
        </w:rPr>
        <w:t>Calwer</w:t>
      </w:r>
      <w:proofErr w:type="spellEnd"/>
      <w:r w:rsidRPr="00954D2D">
        <w:rPr>
          <w:lang w:val="en-US"/>
        </w:rPr>
        <w:t xml:space="preserve"> Str. 7</w:t>
      </w:r>
    </w:p>
    <w:p w14:paraId="114CD922" w14:textId="77777777" w:rsidR="00954D2D" w:rsidRPr="00954D2D" w:rsidRDefault="00954D2D" w:rsidP="00954D2D">
      <w:pPr>
        <w:rPr>
          <w:sz w:val="24"/>
          <w:szCs w:val="24"/>
          <w:lang w:val="ru-RU"/>
        </w:rPr>
      </w:pPr>
      <w:r w:rsidRPr="00954D2D">
        <w:rPr>
          <w:lang w:val="en-US"/>
        </w:rPr>
        <w:t>D</w:t>
      </w:r>
      <w:r w:rsidRPr="00954D2D">
        <w:rPr>
          <w:lang w:val="ru-RU"/>
        </w:rPr>
        <w:t xml:space="preserve">-71034 </w:t>
      </w:r>
      <w:proofErr w:type="spellStart"/>
      <w:r w:rsidRPr="00954D2D">
        <w:rPr>
          <w:lang w:val="en-US"/>
        </w:rPr>
        <w:t>Boblingen</w:t>
      </w:r>
      <w:proofErr w:type="spellEnd"/>
    </w:p>
    <w:p w14:paraId="2BEAECBD" w14:textId="4C32A8EB" w:rsidR="00954D2D" w:rsidRPr="00954D2D" w:rsidRDefault="00954D2D" w:rsidP="00954D2D">
      <w:r w:rsidRPr="00954D2D">
        <w:rPr>
          <w:lang w:eastAsia="bg-BG"/>
        </w:rPr>
        <w:t>Германия</w:t>
      </w:r>
    </w:p>
    <w:p w14:paraId="64B9C3A0" w14:textId="6E79BBEA" w:rsidR="00954D2D" w:rsidRDefault="002C50EE" w:rsidP="00954D2D">
      <w:pPr>
        <w:pStyle w:val="Heading1"/>
      </w:pPr>
      <w:r>
        <w:t>8. НОМЕР НА РАЗРЕШЕНИЕТО ЗА УПОТРЕБА</w:t>
      </w:r>
    </w:p>
    <w:p w14:paraId="4F2AFF89" w14:textId="3F9A0A9A" w:rsidR="00954D2D" w:rsidRDefault="00954D2D" w:rsidP="00954D2D"/>
    <w:p w14:paraId="13959C00" w14:textId="21CE8932" w:rsidR="00954D2D" w:rsidRPr="00954D2D" w:rsidRDefault="00954D2D" w:rsidP="00954D2D">
      <w:r>
        <w:lastRenderedPageBreak/>
        <w:t>20060147</w:t>
      </w:r>
    </w:p>
    <w:p w14:paraId="2CCB5832" w14:textId="0B720A33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0FE017F" w14:textId="1B8C3D1B" w:rsidR="00954D2D" w:rsidRDefault="00954D2D" w:rsidP="00954D2D"/>
    <w:p w14:paraId="58AC6672" w14:textId="77777777" w:rsidR="00954D2D" w:rsidRPr="00954D2D" w:rsidRDefault="00954D2D" w:rsidP="00954D2D">
      <w:pPr>
        <w:rPr>
          <w:sz w:val="24"/>
          <w:szCs w:val="24"/>
        </w:rPr>
      </w:pPr>
      <w:r w:rsidRPr="00954D2D">
        <w:rPr>
          <w:lang w:eastAsia="bg-BG"/>
        </w:rPr>
        <w:t>Дата на първо разрешване: 03 Април 2006</w:t>
      </w:r>
    </w:p>
    <w:p w14:paraId="6E10F1B9" w14:textId="68E30DA9" w:rsidR="00954D2D" w:rsidRPr="00954D2D" w:rsidRDefault="00954D2D" w:rsidP="00954D2D">
      <w:r w:rsidRPr="00954D2D">
        <w:rPr>
          <w:lang w:eastAsia="bg-BG"/>
        </w:rPr>
        <w:t>Дата на последно подновяване: 04 Ноември 2010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151FEBC" w:rsidR="007C605B" w:rsidRPr="003E3126" w:rsidRDefault="00954D2D" w:rsidP="00954D2D">
      <w:r>
        <w:t>10/2014</w:t>
      </w:r>
      <w:bookmarkStart w:id="3" w:name="_GoBack"/>
      <w:bookmarkEnd w:id="3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A297B"/>
    <w:multiLevelType w:val="hybridMultilevel"/>
    <w:tmpl w:val="01D45B40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1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54D2D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2575</Words>
  <Characters>14681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2021-12-02T17:45:00Z</dcterms:created>
  <dcterms:modified xsi:type="dcterms:W3CDTF">2021-12-02T17:45:00Z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