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1"/>
        <w:jc w:val="center"/>
      </w:pPr>
      <w:bookmarkStart w:id="0" w:name="_Hlk63124480"/>
      <w:r>
        <w:t>КРАТКА ХАРАКТЕРИСТИКА НА ПРОДУКТА</w:t>
      </w:r>
    </w:p>
    <w:p w14:paraId="3B239815" w14:textId="4BE98235" w:rsidR="00AA23EC" w:rsidRDefault="00DD466D" w:rsidP="00DD466D">
      <w:pPr>
        <w:pStyle w:val="1"/>
      </w:pPr>
      <w:r>
        <w:t>1.ИМЕ НА ЛЕКАРСТВЕНИЯ ПРОДУКТ</w:t>
      </w:r>
    </w:p>
    <w:p w14:paraId="58351115" w14:textId="06DD26B4" w:rsidR="00777B82" w:rsidRDefault="00777B82" w:rsidP="00777B82"/>
    <w:p w14:paraId="4D2945F3" w14:textId="77777777" w:rsidR="00777B82" w:rsidRPr="00777B82" w:rsidRDefault="00777B82" w:rsidP="00777B82">
      <w:pPr>
        <w:rPr>
          <w:sz w:val="24"/>
          <w:szCs w:val="24"/>
          <w:lang w:val="en-US"/>
        </w:rPr>
      </w:pPr>
      <w:proofErr w:type="spellStart"/>
      <w:r w:rsidRPr="00777B82">
        <w:rPr>
          <w:lang w:eastAsia="bg-BG"/>
        </w:rPr>
        <w:t>Моксотенс</w:t>
      </w:r>
      <w:proofErr w:type="spellEnd"/>
      <w:r w:rsidRPr="00777B82">
        <w:rPr>
          <w:lang w:eastAsia="bg-BG"/>
        </w:rPr>
        <w:t xml:space="preserve"> 0,2 </w:t>
      </w:r>
      <w:r w:rsidRPr="00777B82">
        <w:rPr>
          <w:lang w:val="en-US"/>
        </w:rPr>
        <w:t xml:space="preserve">mg </w:t>
      </w:r>
      <w:r w:rsidRPr="00777B82">
        <w:rPr>
          <w:lang w:eastAsia="bg-BG"/>
        </w:rPr>
        <w:t>филмирани таблетки</w:t>
      </w:r>
    </w:p>
    <w:p w14:paraId="436D612E" w14:textId="77777777" w:rsidR="00777B82" w:rsidRPr="00777B82" w:rsidRDefault="00777B82" w:rsidP="00777B82">
      <w:pPr>
        <w:rPr>
          <w:sz w:val="24"/>
          <w:szCs w:val="24"/>
          <w:lang w:val="en-US"/>
        </w:rPr>
      </w:pPr>
      <w:proofErr w:type="spellStart"/>
      <w:r w:rsidRPr="00777B82">
        <w:rPr>
          <w:lang w:val="en-US"/>
        </w:rPr>
        <w:t>Moxotens</w:t>
      </w:r>
      <w:proofErr w:type="spellEnd"/>
      <w:r w:rsidRPr="00777B82">
        <w:rPr>
          <w:lang w:val="en-US"/>
        </w:rPr>
        <w:t xml:space="preserve"> </w:t>
      </w:r>
      <w:r w:rsidRPr="00777B82">
        <w:rPr>
          <w:lang w:eastAsia="bg-BG"/>
        </w:rPr>
        <w:t xml:space="preserve">0,2 </w:t>
      </w:r>
      <w:r w:rsidRPr="00777B82">
        <w:rPr>
          <w:lang w:val="en-US"/>
        </w:rPr>
        <w:t>mg film-coated tablets</w:t>
      </w:r>
    </w:p>
    <w:p w14:paraId="57BD50AC" w14:textId="77777777" w:rsidR="00777B82" w:rsidRDefault="00777B82" w:rsidP="00777B82">
      <w:pPr>
        <w:rPr>
          <w:lang w:eastAsia="bg-BG"/>
        </w:rPr>
      </w:pPr>
    </w:p>
    <w:p w14:paraId="5635FCBF" w14:textId="3487C5D5" w:rsidR="00777B82" w:rsidRPr="00777B82" w:rsidRDefault="00777B82" w:rsidP="00777B82">
      <w:pPr>
        <w:rPr>
          <w:sz w:val="24"/>
          <w:szCs w:val="24"/>
          <w:lang w:val="en-US"/>
        </w:rPr>
      </w:pPr>
      <w:proofErr w:type="spellStart"/>
      <w:r w:rsidRPr="00777B82">
        <w:rPr>
          <w:lang w:eastAsia="bg-BG"/>
        </w:rPr>
        <w:t>Моксотенс</w:t>
      </w:r>
      <w:proofErr w:type="spellEnd"/>
      <w:r w:rsidRPr="00777B82">
        <w:rPr>
          <w:lang w:eastAsia="bg-BG"/>
        </w:rPr>
        <w:t xml:space="preserve"> </w:t>
      </w:r>
      <w:r w:rsidRPr="00777B82">
        <w:rPr>
          <w:lang w:val="en-US"/>
        </w:rPr>
        <w:t xml:space="preserve">0,4 mg </w:t>
      </w:r>
      <w:r w:rsidRPr="00777B82">
        <w:rPr>
          <w:lang w:eastAsia="bg-BG"/>
        </w:rPr>
        <w:t>филмирани таблетки</w:t>
      </w:r>
    </w:p>
    <w:p w14:paraId="6D227339" w14:textId="702E1FD3" w:rsidR="00777B82" w:rsidRPr="00777B82" w:rsidRDefault="00777B82" w:rsidP="00777B82">
      <w:proofErr w:type="spellStart"/>
      <w:r w:rsidRPr="00777B82">
        <w:rPr>
          <w:lang w:val="en-US"/>
        </w:rPr>
        <w:t>Moxotens</w:t>
      </w:r>
      <w:proofErr w:type="spellEnd"/>
      <w:r w:rsidRPr="00777B82">
        <w:rPr>
          <w:lang w:val="en-US"/>
        </w:rPr>
        <w:t xml:space="preserve"> </w:t>
      </w:r>
      <w:r w:rsidRPr="00777B82">
        <w:rPr>
          <w:lang w:eastAsia="bg-BG"/>
        </w:rPr>
        <w:t xml:space="preserve">0,4 </w:t>
      </w:r>
      <w:r w:rsidRPr="00777B82">
        <w:rPr>
          <w:lang w:val="en-US"/>
        </w:rPr>
        <w:t>mg film-coated tablets</w:t>
      </w:r>
    </w:p>
    <w:p w14:paraId="4D88B710" w14:textId="6A766848" w:rsidR="00D86297" w:rsidRDefault="00DD466D" w:rsidP="00AA23EC">
      <w:pPr>
        <w:pStyle w:val="1"/>
      </w:pPr>
      <w:r>
        <w:t>2. КАЧЕСТВЕН И КОЛИЧЕСТВЕН СЪСТАВ</w:t>
      </w:r>
    </w:p>
    <w:p w14:paraId="5B8B8BB0" w14:textId="137AD09B" w:rsidR="00777B82" w:rsidRDefault="00777B82" w:rsidP="00777B82"/>
    <w:p w14:paraId="375B43EC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Всяка филмирана таблетка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Моксотенс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0,2 </w:t>
      </w:r>
      <w:r w:rsidRPr="00777B82">
        <w:rPr>
          <w:rFonts w:eastAsia="Times New Roman" w:cs="Arial"/>
          <w:color w:val="000000"/>
          <w:lang w:val="en-US"/>
        </w:rPr>
        <w:t xml:space="preserve">mg </w:t>
      </w:r>
      <w:r w:rsidRPr="00777B82">
        <w:rPr>
          <w:rFonts w:eastAsia="Times New Roman" w:cs="Arial"/>
          <w:color w:val="000000"/>
          <w:lang w:eastAsia="bg-BG"/>
        </w:rPr>
        <w:t xml:space="preserve">съдържа активно вещество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</w:t>
      </w:r>
      <w:r w:rsidRPr="00777B82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777B82">
        <w:rPr>
          <w:rFonts w:eastAsia="Times New Roman" w:cs="Arial"/>
          <w:i/>
          <w:iCs/>
          <w:color w:val="000000"/>
          <w:lang w:val="en-US"/>
        </w:rPr>
        <w:t>moxonidine</w:t>
      </w:r>
      <w:proofErr w:type="spellEnd"/>
      <w:r w:rsidRPr="00777B82">
        <w:rPr>
          <w:rFonts w:eastAsia="Times New Roman" w:cs="Arial"/>
          <w:i/>
          <w:iCs/>
          <w:color w:val="000000"/>
          <w:lang w:val="en-US"/>
        </w:rPr>
        <w:t>)</w:t>
      </w:r>
      <w:r w:rsidRPr="00777B82">
        <w:rPr>
          <w:rFonts w:eastAsia="Times New Roman" w:cs="Arial"/>
          <w:color w:val="000000"/>
          <w:lang w:val="en-US"/>
        </w:rPr>
        <w:t xml:space="preserve"> </w:t>
      </w:r>
      <w:r w:rsidRPr="00777B82">
        <w:rPr>
          <w:rFonts w:eastAsia="Times New Roman" w:cs="Arial"/>
          <w:color w:val="000000"/>
          <w:lang w:eastAsia="bg-BG"/>
        </w:rPr>
        <w:t xml:space="preserve">0,2 </w:t>
      </w:r>
      <w:r w:rsidRPr="00777B82">
        <w:rPr>
          <w:rFonts w:eastAsia="Times New Roman" w:cs="Arial"/>
          <w:color w:val="000000"/>
          <w:lang w:val="en-US"/>
        </w:rPr>
        <w:t>mg.</w:t>
      </w:r>
    </w:p>
    <w:p w14:paraId="43498D00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Всяка филмирана таблетка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Моксотенс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0,4 </w:t>
      </w:r>
      <w:r w:rsidRPr="00777B82">
        <w:rPr>
          <w:rFonts w:eastAsia="Times New Roman" w:cs="Arial"/>
          <w:color w:val="000000"/>
          <w:lang w:val="en-US"/>
        </w:rPr>
        <w:t xml:space="preserve">mg </w:t>
      </w:r>
      <w:r w:rsidRPr="00777B82">
        <w:rPr>
          <w:rFonts w:eastAsia="Times New Roman" w:cs="Arial"/>
          <w:color w:val="000000"/>
          <w:lang w:eastAsia="bg-BG"/>
        </w:rPr>
        <w:t xml:space="preserve">съдържа активно вещество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</w:t>
      </w:r>
      <w:r w:rsidRPr="00777B82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777B82">
        <w:rPr>
          <w:rFonts w:eastAsia="Times New Roman" w:cs="Arial"/>
          <w:i/>
          <w:iCs/>
          <w:color w:val="000000"/>
          <w:lang w:val="en-US"/>
        </w:rPr>
        <w:t>moxonidine</w:t>
      </w:r>
      <w:proofErr w:type="spellEnd"/>
      <w:r w:rsidRPr="00777B82">
        <w:rPr>
          <w:rFonts w:eastAsia="Times New Roman" w:cs="Arial"/>
          <w:i/>
          <w:iCs/>
          <w:color w:val="000000"/>
          <w:lang w:val="en-US"/>
        </w:rPr>
        <w:t>)</w:t>
      </w:r>
      <w:r w:rsidRPr="00777B82">
        <w:rPr>
          <w:rFonts w:eastAsia="Times New Roman" w:cs="Arial"/>
          <w:color w:val="000000"/>
          <w:lang w:val="en-US"/>
        </w:rPr>
        <w:t xml:space="preserve"> </w:t>
      </w:r>
      <w:r w:rsidRPr="00777B82">
        <w:rPr>
          <w:rFonts w:eastAsia="Times New Roman" w:cs="Arial"/>
          <w:color w:val="000000"/>
          <w:lang w:eastAsia="bg-BG"/>
        </w:rPr>
        <w:t xml:space="preserve">0,4 </w:t>
      </w:r>
      <w:r w:rsidRPr="00777B82">
        <w:rPr>
          <w:rFonts w:eastAsia="Times New Roman" w:cs="Arial"/>
          <w:color w:val="000000"/>
          <w:lang w:val="en-US"/>
        </w:rPr>
        <w:t>mg.</w:t>
      </w:r>
    </w:p>
    <w:p w14:paraId="77AF6A0E" w14:textId="77777777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B311C9" w14:textId="006D2EF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u w:val="single"/>
          <w:lang w:eastAsia="bg-BG"/>
        </w:rPr>
        <w:t>Помощно вещество с известно действие</w:t>
      </w:r>
      <w:r w:rsidRPr="00777B82">
        <w:rPr>
          <w:rFonts w:eastAsia="Times New Roman" w:cs="Arial"/>
          <w:color w:val="000000"/>
          <w:lang w:eastAsia="bg-BG"/>
        </w:rPr>
        <w:t>:</w:t>
      </w:r>
    </w:p>
    <w:p w14:paraId="2BBE5597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Всяка филмирана таблетка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Моксотенс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0,2 </w:t>
      </w:r>
      <w:r w:rsidRPr="00777B82">
        <w:rPr>
          <w:rFonts w:eastAsia="Times New Roman" w:cs="Arial"/>
          <w:color w:val="000000"/>
          <w:lang w:val="en-US"/>
        </w:rPr>
        <w:t xml:space="preserve">mg </w:t>
      </w:r>
      <w:r w:rsidRPr="00777B82">
        <w:rPr>
          <w:rFonts w:eastAsia="Times New Roman" w:cs="Arial"/>
          <w:color w:val="000000"/>
          <w:lang w:eastAsia="bg-BG"/>
        </w:rPr>
        <w:t xml:space="preserve">съдържа 94,5 </w:t>
      </w:r>
      <w:r w:rsidRPr="00777B82">
        <w:rPr>
          <w:rFonts w:eastAsia="Times New Roman" w:cs="Arial"/>
          <w:color w:val="000000"/>
          <w:lang w:val="en-US"/>
        </w:rPr>
        <w:t xml:space="preserve">mg </w:t>
      </w:r>
      <w:r w:rsidRPr="00777B82">
        <w:rPr>
          <w:rFonts w:eastAsia="Times New Roman" w:cs="Arial"/>
          <w:color w:val="000000"/>
          <w:lang w:eastAsia="bg-BG"/>
        </w:rPr>
        <w:t xml:space="preserve">лактоза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777B82">
        <w:rPr>
          <w:rFonts w:eastAsia="Times New Roman" w:cs="Arial"/>
          <w:color w:val="000000"/>
          <w:lang w:eastAsia="bg-BG"/>
        </w:rPr>
        <w:t>.</w:t>
      </w:r>
    </w:p>
    <w:p w14:paraId="69A192D6" w14:textId="3FE64837" w:rsidR="00777B82" w:rsidRPr="00777B82" w:rsidRDefault="00777B82" w:rsidP="00777B82">
      <w:pPr>
        <w:rPr>
          <w:rFonts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Всяка филмирана таблетка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Моксотенс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0,4 </w:t>
      </w:r>
      <w:r w:rsidRPr="00777B82">
        <w:rPr>
          <w:rFonts w:eastAsia="Times New Roman" w:cs="Arial"/>
          <w:color w:val="000000"/>
          <w:lang w:val="en-US"/>
        </w:rPr>
        <w:t xml:space="preserve">mg </w:t>
      </w:r>
      <w:r w:rsidRPr="00777B82">
        <w:rPr>
          <w:rFonts w:eastAsia="Times New Roman" w:cs="Arial"/>
          <w:color w:val="000000"/>
          <w:lang w:eastAsia="bg-BG"/>
        </w:rPr>
        <w:t xml:space="preserve">съдържа 94,3 </w:t>
      </w:r>
      <w:r w:rsidRPr="00777B82">
        <w:rPr>
          <w:rFonts w:eastAsia="Times New Roman" w:cs="Arial"/>
          <w:color w:val="000000"/>
          <w:lang w:val="en-US"/>
        </w:rPr>
        <w:t xml:space="preserve">mg </w:t>
      </w:r>
      <w:r w:rsidRPr="00777B82">
        <w:rPr>
          <w:rFonts w:eastAsia="Times New Roman" w:cs="Arial"/>
          <w:color w:val="000000"/>
          <w:lang w:eastAsia="bg-BG"/>
        </w:rPr>
        <w:t xml:space="preserve">лактоза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777B82">
        <w:rPr>
          <w:rFonts w:eastAsia="Times New Roman" w:cs="Arial"/>
          <w:color w:val="000000"/>
          <w:lang w:eastAsia="bg-BG"/>
        </w:rPr>
        <w:t>.</w:t>
      </w:r>
    </w:p>
    <w:p w14:paraId="5E332777" w14:textId="2FD04934" w:rsidR="005A66D9" w:rsidRDefault="00DD466D" w:rsidP="00CA1B57">
      <w:pPr>
        <w:pStyle w:val="1"/>
      </w:pPr>
      <w:r>
        <w:t>3. ЛЕКАРСТВЕНА ФОРМА</w:t>
      </w:r>
    </w:p>
    <w:p w14:paraId="649527A1" w14:textId="491E403A" w:rsidR="00777B82" w:rsidRDefault="00777B82" w:rsidP="00777B82"/>
    <w:p w14:paraId="3F658AD6" w14:textId="77777777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>Филмирана таблетка</w:t>
      </w:r>
    </w:p>
    <w:p w14:paraId="73BC471A" w14:textId="77777777" w:rsidR="00777B82" w:rsidRDefault="00777B82" w:rsidP="00777B82">
      <w:pPr>
        <w:rPr>
          <w:lang w:eastAsia="bg-BG"/>
        </w:rPr>
      </w:pPr>
    </w:p>
    <w:p w14:paraId="358C0D6F" w14:textId="75706414" w:rsidR="00777B82" w:rsidRPr="00777B82" w:rsidRDefault="00777B82" w:rsidP="00777B82">
      <w:pPr>
        <w:rPr>
          <w:sz w:val="24"/>
          <w:szCs w:val="24"/>
        </w:rPr>
      </w:pPr>
      <w:proofErr w:type="spellStart"/>
      <w:r w:rsidRPr="00777B82">
        <w:rPr>
          <w:lang w:eastAsia="bg-BG"/>
        </w:rPr>
        <w:t>Моксотенс</w:t>
      </w:r>
      <w:proofErr w:type="spellEnd"/>
      <w:r w:rsidRPr="00777B82">
        <w:rPr>
          <w:lang w:eastAsia="bg-BG"/>
        </w:rPr>
        <w:t xml:space="preserve"> 0,2 </w:t>
      </w:r>
      <w:r w:rsidRPr="00777B82">
        <w:rPr>
          <w:lang w:val="en-US"/>
        </w:rPr>
        <w:t xml:space="preserve">mg- </w:t>
      </w:r>
      <w:r w:rsidRPr="00777B82">
        <w:rPr>
          <w:lang w:eastAsia="bg-BG"/>
        </w:rPr>
        <w:t>светлорозови, кръгли, двойноизпъкнали, филмирани таблетки.</w:t>
      </w:r>
    </w:p>
    <w:p w14:paraId="2892CAC3" w14:textId="58EC1F0F" w:rsidR="00777B82" w:rsidRPr="00777B82" w:rsidRDefault="00777B82" w:rsidP="00777B82">
      <w:proofErr w:type="spellStart"/>
      <w:r w:rsidRPr="00777B82">
        <w:rPr>
          <w:lang w:eastAsia="bg-BG"/>
        </w:rPr>
        <w:t>Моксотенс</w:t>
      </w:r>
      <w:proofErr w:type="spellEnd"/>
      <w:r w:rsidRPr="00777B82">
        <w:rPr>
          <w:lang w:eastAsia="bg-BG"/>
        </w:rPr>
        <w:t xml:space="preserve"> 0,4 </w:t>
      </w:r>
      <w:r w:rsidRPr="00777B82">
        <w:rPr>
          <w:lang w:val="en-US"/>
        </w:rPr>
        <w:t xml:space="preserve">mg </w:t>
      </w:r>
      <w:r w:rsidRPr="00777B82">
        <w:rPr>
          <w:lang w:eastAsia="bg-BG"/>
        </w:rPr>
        <w:t xml:space="preserve">- </w:t>
      </w:r>
      <w:proofErr w:type="spellStart"/>
      <w:r w:rsidRPr="00777B82">
        <w:rPr>
          <w:lang w:eastAsia="bg-BG"/>
        </w:rPr>
        <w:t>тъмнорозови</w:t>
      </w:r>
      <w:proofErr w:type="spellEnd"/>
      <w:r w:rsidRPr="00777B82">
        <w:rPr>
          <w:lang w:eastAsia="bg-BG"/>
        </w:rPr>
        <w:t>, кръгли, двойноизпъкнали, филмирани таблетки.</w:t>
      </w:r>
    </w:p>
    <w:p w14:paraId="490FC2C4" w14:textId="77777777" w:rsidR="002C50EE" w:rsidRDefault="002C50EE" w:rsidP="002C50EE">
      <w:pPr>
        <w:pStyle w:val="1"/>
      </w:pPr>
      <w:r>
        <w:t>4. КЛИНИЧНИ ДАННИ</w:t>
      </w:r>
    </w:p>
    <w:p w14:paraId="1512A286" w14:textId="2888A462" w:rsidR="00FD69E8" w:rsidRDefault="002C50EE" w:rsidP="00AA23EC">
      <w:pPr>
        <w:pStyle w:val="2"/>
      </w:pPr>
      <w:r>
        <w:t>4.1. Терапевтични показания</w:t>
      </w:r>
    </w:p>
    <w:p w14:paraId="1D171A12" w14:textId="1900A9C2" w:rsidR="003765DC" w:rsidRDefault="003765DC" w:rsidP="003765DC"/>
    <w:p w14:paraId="497D2DF3" w14:textId="033AAFB4" w:rsidR="00777B82" w:rsidRDefault="00777B82" w:rsidP="00777B82">
      <w:r>
        <w:t xml:space="preserve">Лека до средно тежка есенциална </w:t>
      </w:r>
      <w:proofErr w:type="spellStart"/>
      <w:r>
        <w:t>хипертензия</w:t>
      </w:r>
      <w:proofErr w:type="spellEnd"/>
      <w:r>
        <w:t>.</w:t>
      </w:r>
    </w:p>
    <w:p w14:paraId="7D733898" w14:textId="77777777" w:rsidR="00777B82" w:rsidRPr="003765DC" w:rsidRDefault="00777B82" w:rsidP="00777B82"/>
    <w:p w14:paraId="66024DB0" w14:textId="6C0924A6" w:rsidR="003765DC" w:rsidRDefault="002C50EE" w:rsidP="002B3C38">
      <w:pPr>
        <w:pStyle w:val="2"/>
      </w:pPr>
      <w:r>
        <w:t>4.2. Дозировка и начин на приложение</w:t>
      </w:r>
    </w:p>
    <w:p w14:paraId="35CFE2C0" w14:textId="484F25DE" w:rsidR="00777B82" w:rsidRDefault="00777B82" w:rsidP="00777B82"/>
    <w:p w14:paraId="43B065E2" w14:textId="77777777" w:rsidR="00777B82" w:rsidRPr="00777B82" w:rsidRDefault="00777B82" w:rsidP="00777B82">
      <w:pPr>
        <w:pStyle w:val="3"/>
        <w:rPr>
          <w:rFonts w:eastAsia="Times New Roman"/>
          <w:u w:val="single"/>
        </w:rPr>
      </w:pPr>
      <w:r w:rsidRPr="00777B82">
        <w:rPr>
          <w:rFonts w:eastAsia="Times New Roman"/>
          <w:u w:val="single"/>
          <w:lang w:eastAsia="bg-BG"/>
        </w:rPr>
        <w:t>Дозировка</w:t>
      </w:r>
    </w:p>
    <w:p w14:paraId="61416D0F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i/>
          <w:iCs/>
          <w:color w:val="000000"/>
          <w:lang w:eastAsia="bg-BG"/>
        </w:rPr>
        <w:t>Възрастни</w:t>
      </w:r>
    </w:p>
    <w:p w14:paraId="2601D01D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Лечението трябва да започне с най-ниската доза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. Това означава дневна доза от 0,2 </w:t>
      </w:r>
      <w:r w:rsidRPr="00777B82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, приета сутрин. При незадоволителен терапевтичен отговор дозата може да се повиши след три седмици до 0,4 </w:t>
      </w:r>
      <w:r w:rsidRPr="00777B82">
        <w:rPr>
          <w:rFonts w:eastAsia="Times New Roman" w:cs="Arial"/>
          <w:color w:val="000000"/>
          <w:lang w:val="en-US"/>
        </w:rPr>
        <w:t xml:space="preserve">mg. </w:t>
      </w:r>
      <w:r w:rsidRPr="00777B82">
        <w:rPr>
          <w:rFonts w:eastAsia="Times New Roman" w:cs="Arial"/>
          <w:color w:val="000000"/>
          <w:lang w:eastAsia="bg-BG"/>
        </w:rPr>
        <w:t xml:space="preserve">Тази дневна доза може да се приеме еднократно (сутрин) или да се раздели на два приема (сутрин и вечер). Ако терапевтичният отговор отново е незадоволителен дневната след още три седмици дозата може да се повиши до максимум 0,6 </w:t>
      </w:r>
      <w:r w:rsidRPr="00777B82">
        <w:rPr>
          <w:rFonts w:eastAsia="Times New Roman" w:cs="Arial"/>
          <w:color w:val="000000"/>
          <w:lang w:val="en-US"/>
        </w:rPr>
        <w:t xml:space="preserve">mg, </w:t>
      </w:r>
      <w:r w:rsidRPr="00777B82">
        <w:rPr>
          <w:rFonts w:eastAsia="Times New Roman" w:cs="Arial"/>
          <w:color w:val="000000"/>
          <w:lang w:eastAsia="bg-BG"/>
        </w:rPr>
        <w:t>разделени на два приема (сутрин и вечер).</w:t>
      </w:r>
    </w:p>
    <w:p w14:paraId="2E999F16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lastRenderedPageBreak/>
        <w:t xml:space="preserve">Еднократна доза от 0,4 </w:t>
      </w:r>
      <w:r w:rsidRPr="00777B82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и дневна доза от 0,6 </w:t>
      </w:r>
      <w:r w:rsidRPr="00777B82">
        <w:rPr>
          <w:rFonts w:eastAsia="Times New Roman" w:cs="Arial"/>
          <w:color w:val="000000"/>
          <w:lang w:val="en-US"/>
        </w:rPr>
        <w:t xml:space="preserve">mg </w:t>
      </w:r>
      <w:r w:rsidRPr="00777B82">
        <w:rPr>
          <w:rFonts w:eastAsia="Times New Roman" w:cs="Arial"/>
          <w:color w:val="000000"/>
          <w:lang w:eastAsia="bg-BG"/>
        </w:rPr>
        <w:t>не трябва да се надвишават.</w:t>
      </w:r>
    </w:p>
    <w:p w14:paraId="5324605A" w14:textId="77777777" w:rsidR="00777B82" w:rsidRPr="00777B82" w:rsidRDefault="00777B82" w:rsidP="00777B8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678CB75" w14:textId="02C177FA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732237BE" w14:textId="35912ED2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lang w:eastAsia="bg-BG"/>
        </w:rPr>
      </w:pP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не трябва да се прилага при деца и юноши под 16-годишна възраст, тъй като няма достатъчно данни за терапевтична употреба.</w:t>
      </w:r>
    </w:p>
    <w:p w14:paraId="1DBDFBC4" w14:textId="1C706100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FBC065D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i/>
          <w:iCs/>
          <w:color w:val="000000"/>
          <w:lang w:eastAsia="bg-BG"/>
        </w:rPr>
        <w:t>Пациенти в старческа възраст:</w:t>
      </w:r>
    </w:p>
    <w:p w14:paraId="1B4D068A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При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неувредена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бъбречна функция дозите са като при възрастни.</w:t>
      </w:r>
    </w:p>
    <w:p w14:paraId="37A71150" w14:textId="77777777" w:rsidR="00777B82" w:rsidRPr="00777B82" w:rsidRDefault="00777B82" w:rsidP="00777B8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5008D35" w14:textId="594E9B42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i/>
          <w:iCs/>
          <w:color w:val="000000"/>
          <w:lang w:eastAsia="bg-BG"/>
        </w:rPr>
        <w:t>Бъбречно увреждане</w:t>
      </w:r>
    </w:p>
    <w:p w14:paraId="3136297C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При пациенти с умерено нарушена бъбречна функция (скорост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гломерулна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филтрация </w:t>
      </w:r>
      <w:r w:rsidRPr="00777B82">
        <w:rPr>
          <w:rFonts w:eastAsia="Times New Roman" w:cs="Arial"/>
          <w:color w:val="000000"/>
          <w:lang w:val="en-US"/>
        </w:rPr>
        <w:t xml:space="preserve">(GFR) </w:t>
      </w:r>
      <w:r w:rsidRPr="00777B82">
        <w:rPr>
          <w:rFonts w:eastAsia="Times New Roman" w:cs="Arial"/>
          <w:color w:val="000000"/>
          <w:lang w:eastAsia="bg-BG"/>
        </w:rPr>
        <w:t xml:space="preserve">&gt; 30 </w:t>
      </w:r>
      <w:r w:rsidRPr="00777B82">
        <w:rPr>
          <w:rFonts w:eastAsia="Times New Roman" w:cs="Arial"/>
          <w:color w:val="000000"/>
          <w:lang w:val="en-US"/>
        </w:rPr>
        <w:t xml:space="preserve">ml/min, </w:t>
      </w:r>
      <w:r w:rsidRPr="00777B82">
        <w:rPr>
          <w:rFonts w:eastAsia="Times New Roman" w:cs="Arial"/>
          <w:color w:val="000000"/>
          <w:lang w:eastAsia="bg-BG"/>
        </w:rPr>
        <w:t xml:space="preserve">но &lt; 60 </w:t>
      </w:r>
      <w:r w:rsidRPr="00777B82">
        <w:rPr>
          <w:rFonts w:eastAsia="Times New Roman" w:cs="Arial"/>
          <w:color w:val="000000"/>
          <w:lang w:val="en-US"/>
        </w:rPr>
        <w:t xml:space="preserve">ml/min) </w:t>
      </w:r>
      <w:r w:rsidRPr="00777B82">
        <w:rPr>
          <w:rFonts w:eastAsia="Times New Roman" w:cs="Arial"/>
          <w:color w:val="000000"/>
          <w:lang w:eastAsia="bg-BG"/>
        </w:rPr>
        <w:t xml:space="preserve">лечението трябва да започне с дневна доза от 0,2 </w:t>
      </w:r>
      <w:r w:rsidRPr="00777B82">
        <w:rPr>
          <w:rFonts w:eastAsia="Times New Roman" w:cs="Arial"/>
          <w:color w:val="000000"/>
          <w:lang w:val="en-US"/>
        </w:rPr>
        <w:t xml:space="preserve">mg. </w:t>
      </w:r>
      <w:r w:rsidRPr="00777B82">
        <w:rPr>
          <w:rFonts w:eastAsia="Times New Roman" w:cs="Arial"/>
          <w:color w:val="000000"/>
          <w:lang w:eastAsia="bg-BG"/>
        </w:rPr>
        <w:t xml:space="preserve">При клинични показания и добра поносимост дневната доза може да се повиши до максимум 0,4 </w:t>
      </w:r>
      <w:r w:rsidRPr="00777B82">
        <w:rPr>
          <w:rFonts w:eastAsia="Times New Roman" w:cs="Arial"/>
          <w:color w:val="000000"/>
          <w:lang w:val="en-US"/>
        </w:rPr>
        <w:t xml:space="preserve">mg. </w:t>
      </w:r>
      <w:r w:rsidRPr="00777B82">
        <w:rPr>
          <w:rFonts w:eastAsia="Times New Roman" w:cs="Arial"/>
          <w:color w:val="000000"/>
          <w:lang w:eastAsia="bg-BG"/>
        </w:rPr>
        <w:t xml:space="preserve">При пациенти с тежко увреждане на бъбречната функция </w:t>
      </w:r>
      <w:r w:rsidRPr="00777B82">
        <w:rPr>
          <w:rFonts w:eastAsia="Times New Roman" w:cs="Arial"/>
          <w:color w:val="000000"/>
          <w:lang w:val="en-US"/>
        </w:rPr>
        <w:t xml:space="preserve">(GFR </w:t>
      </w:r>
      <w:r w:rsidRPr="00777B82">
        <w:rPr>
          <w:rFonts w:eastAsia="Times New Roman" w:cs="Arial"/>
          <w:color w:val="000000"/>
          <w:lang w:eastAsia="bg-BG"/>
        </w:rPr>
        <w:t xml:space="preserve">&lt; 30 </w:t>
      </w:r>
      <w:r w:rsidRPr="00777B82">
        <w:rPr>
          <w:rFonts w:eastAsia="Times New Roman" w:cs="Arial"/>
          <w:color w:val="000000"/>
          <w:lang w:val="en-US"/>
        </w:rPr>
        <w:t xml:space="preserve">ml/min) </w:t>
      </w:r>
      <w:r w:rsidRPr="00777B82">
        <w:rPr>
          <w:rFonts w:eastAsia="Times New Roman" w:cs="Arial"/>
          <w:color w:val="000000"/>
          <w:lang w:eastAsia="bg-BG"/>
        </w:rPr>
        <w:t xml:space="preserve">лечението също може да започне с дневна доза от 0,2 </w:t>
      </w:r>
      <w:r w:rsidRPr="00777B82">
        <w:rPr>
          <w:rFonts w:eastAsia="Times New Roman" w:cs="Arial"/>
          <w:color w:val="000000"/>
          <w:lang w:val="en-US"/>
        </w:rPr>
        <w:t xml:space="preserve">mg, </w:t>
      </w:r>
      <w:r w:rsidRPr="00777B82">
        <w:rPr>
          <w:rFonts w:eastAsia="Times New Roman" w:cs="Arial"/>
          <w:color w:val="000000"/>
          <w:lang w:eastAsia="bg-BG"/>
        </w:rPr>
        <w:t xml:space="preserve">която при клинични показания и добра поносимост може да се повиши до максимум 0,3 </w:t>
      </w:r>
      <w:r w:rsidRPr="00777B82">
        <w:rPr>
          <w:rFonts w:eastAsia="Times New Roman" w:cs="Arial"/>
          <w:color w:val="000000"/>
          <w:lang w:val="en-US"/>
        </w:rPr>
        <w:t>mg.</w:t>
      </w:r>
    </w:p>
    <w:p w14:paraId="794EA64C" w14:textId="77777777" w:rsidR="00777B82" w:rsidRPr="00777B82" w:rsidRDefault="00777B82" w:rsidP="00777B8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5E23E03" w14:textId="18BBD7B3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i/>
          <w:iCs/>
          <w:color w:val="000000"/>
          <w:lang w:eastAsia="bg-BG"/>
        </w:rPr>
        <w:t>Чернодробно увреждане</w:t>
      </w:r>
    </w:p>
    <w:p w14:paraId="5371A2E6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Не са провеждани изследвания при пациенти с нарушена чернодробна функция. Въпреки това, тъй като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не подлежи на екстензивен чернодробен метаболизъм не може да се очаква значимо влияние върху фармакокинетиката, поради което препоръките за дозиране при пациенти с чернодробно увреждане са същите, като тези при възрастни.</w:t>
      </w:r>
    </w:p>
    <w:p w14:paraId="38597C50" w14:textId="77777777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833908" w14:textId="1824017B" w:rsidR="00777B82" w:rsidRPr="00777B82" w:rsidRDefault="00777B82" w:rsidP="00777B82">
      <w:pPr>
        <w:pStyle w:val="3"/>
        <w:rPr>
          <w:rFonts w:eastAsia="Times New Roman"/>
          <w:u w:val="single"/>
        </w:rPr>
      </w:pPr>
      <w:r w:rsidRPr="00777B82">
        <w:rPr>
          <w:rFonts w:eastAsia="Times New Roman"/>
          <w:u w:val="single"/>
          <w:lang w:eastAsia="bg-BG"/>
        </w:rPr>
        <w:t>Начин на приложение</w:t>
      </w:r>
    </w:p>
    <w:p w14:paraId="4A2FBBD3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Храната не оказва влияние върху фармакокинетиката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и той може да се приема преди, по време или след хранене. Таблетките трябва да се приемат с достатъчно количество течност.</w:t>
      </w:r>
    </w:p>
    <w:p w14:paraId="751DF138" w14:textId="77777777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4457847" w14:textId="5C02DE7B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>Лечението не трябва да се спира внезапно, а трябва да се прекратява постепенно в продължение на две седмици (вж. точка 4.4).</w:t>
      </w:r>
    </w:p>
    <w:p w14:paraId="1E460BD4" w14:textId="77777777" w:rsidR="00777B82" w:rsidRPr="00777B82" w:rsidRDefault="00777B82" w:rsidP="00777B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C8FCA" w14:textId="77777777" w:rsidR="00777B82" w:rsidRPr="00777B82" w:rsidRDefault="00777B82" w:rsidP="00777B82"/>
    <w:p w14:paraId="1A261012" w14:textId="10998FDA" w:rsidR="003765DC" w:rsidRDefault="002C50EE" w:rsidP="002B3C38">
      <w:pPr>
        <w:pStyle w:val="2"/>
      </w:pPr>
      <w:r>
        <w:t>4.3. Противопоказания</w:t>
      </w:r>
    </w:p>
    <w:p w14:paraId="6E305677" w14:textId="4F71FCE1" w:rsidR="00777B82" w:rsidRDefault="00777B82" w:rsidP="00777B82"/>
    <w:p w14:paraId="00BF9DB1" w14:textId="77777777" w:rsidR="00777B82" w:rsidRPr="00777B82" w:rsidRDefault="00777B82" w:rsidP="00777B82">
      <w:pPr>
        <w:rPr>
          <w:sz w:val="24"/>
          <w:szCs w:val="24"/>
        </w:rPr>
      </w:pP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е противопоказан при пациенти със:</w:t>
      </w:r>
    </w:p>
    <w:p w14:paraId="521133B7" w14:textId="3108F5F6" w:rsidR="00777B82" w:rsidRPr="00777B82" w:rsidRDefault="00777B82" w:rsidP="00777B82">
      <w:pPr>
        <w:pStyle w:val="a3"/>
        <w:numPr>
          <w:ilvl w:val="0"/>
          <w:numId w:val="26"/>
        </w:numPr>
        <w:rPr>
          <w:lang w:eastAsia="bg-BG"/>
        </w:rPr>
      </w:pPr>
      <w:r w:rsidRPr="00777B82">
        <w:rPr>
          <w:lang w:eastAsia="bg-BG"/>
        </w:rPr>
        <w:t>свръхчувствителност към активното вещество или към някое от помощните вещества, изброени в точка 6.1;</w:t>
      </w:r>
    </w:p>
    <w:p w14:paraId="78F9E375" w14:textId="77777777" w:rsidR="00777B82" w:rsidRPr="00777B82" w:rsidRDefault="00777B82" w:rsidP="00777B82">
      <w:pPr>
        <w:pStyle w:val="a3"/>
        <w:numPr>
          <w:ilvl w:val="0"/>
          <w:numId w:val="26"/>
        </w:numPr>
        <w:rPr>
          <w:lang w:eastAsia="bg-BG"/>
        </w:rPr>
      </w:pPr>
      <w:r w:rsidRPr="00777B82">
        <w:rPr>
          <w:lang w:eastAsia="bg-BG"/>
        </w:rPr>
        <w:t>синдром на болния синусов възел;</w:t>
      </w:r>
    </w:p>
    <w:p w14:paraId="2597E748" w14:textId="77777777" w:rsidR="00777B82" w:rsidRPr="00777B82" w:rsidRDefault="00777B82" w:rsidP="00777B82">
      <w:pPr>
        <w:pStyle w:val="a3"/>
        <w:numPr>
          <w:ilvl w:val="0"/>
          <w:numId w:val="26"/>
        </w:numPr>
        <w:rPr>
          <w:lang w:eastAsia="bg-BG"/>
        </w:rPr>
      </w:pPr>
      <w:r w:rsidRPr="00777B82">
        <w:rPr>
          <w:lang w:eastAsia="bg-BG"/>
        </w:rPr>
        <w:t>брадикардия (сърдечна честота &lt; 50 удара/минута в покой);</w:t>
      </w:r>
    </w:p>
    <w:p w14:paraId="4F907EA9" w14:textId="77777777" w:rsidR="00777B82" w:rsidRPr="00777B82" w:rsidRDefault="00777B82" w:rsidP="00777B82">
      <w:pPr>
        <w:pStyle w:val="a3"/>
        <w:numPr>
          <w:ilvl w:val="0"/>
          <w:numId w:val="26"/>
        </w:numPr>
        <w:rPr>
          <w:lang w:val="en-US"/>
        </w:rPr>
      </w:pPr>
      <w:r w:rsidRPr="00777B82">
        <w:rPr>
          <w:lang w:val="en-US"/>
        </w:rPr>
        <w:t>AV</w:t>
      </w:r>
      <w:r w:rsidRPr="00777B82">
        <w:rPr>
          <w:lang w:eastAsia="bg-BG"/>
        </w:rPr>
        <w:t xml:space="preserve">-блок </w:t>
      </w:r>
      <w:r w:rsidRPr="00777B82">
        <w:rPr>
          <w:lang w:val="en-US"/>
        </w:rPr>
        <w:t>II-</w:t>
      </w:r>
      <w:proofErr w:type="spellStart"/>
      <w:r w:rsidRPr="00777B82">
        <w:rPr>
          <w:lang w:eastAsia="bg-BG"/>
        </w:rPr>
        <w:t>ра</w:t>
      </w:r>
      <w:proofErr w:type="spellEnd"/>
      <w:r w:rsidRPr="00777B82">
        <w:rPr>
          <w:lang w:eastAsia="bg-BG"/>
        </w:rPr>
        <w:t xml:space="preserve"> и </w:t>
      </w:r>
      <w:r w:rsidRPr="00777B82">
        <w:rPr>
          <w:lang w:val="en-US"/>
        </w:rPr>
        <w:t>III</w:t>
      </w:r>
      <w:r w:rsidRPr="00777B82">
        <w:rPr>
          <w:lang w:eastAsia="bg-BG"/>
        </w:rPr>
        <w:t>-та степен;</w:t>
      </w:r>
    </w:p>
    <w:p w14:paraId="7557FA80" w14:textId="77777777" w:rsidR="00777B82" w:rsidRPr="00777B82" w:rsidRDefault="00777B82" w:rsidP="00777B82">
      <w:pPr>
        <w:pStyle w:val="a3"/>
        <w:numPr>
          <w:ilvl w:val="0"/>
          <w:numId w:val="26"/>
        </w:numPr>
        <w:rPr>
          <w:lang w:eastAsia="bg-BG"/>
        </w:rPr>
      </w:pPr>
      <w:r w:rsidRPr="00777B82">
        <w:rPr>
          <w:lang w:eastAsia="bg-BG"/>
        </w:rPr>
        <w:t>сърдечна недостатъчност.</w:t>
      </w:r>
    </w:p>
    <w:p w14:paraId="62FF2212" w14:textId="77777777" w:rsidR="00777B82" w:rsidRPr="00777B82" w:rsidRDefault="00777B82" w:rsidP="00777B82"/>
    <w:p w14:paraId="5EF6E7D6" w14:textId="6B0673A0" w:rsidR="003765DC" w:rsidRDefault="002C50EE" w:rsidP="002B3C38">
      <w:pPr>
        <w:pStyle w:val="2"/>
      </w:pPr>
      <w:r>
        <w:t>4.4. Специални предупреждения и предпазни мерки при употреба</w:t>
      </w:r>
    </w:p>
    <w:p w14:paraId="718EC406" w14:textId="0D03009C" w:rsidR="00777B82" w:rsidRDefault="00777B82" w:rsidP="00777B82"/>
    <w:p w14:paraId="65475DA7" w14:textId="77777777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При пациенти на лечение с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в </w:t>
      </w:r>
      <w:proofErr w:type="spellStart"/>
      <w:r w:rsidRPr="00777B82">
        <w:rPr>
          <w:lang w:eastAsia="bg-BG"/>
        </w:rPr>
        <w:t>постмаркетинговия</w:t>
      </w:r>
      <w:proofErr w:type="spellEnd"/>
      <w:r w:rsidRPr="00777B82">
        <w:rPr>
          <w:lang w:eastAsia="bg-BG"/>
        </w:rPr>
        <w:t xml:space="preserve"> период са съобщавани случаи на различна степен на </w:t>
      </w:r>
      <w:r w:rsidRPr="00777B82">
        <w:rPr>
          <w:lang w:val="en-US"/>
        </w:rPr>
        <w:t xml:space="preserve">AV </w:t>
      </w:r>
      <w:r w:rsidRPr="00777B82">
        <w:rPr>
          <w:lang w:eastAsia="bg-BG"/>
        </w:rPr>
        <w:t xml:space="preserve">блок. Въз основа на тези съобщения за отделни случаи не може да се изключи напълно ролята на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, като причина за забавяне на </w:t>
      </w:r>
      <w:proofErr w:type="spellStart"/>
      <w:r w:rsidRPr="00777B82">
        <w:rPr>
          <w:lang w:eastAsia="bg-BG"/>
        </w:rPr>
        <w:lastRenderedPageBreak/>
        <w:t>атриовентрикуларното</w:t>
      </w:r>
      <w:proofErr w:type="spellEnd"/>
      <w:r w:rsidRPr="00777B82">
        <w:rPr>
          <w:lang w:eastAsia="bg-BG"/>
        </w:rPr>
        <w:t xml:space="preserve"> провеждане. Ето защо, се препоръчва повишено внимание при лечение на пациенти с възможна предразположеност към развитие на </w:t>
      </w:r>
      <w:r w:rsidRPr="00777B82">
        <w:rPr>
          <w:lang w:val="en-US"/>
        </w:rPr>
        <w:t xml:space="preserve">AV </w:t>
      </w:r>
      <w:r w:rsidRPr="00777B82">
        <w:rPr>
          <w:lang w:eastAsia="bg-BG"/>
        </w:rPr>
        <w:t>блок.</w:t>
      </w:r>
    </w:p>
    <w:p w14:paraId="7DE0B0D9" w14:textId="77777777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Когато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се използва при пациенти с първа степен на </w:t>
      </w:r>
      <w:r w:rsidRPr="00777B82">
        <w:rPr>
          <w:lang w:val="en-US"/>
        </w:rPr>
        <w:t xml:space="preserve">AV </w:t>
      </w:r>
      <w:r w:rsidRPr="00777B82">
        <w:rPr>
          <w:lang w:eastAsia="bg-BG"/>
        </w:rPr>
        <w:t xml:space="preserve">блок, се изисква специално внимание за да се предотврати появата на брадикардия.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не трябва да се използва при по-висока степен на </w:t>
      </w:r>
      <w:r w:rsidRPr="00777B82">
        <w:rPr>
          <w:lang w:val="en-US"/>
        </w:rPr>
        <w:t xml:space="preserve">AV </w:t>
      </w:r>
      <w:r w:rsidRPr="00777B82">
        <w:rPr>
          <w:lang w:eastAsia="bg-BG"/>
        </w:rPr>
        <w:t>блок (вж. точка 4.3).</w:t>
      </w:r>
    </w:p>
    <w:p w14:paraId="1FB08FBF" w14:textId="77777777" w:rsidR="00777B82" w:rsidRDefault="00777B82" w:rsidP="00777B82">
      <w:pPr>
        <w:rPr>
          <w:lang w:eastAsia="bg-BG"/>
        </w:rPr>
      </w:pPr>
    </w:p>
    <w:p w14:paraId="2FED653A" w14:textId="271D075F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При пациенти с тежко увреждане на коронарните артерии или нестабилна ангина </w:t>
      </w:r>
      <w:proofErr w:type="spellStart"/>
      <w:r w:rsidRPr="00777B82">
        <w:rPr>
          <w:lang w:eastAsia="bg-BG"/>
        </w:rPr>
        <w:t>пекторис</w:t>
      </w:r>
      <w:proofErr w:type="spellEnd"/>
      <w:r w:rsidRPr="00777B82">
        <w:rPr>
          <w:lang w:eastAsia="bg-BG"/>
        </w:rPr>
        <w:t xml:space="preserve"> опитът е ограничен, поради което е необходимо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да се прилага с повишено внимание при тази популация пациенти.</w:t>
      </w:r>
    </w:p>
    <w:p w14:paraId="50AD6589" w14:textId="77777777" w:rsidR="00777B82" w:rsidRDefault="00777B82" w:rsidP="00777B82">
      <w:pPr>
        <w:rPr>
          <w:lang w:eastAsia="bg-BG"/>
        </w:rPr>
      </w:pPr>
    </w:p>
    <w:p w14:paraId="4151273B" w14:textId="46F8C514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Препоръчва се повишено внимание при прилагането на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при пациенти с бъбречни нарушения, тъй като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се </w:t>
      </w:r>
      <w:proofErr w:type="spellStart"/>
      <w:r w:rsidRPr="00777B82">
        <w:rPr>
          <w:lang w:eastAsia="bg-BG"/>
        </w:rPr>
        <w:t>екскретира</w:t>
      </w:r>
      <w:proofErr w:type="spellEnd"/>
      <w:r w:rsidRPr="00777B82">
        <w:rPr>
          <w:lang w:eastAsia="bg-BG"/>
        </w:rPr>
        <w:t xml:space="preserve"> основно чрез бъбреците. При тези пациенти се препоръчва внимателно титриране на дозата, особено в началото на лечението.</w:t>
      </w:r>
    </w:p>
    <w:p w14:paraId="473B1FD6" w14:textId="538749C2" w:rsidR="00777B82" w:rsidRDefault="00777B82" w:rsidP="00777B82">
      <w:pPr>
        <w:rPr>
          <w:lang w:val="en-US"/>
        </w:rPr>
      </w:pPr>
      <w:r w:rsidRPr="00777B82">
        <w:rPr>
          <w:lang w:eastAsia="bg-BG"/>
        </w:rPr>
        <w:t xml:space="preserve">Дозирането трябва да започне с 0,2 </w:t>
      </w:r>
      <w:r w:rsidRPr="00777B82">
        <w:rPr>
          <w:lang w:val="en-US"/>
        </w:rPr>
        <w:t xml:space="preserve">mg </w:t>
      </w:r>
      <w:r w:rsidRPr="00777B82">
        <w:rPr>
          <w:lang w:eastAsia="bg-BG"/>
        </w:rPr>
        <w:t xml:space="preserve">дневно и ако е клинично показано и при добра поносимост се повишава до максимум 0,4 </w:t>
      </w:r>
      <w:r w:rsidRPr="00777B82">
        <w:rPr>
          <w:lang w:val="en-US"/>
        </w:rPr>
        <w:t xml:space="preserve">mg </w:t>
      </w:r>
      <w:r w:rsidRPr="00777B82">
        <w:rPr>
          <w:lang w:eastAsia="bg-BG"/>
        </w:rPr>
        <w:t xml:space="preserve">дневно при пациенти с умерено бъбречно увреждане </w:t>
      </w:r>
      <w:r w:rsidRPr="00777B82">
        <w:rPr>
          <w:lang w:val="en-US"/>
        </w:rPr>
        <w:t xml:space="preserve">(GFR </w:t>
      </w:r>
      <w:r w:rsidRPr="00777B82">
        <w:rPr>
          <w:lang w:eastAsia="bg-BG"/>
        </w:rPr>
        <w:t xml:space="preserve">&gt; 30 </w:t>
      </w:r>
      <w:r w:rsidRPr="00777B82">
        <w:rPr>
          <w:lang w:val="en-US"/>
        </w:rPr>
        <w:t xml:space="preserve">ml/min, </w:t>
      </w:r>
      <w:r w:rsidRPr="00777B82">
        <w:rPr>
          <w:lang w:eastAsia="bg-BG"/>
        </w:rPr>
        <w:t xml:space="preserve">но &lt; 60 </w:t>
      </w:r>
      <w:r w:rsidRPr="00777B82">
        <w:rPr>
          <w:lang w:val="en-US"/>
        </w:rPr>
        <w:t xml:space="preserve">ml/min) </w:t>
      </w:r>
      <w:r w:rsidRPr="00777B82">
        <w:rPr>
          <w:lang w:eastAsia="bg-BG"/>
        </w:rPr>
        <w:t xml:space="preserve">и до максимум 0,3 </w:t>
      </w:r>
      <w:r w:rsidRPr="00777B82">
        <w:rPr>
          <w:lang w:val="en-US"/>
        </w:rPr>
        <w:t xml:space="preserve">mg </w:t>
      </w:r>
      <w:r w:rsidRPr="00777B82">
        <w:rPr>
          <w:lang w:eastAsia="bg-BG"/>
        </w:rPr>
        <w:t xml:space="preserve">дневно при пациенти с тежко бъбречно увреждане </w:t>
      </w:r>
      <w:r w:rsidRPr="00777B82">
        <w:rPr>
          <w:lang w:val="en-US"/>
        </w:rPr>
        <w:t xml:space="preserve">(GFR </w:t>
      </w:r>
      <w:r w:rsidRPr="00777B82">
        <w:rPr>
          <w:lang w:eastAsia="bg-BG"/>
        </w:rPr>
        <w:t xml:space="preserve">&lt; 30 </w:t>
      </w:r>
      <w:r w:rsidRPr="00777B82">
        <w:rPr>
          <w:lang w:val="en-US"/>
        </w:rPr>
        <w:t>ml/min).</w:t>
      </w:r>
    </w:p>
    <w:p w14:paraId="08257A3C" w14:textId="20CF12B6" w:rsidR="00777B82" w:rsidRDefault="00777B82" w:rsidP="00777B82">
      <w:pPr>
        <w:rPr>
          <w:lang w:val="en-US"/>
        </w:rPr>
      </w:pPr>
    </w:p>
    <w:p w14:paraId="5CBC183A" w14:textId="77777777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При едновременно приложение на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с бета-</w:t>
      </w:r>
      <w:proofErr w:type="spellStart"/>
      <w:r w:rsidRPr="00777B82">
        <w:rPr>
          <w:lang w:eastAsia="bg-BG"/>
        </w:rPr>
        <w:t>блокер</w:t>
      </w:r>
      <w:proofErr w:type="spellEnd"/>
      <w:r w:rsidRPr="00777B82">
        <w:rPr>
          <w:lang w:eastAsia="bg-BG"/>
        </w:rPr>
        <w:t xml:space="preserve"> и необходимост от прекратяване на лечението с двата продукта първо се преустановява приемът на бета-</w:t>
      </w:r>
      <w:proofErr w:type="spellStart"/>
      <w:r w:rsidRPr="00777B82">
        <w:rPr>
          <w:lang w:eastAsia="bg-BG"/>
        </w:rPr>
        <w:t>блокера</w:t>
      </w:r>
      <w:proofErr w:type="spellEnd"/>
      <w:r w:rsidRPr="00777B82">
        <w:rPr>
          <w:lang w:eastAsia="bg-BG"/>
        </w:rPr>
        <w:t xml:space="preserve"> и няколко дни след това се преустановява приложението на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>.</w:t>
      </w:r>
    </w:p>
    <w:p w14:paraId="672CDC97" w14:textId="77777777" w:rsidR="00777B82" w:rsidRDefault="00777B82" w:rsidP="00777B82">
      <w:pPr>
        <w:rPr>
          <w:lang w:eastAsia="bg-BG"/>
        </w:rPr>
      </w:pPr>
    </w:p>
    <w:p w14:paraId="36FA41F0" w14:textId="0CD1C986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До сега не е наблюдаван </w:t>
      </w:r>
      <w:proofErr w:type="spellStart"/>
      <w:r w:rsidRPr="00777B82">
        <w:rPr>
          <w:lang w:eastAsia="bg-BG"/>
        </w:rPr>
        <w:t>ребаунд</w:t>
      </w:r>
      <w:proofErr w:type="spellEnd"/>
      <w:r w:rsidRPr="00777B82">
        <w:rPr>
          <w:lang w:eastAsia="bg-BG"/>
        </w:rPr>
        <w:t xml:space="preserve"> ефект след прекратяване на терапията с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. Въпреки това не се препоръчва внезапно прекратяване на лечението с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>. Дозата трябва да се понижава постепенно в продължение на две седмици.</w:t>
      </w:r>
    </w:p>
    <w:p w14:paraId="0FA01EFF" w14:textId="77777777" w:rsidR="00777B82" w:rsidRDefault="00777B82" w:rsidP="00777B82">
      <w:pPr>
        <w:rPr>
          <w:lang w:eastAsia="bg-BG"/>
        </w:rPr>
      </w:pPr>
    </w:p>
    <w:p w14:paraId="39C05800" w14:textId="025B9CEF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>Пациентите в старческа възраст могат да бъдат по-чувствителни към сърдечно-съдовите ефекти на антихипертензивните лекарства. Следователно, при тях лечението трябва да започне с най- ниската доза и повишаването на дозата трябва да се извършва с повишено внимание, за да се предотвратят сериозните последици до които тези реакции могат да доведат.</w:t>
      </w:r>
    </w:p>
    <w:p w14:paraId="0705BE21" w14:textId="77777777" w:rsidR="00777B82" w:rsidRDefault="00777B82" w:rsidP="00777B82">
      <w:pPr>
        <w:rPr>
          <w:lang w:eastAsia="bg-BG"/>
        </w:rPr>
      </w:pPr>
    </w:p>
    <w:p w14:paraId="5255F730" w14:textId="30E0325F" w:rsidR="00777B82" w:rsidRDefault="00777B82" w:rsidP="00777B82">
      <w:pPr>
        <w:rPr>
          <w:lang w:eastAsia="bg-BG"/>
        </w:rPr>
      </w:pPr>
      <w:r w:rsidRPr="00777B82">
        <w:rPr>
          <w:lang w:eastAsia="bg-BG"/>
        </w:rPr>
        <w:t xml:space="preserve">Пациенти с редки наследствени проблеми на непоносимост към </w:t>
      </w:r>
      <w:proofErr w:type="spellStart"/>
      <w:r w:rsidRPr="00777B82">
        <w:rPr>
          <w:lang w:eastAsia="bg-BG"/>
        </w:rPr>
        <w:t>галактоза</w:t>
      </w:r>
      <w:proofErr w:type="spellEnd"/>
      <w:r w:rsidRPr="00777B82">
        <w:rPr>
          <w:lang w:eastAsia="bg-BG"/>
        </w:rPr>
        <w:t xml:space="preserve">, пълен </w:t>
      </w:r>
      <w:proofErr w:type="spellStart"/>
      <w:r w:rsidRPr="00777B82">
        <w:rPr>
          <w:lang w:eastAsia="bg-BG"/>
        </w:rPr>
        <w:t>лактазен</w:t>
      </w:r>
      <w:proofErr w:type="spellEnd"/>
      <w:r w:rsidRPr="00777B82">
        <w:rPr>
          <w:lang w:eastAsia="bg-BG"/>
        </w:rPr>
        <w:t xml:space="preserve"> дефицит или </w:t>
      </w:r>
      <w:proofErr w:type="spellStart"/>
      <w:r w:rsidRPr="00777B82">
        <w:rPr>
          <w:lang w:eastAsia="bg-BG"/>
        </w:rPr>
        <w:t>глюкозо-галактозна</w:t>
      </w:r>
      <w:proofErr w:type="spellEnd"/>
      <w:r w:rsidRPr="00777B82">
        <w:rPr>
          <w:lang w:eastAsia="bg-BG"/>
        </w:rPr>
        <w:t xml:space="preserve"> малабсорбция не трябва да приемат това лекарство.</w:t>
      </w:r>
    </w:p>
    <w:p w14:paraId="23F92561" w14:textId="77777777" w:rsidR="00777B82" w:rsidRPr="00777B82" w:rsidRDefault="00777B82" w:rsidP="00777B82">
      <w:pPr>
        <w:rPr>
          <w:lang w:val="en-US"/>
        </w:rPr>
      </w:pPr>
    </w:p>
    <w:p w14:paraId="297352C8" w14:textId="00F95EC3" w:rsidR="003765DC" w:rsidRDefault="002C50EE" w:rsidP="002B3C38">
      <w:pPr>
        <w:pStyle w:val="2"/>
      </w:pPr>
      <w:r>
        <w:t>4.5. Взаимодействие с други лекарствени продукти и други форми на взаимодействие</w:t>
      </w:r>
    </w:p>
    <w:p w14:paraId="79B50726" w14:textId="281BBCED" w:rsidR="00777B82" w:rsidRDefault="00777B82" w:rsidP="00777B82"/>
    <w:p w14:paraId="5172586B" w14:textId="77777777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Едновременният прием на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с други антихипертензивни лекарствени продукти води до адитивен ефект.</w:t>
      </w:r>
    </w:p>
    <w:p w14:paraId="37D7F115" w14:textId="77777777" w:rsidR="00777B82" w:rsidRDefault="00777B82" w:rsidP="00777B82">
      <w:pPr>
        <w:rPr>
          <w:lang w:eastAsia="bg-BG"/>
        </w:rPr>
      </w:pPr>
    </w:p>
    <w:p w14:paraId="2AB6DE15" w14:textId="620D6B3D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Тъй като трицикличните антидепресанти могат да понижат ефективността на централно действащите антихипертензивни средства не се препоръчва трицикличните антидепресанти да се приемат едновременното с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>.</w:t>
      </w:r>
    </w:p>
    <w:p w14:paraId="259E63EB" w14:textId="77777777" w:rsidR="00777B82" w:rsidRDefault="00777B82" w:rsidP="00777B82">
      <w:pPr>
        <w:rPr>
          <w:lang w:eastAsia="bg-BG"/>
        </w:rPr>
      </w:pPr>
    </w:p>
    <w:p w14:paraId="4472A3F8" w14:textId="75CF1D27" w:rsidR="00777B82" w:rsidRPr="00777B82" w:rsidRDefault="00777B82" w:rsidP="00777B82">
      <w:pPr>
        <w:rPr>
          <w:sz w:val="24"/>
          <w:szCs w:val="24"/>
        </w:rPr>
      </w:pPr>
      <w:proofErr w:type="spellStart"/>
      <w:r w:rsidRPr="00777B82">
        <w:rPr>
          <w:lang w:eastAsia="bg-BG"/>
        </w:rPr>
        <w:lastRenderedPageBreak/>
        <w:t>Моксонидин</w:t>
      </w:r>
      <w:proofErr w:type="spellEnd"/>
      <w:r w:rsidRPr="00777B82">
        <w:rPr>
          <w:lang w:eastAsia="bg-BG"/>
        </w:rPr>
        <w:t xml:space="preserve"> може да усили седативния ефект на трицикличните антидепресанти (да се избягва едновременното им предписване), </w:t>
      </w:r>
      <w:proofErr w:type="spellStart"/>
      <w:r w:rsidRPr="00777B82">
        <w:rPr>
          <w:lang w:eastAsia="bg-BG"/>
        </w:rPr>
        <w:t>транквилизантите</w:t>
      </w:r>
      <w:proofErr w:type="spellEnd"/>
      <w:r w:rsidRPr="00777B82">
        <w:rPr>
          <w:lang w:eastAsia="bg-BG"/>
        </w:rPr>
        <w:t xml:space="preserve">, алкохола, </w:t>
      </w:r>
      <w:proofErr w:type="spellStart"/>
      <w:r w:rsidRPr="00777B82">
        <w:rPr>
          <w:lang w:eastAsia="bg-BG"/>
        </w:rPr>
        <w:t>седативите</w:t>
      </w:r>
      <w:proofErr w:type="spellEnd"/>
      <w:r w:rsidRPr="00777B82">
        <w:rPr>
          <w:lang w:eastAsia="bg-BG"/>
        </w:rPr>
        <w:t xml:space="preserve"> и </w:t>
      </w:r>
      <w:proofErr w:type="spellStart"/>
      <w:r w:rsidRPr="00777B82">
        <w:rPr>
          <w:lang w:eastAsia="bg-BG"/>
        </w:rPr>
        <w:t>хипнотиците</w:t>
      </w:r>
      <w:proofErr w:type="spellEnd"/>
      <w:r w:rsidRPr="00777B82">
        <w:rPr>
          <w:lang w:eastAsia="bg-BG"/>
        </w:rPr>
        <w:t>.</w:t>
      </w:r>
    </w:p>
    <w:p w14:paraId="7350139D" w14:textId="77777777" w:rsidR="00777B82" w:rsidRDefault="00777B82" w:rsidP="00777B82">
      <w:pPr>
        <w:rPr>
          <w:lang w:eastAsia="bg-BG"/>
        </w:rPr>
      </w:pPr>
    </w:p>
    <w:p w14:paraId="7D0940D9" w14:textId="486C06DC" w:rsidR="00777B82" w:rsidRPr="00777B82" w:rsidRDefault="00777B82" w:rsidP="00777B82">
      <w:pPr>
        <w:rPr>
          <w:sz w:val="24"/>
          <w:szCs w:val="24"/>
        </w:rPr>
      </w:pP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може да усили в умерена степен нарушенията на когнитивните функции на пациенти, приемащи </w:t>
      </w:r>
      <w:proofErr w:type="spellStart"/>
      <w:r w:rsidRPr="00777B82">
        <w:rPr>
          <w:lang w:eastAsia="bg-BG"/>
        </w:rPr>
        <w:t>лоразепам</w:t>
      </w:r>
      <w:proofErr w:type="spellEnd"/>
      <w:r w:rsidRPr="00777B82">
        <w:rPr>
          <w:lang w:eastAsia="bg-BG"/>
        </w:rPr>
        <w:t xml:space="preserve">.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може да усили седативния ефект на бензодиазепините при едновременното им прилагане.</w:t>
      </w:r>
    </w:p>
    <w:p w14:paraId="7E7BFE13" w14:textId="77777777" w:rsidR="00777B82" w:rsidRDefault="00777B82" w:rsidP="00777B82">
      <w:pPr>
        <w:rPr>
          <w:lang w:eastAsia="bg-BG"/>
        </w:rPr>
      </w:pPr>
    </w:p>
    <w:p w14:paraId="4B2B9CE6" w14:textId="22DC74DD" w:rsidR="00777B82" w:rsidRDefault="00777B82" w:rsidP="00777B82">
      <w:pPr>
        <w:rPr>
          <w:lang w:eastAsia="bg-BG"/>
        </w:rPr>
      </w:pP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се елиминира посредством </w:t>
      </w:r>
      <w:proofErr w:type="spellStart"/>
      <w:r w:rsidRPr="00777B82">
        <w:rPr>
          <w:lang w:eastAsia="bg-BG"/>
        </w:rPr>
        <w:t>тубулната</w:t>
      </w:r>
      <w:proofErr w:type="spellEnd"/>
      <w:r w:rsidRPr="00777B82">
        <w:rPr>
          <w:lang w:eastAsia="bg-BG"/>
        </w:rPr>
        <w:t xml:space="preserve"> секреция. Не могат да бъдат изключени взаимодействия с други лекарствени продукти, които се елиминират по същия начин.</w:t>
      </w:r>
    </w:p>
    <w:p w14:paraId="48F2BA28" w14:textId="77777777" w:rsidR="00777B82" w:rsidRPr="00777B82" w:rsidRDefault="00777B82" w:rsidP="00777B82"/>
    <w:p w14:paraId="20B09708" w14:textId="72487802" w:rsidR="003765DC" w:rsidRDefault="002C50EE" w:rsidP="002B3C38">
      <w:pPr>
        <w:pStyle w:val="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6130EC92" w14:textId="2CF08305" w:rsidR="00777B82" w:rsidRDefault="00777B82" w:rsidP="00777B82"/>
    <w:p w14:paraId="24A82535" w14:textId="77777777" w:rsidR="00777B82" w:rsidRPr="00777B82" w:rsidRDefault="00777B82" w:rsidP="00777B82">
      <w:pPr>
        <w:pStyle w:val="3"/>
        <w:rPr>
          <w:rFonts w:eastAsia="Times New Roman"/>
          <w:u w:val="single"/>
        </w:rPr>
      </w:pPr>
      <w:r w:rsidRPr="00777B82">
        <w:rPr>
          <w:rFonts w:eastAsia="Times New Roman"/>
          <w:u w:val="single"/>
          <w:lang w:eastAsia="bg-BG"/>
        </w:rPr>
        <w:t>Бременност</w:t>
      </w:r>
    </w:p>
    <w:p w14:paraId="61A83127" w14:textId="77777777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Няма адекватни данни от използването на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при бременни жени. При изследвания върху животни са наблюдавани </w:t>
      </w:r>
      <w:proofErr w:type="spellStart"/>
      <w:r w:rsidRPr="00777B82">
        <w:rPr>
          <w:lang w:eastAsia="bg-BG"/>
        </w:rPr>
        <w:t>ембриотоксични</w:t>
      </w:r>
      <w:proofErr w:type="spellEnd"/>
      <w:r w:rsidRPr="00777B82">
        <w:rPr>
          <w:lang w:eastAsia="bg-BG"/>
        </w:rPr>
        <w:t xml:space="preserve"> ефекти (вж. точка 5.3). Потенциалният риск за хора е неизвестен.</w:t>
      </w:r>
    </w:p>
    <w:p w14:paraId="0C728947" w14:textId="77777777" w:rsidR="00777B82" w:rsidRPr="00777B82" w:rsidRDefault="00777B82" w:rsidP="00777B82">
      <w:pPr>
        <w:rPr>
          <w:sz w:val="24"/>
          <w:szCs w:val="24"/>
        </w:rPr>
      </w:pP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не трябва да се прилага по време на бременност, освен при категорична необходимост.</w:t>
      </w:r>
    </w:p>
    <w:p w14:paraId="783B0EF4" w14:textId="77777777" w:rsidR="00777B82" w:rsidRDefault="00777B82" w:rsidP="00777B82">
      <w:pPr>
        <w:rPr>
          <w:lang w:eastAsia="bg-BG"/>
        </w:rPr>
      </w:pPr>
    </w:p>
    <w:p w14:paraId="21090FAF" w14:textId="1220326C" w:rsidR="00777B82" w:rsidRPr="00777B82" w:rsidRDefault="00777B82" w:rsidP="00777B82">
      <w:pPr>
        <w:pStyle w:val="3"/>
        <w:rPr>
          <w:rFonts w:eastAsia="Times New Roman"/>
          <w:u w:val="single"/>
        </w:rPr>
      </w:pPr>
      <w:r w:rsidRPr="00777B82">
        <w:rPr>
          <w:rFonts w:eastAsia="Times New Roman"/>
          <w:u w:val="single"/>
          <w:lang w:eastAsia="bg-BG"/>
        </w:rPr>
        <w:t>Кърмене</w:t>
      </w:r>
    </w:p>
    <w:p w14:paraId="73AB6A76" w14:textId="77777777" w:rsidR="00777B82" w:rsidRPr="00777B82" w:rsidRDefault="00777B82" w:rsidP="00777B82">
      <w:pPr>
        <w:rPr>
          <w:sz w:val="24"/>
          <w:szCs w:val="24"/>
        </w:rPr>
      </w:pP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се излъчва в кърмата, поради което не трябва да се употребява по време на кърмене. Ако лечението с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е абсолютно необходимо, кърменето трябва да се преустанови.</w:t>
      </w:r>
    </w:p>
    <w:p w14:paraId="21DF1276" w14:textId="77777777" w:rsidR="00777B82" w:rsidRPr="00777B82" w:rsidRDefault="00777B82" w:rsidP="00777B82"/>
    <w:p w14:paraId="13465597" w14:textId="0CB9AFEA" w:rsidR="003765DC" w:rsidRDefault="002C50EE" w:rsidP="002B3C38">
      <w:pPr>
        <w:pStyle w:val="2"/>
      </w:pPr>
      <w:r>
        <w:t>4.7. Ефекти върху способността за шофиране и работа с машини</w:t>
      </w:r>
    </w:p>
    <w:p w14:paraId="4A9E4E7E" w14:textId="3636113D" w:rsidR="00777B82" w:rsidRDefault="00777B82" w:rsidP="00777B82"/>
    <w:p w14:paraId="5340265A" w14:textId="609C3E90" w:rsidR="00777B82" w:rsidRDefault="00777B82" w:rsidP="00777B82">
      <w:r>
        <w:t xml:space="preserve">Не са провеждани изследвания за ефекта на </w:t>
      </w:r>
      <w:proofErr w:type="spellStart"/>
      <w:r>
        <w:t>моксонидин</w:t>
      </w:r>
      <w:proofErr w:type="spellEnd"/>
      <w:r>
        <w:t xml:space="preserve"> върху способността за шофиране или работа с машини. Съобщавано е за сънливост и замаяност. Това трябва да се има предвид при изпълнението на тези дейности.</w:t>
      </w:r>
    </w:p>
    <w:p w14:paraId="6518F26D" w14:textId="77777777" w:rsidR="00777B82" w:rsidRPr="00777B82" w:rsidRDefault="00777B82" w:rsidP="00777B82"/>
    <w:p w14:paraId="5D66F04B" w14:textId="7C3C3C37" w:rsidR="003765DC" w:rsidRDefault="002C50EE" w:rsidP="002B3C38">
      <w:pPr>
        <w:pStyle w:val="2"/>
      </w:pPr>
      <w:r>
        <w:t>4.8. Нежелани лекарствени реакции</w:t>
      </w:r>
    </w:p>
    <w:p w14:paraId="2DDF0A56" w14:textId="091930D1" w:rsidR="00777B82" w:rsidRDefault="00777B82" w:rsidP="00777B82"/>
    <w:p w14:paraId="17C5743D" w14:textId="77777777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Най-честите нежелани лекарствени реакции, съобщавани по време на лечение с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са: сухота в устата, замаяност, </w:t>
      </w:r>
      <w:proofErr w:type="spellStart"/>
      <w:r w:rsidRPr="00777B82">
        <w:rPr>
          <w:lang w:eastAsia="bg-BG"/>
        </w:rPr>
        <w:t>астения</w:t>
      </w:r>
      <w:proofErr w:type="spellEnd"/>
      <w:r w:rsidRPr="00777B82">
        <w:rPr>
          <w:lang w:eastAsia="bg-BG"/>
        </w:rPr>
        <w:t xml:space="preserve"> и </w:t>
      </w:r>
      <w:proofErr w:type="spellStart"/>
      <w:r w:rsidRPr="00777B82">
        <w:rPr>
          <w:lang w:eastAsia="bg-BG"/>
        </w:rPr>
        <w:t>сомнолентност</w:t>
      </w:r>
      <w:proofErr w:type="spellEnd"/>
      <w:r w:rsidRPr="00777B82">
        <w:rPr>
          <w:lang w:eastAsia="bg-BG"/>
        </w:rPr>
        <w:t>. Честотата и интензитетът на тези симптоми често отслабват след първите няколко седмици от лечението.</w:t>
      </w:r>
    </w:p>
    <w:p w14:paraId="0D0903CE" w14:textId="77777777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Честотата на нежеланите лекарствени реакции, групирани по </w:t>
      </w:r>
      <w:proofErr w:type="spellStart"/>
      <w:r w:rsidRPr="00777B82">
        <w:rPr>
          <w:lang w:eastAsia="bg-BG"/>
        </w:rPr>
        <w:t>системо</w:t>
      </w:r>
      <w:proofErr w:type="spellEnd"/>
      <w:r w:rsidRPr="00777B82">
        <w:rPr>
          <w:lang w:eastAsia="bg-BG"/>
        </w:rPr>
        <w:t xml:space="preserve">-органни класове </w:t>
      </w:r>
      <w:r w:rsidRPr="00777B82">
        <w:rPr>
          <w:i/>
          <w:iCs/>
          <w:lang w:eastAsia="bg-BG"/>
        </w:rPr>
        <w:t xml:space="preserve">{наблюдавана по време на плацебо-контролирани клинични проучвания при п=886 пациента, лекувани с </w:t>
      </w:r>
      <w:proofErr w:type="spellStart"/>
      <w:r w:rsidRPr="00777B82">
        <w:rPr>
          <w:i/>
          <w:iCs/>
          <w:lang w:eastAsia="bg-BG"/>
        </w:rPr>
        <w:t>моксонидин</w:t>
      </w:r>
      <w:proofErr w:type="spellEnd"/>
      <w:r w:rsidRPr="00777B82">
        <w:rPr>
          <w:i/>
          <w:iCs/>
          <w:lang w:eastAsia="bg-BG"/>
        </w:rPr>
        <w:t>)</w:t>
      </w:r>
      <w:r w:rsidRPr="00777B82">
        <w:rPr>
          <w:lang w:eastAsia="bg-BG"/>
        </w:rPr>
        <w:t xml:space="preserve"> е следната:</w:t>
      </w:r>
    </w:p>
    <w:p w14:paraId="26728703" w14:textId="15418CF1" w:rsidR="00777B82" w:rsidRDefault="00777B82" w:rsidP="00777B82">
      <w:pPr>
        <w:rPr>
          <w:lang w:eastAsia="bg-BG"/>
        </w:rPr>
      </w:pPr>
      <w:r w:rsidRPr="00777B82">
        <w:rPr>
          <w:lang w:eastAsia="bg-BG"/>
        </w:rPr>
        <w:t>* в сравнение с плацебо честотата не е повишена</w:t>
      </w:r>
    </w:p>
    <w:p w14:paraId="0EC8A3E3" w14:textId="424406FE" w:rsidR="00777B82" w:rsidRDefault="00777B82" w:rsidP="00777B82">
      <w:pPr>
        <w:rPr>
          <w:lang w:eastAsia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2289"/>
        <w:gridCol w:w="2352"/>
        <w:gridCol w:w="2342"/>
      </w:tblGrid>
      <w:tr w:rsidR="00777B82" w14:paraId="18EB8FE2" w14:textId="77777777" w:rsidTr="00777B82">
        <w:tc>
          <w:tcPr>
            <w:tcW w:w="2394" w:type="dxa"/>
          </w:tcPr>
          <w:p w14:paraId="70264E19" w14:textId="1CB3C891" w:rsidR="00777B82" w:rsidRPr="00777B82" w:rsidRDefault="00777B82" w:rsidP="00777B82">
            <w:r w:rsidRPr="00777B82">
              <w:rPr>
                <w:b/>
                <w:bCs/>
                <w:lang w:val="en-US"/>
              </w:rPr>
              <w:t xml:space="preserve">MedDRA- </w:t>
            </w:r>
            <w:r w:rsidRPr="00777B82">
              <w:rPr>
                <w:b/>
                <w:bCs/>
              </w:rPr>
              <w:t xml:space="preserve">база данни на </w:t>
            </w:r>
            <w:proofErr w:type="spellStart"/>
            <w:r w:rsidRPr="00777B82">
              <w:rPr>
                <w:b/>
                <w:bCs/>
              </w:rPr>
              <w:t>системо</w:t>
            </w:r>
            <w:proofErr w:type="spellEnd"/>
            <w:r w:rsidRPr="00777B82">
              <w:rPr>
                <w:b/>
                <w:bCs/>
              </w:rPr>
              <w:t>-органни класове</w:t>
            </w:r>
          </w:p>
        </w:tc>
        <w:tc>
          <w:tcPr>
            <w:tcW w:w="2394" w:type="dxa"/>
          </w:tcPr>
          <w:p w14:paraId="34482472" w14:textId="77777777" w:rsidR="00777B82" w:rsidRPr="00777B82" w:rsidRDefault="00777B82" w:rsidP="00777B82">
            <w:r w:rsidRPr="00777B82">
              <w:rPr>
                <w:b/>
                <w:bCs/>
              </w:rPr>
              <w:t>Много чести</w:t>
            </w:r>
          </w:p>
          <w:p w14:paraId="088EFA9D" w14:textId="4EAAEEF2" w:rsidR="00777B82" w:rsidRPr="00777B82" w:rsidRDefault="00777B82" w:rsidP="00777B82">
            <w:r w:rsidRPr="00777B82">
              <w:rPr>
                <w:b/>
                <w:bCs/>
                <w:lang w:val="en-US"/>
              </w:rPr>
              <w:t>≥</w:t>
            </w:r>
            <w:r w:rsidRPr="00777B82">
              <w:rPr>
                <w:b/>
                <w:bCs/>
              </w:rPr>
              <w:t>1/10</w:t>
            </w:r>
          </w:p>
        </w:tc>
        <w:tc>
          <w:tcPr>
            <w:tcW w:w="2394" w:type="dxa"/>
          </w:tcPr>
          <w:p w14:paraId="0E9DA956" w14:textId="77777777" w:rsidR="00777B82" w:rsidRPr="00777B82" w:rsidRDefault="00777B82" w:rsidP="00777B82">
            <w:r w:rsidRPr="00777B82">
              <w:rPr>
                <w:b/>
                <w:bCs/>
              </w:rPr>
              <w:t>Чести</w:t>
            </w:r>
          </w:p>
          <w:p w14:paraId="7031114E" w14:textId="5175FF8A" w:rsidR="00777B82" w:rsidRPr="00777B82" w:rsidRDefault="00777B82" w:rsidP="00777B82">
            <w:r w:rsidRPr="00777B82">
              <w:rPr>
                <w:b/>
                <w:bCs/>
                <w:lang w:val="en-US"/>
              </w:rPr>
              <w:t>≥</w:t>
            </w:r>
            <w:r w:rsidRPr="00777B82">
              <w:rPr>
                <w:b/>
                <w:bCs/>
              </w:rPr>
              <w:t>1/100 до &lt;1/10</w:t>
            </w:r>
          </w:p>
        </w:tc>
        <w:tc>
          <w:tcPr>
            <w:tcW w:w="2394" w:type="dxa"/>
          </w:tcPr>
          <w:p w14:paraId="7DABBC2F" w14:textId="77777777" w:rsidR="00777B82" w:rsidRPr="00777B82" w:rsidRDefault="00777B82" w:rsidP="00777B82">
            <w:r w:rsidRPr="00777B82">
              <w:rPr>
                <w:b/>
                <w:bCs/>
              </w:rPr>
              <w:t>Нечести</w:t>
            </w:r>
          </w:p>
          <w:p w14:paraId="2571C6FD" w14:textId="405F46CB" w:rsidR="00777B82" w:rsidRPr="00777B82" w:rsidRDefault="00777B82" w:rsidP="00777B82">
            <w:r w:rsidRPr="00777B82">
              <w:rPr>
                <w:b/>
                <w:bCs/>
                <w:lang w:val="en-US"/>
              </w:rPr>
              <w:t>≥</w:t>
            </w:r>
            <w:r w:rsidRPr="00777B82">
              <w:rPr>
                <w:b/>
                <w:bCs/>
              </w:rPr>
              <w:t>1/1 000 до &lt;1/100</w:t>
            </w:r>
          </w:p>
        </w:tc>
      </w:tr>
      <w:tr w:rsidR="00777B82" w14:paraId="420A620B" w14:textId="77777777" w:rsidTr="00777B82">
        <w:tc>
          <w:tcPr>
            <w:tcW w:w="2394" w:type="dxa"/>
          </w:tcPr>
          <w:p w14:paraId="1FFB9EE1" w14:textId="38223446" w:rsidR="00777B82" w:rsidRPr="00777B82" w:rsidRDefault="00777B82" w:rsidP="00777B82">
            <w:r w:rsidRPr="00777B82">
              <w:rPr>
                <w:b/>
                <w:bCs/>
              </w:rPr>
              <w:lastRenderedPageBreak/>
              <w:t>Сърдечни нарушения</w:t>
            </w:r>
          </w:p>
        </w:tc>
        <w:tc>
          <w:tcPr>
            <w:tcW w:w="2394" w:type="dxa"/>
          </w:tcPr>
          <w:p w14:paraId="130AE60C" w14:textId="77777777" w:rsidR="00777B82" w:rsidRPr="00777B82" w:rsidRDefault="00777B82" w:rsidP="00777B82"/>
        </w:tc>
        <w:tc>
          <w:tcPr>
            <w:tcW w:w="2394" w:type="dxa"/>
          </w:tcPr>
          <w:p w14:paraId="242818B4" w14:textId="77777777" w:rsidR="00777B82" w:rsidRPr="00777B82" w:rsidRDefault="00777B82" w:rsidP="00777B82"/>
        </w:tc>
        <w:tc>
          <w:tcPr>
            <w:tcW w:w="2394" w:type="dxa"/>
          </w:tcPr>
          <w:p w14:paraId="314869AA" w14:textId="222BACFE" w:rsidR="00777B82" w:rsidRPr="00777B82" w:rsidRDefault="00777B82" w:rsidP="00777B82">
            <w:r w:rsidRPr="00777B82">
              <w:t>Брадикардия</w:t>
            </w:r>
          </w:p>
        </w:tc>
      </w:tr>
      <w:tr w:rsidR="00777B82" w14:paraId="625F4BF5" w14:textId="77777777" w:rsidTr="00777B82">
        <w:tc>
          <w:tcPr>
            <w:tcW w:w="2394" w:type="dxa"/>
          </w:tcPr>
          <w:p w14:paraId="23601E2F" w14:textId="133C33DB" w:rsidR="00777B82" w:rsidRPr="00777B82" w:rsidRDefault="00777B82" w:rsidP="00777B82">
            <w:r w:rsidRPr="00777B82">
              <w:rPr>
                <w:b/>
                <w:bCs/>
              </w:rPr>
              <w:t>Нарушения на ухото и лабиринта</w:t>
            </w:r>
          </w:p>
        </w:tc>
        <w:tc>
          <w:tcPr>
            <w:tcW w:w="2394" w:type="dxa"/>
          </w:tcPr>
          <w:p w14:paraId="3972B0EA" w14:textId="77777777" w:rsidR="00777B82" w:rsidRPr="00777B82" w:rsidRDefault="00777B82" w:rsidP="00777B82"/>
        </w:tc>
        <w:tc>
          <w:tcPr>
            <w:tcW w:w="2394" w:type="dxa"/>
          </w:tcPr>
          <w:p w14:paraId="7FF9D18D" w14:textId="77777777" w:rsidR="00777B82" w:rsidRPr="00777B82" w:rsidRDefault="00777B82" w:rsidP="00777B82"/>
        </w:tc>
        <w:tc>
          <w:tcPr>
            <w:tcW w:w="2394" w:type="dxa"/>
          </w:tcPr>
          <w:p w14:paraId="2DE9188B" w14:textId="00985E8D" w:rsidR="00777B82" w:rsidRPr="00777B82" w:rsidRDefault="00777B82" w:rsidP="00777B82">
            <w:proofErr w:type="spellStart"/>
            <w:r w:rsidRPr="00777B82">
              <w:t>Тинитус</w:t>
            </w:r>
            <w:proofErr w:type="spellEnd"/>
          </w:p>
        </w:tc>
      </w:tr>
      <w:tr w:rsidR="00777B82" w14:paraId="44F34572" w14:textId="77777777" w:rsidTr="00777B82">
        <w:tc>
          <w:tcPr>
            <w:tcW w:w="2394" w:type="dxa"/>
          </w:tcPr>
          <w:p w14:paraId="7CF1F06F" w14:textId="079E048C" w:rsidR="00777B82" w:rsidRPr="00777B82" w:rsidRDefault="00777B82" w:rsidP="00777B82">
            <w:r w:rsidRPr="00777B82"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2394" w:type="dxa"/>
          </w:tcPr>
          <w:p w14:paraId="68A1CAE2" w14:textId="77777777" w:rsidR="00777B82" w:rsidRPr="00777B82" w:rsidRDefault="00777B82" w:rsidP="00777B82"/>
        </w:tc>
        <w:tc>
          <w:tcPr>
            <w:tcW w:w="2394" w:type="dxa"/>
          </w:tcPr>
          <w:p w14:paraId="21F123FC" w14:textId="36D92CEC" w:rsidR="00777B82" w:rsidRPr="00777B82" w:rsidRDefault="00777B82" w:rsidP="00777B82">
            <w:r w:rsidRPr="00777B82">
              <w:t xml:space="preserve">Главоболие*, Замаяност, </w:t>
            </w:r>
            <w:proofErr w:type="spellStart"/>
            <w:r w:rsidRPr="00777B82">
              <w:t>Вертиго</w:t>
            </w:r>
            <w:proofErr w:type="spellEnd"/>
            <w:r w:rsidRPr="00777B82">
              <w:t xml:space="preserve">, </w:t>
            </w:r>
            <w:proofErr w:type="spellStart"/>
            <w:r w:rsidRPr="00777B82">
              <w:t>Сомнолентност</w:t>
            </w:r>
            <w:proofErr w:type="spellEnd"/>
          </w:p>
        </w:tc>
        <w:tc>
          <w:tcPr>
            <w:tcW w:w="2394" w:type="dxa"/>
          </w:tcPr>
          <w:p w14:paraId="3AFE32E5" w14:textId="706FE544" w:rsidR="00777B82" w:rsidRPr="00777B82" w:rsidRDefault="00777B82" w:rsidP="00777B82">
            <w:proofErr w:type="spellStart"/>
            <w:r w:rsidRPr="00777B82">
              <w:t>Синкоп</w:t>
            </w:r>
            <w:proofErr w:type="spellEnd"/>
            <w:r w:rsidRPr="00777B82">
              <w:t>*</w:t>
            </w:r>
          </w:p>
        </w:tc>
      </w:tr>
      <w:tr w:rsidR="00777B82" w14:paraId="656D30DF" w14:textId="77777777" w:rsidTr="00777B82">
        <w:tc>
          <w:tcPr>
            <w:tcW w:w="2394" w:type="dxa"/>
          </w:tcPr>
          <w:p w14:paraId="43BC007A" w14:textId="542113E0" w:rsidR="00777B82" w:rsidRPr="00777B82" w:rsidRDefault="00777B82" w:rsidP="00777B82">
            <w:r w:rsidRPr="00777B82">
              <w:rPr>
                <w:b/>
                <w:bCs/>
              </w:rPr>
              <w:t>Съдови нарушения</w:t>
            </w:r>
          </w:p>
        </w:tc>
        <w:tc>
          <w:tcPr>
            <w:tcW w:w="2394" w:type="dxa"/>
          </w:tcPr>
          <w:p w14:paraId="1E6B2EE6" w14:textId="77777777" w:rsidR="00777B82" w:rsidRPr="00777B82" w:rsidRDefault="00777B82" w:rsidP="00777B82"/>
        </w:tc>
        <w:tc>
          <w:tcPr>
            <w:tcW w:w="2394" w:type="dxa"/>
          </w:tcPr>
          <w:p w14:paraId="10F2FA96" w14:textId="77777777" w:rsidR="00777B82" w:rsidRPr="00777B82" w:rsidRDefault="00777B82" w:rsidP="00777B82"/>
        </w:tc>
        <w:tc>
          <w:tcPr>
            <w:tcW w:w="2394" w:type="dxa"/>
          </w:tcPr>
          <w:p w14:paraId="5483F57A" w14:textId="0FBB5BB1" w:rsidR="00777B82" w:rsidRPr="00777B82" w:rsidRDefault="00777B82" w:rsidP="00777B82">
            <w:r w:rsidRPr="00777B82">
              <w:t>Хипотония* (вкл. ортостатична)</w:t>
            </w:r>
          </w:p>
        </w:tc>
      </w:tr>
      <w:tr w:rsidR="00777B82" w14:paraId="792F71D6" w14:textId="77777777" w:rsidTr="00777B82">
        <w:tc>
          <w:tcPr>
            <w:tcW w:w="2394" w:type="dxa"/>
          </w:tcPr>
          <w:p w14:paraId="28F8B5E7" w14:textId="140447E0" w:rsidR="00777B82" w:rsidRPr="00777B82" w:rsidRDefault="00777B82" w:rsidP="00777B82">
            <w:r w:rsidRPr="00777B82">
              <w:rPr>
                <w:b/>
                <w:bCs/>
              </w:rPr>
              <w:t>Стомашно-чревни нарушения</w:t>
            </w:r>
          </w:p>
        </w:tc>
        <w:tc>
          <w:tcPr>
            <w:tcW w:w="2394" w:type="dxa"/>
          </w:tcPr>
          <w:p w14:paraId="68671F0E" w14:textId="449D20C4" w:rsidR="00777B82" w:rsidRPr="00777B82" w:rsidRDefault="00777B82" w:rsidP="00777B82">
            <w:r w:rsidRPr="00777B82">
              <w:t>Сухота в устата</w:t>
            </w:r>
          </w:p>
        </w:tc>
        <w:tc>
          <w:tcPr>
            <w:tcW w:w="2394" w:type="dxa"/>
          </w:tcPr>
          <w:p w14:paraId="571F4882" w14:textId="5AFEE089" w:rsidR="00777B82" w:rsidRPr="00777B82" w:rsidRDefault="00777B82" w:rsidP="00777B82">
            <w:r w:rsidRPr="00777B82">
              <w:t>Диария, Гадене, Повръщане, Диспепсия</w:t>
            </w:r>
          </w:p>
        </w:tc>
        <w:tc>
          <w:tcPr>
            <w:tcW w:w="2394" w:type="dxa"/>
          </w:tcPr>
          <w:p w14:paraId="662D76B2" w14:textId="77777777" w:rsidR="00777B82" w:rsidRPr="00777B82" w:rsidRDefault="00777B82" w:rsidP="00777B82"/>
        </w:tc>
      </w:tr>
      <w:tr w:rsidR="00777B82" w14:paraId="43D341C7" w14:textId="77777777" w:rsidTr="00777B82">
        <w:tc>
          <w:tcPr>
            <w:tcW w:w="2394" w:type="dxa"/>
          </w:tcPr>
          <w:p w14:paraId="2C2F2384" w14:textId="03462B81" w:rsidR="00777B82" w:rsidRPr="00777B82" w:rsidRDefault="00777B82" w:rsidP="00777B82">
            <w:r w:rsidRPr="00777B82">
              <w:rPr>
                <w:b/>
                <w:bCs/>
              </w:rPr>
              <w:t>Нарушения на кожата и подкожната тъкан</w:t>
            </w:r>
          </w:p>
        </w:tc>
        <w:tc>
          <w:tcPr>
            <w:tcW w:w="2394" w:type="dxa"/>
          </w:tcPr>
          <w:p w14:paraId="277253B3" w14:textId="77777777" w:rsidR="00777B82" w:rsidRPr="00777B82" w:rsidRDefault="00777B82" w:rsidP="00777B82"/>
        </w:tc>
        <w:tc>
          <w:tcPr>
            <w:tcW w:w="2394" w:type="dxa"/>
          </w:tcPr>
          <w:p w14:paraId="6801BE36" w14:textId="7EF8BFBB" w:rsidR="00777B82" w:rsidRPr="00777B82" w:rsidRDefault="00777B82" w:rsidP="00777B82">
            <w:r w:rsidRPr="00777B82">
              <w:t xml:space="preserve">Обрив, </w:t>
            </w:r>
            <w:proofErr w:type="spellStart"/>
            <w:r w:rsidRPr="00777B82">
              <w:t>Пруритус</w:t>
            </w:r>
            <w:proofErr w:type="spellEnd"/>
          </w:p>
        </w:tc>
        <w:tc>
          <w:tcPr>
            <w:tcW w:w="2394" w:type="dxa"/>
          </w:tcPr>
          <w:p w14:paraId="25EB02B3" w14:textId="21B9493A" w:rsidR="00777B82" w:rsidRPr="00777B82" w:rsidRDefault="00777B82" w:rsidP="00777B82">
            <w:r w:rsidRPr="00777B82">
              <w:t>Ангиоедем</w:t>
            </w:r>
          </w:p>
        </w:tc>
      </w:tr>
      <w:tr w:rsidR="00777B82" w14:paraId="32C5D9D7" w14:textId="77777777" w:rsidTr="00777B82">
        <w:tc>
          <w:tcPr>
            <w:tcW w:w="2394" w:type="dxa"/>
          </w:tcPr>
          <w:p w14:paraId="1A8F4457" w14:textId="35FFA026" w:rsidR="00777B82" w:rsidRPr="00777B82" w:rsidRDefault="00777B82" w:rsidP="00777B82">
            <w:r w:rsidRPr="00777B82">
              <w:rPr>
                <w:b/>
                <w:bCs/>
              </w:rPr>
              <w:t>Общи нарушения и ефекти на мястото на приложение</w:t>
            </w:r>
          </w:p>
        </w:tc>
        <w:tc>
          <w:tcPr>
            <w:tcW w:w="2394" w:type="dxa"/>
          </w:tcPr>
          <w:p w14:paraId="053D774E" w14:textId="77777777" w:rsidR="00777B82" w:rsidRPr="00777B82" w:rsidRDefault="00777B82" w:rsidP="00777B82"/>
        </w:tc>
        <w:tc>
          <w:tcPr>
            <w:tcW w:w="2394" w:type="dxa"/>
          </w:tcPr>
          <w:p w14:paraId="22169992" w14:textId="27E07294" w:rsidR="00777B82" w:rsidRPr="00777B82" w:rsidRDefault="00777B82" w:rsidP="00777B82">
            <w:proofErr w:type="spellStart"/>
            <w:r w:rsidRPr="00777B82">
              <w:t>Астения</w:t>
            </w:r>
            <w:proofErr w:type="spellEnd"/>
          </w:p>
        </w:tc>
        <w:tc>
          <w:tcPr>
            <w:tcW w:w="2394" w:type="dxa"/>
          </w:tcPr>
          <w:p w14:paraId="580E2C49" w14:textId="5C3B0B30" w:rsidR="00777B82" w:rsidRPr="00777B82" w:rsidRDefault="00777B82" w:rsidP="00777B82">
            <w:r w:rsidRPr="00777B82">
              <w:t>Едем</w:t>
            </w:r>
          </w:p>
        </w:tc>
      </w:tr>
      <w:tr w:rsidR="00777B82" w14:paraId="40CA9148" w14:textId="77777777" w:rsidTr="00777B82">
        <w:tc>
          <w:tcPr>
            <w:tcW w:w="2394" w:type="dxa"/>
          </w:tcPr>
          <w:p w14:paraId="6B42E777" w14:textId="2AAF92B2" w:rsidR="00777B82" w:rsidRPr="00777B82" w:rsidRDefault="00777B82" w:rsidP="00777B82">
            <w:r w:rsidRPr="00777B82">
              <w:rPr>
                <w:b/>
                <w:bCs/>
              </w:rPr>
              <w:t>Нарушения на мускулно- скелетната система и съединителната тъкан</w:t>
            </w:r>
          </w:p>
        </w:tc>
        <w:tc>
          <w:tcPr>
            <w:tcW w:w="2394" w:type="dxa"/>
          </w:tcPr>
          <w:p w14:paraId="00B6C2AF" w14:textId="77777777" w:rsidR="00777B82" w:rsidRPr="00777B82" w:rsidRDefault="00777B82" w:rsidP="00777B82"/>
        </w:tc>
        <w:tc>
          <w:tcPr>
            <w:tcW w:w="2394" w:type="dxa"/>
          </w:tcPr>
          <w:p w14:paraId="7E577030" w14:textId="6898652A" w:rsidR="00777B82" w:rsidRPr="00777B82" w:rsidRDefault="00777B82" w:rsidP="00777B82">
            <w:r w:rsidRPr="00777B82">
              <w:t>Болки в гърба</w:t>
            </w:r>
          </w:p>
        </w:tc>
        <w:tc>
          <w:tcPr>
            <w:tcW w:w="2394" w:type="dxa"/>
          </w:tcPr>
          <w:p w14:paraId="7B77DF9D" w14:textId="60291776" w:rsidR="00777B82" w:rsidRPr="00777B82" w:rsidRDefault="00777B82" w:rsidP="00777B82">
            <w:r w:rsidRPr="00777B82">
              <w:t>Болки във врата</w:t>
            </w:r>
          </w:p>
        </w:tc>
      </w:tr>
      <w:tr w:rsidR="00777B82" w14:paraId="2506240E" w14:textId="77777777" w:rsidTr="00777B82">
        <w:tc>
          <w:tcPr>
            <w:tcW w:w="2394" w:type="dxa"/>
          </w:tcPr>
          <w:p w14:paraId="36344BC0" w14:textId="2C9B8CAF" w:rsidR="00777B82" w:rsidRPr="00777B82" w:rsidRDefault="00777B82" w:rsidP="00777B82">
            <w:r w:rsidRPr="00777B82">
              <w:rPr>
                <w:b/>
                <w:bCs/>
              </w:rPr>
              <w:t>Психични нарушения</w:t>
            </w:r>
          </w:p>
        </w:tc>
        <w:tc>
          <w:tcPr>
            <w:tcW w:w="2394" w:type="dxa"/>
          </w:tcPr>
          <w:p w14:paraId="0F4AE15D" w14:textId="77777777" w:rsidR="00777B82" w:rsidRPr="00777B82" w:rsidRDefault="00777B82" w:rsidP="00777B82"/>
        </w:tc>
        <w:tc>
          <w:tcPr>
            <w:tcW w:w="2394" w:type="dxa"/>
          </w:tcPr>
          <w:p w14:paraId="46B473BE" w14:textId="396DEE73" w:rsidR="00777B82" w:rsidRPr="00777B82" w:rsidRDefault="00777B82" w:rsidP="00777B82">
            <w:proofErr w:type="spellStart"/>
            <w:r w:rsidRPr="00777B82">
              <w:t>Инсомния</w:t>
            </w:r>
            <w:proofErr w:type="spellEnd"/>
          </w:p>
        </w:tc>
        <w:tc>
          <w:tcPr>
            <w:tcW w:w="2394" w:type="dxa"/>
          </w:tcPr>
          <w:p w14:paraId="13C91A64" w14:textId="237600B5" w:rsidR="00777B82" w:rsidRPr="00777B82" w:rsidRDefault="00777B82" w:rsidP="00777B82">
            <w:r w:rsidRPr="00777B82">
              <w:t>Нервност</w:t>
            </w:r>
          </w:p>
        </w:tc>
      </w:tr>
    </w:tbl>
    <w:p w14:paraId="46CD1BB5" w14:textId="47EC549B" w:rsidR="00777B82" w:rsidRDefault="00777B82" w:rsidP="00777B82"/>
    <w:p w14:paraId="40F98433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5076A7BB" w14:textId="18CA04CF" w:rsidR="00777B82" w:rsidRDefault="00777B82" w:rsidP="00777B82">
      <w:pPr>
        <w:rPr>
          <w:rFonts w:eastAsia="Times New Roman" w:cs="Arial"/>
          <w:color w:val="000000"/>
          <w:lang w:val="en-US"/>
        </w:rPr>
      </w:pPr>
      <w:r w:rsidRPr="00777B82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ул. „Дамян Груев'' № 8, 1303 София, тел.: 02 8903417, уебсайт: </w:t>
      </w:r>
      <w:hyperlink r:id="rId5" w:history="1">
        <w:r w:rsidRPr="00777B82">
          <w:rPr>
            <w:rFonts w:eastAsia="Times New Roman" w:cs="Arial"/>
            <w:color w:val="000000"/>
            <w:lang w:val="en-US"/>
          </w:rPr>
          <w:t>www.bda.bg</w:t>
        </w:r>
      </w:hyperlink>
      <w:r w:rsidRPr="00777B82">
        <w:rPr>
          <w:rFonts w:eastAsia="Times New Roman" w:cs="Arial"/>
          <w:color w:val="000000"/>
          <w:lang w:val="en-US"/>
        </w:rPr>
        <w:t>.</w:t>
      </w:r>
    </w:p>
    <w:p w14:paraId="19273DC3" w14:textId="77777777" w:rsidR="00777B82" w:rsidRPr="00777B82" w:rsidRDefault="00777B82" w:rsidP="00777B82">
      <w:pPr>
        <w:rPr>
          <w:rFonts w:cs="Arial"/>
        </w:rPr>
      </w:pPr>
    </w:p>
    <w:p w14:paraId="42DF9851" w14:textId="1DB1BB63" w:rsidR="003765DC" w:rsidRDefault="002C50EE" w:rsidP="002B3C38">
      <w:pPr>
        <w:pStyle w:val="2"/>
      </w:pPr>
      <w:r>
        <w:t>4.9. Предозиране</w:t>
      </w:r>
    </w:p>
    <w:p w14:paraId="466E83FB" w14:textId="11791D09" w:rsidR="00777B82" w:rsidRDefault="00777B82" w:rsidP="00777B82"/>
    <w:p w14:paraId="00F9152D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i/>
          <w:iCs/>
          <w:color w:val="000000"/>
          <w:lang w:eastAsia="bg-BG"/>
        </w:rPr>
        <w:t>Симптоми на предозиране</w:t>
      </w:r>
    </w:p>
    <w:p w14:paraId="6EAE1E36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В малкото съобщени случаи на предозиране има данни за остро предозиране с еднократен прием на 19,6 </w:t>
      </w:r>
      <w:r w:rsidRPr="00777B82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без фатален изход. Наблюдаваните признаци и симптоми са: главоболие,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седация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сомнолентност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, хипотония, замаяност,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астения</w:t>
      </w:r>
      <w:proofErr w:type="spellEnd"/>
      <w:r w:rsidRPr="00777B82">
        <w:rPr>
          <w:rFonts w:eastAsia="Times New Roman" w:cs="Arial"/>
          <w:color w:val="000000"/>
          <w:lang w:eastAsia="bg-BG"/>
        </w:rPr>
        <w:t>, брадикардия, сухота в устата, повръщане, умора и болки в горната половина на коремната област. При тежко предозиране се препоръчва пациентите да се проследяват внимателно, особено за нарушения на съзнанието и за респираторна депресия.</w:t>
      </w:r>
    </w:p>
    <w:p w14:paraId="28C9E6AB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>Въз основа на няколко проучвания върху животни, в които са прилагани високи дози</w:t>
      </w:r>
    </w:p>
    <w:p w14:paraId="2346306D" w14:textId="1CA7E416" w:rsidR="00777B82" w:rsidRDefault="00777B82" w:rsidP="00777B82">
      <w:pPr>
        <w:rPr>
          <w:rFonts w:eastAsia="Times New Roman" w:cs="Arial"/>
          <w:color w:val="000000"/>
          <w:lang w:eastAsia="bg-BG"/>
        </w:rPr>
      </w:pPr>
      <w:r w:rsidRPr="00777B82">
        <w:rPr>
          <w:rFonts w:eastAsia="Times New Roman" w:cs="Arial"/>
          <w:color w:val="000000"/>
          <w:lang w:eastAsia="bg-BG"/>
        </w:rPr>
        <w:t>допълнително могат също да се наблюдават: преходна хипертония, тахикардия и хипергликемия.</w:t>
      </w:r>
    </w:p>
    <w:p w14:paraId="21CCC9F3" w14:textId="486C388F" w:rsidR="00777B82" w:rsidRDefault="00777B82" w:rsidP="00777B82">
      <w:pPr>
        <w:rPr>
          <w:rFonts w:eastAsia="Times New Roman" w:cs="Arial"/>
          <w:color w:val="000000"/>
          <w:lang w:eastAsia="bg-BG"/>
        </w:rPr>
      </w:pPr>
    </w:p>
    <w:p w14:paraId="6C5B83F0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i/>
          <w:iCs/>
          <w:color w:val="000000"/>
          <w:lang w:eastAsia="bg-BG"/>
        </w:rPr>
        <w:lastRenderedPageBreak/>
        <w:t>Лечение на предозиране</w:t>
      </w:r>
    </w:p>
    <w:p w14:paraId="0DE18973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Не е известен специфичен антидот. В случай на хипотония за подобряване на циркулацията се вливат течности и може да се приложи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допамин</w:t>
      </w:r>
      <w:proofErr w:type="spellEnd"/>
      <w:r w:rsidRPr="00777B82">
        <w:rPr>
          <w:rFonts w:eastAsia="Times New Roman" w:cs="Arial"/>
          <w:color w:val="000000"/>
          <w:lang w:eastAsia="bg-BG"/>
        </w:rPr>
        <w:t>. Брадикардията може да се повлияе от атропин.</w:t>
      </w:r>
    </w:p>
    <w:p w14:paraId="73D8E00F" w14:textId="77777777" w:rsidR="00777B82" w:rsidRPr="00777B82" w:rsidRDefault="00777B82" w:rsidP="00777B82">
      <w:pPr>
        <w:rPr>
          <w:rFonts w:eastAsia="Times New Roman" w:cs="Arial"/>
          <w:color w:val="000000"/>
          <w:lang w:eastAsia="bg-BG"/>
        </w:rPr>
      </w:pPr>
    </w:p>
    <w:p w14:paraId="139A3F87" w14:textId="670962F5" w:rsidR="00777B82" w:rsidRDefault="00777B82" w:rsidP="00777B82">
      <w:pPr>
        <w:rPr>
          <w:rFonts w:eastAsia="Times New Roman" w:cs="Arial"/>
          <w:color w:val="000000"/>
          <w:lang w:val="en-US" w:eastAsia="bg-BG"/>
        </w:rPr>
      </w:pPr>
      <w:r w:rsidRPr="00777B82">
        <w:rPr>
          <w:rFonts w:eastAsia="Times New Roman" w:cs="Arial"/>
          <w:color w:val="000000"/>
          <w:lang w:eastAsia="bg-BG"/>
        </w:rPr>
        <w:t xml:space="preserve">Появата на парадоксални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хипертензивни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ефекти при предозиране с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може да се отслаби или да се предотврати посредством а-рецепторен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блокер</w:t>
      </w:r>
      <w:proofErr w:type="spellEnd"/>
      <w:r>
        <w:rPr>
          <w:rFonts w:eastAsia="Times New Roman" w:cs="Arial"/>
          <w:color w:val="000000"/>
          <w:lang w:val="en-US" w:eastAsia="bg-BG"/>
        </w:rPr>
        <w:t>.</w:t>
      </w:r>
    </w:p>
    <w:p w14:paraId="6E2639C0" w14:textId="77777777" w:rsidR="00777B82" w:rsidRPr="00777B82" w:rsidRDefault="00777B82" w:rsidP="00777B82">
      <w:pPr>
        <w:rPr>
          <w:rFonts w:eastAsia="Times New Roman" w:cs="Arial"/>
          <w:color w:val="000000"/>
          <w:lang w:val="en-US" w:eastAsia="bg-BG"/>
        </w:rPr>
      </w:pPr>
    </w:p>
    <w:p w14:paraId="18EF4AFE" w14:textId="77777777" w:rsidR="002C50EE" w:rsidRDefault="002C50EE" w:rsidP="002C50EE">
      <w:pPr>
        <w:pStyle w:val="1"/>
      </w:pPr>
      <w:r>
        <w:t>5. ФАРМАКОЛОГИЧНИ СВОЙСТВА</w:t>
      </w:r>
    </w:p>
    <w:p w14:paraId="7635AD51" w14:textId="4B827868" w:rsidR="003765DC" w:rsidRDefault="002C50EE" w:rsidP="002B3C38">
      <w:pPr>
        <w:pStyle w:val="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6ED6DB98" w14:textId="77777777" w:rsidR="00777B82" w:rsidRDefault="00777B82" w:rsidP="00777B82">
      <w:pPr>
        <w:spacing w:line="240" w:lineRule="auto"/>
      </w:pPr>
    </w:p>
    <w:p w14:paraId="330B4FDD" w14:textId="7A3C1AA3" w:rsidR="00777B82" w:rsidRPr="00777B82" w:rsidRDefault="00777B82" w:rsidP="00777B82">
      <w:pPr>
        <w:spacing w:line="240" w:lineRule="auto"/>
        <w:rPr>
          <w:rFonts w:eastAsia="Times New Roman" w:cs="Arial"/>
        </w:rPr>
      </w:pPr>
      <w:proofErr w:type="spellStart"/>
      <w:r w:rsidRPr="00777B82">
        <w:rPr>
          <w:rFonts w:eastAsia="Times New Roman" w:cs="Arial"/>
          <w:color w:val="000000"/>
          <w:lang w:eastAsia="bg-BG"/>
        </w:rPr>
        <w:t>Фармакотерапевтична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група: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Имидазолинови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рецепторни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агонисти</w:t>
      </w:r>
      <w:proofErr w:type="spellEnd"/>
      <w:r w:rsidRPr="00777B82">
        <w:rPr>
          <w:rFonts w:eastAsia="Times New Roman" w:cs="Arial"/>
          <w:color w:val="000000"/>
          <w:lang w:eastAsia="bg-BG"/>
        </w:rPr>
        <w:t>, АТС код - С02АС05</w:t>
      </w:r>
    </w:p>
    <w:p w14:paraId="4F49DE89" w14:textId="77777777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403A115" w14:textId="43B34423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2A478DA1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При различни животински модели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показва силно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хипотензивно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действие. Наличните експериментални данни сочат, че мястото на действие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е в централната нервна система (ЦНС).</w:t>
      </w:r>
    </w:p>
    <w:p w14:paraId="58C04420" w14:textId="77777777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111BA7" w14:textId="5FEB1638" w:rsidR="00777B82" w:rsidRPr="00777B82" w:rsidRDefault="00777B82" w:rsidP="00777B82">
      <w:pPr>
        <w:spacing w:line="240" w:lineRule="auto"/>
        <w:rPr>
          <w:rFonts w:eastAsia="Times New Roman" w:cs="Arial"/>
        </w:rPr>
      </w:pPr>
      <w:proofErr w:type="spellStart"/>
      <w:r w:rsidRPr="00777B82">
        <w:rPr>
          <w:rFonts w:eastAsia="Times New Roman" w:cs="Arial"/>
          <w:color w:val="000000"/>
          <w:lang w:eastAsia="bg-BG"/>
        </w:rPr>
        <w:t>Фармакодинамични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ефекти</w:t>
      </w:r>
    </w:p>
    <w:p w14:paraId="295E980E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се свързва селективно с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имидазолиновите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</w:t>
      </w:r>
      <w:r w:rsidRPr="00777B82">
        <w:rPr>
          <w:rFonts w:eastAsia="Times New Roman" w:cs="Arial"/>
          <w:color w:val="000000"/>
          <w:lang w:val="en-US"/>
        </w:rPr>
        <w:t>I</w:t>
      </w:r>
      <w:r w:rsidRPr="00777B82">
        <w:rPr>
          <w:rFonts w:eastAsia="Times New Roman" w:cs="Arial"/>
          <w:color w:val="000000"/>
          <w:vertAlign w:val="subscript"/>
          <w:lang w:val="en-US"/>
        </w:rPr>
        <w:t>1</w:t>
      </w:r>
      <w:r w:rsidRPr="00777B82">
        <w:rPr>
          <w:rFonts w:eastAsia="Times New Roman" w:cs="Arial"/>
          <w:color w:val="000000"/>
          <w:lang w:eastAsia="bg-BG"/>
        </w:rPr>
        <w:t xml:space="preserve">-рецептори, разположени в мозъчния ствол. Тези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имидазолин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-чувствителни рецептори се намират предимно в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ростралната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вентролатерална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медула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, област, която играе важна роля в централния контрол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симпатикусовата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нервна система. В резултата на това взаимодействие се намалява активността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симпатикусовите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нерви - доказано е при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симпатикусовите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нерви на сърцето,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спланхникусовата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област и бъбреците.</w:t>
      </w:r>
    </w:p>
    <w:p w14:paraId="2CFC2861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се различава от другите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централнодействащи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антихипертензивни продукти по това, че афинитетът му към централните </w:t>
      </w:r>
      <w:r w:rsidRPr="00777B82">
        <w:rPr>
          <w:rFonts w:eastAsia="Times New Roman" w:cs="Arial"/>
          <w:color w:val="000000"/>
          <w:lang w:val="en-US"/>
        </w:rPr>
        <w:t>α</w:t>
      </w:r>
      <w:r w:rsidRPr="00777B82">
        <w:rPr>
          <w:rFonts w:eastAsia="Times New Roman" w:cs="Arial"/>
          <w:color w:val="000000"/>
          <w:lang w:eastAsia="bg-BG"/>
        </w:rPr>
        <w:t xml:space="preserve">2-адренорецептори е незначителен в сравнение с афинитета му към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имидазолиновите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</w:t>
      </w:r>
      <w:r w:rsidRPr="00777B82">
        <w:rPr>
          <w:rFonts w:eastAsia="Times New Roman" w:cs="Arial"/>
          <w:color w:val="000000"/>
          <w:lang w:val="en-US"/>
        </w:rPr>
        <w:t xml:space="preserve"> I</w:t>
      </w:r>
      <w:r w:rsidRPr="00777B82">
        <w:rPr>
          <w:rFonts w:eastAsia="Times New Roman" w:cs="Arial"/>
          <w:color w:val="000000"/>
          <w:vertAlign w:val="subscript"/>
          <w:lang w:val="en-US"/>
        </w:rPr>
        <w:t>1</w:t>
      </w:r>
      <w:r w:rsidRPr="00777B82">
        <w:rPr>
          <w:rFonts w:eastAsia="Times New Roman" w:cs="Arial"/>
          <w:color w:val="000000"/>
          <w:lang w:eastAsia="bg-BG"/>
        </w:rPr>
        <w:t xml:space="preserve">-рецептори. Приема се, че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седирането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и сухотата в устата, които се срещат най-често като нежелани лекарствени реакции на антихипертензивните средства с централно действие, са резултат от въздействие върху </w:t>
      </w:r>
      <w:r w:rsidRPr="00777B82">
        <w:rPr>
          <w:rFonts w:eastAsia="Times New Roman" w:cs="Arial"/>
          <w:color w:val="000000"/>
          <w:lang w:val="en-US"/>
        </w:rPr>
        <w:t>α</w:t>
      </w:r>
      <w:r w:rsidRPr="00777B82">
        <w:rPr>
          <w:rFonts w:eastAsia="Times New Roman" w:cs="Arial"/>
          <w:color w:val="000000"/>
          <w:lang w:eastAsia="bg-BG"/>
        </w:rPr>
        <w:t>2-адренорецепторите.</w:t>
      </w:r>
    </w:p>
    <w:p w14:paraId="6C6B592F" w14:textId="77777777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A5DC2A" w14:textId="63025B09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>Клинична ефикасност и безопасност</w:t>
      </w:r>
    </w:p>
    <w:p w14:paraId="55FC29AC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Средното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систолно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и диастолно артериално налягане се понижават както в покой, така и при усилие.</w:t>
      </w:r>
    </w:p>
    <w:p w14:paraId="45D79356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До този момент няма данни за влиянието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върху смъртността и сърдечно</w:t>
      </w:r>
      <w:r w:rsidRPr="00777B82">
        <w:rPr>
          <w:rFonts w:eastAsia="Times New Roman" w:cs="Arial"/>
          <w:color w:val="000000"/>
          <w:lang w:eastAsia="bg-BG"/>
        </w:rPr>
        <w:softHyphen/>
        <w:t>съдовата заболеваемост.</w:t>
      </w:r>
    </w:p>
    <w:p w14:paraId="0508055E" w14:textId="77777777" w:rsidR="00777B82" w:rsidRPr="00777B82" w:rsidRDefault="00777B82" w:rsidP="00777B82"/>
    <w:p w14:paraId="4D7DA0E3" w14:textId="1C244269" w:rsidR="004D4D6B" w:rsidRDefault="002C50EE" w:rsidP="002B3C38">
      <w:pPr>
        <w:pStyle w:val="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36146B7F" w14:textId="486CA733" w:rsidR="00777B82" w:rsidRDefault="00777B82" w:rsidP="00777B82"/>
    <w:p w14:paraId="6FAB581B" w14:textId="77777777" w:rsidR="00777B82" w:rsidRPr="00777B82" w:rsidRDefault="00777B82" w:rsidP="00777B82">
      <w:pPr>
        <w:pStyle w:val="3"/>
        <w:rPr>
          <w:rFonts w:eastAsia="Times New Roman"/>
          <w:u w:val="single"/>
        </w:rPr>
      </w:pPr>
      <w:r w:rsidRPr="00777B82">
        <w:rPr>
          <w:rFonts w:eastAsia="Times New Roman"/>
          <w:u w:val="single"/>
          <w:lang w:eastAsia="bg-BG"/>
        </w:rPr>
        <w:t>Абсорбция</w:t>
      </w:r>
    </w:p>
    <w:p w14:paraId="1B5FF973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се абсорбира бързо след перорално приложение. При хора се абсорбира около 90% от приетата доза. Максимални плазмени концентрации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се достигат 30-180 минути след прием на филмирана таблетка.</w:t>
      </w:r>
    </w:p>
    <w:p w14:paraId="4BF16B25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Приемът на храна не оказва влияние върху фармакокинетиката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>. Няма ефект на първо преминаване през черния дроб и бионаличността му възлиза на 88%.</w:t>
      </w:r>
    </w:p>
    <w:p w14:paraId="5514B0CD" w14:textId="77777777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7A85764" w14:textId="1B638C93" w:rsidR="00777B82" w:rsidRPr="00777B82" w:rsidRDefault="00777B82" w:rsidP="00777B82">
      <w:pPr>
        <w:pStyle w:val="3"/>
        <w:rPr>
          <w:rFonts w:eastAsia="Times New Roman"/>
          <w:u w:val="single"/>
        </w:rPr>
      </w:pPr>
      <w:r w:rsidRPr="00777B82">
        <w:rPr>
          <w:rFonts w:eastAsia="Times New Roman"/>
          <w:u w:val="single"/>
          <w:lang w:eastAsia="bg-BG"/>
        </w:rPr>
        <w:lastRenderedPageBreak/>
        <w:t>Разпределение</w:t>
      </w:r>
    </w:p>
    <w:p w14:paraId="602D4ED9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 xml:space="preserve">Около 7% от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се свързват с човешки плазмени протеини </w:t>
      </w:r>
      <w:r w:rsidRPr="00777B82">
        <w:rPr>
          <w:rFonts w:eastAsia="Times New Roman" w:cs="Arial"/>
          <w:color w:val="000000"/>
          <w:lang w:val="en-US"/>
        </w:rPr>
        <w:t>(</w:t>
      </w:r>
      <w:proofErr w:type="spellStart"/>
      <w:r w:rsidRPr="00777B82">
        <w:rPr>
          <w:rFonts w:eastAsia="Times New Roman" w:cs="Arial"/>
          <w:color w:val="000000"/>
          <w:lang w:val="en-US"/>
        </w:rPr>
        <w:t>Vd</w:t>
      </w:r>
      <w:r w:rsidRPr="00777B82">
        <w:rPr>
          <w:rFonts w:eastAsia="Times New Roman" w:cs="Arial"/>
          <w:color w:val="000000"/>
          <w:vertAlign w:val="subscript"/>
          <w:lang w:val="en-US"/>
        </w:rPr>
        <w:t>ss</w:t>
      </w:r>
      <w:proofErr w:type="spellEnd"/>
      <w:r w:rsidRPr="00777B82">
        <w:rPr>
          <w:rFonts w:eastAsia="Times New Roman" w:cs="Arial"/>
          <w:color w:val="000000"/>
          <w:lang w:val="en-US"/>
        </w:rPr>
        <w:t xml:space="preserve"> </w:t>
      </w:r>
      <w:r w:rsidRPr="00777B82">
        <w:rPr>
          <w:rFonts w:eastAsia="Times New Roman" w:cs="Arial"/>
          <w:color w:val="000000"/>
          <w:lang w:eastAsia="bg-BG"/>
        </w:rPr>
        <w:t xml:space="preserve">= 1,8 ± 0,4 </w:t>
      </w:r>
      <w:r w:rsidRPr="00777B82">
        <w:rPr>
          <w:rFonts w:eastAsia="Times New Roman" w:cs="Arial"/>
          <w:color w:val="000000"/>
          <w:lang w:val="en-US"/>
        </w:rPr>
        <w:t>1/kg).</w:t>
      </w:r>
    </w:p>
    <w:p w14:paraId="586D3EB4" w14:textId="77777777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536CB86" w14:textId="15CF9AAB" w:rsidR="00777B82" w:rsidRPr="00777B82" w:rsidRDefault="00777B82" w:rsidP="00777B82">
      <w:pPr>
        <w:pStyle w:val="3"/>
        <w:rPr>
          <w:rFonts w:eastAsia="Times New Roman"/>
          <w:u w:val="single"/>
        </w:rPr>
      </w:pPr>
      <w:r w:rsidRPr="00777B82">
        <w:rPr>
          <w:rFonts w:eastAsia="Times New Roman"/>
          <w:u w:val="single"/>
          <w:lang w:eastAsia="bg-BG"/>
        </w:rPr>
        <w:t>Биотрансформация</w:t>
      </w:r>
    </w:p>
    <w:p w14:paraId="0B5734FC" w14:textId="074DFB33" w:rsidR="00777B82" w:rsidRDefault="00777B82" w:rsidP="00777B82">
      <w:pPr>
        <w:rPr>
          <w:rFonts w:eastAsia="Times New Roman" w:cs="Arial"/>
          <w:color w:val="000000"/>
          <w:lang w:eastAsia="bg-BG"/>
        </w:rPr>
      </w:pP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в 10-20%, главно до 4,5-дехидромоксонидин и до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аминометанамидиново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производно чрез отваряне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имидазолиновия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пръстен.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Хипотензивнията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ефект на 4,5-дехидромоксонидин е само 1/10, а този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аминометанамидиновото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производно е. под 1/100 от този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>.</w:t>
      </w:r>
    </w:p>
    <w:p w14:paraId="55AA802F" w14:textId="09046ECF" w:rsidR="00777B82" w:rsidRDefault="00777B82" w:rsidP="00777B82">
      <w:pPr>
        <w:rPr>
          <w:rFonts w:eastAsia="Times New Roman" w:cs="Arial"/>
          <w:color w:val="000000"/>
          <w:lang w:eastAsia="bg-BG"/>
        </w:rPr>
      </w:pPr>
    </w:p>
    <w:p w14:paraId="44E4B5ED" w14:textId="77777777" w:rsidR="00777B82" w:rsidRPr="00777B82" w:rsidRDefault="00777B82" w:rsidP="00777B82">
      <w:pPr>
        <w:pStyle w:val="3"/>
        <w:rPr>
          <w:rFonts w:eastAsia="Times New Roman"/>
          <w:u w:val="single"/>
        </w:rPr>
      </w:pPr>
      <w:r w:rsidRPr="00777B82">
        <w:rPr>
          <w:rFonts w:eastAsia="Times New Roman"/>
          <w:u w:val="single"/>
          <w:lang w:eastAsia="bg-BG"/>
        </w:rPr>
        <w:t>Елиминиране</w:t>
      </w:r>
    </w:p>
    <w:p w14:paraId="15242C5A" w14:textId="77777777" w:rsidR="00777B82" w:rsidRPr="00777B82" w:rsidRDefault="00777B82" w:rsidP="00777B82">
      <w:pPr>
        <w:spacing w:line="240" w:lineRule="auto"/>
        <w:rPr>
          <w:rFonts w:eastAsia="Times New Roman" w:cs="Arial"/>
        </w:rPr>
      </w:pP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и неговите метаболити се отделят почти изцяло чрез бъбреците. Повече от 90% от дозата се отделя чрез бъбреците през първите 24 часа след приема, около 1 % се отделя с изпражненията. Кумулативната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ренална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екскреция на непроменен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е около 50-75%. Средното време на полуживот е 2,2-2,3 часа, а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реналния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елиминационен полуживот е 2,6- 2,8 часа.</w:t>
      </w:r>
    </w:p>
    <w:p w14:paraId="244DC788" w14:textId="77777777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C637B6" w14:textId="46862BDE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>При пациенти с умерено увредена бъбречна функция (</w:t>
      </w:r>
      <w:proofErr w:type="spellStart"/>
      <w:r w:rsidRPr="00777B82">
        <w:rPr>
          <w:rFonts w:eastAsia="Times New Roman" w:cs="Arial"/>
          <w:color w:val="000000"/>
          <w:lang w:eastAsia="bg-BG"/>
        </w:rPr>
        <w:t>гломерулна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филтрация между 30 </w:t>
      </w:r>
      <w:r w:rsidRPr="00777B82">
        <w:rPr>
          <w:rFonts w:eastAsia="Times New Roman" w:cs="Arial"/>
          <w:color w:val="000000"/>
          <w:lang w:val="en-US"/>
        </w:rPr>
        <w:t xml:space="preserve">ml/min </w:t>
      </w:r>
      <w:r w:rsidRPr="00777B82">
        <w:rPr>
          <w:rFonts w:eastAsia="Times New Roman" w:cs="Arial"/>
          <w:color w:val="000000"/>
          <w:lang w:eastAsia="bg-BG"/>
        </w:rPr>
        <w:t xml:space="preserve">и 60 </w:t>
      </w:r>
      <w:r w:rsidRPr="00777B82">
        <w:rPr>
          <w:rFonts w:eastAsia="Times New Roman" w:cs="Arial"/>
          <w:color w:val="000000"/>
          <w:lang w:val="en-US"/>
        </w:rPr>
        <w:t xml:space="preserve">ml/min) AUC </w:t>
      </w:r>
      <w:r w:rsidRPr="00777B82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се повишава с 85%, 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клирънсът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му намалява с 52%. При тези пациенти е необходимо адаптиране на дозата, като максималната дневна доза не трябва да надвишава 0,4 </w:t>
      </w:r>
      <w:r w:rsidRPr="00777B82">
        <w:rPr>
          <w:rFonts w:eastAsia="Times New Roman" w:cs="Arial"/>
          <w:color w:val="000000"/>
          <w:lang w:val="en-US"/>
        </w:rPr>
        <w:t xml:space="preserve">mg, </w:t>
      </w:r>
      <w:r w:rsidRPr="00777B82">
        <w:rPr>
          <w:rFonts w:eastAsia="Times New Roman" w:cs="Arial"/>
          <w:color w:val="000000"/>
          <w:lang w:eastAsia="bg-BG"/>
        </w:rPr>
        <w:t xml:space="preserve">а максималната еднократна доза - 0,2 </w:t>
      </w:r>
      <w:r w:rsidRPr="00777B82">
        <w:rPr>
          <w:rFonts w:eastAsia="Times New Roman" w:cs="Arial"/>
          <w:color w:val="000000"/>
          <w:lang w:val="en-US"/>
        </w:rPr>
        <w:t>mg.</w:t>
      </w:r>
    </w:p>
    <w:p w14:paraId="14E23E8C" w14:textId="77777777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5411BD" w14:textId="22B50089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Fonts w:eastAsia="Times New Roman" w:cs="Arial"/>
          <w:color w:val="000000"/>
          <w:lang w:eastAsia="bg-BG"/>
        </w:rPr>
        <w:t>При пациенти с тежко увредена бъбречна функция (</w:t>
      </w:r>
      <w:proofErr w:type="spellStart"/>
      <w:r w:rsidRPr="00777B82">
        <w:rPr>
          <w:rFonts w:eastAsia="Times New Roman" w:cs="Arial"/>
          <w:color w:val="000000"/>
          <w:lang w:eastAsia="bg-BG"/>
        </w:rPr>
        <w:t>гломерулна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филтрация &lt; 30 </w:t>
      </w:r>
      <w:r w:rsidRPr="00777B82">
        <w:rPr>
          <w:rFonts w:eastAsia="Times New Roman" w:cs="Arial"/>
          <w:color w:val="000000"/>
          <w:lang w:val="en-US"/>
        </w:rPr>
        <w:t xml:space="preserve">ml/min)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клирънсът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се понижава с 68% и елиминационният полуживот се удължава до 7 часа. При тези пациенти дозата на </w:t>
      </w:r>
      <w:proofErr w:type="spellStart"/>
      <w:r w:rsidRPr="00777B82">
        <w:rPr>
          <w:rFonts w:eastAsia="Times New Roman" w:cs="Arial"/>
          <w:color w:val="000000"/>
          <w:lang w:eastAsia="bg-BG"/>
        </w:rPr>
        <w:t>моксонидин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трябва да се адаптира така, че максималната дневна доза да бъде не повече от 0,3 </w:t>
      </w:r>
      <w:r w:rsidRPr="00777B82">
        <w:rPr>
          <w:rFonts w:eastAsia="Times New Roman" w:cs="Arial"/>
          <w:color w:val="000000"/>
          <w:lang w:val="en-US"/>
        </w:rPr>
        <w:t xml:space="preserve">mg </w:t>
      </w:r>
      <w:r w:rsidRPr="00777B82">
        <w:rPr>
          <w:rFonts w:eastAsia="Times New Roman" w:cs="Arial"/>
          <w:color w:val="000000"/>
          <w:lang w:eastAsia="bg-BG"/>
        </w:rPr>
        <w:t>(вж. точка 4.3).</w:t>
      </w:r>
    </w:p>
    <w:p w14:paraId="65F5D338" w14:textId="77777777" w:rsidR="00777B82" w:rsidRPr="00777B82" w:rsidRDefault="00777B82" w:rsidP="00777B8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6396A96" w14:textId="0D288152" w:rsidR="00777B82" w:rsidRPr="00777B82" w:rsidRDefault="00777B82" w:rsidP="00777B82">
      <w:pPr>
        <w:spacing w:line="240" w:lineRule="auto"/>
        <w:rPr>
          <w:rFonts w:eastAsia="Times New Roman" w:cs="Arial"/>
        </w:rPr>
      </w:pPr>
      <w:r w:rsidRPr="00777B82">
        <w:rPr>
          <w:rStyle w:val="30"/>
          <w:u w:val="single"/>
          <w:lang w:eastAsia="bg-BG"/>
        </w:rPr>
        <w:t>Педиатрична</w:t>
      </w:r>
      <w:r w:rsidRPr="00777B82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777B82">
        <w:rPr>
          <w:rStyle w:val="30"/>
          <w:u w:val="single"/>
          <w:lang w:eastAsia="bg-BG"/>
        </w:rPr>
        <w:t>популация</w:t>
      </w:r>
    </w:p>
    <w:p w14:paraId="0A1BA59D" w14:textId="63BAB7C2" w:rsidR="00777B82" w:rsidRPr="00777B82" w:rsidRDefault="00777B82" w:rsidP="00777B82">
      <w:pPr>
        <w:rPr>
          <w:rFonts w:eastAsia="Times New Roman" w:cs="Arial"/>
          <w:color w:val="000000"/>
          <w:lang w:eastAsia="bg-BG"/>
        </w:rPr>
      </w:pPr>
      <w:r w:rsidRPr="00777B82">
        <w:rPr>
          <w:rFonts w:eastAsia="Times New Roman" w:cs="Arial"/>
          <w:color w:val="000000"/>
          <w:lang w:eastAsia="bg-BG"/>
        </w:rPr>
        <w:t xml:space="preserve">Не са провеждани </w:t>
      </w:r>
      <w:proofErr w:type="spellStart"/>
      <w:r w:rsidRPr="00777B82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777B82">
        <w:rPr>
          <w:rFonts w:eastAsia="Times New Roman" w:cs="Arial"/>
          <w:color w:val="000000"/>
          <w:lang w:eastAsia="bg-BG"/>
        </w:rPr>
        <w:t xml:space="preserve"> проучвания сред педиатричната популация.</w:t>
      </w:r>
    </w:p>
    <w:p w14:paraId="7A6E3118" w14:textId="77777777" w:rsidR="00777B82" w:rsidRPr="00777B82" w:rsidRDefault="00777B82" w:rsidP="00777B82">
      <w:pPr>
        <w:rPr>
          <w:rFonts w:cs="Arial"/>
        </w:rPr>
      </w:pPr>
    </w:p>
    <w:p w14:paraId="5F501A51" w14:textId="0BB49237" w:rsidR="00777B82" w:rsidRDefault="002C50EE" w:rsidP="00777B82">
      <w:pPr>
        <w:pStyle w:val="2"/>
      </w:pPr>
      <w:r>
        <w:t>5.3. Предклинични данни за безопасност</w:t>
      </w:r>
    </w:p>
    <w:p w14:paraId="295A0832" w14:textId="7DF93330" w:rsidR="00777B82" w:rsidRDefault="00777B82" w:rsidP="00777B82"/>
    <w:p w14:paraId="26783981" w14:textId="77777777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</w:t>
      </w:r>
      <w:proofErr w:type="spellStart"/>
      <w:r w:rsidRPr="00777B82">
        <w:rPr>
          <w:lang w:eastAsia="bg-BG"/>
        </w:rPr>
        <w:t>генотоксичност</w:t>
      </w:r>
      <w:proofErr w:type="spellEnd"/>
      <w:r w:rsidRPr="00777B82">
        <w:rPr>
          <w:lang w:eastAsia="bg-BG"/>
        </w:rPr>
        <w:t>, карциногенен потенциал, репродуктивна токсичност и токсичност за развитието.</w:t>
      </w:r>
    </w:p>
    <w:p w14:paraId="6369E467" w14:textId="77777777" w:rsidR="00777B82" w:rsidRDefault="00777B82" w:rsidP="00777B82">
      <w:pPr>
        <w:rPr>
          <w:lang w:eastAsia="bg-BG"/>
        </w:rPr>
      </w:pPr>
    </w:p>
    <w:p w14:paraId="5C2DAE26" w14:textId="706C408C" w:rsidR="00777B82" w:rsidRPr="00777B82" w:rsidRDefault="00777B82" w:rsidP="00777B82">
      <w:pPr>
        <w:rPr>
          <w:sz w:val="24"/>
          <w:szCs w:val="24"/>
        </w:rPr>
      </w:pPr>
      <w:r w:rsidRPr="00777B82">
        <w:rPr>
          <w:lang w:eastAsia="bg-BG"/>
        </w:rPr>
        <w:t xml:space="preserve">След прилагане на дневни дози над 3 </w:t>
      </w:r>
      <w:r w:rsidRPr="00777B82">
        <w:rPr>
          <w:lang w:val="en-US"/>
        </w:rPr>
        <w:t xml:space="preserve">mg/kg </w:t>
      </w:r>
      <w:r w:rsidRPr="00777B82">
        <w:rPr>
          <w:lang w:eastAsia="bg-BG"/>
        </w:rPr>
        <w:t xml:space="preserve">при плъховете и над 0,7 </w:t>
      </w:r>
      <w:r w:rsidRPr="00777B82">
        <w:rPr>
          <w:lang w:val="en-US"/>
        </w:rPr>
        <w:t xml:space="preserve">mg/kg </w:t>
      </w:r>
      <w:r w:rsidRPr="00777B82">
        <w:rPr>
          <w:lang w:eastAsia="bg-BG"/>
        </w:rPr>
        <w:t xml:space="preserve">при зайци са наблюдавани </w:t>
      </w:r>
      <w:proofErr w:type="spellStart"/>
      <w:r w:rsidRPr="00777B82">
        <w:rPr>
          <w:lang w:eastAsia="bg-BG"/>
        </w:rPr>
        <w:t>ембриотоксични</w:t>
      </w:r>
      <w:proofErr w:type="spellEnd"/>
      <w:r w:rsidRPr="00777B82">
        <w:rPr>
          <w:lang w:eastAsia="bg-BG"/>
        </w:rPr>
        <w:t xml:space="preserve"> ефекти. При пери- и </w:t>
      </w:r>
      <w:proofErr w:type="spellStart"/>
      <w:r w:rsidRPr="00777B82">
        <w:rPr>
          <w:lang w:eastAsia="bg-BG"/>
        </w:rPr>
        <w:t>постнатални</w:t>
      </w:r>
      <w:proofErr w:type="spellEnd"/>
      <w:r w:rsidRPr="00777B82">
        <w:rPr>
          <w:lang w:eastAsia="bg-BG"/>
        </w:rPr>
        <w:t xml:space="preserve"> проучвания върху плъхове е установено, че когато се прилага в дневни дози над 1 </w:t>
      </w:r>
      <w:r w:rsidRPr="00777B82">
        <w:rPr>
          <w:lang w:val="en-US"/>
        </w:rPr>
        <w:t xml:space="preserve">mg/kg </w:t>
      </w:r>
      <w:proofErr w:type="spellStart"/>
      <w:r w:rsidRPr="00777B82">
        <w:rPr>
          <w:lang w:eastAsia="bg-BG"/>
        </w:rPr>
        <w:t>моксонидин</w:t>
      </w:r>
      <w:proofErr w:type="spellEnd"/>
      <w:r w:rsidRPr="00777B82">
        <w:rPr>
          <w:lang w:eastAsia="bg-BG"/>
        </w:rPr>
        <w:t xml:space="preserve"> оказва влияние върху развитието и жизнеспособността на поколението.</w:t>
      </w:r>
    </w:p>
    <w:p w14:paraId="6940F72E" w14:textId="03F521BD" w:rsidR="009B171C" w:rsidRDefault="002C50EE" w:rsidP="00CA1B57">
      <w:pPr>
        <w:pStyle w:val="1"/>
      </w:pPr>
      <w:r>
        <w:t>7. ПРИТЕЖАТЕЛ НА РАЗРЕШЕНИЕТО ЗА УПОТРЕБА</w:t>
      </w:r>
    </w:p>
    <w:p w14:paraId="6E1C1245" w14:textId="45F5CD43" w:rsidR="00777B82" w:rsidRDefault="00777B82" w:rsidP="00777B82"/>
    <w:p w14:paraId="325D9012" w14:textId="77777777" w:rsidR="00777B82" w:rsidRPr="00777B82" w:rsidRDefault="00777B82" w:rsidP="00777B82">
      <w:pPr>
        <w:rPr>
          <w:sz w:val="24"/>
          <w:szCs w:val="24"/>
        </w:rPr>
      </w:pPr>
      <w:proofErr w:type="spellStart"/>
      <w:r w:rsidRPr="00777B82">
        <w:rPr>
          <w:lang w:eastAsia="bg-BG"/>
        </w:rPr>
        <w:t>Тева</w:t>
      </w:r>
      <w:proofErr w:type="spellEnd"/>
      <w:r w:rsidRPr="00777B82">
        <w:rPr>
          <w:lang w:eastAsia="bg-BG"/>
        </w:rPr>
        <w:t xml:space="preserve"> </w:t>
      </w:r>
      <w:proofErr w:type="spellStart"/>
      <w:r w:rsidRPr="00777B82">
        <w:rPr>
          <w:lang w:eastAsia="bg-BG"/>
        </w:rPr>
        <w:t>Фарма</w:t>
      </w:r>
      <w:proofErr w:type="spellEnd"/>
      <w:r w:rsidRPr="00777B82">
        <w:rPr>
          <w:lang w:eastAsia="bg-BG"/>
        </w:rPr>
        <w:t xml:space="preserve"> ЕАД</w:t>
      </w:r>
    </w:p>
    <w:p w14:paraId="5A050A7F" w14:textId="77777777" w:rsidR="00777B82" w:rsidRDefault="00777B82" w:rsidP="00777B82">
      <w:pPr>
        <w:rPr>
          <w:lang w:eastAsia="bg-BG"/>
        </w:rPr>
      </w:pPr>
      <w:r w:rsidRPr="00777B82">
        <w:rPr>
          <w:lang w:eastAsia="bg-BG"/>
        </w:rPr>
        <w:t xml:space="preserve">ул. „Люба Величкова“ № 9, 1407 София </w:t>
      </w:r>
    </w:p>
    <w:p w14:paraId="01D06846" w14:textId="4C0795A7" w:rsidR="00777B82" w:rsidRPr="00777B82" w:rsidRDefault="00777B82" w:rsidP="00777B82">
      <w:r w:rsidRPr="00777B82">
        <w:rPr>
          <w:lang w:eastAsia="bg-BG"/>
        </w:rPr>
        <w:t>България</w:t>
      </w:r>
    </w:p>
    <w:p w14:paraId="04840D59" w14:textId="0E709A62" w:rsidR="002C50EE" w:rsidRDefault="002C50EE" w:rsidP="002C50EE">
      <w:pPr>
        <w:pStyle w:val="1"/>
      </w:pPr>
      <w:r>
        <w:lastRenderedPageBreak/>
        <w:t>8. НОМЕР НА РАЗРЕШЕНИЕТО ЗА УПОТРЕБА</w:t>
      </w:r>
    </w:p>
    <w:p w14:paraId="1A5B8C12" w14:textId="77777777" w:rsidR="00960D79" w:rsidRDefault="00960D79" w:rsidP="00960D79">
      <w:pPr>
        <w:rPr>
          <w:lang w:eastAsia="bg-BG"/>
        </w:rPr>
      </w:pPr>
    </w:p>
    <w:p w14:paraId="7DB286CF" w14:textId="1C94FA85" w:rsidR="00960D79" w:rsidRPr="00960D79" w:rsidRDefault="00960D79" w:rsidP="00960D79">
      <w:pPr>
        <w:rPr>
          <w:lang w:eastAsia="bg-BG"/>
        </w:rPr>
      </w:pPr>
      <w:proofErr w:type="spellStart"/>
      <w:r w:rsidRPr="00960D79">
        <w:rPr>
          <w:lang w:eastAsia="bg-BG"/>
        </w:rPr>
        <w:t>Моксотенс</w:t>
      </w:r>
      <w:proofErr w:type="spellEnd"/>
      <w:r w:rsidRPr="00960D79">
        <w:rPr>
          <w:lang w:eastAsia="bg-BG"/>
        </w:rPr>
        <w:t xml:space="preserve"> 0,2 </w:t>
      </w:r>
      <w:r w:rsidRPr="00960D79">
        <w:rPr>
          <w:lang w:val="en-US"/>
        </w:rPr>
        <w:t xml:space="preserve">mg </w:t>
      </w:r>
      <w:r w:rsidRPr="00960D79">
        <w:rPr>
          <w:lang w:eastAsia="bg-BG"/>
        </w:rPr>
        <w:t xml:space="preserve">филмирани таблетки - </w:t>
      </w:r>
      <w:r w:rsidRPr="00960D79">
        <w:rPr>
          <w:lang w:val="en-US"/>
        </w:rPr>
        <w:t xml:space="preserve">per. </w:t>
      </w:r>
      <w:r w:rsidRPr="00960D79">
        <w:rPr>
          <w:lang w:eastAsia="bg-BG"/>
        </w:rPr>
        <w:t>№ 20070010</w:t>
      </w:r>
    </w:p>
    <w:p w14:paraId="10DF58D4" w14:textId="44EAB1FA" w:rsidR="00777B82" w:rsidRPr="00777B82" w:rsidRDefault="00960D79" w:rsidP="00960D79">
      <w:proofErr w:type="spellStart"/>
      <w:r w:rsidRPr="00960D79">
        <w:rPr>
          <w:lang w:eastAsia="bg-BG"/>
        </w:rPr>
        <w:t>Моксотенс</w:t>
      </w:r>
      <w:proofErr w:type="spellEnd"/>
      <w:r w:rsidRPr="00960D79">
        <w:rPr>
          <w:lang w:eastAsia="bg-BG"/>
        </w:rPr>
        <w:t xml:space="preserve"> 0,4 </w:t>
      </w:r>
      <w:r w:rsidRPr="00960D79">
        <w:rPr>
          <w:lang w:val="en-US"/>
        </w:rPr>
        <w:t xml:space="preserve">mg </w:t>
      </w:r>
      <w:r w:rsidRPr="00960D79">
        <w:rPr>
          <w:lang w:eastAsia="bg-BG"/>
        </w:rPr>
        <w:t xml:space="preserve">филмирани таблетки - </w:t>
      </w:r>
      <w:r w:rsidRPr="00960D79">
        <w:rPr>
          <w:lang w:val="en-US"/>
        </w:rPr>
        <w:t xml:space="preserve">per. </w:t>
      </w:r>
      <w:r w:rsidRPr="00960D79">
        <w:rPr>
          <w:lang w:eastAsia="bg-BG"/>
        </w:rPr>
        <w:t>№ 20070012</w:t>
      </w:r>
    </w:p>
    <w:p w14:paraId="5900CBF3" w14:textId="45195A84" w:rsidR="002C50EE" w:rsidRDefault="002C50EE" w:rsidP="002C50EE">
      <w:pPr>
        <w:pStyle w:val="1"/>
      </w:pPr>
      <w:r>
        <w:t>9. ДАТА НА ПЪРВО РАЗРЕШАВАНЕ/ПОДНОВЯВАНЕ НА РАЗРЕШЕНИЕТО ЗА УПОТРЕБА</w:t>
      </w:r>
    </w:p>
    <w:p w14:paraId="78B25AD5" w14:textId="6D539842" w:rsidR="00960D79" w:rsidRDefault="00960D79" w:rsidP="00960D79"/>
    <w:p w14:paraId="1BBDD756" w14:textId="77777777" w:rsidR="00960D79" w:rsidRPr="00960D79" w:rsidRDefault="00960D79" w:rsidP="00960D79">
      <w:pPr>
        <w:rPr>
          <w:sz w:val="24"/>
          <w:szCs w:val="24"/>
        </w:rPr>
      </w:pPr>
      <w:r w:rsidRPr="00960D79">
        <w:rPr>
          <w:lang w:eastAsia="bg-BG"/>
        </w:rPr>
        <w:t>Дата на първо разрешаване: 01.03.2007 г.</w:t>
      </w:r>
    </w:p>
    <w:p w14:paraId="3B0517FC" w14:textId="5CFAD156" w:rsidR="00960D79" w:rsidRPr="00960D79" w:rsidRDefault="00960D79" w:rsidP="00960D79">
      <w:r w:rsidRPr="00960D79">
        <w:rPr>
          <w:lang w:eastAsia="bg-BG"/>
        </w:rPr>
        <w:t>Дата на последно подновяване: 25.04.2012 г.</w:t>
      </w:r>
    </w:p>
    <w:p w14:paraId="0E9D0119" w14:textId="0245C6D7" w:rsidR="002C50EE" w:rsidRDefault="002C50EE" w:rsidP="002C50EE">
      <w:pPr>
        <w:pStyle w:val="1"/>
      </w:pPr>
      <w:r>
        <w:t>10. ДАТА НА АКТУАЛИЗИРАНЕ НА ТЕКСТА</w:t>
      </w:r>
    </w:p>
    <w:bookmarkEnd w:id="0"/>
    <w:p w14:paraId="423F4C2A" w14:textId="1D3DBAF1" w:rsidR="00C87E90" w:rsidRDefault="00C87E90" w:rsidP="004D4D6B"/>
    <w:p w14:paraId="64397C33" w14:textId="109EF1F1" w:rsidR="00960D79" w:rsidRPr="003E3126" w:rsidRDefault="00960D79" w:rsidP="00960D79">
      <w:r>
        <w:t>05.01.2021</w:t>
      </w:r>
    </w:p>
    <w:sectPr w:rsidR="00960D79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3FD04550"/>
    <w:multiLevelType w:val="hybridMultilevel"/>
    <w:tmpl w:val="4EE2AB6C"/>
    <w:lvl w:ilvl="0" w:tplc="113EDAF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25"/>
  </w:num>
  <w:num w:numId="12">
    <w:abstractNumId w:val="11"/>
  </w:num>
  <w:num w:numId="13">
    <w:abstractNumId w:val="17"/>
  </w:num>
  <w:num w:numId="14">
    <w:abstractNumId w:val="9"/>
  </w:num>
  <w:num w:numId="15">
    <w:abstractNumId w:val="24"/>
  </w:num>
  <w:num w:numId="16">
    <w:abstractNumId w:val="7"/>
  </w:num>
  <w:num w:numId="17">
    <w:abstractNumId w:val="20"/>
  </w:num>
  <w:num w:numId="18">
    <w:abstractNumId w:val="5"/>
  </w:num>
  <w:num w:numId="19">
    <w:abstractNumId w:val="22"/>
  </w:num>
  <w:num w:numId="20">
    <w:abstractNumId w:val="19"/>
  </w:num>
  <w:num w:numId="21">
    <w:abstractNumId w:val="15"/>
  </w:num>
  <w:num w:numId="22">
    <w:abstractNumId w:val="21"/>
  </w:num>
  <w:num w:numId="23">
    <w:abstractNumId w:val="16"/>
  </w:num>
  <w:num w:numId="24">
    <w:abstractNumId w:val="6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77B82"/>
    <w:rsid w:val="00814073"/>
    <w:rsid w:val="00826F0D"/>
    <w:rsid w:val="00893B92"/>
    <w:rsid w:val="008C70A2"/>
    <w:rsid w:val="00960D79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1"/>
    <w:basedOn w:val="3"/>
    <w:next w:val="a"/>
    <w:link w:val="12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2">
    <w:name w:val="Стил1 Знак"/>
    <w:basedOn w:val="30"/>
    <w:link w:val="1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2195</Words>
  <Characters>12513</Characters>
  <Application>Microsoft Office Word</Application>
  <DocSecurity>0</DocSecurity>
  <Lines>104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2021-10-18T10:43:00Z</dcterms:created>
  <dcterms:modified xsi:type="dcterms:W3CDTF">2021-10-18T10:43:00Z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