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61ED4EE4" w:rsidR="009F77A4" w:rsidRDefault="00DD466D" w:rsidP="00387A66">
      <w:pPr>
        <w:pStyle w:val="Heading1"/>
      </w:pPr>
      <w:r>
        <w:t>1.ИМЕ НА ЛЕКАРСТВЕНИЯ ПРОДУКТ</w:t>
      </w:r>
    </w:p>
    <w:p w14:paraId="67F869E0" w14:textId="4002A98A" w:rsidR="00BC2360" w:rsidRDefault="00BC2360" w:rsidP="00BC2360"/>
    <w:p w14:paraId="6569C531" w14:textId="77777777" w:rsidR="00BC2360" w:rsidRPr="00BC2360" w:rsidRDefault="00BC2360" w:rsidP="00BC2360">
      <w:pPr>
        <w:rPr>
          <w:sz w:val="24"/>
          <w:szCs w:val="24"/>
          <w:lang w:val="en-US" w:eastAsia="bg-BG"/>
        </w:rPr>
      </w:pPr>
      <w:r w:rsidRPr="00BC2360">
        <w:rPr>
          <w:lang w:eastAsia="bg-BG"/>
        </w:rPr>
        <w:t xml:space="preserve">МУКОСОЛВАН 15 </w:t>
      </w:r>
      <w:r w:rsidRPr="00BC2360">
        <w:rPr>
          <w:lang w:val="en-US"/>
        </w:rPr>
        <w:t xml:space="preserve">mg/5 ml </w:t>
      </w:r>
      <w:r w:rsidRPr="00BC2360">
        <w:rPr>
          <w:lang w:eastAsia="bg-BG"/>
        </w:rPr>
        <w:t>сироп</w:t>
      </w:r>
    </w:p>
    <w:p w14:paraId="25BEE4BC" w14:textId="77777777" w:rsidR="00BC2360" w:rsidRPr="00BC2360" w:rsidRDefault="00BC2360" w:rsidP="00BC2360">
      <w:pPr>
        <w:rPr>
          <w:sz w:val="24"/>
          <w:szCs w:val="24"/>
          <w:lang w:val="en-US" w:eastAsia="bg-BG"/>
        </w:rPr>
      </w:pPr>
      <w:r w:rsidRPr="00BC2360">
        <w:rPr>
          <w:lang w:val="en-US"/>
        </w:rPr>
        <w:t xml:space="preserve">MUCOSOLVAN </w:t>
      </w:r>
      <w:r w:rsidRPr="00BC2360">
        <w:rPr>
          <w:lang w:eastAsia="bg-BG"/>
        </w:rPr>
        <w:t xml:space="preserve">15 </w:t>
      </w:r>
      <w:r w:rsidRPr="00BC2360">
        <w:rPr>
          <w:lang w:val="en-US"/>
        </w:rPr>
        <w:t>mg/5 ml syrup</w:t>
      </w:r>
    </w:p>
    <w:p w14:paraId="412EF3F1" w14:textId="77777777" w:rsidR="00BC2360" w:rsidRPr="00BC2360" w:rsidRDefault="00BC2360" w:rsidP="00BC2360"/>
    <w:p w14:paraId="0DF202EC" w14:textId="53EBAB4C" w:rsidR="00F53FB7" w:rsidRDefault="00DD466D" w:rsidP="00A93499">
      <w:pPr>
        <w:pStyle w:val="Heading1"/>
      </w:pPr>
      <w:r>
        <w:t>2. КАЧЕСТВЕН И КОЛИЧЕСТВЕН СЪСТАВ</w:t>
      </w:r>
    </w:p>
    <w:p w14:paraId="131757A8" w14:textId="018A81BB" w:rsidR="00BC2360" w:rsidRDefault="00BC2360" w:rsidP="00BC2360"/>
    <w:p w14:paraId="1A06B4DB" w14:textId="77777777" w:rsidR="00BC2360" w:rsidRPr="00BC2360" w:rsidRDefault="00BC2360" w:rsidP="00BC2360">
      <w:pPr>
        <w:rPr>
          <w:sz w:val="24"/>
          <w:szCs w:val="24"/>
          <w:lang w:eastAsia="bg-BG"/>
        </w:rPr>
      </w:pPr>
      <w:r w:rsidRPr="00BC2360">
        <w:rPr>
          <w:lang w:eastAsia="bg-BG"/>
        </w:rPr>
        <w:t xml:space="preserve">5 </w:t>
      </w:r>
      <w:r w:rsidRPr="00BC2360">
        <w:rPr>
          <w:lang w:val="en-US"/>
        </w:rPr>
        <w:t xml:space="preserve">ml </w:t>
      </w:r>
      <w:r w:rsidRPr="00BC2360">
        <w:rPr>
          <w:lang w:eastAsia="bg-BG"/>
        </w:rPr>
        <w:t xml:space="preserve">сироп съдържат 15 </w:t>
      </w:r>
      <w:r w:rsidRPr="00BC2360">
        <w:rPr>
          <w:lang w:val="en-US"/>
        </w:rPr>
        <w:t xml:space="preserve">mg </w:t>
      </w:r>
      <w:r w:rsidRPr="00BC2360">
        <w:rPr>
          <w:lang w:eastAsia="bg-BG"/>
        </w:rPr>
        <w:t xml:space="preserve">амброксолов хидрохлорид </w:t>
      </w:r>
      <w:r w:rsidRPr="00BC2360">
        <w:rPr>
          <w:i/>
          <w:iCs/>
          <w:lang w:val="en-US"/>
        </w:rPr>
        <w:t>(</w:t>
      </w:r>
      <w:proofErr w:type="spellStart"/>
      <w:r w:rsidRPr="00BC2360">
        <w:rPr>
          <w:i/>
          <w:iCs/>
          <w:lang w:val="en-US"/>
        </w:rPr>
        <w:t>ambroxol</w:t>
      </w:r>
      <w:proofErr w:type="spellEnd"/>
      <w:r w:rsidRPr="00BC2360">
        <w:rPr>
          <w:i/>
          <w:iCs/>
          <w:lang w:val="en-US"/>
        </w:rPr>
        <w:t xml:space="preserve"> hydrochloride).</w:t>
      </w:r>
    </w:p>
    <w:p w14:paraId="13B139FD" w14:textId="77777777" w:rsidR="00BC2360" w:rsidRDefault="00BC2360" w:rsidP="00BC2360">
      <w:pPr>
        <w:rPr>
          <w:lang w:eastAsia="bg-BG"/>
        </w:rPr>
      </w:pPr>
    </w:p>
    <w:p w14:paraId="0E54F1BB" w14:textId="5554E2A2" w:rsidR="00BC2360" w:rsidRPr="00BC2360" w:rsidRDefault="00BC2360" w:rsidP="00BC2360">
      <w:pPr>
        <w:rPr>
          <w:sz w:val="24"/>
          <w:szCs w:val="24"/>
          <w:lang w:eastAsia="bg-BG"/>
        </w:rPr>
      </w:pPr>
      <w:r w:rsidRPr="00BC2360">
        <w:rPr>
          <w:lang w:eastAsia="bg-BG"/>
        </w:rPr>
        <w:t xml:space="preserve">Помощни вещества с известно действие: 5,4 </w:t>
      </w:r>
      <w:r w:rsidRPr="00BC2360">
        <w:rPr>
          <w:i/>
          <w:iCs/>
          <w:lang w:val="en-US"/>
        </w:rPr>
        <w:t>mg/ml</w:t>
      </w:r>
      <w:r w:rsidRPr="00BC2360">
        <w:rPr>
          <w:lang w:val="en-US"/>
        </w:rPr>
        <w:t xml:space="preserve"> </w:t>
      </w:r>
      <w:r w:rsidRPr="00BC2360">
        <w:rPr>
          <w:lang w:eastAsia="bg-BG"/>
        </w:rPr>
        <w:t xml:space="preserve">пропилен гликол (Е1520) и 0,5 </w:t>
      </w:r>
      <w:r w:rsidRPr="00BC2360">
        <w:rPr>
          <w:lang w:val="en-US"/>
        </w:rPr>
        <w:t xml:space="preserve">mg/ml </w:t>
      </w:r>
      <w:r w:rsidRPr="00BC2360">
        <w:rPr>
          <w:lang w:eastAsia="bg-BG"/>
        </w:rPr>
        <w:t>бензоена киселина (Е210) (вж. точка 4.4)</w:t>
      </w:r>
      <w:r>
        <w:rPr>
          <w:lang w:eastAsia="bg-BG"/>
        </w:rPr>
        <w:t>.</w:t>
      </w:r>
    </w:p>
    <w:p w14:paraId="399F912A" w14:textId="77777777" w:rsidR="00BC2360" w:rsidRPr="00BC2360" w:rsidRDefault="00BC2360" w:rsidP="00BC2360"/>
    <w:p w14:paraId="4CABB9ED" w14:textId="2D4DB317" w:rsidR="00F53FB7" w:rsidRDefault="00DD466D" w:rsidP="00A93499">
      <w:pPr>
        <w:pStyle w:val="Heading1"/>
      </w:pPr>
      <w:r>
        <w:t>3. ЛЕКАРСТВЕНА ФОРМА</w:t>
      </w:r>
    </w:p>
    <w:p w14:paraId="18DC4603" w14:textId="55768D99" w:rsidR="00BC2360" w:rsidRDefault="00BC2360" w:rsidP="00BC2360"/>
    <w:p w14:paraId="4A20679A" w14:textId="77777777" w:rsidR="00BC2360" w:rsidRPr="00BC2360" w:rsidRDefault="00BC2360" w:rsidP="00BC2360">
      <w:pPr>
        <w:rPr>
          <w:sz w:val="24"/>
          <w:szCs w:val="24"/>
          <w:lang w:eastAsia="bg-BG"/>
        </w:rPr>
      </w:pPr>
      <w:r w:rsidRPr="00BC2360">
        <w:rPr>
          <w:lang w:eastAsia="bg-BG"/>
        </w:rPr>
        <w:t>Сироп</w:t>
      </w:r>
    </w:p>
    <w:p w14:paraId="4022FC60" w14:textId="58334A52" w:rsidR="00BC2360" w:rsidRPr="00BC2360" w:rsidRDefault="00BC2360" w:rsidP="00BC2360">
      <w:r w:rsidRPr="00BC2360">
        <w:rPr>
          <w:lang w:eastAsia="bg-BG"/>
        </w:rPr>
        <w:t>Бистър до почти бистър, безцветен до почти безцветен, слабо вискозен сироп.</w:t>
      </w:r>
    </w:p>
    <w:p w14:paraId="490FC2C4" w14:textId="6899DE43" w:rsidR="002C50EE" w:rsidRDefault="002C50EE" w:rsidP="002C50EE">
      <w:pPr>
        <w:pStyle w:val="Heading1"/>
      </w:pPr>
      <w:r>
        <w:t>4. КЛИНИЧНИ ДАННИ</w:t>
      </w:r>
    </w:p>
    <w:p w14:paraId="461901E4" w14:textId="50DE095E" w:rsidR="009F77A4" w:rsidRDefault="002C50EE" w:rsidP="00387A66">
      <w:pPr>
        <w:pStyle w:val="Heading2"/>
      </w:pPr>
      <w:r>
        <w:t>4.1. Терапевтични показания</w:t>
      </w:r>
    </w:p>
    <w:p w14:paraId="711A4984" w14:textId="18833C26" w:rsidR="00BC2360" w:rsidRDefault="00BC2360" w:rsidP="00BC2360"/>
    <w:p w14:paraId="7DA7468E" w14:textId="6405BE70" w:rsidR="00BC2360" w:rsidRDefault="00BC2360" w:rsidP="00BC2360">
      <w:r>
        <w:t>Секретолитична терапия при остри и хронични бронхо-пулмонални заболявалия, свързани с абнормална мукусна секреция и нарушен мукусен транспорт.</w:t>
      </w:r>
    </w:p>
    <w:p w14:paraId="4B67B9E9" w14:textId="77777777" w:rsidR="00BC2360" w:rsidRPr="00BC2360" w:rsidRDefault="00BC2360" w:rsidP="00BC2360"/>
    <w:p w14:paraId="31744E5A" w14:textId="661006CD" w:rsidR="009F77A4" w:rsidRDefault="002C50EE" w:rsidP="00387A66">
      <w:pPr>
        <w:pStyle w:val="Heading2"/>
      </w:pPr>
      <w:r>
        <w:t>4.2. Дозировка и начин на приложение</w:t>
      </w:r>
    </w:p>
    <w:p w14:paraId="0FE1C9C2" w14:textId="77777777" w:rsidR="00BC2360" w:rsidRPr="00BC2360" w:rsidRDefault="00BC2360" w:rsidP="00BC2360"/>
    <w:p w14:paraId="6CE1598F"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i/>
          <w:iCs/>
          <w:color w:val="000000"/>
          <w:lang w:eastAsia="bg-BG"/>
        </w:rPr>
        <w:t>Дозировка</w:t>
      </w:r>
    </w:p>
    <w:p w14:paraId="70915D51" w14:textId="77777777" w:rsidR="00BC2360" w:rsidRPr="00BC2360" w:rsidRDefault="00BC2360" w:rsidP="00BC2360">
      <w:pPr>
        <w:spacing w:line="240" w:lineRule="auto"/>
        <w:rPr>
          <w:rFonts w:eastAsia="Times New Roman" w:cs="Arial"/>
          <w:color w:val="000000"/>
          <w:lang w:eastAsia="bg-BG"/>
        </w:rPr>
      </w:pPr>
    </w:p>
    <w:p w14:paraId="1C35C541" w14:textId="0AEE5982"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Възрастни и деца над 12 години:</w:t>
      </w:r>
      <w:r>
        <w:rPr>
          <w:rFonts w:eastAsia="Times New Roman" w:cs="Arial"/>
          <w:color w:val="000000"/>
          <w:lang w:eastAsia="bg-BG"/>
        </w:rPr>
        <w:t xml:space="preserve"> </w:t>
      </w:r>
      <w:r w:rsidRPr="00BC2360">
        <w:rPr>
          <w:rFonts w:eastAsia="Times New Roman" w:cs="Arial"/>
          <w:color w:val="000000"/>
          <w:lang w:eastAsia="bg-BG"/>
        </w:rPr>
        <w:t xml:space="preserve">10 </w:t>
      </w:r>
      <w:r w:rsidRPr="00BC2360">
        <w:rPr>
          <w:rFonts w:eastAsia="Times New Roman" w:cs="Arial"/>
          <w:color w:val="000000"/>
          <w:lang w:val="en-US"/>
        </w:rPr>
        <w:t xml:space="preserve">ml </w:t>
      </w:r>
      <w:r w:rsidRPr="00BC2360">
        <w:rPr>
          <w:rFonts w:eastAsia="Times New Roman" w:cs="Arial"/>
          <w:color w:val="000000"/>
          <w:lang w:eastAsia="bg-BG"/>
        </w:rPr>
        <w:t>3 пъти дневно.</w:t>
      </w:r>
    </w:p>
    <w:p w14:paraId="55DCFD4B" w14:textId="15F69AC9"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Деца от 6 -12 години:</w:t>
      </w:r>
      <w:r>
        <w:rPr>
          <w:rFonts w:eastAsia="Times New Roman" w:cs="Arial"/>
          <w:color w:val="000000"/>
          <w:lang w:eastAsia="bg-BG"/>
        </w:rPr>
        <w:t xml:space="preserve"> </w:t>
      </w:r>
      <w:r w:rsidRPr="00BC2360">
        <w:rPr>
          <w:rFonts w:eastAsia="Times New Roman" w:cs="Arial"/>
          <w:color w:val="000000"/>
          <w:lang w:eastAsia="bg-BG"/>
        </w:rPr>
        <w:t xml:space="preserve">5 </w:t>
      </w:r>
      <w:r w:rsidRPr="00BC2360">
        <w:rPr>
          <w:rFonts w:eastAsia="Times New Roman" w:cs="Arial"/>
          <w:color w:val="000000"/>
          <w:lang w:val="en-US"/>
        </w:rPr>
        <w:t xml:space="preserve">ml </w:t>
      </w:r>
      <w:r w:rsidRPr="00BC2360">
        <w:rPr>
          <w:rFonts w:eastAsia="Times New Roman" w:cs="Arial"/>
          <w:color w:val="000000"/>
          <w:lang w:eastAsia="bg-BG"/>
        </w:rPr>
        <w:t>2 - 3 пъти дневно.</w:t>
      </w:r>
    </w:p>
    <w:p w14:paraId="19EE064F"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Деца от 2 - 5 години:</w:t>
      </w:r>
      <w:r w:rsidRPr="00BC2360">
        <w:rPr>
          <w:rFonts w:eastAsia="Times New Roman" w:cs="Arial"/>
          <w:color w:val="000000"/>
          <w:lang w:eastAsia="bg-BG"/>
        </w:rPr>
        <w:tab/>
        <w:t xml:space="preserve">2,5 </w:t>
      </w:r>
      <w:r w:rsidRPr="00BC2360">
        <w:rPr>
          <w:rFonts w:eastAsia="Times New Roman" w:cs="Arial"/>
          <w:color w:val="000000"/>
          <w:lang w:val="en-US"/>
        </w:rPr>
        <w:t xml:space="preserve">ml </w:t>
      </w:r>
      <w:r w:rsidRPr="00BC2360">
        <w:rPr>
          <w:rFonts w:eastAsia="Times New Roman" w:cs="Arial"/>
          <w:color w:val="000000"/>
          <w:lang w:eastAsia="bg-BG"/>
        </w:rPr>
        <w:t>3 пъти дневно.</w:t>
      </w:r>
    </w:p>
    <w:p w14:paraId="5B74B2EE" w14:textId="313A79EB"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Деца под 2 години:</w:t>
      </w:r>
      <w:r>
        <w:rPr>
          <w:rFonts w:eastAsia="Times New Roman" w:cs="Arial"/>
          <w:color w:val="000000"/>
          <w:lang w:eastAsia="bg-BG"/>
        </w:rPr>
        <w:t xml:space="preserve"> </w:t>
      </w:r>
      <w:r w:rsidRPr="00BC2360">
        <w:rPr>
          <w:rFonts w:eastAsia="Times New Roman" w:cs="Arial"/>
          <w:color w:val="000000"/>
          <w:lang w:eastAsia="bg-BG"/>
        </w:rPr>
        <w:t xml:space="preserve">2,5 </w:t>
      </w:r>
      <w:r w:rsidRPr="00BC2360">
        <w:rPr>
          <w:rFonts w:eastAsia="Times New Roman" w:cs="Arial"/>
          <w:color w:val="000000"/>
          <w:lang w:val="en-US"/>
        </w:rPr>
        <w:t xml:space="preserve">ml </w:t>
      </w:r>
      <w:r w:rsidRPr="00BC2360">
        <w:rPr>
          <w:rFonts w:eastAsia="Times New Roman" w:cs="Arial"/>
          <w:color w:val="000000"/>
          <w:lang w:eastAsia="bg-BG"/>
        </w:rPr>
        <w:t>2 пъти дневно.</w:t>
      </w:r>
    </w:p>
    <w:p w14:paraId="45C2288B" w14:textId="77777777" w:rsidR="00BC2360" w:rsidRPr="00BC2360" w:rsidRDefault="00BC2360" w:rsidP="00BC2360">
      <w:pPr>
        <w:spacing w:line="240" w:lineRule="auto"/>
        <w:rPr>
          <w:rFonts w:eastAsia="Times New Roman" w:cs="Arial"/>
          <w:color w:val="000000"/>
          <w:lang w:eastAsia="bg-BG"/>
        </w:rPr>
      </w:pPr>
    </w:p>
    <w:p w14:paraId="27013113" w14:textId="13B5EFEE"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Препоръчва се приложението на Мукосолван сироп при деца под 2 години да става след консултация с лекар или фармацевт.</w:t>
      </w:r>
    </w:p>
    <w:p w14:paraId="6DAFD58E" w14:textId="77777777" w:rsidR="00BC2360" w:rsidRPr="00BC2360" w:rsidRDefault="00BC2360" w:rsidP="00BC2360">
      <w:pPr>
        <w:spacing w:line="240" w:lineRule="auto"/>
        <w:rPr>
          <w:rFonts w:eastAsia="Times New Roman" w:cs="Arial"/>
          <w:color w:val="000000"/>
          <w:lang w:eastAsia="bg-BG"/>
        </w:rPr>
      </w:pPr>
    </w:p>
    <w:p w14:paraId="73C46CDB" w14:textId="449A4758"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В случай на остро респираторно заболяване, трябва да се потърси лекарска помощ, ако симптомите не се подобрят след 4-5 дни или се влошат в процеса на лечение.</w:t>
      </w:r>
    </w:p>
    <w:p w14:paraId="6530994E" w14:textId="77777777" w:rsidR="00BC2360" w:rsidRPr="00BC2360" w:rsidRDefault="00BC2360" w:rsidP="00BC2360">
      <w:pPr>
        <w:spacing w:line="240" w:lineRule="auto"/>
        <w:rPr>
          <w:rFonts w:eastAsia="Times New Roman" w:cs="Arial"/>
          <w:i/>
          <w:iCs/>
          <w:color w:val="000000"/>
          <w:lang w:eastAsia="bg-BG"/>
        </w:rPr>
      </w:pPr>
    </w:p>
    <w:p w14:paraId="51910E49" w14:textId="0DA09995" w:rsidR="00BC2360" w:rsidRPr="00BC2360" w:rsidRDefault="00BC2360" w:rsidP="00BC2360">
      <w:pPr>
        <w:spacing w:line="240" w:lineRule="auto"/>
        <w:rPr>
          <w:rFonts w:eastAsia="Times New Roman" w:cs="Arial"/>
          <w:sz w:val="28"/>
          <w:szCs w:val="28"/>
          <w:lang w:eastAsia="bg-BG"/>
        </w:rPr>
      </w:pPr>
      <w:r w:rsidRPr="00BC2360">
        <w:rPr>
          <w:rFonts w:eastAsia="Times New Roman" w:cs="Arial"/>
          <w:i/>
          <w:iCs/>
          <w:color w:val="000000"/>
          <w:lang w:eastAsia="bg-BG"/>
        </w:rPr>
        <w:t>Начин на приложение</w:t>
      </w:r>
    </w:p>
    <w:p w14:paraId="159090CF" w14:textId="44DDE2C2" w:rsidR="00BC2360" w:rsidRPr="00BC2360" w:rsidRDefault="00BC2360" w:rsidP="00BC2360">
      <w:pPr>
        <w:rPr>
          <w:rFonts w:cs="Arial"/>
          <w:sz w:val="24"/>
          <w:szCs w:val="24"/>
        </w:rPr>
      </w:pPr>
      <w:r w:rsidRPr="00BC2360">
        <w:rPr>
          <w:rFonts w:eastAsia="Times New Roman" w:cs="Arial"/>
          <w:color w:val="000000"/>
          <w:lang w:eastAsia="bg-BG"/>
        </w:rPr>
        <w:t>МУКОСОЛВАН може да се приема по време на хранене или без храна.</w:t>
      </w:r>
    </w:p>
    <w:p w14:paraId="5D9E65DA" w14:textId="2B63E864" w:rsidR="009F77A4" w:rsidRDefault="002C50EE" w:rsidP="00387A66">
      <w:pPr>
        <w:pStyle w:val="Heading2"/>
      </w:pPr>
      <w:r>
        <w:lastRenderedPageBreak/>
        <w:t>4.3. Противопоказания</w:t>
      </w:r>
    </w:p>
    <w:p w14:paraId="32D70AC3" w14:textId="7EC4AAC9" w:rsidR="00BC2360" w:rsidRDefault="00BC2360" w:rsidP="00BC2360"/>
    <w:p w14:paraId="59D8D9F4" w14:textId="1FA7E6FE" w:rsidR="00BC2360" w:rsidRDefault="00BC2360" w:rsidP="00BC2360">
      <w:r>
        <w:t>МУКОСОЛВАН не трябва да се прилага при пациенти с известна свръхчувствителност към амброксолов хидрохлорид или към някое от помощните вещества, изброени в точка 6.1.</w:t>
      </w:r>
    </w:p>
    <w:p w14:paraId="186BF100" w14:textId="77777777" w:rsidR="00BC2360" w:rsidRPr="00BC2360" w:rsidRDefault="00BC2360" w:rsidP="00BC2360"/>
    <w:p w14:paraId="1C27CE53" w14:textId="6D50AF48" w:rsidR="009F77A4" w:rsidRDefault="002C50EE" w:rsidP="00387A66">
      <w:pPr>
        <w:pStyle w:val="Heading2"/>
      </w:pPr>
      <w:r>
        <w:t>4.4. Специални предупреждения и предпазни мерки при употреба</w:t>
      </w:r>
    </w:p>
    <w:p w14:paraId="4B614D79" w14:textId="6EE5FF95" w:rsidR="00BC2360" w:rsidRDefault="00BC2360" w:rsidP="00BC2360"/>
    <w:p w14:paraId="50AEE042" w14:textId="0B76BC99" w:rsidR="00BC2360" w:rsidRPr="00BC2360" w:rsidRDefault="00BC2360" w:rsidP="00BC2360">
      <w:pPr>
        <w:spacing w:line="240" w:lineRule="auto"/>
        <w:rPr>
          <w:rFonts w:eastAsia="Times New Roman" w:cs="Arial"/>
          <w:color w:val="000000"/>
          <w:lang w:eastAsia="bg-BG"/>
        </w:rPr>
      </w:pPr>
      <w:r w:rsidRPr="00BC2360">
        <w:rPr>
          <w:rFonts w:eastAsia="Times New Roman" w:cs="Arial"/>
          <w:color w:val="000000"/>
          <w:lang w:eastAsia="bg-BG"/>
        </w:rPr>
        <w:t xml:space="preserve">Има съобщения за тежки кожни реакции като еритема мултиформе, синдром на </w:t>
      </w:r>
      <w:r w:rsidRPr="00BC2360">
        <w:rPr>
          <w:rFonts w:eastAsia="Times New Roman" w:cs="Arial"/>
          <w:color w:val="000000"/>
          <w:lang w:val="en-US"/>
        </w:rPr>
        <w:t xml:space="preserve">Stevens-Johnson </w:t>
      </w:r>
      <w:r w:rsidRPr="00BC2360">
        <w:rPr>
          <w:rFonts w:eastAsia="Times New Roman" w:cs="Arial"/>
          <w:smallCaps/>
          <w:color w:val="000000"/>
          <w:lang w:val="en-US"/>
        </w:rPr>
        <w:t>(SJS)</w:t>
      </w:r>
      <w:r w:rsidRPr="00BC2360">
        <w:rPr>
          <w:rFonts w:eastAsia="Times New Roman" w:cs="Arial"/>
          <w:smallCaps/>
          <w:color w:val="000000"/>
          <w:lang w:eastAsia="bg-BG"/>
        </w:rPr>
        <w:t xml:space="preserve"> и</w:t>
      </w:r>
      <w:r w:rsidRPr="00BC2360">
        <w:rPr>
          <w:rFonts w:eastAsia="Times New Roman" w:cs="Arial"/>
          <w:color w:val="000000"/>
          <w:lang w:val="en-US"/>
        </w:rPr>
        <w:t xml:space="preserve"> </w:t>
      </w:r>
      <w:r w:rsidRPr="00BC2360">
        <w:rPr>
          <w:rFonts w:eastAsia="Times New Roman" w:cs="Arial"/>
          <w:color w:val="000000"/>
          <w:lang w:eastAsia="bg-BG"/>
        </w:rPr>
        <w:t xml:space="preserve">токсична епидермална некролиза </w:t>
      </w:r>
      <w:r w:rsidRPr="00BC2360">
        <w:rPr>
          <w:rFonts w:eastAsia="Times New Roman" w:cs="Arial"/>
          <w:color w:val="000000"/>
          <w:lang w:val="en-US"/>
        </w:rPr>
        <w:t xml:space="preserve">(TEN) </w:t>
      </w:r>
      <w:r w:rsidRPr="00BC2360">
        <w:rPr>
          <w:rFonts w:eastAsia="Times New Roman" w:cs="Arial"/>
          <w:color w:val="000000"/>
          <w:lang w:eastAsia="bg-BG"/>
        </w:rPr>
        <w:t xml:space="preserve">и остра генерализирана екзантематозна пустулоза </w:t>
      </w:r>
      <w:r w:rsidRPr="00BC2360">
        <w:rPr>
          <w:rFonts w:eastAsia="Times New Roman" w:cs="Arial"/>
          <w:color w:val="000000"/>
          <w:lang w:val="en-US"/>
        </w:rPr>
        <w:t xml:space="preserve">(AGEP), </w:t>
      </w:r>
      <w:r w:rsidRPr="00BC2360">
        <w:rPr>
          <w:rFonts w:eastAsia="Times New Roman" w:cs="Arial"/>
          <w:color w:val="000000"/>
          <w:lang w:eastAsia="bg-BG"/>
        </w:rPr>
        <w:t xml:space="preserve">свързани с приложението на муколитици като амброксолов хидрохлорид. Най-често те могат да бъдат обяснени с тежестта на основното заболяване на пациента и/или съпътстващо лечение. В допълнение, по време на ранната фаза на синдрома на </w:t>
      </w:r>
      <w:r w:rsidRPr="00BC2360">
        <w:rPr>
          <w:rFonts w:eastAsia="Times New Roman" w:cs="Arial"/>
          <w:color w:val="000000"/>
          <w:lang w:val="en-US"/>
        </w:rPr>
        <w:t xml:space="preserve">Stevens-Johnson </w:t>
      </w:r>
      <w:r w:rsidRPr="00BC2360">
        <w:rPr>
          <w:rFonts w:eastAsia="Times New Roman" w:cs="Arial"/>
          <w:color w:val="000000"/>
          <w:lang w:eastAsia="bg-BG"/>
        </w:rPr>
        <w:t xml:space="preserve">или </w:t>
      </w:r>
      <w:r w:rsidRPr="00BC2360">
        <w:rPr>
          <w:rFonts w:eastAsia="Times New Roman" w:cs="Arial"/>
          <w:color w:val="000000"/>
          <w:lang w:val="en-US"/>
        </w:rPr>
        <w:t xml:space="preserve">TEN </w:t>
      </w:r>
      <w:r w:rsidRPr="00BC2360">
        <w:rPr>
          <w:rFonts w:eastAsia="Times New Roman" w:cs="Arial"/>
          <w:color w:val="000000"/>
          <w:lang w:eastAsia="bg-BG"/>
        </w:rPr>
        <w:t>пациентът първо може да развие неспецифични грипоподобни продромални симптоми като напр. треска, болки в тялото, ринит, кашлица и възпалено гърло. Поради тези неспецифични грипоподобни продромални оплаквания е възможно да се започне симптоматично лечение с лекарства за кашлица и настинка.</w:t>
      </w:r>
    </w:p>
    <w:p w14:paraId="5FDE1F3D"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Следователно, ако се появят нови кожни или лигавични лезии, трябва незабавно да се потърси медицинска помощ и лечението с амброксол хидрохлорид трябва да се преустанови като предпазна мярка.</w:t>
      </w:r>
    </w:p>
    <w:p w14:paraId="2C59BC3A" w14:textId="77777777" w:rsidR="00BC2360" w:rsidRPr="00BC2360" w:rsidRDefault="00BC2360" w:rsidP="00BC2360">
      <w:pPr>
        <w:spacing w:line="240" w:lineRule="auto"/>
        <w:rPr>
          <w:rFonts w:eastAsia="Times New Roman" w:cs="Arial"/>
          <w:color w:val="000000"/>
          <w:lang w:eastAsia="bg-BG"/>
        </w:rPr>
      </w:pPr>
    </w:p>
    <w:p w14:paraId="67614A23" w14:textId="652DE291"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При нарушена бъбречна фукция или тежко чернодробно заболяване МУКОСОЛВАН може да се използва само след консултация с медицински специалист. Както за всяко медикаментозно лечение с метаболизъм в черния дроб, последван от елиминиране чрез бъбреците, може да се очаква натрупване на амброксолови метаболити в черния дроб, в случай на тежка бъбречна недостатъчност.</w:t>
      </w:r>
    </w:p>
    <w:p w14:paraId="7AE7B881" w14:textId="77777777" w:rsidR="00BC2360" w:rsidRPr="00BC2360" w:rsidRDefault="00BC2360" w:rsidP="00BC2360">
      <w:pPr>
        <w:spacing w:line="240" w:lineRule="auto"/>
        <w:rPr>
          <w:rFonts w:eastAsia="Times New Roman" w:cs="Arial"/>
          <w:color w:val="000000"/>
          <w:lang w:eastAsia="bg-BG"/>
        </w:rPr>
      </w:pPr>
    </w:p>
    <w:p w14:paraId="1A661EE6" w14:textId="0996D7F6"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 xml:space="preserve">Този лекарствен продукт съдържа 1,75 </w:t>
      </w:r>
      <w:r w:rsidRPr="00BC2360">
        <w:rPr>
          <w:rFonts w:eastAsia="Times New Roman" w:cs="Arial"/>
          <w:color w:val="000000"/>
          <w:lang w:val="en-US"/>
        </w:rPr>
        <w:t xml:space="preserve">mg </w:t>
      </w:r>
      <w:r w:rsidRPr="00BC2360">
        <w:rPr>
          <w:rFonts w:eastAsia="Times New Roman" w:cs="Arial"/>
          <w:color w:val="000000"/>
          <w:lang w:eastAsia="bg-BG"/>
        </w:rPr>
        <w:t xml:space="preserve">сорбитол в 5 </w:t>
      </w:r>
      <w:r w:rsidRPr="00BC2360">
        <w:rPr>
          <w:rFonts w:eastAsia="Times New Roman" w:cs="Arial"/>
          <w:color w:val="000000"/>
          <w:lang w:val="en-US"/>
        </w:rPr>
        <w:t xml:space="preserve">ml </w:t>
      </w:r>
      <w:r w:rsidRPr="00BC2360">
        <w:rPr>
          <w:rFonts w:eastAsia="Times New Roman" w:cs="Arial"/>
          <w:color w:val="000000"/>
          <w:lang w:eastAsia="bg-BG"/>
        </w:rPr>
        <w:t>сироп.</w:t>
      </w:r>
    </w:p>
    <w:p w14:paraId="5ABC0C89"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 xml:space="preserve">Пациенти с наследствена непоносимост към фруктоза </w:t>
      </w:r>
      <w:r w:rsidRPr="00BC2360">
        <w:rPr>
          <w:rFonts w:eastAsia="Times New Roman" w:cs="Arial"/>
          <w:color w:val="000000"/>
          <w:lang w:val="en-US"/>
        </w:rPr>
        <w:t xml:space="preserve">(HFI) </w:t>
      </w:r>
      <w:r w:rsidRPr="00BC2360">
        <w:rPr>
          <w:rFonts w:eastAsia="Times New Roman" w:cs="Arial"/>
          <w:color w:val="000000"/>
          <w:lang w:eastAsia="bg-BG"/>
        </w:rPr>
        <w:t>не трябва да приемат този лекарствен продукт.</w:t>
      </w:r>
    </w:p>
    <w:p w14:paraId="7B39B956"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Сорбитолът може да причини стомашно-чревен дискомфорт и лек слабителен ефект.</w:t>
      </w:r>
    </w:p>
    <w:p w14:paraId="1A3CD911" w14:textId="77777777" w:rsidR="00BC2360" w:rsidRPr="00BC2360" w:rsidRDefault="00BC2360" w:rsidP="00BC2360">
      <w:pPr>
        <w:spacing w:line="240" w:lineRule="auto"/>
        <w:rPr>
          <w:rFonts w:eastAsia="Times New Roman" w:cs="Arial"/>
          <w:color w:val="000000"/>
          <w:lang w:eastAsia="bg-BG"/>
        </w:rPr>
      </w:pPr>
    </w:p>
    <w:p w14:paraId="708802B6" w14:textId="269E1949"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 xml:space="preserve">Този лекарствен продукт съдържа 2,5 </w:t>
      </w:r>
      <w:r w:rsidRPr="00BC2360">
        <w:rPr>
          <w:rFonts w:eastAsia="Times New Roman" w:cs="Arial"/>
          <w:color w:val="000000"/>
          <w:lang w:val="en-US"/>
        </w:rPr>
        <w:t xml:space="preserve">mg </w:t>
      </w:r>
      <w:r w:rsidRPr="00BC2360">
        <w:rPr>
          <w:rFonts w:eastAsia="Times New Roman" w:cs="Arial"/>
          <w:color w:val="000000"/>
          <w:lang w:eastAsia="bg-BG"/>
        </w:rPr>
        <w:t xml:space="preserve">бензоена киселина в 5 </w:t>
      </w:r>
      <w:r w:rsidRPr="00BC2360">
        <w:rPr>
          <w:rFonts w:eastAsia="Times New Roman" w:cs="Arial"/>
          <w:color w:val="000000"/>
          <w:lang w:val="en-US"/>
        </w:rPr>
        <w:t xml:space="preserve">ml </w:t>
      </w:r>
      <w:r w:rsidRPr="00BC2360">
        <w:rPr>
          <w:rFonts w:eastAsia="Times New Roman" w:cs="Arial"/>
          <w:color w:val="000000"/>
          <w:lang w:eastAsia="bg-BG"/>
        </w:rPr>
        <w:t>сироп.</w:t>
      </w:r>
    </w:p>
    <w:p w14:paraId="2310194B" w14:textId="77777777" w:rsidR="00BC2360" w:rsidRPr="00BC2360" w:rsidRDefault="00BC2360" w:rsidP="00BC2360">
      <w:pPr>
        <w:spacing w:line="240" w:lineRule="auto"/>
        <w:rPr>
          <w:rFonts w:eastAsia="Times New Roman" w:cs="Arial"/>
          <w:color w:val="000000"/>
          <w:lang w:eastAsia="bg-BG"/>
        </w:rPr>
      </w:pPr>
      <w:r w:rsidRPr="00BC2360">
        <w:rPr>
          <w:rFonts w:eastAsia="Times New Roman" w:cs="Arial"/>
          <w:color w:val="000000"/>
          <w:lang w:eastAsia="bg-BG"/>
        </w:rPr>
        <w:t xml:space="preserve">Бензоената киселина може да повишаване на билирубинемията при новородени (на възраст до 4 седмици). </w:t>
      </w:r>
    </w:p>
    <w:p w14:paraId="2CDD04AB" w14:textId="3BA7275D"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Повишаването на билирубинемията, вследствие изместването на билирубин от свързването му с албумин, може да увеличи неонаталната жълтеница, която да доведе до керниктер (отлагания на неконюгиран билирубин в мозъчната тъкан).</w:t>
      </w:r>
    </w:p>
    <w:p w14:paraId="293C8B42" w14:textId="77777777" w:rsidR="00BC2360" w:rsidRPr="00BC2360" w:rsidRDefault="00BC2360" w:rsidP="00BC2360">
      <w:pPr>
        <w:spacing w:line="240" w:lineRule="auto"/>
        <w:rPr>
          <w:rFonts w:eastAsia="Times New Roman" w:cs="Arial"/>
          <w:color w:val="000000"/>
          <w:lang w:eastAsia="bg-BG"/>
        </w:rPr>
      </w:pPr>
    </w:p>
    <w:p w14:paraId="3608D409" w14:textId="46B85909"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 xml:space="preserve">Този лекарствен продукт съдържа 27 </w:t>
      </w:r>
      <w:r w:rsidRPr="00BC2360">
        <w:rPr>
          <w:rFonts w:eastAsia="Times New Roman" w:cs="Arial"/>
          <w:color w:val="000000"/>
          <w:lang w:val="en-US"/>
        </w:rPr>
        <w:t xml:space="preserve">mg </w:t>
      </w:r>
      <w:r w:rsidRPr="00BC2360">
        <w:rPr>
          <w:rFonts w:eastAsia="Times New Roman" w:cs="Arial"/>
          <w:color w:val="000000"/>
          <w:lang w:eastAsia="bg-BG"/>
        </w:rPr>
        <w:t xml:space="preserve">пропилен гликол в 1 </w:t>
      </w:r>
      <w:r w:rsidRPr="00BC2360">
        <w:rPr>
          <w:rFonts w:eastAsia="Times New Roman" w:cs="Arial"/>
          <w:color w:val="000000"/>
          <w:lang w:val="en-US"/>
        </w:rPr>
        <w:t xml:space="preserve">ml. </w:t>
      </w:r>
      <w:r w:rsidRPr="00BC2360">
        <w:rPr>
          <w:rFonts w:eastAsia="Times New Roman" w:cs="Arial"/>
          <w:color w:val="000000"/>
          <w:lang w:eastAsia="bg-BG"/>
        </w:rPr>
        <w:t>Едновременото приложение с други субстрати на алкохолдехидрогеназата, такива като етанол, може да предизвика сериозни нежелани реакции при новородени и даца н авъзраст под 5 години.</w:t>
      </w:r>
    </w:p>
    <w:p w14:paraId="0BBB34CA"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Необходимо е медицинско наблюдение на пациенти с нарушена бъбечна или чернодробна функция, тъй като са съобщавани различни нежелани реакции, дължащи се на пропилен гликол, такива като бъбречни нарушения (остра тубуларна некроза), остра бъбречна недостатъчност и чернодробни нарушения.</w:t>
      </w:r>
    </w:p>
    <w:p w14:paraId="088AF529" w14:textId="77777777" w:rsidR="00BC2360" w:rsidRPr="00BC2360" w:rsidRDefault="00BC2360" w:rsidP="00BC2360"/>
    <w:p w14:paraId="1DA47448" w14:textId="3BFC32E5" w:rsidR="009F77A4" w:rsidRDefault="002C50EE" w:rsidP="00387A66">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p>
    <w:p w14:paraId="55394D76" w14:textId="125D92A5" w:rsidR="00BC2360" w:rsidRDefault="00BC2360" w:rsidP="00BC2360"/>
    <w:p w14:paraId="0589911D" w14:textId="77777777" w:rsidR="00BC2360" w:rsidRPr="00BC2360" w:rsidRDefault="00BC2360" w:rsidP="00BC2360">
      <w:pPr>
        <w:rPr>
          <w:sz w:val="24"/>
          <w:szCs w:val="24"/>
          <w:lang w:eastAsia="bg-BG"/>
        </w:rPr>
      </w:pPr>
      <w:r w:rsidRPr="00BC2360">
        <w:rPr>
          <w:lang w:eastAsia="bg-BG"/>
        </w:rPr>
        <w:t>Не се препоръчва употребата на амброксолов хидрохлорид с лекарствени продукти, потискащи кашлицата.</w:t>
      </w:r>
    </w:p>
    <w:p w14:paraId="218DF10B" w14:textId="77777777" w:rsidR="00BC2360" w:rsidRDefault="00BC2360" w:rsidP="00BC2360">
      <w:pPr>
        <w:rPr>
          <w:lang w:eastAsia="bg-BG"/>
        </w:rPr>
      </w:pPr>
    </w:p>
    <w:p w14:paraId="0990C394" w14:textId="7C45EC7A" w:rsidR="00BC2360" w:rsidRPr="00BC2360" w:rsidRDefault="00BC2360" w:rsidP="00BC2360">
      <w:pPr>
        <w:rPr>
          <w:sz w:val="24"/>
          <w:szCs w:val="24"/>
          <w:lang w:eastAsia="bg-BG"/>
        </w:rPr>
      </w:pPr>
      <w:r w:rsidRPr="00BC2360">
        <w:rPr>
          <w:lang w:eastAsia="bg-BG"/>
        </w:rPr>
        <w:t>Не са докладвани клинично значими нежелани взаимодействия с други лекарствени продукти.</w:t>
      </w:r>
    </w:p>
    <w:p w14:paraId="2ACF7133" w14:textId="77777777" w:rsidR="00BC2360" w:rsidRPr="00BC2360" w:rsidRDefault="00BC2360" w:rsidP="00BC2360"/>
    <w:p w14:paraId="48846BBA" w14:textId="78F97AB3" w:rsidR="009F77A4" w:rsidRDefault="002C50EE" w:rsidP="00387A66">
      <w:pPr>
        <w:pStyle w:val="Heading2"/>
      </w:pPr>
      <w:r>
        <w:t>4.6. Фертилитет, бременност и кърмене</w:t>
      </w:r>
    </w:p>
    <w:p w14:paraId="15E53019" w14:textId="1472E75B" w:rsidR="00BC2360" w:rsidRDefault="00BC2360" w:rsidP="00BC2360"/>
    <w:p w14:paraId="0856DE00" w14:textId="77777777" w:rsidR="00BC2360" w:rsidRPr="00BC2360" w:rsidRDefault="00BC2360" w:rsidP="00BC2360">
      <w:pPr>
        <w:pStyle w:val="Heading3"/>
        <w:rPr>
          <w:rFonts w:eastAsia="Times New Roman"/>
          <w:i/>
          <w:iCs/>
          <w:sz w:val="28"/>
          <w:szCs w:val="28"/>
          <w:lang w:eastAsia="bg-BG"/>
        </w:rPr>
      </w:pPr>
      <w:r w:rsidRPr="00BC2360">
        <w:rPr>
          <w:rFonts w:eastAsia="Times New Roman"/>
          <w:i/>
          <w:iCs/>
          <w:lang w:eastAsia="bg-BG"/>
        </w:rPr>
        <w:t>Бременност</w:t>
      </w:r>
    </w:p>
    <w:p w14:paraId="17225159" w14:textId="3B30D183" w:rsidR="00BC2360" w:rsidRPr="00BC2360" w:rsidRDefault="00BC2360" w:rsidP="00BC2360">
      <w:pPr>
        <w:rPr>
          <w:rFonts w:eastAsia="Times New Roman" w:cs="Arial"/>
          <w:color w:val="000000"/>
          <w:lang w:eastAsia="bg-BG"/>
        </w:rPr>
      </w:pPr>
      <w:r w:rsidRPr="00BC2360">
        <w:rPr>
          <w:rFonts w:eastAsia="Times New Roman" w:cs="Arial"/>
          <w:color w:val="000000"/>
          <w:lang w:eastAsia="bg-BG"/>
        </w:rPr>
        <w:t>Амброксолов хидрохлорид преминава през плацентарната бариера. Предклиничните поручвания не показват директни или индиректни увреждащи ефекти по отношение на бремеността, ембрионалното/феталното развитие, раждането и постнаталното развитие.</w:t>
      </w:r>
    </w:p>
    <w:p w14:paraId="5AE268BA" w14:textId="3AD8951E" w:rsidR="00BC2360" w:rsidRPr="00BC2360" w:rsidRDefault="00BC2360" w:rsidP="00BC2360">
      <w:pPr>
        <w:rPr>
          <w:rFonts w:eastAsia="Times New Roman" w:cs="Arial"/>
          <w:color w:val="000000"/>
          <w:lang w:eastAsia="bg-BG"/>
        </w:rPr>
      </w:pPr>
    </w:p>
    <w:p w14:paraId="758A6E0E"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Продължителни клинични наблюдения при приложение на продукта по време на бременност след 28-та гестационна седмица, не показват заболеваемост. Независимо от това, трябва да бъдат спазвани обичайните предпазни мерки по отношение на употребата на лекарствени продукти по време на бременност. Употребата на МУКОСОЛВАН, особено през първите три месеца от бременността, не се препоръчва.</w:t>
      </w:r>
    </w:p>
    <w:p w14:paraId="25F862BA" w14:textId="77777777" w:rsidR="00BC2360" w:rsidRPr="00BC2360" w:rsidRDefault="00BC2360" w:rsidP="00BC2360">
      <w:pPr>
        <w:spacing w:line="240" w:lineRule="auto"/>
        <w:rPr>
          <w:rFonts w:eastAsia="Times New Roman" w:cs="Arial"/>
          <w:i/>
          <w:iCs/>
          <w:color w:val="000000"/>
          <w:lang w:eastAsia="bg-BG"/>
        </w:rPr>
      </w:pPr>
    </w:p>
    <w:p w14:paraId="5AAD0B9E" w14:textId="2E3442EE" w:rsidR="00BC2360" w:rsidRPr="00BC2360" w:rsidRDefault="00BC2360" w:rsidP="00BC2360">
      <w:pPr>
        <w:pStyle w:val="Heading3"/>
        <w:rPr>
          <w:rFonts w:eastAsia="Times New Roman"/>
          <w:i/>
          <w:iCs/>
          <w:sz w:val="28"/>
          <w:szCs w:val="28"/>
          <w:lang w:eastAsia="bg-BG"/>
        </w:rPr>
      </w:pPr>
      <w:r w:rsidRPr="00BC2360">
        <w:rPr>
          <w:rFonts w:eastAsia="Times New Roman"/>
          <w:i/>
          <w:iCs/>
          <w:lang w:eastAsia="bg-BG"/>
        </w:rPr>
        <w:t>Кърмене</w:t>
      </w:r>
    </w:p>
    <w:p w14:paraId="3BA3820B"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Проучвания при животни показват, че амброксолов хидрохлорид преминава в майчиното мляко. Въпреки, че не се очакват неблагоприятни ефекти върху кърмачето, употребата на МУКОСОЛВАН от кърмещи жени не се препоръчва.</w:t>
      </w:r>
    </w:p>
    <w:p w14:paraId="52695891" w14:textId="77777777" w:rsidR="00BC2360" w:rsidRPr="00BC2360" w:rsidRDefault="00BC2360" w:rsidP="00BC2360">
      <w:pPr>
        <w:spacing w:line="240" w:lineRule="auto"/>
        <w:rPr>
          <w:rFonts w:eastAsia="Times New Roman" w:cs="Arial"/>
          <w:i/>
          <w:iCs/>
          <w:color w:val="000000"/>
          <w:lang w:eastAsia="bg-BG"/>
        </w:rPr>
      </w:pPr>
    </w:p>
    <w:p w14:paraId="0AC0AB14" w14:textId="44F0513D" w:rsidR="00BC2360" w:rsidRPr="00BC2360" w:rsidRDefault="00BC2360" w:rsidP="00BC2360">
      <w:pPr>
        <w:pStyle w:val="Heading3"/>
        <w:rPr>
          <w:rFonts w:eastAsia="Times New Roman"/>
          <w:i/>
          <w:iCs/>
          <w:sz w:val="28"/>
          <w:szCs w:val="28"/>
          <w:lang w:eastAsia="bg-BG"/>
        </w:rPr>
      </w:pPr>
      <w:r w:rsidRPr="00BC2360">
        <w:rPr>
          <w:rFonts w:eastAsia="Times New Roman"/>
          <w:i/>
          <w:iCs/>
          <w:lang w:eastAsia="bg-BG"/>
        </w:rPr>
        <w:t>Фертилитет</w:t>
      </w:r>
    </w:p>
    <w:p w14:paraId="1C6FD1E5"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Не са налични клинични данни за фертилитета при употребата на амброксол.</w:t>
      </w:r>
    </w:p>
    <w:p w14:paraId="08D3F771"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Предклиничните проучвания не показват директни или индиректни увреждащи ефекти по отношение на фертилитета.</w:t>
      </w:r>
    </w:p>
    <w:p w14:paraId="3BEECEC5" w14:textId="77777777" w:rsidR="00BC2360" w:rsidRPr="00BC2360" w:rsidRDefault="00BC2360" w:rsidP="00BC2360">
      <w:pPr>
        <w:spacing w:line="240" w:lineRule="auto"/>
        <w:rPr>
          <w:rFonts w:eastAsia="Times New Roman" w:cs="Arial"/>
          <w:color w:val="000000"/>
          <w:lang w:eastAsia="bg-BG"/>
        </w:rPr>
      </w:pPr>
    </w:p>
    <w:p w14:paraId="46C854D6" w14:textId="2E77907D"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Въпреки че пропилен гликолът не показва репродуктивна токсичност и нарушения в развитието при животни или хора, той може да достигне фетуса и е установено, че преминава в кърмата. Като следствие, прилагането на продукти, които съдържат пропилен гликол на бременни или кърмещи пациентки трябва да се преценява индивидуално за всеки случай.</w:t>
      </w:r>
    </w:p>
    <w:p w14:paraId="21DD68CE" w14:textId="77777777" w:rsidR="00BC2360" w:rsidRPr="00BC2360" w:rsidRDefault="00BC2360" w:rsidP="00BC2360"/>
    <w:p w14:paraId="321AAB00" w14:textId="56F555EE" w:rsidR="009F77A4" w:rsidRDefault="002C50EE" w:rsidP="00387A66">
      <w:pPr>
        <w:pStyle w:val="Heading2"/>
      </w:pPr>
      <w:r>
        <w:t>4.7. Ефекти върху способността за шофиране и работа с машини</w:t>
      </w:r>
    </w:p>
    <w:p w14:paraId="1CEE81C6" w14:textId="04F55B81" w:rsidR="00BC2360" w:rsidRDefault="00BC2360" w:rsidP="00BC2360"/>
    <w:p w14:paraId="7129B387" w14:textId="77777777" w:rsidR="00BC2360" w:rsidRPr="00BC2360" w:rsidRDefault="00BC2360" w:rsidP="00BC2360">
      <w:pPr>
        <w:rPr>
          <w:sz w:val="24"/>
          <w:szCs w:val="24"/>
          <w:lang w:eastAsia="bg-BG"/>
        </w:rPr>
      </w:pPr>
      <w:r w:rsidRPr="00BC2360">
        <w:rPr>
          <w:lang w:eastAsia="bg-BG"/>
        </w:rPr>
        <w:t>Няма доказателство от постмаркетинговите данни относно ефекти върху способността за шофиране и работа с машини.</w:t>
      </w:r>
    </w:p>
    <w:p w14:paraId="67D92DCA" w14:textId="77777777" w:rsidR="00BC2360" w:rsidRPr="00BC2360" w:rsidRDefault="00BC2360" w:rsidP="00BC2360">
      <w:pPr>
        <w:rPr>
          <w:sz w:val="24"/>
          <w:szCs w:val="24"/>
          <w:lang w:eastAsia="bg-BG"/>
        </w:rPr>
      </w:pPr>
      <w:r w:rsidRPr="00BC2360">
        <w:rPr>
          <w:lang w:eastAsia="bg-BG"/>
        </w:rPr>
        <w:t>Не са провеждани проучвания за ефектите върху способността за шофиране и работа с машини.</w:t>
      </w:r>
    </w:p>
    <w:p w14:paraId="53C41DC8" w14:textId="77777777" w:rsidR="00BC2360" w:rsidRPr="00BC2360" w:rsidRDefault="00BC2360" w:rsidP="00BC2360"/>
    <w:p w14:paraId="136C86B8" w14:textId="69E2F29E" w:rsidR="009F77A4" w:rsidRDefault="002C50EE" w:rsidP="00387A66">
      <w:pPr>
        <w:pStyle w:val="Heading2"/>
      </w:pPr>
      <w:r>
        <w:t>4.8. Нежелани лекарствени реакции</w:t>
      </w:r>
    </w:p>
    <w:p w14:paraId="428295E1" w14:textId="26BCA398" w:rsidR="00BC2360" w:rsidRDefault="00BC2360" w:rsidP="00BC2360"/>
    <w:p w14:paraId="42249E04" w14:textId="77777777"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lastRenderedPageBreak/>
        <w:t xml:space="preserve">Честота на нежеланите реакции според конвенцията на </w:t>
      </w:r>
      <w:r w:rsidRPr="00BC2360">
        <w:rPr>
          <w:rFonts w:eastAsia="Times New Roman" w:cs="Arial"/>
          <w:color w:val="000000"/>
          <w:lang w:val="en-US"/>
        </w:rPr>
        <w:t>MedDRA</w:t>
      </w:r>
    </w:p>
    <w:p w14:paraId="11CEDEB1" w14:textId="77777777"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t>Много чести: ≥1/10;</w:t>
      </w:r>
    </w:p>
    <w:p w14:paraId="4841DA9B" w14:textId="77777777"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t>Чести:</w:t>
      </w:r>
      <w:r w:rsidRPr="00BC2360">
        <w:rPr>
          <w:rFonts w:eastAsia="Times New Roman" w:cs="Arial"/>
          <w:color w:val="000000"/>
          <w:lang w:eastAsia="bg-BG"/>
        </w:rPr>
        <w:tab/>
        <w:t>≥1/100; &lt; 1/10;</w:t>
      </w:r>
    </w:p>
    <w:p w14:paraId="216C4FE4" w14:textId="65BC8B78"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t>Нечести:</w:t>
      </w:r>
      <w:r>
        <w:rPr>
          <w:rFonts w:eastAsia="Times New Roman" w:cs="Arial"/>
          <w:color w:val="000000"/>
          <w:lang w:eastAsia="bg-BG"/>
        </w:rPr>
        <w:t xml:space="preserve"> </w:t>
      </w:r>
      <w:r w:rsidRPr="00BC2360">
        <w:rPr>
          <w:rFonts w:eastAsia="Times New Roman" w:cs="Arial"/>
          <w:color w:val="000000"/>
          <w:lang w:eastAsia="bg-BG"/>
        </w:rPr>
        <w:t>≥1/1 000, &lt; 1/100;</w:t>
      </w:r>
    </w:p>
    <w:p w14:paraId="5341A0AA" w14:textId="77777777"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t>Редки:</w:t>
      </w:r>
      <w:r w:rsidRPr="00BC2360">
        <w:rPr>
          <w:rFonts w:eastAsia="Times New Roman" w:cs="Arial"/>
          <w:color w:val="000000"/>
          <w:lang w:eastAsia="bg-BG"/>
        </w:rPr>
        <w:tab/>
        <w:t>≥1/10 000, &lt;1/1 000;</w:t>
      </w:r>
    </w:p>
    <w:p w14:paraId="17BD7480" w14:textId="1155A889"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t>Много редки: &lt;1/10 000;</w:t>
      </w:r>
    </w:p>
    <w:p w14:paraId="5A2B04B3" w14:textId="77777777"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t>С неизвестна честота: не могат да бъдат оценени според наличните данни</w:t>
      </w:r>
    </w:p>
    <w:p w14:paraId="79AD7D71" w14:textId="77777777" w:rsidR="00BC2360" w:rsidRPr="00BC2360" w:rsidRDefault="00BC2360" w:rsidP="00BC2360">
      <w:pPr>
        <w:spacing w:line="240" w:lineRule="auto"/>
        <w:rPr>
          <w:rFonts w:eastAsia="Times New Roman" w:cs="Arial"/>
          <w:i/>
          <w:iCs/>
          <w:color w:val="000000"/>
          <w:lang w:eastAsia="bg-BG"/>
        </w:rPr>
      </w:pPr>
    </w:p>
    <w:p w14:paraId="3F603BB1" w14:textId="02F7DB87" w:rsidR="00BC2360" w:rsidRPr="00BC2360" w:rsidRDefault="00BC2360" w:rsidP="00BC2360">
      <w:pPr>
        <w:spacing w:line="240" w:lineRule="auto"/>
        <w:rPr>
          <w:rFonts w:eastAsia="Times New Roman" w:cs="Arial"/>
          <w:lang w:eastAsia="bg-BG"/>
        </w:rPr>
      </w:pPr>
      <w:r w:rsidRPr="00BC2360">
        <w:rPr>
          <w:rFonts w:eastAsia="Times New Roman" w:cs="Arial"/>
          <w:i/>
          <w:iCs/>
          <w:color w:val="000000"/>
          <w:lang w:eastAsia="bg-BG"/>
        </w:rPr>
        <w:t>Нарушения на имунната система</w:t>
      </w:r>
    </w:p>
    <w:p w14:paraId="69DEC805" w14:textId="77777777"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t>С неизвестна честота: анафилактични реакции, анафилактичен шок, реакции на свръхчувствителност.</w:t>
      </w:r>
    </w:p>
    <w:p w14:paraId="45ABF869" w14:textId="77777777" w:rsidR="00BC2360" w:rsidRPr="00BC2360" w:rsidRDefault="00BC2360" w:rsidP="00BC2360">
      <w:pPr>
        <w:spacing w:line="240" w:lineRule="auto"/>
        <w:rPr>
          <w:rFonts w:eastAsia="Times New Roman" w:cs="Arial"/>
          <w:i/>
          <w:iCs/>
          <w:color w:val="000000"/>
          <w:lang w:eastAsia="bg-BG"/>
        </w:rPr>
      </w:pPr>
    </w:p>
    <w:p w14:paraId="22AC560A" w14:textId="0FB24920" w:rsidR="00BC2360" w:rsidRPr="00BC2360" w:rsidRDefault="00BC2360" w:rsidP="00BC2360">
      <w:pPr>
        <w:spacing w:line="240" w:lineRule="auto"/>
        <w:rPr>
          <w:rFonts w:eastAsia="Times New Roman" w:cs="Arial"/>
          <w:lang w:eastAsia="bg-BG"/>
        </w:rPr>
      </w:pPr>
      <w:r w:rsidRPr="00BC2360">
        <w:rPr>
          <w:rFonts w:eastAsia="Times New Roman" w:cs="Arial"/>
          <w:i/>
          <w:iCs/>
          <w:color w:val="000000"/>
          <w:lang w:eastAsia="bg-BG"/>
        </w:rPr>
        <w:t>Нарушения на нервната система</w:t>
      </w:r>
    </w:p>
    <w:p w14:paraId="486D7887" w14:textId="254B1778"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t>Чести:</w:t>
      </w:r>
      <w:r w:rsidRPr="00BC2360">
        <w:rPr>
          <w:rFonts w:eastAsia="Times New Roman" w:cs="Arial"/>
          <w:color w:val="000000"/>
          <w:lang w:eastAsia="bg-BG"/>
        </w:rPr>
        <w:t xml:space="preserve"> </w:t>
      </w:r>
      <w:r w:rsidRPr="00BC2360">
        <w:rPr>
          <w:rFonts w:eastAsia="Times New Roman" w:cs="Arial"/>
          <w:color w:val="000000"/>
          <w:lang w:eastAsia="bg-BG"/>
        </w:rPr>
        <w:t xml:space="preserve">дисгеузия </w:t>
      </w:r>
      <w:r w:rsidRPr="00BC2360">
        <w:rPr>
          <w:rFonts w:eastAsia="Times New Roman" w:cs="Arial"/>
          <w:i/>
          <w:iCs/>
          <w:color w:val="000000"/>
          <w:lang w:eastAsia="bg-BG"/>
        </w:rPr>
        <w:t>Респираторни, гръдни и медиастинални нарушения</w:t>
      </w:r>
    </w:p>
    <w:p w14:paraId="2AB5A40B" w14:textId="6538E509"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t>Чести:</w:t>
      </w:r>
      <w:r w:rsidRPr="00BC2360">
        <w:rPr>
          <w:rFonts w:eastAsia="Times New Roman" w:cs="Arial"/>
          <w:color w:val="000000"/>
          <w:lang w:eastAsia="bg-BG"/>
        </w:rPr>
        <w:t xml:space="preserve"> </w:t>
      </w:r>
      <w:r w:rsidRPr="00BC2360">
        <w:rPr>
          <w:rFonts w:eastAsia="Times New Roman" w:cs="Arial"/>
          <w:color w:val="000000"/>
          <w:lang w:eastAsia="bg-BG"/>
        </w:rPr>
        <w:t>фарингеална хипоестезия.</w:t>
      </w:r>
    </w:p>
    <w:p w14:paraId="67687058" w14:textId="77777777" w:rsidR="00BC2360" w:rsidRPr="00BC2360" w:rsidRDefault="00BC2360" w:rsidP="00BC2360">
      <w:pPr>
        <w:spacing w:line="240" w:lineRule="auto"/>
        <w:rPr>
          <w:rFonts w:eastAsia="Times New Roman" w:cs="Arial"/>
          <w:i/>
          <w:iCs/>
          <w:color w:val="000000"/>
          <w:lang w:eastAsia="bg-BG"/>
        </w:rPr>
      </w:pPr>
    </w:p>
    <w:p w14:paraId="1562FB09" w14:textId="7165BF4A" w:rsidR="00BC2360" w:rsidRPr="00BC2360" w:rsidRDefault="00BC2360" w:rsidP="00BC2360">
      <w:pPr>
        <w:spacing w:line="240" w:lineRule="auto"/>
        <w:rPr>
          <w:rFonts w:eastAsia="Times New Roman" w:cs="Arial"/>
          <w:lang w:eastAsia="bg-BG"/>
        </w:rPr>
      </w:pPr>
      <w:r w:rsidRPr="00BC2360">
        <w:rPr>
          <w:rFonts w:eastAsia="Times New Roman" w:cs="Arial"/>
          <w:i/>
          <w:iCs/>
          <w:color w:val="000000"/>
          <w:lang w:eastAsia="bg-BG"/>
        </w:rPr>
        <w:t>Гастро-интестинални нарушения</w:t>
      </w:r>
    </w:p>
    <w:p w14:paraId="11455539" w14:textId="65838338"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t>Чести:</w:t>
      </w:r>
      <w:r w:rsidRPr="00BC2360">
        <w:rPr>
          <w:rFonts w:eastAsia="Times New Roman" w:cs="Arial"/>
          <w:color w:val="000000"/>
          <w:lang w:eastAsia="bg-BG"/>
        </w:rPr>
        <w:t xml:space="preserve"> </w:t>
      </w:r>
      <w:r w:rsidRPr="00BC2360">
        <w:rPr>
          <w:rFonts w:eastAsia="Times New Roman" w:cs="Arial"/>
          <w:color w:val="000000"/>
          <w:lang w:eastAsia="bg-BG"/>
        </w:rPr>
        <w:t>гадене, орална хипоестезия;</w:t>
      </w:r>
    </w:p>
    <w:p w14:paraId="2BE33417" w14:textId="191DC6E5"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t>Нечести:</w:t>
      </w:r>
      <w:r w:rsidRPr="00BC2360">
        <w:rPr>
          <w:rFonts w:eastAsia="Times New Roman" w:cs="Arial"/>
          <w:color w:val="000000"/>
          <w:lang w:eastAsia="bg-BG"/>
        </w:rPr>
        <w:t xml:space="preserve"> </w:t>
      </w:r>
      <w:r w:rsidRPr="00BC2360">
        <w:rPr>
          <w:rFonts w:eastAsia="Times New Roman" w:cs="Arial"/>
          <w:color w:val="000000"/>
          <w:lang w:eastAsia="bg-BG"/>
        </w:rPr>
        <w:t>диария, повръщане, диспепсия,</w:t>
      </w:r>
      <w:r w:rsidRPr="00BC2360">
        <w:rPr>
          <w:rFonts w:eastAsia="Times New Roman" w:cs="Arial"/>
          <w:color w:val="000000"/>
          <w:lang w:eastAsia="bg-BG"/>
        </w:rPr>
        <w:tab/>
        <w:t>сухота в устата, коремна болка</w:t>
      </w:r>
    </w:p>
    <w:p w14:paraId="46521BAA" w14:textId="77777777"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t>Редки: сухота в гърлото</w:t>
      </w:r>
    </w:p>
    <w:p w14:paraId="2DA9C03C" w14:textId="77777777" w:rsidR="00BC2360" w:rsidRPr="00BC2360" w:rsidRDefault="00BC2360" w:rsidP="00BC2360">
      <w:pPr>
        <w:spacing w:line="240" w:lineRule="auto"/>
        <w:rPr>
          <w:rFonts w:eastAsia="Times New Roman" w:cs="Arial"/>
          <w:i/>
          <w:iCs/>
          <w:color w:val="000000"/>
          <w:lang w:eastAsia="bg-BG"/>
        </w:rPr>
      </w:pPr>
    </w:p>
    <w:p w14:paraId="56FC2345" w14:textId="2CAAC08E" w:rsidR="00BC2360" w:rsidRPr="00BC2360" w:rsidRDefault="00BC2360" w:rsidP="00BC2360">
      <w:pPr>
        <w:spacing w:line="240" w:lineRule="auto"/>
        <w:rPr>
          <w:rFonts w:eastAsia="Times New Roman" w:cs="Arial"/>
          <w:lang w:eastAsia="bg-BG"/>
        </w:rPr>
      </w:pPr>
      <w:r w:rsidRPr="00BC2360">
        <w:rPr>
          <w:rFonts w:eastAsia="Times New Roman" w:cs="Arial"/>
          <w:i/>
          <w:iCs/>
          <w:color w:val="000000"/>
          <w:lang w:eastAsia="bg-BG"/>
        </w:rPr>
        <w:t>Нарушения на кожата и подкожните тъкани</w:t>
      </w:r>
    </w:p>
    <w:p w14:paraId="21E1F818" w14:textId="52B78467" w:rsidR="00BC2360" w:rsidRPr="00BC2360" w:rsidRDefault="00BC2360" w:rsidP="00BC2360">
      <w:pPr>
        <w:spacing w:line="240" w:lineRule="auto"/>
        <w:rPr>
          <w:rFonts w:eastAsia="Times New Roman" w:cs="Arial"/>
          <w:color w:val="000000"/>
          <w:lang w:eastAsia="bg-BG"/>
        </w:rPr>
      </w:pPr>
      <w:r w:rsidRPr="00BC2360">
        <w:rPr>
          <w:rFonts w:eastAsia="Times New Roman" w:cs="Arial"/>
          <w:color w:val="000000"/>
          <w:lang w:eastAsia="bg-BG"/>
        </w:rPr>
        <w:t>Редки: обрив, уртикария</w:t>
      </w:r>
    </w:p>
    <w:p w14:paraId="655F401A" w14:textId="122B19BD" w:rsidR="00BC2360" w:rsidRPr="00BC2360" w:rsidRDefault="00BC2360" w:rsidP="00BC2360">
      <w:pPr>
        <w:spacing w:line="240" w:lineRule="auto"/>
        <w:rPr>
          <w:rFonts w:eastAsia="Times New Roman" w:cs="Arial"/>
          <w:color w:val="000000"/>
          <w:lang w:eastAsia="bg-BG"/>
        </w:rPr>
      </w:pPr>
    </w:p>
    <w:p w14:paraId="2B8CAB94" w14:textId="77777777"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t>С неизвестна честота: ангиоедем, сърбеж</w:t>
      </w:r>
    </w:p>
    <w:p w14:paraId="3CD7ED5E" w14:textId="77777777" w:rsidR="00BC2360" w:rsidRPr="00BC2360" w:rsidRDefault="00BC2360" w:rsidP="00BC2360">
      <w:pPr>
        <w:spacing w:line="240" w:lineRule="auto"/>
        <w:rPr>
          <w:rFonts w:eastAsia="Times New Roman" w:cs="Arial"/>
          <w:b/>
          <w:bCs/>
          <w:color w:val="000000"/>
          <w:lang w:eastAsia="bg-BG"/>
        </w:rPr>
      </w:pPr>
      <w:bookmarkStart w:id="1" w:name="bookmark0"/>
    </w:p>
    <w:p w14:paraId="4E9F063C" w14:textId="7F42B2F2" w:rsidR="00BC2360" w:rsidRPr="00BC2360" w:rsidRDefault="00BC2360" w:rsidP="00BC2360">
      <w:pPr>
        <w:spacing w:line="240" w:lineRule="auto"/>
        <w:rPr>
          <w:rFonts w:eastAsia="Times New Roman" w:cs="Arial"/>
          <w:lang w:eastAsia="bg-BG"/>
        </w:rPr>
      </w:pPr>
      <w:r w:rsidRPr="00BC2360">
        <w:rPr>
          <w:rFonts w:eastAsia="Times New Roman" w:cs="Arial"/>
          <w:b/>
          <w:bCs/>
          <w:color w:val="000000"/>
          <w:lang w:eastAsia="bg-BG"/>
        </w:rPr>
        <w:t>Съобщаване на подозирани нежелани реакции</w:t>
      </w:r>
      <w:bookmarkEnd w:id="1"/>
    </w:p>
    <w:p w14:paraId="45BF11D9" w14:textId="77777777" w:rsidR="00BC2360" w:rsidRPr="00BC2360" w:rsidRDefault="00BC2360" w:rsidP="00BC2360">
      <w:pPr>
        <w:spacing w:line="240" w:lineRule="auto"/>
        <w:rPr>
          <w:rFonts w:eastAsia="Times New Roman" w:cs="Arial"/>
          <w:lang w:eastAsia="bg-BG"/>
        </w:rPr>
      </w:pPr>
      <w:r w:rsidRPr="00BC2360">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 890341, уебсайт: </w:t>
      </w:r>
      <w:r w:rsidRPr="00BC2360">
        <w:rPr>
          <w:rFonts w:eastAsia="Times New Roman" w:cs="Arial"/>
          <w:lang w:eastAsia="bg-BG"/>
        </w:rPr>
        <w:fldChar w:fldCharType="begin"/>
      </w:r>
      <w:r w:rsidRPr="00BC2360">
        <w:rPr>
          <w:rFonts w:eastAsia="Times New Roman" w:cs="Arial"/>
          <w:lang w:eastAsia="bg-BG"/>
        </w:rPr>
        <w:instrText xml:space="preserve"> HYPERLINK "http://www.bda.bg" </w:instrText>
      </w:r>
      <w:r w:rsidRPr="00BC2360">
        <w:rPr>
          <w:rFonts w:eastAsia="Times New Roman" w:cs="Arial"/>
          <w:lang w:eastAsia="bg-BG"/>
        </w:rPr>
      </w:r>
      <w:r w:rsidRPr="00BC2360">
        <w:rPr>
          <w:rFonts w:eastAsia="Times New Roman" w:cs="Arial"/>
          <w:lang w:eastAsia="bg-BG"/>
        </w:rPr>
        <w:fldChar w:fldCharType="separate"/>
      </w:r>
      <w:r w:rsidRPr="00BC2360">
        <w:rPr>
          <w:rFonts w:eastAsia="Times New Roman" w:cs="Arial"/>
          <w:color w:val="000000"/>
          <w:u w:val="single"/>
          <w:lang w:val="en-US"/>
        </w:rPr>
        <w:t>www.bda.bg</w:t>
      </w:r>
      <w:r w:rsidRPr="00BC2360">
        <w:rPr>
          <w:rFonts w:eastAsia="Times New Roman" w:cs="Arial"/>
          <w:lang w:eastAsia="bg-BG"/>
        </w:rPr>
        <w:fldChar w:fldCharType="end"/>
      </w:r>
      <w:r w:rsidRPr="00BC2360">
        <w:rPr>
          <w:rFonts w:eastAsia="Times New Roman" w:cs="Arial"/>
          <w:color w:val="000000"/>
          <w:lang w:val="en-US"/>
        </w:rPr>
        <w:t>.</w:t>
      </w:r>
    </w:p>
    <w:p w14:paraId="2DDCC34E" w14:textId="75CF6564" w:rsidR="00BC2360" w:rsidRPr="00BC2360" w:rsidRDefault="00BC2360" w:rsidP="00BC2360"/>
    <w:p w14:paraId="378A0F20" w14:textId="1E2F3DEE" w:rsidR="001D095A" w:rsidRDefault="002C50EE" w:rsidP="00340E8D">
      <w:pPr>
        <w:pStyle w:val="Heading2"/>
      </w:pPr>
      <w:r>
        <w:t>4.9. Предозиране</w:t>
      </w:r>
    </w:p>
    <w:p w14:paraId="156782BE" w14:textId="3F0F7E1A" w:rsidR="00BC2360" w:rsidRDefault="00BC2360" w:rsidP="00BC2360"/>
    <w:p w14:paraId="5065856F" w14:textId="2A5D8AB4" w:rsidR="00BC2360" w:rsidRPr="00BC2360" w:rsidRDefault="00BC2360" w:rsidP="00BC2360">
      <w:pPr>
        <w:rPr>
          <w:sz w:val="24"/>
          <w:szCs w:val="24"/>
          <w:lang w:eastAsia="bg-BG"/>
        </w:rPr>
      </w:pPr>
      <w:r w:rsidRPr="00BC2360">
        <w:rPr>
          <w:lang w:eastAsia="bg-BG"/>
        </w:rPr>
        <w:t>Досега не са съобщавани специфични симптоми на предозиране при хора. Наблюдаваните симптоми, при съобщения за случайно предозиране или неправилна употреба съответстват на познатите нежелани реакции при употребата на МУКОСОЛВАН в препоръчителните дози, като може да е необходимо симптоматично лечение.</w:t>
      </w:r>
    </w:p>
    <w:p w14:paraId="02081B24" w14:textId="36FE76F4" w:rsidR="00395555" w:rsidRPr="00395555" w:rsidRDefault="002C50EE" w:rsidP="008A6AF2">
      <w:pPr>
        <w:pStyle w:val="Heading1"/>
      </w:pPr>
      <w:r>
        <w:t>5. ФАРМАКОЛОГИЧНИ СВОЙСТВА</w:t>
      </w:r>
    </w:p>
    <w:p w14:paraId="7F6CC5E1" w14:textId="784CE876" w:rsidR="00F62E44" w:rsidRDefault="002C50EE" w:rsidP="00387A66">
      <w:pPr>
        <w:pStyle w:val="Heading2"/>
      </w:pPr>
      <w:r>
        <w:t>5.1. Фармакодинамични свойства</w:t>
      </w:r>
    </w:p>
    <w:p w14:paraId="397EE8FC" w14:textId="54BCD799" w:rsidR="00BC2360" w:rsidRDefault="00BC2360" w:rsidP="00BC2360"/>
    <w:p w14:paraId="52ED35F9"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 xml:space="preserve">Фармакотерапевтична група: Муколитици, АТС код: </w:t>
      </w:r>
      <w:r w:rsidRPr="00BC2360">
        <w:rPr>
          <w:rFonts w:eastAsia="Times New Roman" w:cs="Arial"/>
          <w:color w:val="000000"/>
          <w:lang w:val="en-US"/>
        </w:rPr>
        <w:t>R05CB06</w:t>
      </w:r>
    </w:p>
    <w:p w14:paraId="3051DB5F" w14:textId="77777777" w:rsidR="00BC2360" w:rsidRPr="00BC2360" w:rsidRDefault="00BC2360" w:rsidP="00BC2360">
      <w:pPr>
        <w:spacing w:line="240" w:lineRule="auto"/>
        <w:rPr>
          <w:rFonts w:eastAsia="Times New Roman" w:cs="Arial"/>
          <w:color w:val="000000"/>
          <w:u w:val="single"/>
          <w:lang w:eastAsia="bg-BG"/>
        </w:rPr>
      </w:pPr>
    </w:p>
    <w:p w14:paraId="713C76AF" w14:textId="5DCD841B"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u w:val="single"/>
          <w:lang w:eastAsia="bg-BG"/>
        </w:rPr>
        <w:t>Механизъм на действие</w:t>
      </w:r>
    </w:p>
    <w:p w14:paraId="37A217A1"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 xml:space="preserve">В предклинични проучванияамброксолов хидрохлорид предизвиква увеличаване секрецията на жлезите на респираторния тракт. Подобрява продукцията на белодробен </w:t>
      </w:r>
      <w:r w:rsidRPr="00BC2360">
        <w:rPr>
          <w:rFonts w:eastAsia="Times New Roman" w:cs="Arial"/>
          <w:color w:val="000000"/>
          <w:lang w:eastAsia="bg-BG"/>
        </w:rPr>
        <w:lastRenderedPageBreak/>
        <w:t>сърфактант и се стимулира цилиарната активност. В резултат на това се увеличава мукусния поток и транспорт (мукоцилиарен клирънс).</w:t>
      </w:r>
    </w:p>
    <w:p w14:paraId="3CF581B2" w14:textId="77777777" w:rsidR="00BC2360" w:rsidRPr="00BC2360" w:rsidRDefault="00BC2360" w:rsidP="00BC2360">
      <w:pPr>
        <w:spacing w:line="240" w:lineRule="auto"/>
        <w:rPr>
          <w:rFonts w:eastAsia="Times New Roman" w:cs="Arial"/>
          <w:color w:val="000000"/>
          <w:lang w:eastAsia="bg-BG"/>
        </w:rPr>
      </w:pPr>
    </w:p>
    <w:p w14:paraId="60713F4C" w14:textId="4F59A400"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 xml:space="preserve">Локалният анестетичен ефект на амброксолов хидрохлорид е наблюдаван върху модел на заешко око, което може да се обясни със свойството на амброксолов хидрохлорид да блокира натриевите канали. Показано е </w:t>
      </w:r>
      <w:r w:rsidRPr="00BC2360">
        <w:rPr>
          <w:rFonts w:eastAsia="Times New Roman" w:cs="Arial"/>
          <w:i/>
          <w:iCs/>
          <w:color w:val="000000"/>
          <w:lang w:val="en-US"/>
        </w:rPr>
        <w:t>in vitro,</w:t>
      </w:r>
      <w:r w:rsidRPr="00BC2360">
        <w:rPr>
          <w:rFonts w:eastAsia="Times New Roman" w:cs="Arial"/>
          <w:color w:val="000000"/>
          <w:lang w:val="en-US"/>
        </w:rPr>
        <w:t xml:space="preserve"> </w:t>
      </w:r>
      <w:r w:rsidRPr="00BC2360">
        <w:rPr>
          <w:rFonts w:eastAsia="Times New Roman" w:cs="Arial"/>
          <w:color w:val="000000"/>
          <w:lang w:eastAsia="bg-BG"/>
        </w:rPr>
        <w:t>че амброксолов хидрохлорид блокира клонирани неврални натриеви канали, като свързването е обратимо и зависи от концентрацията.</w:t>
      </w:r>
    </w:p>
    <w:p w14:paraId="31EC22B6" w14:textId="77777777" w:rsidR="00BC2360" w:rsidRPr="00BC2360" w:rsidRDefault="00BC2360" w:rsidP="00BC2360">
      <w:pPr>
        <w:spacing w:line="240" w:lineRule="auto"/>
        <w:rPr>
          <w:rFonts w:eastAsia="Times New Roman" w:cs="Arial"/>
          <w:color w:val="000000"/>
          <w:lang w:eastAsia="bg-BG"/>
        </w:rPr>
      </w:pPr>
    </w:p>
    <w:p w14:paraId="73962F35" w14:textId="317D6082"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 xml:space="preserve">Амброксол хидрохлорид проявява противовъзпалителен ефект. Установено е </w:t>
      </w:r>
      <w:r w:rsidRPr="00BC2360">
        <w:rPr>
          <w:rFonts w:eastAsia="Times New Roman" w:cs="Arial"/>
          <w:i/>
          <w:iCs/>
          <w:color w:val="000000"/>
          <w:lang w:val="en-US"/>
        </w:rPr>
        <w:t>in vitro,</w:t>
      </w:r>
      <w:r w:rsidRPr="00BC2360">
        <w:rPr>
          <w:rFonts w:eastAsia="Times New Roman" w:cs="Arial"/>
          <w:color w:val="000000"/>
          <w:lang w:val="en-US"/>
        </w:rPr>
        <w:t xml:space="preserve"> </w:t>
      </w:r>
      <w:r w:rsidRPr="00BC2360">
        <w:rPr>
          <w:rFonts w:eastAsia="Times New Roman" w:cs="Arial"/>
          <w:color w:val="000000"/>
          <w:lang w:eastAsia="bg-BG"/>
        </w:rPr>
        <w:t>че приложението на амброксолов хидрохлорид води до значително редуциране не само на освобождаването на цитокини от кръвта, но и на мононуклеарни и полиморфонуклеарни клетки в тъканите.</w:t>
      </w:r>
    </w:p>
    <w:p w14:paraId="56375B2C" w14:textId="77777777" w:rsidR="00BC2360" w:rsidRPr="00BC2360" w:rsidRDefault="00BC2360" w:rsidP="00BC2360">
      <w:pPr>
        <w:spacing w:line="240" w:lineRule="auto"/>
        <w:rPr>
          <w:rFonts w:eastAsia="Times New Roman" w:cs="Arial"/>
          <w:color w:val="000000"/>
          <w:lang w:eastAsia="bg-BG"/>
        </w:rPr>
      </w:pPr>
    </w:p>
    <w:p w14:paraId="639DF3F8" w14:textId="3A39CB41"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Подобряването на мукоцилиарния клирънс е доказано в клинични и фармакологични проучвания. Засилването на секрецията на бронхиална течност и на мукоцилиарния клирънс улесняват експекторацията и изкашлянето.</w:t>
      </w:r>
    </w:p>
    <w:p w14:paraId="4EC36D02" w14:textId="77777777" w:rsidR="00BC2360" w:rsidRPr="00BC2360" w:rsidRDefault="00BC2360" w:rsidP="00BC2360">
      <w:pPr>
        <w:spacing w:line="240" w:lineRule="auto"/>
        <w:rPr>
          <w:rFonts w:eastAsia="Times New Roman" w:cs="Arial"/>
          <w:color w:val="000000"/>
          <w:lang w:eastAsia="bg-BG"/>
        </w:rPr>
      </w:pPr>
    </w:p>
    <w:p w14:paraId="3DA56AB4" w14:textId="4AFC5E88"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 xml:space="preserve">При пациенти с ХОББ, дългосрочното лечение (6 месеца) с МУКОСОЛВАН (МУКОСОЛВАН МАКС 75 </w:t>
      </w:r>
      <w:r w:rsidRPr="00BC2360">
        <w:rPr>
          <w:rFonts w:eastAsia="Times New Roman" w:cs="Arial"/>
          <w:color w:val="000000"/>
          <w:lang w:val="en-US"/>
        </w:rPr>
        <w:t xml:space="preserve">mg </w:t>
      </w:r>
      <w:r w:rsidRPr="00BC2360">
        <w:rPr>
          <w:rFonts w:eastAsia="Times New Roman" w:cs="Arial"/>
          <w:color w:val="000000"/>
          <w:lang w:eastAsia="bg-BG"/>
        </w:rPr>
        <w:t xml:space="preserve">капсула с удължено освобождаване) е довело до значително намаляване на екзацербациите, което се доказва след 2 месеца лечение. Лекуваните с МУКОСОЛВАН пациенти са боледували значително по-малък брой дни, както и по-малък брой дни са били необходими за антибиотично лечение. Лечението с МУКОСОЛВАН 75 </w:t>
      </w:r>
      <w:r w:rsidRPr="00BC2360">
        <w:rPr>
          <w:rFonts w:eastAsia="Times New Roman" w:cs="Arial"/>
          <w:color w:val="000000"/>
          <w:lang w:val="en-US"/>
        </w:rPr>
        <w:t xml:space="preserve">mg </w:t>
      </w:r>
      <w:r w:rsidRPr="00BC2360">
        <w:rPr>
          <w:rFonts w:eastAsia="Times New Roman" w:cs="Arial"/>
          <w:color w:val="000000"/>
          <w:lang w:eastAsia="bg-BG"/>
        </w:rPr>
        <w:t>капсули с удължено освобождаване, също така е довело до статистически значимо подобрение на симптомите (затруднено изхрачване, кашлица, задух, аускултаторни находки), в сравнение с плацебо.</w:t>
      </w:r>
    </w:p>
    <w:p w14:paraId="49FB2110" w14:textId="77777777" w:rsidR="00BC2360" w:rsidRPr="00BC2360" w:rsidRDefault="00BC2360" w:rsidP="00BC2360">
      <w:pPr>
        <w:spacing w:line="240" w:lineRule="auto"/>
        <w:rPr>
          <w:rFonts w:eastAsia="Times New Roman" w:cs="Arial"/>
          <w:color w:val="000000"/>
          <w:lang w:eastAsia="bg-BG"/>
        </w:rPr>
      </w:pPr>
    </w:p>
    <w:p w14:paraId="0DFB4DAA" w14:textId="423048A4" w:rsidR="00BC2360" w:rsidRPr="00BC2360" w:rsidRDefault="00BC2360" w:rsidP="00BC2360">
      <w:pPr>
        <w:spacing w:line="240" w:lineRule="auto"/>
        <w:rPr>
          <w:rFonts w:eastAsia="Times New Roman" w:cs="Arial"/>
          <w:color w:val="000000"/>
          <w:lang w:eastAsia="bg-BG"/>
        </w:rPr>
      </w:pPr>
      <w:r w:rsidRPr="00BC2360">
        <w:rPr>
          <w:rFonts w:eastAsia="Times New Roman" w:cs="Arial"/>
          <w:color w:val="000000"/>
          <w:lang w:eastAsia="bg-BG"/>
        </w:rPr>
        <w:t>В клинични изпитвания при пациенти с възпалено гърло, болката и зачервяването на гърлото значително намаляват.</w:t>
      </w:r>
    </w:p>
    <w:p w14:paraId="515F8FA6" w14:textId="5A16A580" w:rsidR="00BC2360" w:rsidRPr="00BC2360" w:rsidRDefault="00BC2360" w:rsidP="00BC2360">
      <w:pPr>
        <w:spacing w:line="240" w:lineRule="auto"/>
        <w:rPr>
          <w:rFonts w:eastAsia="Times New Roman" w:cs="Arial"/>
          <w:color w:val="000000"/>
          <w:lang w:eastAsia="bg-BG"/>
        </w:rPr>
      </w:pPr>
    </w:p>
    <w:p w14:paraId="1F584445"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Тези фармакологични свойства са в съответствие с допълнителните наблюдения в клинични проучвания за изследване на ефикасност на лечение с амброксолов хидрохлорид на симптоми в горните отдели на респираторния тракт, което е довело до рязко намаляване на болката и свързания с нея дискомфорт в областта ухо - нос - трахея чрез инхалация.</w:t>
      </w:r>
    </w:p>
    <w:p w14:paraId="59FA5684" w14:textId="77777777" w:rsidR="00BC2360" w:rsidRPr="00BC2360" w:rsidRDefault="00BC2360" w:rsidP="00BC2360">
      <w:pPr>
        <w:spacing w:line="240" w:lineRule="auto"/>
        <w:rPr>
          <w:rFonts w:eastAsia="Times New Roman" w:cs="Arial"/>
          <w:color w:val="000000"/>
          <w:lang w:eastAsia="bg-BG"/>
        </w:rPr>
      </w:pPr>
    </w:p>
    <w:p w14:paraId="183FDFD0" w14:textId="769C01B4"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След прием на амброксолов хидрохлорид, се повишава концентрацията на някои антибиотици (амоксицилин, цефуроксим, еритромицин) в бронхо-пулмоналния секрет и слюнката.</w:t>
      </w:r>
    </w:p>
    <w:p w14:paraId="72781811" w14:textId="77777777" w:rsidR="00BC2360" w:rsidRPr="00BC2360" w:rsidRDefault="00BC2360" w:rsidP="00BC2360">
      <w:pPr>
        <w:spacing w:line="240" w:lineRule="auto"/>
        <w:rPr>
          <w:rFonts w:eastAsia="Times New Roman" w:cs="Arial"/>
          <w:color w:val="000000"/>
          <w:lang w:eastAsia="bg-BG"/>
        </w:rPr>
      </w:pPr>
    </w:p>
    <w:p w14:paraId="6579F2BF" w14:textId="73D5F72B"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 xml:space="preserve">Противовирусни свойства на амброксолов хидрохлорид в </w:t>
      </w:r>
      <w:r w:rsidRPr="00BC2360">
        <w:rPr>
          <w:rFonts w:eastAsia="Times New Roman" w:cs="Arial"/>
          <w:i/>
          <w:iCs/>
          <w:color w:val="000000"/>
          <w:lang w:val="en-US"/>
        </w:rPr>
        <w:t>in vitro</w:t>
      </w:r>
      <w:r w:rsidRPr="00BC2360">
        <w:rPr>
          <w:rFonts w:eastAsia="Times New Roman" w:cs="Arial"/>
          <w:color w:val="000000"/>
          <w:lang w:val="en-US"/>
        </w:rPr>
        <w:t xml:space="preserve"> </w:t>
      </w:r>
      <w:r w:rsidRPr="00BC2360">
        <w:rPr>
          <w:rFonts w:eastAsia="Times New Roman" w:cs="Arial"/>
          <w:color w:val="000000"/>
          <w:lang w:eastAsia="bg-BG"/>
        </w:rPr>
        <w:t>проучвания и в животински модели.</w:t>
      </w:r>
    </w:p>
    <w:p w14:paraId="12626E78"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 xml:space="preserve">В </w:t>
      </w:r>
      <w:r w:rsidRPr="00BC2360">
        <w:rPr>
          <w:rFonts w:eastAsia="Times New Roman" w:cs="Arial"/>
          <w:i/>
          <w:iCs/>
          <w:color w:val="000000"/>
          <w:lang w:val="en-US"/>
        </w:rPr>
        <w:t>in vitro</w:t>
      </w:r>
      <w:r w:rsidRPr="00BC2360">
        <w:rPr>
          <w:rFonts w:eastAsia="Times New Roman" w:cs="Arial"/>
          <w:color w:val="000000"/>
          <w:lang w:val="en-US"/>
        </w:rPr>
        <w:t xml:space="preserve"> </w:t>
      </w:r>
      <w:r w:rsidRPr="00BC2360">
        <w:rPr>
          <w:rFonts w:eastAsia="Times New Roman" w:cs="Arial"/>
          <w:color w:val="000000"/>
          <w:lang w:eastAsia="bg-BG"/>
        </w:rPr>
        <w:t xml:space="preserve">проучвания с човешки трахеални епителни клетки е наблюдавано понижение на репликацията на риновирус </w:t>
      </w:r>
      <w:r w:rsidRPr="00BC2360">
        <w:rPr>
          <w:rFonts w:eastAsia="Times New Roman" w:cs="Arial"/>
          <w:color w:val="000000"/>
          <w:lang w:val="en-US"/>
        </w:rPr>
        <w:t>(RV</w:t>
      </w:r>
      <w:r w:rsidRPr="00BC2360">
        <w:rPr>
          <w:rFonts w:eastAsia="Times New Roman" w:cs="Arial"/>
          <w:color w:val="000000"/>
          <w:lang w:eastAsia="bg-BG"/>
        </w:rPr>
        <w:t xml:space="preserve">14). Наблюдавано е понижение на репликацията на </w:t>
      </w:r>
      <w:r w:rsidRPr="00BC2360">
        <w:rPr>
          <w:rFonts w:eastAsia="Times New Roman" w:cs="Arial"/>
          <w:color w:val="000000"/>
          <w:lang w:val="en-US"/>
        </w:rPr>
        <w:t xml:space="preserve">Influenza </w:t>
      </w:r>
      <w:r w:rsidRPr="00BC2360">
        <w:rPr>
          <w:rFonts w:eastAsia="Times New Roman" w:cs="Arial"/>
          <w:color w:val="000000"/>
          <w:lang w:eastAsia="bg-BG"/>
        </w:rPr>
        <w:t>А вирус върху модел на дихателни пътища от мишки.</w:t>
      </w:r>
    </w:p>
    <w:p w14:paraId="6BA7F06E" w14:textId="77777777" w:rsidR="00BC2360" w:rsidRPr="00BC2360" w:rsidRDefault="00BC2360" w:rsidP="00BC2360"/>
    <w:p w14:paraId="544FFDAF" w14:textId="0A1D3C63" w:rsidR="00F62E44" w:rsidRDefault="002C50EE" w:rsidP="00387A66">
      <w:pPr>
        <w:pStyle w:val="Heading2"/>
      </w:pPr>
      <w:r>
        <w:t>5.2. Фармакокинетични свойства</w:t>
      </w:r>
    </w:p>
    <w:p w14:paraId="1EA2537F" w14:textId="5469E516" w:rsidR="00BC2360" w:rsidRDefault="00BC2360" w:rsidP="00BC2360"/>
    <w:p w14:paraId="5FDBD432"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i/>
          <w:iCs/>
          <w:color w:val="000000"/>
          <w:lang w:eastAsia="bg-BG"/>
        </w:rPr>
        <w:t>Абсорбция</w:t>
      </w:r>
    </w:p>
    <w:p w14:paraId="0F686200"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lastRenderedPageBreak/>
        <w:t>Абсорбцията на лекарствени форми за перорално приложение с незабавно освобождаване е бърза и почти пълна, при линейна зависимост от дозата, когато продуктът е приложен в терапевтични дози.</w:t>
      </w:r>
    </w:p>
    <w:p w14:paraId="0BFB6B1D" w14:textId="77777777" w:rsidR="00BC2360" w:rsidRPr="00CD332B" w:rsidRDefault="00BC2360" w:rsidP="00BC2360">
      <w:pPr>
        <w:spacing w:line="240" w:lineRule="auto"/>
        <w:rPr>
          <w:rFonts w:eastAsia="Times New Roman" w:cs="Arial"/>
          <w:color w:val="000000"/>
          <w:lang w:eastAsia="bg-BG"/>
        </w:rPr>
      </w:pPr>
    </w:p>
    <w:p w14:paraId="328459B1" w14:textId="331A1DF1"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 xml:space="preserve">Максималните плазмени нива се достигат от 1 до 2,5 часа след перорално приложение на лекарствени форми с незабавно освобождаване и след около 6,5 часа за формите с удължено освобождаване. Установено е, че абсолютната бионаличност след прием на таблетка от 30 </w:t>
      </w:r>
      <w:r w:rsidRPr="00BC2360">
        <w:rPr>
          <w:rFonts w:eastAsia="Times New Roman" w:cs="Arial"/>
          <w:color w:val="000000"/>
          <w:lang w:val="en-US"/>
        </w:rPr>
        <w:t xml:space="preserve">mg </w:t>
      </w:r>
      <w:r w:rsidRPr="00BC2360">
        <w:rPr>
          <w:rFonts w:eastAsia="Times New Roman" w:cs="Arial"/>
          <w:color w:val="000000"/>
          <w:lang w:eastAsia="bg-BG"/>
        </w:rPr>
        <w:t xml:space="preserve">е 79%. Капсулите с удължено освобождаване показват относителна бионаличност от 95 % (дозо- нормализирана) в сравнение с дневна доза от 60 </w:t>
      </w:r>
      <w:r w:rsidRPr="00BC2360">
        <w:rPr>
          <w:rFonts w:eastAsia="Times New Roman" w:cs="Arial"/>
          <w:color w:val="000000"/>
          <w:lang w:val="en-US"/>
        </w:rPr>
        <w:t xml:space="preserve">mg </w:t>
      </w:r>
      <w:r w:rsidRPr="00BC2360">
        <w:rPr>
          <w:rFonts w:eastAsia="Times New Roman" w:cs="Arial"/>
          <w:color w:val="000000"/>
          <w:lang w:eastAsia="bg-BG"/>
        </w:rPr>
        <w:t xml:space="preserve">(30 </w:t>
      </w:r>
      <w:r w:rsidRPr="00BC2360">
        <w:rPr>
          <w:rFonts w:eastAsia="Times New Roman" w:cs="Arial"/>
          <w:color w:val="000000"/>
          <w:lang w:val="en-US"/>
        </w:rPr>
        <w:t xml:space="preserve">mg </w:t>
      </w:r>
      <w:r w:rsidRPr="00BC2360">
        <w:rPr>
          <w:rFonts w:eastAsia="Times New Roman" w:cs="Arial"/>
          <w:color w:val="000000"/>
          <w:lang w:eastAsia="bg-BG"/>
        </w:rPr>
        <w:t>два пъти дневно) под формата на таблетки с незабавно освобождаване.</w:t>
      </w:r>
    </w:p>
    <w:p w14:paraId="08A2A626" w14:textId="77777777" w:rsidR="00BC2360" w:rsidRPr="00CD332B" w:rsidRDefault="00BC2360" w:rsidP="00BC2360">
      <w:pPr>
        <w:spacing w:line="240" w:lineRule="auto"/>
        <w:rPr>
          <w:rFonts w:eastAsia="Times New Roman" w:cs="Arial"/>
          <w:color w:val="000000"/>
          <w:lang w:eastAsia="bg-BG"/>
        </w:rPr>
      </w:pPr>
    </w:p>
    <w:p w14:paraId="1A719DEA" w14:textId="7E010826"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Не е установено, че храната влияе на бионаличностга на амброксол хидрохлорид при перорално приложение.</w:t>
      </w:r>
    </w:p>
    <w:p w14:paraId="5D616F8B" w14:textId="77777777" w:rsidR="00BC2360" w:rsidRPr="00CD332B" w:rsidRDefault="00BC2360" w:rsidP="00BC2360">
      <w:pPr>
        <w:spacing w:line="240" w:lineRule="auto"/>
        <w:rPr>
          <w:rFonts w:eastAsia="Times New Roman" w:cs="Arial"/>
          <w:color w:val="000000"/>
          <w:lang w:eastAsia="bg-BG"/>
        </w:rPr>
      </w:pPr>
    </w:p>
    <w:p w14:paraId="13C3DFD8" w14:textId="6827E3F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Измерването на плазменото ниво след многократно перорално приложение не дава никакви индикации за натрупване при терапевтична дозировка.</w:t>
      </w:r>
    </w:p>
    <w:p w14:paraId="5494B671" w14:textId="77777777" w:rsidR="00BC2360" w:rsidRPr="00CD332B" w:rsidRDefault="00BC2360" w:rsidP="00BC2360">
      <w:pPr>
        <w:spacing w:line="240" w:lineRule="auto"/>
        <w:rPr>
          <w:rFonts w:eastAsia="Times New Roman" w:cs="Arial"/>
          <w:i/>
          <w:iCs/>
          <w:color w:val="000000"/>
          <w:lang w:eastAsia="bg-BG"/>
        </w:rPr>
      </w:pPr>
    </w:p>
    <w:p w14:paraId="5C6F2008" w14:textId="4748F2BA" w:rsidR="00BC2360" w:rsidRPr="00BC2360" w:rsidRDefault="00BC2360" w:rsidP="00BC2360">
      <w:pPr>
        <w:spacing w:line="240" w:lineRule="auto"/>
        <w:rPr>
          <w:rFonts w:eastAsia="Times New Roman" w:cs="Arial"/>
          <w:sz w:val="28"/>
          <w:szCs w:val="28"/>
          <w:lang w:eastAsia="bg-BG"/>
        </w:rPr>
      </w:pPr>
      <w:r w:rsidRPr="00BC2360">
        <w:rPr>
          <w:rFonts w:eastAsia="Times New Roman" w:cs="Arial"/>
          <w:i/>
          <w:iCs/>
          <w:color w:val="000000"/>
          <w:lang w:eastAsia="bg-BG"/>
        </w:rPr>
        <w:t>Разпределение</w:t>
      </w:r>
    </w:p>
    <w:p w14:paraId="2E2CC672"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 xml:space="preserve">Разпределението на амброксолов хидрохлорид от кръвта към тъканите е бързо и ясно изразено, като най-висока концентрация на активното вещество е установена в белите дробове при интравенозно приложение. Обемът на разпределение след перорален прием е приблизително 552 </w:t>
      </w:r>
      <w:r w:rsidRPr="00BC2360">
        <w:rPr>
          <w:rFonts w:eastAsia="Times New Roman" w:cs="Arial"/>
          <w:color w:val="000000"/>
          <w:lang w:val="en-US"/>
        </w:rPr>
        <w:t xml:space="preserve">L. </w:t>
      </w:r>
      <w:r w:rsidRPr="00BC2360">
        <w:rPr>
          <w:rFonts w:eastAsia="Times New Roman" w:cs="Arial"/>
          <w:color w:val="000000"/>
          <w:lang w:eastAsia="bg-BG"/>
        </w:rPr>
        <w:t>Установено е, че в терапевтични граници свързването на протеините в плазмата е около 90 %.</w:t>
      </w:r>
    </w:p>
    <w:p w14:paraId="6342D49A" w14:textId="77777777" w:rsidR="00BC2360" w:rsidRPr="00CD332B" w:rsidRDefault="00BC2360" w:rsidP="00BC2360">
      <w:pPr>
        <w:spacing w:line="240" w:lineRule="auto"/>
        <w:rPr>
          <w:rFonts w:eastAsia="Times New Roman" w:cs="Arial"/>
          <w:i/>
          <w:iCs/>
          <w:color w:val="000000"/>
          <w:lang w:eastAsia="bg-BG"/>
        </w:rPr>
      </w:pPr>
    </w:p>
    <w:p w14:paraId="06C5E0B4" w14:textId="62CCBB85" w:rsidR="00BC2360" w:rsidRPr="00BC2360" w:rsidRDefault="00BC2360" w:rsidP="00BC2360">
      <w:pPr>
        <w:spacing w:line="240" w:lineRule="auto"/>
        <w:rPr>
          <w:rFonts w:eastAsia="Times New Roman" w:cs="Arial"/>
          <w:sz w:val="28"/>
          <w:szCs w:val="28"/>
          <w:lang w:eastAsia="bg-BG"/>
        </w:rPr>
      </w:pPr>
      <w:r w:rsidRPr="00BC2360">
        <w:rPr>
          <w:rFonts w:eastAsia="Times New Roman" w:cs="Arial"/>
          <w:i/>
          <w:iCs/>
          <w:color w:val="000000"/>
          <w:lang w:eastAsia="bg-BG"/>
        </w:rPr>
        <w:t>Биотрансформсщия и елиминиране</w:t>
      </w:r>
    </w:p>
    <w:p w14:paraId="704A1255" w14:textId="77777777"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Около 30 % от приложената перорална доза се елиминира чрез метаболизъм при първо преминаване. Амброксолов хидрохлорид се метаболизира главно в черния дроб чрез глюкурониране и разцепване до дибромантранилова киселина (приблизително 10 % от дозата), с изключение на някои второстепенни метаболити.</w:t>
      </w:r>
    </w:p>
    <w:p w14:paraId="3F5F7250" w14:textId="77777777" w:rsidR="00BC2360" w:rsidRPr="00CD332B" w:rsidRDefault="00BC2360" w:rsidP="00BC2360">
      <w:pPr>
        <w:spacing w:line="240" w:lineRule="auto"/>
        <w:rPr>
          <w:rFonts w:eastAsia="Times New Roman" w:cs="Arial"/>
          <w:color w:val="000000"/>
          <w:lang w:eastAsia="bg-BG"/>
        </w:rPr>
      </w:pPr>
    </w:p>
    <w:p w14:paraId="64AE48E1" w14:textId="15E2F862" w:rsidR="00BC2360" w:rsidRPr="00BC2360" w:rsidRDefault="00BC2360" w:rsidP="00BC2360">
      <w:pPr>
        <w:spacing w:line="240" w:lineRule="auto"/>
        <w:rPr>
          <w:rFonts w:eastAsia="Times New Roman" w:cs="Arial"/>
          <w:sz w:val="28"/>
          <w:szCs w:val="28"/>
          <w:lang w:eastAsia="bg-BG"/>
        </w:rPr>
      </w:pPr>
      <w:r w:rsidRPr="00BC2360">
        <w:rPr>
          <w:rFonts w:eastAsia="Times New Roman" w:cs="Arial"/>
          <w:color w:val="000000"/>
          <w:lang w:eastAsia="bg-BG"/>
        </w:rPr>
        <w:t xml:space="preserve">Проучвания на чернодробните микрозоми при човека показват, че </w:t>
      </w:r>
      <w:r w:rsidRPr="00BC2360">
        <w:rPr>
          <w:rFonts w:eastAsia="Times New Roman" w:cs="Arial"/>
          <w:color w:val="000000"/>
          <w:lang w:val="en-US"/>
        </w:rPr>
        <w:t xml:space="preserve">CYP3A4 </w:t>
      </w:r>
      <w:r w:rsidRPr="00BC2360">
        <w:rPr>
          <w:rFonts w:eastAsia="Times New Roman" w:cs="Arial"/>
          <w:color w:val="000000"/>
          <w:lang w:eastAsia="bg-BG"/>
        </w:rPr>
        <w:t>е преобладаващата изоформа, отговорна за метаболизма на амброксолов хидрохлорид до дибромантранилова киселина.</w:t>
      </w:r>
    </w:p>
    <w:p w14:paraId="67678E5E" w14:textId="77777777" w:rsidR="00BC2360" w:rsidRPr="00CD332B" w:rsidRDefault="00BC2360" w:rsidP="00BC2360">
      <w:pPr>
        <w:spacing w:line="240" w:lineRule="auto"/>
        <w:rPr>
          <w:rFonts w:eastAsia="Times New Roman" w:cs="Arial"/>
          <w:color w:val="000000"/>
          <w:lang w:eastAsia="bg-BG"/>
        </w:rPr>
      </w:pPr>
    </w:p>
    <w:p w14:paraId="7D864E70" w14:textId="0A4CCDBE" w:rsidR="00BC2360" w:rsidRPr="00CD332B" w:rsidRDefault="00BC2360" w:rsidP="00CD332B">
      <w:pPr>
        <w:spacing w:line="240" w:lineRule="auto"/>
        <w:rPr>
          <w:rFonts w:eastAsia="Times New Roman" w:cs="Arial"/>
          <w:sz w:val="28"/>
          <w:szCs w:val="28"/>
          <w:lang w:eastAsia="bg-BG"/>
        </w:rPr>
      </w:pPr>
      <w:r w:rsidRPr="00BC2360">
        <w:rPr>
          <w:rFonts w:eastAsia="Times New Roman" w:cs="Arial"/>
          <w:color w:val="000000"/>
          <w:lang w:eastAsia="bg-BG"/>
        </w:rPr>
        <w:t xml:space="preserve">В рамките на 3 дни от пероралния прием, приблизително 6 % от дозата остава в свободна форма, докато 26 % от нея е открита в урината в конюгирана форма. Крайният полуживот на елимициране на амброксолов хидрохлорид е приблизително 10 часа. Тоталният клирънс е от порядъка на 660 </w:t>
      </w:r>
      <w:r w:rsidRPr="00BC2360">
        <w:rPr>
          <w:rFonts w:eastAsia="Times New Roman" w:cs="Arial"/>
          <w:color w:val="000000"/>
          <w:lang w:val="en-US"/>
        </w:rPr>
        <w:t xml:space="preserve">ml/min, </w:t>
      </w:r>
      <w:r w:rsidRPr="00BC2360">
        <w:rPr>
          <w:rFonts w:eastAsia="Times New Roman" w:cs="Arial"/>
          <w:color w:val="000000"/>
          <w:lang w:eastAsia="bg-BG"/>
        </w:rPr>
        <w:t>с отчитане на бъбречен клирънс при перорално приложение приблизително 8% от тоталния клирънс. Изчислено е, че приблизителното количество, екскретирано чрез урината след ден</w:t>
      </w:r>
      <w:r w:rsidR="00CD332B" w:rsidRPr="00CD332B">
        <w:rPr>
          <w:rFonts w:eastAsia="Times New Roman" w:cs="Arial"/>
          <w:sz w:val="28"/>
          <w:szCs w:val="28"/>
          <w:lang w:eastAsia="bg-BG"/>
        </w:rPr>
        <w:t xml:space="preserve"> </w:t>
      </w:r>
      <w:r w:rsidRPr="00CD332B">
        <w:rPr>
          <w:rFonts w:eastAsia="Times New Roman" w:cs="Arial"/>
          <w:color w:val="000000"/>
          <w:lang w:eastAsia="bg-BG"/>
        </w:rPr>
        <w:t>представлява около 83% от общата доза (установено посредством радиоактивно белязване).</w:t>
      </w:r>
    </w:p>
    <w:p w14:paraId="7561D7BC" w14:textId="459E324B" w:rsidR="00CD332B" w:rsidRPr="00CD332B" w:rsidRDefault="00CD332B" w:rsidP="00BC2360">
      <w:pPr>
        <w:rPr>
          <w:rFonts w:eastAsia="Times New Roman" w:cs="Arial"/>
          <w:color w:val="000000"/>
          <w:lang w:eastAsia="bg-BG"/>
        </w:rPr>
      </w:pPr>
    </w:p>
    <w:p w14:paraId="17A898DF" w14:textId="77777777" w:rsidR="00CD332B" w:rsidRPr="00CD332B" w:rsidRDefault="00CD332B" w:rsidP="00CD332B">
      <w:pPr>
        <w:spacing w:line="240" w:lineRule="auto"/>
        <w:rPr>
          <w:rFonts w:eastAsia="Times New Roman" w:cs="Arial"/>
          <w:sz w:val="28"/>
          <w:szCs w:val="28"/>
          <w:lang w:eastAsia="bg-BG"/>
        </w:rPr>
      </w:pPr>
      <w:r w:rsidRPr="00CD332B">
        <w:rPr>
          <w:rFonts w:eastAsia="Times New Roman" w:cs="Arial"/>
          <w:i/>
          <w:iCs/>
          <w:color w:val="000000"/>
          <w:lang w:eastAsia="bg-BG"/>
        </w:rPr>
        <w:t>Фармакокинетика при специални групи пациенти</w:t>
      </w:r>
    </w:p>
    <w:p w14:paraId="39FD6254" w14:textId="77777777" w:rsidR="00CD332B" w:rsidRPr="00CD332B" w:rsidRDefault="00CD332B" w:rsidP="00CD332B">
      <w:pPr>
        <w:spacing w:line="240" w:lineRule="auto"/>
        <w:rPr>
          <w:rFonts w:eastAsia="Times New Roman" w:cs="Arial"/>
          <w:sz w:val="28"/>
          <w:szCs w:val="28"/>
          <w:lang w:eastAsia="bg-BG"/>
        </w:rPr>
      </w:pPr>
      <w:r w:rsidRPr="00CD332B">
        <w:rPr>
          <w:rFonts w:eastAsia="Times New Roman" w:cs="Arial"/>
          <w:color w:val="000000"/>
          <w:lang w:eastAsia="bg-BG"/>
        </w:rPr>
        <w:t>Чернодробно увреждане</w:t>
      </w:r>
    </w:p>
    <w:p w14:paraId="48B1F6A6" w14:textId="77777777" w:rsidR="00CD332B" w:rsidRPr="00CD332B" w:rsidRDefault="00CD332B" w:rsidP="00CD332B">
      <w:pPr>
        <w:spacing w:line="240" w:lineRule="auto"/>
        <w:rPr>
          <w:rFonts w:eastAsia="Times New Roman" w:cs="Arial"/>
          <w:sz w:val="28"/>
          <w:szCs w:val="28"/>
          <w:lang w:eastAsia="bg-BG"/>
        </w:rPr>
      </w:pPr>
      <w:r w:rsidRPr="00CD332B">
        <w:rPr>
          <w:rFonts w:eastAsia="Times New Roman" w:cs="Arial"/>
          <w:color w:val="000000"/>
          <w:lang w:eastAsia="bg-BG"/>
        </w:rPr>
        <w:t>При пациенти с нарушена функция на черния дроб, елиминирането на амброксолов хидрохлорид е намалено, което води приблизително от 1,3 до 2 пъти по-високи плазмени нива. Поради широката терапевтична граница на амброксолов хидрохлорид, не се налага промяна на дозата.</w:t>
      </w:r>
    </w:p>
    <w:p w14:paraId="53232715" w14:textId="77777777" w:rsidR="00CD332B" w:rsidRPr="00CD332B" w:rsidRDefault="00CD332B" w:rsidP="00CD332B">
      <w:pPr>
        <w:spacing w:line="240" w:lineRule="auto"/>
        <w:rPr>
          <w:rFonts w:eastAsia="Times New Roman" w:cs="Arial"/>
          <w:color w:val="000000"/>
          <w:lang w:eastAsia="bg-BG"/>
        </w:rPr>
      </w:pPr>
    </w:p>
    <w:p w14:paraId="6E5018BE" w14:textId="3F7DAB58" w:rsidR="00CD332B" w:rsidRPr="00CD332B" w:rsidRDefault="00CD332B" w:rsidP="00CD332B">
      <w:pPr>
        <w:spacing w:line="240" w:lineRule="auto"/>
        <w:rPr>
          <w:rFonts w:eastAsia="Times New Roman" w:cs="Arial"/>
          <w:sz w:val="28"/>
          <w:szCs w:val="28"/>
          <w:lang w:eastAsia="bg-BG"/>
        </w:rPr>
      </w:pPr>
      <w:r w:rsidRPr="00CD332B">
        <w:rPr>
          <w:rFonts w:eastAsia="Times New Roman" w:cs="Arial"/>
          <w:color w:val="000000"/>
          <w:lang w:eastAsia="bg-BG"/>
        </w:rPr>
        <w:t>Възраст/Пол</w:t>
      </w:r>
    </w:p>
    <w:p w14:paraId="11D21415" w14:textId="77777777" w:rsidR="00CD332B" w:rsidRPr="00CD332B" w:rsidRDefault="00CD332B" w:rsidP="00CD332B">
      <w:pPr>
        <w:spacing w:line="240" w:lineRule="auto"/>
        <w:rPr>
          <w:rFonts w:eastAsia="Times New Roman" w:cs="Arial"/>
          <w:sz w:val="28"/>
          <w:szCs w:val="28"/>
          <w:lang w:eastAsia="bg-BG"/>
        </w:rPr>
      </w:pPr>
      <w:r w:rsidRPr="00CD332B">
        <w:rPr>
          <w:rFonts w:eastAsia="Times New Roman" w:cs="Arial"/>
          <w:color w:val="000000"/>
          <w:lang w:eastAsia="bg-BG"/>
        </w:rPr>
        <w:lastRenderedPageBreak/>
        <w:t>Възрастта и пола не оказват влияние върху фармакокинетиката на амброксолов хидрохлорид в клинично значима степен, поради което не се налага промяна на дозата.</w:t>
      </w:r>
    </w:p>
    <w:p w14:paraId="26ADE6EB" w14:textId="77777777" w:rsidR="00CD332B" w:rsidRPr="00CD332B" w:rsidRDefault="00CD332B" w:rsidP="00CD332B">
      <w:pPr>
        <w:rPr>
          <w:rFonts w:eastAsia="Times New Roman" w:cs="Arial"/>
          <w:color w:val="000000"/>
          <w:lang w:eastAsia="bg-BG"/>
        </w:rPr>
      </w:pPr>
    </w:p>
    <w:p w14:paraId="60FC4FC5" w14:textId="78808AFA" w:rsidR="00CD332B" w:rsidRPr="00CD332B" w:rsidRDefault="00CD332B" w:rsidP="00CD332B">
      <w:pPr>
        <w:rPr>
          <w:rFonts w:eastAsia="Times New Roman" w:cs="Arial"/>
          <w:color w:val="000000"/>
          <w:lang w:eastAsia="bg-BG"/>
        </w:rPr>
      </w:pPr>
      <w:r w:rsidRPr="00CD332B">
        <w:rPr>
          <w:rFonts w:eastAsia="Times New Roman" w:cs="Arial"/>
          <w:color w:val="000000"/>
          <w:lang w:eastAsia="bg-BG"/>
        </w:rPr>
        <w:t>Установено е, че храната не влияе върху бионаличността на амброксолов хидрохлорид.</w:t>
      </w:r>
    </w:p>
    <w:p w14:paraId="76608F34" w14:textId="77777777" w:rsidR="00CD332B" w:rsidRPr="00BC2360" w:rsidRDefault="00CD332B" w:rsidP="00CD332B"/>
    <w:p w14:paraId="6925FEB0" w14:textId="596E6F04" w:rsidR="00F62E44" w:rsidRDefault="002C50EE" w:rsidP="00387A66">
      <w:pPr>
        <w:pStyle w:val="Heading2"/>
      </w:pPr>
      <w:r>
        <w:t>5.3. Предклинични данни за безопасност</w:t>
      </w:r>
    </w:p>
    <w:p w14:paraId="7CA5D340" w14:textId="00A6468C" w:rsidR="00CD332B" w:rsidRDefault="00CD332B" w:rsidP="00CD332B"/>
    <w:p w14:paraId="4F28F60F" w14:textId="77777777" w:rsidR="00CD332B" w:rsidRPr="00CD332B" w:rsidRDefault="00CD332B" w:rsidP="00CD332B">
      <w:pPr>
        <w:rPr>
          <w:sz w:val="24"/>
          <w:szCs w:val="24"/>
          <w:lang w:eastAsia="bg-BG"/>
        </w:rPr>
      </w:pPr>
      <w:r w:rsidRPr="00CD332B">
        <w:rPr>
          <w:lang w:eastAsia="bg-BG"/>
        </w:rPr>
        <w:t>Амброксолов хидрохлорид има нисък индекс на остра токсичност.</w:t>
      </w:r>
    </w:p>
    <w:p w14:paraId="3DF2A8A0" w14:textId="77777777" w:rsidR="00CD332B" w:rsidRDefault="00CD332B" w:rsidP="00CD332B">
      <w:pPr>
        <w:rPr>
          <w:lang w:eastAsia="bg-BG"/>
        </w:rPr>
      </w:pPr>
    </w:p>
    <w:p w14:paraId="71746F1E" w14:textId="1B0F8875" w:rsidR="00CD332B" w:rsidRPr="00CD332B" w:rsidRDefault="00CD332B" w:rsidP="00CD332B">
      <w:pPr>
        <w:rPr>
          <w:sz w:val="24"/>
          <w:szCs w:val="24"/>
          <w:lang w:eastAsia="bg-BG"/>
        </w:rPr>
      </w:pPr>
      <w:r w:rsidRPr="00CD332B">
        <w:rPr>
          <w:lang w:eastAsia="bg-BG"/>
        </w:rPr>
        <w:t xml:space="preserve">В проучвания на хронична токсичност при перорални дози от 150 </w:t>
      </w:r>
      <w:r w:rsidRPr="00CD332B">
        <w:rPr>
          <w:lang w:val="en-US"/>
        </w:rPr>
        <w:t>mg/kg</w:t>
      </w:r>
      <w:r w:rsidRPr="00CD332B">
        <w:rPr>
          <w:lang w:eastAsia="bg-BG"/>
        </w:rPr>
        <w:t xml:space="preserve">/дневно (мишки, 4 седмици), 50 </w:t>
      </w:r>
      <w:r w:rsidRPr="00CD332B">
        <w:rPr>
          <w:lang w:val="en-US"/>
        </w:rPr>
        <w:t>mg/kg</w:t>
      </w:r>
      <w:r w:rsidRPr="00CD332B">
        <w:rPr>
          <w:lang w:eastAsia="bg-BG"/>
        </w:rPr>
        <w:t xml:space="preserve">/дневно (плъхове, 52 и 78 седмици), 40 </w:t>
      </w:r>
      <w:r w:rsidRPr="00CD332B">
        <w:rPr>
          <w:lang w:val="en-US"/>
        </w:rPr>
        <w:t>mg/kg</w:t>
      </w:r>
      <w:r w:rsidRPr="00CD332B">
        <w:rPr>
          <w:lang w:eastAsia="bg-BG"/>
        </w:rPr>
        <w:t xml:space="preserve">/дневно (зайци, 26 седмици) и 10 </w:t>
      </w:r>
      <w:r w:rsidRPr="00CD332B">
        <w:rPr>
          <w:lang w:val="en-US"/>
        </w:rPr>
        <w:t>mg/kg</w:t>
      </w:r>
      <w:r w:rsidRPr="00CD332B">
        <w:rPr>
          <w:lang w:eastAsia="bg-BG"/>
        </w:rPr>
        <w:t xml:space="preserve">/дневно (кучета, 52 седмици), са определени съответно нивата, при които не се наблюдават нежелани лекарствени реакции </w:t>
      </w:r>
      <w:r w:rsidRPr="00CD332B">
        <w:rPr>
          <w:lang w:val="en-US"/>
        </w:rPr>
        <w:t xml:space="preserve">(NOAEL). </w:t>
      </w:r>
      <w:r w:rsidRPr="00CD332B">
        <w:rPr>
          <w:lang w:eastAsia="bg-BG"/>
        </w:rPr>
        <w:t>Не е открит специален целеви орган по отношение на токсичността.</w:t>
      </w:r>
    </w:p>
    <w:p w14:paraId="10BA412C" w14:textId="77777777" w:rsidR="00CD332B" w:rsidRDefault="00CD332B" w:rsidP="00CD332B">
      <w:pPr>
        <w:rPr>
          <w:lang w:eastAsia="bg-BG"/>
        </w:rPr>
      </w:pPr>
    </w:p>
    <w:p w14:paraId="1AD7D1A7" w14:textId="213BDDD7" w:rsidR="00CD332B" w:rsidRPr="00CD332B" w:rsidRDefault="00CD332B" w:rsidP="00CD332B">
      <w:pPr>
        <w:rPr>
          <w:sz w:val="24"/>
          <w:szCs w:val="24"/>
          <w:lang w:eastAsia="bg-BG"/>
        </w:rPr>
      </w:pPr>
      <w:r w:rsidRPr="00CD332B">
        <w:rPr>
          <w:lang w:eastAsia="bg-BG"/>
        </w:rPr>
        <w:t xml:space="preserve">Четири седмично проучване на токсичността на амброксолов хидрохлорид, при интравенозно прилагане при плъхове (4,14 и 64 </w:t>
      </w:r>
      <w:r w:rsidRPr="00CD332B">
        <w:rPr>
          <w:lang w:val="en-US"/>
        </w:rPr>
        <w:t>mg/kg</w:t>
      </w:r>
      <w:r w:rsidRPr="00CD332B">
        <w:rPr>
          <w:lang w:eastAsia="bg-BG"/>
        </w:rPr>
        <w:t xml:space="preserve">/дневно) и при кучета (45, 90 и 120 </w:t>
      </w:r>
      <w:r w:rsidRPr="00CD332B">
        <w:rPr>
          <w:lang w:val="en-US"/>
        </w:rPr>
        <w:t>mg/kg</w:t>
      </w:r>
      <w:r w:rsidRPr="00CD332B">
        <w:rPr>
          <w:lang w:eastAsia="bg-BG"/>
        </w:rPr>
        <w:t>/дневно (инфузии З</w:t>
      </w:r>
      <w:r w:rsidRPr="00CD332B">
        <w:rPr>
          <w:lang w:val="en-US"/>
        </w:rPr>
        <w:t>h/</w:t>
      </w:r>
      <w:r w:rsidRPr="00CD332B">
        <w:rPr>
          <w:lang w:eastAsia="bg-BG"/>
        </w:rPr>
        <w:t>дневно)) не показва наличието на тежка локална и системна токсичност, включително и на хистопатология. Всички нежелани лекарствени реакции са обратими.</w:t>
      </w:r>
    </w:p>
    <w:p w14:paraId="733A547E" w14:textId="77777777" w:rsidR="00CD332B" w:rsidRDefault="00CD332B" w:rsidP="00CD332B">
      <w:pPr>
        <w:rPr>
          <w:lang w:eastAsia="bg-BG"/>
        </w:rPr>
      </w:pPr>
    </w:p>
    <w:p w14:paraId="6492C1F7" w14:textId="5462F413" w:rsidR="00CD332B" w:rsidRPr="00CD332B" w:rsidRDefault="00CD332B" w:rsidP="00CD332B">
      <w:pPr>
        <w:rPr>
          <w:sz w:val="24"/>
          <w:szCs w:val="24"/>
          <w:lang w:eastAsia="bg-BG"/>
        </w:rPr>
      </w:pPr>
      <w:r w:rsidRPr="00CD332B">
        <w:rPr>
          <w:lang w:eastAsia="bg-BG"/>
        </w:rPr>
        <w:t xml:space="preserve">Амброксолов хидрохлорид не показва ембриотоксичен и тератогенен ефект при тестване на перорални дози до 3000 </w:t>
      </w:r>
      <w:r w:rsidRPr="00CD332B">
        <w:rPr>
          <w:lang w:val="en-US"/>
        </w:rPr>
        <w:t>mg/kg</w:t>
      </w:r>
      <w:r w:rsidRPr="00CD332B">
        <w:rPr>
          <w:lang w:eastAsia="bg-BG"/>
        </w:rPr>
        <w:t xml:space="preserve">/дневно при плъхове и до 200 </w:t>
      </w:r>
      <w:r w:rsidRPr="00CD332B">
        <w:rPr>
          <w:lang w:val="en-US"/>
        </w:rPr>
        <w:t>mg/kg</w:t>
      </w:r>
      <w:r w:rsidRPr="00CD332B">
        <w:rPr>
          <w:lang w:eastAsia="bg-BG"/>
        </w:rPr>
        <w:t xml:space="preserve">/дневно при зайци. Фертилитета на мъжки и женски плъхове не е повлиян при дози до 500 </w:t>
      </w:r>
      <w:r w:rsidRPr="00CD332B">
        <w:rPr>
          <w:lang w:val="en-US"/>
        </w:rPr>
        <w:t>mg/kg</w:t>
      </w:r>
      <w:r w:rsidRPr="00CD332B">
        <w:rPr>
          <w:lang w:eastAsia="bg-BG"/>
        </w:rPr>
        <w:t xml:space="preserve">/дневно. Нивото, при което не се наблюдават нежелани лекарствени реакции </w:t>
      </w:r>
      <w:r w:rsidRPr="00CD332B">
        <w:rPr>
          <w:lang w:val="en-US"/>
        </w:rPr>
        <w:t xml:space="preserve">(NOAEL) </w:t>
      </w:r>
      <w:r w:rsidRPr="00CD332B">
        <w:rPr>
          <w:lang w:eastAsia="bg-BG"/>
        </w:rPr>
        <w:t xml:space="preserve">по време на пери- и постнаталното развитие е 50 </w:t>
      </w:r>
      <w:r w:rsidRPr="00CD332B">
        <w:rPr>
          <w:lang w:val="en-US"/>
        </w:rPr>
        <w:t>mg/kg</w:t>
      </w:r>
      <w:r w:rsidRPr="00CD332B">
        <w:rPr>
          <w:lang w:eastAsia="bg-BG"/>
        </w:rPr>
        <w:t xml:space="preserve">/дневно. Средната доза от 500 </w:t>
      </w:r>
      <w:r w:rsidRPr="00CD332B">
        <w:rPr>
          <w:lang w:val="en-US"/>
        </w:rPr>
        <w:t>mg/kg</w:t>
      </w:r>
      <w:r w:rsidRPr="00CD332B">
        <w:rPr>
          <w:lang w:eastAsia="bg-BG"/>
        </w:rPr>
        <w:t>/дневно амброксолов хидрохлорид е леко токсична за майките и поколението - наблюдавано е забавено развитие на телесното тегло и намален размер на потомството.</w:t>
      </w:r>
    </w:p>
    <w:p w14:paraId="622E8555" w14:textId="77777777" w:rsidR="00CD332B" w:rsidRDefault="00CD332B" w:rsidP="00CD332B">
      <w:pPr>
        <w:rPr>
          <w:i/>
          <w:iCs/>
          <w:lang w:val="en-US"/>
        </w:rPr>
      </w:pPr>
    </w:p>
    <w:p w14:paraId="6D2819D0" w14:textId="1FC84C94" w:rsidR="00CD332B" w:rsidRPr="00CD332B" w:rsidRDefault="00CD332B" w:rsidP="00CD332B">
      <w:pPr>
        <w:rPr>
          <w:sz w:val="24"/>
          <w:szCs w:val="24"/>
          <w:lang w:eastAsia="bg-BG"/>
        </w:rPr>
      </w:pPr>
      <w:r w:rsidRPr="00CD332B">
        <w:rPr>
          <w:i/>
          <w:iCs/>
          <w:lang w:val="en-US"/>
        </w:rPr>
        <w:t>In vitro</w:t>
      </w:r>
      <w:r w:rsidRPr="00CD332B">
        <w:rPr>
          <w:lang w:val="en-US"/>
        </w:rPr>
        <w:t xml:space="preserve"> </w:t>
      </w:r>
      <w:r w:rsidRPr="00CD332B">
        <w:rPr>
          <w:lang w:eastAsia="bg-BG"/>
        </w:rPr>
        <w:t xml:space="preserve">изпитванията за генотоксичност (тест на Амес и тест за хромозомна аберация в човешки лимфоцити) и </w:t>
      </w:r>
      <w:r w:rsidRPr="00CD332B">
        <w:rPr>
          <w:i/>
          <w:iCs/>
          <w:lang w:val="en-US"/>
        </w:rPr>
        <w:t>in vivo</w:t>
      </w:r>
      <w:r w:rsidRPr="00CD332B">
        <w:rPr>
          <w:lang w:val="en-US"/>
        </w:rPr>
        <w:t xml:space="preserve"> </w:t>
      </w:r>
      <w:r w:rsidRPr="00CD332B">
        <w:rPr>
          <w:lang w:eastAsia="bg-BG"/>
        </w:rPr>
        <w:t>(микронуклеарен тест в костен мозък при мишки) не показват генотоксичен потенциал на амброксолов хидрохлорид.</w:t>
      </w:r>
    </w:p>
    <w:p w14:paraId="6BC254BE" w14:textId="77777777" w:rsidR="00CD332B" w:rsidRDefault="00CD332B" w:rsidP="00CD332B">
      <w:pPr>
        <w:rPr>
          <w:lang w:eastAsia="bg-BG"/>
        </w:rPr>
      </w:pPr>
    </w:p>
    <w:p w14:paraId="36732EC8" w14:textId="2DBDF73B" w:rsidR="00CD332B" w:rsidRPr="00CD332B" w:rsidRDefault="00CD332B" w:rsidP="00CD332B">
      <w:pPr>
        <w:rPr>
          <w:sz w:val="24"/>
          <w:szCs w:val="24"/>
          <w:lang w:eastAsia="bg-BG"/>
        </w:rPr>
      </w:pPr>
      <w:r w:rsidRPr="00CD332B">
        <w:rPr>
          <w:lang w:eastAsia="bg-BG"/>
        </w:rPr>
        <w:t>Амброксолов хидрохлорид не показва туморогенен потенциал при проучвания за карциногенност при мишки (50,</w:t>
      </w:r>
      <w:r w:rsidRPr="00CD332B">
        <w:rPr>
          <w:lang w:val="en-US"/>
        </w:rPr>
        <w:t xml:space="preserve"> </w:t>
      </w:r>
      <w:r w:rsidRPr="00CD332B">
        <w:rPr>
          <w:lang w:eastAsia="bg-BG"/>
        </w:rPr>
        <w:t xml:space="preserve">200 и 800 </w:t>
      </w:r>
      <w:r w:rsidRPr="00CD332B">
        <w:rPr>
          <w:lang w:val="en-US"/>
        </w:rPr>
        <w:t>mg/kg</w:t>
      </w:r>
      <w:r w:rsidRPr="00CD332B">
        <w:rPr>
          <w:lang w:eastAsia="bg-BG"/>
        </w:rPr>
        <w:t xml:space="preserve">/дневно) и плъхове (65,250 и 1000 </w:t>
      </w:r>
      <w:r w:rsidRPr="00CD332B">
        <w:rPr>
          <w:lang w:val="en-US"/>
        </w:rPr>
        <w:t>mg/kg</w:t>
      </w:r>
      <w:r w:rsidRPr="00CD332B">
        <w:rPr>
          <w:lang w:eastAsia="bg-BG"/>
        </w:rPr>
        <w:t>/дневно), когато са лекувани с диетична смес за 105 и 116 седмици, съответно.</w:t>
      </w:r>
    </w:p>
    <w:p w14:paraId="05ED2BED" w14:textId="77777777" w:rsidR="00CD332B" w:rsidRPr="00CD332B" w:rsidRDefault="00CD332B" w:rsidP="00CD332B">
      <w:pPr>
        <w:rPr>
          <w:lang w:val="en-US"/>
        </w:rPr>
      </w:pPr>
    </w:p>
    <w:p w14:paraId="357049A8" w14:textId="3BA3AE20" w:rsidR="00BB22B4" w:rsidRDefault="002C50EE" w:rsidP="00471F10">
      <w:pPr>
        <w:pStyle w:val="Heading1"/>
      </w:pPr>
      <w:r>
        <w:t>7. ПРИТЕЖАТЕЛ НА РАЗРЕШЕНИЕТО ЗА УПОТРЕБА</w:t>
      </w:r>
    </w:p>
    <w:p w14:paraId="115BCA02" w14:textId="0961740A" w:rsidR="00CD332B" w:rsidRDefault="00CD332B" w:rsidP="00CD332B"/>
    <w:p w14:paraId="2D69E77A" w14:textId="77777777" w:rsidR="00CD332B" w:rsidRPr="00CD332B" w:rsidRDefault="00CD332B" w:rsidP="00CD332B">
      <w:pPr>
        <w:rPr>
          <w:sz w:val="24"/>
          <w:szCs w:val="24"/>
          <w:lang w:val="en-US" w:eastAsia="bg-BG"/>
        </w:rPr>
      </w:pPr>
      <w:proofErr w:type="spellStart"/>
      <w:r w:rsidRPr="00CD332B">
        <w:rPr>
          <w:lang w:val="en-US"/>
        </w:rPr>
        <w:t>Opella</w:t>
      </w:r>
      <w:proofErr w:type="spellEnd"/>
      <w:r w:rsidRPr="00CD332B">
        <w:rPr>
          <w:lang w:val="en-US"/>
        </w:rPr>
        <w:t xml:space="preserve"> Healthcare France SAS,</w:t>
      </w:r>
    </w:p>
    <w:p w14:paraId="52E1F675" w14:textId="77777777" w:rsidR="00CD332B" w:rsidRPr="00CD332B" w:rsidRDefault="00CD332B" w:rsidP="00CD332B">
      <w:pPr>
        <w:rPr>
          <w:sz w:val="24"/>
          <w:szCs w:val="24"/>
          <w:lang w:val="en-US" w:eastAsia="bg-BG"/>
        </w:rPr>
      </w:pPr>
      <w:r w:rsidRPr="00CD332B">
        <w:rPr>
          <w:lang w:val="en-US"/>
        </w:rPr>
        <w:t xml:space="preserve">82 Avenue </w:t>
      </w:r>
      <w:proofErr w:type="spellStart"/>
      <w:r w:rsidRPr="00CD332B">
        <w:rPr>
          <w:lang w:val="en-US"/>
        </w:rPr>
        <w:t>Raspail</w:t>
      </w:r>
      <w:proofErr w:type="spellEnd"/>
      <w:r w:rsidRPr="00CD332B">
        <w:rPr>
          <w:lang w:val="en-US"/>
        </w:rPr>
        <w:t>,</w:t>
      </w:r>
    </w:p>
    <w:p w14:paraId="41B8B6C1" w14:textId="77777777" w:rsidR="00CD332B" w:rsidRPr="00CD332B" w:rsidRDefault="00CD332B" w:rsidP="00CD332B">
      <w:pPr>
        <w:rPr>
          <w:sz w:val="24"/>
          <w:szCs w:val="24"/>
          <w:lang w:val="en-US" w:eastAsia="bg-BG"/>
        </w:rPr>
      </w:pPr>
      <w:r w:rsidRPr="00CD332B">
        <w:rPr>
          <w:lang w:val="en-US"/>
        </w:rPr>
        <w:t>94250 Gentilly,</w:t>
      </w:r>
    </w:p>
    <w:p w14:paraId="7AAD57C8" w14:textId="0FEF0DE0" w:rsidR="00CD332B" w:rsidRPr="00CD332B" w:rsidRDefault="00CD332B" w:rsidP="00CD332B">
      <w:pPr>
        <w:rPr>
          <w:sz w:val="24"/>
          <w:szCs w:val="24"/>
          <w:lang w:val="en-US" w:eastAsia="bg-BG"/>
        </w:rPr>
      </w:pPr>
      <w:r w:rsidRPr="00CD332B">
        <w:rPr>
          <w:lang w:eastAsia="bg-BG"/>
        </w:rPr>
        <w:t>Франция</w:t>
      </w:r>
    </w:p>
    <w:p w14:paraId="0A53321D" w14:textId="74FBD4FB" w:rsidR="00EE6C97" w:rsidRDefault="00936AD0" w:rsidP="00A93499">
      <w:pPr>
        <w:pStyle w:val="Heading1"/>
      </w:pPr>
      <w:r>
        <w:t>8.</w:t>
      </w:r>
      <w:r w:rsidR="002C50EE">
        <w:t>НОМЕР НА РАЗРЕШЕНИЕТО ЗА УПОТРЕБА</w:t>
      </w:r>
    </w:p>
    <w:p w14:paraId="7C2688F5" w14:textId="78690B77" w:rsidR="00F62E44" w:rsidRDefault="00F62E44" w:rsidP="00F62E44"/>
    <w:p w14:paraId="70E9D87A" w14:textId="54329FBF" w:rsidR="00CD332B" w:rsidRPr="00CD332B" w:rsidRDefault="00CD332B" w:rsidP="00CD332B">
      <w:pPr>
        <w:rPr>
          <w:sz w:val="24"/>
          <w:szCs w:val="24"/>
          <w:lang w:eastAsia="bg-BG"/>
        </w:rPr>
      </w:pPr>
      <w:r w:rsidRPr="00CD332B">
        <w:rPr>
          <w:lang w:val="en-US"/>
        </w:rPr>
        <w:lastRenderedPageBreak/>
        <w:t xml:space="preserve">Per. </w:t>
      </w:r>
      <w:r w:rsidRPr="00CD332B">
        <w:rPr>
          <w:lang w:eastAsia="bg-BG"/>
        </w:rPr>
        <w:t>№20060026</w:t>
      </w:r>
    </w:p>
    <w:p w14:paraId="00481C21" w14:textId="0789B265" w:rsidR="00F62E44" w:rsidRDefault="002C50EE" w:rsidP="00387A66">
      <w:pPr>
        <w:pStyle w:val="Heading1"/>
      </w:pPr>
      <w:r>
        <w:t>9. ДАТА НА ПЪРВО РАЗРЕШАВАНЕ/ПОДНОВЯВАНЕ НА РАЗРЕШЕНИЕТО ЗА УПОТРЕБА</w:t>
      </w:r>
    </w:p>
    <w:p w14:paraId="488D8364" w14:textId="77F65DBB" w:rsidR="00CD332B" w:rsidRDefault="00CD332B" w:rsidP="00CD332B"/>
    <w:p w14:paraId="474998CC" w14:textId="77777777" w:rsidR="00CD332B" w:rsidRPr="00CD332B" w:rsidRDefault="00CD332B" w:rsidP="00CD332B">
      <w:pPr>
        <w:rPr>
          <w:sz w:val="24"/>
          <w:szCs w:val="24"/>
          <w:lang w:eastAsia="bg-BG"/>
        </w:rPr>
      </w:pPr>
      <w:r w:rsidRPr="00CD332B">
        <w:rPr>
          <w:lang w:eastAsia="bg-BG"/>
        </w:rPr>
        <w:t>Дата на първо разрешаване: 25 Януари 2006</w:t>
      </w:r>
    </w:p>
    <w:p w14:paraId="4176B6EF" w14:textId="49A44F41" w:rsidR="00CD332B" w:rsidRPr="00CD332B" w:rsidRDefault="00CD332B" w:rsidP="00CD332B">
      <w:pPr>
        <w:rPr>
          <w:sz w:val="24"/>
          <w:szCs w:val="24"/>
          <w:lang w:eastAsia="bg-BG"/>
        </w:rPr>
      </w:pPr>
      <w:r w:rsidRPr="00CD332B">
        <w:rPr>
          <w:lang w:eastAsia="bg-BG"/>
        </w:rPr>
        <w:t>Дата на последно подновяване: 5 Юли 2011</w:t>
      </w:r>
    </w:p>
    <w:p w14:paraId="43FB38A2" w14:textId="0C18A683" w:rsidR="007C605B" w:rsidRDefault="002C50EE" w:rsidP="005726E3">
      <w:pPr>
        <w:pStyle w:val="Heading1"/>
      </w:pPr>
      <w:r>
        <w:t>10. ДАТА НА АКТУАЛИЗИРАНЕ НА ТЕКСТА</w:t>
      </w:r>
      <w:bookmarkEnd w:id="0"/>
    </w:p>
    <w:p w14:paraId="472617BD" w14:textId="52466B21" w:rsidR="00BB22B4" w:rsidRPr="00BB22B4" w:rsidRDefault="00CD332B" w:rsidP="00CD332B">
      <w:r>
        <w:t>01.11.2021</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4"/>
  </w:num>
  <w:num w:numId="28" w16cid:durableId="1820733422">
    <w:abstractNumId w:val="6"/>
  </w:num>
  <w:num w:numId="29" w16cid:durableId="973678124">
    <w:abstractNumId w:val="23"/>
  </w:num>
  <w:num w:numId="30" w16cid:durableId="154884452">
    <w:abstractNumId w:val="38"/>
  </w:num>
  <w:num w:numId="31" w16cid:durableId="1053964910">
    <w:abstractNumId w:val="5"/>
  </w:num>
  <w:num w:numId="32" w16cid:durableId="2073575793">
    <w:abstractNumId w:val="36"/>
  </w:num>
  <w:num w:numId="33" w16cid:durableId="1566643170">
    <w:abstractNumId w:val="31"/>
  </w:num>
  <w:num w:numId="34" w16cid:durableId="2060787732">
    <w:abstractNumId w:val="35"/>
  </w:num>
  <w:num w:numId="35" w16cid:durableId="34161354">
    <w:abstractNumId w:val="7"/>
  </w:num>
  <w:num w:numId="36" w16cid:durableId="1976908676">
    <w:abstractNumId w:val="10"/>
  </w:num>
  <w:num w:numId="37" w16cid:durableId="758528303">
    <w:abstractNumId w:val="17"/>
  </w:num>
  <w:num w:numId="38" w16cid:durableId="178396561">
    <w:abstractNumId w:val="37"/>
  </w:num>
  <w:num w:numId="39" w16cid:durableId="934825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C2360"/>
    <w:rsid w:val="00BF2600"/>
    <w:rsid w:val="00C0049F"/>
    <w:rsid w:val="00C07B84"/>
    <w:rsid w:val="00C33464"/>
    <w:rsid w:val="00C40420"/>
    <w:rsid w:val="00C809A7"/>
    <w:rsid w:val="00C83063"/>
    <w:rsid w:val="00C87E90"/>
    <w:rsid w:val="00CA1B57"/>
    <w:rsid w:val="00CD332B"/>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2312</Words>
  <Characters>13184</Characters>
  <Application>Microsoft Office Word</Application>
  <DocSecurity>0</DocSecurity>
  <Lines>109</Lines>
  <Paragraphs>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2023-03-24T20:47:00Z</dcterms:created>
  <dcterms:modified xsi:type="dcterms:W3CDTF">2023-03-24T20:47:00Z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