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64105AC4" w:rsidR="009F77A4" w:rsidRDefault="00DD466D" w:rsidP="00387A66">
      <w:pPr>
        <w:pStyle w:val="Heading1"/>
      </w:pPr>
      <w:r>
        <w:t>1.ИМЕ НА ЛЕКАРСТВЕНИЯ ПРОДУКТ</w:t>
      </w:r>
    </w:p>
    <w:p w14:paraId="62770ACF" w14:textId="0BE69FD6" w:rsidR="005E4AE1" w:rsidRDefault="005E4AE1" w:rsidP="005E4AE1"/>
    <w:p w14:paraId="64E55994" w14:textId="77777777" w:rsidR="005E4AE1" w:rsidRDefault="005E4AE1" w:rsidP="005E4AE1">
      <w:pPr>
        <w:rPr>
          <w:lang w:eastAsia="bg-BG"/>
        </w:rPr>
      </w:pPr>
      <w:r w:rsidRPr="005E4AE1">
        <w:rPr>
          <w:lang w:eastAsia="bg-BG"/>
        </w:rPr>
        <w:t xml:space="preserve">МУКОСОЛВАН 30 </w:t>
      </w:r>
      <w:r w:rsidRPr="005E4AE1">
        <w:rPr>
          <w:lang w:val="en-US"/>
        </w:rPr>
        <w:t xml:space="preserve">mg </w:t>
      </w:r>
      <w:r w:rsidRPr="005E4AE1">
        <w:rPr>
          <w:lang w:eastAsia="bg-BG"/>
        </w:rPr>
        <w:t xml:space="preserve">таблетки </w:t>
      </w:r>
    </w:p>
    <w:p w14:paraId="26BF20DC" w14:textId="5EF12A01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val="en-US"/>
        </w:rPr>
        <w:t xml:space="preserve">MUCOSOLVAN </w:t>
      </w:r>
      <w:r w:rsidRPr="005E4AE1">
        <w:rPr>
          <w:lang w:eastAsia="bg-BG"/>
        </w:rPr>
        <w:t xml:space="preserve">30 </w:t>
      </w:r>
      <w:r w:rsidRPr="005E4AE1">
        <w:rPr>
          <w:lang w:val="en-US"/>
        </w:rPr>
        <w:t>mg tablets</w:t>
      </w:r>
    </w:p>
    <w:p w14:paraId="298E9927" w14:textId="77777777" w:rsidR="005E4AE1" w:rsidRPr="005E4AE1" w:rsidRDefault="005E4AE1" w:rsidP="005E4AE1"/>
    <w:p w14:paraId="0DF202EC" w14:textId="3463EB3B" w:rsidR="00F53FB7" w:rsidRDefault="00DD466D" w:rsidP="00A93499">
      <w:pPr>
        <w:pStyle w:val="Heading1"/>
      </w:pPr>
      <w:r>
        <w:t>2. КАЧЕСТВЕН И КОЛИЧЕСТВЕН СЪСТАВ</w:t>
      </w:r>
    </w:p>
    <w:p w14:paraId="78440CF9" w14:textId="65B2A4CA" w:rsidR="005E4AE1" w:rsidRDefault="005E4AE1" w:rsidP="005E4AE1"/>
    <w:p w14:paraId="77DB934A" w14:textId="0C23BC20" w:rsidR="005E4AE1" w:rsidRPr="005E4AE1" w:rsidRDefault="005E4AE1" w:rsidP="005E4AE1">
      <w:pPr>
        <w:rPr>
          <w:lang w:eastAsia="bg-BG"/>
        </w:rPr>
      </w:pPr>
      <w:r>
        <w:rPr>
          <w:lang w:val="en-US" w:eastAsia="bg-BG"/>
        </w:rPr>
        <w:t xml:space="preserve">1 </w:t>
      </w:r>
      <w:r w:rsidRPr="005E4AE1">
        <w:rPr>
          <w:lang w:eastAsia="bg-BG"/>
        </w:rPr>
        <w:t xml:space="preserve">таблетка съдържа 30 </w:t>
      </w:r>
      <w:r w:rsidRPr="005E4AE1">
        <w:rPr>
          <w:lang w:val="en-US"/>
        </w:rPr>
        <w:t xml:space="preserve">mg </w:t>
      </w:r>
      <w:r w:rsidRPr="005E4AE1">
        <w:rPr>
          <w:lang w:eastAsia="bg-BG"/>
        </w:rPr>
        <w:t xml:space="preserve">амброксолов хидрохлорид </w:t>
      </w:r>
      <w:r w:rsidRPr="005E4AE1">
        <w:rPr>
          <w:i/>
          <w:iCs/>
          <w:lang w:val="en-US"/>
        </w:rPr>
        <w:t>(</w:t>
      </w:r>
      <w:proofErr w:type="spellStart"/>
      <w:r w:rsidRPr="005E4AE1">
        <w:rPr>
          <w:i/>
          <w:iCs/>
          <w:lang w:val="en-US"/>
        </w:rPr>
        <w:t>ambroxol</w:t>
      </w:r>
      <w:proofErr w:type="spellEnd"/>
      <w:r w:rsidRPr="005E4AE1">
        <w:rPr>
          <w:i/>
          <w:iCs/>
          <w:lang w:val="en-US"/>
        </w:rPr>
        <w:t xml:space="preserve"> hydrochloride).</w:t>
      </w:r>
    </w:p>
    <w:p w14:paraId="1168CECC" w14:textId="3DAE6D4D" w:rsidR="005E4AE1" w:rsidRPr="005E4AE1" w:rsidRDefault="005E4AE1" w:rsidP="005E4AE1">
      <w:r w:rsidRPr="005E4AE1">
        <w:rPr>
          <w:lang w:eastAsia="bg-BG"/>
        </w:rPr>
        <w:t xml:space="preserve">Помощни вещества с известно действие: 1 таблетка съдържа 171 </w:t>
      </w:r>
      <w:r w:rsidRPr="005E4AE1">
        <w:rPr>
          <w:lang w:val="en-US"/>
        </w:rPr>
        <w:t xml:space="preserve">mg </w:t>
      </w:r>
      <w:r w:rsidRPr="005E4AE1">
        <w:rPr>
          <w:lang w:eastAsia="bg-BG"/>
        </w:rPr>
        <w:t>лактоза.</w:t>
      </w:r>
    </w:p>
    <w:p w14:paraId="4CABB9ED" w14:textId="36E48276" w:rsidR="00F53FB7" w:rsidRDefault="00DD466D" w:rsidP="00A93499">
      <w:pPr>
        <w:pStyle w:val="Heading1"/>
      </w:pPr>
      <w:r>
        <w:t>3. ЛЕКАРСТВЕНА ФОРМА</w:t>
      </w:r>
    </w:p>
    <w:p w14:paraId="776DC04E" w14:textId="48776F90" w:rsidR="005E4AE1" w:rsidRDefault="005E4AE1" w:rsidP="005E4AE1"/>
    <w:p w14:paraId="6D327214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Таблетки.</w:t>
      </w:r>
    </w:p>
    <w:p w14:paraId="28FFD1A3" w14:textId="202B82B3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Кръгли, бели таблетки, гладки от двете страни, със скосени ръбове. От едната страна има делителна черга и са гравирани със “67С” под и над чергата.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35BDE48C" w:rsidR="009F77A4" w:rsidRDefault="002C50EE" w:rsidP="00387A66">
      <w:pPr>
        <w:pStyle w:val="Heading2"/>
      </w:pPr>
      <w:r>
        <w:t>4.1. Терапевтични показания</w:t>
      </w:r>
    </w:p>
    <w:p w14:paraId="50F5A94C" w14:textId="7B6CABA9" w:rsidR="005E4AE1" w:rsidRDefault="005E4AE1" w:rsidP="005E4AE1"/>
    <w:p w14:paraId="1302778C" w14:textId="09FA3357" w:rsidR="005E4AE1" w:rsidRDefault="005E4AE1" w:rsidP="005E4AE1">
      <w:pPr>
        <w:rPr>
          <w:lang w:eastAsia="bg-BG"/>
        </w:rPr>
      </w:pPr>
      <w:r w:rsidRPr="005E4AE1">
        <w:rPr>
          <w:lang w:eastAsia="bg-BG"/>
        </w:rPr>
        <w:t>Секретолитична терапия при остри и хронични бронхо-пулмонални заболявания, свързани с абнормална мукусна секреция и нарушен мукусен транспорт.</w:t>
      </w:r>
    </w:p>
    <w:p w14:paraId="5E903D56" w14:textId="77777777" w:rsidR="005E4AE1" w:rsidRPr="005E4AE1" w:rsidRDefault="005E4AE1" w:rsidP="005E4AE1">
      <w:pPr>
        <w:rPr>
          <w:sz w:val="24"/>
          <w:szCs w:val="24"/>
          <w:lang w:eastAsia="bg-BG"/>
        </w:rPr>
      </w:pPr>
    </w:p>
    <w:p w14:paraId="31744E5A" w14:textId="324DE64D" w:rsidR="009F77A4" w:rsidRDefault="002C50EE" w:rsidP="00387A66">
      <w:pPr>
        <w:pStyle w:val="Heading2"/>
      </w:pPr>
      <w:r>
        <w:t>4.2. Дозировка и начин на приложение</w:t>
      </w:r>
    </w:p>
    <w:p w14:paraId="7188F747" w14:textId="2E8360CC" w:rsidR="005E4AE1" w:rsidRDefault="005E4AE1" w:rsidP="005E4AE1"/>
    <w:p w14:paraId="1AEE8A69" w14:textId="77777777" w:rsidR="005E4AE1" w:rsidRPr="005E4AE1" w:rsidRDefault="005E4AE1" w:rsidP="005E4AE1">
      <w:pPr>
        <w:pStyle w:val="Heading3"/>
        <w:rPr>
          <w:rFonts w:eastAsia="Times New Roman"/>
          <w:lang w:eastAsia="bg-BG"/>
        </w:rPr>
      </w:pPr>
      <w:r w:rsidRPr="005E4AE1">
        <w:rPr>
          <w:rFonts w:eastAsia="Times New Roman"/>
          <w:lang w:eastAsia="bg-BG"/>
        </w:rPr>
        <w:t>Дозировка</w:t>
      </w:r>
    </w:p>
    <w:p w14:paraId="4C40AD1E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Възрастни и деца над 12 години: 1 таблетка 3 пъти дневно.</w:t>
      </w:r>
    </w:p>
    <w:p w14:paraId="683E42F8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Терапевтичният ефект може да бъде засилен при приемане на 2 таблетки 2 пъти дневно.</w:t>
      </w:r>
    </w:p>
    <w:p w14:paraId="546A6D34" w14:textId="77777777" w:rsidR="005E4AE1" w:rsidRDefault="005E4AE1" w:rsidP="005E4AE1">
      <w:pPr>
        <w:rPr>
          <w:lang w:eastAsia="bg-BG"/>
        </w:rPr>
      </w:pPr>
    </w:p>
    <w:p w14:paraId="379C1396" w14:textId="69C8B8E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Тази дозировка е подходяща за лечение на остри заболявания на респираторния тракт и за начална терапия на хронични състояния до 14 дни.</w:t>
      </w:r>
    </w:p>
    <w:p w14:paraId="3AABBEEF" w14:textId="77777777" w:rsidR="005E4AE1" w:rsidRDefault="005E4AE1" w:rsidP="005E4AE1">
      <w:pPr>
        <w:rPr>
          <w:lang w:eastAsia="bg-BG"/>
        </w:rPr>
      </w:pPr>
    </w:p>
    <w:p w14:paraId="79A8461E" w14:textId="25D01469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В случай на остро респираторно заболяване, трябва да се потърси лекарска помощ, ако симптомите не се подобрят след 4-5 дни или се влошат в процеса на лечение.</w:t>
      </w:r>
    </w:p>
    <w:p w14:paraId="096FEC7C" w14:textId="77777777" w:rsidR="005E4AE1" w:rsidRDefault="005E4AE1" w:rsidP="005E4AE1">
      <w:pPr>
        <w:rPr>
          <w:lang w:eastAsia="bg-BG"/>
        </w:rPr>
      </w:pPr>
    </w:p>
    <w:p w14:paraId="4796EAED" w14:textId="51A3869C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Начин на приложение</w:t>
      </w:r>
    </w:p>
    <w:p w14:paraId="03BF7405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Таблетките трябва да се приемат с течност.</w:t>
      </w:r>
    </w:p>
    <w:p w14:paraId="4A08E0C3" w14:textId="77777777" w:rsidR="005E4AE1" w:rsidRDefault="005E4AE1" w:rsidP="005E4AE1">
      <w:pPr>
        <w:rPr>
          <w:lang w:eastAsia="bg-BG"/>
        </w:rPr>
      </w:pPr>
    </w:p>
    <w:p w14:paraId="09008451" w14:textId="79F4E982" w:rsidR="005E4AE1" w:rsidRDefault="005E4AE1" w:rsidP="005E4AE1">
      <w:pPr>
        <w:rPr>
          <w:lang w:eastAsia="bg-BG"/>
        </w:rPr>
      </w:pPr>
      <w:r w:rsidRPr="005E4AE1">
        <w:rPr>
          <w:lang w:eastAsia="bg-BG"/>
        </w:rPr>
        <w:t>МУКОСОЛВАН може да се приема по време на хранене или без храна.</w:t>
      </w:r>
    </w:p>
    <w:p w14:paraId="43AF2320" w14:textId="77777777" w:rsidR="005E4AE1" w:rsidRPr="005E4AE1" w:rsidRDefault="005E4AE1" w:rsidP="005E4AE1"/>
    <w:p w14:paraId="5D9E65DA" w14:textId="5798DEB3" w:rsidR="009F77A4" w:rsidRDefault="002C50EE" w:rsidP="00387A66">
      <w:pPr>
        <w:pStyle w:val="Heading2"/>
      </w:pPr>
      <w:r>
        <w:lastRenderedPageBreak/>
        <w:t>4.3. Противопоказания</w:t>
      </w:r>
    </w:p>
    <w:p w14:paraId="1EA44CCD" w14:textId="20230ACC" w:rsidR="005E4AE1" w:rsidRDefault="005E4AE1" w:rsidP="005E4AE1"/>
    <w:p w14:paraId="7B620208" w14:textId="6D96140D" w:rsidR="005E4AE1" w:rsidRDefault="005E4AE1" w:rsidP="005E4AE1">
      <w:r>
        <w:t>МУКОСОЛВАН не трябва да се прилага при пациенти с известна свръхчувствителност към амброксолов хидрохлорид или към някое от помощните вещества, изброените в точка 6.1</w:t>
      </w:r>
    </w:p>
    <w:p w14:paraId="318C2924" w14:textId="455569BB" w:rsidR="005E4AE1" w:rsidRDefault="005E4AE1" w:rsidP="005E4AE1"/>
    <w:p w14:paraId="61DF46C5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В случай на редки вродени заболявания, които могат да доведат до несъвместимост с някои от помощните вещества (вижте т. 4.4 Специални предупреждения и предпазни мерки за употреба), употребата на лекарствения продукт е противопоказана.</w:t>
      </w:r>
    </w:p>
    <w:p w14:paraId="2D718D2A" w14:textId="77777777" w:rsidR="005E4AE1" w:rsidRPr="005E4AE1" w:rsidRDefault="005E4AE1" w:rsidP="005E4AE1"/>
    <w:p w14:paraId="1C27CE53" w14:textId="463DD2AD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4CC802E6" w14:textId="66A8B5D4" w:rsidR="005E4AE1" w:rsidRDefault="005E4AE1" w:rsidP="005E4AE1"/>
    <w:p w14:paraId="28E305A3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 xml:space="preserve">Има съобщения за тежки кожни реакции като еритема мултиформе, синдром на </w:t>
      </w:r>
      <w:r w:rsidRPr="005E4AE1">
        <w:rPr>
          <w:lang w:val="en-US"/>
        </w:rPr>
        <w:t xml:space="preserve">Stevens-Johnson (SJS) </w:t>
      </w:r>
      <w:r w:rsidRPr="005E4AE1">
        <w:rPr>
          <w:lang w:eastAsia="bg-BG"/>
        </w:rPr>
        <w:t xml:space="preserve">и токсична епидермална некролиза </w:t>
      </w:r>
      <w:r w:rsidRPr="005E4AE1">
        <w:rPr>
          <w:lang w:val="en-US"/>
        </w:rPr>
        <w:t xml:space="preserve">(TEN) </w:t>
      </w:r>
      <w:r w:rsidRPr="005E4AE1">
        <w:rPr>
          <w:lang w:eastAsia="bg-BG"/>
        </w:rPr>
        <w:t xml:space="preserve">и остра генерализирана екзантематозна пустулоза </w:t>
      </w:r>
      <w:r w:rsidRPr="005E4AE1">
        <w:rPr>
          <w:lang w:val="en-US"/>
        </w:rPr>
        <w:t xml:space="preserve">(AGEP), </w:t>
      </w:r>
      <w:r w:rsidRPr="005E4AE1">
        <w:rPr>
          <w:lang w:eastAsia="bg-BG"/>
        </w:rPr>
        <w:t xml:space="preserve">свързани с приложението на муколитици като амброксолов хидрохлорид. Най-често те могат да бъдат обяснени с тежестта на основното заболяване на пациента и/или съпътстващо лечение. В допълнение, по време на ранната фаза на синдрома на </w:t>
      </w:r>
      <w:r w:rsidRPr="005E4AE1">
        <w:rPr>
          <w:lang w:val="en-US"/>
        </w:rPr>
        <w:t xml:space="preserve">Stevens-Johnson </w:t>
      </w:r>
      <w:r w:rsidRPr="005E4AE1">
        <w:rPr>
          <w:lang w:eastAsia="bg-BG"/>
        </w:rPr>
        <w:t xml:space="preserve">или </w:t>
      </w:r>
      <w:r w:rsidRPr="005E4AE1">
        <w:rPr>
          <w:lang w:val="en-US"/>
        </w:rPr>
        <w:t xml:space="preserve">TEN </w:t>
      </w:r>
      <w:r w:rsidRPr="005E4AE1">
        <w:rPr>
          <w:lang w:eastAsia="bg-BG"/>
        </w:rPr>
        <w:t>пациентът първо може да развие неспецифични грипоподобни продромални симптоми като напр. треска, болки в тялото, ринит, кашлица и възпалено гърло. Поради тези неспецифични грипоподобни продромални оплаквания е възможно да се започне симптоматично лечение с лекарства за кашлица и настинка.</w:t>
      </w:r>
    </w:p>
    <w:p w14:paraId="285C0C38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Следователно, ако се появят нови кожни или лигавични лезии, трябва незабавно да се потърси медицинска помощ и лечението с амброксол хидрохлорид трябва да се преустанови като предпазна мярка.</w:t>
      </w:r>
    </w:p>
    <w:p w14:paraId="16A493F3" w14:textId="77777777" w:rsidR="005E4AE1" w:rsidRDefault="005E4AE1" w:rsidP="005E4AE1">
      <w:pPr>
        <w:rPr>
          <w:lang w:eastAsia="bg-BG"/>
        </w:rPr>
      </w:pPr>
    </w:p>
    <w:p w14:paraId="6E4D7730" w14:textId="3839A610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При наличие на нарушена бъбречна фукция или тежко чернодробно заболяване МУКОСОЛВАН може да се използва само след консултация с лекар. Както при всяко медикаментозно лечение с метаболизъм в черния дроб и последващо елиминиране чрез бъбреците, в случай на тежка бъбречна недостатъчност може да се очаква натрупване на амброксолови метаболити в черния дроб.</w:t>
      </w:r>
    </w:p>
    <w:p w14:paraId="3B4FCED0" w14:textId="77777777" w:rsidR="005E4AE1" w:rsidRDefault="005E4AE1" w:rsidP="005E4AE1">
      <w:pPr>
        <w:rPr>
          <w:lang w:eastAsia="bg-BG"/>
        </w:rPr>
      </w:pPr>
    </w:p>
    <w:p w14:paraId="2CE26B25" w14:textId="42CC867A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 xml:space="preserve">Една таблетка съдържа 171 </w:t>
      </w:r>
      <w:r w:rsidRPr="005E4AE1">
        <w:rPr>
          <w:lang w:val="en-US"/>
        </w:rPr>
        <w:t xml:space="preserve">mg </w:t>
      </w:r>
      <w:r w:rsidRPr="005E4AE1">
        <w:rPr>
          <w:lang w:eastAsia="bg-BG"/>
        </w:rPr>
        <w:t xml:space="preserve">лактоза, което отговаря на 684 </w:t>
      </w:r>
      <w:r w:rsidRPr="005E4AE1">
        <w:rPr>
          <w:lang w:val="en-US"/>
        </w:rPr>
        <w:t xml:space="preserve">mg </w:t>
      </w:r>
      <w:r w:rsidRPr="005E4AE1">
        <w:rPr>
          <w:lang w:eastAsia="bg-BG"/>
        </w:rPr>
        <w:t xml:space="preserve">лактоза в максималната препоръчвана дневна доза (120 </w:t>
      </w:r>
      <w:r w:rsidRPr="005E4AE1">
        <w:rPr>
          <w:lang w:val="en-US"/>
        </w:rPr>
        <w:t xml:space="preserve">mg). </w:t>
      </w:r>
      <w:r w:rsidRPr="005E4AE1">
        <w:rPr>
          <w:lang w:eastAsia="bg-BG"/>
        </w:rPr>
        <w:t xml:space="preserve">Пациентите с вродено състояние на непоносимост към галактоза, </w:t>
      </w:r>
      <w:r w:rsidRPr="005E4AE1">
        <w:rPr>
          <w:lang w:val="en-US"/>
        </w:rPr>
        <w:t xml:space="preserve">Lapp </w:t>
      </w:r>
      <w:r w:rsidRPr="005E4AE1">
        <w:rPr>
          <w:lang w:eastAsia="bg-BG"/>
        </w:rPr>
        <w:t>лактазна недостатъчност или глюкозен/галактозен синдром на малабсорбция не трябва да приемат това лекарство.</w:t>
      </w:r>
    </w:p>
    <w:p w14:paraId="73EF7B2D" w14:textId="77777777" w:rsidR="005E4AE1" w:rsidRPr="005E4AE1" w:rsidRDefault="005E4AE1" w:rsidP="005E4AE1"/>
    <w:p w14:paraId="1DA47448" w14:textId="368BB0F2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80FFD6C" w14:textId="0879D2FB" w:rsidR="005E4AE1" w:rsidRDefault="005E4AE1" w:rsidP="005E4AE1"/>
    <w:p w14:paraId="6EFF3CD1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Не се препоръчва употребата на амброксолов хидрохлорид с лекарствени продукти, потискащи кашлицата.</w:t>
      </w:r>
    </w:p>
    <w:p w14:paraId="449FAA3F" w14:textId="0534D18F" w:rsidR="005E4AE1" w:rsidRDefault="005E4AE1" w:rsidP="005E4AE1">
      <w:pPr>
        <w:rPr>
          <w:lang w:eastAsia="bg-BG"/>
        </w:rPr>
      </w:pPr>
      <w:r w:rsidRPr="005E4AE1">
        <w:rPr>
          <w:lang w:eastAsia="bg-BG"/>
        </w:rPr>
        <w:t>Не са докладвани клинично значими нежелани взаимодействия с други лекарствени продукти.</w:t>
      </w:r>
    </w:p>
    <w:p w14:paraId="56580DD3" w14:textId="77777777" w:rsidR="005E4AE1" w:rsidRPr="005E4AE1" w:rsidRDefault="005E4AE1" w:rsidP="005E4AE1"/>
    <w:p w14:paraId="48846BBA" w14:textId="40CAFC7C" w:rsidR="009F77A4" w:rsidRDefault="002C50EE" w:rsidP="00387A66">
      <w:pPr>
        <w:pStyle w:val="Heading2"/>
      </w:pPr>
      <w:r>
        <w:lastRenderedPageBreak/>
        <w:t>4.6. Фертилитет, бременност и кърмене</w:t>
      </w:r>
    </w:p>
    <w:p w14:paraId="46450394" w14:textId="60A71922" w:rsidR="005E4AE1" w:rsidRDefault="005E4AE1" w:rsidP="005E4AE1"/>
    <w:p w14:paraId="5953ECBF" w14:textId="77777777" w:rsidR="005E4AE1" w:rsidRPr="005E4AE1" w:rsidRDefault="005E4AE1" w:rsidP="005E4AE1">
      <w:pPr>
        <w:pStyle w:val="Heading3"/>
        <w:rPr>
          <w:rFonts w:eastAsia="Times New Roman"/>
          <w:i/>
          <w:iCs/>
          <w:sz w:val="28"/>
          <w:szCs w:val="28"/>
          <w:lang w:eastAsia="bg-BG"/>
        </w:rPr>
      </w:pPr>
      <w:r w:rsidRPr="005E4AE1">
        <w:rPr>
          <w:rFonts w:eastAsia="Times New Roman"/>
          <w:i/>
          <w:iCs/>
          <w:lang w:eastAsia="bg-BG"/>
        </w:rPr>
        <w:t>Бременност</w:t>
      </w:r>
    </w:p>
    <w:p w14:paraId="03AE48A3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Амброксолов хидрохлорид преминава през плацентарната бариера. Предклиничните проучвания не показват директни или индиректни увреждащи ефекти по отношение на бремеността, ембрионалното/ феталното развитие, раждането и постнаталното развитие.</w:t>
      </w:r>
    </w:p>
    <w:p w14:paraId="7B7A1BC3" w14:textId="77777777" w:rsidR="005E4AE1" w:rsidRP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25423F" w14:textId="0BBA0C64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Продължителни клинични наблюдения при приложение на продукта по време на бременност след 28-та гестационна седмица, не показват заболеваемост.</w:t>
      </w:r>
    </w:p>
    <w:p w14:paraId="406B4B18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Независимо от това, трябва да бъдат спазвани обичайните предпазни мерки по отношение на употребата на лекарствени продукти по време на бременност.</w:t>
      </w:r>
    </w:p>
    <w:p w14:paraId="6F2CBA3F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Употребата на МУКОСОЛВАН, особено през първите три месеца от бременността, не се препоръчва.</w:t>
      </w:r>
    </w:p>
    <w:p w14:paraId="78A70266" w14:textId="77777777" w:rsidR="005E4AE1" w:rsidRP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1F1FD9F" w14:textId="1687F3F7" w:rsidR="005E4AE1" w:rsidRPr="005E4AE1" w:rsidRDefault="005E4AE1" w:rsidP="005E4AE1">
      <w:pPr>
        <w:pStyle w:val="Heading3"/>
        <w:rPr>
          <w:rFonts w:eastAsia="Times New Roman"/>
          <w:i/>
          <w:iCs/>
          <w:sz w:val="28"/>
          <w:szCs w:val="28"/>
          <w:lang w:eastAsia="bg-BG"/>
        </w:rPr>
      </w:pPr>
      <w:r w:rsidRPr="005E4AE1">
        <w:rPr>
          <w:rFonts w:eastAsia="Times New Roman"/>
          <w:i/>
          <w:iCs/>
          <w:lang w:eastAsia="bg-BG"/>
        </w:rPr>
        <w:t>Кърмене</w:t>
      </w:r>
    </w:p>
    <w:p w14:paraId="057C1B6D" w14:textId="1A58E352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val="en-US" w:eastAsia="bg-BG"/>
        </w:rPr>
      </w:pPr>
      <w:r w:rsidRPr="005E4AE1">
        <w:rPr>
          <w:rFonts w:eastAsia="Times New Roman" w:cs="Arial"/>
          <w:color w:val="000000"/>
          <w:lang w:eastAsia="bg-BG"/>
        </w:rPr>
        <w:t>Проучвания при животни показват, че амброксолов хидрохлорид преминава в майчиното мляко</w:t>
      </w:r>
      <w:r>
        <w:rPr>
          <w:rFonts w:eastAsia="Times New Roman" w:cs="Arial"/>
          <w:color w:val="000000"/>
          <w:lang w:val="en-US" w:eastAsia="bg-BG"/>
        </w:rPr>
        <w:t>.</w:t>
      </w:r>
      <w:r>
        <w:rPr>
          <w:rFonts w:eastAsia="Times New Roman" w:cs="Arial"/>
          <w:sz w:val="28"/>
          <w:szCs w:val="28"/>
          <w:lang w:val="en-US" w:eastAsia="bg-BG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Въпреки, че не се очакват неблагоприятни ефекти върху детето, употребата на МУКОСОЛВАН не</w:t>
      </w:r>
      <w:r>
        <w:rPr>
          <w:rFonts w:eastAsia="Times New Roman" w:cs="Arial"/>
          <w:sz w:val="28"/>
          <w:szCs w:val="28"/>
          <w:lang w:val="en-US" w:eastAsia="bg-BG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се препоръчва при кърмещи жени.</w:t>
      </w:r>
    </w:p>
    <w:p w14:paraId="2C916F84" w14:textId="626FE5BB" w:rsidR="005E4AE1" w:rsidRPr="005E4AE1" w:rsidRDefault="005E4AE1" w:rsidP="005E4AE1">
      <w:pPr>
        <w:rPr>
          <w:rFonts w:eastAsia="Times New Roman" w:cs="Arial"/>
          <w:color w:val="000000"/>
          <w:lang w:eastAsia="bg-BG"/>
        </w:rPr>
      </w:pPr>
    </w:p>
    <w:p w14:paraId="3BE37983" w14:textId="77777777" w:rsidR="005E4AE1" w:rsidRPr="005E4AE1" w:rsidRDefault="005E4AE1" w:rsidP="005E4AE1">
      <w:pPr>
        <w:pStyle w:val="Heading3"/>
        <w:rPr>
          <w:rFonts w:eastAsia="Times New Roman"/>
          <w:i/>
          <w:iCs/>
          <w:sz w:val="28"/>
          <w:szCs w:val="28"/>
          <w:lang w:eastAsia="bg-BG"/>
        </w:rPr>
      </w:pPr>
      <w:r w:rsidRPr="005E4AE1">
        <w:rPr>
          <w:rFonts w:eastAsia="Times New Roman"/>
          <w:i/>
          <w:iCs/>
          <w:lang w:eastAsia="bg-BG"/>
        </w:rPr>
        <w:t>Фертилшпет</w:t>
      </w:r>
    </w:p>
    <w:p w14:paraId="20B9645E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Не са налични клинични данни за фертилитета при употребата на амброксол.</w:t>
      </w:r>
    </w:p>
    <w:p w14:paraId="79CD1B69" w14:textId="5CB3E5DA" w:rsidR="005E4AE1" w:rsidRPr="005E4AE1" w:rsidRDefault="005E4AE1" w:rsidP="005E4AE1">
      <w:pPr>
        <w:rPr>
          <w:rFonts w:eastAsia="Times New Roman" w:cs="Arial"/>
          <w:color w:val="000000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Предклиничните проучвания не показват директни или индиректни увреждащи ефекти по отношение на фертилитета.</w:t>
      </w:r>
    </w:p>
    <w:p w14:paraId="7C85B103" w14:textId="77777777" w:rsidR="005E4AE1" w:rsidRPr="005E4AE1" w:rsidRDefault="005E4AE1" w:rsidP="005E4AE1"/>
    <w:p w14:paraId="321AAB00" w14:textId="5F158D24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58D47B70" w14:textId="6A905DF6" w:rsidR="005E4AE1" w:rsidRDefault="005E4AE1" w:rsidP="005E4AE1"/>
    <w:p w14:paraId="71594FAD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Няма доказателство от постмаркетинговите данни относно ефект върху способността за шофиране и работа с машини.</w:t>
      </w:r>
    </w:p>
    <w:p w14:paraId="3F71A43F" w14:textId="726F867A" w:rsidR="005E4AE1" w:rsidRDefault="005E4AE1" w:rsidP="005E4AE1">
      <w:pPr>
        <w:rPr>
          <w:lang w:eastAsia="bg-BG"/>
        </w:rPr>
      </w:pPr>
      <w:r w:rsidRPr="005E4AE1">
        <w:rPr>
          <w:lang w:eastAsia="bg-BG"/>
        </w:rPr>
        <w:t>Не са провеждани проучвания за ефектите върху способността за шофиране и работа с машини.</w:t>
      </w:r>
    </w:p>
    <w:p w14:paraId="5B3FB8A8" w14:textId="77777777" w:rsidR="005E4AE1" w:rsidRPr="005E4AE1" w:rsidRDefault="005E4AE1" w:rsidP="005E4AE1"/>
    <w:p w14:paraId="136C86B8" w14:textId="369BF8B9" w:rsidR="009F77A4" w:rsidRDefault="002C50EE" w:rsidP="00387A66">
      <w:pPr>
        <w:pStyle w:val="Heading2"/>
      </w:pPr>
      <w:r>
        <w:t>4.8. Нежелани лекарствени реакции</w:t>
      </w:r>
    </w:p>
    <w:p w14:paraId="18A19612" w14:textId="0A06E13F" w:rsidR="005E4AE1" w:rsidRDefault="005E4AE1" w:rsidP="005E4AE1"/>
    <w:p w14:paraId="52EF83C4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Честота на нежеланите реакции според конвенцията на </w:t>
      </w:r>
      <w:r w:rsidRPr="005E4AE1">
        <w:rPr>
          <w:rFonts w:eastAsia="Times New Roman" w:cs="Arial"/>
          <w:color w:val="000000"/>
          <w:lang w:val="en-US"/>
        </w:rPr>
        <w:t>MedDRA</w:t>
      </w:r>
    </w:p>
    <w:p w14:paraId="499ED8CF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Много чести ≥1/10;</w:t>
      </w:r>
    </w:p>
    <w:p w14:paraId="6DF05889" w14:textId="094ABB54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Чести</w:t>
      </w:r>
      <w:r w:rsidRPr="005E4AE1">
        <w:rPr>
          <w:rFonts w:eastAsia="Times New Roman" w:cs="Arial"/>
          <w:color w:val="000000"/>
          <w:lang w:val="en-US" w:eastAsia="bg-BG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≥1/100; &lt; 1/10;</w:t>
      </w:r>
    </w:p>
    <w:p w14:paraId="388169B8" w14:textId="4A48156C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Нечести</w:t>
      </w:r>
      <w:r w:rsidRPr="005E4AE1">
        <w:rPr>
          <w:rFonts w:eastAsia="Times New Roman" w:cs="Arial"/>
          <w:color w:val="000000"/>
          <w:lang w:val="en-US" w:eastAsia="bg-BG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≥1/1 000, &lt; 1/100;</w:t>
      </w:r>
    </w:p>
    <w:p w14:paraId="57C18BB0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Редки</w:t>
      </w:r>
      <w:r w:rsidRPr="005E4AE1">
        <w:rPr>
          <w:rFonts w:eastAsia="Times New Roman" w:cs="Arial"/>
          <w:color w:val="000000"/>
          <w:lang w:eastAsia="bg-BG"/>
        </w:rPr>
        <w:tab/>
        <w:t>≥1/10 000, &lt;1/1</w:t>
      </w:r>
      <w:r w:rsidRPr="005E4AE1">
        <w:rPr>
          <w:rFonts w:eastAsia="Times New Roman" w:cs="Arial"/>
          <w:color w:val="000000"/>
          <w:lang w:eastAsia="bg-BG"/>
        </w:rPr>
        <w:tab/>
        <w:t>000;</w:t>
      </w:r>
    </w:p>
    <w:p w14:paraId="3718C298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Много редки &lt; 1/10 000;</w:t>
      </w:r>
    </w:p>
    <w:p w14:paraId="4BEE0B06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С неизвестна честота не могат да бъдат оценени според наличните данни</w:t>
      </w:r>
    </w:p>
    <w:p w14:paraId="33473F2D" w14:textId="77777777" w:rsidR="005E4AE1" w:rsidRP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629BBCD" w14:textId="13014881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имунната система:</w:t>
      </w:r>
    </w:p>
    <w:p w14:paraId="0A165A0E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С неизвестна честота: анафилактични реакции, анафилактичен шок реакции на свръхчувствителност.</w:t>
      </w:r>
    </w:p>
    <w:p w14:paraId="35C8A289" w14:textId="77777777" w:rsidR="005E4AE1" w:rsidRP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6896F81" w14:textId="4F4F71AC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u w:val="single"/>
          <w:lang w:eastAsia="bg-BG"/>
        </w:rPr>
        <w:t>Гастро-интестинални нарушения:</w:t>
      </w:r>
    </w:p>
    <w:p w14:paraId="318765FB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Нарушения на нервната система</w:t>
      </w:r>
    </w:p>
    <w:p w14:paraId="326017EA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Чести:</w:t>
      </w:r>
      <w:r w:rsidRPr="005E4AE1">
        <w:rPr>
          <w:rFonts w:eastAsia="Times New Roman" w:cs="Arial"/>
          <w:color w:val="000000"/>
          <w:lang w:eastAsia="bg-BG"/>
        </w:rPr>
        <w:tab/>
        <w:t>дисгеузия</w:t>
      </w:r>
    </w:p>
    <w:p w14:paraId="70FE9F4F" w14:textId="77777777" w:rsidR="005E4AE1" w:rsidRP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B823BA8" w14:textId="1D982636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Респираторни, гръдни и медиастинални нарушения</w:t>
      </w:r>
    </w:p>
    <w:p w14:paraId="3E377918" w14:textId="767DCDB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Чести:</w:t>
      </w:r>
      <w:r w:rsidRPr="005E4AE1">
        <w:rPr>
          <w:rFonts w:eastAsia="Times New Roman" w:cs="Arial"/>
          <w:color w:val="000000"/>
          <w:lang w:val="en-US" w:eastAsia="bg-BG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фарингеална хипоестезия.</w:t>
      </w:r>
    </w:p>
    <w:p w14:paraId="284FEF32" w14:textId="77777777" w:rsidR="005E4AE1" w:rsidRP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12D581F" w14:textId="0EFD591A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Гастро-интестинални нарушения</w:t>
      </w:r>
    </w:p>
    <w:p w14:paraId="739A8542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Чести:</w:t>
      </w:r>
      <w:r w:rsidRPr="005E4AE1">
        <w:rPr>
          <w:rFonts w:eastAsia="Times New Roman" w:cs="Arial"/>
          <w:color w:val="000000"/>
          <w:lang w:eastAsia="bg-BG"/>
        </w:rPr>
        <w:tab/>
        <w:t>гадене, орална хипоестезия;</w:t>
      </w:r>
    </w:p>
    <w:p w14:paraId="09F739AE" w14:textId="1A7959E0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Нечести:</w:t>
      </w:r>
      <w:r w:rsidRPr="005E4AE1">
        <w:rPr>
          <w:rFonts w:eastAsia="Times New Roman" w:cs="Arial"/>
          <w:color w:val="000000"/>
          <w:lang w:val="en-US" w:eastAsia="bg-BG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диария, повръщане, диспепсия, сухота в устата, коремна болка;</w:t>
      </w:r>
    </w:p>
    <w:p w14:paraId="6C6C6FB2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Редки:</w:t>
      </w:r>
      <w:r w:rsidRPr="005E4AE1">
        <w:rPr>
          <w:rFonts w:eastAsia="Times New Roman" w:cs="Arial"/>
          <w:color w:val="000000"/>
          <w:lang w:eastAsia="bg-BG"/>
        </w:rPr>
        <w:tab/>
        <w:t>сухота в гърлото</w:t>
      </w:r>
    </w:p>
    <w:p w14:paraId="20AC59CA" w14:textId="77777777" w:rsidR="005E4AE1" w:rsidRP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05F54E" w14:textId="6D102D72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Нарушения на кожата и подкожните тъкани</w:t>
      </w:r>
    </w:p>
    <w:p w14:paraId="5AA06BB4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Редки:</w:t>
      </w:r>
      <w:r w:rsidRPr="005E4AE1">
        <w:rPr>
          <w:rFonts w:eastAsia="Times New Roman" w:cs="Arial"/>
          <w:color w:val="000000"/>
          <w:lang w:eastAsia="bg-BG"/>
        </w:rPr>
        <w:tab/>
        <w:t>обрив, уртикария</w:t>
      </w:r>
    </w:p>
    <w:p w14:paraId="5750C556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С неизвестна честота: ангиоедем, сърбеж</w:t>
      </w:r>
    </w:p>
    <w:p w14:paraId="20E7BF2C" w14:textId="77777777" w:rsidR="005E4AE1" w:rsidRP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AF5220" w14:textId="3C799F79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Съобщаване на подозирани нежелани реакции</w:t>
      </w:r>
    </w:p>
    <w:p w14:paraId="70EE8651" w14:textId="49387306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лекарствата,ул. „Дамян Груев” № 8,1303 София, Тел.: +359 2 8903417,уебсайт: </w:t>
      </w:r>
      <w:r w:rsidRPr="005E4AE1">
        <w:rPr>
          <w:rFonts w:eastAsia="Times New Roman" w:cs="Arial"/>
          <w:color w:val="000000"/>
          <w:u w:val="single"/>
          <w:lang w:val="en-US"/>
        </w:rPr>
        <w:fldChar w:fldCharType="begin"/>
      </w:r>
      <w:r w:rsidRPr="005E4AE1">
        <w:rPr>
          <w:rFonts w:eastAsia="Times New Roman" w:cs="Arial"/>
          <w:color w:val="000000"/>
          <w:u w:val="single"/>
          <w:lang w:val="en-US"/>
        </w:rPr>
        <w:instrText xml:space="preserve"> HYPERLINK "http://</w:instrText>
      </w:r>
      <w:r w:rsidRPr="005E4AE1">
        <w:rPr>
          <w:rFonts w:eastAsia="Times New Roman" w:cs="Arial"/>
          <w:color w:val="000000"/>
          <w:u w:val="single"/>
          <w:lang w:val="en-US"/>
        </w:rPr>
        <w:instrText>www.bda.b</w:instrText>
      </w:r>
      <w:r w:rsidRPr="005E4AE1">
        <w:rPr>
          <w:rFonts w:eastAsia="Times New Roman" w:cs="Arial"/>
          <w:color w:val="000000"/>
          <w:u w:val="single"/>
          <w:lang w:val="en-US"/>
        </w:rPr>
        <w:instrText xml:space="preserve">g" </w:instrText>
      </w:r>
      <w:r w:rsidRPr="005E4AE1">
        <w:rPr>
          <w:rFonts w:eastAsia="Times New Roman" w:cs="Arial"/>
          <w:color w:val="000000"/>
          <w:u w:val="single"/>
          <w:lang w:val="en-US"/>
        </w:rPr>
        <w:fldChar w:fldCharType="separate"/>
      </w:r>
      <w:r w:rsidRPr="005E4AE1">
        <w:rPr>
          <w:rStyle w:val="Hyperlink"/>
          <w:rFonts w:eastAsia="Times New Roman" w:cs="Arial"/>
          <w:lang w:val="en-US"/>
        </w:rPr>
        <w:t>www.bda.b</w:t>
      </w:r>
      <w:r w:rsidRPr="005E4AE1">
        <w:rPr>
          <w:rStyle w:val="Hyperlink"/>
          <w:rFonts w:eastAsia="Times New Roman" w:cs="Arial"/>
          <w:lang w:val="en-US"/>
        </w:rPr>
        <w:t>g</w:t>
      </w:r>
      <w:r w:rsidRPr="005E4AE1">
        <w:rPr>
          <w:rFonts w:eastAsia="Times New Roman" w:cs="Arial"/>
          <w:color w:val="000000"/>
          <w:u w:val="single"/>
          <w:lang w:val="en-US"/>
        </w:rPr>
        <w:fldChar w:fldCharType="end"/>
      </w:r>
    </w:p>
    <w:p w14:paraId="44FBE3E9" w14:textId="77777777" w:rsidR="005E4AE1" w:rsidRPr="005E4AE1" w:rsidRDefault="005E4AE1" w:rsidP="005E4AE1"/>
    <w:p w14:paraId="378A0F20" w14:textId="13414FEB" w:rsidR="001D095A" w:rsidRDefault="002C50EE" w:rsidP="00340E8D">
      <w:pPr>
        <w:pStyle w:val="Heading2"/>
      </w:pPr>
      <w:r>
        <w:t>4.9. Предозиране</w:t>
      </w:r>
    </w:p>
    <w:p w14:paraId="4BA3A63D" w14:textId="602D5105" w:rsidR="005E4AE1" w:rsidRDefault="005E4AE1" w:rsidP="005E4AE1"/>
    <w:p w14:paraId="30CFD50B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До сега не са съобщавани специфични симптоми на предозиране при хора. Наблюдаваните симптоми при съобщения за случайно предозиране или неправилна употреба, съответства на познатите нежелани реакции при употребата на МУКОСОЛВАН в препоръчителните дози като</w:t>
      </w:r>
    </w:p>
    <w:p w14:paraId="458A0502" w14:textId="302CD1C7" w:rsidR="005E4AE1" w:rsidRPr="005E4AE1" w:rsidRDefault="005E4AE1" w:rsidP="005E4AE1">
      <w:r w:rsidRPr="005E4AE1">
        <w:rPr>
          <w:lang w:eastAsia="bg-BG"/>
        </w:rPr>
        <w:t>може да е необходимо симптоматично лечение.</w:t>
      </w:r>
    </w:p>
    <w:p w14:paraId="136843E7" w14:textId="2201A0CA" w:rsidR="005E4AE1" w:rsidRPr="005E4AE1" w:rsidRDefault="002C50EE" w:rsidP="005E4AE1">
      <w:pPr>
        <w:pStyle w:val="Heading1"/>
      </w:pPr>
      <w:r>
        <w:t>5. ФАРМАКОЛОГИЧНИ СВОЙСТВА</w:t>
      </w:r>
    </w:p>
    <w:p w14:paraId="7F6CC5E1" w14:textId="3382397E" w:rsidR="00F62E44" w:rsidRDefault="002C50EE" w:rsidP="00387A66">
      <w:pPr>
        <w:pStyle w:val="Heading2"/>
      </w:pPr>
      <w:r>
        <w:t>5.1. Фармакодинамични свойства</w:t>
      </w:r>
    </w:p>
    <w:p w14:paraId="25E45946" w14:textId="4441A0FE" w:rsidR="005E4AE1" w:rsidRDefault="005E4AE1" w:rsidP="005E4AE1"/>
    <w:p w14:paraId="4F3CB539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Фармакотерапевтична група: Муколитици, АТС код: </w:t>
      </w:r>
      <w:r w:rsidRPr="005E4AE1">
        <w:rPr>
          <w:rFonts w:eastAsia="Times New Roman" w:cs="Arial"/>
          <w:color w:val="000000"/>
          <w:lang w:val="en-US"/>
        </w:rPr>
        <w:t>R05CB06</w:t>
      </w:r>
    </w:p>
    <w:p w14:paraId="37EABC5A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7013C9F" w14:textId="23420C9E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357F95B3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Впредклинични проучвания амброксолов хидрохлорид предизвиква увеличаване на секрецията на жлезите на респираторния тракт. Подобрява продукцията на белодробен сърфактант и се стимулира цилиарната активност. В резултат на това се увеличава мукусния поток и транспорт (мукоцилиарен клирънс).</w:t>
      </w:r>
    </w:p>
    <w:p w14:paraId="51C75383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9ECA1E" w14:textId="43488FF4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Локалният анестетичен ефект на амброксолов хидрохлорид е наблюдаван върху модел на заешко око, което може да се обясни със свойството на амброксолов хидрохлорид да блокира натриевите канали. Показано е </w:t>
      </w:r>
      <w:r w:rsidRPr="005E4AE1">
        <w:rPr>
          <w:rFonts w:eastAsia="Times New Roman" w:cs="Arial"/>
          <w:i/>
          <w:iCs/>
          <w:color w:val="000000"/>
          <w:lang w:val="en-US"/>
        </w:rPr>
        <w:t>in vitro,</w:t>
      </w:r>
      <w:r w:rsidRPr="005E4AE1">
        <w:rPr>
          <w:rFonts w:eastAsia="Times New Roman" w:cs="Arial"/>
          <w:color w:val="000000"/>
          <w:lang w:val="en-US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че амброксолов хидрохлорид блокира клонирани неврални натриеви канали, като свързването е обратимо и зависи от концентрацията.</w:t>
      </w:r>
    </w:p>
    <w:p w14:paraId="1690BDFE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BCD5CA" w14:textId="66DBBA8E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Амброксол хидрохлорид проявява противовъзпалителен ефект.</w:t>
      </w:r>
    </w:p>
    <w:p w14:paraId="1E04390B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6267A5" w14:textId="49D57C09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lastRenderedPageBreak/>
        <w:t xml:space="preserve">Установено е </w:t>
      </w:r>
      <w:r w:rsidRPr="005E4AE1">
        <w:rPr>
          <w:rFonts w:eastAsia="Times New Roman" w:cs="Arial"/>
          <w:i/>
          <w:iCs/>
          <w:color w:val="000000"/>
          <w:lang w:val="en-US"/>
        </w:rPr>
        <w:t>in vitro,</w:t>
      </w:r>
      <w:r w:rsidRPr="005E4AE1">
        <w:rPr>
          <w:rFonts w:eastAsia="Times New Roman" w:cs="Arial"/>
          <w:color w:val="000000"/>
          <w:lang w:val="en-US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че приложението на амброксолов хидрохлорид води до значително редуциране не само на освобождаването на цитокини от кръвта, но и на мононуклеарни и полиморфонуклеарни клетки в тъканите.</w:t>
      </w:r>
    </w:p>
    <w:p w14:paraId="475E44B7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2F06CC" w14:textId="230D1152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Подобряването на мукоцилиарния клирънс е доказано в клинични и фармакологични проучвания. Засилването на секрецията на бронхиална течност и на мукоцилиарния клирънс улесняват експекторацията и изкашлянето.</w:t>
      </w:r>
    </w:p>
    <w:p w14:paraId="4FCBF3AB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24A27D" w14:textId="067EF6BA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При пациенти с ХОББ, дългосрочното лечение (6 месеца) с МУКОСОЛВАН (МУКОСОЛВАН МАКС 75 </w:t>
      </w:r>
      <w:r w:rsidRPr="005E4AE1">
        <w:rPr>
          <w:rFonts w:eastAsia="Times New Roman" w:cs="Arial"/>
          <w:color w:val="000000"/>
          <w:lang w:val="en-US"/>
        </w:rPr>
        <w:t xml:space="preserve">mg </w:t>
      </w:r>
      <w:r w:rsidRPr="005E4AE1">
        <w:rPr>
          <w:rFonts w:eastAsia="Times New Roman" w:cs="Arial"/>
          <w:color w:val="000000"/>
          <w:lang w:eastAsia="bg-BG"/>
        </w:rPr>
        <w:t xml:space="preserve">капсула с удължено освобождаване) е довело до значително намаляване на екзацербациите, което се доказва след 2 месеца лечение. Лекуваните с МУКОСОЛВАН пациенти са боледували значително по-малък брой дни, както и по-малък брой дни са били необходими за антибиотично лечение. Лечението с МУКОСОЛВАН 75 </w:t>
      </w:r>
      <w:r w:rsidRPr="005E4AE1">
        <w:rPr>
          <w:rFonts w:eastAsia="Times New Roman" w:cs="Arial"/>
          <w:color w:val="000000"/>
          <w:lang w:val="en-US"/>
        </w:rPr>
        <w:t xml:space="preserve">mg </w:t>
      </w:r>
      <w:r w:rsidRPr="005E4AE1">
        <w:rPr>
          <w:rFonts w:eastAsia="Times New Roman" w:cs="Arial"/>
          <w:color w:val="000000"/>
          <w:lang w:eastAsia="bg-BG"/>
        </w:rPr>
        <w:t>капсули с удължено освобождаване, също така е довело до статистически значимо подобрение на симптомите (затруднено изхранване, кашлица, задух, аускултаторни находки), в сравнение с плацебо.</w:t>
      </w:r>
    </w:p>
    <w:p w14:paraId="357F2578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7A8235" w14:textId="5E4FC681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Клинични проучвания при пациенти с възпалено гърло показват значително намаляване на болката и зачервяването на гърлото.</w:t>
      </w:r>
    </w:p>
    <w:p w14:paraId="034D5F6A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E1FB33" w14:textId="69CD47EE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Тези фармакологични свойства са в съответствие с допълнителните наблюдения в клинични проучвания за изследване на ефикасност на лечение с амброксолов хидрохлорид на симптоми в горните отдели на респираторния тракт, което е довело до рязко намаляване на болката и свързания с нея дискомфорт в областта ухо - нос - трахея чрез инхалация.</w:t>
      </w:r>
    </w:p>
    <w:p w14:paraId="49A997D3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6ECC76" w14:textId="4A5212D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След прием на амброксолов хидрохлорид, се повишава концентрацията на някои антибиотици (амоксицилин, цефуроксим, еритромицин) в бронхо-пулмоналния секрет и слюнката.</w:t>
      </w:r>
    </w:p>
    <w:p w14:paraId="4A016031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A6AB4D" w14:textId="0A3262B5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Противовирусни свойства на амброксолов хидрохлорид в </w:t>
      </w:r>
      <w:r w:rsidRPr="005E4AE1">
        <w:rPr>
          <w:rFonts w:eastAsia="Times New Roman" w:cs="Arial"/>
          <w:i/>
          <w:iCs/>
          <w:color w:val="000000"/>
          <w:lang w:val="en-US"/>
        </w:rPr>
        <w:t>in vitro</w:t>
      </w:r>
      <w:r w:rsidRPr="005E4AE1">
        <w:rPr>
          <w:rFonts w:eastAsia="Times New Roman" w:cs="Arial"/>
          <w:color w:val="000000"/>
          <w:lang w:val="en-US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проучвания и в животински модели.</w:t>
      </w:r>
    </w:p>
    <w:p w14:paraId="04067A0D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В </w:t>
      </w:r>
      <w:r w:rsidRPr="005E4AE1">
        <w:rPr>
          <w:rFonts w:eastAsia="Times New Roman" w:cs="Arial"/>
          <w:i/>
          <w:iCs/>
          <w:color w:val="000000"/>
          <w:lang w:val="en-US"/>
        </w:rPr>
        <w:t>in vitro</w:t>
      </w:r>
      <w:r w:rsidRPr="005E4AE1">
        <w:rPr>
          <w:rFonts w:eastAsia="Times New Roman" w:cs="Arial"/>
          <w:color w:val="000000"/>
          <w:lang w:val="en-US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 xml:space="preserve">проучвания с човешки трахеални епителни клетки е наблюдавано понижаение на репликацията на риновирус </w:t>
      </w:r>
      <w:r w:rsidRPr="005E4AE1">
        <w:rPr>
          <w:rFonts w:eastAsia="Times New Roman" w:cs="Arial"/>
          <w:color w:val="000000"/>
          <w:lang w:val="en-US"/>
        </w:rPr>
        <w:t>(RV14)</w:t>
      </w:r>
      <w:r w:rsidRPr="005E4AE1">
        <w:rPr>
          <w:rFonts w:eastAsia="Times New Roman" w:cs="Arial"/>
          <w:color w:val="000000"/>
          <w:lang w:eastAsia="bg-BG"/>
        </w:rPr>
        <w:t>. Наблюдавано е понижение на репликацията на Influenza</w:t>
      </w:r>
      <w:r w:rsidRPr="005E4AE1">
        <w:rPr>
          <w:rFonts w:eastAsia="Times New Roman" w:cs="Arial"/>
          <w:color w:val="000000"/>
          <w:lang w:val="en-US"/>
        </w:rPr>
        <w:t xml:space="preserve"> A</w:t>
      </w:r>
      <w:r w:rsidRPr="005E4AE1">
        <w:rPr>
          <w:rFonts w:eastAsia="Times New Roman" w:cs="Arial"/>
          <w:color w:val="000000"/>
          <w:lang w:eastAsia="bg-BG"/>
        </w:rPr>
        <w:t xml:space="preserve"> вирус върху модел на дихателни пътища от мишки.</w:t>
      </w:r>
    </w:p>
    <w:p w14:paraId="24CA0834" w14:textId="77777777" w:rsidR="005E4AE1" w:rsidRPr="005E4AE1" w:rsidRDefault="005E4AE1" w:rsidP="005E4AE1"/>
    <w:p w14:paraId="544FFDAF" w14:textId="31D4189C" w:rsidR="00F62E44" w:rsidRDefault="002C50EE" w:rsidP="00387A66">
      <w:pPr>
        <w:pStyle w:val="Heading2"/>
      </w:pPr>
      <w:r>
        <w:t>5.2. Фармакокинетични свойства</w:t>
      </w:r>
    </w:p>
    <w:p w14:paraId="30C0E639" w14:textId="734CF278" w:rsidR="005E4AE1" w:rsidRDefault="005E4AE1" w:rsidP="005E4AE1"/>
    <w:p w14:paraId="77BF2CD2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Абсорбция</w:t>
      </w:r>
    </w:p>
    <w:p w14:paraId="7C276D4B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Абсорбцията на лекарствени форми за перорално приложение с незабавно освобождаване) е бърза и почти пълна, при линейна зависимост от дозата, когато продуктът е приложен в терапевтични дози.</w:t>
      </w:r>
    </w:p>
    <w:p w14:paraId="6FB512C4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98E3F0" w14:textId="58312068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Максималните плазмени нива се достигат от 1 до 2.5 часа след орално приложение на лекарствени форми незабавно освобождаване и средно след 6,5 часа за формите с удължено освобождаване. Установено е, че абсолютната бионаличност след прием на таблетка от 30 </w:t>
      </w:r>
      <w:r w:rsidRPr="005E4AE1">
        <w:rPr>
          <w:rFonts w:eastAsia="Times New Roman" w:cs="Arial"/>
          <w:color w:val="000000"/>
          <w:lang w:val="en-US"/>
        </w:rPr>
        <w:t xml:space="preserve">mg </w:t>
      </w:r>
      <w:r w:rsidRPr="005E4AE1">
        <w:rPr>
          <w:rFonts w:eastAsia="Times New Roman" w:cs="Arial"/>
          <w:color w:val="000000"/>
          <w:lang w:eastAsia="bg-BG"/>
        </w:rPr>
        <w:t xml:space="preserve">е 79%. Капсулите с удължено освобождаване показват относителна бионаличност от 95 % (дозо-нормализирана) в сравнение с дневна доза от 60 </w:t>
      </w:r>
      <w:r w:rsidRPr="005E4AE1">
        <w:rPr>
          <w:rFonts w:eastAsia="Times New Roman" w:cs="Arial"/>
          <w:color w:val="000000"/>
          <w:lang w:val="en-US"/>
        </w:rPr>
        <w:t xml:space="preserve">mg </w:t>
      </w:r>
      <w:r w:rsidRPr="005E4AE1">
        <w:rPr>
          <w:rFonts w:eastAsia="Times New Roman" w:cs="Arial"/>
          <w:color w:val="000000"/>
          <w:lang w:eastAsia="bg-BG"/>
        </w:rPr>
        <w:t xml:space="preserve">(30 </w:t>
      </w:r>
      <w:r w:rsidRPr="005E4AE1">
        <w:rPr>
          <w:rFonts w:eastAsia="Times New Roman" w:cs="Arial"/>
          <w:color w:val="000000"/>
          <w:lang w:val="en-US"/>
        </w:rPr>
        <w:t xml:space="preserve">mg </w:t>
      </w:r>
      <w:r w:rsidRPr="005E4AE1">
        <w:rPr>
          <w:rFonts w:eastAsia="Times New Roman" w:cs="Arial"/>
          <w:color w:val="000000"/>
          <w:lang w:eastAsia="bg-BG"/>
        </w:rPr>
        <w:t>два пъти дневно) под формата на таблетки с незабавно освобождаване.</w:t>
      </w:r>
    </w:p>
    <w:p w14:paraId="11B49320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6D343E" w14:textId="109DD301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lastRenderedPageBreak/>
        <w:t>Не е установено, че храната влияе на бионаличностга на амброксол хидрохлорид при перорално приложение.</w:t>
      </w:r>
    </w:p>
    <w:p w14:paraId="6E325E00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7A285C" w14:textId="577CEA38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Измерването на плазменото ниво след многократно перорално приложение не дава никакви индикации за натрупване при терапевтична дозировка.</w:t>
      </w:r>
    </w:p>
    <w:p w14:paraId="34354543" w14:textId="77777777" w:rsid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6B1262" w14:textId="1D4D294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Разпределение</w:t>
      </w:r>
    </w:p>
    <w:p w14:paraId="56AD25F2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Разпределението на амброксолов хидрохлорид от кръвта към тъканите е бързо и ясно изразено, като най-висока концентрация на активното вещество е установена в белите дробове при интравенозно приложение. Обемът на разпределение след перорален прием е приблизително 552 </w:t>
      </w:r>
      <w:r w:rsidRPr="005E4AE1">
        <w:rPr>
          <w:rFonts w:eastAsia="Times New Roman" w:cs="Arial"/>
          <w:color w:val="000000"/>
          <w:lang w:val="en-US"/>
        </w:rPr>
        <w:t>L.</w:t>
      </w:r>
    </w:p>
    <w:p w14:paraId="4B95A7EE" w14:textId="66F1E95A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Установено е, че в терапевтични граници свързването на протеините в плазмата е около 90 %.</w:t>
      </w:r>
    </w:p>
    <w:p w14:paraId="229C72EE" w14:textId="77777777" w:rsid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582855" w14:textId="7AAEE53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Биотрансформация и елиминиране</w:t>
      </w:r>
    </w:p>
    <w:p w14:paraId="1C101AAD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Около 30 % от приложената перорална доза се елиминира чрез метаболизъм при първо преминаване.</w:t>
      </w:r>
    </w:p>
    <w:p w14:paraId="30DC1180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Амброксолов хидрохлорид се метаболизира главно в черния дроб чрез глюкурониране и разцепване до дибромантранилова киселина (приблизително 10% от дозата) с изключение на някои второстепенни метаболити.</w:t>
      </w:r>
    </w:p>
    <w:p w14:paraId="05982D40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Проучвания на чернодробните микрозоми при човека показват, че </w:t>
      </w:r>
      <w:r w:rsidRPr="005E4AE1">
        <w:rPr>
          <w:rFonts w:eastAsia="Times New Roman" w:cs="Arial"/>
          <w:color w:val="000000"/>
          <w:lang w:val="en-US"/>
        </w:rPr>
        <w:t xml:space="preserve">CYP3A4 </w:t>
      </w:r>
      <w:r w:rsidRPr="005E4AE1">
        <w:rPr>
          <w:rFonts w:eastAsia="Times New Roman" w:cs="Arial"/>
          <w:color w:val="000000"/>
          <w:lang w:eastAsia="bg-BG"/>
        </w:rPr>
        <w:t>е преобладаващата изоформа, отговорна за метаболизма на амброксолов хидрохлорид до дибромантранилова киселина.</w:t>
      </w:r>
    </w:p>
    <w:p w14:paraId="06DD5DBA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0CAA3F" w14:textId="2503338D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В рамките на 3 дни от пероралния прием, приблизително 6 % от дозата остава в свободна форма, докато 26 % от нея. е открита в урината в конюгирана форма. Крайният полуживот на елиминиране на амброксолов хидрохлорид е приблизително 10 часа. Тоталният клирънс е от порядъка на 660 </w:t>
      </w:r>
      <w:r w:rsidRPr="005E4AE1">
        <w:rPr>
          <w:rFonts w:eastAsia="Times New Roman" w:cs="Arial"/>
          <w:color w:val="000000"/>
          <w:lang w:val="en-US"/>
        </w:rPr>
        <w:t xml:space="preserve">ml/min, </w:t>
      </w:r>
      <w:r w:rsidRPr="005E4AE1">
        <w:rPr>
          <w:rFonts w:eastAsia="Times New Roman" w:cs="Arial"/>
          <w:color w:val="000000"/>
          <w:lang w:eastAsia="bg-BG"/>
        </w:rPr>
        <w:t>с отчитане на бъбречен клирънс при перорално приложение приблизително 8% от тоталния клирънс. Изчислено е, че приблизителото количество, екскретирано чрез урината след 5 дни, представлява около 83% от общата доза (установено посредством радиоактивно белязване).</w:t>
      </w:r>
    </w:p>
    <w:p w14:paraId="314EDE77" w14:textId="77777777" w:rsid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EBFCFE" w14:textId="75615034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eastAsia="bg-BG"/>
        </w:rPr>
        <w:t>Фармакокинетика при специални групи от пациенти</w:t>
      </w:r>
    </w:p>
    <w:p w14:paraId="02556868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Чернодробно увреждане</w:t>
      </w:r>
    </w:p>
    <w:p w14:paraId="2192FFE0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При пациенти с нарушена функция на черния дроб елиминирането на амброксолов хидрохлорид е намалено, което води до приблизително 1,3 до 2 пъти по-високи плазмени нива. Поради широката терапевтична граница на амброксолов хидрохлорид не се налага промяна на дозата.</w:t>
      </w:r>
    </w:p>
    <w:p w14:paraId="15C7E7CD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6F00A8" w14:textId="39B95392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Възраст/Пол</w:t>
      </w:r>
    </w:p>
    <w:p w14:paraId="0078F411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Възрастта и пола не оказват влияние върху фармакокинетиката на амброксолов хидрохлорид в клинично значима степен, поради което не се налага промяна на дозата.</w:t>
      </w:r>
    </w:p>
    <w:p w14:paraId="7521B0E5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37EB25" w14:textId="31145C32" w:rsidR="005E4AE1" w:rsidRPr="005E4AE1" w:rsidRDefault="005E4AE1" w:rsidP="005E4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Установено е, че храната не влияе върху бионаличностга на амброксолов</w:t>
      </w:r>
      <w:r w:rsidRPr="005E4AE1">
        <w:rPr>
          <w:rFonts w:eastAsia="Times New Roman" w:cs="Arial"/>
          <w:color w:val="000000"/>
          <w:lang w:val="en-US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хидрохлорид</w:t>
      </w:r>
    </w:p>
    <w:p w14:paraId="69FED6A9" w14:textId="77777777" w:rsidR="005E4AE1" w:rsidRPr="005E4AE1" w:rsidRDefault="005E4AE1" w:rsidP="005E4AE1"/>
    <w:p w14:paraId="6925FEB0" w14:textId="288C2D04" w:rsidR="00F62E44" w:rsidRDefault="002C50EE" w:rsidP="00387A66">
      <w:pPr>
        <w:pStyle w:val="Heading2"/>
      </w:pPr>
      <w:r>
        <w:t>5.3. Предклинични данни за безопасност</w:t>
      </w:r>
    </w:p>
    <w:p w14:paraId="24A7B49E" w14:textId="50C8D3C9" w:rsidR="005E4AE1" w:rsidRDefault="005E4AE1" w:rsidP="005E4AE1"/>
    <w:p w14:paraId="75ED9A5E" w14:textId="77777777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>Амброксолов хидрохлорид има много нисък индекс на остра токсичност.</w:t>
      </w:r>
    </w:p>
    <w:p w14:paraId="1A2AF83D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4800EF" w14:textId="0CA7BDD9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lastRenderedPageBreak/>
        <w:t xml:space="preserve">В проучвания на хронична токсичност при перорални дози от 150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 (мишки, 4 седмици), 50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 (плъхове, 52 и 78 седмици), 40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 (зайци, 26 седмици) и 10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 (кучета, 52 седмици), са определени съответно нивата при които не се наблюдават нежелани лекарствени реакции </w:t>
      </w:r>
      <w:r w:rsidRPr="005E4AE1">
        <w:rPr>
          <w:rFonts w:eastAsia="Times New Roman" w:cs="Arial"/>
          <w:color w:val="000000"/>
          <w:lang w:val="en-US"/>
        </w:rPr>
        <w:t xml:space="preserve">(NOAEL). </w:t>
      </w:r>
      <w:r w:rsidRPr="005E4AE1">
        <w:rPr>
          <w:rFonts w:eastAsia="Times New Roman" w:cs="Arial"/>
          <w:color w:val="000000"/>
          <w:lang w:eastAsia="bg-BG"/>
        </w:rPr>
        <w:t>Не е открит специален таргетен орган по отношение на токсичността.</w:t>
      </w:r>
    </w:p>
    <w:p w14:paraId="7EF25971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58A32B" w14:textId="7D81FDCB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Четири седмично проучване на токсичността на амброксолов хидрохлорид, при интравенозно прилагане при плъхове (4,16 и 64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 )и при кучета ( 45,90 и 120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>/дневно (инфузии З</w:t>
      </w:r>
      <w:r w:rsidRPr="005E4AE1">
        <w:rPr>
          <w:rFonts w:eastAsia="Times New Roman" w:cs="Arial"/>
          <w:color w:val="000000"/>
          <w:lang w:val="en-US"/>
        </w:rPr>
        <w:t>h</w:t>
      </w:r>
      <w:r w:rsidRPr="005E4AE1">
        <w:rPr>
          <w:rFonts w:eastAsia="Times New Roman" w:cs="Arial"/>
          <w:color w:val="000000"/>
          <w:lang w:eastAsia="bg-BG"/>
        </w:rPr>
        <w:t>/дневно)) не показва наличието на тежка локална и системна токсичност, включително и на хистопатология. Всички нежелани лекарствени реакции са обратими.</w:t>
      </w:r>
    </w:p>
    <w:p w14:paraId="63A1580D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789A5D" w14:textId="325E3844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Амброксолов хидрохлорид не показва ембриотоксичен и тератогенен ефект при изследване на перорални дози до 3000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 при плъхове и до 200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 при зайци. Фертилитета на мъжки и женски плъхове не е повлиян при дози до 500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/дневно. Нивото, при което не се наблюдават нежелани лекарствени реакции </w:t>
      </w:r>
      <w:r w:rsidRPr="005E4AE1">
        <w:rPr>
          <w:rFonts w:eastAsia="Times New Roman" w:cs="Arial"/>
          <w:color w:val="000000"/>
          <w:lang w:val="en-US"/>
        </w:rPr>
        <w:t xml:space="preserve">(NOAEL) </w:t>
      </w:r>
      <w:r w:rsidRPr="005E4AE1">
        <w:rPr>
          <w:rFonts w:eastAsia="Times New Roman" w:cs="Arial"/>
          <w:color w:val="000000"/>
          <w:lang w:eastAsia="bg-BG"/>
        </w:rPr>
        <w:t xml:space="preserve">по време на пери- и постнаталното развитие е 50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/дневно. Средната доза от 500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>/дневно амброксолов хидрохлорид е леко токсична за майките и поколението - наблюдавано е забавено развитие на телесното тегло и намален размер на потомството.</w:t>
      </w:r>
    </w:p>
    <w:p w14:paraId="237EA252" w14:textId="77777777" w:rsidR="005E4AE1" w:rsidRDefault="005E4AE1" w:rsidP="005E4AE1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04C6B14A" w14:textId="3FBBD246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i/>
          <w:iCs/>
          <w:color w:val="000000"/>
          <w:lang w:val="en-US"/>
        </w:rPr>
        <w:t>In vitro</w:t>
      </w:r>
      <w:r w:rsidRPr="005E4AE1">
        <w:rPr>
          <w:rFonts w:eastAsia="Times New Roman" w:cs="Arial"/>
          <w:color w:val="000000"/>
          <w:lang w:val="en-US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 xml:space="preserve">поучванията за генотоксичност (тест на Амес и тест за хромозомна аберация в човешки лимфоцити) и </w:t>
      </w:r>
      <w:r w:rsidRPr="005E4AE1">
        <w:rPr>
          <w:rFonts w:eastAsia="Times New Roman" w:cs="Arial"/>
          <w:i/>
          <w:iCs/>
          <w:color w:val="000000"/>
          <w:lang w:val="en-US"/>
        </w:rPr>
        <w:t>in vivo</w:t>
      </w:r>
      <w:r w:rsidRPr="005E4AE1">
        <w:rPr>
          <w:rFonts w:eastAsia="Times New Roman" w:cs="Arial"/>
          <w:color w:val="000000"/>
          <w:lang w:val="en-US"/>
        </w:rPr>
        <w:t xml:space="preserve"> </w:t>
      </w:r>
      <w:r w:rsidRPr="005E4AE1">
        <w:rPr>
          <w:rFonts w:eastAsia="Times New Roman" w:cs="Arial"/>
          <w:color w:val="000000"/>
          <w:lang w:eastAsia="bg-BG"/>
        </w:rPr>
        <w:t>(микронуклеарен тест в костен мозък при мишки) не показват генотоксичен потенциал на амброксолов хидрохлорид</w:t>
      </w:r>
    </w:p>
    <w:p w14:paraId="64A5E784" w14:textId="77777777" w:rsidR="005E4AE1" w:rsidRDefault="005E4AE1" w:rsidP="005E4A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8C0CA5" w14:textId="4C25E3ED" w:rsidR="005E4AE1" w:rsidRPr="005E4AE1" w:rsidRDefault="005E4AE1" w:rsidP="005E4AE1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5E4AE1">
        <w:rPr>
          <w:rFonts w:eastAsia="Times New Roman" w:cs="Arial"/>
          <w:color w:val="000000"/>
          <w:lang w:eastAsia="bg-BG"/>
        </w:rPr>
        <w:t xml:space="preserve">Амброксолов хидрохлорид не показва туморогенен потенциал при проучвания за карциногенност при мишки (50,200 и 800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 xml:space="preserve">/дневно) и плъхове (65,250 и 1000 </w:t>
      </w:r>
      <w:r w:rsidRPr="005E4AE1">
        <w:rPr>
          <w:rFonts w:eastAsia="Times New Roman" w:cs="Arial"/>
          <w:color w:val="000000"/>
          <w:lang w:val="en-US"/>
        </w:rPr>
        <w:t>mg/kg</w:t>
      </w:r>
      <w:r w:rsidRPr="005E4AE1">
        <w:rPr>
          <w:rFonts w:eastAsia="Times New Roman" w:cs="Arial"/>
          <w:color w:val="000000"/>
          <w:lang w:eastAsia="bg-BG"/>
        </w:rPr>
        <w:t>/дневно), когато са лекувани с диетична смес за 105 и 116 седмици, съответно.</w:t>
      </w:r>
    </w:p>
    <w:p w14:paraId="43719D50" w14:textId="77777777" w:rsidR="005E4AE1" w:rsidRPr="005E4AE1" w:rsidRDefault="005E4AE1" w:rsidP="005E4AE1"/>
    <w:p w14:paraId="357049A8" w14:textId="4BAFACC9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D848232" w14:textId="4F839693" w:rsidR="005E4AE1" w:rsidRDefault="005E4AE1" w:rsidP="005E4AE1"/>
    <w:p w14:paraId="176E06E4" w14:textId="77777777" w:rsidR="005E4AE1" w:rsidRPr="005E4AE1" w:rsidRDefault="005E4AE1" w:rsidP="005E4AE1">
      <w:pPr>
        <w:rPr>
          <w:sz w:val="24"/>
          <w:szCs w:val="24"/>
          <w:lang w:val="en-US" w:eastAsia="bg-BG"/>
        </w:rPr>
      </w:pPr>
      <w:proofErr w:type="spellStart"/>
      <w:r w:rsidRPr="005E4AE1">
        <w:rPr>
          <w:lang w:val="en-US"/>
        </w:rPr>
        <w:t>Opella</w:t>
      </w:r>
      <w:proofErr w:type="spellEnd"/>
      <w:r w:rsidRPr="005E4AE1">
        <w:rPr>
          <w:lang w:val="en-US"/>
        </w:rPr>
        <w:t xml:space="preserve"> Healthcare France SAS,</w:t>
      </w:r>
    </w:p>
    <w:p w14:paraId="730B0C27" w14:textId="77777777" w:rsidR="005E4AE1" w:rsidRPr="005E4AE1" w:rsidRDefault="005E4AE1" w:rsidP="005E4AE1">
      <w:pPr>
        <w:rPr>
          <w:sz w:val="24"/>
          <w:szCs w:val="24"/>
          <w:lang w:val="en-US" w:eastAsia="bg-BG"/>
        </w:rPr>
      </w:pPr>
      <w:r w:rsidRPr="005E4AE1">
        <w:rPr>
          <w:lang w:val="en-US"/>
        </w:rPr>
        <w:t xml:space="preserve">82 Avenue </w:t>
      </w:r>
      <w:proofErr w:type="spellStart"/>
      <w:r w:rsidRPr="005E4AE1">
        <w:rPr>
          <w:lang w:val="en-US"/>
        </w:rPr>
        <w:t>Raspail</w:t>
      </w:r>
      <w:proofErr w:type="spellEnd"/>
      <w:r w:rsidRPr="005E4AE1">
        <w:rPr>
          <w:lang w:val="en-US"/>
        </w:rPr>
        <w:t>,</w:t>
      </w:r>
    </w:p>
    <w:p w14:paraId="09DE1E45" w14:textId="77777777" w:rsidR="005E4AE1" w:rsidRPr="005E4AE1" w:rsidRDefault="005E4AE1" w:rsidP="005E4AE1">
      <w:pPr>
        <w:rPr>
          <w:sz w:val="24"/>
          <w:szCs w:val="24"/>
          <w:lang w:val="en-US" w:eastAsia="bg-BG"/>
        </w:rPr>
      </w:pPr>
      <w:r w:rsidRPr="005E4AE1">
        <w:rPr>
          <w:lang w:val="en-US"/>
        </w:rPr>
        <w:t>94250 Gentilly,</w:t>
      </w:r>
    </w:p>
    <w:p w14:paraId="06345A26" w14:textId="293BF856" w:rsidR="005E4AE1" w:rsidRPr="005E4AE1" w:rsidRDefault="005E4AE1" w:rsidP="005E4AE1">
      <w:r w:rsidRPr="005E4AE1">
        <w:rPr>
          <w:lang w:eastAsia="bg-BG"/>
        </w:rPr>
        <w:t>Франция</w:t>
      </w:r>
    </w:p>
    <w:p w14:paraId="0A53321D" w14:textId="664E5A91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66F56CBA" w14:textId="705905AB" w:rsidR="005E4AE1" w:rsidRDefault="005E4AE1" w:rsidP="005E4AE1"/>
    <w:p w14:paraId="223B52C1" w14:textId="6C22DAC8" w:rsidR="005E4AE1" w:rsidRPr="005E4AE1" w:rsidRDefault="005E4AE1" w:rsidP="005E4AE1">
      <w:r>
        <w:rPr>
          <w:lang w:val="en-US"/>
        </w:rPr>
        <w:t xml:space="preserve">Per. </w:t>
      </w:r>
      <w:r>
        <w:t>№ 9600149</w:t>
      </w:r>
    </w:p>
    <w:p w14:paraId="7C2688F5" w14:textId="6D610EDF" w:rsidR="00F62E44" w:rsidRDefault="00F62E44" w:rsidP="00F62E44"/>
    <w:p w14:paraId="00481C21" w14:textId="2FCBB021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34309C5C" w14:textId="47EB3C01" w:rsidR="005E4AE1" w:rsidRDefault="005E4AE1" w:rsidP="005E4AE1"/>
    <w:p w14:paraId="7046FDB6" w14:textId="77777777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Дата на първо разрешаване: 28 Юли 1996 г.</w:t>
      </w:r>
    </w:p>
    <w:p w14:paraId="2669D040" w14:textId="0F823991" w:rsidR="005E4AE1" w:rsidRPr="005E4AE1" w:rsidRDefault="005E4AE1" w:rsidP="005E4AE1">
      <w:pPr>
        <w:rPr>
          <w:sz w:val="24"/>
          <w:szCs w:val="24"/>
          <w:lang w:eastAsia="bg-BG"/>
        </w:rPr>
      </w:pPr>
      <w:r w:rsidRPr="005E4AE1">
        <w:rPr>
          <w:lang w:eastAsia="bg-BG"/>
        </w:rPr>
        <w:t>Дата на последно подновяване: 29 Октомври 2007</w:t>
      </w:r>
    </w:p>
    <w:p w14:paraId="43FB38A2" w14:textId="0C18A683" w:rsidR="007C605B" w:rsidRDefault="002C50EE" w:rsidP="005726E3">
      <w:pPr>
        <w:pStyle w:val="Heading1"/>
      </w:pPr>
      <w:r>
        <w:lastRenderedPageBreak/>
        <w:t>10. ДАТА НА АКТУАЛИЗИРАНЕ НА ТЕКСТА</w:t>
      </w:r>
      <w:bookmarkEnd w:id="0"/>
    </w:p>
    <w:p w14:paraId="472617BD" w14:textId="4FEEE68B" w:rsidR="00BB22B4" w:rsidRPr="00BB22B4" w:rsidRDefault="005E4AE1" w:rsidP="005E4AE1">
      <w:r>
        <w:t>01.11.2021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5E4AE1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2023-03-24T20:58:00Z</dcterms:created>
  <dcterms:modified xsi:type="dcterms:W3CDTF">2023-03-24T20:58:00Z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