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320F4BE" w14:textId="58036F2A" w:rsidR="00C40420" w:rsidRDefault="00DD466D" w:rsidP="004A448E">
      <w:pPr>
        <w:pStyle w:val="Heading1"/>
      </w:pPr>
      <w:r>
        <w:t>1.ИМЕ НА ЛЕКАРСТВЕНИЯ ПРОДУКТ</w:t>
      </w:r>
    </w:p>
    <w:p w14:paraId="16CC9552" w14:textId="41893651" w:rsidR="00D22337" w:rsidRDefault="00D22337" w:rsidP="00D22337"/>
    <w:p w14:paraId="1E6A831E" w14:textId="77777777" w:rsidR="00D22337" w:rsidRPr="00D22337" w:rsidRDefault="00D22337" w:rsidP="00D22337">
      <w:pPr>
        <w:rPr>
          <w:sz w:val="24"/>
          <w:szCs w:val="24"/>
        </w:rPr>
      </w:pPr>
      <w:r w:rsidRPr="00D22337">
        <w:rPr>
          <w:lang w:eastAsia="bg-BG"/>
        </w:rPr>
        <w:t xml:space="preserve">Намаксир 2,5 </w:t>
      </w:r>
      <w:r w:rsidRPr="00D22337">
        <w:rPr>
          <w:lang w:val="en-US"/>
        </w:rPr>
        <w:t>mg</w:t>
      </w:r>
      <w:r w:rsidRPr="00D22337">
        <w:rPr>
          <w:lang w:val="ru-RU"/>
        </w:rPr>
        <w:t xml:space="preserve"> </w:t>
      </w:r>
      <w:r w:rsidRPr="00D22337">
        <w:rPr>
          <w:lang w:eastAsia="bg-BG"/>
        </w:rPr>
        <w:t>инжекционен разтвор в предварително напълнена спринцовка</w:t>
      </w:r>
    </w:p>
    <w:p w14:paraId="7734E4F2" w14:textId="77777777" w:rsidR="00D22337" w:rsidRPr="00D22337" w:rsidRDefault="00D22337" w:rsidP="00D22337">
      <w:pPr>
        <w:rPr>
          <w:sz w:val="24"/>
          <w:szCs w:val="24"/>
        </w:rPr>
      </w:pPr>
      <w:proofErr w:type="spellStart"/>
      <w:r w:rsidRPr="00D22337">
        <w:rPr>
          <w:lang w:val="en-US"/>
        </w:rPr>
        <w:t>Namaxir</w:t>
      </w:r>
      <w:proofErr w:type="spellEnd"/>
      <w:r w:rsidRPr="00D22337">
        <w:rPr>
          <w:lang w:val="en-US"/>
        </w:rPr>
        <w:t xml:space="preserve"> </w:t>
      </w:r>
      <w:r w:rsidRPr="00D22337">
        <w:rPr>
          <w:lang w:eastAsia="bg-BG"/>
        </w:rPr>
        <w:t>2</w:t>
      </w:r>
      <w:proofErr w:type="gramStart"/>
      <w:r w:rsidRPr="00D22337">
        <w:rPr>
          <w:lang w:eastAsia="bg-BG"/>
        </w:rPr>
        <w:t>,5</w:t>
      </w:r>
      <w:proofErr w:type="gramEnd"/>
      <w:r w:rsidRPr="00D22337">
        <w:rPr>
          <w:lang w:eastAsia="bg-BG"/>
        </w:rPr>
        <w:t xml:space="preserve"> </w:t>
      </w:r>
      <w:r w:rsidRPr="00D22337">
        <w:rPr>
          <w:lang w:val="en-US"/>
        </w:rPr>
        <w:t>mg solution for injection in pre-filled syringe</w:t>
      </w:r>
    </w:p>
    <w:p w14:paraId="730162EF" w14:textId="77777777" w:rsidR="00D22337" w:rsidRDefault="00D22337" w:rsidP="00D22337">
      <w:pPr>
        <w:rPr>
          <w:lang w:eastAsia="bg-BG"/>
        </w:rPr>
      </w:pPr>
    </w:p>
    <w:p w14:paraId="434009F4" w14:textId="51B6F5D2" w:rsidR="00D22337" w:rsidRPr="00D22337" w:rsidRDefault="00D22337" w:rsidP="00D22337">
      <w:pPr>
        <w:rPr>
          <w:sz w:val="24"/>
          <w:szCs w:val="24"/>
        </w:rPr>
      </w:pPr>
      <w:r w:rsidRPr="00D22337">
        <w:rPr>
          <w:lang w:eastAsia="bg-BG"/>
        </w:rPr>
        <w:t xml:space="preserve">Намаксир </w:t>
      </w:r>
      <w:r w:rsidRPr="00D22337">
        <w:rPr>
          <w:lang w:val="ru-RU"/>
        </w:rPr>
        <w:t xml:space="preserve">7,5 </w:t>
      </w:r>
      <w:r w:rsidRPr="00D22337">
        <w:rPr>
          <w:lang w:val="en-US"/>
        </w:rPr>
        <w:t>mg</w:t>
      </w:r>
      <w:r w:rsidRPr="00D22337">
        <w:rPr>
          <w:lang w:val="ru-RU"/>
        </w:rPr>
        <w:t xml:space="preserve"> </w:t>
      </w:r>
      <w:r w:rsidRPr="00D22337">
        <w:rPr>
          <w:lang w:eastAsia="bg-BG"/>
        </w:rPr>
        <w:t>инжекционен разтвор в предварително напълнена спринцовка</w:t>
      </w:r>
    </w:p>
    <w:p w14:paraId="0ACAC12B" w14:textId="77777777" w:rsidR="00D22337" w:rsidRPr="00D22337" w:rsidRDefault="00D22337" w:rsidP="00D22337">
      <w:pPr>
        <w:rPr>
          <w:sz w:val="24"/>
          <w:szCs w:val="24"/>
        </w:rPr>
      </w:pPr>
      <w:proofErr w:type="spellStart"/>
      <w:r w:rsidRPr="00D22337">
        <w:rPr>
          <w:lang w:val="en-US"/>
        </w:rPr>
        <w:t>Namaxir</w:t>
      </w:r>
      <w:proofErr w:type="spellEnd"/>
      <w:r w:rsidRPr="00D22337">
        <w:rPr>
          <w:lang w:val="en-US"/>
        </w:rPr>
        <w:t xml:space="preserve"> </w:t>
      </w:r>
      <w:r w:rsidRPr="00D22337">
        <w:rPr>
          <w:lang w:eastAsia="bg-BG"/>
        </w:rPr>
        <w:t>7</w:t>
      </w:r>
      <w:proofErr w:type="gramStart"/>
      <w:r w:rsidRPr="00D22337">
        <w:rPr>
          <w:lang w:eastAsia="bg-BG"/>
        </w:rPr>
        <w:t>,5</w:t>
      </w:r>
      <w:proofErr w:type="gramEnd"/>
      <w:r w:rsidRPr="00D22337">
        <w:rPr>
          <w:lang w:eastAsia="bg-BG"/>
        </w:rPr>
        <w:t xml:space="preserve"> </w:t>
      </w:r>
      <w:r w:rsidRPr="00D22337">
        <w:rPr>
          <w:lang w:val="en-US"/>
        </w:rPr>
        <w:t>mg solution for injection in pre-filled syringe</w:t>
      </w:r>
    </w:p>
    <w:p w14:paraId="17FCA0F1" w14:textId="77777777" w:rsidR="00D22337" w:rsidRDefault="00D22337" w:rsidP="00D22337">
      <w:pPr>
        <w:rPr>
          <w:lang w:eastAsia="bg-BG"/>
        </w:rPr>
      </w:pPr>
    </w:p>
    <w:p w14:paraId="1F6134D6" w14:textId="6BAAF16C" w:rsidR="00D22337" w:rsidRPr="00D22337" w:rsidRDefault="00D22337" w:rsidP="00D22337">
      <w:pPr>
        <w:rPr>
          <w:sz w:val="24"/>
          <w:szCs w:val="24"/>
        </w:rPr>
      </w:pPr>
      <w:r w:rsidRPr="00D22337">
        <w:rPr>
          <w:lang w:eastAsia="bg-BG"/>
        </w:rPr>
        <w:t xml:space="preserve">Намаксир </w:t>
      </w:r>
      <w:r w:rsidRPr="00D22337">
        <w:rPr>
          <w:lang w:val="ru-RU"/>
        </w:rPr>
        <w:t xml:space="preserve">10 </w:t>
      </w:r>
      <w:r w:rsidRPr="00D22337">
        <w:rPr>
          <w:lang w:val="en-US"/>
        </w:rPr>
        <w:t>mg</w:t>
      </w:r>
      <w:r w:rsidRPr="00D22337">
        <w:rPr>
          <w:lang w:val="ru-RU"/>
        </w:rPr>
        <w:t xml:space="preserve"> </w:t>
      </w:r>
      <w:r w:rsidRPr="00D22337">
        <w:rPr>
          <w:lang w:eastAsia="bg-BG"/>
        </w:rPr>
        <w:t>инжекционен разтвор в предварително напълнена спринцовка</w:t>
      </w:r>
    </w:p>
    <w:p w14:paraId="6F34C1A4" w14:textId="77777777" w:rsidR="00D22337" w:rsidRPr="00D22337" w:rsidRDefault="00D22337" w:rsidP="00D22337">
      <w:pPr>
        <w:rPr>
          <w:sz w:val="24"/>
          <w:szCs w:val="24"/>
        </w:rPr>
      </w:pPr>
      <w:proofErr w:type="spellStart"/>
      <w:r w:rsidRPr="00D22337">
        <w:rPr>
          <w:lang w:val="en-US"/>
        </w:rPr>
        <w:t>Namaxir</w:t>
      </w:r>
      <w:proofErr w:type="spellEnd"/>
      <w:r w:rsidRPr="00D22337">
        <w:rPr>
          <w:lang w:val="en-US"/>
        </w:rPr>
        <w:t xml:space="preserve"> </w:t>
      </w:r>
      <w:r w:rsidRPr="00D22337">
        <w:rPr>
          <w:lang w:eastAsia="bg-BG"/>
        </w:rPr>
        <w:t xml:space="preserve">10 </w:t>
      </w:r>
      <w:r w:rsidRPr="00D22337">
        <w:rPr>
          <w:lang w:val="en-US"/>
        </w:rPr>
        <w:t>mg solution for injection in pre-filled syringe</w:t>
      </w:r>
    </w:p>
    <w:p w14:paraId="0E3A3FB6" w14:textId="77777777" w:rsidR="00D22337" w:rsidRDefault="00D22337" w:rsidP="00D22337">
      <w:pPr>
        <w:rPr>
          <w:lang w:eastAsia="bg-BG"/>
        </w:rPr>
      </w:pPr>
    </w:p>
    <w:p w14:paraId="55F5B0DB" w14:textId="72BE6BCB" w:rsidR="00D22337" w:rsidRPr="00D22337" w:rsidRDefault="00D22337" w:rsidP="00D22337">
      <w:pPr>
        <w:rPr>
          <w:sz w:val="24"/>
          <w:szCs w:val="24"/>
        </w:rPr>
      </w:pPr>
      <w:r w:rsidRPr="00D22337">
        <w:rPr>
          <w:lang w:eastAsia="bg-BG"/>
        </w:rPr>
        <w:t xml:space="preserve">Намаксир </w:t>
      </w:r>
      <w:r w:rsidRPr="00D22337">
        <w:rPr>
          <w:lang w:val="ru-RU"/>
        </w:rPr>
        <w:t xml:space="preserve">15 </w:t>
      </w:r>
      <w:r w:rsidRPr="00D22337">
        <w:rPr>
          <w:lang w:val="en-US"/>
        </w:rPr>
        <w:t>mg</w:t>
      </w:r>
      <w:r w:rsidRPr="00D22337">
        <w:rPr>
          <w:lang w:val="ru-RU"/>
        </w:rPr>
        <w:t xml:space="preserve"> </w:t>
      </w:r>
      <w:r w:rsidRPr="00D22337">
        <w:rPr>
          <w:lang w:eastAsia="bg-BG"/>
        </w:rPr>
        <w:t>инжекционен разтвор в предварително напълнена спринцовка</w:t>
      </w:r>
    </w:p>
    <w:p w14:paraId="4D8E9A33" w14:textId="77777777" w:rsidR="00D22337" w:rsidRPr="00D22337" w:rsidRDefault="00D22337" w:rsidP="00D22337">
      <w:pPr>
        <w:rPr>
          <w:sz w:val="24"/>
          <w:szCs w:val="24"/>
        </w:rPr>
      </w:pPr>
      <w:proofErr w:type="spellStart"/>
      <w:r w:rsidRPr="00D22337">
        <w:rPr>
          <w:lang w:val="en-US"/>
        </w:rPr>
        <w:t>Namaxir</w:t>
      </w:r>
      <w:proofErr w:type="spellEnd"/>
      <w:r w:rsidRPr="00D22337">
        <w:rPr>
          <w:lang w:val="en-US"/>
        </w:rPr>
        <w:t xml:space="preserve"> </w:t>
      </w:r>
      <w:r w:rsidRPr="00D22337">
        <w:rPr>
          <w:lang w:eastAsia="bg-BG"/>
        </w:rPr>
        <w:t xml:space="preserve">15 </w:t>
      </w:r>
      <w:r w:rsidRPr="00D22337">
        <w:rPr>
          <w:lang w:val="en-US"/>
        </w:rPr>
        <w:t>mg solution for injection in pre-filled syringe</w:t>
      </w:r>
    </w:p>
    <w:p w14:paraId="47F59EDC" w14:textId="77777777" w:rsidR="00D22337" w:rsidRPr="00D22337" w:rsidRDefault="00D22337" w:rsidP="00D22337"/>
    <w:p w14:paraId="6920A680" w14:textId="173D6F60" w:rsidR="00C40420" w:rsidRDefault="00DD466D" w:rsidP="004A448E">
      <w:pPr>
        <w:pStyle w:val="Heading1"/>
      </w:pPr>
      <w:r>
        <w:t>2. КАЧЕСТВЕН И КОЛИЧЕСТВЕН СЪСТАВ</w:t>
      </w:r>
    </w:p>
    <w:p w14:paraId="2AE675CA" w14:textId="66419DE6" w:rsidR="00D22337" w:rsidRDefault="00D22337" w:rsidP="00D22337"/>
    <w:p w14:paraId="5011C5F6" w14:textId="77777777" w:rsidR="00D22337" w:rsidRPr="00D22337" w:rsidRDefault="00D22337" w:rsidP="00D22337">
      <w:pPr>
        <w:rPr>
          <w:sz w:val="24"/>
          <w:szCs w:val="24"/>
        </w:rPr>
      </w:pPr>
      <w:r w:rsidRPr="00D22337">
        <w:rPr>
          <w:i/>
          <w:iCs/>
          <w:lang w:eastAsia="bg-BG"/>
        </w:rPr>
        <w:t xml:space="preserve">Намаксир 2,5 </w:t>
      </w:r>
      <w:r w:rsidRPr="00D22337">
        <w:rPr>
          <w:i/>
          <w:iCs/>
          <w:lang w:val="en-US"/>
        </w:rPr>
        <w:t>mg</w:t>
      </w:r>
      <w:r w:rsidRPr="00D22337">
        <w:rPr>
          <w:i/>
          <w:iCs/>
          <w:lang w:val="ru-RU"/>
        </w:rPr>
        <w:t>:</w:t>
      </w:r>
      <w:r w:rsidRPr="00D22337">
        <w:rPr>
          <w:lang w:val="ru-RU"/>
        </w:rPr>
        <w:t xml:space="preserve"> </w:t>
      </w:r>
      <w:r w:rsidRPr="00D22337">
        <w:rPr>
          <w:lang w:eastAsia="bg-BG"/>
        </w:rPr>
        <w:t xml:space="preserve">Всяка предварително напълнена спринцовка от 0,33 </w:t>
      </w:r>
      <w:r w:rsidRPr="00D22337">
        <w:rPr>
          <w:lang w:val="en-US"/>
        </w:rPr>
        <w:t>ml</w:t>
      </w:r>
      <w:r w:rsidRPr="00D22337">
        <w:rPr>
          <w:lang w:val="ru-RU"/>
        </w:rPr>
        <w:t xml:space="preserve"> </w:t>
      </w:r>
      <w:r w:rsidRPr="00D22337">
        <w:rPr>
          <w:lang w:eastAsia="bg-BG"/>
        </w:rPr>
        <w:t xml:space="preserve">съдържа 2,5 </w:t>
      </w:r>
      <w:r w:rsidRPr="00D22337">
        <w:rPr>
          <w:lang w:val="en-US"/>
        </w:rPr>
        <w:t>mg</w:t>
      </w:r>
      <w:r w:rsidRPr="00D22337">
        <w:rPr>
          <w:lang w:val="ru-RU"/>
        </w:rPr>
        <w:t xml:space="preserve"> </w:t>
      </w:r>
      <w:r w:rsidRPr="00D22337">
        <w:rPr>
          <w:lang w:eastAsia="bg-BG"/>
        </w:rPr>
        <w:t xml:space="preserve">метотрексат </w:t>
      </w:r>
      <w:r w:rsidRPr="00D22337">
        <w:rPr>
          <w:i/>
          <w:iCs/>
          <w:lang w:val="ru-RU"/>
        </w:rPr>
        <w:t>(</w:t>
      </w:r>
      <w:r w:rsidRPr="00D22337">
        <w:rPr>
          <w:i/>
          <w:iCs/>
          <w:lang w:val="en-US"/>
        </w:rPr>
        <w:t>methotrexate</w:t>
      </w:r>
      <w:r w:rsidRPr="00D22337">
        <w:rPr>
          <w:i/>
          <w:iCs/>
          <w:lang w:val="ru-RU"/>
        </w:rPr>
        <w:t>).</w:t>
      </w:r>
    </w:p>
    <w:p w14:paraId="068C6604" w14:textId="77777777" w:rsidR="00D22337" w:rsidRDefault="00D22337" w:rsidP="00D22337">
      <w:pPr>
        <w:rPr>
          <w:i/>
          <w:iCs/>
          <w:lang w:eastAsia="bg-BG"/>
        </w:rPr>
      </w:pPr>
    </w:p>
    <w:p w14:paraId="54E44908" w14:textId="70ABB6B0" w:rsidR="00D22337" w:rsidRPr="00D22337" w:rsidRDefault="00D22337" w:rsidP="00D22337">
      <w:pPr>
        <w:rPr>
          <w:sz w:val="24"/>
          <w:szCs w:val="24"/>
        </w:rPr>
      </w:pPr>
      <w:r w:rsidRPr="00D22337">
        <w:rPr>
          <w:i/>
          <w:iCs/>
          <w:lang w:eastAsia="bg-BG"/>
        </w:rPr>
        <w:t xml:space="preserve">Намаксир 7,5 </w:t>
      </w:r>
      <w:r w:rsidRPr="00D22337">
        <w:rPr>
          <w:i/>
          <w:iCs/>
          <w:lang w:val="en-US"/>
        </w:rPr>
        <w:t>mg</w:t>
      </w:r>
      <w:r w:rsidRPr="00D22337">
        <w:rPr>
          <w:i/>
          <w:iCs/>
          <w:lang w:val="ru-RU"/>
        </w:rPr>
        <w:t>:</w:t>
      </w:r>
      <w:r w:rsidRPr="00D22337">
        <w:rPr>
          <w:lang w:val="ru-RU"/>
        </w:rPr>
        <w:t xml:space="preserve"> </w:t>
      </w:r>
      <w:r w:rsidRPr="00D22337">
        <w:rPr>
          <w:lang w:eastAsia="bg-BG"/>
        </w:rPr>
        <w:t xml:space="preserve">Всяка предварително напълнена спринцовка от 0,30 </w:t>
      </w:r>
      <w:r w:rsidRPr="00D22337">
        <w:rPr>
          <w:lang w:val="en-US"/>
        </w:rPr>
        <w:t>ml</w:t>
      </w:r>
      <w:r w:rsidRPr="00D22337">
        <w:rPr>
          <w:lang w:val="ru-RU"/>
        </w:rPr>
        <w:t xml:space="preserve"> </w:t>
      </w:r>
      <w:r w:rsidRPr="00D22337">
        <w:rPr>
          <w:lang w:eastAsia="bg-BG"/>
        </w:rPr>
        <w:t xml:space="preserve">съдържа 7,5 </w:t>
      </w:r>
      <w:r w:rsidRPr="00D22337">
        <w:rPr>
          <w:lang w:val="en-US"/>
        </w:rPr>
        <w:t>mg</w:t>
      </w:r>
      <w:r w:rsidRPr="00D22337">
        <w:rPr>
          <w:lang w:val="ru-RU"/>
        </w:rPr>
        <w:t xml:space="preserve"> </w:t>
      </w:r>
      <w:r w:rsidRPr="00D22337">
        <w:rPr>
          <w:lang w:eastAsia="bg-BG"/>
        </w:rPr>
        <w:t xml:space="preserve">метотрексат </w:t>
      </w:r>
      <w:r w:rsidRPr="00D22337">
        <w:rPr>
          <w:i/>
          <w:iCs/>
          <w:lang w:val="ru-RU"/>
        </w:rPr>
        <w:t>(</w:t>
      </w:r>
      <w:r w:rsidRPr="00D22337">
        <w:rPr>
          <w:i/>
          <w:iCs/>
          <w:lang w:val="en-US"/>
        </w:rPr>
        <w:t>methotrexate</w:t>
      </w:r>
      <w:r w:rsidRPr="00D22337">
        <w:rPr>
          <w:i/>
          <w:iCs/>
          <w:lang w:val="ru-RU"/>
        </w:rPr>
        <w:t>).</w:t>
      </w:r>
    </w:p>
    <w:p w14:paraId="7A3C26DC" w14:textId="77777777" w:rsidR="00D22337" w:rsidRDefault="00D22337" w:rsidP="00D22337">
      <w:pPr>
        <w:rPr>
          <w:i/>
          <w:iCs/>
          <w:lang w:eastAsia="bg-BG"/>
        </w:rPr>
      </w:pPr>
    </w:p>
    <w:p w14:paraId="54D28981" w14:textId="3F249A31" w:rsidR="00D22337" w:rsidRPr="00D22337" w:rsidRDefault="00D22337" w:rsidP="00D22337">
      <w:pPr>
        <w:rPr>
          <w:sz w:val="24"/>
          <w:szCs w:val="24"/>
        </w:rPr>
      </w:pPr>
      <w:r w:rsidRPr="00D22337">
        <w:rPr>
          <w:i/>
          <w:iCs/>
          <w:lang w:eastAsia="bg-BG"/>
        </w:rPr>
        <w:t xml:space="preserve">Намаксир 10 </w:t>
      </w:r>
      <w:r w:rsidRPr="00D22337">
        <w:rPr>
          <w:i/>
          <w:iCs/>
          <w:lang w:val="en-US"/>
        </w:rPr>
        <w:t>mg</w:t>
      </w:r>
      <w:r w:rsidRPr="00D22337">
        <w:rPr>
          <w:i/>
          <w:iCs/>
          <w:lang w:val="ru-RU"/>
        </w:rPr>
        <w:t>:</w:t>
      </w:r>
      <w:r w:rsidRPr="00D22337">
        <w:rPr>
          <w:lang w:val="ru-RU"/>
        </w:rPr>
        <w:t xml:space="preserve"> </w:t>
      </w:r>
      <w:r w:rsidRPr="00D22337">
        <w:rPr>
          <w:lang w:eastAsia="bg-BG"/>
        </w:rPr>
        <w:t xml:space="preserve">Всяка предварително напълнена спринцовка от 0,40 </w:t>
      </w:r>
      <w:r w:rsidRPr="00D22337">
        <w:rPr>
          <w:lang w:val="en-US"/>
        </w:rPr>
        <w:t>ml</w:t>
      </w:r>
      <w:r w:rsidRPr="00D22337">
        <w:rPr>
          <w:lang w:val="ru-RU"/>
        </w:rPr>
        <w:t xml:space="preserve"> </w:t>
      </w:r>
      <w:r w:rsidRPr="00D22337">
        <w:rPr>
          <w:lang w:eastAsia="bg-BG"/>
        </w:rPr>
        <w:t xml:space="preserve">съдържа 10 </w:t>
      </w:r>
      <w:r w:rsidRPr="00D22337">
        <w:rPr>
          <w:lang w:val="en-US"/>
        </w:rPr>
        <w:t>mg</w:t>
      </w:r>
      <w:r w:rsidRPr="00D22337">
        <w:rPr>
          <w:lang w:val="ru-RU"/>
        </w:rPr>
        <w:t xml:space="preserve"> </w:t>
      </w:r>
      <w:r w:rsidRPr="00D22337">
        <w:rPr>
          <w:lang w:eastAsia="bg-BG"/>
        </w:rPr>
        <w:t xml:space="preserve">метотрексат </w:t>
      </w:r>
      <w:r w:rsidRPr="00D22337">
        <w:rPr>
          <w:i/>
          <w:iCs/>
          <w:lang w:val="ru-RU"/>
        </w:rPr>
        <w:t>(</w:t>
      </w:r>
      <w:r w:rsidRPr="00D22337">
        <w:rPr>
          <w:i/>
          <w:iCs/>
          <w:lang w:val="en-US"/>
        </w:rPr>
        <w:t>methotrexate</w:t>
      </w:r>
      <w:r w:rsidRPr="00D22337">
        <w:rPr>
          <w:i/>
          <w:iCs/>
          <w:lang w:val="ru-RU"/>
        </w:rPr>
        <w:t>).</w:t>
      </w:r>
    </w:p>
    <w:p w14:paraId="29C9D607" w14:textId="77777777" w:rsidR="00D22337" w:rsidRDefault="00D22337" w:rsidP="00D22337">
      <w:pPr>
        <w:rPr>
          <w:i/>
          <w:iCs/>
          <w:lang w:eastAsia="bg-BG"/>
        </w:rPr>
      </w:pPr>
    </w:p>
    <w:p w14:paraId="2BF1EC49" w14:textId="7B027EDD" w:rsidR="00D22337" w:rsidRPr="00D22337" w:rsidRDefault="00D22337" w:rsidP="00D22337">
      <w:pPr>
        <w:rPr>
          <w:sz w:val="24"/>
          <w:szCs w:val="24"/>
        </w:rPr>
      </w:pPr>
      <w:r w:rsidRPr="00D22337">
        <w:rPr>
          <w:i/>
          <w:iCs/>
          <w:lang w:eastAsia="bg-BG"/>
        </w:rPr>
        <w:t xml:space="preserve">Намаксир 15 </w:t>
      </w:r>
      <w:r w:rsidRPr="00D22337">
        <w:rPr>
          <w:i/>
          <w:iCs/>
          <w:lang w:val="en-US"/>
        </w:rPr>
        <w:t>mg</w:t>
      </w:r>
      <w:r w:rsidRPr="00D22337">
        <w:rPr>
          <w:i/>
          <w:iCs/>
          <w:lang w:val="ru-RU"/>
        </w:rPr>
        <w:t>:</w:t>
      </w:r>
      <w:r w:rsidRPr="00D22337">
        <w:rPr>
          <w:lang w:val="ru-RU"/>
        </w:rPr>
        <w:t xml:space="preserve"> </w:t>
      </w:r>
      <w:r w:rsidRPr="00D22337">
        <w:rPr>
          <w:lang w:eastAsia="bg-BG"/>
        </w:rPr>
        <w:t xml:space="preserve">Всяка предварително напълнена спринцовка от 0,38 </w:t>
      </w:r>
      <w:r w:rsidRPr="00D22337">
        <w:rPr>
          <w:lang w:val="en-US"/>
        </w:rPr>
        <w:t>ml</w:t>
      </w:r>
      <w:r w:rsidRPr="00D22337">
        <w:rPr>
          <w:lang w:val="ru-RU"/>
        </w:rPr>
        <w:t xml:space="preserve"> </w:t>
      </w:r>
      <w:r w:rsidRPr="00D22337">
        <w:rPr>
          <w:lang w:eastAsia="bg-BG"/>
        </w:rPr>
        <w:t xml:space="preserve">съдържа 15 </w:t>
      </w:r>
      <w:r w:rsidRPr="00D22337">
        <w:rPr>
          <w:lang w:val="en-US"/>
        </w:rPr>
        <w:t>mg</w:t>
      </w:r>
      <w:r w:rsidRPr="00D22337">
        <w:rPr>
          <w:lang w:val="ru-RU"/>
        </w:rPr>
        <w:t xml:space="preserve"> </w:t>
      </w:r>
      <w:r w:rsidRPr="00D22337">
        <w:rPr>
          <w:lang w:eastAsia="bg-BG"/>
        </w:rPr>
        <w:t xml:space="preserve">метотрексат </w:t>
      </w:r>
      <w:r w:rsidRPr="00D22337">
        <w:rPr>
          <w:i/>
          <w:iCs/>
          <w:lang w:val="ru-RU"/>
        </w:rPr>
        <w:t>(</w:t>
      </w:r>
      <w:r w:rsidRPr="00D22337">
        <w:rPr>
          <w:i/>
          <w:iCs/>
          <w:lang w:val="en-US"/>
        </w:rPr>
        <w:t>methotrexate</w:t>
      </w:r>
      <w:r w:rsidRPr="00D22337">
        <w:rPr>
          <w:i/>
          <w:iCs/>
          <w:lang w:val="ru-RU"/>
        </w:rPr>
        <w:t>).</w:t>
      </w:r>
    </w:p>
    <w:p w14:paraId="7E536062" w14:textId="77777777" w:rsidR="00D22337" w:rsidRPr="00D22337" w:rsidRDefault="00D22337" w:rsidP="00D22337"/>
    <w:p w14:paraId="614984C4" w14:textId="53326678" w:rsidR="008A6AF2" w:rsidRDefault="00DD466D" w:rsidP="002C50EE">
      <w:pPr>
        <w:pStyle w:val="Heading1"/>
      </w:pPr>
      <w:r>
        <w:t>3. ЛЕКАРСТВЕНА ФОРМА</w:t>
      </w:r>
    </w:p>
    <w:p w14:paraId="4F91DA37" w14:textId="296D5AE8" w:rsidR="00D22337" w:rsidRDefault="00D22337" w:rsidP="00D22337"/>
    <w:p w14:paraId="4DBE99CC" w14:textId="77777777" w:rsidR="00D22337" w:rsidRPr="00D22337" w:rsidRDefault="00D22337" w:rsidP="00D22337">
      <w:pPr>
        <w:rPr>
          <w:sz w:val="24"/>
          <w:szCs w:val="24"/>
        </w:rPr>
      </w:pPr>
      <w:r w:rsidRPr="00D22337">
        <w:rPr>
          <w:lang w:eastAsia="bg-BG"/>
        </w:rPr>
        <w:t>Инжекционен разтвор в предварително напълнена спринцовка (инжекционен разтвор)</w:t>
      </w:r>
    </w:p>
    <w:p w14:paraId="241F1003" w14:textId="77777777" w:rsidR="00D22337" w:rsidRPr="00D22337" w:rsidRDefault="00D22337" w:rsidP="00D22337">
      <w:pPr>
        <w:rPr>
          <w:sz w:val="24"/>
          <w:szCs w:val="24"/>
        </w:rPr>
      </w:pPr>
      <w:r w:rsidRPr="00D22337">
        <w:rPr>
          <w:lang w:eastAsia="bg-BG"/>
        </w:rPr>
        <w:t>Бистър, жълто-оранжев разтвор без видими частици</w:t>
      </w:r>
    </w:p>
    <w:p w14:paraId="63453179" w14:textId="56B601F4" w:rsidR="00D22337" w:rsidRPr="00D22337" w:rsidRDefault="00D22337" w:rsidP="00D22337">
      <w:r w:rsidRPr="00D22337">
        <w:rPr>
          <w:lang w:eastAsia="bg-BG"/>
        </w:rPr>
        <w:t xml:space="preserve">Осмолалитет: 280 - 320 </w:t>
      </w:r>
      <w:proofErr w:type="spellStart"/>
      <w:r w:rsidRPr="00D22337">
        <w:rPr>
          <w:lang w:val="en-US"/>
        </w:rPr>
        <w:t>mOsm</w:t>
      </w:r>
      <w:proofErr w:type="spellEnd"/>
      <w:r w:rsidRPr="00D22337">
        <w:rPr>
          <w:lang w:val="ru-RU"/>
        </w:rPr>
        <w:t>/</w:t>
      </w:r>
      <w:r w:rsidRPr="00D22337">
        <w:rPr>
          <w:lang w:val="en-US"/>
        </w:rPr>
        <w:t>kg</w:t>
      </w:r>
      <w:r w:rsidRPr="00D22337">
        <w:rPr>
          <w:lang w:val="ru-RU"/>
        </w:rPr>
        <w:t xml:space="preserve"> </w:t>
      </w:r>
      <w:r w:rsidRPr="00D22337">
        <w:rPr>
          <w:lang w:val="en-US"/>
        </w:rPr>
        <w:t>pH</w:t>
      </w:r>
      <w:r w:rsidRPr="00D22337">
        <w:rPr>
          <w:lang w:val="ru-RU"/>
        </w:rPr>
        <w:t xml:space="preserve">: </w:t>
      </w:r>
      <w:r w:rsidRPr="00D22337">
        <w:rPr>
          <w:lang w:eastAsia="bg-BG"/>
        </w:rPr>
        <w:t>7,0 - 9,0</w:t>
      </w:r>
    </w:p>
    <w:p w14:paraId="490FC2C4" w14:textId="32682B15" w:rsidR="002C50EE" w:rsidRDefault="002C50EE" w:rsidP="002C50EE">
      <w:pPr>
        <w:pStyle w:val="Heading1"/>
      </w:pPr>
      <w:r>
        <w:t>4. КЛИНИЧНИ ДАННИ</w:t>
      </w:r>
    </w:p>
    <w:p w14:paraId="0C8E6903" w14:textId="1F75D6B1" w:rsidR="008134C8" w:rsidRDefault="002C50EE" w:rsidP="004A448E">
      <w:pPr>
        <w:pStyle w:val="Heading2"/>
      </w:pPr>
      <w:r>
        <w:t>4.1. Терапевтични показания</w:t>
      </w:r>
    </w:p>
    <w:p w14:paraId="06BA111B" w14:textId="2B2EF341" w:rsidR="00D22337" w:rsidRDefault="00D22337" w:rsidP="00D22337"/>
    <w:p w14:paraId="4EDDBCC2"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Намаксир е показан за лечение на</w:t>
      </w:r>
    </w:p>
    <w:p w14:paraId="2B9F3758" w14:textId="3CE2C1FB" w:rsidR="00D22337" w:rsidRPr="00D22337" w:rsidRDefault="00D22337" w:rsidP="00D22337">
      <w:pPr>
        <w:pStyle w:val="ListParagraph"/>
        <w:numPr>
          <w:ilvl w:val="0"/>
          <w:numId w:val="35"/>
        </w:numPr>
        <w:spacing w:line="240" w:lineRule="auto"/>
        <w:rPr>
          <w:rFonts w:eastAsia="Times New Roman" w:cs="Arial"/>
          <w:sz w:val="24"/>
          <w:szCs w:val="24"/>
        </w:rPr>
      </w:pPr>
      <w:r w:rsidRPr="00D22337">
        <w:rPr>
          <w:rFonts w:eastAsia="Times New Roman" w:cs="Arial"/>
          <w:color w:val="000000"/>
          <w:lang w:eastAsia="bg-BG"/>
        </w:rPr>
        <w:t>активен ревматоиден артрит при възрастни пациенти;</w:t>
      </w:r>
    </w:p>
    <w:p w14:paraId="32EDEC70" w14:textId="77777777" w:rsidR="00D22337" w:rsidRPr="00D22337" w:rsidRDefault="00D22337" w:rsidP="00D22337">
      <w:pPr>
        <w:pStyle w:val="ListParagraph"/>
        <w:numPr>
          <w:ilvl w:val="0"/>
          <w:numId w:val="35"/>
        </w:numPr>
        <w:rPr>
          <w:rFonts w:ascii="Times New Roman" w:eastAsia="Times New Roman" w:hAnsi="Times New Roman" w:cs="Times New Roman"/>
          <w:color w:val="000000"/>
          <w:lang w:eastAsia="bg-BG"/>
        </w:rPr>
      </w:pPr>
      <w:r w:rsidRPr="00D22337">
        <w:rPr>
          <w:rFonts w:eastAsia="Times New Roman" w:cs="Arial"/>
          <w:color w:val="000000"/>
          <w:lang w:eastAsia="bg-BG"/>
        </w:rPr>
        <w:t>полиартритни форми на тежък, активен ювенилен идиопатичен артрит,</w:t>
      </w:r>
      <w:r w:rsidRPr="00D22337">
        <w:rPr>
          <w:rFonts w:eastAsia="Times New Roman" w:cs="Arial"/>
          <w:color w:val="000000"/>
          <w:lang w:val="ru-RU"/>
        </w:rPr>
        <w:t xml:space="preserve"> </w:t>
      </w:r>
      <w:r w:rsidRPr="00D22337">
        <w:rPr>
          <w:rFonts w:eastAsia="Times New Roman" w:cs="Arial"/>
          <w:color w:val="000000"/>
          <w:lang w:eastAsia="bg-BG"/>
        </w:rPr>
        <w:t>които не се повлияват от нестероидни противовъзпалителни средства (НСПВС);</w:t>
      </w:r>
      <w:r w:rsidRPr="00D22337">
        <w:rPr>
          <w:rFonts w:eastAsia="Times New Roman" w:cs="Arial"/>
          <w:i/>
          <w:iCs/>
          <w:color w:val="000000"/>
          <w:lang w:eastAsia="bg-BG"/>
        </w:rPr>
        <w:t xml:space="preserve"> </w:t>
      </w:r>
    </w:p>
    <w:p w14:paraId="5222E8E1" w14:textId="77777777" w:rsidR="00D22337" w:rsidRPr="00D22337" w:rsidRDefault="00D22337" w:rsidP="00D22337">
      <w:pPr>
        <w:pStyle w:val="ListParagraph"/>
        <w:numPr>
          <w:ilvl w:val="0"/>
          <w:numId w:val="35"/>
        </w:numPr>
        <w:rPr>
          <w:rFonts w:ascii="Times New Roman" w:eastAsia="Times New Roman" w:hAnsi="Times New Roman" w:cs="Times New Roman"/>
          <w:color w:val="000000"/>
          <w:lang w:eastAsia="bg-BG"/>
        </w:rPr>
      </w:pPr>
      <w:r w:rsidRPr="00D22337">
        <w:rPr>
          <w:rFonts w:eastAsia="Times New Roman" w:cs="Arial"/>
          <w:color w:val="000000"/>
          <w:lang w:eastAsia="bg-BG"/>
        </w:rPr>
        <w:lastRenderedPageBreak/>
        <w:t xml:space="preserve">тежък, резистентен инвалидизиращ псориазис, който не се повлиява от други форми на терапия, като например фототерапия, </w:t>
      </w:r>
      <w:r w:rsidRPr="00D22337">
        <w:rPr>
          <w:rFonts w:eastAsia="Times New Roman" w:cs="Arial"/>
          <w:color w:val="000000"/>
          <w:lang w:val="en-US"/>
        </w:rPr>
        <w:t>PUVA</w:t>
      </w:r>
      <w:r w:rsidRPr="00D22337">
        <w:rPr>
          <w:rFonts w:eastAsia="Times New Roman" w:cs="Arial"/>
          <w:color w:val="000000"/>
          <w:lang w:val="ru-RU"/>
        </w:rPr>
        <w:t xml:space="preserve"> </w:t>
      </w:r>
      <w:r w:rsidRPr="00D22337">
        <w:rPr>
          <w:rFonts w:eastAsia="Times New Roman" w:cs="Arial"/>
          <w:color w:val="000000"/>
          <w:lang w:eastAsia="bg-BG"/>
        </w:rPr>
        <w:t>и ретиноиди, и тежка форма на псориатичен артрит при възрастни пациенти,</w:t>
      </w:r>
    </w:p>
    <w:p w14:paraId="0FA29942" w14:textId="204CD888" w:rsidR="00D22337" w:rsidRPr="00D22337" w:rsidRDefault="00D22337" w:rsidP="00D22337">
      <w:pPr>
        <w:pStyle w:val="ListParagraph"/>
        <w:numPr>
          <w:ilvl w:val="0"/>
          <w:numId w:val="35"/>
        </w:numPr>
        <w:rPr>
          <w:rFonts w:ascii="Times New Roman" w:eastAsia="Times New Roman" w:hAnsi="Times New Roman" w:cs="Times New Roman"/>
          <w:color w:val="000000"/>
          <w:lang w:eastAsia="bg-BG"/>
        </w:rPr>
      </w:pPr>
      <w:r>
        <w:t>лека до умерена степен на болест на Крон или самостоятелно, или в комбинация с кортикостероиди при възрастни пациенти, които не се повлияват или са с непоносимост към тиопурини.</w:t>
      </w:r>
    </w:p>
    <w:p w14:paraId="3F1B9640" w14:textId="77777777" w:rsidR="00D22337" w:rsidRPr="00D22337" w:rsidRDefault="00D22337" w:rsidP="00D22337">
      <w:pPr>
        <w:rPr>
          <w:rFonts w:ascii="Times New Roman" w:eastAsia="Times New Roman" w:hAnsi="Times New Roman" w:cs="Times New Roman"/>
          <w:color w:val="000000"/>
          <w:lang w:eastAsia="bg-BG"/>
        </w:rPr>
      </w:pPr>
    </w:p>
    <w:p w14:paraId="30BE2C7B" w14:textId="1A873DA0" w:rsidR="008134C8" w:rsidRDefault="002C50EE" w:rsidP="004A448E">
      <w:pPr>
        <w:pStyle w:val="Heading2"/>
      </w:pPr>
      <w:r>
        <w:t>4.2. Дозировка и начин на приложение</w:t>
      </w:r>
    </w:p>
    <w:p w14:paraId="5153E956" w14:textId="1B2B5A4B" w:rsidR="00D22337" w:rsidRDefault="00D22337" w:rsidP="00D22337"/>
    <w:tbl>
      <w:tblPr>
        <w:tblStyle w:val="TableGrid"/>
        <w:tblW w:w="0" w:type="auto"/>
        <w:tblLook w:val="04A0" w:firstRow="1" w:lastRow="0" w:firstColumn="1" w:lastColumn="0" w:noHBand="0" w:noVBand="1"/>
      </w:tblPr>
      <w:tblGrid>
        <w:gridCol w:w="9350"/>
      </w:tblGrid>
      <w:tr w:rsidR="00D22337" w14:paraId="688CADE6" w14:textId="77777777" w:rsidTr="00D22337">
        <w:trPr>
          <w:trHeight w:val="1003"/>
        </w:trPr>
        <w:tc>
          <w:tcPr>
            <w:tcW w:w="9576" w:type="dxa"/>
          </w:tcPr>
          <w:p w14:paraId="1C1B9117" w14:textId="77777777" w:rsidR="00D22337" w:rsidRPr="00D22337" w:rsidRDefault="00D22337" w:rsidP="00D22337">
            <w:pPr>
              <w:spacing w:line="240" w:lineRule="auto"/>
              <w:rPr>
                <w:rFonts w:eastAsia="Times New Roman" w:cs="Arial"/>
                <w:sz w:val="24"/>
                <w:szCs w:val="24"/>
              </w:rPr>
            </w:pPr>
            <w:r w:rsidRPr="00D22337">
              <w:rPr>
                <w:rFonts w:eastAsia="Times New Roman" w:cs="Arial"/>
                <w:b/>
                <w:bCs/>
                <w:color w:val="000000"/>
                <w:lang w:eastAsia="bg-BG"/>
              </w:rPr>
              <w:t>Важно предупреждение относно дозировката на Намаксир (метотрексат)</w:t>
            </w:r>
          </w:p>
          <w:p w14:paraId="0D3E3ACB" w14:textId="77777777" w:rsidR="00D22337" w:rsidRPr="00D22337" w:rsidRDefault="00D22337" w:rsidP="00D22337">
            <w:pPr>
              <w:spacing w:line="240" w:lineRule="auto"/>
              <w:rPr>
                <w:rFonts w:eastAsia="Times New Roman" w:cs="Arial"/>
                <w:color w:val="000000"/>
                <w:lang w:eastAsia="bg-BG"/>
              </w:rPr>
            </w:pPr>
          </w:p>
          <w:p w14:paraId="703CD38D" w14:textId="40D6D88C" w:rsidR="00D22337" w:rsidRPr="00D22337" w:rsidRDefault="00D22337" w:rsidP="00D22337">
            <w:pPr>
              <w:spacing w:line="240" w:lineRule="auto"/>
              <w:rPr>
                <w:rFonts w:ascii="Times New Roman" w:eastAsia="Times New Roman" w:hAnsi="Times New Roman" w:cs="Times New Roman"/>
                <w:sz w:val="24"/>
                <w:szCs w:val="24"/>
              </w:rPr>
            </w:pPr>
            <w:r w:rsidRPr="00D22337">
              <w:rPr>
                <w:rFonts w:eastAsia="Times New Roman" w:cs="Arial"/>
                <w:color w:val="000000"/>
                <w:lang w:eastAsia="bg-BG"/>
              </w:rPr>
              <w:t xml:space="preserve">За лечение на артрит, псориазис и болест на Крон, Намаксир (метотрексат) </w:t>
            </w:r>
            <w:r w:rsidRPr="00D22337">
              <w:rPr>
                <w:rFonts w:eastAsia="Times New Roman" w:cs="Arial"/>
                <w:b/>
                <w:bCs/>
                <w:color w:val="000000"/>
                <w:lang w:eastAsia="bg-BG"/>
              </w:rPr>
              <w:t xml:space="preserve">трябва да се използва само веднъж седмично. </w:t>
            </w:r>
            <w:r w:rsidRPr="00D22337">
              <w:rPr>
                <w:rFonts w:eastAsia="Times New Roman" w:cs="Arial"/>
                <w:color w:val="000000"/>
                <w:lang w:eastAsia="bg-BG"/>
              </w:rPr>
              <w:t>Погрешната дозировка при използването на Намаксир (метотрексат) може да доведе до сериозни нежелани реакции, включително смърт. Моля, прочетете много внимателно тази точка в кратката характеристика на продукта</w:t>
            </w:r>
          </w:p>
        </w:tc>
      </w:tr>
    </w:tbl>
    <w:p w14:paraId="69339EC0" w14:textId="630D0451" w:rsidR="00D22337" w:rsidRDefault="00D22337" w:rsidP="00D22337"/>
    <w:p w14:paraId="014AF2A4"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Метотрексат трябва да се предписва само от лекари, които имат опит с използването на метотрексат и напълно разбират рисковете от терапията с метотрексат. Рутинно приложението трябва да се извършва от здравни специалисти. Ако клиничната ситуация позволява, лекуващия лекар може, в определени случаи, да делегира подкожното приложение на самите пациенти. Пациентите трябва да бъдат информирани и обучени на правилната техника на инжектиране при самостоятелното приложение на метотрексат. Първата инжекция Намаксир трябва да се извърши под пряко медицинско наблюдение.</w:t>
      </w:r>
    </w:p>
    <w:p w14:paraId="2920A982" w14:textId="77777777" w:rsidR="00D22337" w:rsidRDefault="00D22337" w:rsidP="00D22337">
      <w:pPr>
        <w:spacing w:line="240" w:lineRule="auto"/>
        <w:rPr>
          <w:rFonts w:eastAsia="Times New Roman" w:cs="Arial"/>
          <w:color w:val="000000"/>
          <w:lang w:eastAsia="bg-BG"/>
        </w:rPr>
      </w:pPr>
    </w:p>
    <w:p w14:paraId="334B2657" w14:textId="2477F5E2"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 xml:space="preserve">Намаксир се инжектира </w:t>
      </w:r>
      <w:r w:rsidRPr="00D22337">
        <w:rPr>
          <w:rFonts w:eastAsia="Times New Roman" w:cs="Arial"/>
          <w:b/>
          <w:bCs/>
          <w:color w:val="000000"/>
          <w:lang w:eastAsia="bg-BG"/>
        </w:rPr>
        <w:t>веднъж седмично.</w:t>
      </w:r>
    </w:p>
    <w:p w14:paraId="650AAA40"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 xml:space="preserve">Пациентът трябва да бъде изрично осведомен, че приложението е </w:t>
      </w:r>
      <w:r w:rsidRPr="00D22337">
        <w:rPr>
          <w:rFonts w:eastAsia="Times New Roman" w:cs="Arial"/>
          <w:b/>
          <w:bCs/>
          <w:color w:val="000000"/>
          <w:lang w:eastAsia="bg-BG"/>
        </w:rPr>
        <w:t xml:space="preserve">веднъж седмично. </w:t>
      </w:r>
      <w:r w:rsidRPr="00D22337">
        <w:rPr>
          <w:rFonts w:eastAsia="Times New Roman" w:cs="Arial"/>
          <w:color w:val="000000"/>
          <w:lang w:eastAsia="bg-BG"/>
        </w:rPr>
        <w:t>Препоръчително е да се определи конкретен подходящ ден от седмицата като ден за инжектиране.</w:t>
      </w:r>
    </w:p>
    <w:p w14:paraId="3D35799F" w14:textId="77777777" w:rsidR="00D22337" w:rsidRDefault="00D22337" w:rsidP="00D22337">
      <w:pPr>
        <w:spacing w:line="240" w:lineRule="auto"/>
        <w:rPr>
          <w:rFonts w:eastAsia="Times New Roman" w:cs="Arial"/>
          <w:color w:val="000000"/>
          <w:lang w:eastAsia="bg-BG"/>
        </w:rPr>
      </w:pPr>
    </w:p>
    <w:p w14:paraId="65324C00" w14:textId="6513A1DD"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Елиминирането на метотрексат е намалено при пациенти с трето пространство на разпределение (асцит, плеврален излив). Такива пациенти се нуждаят от особено внимателно наблюдение за поява на токсичност, и в някои случаи е необходимо понижаване на дозата или прекратяване на приложението на метотрексат (вж. точки 5.2 и 4.4).</w:t>
      </w:r>
    </w:p>
    <w:p w14:paraId="37A6F470" w14:textId="77777777" w:rsidR="00D22337" w:rsidRDefault="00D22337" w:rsidP="00D22337">
      <w:pPr>
        <w:spacing w:line="240" w:lineRule="auto"/>
        <w:rPr>
          <w:rFonts w:eastAsia="Times New Roman" w:cs="Arial"/>
          <w:color w:val="000000"/>
          <w:u w:val="single"/>
          <w:lang w:eastAsia="bg-BG"/>
        </w:rPr>
      </w:pPr>
    </w:p>
    <w:p w14:paraId="559A8FFD" w14:textId="4787968A" w:rsidR="00D22337" w:rsidRPr="00D22337" w:rsidRDefault="00D22337" w:rsidP="00D22337">
      <w:pPr>
        <w:spacing w:line="240" w:lineRule="auto"/>
        <w:rPr>
          <w:rFonts w:eastAsia="Times New Roman" w:cs="Arial"/>
          <w:sz w:val="24"/>
          <w:szCs w:val="24"/>
        </w:rPr>
      </w:pPr>
      <w:r w:rsidRPr="00D22337">
        <w:rPr>
          <w:rFonts w:eastAsia="Times New Roman" w:cs="Arial"/>
          <w:color w:val="000000"/>
          <w:u w:val="single"/>
          <w:lang w:eastAsia="bg-BG"/>
        </w:rPr>
        <w:t>Дозировка при възрастни пациенти с ревматоиден артрит</w:t>
      </w:r>
    </w:p>
    <w:p w14:paraId="2592BDA5"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 xml:space="preserve">Препоръчителната начална доза е 7,5 </w:t>
      </w:r>
      <w:r w:rsidRPr="00D22337">
        <w:rPr>
          <w:rFonts w:eastAsia="Times New Roman" w:cs="Arial"/>
          <w:color w:val="000000"/>
          <w:lang w:val="en-US"/>
        </w:rPr>
        <w:t>mg</w:t>
      </w:r>
      <w:r w:rsidRPr="00D22337">
        <w:rPr>
          <w:rFonts w:eastAsia="Times New Roman" w:cs="Arial"/>
          <w:color w:val="000000"/>
          <w:lang w:val="ru-RU"/>
        </w:rPr>
        <w:t xml:space="preserve"> </w:t>
      </w:r>
      <w:r w:rsidRPr="00D22337">
        <w:rPr>
          <w:rFonts w:eastAsia="Times New Roman" w:cs="Arial"/>
          <w:color w:val="000000"/>
          <w:lang w:eastAsia="bg-BG"/>
        </w:rPr>
        <w:t xml:space="preserve">метотрексат </w:t>
      </w:r>
      <w:r w:rsidRPr="00D22337">
        <w:rPr>
          <w:rFonts w:eastAsia="Times New Roman" w:cs="Arial"/>
          <w:b/>
          <w:bCs/>
          <w:color w:val="000000"/>
          <w:lang w:eastAsia="bg-BG"/>
        </w:rPr>
        <w:t xml:space="preserve">веднъж седмично, </w:t>
      </w:r>
      <w:r w:rsidRPr="00D22337">
        <w:rPr>
          <w:rFonts w:eastAsia="Times New Roman" w:cs="Arial"/>
          <w:color w:val="000000"/>
          <w:lang w:eastAsia="bg-BG"/>
        </w:rPr>
        <w:t xml:space="preserve">която се прилага подкожно. В зависимост от индивидуалната активност на заболяването и поносимостта от страна на пациента, началната доза може да се повишава постепенно със стъпка от 2,5 </w:t>
      </w:r>
      <w:r w:rsidRPr="00D22337">
        <w:rPr>
          <w:rFonts w:eastAsia="Times New Roman" w:cs="Arial"/>
          <w:color w:val="000000"/>
          <w:lang w:val="en-US"/>
        </w:rPr>
        <w:t>mg</w:t>
      </w:r>
      <w:r w:rsidRPr="00D22337">
        <w:rPr>
          <w:rFonts w:eastAsia="Times New Roman" w:cs="Arial"/>
          <w:color w:val="000000"/>
          <w:lang w:val="ru-RU"/>
        </w:rPr>
        <w:t xml:space="preserve"> </w:t>
      </w:r>
      <w:r w:rsidRPr="00D22337">
        <w:rPr>
          <w:rFonts w:eastAsia="Times New Roman" w:cs="Arial"/>
          <w:color w:val="000000"/>
          <w:lang w:eastAsia="bg-BG"/>
        </w:rPr>
        <w:t xml:space="preserve">на седмица. По принцип не трябва да се надвишава седмична доза от 25 </w:t>
      </w:r>
      <w:r w:rsidRPr="00D22337">
        <w:rPr>
          <w:rFonts w:eastAsia="Times New Roman" w:cs="Arial"/>
          <w:color w:val="000000"/>
          <w:lang w:val="en-US"/>
        </w:rPr>
        <w:t>mg</w:t>
      </w:r>
      <w:r w:rsidRPr="00D22337">
        <w:rPr>
          <w:rFonts w:eastAsia="Times New Roman" w:cs="Arial"/>
          <w:color w:val="000000"/>
          <w:lang w:val="ru-RU"/>
        </w:rPr>
        <w:t xml:space="preserve">. </w:t>
      </w:r>
      <w:r w:rsidRPr="00D22337">
        <w:rPr>
          <w:rFonts w:eastAsia="Times New Roman" w:cs="Arial"/>
          <w:color w:val="000000"/>
          <w:lang w:eastAsia="bg-BG"/>
        </w:rPr>
        <w:t xml:space="preserve">Въпреки това, дози над 20 </w:t>
      </w:r>
      <w:r w:rsidRPr="00D22337">
        <w:rPr>
          <w:rFonts w:eastAsia="Times New Roman" w:cs="Arial"/>
          <w:color w:val="000000"/>
          <w:lang w:val="en-US"/>
        </w:rPr>
        <w:t>mg</w:t>
      </w:r>
      <w:r w:rsidRPr="00D22337">
        <w:rPr>
          <w:rFonts w:eastAsia="Times New Roman" w:cs="Arial"/>
          <w:color w:val="000000"/>
          <w:lang w:eastAsia="bg-BG"/>
        </w:rPr>
        <w:t>/седмица са свързани със значително увеличение на токсичността, особено с потискане на костномозъчната функция. Отговор към лечението може да се очаква след около 4-8 седмици. При постигане на терапевтично желания резултат, дозата трябва да се понижава постепенно до най-ниската възможна ефективна поддържаща доза.</w:t>
      </w:r>
    </w:p>
    <w:p w14:paraId="5CCB47F6" w14:textId="77777777" w:rsidR="00D22337" w:rsidRDefault="00D22337" w:rsidP="00D22337">
      <w:pPr>
        <w:spacing w:line="240" w:lineRule="auto"/>
        <w:rPr>
          <w:rFonts w:eastAsia="Times New Roman" w:cs="Arial"/>
          <w:color w:val="000000"/>
          <w:u w:val="single"/>
          <w:lang w:eastAsia="bg-BG"/>
        </w:rPr>
      </w:pPr>
    </w:p>
    <w:p w14:paraId="09822987" w14:textId="1AFC5165" w:rsidR="00D22337" w:rsidRPr="00D22337" w:rsidRDefault="00D22337" w:rsidP="00D22337">
      <w:pPr>
        <w:spacing w:line="240" w:lineRule="auto"/>
        <w:rPr>
          <w:rFonts w:eastAsia="Times New Roman" w:cs="Arial"/>
          <w:sz w:val="24"/>
          <w:szCs w:val="24"/>
        </w:rPr>
      </w:pPr>
      <w:r w:rsidRPr="00D22337">
        <w:rPr>
          <w:rFonts w:eastAsia="Times New Roman" w:cs="Arial"/>
          <w:color w:val="000000"/>
          <w:u w:val="single"/>
          <w:lang w:eastAsia="bg-BG"/>
        </w:rPr>
        <w:t>Дозировка при деца и юноши под 16 години с полиартритни Форми на ювенилен идиопатичен артрит</w:t>
      </w:r>
    </w:p>
    <w:p w14:paraId="617FD790"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lastRenderedPageBreak/>
        <w:t xml:space="preserve">Препоръчителната доза е 10-15 </w:t>
      </w:r>
      <w:r w:rsidRPr="00D22337">
        <w:rPr>
          <w:rFonts w:eastAsia="Times New Roman" w:cs="Arial"/>
          <w:color w:val="000000"/>
          <w:lang w:val="en-US"/>
        </w:rPr>
        <w:t>mg</w:t>
      </w:r>
      <w:r w:rsidRPr="00D22337">
        <w:rPr>
          <w:rFonts w:eastAsia="Times New Roman" w:cs="Arial"/>
          <w:color w:val="000000"/>
          <w:lang w:val="ru-RU"/>
        </w:rPr>
        <w:t>/</w:t>
      </w:r>
      <w:r w:rsidRPr="00D22337">
        <w:rPr>
          <w:rFonts w:eastAsia="Times New Roman" w:cs="Arial"/>
          <w:color w:val="000000"/>
          <w:lang w:val="en-US"/>
        </w:rPr>
        <w:t>m</w:t>
      </w:r>
      <w:r w:rsidRPr="00D22337">
        <w:rPr>
          <w:rFonts w:eastAsia="Times New Roman" w:cs="Arial"/>
          <w:color w:val="000000"/>
          <w:vertAlign w:val="superscript"/>
          <w:lang w:val="ru-RU"/>
        </w:rPr>
        <w:t>2</w:t>
      </w:r>
      <w:r w:rsidRPr="00D22337">
        <w:rPr>
          <w:rFonts w:eastAsia="Times New Roman" w:cs="Arial"/>
          <w:color w:val="000000"/>
          <w:lang w:val="ru-RU"/>
        </w:rPr>
        <w:t xml:space="preserve"> </w:t>
      </w:r>
      <w:r w:rsidRPr="00D22337">
        <w:rPr>
          <w:rFonts w:eastAsia="Times New Roman" w:cs="Arial"/>
          <w:color w:val="000000"/>
          <w:lang w:eastAsia="bg-BG"/>
        </w:rPr>
        <w:t xml:space="preserve">телесна повърхност (ТП)/веднъж седмично, която се прилага подкожно. При случаи, които са рефрактерни на терапия седмичната доза може да се повиши до 20 </w:t>
      </w:r>
      <w:r w:rsidRPr="00D22337">
        <w:rPr>
          <w:rFonts w:eastAsia="Times New Roman" w:cs="Arial"/>
          <w:color w:val="000000"/>
          <w:lang w:val="en-US"/>
        </w:rPr>
        <w:t>mg</w:t>
      </w:r>
      <w:r w:rsidRPr="00D22337">
        <w:rPr>
          <w:rFonts w:eastAsia="Times New Roman" w:cs="Arial"/>
          <w:color w:val="000000"/>
          <w:lang w:val="ru-RU"/>
        </w:rPr>
        <w:t>/</w:t>
      </w:r>
      <w:r w:rsidRPr="00D22337">
        <w:rPr>
          <w:rFonts w:eastAsia="Times New Roman" w:cs="Arial"/>
          <w:color w:val="000000"/>
          <w:lang w:val="en-US"/>
        </w:rPr>
        <w:t>m</w:t>
      </w:r>
      <w:r w:rsidRPr="00D22337">
        <w:rPr>
          <w:rFonts w:eastAsia="Times New Roman" w:cs="Arial"/>
          <w:color w:val="000000"/>
          <w:vertAlign w:val="superscript"/>
          <w:lang w:val="ru-RU"/>
        </w:rPr>
        <w:t>2</w:t>
      </w:r>
      <w:r w:rsidRPr="00D22337">
        <w:rPr>
          <w:rFonts w:eastAsia="Times New Roman" w:cs="Arial"/>
          <w:color w:val="000000"/>
          <w:lang w:val="ru-RU"/>
        </w:rPr>
        <w:t xml:space="preserve"> </w:t>
      </w:r>
      <w:r w:rsidRPr="00D22337">
        <w:rPr>
          <w:rFonts w:eastAsia="Times New Roman" w:cs="Arial"/>
          <w:color w:val="000000"/>
          <w:lang w:eastAsia="bg-BG"/>
        </w:rPr>
        <w:t>телесна повърхност/веднъж седмично. Все пак, ако дозата се повиши, е необходима повишена честота на проследяване.</w:t>
      </w:r>
    </w:p>
    <w:p w14:paraId="007DA002"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Пациенти с ЮИА трябва винаги да бъдат насочвани към ревматолог, специалист в лечението на деца/юноши.</w:t>
      </w:r>
    </w:p>
    <w:p w14:paraId="47B281A3" w14:textId="77777777" w:rsidR="00D22337" w:rsidRDefault="00D22337" w:rsidP="00D22337">
      <w:pPr>
        <w:spacing w:line="240" w:lineRule="auto"/>
        <w:rPr>
          <w:rFonts w:eastAsia="Times New Roman" w:cs="Arial"/>
          <w:color w:val="000000"/>
          <w:lang w:eastAsia="bg-BG"/>
        </w:rPr>
      </w:pPr>
    </w:p>
    <w:p w14:paraId="6E702765" w14:textId="7D949203"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Употреба при деца &lt; 3 годишна възраст не се препоръчва, тъй като няма достатъчно налични данни за ефикасност и безопасност за тази популация (вж. точка 4.4).</w:t>
      </w:r>
    </w:p>
    <w:p w14:paraId="5565294A" w14:textId="77777777" w:rsidR="00D22337" w:rsidRDefault="00D22337" w:rsidP="00D22337">
      <w:pPr>
        <w:spacing w:line="240" w:lineRule="auto"/>
        <w:rPr>
          <w:rFonts w:eastAsia="Times New Roman" w:cs="Arial"/>
          <w:color w:val="000000"/>
          <w:u w:val="single"/>
          <w:lang w:eastAsia="bg-BG"/>
        </w:rPr>
      </w:pPr>
    </w:p>
    <w:p w14:paraId="5FA43026" w14:textId="2624307E" w:rsidR="00D22337" w:rsidRPr="00D22337" w:rsidRDefault="00D22337" w:rsidP="00D22337">
      <w:pPr>
        <w:spacing w:line="240" w:lineRule="auto"/>
        <w:rPr>
          <w:rFonts w:eastAsia="Times New Roman" w:cs="Arial"/>
          <w:sz w:val="24"/>
          <w:szCs w:val="24"/>
        </w:rPr>
      </w:pPr>
      <w:r w:rsidRPr="00D22337">
        <w:rPr>
          <w:rFonts w:eastAsia="Times New Roman" w:cs="Arial"/>
          <w:color w:val="000000"/>
          <w:u w:val="single"/>
          <w:lang w:eastAsia="bg-BG"/>
        </w:rPr>
        <w:t>Дозировка при пациенти с псориазис вулгарис и псориатичен артрит</w:t>
      </w:r>
    </w:p>
    <w:p w14:paraId="27DBCF06" w14:textId="77777777" w:rsidR="00D22337" w:rsidRPr="00D22337" w:rsidRDefault="00D22337" w:rsidP="00D22337">
      <w:pPr>
        <w:rPr>
          <w:rFonts w:eastAsia="Times New Roman" w:cs="Arial"/>
          <w:sz w:val="24"/>
          <w:szCs w:val="24"/>
        </w:rPr>
      </w:pPr>
      <w:r w:rsidRPr="00D22337">
        <w:rPr>
          <w:rFonts w:eastAsia="Times New Roman" w:cs="Arial"/>
          <w:color w:val="000000"/>
          <w:lang w:eastAsia="bg-BG"/>
        </w:rPr>
        <w:t>Препоръчително е една седмица преди началото на терапията да се приложи паренерално тест</w:t>
      </w:r>
      <w:r w:rsidRPr="00D22337">
        <w:rPr>
          <w:rFonts w:eastAsia="Times New Roman" w:cs="Arial"/>
          <w:b/>
          <w:bCs/>
          <w:color w:val="000000"/>
          <w:lang w:eastAsia="bg-BG"/>
        </w:rPr>
        <w:t xml:space="preserve"> </w:t>
      </w:r>
      <w:r w:rsidRPr="00D22337">
        <w:rPr>
          <w:rFonts w:eastAsia="Times New Roman" w:cs="Arial"/>
          <w:color w:val="000000"/>
          <w:lang w:eastAsia="bg-BG"/>
        </w:rPr>
        <w:t xml:space="preserve">доза от 5 - 10 </w:t>
      </w:r>
      <w:r w:rsidRPr="00D22337">
        <w:rPr>
          <w:rFonts w:eastAsia="Times New Roman" w:cs="Arial"/>
          <w:color w:val="000000"/>
          <w:lang w:val="en-US"/>
        </w:rPr>
        <w:t>mg</w:t>
      </w:r>
      <w:r w:rsidRPr="00D22337">
        <w:rPr>
          <w:rFonts w:eastAsia="Times New Roman" w:cs="Arial"/>
          <w:color w:val="000000"/>
          <w:lang w:val="ru-RU"/>
        </w:rPr>
        <w:t xml:space="preserve">, </w:t>
      </w:r>
      <w:r w:rsidRPr="00D22337">
        <w:rPr>
          <w:rFonts w:eastAsia="Times New Roman" w:cs="Arial"/>
          <w:color w:val="000000"/>
          <w:lang w:eastAsia="bg-BG"/>
        </w:rPr>
        <w:t>за да се открият идиосинкразни нежелани реакции. Препоръчителната</w:t>
      </w:r>
      <w:r>
        <w:rPr>
          <w:rFonts w:eastAsia="Times New Roman" w:cs="Arial"/>
          <w:color w:val="000000"/>
          <w:lang w:eastAsia="bg-BG"/>
        </w:rPr>
        <w:t xml:space="preserve"> </w:t>
      </w:r>
      <w:r w:rsidRPr="00D22337">
        <w:rPr>
          <w:rFonts w:eastAsia="Times New Roman" w:cs="Arial"/>
          <w:i/>
          <w:iCs/>
          <w:color w:val="000000"/>
          <w:lang w:eastAsia="bg-BG"/>
        </w:rPr>
        <w:t>начална</w:t>
      </w:r>
      <w:r w:rsidRPr="00D22337">
        <w:rPr>
          <w:rFonts w:eastAsia="Times New Roman" w:cs="Arial"/>
          <w:color w:val="000000"/>
          <w:lang w:eastAsia="bg-BG"/>
        </w:rPr>
        <w:t xml:space="preserve"> доза е 7,5 </w:t>
      </w:r>
      <w:r w:rsidRPr="00D22337">
        <w:rPr>
          <w:rFonts w:eastAsia="Times New Roman" w:cs="Arial"/>
          <w:color w:val="000000"/>
          <w:lang w:val="en-US"/>
        </w:rPr>
        <w:t>mg</w:t>
      </w:r>
      <w:r w:rsidRPr="00D22337">
        <w:rPr>
          <w:rFonts w:eastAsia="Times New Roman" w:cs="Arial"/>
          <w:color w:val="000000"/>
          <w:lang w:val="ru-RU"/>
        </w:rPr>
        <w:t xml:space="preserve"> </w:t>
      </w:r>
      <w:r w:rsidRPr="00D22337">
        <w:rPr>
          <w:rFonts w:eastAsia="Times New Roman" w:cs="Arial"/>
          <w:color w:val="000000"/>
          <w:lang w:eastAsia="bg-BG"/>
        </w:rPr>
        <w:t xml:space="preserve">метотрексат </w:t>
      </w:r>
      <w:r w:rsidRPr="00D22337">
        <w:rPr>
          <w:rFonts w:eastAsia="Times New Roman" w:cs="Arial"/>
          <w:b/>
          <w:bCs/>
          <w:color w:val="000000"/>
          <w:lang w:eastAsia="bg-BG"/>
        </w:rPr>
        <w:t xml:space="preserve">веднъж седмично, </w:t>
      </w:r>
      <w:r w:rsidRPr="00D22337">
        <w:rPr>
          <w:rFonts w:eastAsia="Times New Roman" w:cs="Arial"/>
          <w:color w:val="000000"/>
          <w:lang w:eastAsia="bg-BG"/>
        </w:rPr>
        <w:t xml:space="preserve">приложени подкожно. Дозата трябва да се повишава постепенно, но по принцип не трябва да надвишава седмична доза от 25 </w:t>
      </w:r>
      <w:r w:rsidRPr="00D22337">
        <w:rPr>
          <w:rFonts w:eastAsia="Times New Roman" w:cs="Arial"/>
          <w:color w:val="000000"/>
          <w:lang w:val="en-US"/>
        </w:rPr>
        <w:t>mg</w:t>
      </w:r>
      <w:r w:rsidRPr="00D22337">
        <w:rPr>
          <w:rFonts w:eastAsia="Times New Roman" w:cs="Arial"/>
          <w:color w:val="000000"/>
          <w:lang w:val="ru-RU"/>
        </w:rPr>
        <w:t xml:space="preserve"> </w:t>
      </w:r>
      <w:r w:rsidRPr="00D22337">
        <w:rPr>
          <w:rFonts w:eastAsia="Times New Roman" w:cs="Arial"/>
          <w:color w:val="000000"/>
          <w:lang w:eastAsia="bg-BG"/>
        </w:rPr>
        <w:t xml:space="preserve">метотрексат. Дози, надвишаващи 20 </w:t>
      </w:r>
      <w:r w:rsidRPr="00D22337">
        <w:rPr>
          <w:rFonts w:eastAsia="Times New Roman" w:cs="Arial"/>
          <w:color w:val="000000"/>
          <w:lang w:val="en-US"/>
        </w:rPr>
        <w:t>mg</w:t>
      </w:r>
      <w:r w:rsidRPr="00D22337">
        <w:rPr>
          <w:rFonts w:eastAsia="Times New Roman" w:cs="Arial"/>
          <w:color w:val="000000"/>
          <w:lang w:val="ru-RU"/>
        </w:rPr>
        <w:t xml:space="preserve"> </w:t>
      </w:r>
      <w:r w:rsidRPr="00D22337">
        <w:rPr>
          <w:rFonts w:eastAsia="Times New Roman" w:cs="Arial"/>
          <w:color w:val="000000"/>
          <w:lang w:eastAsia="bg-BG"/>
        </w:rPr>
        <w:t>на седмица могат да бъдат свързани със значително повишаване на токсичността, особено костномозъчна супресия. Отговор към лечението обикновено може да се очаква след около 2-6 седмици. При постигане на терапевтично желания резултат, дозата трябва да се понижава постепенно до най-ниската възможна ефективна поддържаща доза.</w:t>
      </w:r>
    </w:p>
    <w:p w14:paraId="5D3C18B9" w14:textId="77777777" w:rsidR="00D22337" w:rsidRDefault="00D22337" w:rsidP="00D22337">
      <w:pPr>
        <w:spacing w:line="240" w:lineRule="auto"/>
        <w:rPr>
          <w:rFonts w:eastAsia="Times New Roman" w:cs="Arial"/>
          <w:color w:val="000000"/>
          <w:u w:val="single"/>
          <w:lang w:eastAsia="bg-BG"/>
        </w:rPr>
      </w:pPr>
    </w:p>
    <w:p w14:paraId="36A1E1C9" w14:textId="1F8F7304" w:rsidR="00D22337" w:rsidRPr="00D22337" w:rsidRDefault="00D22337" w:rsidP="00D22337">
      <w:pPr>
        <w:spacing w:line="240" w:lineRule="auto"/>
        <w:rPr>
          <w:rFonts w:eastAsia="Times New Roman" w:cs="Arial"/>
          <w:sz w:val="24"/>
          <w:szCs w:val="24"/>
        </w:rPr>
      </w:pPr>
      <w:r w:rsidRPr="00D22337">
        <w:rPr>
          <w:rFonts w:eastAsia="Times New Roman" w:cs="Arial"/>
          <w:color w:val="000000"/>
          <w:u w:val="single"/>
          <w:lang w:eastAsia="bg-BG"/>
        </w:rPr>
        <w:t>Дозировка при пациенти с болест на Крон</w:t>
      </w:r>
    </w:p>
    <w:p w14:paraId="7B5FB63B"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Индукционно лечение*.</w:t>
      </w:r>
    </w:p>
    <w:p w14:paraId="21DEE9F3" w14:textId="00299C3B" w:rsidR="00D22337" w:rsidRPr="00D22337" w:rsidRDefault="00D22337" w:rsidP="00D22337">
      <w:pPr>
        <w:pStyle w:val="ListParagraph"/>
        <w:numPr>
          <w:ilvl w:val="0"/>
          <w:numId w:val="35"/>
        </w:numPr>
        <w:spacing w:line="240" w:lineRule="auto"/>
        <w:rPr>
          <w:rFonts w:eastAsia="Times New Roman" w:cs="Arial"/>
          <w:color w:val="000000"/>
          <w:lang w:val="ru-RU"/>
        </w:rPr>
      </w:pPr>
      <w:proofErr w:type="gramStart"/>
      <w:r w:rsidRPr="00D22337">
        <w:rPr>
          <w:rFonts w:eastAsia="Times New Roman" w:cs="Arial"/>
          <w:color w:val="000000"/>
          <w:lang w:val="en-US"/>
        </w:rPr>
        <w:t>mg</w:t>
      </w:r>
      <w:r w:rsidRPr="00D22337">
        <w:rPr>
          <w:rFonts w:eastAsia="Times New Roman" w:cs="Arial"/>
          <w:color w:val="000000"/>
          <w:lang w:eastAsia="bg-BG"/>
        </w:rPr>
        <w:t>/седмица</w:t>
      </w:r>
      <w:proofErr w:type="gramEnd"/>
      <w:r w:rsidRPr="00D22337">
        <w:rPr>
          <w:rFonts w:eastAsia="Times New Roman" w:cs="Arial"/>
          <w:color w:val="000000"/>
          <w:lang w:eastAsia="bg-BG"/>
        </w:rPr>
        <w:t>, които се прилагат подкожно.</w:t>
      </w:r>
    </w:p>
    <w:p w14:paraId="7FC1D422"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Отговор към лечението може да се очаква след около 8 до 12 седмици. Поддържащо лечение:</w:t>
      </w:r>
    </w:p>
    <w:p w14:paraId="49F419C8" w14:textId="484D43C1" w:rsidR="00D22337" w:rsidRPr="00D22337" w:rsidRDefault="00D22337" w:rsidP="00D22337">
      <w:pPr>
        <w:pStyle w:val="ListParagraph"/>
        <w:numPr>
          <w:ilvl w:val="0"/>
          <w:numId w:val="35"/>
        </w:numPr>
        <w:spacing w:line="240" w:lineRule="auto"/>
        <w:rPr>
          <w:rFonts w:eastAsia="Times New Roman" w:cs="Arial"/>
          <w:color w:val="000000"/>
          <w:lang w:val="ru-RU"/>
        </w:rPr>
      </w:pPr>
      <w:proofErr w:type="gramStart"/>
      <w:r w:rsidRPr="00D22337">
        <w:rPr>
          <w:rFonts w:eastAsia="Times New Roman" w:cs="Arial"/>
          <w:color w:val="000000"/>
          <w:lang w:val="en-US"/>
        </w:rPr>
        <w:t>mg</w:t>
      </w:r>
      <w:r w:rsidRPr="00D22337">
        <w:rPr>
          <w:rFonts w:eastAsia="Times New Roman" w:cs="Arial"/>
          <w:color w:val="000000"/>
          <w:lang w:eastAsia="bg-BG"/>
        </w:rPr>
        <w:t>/седмица</w:t>
      </w:r>
      <w:proofErr w:type="gramEnd"/>
      <w:r w:rsidRPr="00D22337">
        <w:rPr>
          <w:rFonts w:eastAsia="Times New Roman" w:cs="Arial"/>
          <w:color w:val="000000"/>
          <w:lang w:eastAsia="bg-BG"/>
        </w:rPr>
        <w:t>, които се прилагат подкожно.</w:t>
      </w:r>
    </w:p>
    <w:p w14:paraId="24BB16D7" w14:textId="77777777" w:rsidR="00D22337" w:rsidRDefault="00D22337" w:rsidP="00D22337">
      <w:pPr>
        <w:spacing w:line="240" w:lineRule="auto"/>
        <w:rPr>
          <w:rFonts w:eastAsia="Times New Roman" w:cs="Arial"/>
          <w:color w:val="000000"/>
          <w:lang w:eastAsia="bg-BG"/>
        </w:rPr>
      </w:pPr>
    </w:p>
    <w:p w14:paraId="348DEA32" w14:textId="22D371A2"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Няма достатъчно опит в педиатричната популация, за да се препоръча Намаксир за лечение на болестта на Крон при тази популация.</w:t>
      </w:r>
    </w:p>
    <w:p w14:paraId="07B1F133" w14:textId="77777777" w:rsidR="00D22337" w:rsidRDefault="00D22337" w:rsidP="00D22337">
      <w:pPr>
        <w:spacing w:line="240" w:lineRule="auto"/>
        <w:rPr>
          <w:rFonts w:eastAsia="Times New Roman" w:cs="Arial"/>
          <w:i/>
          <w:iCs/>
          <w:color w:val="000000"/>
          <w:lang w:eastAsia="bg-BG"/>
        </w:rPr>
      </w:pPr>
    </w:p>
    <w:p w14:paraId="435E4027" w14:textId="3867F86B" w:rsidR="00D22337" w:rsidRPr="00D22337" w:rsidRDefault="00D22337" w:rsidP="00D22337">
      <w:pPr>
        <w:spacing w:line="240" w:lineRule="auto"/>
        <w:rPr>
          <w:rFonts w:eastAsia="Times New Roman" w:cs="Arial"/>
          <w:sz w:val="24"/>
          <w:szCs w:val="24"/>
        </w:rPr>
      </w:pPr>
      <w:r w:rsidRPr="00D22337">
        <w:rPr>
          <w:rFonts w:eastAsia="Times New Roman" w:cs="Arial"/>
          <w:i/>
          <w:iCs/>
          <w:color w:val="000000"/>
          <w:lang w:eastAsia="bg-BG"/>
        </w:rPr>
        <w:t>Максимална седмична доза</w:t>
      </w:r>
    </w:p>
    <w:p w14:paraId="11CFF6A8"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 xml:space="preserve">Дозата трябва да се повишава според случая, но по принцип не трябва да надвишава максималната препоръчителна седмична доза от 25 </w:t>
      </w:r>
      <w:r w:rsidRPr="00D22337">
        <w:rPr>
          <w:rFonts w:eastAsia="Times New Roman" w:cs="Arial"/>
          <w:color w:val="000000"/>
          <w:lang w:val="en-US"/>
        </w:rPr>
        <w:t>mg</w:t>
      </w:r>
      <w:r w:rsidRPr="00D22337">
        <w:rPr>
          <w:rFonts w:eastAsia="Times New Roman" w:cs="Arial"/>
          <w:color w:val="000000"/>
          <w:lang w:val="ru-RU"/>
        </w:rPr>
        <w:t xml:space="preserve">. </w:t>
      </w:r>
      <w:r w:rsidRPr="00D22337">
        <w:rPr>
          <w:rFonts w:eastAsia="Times New Roman" w:cs="Arial"/>
          <w:color w:val="000000"/>
          <w:lang w:eastAsia="bg-BG"/>
        </w:rPr>
        <w:t xml:space="preserve">В някои случаи по изключение може да е клинично оправдано прилагане на по-висока доза, но не трябва да се превишава максималната седмична доза от 30 </w:t>
      </w:r>
      <w:r w:rsidRPr="00D22337">
        <w:rPr>
          <w:rFonts w:eastAsia="Times New Roman" w:cs="Arial"/>
          <w:color w:val="000000"/>
          <w:lang w:val="en-US"/>
        </w:rPr>
        <w:t>mg</w:t>
      </w:r>
      <w:r w:rsidRPr="00D22337">
        <w:rPr>
          <w:rFonts w:eastAsia="Times New Roman" w:cs="Arial"/>
          <w:color w:val="000000"/>
          <w:lang w:val="ru-RU"/>
        </w:rPr>
        <w:t xml:space="preserve"> </w:t>
      </w:r>
      <w:r w:rsidRPr="00D22337">
        <w:rPr>
          <w:rFonts w:eastAsia="Times New Roman" w:cs="Arial"/>
          <w:color w:val="000000"/>
          <w:lang w:eastAsia="bg-BG"/>
        </w:rPr>
        <w:t>метотрексат, тъй като токсичността ще се увеличи значително.</w:t>
      </w:r>
    </w:p>
    <w:p w14:paraId="2D863BA9" w14:textId="77777777" w:rsidR="00D22337" w:rsidRDefault="00D22337" w:rsidP="00D22337">
      <w:pPr>
        <w:spacing w:line="240" w:lineRule="auto"/>
        <w:rPr>
          <w:rFonts w:eastAsia="Times New Roman" w:cs="Arial"/>
          <w:color w:val="000000"/>
          <w:u w:val="single"/>
          <w:lang w:eastAsia="bg-BG"/>
        </w:rPr>
      </w:pPr>
    </w:p>
    <w:p w14:paraId="72364061" w14:textId="507EDA36" w:rsidR="00D22337" w:rsidRPr="00D22337" w:rsidRDefault="00D22337" w:rsidP="00D22337">
      <w:pPr>
        <w:spacing w:line="240" w:lineRule="auto"/>
        <w:rPr>
          <w:rFonts w:eastAsia="Times New Roman" w:cs="Arial"/>
          <w:sz w:val="24"/>
          <w:szCs w:val="24"/>
        </w:rPr>
      </w:pPr>
      <w:r w:rsidRPr="00D22337">
        <w:rPr>
          <w:rFonts w:eastAsia="Times New Roman" w:cs="Arial"/>
          <w:color w:val="000000"/>
          <w:u w:val="single"/>
          <w:lang w:eastAsia="bg-BG"/>
        </w:rPr>
        <w:t>Пациенти с бъбречно увреждане</w:t>
      </w:r>
    </w:p>
    <w:p w14:paraId="2650AFAB"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Намаксир трябва да се използва с повишено внимание при пациенти с увредена бъбречна функция. Дозата трябва да се адаптира, както следва:</w:t>
      </w:r>
    </w:p>
    <w:p w14:paraId="056B7E4E" w14:textId="24EDDBB8" w:rsidR="00D22337" w:rsidRPr="00D22337" w:rsidRDefault="00D22337" w:rsidP="00D22337">
      <w:pPr>
        <w:rPr>
          <w:rFonts w:eastAsia="Times New Roman" w:cs="Arial"/>
          <w:color w:val="000000"/>
          <w:lang w:eastAsia="bg-BG"/>
        </w:rPr>
      </w:pPr>
    </w:p>
    <w:tbl>
      <w:tblPr>
        <w:tblStyle w:val="TableGrid"/>
        <w:tblW w:w="0" w:type="auto"/>
        <w:tblLook w:val="04A0" w:firstRow="1" w:lastRow="0" w:firstColumn="1" w:lastColumn="0" w:noHBand="0" w:noVBand="1"/>
      </w:tblPr>
      <w:tblGrid>
        <w:gridCol w:w="3794"/>
        <w:gridCol w:w="4252"/>
      </w:tblGrid>
      <w:tr w:rsidR="00D22337" w14:paraId="6250DEDB" w14:textId="77777777" w:rsidTr="00D22337">
        <w:tc>
          <w:tcPr>
            <w:tcW w:w="3794" w:type="dxa"/>
          </w:tcPr>
          <w:p w14:paraId="330BCDEC" w14:textId="635C4A5D" w:rsidR="00D22337" w:rsidRDefault="00D22337" w:rsidP="00D22337">
            <w:r>
              <w:t xml:space="preserve">Креатининов клирънс </w:t>
            </w:r>
            <w:r>
              <w:rPr>
                <w:lang w:val="en-US"/>
              </w:rPr>
              <w:t>(ml/min)</w:t>
            </w:r>
          </w:p>
        </w:tc>
        <w:tc>
          <w:tcPr>
            <w:tcW w:w="4252" w:type="dxa"/>
          </w:tcPr>
          <w:p w14:paraId="66E7B67E" w14:textId="669DBCC8" w:rsidR="00D22337" w:rsidRDefault="00D22337" w:rsidP="00D22337">
            <w:r>
              <w:t>Доза</w:t>
            </w:r>
          </w:p>
        </w:tc>
      </w:tr>
      <w:tr w:rsidR="00D22337" w14:paraId="0B0911DD" w14:textId="77777777" w:rsidTr="00D22337">
        <w:tc>
          <w:tcPr>
            <w:tcW w:w="3794" w:type="dxa"/>
          </w:tcPr>
          <w:p w14:paraId="538264A7" w14:textId="4C602D2E" w:rsidR="00D22337" w:rsidRDefault="00D22337" w:rsidP="00D22337">
            <w:r>
              <w:t>&gt;60</w:t>
            </w:r>
          </w:p>
        </w:tc>
        <w:tc>
          <w:tcPr>
            <w:tcW w:w="4252" w:type="dxa"/>
          </w:tcPr>
          <w:p w14:paraId="4C5C467D" w14:textId="20B22677" w:rsidR="00D22337" w:rsidRDefault="00D22337" w:rsidP="00D22337">
            <w:r>
              <w:t>100%</w:t>
            </w:r>
          </w:p>
        </w:tc>
      </w:tr>
      <w:tr w:rsidR="00D22337" w14:paraId="48C56364" w14:textId="77777777" w:rsidTr="00D22337">
        <w:tc>
          <w:tcPr>
            <w:tcW w:w="3794" w:type="dxa"/>
          </w:tcPr>
          <w:p w14:paraId="75FF06B3" w14:textId="6D7A5428" w:rsidR="00D22337" w:rsidRDefault="00D22337" w:rsidP="00D22337">
            <w:r>
              <w:t>30-59</w:t>
            </w:r>
          </w:p>
        </w:tc>
        <w:tc>
          <w:tcPr>
            <w:tcW w:w="4252" w:type="dxa"/>
          </w:tcPr>
          <w:p w14:paraId="53B102CD" w14:textId="08FB73D4" w:rsidR="00D22337" w:rsidRDefault="00D22337" w:rsidP="00D22337">
            <w:r>
              <w:t>50%</w:t>
            </w:r>
          </w:p>
        </w:tc>
      </w:tr>
      <w:tr w:rsidR="00D22337" w14:paraId="0366B79E" w14:textId="77777777" w:rsidTr="00D22337">
        <w:tc>
          <w:tcPr>
            <w:tcW w:w="3794" w:type="dxa"/>
          </w:tcPr>
          <w:p w14:paraId="5782C2E7" w14:textId="319731B5" w:rsidR="00D22337" w:rsidRDefault="00D22337" w:rsidP="00D22337">
            <w:r>
              <w:t>&lt;30</w:t>
            </w:r>
          </w:p>
        </w:tc>
        <w:tc>
          <w:tcPr>
            <w:tcW w:w="4252" w:type="dxa"/>
          </w:tcPr>
          <w:p w14:paraId="4E7BEE03" w14:textId="105AAE3F" w:rsidR="00D22337" w:rsidRDefault="00D22337" w:rsidP="00D22337">
            <w:r>
              <w:t>Намаксир не трябва да се използва</w:t>
            </w:r>
          </w:p>
        </w:tc>
      </w:tr>
    </w:tbl>
    <w:p w14:paraId="39FFFBBD" w14:textId="420D44A2" w:rsidR="00D22337" w:rsidRDefault="00D22337" w:rsidP="00D22337"/>
    <w:p w14:paraId="0249A55A"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Вижте точка 4.3</w:t>
      </w:r>
    </w:p>
    <w:p w14:paraId="131D4081" w14:textId="77777777" w:rsidR="00D22337" w:rsidRPr="00D22337" w:rsidRDefault="00D22337" w:rsidP="00D22337">
      <w:pPr>
        <w:spacing w:line="240" w:lineRule="auto"/>
        <w:rPr>
          <w:rFonts w:eastAsia="Times New Roman" w:cs="Arial"/>
          <w:color w:val="000000"/>
          <w:u w:val="single"/>
          <w:lang w:eastAsia="bg-BG"/>
        </w:rPr>
      </w:pPr>
    </w:p>
    <w:p w14:paraId="5E591C73" w14:textId="3BA3B9D7" w:rsidR="00D22337" w:rsidRPr="00D22337" w:rsidRDefault="00D22337" w:rsidP="00D22337">
      <w:pPr>
        <w:spacing w:line="240" w:lineRule="auto"/>
        <w:rPr>
          <w:rFonts w:eastAsia="Times New Roman" w:cs="Arial"/>
          <w:sz w:val="24"/>
          <w:szCs w:val="24"/>
        </w:rPr>
      </w:pPr>
      <w:r w:rsidRPr="00D22337">
        <w:rPr>
          <w:rFonts w:eastAsia="Times New Roman" w:cs="Arial"/>
          <w:color w:val="000000"/>
          <w:u w:val="single"/>
          <w:lang w:eastAsia="bg-BG"/>
        </w:rPr>
        <w:t>Пациенти с чернодробно увреждане</w:t>
      </w:r>
    </w:p>
    <w:p w14:paraId="1BA54ECF"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lastRenderedPageBreak/>
        <w:t>Метотрексат трябва да се прилага с повишено внимание, ако изобщо се прилага, при пациенти с тежко настоящо или предишно чернодробно заболяване, особено ако се дължи на алкохол.</w:t>
      </w:r>
    </w:p>
    <w:p w14:paraId="2FCD1C50"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 xml:space="preserve">Метотрексат е противопоказан, ако билирубинът е &gt; 5 </w:t>
      </w:r>
      <w:r w:rsidRPr="00D22337">
        <w:rPr>
          <w:rFonts w:eastAsia="Times New Roman" w:cs="Arial"/>
          <w:color w:val="000000"/>
          <w:lang w:val="en-US"/>
        </w:rPr>
        <w:t>mg</w:t>
      </w:r>
      <w:r w:rsidRPr="00D22337">
        <w:rPr>
          <w:rFonts w:eastAsia="Times New Roman" w:cs="Arial"/>
          <w:color w:val="000000"/>
          <w:lang w:val="ru-RU"/>
        </w:rPr>
        <w:t>/</w:t>
      </w:r>
      <w:r w:rsidRPr="00D22337">
        <w:rPr>
          <w:rFonts w:eastAsia="Times New Roman" w:cs="Arial"/>
          <w:color w:val="000000"/>
          <w:lang w:val="en-US"/>
        </w:rPr>
        <w:t>dl</w:t>
      </w:r>
      <w:r w:rsidRPr="00D22337">
        <w:rPr>
          <w:rFonts w:eastAsia="Times New Roman" w:cs="Arial"/>
          <w:color w:val="000000"/>
          <w:lang w:val="ru-RU"/>
        </w:rPr>
        <w:t xml:space="preserve"> </w:t>
      </w:r>
      <w:r w:rsidRPr="00D22337">
        <w:rPr>
          <w:rFonts w:eastAsia="Times New Roman" w:cs="Arial"/>
          <w:color w:val="000000"/>
          <w:lang w:eastAsia="bg-BG"/>
        </w:rPr>
        <w:t>(85,5 μ</w:t>
      </w:r>
      <w:proofErr w:type="spellStart"/>
      <w:r w:rsidRPr="00D22337">
        <w:rPr>
          <w:rFonts w:eastAsia="Times New Roman" w:cs="Arial"/>
          <w:color w:val="000000"/>
          <w:lang w:val="en-US"/>
        </w:rPr>
        <w:t>mol</w:t>
      </w:r>
      <w:proofErr w:type="spellEnd"/>
      <w:r w:rsidRPr="00D22337">
        <w:rPr>
          <w:rFonts w:eastAsia="Times New Roman" w:cs="Arial"/>
          <w:color w:val="000000"/>
          <w:lang w:val="ru-RU"/>
        </w:rPr>
        <w:t>/</w:t>
      </w:r>
      <w:r w:rsidRPr="00D22337">
        <w:rPr>
          <w:rFonts w:eastAsia="Times New Roman" w:cs="Arial"/>
          <w:color w:val="000000"/>
          <w:lang w:val="en-US"/>
        </w:rPr>
        <w:t>l</w:t>
      </w:r>
      <w:r w:rsidRPr="00D22337">
        <w:rPr>
          <w:rFonts w:eastAsia="Times New Roman" w:cs="Arial"/>
          <w:color w:val="000000"/>
          <w:lang w:val="ru-RU"/>
        </w:rPr>
        <w:t>).</w:t>
      </w:r>
    </w:p>
    <w:p w14:paraId="1218584A" w14:textId="77777777" w:rsidR="00D22337" w:rsidRPr="00D22337" w:rsidRDefault="00D22337" w:rsidP="00D22337">
      <w:pPr>
        <w:spacing w:line="240" w:lineRule="auto"/>
        <w:rPr>
          <w:rFonts w:eastAsia="Times New Roman" w:cs="Arial"/>
          <w:color w:val="000000"/>
          <w:lang w:eastAsia="bg-BG"/>
        </w:rPr>
      </w:pPr>
    </w:p>
    <w:p w14:paraId="6AC3FCFB" w14:textId="64404EB5"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За пълния списък противопоказания вижте точка 4.3.</w:t>
      </w:r>
    </w:p>
    <w:p w14:paraId="4D3D16E2" w14:textId="77777777" w:rsidR="00D22337" w:rsidRPr="00D22337" w:rsidRDefault="00D22337" w:rsidP="00D22337">
      <w:pPr>
        <w:spacing w:line="240" w:lineRule="auto"/>
        <w:rPr>
          <w:rFonts w:eastAsia="Times New Roman" w:cs="Arial"/>
          <w:color w:val="000000"/>
          <w:u w:val="single"/>
          <w:lang w:eastAsia="bg-BG"/>
        </w:rPr>
      </w:pPr>
    </w:p>
    <w:p w14:paraId="7BCD13CE" w14:textId="01E870D4" w:rsidR="00D22337" w:rsidRPr="00D22337" w:rsidRDefault="00D22337" w:rsidP="00D22337">
      <w:pPr>
        <w:spacing w:line="240" w:lineRule="auto"/>
        <w:rPr>
          <w:rFonts w:eastAsia="Times New Roman" w:cs="Arial"/>
          <w:sz w:val="24"/>
          <w:szCs w:val="24"/>
        </w:rPr>
      </w:pPr>
      <w:r w:rsidRPr="00D22337">
        <w:rPr>
          <w:rFonts w:eastAsia="Times New Roman" w:cs="Arial"/>
          <w:color w:val="000000"/>
          <w:u w:val="single"/>
          <w:lang w:eastAsia="bg-BG"/>
        </w:rPr>
        <w:t>Употреба при пациенти в старческа възраст</w:t>
      </w:r>
    </w:p>
    <w:p w14:paraId="057DB1E3" w14:textId="1A56758D"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При пациенти в старческа възраст трябва да се има предвид понижаване на дозата, поради намалена чернодробна и бъбречна функция, както и поради по-ниски фолатни запаси, които се наблюдават с повишаване на възрастта.</w:t>
      </w:r>
    </w:p>
    <w:p w14:paraId="4B1BA6D9" w14:textId="77777777" w:rsidR="00D22337" w:rsidRPr="00D22337" w:rsidRDefault="00D22337" w:rsidP="00D22337">
      <w:pPr>
        <w:spacing w:line="240" w:lineRule="auto"/>
        <w:rPr>
          <w:rFonts w:eastAsia="Times New Roman" w:cs="Arial"/>
          <w:color w:val="000000"/>
          <w:u w:val="single"/>
          <w:lang w:eastAsia="bg-BG"/>
        </w:rPr>
      </w:pPr>
    </w:p>
    <w:p w14:paraId="421E023E" w14:textId="4265813C" w:rsidR="00D22337" w:rsidRPr="00D22337" w:rsidRDefault="00D22337" w:rsidP="00D22337">
      <w:pPr>
        <w:spacing w:line="240" w:lineRule="auto"/>
        <w:rPr>
          <w:rFonts w:eastAsia="Times New Roman" w:cs="Arial"/>
          <w:sz w:val="24"/>
          <w:szCs w:val="24"/>
        </w:rPr>
      </w:pPr>
      <w:r w:rsidRPr="00D22337">
        <w:rPr>
          <w:rFonts w:eastAsia="Times New Roman" w:cs="Arial"/>
          <w:color w:val="000000"/>
          <w:u w:val="single"/>
          <w:lang w:eastAsia="bg-BG"/>
        </w:rPr>
        <w:t xml:space="preserve">Употреба при пациенти с трето пространство на разпределение (плеврални изливи, асцит) </w:t>
      </w:r>
      <w:r w:rsidRPr="00D22337">
        <w:rPr>
          <w:rFonts w:eastAsia="Times New Roman" w:cs="Arial"/>
          <w:color w:val="000000"/>
          <w:lang w:eastAsia="bg-BG"/>
        </w:rPr>
        <w:t>Тъй като при пациенти с трето пространство на разпределение времето на полуелиминиране на метотрексат може да се удължи до 4 пъти над нормалната продължителност, в някои случаи може да се наложи прекратяване на приложението на метотрексат (вж. точки 5.2 и 4.4).</w:t>
      </w:r>
    </w:p>
    <w:p w14:paraId="7B81ECC7" w14:textId="77777777" w:rsidR="00D22337" w:rsidRPr="00D22337" w:rsidRDefault="00D22337" w:rsidP="00D22337">
      <w:pPr>
        <w:spacing w:line="240" w:lineRule="auto"/>
        <w:rPr>
          <w:rFonts w:eastAsia="Times New Roman" w:cs="Arial"/>
          <w:i/>
          <w:iCs/>
          <w:color w:val="000000"/>
          <w:u w:val="single"/>
          <w:lang w:eastAsia="bg-BG"/>
        </w:rPr>
      </w:pPr>
    </w:p>
    <w:p w14:paraId="1448E7E2" w14:textId="53122E2A" w:rsidR="00D22337" w:rsidRPr="00D22337" w:rsidRDefault="00D22337" w:rsidP="00D22337">
      <w:pPr>
        <w:spacing w:line="240" w:lineRule="auto"/>
        <w:rPr>
          <w:rFonts w:eastAsia="Times New Roman" w:cs="Arial"/>
          <w:sz w:val="24"/>
          <w:szCs w:val="24"/>
        </w:rPr>
      </w:pPr>
      <w:r w:rsidRPr="00D22337">
        <w:rPr>
          <w:rFonts w:eastAsia="Times New Roman" w:cs="Arial"/>
          <w:i/>
          <w:iCs/>
          <w:color w:val="000000"/>
          <w:u w:val="single"/>
          <w:lang w:eastAsia="bg-BG"/>
        </w:rPr>
        <w:t>Начин на приложение</w:t>
      </w:r>
    </w:p>
    <w:p w14:paraId="4BF47708"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Лекарственият продукт е само за еднократна употреба.</w:t>
      </w:r>
    </w:p>
    <w:p w14:paraId="120ED452" w14:textId="6ED5052A" w:rsidR="00D22337" w:rsidRPr="00D22337" w:rsidRDefault="00D22337" w:rsidP="00D22337">
      <w:pPr>
        <w:rPr>
          <w:rFonts w:eastAsia="Times New Roman" w:cs="Arial"/>
          <w:color w:val="000000"/>
          <w:lang w:eastAsia="bg-BG"/>
        </w:rPr>
      </w:pPr>
      <w:r w:rsidRPr="00D22337">
        <w:rPr>
          <w:rFonts w:eastAsia="Times New Roman" w:cs="Arial"/>
          <w:color w:val="000000"/>
          <w:lang w:eastAsia="bg-BG"/>
        </w:rPr>
        <w:t>Намаксир инжекционен разтвор може да се прилага подкожно.</w:t>
      </w:r>
    </w:p>
    <w:p w14:paraId="7D341B8F" w14:textId="4AFFBCE3" w:rsidR="00D22337" w:rsidRPr="00D22337" w:rsidRDefault="00D22337" w:rsidP="00D22337">
      <w:pPr>
        <w:rPr>
          <w:rFonts w:cs="Arial"/>
        </w:rPr>
      </w:pPr>
    </w:p>
    <w:p w14:paraId="2368497E"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Общата продължителност на лечението се определя от лекуващия лекар.</w:t>
      </w:r>
    </w:p>
    <w:p w14:paraId="5AFFFC11" w14:textId="77777777" w:rsidR="00D22337" w:rsidRPr="00D22337" w:rsidRDefault="00D22337" w:rsidP="00D22337">
      <w:pPr>
        <w:spacing w:line="240" w:lineRule="auto"/>
        <w:rPr>
          <w:rFonts w:eastAsia="Times New Roman" w:cs="Arial"/>
          <w:color w:val="000000"/>
          <w:lang w:eastAsia="bg-BG"/>
        </w:rPr>
      </w:pPr>
    </w:p>
    <w:p w14:paraId="72D81D65" w14:textId="53B4D298"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За допълнителни инструкции за употреба и работа вижте точка 6.6.</w:t>
      </w:r>
    </w:p>
    <w:p w14:paraId="67EC957D"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Забележка:</w:t>
      </w:r>
    </w:p>
    <w:p w14:paraId="2CEF13D5" w14:textId="77777777" w:rsidR="00D22337" w:rsidRPr="00D22337" w:rsidRDefault="00D22337" w:rsidP="00D22337">
      <w:pPr>
        <w:spacing w:line="240" w:lineRule="auto"/>
        <w:rPr>
          <w:rFonts w:eastAsia="Times New Roman" w:cs="Arial"/>
          <w:color w:val="000000"/>
          <w:lang w:eastAsia="bg-BG"/>
        </w:rPr>
      </w:pPr>
    </w:p>
    <w:p w14:paraId="7A2FC887" w14:textId="2975F2C4"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Ако се преминава от перорален прием към парентерално приложение може да е необходимо понижаване на дозата поради вариабилната бионаличност на метотрексат след перорално приложение.</w:t>
      </w:r>
    </w:p>
    <w:p w14:paraId="14D537B5" w14:textId="77777777" w:rsidR="00D22337" w:rsidRPr="00D22337" w:rsidRDefault="00D22337" w:rsidP="00D22337">
      <w:pPr>
        <w:spacing w:line="240" w:lineRule="auto"/>
        <w:rPr>
          <w:rFonts w:eastAsia="Times New Roman" w:cs="Arial"/>
          <w:color w:val="000000"/>
          <w:lang w:eastAsia="bg-BG"/>
        </w:rPr>
      </w:pPr>
    </w:p>
    <w:p w14:paraId="162CE75F" w14:textId="6AD8A8EB"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Може да се обмисли добавяне на фолиева киселина съгласно настоящите ръководства за лечение.</w:t>
      </w:r>
    </w:p>
    <w:p w14:paraId="4FFE3E89" w14:textId="77777777" w:rsidR="00D22337" w:rsidRPr="00D22337" w:rsidRDefault="00D22337" w:rsidP="00D22337"/>
    <w:p w14:paraId="28C984E8" w14:textId="25B201A8" w:rsidR="008134C8" w:rsidRDefault="002C50EE" w:rsidP="004A448E">
      <w:pPr>
        <w:pStyle w:val="Heading2"/>
      </w:pPr>
      <w:r>
        <w:t>4.3. Противопоказания</w:t>
      </w:r>
    </w:p>
    <w:p w14:paraId="38F66332" w14:textId="5F4854D9" w:rsidR="00D22337" w:rsidRDefault="00D22337" w:rsidP="00D22337"/>
    <w:p w14:paraId="009D56D3" w14:textId="77777777" w:rsidR="00D22337" w:rsidRPr="00D22337" w:rsidRDefault="00D22337" w:rsidP="00D22337">
      <w:pPr>
        <w:spacing w:line="240" w:lineRule="auto"/>
        <w:rPr>
          <w:rFonts w:eastAsia="Times New Roman" w:cs="Arial"/>
          <w:sz w:val="24"/>
          <w:szCs w:val="24"/>
        </w:rPr>
      </w:pPr>
      <w:r w:rsidRPr="00D22337">
        <w:rPr>
          <w:rFonts w:eastAsia="Times New Roman" w:cs="Arial"/>
          <w:color w:val="000000"/>
          <w:lang w:eastAsia="bg-BG"/>
        </w:rPr>
        <w:t>Намаксир е противопоказан в случай на:</w:t>
      </w:r>
    </w:p>
    <w:p w14:paraId="00DA4981" w14:textId="77777777" w:rsidR="00D22337" w:rsidRPr="00D22337" w:rsidRDefault="00D22337" w:rsidP="00D22337">
      <w:pPr>
        <w:pStyle w:val="ListParagraph"/>
        <w:numPr>
          <w:ilvl w:val="0"/>
          <w:numId w:val="35"/>
        </w:numPr>
        <w:spacing w:line="240" w:lineRule="auto"/>
        <w:rPr>
          <w:rFonts w:eastAsia="Times New Roman" w:cs="Arial"/>
          <w:sz w:val="24"/>
          <w:szCs w:val="24"/>
        </w:rPr>
      </w:pPr>
      <w:r w:rsidRPr="00D22337">
        <w:rPr>
          <w:rFonts w:eastAsia="Times New Roman" w:cs="Arial"/>
          <w:color w:val="000000"/>
          <w:lang w:eastAsia="bg-BG"/>
        </w:rPr>
        <w:t xml:space="preserve">свръхчувствителност към активното вещество или към някое от помощните вещества, изброени в точка 6.1, </w:t>
      </w:r>
    </w:p>
    <w:p w14:paraId="7E9192AB" w14:textId="77777777" w:rsidR="00D22337" w:rsidRPr="00D22337" w:rsidRDefault="00D22337" w:rsidP="00D22337">
      <w:pPr>
        <w:pStyle w:val="ListParagraph"/>
        <w:numPr>
          <w:ilvl w:val="0"/>
          <w:numId w:val="35"/>
        </w:numPr>
        <w:spacing w:line="240" w:lineRule="auto"/>
        <w:rPr>
          <w:rFonts w:eastAsia="Times New Roman" w:cs="Arial"/>
          <w:sz w:val="24"/>
          <w:szCs w:val="24"/>
        </w:rPr>
      </w:pPr>
      <w:r w:rsidRPr="00D22337">
        <w:rPr>
          <w:rFonts w:eastAsia="Times New Roman" w:cs="Arial"/>
          <w:color w:val="000000"/>
          <w:lang w:eastAsia="bg-BG"/>
        </w:rPr>
        <w:t xml:space="preserve">тежко чернодробно увреждане (вж. точка 4.2), </w:t>
      </w:r>
    </w:p>
    <w:p w14:paraId="784522EF" w14:textId="77777777" w:rsidR="00D22337" w:rsidRPr="00D22337" w:rsidRDefault="00D22337" w:rsidP="00D22337">
      <w:pPr>
        <w:pStyle w:val="ListParagraph"/>
        <w:numPr>
          <w:ilvl w:val="0"/>
          <w:numId w:val="35"/>
        </w:numPr>
        <w:spacing w:line="240" w:lineRule="auto"/>
        <w:rPr>
          <w:rFonts w:eastAsia="Times New Roman" w:cs="Arial"/>
          <w:sz w:val="24"/>
          <w:szCs w:val="24"/>
        </w:rPr>
      </w:pPr>
      <w:r w:rsidRPr="00D22337">
        <w:rPr>
          <w:rFonts w:eastAsia="Times New Roman" w:cs="Arial"/>
          <w:color w:val="000000"/>
          <w:lang w:eastAsia="bg-BG"/>
        </w:rPr>
        <w:t xml:space="preserve">злоупотреба с алкохол, </w:t>
      </w:r>
    </w:p>
    <w:p w14:paraId="342A7C19" w14:textId="77777777" w:rsidR="00D22337" w:rsidRPr="00D22337" w:rsidRDefault="00D22337" w:rsidP="00D22337">
      <w:pPr>
        <w:pStyle w:val="ListParagraph"/>
        <w:numPr>
          <w:ilvl w:val="0"/>
          <w:numId w:val="35"/>
        </w:numPr>
        <w:spacing w:line="240" w:lineRule="auto"/>
        <w:rPr>
          <w:rFonts w:eastAsia="Times New Roman" w:cs="Arial"/>
          <w:sz w:val="24"/>
          <w:szCs w:val="24"/>
        </w:rPr>
      </w:pPr>
      <w:r w:rsidRPr="00D22337">
        <w:rPr>
          <w:rFonts w:eastAsia="Times New Roman" w:cs="Arial"/>
          <w:color w:val="000000"/>
          <w:lang w:eastAsia="bg-BG"/>
        </w:rPr>
        <w:t xml:space="preserve">тежко бъбречно увреждане (креатининов клирънс под 30 </w:t>
      </w:r>
      <w:r w:rsidRPr="00D22337">
        <w:rPr>
          <w:rFonts w:eastAsia="Times New Roman" w:cs="Arial"/>
          <w:color w:val="000000"/>
          <w:lang w:val="en-US"/>
        </w:rPr>
        <w:t>ml</w:t>
      </w:r>
      <w:r w:rsidRPr="00D22337">
        <w:rPr>
          <w:rFonts w:eastAsia="Times New Roman" w:cs="Arial"/>
          <w:color w:val="000000"/>
          <w:lang w:val="ru-RU"/>
        </w:rPr>
        <w:t>/</w:t>
      </w:r>
      <w:r w:rsidRPr="00D22337">
        <w:rPr>
          <w:rFonts w:eastAsia="Times New Roman" w:cs="Arial"/>
          <w:color w:val="000000"/>
          <w:lang w:val="en-US"/>
        </w:rPr>
        <w:t>min</w:t>
      </w:r>
      <w:r w:rsidRPr="00D22337">
        <w:rPr>
          <w:rFonts w:eastAsia="Times New Roman" w:cs="Arial"/>
          <w:color w:val="000000"/>
          <w:lang w:val="ru-RU"/>
        </w:rPr>
        <w:t xml:space="preserve">, </w:t>
      </w:r>
      <w:r w:rsidRPr="00D22337">
        <w:rPr>
          <w:rFonts w:eastAsia="Times New Roman" w:cs="Arial"/>
          <w:color w:val="000000"/>
          <w:lang w:eastAsia="bg-BG"/>
        </w:rPr>
        <w:t>вижте точка 4.2 и точка 4.4),</w:t>
      </w:r>
    </w:p>
    <w:p w14:paraId="3FAC1B0D" w14:textId="77777777" w:rsidR="00D22337" w:rsidRPr="00D22337" w:rsidRDefault="00D22337" w:rsidP="00D22337">
      <w:pPr>
        <w:pStyle w:val="ListParagraph"/>
        <w:numPr>
          <w:ilvl w:val="0"/>
          <w:numId w:val="35"/>
        </w:numPr>
        <w:spacing w:line="240" w:lineRule="auto"/>
        <w:rPr>
          <w:rFonts w:eastAsia="Times New Roman" w:cs="Arial"/>
          <w:sz w:val="24"/>
          <w:szCs w:val="24"/>
        </w:rPr>
      </w:pPr>
      <w:r w:rsidRPr="00D22337">
        <w:rPr>
          <w:rFonts w:eastAsia="Times New Roman" w:cs="Arial"/>
          <w:color w:val="000000"/>
          <w:lang w:eastAsia="bg-BG"/>
        </w:rPr>
        <w:t>предшестващи кръвни дискразии, като костномозъчна хипоплазия, левкопения, тромбоцитопения, или тежка анемия,</w:t>
      </w:r>
    </w:p>
    <w:p w14:paraId="57057C06" w14:textId="77777777" w:rsidR="00D22337" w:rsidRPr="00D22337" w:rsidRDefault="00D22337" w:rsidP="00D22337">
      <w:pPr>
        <w:pStyle w:val="ListParagraph"/>
        <w:numPr>
          <w:ilvl w:val="0"/>
          <w:numId w:val="35"/>
        </w:numPr>
        <w:spacing w:line="240" w:lineRule="auto"/>
        <w:rPr>
          <w:rFonts w:eastAsia="Times New Roman" w:cs="Arial"/>
          <w:sz w:val="24"/>
          <w:szCs w:val="24"/>
        </w:rPr>
      </w:pPr>
      <w:r w:rsidRPr="00D22337">
        <w:rPr>
          <w:rFonts w:eastAsia="Times New Roman" w:cs="Arial"/>
          <w:color w:val="000000"/>
          <w:lang w:eastAsia="bg-BG"/>
        </w:rPr>
        <w:t xml:space="preserve">сериозни, остри или хронични инфекции, като туберкулоза, </w:t>
      </w:r>
      <w:r w:rsidRPr="00D22337">
        <w:rPr>
          <w:rFonts w:eastAsia="Times New Roman" w:cs="Arial"/>
          <w:color w:val="000000"/>
          <w:lang w:val="en-US"/>
        </w:rPr>
        <w:t>HIV</w:t>
      </w:r>
      <w:r w:rsidRPr="00D22337">
        <w:rPr>
          <w:rFonts w:eastAsia="Times New Roman" w:cs="Arial"/>
          <w:color w:val="000000"/>
          <w:lang w:val="ru-RU"/>
        </w:rPr>
        <w:t xml:space="preserve"> </w:t>
      </w:r>
      <w:r w:rsidRPr="00D22337">
        <w:rPr>
          <w:rFonts w:eastAsia="Times New Roman" w:cs="Arial"/>
          <w:color w:val="000000"/>
          <w:lang w:eastAsia="bg-BG"/>
        </w:rPr>
        <w:t xml:space="preserve">или други синдроми на имунен дефицит, язви на устната кухина и установена стомашно-чревна </w:t>
      </w:r>
    </w:p>
    <w:p w14:paraId="5EDF3C8C" w14:textId="77777777" w:rsidR="00D22337" w:rsidRPr="00D22337" w:rsidRDefault="00D22337" w:rsidP="00D22337">
      <w:pPr>
        <w:pStyle w:val="ListParagraph"/>
        <w:numPr>
          <w:ilvl w:val="0"/>
          <w:numId w:val="35"/>
        </w:numPr>
        <w:spacing w:line="240" w:lineRule="auto"/>
        <w:rPr>
          <w:rFonts w:eastAsia="Times New Roman" w:cs="Arial"/>
          <w:sz w:val="24"/>
          <w:szCs w:val="24"/>
        </w:rPr>
      </w:pPr>
      <w:r w:rsidRPr="00D22337">
        <w:rPr>
          <w:rFonts w:eastAsia="Times New Roman" w:cs="Arial"/>
          <w:color w:val="000000"/>
          <w:lang w:eastAsia="bg-BG"/>
        </w:rPr>
        <w:t xml:space="preserve">язвена болест, </w:t>
      </w:r>
    </w:p>
    <w:p w14:paraId="0C002A44" w14:textId="77777777" w:rsidR="00D22337" w:rsidRPr="00D22337" w:rsidRDefault="00D22337" w:rsidP="00D22337">
      <w:pPr>
        <w:pStyle w:val="ListParagraph"/>
        <w:numPr>
          <w:ilvl w:val="0"/>
          <w:numId w:val="35"/>
        </w:numPr>
        <w:spacing w:line="240" w:lineRule="auto"/>
        <w:rPr>
          <w:rFonts w:eastAsia="Times New Roman" w:cs="Arial"/>
          <w:sz w:val="24"/>
          <w:szCs w:val="24"/>
        </w:rPr>
      </w:pPr>
      <w:r w:rsidRPr="00D22337">
        <w:rPr>
          <w:rFonts w:eastAsia="Times New Roman" w:cs="Arial"/>
          <w:color w:val="000000"/>
          <w:lang w:eastAsia="bg-BG"/>
        </w:rPr>
        <w:t xml:space="preserve">бременност и кърмене (вж. точка 4.6), </w:t>
      </w:r>
    </w:p>
    <w:p w14:paraId="2A240809" w14:textId="35229D7A" w:rsidR="00D22337" w:rsidRPr="00D22337" w:rsidRDefault="00D22337" w:rsidP="00D22337">
      <w:pPr>
        <w:pStyle w:val="ListParagraph"/>
        <w:numPr>
          <w:ilvl w:val="0"/>
          <w:numId w:val="35"/>
        </w:numPr>
        <w:spacing w:line="240" w:lineRule="auto"/>
        <w:rPr>
          <w:rFonts w:eastAsia="Times New Roman" w:cs="Arial"/>
          <w:sz w:val="24"/>
          <w:szCs w:val="24"/>
        </w:rPr>
      </w:pPr>
      <w:r w:rsidRPr="00D22337">
        <w:rPr>
          <w:rFonts w:eastAsia="Times New Roman" w:cs="Arial"/>
          <w:color w:val="000000"/>
          <w:lang w:eastAsia="bg-BG"/>
        </w:rPr>
        <w:lastRenderedPageBreak/>
        <w:t>едновременно ваксиниране с живи ваксини (вж. точки 4.4 и 4.5).</w:t>
      </w:r>
    </w:p>
    <w:p w14:paraId="74EBE0F2" w14:textId="77777777" w:rsidR="00D22337" w:rsidRPr="00D22337" w:rsidRDefault="00D22337" w:rsidP="00D22337"/>
    <w:p w14:paraId="212F509C" w14:textId="7D62171D" w:rsidR="004F498A" w:rsidRDefault="002C50EE" w:rsidP="004A448E">
      <w:pPr>
        <w:pStyle w:val="Heading2"/>
      </w:pPr>
      <w:r>
        <w:t>4.4. Специални предупреждения и предпазни мерки при употреба</w:t>
      </w:r>
    </w:p>
    <w:p w14:paraId="371DBE61" w14:textId="0B1D590C" w:rsidR="00D22337" w:rsidRDefault="00D22337" w:rsidP="00D22337"/>
    <w:p w14:paraId="3E843D3D"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 xml:space="preserve">Пациентите трябва да бъдат ясно информирани, че лечението трябва да се прилага </w:t>
      </w:r>
      <w:r w:rsidRPr="00D22337">
        <w:rPr>
          <w:rFonts w:eastAsia="Times New Roman" w:cs="Arial"/>
          <w:b/>
          <w:bCs/>
          <w:color w:val="000000"/>
          <w:lang w:eastAsia="bg-BG"/>
        </w:rPr>
        <w:t xml:space="preserve">веднъж седмично, </w:t>
      </w:r>
      <w:r w:rsidRPr="00D22337">
        <w:rPr>
          <w:rFonts w:eastAsia="Times New Roman" w:cs="Arial"/>
          <w:color w:val="000000"/>
          <w:lang w:eastAsia="bg-BG"/>
        </w:rPr>
        <w:t>не всеки ден.</w:t>
      </w:r>
    </w:p>
    <w:p w14:paraId="722E10D1"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Пациентите, подложени на терапия трябва се наблюдават по подходящ начин, така че признаците на възможните токсични ефекти или нежелани реакции да могат да се открият и оценят с минимално закъснение. Ето защо метотрексат трябва да се прилага само от или под наблюдението на лекари, чиито знания и опит включват употребата на антиметаболитна терапия. Поради възможността от поява на сериозни или дори фатални токсични реакции, пациентът трябва да бъде напълно информиран от лекаря за съответните рискове и препоръчаните мерки за безопасност.</w:t>
      </w:r>
    </w:p>
    <w:p w14:paraId="44FE64C7" w14:textId="77777777" w:rsidR="00D22337" w:rsidRPr="00D22337" w:rsidRDefault="00D22337" w:rsidP="00D22337">
      <w:pPr>
        <w:spacing w:line="240" w:lineRule="auto"/>
        <w:rPr>
          <w:rFonts w:eastAsia="Times New Roman" w:cs="Arial"/>
          <w:b/>
          <w:bCs/>
          <w:color w:val="000000"/>
          <w:lang w:eastAsia="bg-BG"/>
        </w:rPr>
      </w:pPr>
      <w:bookmarkStart w:id="1" w:name="bookmark0"/>
    </w:p>
    <w:p w14:paraId="6C4822F3" w14:textId="1F9F8001" w:rsidR="00D22337" w:rsidRPr="00D22337" w:rsidRDefault="00D22337" w:rsidP="00D22337">
      <w:pPr>
        <w:spacing w:line="240" w:lineRule="auto"/>
        <w:rPr>
          <w:rFonts w:eastAsia="Times New Roman" w:cs="Arial"/>
        </w:rPr>
      </w:pPr>
      <w:r w:rsidRPr="00D22337">
        <w:rPr>
          <w:rFonts w:eastAsia="Times New Roman" w:cs="Arial"/>
          <w:b/>
          <w:bCs/>
          <w:color w:val="000000"/>
          <w:lang w:eastAsia="bg-BG"/>
        </w:rPr>
        <w:t>Препоръчителни прегледи и мерки за безопасност</w:t>
      </w:r>
      <w:bookmarkEnd w:id="1"/>
    </w:p>
    <w:p w14:paraId="686E35B8" w14:textId="77777777" w:rsidR="00D22337" w:rsidRPr="00D22337" w:rsidRDefault="00D22337" w:rsidP="00D22337">
      <w:pPr>
        <w:spacing w:line="240" w:lineRule="auto"/>
        <w:rPr>
          <w:rFonts w:eastAsia="Times New Roman" w:cs="Arial"/>
          <w:color w:val="000000"/>
          <w:u w:val="single"/>
          <w:lang w:eastAsia="bg-BG"/>
        </w:rPr>
      </w:pPr>
    </w:p>
    <w:p w14:paraId="2671BC64" w14:textId="6E6D0BE5"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 xml:space="preserve">Преди започване или възобновяване на терапия с метотрексат, след период на почивка: </w:t>
      </w:r>
      <w:r w:rsidRPr="00D22337">
        <w:rPr>
          <w:rFonts w:eastAsia="Times New Roman" w:cs="Arial"/>
          <w:color w:val="000000"/>
          <w:lang w:eastAsia="bg-BG"/>
        </w:rPr>
        <w:t>Пълна кръвна картина с диференциално броене и тромбоцити, чернодробни ензими, билирубин, серумен албумин, рентгенография на гръден кош и изследвания на бъбречната функция. При клинични показания да се изключат туберкулоза и хепатит.</w:t>
      </w:r>
    </w:p>
    <w:p w14:paraId="603EDBF8" w14:textId="77777777" w:rsidR="00D22337" w:rsidRPr="00D22337" w:rsidRDefault="00D22337" w:rsidP="00D22337">
      <w:pPr>
        <w:spacing w:line="240" w:lineRule="auto"/>
        <w:rPr>
          <w:rFonts w:eastAsia="Times New Roman" w:cs="Arial"/>
          <w:color w:val="000000"/>
          <w:u w:val="single"/>
          <w:lang w:eastAsia="bg-BG"/>
        </w:rPr>
      </w:pPr>
    </w:p>
    <w:p w14:paraId="74550265" w14:textId="670FB27A"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По време на лечението (най-малко веднъж месечно през първите шест месеца и на всеки три месеца след това):</w:t>
      </w:r>
    </w:p>
    <w:p w14:paraId="68E04C6C"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При повишаване на дозата трябва също да се извършва често проследяване.</w:t>
      </w:r>
    </w:p>
    <w:p w14:paraId="64898C1D" w14:textId="0BD11665" w:rsidR="00D22337" w:rsidRPr="00D22337" w:rsidRDefault="00D22337" w:rsidP="00D22337">
      <w:pPr>
        <w:pStyle w:val="ListParagraph"/>
        <w:numPr>
          <w:ilvl w:val="0"/>
          <w:numId w:val="2"/>
        </w:numPr>
        <w:spacing w:line="240" w:lineRule="auto"/>
        <w:rPr>
          <w:rFonts w:eastAsia="Times New Roman" w:cs="Arial"/>
        </w:rPr>
      </w:pPr>
      <w:r w:rsidRPr="00D22337">
        <w:rPr>
          <w:rFonts w:eastAsia="Times New Roman" w:cs="Arial"/>
          <w:color w:val="000000"/>
          <w:lang w:eastAsia="bg-BG"/>
        </w:rPr>
        <w:t>Преглед на устната кухина и гърлото за промени по лигавицата.</w:t>
      </w:r>
    </w:p>
    <w:p w14:paraId="6F54DCB5" w14:textId="77777777" w:rsidR="00D22337" w:rsidRPr="00D22337" w:rsidRDefault="00D22337" w:rsidP="00D22337">
      <w:pPr>
        <w:spacing w:line="240" w:lineRule="auto"/>
        <w:rPr>
          <w:rFonts w:eastAsia="Times New Roman" w:cs="Arial"/>
        </w:rPr>
      </w:pPr>
    </w:p>
    <w:p w14:paraId="20B1B18D" w14:textId="77777777" w:rsidR="00D22337" w:rsidRPr="00D22337" w:rsidRDefault="00D22337" w:rsidP="00D22337">
      <w:pPr>
        <w:pStyle w:val="ListParagraph"/>
        <w:numPr>
          <w:ilvl w:val="0"/>
          <w:numId w:val="2"/>
        </w:numPr>
        <w:spacing w:line="240" w:lineRule="auto"/>
        <w:rPr>
          <w:rFonts w:eastAsia="Times New Roman" w:cs="Arial"/>
        </w:rPr>
      </w:pPr>
      <w:r w:rsidRPr="00D22337">
        <w:rPr>
          <w:rFonts w:eastAsia="Times New Roman" w:cs="Arial"/>
          <w:color w:val="000000"/>
          <w:lang w:eastAsia="bg-BG"/>
        </w:rPr>
        <w:t>Пълна кръвна картина с диференциално броене и тромбоцити. Потискането на</w:t>
      </w:r>
      <w:r w:rsidRPr="00D22337">
        <w:rPr>
          <w:rFonts w:eastAsia="Times New Roman" w:cs="Arial"/>
          <w:i/>
          <w:iCs/>
          <w:color w:val="000000"/>
          <w:lang w:eastAsia="bg-BG"/>
        </w:rPr>
        <w:t xml:space="preserve"> </w:t>
      </w:r>
      <w:r w:rsidRPr="00D22337">
        <w:rPr>
          <w:rFonts w:eastAsia="Times New Roman" w:cs="Arial"/>
          <w:color w:val="000000"/>
          <w:lang w:eastAsia="bg-BG"/>
        </w:rPr>
        <w:t>хемопоезата, предизвикано от метотрексат може да възникне внезапно и при видимо безопасни дози. Всеки силен спад в броя на левкоцитите или тромбоцитите е показание за незабавно спиране на лекарствения продукт и прилагане на подходяща поддържаща терапия. Пациентите трябва да бъдат посъветвани да съобщават за всички признаци и симптоми, които са показателни за инфекция. Пациентите, на които се прилагат същевременно хематотоксични лекарствени продукти (напр. лефлуномид) трябва да бъдат внимателно наблюдавани чрез проследяване на кръвната картина и тромбоцитите.</w:t>
      </w:r>
    </w:p>
    <w:p w14:paraId="5BF522F9" w14:textId="77777777" w:rsidR="00D22337" w:rsidRPr="00D22337" w:rsidRDefault="00D22337" w:rsidP="00D22337">
      <w:pPr>
        <w:pStyle w:val="ListParagraph"/>
        <w:rPr>
          <w:rFonts w:eastAsia="Times New Roman" w:cs="Arial"/>
          <w:color w:val="000000"/>
          <w:lang w:eastAsia="bg-BG"/>
        </w:rPr>
      </w:pPr>
    </w:p>
    <w:p w14:paraId="346DB387" w14:textId="77777777" w:rsidR="00D22337" w:rsidRPr="00D22337" w:rsidRDefault="00D22337" w:rsidP="00D22337">
      <w:pPr>
        <w:pStyle w:val="ListParagraph"/>
        <w:numPr>
          <w:ilvl w:val="0"/>
          <w:numId w:val="2"/>
        </w:numPr>
        <w:spacing w:line="240" w:lineRule="auto"/>
        <w:rPr>
          <w:rFonts w:eastAsia="Times New Roman" w:cs="Arial"/>
        </w:rPr>
      </w:pPr>
      <w:r w:rsidRPr="00D22337">
        <w:rPr>
          <w:rFonts w:eastAsia="Times New Roman" w:cs="Arial"/>
          <w:color w:val="000000"/>
          <w:lang w:eastAsia="bg-BG"/>
        </w:rPr>
        <w:t>Изследвания на чернодробната функция</w:t>
      </w:r>
    </w:p>
    <w:p w14:paraId="2544530B" w14:textId="14D1D7CC" w:rsidR="00D22337" w:rsidRPr="00D22337" w:rsidRDefault="00D22337" w:rsidP="00D22337">
      <w:pPr>
        <w:spacing w:line="240" w:lineRule="auto"/>
        <w:rPr>
          <w:rFonts w:eastAsia="Times New Roman" w:cs="Arial"/>
        </w:rPr>
      </w:pPr>
      <w:r w:rsidRPr="00D22337">
        <w:rPr>
          <w:rFonts w:eastAsia="Times New Roman" w:cs="Arial"/>
          <w:color w:val="000000"/>
          <w:lang w:eastAsia="bg-BG"/>
        </w:rPr>
        <w:t>Лечение не трябва да се започва или трябва да се преустанови, ако има персистиращи или значителни аномалии в чернодробните функционални изследвания, други неинвазивни изследвания за чернодробна фиброза или чернодробни биопсии.</w:t>
      </w:r>
    </w:p>
    <w:p w14:paraId="0E48F9FD" w14:textId="77777777" w:rsidR="00D22337" w:rsidRPr="00D22337" w:rsidRDefault="00D22337" w:rsidP="00D22337">
      <w:pPr>
        <w:spacing w:line="240" w:lineRule="auto"/>
        <w:rPr>
          <w:rFonts w:eastAsia="Times New Roman" w:cs="Arial"/>
          <w:color w:val="000000"/>
          <w:lang w:eastAsia="bg-BG"/>
        </w:rPr>
      </w:pPr>
    </w:p>
    <w:p w14:paraId="4932A470" w14:textId="12CAEF3F" w:rsidR="00D22337" w:rsidRPr="00D22337" w:rsidRDefault="00D22337" w:rsidP="00D22337">
      <w:pPr>
        <w:spacing w:line="240" w:lineRule="auto"/>
        <w:rPr>
          <w:rFonts w:eastAsia="Times New Roman" w:cs="Arial"/>
        </w:rPr>
      </w:pPr>
      <w:r w:rsidRPr="00D22337">
        <w:rPr>
          <w:rFonts w:eastAsia="Times New Roman" w:cs="Arial"/>
          <w:color w:val="000000"/>
          <w:lang w:eastAsia="bg-BG"/>
        </w:rPr>
        <w:t xml:space="preserve">Временно повишаване на трансаминазите до два или три пъти над горната граница на нормата с честота от 13-20 </w:t>
      </w:r>
      <w:r w:rsidRPr="00D22337">
        <w:rPr>
          <w:rFonts w:eastAsia="Times New Roman" w:cs="Arial"/>
          <w:i/>
          <w:iCs/>
          <w:color w:val="000000"/>
          <w:lang w:eastAsia="bg-BG"/>
        </w:rPr>
        <w:t>% е</w:t>
      </w:r>
      <w:r w:rsidRPr="00D22337">
        <w:rPr>
          <w:rFonts w:eastAsia="Times New Roman" w:cs="Arial"/>
          <w:color w:val="000000"/>
          <w:lang w:eastAsia="bg-BG"/>
        </w:rPr>
        <w:t xml:space="preserve"> съобщавано при пациенти. Продължителното повишаване на чернодробните ензими и/или намаляването </w:t>
      </w:r>
      <w:r w:rsidRPr="00D22337">
        <w:rPr>
          <w:rFonts w:eastAsia="Times New Roman" w:cs="Arial"/>
          <w:i/>
          <w:iCs/>
          <w:color w:val="000000"/>
          <w:lang w:eastAsia="bg-BG"/>
        </w:rPr>
        <w:t>на</w:t>
      </w:r>
      <w:r w:rsidRPr="00D22337">
        <w:rPr>
          <w:rFonts w:eastAsia="Times New Roman" w:cs="Arial"/>
          <w:color w:val="000000"/>
          <w:lang w:eastAsia="bg-BG"/>
        </w:rPr>
        <w:t xml:space="preserve"> серумния албумин може да е показателно за тежка хепатотоксичност. В случай на постоянно повишаване на чернодробните ензими, трябва да се обмисли понижаване на дозата или прекратяване на терапията.</w:t>
      </w:r>
    </w:p>
    <w:p w14:paraId="14178659" w14:textId="77777777" w:rsidR="00D22337" w:rsidRPr="00D22337" w:rsidRDefault="00D22337" w:rsidP="00D22337">
      <w:pPr>
        <w:spacing w:line="240" w:lineRule="auto"/>
        <w:rPr>
          <w:rFonts w:eastAsia="Times New Roman" w:cs="Arial"/>
          <w:color w:val="000000"/>
          <w:lang w:eastAsia="bg-BG"/>
        </w:rPr>
      </w:pPr>
    </w:p>
    <w:p w14:paraId="36DB358E" w14:textId="515063F5" w:rsidR="00D22337" w:rsidRPr="00D22337" w:rsidRDefault="00D22337" w:rsidP="00D22337">
      <w:pPr>
        <w:spacing w:line="240" w:lineRule="auto"/>
        <w:rPr>
          <w:rFonts w:eastAsia="Times New Roman" w:cs="Arial"/>
        </w:rPr>
      </w:pPr>
      <w:r w:rsidRPr="00D22337">
        <w:rPr>
          <w:rFonts w:eastAsia="Times New Roman" w:cs="Arial"/>
          <w:color w:val="000000"/>
          <w:lang w:eastAsia="bg-BG"/>
        </w:rPr>
        <w:lastRenderedPageBreak/>
        <w:t>Хистологичните промени, фиброзата и по-рядко чернодробната цироза може да не са предшествани от патологични чернодробни функционални изследвания. Има случаи на цироза, при които трансаминазите са в нормата. Поради това трябва да се обмислят неинвазивни диагностични методи за наблюдение на чернодробното състояние, в допълнение към чернодробните функционални изследвания. Чернодробната биопсия трябва да се разглежда на индивидуална основа, като се вземат предвид съпътстващите заболявания на пациента, медицинската анамнеза и рисковете, свързани с биопсията. Рисковите фактори за хепатотоксичност включват прекомерна предишна консумация на алкохол, постоянно повишаване на чернодробните ензими, анамнеза за чернодробно заболяване, фамилна анамнеза за наследствени чернодробни заболявания, захарен диабет, затлъстяване и предишен контакт с хепатотоксични лекарства или химични вещества и продължително лечение с метотрексат.</w:t>
      </w:r>
    </w:p>
    <w:p w14:paraId="704067A7" w14:textId="77777777" w:rsidR="00D22337" w:rsidRPr="00D22337" w:rsidRDefault="00D22337" w:rsidP="00D22337">
      <w:pPr>
        <w:spacing w:line="240" w:lineRule="auto"/>
        <w:rPr>
          <w:rFonts w:eastAsia="Times New Roman" w:cs="Arial"/>
          <w:color w:val="000000"/>
          <w:lang w:eastAsia="bg-BG"/>
        </w:rPr>
      </w:pPr>
    </w:p>
    <w:p w14:paraId="12A24C66" w14:textId="6589BDBA" w:rsidR="00D22337" w:rsidRPr="00D22337" w:rsidRDefault="00D22337" w:rsidP="00D22337">
      <w:pPr>
        <w:spacing w:line="240" w:lineRule="auto"/>
        <w:rPr>
          <w:rFonts w:eastAsia="Times New Roman" w:cs="Arial"/>
        </w:rPr>
      </w:pPr>
      <w:r w:rsidRPr="00D22337">
        <w:rPr>
          <w:rFonts w:eastAsia="Times New Roman" w:cs="Arial"/>
          <w:color w:val="000000"/>
          <w:lang w:eastAsia="bg-BG"/>
        </w:rPr>
        <w:t>По време на лечение с метотрексат не трябва да се назначават допълнително хепатотоксични лекарствени продукти, освен ако не е абсолютно необходимо. Консумацията на алкохол трябва да се избягва (вж. точки 4.3 и 4.5). При пациенти, които приемат едновременно други хепатотоксични лекарствени продукти трябва да се извършва по-внимателно проследяване на чернодробните ензими.</w:t>
      </w:r>
    </w:p>
    <w:p w14:paraId="21A14AAA" w14:textId="77777777" w:rsidR="00D22337" w:rsidRPr="00D22337" w:rsidRDefault="00D22337" w:rsidP="00D22337">
      <w:pPr>
        <w:spacing w:line="240" w:lineRule="auto"/>
        <w:rPr>
          <w:rFonts w:eastAsia="Times New Roman" w:cs="Arial"/>
          <w:color w:val="000000"/>
          <w:lang w:eastAsia="bg-BG"/>
        </w:rPr>
      </w:pPr>
    </w:p>
    <w:p w14:paraId="6997CF83"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Изисква се повишено внимание при пациенти с инсулинозависим захарен диабет, тъй като по време на терапията с метотрексат в изолирани случаи се развива чернодробна цироза без повишаване на трансаминазите.</w:t>
      </w:r>
    </w:p>
    <w:p w14:paraId="38DF5937" w14:textId="77777777" w:rsidR="00D22337" w:rsidRPr="00D22337" w:rsidRDefault="00D22337" w:rsidP="00D22337">
      <w:pPr>
        <w:spacing w:line="240" w:lineRule="auto"/>
        <w:rPr>
          <w:rFonts w:eastAsia="Times New Roman" w:cs="Arial"/>
        </w:rPr>
      </w:pPr>
    </w:p>
    <w:p w14:paraId="6E8D2E5E" w14:textId="3938C72E" w:rsidR="00D22337" w:rsidRPr="00D22337" w:rsidRDefault="00D22337" w:rsidP="00D22337">
      <w:pPr>
        <w:pStyle w:val="ListParagraph"/>
        <w:numPr>
          <w:ilvl w:val="0"/>
          <w:numId w:val="2"/>
        </w:numPr>
        <w:spacing w:line="240" w:lineRule="auto"/>
        <w:rPr>
          <w:rFonts w:eastAsia="Times New Roman" w:cs="Arial"/>
        </w:rPr>
      </w:pPr>
      <w:r w:rsidRPr="00D22337">
        <w:rPr>
          <w:rFonts w:eastAsia="Times New Roman" w:cs="Arial"/>
          <w:color w:val="000000"/>
          <w:lang w:eastAsia="bg-BG"/>
        </w:rPr>
        <w:t>Бъбречната функция трябва да се проследява чрез изследвания за бъбречната функция и анализ на урината (вж. точки 4.2 и 4.3). Тъй като метотрексат се елиминира главно чрез бъбреците, при бъбречно увреждане трябва да се очакват повишени плазмени концентрации, което може да доведе до сериозни нежелани реакции. Когато бъбречната функция може да е компрометирана (напр. при пациентите в старческа възраст), проследяване трябва да се извършва по-често. Това се отнася особено в случай, че се прилагат едновременно лекарствени продукти, които оказват влияни</w:t>
      </w:r>
      <w:r w:rsidRPr="00D22337">
        <w:rPr>
          <w:rFonts w:eastAsia="Times New Roman" w:cs="Arial"/>
          <w:color w:val="000000"/>
          <w:u w:val="single"/>
          <w:lang w:eastAsia="bg-BG"/>
        </w:rPr>
        <w:t xml:space="preserve">е </w:t>
      </w:r>
      <w:r w:rsidRPr="00D22337">
        <w:rPr>
          <w:rFonts w:eastAsia="Times New Roman" w:cs="Arial"/>
          <w:color w:val="000000"/>
          <w:lang w:eastAsia="bg-BG"/>
        </w:rPr>
        <w:t>върху елиминирането на метотрексат, причиняват увреждане на бъбреците (напр. нестероидни противовъзпалителни лекарствени средства) или които могат потенциално да доведат до увреждане на хемопоезата. Дехвдратацията може също така да засили токсичността на метотрексат.</w:t>
      </w:r>
    </w:p>
    <w:p w14:paraId="523E1371" w14:textId="77777777" w:rsidR="00D22337" w:rsidRPr="00D22337" w:rsidRDefault="00D22337" w:rsidP="00D22337">
      <w:pPr>
        <w:spacing w:line="240" w:lineRule="auto"/>
        <w:rPr>
          <w:rFonts w:eastAsia="Times New Roman" w:cs="Arial"/>
        </w:rPr>
      </w:pPr>
    </w:p>
    <w:p w14:paraId="3DB45525" w14:textId="0A632EDE" w:rsidR="00D22337" w:rsidRPr="00D22337" w:rsidRDefault="00D22337" w:rsidP="00D22337">
      <w:pPr>
        <w:pStyle w:val="ListParagraph"/>
        <w:numPr>
          <w:ilvl w:val="0"/>
          <w:numId w:val="2"/>
        </w:numPr>
        <w:spacing w:line="240" w:lineRule="auto"/>
        <w:rPr>
          <w:rFonts w:eastAsia="Times New Roman" w:cs="Arial"/>
        </w:rPr>
      </w:pPr>
      <w:r w:rsidRPr="00D22337">
        <w:rPr>
          <w:rFonts w:eastAsia="Times New Roman" w:cs="Arial"/>
          <w:color w:val="000000"/>
          <w:lang w:eastAsia="bg-BG"/>
        </w:rPr>
        <w:t>Оценка на дихателната система: Трябва да се внимава за симптоми на увреждане на белодробната функция и, ако е необходимо, да се извърши функционално белодробно изследване. Белодробното засягане изисква бърза диагноза и прекратяване на метотрексат. Белодробни симптоми (особено суха, непродуктивна кашлица) или неспецифичен пневмонит, настъпили по време на терапия с метотрексат може да са показатели за потенциално опасна лезия и изискват прекъсване на лечението и внимателно изследване. Може да възникне остър или хроничен интерстициален пневмонит, често свързан с еозинофилия в кръвта, като са съобщавани и смъртни случаи. Въпреки клиничната вариабилност, типичният пациент с предизвикано от метотрексат белодробно заболяване е с повишена температура, кашлица, диспнея, хипоксемия, и наличие на инфилтрат при рентгенография на гръдния кош и трябва да се изключи инфекция. Белодробното засягане изисква бърза диагноза и преустановяване на лечението с метотрексат. Това увреждане  може да се наблюдава при всички дози.</w:t>
      </w:r>
    </w:p>
    <w:p w14:paraId="03AE4DAB" w14:textId="77777777" w:rsidR="00D22337" w:rsidRPr="00D22337" w:rsidRDefault="00D22337" w:rsidP="00D22337">
      <w:pPr>
        <w:spacing w:line="240" w:lineRule="auto"/>
        <w:rPr>
          <w:rFonts w:eastAsia="Times New Roman" w:cs="Arial"/>
          <w:color w:val="000000"/>
          <w:lang w:eastAsia="bg-BG"/>
        </w:rPr>
      </w:pPr>
    </w:p>
    <w:p w14:paraId="5A2FB667"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Освен това се съобщава за пулмонална алвеоларна хеморагия, когато метотрексат се използва за ревматологични и свързани с тях показания. Това събитие може също да е свързано с васкулит и други коморбидности. Трябва да се обмислят своевременни изследвания при съмнение за пулмонална алвеоларна хеморагия за потвърждаване на диагнозата.</w:t>
      </w:r>
    </w:p>
    <w:p w14:paraId="7C48E6A7" w14:textId="77777777" w:rsidR="00D22337" w:rsidRPr="00D22337" w:rsidRDefault="00D22337" w:rsidP="00D22337">
      <w:pPr>
        <w:spacing w:line="240" w:lineRule="auto"/>
        <w:rPr>
          <w:rFonts w:eastAsia="Times New Roman" w:cs="Arial"/>
        </w:rPr>
      </w:pPr>
    </w:p>
    <w:p w14:paraId="293C2AF0" w14:textId="339A4765" w:rsidR="00D22337" w:rsidRPr="00D22337" w:rsidRDefault="00D22337" w:rsidP="00D22337">
      <w:pPr>
        <w:pStyle w:val="ListParagraph"/>
        <w:numPr>
          <w:ilvl w:val="0"/>
          <w:numId w:val="2"/>
        </w:numPr>
        <w:spacing w:line="240" w:lineRule="auto"/>
        <w:rPr>
          <w:rFonts w:eastAsia="Times New Roman" w:cs="Arial"/>
        </w:rPr>
      </w:pPr>
      <w:r w:rsidRPr="00D22337">
        <w:rPr>
          <w:rFonts w:eastAsia="Times New Roman" w:cs="Arial"/>
          <w:color w:val="000000"/>
          <w:lang w:eastAsia="bg-BG"/>
        </w:rPr>
        <w:t>Поради ефекта му върху имунната система метотрексат може да наруши отговора към ваксинация и да окаже влияние върху резултата от имунологични тестове. Необходимо е също особено повишено внимание при наличие на неактивни, хронични инфекции (напр. херпес зостер, туберкулоза, хепатит В или С) поради евентуално активиране. По време на терапия с метотрексат не трябва да се извършва ваксинация с живи ваксини (вж. точки 43 и 4.5).</w:t>
      </w:r>
    </w:p>
    <w:p w14:paraId="4ADACE3E" w14:textId="77777777" w:rsidR="00D22337" w:rsidRPr="00D22337" w:rsidRDefault="00D22337" w:rsidP="00D22337">
      <w:pPr>
        <w:spacing w:line="240" w:lineRule="auto"/>
        <w:rPr>
          <w:rFonts w:eastAsia="Times New Roman" w:cs="Arial"/>
          <w:color w:val="000000"/>
          <w:lang w:eastAsia="bg-BG"/>
        </w:rPr>
      </w:pPr>
    </w:p>
    <w:p w14:paraId="0447FF66" w14:textId="0468FDBC" w:rsidR="00D22337" w:rsidRPr="00D22337" w:rsidRDefault="00D22337" w:rsidP="00D22337">
      <w:pPr>
        <w:spacing w:line="240" w:lineRule="auto"/>
        <w:rPr>
          <w:rFonts w:eastAsia="Times New Roman" w:cs="Arial"/>
        </w:rPr>
      </w:pPr>
      <w:r w:rsidRPr="00D22337">
        <w:rPr>
          <w:rFonts w:eastAsia="Times New Roman" w:cs="Arial"/>
          <w:color w:val="000000"/>
          <w:lang w:eastAsia="bg-BG"/>
        </w:rPr>
        <w:t>При пациенти, приемащи ниски дози метотрексат могат да възникнат злокачествени лимфоми, като в този случай терапията трябва да се преустанови. Ако лимфомът не показва признаци на спонтанна регресия, се налага започване на цитотоксична терапия.</w:t>
      </w:r>
    </w:p>
    <w:p w14:paraId="3DA4905B" w14:textId="77777777" w:rsidR="00D22337" w:rsidRPr="00D22337" w:rsidRDefault="00D22337" w:rsidP="00D22337">
      <w:pPr>
        <w:spacing w:line="240" w:lineRule="auto"/>
        <w:rPr>
          <w:rFonts w:eastAsia="Times New Roman" w:cs="Arial"/>
          <w:color w:val="000000"/>
          <w:lang w:eastAsia="bg-BG"/>
        </w:rPr>
      </w:pPr>
    </w:p>
    <w:p w14:paraId="591DA719" w14:textId="4726FC29" w:rsidR="00D22337" w:rsidRPr="00D22337" w:rsidRDefault="00D22337" w:rsidP="00D22337">
      <w:pPr>
        <w:spacing w:line="240" w:lineRule="auto"/>
        <w:rPr>
          <w:rFonts w:eastAsia="Times New Roman" w:cs="Arial"/>
        </w:rPr>
      </w:pPr>
      <w:r w:rsidRPr="00D22337">
        <w:rPr>
          <w:rFonts w:eastAsia="Times New Roman" w:cs="Arial"/>
          <w:color w:val="000000"/>
          <w:lang w:eastAsia="bg-BG"/>
        </w:rPr>
        <w:t>Съобщава се, че едновременното прилагане на фолатни антагонисти, като триметоприм/сулфаметоксазол в редки случаи причинява остра мегалобластна панцитопения (вж. точка 4.5).</w:t>
      </w:r>
    </w:p>
    <w:p w14:paraId="33574C49" w14:textId="77777777" w:rsidR="00D22337" w:rsidRPr="00D22337" w:rsidRDefault="00D22337" w:rsidP="00D22337">
      <w:pPr>
        <w:spacing w:line="240" w:lineRule="auto"/>
        <w:rPr>
          <w:rFonts w:eastAsia="Times New Roman" w:cs="Arial"/>
          <w:color w:val="000000"/>
          <w:lang w:eastAsia="bg-BG"/>
        </w:rPr>
      </w:pPr>
    </w:p>
    <w:p w14:paraId="61A04904" w14:textId="6D42B644" w:rsidR="00D22337" w:rsidRPr="00D22337" w:rsidRDefault="00D22337" w:rsidP="00D22337">
      <w:pPr>
        <w:spacing w:line="240" w:lineRule="auto"/>
        <w:rPr>
          <w:rFonts w:eastAsia="Times New Roman" w:cs="Arial"/>
        </w:rPr>
      </w:pPr>
      <w:r w:rsidRPr="00D22337">
        <w:rPr>
          <w:rFonts w:eastAsia="Times New Roman" w:cs="Arial"/>
          <w:color w:val="000000"/>
          <w:lang w:eastAsia="bg-BG"/>
        </w:rPr>
        <w:t xml:space="preserve">При терапия с метотрексат могат да се появят повторни реакции на радиационно индуциран дерматит и слънчево изгаряне </w:t>
      </w:r>
      <w:r w:rsidRPr="00D22337">
        <w:rPr>
          <w:rFonts w:eastAsia="Times New Roman" w:cs="Arial"/>
          <w:color w:val="000000"/>
          <w:lang w:val="ru-RU"/>
        </w:rPr>
        <w:t>(</w:t>
      </w:r>
      <w:r w:rsidRPr="00D22337">
        <w:rPr>
          <w:rFonts w:eastAsia="Times New Roman" w:cs="Arial"/>
          <w:color w:val="000000"/>
          <w:lang w:val="en-US"/>
        </w:rPr>
        <w:t>recall</w:t>
      </w:r>
      <w:r w:rsidRPr="00D22337">
        <w:rPr>
          <w:rFonts w:eastAsia="Times New Roman" w:cs="Arial"/>
          <w:color w:val="000000"/>
          <w:lang w:eastAsia="bg-BG"/>
        </w:rPr>
        <w:t xml:space="preserve">-реакция). Псориатичните лезии могат да се обострят при </w:t>
      </w:r>
      <w:r w:rsidRPr="00D22337">
        <w:rPr>
          <w:rFonts w:eastAsia="Times New Roman" w:cs="Arial"/>
          <w:color w:val="000000"/>
          <w:lang w:val="en-US"/>
        </w:rPr>
        <w:t>UV</w:t>
      </w:r>
      <w:r w:rsidRPr="00D22337">
        <w:rPr>
          <w:rFonts w:eastAsia="Times New Roman" w:cs="Arial"/>
          <w:color w:val="000000"/>
          <w:lang w:eastAsia="bg-BG"/>
        </w:rPr>
        <w:t>-облъчване и едновременно приложение на метотрексат.</w:t>
      </w:r>
    </w:p>
    <w:p w14:paraId="6E1A4EDB" w14:textId="77777777" w:rsidR="00D22337" w:rsidRPr="00D22337" w:rsidRDefault="00D22337" w:rsidP="00D22337">
      <w:pPr>
        <w:spacing w:line="240" w:lineRule="auto"/>
        <w:rPr>
          <w:rFonts w:eastAsia="Times New Roman" w:cs="Arial"/>
          <w:color w:val="000000"/>
          <w:lang w:eastAsia="bg-BG"/>
        </w:rPr>
      </w:pPr>
    </w:p>
    <w:p w14:paraId="5D1DFD9C" w14:textId="3716507B" w:rsidR="00D22337" w:rsidRPr="00D22337" w:rsidRDefault="00D22337" w:rsidP="00D22337">
      <w:pPr>
        <w:spacing w:line="240" w:lineRule="auto"/>
        <w:rPr>
          <w:rFonts w:eastAsia="Times New Roman" w:cs="Arial"/>
        </w:rPr>
      </w:pPr>
      <w:r w:rsidRPr="00D22337">
        <w:rPr>
          <w:rFonts w:eastAsia="Times New Roman" w:cs="Arial"/>
          <w:color w:val="000000"/>
          <w:lang w:eastAsia="bg-BG"/>
        </w:rPr>
        <w:t>Елиминирането на метотрексат е намалено при пациенти с трето пространство на разпределение (асцит, плеврален излив). Такива пациенти се нуждаят от особено внимателно проследяване за токсичност и се налага понижаване на дозата или, в някои случаи, прекратяване на приложението на метотрексат. Преди започване на лечение с метотрексат плевралните изливи и асцитът трябва да се дренират (вж. точка 5.2).</w:t>
      </w:r>
    </w:p>
    <w:p w14:paraId="545DA043" w14:textId="77777777" w:rsidR="00D22337" w:rsidRPr="00D22337" w:rsidRDefault="00D22337" w:rsidP="00D22337">
      <w:pPr>
        <w:spacing w:line="240" w:lineRule="auto"/>
        <w:rPr>
          <w:rFonts w:eastAsia="Times New Roman" w:cs="Arial"/>
          <w:color w:val="000000"/>
          <w:lang w:eastAsia="bg-BG"/>
        </w:rPr>
      </w:pPr>
    </w:p>
    <w:p w14:paraId="62973DBC" w14:textId="02500F0A" w:rsidR="00D22337" w:rsidRPr="00D22337" w:rsidRDefault="00D22337" w:rsidP="00D22337">
      <w:pPr>
        <w:spacing w:line="240" w:lineRule="auto"/>
        <w:rPr>
          <w:rFonts w:eastAsia="Times New Roman" w:cs="Arial"/>
        </w:rPr>
      </w:pPr>
      <w:r w:rsidRPr="00D22337">
        <w:rPr>
          <w:rFonts w:eastAsia="Times New Roman" w:cs="Arial"/>
          <w:color w:val="000000"/>
          <w:lang w:eastAsia="bg-BG"/>
        </w:rPr>
        <w:t>Диарията и улцерозният стоматит могат да са токсични ефекти и изискват прекъсване на лечението, защото в противен случай може да възникне хеморагичен ентерит и смърт от перфорация на червата.</w:t>
      </w:r>
    </w:p>
    <w:p w14:paraId="186E7864" w14:textId="77777777" w:rsidR="00D22337" w:rsidRPr="00D22337" w:rsidRDefault="00D22337" w:rsidP="00D22337">
      <w:pPr>
        <w:spacing w:line="240" w:lineRule="auto"/>
        <w:rPr>
          <w:rFonts w:eastAsia="Times New Roman" w:cs="Arial"/>
          <w:color w:val="000000"/>
          <w:lang w:eastAsia="bg-BG"/>
        </w:rPr>
      </w:pPr>
    </w:p>
    <w:p w14:paraId="5F283CFF" w14:textId="26DA1BEF" w:rsidR="00D22337" w:rsidRPr="00D22337" w:rsidRDefault="00D22337" w:rsidP="00D22337">
      <w:pPr>
        <w:spacing w:line="240" w:lineRule="auto"/>
        <w:rPr>
          <w:rFonts w:eastAsia="Times New Roman" w:cs="Arial"/>
        </w:rPr>
      </w:pPr>
      <w:r w:rsidRPr="00D22337">
        <w:rPr>
          <w:rFonts w:eastAsia="Times New Roman" w:cs="Arial"/>
          <w:color w:val="000000"/>
          <w:lang w:eastAsia="bg-BG"/>
        </w:rPr>
        <w:t>Витаминните продукти или други продукти, съдържащи фолиева киселина, фолинова киселина или техните производни могат да намалят ефективността на метотрексат.</w:t>
      </w:r>
    </w:p>
    <w:p w14:paraId="598D8D35" w14:textId="77777777" w:rsidR="00D22337" w:rsidRPr="00D22337" w:rsidRDefault="00D22337" w:rsidP="00D22337">
      <w:pPr>
        <w:spacing w:line="240" w:lineRule="auto"/>
        <w:rPr>
          <w:rFonts w:eastAsia="Times New Roman" w:cs="Arial"/>
          <w:color w:val="000000"/>
          <w:lang w:eastAsia="bg-BG"/>
        </w:rPr>
      </w:pPr>
    </w:p>
    <w:p w14:paraId="25B8EB77" w14:textId="610D62A0" w:rsidR="00D22337" w:rsidRPr="00D22337" w:rsidRDefault="00D22337" w:rsidP="00D22337">
      <w:pPr>
        <w:spacing w:line="240" w:lineRule="auto"/>
        <w:rPr>
          <w:rFonts w:eastAsia="Times New Roman" w:cs="Arial"/>
        </w:rPr>
      </w:pPr>
      <w:r w:rsidRPr="00D22337">
        <w:rPr>
          <w:rFonts w:eastAsia="Times New Roman" w:cs="Arial"/>
          <w:color w:val="000000"/>
          <w:lang w:eastAsia="bg-BG"/>
        </w:rPr>
        <w:t>При лечението на псориазис, употребата на метотрексат трябва да се ограничи до тежък,</w:t>
      </w:r>
    </w:p>
    <w:p w14:paraId="422DEC21"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резистентен инвалидизиращ псориазис, който не се повлиява успешно от други форми на терапия, но само когато диагнозата е установена с помощта на биопсия и/или след дерматологична консултация.</w:t>
      </w:r>
    </w:p>
    <w:p w14:paraId="0F0ABB38" w14:textId="77777777" w:rsidR="00D22337" w:rsidRPr="00D22337" w:rsidRDefault="00D22337" w:rsidP="00D22337">
      <w:pPr>
        <w:spacing w:line="240" w:lineRule="auto"/>
        <w:rPr>
          <w:rFonts w:eastAsia="Times New Roman" w:cs="Arial"/>
          <w:color w:val="000000"/>
          <w:lang w:eastAsia="bg-BG"/>
        </w:rPr>
      </w:pPr>
    </w:p>
    <w:p w14:paraId="6A4C9EAE" w14:textId="77777777" w:rsidR="00D22337" w:rsidRPr="00D22337" w:rsidRDefault="00D22337" w:rsidP="00D22337">
      <w:pPr>
        <w:rPr>
          <w:rFonts w:eastAsia="Times New Roman" w:cs="Arial"/>
        </w:rPr>
      </w:pPr>
      <w:r w:rsidRPr="00D22337">
        <w:rPr>
          <w:rFonts w:eastAsia="Times New Roman" w:cs="Arial"/>
          <w:color w:val="000000"/>
          <w:lang w:eastAsia="bg-BG"/>
        </w:rPr>
        <w:t xml:space="preserve">При пациенти с онкологични заболявания, получаващи терапия с метотрексат има съобщения за енцефалопатия/левкоенцефалопатия, които не могат да се изключат и при терапия </w:t>
      </w:r>
      <w:r w:rsidRPr="00D22337">
        <w:rPr>
          <w:rFonts w:eastAsia="Times New Roman" w:cs="Arial"/>
          <w:i/>
          <w:iCs/>
          <w:color w:val="000000"/>
          <w:lang w:eastAsia="bg-BG"/>
        </w:rPr>
        <w:t xml:space="preserve">с </w:t>
      </w:r>
      <w:r w:rsidRPr="00D22337">
        <w:rPr>
          <w:rFonts w:eastAsia="Times New Roman" w:cs="Arial"/>
          <w:color w:val="000000"/>
          <w:lang w:eastAsia="bg-BG"/>
        </w:rPr>
        <w:t>метотрексат при неонкологични показания.</w:t>
      </w:r>
    </w:p>
    <w:p w14:paraId="5D758B31" w14:textId="77777777" w:rsidR="00D22337" w:rsidRPr="00D22337" w:rsidRDefault="00D22337" w:rsidP="00D22337">
      <w:pPr>
        <w:spacing w:line="240" w:lineRule="auto"/>
        <w:rPr>
          <w:rFonts w:eastAsia="Times New Roman" w:cs="Arial"/>
          <w:color w:val="000000"/>
          <w:u w:val="single"/>
          <w:lang w:eastAsia="bg-BG"/>
        </w:rPr>
      </w:pPr>
    </w:p>
    <w:p w14:paraId="1870560D" w14:textId="0F7A2F4E"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Прогресивна мултифокална левкоениефалопатия (ПМЛ)</w:t>
      </w:r>
    </w:p>
    <w:p w14:paraId="28A1E639"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lastRenderedPageBreak/>
        <w:t>Има съобщения за случаи на прогресивна мултифокална левкоенцефалопатия (ПМЛ) при пациенти, които получават метотрексат, предимно в комбинация с друго имуносупресивно средство. ПМЛ може да е с летален изход и трябва да се има предвид при диференциалната диагноза при имуносупресирани пациенти с поява на нови или влошаване на неврологичните симптоми.</w:t>
      </w:r>
    </w:p>
    <w:p w14:paraId="4FC6E872" w14:textId="77777777" w:rsidR="00D22337" w:rsidRPr="00D22337" w:rsidRDefault="00D22337" w:rsidP="00D22337">
      <w:pPr>
        <w:spacing w:line="240" w:lineRule="auto"/>
        <w:rPr>
          <w:rFonts w:eastAsia="Times New Roman" w:cs="Arial"/>
          <w:color w:val="000000"/>
          <w:u w:val="single"/>
          <w:lang w:eastAsia="bg-BG"/>
        </w:rPr>
      </w:pPr>
    </w:p>
    <w:p w14:paraId="6609E6B5" w14:textId="0169B810"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Фертилитет и репродукция</w:t>
      </w:r>
    </w:p>
    <w:p w14:paraId="7CECDE56" w14:textId="77777777" w:rsidR="00D22337" w:rsidRPr="00D22337" w:rsidRDefault="00D22337" w:rsidP="00D22337">
      <w:pPr>
        <w:spacing w:line="240" w:lineRule="auto"/>
        <w:rPr>
          <w:rFonts w:eastAsia="Times New Roman" w:cs="Arial"/>
          <w:i/>
          <w:iCs/>
          <w:color w:val="000000"/>
          <w:lang w:eastAsia="bg-BG"/>
        </w:rPr>
      </w:pPr>
    </w:p>
    <w:p w14:paraId="24E48AF7" w14:textId="1CD044D2" w:rsidR="00D22337" w:rsidRPr="00D22337" w:rsidRDefault="00D22337" w:rsidP="00D22337">
      <w:pPr>
        <w:spacing w:line="240" w:lineRule="auto"/>
        <w:rPr>
          <w:rFonts w:eastAsia="Times New Roman" w:cs="Arial"/>
        </w:rPr>
      </w:pPr>
      <w:r w:rsidRPr="00D22337">
        <w:rPr>
          <w:rFonts w:eastAsia="Times New Roman" w:cs="Arial"/>
          <w:i/>
          <w:iCs/>
          <w:color w:val="000000"/>
          <w:lang w:eastAsia="bg-BG"/>
        </w:rPr>
        <w:t>Фертилитет</w:t>
      </w:r>
    </w:p>
    <w:p w14:paraId="6EB3FE12"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За метотрексат има съобщения, че при хора причинява олигоспермия, менструална дисфункция и аменорея по време на лечението и за кратък период след прекъсването му, както и нарушения на фертилитета, засягащи сперматогенезата и овогенезата по време на прием - тези ефекти са обратими при прекратяване на терапията.</w:t>
      </w:r>
    </w:p>
    <w:p w14:paraId="650615EA" w14:textId="77777777" w:rsidR="00D22337" w:rsidRPr="00D22337" w:rsidRDefault="00D22337" w:rsidP="00D22337">
      <w:pPr>
        <w:spacing w:line="240" w:lineRule="auto"/>
        <w:rPr>
          <w:rFonts w:eastAsia="Times New Roman" w:cs="Arial"/>
          <w:i/>
          <w:iCs/>
          <w:color w:val="000000"/>
          <w:lang w:eastAsia="bg-BG"/>
        </w:rPr>
      </w:pPr>
    </w:p>
    <w:p w14:paraId="0A26D84D" w14:textId="261A9656" w:rsidR="00D22337" w:rsidRPr="00D22337" w:rsidRDefault="00D22337" w:rsidP="00D22337">
      <w:pPr>
        <w:spacing w:line="240" w:lineRule="auto"/>
        <w:rPr>
          <w:rFonts w:eastAsia="Times New Roman" w:cs="Arial"/>
        </w:rPr>
      </w:pPr>
      <w:r w:rsidRPr="00D22337">
        <w:rPr>
          <w:rFonts w:eastAsia="Times New Roman" w:cs="Arial"/>
          <w:i/>
          <w:iCs/>
          <w:color w:val="000000"/>
          <w:lang w:eastAsia="bg-BG"/>
        </w:rPr>
        <w:t>Тератогенност -репродуктивен риск</w:t>
      </w:r>
    </w:p>
    <w:p w14:paraId="0F44BAD9"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Метотрексат причинява ембриотоксичност, аборт и фетални дефекти на плода при хора. По тази причина възможните рискове за ефекти върху репродукцията, спонтанен аборт и вродени малформации трябва да се обсъдят с пациентите от женски пол с детероден потенциал (вж. точка 4.6). Трябва да се потвърди липса на бременност преди да се използва Намаксир. При лечение на жени в детеродна възраст трябва да се приложи ефективна контрацепция по време на лечението и поне шест месеца след това.</w:t>
      </w:r>
    </w:p>
    <w:p w14:paraId="16954799" w14:textId="77777777" w:rsidR="00D22337" w:rsidRPr="00D22337" w:rsidRDefault="00D22337" w:rsidP="00D22337">
      <w:pPr>
        <w:spacing w:line="240" w:lineRule="auto"/>
        <w:rPr>
          <w:rFonts w:eastAsia="Times New Roman" w:cs="Arial"/>
          <w:color w:val="000000"/>
          <w:lang w:eastAsia="bg-BG"/>
        </w:rPr>
      </w:pPr>
    </w:p>
    <w:p w14:paraId="5AC0C523" w14:textId="3583A673" w:rsidR="00D22337" w:rsidRPr="00D22337" w:rsidRDefault="00D22337" w:rsidP="00D22337">
      <w:pPr>
        <w:spacing w:line="240" w:lineRule="auto"/>
        <w:rPr>
          <w:rFonts w:eastAsia="Times New Roman" w:cs="Arial"/>
        </w:rPr>
      </w:pPr>
      <w:r w:rsidRPr="00D22337">
        <w:rPr>
          <w:rFonts w:eastAsia="Times New Roman" w:cs="Arial"/>
          <w:color w:val="000000"/>
          <w:lang w:eastAsia="bg-BG"/>
        </w:rPr>
        <w:t>Вижте точка 4.6 за съвет за контрацепция при мъже.</w:t>
      </w:r>
    </w:p>
    <w:p w14:paraId="29AEB6D2" w14:textId="77777777" w:rsidR="00D22337" w:rsidRPr="00D22337" w:rsidRDefault="00D22337" w:rsidP="00D22337">
      <w:pPr>
        <w:spacing w:line="240" w:lineRule="auto"/>
        <w:rPr>
          <w:rFonts w:eastAsia="Times New Roman" w:cs="Arial"/>
          <w:color w:val="000000"/>
          <w:u w:val="single"/>
          <w:lang w:eastAsia="bg-BG"/>
        </w:rPr>
      </w:pPr>
    </w:p>
    <w:p w14:paraId="3057B34C" w14:textId="77E8666F"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Педиатрична популация</w:t>
      </w:r>
    </w:p>
    <w:p w14:paraId="2F862D72"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Не се препоръчва употребата при деца &lt;3-годишна възраст, тъй като наличните данни за ефикасност и безопасност при тази популация са недостатъчни (вж. точка 4.2).</w:t>
      </w:r>
    </w:p>
    <w:p w14:paraId="0F27708F" w14:textId="77777777" w:rsidR="00D22337" w:rsidRPr="00D22337" w:rsidRDefault="00D22337" w:rsidP="00D22337">
      <w:pPr>
        <w:spacing w:line="240" w:lineRule="auto"/>
        <w:rPr>
          <w:rFonts w:eastAsia="Times New Roman" w:cs="Arial"/>
          <w:color w:val="000000"/>
          <w:lang w:eastAsia="bg-BG"/>
        </w:rPr>
      </w:pPr>
    </w:p>
    <w:p w14:paraId="498A4927" w14:textId="2EA871EE" w:rsidR="00D22337" w:rsidRPr="00D22337" w:rsidRDefault="00D22337" w:rsidP="00D22337">
      <w:pPr>
        <w:spacing w:line="240" w:lineRule="auto"/>
        <w:rPr>
          <w:rFonts w:eastAsia="Times New Roman" w:cs="Arial"/>
        </w:rPr>
      </w:pPr>
      <w:r w:rsidRPr="00D22337">
        <w:rPr>
          <w:rFonts w:eastAsia="Times New Roman" w:cs="Arial"/>
          <w:color w:val="000000"/>
          <w:lang w:eastAsia="bg-BG"/>
        </w:rPr>
        <w:t>Помощни вещества:</w:t>
      </w:r>
    </w:p>
    <w:p w14:paraId="1D6BB91D" w14:textId="77777777" w:rsidR="00D22337" w:rsidRPr="00D22337" w:rsidRDefault="00D22337" w:rsidP="00D22337">
      <w:pPr>
        <w:spacing w:line="240" w:lineRule="auto"/>
        <w:rPr>
          <w:rFonts w:eastAsia="Times New Roman" w:cs="Arial"/>
          <w:i/>
          <w:iCs/>
          <w:color w:val="000000"/>
          <w:lang w:eastAsia="bg-BG"/>
        </w:rPr>
      </w:pPr>
    </w:p>
    <w:p w14:paraId="592535BB" w14:textId="7715E128" w:rsidR="00D22337" w:rsidRPr="00D22337" w:rsidRDefault="00D22337" w:rsidP="00D22337">
      <w:pPr>
        <w:spacing w:line="240" w:lineRule="auto"/>
        <w:rPr>
          <w:rFonts w:eastAsia="Times New Roman" w:cs="Arial"/>
        </w:rPr>
      </w:pPr>
      <w:r w:rsidRPr="00D22337">
        <w:rPr>
          <w:rFonts w:eastAsia="Times New Roman" w:cs="Arial"/>
          <w:i/>
          <w:iCs/>
          <w:color w:val="000000"/>
          <w:lang w:eastAsia="bg-BG"/>
        </w:rPr>
        <w:t>Натрий</w:t>
      </w:r>
    </w:p>
    <w:p w14:paraId="22A84550" w14:textId="7CC9F6E1" w:rsidR="00D22337" w:rsidRDefault="00D22337" w:rsidP="00D22337">
      <w:pPr>
        <w:spacing w:line="240" w:lineRule="auto"/>
        <w:rPr>
          <w:rFonts w:eastAsia="Times New Roman" w:cs="Arial"/>
          <w:color w:val="000000"/>
          <w:lang w:eastAsia="bg-BG"/>
        </w:rPr>
      </w:pPr>
      <w:r w:rsidRPr="00D22337">
        <w:rPr>
          <w:rFonts w:eastAsia="Times New Roman" w:cs="Arial"/>
          <w:color w:val="000000"/>
          <w:lang w:eastAsia="bg-BG"/>
        </w:rPr>
        <w:t xml:space="preserve">Този лекарствен продукт съдържа по-малко от 1 </w:t>
      </w:r>
      <w:proofErr w:type="spellStart"/>
      <w:r w:rsidRPr="00D22337">
        <w:rPr>
          <w:rFonts w:eastAsia="Times New Roman" w:cs="Arial"/>
          <w:color w:val="000000"/>
          <w:lang w:val="en-US"/>
        </w:rPr>
        <w:t>mmol</w:t>
      </w:r>
      <w:proofErr w:type="spellEnd"/>
      <w:r w:rsidRPr="00D22337">
        <w:rPr>
          <w:rFonts w:eastAsia="Times New Roman" w:cs="Arial"/>
          <w:color w:val="000000"/>
          <w:lang w:val="ru-RU"/>
        </w:rPr>
        <w:t xml:space="preserve"> </w:t>
      </w:r>
      <w:r w:rsidRPr="00D22337">
        <w:rPr>
          <w:rFonts w:eastAsia="Times New Roman" w:cs="Arial"/>
          <w:color w:val="000000"/>
          <w:lang w:eastAsia="bg-BG"/>
        </w:rPr>
        <w:t xml:space="preserve">натрий (23 </w:t>
      </w:r>
      <w:r w:rsidRPr="00D22337">
        <w:rPr>
          <w:rFonts w:eastAsia="Times New Roman" w:cs="Arial"/>
          <w:color w:val="000000"/>
          <w:lang w:val="en-US"/>
        </w:rPr>
        <w:t>mg</w:t>
      </w:r>
      <w:r w:rsidRPr="00D22337">
        <w:rPr>
          <w:rFonts w:eastAsia="Times New Roman" w:cs="Arial"/>
          <w:color w:val="000000"/>
          <w:lang w:val="ru-RU"/>
        </w:rPr>
        <w:t xml:space="preserve">) </w:t>
      </w:r>
      <w:r w:rsidRPr="00D22337">
        <w:rPr>
          <w:rFonts w:eastAsia="Times New Roman" w:cs="Arial"/>
          <w:color w:val="000000"/>
          <w:lang w:eastAsia="bg-BG"/>
        </w:rPr>
        <w:t>на доза, т.е. може да се каже, че практически не съдържа натрий.</w:t>
      </w:r>
    </w:p>
    <w:p w14:paraId="6B10FE69" w14:textId="77777777" w:rsidR="00D22337" w:rsidRPr="00D22337" w:rsidRDefault="00D22337" w:rsidP="00D22337">
      <w:pPr>
        <w:spacing w:line="240" w:lineRule="auto"/>
        <w:rPr>
          <w:rFonts w:eastAsia="Times New Roman" w:cs="Arial"/>
        </w:rPr>
      </w:pPr>
    </w:p>
    <w:p w14:paraId="41AD4B6B" w14:textId="54181682" w:rsidR="00D22337" w:rsidRDefault="002C50EE" w:rsidP="00D22337">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3B245B29" w14:textId="05FCF8E9" w:rsidR="00D22337" w:rsidRDefault="00D22337" w:rsidP="00D22337"/>
    <w:p w14:paraId="286807DF" w14:textId="77777777"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 xml:space="preserve">Алкохол, хепатотоксични лекарствени продукти, хематотоксични лекарствени продукти </w:t>
      </w:r>
      <w:r w:rsidRPr="00D22337">
        <w:rPr>
          <w:rFonts w:eastAsia="Times New Roman" w:cs="Arial"/>
          <w:color w:val="000000"/>
          <w:lang w:eastAsia="bg-BG"/>
        </w:rPr>
        <w:t>Вероятността метотрексат да прояви хепатотоксичен ефект се увеличава при редовна консумация на алкохол и когато същевременно се приемат други хепатотоксични лекарствени продукти (вж. точка 4.4). Пациентите, които едновременно приемат други хепатотоксични лекарствени продукти (напр. лефлуномид) трябва да се проследяват с особено внимание. Същото трябва да се вземе предвид при едновременното приложение на хематотоксични лекарствени продукти (напр. лефлуномид, азатиоприн, ретиноиди, сулфасалазин). Честотата на панцитопения и хепатотоксичност може да се увеличи, когато лефлуномид се комбинира с метотрексат.</w:t>
      </w:r>
    </w:p>
    <w:p w14:paraId="37C17114" w14:textId="77777777" w:rsidR="00D22337" w:rsidRPr="00857001" w:rsidRDefault="00D22337" w:rsidP="00D22337">
      <w:pPr>
        <w:spacing w:line="240" w:lineRule="auto"/>
        <w:rPr>
          <w:rFonts w:eastAsia="Times New Roman" w:cs="Arial"/>
          <w:color w:val="000000"/>
          <w:lang w:eastAsia="bg-BG"/>
        </w:rPr>
      </w:pPr>
    </w:p>
    <w:p w14:paraId="3A02C37D" w14:textId="17126535" w:rsidR="00D22337" w:rsidRPr="00D22337" w:rsidRDefault="00D22337" w:rsidP="00D22337">
      <w:pPr>
        <w:spacing w:line="240" w:lineRule="auto"/>
        <w:rPr>
          <w:rFonts w:eastAsia="Times New Roman" w:cs="Arial"/>
        </w:rPr>
      </w:pPr>
      <w:r w:rsidRPr="00D22337">
        <w:rPr>
          <w:rFonts w:eastAsia="Times New Roman" w:cs="Arial"/>
          <w:color w:val="000000"/>
          <w:lang w:eastAsia="bg-BG"/>
        </w:rPr>
        <w:t>Комбинирано лечение с метотрексат и ретиноиди, като ацитретин или етретинат, увеличава риска от хепатотоксичност.</w:t>
      </w:r>
    </w:p>
    <w:p w14:paraId="54E5B25F" w14:textId="131BE968" w:rsidR="00D22337" w:rsidRPr="00857001" w:rsidRDefault="00D22337" w:rsidP="00D22337">
      <w:pPr>
        <w:rPr>
          <w:rFonts w:cs="Arial"/>
        </w:rPr>
      </w:pPr>
    </w:p>
    <w:p w14:paraId="1CB7EE3A" w14:textId="77777777"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lastRenderedPageBreak/>
        <w:t>Лекарствени продукти с нежелани реакции върху костния мозък</w:t>
      </w:r>
    </w:p>
    <w:p w14:paraId="573AE868" w14:textId="6DCC35FE" w:rsidR="00D22337" w:rsidRPr="00D22337" w:rsidRDefault="00D22337" w:rsidP="00D22337">
      <w:pPr>
        <w:spacing w:line="240" w:lineRule="auto"/>
        <w:rPr>
          <w:rFonts w:eastAsia="Times New Roman" w:cs="Arial"/>
        </w:rPr>
      </w:pPr>
      <w:r w:rsidRPr="00D22337">
        <w:rPr>
          <w:rFonts w:eastAsia="Times New Roman" w:cs="Arial"/>
          <w:color w:val="000000"/>
          <w:lang w:eastAsia="bg-BG"/>
        </w:rPr>
        <w:t>При лечение с лекарствени продукти, които могат да окажат нежелани реакции върху костния мозък (напр. сулфонамиди, триметоприм-сулфаметоксазол, хлорамфеникол, пириметамин) трябва да се обърне внимание на възможността за изразено увреждане на хемопоезата.</w:t>
      </w:r>
    </w:p>
    <w:p w14:paraId="150C80DD" w14:textId="77777777" w:rsidR="00D22337" w:rsidRPr="00857001" w:rsidRDefault="00D22337" w:rsidP="00D22337">
      <w:pPr>
        <w:spacing w:line="240" w:lineRule="auto"/>
        <w:rPr>
          <w:rFonts w:eastAsia="Times New Roman" w:cs="Arial"/>
          <w:i/>
          <w:iCs/>
          <w:color w:val="000000"/>
          <w:lang w:eastAsia="bg-BG"/>
        </w:rPr>
      </w:pPr>
    </w:p>
    <w:p w14:paraId="09F2C69C" w14:textId="4E405512" w:rsidR="00D22337" w:rsidRPr="00D22337" w:rsidRDefault="00D22337" w:rsidP="00D22337">
      <w:pPr>
        <w:spacing w:line="240" w:lineRule="auto"/>
        <w:rPr>
          <w:rFonts w:eastAsia="Times New Roman" w:cs="Arial"/>
          <w:b/>
        </w:rPr>
      </w:pPr>
      <w:r w:rsidRPr="00D22337">
        <w:rPr>
          <w:rFonts w:eastAsia="Times New Roman" w:cs="Arial"/>
          <w:b/>
          <w:i/>
          <w:iCs/>
          <w:color w:val="000000"/>
          <w:lang w:eastAsia="bg-BG"/>
        </w:rPr>
        <w:t>Взаимодействия, оказващи влияние върху употребата на този лекарствен продукт</w:t>
      </w:r>
    </w:p>
    <w:p w14:paraId="0939969C" w14:textId="77777777" w:rsidR="00D22337" w:rsidRPr="00857001" w:rsidRDefault="00D22337" w:rsidP="00D22337">
      <w:pPr>
        <w:spacing w:line="240" w:lineRule="auto"/>
        <w:rPr>
          <w:rFonts w:eastAsia="Times New Roman" w:cs="Arial"/>
          <w:i/>
          <w:iCs/>
          <w:color w:val="000000"/>
          <w:lang w:eastAsia="bg-BG"/>
        </w:rPr>
      </w:pPr>
    </w:p>
    <w:p w14:paraId="41BA0692" w14:textId="1BB8524A" w:rsidR="00D22337" w:rsidRPr="00D22337" w:rsidRDefault="00D22337" w:rsidP="00D22337">
      <w:pPr>
        <w:spacing w:line="240" w:lineRule="auto"/>
        <w:rPr>
          <w:rFonts w:eastAsia="Times New Roman" w:cs="Arial"/>
        </w:rPr>
      </w:pPr>
      <w:r w:rsidRPr="00D22337">
        <w:rPr>
          <w:rFonts w:eastAsia="Times New Roman" w:cs="Arial"/>
          <w:i/>
          <w:iCs/>
          <w:color w:val="000000"/>
          <w:lang w:eastAsia="bg-BG"/>
        </w:rPr>
        <w:t>Взаимодействия, които могат да повишат нивата на метотрексат:</w:t>
      </w:r>
    </w:p>
    <w:p w14:paraId="7F765DD3" w14:textId="77777777" w:rsidR="00D22337" w:rsidRPr="00857001" w:rsidRDefault="00D22337" w:rsidP="00D22337">
      <w:pPr>
        <w:spacing w:line="240" w:lineRule="auto"/>
        <w:rPr>
          <w:rFonts w:eastAsia="Times New Roman" w:cs="Arial"/>
          <w:color w:val="000000"/>
          <w:u w:val="single"/>
          <w:lang w:eastAsia="bg-BG"/>
        </w:rPr>
      </w:pPr>
    </w:p>
    <w:p w14:paraId="189AD5D9" w14:textId="01539B38"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Азотен оксид</w:t>
      </w:r>
    </w:p>
    <w:p w14:paraId="070AB243"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Употребата на азотен оксид засилва ефекта на метотрексат върху метаболизма на фолиева киселина, предизвиквайки повишена токсичност като тежка непредвидима миелосупресия и стоматит. Въпреки че този ефект може да се намали чрез приложение на калциев фолинат, едновременната употреба на азотен оксид и метотрексат трябва да се избягва.</w:t>
      </w:r>
    </w:p>
    <w:p w14:paraId="7360BA6A" w14:textId="77777777" w:rsidR="00D22337" w:rsidRPr="00857001" w:rsidRDefault="00D22337" w:rsidP="00D22337">
      <w:pPr>
        <w:spacing w:line="240" w:lineRule="auto"/>
        <w:rPr>
          <w:rFonts w:eastAsia="Times New Roman" w:cs="Arial"/>
          <w:color w:val="000000"/>
          <w:u w:val="single"/>
          <w:lang w:eastAsia="bg-BG"/>
        </w:rPr>
      </w:pPr>
    </w:p>
    <w:p w14:paraId="4065724E" w14:textId="7AFA677A"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Антибиотици</w:t>
      </w:r>
    </w:p>
    <w:p w14:paraId="0EDEFC7F"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В отделни случаи, антибиотици, като пеницилини, гликопептиди, сулфонамиди, ципрофлоксацин и цефалотин могат да намалят бъбречния клирънс на метотрексат, така че да предизвикат повишени плазмени концентрации на метотрексат с поява на съпътстваща хематологична и стомашно-чревна токсичност.</w:t>
      </w:r>
    </w:p>
    <w:p w14:paraId="01965CFA" w14:textId="77777777" w:rsidR="00D22337" w:rsidRPr="00857001" w:rsidRDefault="00D22337" w:rsidP="00D22337">
      <w:pPr>
        <w:spacing w:line="240" w:lineRule="auto"/>
        <w:rPr>
          <w:rFonts w:eastAsia="Times New Roman" w:cs="Arial"/>
          <w:color w:val="000000"/>
          <w:u w:val="single"/>
          <w:lang w:eastAsia="bg-BG"/>
        </w:rPr>
      </w:pPr>
    </w:p>
    <w:p w14:paraId="1B8945AB" w14:textId="60DC6187"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Лекарствени продукти с висока степен на свързване с плазмените протеини</w:t>
      </w:r>
    </w:p>
    <w:p w14:paraId="7C426711"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Метотрексат се свързва с плазмените протеини и може да бъде изместен от други лекарствени продукти, които се свързват с протеините, като салицилати, хипогликемични средства, диуретици, сулфонамиди, дифенилхидантоини, тетрациклини, хлорамфеникол и р-аминобензоена киселина и киселите противовъзпалителни средства, които могат да доведат до повишена токсичност, когато се използват заедно.</w:t>
      </w:r>
    </w:p>
    <w:p w14:paraId="51A1E923" w14:textId="77777777" w:rsidR="00D22337" w:rsidRPr="00857001" w:rsidRDefault="00D22337" w:rsidP="00D22337">
      <w:pPr>
        <w:spacing w:line="240" w:lineRule="auto"/>
        <w:rPr>
          <w:rFonts w:eastAsia="Times New Roman" w:cs="Arial"/>
          <w:color w:val="000000"/>
          <w:lang w:eastAsia="bg-BG"/>
        </w:rPr>
      </w:pPr>
    </w:p>
    <w:p w14:paraId="1A78EEFD" w14:textId="007989A3" w:rsidR="00D22337" w:rsidRPr="00D22337" w:rsidRDefault="00D22337" w:rsidP="00D22337">
      <w:pPr>
        <w:spacing w:line="240" w:lineRule="auto"/>
        <w:rPr>
          <w:rFonts w:eastAsia="Times New Roman" w:cs="Arial"/>
        </w:rPr>
      </w:pPr>
      <w:r w:rsidRPr="00D22337">
        <w:rPr>
          <w:rFonts w:eastAsia="Times New Roman" w:cs="Arial"/>
          <w:color w:val="000000"/>
          <w:lang w:eastAsia="bg-BG"/>
        </w:rPr>
        <w:t>П</w:t>
      </w:r>
      <w:r w:rsidRPr="00D22337">
        <w:rPr>
          <w:rFonts w:eastAsia="Times New Roman" w:cs="Arial"/>
          <w:color w:val="000000"/>
          <w:u w:val="single"/>
          <w:lang w:eastAsia="bg-BG"/>
        </w:rPr>
        <w:t>робенецид. слаби органични киселини, пиразоли и нестероидни противовъзпалителни средства</w:t>
      </w:r>
    </w:p>
    <w:p w14:paraId="2C752479"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Пробенецид, слабите органични киселини, като бримковите диуретици и пиразолите (фенилбутазон) могат да намалят елиминирането на метотрексат и може да се допусне, че по- високите плазмени концентрации индуцират по-висока хематологична токсичност. Съществува също възможност за повишена токсичност, когато се комбинират ниска доза метотрексат и нестероидни противовъзпалителни лекарствени продукти или салицилати.</w:t>
      </w:r>
    </w:p>
    <w:p w14:paraId="1AF4BE01" w14:textId="77777777" w:rsidR="00D22337" w:rsidRPr="00857001" w:rsidRDefault="00D22337" w:rsidP="00D22337">
      <w:pPr>
        <w:spacing w:line="240" w:lineRule="auto"/>
        <w:rPr>
          <w:rFonts w:eastAsia="Times New Roman" w:cs="Arial"/>
          <w:color w:val="000000"/>
          <w:u w:val="single"/>
          <w:lang w:eastAsia="bg-BG"/>
        </w:rPr>
      </w:pPr>
    </w:p>
    <w:p w14:paraId="2504F127" w14:textId="4B79CE86"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Лекарствени продукти, които предизвикват фолатен дефицит</w:t>
      </w:r>
    </w:p>
    <w:p w14:paraId="49A42BAD"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Едновременното прилагане на продукти, които предизвикват фолатен дефицит (напр. сулфонамиди, триметоприм-сулфаметоксазол) може да доведе до повишена токсичност на метотрексат. Ето защо се препоръчват особени грижи при наличие на съществуващ дефицит на фолиева киселина.</w:t>
      </w:r>
    </w:p>
    <w:p w14:paraId="73660DCF" w14:textId="77777777" w:rsidR="00D22337" w:rsidRPr="00857001" w:rsidRDefault="00D22337" w:rsidP="00D22337">
      <w:pPr>
        <w:spacing w:line="240" w:lineRule="auto"/>
        <w:rPr>
          <w:rFonts w:eastAsia="Times New Roman" w:cs="Arial"/>
          <w:color w:val="000000"/>
          <w:u w:val="single"/>
          <w:lang w:eastAsia="bg-BG"/>
        </w:rPr>
      </w:pPr>
    </w:p>
    <w:p w14:paraId="3A2C62C4" w14:textId="3A29DF3E"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Инхибитори на протонната помпа</w:t>
      </w:r>
    </w:p>
    <w:p w14:paraId="53D5C7A7"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Едновременното приложение на инхибитори на протонната помпа, като омепразол или пантопразол може да доведе до взаимодействия: Едновременното приложение на метотрексат и омепразол води до забавено бъбречно елиминиране на метотрексат. В комбинация с пантопразол в един случай се съобщава за инхибирано бъбречно елиминиране на метаболита 7-хидроксиметотрексат с миалгия и втрисане.</w:t>
      </w:r>
    </w:p>
    <w:p w14:paraId="27B11141" w14:textId="77777777" w:rsidR="00D22337" w:rsidRPr="00857001" w:rsidRDefault="00D22337" w:rsidP="00D22337">
      <w:pPr>
        <w:spacing w:line="240" w:lineRule="auto"/>
        <w:rPr>
          <w:rFonts w:eastAsia="Times New Roman" w:cs="Arial"/>
          <w:color w:val="000000"/>
          <w:u w:val="single"/>
          <w:lang w:eastAsia="bg-BG"/>
        </w:rPr>
      </w:pPr>
    </w:p>
    <w:p w14:paraId="4B593253" w14:textId="2D2CB88F"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Сулфасалазин</w:t>
      </w:r>
    </w:p>
    <w:p w14:paraId="37EC8021"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Въпреки че комбинацията от метотрексат и сулфасалазин може да доведе до увеличаване на ефикасността на метотрексат и в резултат на това да доведе до повече нежелани реакции, поради инхибирането на синтеза на фолиева киселина чрез сулфасалазин, такива нежелани реакции са наблюдавани само в отделни редки случаи в хода на няколко проучвания.</w:t>
      </w:r>
    </w:p>
    <w:p w14:paraId="5CB865AF" w14:textId="77777777" w:rsidR="00D22337" w:rsidRPr="00857001" w:rsidRDefault="00D22337" w:rsidP="00D22337">
      <w:pPr>
        <w:spacing w:line="240" w:lineRule="auto"/>
        <w:rPr>
          <w:rFonts w:eastAsia="Times New Roman" w:cs="Arial"/>
          <w:color w:val="000000"/>
          <w:u w:val="single"/>
          <w:lang w:eastAsia="bg-BG"/>
        </w:rPr>
      </w:pPr>
    </w:p>
    <w:p w14:paraId="06FC5400" w14:textId="4EEFB325"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Други антиревматични лекарствени продукти</w:t>
      </w:r>
    </w:p>
    <w:p w14:paraId="308ECBCC" w14:textId="77777777" w:rsidR="00D22337" w:rsidRPr="00857001" w:rsidRDefault="00D22337" w:rsidP="00D22337">
      <w:pPr>
        <w:rPr>
          <w:rFonts w:eastAsia="Times New Roman" w:cs="Arial"/>
        </w:rPr>
      </w:pPr>
      <w:r w:rsidRPr="00857001">
        <w:rPr>
          <w:rFonts w:eastAsia="Times New Roman" w:cs="Arial"/>
          <w:color w:val="000000"/>
          <w:lang w:eastAsia="bg-BG"/>
        </w:rPr>
        <w:t>По принцип не трябва да се очаква повишаване на токсичните ефекти на метотрексат, когато Намаксир се прилага заедно с други антиревматични лекарствени продукти (напр. съединения на златото, пенициламин, хидроксихлороквин, сулфасалазин, азатиоприн, циклоспорин).</w:t>
      </w:r>
    </w:p>
    <w:p w14:paraId="1BFD9D45" w14:textId="77777777" w:rsidR="00857001" w:rsidRPr="00857001" w:rsidRDefault="00857001" w:rsidP="00D22337">
      <w:pPr>
        <w:spacing w:line="240" w:lineRule="auto"/>
        <w:rPr>
          <w:rFonts w:eastAsia="Times New Roman" w:cs="Arial"/>
          <w:i/>
          <w:iCs/>
          <w:color w:val="000000"/>
          <w:lang w:eastAsia="bg-BG"/>
        </w:rPr>
      </w:pPr>
    </w:p>
    <w:p w14:paraId="712D29D2" w14:textId="357D1E3B" w:rsidR="00D22337" w:rsidRPr="00D22337" w:rsidRDefault="00D22337" w:rsidP="00D22337">
      <w:pPr>
        <w:spacing w:line="240" w:lineRule="auto"/>
        <w:rPr>
          <w:rFonts w:eastAsia="Times New Roman" w:cs="Arial"/>
        </w:rPr>
      </w:pPr>
      <w:r w:rsidRPr="00D22337">
        <w:rPr>
          <w:rFonts w:eastAsia="Times New Roman" w:cs="Arial"/>
          <w:i/>
          <w:iCs/>
          <w:color w:val="000000"/>
          <w:lang w:eastAsia="bg-BG"/>
        </w:rPr>
        <w:t>Взаимодействия, които могат да понижат нивата на метотрексат:</w:t>
      </w:r>
    </w:p>
    <w:p w14:paraId="39DA1817" w14:textId="77777777" w:rsidR="00857001" w:rsidRPr="00857001" w:rsidRDefault="00857001" w:rsidP="00D22337">
      <w:pPr>
        <w:spacing w:line="240" w:lineRule="auto"/>
        <w:rPr>
          <w:rFonts w:eastAsia="Times New Roman" w:cs="Arial"/>
          <w:color w:val="000000"/>
          <w:u w:val="single"/>
          <w:lang w:eastAsia="bg-BG"/>
        </w:rPr>
      </w:pPr>
    </w:p>
    <w:p w14:paraId="6CAA5FE3" w14:textId="6B871FC1"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Продукти, съдържащи Фолиева или Фолинова киселина</w:t>
      </w:r>
    </w:p>
    <w:p w14:paraId="5F2D7861"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Витаминни продукти или други продукти, съдържащи фолиева киселина, фолинова киселина или техните производни могат да намалят ефективността на метотрексат.</w:t>
      </w:r>
    </w:p>
    <w:p w14:paraId="3040263D" w14:textId="77777777" w:rsidR="00857001" w:rsidRPr="00857001" w:rsidRDefault="00857001" w:rsidP="00D22337">
      <w:pPr>
        <w:spacing w:line="240" w:lineRule="auto"/>
        <w:rPr>
          <w:rFonts w:eastAsia="Times New Roman" w:cs="Arial"/>
          <w:color w:val="000000"/>
          <w:u w:val="single"/>
          <w:lang w:eastAsia="bg-BG"/>
        </w:rPr>
      </w:pPr>
    </w:p>
    <w:p w14:paraId="6E70173F" w14:textId="7EDAF043"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Напитки, които съдържат кофеин или теофилин</w:t>
      </w:r>
    </w:p>
    <w:p w14:paraId="5D38CF4F"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Прекомерната консумация на кофеин- или теофилин-съдържащи напитки (кафе, кофеин-съдържащи безалкохолни напитки, черен чай) трябва да се избягва по време на лечение с метотрексат, тъй като ефектът на метотрексат може да се отслаби от възможното взаимодействие между метотрексат и метилксантините за аденозиновите рецептори.</w:t>
      </w:r>
    </w:p>
    <w:p w14:paraId="76EE0A2D" w14:textId="77777777" w:rsidR="00857001" w:rsidRPr="00857001" w:rsidRDefault="00857001" w:rsidP="00D22337">
      <w:pPr>
        <w:spacing w:line="240" w:lineRule="auto"/>
        <w:rPr>
          <w:rFonts w:eastAsia="Times New Roman" w:cs="Arial"/>
          <w:i/>
          <w:iCs/>
          <w:color w:val="000000"/>
          <w:lang w:eastAsia="bg-BG"/>
        </w:rPr>
      </w:pPr>
    </w:p>
    <w:p w14:paraId="6775FA9D" w14:textId="3BF3115E" w:rsidR="00D22337" w:rsidRPr="00D22337" w:rsidRDefault="00D22337" w:rsidP="00D22337">
      <w:pPr>
        <w:spacing w:line="240" w:lineRule="auto"/>
        <w:rPr>
          <w:rFonts w:eastAsia="Times New Roman" w:cs="Arial"/>
        </w:rPr>
      </w:pPr>
      <w:r w:rsidRPr="00D22337">
        <w:rPr>
          <w:rFonts w:eastAsia="Times New Roman" w:cs="Arial"/>
          <w:i/>
          <w:iCs/>
          <w:color w:val="000000"/>
          <w:lang w:eastAsia="bg-BG"/>
        </w:rPr>
        <w:t>Други взаимодействия:</w:t>
      </w:r>
    </w:p>
    <w:p w14:paraId="4BA60AA4" w14:textId="77777777" w:rsidR="00857001" w:rsidRPr="00857001" w:rsidRDefault="00857001" w:rsidP="00D22337">
      <w:pPr>
        <w:spacing w:line="240" w:lineRule="auto"/>
        <w:rPr>
          <w:rFonts w:eastAsia="Times New Roman" w:cs="Arial"/>
          <w:color w:val="000000"/>
          <w:u w:val="single"/>
          <w:lang w:eastAsia="bg-BG"/>
        </w:rPr>
      </w:pPr>
    </w:p>
    <w:p w14:paraId="341C4EF9" w14:textId="2807BB38"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Перорални антибиотици</w:t>
      </w:r>
    </w:p>
    <w:p w14:paraId="3D0E7C8D"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Перорални антибиотици, като тетрациклин, хлорамфеникол и неабсорбируеми широкоспектърни антибиотици могат да се намесят в ентерохепаталната циркулация, чрез инхибиране на чревната флора или потискане на бактериалния метаболизъм.</w:t>
      </w:r>
    </w:p>
    <w:p w14:paraId="74E94609" w14:textId="77777777" w:rsidR="00857001" w:rsidRPr="00857001" w:rsidRDefault="00857001" w:rsidP="00D22337">
      <w:pPr>
        <w:spacing w:line="240" w:lineRule="auto"/>
        <w:rPr>
          <w:rFonts w:eastAsia="Times New Roman" w:cs="Arial"/>
          <w:i/>
          <w:iCs/>
          <w:color w:val="000000"/>
          <w:lang w:eastAsia="bg-BG"/>
        </w:rPr>
      </w:pPr>
    </w:p>
    <w:p w14:paraId="6FCCFBBF" w14:textId="2509680B" w:rsidR="00D22337" w:rsidRPr="00D22337" w:rsidRDefault="00D22337" w:rsidP="00D22337">
      <w:pPr>
        <w:spacing w:line="240" w:lineRule="auto"/>
        <w:rPr>
          <w:rFonts w:eastAsia="Times New Roman" w:cs="Arial"/>
          <w:b/>
        </w:rPr>
      </w:pPr>
      <w:r w:rsidRPr="00D22337">
        <w:rPr>
          <w:rFonts w:eastAsia="Times New Roman" w:cs="Arial"/>
          <w:b/>
          <w:i/>
          <w:iCs/>
          <w:color w:val="000000"/>
          <w:lang w:eastAsia="bg-BG"/>
        </w:rPr>
        <w:t>Взаимодействия, оказващи влияние върху употребата на други лекарствени продукти</w:t>
      </w:r>
    </w:p>
    <w:p w14:paraId="4B1704AC" w14:textId="77777777" w:rsidR="00857001" w:rsidRPr="00857001" w:rsidRDefault="00857001" w:rsidP="00D22337">
      <w:pPr>
        <w:spacing w:line="240" w:lineRule="auto"/>
        <w:rPr>
          <w:rFonts w:eastAsia="Times New Roman" w:cs="Arial"/>
          <w:color w:val="000000"/>
          <w:u w:val="single"/>
          <w:lang w:eastAsia="bg-BG"/>
        </w:rPr>
      </w:pPr>
    </w:p>
    <w:p w14:paraId="25E2B604" w14:textId="3430B185"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Живи ваксини</w:t>
      </w:r>
    </w:p>
    <w:p w14:paraId="056D7306"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Поради възможните му ефекти върху имунната система метотрексат може да компрометира ваксинален отговор или да доведе до фалшиви резултати от имунологични тестове (имунологични процедури за оценка на имунната реакция). По време на терапия с метотрексат не трябва да се извършва ваксинация с живи ваксини (вж. точки 4.3 и 4.4).</w:t>
      </w:r>
    </w:p>
    <w:p w14:paraId="21E7B156" w14:textId="77777777" w:rsidR="00857001" w:rsidRPr="00857001" w:rsidRDefault="00857001" w:rsidP="00D22337">
      <w:pPr>
        <w:spacing w:line="240" w:lineRule="auto"/>
        <w:rPr>
          <w:rFonts w:eastAsia="Times New Roman" w:cs="Arial"/>
          <w:color w:val="000000"/>
          <w:u w:val="single"/>
          <w:lang w:eastAsia="bg-BG"/>
        </w:rPr>
      </w:pPr>
    </w:p>
    <w:p w14:paraId="52E2702A" w14:textId="4D1B0DA8"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Меркаптопурин</w:t>
      </w:r>
    </w:p>
    <w:p w14:paraId="53F5E3EF"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Метотрексат повишава плазмените концентрации на меркаптопурин. Следователно при комбинирането на метотрексат с меркаптопурин може да е необходимо адаптиране на дозата.</w:t>
      </w:r>
    </w:p>
    <w:p w14:paraId="7E76972C" w14:textId="77777777" w:rsidR="00857001" w:rsidRPr="00857001" w:rsidRDefault="00857001" w:rsidP="00D22337">
      <w:pPr>
        <w:spacing w:line="240" w:lineRule="auto"/>
        <w:rPr>
          <w:rFonts w:eastAsia="Times New Roman" w:cs="Arial"/>
          <w:color w:val="000000"/>
          <w:u w:val="single"/>
          <w:lang w:eastAsia="bg-BG"/>
        </w:rPr>
      </w:pPr>
    </w:p>
    <w:p w14:paraId="1B361826" w14:textId="508AF8C6" w:rsidR="00D22337" w:rsidRPr="00D22337" w:rsidRDefault="00D22337" w:rsidP="00D22337">
      <w:pPr>
        <w:spacing w:line="240" w:lineRule="auto"/>
        <w:rPr>
          <w:rFonts w:eastAsia="Times New Roman" w:cs="Arial"/>
        </w:rPr>
      </w:pPr>
      <w:r w:rsidRPr="00D22337">
        <w:rPr>
          <w:rFonts w:eastAsia="Times New Roman" w:cs="Arial"/>
          <w:color w:val="000000"/>
          <w:u w:val="single"/>
          <w:lang w:eastAsia="bg-BG"/>
        </w:rPr>
        <w:t>Теофилин</w:t>
      </w:r>
    </w:p>
    <w:p w14:paraId="054938DC" w14:textId="77777777" w:rsidR="00D22337" w:rsidRPr="00D22337" w:rsidRDefault="00D22337" w:rsidP="00D22337">
      <w:pPr>
        <w:spacing w:line="240" w:lineRule="auto"/>
        <w:rPr>
          <w:rFonts w:eastAsia="Times New Roman" w:cs="Arial"/>
        </w:rPr>
      </w:pPr>
      <w:r w:rsidRPr="00D22337">
        <w:rPr>
          <w:rFonts w:eastAsia="Times New Roman" w:cs="Arial"/>
          <w:color w:val="000000"/>
          <w:lang w:eastAsia="bg-BG"/>
        </w:rPr>
        <w:t>Метотрексат може да намали клирънса на теофилин; нивата на теофилин трябва да се проследяват, когато се използва едновременно с метотрексат.</w:t>
      </w:r>
    </w:p>
    <w:p w14:paraId="30D5E5CB" w14:textId="2921E336" w:rsidR="00D22337" w:rsidRPr="00D22337" w:rsidRDefault="00D22337" w:rsidP="00D22337"/>
    <w:p w14:paraId="394A7584" w14:textId="71605105" w:rsidR="004F498A" w:rsidRDefault="002C50EE" w:rsidP="004A448E">
      <w:pPr>
        <w:pStyle w:val="Heading2"/>
      </w:pPr>
      <w:r>
        <w:t>4.6. Фертилитет, бременност и кърмене</w:t>
      </w:r>
    </w:p>
    <w:p w14:paraId="171121A2" w14:textId="0743FE39" w:rsidR="00857001" w:rsidRDefault="00857001" w:rsidP="00857001"/>
    <w:p w14:paraId="4DDDD960" w14:textId="77777777" w:rsidR="00857001" w:rsidRPr="00857001" w:rsidRDefault="00857001" w:rsidP="00857001">
      <w:pPr>
        <w:spacing w:line="240" w:lineRule="auto"/>
        <w:rPr>
          <w:rFonts w:eastAsia="Times New Roman" w:cs="Arial"/>
          <w:sz w:val="24"/>
          <w:szCs w:val="24"/>
        </w:rPr>
      </w:pPr>
      <w:r w:rsidRPr="00857001">
        <w:rPr>
          <w:rFonts w:eastAsia="Times New Roman" w:cs="Arial"/>
          <w:color w:val="000000"/>
          <w:u w:val="single"/>
          <w:lang w:eastAsia="bg-BG"/>
        </w:rPr>
        <w:t>Жени с детероден потенциал/Контрацепция при жени</w:t>
      </w:r>
    </w:p>
    <w:p w14:paraId="52E905CD" w14:textId="77777777" w:rsidR="00857001" w:rsidRPr="00857001" w:rsidRDefault="00857001" w:rsidP="00857001">
      <w:pPr>
        <w:spacing w:line="240" w:lineRule="auto"/>
        <w:rPr>
          <w:rFonts w:eastAsia="Times New Roman" w:cs="Arial"/>
          <w:sz w:val="24"/>
          <w:szCs w:val="24"/>
        </w:rPr>
      </w:pPr>
      <w:r w:rsidRPr="00857001">
        <w:rPr>
          <w:rFonts w:eastAsia="Times New Roman" w:cs="Arial"/>
          <w:color w:val="000000"/>
          <w:lang w:eastAsia="bg-BG"/>
        </w:rPr>
        <w:t>Жените не трябва да забременяват по време на терапия с метотрексат, а трябва да използват ефективна контрацепция по време на лечение с метотрексат и поне 6 месеца след това (вж. точка 4.4). Преди започване на терапия жените в детеродна възраст трябва да бъдат информирани за риска от малформации, свързани с метотрексат и трябва със сигурност да се изключи всяка съществуваща бременност, като се предприемат необходимите мерки, напр. тест за бременност. Когато е клинично обосновано тестовете за бременност трябва да се повтарят по време на лечението (напр. след пропуск в контрацепцията). Пациентки в детеродна възраст трябва да бъдат консултирани по отношение на предпазване от и планиране на бременност.</w:t>
      </w:r>
    </w:p>
    <w:p w14:paraId="3336A26E" w14:textId="77777777" w:rsidR="00857001" w:rsidRPr="00564531" w:rsidRDefault="00857001" w:rsidP="00857001">
      <w:pPr>
        <w:spacing w:line="240" w:lineRule="auto"/>
        <w:rPr>
          <w:rFonts w:eastAsia="Times New Roman" w:cs="Arial"/>
          <w:color w:val="000000"/>
          <w:u w:val="single"/>
          <w:lang w:eastAsia="bg-BG"/>
        </w:rPr>
      </w:pPr>
    </w:p>
    <w:p w14:paraId="50905FB7" w14:textId="2C00BBF0" w:rsidR="00857001" w:rsidRPr="00857001" w:rsidRDefault="00857001" w:rsidP="00857001">
      <w:pPr>
        <w:spacing w:line="240" w:lineRule="auto"/>
        <w:rPr>
          <w:rFonts w:eastAsia="Times New Roman" w:cs="Arial"/>
          <w:sz w:val="24"/>
          <w:szCs w:val="24"/>
        </w:rPr>
      </w:pPr>
      <w:r w:rsidRPr="00857001">
        <w:rPr>
          <w:rFonts w:eastAsia="Times New Roman" w:cs="Arial"/>
          <w:color w:val="000000"/>
          <w:u w:val="single"/>
          <w:lang w:eastAsia="bg-BG"/>
        </w:rPr>
        <w:t>Контрацепция при мъже</w:t>
      </w:r>
    </w:p>
    <w:p w14:paraId="119477E7" w14:textId="77777777" w:rsidR="00857001" w:rsidRPr="00564531" w:rsidRDefault="00857001" w:rsidP="00857001">
      <w:pPr>
        <w:rPr>
          <w:rFonts w:eastAsia="Times New Roman" w:cs="Arial"/>
          <w:color w:val="000000"/>
          <w:lang w:eastAsia="bg-BG"/>
        </w:rPr>
      </w:pPr>
      <w:r w:rsidRPr="00564531">
        <w:rPr>
          <w:rFonts w:eastAsia="Times New Roman" w:cs="Arial"/>
          <w:color w:val="000000"/>
          <w:lang w:eastAsia="bg-BG"/>
        </w:rPr>
        <w:t xml:space="preserve">Не е известно дали метотрексат се открива в спермата. Проучвания при животни показват генотоксичносг, така че рискът от генотоксични ефекти върху сперматозоидите не може напълно да се изключи. Ограничените клинични данни не показват повишен риск от малформации или аборт след експозиция на бащата на ниски дози метотрексат(по-ниски от 30 </w:t>
      </w:r>
      <w:r w:rsidRPr="00564531">
        <w:rPr>
          <w:rFonts w:eastAsia="Times New Roman" w:cs="Arial"/>
          <w:color w:val="000000"/>
          <w:lang w:val="en-US"/>
        </w:rPr>
        <w:t>mg</w:t>
      </w:r>
      <w:r w:rsidRPr="00564531">
        <w:rPr>
          <w:rFonts w:eastAsia="Times New Roman" w:cs="Arial"/>
          <w:color w:val="000000"/>
          <w:lang w:eastAsia="bg-BG"/>
        </w:rPr>
        <w:t xml:space="preserve">/седмица). За по-високите дози няма достатъчно данни, за да се оценят рисковете от малформации или аборт след </w:t>
      </w:r>
    </w:p>
    <w:p w14:paraId="094C80F6" w14:textId="614F134E" w:rsidR="00857001" w:rsidRPr="00564531" w:rsidRDefault="00857001" w:rsidP="00857001">
      <w:pPr>
        <w:rPr>
          <w:rFonts w:eastAsia="Times New Roman" w:cs="Arial"/>
          <w:sz w:val="24"/>
          <w:szCs w:val="24"/>
        </w:rPr>
      </w:pPr>
      <w:r w:rsidRPr="00564531">
        <w:rPr>
          <w:rFonts w:eastAsia="Times New Roman" w:cs="Arial"/>
          <w:color w:val="000000"/>
          <w:lang w:eastAsia="bg-BG"/>
        </w:rPr>
        <w:t>експозиция на бащата.</w:t>
      </w:r>
    </w:p>
    <w:p w14:paraId="1053D1F5" w14:textId="77777777" w:rsidR="00857001" w:rsidRPr="00564531" w:rsidRDefault="00857001" w:rsidP="00857001">
      <w:pPr>
        <w:spacing w:line="240" w:lineRule="auto"/>
        <w:rPr>
          <w:rFonts w:eastAsia="Times New Roman" w:cs="Arial"/>
          <w:color w:val="000000"/>
          <w:lang w:eastAsia="bg-BG"/>
        </w:rPr>
      </w:pPr>
    </w:p>
    <w:p w14:paraId="56FC1CE8" w14:textId="31A48A21" w:rsidR="00857001" w:rsidRPr="00857001" w:rsidRDefault="00857001" w:rsidP="00857001">
      <w:pPr>
        <w:spacing w:line="240" w:lineRule="auto"/>
        <w:rPr>
          <w:rFonts w:eastAsia="Times New Roman" w:cs="Arial"/>
          <w:sz w:val="24"/>
          <w:szCs w:val="24"/>
        </w:rPr>
      </w:pPr>
      <w:r w:rsidRPr="00857001">
        <w:rPr>
          <w:rFonts w:eastAsia="Times New Roman" w:cs="Arial"/>
          <w:color w:val="000000"/>
          <w:lang w:eastAsia="bg-BG"/>
        </w:rPr>
        <w:t>Препоръчва се като предпазна мярка по време на лечението и поне 6 месеца след спиране на метотрексат сексуално активните пациенти от мъжки пол или техните партньорки да използват надеждна контрацепция. Мъжете не трябва да даряват сперма по време на терапията или в рамките на 6 месеца след прекратяване на метотрексат.</w:t>
      </w:r>
    </w:p>
    <w:p w14:paraId="7529ECFF" w14:textId="77777777" w:rsidR="00857001" w:rsidRPr="00564531" w:rsidRDefault="00857001" w:rsidP="00857001">
      <w:pPr>
        <w:spacing w:line="240" w:lineRule="auto"/>
        <w:rPr>
          <w:rFonts w:eastAsia="Times New Roman" w:cs="Arial"/>
          <w:color w:val="000000"/>
          <w:u w:val="single"/>
          <w:lang w:eastAsia="bg-BG"/>
        </w:rPr>
      </w:pPr>
    </w:p>
    <w:p w14:paraId="20EDCB52" w14:textId="7AAA5FCB" w:rsidR="00857001" w:rsidRPr="00564531" w:rsidRDefault="00857001" w:rsidP="00564531">
      <w:pPr>
        <w:pStyle w:val="Heading3"/>
        <w:rPr>
          <w:rFonts w:eastAsia="Times New Roman"/>
          <w:u w:val="single"/>
        </w:rPr>
      </w:pPr>
      <w:r w:rsidRPr="00564531">
        <w:rPr>
          <w:rFonts w:eastAsia="Times New Roman"/>
          <w:u w:val="single"/>
          <w:lang w:eastAsia="bg-BG"/>
        </w:rPr>
        <w:t>Бременност</w:t>
      </w:r>
    </w:p>
    <w:p w14:paraId="5D9DD6DD" w14:textId="77777777" w:rsidR="00857001" w:rsidRPr="00857001" w:rsidRDefault="00857001" w:rsidP="00857001">
      <w:pPr>
        <w:spacing w:line="240" w:lineRule="auto"/>
        <w:rPr>
          <w:rFonts w:eastAsia="Times New Roman" w:cs="Arial"/>
          <w:sz w:val="24"/>
          <w:szCs w:val="24"/>
        </w:rPr>
      </w:pPr>
      <w:r w:rsidRPr="00857001">
        <w:rPr>
          <w:rFonts w:eastAsia="Times New Roman" w:cs="Arial"/>
          <w:color w:val="000000"/>
          <w:lang w:eastAsia="bg-BG"/>
        </w:rPr>
        <w:t>Метотрексат е противопоказан по време на бременност при иеонкологични показания (вж. точка 4.3). Ако все пак възникне бременност по време на лечението с метотрексат или до 6 месеца след това, пациентката трябва да получи информация относно риска от увреждащи ефекти върху детето, свързани с лечението, и трябва да се извърши ултразвуково изследване, за да се потвърди нормалното развитие на плода.</w:t>
      </w:r>
    </w:p>
    <w:p w14:paraId="1C53AF75" w14:textId="77777777" w:rsidR="00857001" w:rsidRPr="00564531" w:rsidRDefault="00857001" w:rsidP="00857001">
      <w:pPr>
        <w:spacing w:line="240" w:lineRule="auto"/>
        <w:rPr>
          <w:rFonts w:eastAsia="Times New Roman" w:cs="Arial"/>
          <w:color w:val="000000"/>
          <w:lang w:eastAsia="bg-BG"/>
        </w:rPr>
      </w:pPr>
    </w:p>
    <w:p w14:paraId="0B48C078" w14:textId="6475F562" w:rsidR="00857001" w:rsidRPr="00857001" w:rsidRDefault="00857001" w:rsidP="00857001">
      <w:pPr>
        <w:spacing w:line="240" w:lineRule="auto"/>
        <w:rPr>
          <w:rFonts w:eastAsia="Times New Roman" w:cs="Arial"/>
          <w:sz w:val="24"/>
          <w:szCs w:val="24"/>
        </w:rPr>
      </w:pPr>
      <w:r w:rsidRPr="00857001">
        <w:rPr>
          <w:rFonts w:eastAsia="Times New Roman" w:cs="Arial"/>
          <w:color w:val="000000"/>
          <w:lang w:eastAsia="bg-BG"/>
        </w:rPr>
        <w:t>При проучвания върху животни, метотрексат показва репродуктивна токсичност, особено през първия триместър от бременността (вж. точка 5.3). Доказано е, че метотрексат е тератогенен за хората; съобщава се, че причинява фетална смърт, аборти и/или вродени аномалии (напр .черепно-лицеви, сърдечно-съдови, ЦНС или засягащи крайниците).</w:t>
      </w:r>
    </w:p>
    <w:p w14:paraId="0BD10296" w14:textId="77777777" w:rsidR="00857001" w:rsidRPr="00564531" w:rsidRDefault="00857001" w:rsidP="00857001">
      <w:pPr>
        <w:spacing w:line="240" w:lineRule="auto"/>
        <w:rPr>
          <w:rFonts w:eastAsia="Times New Roman" w:cs="Arial"/>
          <w:color w:val="000000"/>
          <w:lang w:eastAsia="bg-BG"/>
        </w:rPr>
      </w:pPr>
    </w:p>
    <w:p w14:paraId="010C6974" w14:textId="517EE2D6" w:rsidR="00857001" w:rsidRPr="00857001" w:rsidRDefault="00857001" w:rsidP="00857001">
      <w:pPr>
        <w:spacing w:line="240" w:lineRule="auto"/>
        <w:rPr>
          <w:rFonts w:eastAsia="Times New Roman" w:cs="Arial"/>
          <w:sz w:val="24"/>
          <w:szCs w:val="24"/>
        </w:rPr>
      </w:pPr>
      <w:r w:rsidRPr="00857001">
        <w:rPr>
          <w:rFonts w:eastAsia="Times New Roman" w:cs="Arial"/>
          <w:color w:val="000000"/>
          <w:lang w:eastAsia="bg-BG"/>
        </w:rPr>
        <w:t>Метотрексат е мощен тератоген при хора, с повишен риск от спонтанни аборти, ограничен вътреутробен растеж и вродени малформации при експозиция по време на бременност.</w:t>
      </w:r>
    </w:p>
    <w:p w14:paraId="2D3080C7" w14:textId="77777777" w:rsidR="00857001" w:rsidRPr="00564531" w:rsidRDefault="00857001" w:rsidP="00857001">
      <w:pPr>
        <w:pStyle w:val="ListParagraph"/>
        <w:numPr>
          <w:ilvl w:val="1"/>
          <w:numId w:val="2"/>
        </w:numPr>
        <w:spacing w:line="240" w:lineRule="auto"/>
        <w:rPr>
          <w:rFonts w:eastAsia="Times New Roman" w:cs="Arial"/>
          <w:sz w:val="24"/>
          <w:szCs w:val="24"/>
        </w:rPr>
      </w:pPr>
      <w:r w:rsidRPr="00564531">
        <w:rPr>
          <w:rFonts w:eastAsia="Times New Roman" w:cs="Arial"/>
          <w:color w:val="000000"/>
          <w:lang w:eastAsia="bg-BG"/>
        </w:rPr>
        <w:t xml:space="preserve">Спонтанни аборти са съобщавани при 42,5% от бременните жени на лечение с ниски дози метотрексат (по-ниски от 30 </w:t>
      </w:r>
      <w:r w:rsidRPr="00564531">
        <w:rPr>
          <w:rFonts w:eastAsia="Times New Roman" w:cs="Arial"/>
          <w:color w:val="000000"/>
          <w:lang w:val="en-US"/>
        </w:rPr>
        <w:t>mg</w:t>
      </w:r>
      <w:r w:rsidRPr="00564531">
        <w:rPr>
          <w:rFonts w:eastAsia="Times New Roman" w:cs="Arial"/>
          <w:color w:val="000000"/>
          <w:lang w:eastAsia="bg-BG"/>
        </w:rPr>
        <w:t>/седмица), в сравнение със съобщената честота от 22,5% при пациенти със същите заболявания, но лекувани с различни от метотрексат лекарства.</w:t>
      </w:r>
    </w:p>
    <w:p w14:paraId="40650635" w14:textId="034FF32C" w:rsidR="00857001" w:rsidRPr="00564531" w:rsidRDefault="00857001" w:rsidP="00857001">
      <w:pPr>
        <w:pStyle w:val="ListParagraph"/>
        <w:numPr>
          <w:ilvl w:val="1"/>
          <w:numId w:val="2"/>
        </w:numPr>
        <w:spacing w:line="240" w:lineRule="auto"/>
        <w:rPr>
          <w:rFonts w:eastAsia="Times New Roman" w:cs="Arial"/>
          <w:sz w:val="24"/>
          <w:szCs w:val="24"/>
        </w:rPr>
      </w:pPr>
      <w:r w:rsidRPr="00564531">
        <w:rPr>
          <w:rFonts w:eastAsia="Times New Roman" w:cs="Arial"/>
          <w:color w:val="000000"/>
          <w:lang w:eastAsia="bg-BG"/>
        </w:rPr>
        <w:t xml:space="preserve">Големи вродени дефекти са възникнали при 6,6% от живите раждания при експозирани жени на лечение с ниски дози метотрексат (по-ниски от 30 </w:t>
      </w:r>
      <w:r w:rsidRPr="00564531">
        <w:rPr>
          <w:rFonts w:eastAsia="Times New Roman" w:cs="Arial"/>
          <w:color w:val="000000"/>
          <w:lang w:val="en-US"/>
        </w:rPr>
        <w:t>mg</w:t>
      </w:r>
      <w:r w:rsidRPr="00564531">
        <w:rPr>
          <w:rFonts w:eastAsia="Times New Roman" w:cs="Arial"/>
          <w:color w:val="000000"/>
          <w:lang w:eastAsia="bg-BG"/>
        </w:rPr>
        <w:t xml:space="preserve">/седмица) </w:t>
      </w:r>
      <w:r w:rsidRPr="00564531">
        <w:rPr>
          <w:rFonts w:eastAsia="Times New Roman" w:cs="Arial"/>
          <w:i/>
          <w:iCs/>
          <w:color w:val="000000"/>
          <w:lang w:eastAsia="bg-BG"/>
        </w:rPr>
        <w:t xml:space="preserve">по време на </w:t>
      </w:r>
      <w:r w:rsidRPr="00564531">
        <w:rPr>
          <w:rFonts w:eastAsia="Times New Roman" w:cs="Arial"/>
          <w:color w:val="000000"/>
          <w:lang w:eastAsia="bg-BG"/>
        </w:rPr>
        <w:t xml:space="preserve">бременност, в сравнение </w:t>
      </w:r>
      <w:r w:rsidRPr="00564531">
        <w:rPr>
          <w:rFonts w:eastAsia="Times New Roman" w:cs="Arial"/>
          <w:i/>
          <w:iCs/>
          <w:color w:val="000000"/>
          <w:lang w:eastAsia="bg-BG"/>
        </w:rPr>
        <w:t>с</w:t>
      </w:r>
      <w:r w:rsidRPr="00564531">
        <w:rPr>
          <w:rFonts w:eastAsia="Times New Roman" w:cs="Arial"/>
          <w:color w:val="000000"/>
          <w:lang w:eastAsia="bg-BG"/>
        </w:rPr>
        <w:t xml:space="preserve"> приблизително 4% от живите </w:t>
      </w:r>
      <w:r w:rsidRPr="00564531">
        <w:rPr>
          <w:rFonts w:eastAsia="Times New Roman" w:cs="Arial"/>
          <w:color w:val="000000"/>
          <w:lang w:eastAsia="bg-BG"/>
        </w:rPr>
        <w:lastRenderedPageBreak/>
        <w:t>раждания при пациенти със същите заболявания, но лекувани с различни от метотрексат лекарства.</w:t>
      </w:r>
    </w:p>
    <w:p w14:paraId="18392255" w14:textId="77777777" w:rsidR="00857001" w:rsidRPr="00564531" w:rsidRDefault="00857001" w:rsidP="00857001">
      <w:pPr>
        <w:spacing w:line="240" w:lineRule="auto"/>
        <w:rPr>
          <w:rFonts w:eastAsia="Times New Roman" w:cs="Arial"/>
          <w:color w:val="000000"/>
          <w:lang w:eastAsia="bg-BG"/>
        </w:rPr>
      </w:pPr>
    </w:p>
    <w:p w14:paraId="4D4D6D83" w14:textId="77777777" w:rsidR="00857001" w:rsidRPr="00564531" w:rsidRDefault="00857001" w:rsidP="00857001">
      <w:pPr>
        <w:spacing w:line="240" w:lineRule="auto"/>
        <w:rPr>
          <w:rFonts w:eastAsia="Times New Roman" w:cs="Arial"/>
          <w:color w:val="000000"/>
          <w:lang w:eastAsia="bg-BG"/>
        </w:rPr>
      </w:pPr>
    </w:p>
    <w:p w14:paraId="7EAC0334" w14:textId="27A0579A" w:rsidR="00857001" w:rsidRPr="00857001" w:rsidRDefault="00857001" w:rsidP="00857001">
      <w:pPr>
        <w:spacing w:line="240" w:lineRule="auto"/>
        <w:rPr>
          <w:rFonts w:eastAsia="Times New Roman" w:cs="Arial"/>
          <w:sz w:val="24"/>
          <w:szCs w:val="24"/>
        </w:rPr>
      </w:pPr>
      <w:r w:rsidRPr="00857001">
        <w:rPr>
          <w:rFonts w:eastAsia="Times New Roman" w:cs="Arial"/>
          <w:color w:val="000000"/>
          <w:lang w:eastAsia="bg-BG"/>
        </w:rPr>
        <w:t xml:space="preserve">Няма достатъчно данни за експозицията на дози метотрексат по-високи от 30 </w:t>
      </w:r>
      <w:r w:rsidRPr="00857001">
        <w:rPr>
          <w:rFonts w:eastAsia="Times New Roman" w:cs="Arial"/>
          <w:color w:val="000000"/>
          <w:lang w:val="en-US"/>
        </w:rPr>
        <w:t>mg</w:t>
      </w:r>
      <w:r w:rsidRPr="00857001">
        <w:rPr>
          <w:rFonts w:eastAsia="Times New Roman" w:cs="Arial"/>
          <w:color w:val="000000"/>
          <w:lang w:eastAsia="bg-BG"/>
        </w:rPr>
        <w:t>/седмица по време на бременност, но се очакват по-високи честоти на спонтанни аборти и вродени малформации,</w:t>
      </w:r>
    </w:p>
    <w:p w14:paraId="7489C77C" w14:textId="77777777" w:rsidR="00857001" w:rsidRPr="00564531" w:rsidRDefault="00857001" w:rsidP="00857001">
      <w:pPr>
        <w:spacing w:line="240" w:lineRule="auto"/>
        <w:rPr>
          <w:rFonts w:eastAsia="Times New Roman" w:cs="Arial"/>
          <w:color w:val="000000"/>
          <w:lang w:eastAsia="bg-BG"/>
        </w:rPr>
      </w:pPr>
    </w:p>
    <w:p w14:paraId="2803EDEF" w14:textId="2E6F07C4" w:rsidR="00857001" w:rsidRPr="00857001" w:rsidRDefault="00857001" w:rsidP="00857001">
      <w:pPr>
        <w:spacing w:line="240" w:lineRule="auto"/>
        <w:rPr>
          <w:rFonts w:eastAsia="Times New Roman" w:cs="Arial"/>
          <w:sz w:val="24"/>
          <w:szCs w:val="24"/>
        </w:rPr>
      </w:pPr>
      <w:r w:rsidRPr="00857001">
        <w:rPr>
          <w:rFonts w:eastAsia="Times New Roman" w:cs="Arial"/>
          <w:color w:val="000000"/>
          <w:lang w:eastAsia="bg-BG"/>
        </w:rPr>
        <w:t>Когато приложението на метотрексат е прекъснато преди зачеването, се съобщава за нормално протичащи бременности.</w:t>
      </w:r>
    </w:p>
    <w:p w14:paraId="57979F7B" w14:textId="77777777" w:rsidR="00857001" w:rsidRPr="00564531" w:rsidRDefault="00857001" w:rsidP="00857001">
      <w:pPr>
        <w:spacing w:line="240" w:lineRule="auto"/>
        <w:rPr>
          <w:rFonts w:eastAsia="Times New Roman" w:cs="Arial"/>
          <w:color w:val="000000"/>
          <w:u w:val="single"/>
          <w:lang w:eastAsia="bg-BG"/>
        </w:rPr>
      </w:pPr>
    </w:p>
    <w:p w14:paraId="39CBB008" w14:textId="64B6E5B8" w:rsidR="00857001" w:rsidRPr="00564531" w:rsidRDefault="00857001" w:rsidP="00564531">
      <w:pPr>
        <w:pStyle w:val="Heading3"/>
        <w:rPr>
          <w:rFonts w:eastAsia="Times New Roman"/>
          <w:u w:val="single"/>
        </w:rPr>
      </w:pPr>
      <w:r w:rsidRPr="00564531">
        <w:rPr>
          <w:rFonts w:eastAsia="Times New Roman"/>
          <w:u w:val="single"/>
          <w:lang w:eastAsia="bg-BG"/>
        </w:rPr>
        <w:t>Кърмене</w:t>
      </w:r>
    </w:p>
    <w:p w14:paraId="562D0450" w14:textId="77777777" w:rsidR="00857001" w:rsidRPr="00857001" w:rsidRDefault="00857001" w:rsidP="00857001">
      <w:pPr>
        <w:spacing w:line="240" w:lineRule="auto"/>
        <w:rPr>
          <w:rFonts w:eastAsia="Times New Roman" w:cs="Arial"/>
          <w:sz w:val="24"/>
          <w:szCs w:val="24"/>
        </w:rPr>
      </w:pPr>
      <w:r w:rsidRPr="00857001">
        <w:rPr>
          <w:rFonts w:eastAsia="Times New Roman" w:cs="Arial"/>
          <w:color w:val="000000"/>
          <w:lang w:eastAsia="bg-BG"/>
        </w:rPr>
        <w:t>Тъй като метотрексат преминава в кърмата и може да причини токсичност при кърмачетата, по време на кърмене лечението е противопоказано (вж. точка 4.3). Ако се наложи употребата по време на кърмене, кърменето трябва да се прекрати преди лечението.</w:t>
      </w:r>
    </w:p>
    <w:p w14:paraId="72747BA6" w14:textId="77777777" w:rsidR="00857001" w:rsidRPr="00564531" w:rsidRDefault="00857001" w:rsidP="00857001">
      <w:pPr>
        <w:spacing w:line="240" w:lineRule="auto"/>
        <w:rPr>
          <w:rFonts w:eastAsia="Times New Roman" w:cs="Arial"/>
          <w:color w:val="000000"/>
          <w:u w:val="single"/>
          <w:lang w:eastAsia="bg-BG"/>
        </w:rPr>
      </w:pPr>
    </w:p>
    <w:p w14:paraId="180B5000" w14:textId="6ECE1124" w:rsidR="00857001" w:rsidRPr="00564531" w:rsidRDefault="00857001" w:rsidP="00564531">
      <w:pPr>
        <w:pStyle w:val="Heading3"/>
        <w:rPr>
          <w:rFonts w:eastAsia="Times New Roman"/>
          <w:u w:val="single"/>
        </w:rPr>
      </w:pPr>
      <w:r w:rsidRPr="00564531">
        <w:rPr>
          <w:rFonts w:eastAsia="Times New Roman"/>
          <w:u w:val="single"/>
          <w:lang w:eastAsia="bg-BG"/>
        </w:rPr>
        <w:t>Фертилитет</w:t>
      </w:r>
    </w:p>
    <w:p w14:paraId="0508C8CD" w14:textId="77777777" w:rsidR="00857001" w:rsidRPr="00857001" w:rsidRDefault="00857001" w:rsidP="00857001">
      <w:pPr>
        <w:spacing w:line="240" w:lineRule="auto"/>
        <w:rPr>
          <w:rFonts w:eastAsia="Times New Roman" w:cs="Arial"/>
          <w:sz w:val="24"/>
          <w:szCs w:val="24"/>
        </w:rPr>
      </w:pPr>
      <w:r w:rsidRPr="00857001">
        <w:rPr>
          <w:rFonts w:eastAsia="Times New Roman" w:cs="Arial"/>
          <w:color w:val="000000"/>
          <w:lang w:eastAsia="bg-BG"/>
        </w:rPr>
        <w:t>Метотрексат оказва влияние върху сперматогенезата и овогенезата, и може да доведе до намален фертилитет. Съобщава се, че при хора метотрексат вода до олигоспермия, менструални смущения и аменорея. В повечето случаи тези ефекти изглежда са обратими след прекратяване на лечението.</w:t>
      </w:r>
    </w:p>
    <w:p w14:paraId="567C974A" w14:textId="5202314C" w:rsidR="00857001" w:rsidRPr="00857001" w:rsidRDefault="00857001" w:rsidP="00857001"/>
    <w:p w14:paraId="064DF1DE" w14:textId="60329D22" w:rsidR="00CF77F7" w:rsidRDefault="002C50EE" w:rsidP="004A448E">
      <w:pPr>
        <w:pStyle w:val="Heading2"/>
      </w:pPr>
      <w:r>
        <w:t>4.7. Ефекти върху способността за шофиране и работа с машини</w:t>
      </w:r>
    </w:p>
    <w:p w14:paraId="10C301B6" w14:textId="24256D39" w:rsidR="00564531" w:rsidRDefault="00564531" w:rsidP="00564531"/>
    <w:p w14:paraId="743669F0" w14:textId="77777777" w:rsidR="00564531" w:rsidRPr="00564531" w:rsidRDefault="00564531" w:rsidP="00564531">
      <w:pPr>
        <w:rPr>
          <w:sz w:val="24"/>
          <w:szCs w:val="24"/>
        </w:rPr>
      </w:pPr>
      <w:r w:rsidRPr="00564531">
        <w:rPr>
          <w:lang w:eastAsia="bg-BG"/>
        </w:rPr>
        <w:t>По време на лечението могат да се появят симптоми от страна на нервната система, като умора (често) и замаяност (рядко). Намаксир има слабо или умерено влияние върху способността за шофиране и работа с машини.</w:t>
      </w:r>
    </w:p>
    <w:p w14:paraId="4ADBEFD5" w14:textId="64CDB4E9" w:rsidR="00564531" w:rsidRDefault="00564531" w:rsidP="00564531">
      <w:pPr>
        <w:rPr>
          <w:lang w:eastAsia="bg-BG"/>
        </w:rPr>
      </w:pPr>
      <w:r w:rsidRPr="00564531">
        <w:rPr>
          <w:lang w:eastAsia="bg-BG"/>
        </w:rPr>
        <w:t>Пациентите трябва да бъдат инструктирани да бъдат предпазливи при започване на лечение с Намаксир и, ако са засегнати, да избягват потенциално опасни дейности, като шофиране и работа с машини.</w:t>
      </w:r>
    </w:p>
    <w:p w14:paraId="42A2318D" w14:textId="77777777" w:rsidR="00564531" w:rsidRPr="00564531" w:rsidRDefault="00564531" w:rsidP="00564531"/>
    <w:p w14:paraId="37A3FD9F" w14:textId="0B30A8F0" w:rsidR="00CF77F7" w:rsidRDefault="002C50EE" w:rsidP="004A448E">
      <w:pPr>
        <w:pStyle w:val="Heading2"/>
      </w:pPr>
      <w:r>
        <w:t>4.8. Нежелани лекарствени реакции</w:t>
      </w:r>
    </w:p>
    <w:p w14:paraId="223051D6" w14:textId="32C053C9" w:rsidR="00564531" w:rsidRDefault="00564531" w:rsidP="00564531"/>
    <w:p w14:paraId="4C18E8B8" w14:textId="77777777" w:rsidR="00564531" w:rsidRPr="00564531" w:rsidRDefault="00564531" w:rsidP="00564531">
      <w:pPr>
        <w:spacing w:line="240" w:lineRule="auto"/>
        <w:rPr>
          <w:rFonts w:eastAsia="Times New Roman" w:cs="Arial"/>
        </w:rPr>
      </w:pPr>
      <w:r w:rsidRPr="00564531">
        <w:rPr>
          <w:lang w:eastAsia="bg-BG"/>
        </w:rPr>
        <w:t>Р</w:t>
      </w:r>
      <w:r w:rsidRPr="00564531">
        <w:rPr>
          <w:rFonts w:eastAsia="Times New Roman" w:cs="Arial"/>
          <w:color w:val="000000"/>
          <w:u w:val="single"/>
          <w:lang w:eastAsia="bg-BG"/>
        </w:rPr>
        <w:t>езюме на профила на безопасност</w:t>
      </w:r>
    </w:p>
    <w:p w14:paraId="4D39B655" w14:textId="77777777" w:rsidR="00564531" w:rsidRPr="00564531" w:rsidRDefault="00564531" w:rsidP="00564531">
      <w:pPr>
        <w:spacing w:line="240" w:lineRule="auto"/>
        <w:rPr>
          <w:rFonts w:eastAsia="Times New Roman" w:cs="Arial"/>
          <w:color w:val="000000"/>
          <w:lang w:eastAsia="bg-BG"/>
        </w:rPr>
      </w:pPr>
    </w:p>
    <w:p w14:paraId="72A4C1A5" w14:textId="16476D53" w:rsidR="00564531" w:rsidRPr="00564531" w:rsidRDefault="00564531" w:rsidP="00564531">
      <w:pPr>
        <w:spacing w:line="240" w:lineRule="auto"/>
        <w:rPr>
          <w:rFonts w:eastAsia="Times New Roman" w:cs="Arial"/>
        </w:rPr>
      </w:pPr>
      <w:r w:rsidRPr="00564531">
        <w:rPr>
          <w:rFonts w:eastAsia="Times New Roman" w:cs="Arial"/>
          <w:color w:val="000000"/>
          <w:lang w:eastAsia="bg-BG"/>
        </w:rPr>
        <w:t xml:space="preserve">Най-сериозните нежелани реакции от метотрексат са: потискане на функцията на костния мозък, белодробна токсичност, хепатотоксичност, бъбречна токсичност, невротоксичност, тромбоемболични събития, анафилактичен шок и синдром на </w:t>
      </w:r>
      <w:r w:rsidRPr="00564531">
        <w:rPr>
          <w:rFonts w:eastAsia="Times New Roman" w:cs="Arial"/>
          <w:color w:val="000000"/>
          <w:lang w:val="en-US"/>
        </w:rPr>
        <w:t>Stevens</w:t>
      </w:r>
      <w:r w:rsidRPr="00564531">
        <w:rPr>
          <w:rFonts w:eastAsia="Times New Roman" w:cs="Arial"/>
          <w:color w:val="000000"/>
          <w:lang w:val="ru-RU"/>
        </w:rPr>
        <w:t>-</w:t>
      </w:r>
      <w:r w:rsidRPr="00564531">
        <w:rPr>
          <w:rFonts w:eastAsia="Times New Roman" w:cs="Arial"/>
          <w:color w:val="000000"/>
          <w:lang w:val="en-US"/>
        </w:rPr>
        <w:t>Johnson</w:t>
      </w:r>
      <w:r w:rsidRPr="00564531">
        <w:rPr>
          <w:rFonts w:eastAsia="Times New Roman" w:cs="Arial"/>
          <w:color w:val="000000"/>
          <w:lang w:val="ru-RU"/>
        </w:rPr>
        <w:t>.</w:t>
      </w:r>
    </w:p>
    <w:p w14:paraId="4A70C578" w14:textId="77777777" w:rsidR="00564531" w:rsidRPr="00564531" w:rsidRDefault="00564531" w:rsidP="00564531">
      <w:pPr>
        <w:spacing w:line="240" w:lineRule="auto"/>
        <w:rPr>
          <w:rFonts w:eastAsia="Times New Roman" w:cs="Arial"/>
          <w:color w:val="000000"/>
          <w:lang w:eastAsia="bg-BG"/>
        </w:rPr>
      </w:pPr>
    </w:p>
    <w:p w14:paraId="35A5B8E0" w14:textId="3A14C906" w:rsidR="00564531" w:rsidRPr="00564531" w:rsidRDefault="00564531" w:rsidP="00564531">
      <w:pPr>
        <w:spacing w:line="240" w:lineRule="auto"/>
        <w:rPr>
          <w:rFonts w:eastAsia="Times New Roman" w:cs="Arial"/>
        </w:rPr>
      </w:pPr>
      <w:r w:rsidRPr="00564531">
        <w:rPr>
          <w:rFonts w:eastAsia="Times New Roman" w:cs="Arial"/>
          <w:color w:val="000000"/>
          <w:lang w:eastAsia="bg-BG"/>
        </w:rPr>
        <w:t xml:space="preserve">Най-често наблюдаваните (много чести) нежелани реакции на метотрексат са гастроинтестиналните нарушения (напр. стоматит, диспепсия, абдоминална болка, гадене, загуба на апетит) и отклоненията в чернодробните функционални изследвания (напр. повишени аланин аминотрасфераза </w:t>
      </w:r>
      <w:r w:rsidRPr="00564531">
        <w:rPr>
          <w:rFonts w:eastAsia="Times New Roman" w:cs="Arial"/>
          <w:color w:val="000000"/>
          <w:lang w:val="ru-RU"/>
        </w:rPr>
        <w:t>(</w:t>
      </w:r>
      <w:r w:rsidRPr="00564531">
        <w:rPr>
          <w:rFonts w:eastAsia="Times New Roman" w:cs="Arial"/>
          <w:color w:val="000000"/>
          <w:lang w:val="en-US"/>
        </w:rPr>
        <w:t>ALAT</w:t>
      </w:r>
      <w:r w:rsidRPr="00564531">
        <w:rPr>
          <w:rFonts w:eastAsia="Times New Roman" w:cs="Arial"/>
          <w:color w:val="000000"/>
          <w:lang w:val="ru-RU"/>
        </w:rPr>
        <w:t xml:space="preserve">), </w:t>
      </w:r>
      <w:r w:rsidRPr="00564531">
        <w:rPr>
          <w:rFonts w:eastAsia="Times New Roman" w:cs="Arial"/>
          <w:color w:val="000000"/>
          <w:lang w:eastAsia="bg-BG"/>
        </w:rPr>
        <w:t xml:space="preserve">аспартат аминотрасфераза </w:t>
      </w:r>
      <w:r w:rsidRPr="00564531">
        <w:rPr>
          <w:rFonts w:eastAsia="Times New Roman" w:cs="Arial"/>
          <w:color w:val="000000"/>
          <w:lang w:val="ru-RU"/>
        </w:rPr>
        <w:t>(</w:t>
      </w:r>
      <w:r w:rsidRPr="00564531">
        <w:rPr>
          <w:rFonts w:eastAsia="Times New Roman" w:cs="Arial"/>
          <w:color w:val="000000"/>
          <w:lang w:val="en-US"/>
        </w:rPr>
        <w:t>ASAT</w:t>
      </w:r>
      <w:r w:rsidRPr="00564531">
        <w:rPr>
          <w:rFonts w:eastAsia="Times New Roman" w:cs="Arial"/>
          <w:color w:val="000000"/>
          <w:lang w:val="ru-RU"/>
        </w:rPr>
        <w:t xml:space="preserve">), </w:t>
      </w:r>
      <w:r w:rsidRPr="00564531">
        <w:rPr>
          <w:rFonts w:eastAsia="Times New Roman" w:cs="Arial"/>
          <w:color w:val="000000"/>
          <w:lang w:eastAsia="bg-BG"/>
        </w:rPr>
        <w:t>билирубин, алкална фосфатаза). Други често наблюдавани (чести) нежелани реакции са: левкопения, анемия, тромбоцитопения, главоболие, умора, сънливост, пневмония, интерстициален алвеолит/пневмонит, често свързвани с еозинофилия, язви в устата, диария, екзантем, еритема и сърбеж.</w:t>
      </w:r>
    </w:p>
    <w:p w14:paraId="37356A25" w14:textId="77777777" w:rsidR="00564531" w:rsidRPr="00564531" w:rsidRDefault="00564531" w:rsidP="00564531">
      <w:pPr>
        <w:spacing w:line="240" w:lineRule="auto"/>
        <w:rPr>
          <w:rFonts w:eastAsia="Times New Roman" w:cs="Arial"/>
          <w:color w:val="000000"/>
          <w:lang w:eastAsia="bg-BG"/>
        </w:rPr>
      </w:pPr>
    </w:p>
    <w:p w14:paraId="31B22C70" w14:textId="635461B6" w:rsidR="00564531" w:rsidRPr="00564531" w:rsidRDefault="00564531" w:rsidP="00564531">
      <w:pPr>
        <w:spacing w:line="240" w:lineRule="auto"/>
        <w:rPr>
          <w:rFonts w:eastAsia="Times New Roman" w:cs="Arial"/>
        </w:rPr>
      </w:pPr>
      <w:r w:rsidRPr="00564531">
        <w:rPr>
          <w:rFonts w:eastAsia="Times New Roman" w:cs="Arial"/>
          <w:color w:val="000000"/>
          <w:lang w:eastAsia="bg-BG"/>
        </w:rPr>
        <w:lastRenderedPageBreak/>
        <w:t>Най-значимите нежелани реакции са потискане на хемопоетичната система и стомашно-чревни нарушения.</w:t>
      </w:r>
    </w:p>
    <w:p w14:paraId="088F36FF" w14:textId="77777777" w:rsidR="00564531" w:rsidRPr="00564531" w:rsidRDefault="00564531" w:rsidP="00564531">
      <w:pPr>
        <w:spacing w:line="240" w:lineRule="auto"/>
        <w:rPr>
          <w:rFonts w:eastAsia="Times New Roman" w:cs="Arial"/>
          <w:color w:val="000000"/>
          <w:u w:val="single"/>
          <w:lang w:eastAsia="bg-BG"/>
        </w:rPr>
      </w:pPr>
    </w:p>
    <w:p w14:paraId="1B5F8DF8" w14:textId="1735DDEB"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Табличен списък на нежеланите лекарствени реакции</w:t>
      </w:r>
    </w:p>
    <w:p w14:paraId="4AFFD6A9" w14:textId="77777777" w:rsidR="00564531" w:rsidRPr="00564531" w:rsidRDefault="00564531" w:rsidP="00564531">
      <w:pPr>
        <w:spacing w:line="240" w:lineRule="auto"/>
        <w:rPr>
          <w:rFonts w:eastAsia="Times New Roman" w:cs="Arial"/>
          <w:color w:val="000000"/>
          <w:lang w:eastAsia="bg-BG"/>
        </w:rPr>
      </w:pPr>
    </w:p>
    <w:p w14:paraId="3BD62F4C" w14:textId="793D9812" w:rsidR="00564531" w:rsidRPr="00564531" w:rsidRDefault="00564531" w:rsidP="00564531">
      <w:pPr>
        <w:spacing w:line="240" w:lineRule="auto"/>
        <w:rPr>
          <w:rFonts w:eastAsia="Times New Roman" w:cs="Arial"/>
        </w:rPr>
      </w:pPr>
      <w:r w:rsidRPr="00564531">
        <w:rPr>
          <w:rFonts w:eastAsia="Times New Roman" w:cs="Arial"/>
          <w:color w:val="000000"/>
          <w:lang w:eastAsia="bg-BG"/>
        </w:rPr>
        <w:t>Използвани са следните означения, за да се систематизират нежеланите реакции по честота: много чести (≥1/10), чести (≥1/100 до &lt;1/10), нечести (≥1/1 000 до &lt;1/100), редки (≥1/10 000 до &lt;1/1 000), много редки (&lt;1/10 000) и с неизвестна честота (от наличните данни не може да бъде направена оценка).</w:t>
      </w:r>
    </w:p>
    <w:p w14:paraId="1120273B" w14:textId="77777777" w:rsidR="00564531" w:rsidRPr="00564531" w:rsidRDefault="00564531" w:rsidP="00564531">
      <w:pPr>
        <w:spacing w:line="240" w:lineRule="auto"/>
        <w:rPr>
          <w:rFonts w:eastAsia="Times New Roman" w:cs="Arial"/>
          <w:color w:val="000000"/>
          <w:u w:val="single"/>
          <w:lang w:eastAsia="bg-BG"/>
        </w:rPr>
      </w:pPr>
    </w:p>
    <w:p w14:paraId="22E14609" w14:textId="53DAEF6E"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Инфекции и инфестации</w:t>
      </w:r>
    </w:p>
    <w:p w14:paraId="37488F6D" w14:textId="43629B59" w:rsidR="00564531" w:rsidRPr="00564531" w:rsidRDefault="00564531" w:rsidP="00564531">
      <w:pPr>
        <w:spacing w:line="240" w:lineRule="auto"/>
        <w:rPr>
          <w:rFonts w:eastAsia="Times New Roman" w:cs="Arial"/>
        </w:rPr>
      </w:pPr>
      <w:r w:rsidRPr="00564531">
        <w:rPr>
          <w:rFonts w:eastAsia="Times New Roman" w:cs="Arial"/>
          <w:color w:val="000000"/>
          <w:lang w:eastAsia="bg-BG"/>
        </w:rPr>
        <w:t>Нечести: фарингит</w:t>
      </w:r>
    </w:p>
    <w:p w14:paraId="75B31F5D"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Редки:</w:t>
      </w:r>
      <w:r w:rsidRPr="00564531">
        <w:rPr>
          <w:rFonts w:eastAsia="Times New Roman" w:cs="Arial"/>
          <w:color w:val="000000"/>
          <w:lang w:eastAsia="bg-BG"/>
        </w:rPr>
        <w:tab/>
        <w:t>инфекции (вкл. реактивиране на неактивна хронична инфекция), сепсис,</w:t>
      </w:r>
    </w:p>
    <w:p w14:paraId="73C719A9"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конюнктивит</w:t>
      </w:r>
    </w:p>
    <w:p w14:paraId="2E0DA9A0" w14:textId="77777777" w:rsidR="00564531" w:rsidRPr="00564531" w:rsidRDefault="00564531" w:rsidP="00564531">
      <w:pPr>
        <w:spacing w:line="240" w:lineRule="auto"/>
        <w:rPr>
          <w:rFonts w:eastAsia="Times New Roman" w:cs="Arial"/>
          <w:color w:val="000000"/>
          <w:u w:val="single"/>
          <w:lang w:eastAsia="bg-BG"/>
        </w:rPr>
      </w:pPr>
    </w:p>
    <w:p w14:paraId="44ADEA0A" w14:textId="77777777" w:rsidR="00564531" w:rsidRPr="00564531" w:rsidRDefault="00564531" w:rsidP="00564531">
      <w:pPr>
        <w:spacing w:line="240" w:lineRule="auto"/>
        <w:rPr>
          <w:rFonts w:eastAsia="Times New Roman" w:cs="Arial"/>
          <w:color w:val="000000"/>
          <w:u w:val="single"/>
          <w:lang w:eastAsia="bg-BG"/>
        </w:rPr>
      </w:pPr>
      <w:r w:rsidRPr="00564531">
        <w:rPr>
          <w:rFonts w:eastAsia="Times New Roman" w:cs="Arial"/>
          <w:color w:val="000000"/>
          <w:u w:val="single"/>
          <w:lang w:eastAsia="bg-BG"/>
        </w:rPr>
        <w:t xml:space="preserve">Неоплазми - доброкачествени, злокачествени и неопределени (включително кисти и полипи) </w:t>
      </w:r>
    </w:p>
    <w:p w14:paraId="3830515F" w14:textId="5D313AE9" w:rsidR="00564531" w:rsidRPr="00564531" w:rsidRDefault="00564531" w:rsidP="00564531">
      <w:pPr>
        <w:spacing w:line="240" w:lineRule="auto"/>
        <w:rPr>
          <w:rFonts w:eastAsia="Times New Roman" w:cs="Arial"/>
        </w:rPr>
      </w:pPr>
      <w:r w:rsidRPr="00564531">
        <w:rPr>
          <w:rFonts w:eastAsia="Times New Roman" w:cs="Arial"/>
          <w:color w:val="000000"/>
          <w:lang w:eastAsia="bg-BG"/>
        </w:rPr>
        <w:t>Много редки: лимфом (вж. описание по-долу)</w:t>
      </w:r>
    </w:p>
    <w:p w14:paraId="79F975B1" w14:textId="77777777" w:rsidR="00564531" w:rsidRPr="00564531" w:rsidRDefault="00564531" w:rsidP="00564531">
      <w:pPr>
        <w:spacing w:line="240" w:lineRule="auto"/>
        <w:rPr>
          <w:rFonts w:eastAsia="Times New Roman" w:cs="Arial"/>
          <w:color w:val="000000"/>
          <w:u w:val="single"/>
          <w:lang w:eastAsia="bg-BG"/>
        </w:rPr>
      </w:pPr>
    </w:p>
    <w:p w14:paraId="30AE6F6C" w14:textId="5EF862F7"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Нарушения на кръвта и лимфната система</w:t>
      </w:r>
    </w:p>
    <w:p w14:paraId="2EF547C5"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Чести:</w:t>
      </w:r>
      <w:r w:rsidRPr="00564531">
        <w:rPr>
          <w:rFonts w:eastAsia="Times New Roman" w:cs="Arial"/>
          <w:color w:val="000000"/>
          <w:lang w:eastAsia="bg-BG"/>
        </w:rPr>
        <w:tab/>
        <w:t>левкопения, анемия, тромбоцитопения</w:t>
      </w:r>
    </w:p>
    <w:p w14:paraId="12CF19A0" w14:textId="305BAC54" w:rsidR="00564531" w:rsidRPr="00564531" w:rsidRDefault="00564531" w:rsidP="00564531">
      <w:pPr>
        <w:spacing w:line="240" w:lineRule="auto"/>
        <w:rPr>
          <w:rFonts w:eastAsia="Times New Roman" w:cs="Arial"/>
        </w:rPr>
      </w:pPr>
      <w:r w:rsidRPr="00564531">
        <w:rPr>
          <w:rFonts w:eastAsia="Times New Roman" w:cs="Arial"/>
          <w:color w:val="000000"/>
          <w:lang w:eastAsia="bg-BG"/>
        </w:rPr>
        <w:t>Нечести: панцитопения</w:t>
      </w:r>
    </w:p>
    <w:p w14:paraId="42FCB95C" w14:textId="77777777" w:rsidR="00564531" w:rsidRPr="00564531" w:rsidRDefault="00564531" w:rsidP="00564531">
      <w:pPr>
        <w:spacing w:line="240" w:lineRule="auto"/>
        <w:rPr>
          <w:rFonts w:eastAsia="Times New Roman" w:cs="Arial"/>
          <w:color w:val="000000"/>
          <w:lang w:eastAsia="bg-BG"/>
        </w:rPr>
      </w:pPr>
      <w:r w:rsidRPr="00564531">
        <w:rPr>
          <w:rFonts w:eastAsia="Times New Roman" w:cs="Arial"/>
          <w:color w:val="000000"/>
          <w:lang w:eastAsia="bg-BG"/>
        </w:rPr>
        <w:t xml:space="preserve">Много редки: агранулоцитоза, тежки периоди на потискане на костния мозък, лимфопролиферативни нарушения (вж. описание по-долу), </w:t>
      </w:r>
    </w:p>
    <w:p w14:paraId="2E16C66C" w14:textId="7CCC4194" w:rsidR="00564531" w:rsidRPr="00564531" w:rsidRDefault="00564531" w:rsidP="00564531">
      <w:pPr>
        <w:spacing w:line="240" w:lineRule="auto"/>
        <w:rPr>
          <w:rFonts w:eastAsia="Times New Roman" w:cs="Arial"/>
        </w:rPr>
      </w:pPr>
      <w:r w:rsidRPr="00564531">
        <w:rPr>
          <w:rFonts w:eastAsia="Times New Roman" w:cs="Arial"/>
          <w:color w:val="000000"/>
          <w:lang w:eastAsia="bg-BG"/>
        </w:rPr>
        <w:t>С неизвестна честота: еозинофилия</w:t>
      </w:r>
    </w:p>
    <w:p w14:paraId="1C8DCD4A" w14:textId="77777777" w:rsidR="00564531" w:rsidRPr="00564531" w:rsidRDefault="00564531" w:rsidP="00564531">
      <w:pPr>
        <w:spacing w:line="240" w:lineRule="auto"/>
        <w:rPr>
          <w:rFonts w:eastAsia="Times New Roman" w:cs="Arial"/>
          <w:color w:val="000000"/>
          <w:u w:val="single"/>
          <w:lang w:eastAsia="bg-BG"/>
        </w:rPr>
      </w:pPr>
    </w:p>
    <w:p w14:paraId="3AC6F906" w14:textId="745FDC28"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Нарушения на имунната система</w:t>
      </w:r>
    </w:p>
    <w:p w14:paraId="175B2615" w14:textId="070952F3" w:rsidR="00564531" w:rsidRPr="00564531" w:rsidRDefault="00564531" w:rsidP="00564531">
      <w:pPr>
        <w:rPr>
          <w:rFonts w:eastAsia="Times New Roman" w:cs="Arial"/>
          <w:color w:val="000000"/>
          <w:lang w:eastAsia="bg-BG"/>
        </w:rPr>
      </w:pPr>
      <w:r w:rsidRPr="00564531">
        <w:rPr>
          <w:rFonts w:eastAsia="Times New Roman" w:cs="Arial"/>
          <w:color w:val="000000"/>
          <w:lang w:eastAsia="bg-BG"/>
        </w:rPr>
        <w:t>Редки:</w:t>
      </w:r>
      <w:r w:rsidRPr="00564531">
        <w:rPr>
          <w:rFonts w:eastAsia="Times New Roman" w:cs="Arial"/>
          <w:color w:val="000000"/>
          <w:lang w:eastAsia="bg-BG"/>
        </w:rPr>
        <w:tab/>
        <w:t>алергични реакции, анафилактичен шок, хипогамаглобулинемия</w:t>
      </w:r>
    </w:p>
    <w:p w14:paraId="0BBFD733" w14:textId="59AF655D" w:rsidR="00564531" w:rsidRPr="00564531" w:rsidRDefault="00564531" w:rsidP="00564531">
      <w:pPr>
        <w:rPr>
          <w:rFonts w:eastAsia="Times New Roman" w:cs="Arial"/>
          <w:color w:val="000000"/>
          <w:lang w:eastAsia="bg-BG"/>
        </w:rPr>
      </w:pPr>
    </w:p>
    <w:p w14:paraId="407FF503" w14:textId="77777777"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Нарушения на метаболизма и храненето</w:t>
      </w:r>
    </w:p>
    <w:p w14:paraId="07E73ECC" w14:textId="4E345D76" w:rsidR="00564531" w:rsidRPr="00564531" w:rsidRDefault="00564531" w:rsidP="00564531">
      <w:pPr>
        <w:spacing w:line="240" w:lineRule="auto"/>
        <w:rPr>
          <w:rFonts w:eastAsia="Times New Roman" w:cs="Arial"/>
        </w:rPr>
      </w:pPr>
      <w:r w:rsidRPr="00564531">
        <w:rPr>
          <w:rFonts w:eastAsia="Times New Roman" w:cs="Arial"/>
          <w:color w:val="000000"/>
          <w:lang w:eastAsia="bg-BG"/>
        </w:rPr>
        <w:t>Нечести: отключваме на захарен диабет</w:t>
      </w:r>
    </w:p>
    <w:p w14:paraId="10CCDEAE" w14:textId="77777777" w:rsidR="00564531" w:rsidRPr="00564531" w:rsidRDefault="00564531" w:rsidP="00564531">
      <w:pPr>
        <w:spacing w:line="240" w:lineRule="auto"/>
        <w:rPr>
          <w:rFonts w:eastAsia="Times New Roman" w:cs="Arial"/>
          <w:color w:val="000000"/>
          <w:u w:val="single"/>
          <w:lang w:eastAsia="bg-BG"/>
        </w:rPr>
      </w:pPr>
    </w:p>
    <w:p w14:paraId="4D60CF42" w14:textId="16F003C2"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Психични нарушения</w:t>
      </w:r>
    </w:p>
    <w:p w14:paraId="15FBE4D4" w14:textId="5F9E5BE7" w:rsidR="00564531" w:rsidRPr="00564531" w:rsidRDefault="00564531" w:rsidP="00564531">
      <w:pPr>
        <w:spacing w:line="240" w:lineRule="auto"/>
        <w:rPr>
          <w:rFonts w:eastAsia="Times New Roman" w:cs="Arial"/>
        </w:rPr>
      </w:pPr>
      <w:r w:rsidRPr="00564531">
        <w:rPr>
          <w:rFonts w:eastAsia="Times New Roman" w:cs="Arial"/>
          <w:color w:val="000000"/>
          <w:lang w:eastAsia="bg-BG"/>
        </w:rPr>
        <w:t>Нечести: депресия, обърканост</w:t>
      </w:r>
    </w:p>
    <w:p w14:paraId="7B866849"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Редки:</w:t>
      </w:r>
      <w:r w:rsidRPr="00564531">
        <w:rPr>
          <w:rFonts w:eastAsia="Times New Roman" w:cs="Arial"/>
          <w:color w:val="000000"/>
          <w:lang w:eastAsia="bg-BG"/>
        </w:rPr>
        <w:tab/>
        <w:t>промени в настроението</w:t>
      </w:r>
    </w:p>
    <w:p w14:paraId="6A4B7E7D" w14:textId="77777777" w:rsidR="00564531" w:rsidRPr="00564531" w:rsidRDefault="00564531" w:rsidP="00564531">
      <w:pPr>
        <w:spacing w:line="240" w:lineRule="auto"/>
        <w:rPr>
          <w:rFonts w:eastAsia="Times New Roman" w:cs="Arial"/>
          <w:color w:val="000000"/>
          <w:u w:val="single"/>
          <w:lang w:eastAsia="bg-BG"/>
        </w:rPr>
      </w:pPr>
    </w:p>
    <w:p w14:paraId="6E5BBF76" w14:textId="59389225"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Нарушения на нервната система</w:t>
      </w:r>
    </w:p>
    <w:p w14:paraId="50CD1750"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Чести:</w:t>
      </w:r>
      <w:r w:rsidRPr="00564531">
        <w:rPr>
          <w:rFonts w:eastAsia="Times New Roman" w:cs="Arial"/>
          <w:color w:val="000000"/>
          <w:lang w:eastAsia="bg-BG"/>
        </w:rPr>
        <w:tab/>
        <w:t>главоболие, умора, сънливост</w:t>
      </w:r>
    </w:p>
    <w:p w14:paraId="6704453B" w14:textId="0E72412C" w:rsidR="00564531" w:rsidRPr="00564531" w:rsidRDefault="00564531" w:rsidP="00564531">
      <w:pPr>
        <w:spacing w:line="240" w:lineRule="auto"/>
        <w:rPr>
          <w:rFonts w:eastAsia="Times New Roman" w:cs="Arial"/>
        </w:rPr>
      </w:pPr>
      <w:r w:rsidRPr="00564531">
        <w:rPr>
          <w:rFonts w:eastAsia="Times New Roman" w:cs="Arial"/>
          <w:color w:val="000000"/>
          <w:lang w:eastAsia="bg-BG"/>
        </w:rPr>
        <w:t>Нечести: замаяност</w:t>
      </w:r>
    </w:p>
    <w:p w14:paraId="29E0DB3A"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Много редки: болка, мускулна слабост, парестезия/хипоестезия, промени в усещането за вкус (метален вкус), конвулсии, менингизъм, остър асептичен менингит, парализа</w:t>
      </w:r>
    </w:p>
    <w:p w14:paraId="688C816C" w14:textId="14698F58" w:rsidR="00564531" w:rsidRPr="00564531" w:rsidRDefault="00564531" w:rsidP="00564531">
      <w:pPr>
        <w:spacing w:line="240" w:lineRule="auto"/>
        <w:rPr>
          <w:rFonts w:eastAsia="Times New Roman" w:cs="Arial"/>
        </w:rPr>
      </w:pPr>
      <w:r w:rsidRPr="00564531">
        <w:rPr>
          <w:rFonts w:eastAsia="Times New Roman" w:cs="Arial"/>
          <w:color w:val="000000"/>
          <w:lang w:eastAsia="bg-BG"/>
        </w:rPr>
        <w:t>С неизвестна</w:t>
      </w:r>
      <w:r w:rsidRPr="00564531">
        <w:rPr>
          <w:rFonts w:eastAsia="Times New Roman" w:cs="Arial"/>
        </w:rPr>
        <w:t xml:space="preserve"> </w:t>
      </w:r>
      <w:r w:rsidRPr="00564531">
        <w:rPr>
          <w:rFonts w:eastAsia="Times New Roman" w:cs="Arial"/>
          <w:color w:val="000000"/>
          <w:lang w:eastAsia="bg-BG"/>
        </w:rPr>
        <w:t>честота: енцефалопатия/левкоенцефалопатия</w:t>
      </w:r>
    </w:p>
    <w:p w14:paraId="7271FC29" w14:textId="77777777" w:rsidR="00564531" w:rsidRPr="00564531" w:rsidRDefault="00564531" w:rsidP="00564531">
      <w:pPr>
        <w:spacing w:line="240" w:lineRule="auto"/>
        <w:rPr>
          <w:rFonts w:eastAsia="Times New Roman" w:cs="Arial"/>
          <w:color w:val="000000"/>
          <w:u w:val="single"/>
          <w:lang w:eastAsia="bg-BG"/>
        </w:rPr>
      </w:pPr>
    </w:p>
    <w:p w14:paraId="714E0A7C" w14:textId="30ACDB9E"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Нарушения на очите</w:t>
      </w:r>
    </w:p>
    <w:p w14:paraId="59F539B8"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Редки:</w:t>
      </w:r>
      <w:r w:rsidRPr="00564531">
        <w:rPr>
          <w:rFonts w:eastAsia="Times New Roman" w:cs="Arial"/>
          <w:color w:val="000000"/>
          <w:lang w:eastAsia="bg-BG"/>
        </w:rPr>
        <w:tab/>
        <w:t>зрителни нарушения</w:t>
      </w:r>
    </w:p>
    <w:p w14:paraId="2FB43FA8"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Много редки: нарушено зрение, ретинопатия</w:t>
      </w:r>
    </w:p>
    <w:p w14:paraId="4C9E19F8" w14:textId="77777777" w:rsidR="00564531" w:rsidRPr="00564531" w:rsidRDefault="00564531" w:rsidP="00564531">
      <w:pPr>
        <w:spacing w:line="240" w:lineRule="auto"/>
        <w:rPr>
          <w:rFonts w:eastAsia="Times New Roman" w:cs="Arial"/>
          <w:color w:val="000000"/>
          <w:u w:val="single"/>
          <w:lang w:eastAsia="bg-BG"/>
        </w:rPr>
      </w:pPr>
    </w:p>
    <w:p w14:paraId="30FAD484" w14:textId="19E3A0D7"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Сърдечни нарушения</w:t>
      </w:r>
    </w:p>
    <w:p w14:paraId="21B7A68B"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Редки:</w:t>
      </w:r>
      <w:r w:rsidRPr="00564531">
        <w:rPr>
          <w:rFonts w:eastAsia="Times New Roman" w:cs="Arial"/>
          <w:color w:val="000000"/>
          <w:lang w:eastAsia="bg-BG"/>
        </w:rPr>
        <w:tab/>
        <w:t>перикардит, перикарден излив, перикардна тампонада</w:t>
      </w:r>
    </w:p>
    <w:p w14:paraId="6E7310DE" w14:textId="77777777" w:rsidR="00564531" w:rsidRPr="00564531" w:rsidRDefault="00564531" w:rsidP="00564531">
      <w:pPr>
        <w:spacing w:line="240" w:lineRule="auto"/>
        <w:rPr>
          <w:rFonts w:eastAsia="Times New Roman" w:cs="Arial"/>
          <w:color w:val="000000"/>
          <w:u w:val="single"/>
          <w:lang w:eastAsia="bg-BG"/>
        </w:rPr>
      </w:pPr>
    </w:p>
    <w:p w14:paraId="1D7CED21" w14:textId="68570BF8"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Съдови нарушения</w:t>
      </w:r>
    </w:p>
    <w:p w14:paraId="5CA1BB2A"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lastRenderedPageBreak/>
        <w:t>Редки:</w:t>
      </w:r>
      <w:r w:rsidRPr="00564531">
        <w:rPr>
          <w:rFonts w:eastAsia="Times New Roman" w:cs="Arial"/>
          <w:color w:val="000000"/>
          <w:lang w:eastAsia="bg-BG"/>
        </w:rPr>
        <w:tab/>
        <w:t>хипотония, тромбоемболични събития</w:t>
      </w:r>
    </w:p>
    <w:p w14:paraId="71C63D30" w14:textId="77777777" w:rsidR="00564531" w:rsidRPr="00564531" w:rsidRDefault="00564531" w:rsidP="00564531">
      <w:pPr>
        <w:spacing w:line="240" w:lineRule="auto"/>
        <w:rPr>
          <w:rFonts w:eastAsia="Times New Roman" w:cs="Arial"/>
          <w:color w:val="000000"/>
          <w:u w:val="single"/>
          <w:lang w:eastAsia="bg-BG"/>
        </w:rPr>
      </w:pPr>
    </w:p>
    <w:p w14:paraId="43963298" w14:textId="4F5B0471"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Респираторни, гръдни и медиастинални нарушения</w:t>
      </w:r>
    </w:p>
    <w:p w14:paraId="741FC01E"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Чести:</w:t>
      </w:r>
      <w:r w:rsidRPr="00564531">
        <w:rPr>
          <w:rFonts w:eastAsia="Times New Roman" w:cs="Arial"/>
          <w:color w:val="000000"/>
          <w:lang w:eastAsia="bg-BG"/>
        </w:rPr>
        <w:tab/>
        <w:t>пневмония, интерстициален алвеолит/пневмонит, често свързан с еозинофилия.</w:t>
      </w:r>
    </w:p>
    <w:p w14:paraId="011A2302"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Симптомите, които сочат потенциално тежко белодробно уреждане (интерстициален пневмонит) са: суха, непродуктивна кашлица, задух и висока температура</w:t>
      </w:r>
    </w:p>
    <w:p w14:paraId="62BDAA9D"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Редки:</w:t>
      </w:r>
      <w:r w:rsidRPr="00564531">
        <w:rPr>
          <w:rFonts w:eastAsia="Times New Roman" w:cs="Arial"/>
          <w:color w:val="000000"/>
          <w:lang w:eastAsia="bg-BG"/>
        </w:rPr>
        <w:tab/>
        <w:t xml:space="preserve">белодробна фиброза, пневмония, причинена от </w:t>
      </w:r>
      <w:r w:rsidRPr="00564531">
        <w:rPr>
          <w:rFonts w:eastAsia="Times New Roman" w:cs="Arial"/>
          <w:i/>
          <w:iCs/>
          <w:color w:val="000000"/>
          <w:lang w:val="en-US"/>
        </w:rPr>
        <w:t>Pneumocystis</w:t>
      </w:r>
      <w:r w:rsidRPr="00564531">
        <w:rPr>
          <w:rFonts w:eastAsia="Times New Roman" w:cs="Arial"/>
          <w:i/>
          <w:iCs/>
          <w:color w:val="000000"/>
          <w:lang w:val="ru-RU"/>
        </w:rPr>
        <w:t xml:space="preserve"> </w:t>
      </w:r>
      <w:proofErr w:type="spellStart"/>
      <w:r w:rsidRPr="00564531">
        <w:rPr>
          <w:rFonts w:eastAsia="Times New Roman" w:cs="Arial"/>
          <w:i/>
          <w:iCs/>
          <w:color w:val="000000"/>
          <w:lang w:val="en-US"/>
        </w:rPr>
        <w:t>jirovecii</w:t>
      </w:r>
      <w:proofErr w:type="spellEnd"/>
      <w:r w:rsidRPr="00564531">
        <w:rPr>
          <w:rFonts w:eastAsia="Times New Roman" w:cs="Arial"/>
          <w:i/>
          <w:iCs/>
          <w:color w:val="000000"/>
          <w:lang w:val="ru-RU"/>
        </w:rPr>
        <w:t>,</w:t>
      </w:r>
      <w:r w:rsidRPr="00564531">
        <w:rPr>
          <w:rFonts w:eastAsia="Times New Roman" w:cs="Arial"/>
          <w:color w:val="000000"/>
          <w:lang w:val="ru-RU"/>
        </w:rPr>
        <w:t xml:space="preserve"> </w:t>
      </w:r>
      <w:r w:rsidRPr="00564531">
        <w:rPr>
          <w:rFonts w:eastAsia="Times New Roman" w:cs="Arial"/>
          <w:color w:val="000000"/>
          <w:lang w:eastAsia="bg-BG"/>
        </w:rPr>
        <w:t>задух и</w:t>
      </w:r>
    </w:p>
    <w:p w14:paraId="21472D4B"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бронхиална астма, плеврален излив</w:t>
      </w:r>
    </w:p>
    <w:p w14:paraId="428199C4" w14:textId="25B0E9DE" w:rsidR="00564531" w:rsidRPr="00564531" w:rsidRDefault="00564531" w:rsidP="00564531">
      <w:pPr>
        <w:spacing w:line="240" w:lineRule="auto"/>
        <w:rPr>
          <w:rFonts w:eastAsia="Times New Roman" w:cs="Arial"/>
        </w:rPr>
      </w:pPr>
      <w:r w:rsidRPr="00564531">
        <w:rPr>
          <w:rFonts w:eastAsia="Times New Roman" w:cs="Arial"/>
          <w:color w:val="000000"/>
          <w:lang w:eastAsia="bg-BG"/>
        </w:rPr>
        <w:t>С неизвестна</w:t>
      </w:r>
      <w:r w:rsidRPr="00564531">
        <w:rPr>
          <w:rFonts w:eastAsia="Times New Roman" w:cs="Arial"/>
        </w:rPr>
        <w:t xml:space="preserve"> </w:t>
      </w:r>
      <w:r w:rsidRPr="00564531">
        <w:rPr>
          <w:rFonts w:eastAsia="Times New Roman" w:cs="Arial"/>
          <w:color w:val="000000"/>
          <w:lang w:eastAsia="bg-BG"/>
        </w:rPr>
        <w:t>честота: епистаксис, пулмонална алвеоларна хеморагия</w:t>
      </w:r>
    </w:p>
    <w:p w14:paraId="01E05A2C" w14:textId="77777777" w:rsidR="00564531" w:rsidRPr="00564531" w:rsidRDefault="00564531" w:rsidP="00564531">
      <w:pPr>
        <w:spacing w:line="240" w:lineRule="auto"/>
        <w:rPr>
          <w:rFonts w:eastAsia="Times New Roman" w:cs="Arial"/>
          <w:color w:val="000000"/>
          <w:u w:val="single"/>
          <w:lang w:eastAsia="bg-BG"/>
        </w:rPr>
      </w:pPr>
    </w:p>
    <w:p w14:paraId="00F4BF6F" w14:textId="06A4F890"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Стомашно-чревни нарушения</w:t>
      </w:r>
    </w:p>
    <w:p w14:paraId="4860C6E3"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Много чести: стоматит, диспепсия, гадене, загуба на апетит, абдоминална болка</w:t>
      </w:r>
    </w:p>
    <w:p w14:paraId="43BAC9D5"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Чести:</w:t>
      </w:r>
      <w:r w:rsidRPr="00564531">
        <w:rPr>
          <w:rFonts w:eastAsia="Times New Roman" w:cs="Arial"/>
          <w:color w:val="000000"/>
          <w:lang w:eastAsia="bg-BG"/>
        </w:rPr>
        <w:tab/>
        <w:t>язви в устата, диария</w:t>
      </w:r>
    </w:p>
    <w:p w14:paraId="6FDDCDBD" w14:textId="226BFBC1" w:rsidR="00564531" w:rsidRPr="00564531" w:rsidRDefault="00564531" w:rsidP="00564531">
      <w:pPr>
        <w:spacing w:line="240" w:lineRule="auto"/>
        <w:rPr>
          <w:rFonts w:eastAsia="Times New Roman" w:cs="Arial"/>
        </w:rPr>
      </w:pPr>
      <w:r w:rsidRPr="00564531">
        <w:rPr>
          <w:rFonts w:eastAsia="Times New Roman" w:cs="Arial"/>
          <w:color w:val="000000"/>
          <w:lang w:eastAsia="bg-BG"/>
        </w:rPr>
        <w:t>Нечести: стомашно-чревни язви и кървене, ентерит, повръщане, панкреатит</w:t>
      </w:r>
    </w:p>
    <w:p w14:paraId="2B2AB1F0"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Редки:</w:t>
      </w:r>
      <w:r w:rsidRPr="00564531">
        <w:rPr>
          <w:rFonts w:eastAsia="Times New Roman" w:cs="Arial"/>
          <w:color w:val="000000"/>
          <w:lang w:eastAsia="bg-BG"/>
        </w:rPr>
        <w:tab/>
        <w:t>гингивит</w:t>
      </w:r>
    </w:p>
    <w:p w14:paraId="1FF91BC8"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Много редки: хематемеза, хематурия, токсичен мегаколон</w:t>
      </w:r>
    </w:p>
    <w:p w14:paraId="1E643DD6" w14:textId="77777777" w:rsidR="00564531" w:rsidRPr="00564531" w:rsidRDefault="00564531" w:rsidP="00564531">
      <w:pPr>
        <w:spacing w:line="240" w:lineRule="auto"/>
        <w:rPr>
          <w:rFonts w:eastAsia="Times New Roman" w:cs="Arial"/>
          <w:color w:val="000000"/>
          <w:u w:val="single"/>
          <w:lang w:eastAsia="bg-BG"/>
        </w:rPr>
      </w:pPr>
    </w:p>
    <w:p w14:paraId="32AB8819" w14:textId="4DAA6EAA"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Хепатобилиарни нарушения (вж. точка 4.4)</w:t>
      </w:r>
    </w:p>
    <w:p w14:paraId="7990E2A6"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 xml:space="preserve">Много чести: патологични изследвания на чернодобната функция (повишени </w:t>
      </w:r>
      <w:r w:rsidRPr="00564531">
        <w:rPr>
          <w:rFonts w:eastAsia="Times New Roman" w:cs="Arial"/>
          <w:color w:val="000000"/>
          <w:lang w:val="en-US"/>
        </w:rPr>
        <w:t>ALAT</w:t>
      </w:r>
      <w:r w:rsidRPr="00564531">
        <w:rPr>
          <w:rFonts w:eastAsia="Times New Roman" w:cs="Arial"/>
          <w:color w:val="000000"/>
          <w:lang w:val="ru-RU"/>
        </w:rPr>
        <w:t xml:space="preserve">, </w:t>
      </w:r>
      <w:r w:rsidRPr="00564531">
        <w:rPr>
          <w:rFonts w:eastAsia="Times New Roman" w:cs="Arial"/>
          <w:color w:val="000000"/>
          <w:lang w:val="en-US"/>
        </w:rPr>
        <w:t>ASAT</w:t>
      </w:r>
      <w:r w:rsidRPr="00564531">
        <w:rPr>
          <w:rFonts w:eastAsia="Times New Roman" w:cs="Arial"/>
          <w:color w:val="000000"/>
          <w:lang w:val="ru-RU"/>
        </w:rPr>
        <w:t xml:space="preserve">, </w:t>
      </w:r>
      <w:r w:rsidRPr="00564531">
        <w:rPr>
          <w:rFonts w:eastAsia="Times New Roman" w:cs="Arial"/>
          <w:color w:val="000000"/>
          <w:lang w:eastAsia="bg-BG"/>
        </w:rPr>
        <w:t>алкална фосфатаза и билирубин).</w:t>
      </w:r>
    </w:p>
    <w:p w14:paraId="4653E3A7" w14:textId="42023311" w:rsidR="00564531" w:rsidRPr="00564531" w:rsidRDefault="00564531" w:rsidP="00564531">
      <w:pPr>
        <w:spacing w:line="240" w:lineRule="auto"/>
        <w:rPr>
          <w:rFonts w:eastAsia="Times New Roman" w:cs="Arial"/>
        </w:rPr>
      </w:pPr>
      <w:r w:rsidRPr="00564531">
        <w:rPr>
          <w:rFonts w:eastAsia="Times New Roman" w:cs="Arial"/>
          <w:color w:val="000000"/>
          <w:lang w:eastAsia="bg-BG"/>
        </w:rPr>
        <w:t>Нечести: цироза, фиброза и мастна дегенерация на черния дроб, намаляване на серумния</w:t>
      </w:r>
    </w:p>
    <w:p w14:paraId="1B51667F"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албумин</w:t>
      </w:r>
    </w:p>
    <w:p w14:paraId="1CD5CE09"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Редки:</w:t>
      </w:r>
      <w:r w:rsidRPr="00564531">
        <w:rPr>
          <w:rFonts w:eastAsia="Times New Roman" w:cs="Arial"/>
          <w:color w:val="000000"/>
          <w:lang w:eastAsia="bg-BG"/>
        </w:rPr>
        <w:tab/>
        <w:t>остър хепатит</w:t>
      </w:r>
    </w:p>
    <w:p w14:paraId="514DF613"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Много редки: чернодробна недостатъчност</w:t>
      </w:r>
    </w:p>
    <w:p w14:paraId="18DF6821" w14:textId="77777777" w:rsidR="00564531" w:rsidRPr="00564531" w:rsidRDefault="00564531" w:rsidP="00564531">
      <w:pPr>
        <w:spacing w:line="240" w:lineRule="auto"/>
        <w:rPr>
          <w:rFonts w:eastAsia="Times New Roman" w:cs="Arial"/>
          <w:color w:val="000000"/>
          <w:u w:val="single"/>
          <w:lang w:eastAsia="bg-BG"/>
        </w:rPr>
      </w:pPr>
    </w:p>
    <w:p w14:paraId="36E629B2" w14:textId="70D0E49E"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Нарушения на кожата и подкожната тъкан</w:t>
      </w:r>
    </w:p>
    <w:p w14:paraId="36DA4FA1"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Чести:</w:t>
      </w:r>
      <w:r w:rsidRPr="00564531">
        <w:rPr>
          <w:rFonts w:eastAsia="Times New Roman" w:cs="Arial"/>
          <w:color w:val="000000"/>
          <w:lang w:eastAsia="bg-BG"/>
        </w:rPr>
        <w:tab/>
        <w:t>екзантема, еритема, пруритус</w:t>
      </w:r>
    </w:p>
    <w:p w14:paraId="702DB5A4" w14:textId="7FE1BD17" w:rsidR="00564531" w:rsidRPr="00564531" w:rsidRDefault="00564531" w:rsidP="00564531">
      <w:pPr>
        <w:spacing w:line="240" w:lineRule="auto"/>
        <w:rPr>
          <w:rFonts w:eastAsia="Times New Roman" w:cs="Arial"/>
        </w:rPr>
      </w:pPr>
      <w:r w:rsidRPr="00564531">
        <w:rPr>
          <w:rFonts w:eastAsia="Times New Roman" w:cs="Arial"/>
          <w:color w:val="000000"/>
          <w:lang w:eastAsia="bg-BG"/>
        </w:rPr>
        <w:t>Нечести: фотосенсибилизация, косопад, увеличаване на ревматичните възли, язви по</w:t>
      </w:r>
    </w:p>
    <w:p w14:paraId="249E52D6"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кожата, херпес зостер, васкулит, херпетиформени обриви по кожата уртикария</w:t>
      </w:r>
    </w:p>
    <w:p w14:paraId="71FF6F06" w14:textId="033B557A" w:rsidR="00564531" w:rsidRPr="00564531" w:rsidRDefault="00564531" w:rsidP="00564531">
      <w:pPr>
        <w:rPr>
          <w:rFonts w:eastAsia="Times New Roman" w:cs="Arial"/>
          <w:color w:val="000000"/>
          <w:lang w:eastAsia="bg-BG"/>
        </w:rPr>
      </w:pPr>
      <w:r w:rsidRPr="00564531">
        <w:rPr>
          <w:rFonts w:eastAsia="Times New Roman" w:cs="Arial"/>
          <w:color w:val="000000"/>
          <w:lang w:eastAsia="bg-BG"/>
        </w:rPr>
        <w:t>Редки:</w:t>
      </w:r>
      <w:r w:rsidRPr="00564531">
        <w:rPr>
          <w:rFonts w:eastAsia="Times New Roman" w:cs="Arial"/>
          <w:color w:val="000000"/>
          <w:lang w:eastAsia="bg-BG"/>
        </w:rPr>
        <w:tab/>
        <w:t>повишена пигментация, акне, петехии, екхимоза, алергичен васкулит</w:t>
      </w:r>
    </w:p>
    <w:p w14:paraId="4E298C1B"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 xml:space="preserve">Много редки: синдром на </w:t>
      </w:r>
      <w:r w:rsidRPr="00564531">
        <w:rPr>
          <w:rFonts w:eastAsia="Times New Roman" w:cs="Arial"/>
          <w:color w:val="000000"/>
          <w:lang w:val="en-US"/>
        </w:rPr>
        <w:t>Stevens</w:t>
      </w:r>
      <w:r w:rsidRPr="00564531">
        <w:rPr>
          <w:rFonts w:eastAsia="Times New Roman" w:cs="Arial"/>
          <w:color w:val="000000"/>
          <w:lang w:val="ru-RU"/>
        </w:rPr>
        <w:t>-</w:t>
      </w:r>
      <w:r w:rsidRPr="00564531">
        <w:rPr>
          <w:rFonts w:eastAsia="Times New Roman" w:cs="Arial"/>
          <w:color w:val="000000"/>
          <w:lang w:val="en-US"/>
        </w:rPr>
        <w:t>Johnson</w:t>
      </w:r>
      <w:r w:rsidRPr="00564531">
        <w:rPr>
          <w:rFonts w:eastAsia="Times New Roman" w:cs="Arial"/>
          <w:color w:val="000000"/>
          <w:lang w:val="ru-RU"/>
        </w:rPr>
        <w:t xml:space="preserve">, </w:t>
      </w:r>
      <w:r w:rsidRPr="00564531">
        <w:rPr>
          <w:rFonts w:eastAsia="Times New Roman" w:cs="Arial"/>
          <w:color w:val="000000"/>
          <w:lang w:eastAsia="bg-BG"/>
        </w:rPr>
        <w:t xml:space="preserve">токсична епидермална некролиза (синдром на </w:t>
      </w:r>
      <w:r w:rsidRPr="00564531">
        <w:rPr>
          <w:rFonts w:eastAsia="Times New Roman" w:cs="Arial"/>
          <w:color w:val="000000"/>
          <w:lang w:val="en-US"/>
        </w:rPr>
        <w:t>Lyell</w:t>
      </w:r>
      <w:r w:rsidRPr="00564531">
        <w:rPr>
          <w:rFonts w:eastAsia="Times New Roman" w:cs="Arial"/>
          <w:color w:val="000000"/>
          <w:lang w:val="ru-RU"/>
        </w:rPr>
        <w:t xml:space="preserve">), </w:t>
      </w:r>
      <w:r w:rsidRPr="00564531">
        <w:rPr>
          <w:rFonts w:eastAsia="Times New Roman" w:cs="Arial"/>
          <w:color w:val="000000"/>
          <w:lang w:eastAsia="bg-BG"/>
        </w:rPr>
        <w:t>повишени пигментни промени на ноктите, остра паронихия, фурункулоза, телеангиектазии</w:t>
      </w:r>
    </w:p>
    <w:p w14:paraId="746C6A81" w14:textId="5BB3A6C1" w:rsidR="00564531" w:rsidRPr="00564531" w:rsidRDefault="00564531" w:rsidP="00564531">
      <w:pPr>
        <w:spacing w:line="240" w:lineRule="auto"/>
        <w:rPr>
          <w:rFonts w:eastAsia="Times New Roman" w:cs="Arial"/>
        </w:rPr>
      </w:pPr>
      <w:r w:rsidRPr="00564531">
        <w:rPr>
          <w:rFonts w:eastAsia="Times New Roman" w:cs="Arial"/>
          <w:color w:val="000000"/>
          <w:lang w:eastAsia="bg-BG"/>
        </w:rPr>
        <w:t>С неизвестна</w:t>
      </w:r>
      <w:r w:rsidRPr="00564531">
        <w:rPr>
          <w:rFonts w:eastAsia="Times New Roman" w:cs="Arial"/>
        </w:rPr>
        <w:t xml:space="preserve"> </w:t>
      </w:r>
      <w:r w:rsidRPr="00564531">
        <w:rPr>
          <w:rFonts w:eastAsia="Times New Roman" w:cs="Arial"/>
          <w:color w:val="000000"/>
          <w:lang w:eastAsia="bg-BG"/>
        </w:rPr>
        <w:t>честота: кожна ексфолиация/ексфолиативен дерматит</w:t>
      </w:r>
    </w:p>
    <w:p w14:paraId="5DE023DE" w14:textId="77777777" w:rsidR="00564531" w:rsidRPr="00564531" w:rsidRDefault="00564531" w:rsidP="00564531">
      <w:pPr>
        <w:spacing w:line="240" w:lineRule="auto"/>
        <w:rPr>
          <w:rFonts w:eastAsia="Times New Roman" w:cs="Arial"/>
          <w:color w:val="000000"/>
          <w:u w:val="single"/>
          <w:lang w:eastAsia="bg-BG"/>
        </w:rPr>
      </w:pPr>
    </w:p>
    <w:p w14:paraId="7E3ECB60" w14:textId="36F486B2"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Нарушения на мускулно-скелетната система и съединителната тъкан</w:t>
      </w:r>
    </w:p>
    <w:p w14:paraId="4A0D0D19" w14:textId="79BF322B" w:rsidR="00564531" w:rsidRPr="00564531" w:rsidRDefault="00564531" w:rsidP="00564531">
      <w:pPr>
        <w:spacing w:line="240" w:lineRule="auto"/>
        <w:rPr>
          <w:rFonts w:eastAsia="Times New Roman" w:cs="Arial"/>
        </w:rPr>
      </w:pPr>
      <w:r w:rsidRPr="00564531">
        <w:rPr>
          <w:rFonts w:eastAsia="Times New Roman" w:cs="Arial"/>
          <w:color w:val="000000"/>
          <w:lang w:eastAsia="bg-BG"/>
        </w:rPr>
        <w:t>Нечести: артралгия, миалгия, остеопороза</w:t>
      </w:r>
    </w:p>
    <w:p w14:paraId="71BC4F39"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Редки:</w:t>
      </w:r>
      <w:r w:rsidRPr="00564531">
        <w:rPr>
          <w:rFonts w:eastAsia="Times New Roman" w:cs="Arial"/>
          <w:color w:val="000000"/>
          <w:lang w:eastAsia="bg-BG"/>
        </w:rPr>
        <w:tab/>
        <w:t>стрес фрактура</w:t>
      </w:r>
    </w:p>
    <w:p w14:paraId="64593741" w14:textId="6F2236D9" w:rsidR="00564531" w:rsidRPr="00564531" w:rsidRDefault="00564531" w:rsidP="00564531">
      <w:pPr>
        <w:spacing w:line="240" w:lineRule="auto"/>
        <w:rPr>
          <w:rFonts w:eastAsia="Times New Roman" w:cs="Arial"/>
        </w:rPr>
      </w:pPr>
      <w:r w:rsidRPr="00564531">
        <w:rPr>
          <w:rFonts w:eastAsia="Times New Roman" w:cs="Arial"/>
          <w:color w:val="000000"/>
          <w:lang w:eastAsia="bg-BG"/>
        </w:rPr>
        <w:t>С неизвестна</w:t>
      </w:r>
      <w:r w:rsidRPr="00564531">
        <w:rPr>
          <w:rFonts w:eastAsia="Times New Roman" w:cs="Arial"/>
        </w:rPr>
        <w:t xml:space="preserve"> </w:t>
      </w:r>
      <w:r w:rsidRPr="00564531">
        <w:rPr>
          <w:rFonts w:eastAsia="Times New Roman" w:cs="Arial"/>
          <w:color w:val="000000"/>
          <w:lang w:eastAsia="bg-BG"/>
        </w:rPr>
        <w:t>честота: остеонекроза на челюстта (вторично след лимфопролиферативните нарушения).</w:t>
      </w:r>
    </w:p>
    <w:p w14:paraId="13326831" w14:textId="77777777" w:rsidR="00564531" w:rsidRPr="00564531" w:rsidRDefault="00564531" w:rsidP="00564531">
      <w:pPr>
        <w:spacing w:line="240" w:lineRule="auto"/>
        <w:rPr>
          <w:rFonts w:eastAsia="Times New Roman" w:cs="Arial"/>
          <w:color w:val="000000"/>
          <w:u w:val="single"/>
          <w:lang w:eastAsia="bg-BG"/>
        </w:rPr>
      </w:pPr>
    </w:p>
    <w:p w14:paraId="4DA9ADA7" w14:textId="617CFE3E"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Нарушения на бъбреците и пикочните пътища</w:t>
      </w:r>
    </w:p>
    <w:p w14:paraId="0177AEDF" w14:textId="19620C42" w:rsidR="00564531" w:rsidRPr="00564531" w:rsidRDefault="00564531" w:rsidP="00564531">
      <w:pPr>
        <w:spacing w:line="240" w:lineRule="auto"/>
        <w:rPr>
          <w:rFonts w:eastAsia="Times New Roman" w:cs="Arial"/>
        </w:rPr>
      </w:pPr>
      <w:r w:rsidRPr="00564531">
        <w:rPr>
          <w:rFonts w:eastAsia="Times New Roman" w:cs="Arial"/>
          <w:color w:val="000000"/>
          <w:lang w:eastAsia="bg-BG"/>
        </w:rPr>
        <w:t>Нечести: възпаление и улцерация на пикочния мехур, бъбречно увреждане, нарушена</w:t>
      </w:r>
    </w:p>
    <w:p w14:paraId="677C5443"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микция</w:t>
      </w:r>
    </w:p>
    <w:p w14:paraId="27B97179"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Редки бъбречна недостатъчност, олигурия, анурия, електролитни нарушения</w:t>
      </w:r>
    </w:p>
    <w:p w14:paraId="747665A5" w14:textId="6D1AA668" w:rsidR="00564531" w:rsidRPr="00564531" w:rsidRDefault="00564531" w:rsidP="00564531">
      <w:pPr>
        <w:spacing w:line="240" w:lineRule="auto"/>
        <w:rPr>
          <w:rFonts w:eastAsia="Times New Roman" w:cs="Arial"/>
        </w:rPr>
      </w:pPr>
      <w:r w:rsidRPr="00564531">
        <w:rPr>
          <w:rFonts w:eastAsia="Times New Roman" w:cs="Arial"/>
          <w:color w:val="000000"/>
          <w:lang w:eastAsia="bg-BG"/>
        </w:rPr>
        <w:t>С неизвестна</w:t>
      </w:r>
      <w:r w:rsidRPr="00564531">
        <w:rPr>
          <w:rFonts w:eastAsia="Times New Roman" w:cs="Arial"/>
        </w:rPr>
        <w:t xml:space="preserve"> </w:t>
      </w:r>
      <w:r w:rsidRPr="00564531">
        <w:rPr>
          <w:rFonts w:eastAsia="Times New Roman" w:cs="Arial"/>
          <w:color w:val="000000"/>
          <w:lang w:eastAsia="bg-BG"/>
        </w:rPr>
        <w:t>честота: протеинурия</w:t>
      </w:r>
    </w:p>
    <w:p w14:paraId="1AEE242C" w14:textId="77777777" w:rsidR="00564531" w:rsidRPr="00564531" w:rsidRDefault="00564531" w:rsidP="00564531">
      <w:pPr>
        <w:spacing w:line="240" w:lineRule="auto"/>
        <w:rPr>
          <w:rFonts w:eastAsia="Times New Roman" w:cs="Arial"/>
          <w:color w:val="000000"/>
          <w:u w:val="single"/>
          <w:lang w:eastAsia="bg-BG"/>
        </w:rPr>
      </w:pPr>
    </w:p>
    <w:p w14:paraId="7D2656E9" w14:textId="2DB52F8E"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Нарушения на възпроизводителната система и гърдата</w:t>
      </w:r>
    </w:p>
    <w:p w14:paraId="42E11F1B" w14:textId="3A616A2A" w:rsidR="00564531" w:rsidRPr="00564531" w:rsidRDefault="00564531" w:rsidP="00564531">
      <w:pPr>
        <w:spacing w:line="240" w:lineRule="auto"/>
        <w:rPr>
          <w:rFonts w:eastAsia="Times New Roman" w:cs="Arial"/>
        </w:rPr>
      </w:pPr>
      <w:r w:rsidRPr="00564531">
        <w:rPr>
          <w:rFonts w:eastAsia="Times New Roman" w:cs="Arial"/>
          <w:color w:val="000000"/>
          <w:lang w:eastAsia="bg-BG"/>
        </w:rPr>
        <w:t>Нечести: възпаление и язви на влагалището</w:t>
      </w:r>
    </w:p>
    <w:p w14:paraId="51732F64"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lastRenderedPageBreak/>
        <w:t>Много редки: загуба на либидо, импотентност, гинекомастия, олигоспермия, нарушена менструация, вагинално течение</w:t>
      </w:r>
    </w:p>
    <w:p w14:paraId="023E5E52" w14:textId="77777777" w:rsidR="00564531" w:rsidRPr="00564531" w:rsidRDefault="00564531" w:rsidP="00564531">
      <w:pPr>
        <w:spacing w:line="240" w:lineRule="auto"/>
        <w:rPr>
          <w:rFonts w:eastAsia="Times New Roman" w:cs="Arial"/>
          <w:color w:val="000000"/>
          <w:u w:val="single"/>
          <w:lang w:eastAsia="bg-BG"/>
        </w:rPr>
      </w:pPr>
    </w:p>
    <w:p w14:paraId="4AEDEE56" w14:textId="35EA8D60"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Обши нарушения и ефекти на мястото на приложение</w:t>
      </w:r>
    </w:p>
    <w:p w14:paraId="24DD3F5F"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Редки:</w:t>
      </w:r>
      <w:r w:rsidRPr="00564531">
        <w:rPr>
          <w:rFonts w:eastAsia="Times New Roman" w:cs="Arial"/>
          <w:color w:val="000000"/>
          <w:lang w:eastAsia="bg-BG"/>
        </w:rPr>
        <w:tab/>
        <w:t>треска, забавено заздравяване на раните</w:t>
      </w:r>
    </w:p>
    <w:p w14:paraId="40FEFF6E" w14:textId="0EDC5661" w:rsidR="00564531" w:rsidRPr="00564531" w:rsidRDefault="00564531" w:rsidP="00564531">
      <w:pPr>
        <w:spacing w:line="240" w:lineRule="auto"/>
        <w:rPr>
          <w:rFonts w:eastAsia="Times New Roman" w:cs="Arial"/>
        </w:rPr>
      </w:pPr>
      <w:r w:rsidRPr="00564531">
        <w:rPr>
          <w:rFonts w:eastAsia="Times New Roman" w:cs="Arial"/>
          <w:color w:val="000000"/>
          <w:lang w:eastAsia="bg-BG"/>
        </w:rPr>
        <w:t>С неизвестна</w:t>
      </w:r>
      <w:r w:rsidRPr="00564531">
        <w:rPr>
          <w:rFonts w:eastAsia="Times New Roman" w:cs="Arial"/>
        </w:rPr>
        <w:t xml:space="preserve"> </w:t>
      </w:r>
      <w:r w:rsidRPr="00564531">
        <w:rPr>
          <w:rFonts w:eastAsia="Times New Roman" w:cs="Arial"/>
          <w:color w:val="000000"/>
          <w:lang w:eastAsia="bg-BG"/>
        </w:rPr>
        <w:t>честота: астения, оток, некроза на мястото на инжектиране</w:t>
      </w:r>
    </w:p>
    <w:p w14:paraId="22BA66E3" w14:textId="77777777" w:rsidR="00564531" w:rsidRPr="00564531" w:rsidRDefault="00564531" w:rsidP="00564531">
      <w:pPr>
        <w:spacing w:line="240" w:lineRule="auto"/>
        <w:rPr>
          <w:rFonts w:eastAsia="Times New Roman" w:cs="Arial"/>
          <w:color w:val="000000"/>
          <w:u w:val="single"/>
          <w:lang w:eastAsia="bg-BG"/>
        </w:rPr>
      </w:pPr>
    </w:p>
    <w:p w14:paraId="119A0444" w14:textId="27F2A541"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Описание на избрани нежелани реакции</w:t>
      </w:r>
    </w:p>
    <w:p w14:paraId="5CA26E5B"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Лимфома/лимфопролиферативни нарушения: има съобщени единични случаи на лимфома и други лимфопролиферативни нарушения, които в повечето случаи отшумяват при прекратяване на лечението с метотрексат.</w:t>
      </w:r>
    </w:p>
    <w:p w14:paraId="4E2621FC" w14:textId="77777777" w:rsidR="00564531" w:rsidRPr="00564531" w:rsidRDefault="00564531" w:rsidP="00564531">
      <w:pPr>
        <w:spacing w:line="240" w:lineRule="auto"/>
        <w:rPr>
          <w:rFonts w:eastAsia="Times New Roman" w:cs="Arial"/>
          <w:color w:val="000000"/>
          <w:lang w:eastAsia="bg-BG"/>
        </w:rPr>
      </w:pPr>
    </w:p>
    <w:p w14:paraId="5E70881A" w14:textId="059C0987" w:rsidR="00564531" w:rsidRPr="00564531" w:rsidRDefault="00564531" w:rsidP="00564531">
      <w:pPr>
        <w:spacing w:line="240" w:lineRule="auto"/>
        <w:rPr>
          <w:rFonts w:eastAsia="Times New Roman" w:cs="Arial"/>
        </w:rPr>
      </w:pPr>
      <w:r w:rsidRPr="00564531">
        <w:rPr>
          <w:rFonts w:eastAsia="Times New Roman" w:cs="Arial"/>
          <w:color w:val="000000"/>
          <w:lang w:eastAsia="bg-BG"/>
        </w:rPr>
        <w:t>Появата и тежестта на нежеланите реакции зависят от дозата и честотата на приложение. Все пак, тъй като тежки нежелани лекарствени реакции могат да се появят дори при по-ниски дози, е важно пациентите да се наблюдават редовно от лекаря на кратки интервали.</w:t>
      </w:r>
    </w:p>
    <w:p w14:paraId="6E5D1FDB" w14:textId="77777777" w:rsidR="00564531" w:rsidRPr="00564531" w:rsidRDefault="00564531" w:rsidP="00564531">
      <w:pPr>
        <w:spacing w:line="240" w:lineRule="auto"/>
        <w:rPr>
          <w:rFonts w:eastAsia="Times New Roman" w:cs="Arial"/>
          <w:color w:val="000000"/>
          <w:lang w:eastAsia="bg-BG"/>
        </w:rPr>
      </w:pPr>
    </w:p>
    <w:p w14:paraId="1E222EA1" w14:textId="0FF2BD84" w:rsidR="00564531" w:rsidRPr="00564531" w:rsidRDefault="00564531" w:rsidP="00564531">
      <w:pPr>
        <w:spacing w:line="240" w:lineRule="auto"/>
        <w:rPr>
          <w:rFonts w:eastAsia="Times New Roman" w:cs="Arial"/>
        </w:rPr>
      </w:pPr>
      <w:r w:rsidRPr="00564531">
        <w:rPr>
          <w:rFonts w:eastAsia="Times New Roman" w:cs="Arial"/>
          <w:color w:val="000000"/>
          <w:lang w:eastAsia="bg-BG"/>
        </w:rPr>
        <w:t>По принцип подкожното приложение на метотрексат е с добра локална поносимост.</w:t>
      </w:r>
    </w:p>
    <w:p w14:paraId="2063A085"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Обикновено са наблюдавани само леки локални кожни реакции (такива като усещане за парене, еритема, оток, промяна на цвета, сърбеж, силен сърбеж, болка), които отслабват по време на терапията.</w:t>
      </w:r>
    </w:p>
    <w:p w14:paraId="4B978C6B" w14:textId="77777777" w:rsidR="00564531" w:rsidRPr="00564531" w:rsidRDefault="00564531" w:rsidP="00564531">
      <w:pPr>
        <w:spacing w:line="240" w:lineRule="auto"/>
        <w:rPr>
          <w:rFonts w:eastAsia="Times New Roman" w:cs="Arial"/>
          <w:color w:val="000000"/>
          <w:u w:val="single"/>
          <w:lang w:eastAsia="bg-BG"/>
        </w:rPr>
      </w:pPr>
    </w:p>
    <w:p w14:paraId="2911D37A" w14:textId="67373274" w:rsidR="00564531" w:rsidRPr="00564531" w:rsidRDefault="00564531" w:rsidP="00564531">
      <w:pPr>
        <w:spacing w:line="240" w:lineRule="auto"/>
        <w:rPr>
          <w:rFonts w:eastAsia="Times New Roman" w:cs="Arial"/>
        </w:rPr>
      </w:pPr>
      <w:r w:rsidRPr="00564531">
        <w:rPr>
          <w:rFonts w:eastAsia="Times New Roman" w:cs="Arial"/>
          <w:color w:val="000000"/>
          <w:u w:val="single"/>
          <w:lang w:eastAsia="bg-BG"/>
        </w:rPr>
        <w:t>Съобщаване на подозирани нежелани реакции</w:t>
      </w:r>
    </w:p>
    <w:p w14:paraId="2BEABBE6"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ул.,Дамян Груев” № 8, 1303 София, тел.: 02 8903417, уебсайт: </w:t>
      </w:r>
      <w:r w:rsidRPr="00564531">
        <w:rPr>
          <w:rFonts w:eastAsia="Times New Roman" w:cs="Arial"/>
        </w:rPr>
        <w:fldChar w:fldCharType="begin"/>
      </w:r>
      <w:r w:rsidRPr="00564531">
        <w:rPr>
          <w:rFonts w:eastAsia="Times New Roman" w:cs="Arial"/>
        </w:rPr>
        <w:instrText xml:space="preserve"> HYPERLINK "http://www.bda.bg" </w:instrText>
      </w:r>
      <w:r w:rsidRPr="00564531">
        <w:rPr>
          <w:rFonts w:eastAsia="Times New Roman" w:cs="Arial"/>
        </w:rPr>
      </w:r>
      <w:r w:rsidRPr="00564531">
        <w:rPr>
          <w:rFonts w:eastAsia="Times New Roman" w:cs="Arial"/>
        </w:rPr>
        <w:fldChar w:fldCharType="separate"/>
      </w:r>
      <w:r w:rsidRPr="00564531">
        <w:rPr>
          <w:rFonts w:eastAsia="Times New Roman" w:cs="Arial"/>
          <w:color w:val="000000"/>
          <w:lang w:val="en-US"/>
        </w:rPr>
        <w:t>www</w:t>
      </w:r>
      <w:r w:rsidRPr="00564531">
        <w:rPr>
          <w:rFonts w:eastAsia="Times New Roman" w:cs="Arial"/>
          <w:color w:val="000000"/>
          <w:lang w:val="ru-RU"/>
        </w:rPr>
        <w:t>.</w:t>
      </w:r>
      <w:proofErr w:type="spellStart"/>
      <w:r w:rsidRPr="00564531">
        <w:rPr>
          <w:rFonts w:eastAsia="Times New Roman" w:cs="Arial"/>
          <w:color w:val="000000"/>
          <w:lang w:val="en-US"/>
        </w:rPr>
        <w:t>bda</w:t>
      </w:r>
      <w:proofErr w:type="spellEnd"/>
      <w:r w:rsidRPr="00564531">
        <w:rPr>
          <w:rFonts w:eastAsia="Times New Roman" w:cs="Arial"/>
          <w:color w:val="000000"/>
          <w:lang w:val="ru-RU"/>
        </w:rPr>
        <w:t>.</w:t>
      </w:r>
      <w:proofErr w:type="spellStart"/>
      <w:r w:rsidRPr="00564531">
        <w:rPr>
          <w:rFonts w:eastAsia="Times New Roman" w:cs="Arial"/>
          <w:color w:val="000000"/>
          <w:lang w:val="en-US"/>
        </w:rPr>
        <w:t>bg</w:t>
      </w:r>
      <w:proofErr w:type="spellEnd"/>
      <w:r w:rsidRPr="00564531">
        <w:rPr>
          <w:rFonts w:eastAsia="Times New Roman" w:cs="Arial"/>
        </w:rPr>
        <w:fldChar w:fldCharType="end"/>
      </w:r>
      <w:r w:rsidRPr="00564531">
        <w:rPr>
          <w:rFonts w:eastAsia="Times New Roman" w:cs="Arial"/>
          <w:color w:val="000000"/>
          <w:lang w:val="ru-RU"/>
        </w:rPr>
        <w:t>.</w:t>
      </w:r>
    </w:p>
    <w:p w14:paraId="164ADD06" w14:textId="77777777" w:rsidR="00564531" w:rsidRPr="00564531" w:rsidRDefault="00564531" w:rsidP="00564531">
      <w:pPr>
        <w:rPr>
          <w:rFonts w:ascii="Times New Roman" w:eastAsia="Times New Roman" w:hAnsi="Times New Roman" w:cs="Times New Roman"/>
          <w:color w:val="000000"/>
          <w:lang w:eastAsia="bg-BG"/>
        </w:rPr>
      </w:pPr>
    </w:p>
    <w:p w14:paraId="0A023CE0" w14:textId="1DEEFC9C" w:rsidR="00CF77F7" w:rsidRDefault="002C50EE" w:rsidP="004A448E">
      <w:pPr>
        <w:pStyle w:val="Heading2"/>
      </w:pPr>
      <w:r>
        <w:t>4.9. Предозиране</w:t>
      </w:r>
    </w:p>
    <w:p w14:paraId="77EC836A" w14:textId="77777777" w:rsidR="00564531" w:rsidRDefault="00564531" w:rsidP="00564531">
      <w:pPr>
        <w:spacing w:line="240" w:lineRule="auto"/>
      </w:pPr>
    </w:p>
    <w:p w14:paraId="61B944D6" w14:textId="1EE2A54F" w:rsidR="00564531" w:rsidRPr="00564531" w:rsidRDefault="00564531" w:rsidP="00564531">
      <w:pPr>
        <w:spacing w:line="240" w:lineRule="auto"/>
        <w:rPr>
          <w:rFonts w:eastAsia="Times New Roman" w:cs="Arial"/>
          <w:color w:val="000000"/>
          <w:u w:val="single"/>
          <w:lang w:eastAsia="bg-BG"/>
        </w:rPr>
      </w:pPr>
      <w:r w:rsidRPr="00564531">
        <w:rPr>
          <w:rFonts w:cs="Arial"/>
        </w:rPr>
        <w:t xml:space="preserve">А. </w:t>
      </w:r>
      <w:r w:rsidRPr="00564531">
        <w:rPr>
          <w:rFonts w:eastAsia="Times New Roman" w:cs="Arial"/>
          <w:color w:val="000000"/>
          <w:u w:val="single"/>
          <w:lang w:eastAsia="bg-BG"/>
        </w:rPr>
        <w:t>Симптоми на предозиране</w:t>
      </w:r>
    </w:p>
    <w:p w14:paraId="3B308407"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Токсичността на метотрексат засяга предимно хемопоетичната система</w:t>
      </w:r>
    </w:p>
    <w:p w14:paraId="434E1080" w14:textId="77777777" w:rsidR="00564531" w:rsidRPr="00564531" w:rsidRDefault="00564531" w:rsidP="00564531">
      <w:pPr>
        <w:spacing w:line="240" w:lineRule="auto"/>
        <w:rPr>
          <w:rFonts w:eastAsia="Times New Roman" w:cs="Arial"/>
        </w:rPr>
      </w:pPr>
    </w:p>
    <w:p w14:paraId="639F01B0" w14:textId="0FAD58E9" w:rsidR="00564531" w:rsidRPr="00564531" w:rsidRDefault="00564531" w:rsidP="00564531">
      <w:pPr>
        <w:spacing w:line="240" w:lineRule="auto"/>
        <w:rPr>
          <w:rFonts w:eastAsia="Times New Roman" w:cs="Arial"/>
        </w:rPr>
      </w:pPr>
      <w:r w:rsidRPr="00564531">
        <w:rPr>
          <w:rFonts w:eastAsia="Times New Roman" w:cs="Arial"/>
        </w:rPr>
        <w:t xml:space="preserve">Б. </w:t>
      </w:r>
      <w:r w:rsidRPr="00564531">
        <w:rPr>
          <w:rFonts w:eastAsia="Times New Roman" w:cs="Arial"/>
          <w:color w:val="000000"/>
          <w:u w:val="single"/>
          <w:lang w:eastAsia="bg-BG"/>
        </w:rPr>
        <w:t>Лечебни мерки при предозиране</w:t>
      </w:r>
    </w:p>
    <w:p w14:paraId="7C425127" w14:textId="77777777" w:rsidR="00564531" w:rsidRPr="00564531" w:rsidRDefault="00564531" w:rsidP="00564531">
      <w:pPr>
        <w:spacing w:line="240" w:lineRule="auto"/>
        <w:rPr>
          <w:rFonts w:eastAsia="Times New Roman" w:cs="Arial"/>
        </w:rPr>
      </w:pPr>
      <w:r w:rsidRPr="00564531">
        <w:rPr>
          <w:rFonts w:eastAsia="Times New Roman" w:cs="Arial"/>
          <w:color w:val="000000"/>
          <w:lang w:eastAsia="bg-BG"/>
        </w:rPr>
        <w:t>Калциевият фолинат е специфичен антидот за неутрализиране на токсичните нежелани ефекти на метотрексат.</w:t>
      </w:r>
    </w:p>
    <w:p w14:paraId="55EB1B67" w14:textId="77777777" w:rsidR="00564531" w:rsidRPr="00564531" w:rsidRDefault="00564531" w:rsidP="00564531">
      <w:pPr>
        <w:spacing w:line="240" w:lineRule="auto"/>
        <w:rPr>
          <w:rFonts w:eastAsia="Times New Roman" w:cs="Arial"/>
          <w:color w:val="000000"/>
          <w:lang w:eastAsia="bg-BG"/>
        </w:rPr>
      </w:pPr>
    </w:p>
    <w:p w14:paraId="173033B1" w14:textId="250BEF61" w:rsidR="00564531" w:rsidRPr="00564531" w:rsidRDefault="00564531" w:rsidP="00564531">
      <w:pPr>
        <w:spacing w:line="240" w:lineRule="auto"/>
        <w:rPr>
          <w:rFonts w:eastAsia="Times New Roman" w:cs="Arial"/>
        </w:rPr>
      </w:pPr>
      <w:r w:rsidRPr="00564531">
        <w:rPr>
          <w:rFonts w:eastAsia="Times New Roman" w:cs="Arial"/>
          <w:color w:val="000000"/>
          <w:lang w:eastAsia="bg-BG"/>
        </w:rPr>
        <w:t>При случайно предозиране трябва в рамките на един час да се приложи интравенозно или интрамускулно калциев фолинат в доза, която е равна или по-висока от превишената доза на метотрексат и приложението да продължи, докато серумните нива на метотрексат достигнат 10</w:t>
      </w:r>
      <w:r w:rsidRPr="00564531">
        <w:rPr>
          <w:rFonts w:eastAsia="Times New Roman" w:cs="Arial"/>
          <w:color w:val="000000"/>
          <w:vertAlign w:val="superscript"/>
          <w:lang w:eastAsia="bg-BG"/>
        </w:rPr>
        <w:t>-7</w:t>
      </w:r>
      <w:r w:rsidRPr="00564531">
        <w:rPr>
          <w:rFonts w:eastAsia="Times New Roman" w:cs="Arial"/>
          <w:color w:val="000000"/>
          <w:lang w:eastAsia="bg-BG"/>
        </w:rPr>
        <w:t xml:space="preserve"> </w:t>
      </w:r>
      <w:proofErr w:type="spellStart"/>
      <w:r w:rsidRPr="00564531">
        <w:rPr>
          <w:rFonts w:eastAsia="Times New Roman" w:cs="Arial"/>
          <w:color w:val="000000"/>
          <w:lang w:val="en-US"/>
        </w:rPr>
        <w:t>mol</w:t>
      </w:r>
      <w:proofErr w:type="spellEnd"/>
      <w:r w:rsidRPr="00564531">
        <w:rPr>
          <w:rFonts w:eastAsia="Times New Roman" w:cs="Arial"/>
          <w:color w:val="000000"/>
          <w:lang w:val="ru-RU"/>
        </w:rPr>
        <w:t>/</w:t>
      </w:r>
      <w:r w:rsidRPr="00564531">
        <w:rPr>
          <w:rFonts w:eastAsia="Times New Roman" w:cs="Arial"/>
          <w:color w:val="000000"/>
          <w:lang w:val="en-US"/>
        </w:rPr>
        <w:t>l</w:t>
      </w:r>
      <w:r w:rsidRPr="00564531">
        <w:rPr>
          <w:rFonts w:eastAsia="Times New Roman" w:cs="Arial"/>
          <w:color w:val="000000"/>
          <w:lang w:val="ru-RU"/>
        </w:rPr>
        <w:t>.</w:t>
      </w:r>
    </w:p>
    <w:p w14:paraId="058A487F" w14:textId="77777777" w:rsidR="00564531" w:rsidRPr="00564531" w:rsidRDefault="00564531" w:rsidP="00564531">
      <w:pPr>
        <w:spacing w:line="240" w:lineRule="auto"/>
        <w:rPr>
          <w:rFonts w:eastAsia="Times New Roman" w:cs="Arial"/>
          <w:color w:val="000000"/>
          <w:lang w:eastAsia="bg-BG"/>
        </w:rPr>
      </w:pPr>
    </w:p>
    <w:p w14:paraId="2F3BBDC8" w14:textId="21EC6924" w:rsidR="00564531" w:rsidRPr="00564531" w:rsidRDefault="00564531" w:rsidP="00564531">
      <w:pPr>
        <w:spacing w:line="240" w:lineRule="auto"/>
        <w:rPr>
          <w:rFonts w:eastAsia="Times New Roman" w:cs="Arial"/>
        </w:rPr>
      </w:pPr>
      <w:r w:rsidRPr="00564531">
        <w:rPr>
          <w:rFonts w:eastAsia="Times New Roman" w:cs="Arial"/>
          <w:color w:val="000000"/>
          <w:lang w:eastAsia="bg-BG"/>
        </w:rPr>
        <w:t>При масивно предозиране, може да са необходими хидратация и алкализиране на пикочните пътища, за да се предотврати отлагане на метотрексат и/или неговите метаболити в бъбречните каналчета. Доказано е, че нито хемодиализата, нито перитонеалната диализа подобряват елиминирането на метотрексат. За ефективно очистване на метотрексат се съобщава при използване на остра, интермитентна хемодиализа, използваща диализатор с висока пропускливост.</w:t>
      </w:r>
    </w:p>
    <w:p w14:paraId="014DCD9F" w14:textId="20D60CFA" w:rsidR="00564531" w:rsidRPr="00564531" w:rsidRDefault="00564531" w:rsidP="00564531"/>
    <w:p w14:paraId="02081B24" w14:textId="1F46E296" w:rsidR="00395555" w:rsidRPr="00395555" w:rsidRDefault="002C50EE" w:rsidP="008A6AF2">
      <w:pPr>
        <w:pStyle w:val="Heading1"/>
      </w:pPr>
      <w:r>
        <w:t>5. ФАРМАКОЛОГИЧНИ СВОЙСТВА</w:t>
      </w:r>
    </w:p>
    <w:p w14:paraId="32B6DE66" w14:textId="4B36AAD4" w:rsidR="00CF77F7" w:rsidRDefault="002C50EE" w:rsidP="004A448E">
      <w:pPr>
        <w:pStyle w:val="Heading2"/>
      </w:pPr>
      <w:r>
        <w:t>5.1. Фармакодинамични свойства</w:t>
      </w:r>
    </w:p>
    <w:p w14:paraId="0B445937" w14:textId="581F506C" w:rsidR="00564531" w:rsidRDefault="00564531" w:rsidP="00564531"/>
    <w:p w14:paraId="234D3CEF" w14:textId="77777777"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 xml:space="preserve">Фармакотерапевтична група: Антинеопластични и имуномодулиращи средства; имуносупресанти; други имуносупресанти, АТС код: </w:t>
      </w:r>
      <w:r w:rsidRPr="00564531">
        <w:rPr>
          <w:rFonts w:eastAsia="Times New Roman" w:cs="Arial"/>
          <w:color w:val="000000"/>
          <w:lang w:val="en-US"/>
        </w:rPr>
        <w:t>L</w:t>
      </w:r>
      <w:r w:rsidRPr="00564531">
        <w:rPr>
          <w:rFonts w:eastAsia="Times New Roman" w:cs="Arial"/>
          <w:color w:val="000000"/>
          <w:lang w:val="ru-RU"/>
        </w:rPr>
        <w:t>04</w:t>
      </w:r>
      <w:r w:rsidRPr="00564531">
        <w:rPr>
          <w:rFonts w:eastAsia="Times New Roman" w:cs="Arial"/>
          <w:color w:val="000000"/>
          <w:lang w:val="en-US"/>
        </w:rPr>
        <w:t>AX</w:t>
      </w:r>
      <w:r w:rsidRPr="00564531">
        <w:rPr>
          <w:rFonts w:eastAsia="Times New Roman" w:cs="Arial"/>
          <w:color w:val="000000"/>
          <w:lang w:val="ru-RU"/>
        </w:rPr>
        <w:t>03</w:t>
      </w:r>
    </w:p>
    <w:p w14:paraId="4BBF98BB" w14:textId="77777777" w:rsidR="00564531" w:rsidRPr="00564531" w:rsidRDefault="00564531" w:rsidP="00564531">
      <w:pPr>
        <w:spacing w:line="240" w:lineRule="auto"/>
        <w:rPr>
          <w:rFonts w:eastAsia="Times New Roman" w:cs="Arial"/>
          <w:color w:val="000000"/>
          <w:lang w:eastAsia="bg-BG"/>
        </w:rPr>
      </w:pPr>
    </w:p>
    <w:p w14:paraId="6527571E" w14:textId="65320A3C"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Антиревматичен лекарствен продукт за лечение на хронични, възпалителни ревматични заболявания и полиартритни форми на ювенилен идиопатичен артрит. Имуномодулиращо и противовъзпалително средство за лечението на болестта на Крон.</w:t>
      </w:r>
    </w:p>
    <w:p w14:paraId="51FCAAD2" w14:textId="77777777" w:rsidR="00564531" w:rsidRPr="00564531" w:rsidRDefault="00564531" w:rsidP="00564531">
      <w:pPr>
        <w:spacing w:line="240" w:lineRule="auto"/>
        <w:rPr>
          <w:rFonts w:eastAsia="Times New Roman" w:cs="Arial"/>
          <w:color w:val="000000"/>
          <w:u w:val="single"/>
          <w:lang w:eastAsia="bg-BG"/>
        </w:rPr>
      </w:pPr>
    </w:p>
    <w:p w14:paraId="31460E43" w14:textId="6E2D1146" w:rsidR="00564531" w:rsidRPr="00564531" w:rsidRDefault="00564531" w:rsidP="00564531">
      <w:pPr>
        <w:spacing w:line="240" w:lineRule="auto"/>
        <w:rPr>
          <w:rFonts w:eastAsia="Times New Roman" w:cs="Arial"/>
          <w:sz w:val="24"/>
          <w:szCs w:val="24"/>
        </w:rPr>
      </w:pPr>
      <w:r w:rsidRPr="00564531">
        <w:rPr>
          <w:rFonts w:eastAsia="Times New Roman" w:cs="Arial"/>
          <w:color w:val="000000"/>
          <w:u w:val="single"/>
          <w:lang w:eastAsia="bg-BG"/>
        </w:rPr>
        <w:t>Механизъм на действие</w:t>
      </w:r>
    </w:p>
    <w:p w14:paraId="679DFD8C" w14:textId="77777777"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Метотрексат е антагонист на фолиевата киселина, който принадлежи към клас цитотоксични средства, известни като антиметаболити. Той действа чрез конкурентно инхибиране на ензима дихидрофолат редуктаза и по този начин потиска синтеза на ДНК. Все още не е изяснено, дали ефикасността на метотрексат за лечението на псориазис, псориатичен артрит, хроничен полиартрит и болест на Крон се дължи на противовъзпалителен или имуносупресивен ефект и до каква степен индуцирането от метотрексат увеличение на екстрацелуларните аденозинови концентрации във възпалените места допринася за тези ефекти.</w:t>
      </w:r>
    </w:p>
    <w:p w14:paraId="6A119DB0" w14:textId="77777777" w:rsidR="00564531" w:rsidRPr="00564531" w:rsidRDefault="00564531" w:rsidP="00564531">
      <w:pPr>
        <w:spacing w:line="240" w:lineRule="auto"/>
        <w:rPr>
          <w:rFonts w:eastAsia="Times New Roman" w:cs="Arial"/>
          <w:color w:val="000000"/>
          <w:lang w:eastAsia="bg-BG"/>
        </w:rPr>
      </w:pPr>
    </w:p>
    <w:p w14:paraId="3314E290" w14:textId="41941C61"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 xml:space="preserve">Международни клинични препоръки отразяват употребата на метотрексат като средство на втори избор за пациенти с болест на Крон, които имат непоносимост или не са успели да се повлияят от имуномодулатори от първа линия, като азатиоприн </w:t>
      </w:r>
      <w:r w:rsidRPr="00564531">
        <w:rPr>
          <w:rFonts w:eastAsia="Times New Roman" w:cs="Arial"/>
          <w:color w:val="000000"/>
          <w:lang w:val="ru-RU"/>
        </w:rPr>
        <w:t>(</w:t>
      </w:r>
      <w:r w:rsidRPr="00564531">
        <w:rPr>
          <w:rFonts w:eastAsia="Times New Roman" w:cs="Arial"/>
          <w:color w:val="000000"/>
          <w:lang w:val="en-US"/>
        </w:rPr>
        <w:t>AZA</w:t>
      </w:r>
      <w:r w:rsidRPr="00564531">
        <w:rPr>
          <w:rFonts w:eastAsia="Times New Roman" w:cs="Arial"/>
          <w:color w:val="000000"/>
          <w:lang w:val="ru-RU"/>
        </w:rPr>
        <w:t xml:space="preserve">) </w:t>
      </w:r>
      <w:r w:rsidRPr="00564531">
        <w:rPr>
          <w:rFonts w:eastAsia="Times New Roman" w:cs="Arial"/>
          <w:color w:val="000000"/>
          <w:lang w:eastAsia="bg-BG"/>
        </w:rPr>
        <w:t>или 6-меркаптопурин (6-МР).</w:t>
      </w:r>
    </w:p>
    <w:p w14:paraId="1EFBEBDC" w14:textId="77777777" w:rsidR="00564531" w:rsidRPr="00564531" w:rsidRDefault="00564531" w:rsidP="00564531">
      <w:pPr>
        <w:spacing w:line="240" w:lineRule="auto"/>
        <w:rPr>
          <w:rFonts w:eastAsia="Times New Roman" w:cs="Arial"/>
          <w:color w:val="000000"/>
          <w:lang w:eastAsia="bg-BG"/>
        </w:rPr>
      </w:pPr>
    </w:p>
    <w:p w14:paraId="43448E12" w14:textId="380B27A0"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Нежеланите събития, наблюдавани в изследванията, проведени с метотрексат при болест на Крон с използване на кумулативни дози, не са показали различен профил на безопасност на метотрексат, в сравнение с вече установения профил. По тази причина, при използването на метотрексат за лечение на болестта на Крон е необходимо по същия начин да се обърне повишено внимание, както и при другите ревматични и неревматични показания за метотрексат (вж. точки 4.4 и 4.6).</w:t>
      </w:r>
    </w:p>
    <w:p w14:paraId="445D16FA" w14:textId="77777777" w:rsidR="00564531" w:rsidRPr="00564531" w:rsidRDefault="00564531" w:rsidP="00564531"/>
    <w:p w14:paraId="35F84B81" w14:textId="2600F7EF" w:rsidR="00CF77F7" w:rsidRDefault="002C50EE" w:rsidP="004A448E">
      <w:pPr>
        <w:pStyle w:val="Heading2"/>
      </w:pPr>
      <w:r>
        <w:t>5.2. Фармакокинетични свойства</w:t>
      </w:r>
    </w:p>
    <w:p w14:paraId="0E3453E9" w14:textId="0883BB15" w:rsidR="00564531" w:rsidRDefault="00564531" w:rsidP="00564531"/>
    <w:p w14:paraId="29116AFF" w14:textId="77777777" w:rsidR="00564531" w:rsidRPr="00564531" w:rsidRDefault="00564531" w:rsidP="00564531">
      <w:pPr>
        <w:pStyle w:val="Heading3"/>
        <w:rPr>
          <w:rFonts w:eastAsia="Times New Roman"/>
          <w:u w:val="single"/>
        </w:rPr>
      </w:pPr>
      <w:r w:rsidRPr="00564531">
        <w:rPr>
          <w:rFonts w:eastAsia="Times New Roman"/>
          <w:u w:val="single"/>
          <w:lang w:eastAsia="bg-BG"/>
        </w:rPr>
        <w:t>Абсорбция</w:t>
      </w:r>
    </w:p>
    <w:p w14:paraId="1C4273C2" w14:textId="77777777"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Бионаличностга при подкожно, интравенозно и интрамускулно инжектиране е сравнима и почти 100%.</w:t>
      </w:r>
    </w:p>
    <w:p w14:paraId="7FB4004E" w14:textId="77777777" w:rsidR="00564531" w:rsidRPr="00564531" w:rsidRDefault="00564531" w:rsidP="00564531">
      <w:pPr>
        <w:spacing w:line="240" w:lineRule="auto"/>
        <w:rPr>
          <w:rFonts w:eastAsia="Times New Roman" w:cs="Arial"/>
          <w:color w:val="000000"/>
          <w:u w:val="single"/>
          <w:lang w:eastAsia="bg-BG"/>
        </w:rPr>
      </w:pPr>
    </w:p>
    <w:p w14:paraId="3C5F9904" w14:textId="5A440D03" w:rsidR="00564531" w:rsidRPr="00564531" w:rsidRDefault="00564531" w:rsidP="00564531">
      <w:pPr>
        <w:pStyle w:val="Heading3"/>
        <w:rPr>
          <w:rFonts w:eastAsia="Times New Roman"/>
          <w:u w:val="single"/>
        </w:rPr>
      </w:pPr>
      <w:r w:rsidRPr="00564531">
        <w:rPr>
          <w:rFonts w:eastAsia="Times New Roman"/>
          <w:u w:val="single"/>
          <w:lang w:eastAsia="bg-BG"/>
        </w:rPr>
        <w:t>Разпределение</w:t>
      </w:r>
    </w:p>
    <w:p w14:paraId="3A7E097E" w14:textId="77777777"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Приблизително 50% от метотрексат се свързват с плазмените протеини. След разпределяне в</w:t>
      </w:r>
    </w:p>
    <w:p w14:paraId="103EF4DA" w14:textId="77777777"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тъканите на организма, особено в черния дроб, бъбреците и далака, се откриват високи</w:t>
      </w:r>
    </w:p>
    <w:p w14:paraId="537A84FD" w14:textId="77777777"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концентрации под формата на полиглутамати, които могат да се съхраняват в продължение на седмици или месеци. Когато се прилага в ниски дози, метотрексат преминава в цереброспиналната течност в минимални количества.</w:t>
      </w:r>
    </w:p>
    <w:p w14:paraId="46C3DF53" w14:textId="77777777" w:rsidR="00564531" w:rsidRPr="00564531" w:rsidRDefault="00564531" w:rsidP="00564531">
      <w:pPr>
        <w:spacing w:line="240" w:lineRule="auto"/>
        <w:rPr>
          <w:rFonts w:eastAsia="Times New Roman" w:cs="Arial"/>
          <w:color w:val="000000"/>
          <w:u w:val="single"/>
          <w:lang w:eastAsia="bg-BG"/>
        </w:rPr>
      </w:pPr>
    </w:p>
    <w:p w14:paraId="1E4CB847" w14:textId="43A5B2A9" w:rsidR="00564531" w:rsidRPr="00564531" w:rsidRDefault="00564531" w:rsidP="00564531">
      <w:pPr>
        <w:pStyle w:val="Heading3"/>
        <w:rPr>
          <w:rFonts w:eastAsia="Times New Roman"/>
          <w:u w:val="single"/>
        </w:rPr>
      </w:pPr>
      <w:r w:rsidRPr="00564531">
        <w:rPr>
          <w:rFonts w:eastAsia="Times New Roman"/>
          <w:u w:val="single"/>
          <w:lang w:eastAsia="bg-BG"/>
        </w:rPr>
        <w:lastRenderedPageBreak/>
        <w:t>Биотрансформация</w:t>
      </w:r>
    </w:p>
    <w:p w14:paraId="00463185" w14:textId="77777777"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Приблизително 10% от приложената доза на метотрексат се метаболизира интрахепатално.</w:t>
      </w:r>
    </w:p>
    <w:p w14:paraId="1FE677DC" w14:textId="77777777"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Основният метаболит е 7-хидроксиметотрексат.</w:t>
      </w:r>
    </w:p>
    <w:p w14:paraId="42F8832D" w14:textId="77777777" w:rsidR="00564531" w:rsidRPr="00564531" w:rsidRDefault="00564531" w:rsidP="00564531">
      <w:pPr>
        <w:spacing w:line="240" w:lineRule="auto"/>
        <w:rPr>
          <w:rFonts w:eastAsia="Times New Roman" w:cs="Arial"/>
          <w:color w:val="000000"/>
          <w:u w:val="single"/>
          <w:lang w:eastAsia="bg-BG"/>
        </w:rPr>
      </w:pPr>
    </w:p>
    <w:p w14:paraId="679103C5" w14:textId="635B5C80" w:rsidR="00564531" w:rsidRPr="00564531" w:rsidRDefault="00564531" w:rsidP="00564531">
      <w:pPr>
        <w:pStyle w:val="Heading3"/>
        <w:rPr>
          <w:rFonts w:eastAsia="Times New Roman"/>
          <w:u w:val="single"/>
        </w:rPr>
      </w:pPr>
      <w:r w:rsidRPr="00564531">
        <w:rPr>
          <w:rFonts w:eastAsia="Times New Roman"/>
          <w:u w:val="single"/>
          <w:lang w:eastAsia="bg-BG"/>
        </w:rPr>
        <w:t>Елиминиране</w:t>
      </w:r>
    </w:p>
    <w:p w14:paraId="414A846B" w14:textId="77777777"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Екскрецията, предимно на непроменената форма, се извършва основно през бъбреците чрез гломерулна филтрация и активна секреция в проксималните тубули.</w:t>
      </w:r>
    </w:p>
    <w:p w14:paraId="62C6CD44" w14:textId="77777777"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Приблизително 5 - 20% метотрексат и 1 - 5% 7-хидроксиметотрексат се елиминират чрез жлъчката. Съществува изразена ентерохепатална циркулация.</w:t>
      </w:r>
    </w:p>
    <w:p w14:paraId="232B0689" w14:textId="77777777" w:rsidR="00564531" w:rsidRPr="00564531" w:rsidRDefault="00564531" w:rsidP="00564531">
      <w:pPr>
        <w:spacing w:line="240" w:lineRule="auto"/>
        <w:rPr>
          <w:rFonts w:eastAsia="Times New Roman" w:cs="Arial"/>
          <w:color w:val="000000"/>
          <w:lang w:eastAsia="bg-BG"/>
        </w:rPr>
      </w:pPr>
    </w:p>
    <w:p w14:paraId="7FBDA615" w14:textId="52CD25AC"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Терминалният полуживот е средно по 6-7 часа и показва значителни различия (3-17 часа). Времето на полуживот може да бъде удължено до 4 пъти над нормалната продължителност при пациенти, които имат трето пространство на разпределение (плеврален излив, асцит).</w:t>
      </w:r>
    </w:p>
    <w:p w14:paraId="42C0DDC9" w14:textId="77777777" w:rsidR="00564531" w:rsidRPr="00564531" w:rsidRDefault="00564531" w:rsidP="00564531">
      <w:pPr>
        <w:spacing w:line="240" w:lineRule="auto"/>
        <w:rPr>
          <w:rFonts w:eastAsia="Times New Roman" w:cs="Arial"/>
          <w:i/>
          <w:iCs/>
          <w:color w:val="000000"/>
          <w:lang w:eastAsia="bg-BG"/>
        </w:rPr>
      </w:pPr>
    </w:p>
    <w:p w14:paraId="2999618D" w14:textId="44A68172" w:rsidR="00564531" w:rsidRPr="00564531" w:rsidRDefault="00564531" w:rsidP="00564531">
      <w:pPr>
        <w:spacing w:line="240" w:lineRule="auto"/>
        <w:rPr>
          <w:rFonts w:eastAsia="Times New Roman" w:cs="Arial"/>
          <w:sz w:val="24"/>
          <w:szCs w:val="24"/>
        </w:rPr>
      </w:pPr>
      <w:r w:rsidRPr="00564531">
        <w:rPr>
          <w:rFonts w:eastAsia="Times New Roman" w:cs="Arial"/>
          <w:i/>
          <w:iCs/>
          <w:color w:val="000000"/>
          <w:lang w:eastAsia="bg-BG"/>
        </w:rPr>
        <w:t>Специални популации</w:t>
      </w:r>
    </w:p>
    <w:p w14:paraId="7C4023AE" w14:textId="77777777"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В случай на бъбречно увреждане, елиминирането се забавя значително. Не е известно нарушено елиминиране, свързано с чернодробно увреждане.</w:t>
      </w:r>
    </w:p>
    <w:p w14:paraId="40ACD943" w14:textId="77777777" w:rsidR="00564531" w:rsidRPr="00564531" w:rsidRDefault="00564531" w:rsidP="00564531"/>
    <w:p w14:paraId="648E39DA" w14:textId="7F3DF09C" w:rsidR="00CF77F7" w:rsidRDefault="002C50EE" w:rsidP="004A448E">
      <w:pPr>
        <w:pStyle w:val="Heading2"/>
      </w:pPr>
      <w:r>
        <w:t>5.3. Предклинични данни за безопасност</w:t>
      </w:r>
    </w:p>
    <w:p w14:paraId="06449D17" w14:textId="114B3E1F" w:rsidR="00564531" w:rsidRDefault="00564531" w:rsidP="00564531"/>
    <w:p w14:paraId="03693D81" w14:textId="77777777" w:rsidR="00564531" w:rsidRPr="00564531" w:rsidRDefault="00564531" w:rsidP="00564531">
      <w:pPr>
        <w:spacing w:line="240" w:lineRule="auto"/>
        <w:rPr>
          <w:rFonts w:eastAsia="Times New Roman" w:cs="Arial"/>
          <w:sz w:val="24"/>
          <w:szCs w:val="24"/>
        </w:rPr>
      </w:pPr>
      <w:r w:rsidRPr="00564531">
        <w:rPr>
          <w:rFonts w:eastAsia="Times New Roman" w:cs="Arial"/>
          <w:color w:val="000000"/>
          <w:u w:val="single"/>
          <w:lang w:eastAsia="bg-BG"/>
        </w:rPr>
        <w:t>Хронична токсичност</w:t>
      </w:r>
    </w:p>
    <w:p w14:paraId="77693741" w14:textId="77777777"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При проучвания за хроничната токсичност, проведени върху мишки, плъхове и кучета са наблюдавани токсични ефекти под формата на гастроинтестинални лезии, миелосупресия и хепатотоксичност.</w:t>
      </w:r>
    </w:p>
    <w:p w14:paraId="78D2DE52" w14:textId="77777777" w:rsidR="00564531" w:rsidRPr="00564531" w:rsidRDefault="00564531" w:rsidP="00564531">
      <w:pPr>
        <w:spacing w:line="240" w:lineRule="auto"/>
        <w:rPr>
          <w:rFonts w:eastAsia="Times New Roman" w:cs="Arial"/>
          <w:color w:val="000000"/>
          <w:u w:val="single"/>
          <w:lang w:eastAsia="bg-BG"/>
        </w:rPr>
      </w:pPr>
    </w:p>
    <w:p w14:paraId="1A79BE10" w14:textId="2887B260" w:rsidR="00564531" w:rsidRPr="00564531" w:rsidRDefault="00564531" w:rsidP="00564531">
      <w:pPr>
        <w:spacing w:line="240" w:lineRule="auto"/>
        <w:rPr>
          <w:rFonts w:eastAsia="Times New Roman" w:cs="Arial"/>
          <w:sz w:val="24"/>
          <w:szCs w:val="24"/>
        </w:rPr>
      </w:pPr>
      <w:r w:rsidRPr="00564531">
        <w:rPr>
          <w:rFonts w:eastAsia="Times New Roman" w:cs="Arial"/>
          <w:color w:val="000000"/>
          <w:u w:val="single"/>
          <w:lang w:eastAsia="bg-BG"/>
        </w:rPr>
        <w:t>Мутагенен и канцерогенен потенциал</w:t>
      </w:r>
    </w:p>
    <w:p w14:paraId="4B7D329F" w14:textId="77777777"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 xml:space="preserve">Дългосрочни проучвания при плъхове, мишки и хамстери не предоставят доказателства за туморогенен потенциал на метотрексат. Метотрексат предизвиква гении и хромозомни мутации както </w:t>
      </w:r>
      <w:r w:rsidRPr="00564531">
        <w:rPr>
          <w:rFonts w:eastAsia="Times New Roman" w:cs="Arial"/>
          <w:i/>
          <w:iCs/>
          <w:color w:val="000000"/>
          <w:lang w:val="en-US"/>
        </w:rPr>
        <w:t>in</w:t>
      </w:r>
      <w:r w:rsidRPr="00564531">
        <w:rPr>
          <w:rFonts w:eastAsia="Times New Roman" w:cs="Arial"/>
          <w:i/>
          <w:iCs/>
          <w:color w:val="000000"/>
          <w:lang w:val="ru-RU"/>
        </w:rPr>
        <w:t xml:space="preserve"> </w:t>
      </w:r>
      <w:r w:rsidRPr="00564531">
        <w:rPr>
          <w:rFonts w:eastAsia="Times New Roman" w:cs="Arial"/>
          <w:i/>
          <w:iCs/>
          <w:color w:val="000000"/>
          <w:lang w:val="en-US"/>
        </w:rPr>
        <w:t>vitro</w:t>
      </w:r>
      <w:r w:rsidRPr="00564531">
        <w:rPr>
          <w:rFonts w:eastAsia="Times New Roman" w:cs="Arial"/>
          <w:i/>
          <w:iCs/>
          <w:color w:val="000000"/>
          <w:lang w:val="ru-RU"/>
        </w:rPr>
        <w:t>,</w:t>
      </w:r>
      <w:r w:rsidRPr="00564531">
        <w:rPr>
          <w:rFonts w:eastAsia="Times New Roman" w:cs="Arial"/>
          <w:color w:val="000000"/>
          <w:lang w:val="ru-RU"/>
        </w:rPr>
        <w:t xml:space="preserve"> </w:t>
      </w:r>
      <w:r w:rsidRPr="00564531">
        <w:rPr>
          <w:rFonts w:eastAsia="Times New Roman" w:cs="Arial"/>
          <w:color w:val="000000"/>
          <w:lang w:eastAsia="bg-BG"/>
        </w:rPr>
        <w:t xml:space="preserve">така и </w:t>
      </w:r>
      <w:r w:rsidRPr="00564531">
        <w:rPr>
          <w:rFonts w:eastAsia="Times New Roman" w:cs="Arial"/>
          <w:i/>
          <w:iCs/>
          <w:color w:val="000000"/>
          <w:lang w:val="en-US"/>
        </w:rPr>
        <w:t>in</w:t>
      </w:r>
      <w:r w:rsidRPr="00564531">
        <w:rPr>
          <w:rFonts w:eastAsia="Times New Roman" w:cs="Arial"/>
          <w:i/>
          <w:iCs/>
          <w:color w:val="000000"/>
          <w:lang w:val="ru-RU"/>
        </w:rPr>
        <w:t xml:space="preserve"> </w:t>
      </w:r>
      <w:r w:rsidRPr="00564531">
        <w:rPr>
          <w:rFonts w:eastAsia="Times New Roman" w:cs="Arial"/>
          <w:i/>
          <w:iCs/>
          <w:color w:val="000000"/>
          <w:lang w:val="en-US"/>
        </w:rPr>
        <w:t>vivo</w:t>
      </w:r>
      <w:r w:rsidRPr="00564531">
        <w:rPr>
          <w:rFonts w:eastAsia="Times New Roman" w:cs="Arial"/>
          <w:i/>
          <w:iCs/>
          <w:color w:val="000000"/>
          <w:lang w:val="ru-RU"/>
        </w:rPr>
        <w:t>.</w:t>
      </w:r>
      <w:r w:rsidRPr="00564531">
        <w:rPr>
          <w:rFonts w:eastAsia="Times New Roman" w:cs="Arial"/>
          <w:color w:val="000000"/>
          <w:lang w:val="ru-RU"/>
        </w:rPr>
        <w:t xml:space="preserve"> </w:t>
      </w:r>
      <w:r w:rsidRPr="00564531">
        <w:rPr>
          <w:rFonts w:eastAsia="Times New Roman" w:cs="Arial"/>
          <w:color w:val="000000"/>
          <w:lang w:eastAsia="bg-BG"/>
        </w:rPr>
        <w:t>При хора се подозира мутагенен ефект.</w:t>
      </w:r>
    </w:p>
    <w:p w14:paraId="456AAD50" w14:textId="77777777" w:rsidR="00564531" w:rsidRPr="00564531" w:rsidRDefault="00564531" w:rsidP="00564531">
      <w:pPr>
        <w:spacing w:line="240" w:lineRule="auto"/>
        <w:rPr>
          <w:rFonts w:eastAsia="Times New Roman" w:cs="Arial"/>
          <w:color w:val="000000"/>
          <w:u w:val="single"/>
          <w:lang w:eastAsia="bg-BG"/>
        </w:rPr>
      </w:pPr>
    </w:p>
    <w:p w14:paraId="1D0BCA31" w14:textId="24F77C5C" w:rsidR="00564531" w:rsidRPr="00564531" w:rsidRDefault="00564531" w:rsidP="00564531">
      <w:pPr>
        <w:spacing w:line="240" w:lineRule="auto"/>
        <w:rPr>
          <w:rFonts w:eastAsia="Times New Roman" w:cs="Arial"/>
          <w:sz w:val="24"/>
          <w:szCs w:val="24"/>
        </w:rPr>
      </w:pPr>
      <w:r w:rsidRPr="00564531">
        <w:rPr>
          <w:rFonts w:eastAsia="Times New Roman" w:cs="Arial"/>
          <w:color w:val="000000"/>
          <w:u w:val="single"/>
          <w:lang w:eastAsia="bg-BG"/>
        </w:rPr>
        <w:t>Репродуктивна токсичност</w:t>
      </w:r>
    </w:p>
    <w:p w14:paraId="685877C4" w14:textId="77777777" w:rsidR="00564531" w:rsidRPr="00564531" w:rsidRDefault="00564531" w:rsidP="00564531">
      <w:pPr>
        <w:spacing w:line="240" w:lineRule="auto"/>
        <w:rPr>
          <w:rFonts w:eastAsia="Times New Roman" w:cs="Arial"/>
          <w:sz w:val="24"/>
          <w:szCs w:val="24"/>
        </w:rPr>
      </w:pPr>
      <w:r w:rsidRPr="00564531">
        <w:rPr>
          <w:rFonts w:eastAsia="Times New Roman" w:cs="Arial"/>
          <w:color w:val="000000"/>
          <w:lang w:eastAsia="bg-BG"/>
        </w:rPr>
        <w:t>Установени са тератогенни ефекти при четири вида (плъхове, мишки, зайци, котки). При резус макаци не са настъпили малформации, сравними с тези при хора.</w:t>
      </w:r>
    </w:p>
    <w:p w14:paraId="0E9AD8AC" w14:textId="77777777" w:rsidR="00564531" w:rsidRPr="00564531" w:rsidRDefault="00564531" w:rsidP="00564531"/>
    <w:p w14:paraId="6A7820AB" w14:textId="3CE071D8" w:rsidR="008A6AF2" w:rsidRDefault="002C50EE" w:rsidP="00395555">
      <w:pPr>
        <w:pStyle w:val="Heading1"/>
      </w:pPr>
      <w:r>
        <w:t>7. ПРИТЕЖАТЕЛ НА РАЗРЕШЕНИЕТО ЗА УПОТРЕБА</w:t>
      </w:r>
    </w:p>
    <w:p w14:paraId="097C3C78" w14:textId="3CB74F0D" w:rsidR="00564531" w:rsidRDefault="00564531" w:rsidP="00564531"/>
    <w:p w14:paraId="2E832831" w14:textId="77777777" w:rsidR="00564531" w:rsidRPr="00564531" w:rsidRDefault="00564531" w:rsidP="00564531">
      <w:pPr>
        <w:rPr>
          <w:sz w:val="24"/>
          <w:szCs w:val="24"/>
          <w:lang w:val="en-US"/>
        </w:rPr>
      </w:pPr>
      <w:r w:rsidRPr="00564531">
        <w:rPr>
          <w:lang w:val="en-US"/>
        </w:rPr>
        <w:t xml:space="preserve">Actavis Group PTC </w:t>
      </w:r>
      <w:proofErr w:type="spellStart"/>
      <w:proofErr w:type="gramStart"/>
      <w:r w:rsidRPr="00564531">
        <w:rPr>
          <w:lang w:val="en-US"/>
        </w:rPr>
        <w:t>ehf</w:t>
      </w:r>
      <w:proofErr w:type="spellEnd"/>
      <w:proofErr w:type="gramEnd"/>
      <w:r w:rsidRPr="00564531">
        <w:rPr>
          <w:lang w:val="en-US"/>
        </w:rPr>
        <w:t>.</w:t>
      </w:r>
    </w:p>
    <w:p w14:paraId="78A99F0A" w14:textId="77777777" w:rsidR="00564531" w:rsidRPr="00564531" w:rsidRDefault="00564531" w:rsidP="00564531">
      <w:pPr>
        <w:rPr>
          <w:sz w:val="24"/>
          <w:szCs w:val="24"/>
          <w:lang w:val="en-US"/>
        </w:rPr>
      </w:pPr>
      <w:proofErr w:type="spellStart"/>
      <w:r w:rsidRPr="00564531">
        <w:rPr>
          <w:lang w:val="en-US"/>
        </w:rPr>
        <w:t>Reykjavikurvegi</w:t>
      </w:r>
      <w:proofErr w:type="spellEnd"/>
      <w:r w:rsidRPr="00564531">
        <w:rPr>
          <w:lang w:val="en-US"/>
        </w:rPr>
        <w:t xml:space="preserve"> 76-78</w:t>
      </w:r>
    </w:p>
    <w:p w14:paraId="1E473F2B" w14:textId="77777777" w:rsidR="00564531" w:rsidRPr="00564531" w:rsidRDefault="00564531" w:rsidP="00564531">
      <w:pPr>
        <w:rPr>
          <w:sz w:val="24"/>
          <w:szCs w:val="24"/>
          <w:lang w:val="ru-RU"/>
        </w:rPr>
      </w:pPr>
      <w:r w:rsidRPr="00564531">
        <w:rPr>
          <w:lang w:val="ru-RU"/>
        </w:rPr>
        <w:t xml:space="preserve">220 </w:t>
      </w:r>
      <w:proofErr w:type="spellStart"/>
      <w:r w:rsidRPr="00564531">
        <w:rPr>
          <w:lang w:val="en-US"/>
        </w:rPr>
        <w:t>Hafnarfjordur</w:t>
      </w:r>
      <w:proofErr w:type="spellEnd"/>
    </w:p>
    <w:p w14:paraId="5F608435" w14:textId="2E4F03E7" w:rsidR="00564531" w:rsidRPr="00564531" w:rsidRDefault="00564531" w:rsidP="00564531">
      <w:pPr>
        <w:rPr>
          <w:lang w:val="ru-RU"/>
        </w:rPr>
      </w:pPr>
      <w:r w:rsidRPr="00564531">
        <w:rPr>
          <w:lang w:eastAsia="bg-BG"/>
        </w:rPr>
        <w:t>Исландия</w:t>
      </w:r>
    </w:p>
    <w:p w14:paraId="7BA1BA64" w14:textId="28557FFF" w:rsidR="00CF77F7" w:rsidRDefault="002C50EE" w:rsidP="004A448E">
      <w:pPr>
        <w:pStyle w:val="Heading1"/>
      </w:pPr>
      <w:r>
        <w:t>8. НОМЕР НА РАЗРЕШЕНИЕТО ЗА УПОТРЕБА</w:t>
      </w:r>
    </w:p>
    <w:p w14:paraId="731C339F" w14:textId="30603820" w:rsidR="00564531" w:rsidRDefault="00564531" w:rsidP="00564531"/>
    <w:p w14:paraId="74C559CE" w14:textId="77777777" w:rsidR="00564531" w:rsidRPr="00564531" w:rsidRDefault="00564531" w:rsidP="00564531">
      <w:pPr>
        <w:rPr>
          <w:sz w:val="24"/>
          <w:szCs w:val="24"/>
        </w:rPr>
      </w:pPr>
      <w:r w:rsidRPr="00564531">
        <w:rPr>
          <w:lang w:eastAsia="bg-BG"/>
        </w:rPr>
        <w:t xml:space="preserve">Намаксир 2,5 </w:t>
      </w:r>
      <w:r w:rsidRPr="00564531">
        <w:rPr>
          <w:lang w:val="en-US"/>
        </w:rPr>
        <w:t>mg</w:t>
      </w:r>
      <w:r w:rsidRPr="00564531">
        <w:t xml:space="preserve"> </w:t>
      </w:r>
      <w:r w:rsidRPr="00564531">
        <w:rPr>
          <w:lang w:eastAsia="bg-BG"/>
        </w:rPr>
        <w:t xml:space="preserve">- </w:t>
      </w:r>
      <w:r w:rsidRPr="00564531">
        <w:rPr>
          <w:lang w:val="en-US"/>
        </w:rPr>
        <w:t>per</w:t>
      </w:r>
      <w:r w:rsidRPr="00564531">
        <w:t xml:space="preserve">. </w:t>
      </w:r>
      <w:r w:rsidRPr="00564531">
        <w:rPr>
          <w:lang w:eastAsia="bg-BG"/>
        </w:rPr>
        <w:t>№ 20160190</w:t>
      </w:r>
    </w:p>
    <w:p w14:paraId="5213293F" w14:textId="77777777" w:rsidR="00564531" w:rsidRPr="00564531" w:rsidRDefault="00564531" w:rsidP="00564531">
      <w:pPr>
        <w:rPr>
          <w:sz w:val="24"/>
          <w:szCs w:val="24"/>
          <w:lang w:val="ru-RU"/>
        </w:rPr>
      </w:pPr>
      <w:r w:rsidRPr="00564531">
        <w:rPr>
          <w:lang w:eastAsia="bg-BG"/>
        </w:rPr>
        <w:t xml:space="preserve">Намаксир 7,5 </w:t>
      </w:r>
      <w:r w:rsidRPr="00564531">
        <w:rPr>
          <w:lang w:val="en-US"/>
        </w:rPr>
        <w:t>mg</w:t>
      </w:r>
      <w:r w:rsidRPr="00564531">
        <w:t xml:space="preserve"> </w:t>
      </w:r>
      <w:r w:rsidRPr="00564531">
        <w:rPr>
          <w:lang w:eastAsia="bg-BG"/>
        </w:rPr>
        <w:t xml:space="preserve">- </w:t>
      </w:r>
      <w:r w:rsidRPr="00564531">
        <w:rPr>
          <w:lang w:val="en-US"/>
        </w:rPr>
        <w:t>per</w:t>
      </w:r>
      <w:r w:rsidRPr="00564531">
        <w:t xml:space="preserve">. </w:t>
      </w:r>
      <w:r w:rsidRPr="00564531">
        <w:rPr>
          <w:lang w:val="ru-RU"/>
        </w:rPr>
        <w:t>№ 20160191</w:t>
      </w:r>
    </w:p>
    <w:p w14:paraId="44224801" w14:textId="77777777" w:rsidR="00564531" w:rsidRPr="00564531" w:rsidRDefault="00564531" w:rsidP="00564531">
      <w:pPr>
        <w:rPr>
          <w:sz w:val="24"/>
          <w:szCs w:val="24"/>
          <w:lang w:val="ru-RU"/>
        </w:rPr>
      </w:pPr>
      <w:r w:rsidRPr="00564531">
        <w:rPr>
          <w:lang w:eastAsia="bg-BG"/>
        </w:rPr>
        <w:lastRenderedPageBreak/>
        <w:t xml:space="preserve">Намаксир </w:t>
      </w:r>
      <w:r w:rsidRPr="00564531">
        <w:rPr>
          <w:lang w:val="ru-RU"/>
        </w:rPr>
        <w:t xml:space="preserve">10 </w:t>
      </w:r>
      <w:r w:rsidRPr="00564531">
        <w:rPr>
          <w:lang w:val="en-US"/>
        </w:rPr>
        <w:t>mg</w:t>
      </w:r>
      <w:r w:rsidRPr="00564531">
        <w:rPr>
          <w:lang w:val="ru-RU"/>
        </w:rPr>
        <w:t xml:space="preserve"> - </w:t>
      </w:r>
      <w:r w:rsidRPr="00564531">
        <w:rPr>
          <w:lang w:val="en-US"/>
        </w:rPr>
        <w:t>per</w:t>
      </w:r>
      <w:r w:rsidRPr="00564531">
        <w:rPr>
          <w:lang w:val="ru-RU"/>
        </w:rPr>
        <w:t>. № 20160192</w:t>
      </w:r>
    </w:p>
    <w:p w14:paraId="7655EA94" w14:textId="72311A56" w:rsidR="00564531" w:rsidRPr="00564531" w:rsidRDefault="00564531" w:rsidP="00564531">
      <w:pPr>
        <w:rPr>
          <w:lang w:val="ru-RU"/>
        </w:rPr>
      </w:pPr>
      <w:r w:rsidRPr="00564531">
        <w:rPr>
          <w:lang w:eastAsia="bg-BG"/>
        </w:rPr>
        <w:t xml:space="preserve">Намаксир </w:t>
      </w:r>
      <w:r w:rsidRPr="00564531">
        <w:rPr>
          <w:lang w:val="ru-RU"/>
        </w:rPr>
        <w:t xml:space="preserve">15 </w:t>
      </w:r>
      <w:r w:rsidRPr="00564531">
        <w:rPr>
          <w:lang w:val="en-US"/>
        </w:rPr>
        <w:t>mg</w:t>
      </w:r>
      <w:r w:rsidRPr="00564531">
        <w:rPr>
          <w:lang w:val="ru-RU"/>
        </w:rPr>
        <w:t xml:space="preserve"> - </w:t>
      </w:r>
      <w:r w:rsidRPr="00564531">
        <w:rPr>
          <w:lang w:val="en-US"/>
        </w:rPr>
        <w:t>per</w:t>
      </w:r>
      <w:r w:rsidRPr="00564531">
        <w:rPr>
          <w:lang w:val="ru-RU"/>
        </w:rPr>
        <w:t>. № 20160193</w:t>
      </w:r>
    </w:p>
    <w:p w14:paraId="2CCB5832" w14:textId="60CC5C7C" w:rsidR="007C605B" w:rsidRDefault="002C50EE" w:rsidP="007C605B">
      <w:pPr>
        <w:pStyle w:val="Heading1"/>
      </w:pPr>
      <w:r>
        <w:t>9. ДАТА НА ПЪРВО РАЗРЕШАВАНЕ/ПОДНОВЯВАНЕ НА РАЗРЕШЕНИЕТО ЗА УПОТРЕБА</w:t>
      </w:r>
    </w:p>
    <w:p w14:paraId="1B04FC02" w14:textId="29448EFA" w:rsidR="00564531" w:rsidRDefault="00564531" w:rsidP="00564531"/>
    <w:p w14:paraId="70430616" w14:textId="77777777" w:rsidR="00564531" w:rsidRPr="00564531" w:rsidRDefault="00564531" w:rsidP="00564531">
      <w:pPr>
        <w:rPr>
          <w:sz w:val="24"/>
          <w:szCs w:val="24"/>
        </w:rPr>
      </w:pPr>
      <w:r w:rsidRPr="00564531">
        <w:rPr>
          <w:lang w:eastAsia="bg-BG"/>
        </w:rPr>
        <w:t>Дата на първо разрешаване: 22.06.2016 г.</w:t>
      </w:r>
    </w:p>
    <w:p w14:paraId="564D7553" w14:textId="77777777" w:rsidR="00564531" w:rsidRPr="00564531" w:rsidRDefault="00564531" w:rsidP="00564531">
      <w:pPr>
        <w:rPr>
          <w:sz w:val="24"/>
          <w:szCs w:val="24"/>
        </w:rPr>
      </w:pPr>
      <w:r w:rsidRPr="00564531">
        <w:rPr>
          <w:lang w:eastAsia="bg-BG"/>
        </w:rPr>
        <w:t>Дата на последно подновяване: 30.11.2021 г.</w:t>
      </w:r>
    </w:p>
    <w:p w14:paraId="462DD3C7" w14:textId="77777777" w:rsidR="00564531" w:rsidRPr="00564531" w:rsidRDefault="00564531" w:rsidP="00564531"/>
    <w:p w14:paraId="0E9D0119" w14:textId="0245C6D7" w:rsidR="002C50EE" w:rsidRDefault="002C50EE" w:rsidP="002C50EE">
      <w:pPr>
        <w:pStyle w:val="Heading1"/>
      </w:pPr>
      <w:r>
        <w:t>10. ДАТА НА АКТУАЛИЗИРАНЕ НА ТЕКСТА</w:t>
      </w:r>
    </w:p>
    <w:p w14:paraId="43FB38A2" w14:textId="5500C507" w:rsidR="007C605B" w:rsidRPr="003E3126" w:rsidRDefault="007C605B" w:rsidP="00CF77F7">
      <w:bookmarkStart w:id="2" w:name="_GoBack"/>
      <w:bookmarkEnd w:id="0"/>
      <w:bookmarkEnd w:id="2"/>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DAA2F6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372DE9"/>
    <w:multiLevelType w:val="hybridMultilevel"/>
    <w:tmpl w:val="8578E462"/>
    <w:lvl w:ilvl="0" w:tplc="A5AC3ECC">
      <w:start w:val="4"/>
      <w:numFmt w:val="bullet"/>
      <w:lvlText w:val="-"/>
      <w:lvlJc w:val="left"/>
      <w:pPr>
        <w:ind w:left="720" w:hanging="360"/>
      </w:pPr>
      <w:rPr>
        <w:rFonts w:ascii="Arial" w:eastAsia="Times New Roman" w:hAnsi="Arial" w:cs="Arial"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6"/>
  </w:num>
  <w:num w:numId="2">
    <w:abstractNumId w:val="0"/>
  </w:num>
  <w:num w:numId="3">
    <w:abstractNumId w:val="12"/>
  </w:num>
  <w:num w:numId="4">
    <w:abstractNumId w:val="3"/>
  </w:num>
  <w:num w:numId="5">
    <w:abstractNumId w:val="1"/>
  </w:num>
  <w:num w:numId="6">
    <w:abstractNumId w:val="15"/>
  </w:num>
  <w:num w:numId="7">
    <w:abstractNumId w:val="10"/>
  </w:num>
  <w:num w:numId="8">
    <w:abstractNumId w:val="14"/>
  </w:num>
  <w:num w:numId="9">
    <w:abstractNumId w:val="2"/>
  </w:num>
  <w:num w:numId="10">
    <w:abstractNumId w:val="4"/>
  </w:num>
  <w:num w:numId="11">
    <w:abstractNumId w:val="30"/>
  </w:num>
  <w:num w:numId="12">
    <w:abstractNumId w:val="13"/>
  </w:num>
  <w:num w:numId="13">
    <w:abstractNumId w:val="18"/>
  </w:num>
  <w:num w:numId="14">
    <w:abstractNumId w:val="11"/>
  </w:num>
  <w:num w:numId="15">
    <w:abstractNumId w:val="28"/>
  </w:num>
  <w:num w:numId="16">
    <w:abstractNumId w:val="9"/>
  </w:num>
  <w:num w:numId="17">
    <w:abstractNumId w:val="23"/>
  </w:num>
  <w:num w:numId="18">
    <w:abstractNumId w:val="7"/>
  </w:num>
  <w:num w:numId="19">
    <w:abstractNumId w:val="25"/>
  </w:num>
  <w:num w:numId="20">
    <w:abstractNumId w:val="22"/>
  </w:num>
  <w:num w:numId="21">
    <w:abstractNumId w:val="16"/>
  </w:num>
  <w:num w:numId="22">
    <w:abstractNumId w:val="24"/>
  </w:num>
  <w:num w:numId="23">
    <w:abstractNumId w:val="17"/>
  </w:num>
  <w:num w:numId="24">
    <w:abstractNumId w:val="8"/>
  </w:num>
  <w:num w:numId="25">
    <w:abstractNumId w:val="21"/>
  </w:num>
  <w:num w:numId="26">
    <w:abstractNumId w:val="20"/>
  </w:num>
  <w:num w:numId="27">
    <w:abstractNumId w:val="31"/>
  </w:num>
  <w:num w:numId="28">
    <w:abstractNumId w:val="6"/>
  </w:num>
  <w:num w:numId="29">
    <w:abstractNumId w:val="19"/>
  </w:num>
  <w:num w:numId="30">
    <w:abstractNumId w:val="34"/>
  </w:num>
  <w:num w:numId="31">
    <w:abstractNumId w:val="5"/>
  </w:num>
  <w:num w:numId="32">
    <w:abstractNumId w:val="33"/>
  </w:num>
  <w:num w:numId="33">
    <w:abstractNumId w:val="27"/>
  </w:num>
  <w:num w:numId="34">
    <w:abstractNumId w:val="32"/>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64531"/>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57001"/>
    <w:rsid w:val="00893B92"/>
    <w:rsid w:val="008A6AF2"/>
    <w:rsid w:val="008C70A2"/>
    <w:rsid w:val="009773E4"/>
    <w:rsid w:val="009B171C"/>
    <w:rsid w:val="009F1313"/>
    <w:rsid w:val="00A20351"/>
    <w:rsid w:val="00A65A81"/>
    <w:rsid w:val="00AA23EC"/>
    <w:rsid w:val="00AC63CE"/>
    <w:rsid w:val="00AE2107"/>
    <w:rsid w:val="00B275A8"/>
    <w:rsid w:val="00BF2600"/>
    <w:rsid w:val="00C0049F"/>
    <w:rsid w:val="00C07B84"/>
    <w:rsid w:val="00C33464"/>
    <w:rsid w:val="00C40420"/>
    <w:rsid w:val="00C809A7"/>
    <w:rsid w:val="00C83063"/>
    <w:rsid w:val="00C87E90"/>
    <w:rsid w:val="00CA1B57"/>
    <w:rsid w:val="00CF77F7"/>
    <w:rsid w:val="00D2233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6155</Words>
  <Characters>35090</Characters>
  <Application>Microsoft Office Word</Application>
  <DocSecurity>0</DocSecurity>
  <Lines>292</Lines>
  <Paragraphs>82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2022-05-10T12:52:00Z</dcterms:created>
  <dcterms:modified xsi:type="dcterms:W3CDTF">2022-05-10T12:52:00Z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