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pPr>
      <w:bookmarkStart w:id="0" w:name="_Hlk63124480"/>
      <w:r>
        <w:t>КРАТКА ХАРАКТЕРИСТИКА НА ПРОДУКТА</w:t>
      </w:r>
    </w:p>
    <w:p w14:paraId="0A9EBC20" w14:textId="0B245FE1" w:rsidR="009F77A4" w:rsidRDefault="00DD466D" w:rsidP="00387A66">
      <w:pPr>
        <w:pStyle w:val="Heading1"/>
      </w:pPr>
      <w:r>
        <w:t>1.ИМЕ НА ЛЕКАРСТВЕНИЯ ПРОДУКТ</w:t>
      </w:r>
    </w:p>
    <w:p w14:paraId="0D7EFD47" w14:textId="5BC74BA8" w:rsidR="0091535E" w:rsidRDefault="0091535E" w:rsidP="0091535E"/>
    <w:p w14:paraId="6DC5FAC7" w14:textId="77777777" w:rsidR="0091535E" w:rsidRPr="0091535E" w:rsidRDefault="0091535E" w:rsidP="0091535E">
      <w:pPr>
        <w:rPr>
          <w:sz w:val="24"/>
          <w:szCs w:val="24"/>
          <w:lang w:val="en-US" w:eastAsia="bg-BG"/>
        </w:rPr>
      </w:pPr>
      <w:r w:rsidRPr="0091535E">
        <w:rPr>
          <w:lang w:eastAsia="bg-BG"/>
        </w:rPr>
        <w:t xml:space="preserve">Небикор 5 </w:t>
      </w:r>
      <w:r w:rsidRPr="0091535E">
        <w:rPr>
          <w:lang w:val="en-US"/>
        </w:rPr>
        <w:t xml:space="preserve">mg </w:t>
      </w:r>
      <w:r w:rsidRPr="0091535E">
        <w:rPr>
          <w:lang w:eastAsia="bg-BG"/>
        </w:rPr>
        <w:t>таблетки</w:t>
      </w:r>
    </w:p>
    <w:p w14:paraId="07AE5516" w14:textId="5F328878" w:rsidR="0091535E" w:rsidRPr="0091535E" w:rsidRDefault="0091535E" w:rsidP="0091535E">
      <w:proofErr w:type="spellStart"/>
      <w:r w:rsidRPr="0091535E">
        <w:rPr>
          <w:lang w:val="en-US"/>
        </w:rPr>
        <w:t>Nebicor</w:t>
      </w:r>
      <w:proofErr w:type="spellEnd"/>
      <w:r w:rsidRPr="0091535E">
        <w:rPr>
          <w:lang w:val="en-US"/>
        </w:rPr>
        <w:t xml:space="preserve"> </w:t>
      </w:r>
      <w:r w:rsidRPr="0091535E">
        <w:rPr>
          <w:lang w:eastAsia="bg-BG"/>
        </w:rPr>
        <w:t xml:space="preserve">5 </w:t>
      </w:r>
      <w:r w:rsidRPr="0091535E">
        <w:rPr>
          <w:lang w:val="en-US"/>
        </w:rPr>
        <w:t>mg tablets</w:t>
      </w:r>
    </w:p>
    <w:p w14:paraId="0DF202EC" w14:textId="7883733A" w:rsidR="00F53FB7" w:rsidRDefault="00DD466D" w:rsidP="00A93499">
      <w:pPr>
        <w:pStyle w:val="Heading1"/>
      </w:pPr>
      <w:r>
        <w:t>2. КАЧЕСТВЕН И КОЛИЧЕСТВЕН СЪСТАВ</w:t>
      </w:r>
    </w:p>
    <w:p w14:paraId="65E86F6E" w14:textId="2107B670" w:rsidR="0091535E" w:rsidRDefault="0091535E" w:rsidP="0091535E"/>
    <w:p w14:paraId="61F32750" w14:textId="77777777" w:rsidR="0091535E" w:rsidRPr="0091535E" w:rsidRDefault="0091535E" w:rsidP="0091535E">
      <w:pPr>
        <w:spacing w:line="240" w:lineRule="auto"/>
        <w:rPr>
          <w:rFonts w:eastAsia="Times New Roman" w:cs="Arial"/>
          <w:sz w:val="12"/>
          <w:szCs w:val="12"/>
          <w:lang w:eastAsia="bg-BG"/>
        </w:rPr>
      </w:pPr>
      <w:r w:rsidRPr="0091535E">
        <w:rPr>
          <w:rFonts w:eastAsia="Times New Roman" w:cs="Arial"/>
          <w:color w:val="000000"/>
          <w:lang w:eastAsia="bg-BG"/>
        </w:rPr>
        <w:t>Активно вещество в една таблетка:</w:t>
      </w:r>
    </w:p>
    <w:p w14:paraId="483814DC" w14:textId="77777777" w:rsidR="0091535E" w:rsidRPr="0091535E" w:rsidRDefault="0091535E" w:rsidP="0091535E">
      <w:pPr>
        <w:spacing w:line="240" w:lineRule="auto"/>
        <w:rPr>
          <w:rFonts w:eastAsia="Times New Roman" w:cs="Arial"/>
          <w:sz w:val="12"/>
          <w:szCs w:val="12"/>
          <w:lang w:eastAsia="bg-BG"/>
        </w:rPr>
      </w:pPr>
      <w:r w:rsidRPr="0091535E">
        <w:rPr>
          <w:rFonts w:eastAsia="Times New Roman" w:cs="Arial"/>
          <w:color w:val="000000"/>
          <w:lang w:eastAsia="bg-BG"/>
        </w:rPr>
        <w:t xml:space="preserve">Всяка таблетка съдържа небиволол </w:t>
      </w:r>
      <w:r w:rsidRPr="0091535E">
        <w:rPr>
          <w:rFonts w:eastAsia="Times New Roman" w:cs="Arial"/>
          <w:i/>
          <w:iCs/>
          <w:color w:val="000000"/>
          <w:lang w:val="en-US"/>
        </w:rPr>
        <w:t>(nebivolol)</w:t>
      </w:r>
      <w:r w:rsidRPr="0091535E">
        <w:rPr>
          <w:rFonts w:eastAsia="Times New Roman" w:cs="Arial"/>
          <w:color w:val="000000"/>
          <w:lang w:val="en-US"/>
        </w:rPr>
        <w:t xml:space="preserve"> </w:t>
      </w:r>
      <w:r w:rsidRPr="0091535E">
        <w:rPr>
          <w:rFonts w:eastAsia="Times New Roman" w:cs="Arial"/>
          <w:color w:val="000000"/>
          <w:lang w:eastAsia="bg-BG"/>
        </w:rPr>
        <w:t xml:space="preserve">5 </w:t>
      </w:r>
      <w:r w:rsidRPr="0091535E">
        <w:rPr>
          <w:rFonts w:eastAsia="Times New Roman" w:cs="Arial"/>
          <w:color w:val="000000"/>
          <w:lang w:val="en-US"/>
        </w:rPr>
        <w:t xml:space="preserve">mg, </w:t>
      </w:r>
      <w:r w:rsidRPr="0091535E">
        <w:rPr>
          <w:rFonts w:eastAsia="Times New Roman" w:cs="Arial"/>
          <w:color w:val="000000"/>
          <w:lang w:eastAsia="bg-BG"/>
        </w:rPr>
        <w:t xml:space="preserve">като небиволол хидрохлорид </w:t>
      </w:r>
      <w:r w:rsidRPr="0091535E">
        <w:rPr>
          <w:rFonts w:eastAsia="Times New Roman" w:cs="Arial"/>
          <w:i/>
          <w:iCs/>
          <w:color w:val="000000"/>
          <w:lang w:val="en-US"/>
        </w:rPr>
        <w:t>(nebivolol hydrochloride)</w:t>
      </w:r>
      <w:r w:rsidRPr="0091535E">
        <w:rPr>
          <w:rFonts w:eastAsia="Times New Roman" w:cs="Arial"/>
          <w:color w:val="000000"/>
          <w:lang w:val="en-US"/>
        </w:rPr>
        <w:t xml:space="preserve"> </w:t>
      </w:r>
      <w:r w:rsidRPr="0091535E">
        <w:rPr>
          <w:rFonts w:eastAsia="Times New Roman" w:cs="Arial"/>
          <w:color w:val="000000"/>
          <w:lang w:eastAsia="bg-BG"/>
        </w:rPr>
        <w:t xml:space="preserve">5,45 </w:t>
      </w:r>
      <w:r w:rsidRPr="0091535E">
        <w:rPr>
          <w:rFonts w:eastAsia="Times New Roman" w:cs="Arial"/>
          <w:color w:val="000000"/>
          <w:lang w:val="en-US"/>
        </w:rPr>
        <w:t>mg</w:t>
      </w:r>
    </w:p>
    <w:p w14:paraId="220F96E7" w14:textId="77777777" w:rsidR="0091535E" w:rsidRPr="0091535E" w:rsidRDefault="0091535E" w:rsidP="0091535E">
      <w:pPr>
        <w:spacing w:line="240" w:lineRule="auto"/>
        <w:rPr>
          <w:rFonts w:eastAsia="Times New Roman" w:cs="Arial"/>
          <w:color w:val="000000"/>
          <w:u w:val="single"/>
          <w:lang w:eastAsia="bg-BG"/>
        </w:rPr>
      </w:pPr>
    </w:p>
    <w:p w14:paraId="2A850BDF" w14:textId="3E2B66B2" w:rsidR="0091535E" w:rsidRPr="0091535E" w:rsidRDefault="0091535E" w:rsidP="0091535E">
      <w:pPr>
        <w:spacing w:line="240" w:lineRule="auto"/>
        <w:rPr>
          <w:rFonts w:eastAsia="Times New Roman" w:cs="Arial"/>
          <w:sz w:val="12"/>
          <w:szCs w:val="12"/>
          <w:lang w:eastAsia="bg-BG"/>
        </w:rPr>
      </w:pPr>
      <w:r w:rsidRPr="0091535E">
        <w:rPr>
          <w:rFonts w:eastAsia="Times New Roman" w:cs="Arial"/>
          <w:color w:val="000000"/>
          <w:u w:val="single"/>
          <w:lang w:eastAsia="bg-BG"/>
        </w:rPr>
        <w:t>Помощни вещества с известно действие</w:t>
      </w:r>
      <w:r w:rsidRPr="0091535E">
        <w:rPr>
          <w:rFonts w:eastAsia="Times New Roman" w:cs="Arial"/>
          <w:color w:val="000000"/>
          <w:lang w:eastAsia="bg-BG"/>
        </w:rPr>
        <w:t>: лактоза монохидрат</w:t>
      </w:r>
    </w:p>
    <w:p w14:paraId="3FEEBA9C" w14:textId="77777777" w:rsidR="0091535E" w:rsidRPr="0091535E" w:rsidRDefault="0091535E" w:rsidP="0091535E"/>
    <w:p w14:paraId="4CABB9ED" w14:textId="5B0C573D" w:rsidR="00F53FB7" w:rsidRDefault="00DD466D" w:rsidP="00A93499">
      <w:pPr>
        <w:pStyle w:val="Heading1"/>
      </w:pPr>
      <w:r>
        <w:t>3. ЛЕКАРСТВЕНА ФОРМА</w:t>
      </w:r>
    </w:p>
    <w:p w14:paraId="037B92C9" w14:textId="36BAD168" w:rsidR="0091535E" w:rsidRDefault="0091535E" w:rsidP="0091535E"/>
    <w:p w14:paraId="1B7C5DAC" w14:textId="77777777" w:rsidR="0091535E" w:rsidRPr="0091535E" w:rsidRDefault="0091535E" w:rsidP="0091535E">
      <w:pPr>
        <w:rPr>
          <w:sz w:val="24"/>
          <w:szCs w:val="24"/>
          <w:lang w:eastAsia="bg-BG"/>
        </w:rPr>
      </w:pPr>
      <w:r w:rsidRPr="0091535E">
        <w:rPr>
          <w:lang w:eastAsia="bg-BG"/>
        </w:rPr>
        <w:t>Таблетка</w:t>
      </w:r>
    </w:p>
    <w:p w14:paraId="0D225060" w14:textId="77777777" w:rsidR="0091535E" w:rsidRPr="0091535E" w:rsidRDefault="0091535E" w:rsidP="0091535E">
      <w:pPr>
        <w:rPr>
          <w:sz w:val="24"/>
          <w:szCs w:val="24"/>
          <w:lang w:eastAsia="bg-BG"/>
        </w:rPr>
      </w:pPr>
      <w:r w:rsidRPr="0091535E">
        <w:rPr>
          <w:lang w:eastAsia="bg-BG"/>
        </w:rPr>
        <w:t>Таблетките са бели, кръгли, двойно-изпъкнали с две делител ни черти (на кръст) от едната страна.</w:t>
      </w:r>
    </w:p>
    <w:p w14:paraId="380058F3" w14:textId="1EC3625D" w:rsidR="0091535E" w:rsidRPr="0091535E" w:rsidRDefault="0091535E" w:rsidP="0091535E">
      <w:pPr>
        <w:rPr>
          <w:sz w:val="24"/>
          <w:szCs w:val="24"/>
          <w:lang w:eastAsia="bg-BG"/>
        </w:rPr>
      </w:pPr>
      <w:r w:rsidRPr="0091535E">
        <w:rPr>
          <w:lang w:eastAsia="bg-BG"/>
        </w:rPr>
        <w:t>Делителните черти позволяват разделянето на таблетката на 4 равни дози.</w:t>
      </w:r>
    </w:p>
    <w:p w14:paraId="490FC2C4" w14:textId="6899DE43" w:rsidR="002C50EE" w:rsidRDefault="002C50EE" w:rsidP="002C50EE">
      <w:pPr>
        <w:pStyle w:val="Heading1"/>
      </w:pPr>
      <w:r>
        <w:t>4. КЛИНИЧНИ ДАННИ</w:t>
      </w:r>
    </w:p>
    <w:p w14:paraId="461901E4" w14:textId="1CEA561F" w:rsidR="009F77A4" w:rsidRDefault="002C50EE" w:rsidP="00387A66">
      <w:pPr>
        <w:pStyle w:val="Heading2"/>
      </w:pPr>
      <w:r>
        <w:t>4.1. Терапевтични показания</w:t>
      </w:r>
    </w:p>
    <w:p w14:paraId="64F6B5D5" w14:textId="67AA8CA9" w:rsidR="0091535E" w:rsidRDefault="0091535E" w:rsidP="0091535E"/>
    <w:p w14:paraId="428235C8" w14:textId="77777777" w:rsidR="0091535E" w:rsidRPr="0091535E" w:rsidRDefault="0091535E" w:rsidP="0091535E">
      <w:pPr>
        <w:spacing w:line="240" w:lineRule="auto"/>
        <w:rPr>
          <w:rFonts w:eastAsia="Times New Roman" w:cs="Arial"/>
          <w:lang w:eastAsia="bg-BG"/>
        </w:rPr>
      </w:pPr>
      <w:r w:rsidRPr="0091535E">
        <w:rPr>
          <w:rFonts w:eastAsia="Times New Roman" w:cs="Arial"/>
          <w:color w:val="000000"/>
          <w:u w:val="single"/>
          <w:lang w:eastAsia="bg-BG"/>
        </w:rPr>
        <w:t>Хипертония</w:t>
      </w:r>
    </w:p>
    <w:p w14:paraId="185622B5" w14:textId="77777777" w:rsidR="0091535E" w:rsidRPr="0091535E" w:rsidRDefault="0091535E" w:rsidP="0091535E">
      <w:pPr>
        <w:spacing w:line="240" w:lineRule="auto"/>
        <w:rPr>
          <w:rFonts w:eastAsia="Times New Roman" w:cs="Arial"/>
          <w:lang w:eastAsia="bg-BG"/>
        </w:rPr>
      </w:pPr>
      <w:r w:rsidRPr="0091535E">
        <w:rPr>
          <w:rFonts w:eastAsia="Times New Roman" w:cs="Arial"/>
          <w:color w:val="000000"/>
          <w:lang w:eastAsia="bg-BG"/>
        </w:rPr>
        <w:t>Лечение на есенциална хипертония</w:t>
      </w:r>
    </w:p>
    <w:p w14:paraId="0138BAFC" w14:textId="77777777" w:rsidR="0091535E" w:rsidRPr="0091535E" w:rsidRDefault="0091535E" w:rsidP="0091535E">
      <w:pPr>
        <w:spacing w:line="240" w:lineRule="auto"/>
        <w:rPr>
          <w:rFonts w:eastAsia="Times New Roman" w:cs="Arial"/>
          <w:color w:val="000000"/>
          <w:u w:val="single"/>
          <w:lang w:eastAsia="bg-BG"/>
        </w:rPr>
      </w:pPr>
    </w:p>
    <w:p w14:paraId="3B7E468E" w14:textId="7DDC2307" w:rsidR="0091535E" w:rsidRPr="0091535E" w:rsidRDefault="0091535E" w:rsidP="0091535E">
      <w:pPr>
        <w:spacing w:line="240" w:lineRule="auto"/>
        <w:rPr>
          <w:rFonts w:eastAsia="Times New Roman" w:cs="Arial"/>
          <w:lang w:eastAsia="bg-BG"/>
        </w:rPr>
      </w:pPr>
      <w:r w:rsidRPr="0091535E">
        <w:rPr>
          <w:rFonts w:eastAsia="Times New Roman" w:cs="Arial"/>
          <w:color w:val="000000"/>
          <w:u w:val="single"/>
          <w:lang w:eastAsia="bg-BG"/>
        </w:rPr>
        <w:t>Хронична сърдечна недостатъчност (ХСН)</w:t>
      </w:r>
    </w:p>
    <w:p w14:paraId="76659664" w14:textId="77777777" w:rsidR="0091535E" w:rsidRPr="0091535E" w:rsidRDefault="0091535E" w:rsidP="0091535E">
      <w:pPr>
        <w:spacing w:line="240" w:lineRule="auto"/>
        <w:rPr>
          <w:rFonts w:eastAsia="Times New Roman" w:cs="Arial"/>
          <w:lang w:eastAsia="bg-BG"/>
        </w:rPr>
      </w:pPr>
      <w:r w:rsidRPr="0091535E">
        <w:rPr>
          <w:rFonts w:eastAsia="Times New Roman" w:cs="Arial"/>
          <w:color w:val="000000"/>
          <w:lang w:eastAsia="bg-BG"/>
        </w:rPr>
        <w:t>Добавка към стандартната терапия на стабилна средно изразена сърдечна недостатъчност у възрастни пациенти над 70 години.</w:t>
      </w:r>
    </w:p>
    <w:p w14:paraId="14E318E6" w14:textId="77777777" w:rsidR="0091535E" w:rsidRPr="0091535E" w:rsidRDefault="0091535E" w:rsidP="0091535E"/>
    <w:p w14:paraId="31744E5A" w14:textId="19B39CCD" w:rsidR="009F77A4" w:rsidRDefault="002C50EE" w:rsidP="00387A66">
      <w:pPr>
        <w:pStyle w:val="Heading2"/>
      </w:pPr>
      <w:r>
        <w:t>4.2. Дозировка и начин на приложение</w:t>
      </w:r>
    </w:p>
    <w:p w14:paraId="1A93213E" w14:textId="196F06EA" w:rsidR="0091535E" w:rsidRDefault="0091535E" w:rsidP="0091535E"/>
    <w:p w14:paraId="592F9F1B" w14:textId="77777777" w:rsidR="0091535E" w:rsidRPr="0091535E" w:rsidRDefault="0091535E" w:rsidP="0091535E">
      <w:pPr>
        <w:spacing w:line="240" w:lineRule="auto"/>
        <w:rPr>
          <w:rFonts w:eastAsia="Times New Roman" w:cs="Arial"/>
          <w:lang w:eastAsia="bg-BG"/>
        </w:rPr>
      </w:pPr>
      <w:r w:rsidRPr="0091535E">
        <w:rPr>
          <w:rFonts w:eastAsia="Times New Roman" w:cs="Arial"/>
          <w:color w:val="000000"/>
          <w:u w:val="single"/>
          <w:lang w:eastAsia="bg-BG"/>
        </w:rPr>
        <w:t>Есенциална хипертония</w:t>
      </w:r>
    </w:p>
    <w:p w14:paraId="12F7B3AA" w14:textId="77777777" w:rsidR="0091535E" w:rsidRPr="0091535E" w:rsidRDefault="0091535E" w:rsidP="0091535E">
      <w:pPr>
        <w:spacing w:line="240" w:lineRule="auto"/>
        <w:rPr>
          <w:rFonts w:eastAsia="Times New Roman" w:cs="Arial"/>
          <w:lang w:eastAsia="bg-BG"/>
        </w:rPr>
      </w:pPr>
      <w:r w:rsidRPr="0091535E">
        <w:rPr>
          <w:rFonts w:eastAsia="Times New Roman" w:cs="Arial"/>
          <w:color w:val="000000"/>
          <w:lang w:eastAsia="bg-BG"/>
        </w:rPr>
        <w:t xml:space="preserve">Дозата е една таблетка (5 </w:t>
      </w:r>
      <w:r w:rsidRPr="0091535E">
        <w:rPr>
          <w:rFonts w:eastAsia="Times New Roman" w:cs="Arial"/>
          <w:color w:val="000000"/>
          <w:lang w:val="en-US"/>
        </w:rPr>
        <w:t xml:space="preserve">mg) </w:t>
      </w:r>
      <w:r w:rsidRPr="0091535E">
        <w:rPr>
          <w:rFonts w:eastAsia="Times New Roman" w:cs="Arial"/>
          <w:color w:val="000000"/>
          <w:lang w:eastAsia="bg-BG"/>
        </w:rPr>
        <w:t>дневно, за предпочитане по едно и също време на деня. Таблетките може да се приемат по време на хранене.</w:t>
      </w:r>
    </w:p>
    <w:p w14:paraId="43B446F7" w14:textId="77777777" w:rsidR="0091535E" w:rsidRPr="0091535E" w:rsidRDefault="0091535E" w:rsidP="0091535E">
      <w:pPr>
        <w:spacing w:line="240" w:lineRule="auto"/>
        <w:rPr>
          <w:rFonts w:eastAsia="Times New Roman" w:cs="Arial"/>
          <w:lang w:eastAsia="bg-BG"/>
        </w:rPr>
      </w:pPr>
      <w:r w:rsidRPr="0091535E">
        <w:rPr>
          <w:rFonts w:eastAsia="Times New Roman" w:cs="Arial"/>
          <w:color w:val="000000"/>
          <w:lang w:eastAsia="bg-BG"/>
        </w:rPr>
        <w:t>Антихипертензивният ефект се проявява след 1-2 седмици от началото на лечението. В някои случаи за постигането на оптимален ефект са необходими 4 седмици.</w:t>
      </w:r>
    </w:p>
    <w:p w14:paraId="223E354B" w14:textId="77777777" w:rsidR="0091535E" w:rsidRDefault="0091535E" w:rsidP="0091535E">
      <w:pPr>
        <w:spacing w:line="240" w:lineRule="auto"/>
        <w:rPr>
          <w:rFonts w:eastAsia="Times New Roman" w:cs="Arial"/>
          <w:i/>
          <w:iCs/>
          <w:color w:val="000000"/>
          <w:lang w:eastAsia="bg-BG"/>
        </w:rPr>
      </w:pPr>
    </w:p>
    <w:p w14:paraId="76135322" w14:textId="052CC996" w:rsidR="0091535E" w:rsidRPr="0091535E" w:rsidRDefault="0091535E" w:rsidP="0091535E">
      <w:pPr>
        <w:spacing w:line="240" w:lineRule="auto"/>
        <w:rPr>
          <w:rFonts w:eastAsia="Times New Roman" w:cs="Arial"/>
          <w:lang w:eastAsia="bg-BG"/>
        </w:rPr>
      </w:pPr>
      <w:r w:rsidRPr="0091535E">
        <w:rPr>
          <w:rFonts w:eastAsia="Times New Roman" w:cs="Arial"/>
          <w:i/>
          <w:iCs/>
          <w:color w:val="000000"/>
          <w:lang w:eastAsia="bg-BG"/>
        </w:rPr>
        <w:t>Комбинация с други антихипертинзивни средства</w:t>
      </w:r>
    </w:p>
    <w:p w14:paraId="5E6944A6" w14:textId="77777777" w:rsidR="0091535E" w:rsidRPr="0091535E" w:rsidRDefault="0091535E" w:rsidP="0091535E">
      <w:pPr>
        <w:spacing w:line="240" w:lineRule="auto"/>
        <w:rPr>
          <w:rFonts w:eastAsia="Times New Roman" w:cs="Arial"/>
          <w:lang w:eastAsia="bg-BG"/>
        </w:rPr>
      </w:pPr>
      <w:r w:rsidRPr="0091535E">
        <w:rPr>
          <w:rFonts w:eastAsia="Times New Roman" w:cs="Arial"/>
          <w:color w:val="000000"/>
          <w:lang w:eastAsia="bg-BG"/>
        </w:rPr>
        <w:t xml:space="preserve">Бета-блокерите може да бъдат използвани самостоятелно или в комбинация с други антихипертензивни средства. В настоящия момент допълнителен антихипертензивен </w:t>
      </w:r>
      <w:r w:rsidRPr="0091535E">
        <w:rPr>
          <w:rFonts w:eastAsia="Times New Roman" w:cs="Arial"/>
          <w:color w:val="000000"/>
          <w:lang w:eastAsia="bg-BG"/>
        </w:rPr>
        <w:lastRenderedPageBreak/>
        <w:t xml:space="preserve">ефект е наблюдаван, само при комбинирането на небиволол с хидрохлоротиазид (12,5-25 </w:t>
      </w:r>
      <w:r w:rsidRPr="0091535E">
        <w:rPr>
          <w:rFonts w:eastAsia="Times New Roman" w:cs="Arial"/>
          <w:color w:val="000000"/>
          <w:lang w:val="en-US"/>
        </w:rPr>
        <w:t>mg).</w:t>
      </w:r>
    </w:p>
    <w:p w14:paraId="5DDA7C34" w14:textId="77777777" w:rsidR="0091535E" w:rsidRDefault="0091535E" w:rsidP="0091535E">
      <w:pPr>
        <w:spacing w:line="240" w:lineRule="auto"/>
        <w:rPr>
          <w:rFonts w:eastAsia="Times New Roman" w:cs="Arial"/>
          <w:i/>
          <w:iCs/>
          <w:color w:val="000000"/>
          <w:lang w:eastAsia="bg-BG"/>
        </w:rPr>
      </w:pPr>
    </w:p>
    <w:p w14:paraId="077B738B" w14:textId="478F41C2" w:rsidR="0091535E" w:rsidRPr="0091535E" w:rsidRDefault="0091535E" w:rsidP="0091535E">
      <w:pPr>
        <w:spacing w:line="240" w:lineRule="auto"/>
        <w:rPr>
          <w:rFonts w:eastAsia="Times New Roman" w:cs="Arial"/>
          <w:lang w:eastAsia="bg-BG"/>
        </w:rPr>
      </w:pPr>
      <w:r w:rsidRPr="0091535E">
        <w:rPr>
          <w:rFonts w:eastAsia="Times New Roman" w:cs="Arial"/>
          <w:i/>
          <w:iCs/>
          <w:color w:val="000000"/>
          <w:lang w:eastAsia="bg-BG"/>
        </w:rPr>
        <w:t>Пациенти с бъбречна недостатъчност</w:t>
      </w:r>
    </w:p>
    <w:p w14:paraId="260C49CE" w14:textId="77777777" w:rsidR="0091535E" w:rsidRPr="0091535E" w:rsidRDefault="0091535E" w:rsidP="0091535E">
      <w:pPr>
        <w:spacing w:line="240" w:lineRule="auto"/>
        <w:rPr>
          <w:rFonts w:eastAsia="Times New Roman" w:cs="Arial"/>
          <w:lang w:eastAsia="bg-BG"/>
        </w:rPr>
      </w:pPr>
      <w:r w:rsidRPr="0091535E">
        <w:rPr>
          <w:rFonts w:eastAsia="Times New Roman" w:cs="Arial"/>
          <w:color w:val="000000"/>
          <w:lang w:eastAsia="bg-BG"/>
        </w:rPr>
        <w:t>При пациенти с бъбречна недостатъчност, препоръчваната начална доза е</w:t>
      </w:r>
      <w:r w:rsidRPr="0091535E">
        <w:rPr>
          <w:rFonts w:eastAsia="Times New Roman" w:cs="Arial"/>
          <w:color w:val="000000"/>
          <w:lang w:val="en-US"/>
        </w:rPr>
        <w:t xml:space="preserve"> 2,5 mg </w:t>
      </w:r>
      <w:r w:rsidRPr="0091535E">
        <w:rPr>
          <w:rFonts w:eastAsia="Times New Roman" w:cs="Arial"/>
          <w:color w:val="000000"/>
          <w:lang w:eastAsia="bg-BG"/>
        </w:rPr>
        <w:t xml:space="preserve">дневно При необходимост дневната доза може да бъде повишена до 5 </w:t>
      </w:r>
      <w:r w:rsidRPr="0091535E">
        <w:rPr>
          <w:rFonts w:eastAsia="Times New Roman" w:cs="Arial"/>
          <w:color w:val="000000"/>
          <w:lang w:val="en-US"/>
        </w:rPr>
        <w:t>mg.</w:t>
      </w:r>
    </w:p>
    <w:p w14:paraId="53690C1C" w14:textId="21DBB0BB" w:rsidR="0091535E" w:rsidRDefault="0091535E" w:rsidP="0091535E"/>
    <w:p w14:paraId="1352262B" w14:textId="77777777" w:rsidR="0091535E" w:rsidRPr="0091535E" w:rsidRDefault="0091535E" w:rsidP="0091535E">
      <w:pPr>
        <w:spacing w:line="240" w:lineRule="auto"/>
        <w:rPr>
          <w:rFonts w:eastAsia="Times New Roman" w:cs="Arial"/>
          <w:lang w:eastAsia="bg-BG"/>
        </w:rPr>
      </w:pPr>
      <w:r w:rsidRPr="0091535E">
        <w:rPr>
          <w:rFonts w:eastAsia="Times New Roman" w:cs="Arial"/>
          <w:i/>
          <w:iCs/>
          <w:color w:val="000000"/>
          <w:lang w:eastAsia="bg-BG"/>
        </w:rPr>
        <w:t>Пациенти с чернодробна недостатъчност</w:t>
      </w:r>
    </w:p>
    <w:p w14:paraId="518EEDDA" w14:textId="77777777" w:rsidR="0091535E" w:rsidRPr="0091535E" w:rsidRDefault="0091535E" w:rsidP="0091535E">
      <w:pPr>
        <w:spacing w:line="240" w:lineRule="auto"/>
        <w:rPr>
          <w:rFonts w:eastAsia="Times New Roman" w:cs="Arial"/>
          <w:lang w:eastAsia="bg-BG"/>
        </w:rPr>
      </w:pPr>
      <w:r w:rsidRPr="0091535E">
        <w:rPr>
          <w:rFonts w:eastAsia="Times New Roman" w:cs="Arial"/>
          <w:color w:val="000000"/>
          <w:lang w:eastAsia="bg-BG"/>
        </w:rPr>
        <w:t>Данните при пациенти с чернодробна недостатъчност или нарушена чернодробна функция са ограничени. Ето защо, приложението на лекарствения продукт при тези пациенти е противопоказано.</w:t>
      </w:r>
    </w:p>
    <w:p w14:paraId="7FCAFA8A" w14:textId="77777777" w:rsidR="0091535E" w:rsidRDefault="0091535E" w:rsidP="0091535E">
      <w:pPr>
        <w:spacing w:line="240" w:lineRule="auto"/>
        <w:rPr>
          <w:rFonts w:eastAsia="Times New Roman" w:cs="Arial"/>
          <w:i/>
          <w:iCs/>
          <w:color w:val="000000"/>
          <w:lang w:eastAsia="bg-BG"/>
        </w:rPr>
      </w:pPr>
    </w:p>
    <w:p w14:paraId="7347A0CE" w14:textId="374C28EE" w:rsidR="0091535E" w:rsidRPr="0091535E" w:rsidRDefault="0091535E" w:rsidP="0091535E">
      <w:pPr>
        <w:spacing w:line="240" w:lineRule="auto"/>
        <w:rPr>
          <w:rFonts w:eastAsia="Times New Roman" w:cs="Arial"/>
          <w:lang w:eastAsia="bg-BG"/>
        </w:rPr>
      </w:pPr>
      <w:r w:rsidRPr="0091535E">
        <w:rPr>
          <w:rFonts w:eastAsia="Times New Roman" w:cs="Arial"/>
          <w:i/>
          <w:iCs/>
          <w:color w:val="000000"/>
          <w:lang w:eastAsia="bg-BG"/>
        </w:rPr>
        <w:t>Пациенти в старческа възраст</w:t>
      </w:r>
    </w:p>
    <w:p w14:paraId="1DF0EC29" w14:textId="77777777" w:rsidR="0091535E" w:rsidRPr="0091535E" w:rsidRDefault="0091535E" w:rsidP="0091535E">
      <w:pPr>
        <w:spacing w:line="240" w:lineRule="auto"/>
        <w:rPr>
          <w:rFonts w:eastAsia="Times New Roman" w:cs="Arial"/>
          <w:lang w:eastAsia="bg-BG"/>
        </w:rPr>
      </w:pPr>
      <w:r w:rsidRPr="0091535E">
        <w:rPr>
          <w:rFonts w:eastAsia="Times New Roman" w:cs="Arial"/>
          <w:color w:val="000000"/>
          <w:lang w:eastAsia="bg-BG"/>
        </w:rPr>
        <w:t xml:space="preserve">Препоръчваната начална доза при пациенти над 65 годишна възраст е 2,5 </w:t>
      </w:r>
      <w:r w:rsidRPr="0091535E">
        <w:rPr>
          <w:rFonts w:eastAsia="Times New Roman" w:cs="Arial"/>
          <w:color w:val="000000"/>
          <w:lang w:val="en-US"/>
        </w:rPr>
        <w:t xml:space="preserve">mg </w:t>
      </w:r>
      <w:r w:rsidRPr="0091535E">
        <w:rPr>
          <w:rFonts w:eastAsia="Times New Roman" w:cs="Arial"/>
          <w:color w:val="000000"/>
          <w:lang w:eastAsia="bg-BG"/>
        </w:rPr>
        <w:t>дневно.</w:t>
      </w:r>
    </w:p>
    <w:p w14:paraId="3EA094F8" w14:textId="77777777" w:rsidR="0091535E" w:rsidRPr="0091535E" w:rsidRDefault="0091535E" w:rsidP="0091535E">
      <w:pPr>
        <w:spacing w:line="240" w:lineRule="auto"/>
        <w:rPr>
          <w:rFonts w:eastAsia="Times New Roman" w:cs="Arial"/>
          <w:lang w:eastAsia="bg-BG"/>
        </w:rPr>
      </w:pPr>
      <w:r w:rsidRPr="0091535E">
        <w:rPr>
          <w:rFonts w:eastAsia="Times New Roman" w:cs="Arial"/>
          <w:color w:val="000000"/>
          <w:lang w:eastAsia="bg-BG"/>
        </w:rPr>
        <w:t xml:space="preserve">При необходимост дневната доза може да бъде повишена до 5 </w:t>
      </w:r>
      <w:r w:rsidRPr="0091535E">
        <w:rPr>
          <w:rFonts w:eastAsia="Times New Roman" w:cs="Arial"/>
          <w:color w:val="000000"/>
          <w:lang w:val="en-US"/>
        </w:rPr>
        <w:t xml:space="preserve">mg. </w:t>
      </w:r>
      <w:r w:rsidRPr="0091535E">
        <w:rPr>
          <w:rFonts w:eastAsia="Times New Roman" w:cs="Arial"/>
          <w:color w:val="000000"/>
          <w:lang w:eastAsia="bg-BG"/>
        </w:rPr>
        <w:t>Въпреки това, поради ограничения опит при пациенти над 75 годишна възраст, този лекарствен продукт трябва да бъде прилаган с повишено внимание и под строг медицински контрол.</w:t>
      </w:r>
    </w:p>
    <w:p w14:paraId="2B990652" w14:textId="77777777" w:rsidR="0091535E" w:rsidRDefault="0091535E" w:rsidP="0091535E">
      <w:pPr>
        <w:spacing w:line="240" w:lineRule="auto"/>
        <w:rPr>
          <w:rFonts w:eastAsia="Times New Roman" w:cs="Arial"/>
          <w:i/>
          <w:iCs/>
          <w:color w:val="000000"/>
          <w:lang w:eastAsia="bg-BG"/>
        </w:rPr>
      </w:pPr>
    </w:p>
    <w:p w14:paraId="317FD126" w14:textId="28FA764C" w:rsidR="0091535E" w:rsidRPr="0091535E" w:rsidRDefault="0091535E" w:rsidP="0091535E">
      <w:pPr>
        <w:spacing w:line="240" w:lineRule="auto"/>
        <w:rPr>
          <w:rFonts w:eastAsia="Times New Roman" w:cs="Arial"/>
          <w:lang w:eastAsia="bg-BG"/>
        </w:rPr>
      </w:pPr>
      <w:r w:rsidRPr="0091535E">
        <w:rPr>
          <w:rFonts w:eastAsia="Times New Roman" w:cs="Arial"/>
          <w:i/>
          <w:iCs/>
          <w:color w:val="000000"/>
          <w:lang w:eastAsia="bg-BG"/>
        </w:rPr>
        <w:t>Деца и юноши</w:t>
      </w:r>
    </w:p>
    <w:p w14:paraId="0F877D98" w14:textId="77777777" w:rsidR="0091535E" w:rsidRPr="0091535E" w:rsidRDefault="0091535E" w:rsidP="0091535E">
      <w:pPr>
        <w:spacing w:line="240" w:lineRule="auto"/>
        <w:rPr>
          <w:rFonts w:eastAsia="Times New Roman" w:cs="Arial"/>
          <w:lang w:eastAsia="bg-BG"/>
        </w:rPr>
      </w:pPr>
      <w:r w:rsidRPr="0091535E">
        <w:rPr>
          <w:rFonts w:eastAsia="Times New Roman" w:cs="Arial"/>
          <w:color w:val="000000"/>
          <w:lang w:eastAsia="bg-BG"/>
        </w:rPr>
        <w:t>Не са провеждани проучвания при деца и юноши. Ето защо, не се препоръчва приложението на продукта при тази група пациенти.</w:t>
      </w:r>
    </w:p>
    <w:p w14:paraId="5A8B5C00" w14:textId="77777777" w:rsidR="0091535E" w:rsidRDefault="0091535E" w:rsidP="0091535E">
      <w:pPr>
        <w:spacing w:line="240" w:lineRule="auto"/>
        <w:rPr>
          <w:rFonts w:eastAsia="Times New Roman" w:cs="Arial"/>
          <w:color w:val="000000"/>
          <w:u w:val="single"/>
          <w:lang w:eastAsia="bg-BG"/>
        </w:rPr>
      </w:pPr>
    </w:p>
    <w:p w14:paraId="5BE9DB14" w14:textId="289440EC" w:rsidR="0091535E" w:rsidRPr="0091535E" w:rsidRDefault="0091535E" w:rsidP="0091535E">
      <w:pPr>
        <w:spacing w:line="240" w:lineRule="auto"/>
        <w:rPr>
          <w:rFonts w:eastAsia="Times New Roman" w:cs="Arial"/>
          <w:lang w:eastAsia="bg-BG"/>
        </w:rPr>
      </w:pPr>
      <w:r w:rsidRPr="0091535E">
        <w:rPr>
          <w:rFonts w:eastAsia="Times New Roman" w:cs="Arial"/>
          <w:color w:val="000000"/>
          <w:u w:val="single"/>
          <w:lang w:eastAsia="bg-BG"/>
        </w:rPr>
        <w:t>Хронична сърдечна недостатъчност (ХСН)</w:t>
      </w:r>
    </w:p>
    <w:p w14:paraId="35866436" w14:textId="77777777" w:rsidR="0091535E" w:rsidRPr="0091535E" w:rsidRDefault="0091535E" w:rsidP="0091535E">
      <w:pPr>
        <w:spacing w:line="240" w:lineRule="auto"/>
        <w:rPr>
          <w:rFonts w:eastAsia="Times New Roman" w:cs="Arial"/>
          <w:lang w:eastAsia="bg-BG"/>
        </w:rPr>
      </w:pPr>
      <w:r w:rsidRPr="0091535E">
        <w:rPr>
          <w:rFonts w:eastAsia="Times New Roman" w:cs="Arial"/>
          <w:color w:val="000000"/>
          <w:lang w:eastAsia="bg-BG"/>
        </w:rPr>
        <w:t>Лечението при хронична сърдечна недостатъчност трябва да започне с постепенно повишаване на дозата, до достигането на оптималната поддържаща доза за всеки отделен пациент.</w:t>
      </w:r>
    </w:p>
    <w:p w14:paraId="7511BE86" w14:textId="77777777" w:rsidR="0091535E" w:rsidRDefault="0091535E" w:rsidP="0091535E">
      <w:pPr>
        <w:spacing w:line="240" w:lineRule="auto"/>
        <w:rPr>
          <w:rFonts w:eastAsia="Times New Roman" w:cs="Arial"/>
          <w:color w:val="000000"/>
          <w:lang w:eastAsia="bg-BG"/>
        </w:rPr>
      </w:pPr>
    </w:p>
    <w:p w14:paraId="7FBF2C34" w14:textId="2F5543AB" w:rsidR="0091535E" w:rsidRPr="0091535E" w:rsidRDefault="0091535E" w:rsidP="0091535E">
      <w:pPr>
        <w:spacing w:line="240" w:lineRule="auto"/>
        <w:rPr>
          <w:rFonts w:eastAsia="Times New Roman" w:cs="Arial"/>
          <w:lang w:eastAsia="bg-BG"/>
        </w:rPr>
      </w:pPr>
      <w:r w:rsidRPr="0091535E">
        <w:rPr>
          <w:rFonts w:eastAsia="Times New Roman" w:cs="Arial"/>
          <w:color w:val="000000"/>
          <w:lang w:eastAsia="bg-BG"/>
        </w:rPr>
        <w:t>Пациентите трябва да бъдат със стабилна хронична сърдечна недостатъчност, без епизоди на остра недостатъчност през последните 6 седмици. Препоръчва се лечението да бъде провеждано от лекар, имащ опит в лечението на хронична сърдечна недостатъчност.</w:t>
      </w:r>
    </w:p>
    <w:p w14:paraId="25F77AEC" w14:textId="77777777" w:rsidR="0091535E" w:rsidRDefault="0091535E" w:rsidP="0091535E">
      <w:pPr>
        <w:spacing w:line="240" w:lineRule="auto"/>
        <w:rPr>
          <w:rFonts w:eastAsia="Times New Roman" w:cs="Arial"/>
          <w:color w:val="000000"/>
          <w:lang w:eastAsia="bg-BG"/>
        </w:rPr>
      </w:pPr>
    </w:p>
    <w:p w14:paraId="640FB6C2" w14:textId="44C71EDA" w:rsidR="0091535E" w:rsidRPr="0091535E" w:rsidRDefault="0091535E" w:rsidP="0091535E">
      <w:pPr>
        <w:spacing w:line="240" w:lineRule="auto"/>
        <w:rPr>
          <w:rFonts w:eastAsia="Times New Roman" w:cs="Arial"/>
          <w:lang w:eastAsia="bg-BG"/>
        </w:rPr>
      </w:pPr>
      <w:r w:rsidRPr="0091535E">
        <w:rPr>
          <w:rFonts w:eastAsia="Times New Roman" w:cs="Arial"/>
          <w:color w:val="000000"/>
          <w:lang w:eastAsia="bg-BG"/>
        </w:rPr>
        <w:t>При пациентите на лечение с други сърдечно-съдови лекарствени продукти, включително диуретици и/или дигоксин и/или АСЕ-инхибитори и/или ангиотензин П-антагонисти, дозата на тези лекарства трябва да бъде стабилизирана през последните две седмици, преди началото на лечението с небиволол.</w:t>
      </w:r>
    </w:p>
    <w:p w14:paraId="2A23ECC3" w14:textId="77777777" w:rsidR="0091535E" w:rsidRDefault="0091535E" w:rsidP="0091535E">
      <w:pPr>
        <w:spacing w:line="240" w:lineRule="auto"/>
        <w:rPr>
          <w:rFonts w:eastAsia="Times New Roman" w:cs="Arial"/>
          <w:color w:val="000000"/>
          <w:lang w:eastAsia="bg-BG"/>
        </w:rPr>
      </w:pPr>
    </w:p>
    <w:p w14:paraId="49E311A9" w14:textId="22336E87" w:rsidR="0091535E" w:rsidRPr="0091535E" w:rsidRDefault="0091535E" w:rsidP="0091535E">
      <w:pPr>
        <w:spacing w:line="240" w:lineRule="auto"/>
        <w:rPr>
          <w:rFonts w:eastAsia="Times New Roman" w:cs="Arial"/>
          <w:lang w:eastAsia="bg-BG"/>
        </w:rPr>
      </w:pPr>
      <w:r w:rsidRPr="0091535E">
        <w:rPr>
          <w:rFonts w:eastAsia="Times New Roman" w:cs="Arial"/>
          <w:color w:val="000000"/>
          <w:lang w:eastAsia="bg-BG"/>
        </w:rPr>
        <w:t xml:space="preserve">Титрирането (повишаването) на дозата трябва да става през 1-2 седмичен интервал, в зависимост от индивидуалния отговор и поносимост на пациента, както следва: началната доза от 1,25 </w:t>
      </w:r>
      <w:r w:rsidRPr="0091535E">
        <w:rPr>
          <w:rFonts w:eastAsia="Times New Roman" w:cs="Arial"/>
          <w:color w:val="000000"/>
          <w:lang w:val="en-US"/>
        </w:rPr>
        <w:t xml:space="preserve">mg </w:t>
      </w:r>
      <w:r w:rsidRPr="0091535E">
        <w:rPr>
          <w:rFonts w:eastAsia="Times New Roman" w:cs="Arial"/>
          <w:color w:val="000000"/>
          <w:lang w:eastAsia="bg-BG"/>
        </w:rPr>
        <w:t xml:space="preserve">небиволол трябва да бъде повишена до 2,5 </w:t>
      </w:r>
      <w:r w:rsidRPr="0091535E">
        <w:rPr>
          <w:rFonts w:eastAsia="Times New Roman" w:cs="Arial"/>
          <w:color w:val="000000"/>
          <w:lang w:val="en-US"/>
        </w:rPr>
        <w:t xml:space="preserve">mg </w:t>
      </w:r>
      <w:r w:rsidRPr="0091535E">
        <w:rPr>
          <w:rFonts w:eastAsia="Times New Roman" w:cs="Arial"/>
          <w:color w:val="000000"/>
          <w:lang w:eastAsia="bg-BG"/>
        </w:rPr>
        <w:t xml:space="preserve">небиволол веднъж дневно, след това до 5 </w:t>
      </w:r>
      <w:r w:rsidRPr="0091535E">
        <w:rPr>
          <w:rFonts w:eastAsia="Times New Roman" w:cs="Arial"/>
          <w:color w:val="000000"/>
          <w:lang w:val="en-US"/>
        </w:rPr>
        <w:t xml:space="preserve">mg </w:t>
      </w:r>
      <w:r w:rsidRPr="0091535E">
        <w:rPr>
          <w:rFonts w:eastAsia="Times New Roman" w:cs="Arial"/>
          <w:color w:val="000000"/>
          <w:lang w:eastAsia="bg-BG"/>
        </w:rPr>
        <w:t xml:space="preserve">веднъж дневно и накрая до 10 </w:t>
      </w:r>
      <w:r w:rsidRPr="0091535E">
        <w:rPr>
          <w:rFonts w:eastAsia="Times New Roman" w:cs="Arial"/>
          <w:color w:val="000000"/>
          <w:lang w:val="en-US"/>
        </w:rPr>
        <w:t xml:space="preserve">mg </w:t>
      </w:r>
      <w:r w:rsidRPr="0091535E">
        <w:rPr>
          <w:rFonts w:eastAsia="Times New Roman" w:cs="Arial"/>
          <w:color w:val="000000"/>
          <w:lang w:eastAsia="bg-BG"/>
        </w:rPr>
        <w:t xml:space="preserve">веднъж дневно. Максималната препоръчана доза е 10 </w:t>
      </w:r>
      <w:r w:rsidRPr="0091535E">
        <w:rPr>
          <w:rFonts w:eastAsia="Times New Roman" w:cs="Arial"/>
          <w:color w:val="000000"/>
          <w:lang w:val="en-US"/>
        </w:rPr>
        <w:t xml:space="preserve">mg, </w:t>
      </w:r>
      <w:r w:rsidRPr="0091535E">
        <w:rPr>
          <w:rFonts w:eastAsia="Times New Roman" w:cs="Arial"/>
          <w:color w:val="000000"/>
          <w:lang w:eastAsia="bg-BG"/>
        </w:rPr>
        <w:t>веднъж дневно.</w:t>
      </w:r>
    </w:p>
    <w:p w14:paraId="6635AA45" w14:textId="77777777" w:rsidR="0091535E" w:rsidRDefault="0091535E" w:rsidP="0091535E">
      <w:pPr>
        <w:spacing w:line="240" w:lineRule="auto"/>
        <w:rPr>
          <w:rFonts w:eastAsia="Times New Roman" w:cs="Arial"/>
          <w:color w:val="000000"/>
          <w:lang w:eastAsia="bg-BG"/>
        </w:rPr>
      </w:pPr>
    </w:p>
    <w:p w14:paraId="27294A6D" w14:textId="3F3EC5C3" w:rsidR="0091535E" w:rsidRPr="0091535E" w:rsidRDefault="0091535E" w:rsidP="0091535E">
      <w:pPr>
        <w:spacing w:line="240" w:lineRule="auto"/>
        <w:rPr>
          <w:rFonts w:eastAsia="Times New Roman" w:cs="Arial"/>
          <w:lang w:eastAsia="bg-BG"/>
        </w:rPr>
      </w:pPr>
      <w:r w:rsidRPr="0091535E">
        <w:rPr>
          <w:rFonts w:eastAsia="Times New Roman" w:cs="Arial"/>
          <w:color w:val="000000"/>
          <w:lang w:eastAsia="bg-BG"/>
        </w:rPr>
        <w:t>Началото на лечението и всяко повишаване на дозата, трябва да става под наблюдението на лекар, притежаващ необходимия опит, за период от най-малко 2 часа, с цел осигуряване на стабилното клинично състояние на пациента (особено по отношение на кръвното налягане, сърдечната честота, преводните нарушения и симптомите на влошаване на сърдечната недостатъчност).</w:t>
      </w:r>
    </w:p>
    <w:p w14:paraId="1CCFECDF" w14:textId="77777777" w:rsidR="0091535E" w:rsidRDefault="0091535E" w:rsidP="0091535E">
      <w:pPr>
        <w:spacing w:line="240" w:lineRule="auto"/>
        <w:rPr>
          <w:rFonts w:eastAsia="Times New Roman" w:cs="Arial"/>
          <w:color w:val="000000"/>
          <w:lang w:eastAsia="bg-BG"/>
        </w:rPr>
      </w:pPr>
    </w:p>
    <w:p w14:paraId="7618FCC1" w14:textId="33D21081" w:rsidR="0091535E" w:rsidRPr="0091535E" w:rsidRDefault="0091535E" w:rsidP="0091535E">
      <w:pPr>
        <w:spacing w:line="240" w:lineRule="auto"/>
        <w:rPr>
          <w:rFonts w:eastAsia="Times New Roman" w:cs="Arial"/>
          <w:lang w:eastAsia="bg-BG"/>
        </w:rPr>
      </w:pPr>
      <w:r w:rsidRPr="0091535E">
        <w:rPr>
          <w:rFonts w:eastAsia="Times New Roman" w:cs="Arial"/>
          <w:color w:val="000000"/>
          <w:lang w:eastAsia="bg-BG"/>
        </w:rPr>
        <w:lastRenderedPageBreak/>
        <w:t>Появата на нежелани ефекти може да не позволи лечението с максималната препоръчана доза при всички пациенти. При необходимост, достигнатата доза може също да бъде постепенно намалена и след това отново повишена, ако е подходящо.</w:t>
      </w:r>
    </w:p>
    <w:p w14:paraId="0B03FA3A" w14:textId="77777777" w:rsidR="0091535E" w:rsidRDefault="0091535E" w:rsidP="0091535E">
      <w:pPr>
        <w:spacing w:line="240" w:lineRule="auto"/>
        <w:rPr>
          <w:rFonts w:eastAsia="Times New Roman" w:cs="Arial"/>
          <w:color w:val="000000"/>
          <w:lang w:eastAsia="bg-BG"/>
        </w:rPr>
      </w:pPr>
    </w:p>
    <w:p w14:paraId="37A56B0E" w14:textId="6FBEEFD7" w:rsidR="0091535E" w:rsidRPr="0091535E" w:rsidRDefault="0091535E" w:rsidP="0091535E">
      <w:pPr>
        <w:spacing w:line="240" w:lineRule="auto"/>
        <w:rPr>
          <w:rFonts w:eastAsia="Times New Roman" w:cs="Arial"/>
          <w:lang w:eastAsia="bg-BG"/>
        </w:rPr>
      </w:pPr>
      <w:r w:rsidRPr="0091535E">
        <w:rPr>
          <w:rFonts w:eastAsia="Times New Roman" w:cs="Arial"/>
          <w:color w:val="000000"/>
          <w:lang w:eastAsia="bg-BG"/>
        </w:rPr>
        <w:t xml:space="preserve">По време на титрационната фаза, в случай на влошаване на сърдечната недостатъчност или при непоносимост, се препоръчва първо понижаване дозата на небиволол, а при необходимост и незабавно преустановяване на приема (в случай на тежка хипотония, влошаване на сърдечната недостатъчност, остър белодробен оток, кардиогенен шок, симптоматична брадикардия или </w:t>
      </w:r>
      <w:r w:rsidRPr="0091535E">
        <w:rPr>
          <w:rFonts w:eastAsia="Times New Roman" w:cs="Arial"/>
          <w:color w:val="000000"/>
          <w:lang w:val="en-US"/>
        </w:rPr>
        <w:t>AV</w:t>
      </w:r>
      <w:r w:rsidRPr="0091535E">
        <w:rPr>
          <w:rFonts w:eastAsia="Times New Roman" w:cs="Arial"/>
          <w:color w:val="000000"/>
          <w:lang w:eastAsia="bg-BG"/>
        </w:rPr>
        <w:t>-блок).</w:t>
      </w:r>
    </w:p>
    <w:p w14:paraId="3C9851B4" w14:textId="77777777" w:rsidR="0091535E" w:rsidRDefault="0091535E" w:rsidP="0091535E">
      <w:pPr>
        <w:spacing w:line="240" w:lineRule="auto"/>
        <w:rPr>
          <w:rFonts w:eastAsia="Times New Roman" w:cs="Arial"/>
          <w:color w:val="000000"/>
          <w:lang w:eastAsia="bg-BG"/>
        </w:rPr>
      </w:pPr>
    </w:p>
    <w:p w14:paraId="6008C423" w14:textId="3A8327CE" w:rsidR="0091535E" w:rsidRDefault="0091535E" w:rsidP="0091535E">
      <w:pPr>
        <w:spacing w:line="240" w:lineRule="auto"/>
        <w:rPr>
          <w:rFonts w:eastAsia="Times New Roman" w:cs="Arial"/>
          <w:color w:val="000000"/>
          <w:lang w:eastAsia="bg-BG"/>
        </w:rPr>
      </w:pPr>
      <w:r w:rsidRPr="0091535E">
        <w:rPr>
          <w:rFonts w:eastAsia="Times New Roman" w:cs="Arial"/>
          <w:color w:val="000000"/>
          <w:lang w:eastAsia="bg-BG"/>
        </w:rPr>
        <w:t>Обикновено, лечението на стабилната сърдечна недостатъчност с небиволол е продължително.</w:t>
      </w:r>
    </w:p>
    <w:p w14:paraId="549AD344" w14:textId="52A7B1D7" w:rsidR="0091535E" w:rsidRDefault="0091535E" w:rsidP="0091535E">
      <w:pPr>
        <w:spacing w:line="240" w:lineRule="auto"/>
        <w:rPr>
          <w:rFonts w:eastAsia="Times New Roman" w:cs="Arial"/>
          <w:color w:val="000000"/>
          <w:lang w:eastAsia="bg-BG"/>
        </w:rPr>
      </w:pPr>
    </w:p>
    <w:p w14:paraId="5C651678" w14:textId="77777777" w:rsidR="0091535E" w:rsidRPr="0091535E" w:rsidRDefault="0091535E" w:rsidP="0091535E">
      <w:pPr>
        <w:spacing w:line="240" w:lineRule="auto"/>
        <w:rPr>
          <w:rFonts w:eastAsia="Times New Roman" w:cs="Arial"/>
          <w:lang w:eastAsia="bg-BG"/>
        </w:rPr>
      </w:pPr>
      <w:r w:rsidRPr="0091535E">
        <w:rPr>
          <w:rFonts w:eastAsia="Times New Roman" w:cs="Arial"/>
          <w:color w:val="000000"/>
          <w:lang w:eastAsia="bg-BG"/>
        </w:rPr>
        <w:t>Не се препоръчва рязкото преустановяване приема на небиволол, тъй като това може да доведе до преходно влошаване на сърдечната недостатъчност. При необходимост от преустановяване на лечението, дозата трябва да бъде понижавана постепенно (разделена на половини седмично).</w:t>
      </w:r>
    </w:p>
    <w:p w14:paraId="7298A2C8" w14:textId="77777777" w:rsidR="0091535E" w:rsidRDefault="0091535E" w:rsidP="0091535E">
      <w:pPr>
        <w:spacing w:line="240" w:lineRule="auto"/>
        <w:rPr>
          <w:rFonts w:eastAsia="Times New Roman" w:cs="Arial"/>
          <w:i/>
          <w:iCs/>
          <w:color w:val="000000"/>
          <w:lang w:eastAsia="bg-BG"/>
        </w:rPr>
      </w:pPr>
    </w:p>
    <w:p w14:paraId="2D1BCECA" w14:textId="6EBA0D2E" w:rsidR="0091535E" w:rsidRPr="0091535E" w:rsidRDefault="0091535E" w:rsidP="0091535E">
      <w:pPr>
        <w:spacing w:line="240" w:lineRule="auto"/>
        <w:rPr>
          <w:rFonts w:eastAsia="Times New Roman" w:cs="Arial"/>
          <w:lang w:eastAsia="bg-BG"/>
        </w:rPr>
      </w:pPr>
      <w:r w:rsidRPr="0091535E">
        <w:rPr>
          <w:rFonts w:eastAsia="Times New Roman" w:cs="Arial"/>
          <w:i/>
          <w:iCs/>
          <w:color w:val="000000"/>
          <w:lang w:eastAsia="bg-BG"/>
        </w:rPr>
        <w:t>Пациенти с нарушена бъбречна функция</w:t>
      </w:r>
    </w:p>
    <w:p w14:paraId="0189DCCF" w14:textId="2C489D9A" w:rsidR="0091535E" w:rsidRPr="0091535E" w:rsidRDefault="0091535E" w:rsidP="0091535E">
      <w:pPr>
        <w:spacing w:line="240" w:lineRule="auto"/>
        <w:rPr>
          <w:rFonts w:eastAsia="Times New Roman" w:cs="Arial"/>
          <w:lang w:eastAsia="bg-BG"/>
        </w:rPr>
      </w:pPr>
      <w:r w:rsidRPr="0091535E">
        <w:rPr>
          <w:rFonts w:eastAsia="Times New Roman" w:cs="Arial"/>
          <w:color w:val="000000"/>
          <w:lang w:eastAsia="bg-BG"/>
        </w:rPr>
        <w:t>Не е необходимо коригиране на дозата при пациенти с лека до умерена бъбречна недостатъчност, тъй като повишаването на дозата до максималната поносима доза е индивидуално. Няма опит при пациенти с тежка бъбречна недостатъчност (серумен креатинин</w:t>
      </w:r>
      <w:r>
        <w:rPr>
          <w:rFonts w:eastAsia="Times New Roman" w:cs="Arial"/>
          <w:lang w:val="en-US" w:eastAsia="bg-BG"/>
        </w:rPr>
        <w:t xml:space="preserve"> </w:t>
      </w:r>
      <w:r w:rsidRPr="0091535E">
        <w:rPr>
          <w:rFonts w:eastAsia="Times New Roman" w:cs="Arial"/>
          <w:color w:val="000000"/>
          <w:lang w:eastAsia="bg-BG"/>
        </w:rPr>
        <w:t>≥</w:t>
      </w:r>
      <w:r w:rsidRPr="0091535E">
        <w:rPr>
          <w:rFonts w:eastAsia="Times New Roman" w:cs="Arial"/>
          <w:color w:val="000000"/>
          <w:lang w:val="en-US"/>
        </w:rPr>
        <w:t>250</w:t>
      </w:r>
      <w:r w:rsidRPr="0091535E">
        <w:rPr>
          <w:rFonts w:eastAsia="Times New Roman" w:cs="Arial"/>
          <w:color w:val="000000"/>
          <w:lang w:eastAsia="bg-BG"/>
        </w:rPr>
        <w:t>μ</w:t>
      </w:r>
      <w:r w:rsidRPr="0091535E">
        <w:rPr>
          <w:rFonts w:eastAsia="Times New Roman" w:cs="Arial"/>
          <w:color w:val="000000"/>
          <w:lang w:val="en-US"/>
        </w:rPr>
        <w:t xml:space="preserve">mol/l). </w:t>
      </w:r>
      <w:r w:rsidRPr="0091535E">
        <w:rPr>
          <w:rFonts w:eastAsia="Times New Roman" w:cs="Arial"/>
          <w:color w:val="000000"/>
          <w:lang w:eastAsia="bg-BG"/>
        </w:rPr>
        <w:t>Ето защо, не се препоръчва приложението на продукта при тези пациенти.</w:t>
      </w:r>
    </w:p>
    <w:p w14:paraId="5FB52E91" w14:textId="77777777" w:rsidR="0091535E" w:rsidRDefault="0091535E" w:rsidP="0091535E">
      <w:pPr>
        <w:spacing w:line="240" w:lineRule="auto"/>
        <w:rPr>
          <w:rFonts w:eastAsia="Times New Roman" w:cs="Arial"/>
          <w:i/>
          <w:iCs/>
          <w:color w:val="000000"/>
          <w:lang w:eastAsia="bg-BG"/>
        </w:rPr>
      </w:pPr>
    </w:p>
    <w:p w14:paraId="20E8A833" w14:textId="64A9C346" w:rsidR="0091535E" w:rsidRPr="0091535E" w:rsidRDefault="0091535E" w:rsidP="0091535E">
      <w:pPr>
        <w:spacing w:line="240" w:lineRule="auto"/>
        <w:rPr>
          <w:rFonts w:eastAsia="Times New Roman" w:cs="Arial"/>
          <w:lang w:eastAsia="bg-BG"/>
        </w:rPr>
      </w:pPr>
      <w:r w:rsidRPr="0091535E">
        <w:rPr>
          <w:rFonts w:eastAsia="Times New Roman" w:cs="Arial"/>
          <w:i/>
          <w:iCs/>
          <w:color w:val="000000"/>
          <w:lang w:eastAsia="bg-BG"/>
        </w:rPr>
        <w:t>Пациенти с нарушена чернодробна функция</w:t>
      </w:r>
    </w:p>
    <w:p w14:paraId="18896C72" w14:textId="77777777" w:rsidR="0091535E" w:rsidRPr="0091535E" w:rsidRDefault="0091535E" w:rsidP="0091535E">
      <w:pPr>
        <w:spacing w:line="240" w:lineRule="auto"/>
        <w:rPr>
          <w:rFonts w:eastAsia="Times New Roman" w:cs="Arial"/>
          <w:lang w:eastAsia="bg-BG"/>
        </w:rPr>
      </w:pPr>
      <w:r w:rsidRPr="0091535E">
        <w:rPr>
          <w:rFonts w:eastAsia="Times New Roman" w:cs="Arial"/>
          <w:color w:val="000000"/>
          <w:lang w:eastAsia="bg-BG"/>
        </w:rPr>
        <w:t>Данните при пациенти с чернодробна недостатъчност са ограничени. Ето защо, приложението на лекарствения продукт при тези пациенти е противопоказано.</w:t>
      </w:r>
    </w:p>
    <w:p w14:paraId="01A70809" w14:textId="77777777" w:rsidR="0091535E" w:rsidRDefault="0091535E" w:rsidP="0091535E">
      <w:pPr>
        <w:spacing w:line="240" w:lineRule="auto"/>
        <w:rPr>
          <w:rFonts w:eastAsia="Times New Roman" w:cs="Arial"/>
          <w:i/>
          <w:iCs/>
          <w:color w:val="000000"/>
          <w:lang w:eastAsia="bg-BG"/>
        </w:rPr>
      </w:pPr>
    </w:p>
    <w:p w14:paraId="6B120E11" w14:textId="1A351659" w:rsidR="0091535E" w:rsidRPr="0091535E" w:rsidRDefault="0091535E" w:rsidP="0091535E">
      <w:pPr>
        <w:spacing w:line="240" w:lineRule="auto"/>
        <w:rPr>
          <w:rFonts w:eastAsia="Times New Roman" w:cs="Arial"/>
          <w:lang w:eastAsia="bg-BG"/>
        </w:rPr>
      </w:pPr>
      <w:r w:rsidRPr="0091535E">
        <w:rPr>
          <w:rFonts w:eastAsia="Times New Roman" w:cs="Arial"/>
          <w:i/>
          <w:iCs/>
          <w:color w:val="000000"/>
          <w:lang w:eastAsia="bg-BG"/>
        </w:rPr>
        <w:t>Пациенти в старческа възраст</w:t>
      </w:r>
    </w:p>
    <w:p w14:paraId="2EB290A9" w14:textId="77777777" w:rsidR="0091535E" w:rsidRPr="0091535E" w:rsidRDefault="0091535E" w:rsidP="0091535E">
      <w:pPr>
        <w:spacing w:line="240" w:lineRule="auto"/>
        <w:rPr>
          <w:rFonts w:eastAsia="Times New Roman" w:cs="Arial"/>
          <w:lang w:eastAsia="bg-BG"/>
        </w:rPr>
      </w:pPr>
      <w:r w:rsidRPr="0091535E">
        <w:rPr>
          <w:rFonts w:eastAsia="Times New Roman" w:cs="Arial"/>
          <w:color w:val="000000"/>
          <w:lang w:eastAsia="bg-BG"/>
        </w:rPr>
        <w:t>Не е необходимо коригиране на дозата, тъй като повишаването на дозата до максималната поносима доза е индивидуално.</w:t>
      </w:r>
    </w:p>
    <w:p w14:paraId="5077AD02" w14:textId="77777777" w:rsidR="0091535E" w:rsidRDefault="0091535E" w:rsidP="0091535E">
      <w:pPr>
        <w:spacing w:line="240" w:lineRule="auto"/>
        <w:rPr>
          <w:rFonts w:eastAsia="Times New Roman" w:cs="Arial"/>
          <w:i/>
          <w:iCs/>
          <w:color w:val="000000"/>
          <w:lang w:eastAsia="bg-BG"/>
        </w:rPr>
      </w:pPr>
    </w:p>
    <w:p w14:paraId="1364639C" w14:textId="78D2F7C1" w:rsidR="0091535E" w:rsidRPr="0091535E" w:rsidRDefault="0091535E" w:rsidP="0091535E">
      <w:pPr>
        <w:spacing w:line="240" w:lineRule="auto"/>
        <w:rPr>
          <w:rFonts w:eastAsia="Times New Roman" w:cs="Arial"/>
          <w:lang w:eastAsia="bg-BG"/>
        </w:rPr>
      </w:pPr>
      <w:r w:rsidRPr="0091535E">
        <w:rPr>
          <w:rFonts w:eastAsia="Times New Roman" w:cs="Arial"/>
          <w:i/>
          <w:iCs/>
          <w:color w:val="000000"/>
          <w:lang w:eastAsia="bg-BG"/>
        </w:rPr>
        <w:t>Деца и юноши</w:t>
      </w:r>
    </w:p>
    <w:p w14:paraId="0D4E24B4" w14:textId="77777777" w:rsidR="0091535E" w:rsidRPr="0091535E" w:rsidRDefault="0091535E" w:rsidP="0091535E">
      <w:pPr>
        <w:spacing w:line="240" w:lineRule="auto"/>
        <w:rPr>
          <w:rFonts w:eastAsia="Times New Roman" w:cs="Arial"/>
          <w:lang w:eastAsia="bg-BG"/>
        </w:rPr>
      </w:pPr>
      <w:r w:rsidRPr="0091535E">
        <w:rPr>
          <w:rFonts w:eastAsia="Times New Roman" w:cs="Arial"/>
          <w:color w:val="000000"/>
          <w:lang w:eastAsia="bg-BG"/>
        </w:rPr>
        <w:t>Не са провеждани проучвания при деца и юноши под 18 години. Ето защо, не се препоръчва приложението на продукта при тази група пациенти.</w:t>
      </w:r>
    </w:p>
    <w:p w14:paraId="0417C79C" w14:textId="77777777" w:rsidR="0091535E" w:rsidRPr="0091535E" w:rsidRDefault="0091535E" w:rsidP="0091535E"/>
    <w:p w14:paraId="5D9E65DA" w14:textId="7FEC017B" w:rsidR="009F77A4" w:rsidRDefault="002C50EE" w:rsidP="00387A66">
      <w:pPr>
        <w:pStyle w:val="Heading2"/>
      </w:pPr>
      <w:r>
        <w:t>4.3. Противопоказания</w:t>
      </w:r>
    </w:p>
    <w:p w14:paraId="1C01BF14" w14:textId="0A0C16CB" w:rsidR="0091535E" w:rsidRDefault="0091535E" w:rsidP="0091535E"/>
    <w:p w14:paraId="2C677ADD" w14:textId="77777777" w:rsidR="0091535E" w:rsidRPr="0091535E" w:rsidRDefault="0091535E" w:rsidP="0091535E">
      <w:pPr>
        <w:pStyle w:val="ListParagraph"/>
        <w:numPr>
          <w:ilvl w:val="0"/>
          <w:numId w:val="40"/>
        </w:numPr>
        <w:spacing w:line="240" w:lineRule="auto"/>
        <w:rPr>
          <w:rFonts w:eastAsia="Times New Roman" w:cs="Arial"/>
          <w:lang w:eastAsia="bg-BG"/>
        </w:rPr>
      </w:pPr>
      <w:r w:rsidRPr="0091535E">
        <w:rPr>
          <w:rFonts w:eastAsia="Times New Roman" w:cs="Arial"/>
          <w:color w:val="000000"/>
          <w:lang w:eastAsia="bg-BG"/>
        </w:rPr>
        <w:t>свръхчувствителност към активното вещество или към някое от помощните вещества;</w:t>
      </w:r>
    </w:p>
    <w:p w14:paraId="3EDCB151" w14:textId="77777777" w:rsidR="0091535E" w:rsidRPr="0091535E" w:rsidRDefault="0091535E" w:rsidP="0091535E">
      <w:pPr>
        <w:pStyle w:val="ListParagraph"/>
        <w:numPr>
          <w:ilvl w:val="0"/>
          <w:numId w:val="40"/>
        </w:numPr>
        <w:spacing w:line="240" w:lineRule="auto"/>
        <w:rPr>
          <w:rFonts w:eastAsia="Times New Roman" w:cs="Arial"/>
          <w:lang w:eastAsia="bg-BG"/>
        </w:rPr>
      </w:pPr>
      <w:r w:rsidRPr="0091535E">
        <w:rPr>
          <w:rFonts w:eastAsia="Times New Roman" w:cs="Arial"/>
          <w:color w:val="000000"/>
          <w:lang w:eastAsia="bg-BG"/>
        </w:rPr>
        <w:t>чернодробна недостатъчност или нарушена чернодробна функция;</w:t>
      </w:r>
    </w:p>
    <w:p w14:paraId="4F3E09B6" w14:textId="2CD33D20" w:rsidR="0091535E" w:rsidRPr="0091535E" w:rsidRDefault="0091535E" w:rsidP="0091535E">
      <w:pPr>
        <w:pStyle w:val="ListParagraph"/>
        <w:numPr>
          <w:ilvl w:val="0"/>
          <w:numId w:val="40"/>
        </w:numPr>
        <w:spacing w:line="240" w:lineRule="auto"/>
        <w:rPr>
          <w:rFonts w:eastAsia="Times New Roman" w:cs="Arial"/>
          <w:lang w:eastAsia="bg-BG"/>
        </w:rPr>
      </w:pPr>
      <w:r w:rsidRPr="0091535E">
        <w:rPr>
          <w:rFonts w:eastAsia="Times New Roman" w:cs="Arial"/>
          <w:color w:val="000000"/>
          <w:lang w:eastAsia="bg-BG"/>
        </w:rPr>
        <w:t>остра сърдечна недостатъчност, кардиогенен шок или епизоди на декомпенсирана сърдечна недостатъчност, изискващи интравенозно инотропно лечение.</w:t>
      </w:r>
    </w:p>
    <w:p w14:paraId="026A9BD8" w14:textId="77777777" w:rsidR="0091535E" w:rsidRDefault="0091535E" w:rsidP="0091535E">
      <w:pPr>
        <w:spacing w:line="240" w:lineRule="auto"/>
        <w:rPr>
          <w:rFonts w:eastAsia="Times New Roman" w:cs="Arial"/>
          <w:color w:val="000000"/>
          <w:lang w:eastAsia="bg-BG"/>
        </w:rPr>
      </w:pPr>
    </w:p>
    <w:p w14:paraId="1A075FB7" w14:textId="338B4F36" w:rsidR="0091535E" w:rsidRPr="0091535E" w:rsidRDefault="0091535E" w:rsidP="0091535E">
      <w:pPr>
        <w:spacing w:line="240" w:lineRule="auto"/>
        <w:rPr>
          <w:rFonts w:eastAsia="Times New Roman" w:cs="Arial"/>
          <w:lang w:eastAsia="bg-BG"/>
        </w:rPr>
      </w:pPr>
      <w:r w:rsidRPr="0091535E">
        <w:rPr>
          <w:rFonts w:eastAsia="Times New Roman" w:cs="Arial"/>
          <w:color w:val="000000"/>
          <w:lang w:eastAsia="bg-BG"/>
        </w:rPr>
        <w:t>Подобно на останалите бета-блокери, небиволол е противопаказан и при:</w:t>
      </w:r>
    </w:p>
    <w:p w14:paraId="70EF5DDA" w14:textId="77777777" w:rsidR="0091535E" w:rsidRPr="0091535E" w:rsidRDefault="0091535E" w:rsidP="0091535E">
      <w:pPr>
        <w:pStyle w:val="ListParagraph"/>
        <w:numPr>
          <w:ilvl w:val="0"/>
          <w:numId w:val="41"/>
        </w:numPr>
        <w:spacing w:line="240" w:lineRule="auto"/>
        <w:rPr>
          <w:rFonts w:eastAsia="Times New Roman" w:cs="Arial"/>
          <w:lang w:eastAsia="bg-BG"/>
        </w:rPr>
      </w:pPr>
      <w:r w:rsidRPr="0091535E">
        <w:rPr>
          <w:rFonts w:eastAsia="Times New Roman" w:cs="Arial"/>
          <w:color w:val="000000"/>
          <w:lang w:eastAsia="bg-BG"/>
        </w:rPr>
        <w:t>синдром на болния синусов възел, включително сино-атриален блок</w:t>
      </w:r>
    </w:p>
    <w:p w14:paraId="18329444" w14:textId="77777777" w:rsidR="0091535E" w:rsidRPr="0091535E" w:rsidRDefault="0091535E" w:rsidP="0091535E">
      <w:pPr>
        <w:pStyle w:val="ListParagraph"/>
        <w:numPr>
          <w:ilvl w:val="0"/>
          <w:numId w:val="41"/>
        </w:numPr>
        <w:spacing w:line="240" w:lineRule="auto"/>
        <w:rPr>
          <w:rFonts w:eastAsia="Times New Roman" w:cs="Arial"/>
          <w:lang w:eastAsia="bg-BG"/>
        </w:rPr>
      </w:pPr>
      <w:r w:rsidRPr="0091535E">
        <w:rPr>
          <w:rFonts w:eastAsia="Times New Roman" w:cs="Arial"/>
          <w:color w:val="000000"/>
          <w:lang w:eastAsia="bg-BG"/>
        </w:rPr>
        <w:t>втора и трета степен на сърдечен блок (без пейсмейкър)</w:t>
      </w:r>
    </w:p>
    <w:p w14:paraId="015E495F" w14:textId="77777777" w:rsidR="0091535E" w:rsidRPr="0091535E" w:rsidRDefault="0091535E" w:rsidP="0091535E">
      <w:pPr>
        <w:pStyle w:val="ListParagraph"/>
        <w:numPr>
          <w:ilvl w:val="0"/>
          <w:numId w:val="41"/>
        </w:numPr>
        <w:spacing w:line="240" w:lineRule="auto"/>
        <w:rPr>
          <w:rFonts w:eastAsia="Times New Roman" w:cs="Arial"/>
          <w:lang w:eastAsia="bg-BG"/>
        </w:rPr>
      </w:pPr>
      <w:r w:rsidRPr="0091535E">
        <w:rPr>
          <w:rFonts w:eastAsia="Times New Roman" w:cs="Arial"/>
          <w:color w:val="000000"/>
          <w:lang w:eastAsia="bg-BG"/>
        </w:rPr>
        <w:t>анамнеза за бронхоспазъм или бронхиална астма</w:t>
      </w:r>
    </w:p>
    <w:p w14:paraId="44D5147E" w14:textId="77777777" w:rsidR="0091535E" w:rsidRPr="0091535E" w:rsidRDefault="0091535E" w:rsidP="0091535E">
      <w:pPr>
        <w:pStyle w:val="ListParagraph"/>
        <w:numPr>
          <w:ilvl w:val="0"/>
          <w:numId w:val="41"/>
        </w:numPr>
        <w:spacing w:line="240" w:lineRule="auto"/>
        <w:rPr>
          <w:rFonts w:eastAsia="Times New Roman" w:cs="Arial"/>
          <w:lang w:eastAsia="bg-BG"/>
        </w:rPr>
      </w:pPr>
      <w:r w:rsidRPr="0091535E">
        <w:rPr>
          <w:rFonts w:eastAsia="Times New Roman" w:cs="Arial"/>
          <w:color w:val="000000"/>
          <w:lang w:eastAsia="bg-BG"/>
        </w:rPr>
        <w:t>нелекуван феохромцитом</w:t>
      </w:r>
    </w:p>
    <w:p w14:paraId="012926AB" w14:textId="77777777" w:rsidR="0091535E" w:rsidRPr="0091535E" w:rsidRDefault="0091535E" w:rsidP="0091535E">
      <w:pPr>
        <w:pStyle w:val="ListParagraph"/>
        <w:numPr>
          <w:ilvl w:val="0"/>
          <w:numId w:val="41"/>
        </w:numPr>
        <w:spacing w:line="240" w:lineRule="auto"/>
        <w:rPr>
          <w:rFonts w:eastAsia="Times New Roman" w:cs="Arial"/>
          <w:lang w:eastAsia="bg-BG"/>
        </w:rPr>
      </w:pPr>
      <w:r w:rsidRPr="0091535E">
        <w:rPr>
          <w:rFonts w:eastAsia="Times New Roman" w:cs="Arial"/>
          <w:color w:val="000000"/>
          <w:lang w:eastAsia="bg-BG"/>
        </w:rPr>
        <w:lastRenderedPageBreak/>
        <w:t>метаболитна ацидоза</w:t>
      </w:r>
    </w:p>
    <w:p w14:paraId="252E2429" w14:textId="77777777" w:rsidR="0091535E" w:rsidRPr="0091535E" w:rsidRDefault="0091535E" w:rsidP="0091535E">
      <w:pPr>
        <w:pStyle w:val="ListParagraph"/>
        <w:numPr>
          <w:ilvl w:val="0"/>
          <w:numId w:val="41"/>
        </w:numPr>
        <w:spacing w:line="240" w:lineRule="auto"/>
        <w:rPr>
          <w:rFonts w:eastAsia="Times New Roman" w:cs="Arial"/>
          <w:lang w:eastAsia="bg-BG"/>
        </w:rPr>
      </w:pPr>
      <w:r w:rsidRPr="0091535E">
        <w:rPr>
          <w:rFonts w:eastAsia="Times New Roman" w:cs="Arial"/>
          <w:color w:val="000000"/>
          <w:lang w:eastAsia="bg-BG"/>
        </w:rPr>
        <w:t>брадикардия (сърдечна честота &lt; 60 удара в минута, преди началото на лечението)</w:t>
      </w:r>
    </w:p>
    <w:p w14:paraId="42DC4437" w14:textId="77777777" w:rsidR="0091535E" w:rsidRPr="0091535E" w:rsidRDefault="0091535E" w:rsidP="0091535E">
      <w:pPr>
        <w:pStyle w:val="ListParagraph"/>
        <w:numPr>
          <w:ilvl w:val="0"/>
          <w:numId w:val="41"/>
        </w:numPr>
        <w:spacing w:line="240" w:lineRule="auto"/>
        <w:rPr>
          <w:rFonts w:eastAsia="Times New Roman" w:cs="Arial"/>
          <w:lang w:eastAsia="bg-BG"/>
        </w:rPr>
      </w:pPr>
      <w:r w:rsidRPr="0091535E">
        <w:rPr>
          <w:rFonts w:eastAsia="Times New Roman" w:cs="Arial"/>
          <w:color w:val="000000"/>
          <w:lang w:eastAsia="bg-BG"/>
        </w:rPr>
        <w:t xml:space="preserve">хипотония (систолно налягане &lt; 90 </w:t>
      </w:r>
      <w:r w:rsidRPr="0091535E">
        <w:rPr>
          <w:rFonts w:eastAsia="Times New Roman" w:cs="Arial"/>
          <w:color w:val="000000"/>
          <w:lang w:val="en-US"/>
        </w:rPr>
        <w:t>mmHg)</w:t>
      </w:r>
    </w:p>
    <w:p w14:paraId="49BE4D5B" w14:textId="77777777" w:rsidR="0091535E" w:rsidRPr="0091535E" w:rsidRDefault="0091535E" w:rsidP="0091535E">
      <w:pPr>
        <w:pStyle w:val="ListParagraph"/>
        <w:numPr>
          <w:ilvl w:val="0"/>
          <w:numId w:val="41"/>
        </w:numPr>
        <w:spacing w:line="240" w:lineRule="auto"/>
        <w:rPr>
          <w:rFonts w:eastAsia="Times New Roman" w:cs="Arial"/>
          <w:lang w:eastAsia="bg-BG"/>
        </w:rPr>
      </w:pPr>
      <w:r w:rsidRPr="0091535E">
        <w:rPr>
          <w:rFonts w:eastAsia="Times New Roman" w:cs="Arial"/>
          <w:color w:val="000000"/>
          <w:lang w:eastAsia="bg-BG"/>
        </w:rPr>
        <w:t>остри периферни нарушения на кръвообръщението.</w:t>
      </w:r>
    </w:p>
    <w:p w14:paraId="0CD329E3" w14:textId="24AA864F" w:rsidR="0091535E" w:rsidRPr="0091535E" w:rsidRDefault="0091535E" w:rsidP="0091535E">
      <w:pPr>
        <w:pStyle w:val="ListParagraph"/>
        <w:numPr>
          <w:ilvl w:val="0"/>
          <w:numId w:val="41"/>
        </w:numPr>
        <w:spacing w:line="240" w:lineRule="auto"/>
        <w:rPr>
          <w:rFonts w:eastAsia="Times New Roman" w:cs="Arial"/>
          <w:lang w:eastAsia="bg-BG"/>
        </w:rPr>
      </w:pPr>
      <w:r w:rsidRPr="0091535E">
        <w:rPr>
          <w:rFonts w:eastAsia="Times New Roman" w:cs="Arial"/>
          <w:color w:val="000000"/>
          <w:lang w:eastAsia="bg-BG"/>
        </w:rPr>
        <w:t>комбинации с флоктафенин и султоприд (вж. т.4.5.).</w:t>
      </w:r>
    </w:p>
    <w:p w14:paraId="3CEF4DE8" w14:textId="77777777" w:rsidR="0091535E" w:rsidRPr="0091535E" w:rsidRDefault="0091535E" w:rsidP="0091535E">
      <w:pPr>
        <w:spacing w:line="240" w:lineRule="auto"/>
        <w:rPr>
          <w:rFonts w:eastAsia="Times New Roman" w:cs="Arial"/>
          <w:lang w:eastAsia="bg-BG"/>
        </w:rPr>
      </w:pPr>
    </w:p>
    <w:p w14:paraId="1C27CE53" w14:textId="776FFD9E" w:rsidR="009F77A4" w:rsidRDefault="002C50EE" w:rsidP="00387A66">
      <w:pPr>
        <w:pStyle w:val="Heading2"/>
      </w:pPr>
      <w:r>
        <w:t>4.4. Специални предупреждения и предпазни мерки при употреба</w:t>
      </w:r>
    </w:p>
    <w:p w14:paraId="1E617DF4" w14:textId="1D29AE51" w:rsidR="0091535E" w:rsidRDefault="0091535E" w:rsidP="0091535E"/>
    <w:p w14:paraId="5221327C" w14:textId="77777777" w:rsidR="0091535E" w:rsidRPr="0091535E" w:rsidRDefault="0091535E" w:rsidP="0091535E">
      <w:pPr>
        <w:spacing w:line="240" w:lineRule="auto"/>
        <w:rPr>
          <w:rFonts w:eastAsia="Times New Roman" w:cs="Arial"/>
          <w:lang w:eastAsia="bg-BG"/>
        </w:rPr>
      </w:pPr>
      <w:r w:rsidRPr="0091535E">
        <w:rPr>
          <w:rFonts w:eastAsia="Times New Roman" w:cs="Arial"/>
          <w:color w:val="000000"/>
          <w:lang w:eastAsia="bg-BG"/>
        </w:rPr>
        <w:t>Вж. също точка 4.8. Нежелани лекарствени реакции.</w:t>
      </w:r>
    </w:p>
    <w:p w14:paraId="5E9AB20F" w14:textId="77777777" w:rsidR="0091535E" w:rsidRPr="0091535E" w:rsidRDefault="0091535E" w:rsidP="0091535E">
      <w:pPr>
        <w:spacing w:line="240" w:lineRule="auto"/>
        <w:rPr>
          <w:rFonts w:eastAsia="Times New Roman" w:cs="Arial"/>
          <w:lang w:eastAsia="bg-BG"/>
        </w:rPr>
      </w:pPr>
      <w:r w:rsidRPr="0091535E">
        <w:rPr>
          <w:rFonts w:eastAsia="Times New Roman" w:cs="Arial"/>
          <w:color w:val="000000"/>
          <w:lang w:eastAsia="bg-BG"/>
        </w:rPr>
        <w:t>Следните предупреждения и специални мерки важат за бета-адренергичните антагонисти като цяло.</w:t>
      </w:r>
    </w:p>
    <w:p w14:paraId="7514FF00" w14:textId="77777777" w:rsidR="0091535E" w:rsidRPr="0091535E" w:rsidRDefault="0091535E" w:rsidP="0091535E">
      <w:pPr>
        <w:spacing w:line="240" w:lineRule="auto"/>
        <w:rPr>
          <w:rFonts w:eastAsia="Times New Roman" w:cs="Arial"/>
          <w:color w:val="000000"/>
          <w:u w:val="single"/>
          <w:lang w:eastAsia="bg-BG"/>
        </w:rPr>
      </w:pPr>
    </w:p>
    <w:p w14:paraId="6FADE2AE" w14:textId="1A561FF7" w:rsidR="0091535E" w:rsidRPr="0091535E" w:rsidRDefault="0091535E" w:rsidP="0091535E">
      <w:pPr>
        <w:spacing w:line="240" w:lineRule="auto"/>
        <w:rPr>
          <w:rFonts w:eastAsia="Times New Roman" w:cs="Arial"/>
          <w:lang w:eastAsia="bg-BG"/>
        </w:rPr>
      </w:pPr>
      <w:r w:rsidRPr="0091535E">
        <w:rPr>
          <w:rFonts w:eastAsia="Times New Roman" w:cs="Arial"/>
          <w:color w:val="000000"/>
          <w:u w:val="single"/>
          <w:lang w:eastAsia="bg-BG"/>
        </w:rPr>
        <w:t>Анестезия</w:t>
      </w:r>
    </w:p>
    <w:p w14:paraId="7CDE295D" w14:textId="77777777" w:rsidR="0091535E" w:rsidRPr="0091535E" w:rsidRDefault="0091535E" w:rsidP="0091535E">
      <w:pPr>
        <w:spacing w:line="240" w:lineRule="auto"/>
        <w:rPr>
          <w:rFonts w:eastAsia="Times New Roman" w:cs="Arial"/>
          <w:lang w:eastAsia="bg-BG"/>
        </w:rPr>
      </w:pPr>
      <w:r w:rsidRPr="0091535E">
        <w:rPr>
          <w:rFonts w:eastAsia="Times New Roman" w:cs="Arial"/>
          <w:color w:val="000000"/>
          <w:lang w:eastAsia="bg-BG"/>
        </w:rPr>
        <w:t>Продължаването на бета-блокадата намалява риска от аритмии по време на въвеждането в анестезия и при интубиране. Ако бета-блокадата бъде прекъсната при подготовка за оперативна интервенция, то приема на бета-блокера трябва да бъде преустановен поне 24 часа преди това.</w:t>
      </w:r>
    </w:p>
    <w:p w14:paraId="63112780" w14:textId="6EE8C99D" w:rsidR="0091535E" w:rsidRDefault="0091535E" w:rsidP="0091535E"/>
    <w:p w14:paraId="4A22261D" w14:textId="77777777" w:rsidR="0091535E" w:rsidRPr="0091535E" w:rsidRDefault="0091535E" w:rsidP="0091535E">
      <w:pPr>
        <w:spacing w:line="240" w:lineRule="auto"/>
        <w:rPr>
          <w:rFonts w:eastAsia="Times New Roman" w:cs="Arial"/>
          <w:lang w:eastAsia="bg-BG"/>
        </w:rPr>
      </w:pPr>
      <w:r w:rsidRPr="0091535E">
        <w:rPr>
          <w:rFonts w:eastAsia="Times New Roman" w:cs="Arial"/>
          <w:color w:val="000000"/>
          <w:lang w:eastAsia="bg-BG"/>
        </w:rPr>
        <w:t>Необходимо е повишено внимание при приложението на някои анестетици, които водят до потискане функцията на миокарда. За предотвратяване на вагусовите реакции, при тези пациенти може да бъде приложен интравенозно атропин.</w:t>
      </w:r>
    </w:p>
    <w:p w14:paraId="419F0002" w14:textId="77777777" w:rsidR="0091535E" w:rsidRDefault="0091535E" w:rsidP="0091535E">
      <w:pPr>
        <w:spacing w:line="240" w:lineRule="auto"/>
        <w:rPr>
          <w:rFonts w:eastAsia="Times New Roman" w:cs="Arial"/>
          <w:color w:val="000000"/>
          <w:u w:val="single"/>
          <w:lang w:eastAsia="bg-BG"/>
        </w:rPr>
      </w:pPr>
    </w:p>
    <w:p w14:paraId="1B1D156E" w14:textId="3E5AEF66" w:rsidR="0091535E" w:rsidRPr="0091535E" w:rsidRDefault="0091535E" w:rsidP="0091535E">
      <w:pPr>
        <w:spacing w:line="240" w:lineRule="auto"/>
        <w:rPr>
          <w:rFonts w:eastAsia="Times New Roman" w:cs="Arial"/>
          <w:lang w:eastAsia="bg-BG"/>
        </w:rPr>
      </w:pPr>
      <w:r w:rsidRPr="0091535E">
        <w:rPr>
          <w:rFonts w:eastAsia="Times New Roman" w:cs="Arial"/>
          <w:color w:val="000000"/>
          <w:u w:val="single"/>
          <w:lang w:eastAsia="bg-BG"/>
        </w:rPr>
        <w:t>Сърдечно-съдова система</w:t>
      </w:r>
    </w:p>
    <w:p w14:paraId="45CBF035" w14:textId="77777777" w:rsidR="0091535E" w:rsidRPr="0091535E" w:rsidRDefault="0091535E" w:rsidP="0091535E">
      <w:pPr>
        <w:spacing w:line="240" w:lineRule="auto"/>
        <w:rPr>
          <w:rFonts w:eastAsia="Times New Roman" w:cs="Arial"/>
          <w:lang w:eastAsia="bg-BG"/>
        </w:rPr>
      </w:pPr>
      <w:r w:rsidRPr="0091535E">
        <w:rPr>
          <w:rFonts w:eastAsia="Times New Roman" w:cs="Arial"/>
          <w:color w:val="000000"/>
          <w:lang w:eastAsia="bg-BG"/>
        </w:rPr>
        <w:t>По принцип, бета-адренергичните антагонисти не трябва да бъдат прилагани при пациенти с нелекувана застойна сърдечна недостатъчност, освен ако състоянието на пациента не е стабилизирано.</w:t>
      </w:r>
    </w:p>
    <w:p w14:paraId="4D2A85EA" w14:textId="77777777" w:rsidR="0091535E" w:rsidRDefault="0091535E" w:rsidP="0091535E">
      <w:pPr>
        <w:spacing w:line="240" w:lineRule="auto"/>
        <w:rPr>
          <w:rFonts w:eastAsia="Times New Roman" w:cs="Arial"/>
          <w:color w:val="000000"/>
          <w:lang w:eastAsia="bg-BG"/>
        </w:rPr>
      </w:pPr>
    </w:p>
    <w:p w14:paraId="3BCAF387" w14:textId="0BD03268" w:rsidR="0091535E" w:rsidRPr="0091535E" w:rsidRDefault="0091535E" w:rsidP="0091535E">
      <w:pPr>
        <w:spacing w:line="240" w:lineRule="auto"/>
        <w:rPr>
          <w:rFonts w:eastAsia="Times New Roman" w:cs="Arial"/>
          <w:lang w:eastAsia="bg-BG"/>
        </w:rPr>
      </w:pPr>
      <w:r w:rsidRPr="0091535E">
        <w:rPr>
          <w:rFonts w:eastAsia="Times New Roman" w:cs="Arial"/>
          <w:color w:val="000000"/>
          <w:lang w:eastAsia="bg-BG"/>
        </w:rPr>
        <w:t>При пациенти с исхемична болест на сърцето, лечението с бета-адренергични антагонисти трябва да бъде преустановявано постепенно, в продължение на повече от 1 -2 седмици. При необходимост, по време на този период може да бъде приложено заместващо лечение, с цел предотвратяване екзацербацията (влошаването) на ангина пекгорис.</w:t>
      </w:r>
    </w:p>
    <w:p w14:paraId="4DFBC478" w14:textId="77777777" w:rsidR="0091535E" w:rsidRDefault="0091535E" w:rsidP="0091535E">
      <w:pPr>
        <w:spacing w:line="240" w:lineRule="auto"/>
        <w:rPr>
          <w:rFonts w:eastAsia="Times New Roman" w:cs="Arial"/>
          <w:color w:val="000000"/>
          <w:lang w:eastAsia="bg-BG"/>
        </w:rPr>
      </w:pPr>
    </w:p>
    <w:p w14:paraId="73ED4673" w14:textId="73603C72" w:rsidR="0091535E" w:rsidRPr="0091535E" w:rsidRDefault="0091535E" w:rsidP="0091535E">
      <w:pPr>
        <w:spacing w:line="240" w:lineRule="auto"/>
        <w:rPr>
          <w:rFonts w:eastAsia="Times New Roman" w:cs="Arial"/>
          <w:lang w:eastAsia="bg-BG"/>
        </w:rPr>
      </w:pPr>
      <w:r w:rsidRPr="0091535E">
        <w:rPr>
          <w:rFonts w:eastAsia="Times New Roman" w:cs="Arial"/>
          <w:color w:val="000000"/>
          <w:lang w:eastAsia="bg-BG"/>
        </w:rPr>
        <w:t>Бета-адренергичните антагонисти може да доведат до появата на брадикардия: необходимо е намаляване на дозата, ако честотата на пулса спадне под 50-55 удара в минута при покой и/или при симптоми, предполагащи наличието на брадикардия.</w:t>
      </w:r>
    </w:p>
    <w:p w14:paraId="60133033" w14:textId="77777777" w:rsidR="0091535E" w:rsidRDefault="0091535E" w:rsidP="0091535E">
      <w:pPr>
        <w:spacing w:line="240" w:lineRule="auto"/>
        <w:rPr>
          <w:rFonts w:eastAsia="Times New Roman" w:cs="Arial"/>
          <w:color w:val="000000"/>
          <w:lang w:eastAsia="bg-BG"/>
        </w:rPr>
      </w:pPr>
    </w:p>
    <w:p w14:paraId="70B4A3C2" w14:textId="4EAD0E87" w:rsidR="0091535E" w:rsidRPr="0091535E" w:rsidRDefault="0091535E" w:rsidP="0091535E">
      <w:pPr>
        <w:spacing w:line="240" w:lineRule="auto"/>
        <w:rPr>
          <w:rFonts w:eastAsia="Times New Roman" w:cs="Arial"/>
          <w:lang w:eastAsia="bg-BG"/>
        </w:rPr>
      </w:pPr>
      <w:r w:rsidRPr="0091535E">
        <w:rPr>
          <w:rFonts w:eastAsia="Times New Roman" w:cs="Arial"/>
          <w:color w:val="000000"/>
          <w:lang w:eastAsia="bg-BG"/>
        </w:rPr>
        <w:t>Бета-адренергичните антагонисти трябва да се прилагат с повишено внимание при следните случаи:</w:t>
      </w:r>
    </w:p>
    <w:p w14:paraId="6EC632C0" w14:textId="77777777" w:rsidR="0091535E" w:rsidRPr="0091535E" w:rsidRDefault="0091535E" w:rsidP="0091535E">
      <w:pPr>
        <w:pStyle w:val="ListParagraph"/>
        <w:numPr>
          <w:ilvl w:val="0"/>
          <w:numId w:val="42"/>
        </w:numPr>
        <w:spacing w:line="240" w:lineRule="auto"/>
        <w:rPr>
          <w:rFonts w:eastAsia="Times New Roman" w:cs="Arial"/>
          <w:lang w:eastAsia="bg-BG"/>
        </w:rPr>
      </w:pPr>
      <w:r w:rsidRPr="0091535E">
        <w:rPr>
          <w:rFonts w:eastAsia="Times New Roman" w:cs="Arial"/>
          <w:color w:val="000000"/>
          <w:lang w:eastAsia="bg-BG"/>
        </w:rPr>
        <w:t>пациенти с нарушена периферна циркулация (болест или синдром на Рейно, интермитентно накуцване), поради възможност от влошаване на състоянието.</w:t>
      </w:r>
    </w:p>
    <w:p w14:paraId="7A2DE0B7" w14:textId="77777777" w:rsidR="0091535E" w:rsidRPr="0091535E" w:rsidRDefault="0091535E" w:rsidP="0091535E">
      <w:pPr>
        <w:pStyle w:val="ListParagraph"/>
        <w:numPr>
          <w:ilvl w:val="0"/>
          <w:numId w:val="42"/>
        </w:numPr>
        <w:spacing w:line="240" w:lineRule="auto"/>
        <w:rPr>
          <w:rFonts w:eastAsia="Times New Roman" w:cs="Arial"/>
          <w:lang w:eastAsia="bg-BG"/>
        </w:rPr>
      </w:pPr>
      <w:r w:rsidRPr="0091535E">
        <w:rPr>
          <w:rFonts w:eastAsia="Times New Roman" w:cs="Arial"/>
          <w:color w:val="000000"/>
          <w:lang w:eastAsia="bg-BG"/>
        </w:rPr>
        <w:t>пациенти с първа степен на сърдечен блок, поради отрицателния ефект на бета- блокерите върху проводното време.</w:t>
      </w:r>
    </w:p>
    <w:p w14:paraId="7AA6848A" w14:textId="1A383AA1" w:rsidR="0091535E" w:rsidRPr="0091535E" w:rsidRDefault="0091535E" w:rsidP="0091535E">
      <w:pPr>
        <w:pStyle w:val="ListParagraph"/>
        <w:numPr>
          <w:ilvl w:val="0"/>
          <w:numId w:val="42"/>
        </w:numPr>
        <w:spacing w:line="240" w:lineRule="auto"/>
        <w:rPr>
          <w:rFonts w:eastAsia="Times New Roman" w:cs="Arial"/>
          <w:lang w:eastAsia="bg-BG"/>
        </w:rPr>
      </w:pPr>
      <w:r w:rsidRPr="0091535E">
        <w:rPr>
          <w:rFonts w:eastAsia="Times New Roman" w:cs="Arial"/>
          <w:color w:val="000000"/>
          <w:lang w:eastAsia="bg-BG"/>
        </w:rPr>
        <w:t xml:space="preserve">при пациенти с ангина на </w:t>
      </w:r>
      <w:proofErr w:type="spellStart"/>
      <w:r w:rsidRPr="0091535E">
        <w:rPr>
          <w:rFonts w:eastAsia="Times New Roman" w:cs="Arial"/>
          <w:i/>
          <w:iCs/>
          <w:color w:val="000000"/>
          <w:lang w:val="en-US"/>
        </w:rPr>
        <w:t>Prinzmetal</w:t>
      </w:r>
      <w:proofErr w:type="spellEnd"/>
      <w:r w:rsidRPr="0091535E">
        <w:rPr>
          <w:rFonts w:eastAsia="Times New Roman" w:cs="Arial"/>
          <w:i/>
          <w:iCs/>
          <w:color w:val="000000"/>
          <w:lang w:val="en-US"/>
        </w:rPr>
        <w:t>,</w:t>
      </w:r>
      <w:r w:rsidRPr="0091535E">
        <w:rPr>
          <w:rFonts w:eastAsia="Times New Roman" w:cs="Arial"/>
          <w:color w:val="000000"/>
          <w:lang w:val="en-US"/>
        </w:rPr>
        <w:t xml:space="preserve"> </w:t>
      </w:r>
      <w:r w:rsidRPr="0091535E">
        <w:rPr>
          <w:rFonts w:eastAsia="Times New Roman" w:cs="Arial"/>
          <w:color w:val="000000"/>
          <w:lang w:eastAsia="bg-BG"/>
        </w:rPr>
        <w:t>поради възможност за появата на коронарен вазоспазъм, медииран от неблокираните алфа-адренорецептори. Бета-адренергичните антагонисти може да повишат честотата и продължителността на ангинозните пристъпи.</w:t>
      </w:r>
    </w:p>
    <w:p w14:paraId="65AD8276" w14:textId="77777777" w:rsidR="0091535E" w:rsidRDefault="0091535E" w:rsidP="0091535E">
      <w:pPr>
        <w:spacing w:line="240" w:lineRule="auto"/>
        <w:rPr>
          <w:rFonts w:eastAsia="Times New Roman" w:cs="Arial"/>
          <w:color w:val="000000"/>
          <w:lang w:eastAsia="bg-BG"/>
        </w:rPr>
      </w:pPr>
    </w:p>
    <w:p w14:paraId="6137A7E1" w14:textId="4D12CF74" w:rsidR="0091535E" w:rsidRPr="0091535E" w:rsidRDefault="0091535E" w:rsidP="0091535E">
      <w:pPr>
        <w:spacing w:line="240" w:lineRule="auto"/>
        <w:rPr>
          <w:rFonts w:eastAsia="Times New Roman" w:cs="Arial"/>
          <w:lang w:eastAsia="bg-BG"/>
        </w:rPr>
      </w:pPr>
      <w:r w:rsidRPr="0091535E">
        <w:rPr>
          <w:rFonts w:eastAsia="Times New Roman" w:cs="Arial"/>
          <w:color w:val="000000"/>
          <w:lang w:eastAsia="bg-BG"/>
        </w:rPr>
        <w:lastRenderedPageBreak/>
        <w:t>Не се препоръчва комбинирането на небиволол с калциеви антагонисти от верапамилов или дилтиаземов тип, с антиаритмици клас 1, какго и с централно-действащи антихипертензивни средства (вж. също т. 4.5).</w:t>
      </w:r>
    </w:p>
    <w:p w14:paraId="69B88A85" w14:textId="77777777" w:rsidR="0091535E" w:rsidRDefault="0091535E" w:rsidP="0091535E">
      <w:pPr>
        <w:spacing w:line="240" w:lineRule="auto"/>
        <w:rPr>
          <w:rFonts w:eastAsia="Times New Roman" w:cs="Arial"/>
          <w:color w:val="000000"/>
          <w:u w:val="single"/>
          <w:lang w:eastAsia="bg-BG"/>
        </w:rPr>
      </w:pPr>
    </w:p>
    <w:p w14:paraId="2F30456C" w14:textId="4C72C33B" w:rsidR="0091535E" w:rsidRPr="0091535E" w:rsidRDefault="0091535E" w:rsidP="0091535E">
      <w:pPr>
        <w:spacing w:line="240" w:lineRule="auto"/>
        <w:rPr>
          <w:rFonts w:eastAsia="Times New Roman" w:cs="Arial"/>
          <w:lang w:eastAsia="bg-BG"/>
        </w:rPr>
      </w:pPr>
      <w:r w:rsidRPr="0091535E">
        <w:rPr>
          <w:rFonts w:eastAsia="Times New Roman" w:cs="Arial"/>
          <w:color w:val="000000"/>
          <w:u w:val="single"/>
          <w:lang w:eastAsia="bg-BG"/>
        </w:rPr>
        <w:t>Метаболизъм/ендокринна система</w:t>
      </w:r>
    </w:p>
    <w:p w14:paraId="69E3FC2D" w14:textId="77777777" w:rsidR="0091535E" w:rsidRPr="0091535E" w:rsidRDefault="0091535E" w:rsidP="0091535E">
      <w:pPr>
        <w:spacing w:line="240" w:lineRule="auto"/>
        <w:rPr>
          <w:rFonts w:eastAsia="Times New Roman" w:cs="Arial"/>
          <w:lang w:eastAsia="bg-BG"/>
        </w:rPr>
      </w:pPr>
      <w:r w:rsidRPr="0091535E">
        <w:rPr>
          <w:rFonts w:eastAsia="Times New Roman" w:cs="Arial"/>
          <w:color w:val="000000"/>
          <w:lang w:eastAsia="bg-BG"/>
        </w:rPr>
        <w:t>Небиволол не повлиява нивата на глюкозата при пациенти с диабет. Въпреки това, е необходимо повишено внимание при пациентите с диабет, тъй като небиволол може да маскира някои от симптомите на хипогликемия (тахикардия, палпитации).</w:t>
      </w:r>
    </w:p>
    <w:p w14:paraId="3168F6EB" w14:textId="77777777" w:rsidR="0091535E" w:rsidRDefault="0091535E" w:rsidP="0091535E">
      <w:pPr>
        <w:spacing w:line="240" w:lineRule="auto"/>
        <w:rPr>
          <w:rFonts w:eastAsia="Times New Roman" w:cs="Arial"/>
          <w:color w:val="000000"/>
          <w:lang w:eastAsia="bg-BG"/>
        </w:rPr>
      </w:pPr>
    </w:p>
    <w:p w14:paraId="6A4E302C" w14:textId="0DE1FB0E" w:rsidR="0091535E" w:rsidRPr="0091535E" w:rsidRDefault="0091535E" w:rsidP="0091535E">
      <w:pPr>
        <w:spacing w:line="240" w:lineRule="auto"/>
        <w:rPr>
          <w:rFonts w:eastAsia="Times New Roman" w:cs="Arial"/>
          <w:lang w:eastAsia="bg-BG"/>
        </w:rPr>
      </w:pPr>
      <w:r w:rsidRPr="0091535E">
        <w:rPr>
          <w:rFonts w:eastAsia="Times New Roman" w:cs="Arial"/>
          <w:color w:val="000000"/>
          <w:lang w:eastAsia="bg-BG"/>
        </w:rPr>
        <w:t>Бета-блокерите може да маскират симптомите на тахикардия при хипертиреоидизъм. Рязкото преустановяване на приема може да засили симптомите.</w:t>
      </w:r>
    </w:p>
    <w:p w14:paraId="0ACDA28F" w14:textId="77777777" w:rsidR="0091535E" w:rsidRDefault="0091535E" w:rsidP="0091535E">
      <w:pPr>
        <w:spacing w:line="240" w:lineRule="auto"/>
        <w:rPr>
          <w:rFonts w:eastAsia="Times New Roman" w:cs="Arial"/>
          <w:color w:val="000000"/>
          <w:u w:val="single"/>
          <w:lang w:eastAsia="bg-BG"/>
        </w:rPr>
      </w:pPr>
    </w:p>
    <w:p w14:paraId="549B026B" w14:textId="67A6F338" w:rsidR="0091535E" w:rsidRPr="0091535E" w:rsidRDefault="0091535E" w:rsidP="0091535E">
      <w:pPr>
        <w:spacing w:line="240" w:lineRule="auto"/>
        <w:rPr>
          <w:rFonts w:eastAsia="Times New Roman" w:cs="Arial"/>
          <w:lang w:eastAsia="bg-BG"/>
        </w:rPr>
      </w:pPr>
      <w:r w:rsidRPr="0091535E">
        <w:rPr>
          <w:rFonts w:eastAsia="Times New Roman" w:cs="Arial"/>
          <w:color w:val="000000"/>
          <w:u w:val="single"/>
          <w:lang w:eastAsia="bg-BG"/>
        </w:rPr>
        <w:t>Дихателна система</w:t>
      </w:r>
    </w:p>
    <w:p w14:paraId="6E5DBBB6" w14:textId="77777777" w:rsidR="0091535E" w:rsidRDefault="0091535E" w:rsidP="0091535E">
      <w:pPr>
        <w:spacing w:line="240" w:lineRule="auto"/>
        <w:rPr>
          <w:rFonts w:eastAsia="Times New Roman" w:cs="Arial"/>
          <w:color w:val="000000"/>
          <w:lang w:eastAsia="bg-BG"/>
        </w:rPr>
      </w:pPr>
      <w:r w:rsidRPr="0091535E">
        <w:rPr>
          <w:rFonts w:eastAsia="Times New Roman" w:cs="Arial"/>
          <w:color w:val="000000"/>
          <w:lang w:eastAsia="bg-BG"/>
        </w:rPr>
        <w:t xml:space="preserve">Поради опасност от повишаване констрикцията на дихателните пътища, небиволол трябва да се прилага с повишено внимание при пациенти с хронична обструктивна </w:t>
      </w:r>
    </w:p>
    <w:p w14:paraId="59B89511" w14:textId="22D55D01" w:rsidR="0091535E" w:rsidRPr="0091535E" w:rsidRDefault="0091535E" w:rsidP="0091535E">
      <w:pPr>
        <w:spacing w:line="240" w:lineRule="auto"/>
        <w:rPr>
          <w:rFonts w:eastAsia="Times New Roman" w:cs="Arial"/>
          <w:lang w:eastAsia="bg-BG"/>
        </w:rPr>
      </w:pPr>
      <w:r w:rsidRPr="0091535E">
        <w:rPr>
          <w:rFonts w:eastAsia="Times New Roman" w:cs="Arial"/>
          <w:color w:val="000000"/>
          <w:lang w:eastAsia="bg-BG"/>
        </w:rPr>
        <w:t>белодробна болест.</w:t>
      </w:r>
    </w:p>
    <w:p w14:paraId="534C7688" w14:textId="77777777" w:rsidR="0091535E" w:rsidRDefault="0091535E" w:rsidP="0091535E">
      <w:pPr>
        <w:spacing w:line="240" w:lineRule="auto"/>
        <w:rPr>
          <w:rFonts w:eastAsia="Times New Roman" w:cs="Arial"/>
          <w:color w:val="000000"/>
          <w:u w:val="single"/>
          <w:lang w:eastAsia="bg-BG"/>
        </w:rPr>
      </w:pPr>
    </w:p>
    <w:p w14:paraId="193B90FC" w14:textId="1CF738D8" w:rsidR="0091535E" w:rsidRPr="0091535E" w:rsidRDefault="0091535E" w:rsidP="0091535E">
      <w:pPr>
        <w:spacing w:line="240" w:lineRule="auto"/>
        <w:rPr>
          <w:rFonts w:eastAsia="Times New Roman" w:cs="Arial"/>
          <w:lang w:eastAsia="bg-BG"/>
        </w:rPr>
      </w:pPr>
      <w:r w:rsidRPr="0091535E">
        <w:rPr>
          <w:rFonts w:eastAsia="Times New Roman" w:cs="Arial"/>
          <w:color w:val="000000"/>
          <w:u w:val="single"/>
          <w:lang w:eastAsia="bg-BG"/>
        </w:rPr>
        <w:t>Други</w:t>
      </w:r>
    </w:p>
    <w:p w14:paraId="1D35C4ED" w14:textId="77777777" w:rsidR="0091535E" w:rsidRPr="0091535E" w:rsidRDefault="0091535E" w:rsidP="0091535E">
      <w:pPr>
        <w:spacing w:line="240" w:lineRule="auto"/>
        <w:rPr>
          <w:rFonts w:eastAsia="Times New Roman" w:cs="Arial"/>
          <w:lang w:eastAsia="bg-BG"/>
        </w:rPr>
      </w:pPr>
      <w:r w:rsidRPr="0091535E">
        <w:rPr>
          <w:rFonts w:eastAsia="Times New Roman" w:cs="Arial"/>
          <w:color w:val="000000"/>
          <w:lang w:eastAsia="bg-BG"/>
        </w:rPr>
        <w:t>Пациентите с анамнеза за псориазис трябва да приемат бета-блокери, само след внимателна преценка на състоянието.</w:t>
      </w:r>
    </w:p>
    <w:p w14:paraId="4ACEE383" w14:textId="77777777" w:rsidR="0091535E" w:rsidRDefault="0091535E" w:rsidP="0091535E">
      <w:pPr>
        <w:spacing w:line="240" w:lineRule="auto"/>
        <w:rPr>
          <w:rFonts w:eastAsia="Times New Roman" w:cs="Arial"/>
          <w:color w:val="000000"/>
          <w:lang w:eastAsia="bg-BG"/>
        </w:rPr>
      </w:pPr>
    </w:p>
    <w:p w14:paraId="32D08679" w14:textId="376C24DC" w:rsidR="0091535E" w:rsidRPr="0091535E" w:rsidRDefault="0091535E" w:rsidP="0091535E">
      <w:pPr>
        <w:spacing w:line="240" w:lineRule="auto"/>
        <w:rPr>
          <w:rFonts w:eastAsia="Times New Roman" w:cs="Arial"/>
          <w:lang w:eastAsia="bg-BG"/>
        </w:rPr>
      </w:pPr>
      <w:r w:rsidRPr="0091535E">
        <w:rPr>
          <w:rFonts w:eastAsia="Times New Roman" w:cs="Arial"/>
          <w:color w:val="000000"/>
          <w:lang w:eastAsia="bg-BG"/>
        </w:rPr>
        <w:t>Бета-адренергичните антагонисти може да повишат както чувствителността към алергените, така и тежестта на анафилактичните реакции.</w:t>
      </w:r>
    </w:p>
    <w:p w14:paraId="21248143" w14:textId="77777777" w:rsidR="0091535E" w:rsidRDefault="0091535E" w:rsidP="0091535E">
      <w:pPr>
        <w:spacing w:line="240" w:lineRule="auto"/>
        <w:rPr>
          <w:rFonts w:eastAsia="Times New Roman" w:cs="Arial"/>
          <w:color w:val="000000"/>
          <w:lang w:eastAsia="bg-BG"/>
        </w:rPr>
      </w:pPr>
    </w:p>
    <w:p w14:paraId="04C3A9A6" w14:textId="107FAA67" w:rsidR="0091535E" w:rsidRDefault="0091535E" w:rsidP="0091535E">
      <w:pPr>
        <w:spacing w:line="240" w:lineRule="auto"/>
        <w:rPr>
          <w:rFonts w:eastAsia="Times New Roman" w:cs="Arial"/>
          <w:color w:val="000000"/>
          <w:lang w:eastAsia="bg-BG"/>
        </w:rPr>
      </w:pPr>
      <w:r w:rsidRPr="0091535E">
        <w:rPr>
          <w:rFonts w:eastAsia="Times New Roman" w:cs="Arial"/>
          <w:color w:val="000000"/>
          <w:lang w:eastAsia="bg-BG"/>
        </w:rPr>
        <w:t>Започването на лечението с небиволол при хронична сърдечна недостатъчност изисква редовно проследяване. За дозировката и начина на приложение, вж. точка 4.2. Лечението не</w:t>
      </w:r>
      <w:r w:rsidRPr="0091535E">
        <w:rPr>
          <w:rFonts w:eastAsia="Times New Roman" w:cs="Arial"/>
          <w:b/>
          <w:bCs/>
          <w:color w:val="000000"/>
          <w:lang w:eastAsia="bg-BG"/>
        </w:rPr>
        <w:t xml:space="preserve"> </w:t>
      </w:r>
      <w:r w:rsidRPr="0091535E">
        <w:rPr>
          <w:rFonts w:eastAsia="Times New Roman" w:cs="Arial"/>
          <w:color w:val="000000"/>
          <w:lang w:eastAsia="bg-BG"/>
        </w:rPr>
        <w:t>трябва да бъде преустановявано изведнъж, освен в случаите на абсолютна нобходимост. За допълнителна информация, вж. точка 4.2.</w:t>
      </w:r>
    </w:p>
    <w:p w14:paraId="0CB8FAB4" w14:textId="2F76713B" w:rsidR="0091535E" w:rsidRDefault="0091535E" w:rsidP="0091535E">
      <w:pPr>
        <w:spacing w:line="240" w:lineRule="auto"/>
        <w:rPr>
          <w:rFonts w:eastAsia="Times New Roman" w:cs="Arial"/>
          <w:color w:val="000000"/>
          <w:lang w:eastAsia="bg-BG"/>
        </w:rPr>
      </w:pPr>
    </w:p>
    <w:p w14:paraId="6DE2B3DB" w14:textId="12D4A9CC" w:rsidR="0091535E" w:rsidRPr="0091535E" w:rsidRDefault="0091535E" w:rsidP="0091535E">
      <w:pPr>
        <w:rPr>
          <w:sz w:val="24"/>
          <w:szCs w:val="24"/>
          <w:lang w:eastAsia="bg-BG"/>
        </w:rPr>
      </w:pPr>
      <w:r w:rsidRPr="0091535E">
        <w:rPr>
          <w:lang w:eastAsia="bg-BG"/>
        </w:rPr>
        <w:t xml:space="preserve">Този лекарствен продукт съдържа лактоза. Ето защо, пациенти с редки наследстени проблеми на галактозна непоносимост, </w:t>
      </w:r>
      <w:r w:rsidRPr="0091535E">
        <w:rPr>
          <w:lang w:val="en-US"/>
        </w:rPr>
        <w:t>Lapp</w:t>
      </w:r>
      <w:r w:rsidRPr="0091535E">
        <w:rPr>
          <w:lang w:eastAsia="bg-BG"/>
        </w:rPr>
        <w:t>-лактазна недостатъчност или глюкозо- галактозна малабсорбция не трябва да приемат този лекарствен продукт.</w:t>
      </w:r>
    </w:p>
    <w:p w14:paraId="738B7B3A" w14:textId="77777777" w:rsidR="0091535E" w:rsidRPr="0091535E" w:rsidRDefault="0091535E" w:rsidP="0091535E"/>
    <w:p w14:paraId="1DA47448" w14:textId="0B88C0E3" w:rsidR="009F77A4" w:rsidRDefault="002C50EE" w:rsidP="00387A66">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p>
    <w:p w14:paraId="185C831C" w14:textId="301E76F4" w:rsidR="0091535E" w:rsidRDefault="0091535E" w:rsidP="0091535E"/>
    <w:p w14:paraId="613947DB" w14:textId="77777777" w:rsidR="0091535E" w:rsidRPr="0091535E" w:rsidRDefault="0091535E" w:rsidP="0091535E">
      <w:pPr>
        <w:spacing w:line="240" w:lineRule="auto"/>
        <w:rPr>
          <w:rFonts w:eastAsia="Times New Roman" w:cs="Arial"/>
          <w:lang w:eastAsia="bg-BG"/>
        </w:rPr>
      </w:pPr>
      <w:r w:rsidRPr="0091535E">
        <w:rPr>
          <w:rFonts w:eastAsia="Times New Roman" w:cs="Arial"/>
          <w:color w:val="000000"/>
          <w:u w:val="single"/>
          <w:lang w:eastAsia="bg-BG"/>
        </w:rPr>
        <w:t>Фармакодинамични взаимодействия</w:t>
      </w:r>
    </w:p>
    <w:p w14:paraId="7763147C" w14:textId="77777777" w:rsidR="0091535E" w:rsidRDefault="0091535E" w:rsidP="0091535E">
      <w:pPr>
        <w:spacing w:line="240" w:lineRule="auto"/>
        <w:rPr>
          <w:rFonts w:eastAsia="Times New Roman" w:cs="Arial"/>
          <w:color w:val="000000"/>
          <w:u w:val="single"/>
          <w:lang w:eastAsia="bg-BG"/>
        </w:rPr>
      </w:pPr>
    </w:p>
    <w:p w14:paraId="6D8685AE" w14:textId="4D98BBA2" w:rsidR="0091535E" w:rsidRPr="0091535E" w:rsidRDefault="0091535E" w:rsidP="0091535E">
      <w:pPr>
        <w:spacing w:line="240" w:lineRule="auto"/>
        <w:rPr>
          <w:rFonts w:eastAsia="Times New Roman" w:cs="Arial"/>
          <w:lang w:eastAsia="bg-BG"/>
        </w:rPr>
      </w:pPr>
      <w:r w:rsidRPr="0091535E">
        <w:rPr>
          <w:rFonts w:eastAsia="Times New Roman" w:cs="Arial"/>
          <w:color w:val="000000"/>
          <w:u w:val="single"/>
          <w:lang w:eastAsia="bg-BG"/>
        </w:rPr>
        <w:t>Контраиндицирани комбинации</w:t>
      </w:r>
    </w:p>
    <w:p w14:paraId="5CC35E58" w14:textId="77777777" w:rsidR="0091535E" w:rsidRPr="0091535E" w:rsidRDefault="0091535E" w:rsidP="0091535E">
      <w:pPr>
        <w:spacing w:line="240" w:lineRule="auto"/>
        <w:rPr>
          <w:rFonts w:eastAsia="Times New Roman" w:cs="Arial"/>
          <w:lang w:eastAsia="bg-BG"/>
        </w:rPr>
      </w:pPr>
      <w:r w:rsidRPr="0091535E">
        <w:rPr>
          <w:rFonts w:eastAsia="Times New Roman" w:cs="Arial"/>
          <w:color w:val="000000"/>
          <w:u w:val="single"/>
          <w:lang w:eastAsia="bg-BG"/>
        </w:rPr>
        <w:t>Флоктафенин (НСПВ):</w:t>
      </w:r>
      <w:r w:rsidRPr="0091535E">
        <w:rPr>
          <w:rFonts w:eastAsia="Times New Roman" w:cs="Arial"/>
          <w:color w:val="000000"/>
          <w:lang w:eastAsia="bg-BG"/>
        </w:rPr>
        <w:t xml:space="preserve"> бета-блокерите могат да затруднят компенсаторните кардоваскуларни реакции, свързани с хипотензинзия или шок, предизвикани от флоктафенин.</w:t>
      </w:r>
    </w:p>
    <w:p w14:paraId="4E0732CE" w14:textId="77777777" w:rsidR="0091535E" w:rsidRPr="0091535E" w:rsidRDefault="0091535E" w:rsidP="0091535E">
      <w:pPr>
        <w:spacing w:line="240" w:lineRule="auto"/>
        <w:rPr>
          <w:rFonts w:eastAsia="Times New Roman" w:cs="Arial"/>
          <w:lang w:eastAsia="bg-BG"/>
        </w:rPr>
      </w:pPr>
      <w:r w:rsidRPr="0091535E">
        <w:rPr>
          <w:rFonts w:eastAsia="Times New Roman" w:cs="Arial"/>
          <w:color w:val="000000"/>
          <w:lang w:eastAsia="bg-BG"/>
        </w:rPr>
        <w:t>Султоприд (антипсихотик): небиволол не трябва да се прилага съвместно със султоприл поради увеличен риск от вентрикуларна аритмия.</w:t>
      </w:r>
    </w:p>
    <w:p w14:paraId="70DB04FF" w14:textId="77777777" w:rsidR="0091535E" w:rsidRDefault="0091535E" w:rsidP="0091535E">
      <w:pPr>
        <w:spacing w:line="240" w:lineRule="auto"/>
        <w:rPr>
          <w:rFonts w:eastAsia="Times New Roman" w:cs="Arial"/>
          <w:color w:val="000000"/>
          <w:u w:val="single"/>
          <w:lang w:eastAsia="bg-BG"/>
        </w:rPr>
      </w:pPr>
    </w:p>
    <w:p w14:paraId="0534E4B4" w14:textId="2F15C2B2" w:rsidR="0091535E" w:rsidRPr="0091535E" w:rsidRDefault="0091535E" w:rsidP="0091535E">
      <w:pPr>
        <w:spacing w:line="240" w:lineRule="auto"/>
        <w:rPr>
          <w:rFonts w:eastAsia="Times New Roman" w:cs="Arial"/>
          <w:lang w:eastAsia="bg-BG"/>
        </w:rPr>
      </w:pPr>
      <w:r w:rsidRPr="0091535E">
        <w:rPr>
          <w:rFonts w:eastAsia="Times New Roman" w:cs="Arial"/>
          <w:color w:val="000000"/>
          <w:u w:val="single"/>
          <w:lang w:eastAsia="bg-BG"/>
        </w:rPr>
        <w:t>Комбинации, които не са препоръчителни</w:t>
      </w:r>
    </w:p>
    <w:p w14:paraId="59367507" w14:textId="77777777" w:rsidR="0091535E" w:rsidRPr="0091535E" w:rsidRDefault="0091535E" w:rsidP="0091535E">
      <w:pPr>
        <w:spacing w:line="240" w:lineRule="auto"/>
        <w:rPr>
          <w:rFonts w:eastAsia="Times New Roman" w:cs="Arial"/>
          <w:lang w:eastAsia="bg-BG"/>
        </w:rPr>
      </w:pPr>
      <w:r w:rsidRPr="0091535E">
        <w:rPr>
          <w:rFonts w:eastAsia="Times New Roman" w:cs="Arial"/>
          <w:i/>
          <w:iCs/>
          <w:color w:val="000000"/>
          <w:lang w:eastAsia="bg-BG"/>
        </w:rPr>
        <w:t>Антиаритмици от клас I (хинидин, хидрохинидин, цибензолин, флекаинид, дизопирамид, лидокаин, мексилетин, пропафенон):</w:t>
      </w:r>
      <w:r w:rsidRPr="0091535E">
        <w:rPr>
          <w:rFonts w:eastAsia="Times New Roman" w:cs="Arial"/>
          <w:color w:val="000000"/>
          <w:lang w:eastAsia="bg-BG"/>
        </w:rPr>
        <w:t xml:space="preserve"> възможно е потенциране на ефекта върху атрио-вентрикуларното време на провеждане и усилване на отрицателния инотропен ефект.</w:t>
      </w:r>
    </w:p>
    <w:p w14:paraId="16C29CDA" w14:textId="77777777" w:rsidR="0091535E" w:rsidRDefault="0091535E" w:rsidP="0091535E">
      <w:pPr>
        <w:spacing w:line="240" w:lineRule="auto"/>
        <w:rPr>
          <w:rFonts w:eastAsia="Times New Roman" w:cs="Arial"/>
          <w:i/>
          <w:iCs/>
          <w:color w:val="000000"/>
          <w:lang w:eastAsia="bg-BG"/>
        </w:rPr>
      </w:pPr>
    </w:p>
    <w:p w14:paraId="19346AC2" w14:textId="43B87739" w:rsidR="0091535E" w:rsidRPr="0091535E" w:rsidRDefault="0091535E" w:rsidP="0091535E">
      <w:pPr>
        <w:spacing w:line="240" w:lineRule="auto"/>
        <w:rPr>
          <w:rFonts w:eastAsia="Times New Roman" w:cs="Arial"/>
          <w:lang w:eastAsia="bg-BG"/>
        </w:rPr>
      </w:pPr>
      <w:r w:rsidRPr="0091535E">
        <w:rPr>
          <w:rFonts w:eastAsia="Times New Roman" w:cs="Arial"/>
          <w:i/>
          <w:iCs/>
          <w:color w:val="000000"/>
          <w:lang w:eastAsia="bg-BG"/>
        </w:rPr>
        <w:lastRenderedPageBreak/>
        <w:t>Калциеви антагонисти от верапамилов/дилтиаземов тип:</w:t>
      </w:r>
      <w:r w:rsidRPr="0091535E">
        <w:rPr>
          <w:rFonts w:eastAsia="Times New Roman" w:cs="Arial"/>
          <w:color w:val="000000"/>
          <w:lang w:eastAsia="bg-BG"/>
        </w:rPr>
        <w:t xml:space="preserve"> отрицателен ефект върху контрактилитета и атрио-вентрикуларната проводимост. Интравенозното приложение на верапамил при пациенти, приемащи бета-блокери, може да доведе до тежка хипотония и атрио-вентрикуларен блок (вж. точка 4.4.)</w:t>
      </w:r>
    </w:p>
    <w:p w14:paraId="5EE700BF" w14:textId="77777777" w:rsidR="0091535E" w:rsidRDefault="0091535E" w:rsidP="0091535E">
      <w:pPr>
        <w:spacing w:line="240" w:lineRule="auto"/>
        <w:rPr>
          <w:rFonts w:eastAsia="Times New Roman" w:cs="Arial"/>
          <w:i/>
          <w:iCs/>
          <w:color w:val="000000"/>
          <w:lang w:eastAsia="bg-BG"/>
        </w:rPr>
      </w:pPr>
    </w:p>
    <w:p w14:paraId="0AF04675" w14:textId="1D5B9EC7" w:rsidR="0091535E" w:rsidRPr="0091535E" w:rsidRDefault="0091535E" w:rsidP="0091535E">
      <w:pPr>
        <w:spacing w:line="240" w:lineRule="auto"/>
        <w:rPr>
          <w:rFonts w:eastAsia="Times New Roman" w:cs="Arial"/>
          <w:lang w:eastAsia="bg-BG"/>
        </w:rPr>
      </w:pPr>
      <w:r w:rsidRPr="0091535E">
        <w:rPr>
          <w:rFonts w:eastAsia="Times New Roman" w:cs="Arial"/>
          <w:i/>
          <w:iCs/>
          <w:color w:val="000000"/>
          <w:lang w:eastAsia="bg-BG"/>
        </w:rPr>
        <w:t>Централно-действащи антихипертензивни средства (клонидин, гуанфацин, моксонидин, метилдопа, рилменидин):</w:t>
      </w:r>
      <w:r w:rsidRPr="0091535E">
        <w:rPr>
          <w:rFonts w:eastAsia="Times New Roman" w:cs="Arial"/>
          <w:color w:val="000000"/>
          <w:lang w:eastAsia="bg-BG"/>
        </w:rPr>
        <w:t xml:space="preserve"> едновременното приложение с централно-действащи антихипертензивни средства може да влоши сърдечната недостатъчност чрез понижение на централния симпатиков тонус (понижение на сърдечната честота и сърдечния обем, вазодилатация) (вж. точка 4.4.). Внезапното преустановяване, особено преди преустановяване на бета-блокера, може да повиши риска от така наречената “ребаунд хипертония”.</w:t>
      </w:r>
    </w:p>
    <w:p w14:paraId="3332ECF0" w14:textId="77777777" w:rsidR="0091535E" w:rsidRDefault="0091535E" w:rsidP="0091535E">
      <w:pPr>
        <w:spacing w:line="240" w:lineRule="auto"/>
        <w:rPr>
          <w:rFonts w:eastAsia="Times New Roman" w:cs="Arial"/>
          <w:color w:val="000000"/>
          <w:u w:val="single"/>
          <w:lang w:eastAsia="bg-BG"/>
        </w:rPr>
      </w:pPr>
    </w:p>
    <w:p w14:paraId="3ECBAFE6" w14:textId="5F149207" w:rsidR="0091535E" w:rsidRPr="0091535E" w:rsidRDefault="0091535E" w:rsidP="0091535E">
      <w:pPr>
        <w:spacing w:line="240" w:lineRule="auto"/>
        <w:rPr>
          <w:rFonts w:eastAsia="Times New Roman" w:cs="Arial"/>
          <w:lang w:eastAsia="bg-BG"/>
        </w:rPr>
      </w:pPr>
      <w:r w:rsidRPr="0091535E">
        <w:rPr>
          <w:rFonts w:eastAsia="Times New Roman" w:cs="Arial"/>
          <w:color w:val="000000"/>
          <w:u w:val="single"/>
          <w:lang w:eastAsia="bg-BG"/>
        </w:rPr>
        <w:t>Комбинации, които трябва да се прилагат с повишено внимание</w:t>
      </w:r>
    </w:p>
    <w:p w14:paraId="2727E9A4" w14:textId="2B7B110F" w:rsidR="0091535E" w:rsidRPr="0091535E" w:rsidRDefault="0091535E" w:rsidP="0091535E">
      <w:pPr>
        <w:spacing w:line="240" w:lineRule="auto"/>
        <w:rPr>
          <w:rFonts w:eastAsia="Times New Roman" w:cs="Arial"/>
          <w:lang w:eastAsia="bg-BG"/>
        </w:rPr>
      </w:pPr>
      <w:r w:rsidRPr="0091535E">
        <w:rPr>
          <w:rFonts w:eastAsia="Times New Roman" w:cs="Arial"/>
          <w:i/>
          <w:iCs/>
          <w:color w:val="000000"/>
          <w:lang w:eastAsia="bg-BG"/>
        </w:rPr>
        <w:t>Антиаритмични средства от клас III (амиодарон):</w:t>
      </w:r>
      <w:r w:rsidRPr="0091535E">
        <w:rPr>
          <w:rFonts w:eastAsia="Times New Roman" w:cs="Arial"/>
          <w:color w:val="000000"/>
          <w:lang w:eastAsia="bg-BG"/>
        </w:rPr>
        <w:t xml:space="preserve"> може да се потенцира ефектът върху атрио-вентрикуларното преводно време.</w:t>
      </w:r>
    </w:p>
    <w:p w14:paraId="136BE695" w14:textId="77777777" w:rsidR="0091535E" w:rsidRDefault="0091535E" w:rsidP="0091535E">
      <w:pPr>
        <w:spacing w:line="240" w:lineRule="auto"/>
        <w:rPr>
          <w:rFonts w:eastAsia="Times New Roman" w:cs="Arial"/>
          <w:i/>
          <w:iCs/>
          <w:color w:val="000000"/>
          <w:lang w:eastAsia="bg-BG"/>
        </w:rPr>
      </w:pPr>
    </w:p>
    <w:p w14:paraId="413AFF50" w14:textId="7D251A39" w:rsidR="0091535E" w:rsidRPr="0091535E" w:rsidRDefault="0091535E" w:rsidP="0091535E">
      <w:pPr>
        <w:spacing w:line="240" w:lineRule="auto"/>
        <w:rPr>
          <w:rFonts w:eastAsia="Times New Roman" w:cs="Arial"/>
          <w:lang w:eastAsia="bg-BG"/>
        </w:rPr>
      </w:pPr>
      <w:r w:rsidRPr="0091535E">
        <w:rPr>
          <w:rFonts w:eastAsia="Times New Roman" w:cs="Arial"/>
          <w:i/>
          <w:iCs/>
          <w:color w:val="000000"/>
          <w:lang w:eastAsia="bg-BG"/>
        </w:rPr>
        <w:t>Анестетици - летливи халогенати:</w:t>
      </w:r>
      <w:r w:rsidRPr="0091535E">
        <w:rPr>
          <w:rFonts w:eastAsia="Times New Roman" w:cs="Arial"/>
          <w:color w:val="000000"/>
          <w:lang w:eastAsia="bg-BG"/>
        </w:rPr>
        <w:t xml:space="preserve"> едновременното приложение на бета-адренергични блокери и анестетици може да намали проявата на рефлекторна тахикардия и да повиши риска от хипотония (вж. точка 4.4). По принцип, трябва да се избягва внезапното преустановяване на бета-блокера. Анестезиологът трябва да бъде информиран, ако пациента приема небиволол.</w:t>
      </w:r>
    </w:p>
    <w:p w14:paraId="0AD73551" w14:textId="77777777" w:rsidR="0091535E" w:rsidRDefault="0091535E" w:rsidP="0091535E">
      <w:pPr>
        <w:spacing w:line="240" w:lineRule="auto"/>
        <w:rPr>
          <w:rFonts w:eastAsia="Times New Roman" w:cs="Arial"/>
          <w:i/>
          <w:iCs/>
          <w:color w:val="000000"/>
          <w:lang w:eastAsia="bg-BG"/>
        </w:rPr>
      </w:pPr>
    </w:p>
    <w:p w14:paraId="0F616586" w14:textId="08E9C27F" w:rsidR="0091535E" w:rsidRPr="0091535E" w:rsidRDefault="0091535E" w:rsidP="0091535E">
      <w:pPr>
        <w:spacing w:line="240" w:lineRule="auto"/>
        <w:rPr>
          <w:rFonts w:eastAsia="Times New Roman" w:cs="Arial"/>
          <w:lang w:eastAsia="bg-BG"/>
        </w:rPr>
      </w:pPr>
      <w:r w:rsidRPr="0091535E">
        <w:rPr>
          <w:rFonts w:eastAsia="Times New Roman" w:cs="Arial"/>
          <w:i/>
          <w:iCs/>
          <w:color w:val="000000"/>
          <w:lang w:eastAsia="bg-BG"/>
        </w:rPr>
        <w:t>Инсулин и перорални антидиабетни средства:</w:t>
      </w:r>
      <w:r w:rsidRPr="0091535E">
        <w:rPr>
          <w:rFonts w:eastAsia="Times New Roman" w:cs="Arial"/>
          <w:color w:val="000000"/>
          <w:lang w:eastAsia="bg-BG"/>
        </w:rPr>
        <w:t xml:space="preserve"> въпреки, че небиволол не повлиява нивата на кръвната глюкоза, той може да маскира някои от симптомите на хипогликемия (палпитации, тахикардия).</w:t>
      </w:r>
    </w:p>
    <w:p w14:paraId="27FB49BC" w14:textId="77777777" w:rsidR="0091535E" w:rsidRDefault="0091535E" w:rsidP="0091535E">
      <w:pPr>
        <w:spacing w:line="240" w:lineRule="auto"/>
        <w:rPr>
          <w:rFonts w:eastAsia="Times New Roman" w:cs="Arial"/>
          <w:color w:val="000000"/>
          <w:u w:val="single"/>
          <w:lang w:eastAsia="bg-BG"/>
        </w:rPr>
      </w:pPr>
    </w:p>
    <w:p w14:paraId="268087C5" w14:textId="43081430" w:rsidR="0091535E" w:rsidRPr="0091535E" w:rsidRDefault="0091535E" w:rsidP="0091535E">
      <w:pPr>
        <w:spacing w:line="240" w:lineRule="auto"/>
        <w:rPr>
          <w:rFonts w:eastAsia="Times New Roman" w:cs="Arial"/>
          <w:lang w:eastAsia="bg-BG"/>
        </w:rPr>
      </w:pPr>
      <w:r w:rsidRPr="0091535E">
        <w:rPr>
          <w:rFonts w:eastAsia="Times New Roman" w:cs="Arial"/>
          <w:color w:val="000000"/>
          <w:u w:val="single"/>
          <w:lang w:eastAsia="bg-BG"/>
        </w:rPr>
        <w:t>Комбинации, които трябва да се вземат под внимание</w:t>
      </w:r>
    </w:p>
    <w:p w14:paraId="2BE54BFC" w14:textId="77777777" w:rsidR="0091535E" w:rsidRPr="0091535E" w:rsidRDefault="0091535E" w:rsidP="0091535E">
      <w:pPr>
        <w:spacing w:line="240" w:lineRule="auto"/>
        <w:rPr>
          <w:rFonts w:eastAsia="Times New Roman" w:cs="Arial"/>
          <w:lang w:eastAsia="bg-BG"/>
        </w:rPr>
      </w:pPr>
      <w:r w:rsidRPr="0091535E">
        <w:rPr>
          <w:rFonts w:eastAsia="Times New Roman" w:cs="Arial"/>
          <w:i/>
          <w:iCs/>
          <w:color w:val="000000"/>
          <w:lang w:eastAsia="bg-BG"/>
        </w:rPr>
        <w:t>Дигиталисови гликозиди:</w:t>
      </w:r>
      <w:r w:rsidRPr="0091535E">
        <w:rPr>
          <w:rFonts w:eastAsia="Times New Roman" w:cs="Arial"/>
          <w:color w:val="000000"/>
          <w:lang w:eastAsia="bg-BG"/>
        </w:rPr>
        <w:t xml:space="preserve"> едновременното приложение може да удължи атрио- вентрикуларното преводно време. Клиничните изпитвания с небиволол не са показали данни за взаимодействие. Небиволол не повлиява кинетиката на дигоксин.</w:t>
      </w:r>
    </w:p>
    <w:p w14:paraId="6C4B9AB5" w14:textId="77777777" w:rsidR="0091535E" w:rsidRDefault="0091535E" w:rsidP="0091535E">
      <w:pPr>
        <w:rPr>
          <w:rFonts w:eastAsia="Times New Roman" w:cs="Arial"/>
          <w:i/>
          <w:iCs/>
          <w:color w:val="000000"/>
          <w:lang w:eastAsia="bg-BG"/>
        </w:rPr>
      </w:pPr>
    </w:p>
    <w:p w14:paraId="1BC647CF" w14:textId="62279FE0" w:rsidR="0091535E" w:rsidRDefault="0091535E" w:rsidP="0091535E">
      <w:pPr>
        <w:rPr>
          <w:rFonts w:eastAsia="Times New Roman" w:cs="Arial"/>
          <w:color w:val="000000"/>
          <w:lang w:eastAsia="bg-BG"/>
        </w:rPr>
      </w:pPr>
      <w:r w:rsidRPr="0091535E">
        <w:rPr>
          <w:rFonts w:eastAsia="Times New Roman" w:cs="Arial"/>
          <w:i/>
          <w:iCs/>
          <w:color w:val="000000"/>
          <w:lang w:eastAsia="bg-BG"/>
        </w:rPr>
        <w:t>Калциеви антагонисти от дихидропиридинов тип (амлодипин, фелодипин, лацидипин, нифедипин, никардипин, нимодипин, нитрендипин):</w:t>
      </w:r>
      <w:r w:rsidRPr="0091535E">
        <w:rPr>
          <w:rFonts w:eastAsia="Times New Roman" w:cs="Arial"/>
          <w:color w:val="000000"/>
          <w:lang w:eastAsia="bg-BG"/>
        </w:rPr>
        <w:t xml:space="preserve"> едновременното приложение може да увеличи както риска от хипотония, така и риска от допълнително влошаване на каменната функция при пациенти със сърдечна недостатъчност.</w:t>
      </w:r>
    </w:p>
    <w:p w14:paraId="252D4897" w14:textId="55469821" w:rsidR="0091535E" w:rsidRDefault="0091535E" w:rsidP="0091535E">
      <w:pPr>
        <w:rPr>
          <w:rFonts w:eastAsia="Times New Roman" w:cs="Arial"/>
          <w:color w:val="000000"/>
          <w:lang w:eastAsia="bg-BG"/>
        </w:rPr>
      </w:pPr>
    </w:p>
    <w:p w14:paraId="3C0FBA11" w14:textId="77777777" w:rsidR="0091535E" w:rsidRPr="0091535E" w:rsidRDefault="0091535E" w:rsidP="0091535E">
      <w:pPr>
        <w:spacing w:line="240" w:lineRule="auto"/>
        <w:rPr>
          <w:rFonts w:eastAsia="Times New Roman" w:cs="Arial"/>
          <w:lang w:eastAsia="bg-BG"/>
        </w:rPr>
      </w:pPr>
      <w:r w:rsidRPr="0091535E">
        <w:rPr>
          <w:rFonts w:eastAsia="Times New Roman" w:cs="Arial"/>
          <w:i/>
          <w:iCs/>
          <w:color w:val="000000"/>
          <w:lang w:eastAsia="bg-BG"/>
        </w:rPr>
        <w:t xml:space="preserve">Антипсихотгци, антидепресанти (трициклични барбитурати и фенотиазини): </w:t>
      </w:r>
      <w:r w:rsidRPr="0091535E">
        <w:rPr>
          <w:rFonts w:eastAsia="Times New Roman" w:cs="Arial"/>
          <w:color w:val="000000"/>
          <w:lang w:eastAsia="bg-BG"/>
        </w:rPr>
        <w:t>едновременното приложение може да засили хипотензивният ефект на бета-блокерите.</w:t>
      </w:r>
    </w:p>
    <w:p w14:paraId="746F410C" w14:textId="77777777" w:rsidR="0091535E" w:rsidRDefault="0091535E" w:rsidP="0091535E">
      <w:pPr>
        <w:spacing w:line="240" w:lineRule="auto"/>
        <w:rPr>
          <w:rFonts w:eastAsia="Times New Roman" w:cs="Arial"/>
          <w:i/>
          <w:iCs/>
          <w:color w:val="000000"/>
          <w:lang w:eastAsia="bg-BG"/>
        </w:rPr>
      </w:pPr>
    </w:p>
    <w:p w14:paraId="42620354" w14:textId="6676BE4B" w:rsidR="0091535E" w:rsidRPr="0091535E" w:rsidRDefault="0091535E" w:rsidP="0091535E">
      <w:pPr>
        <w:spacing w:line="240" w:lineRule="auto"/>
        <w:rPr>
          <w:rFonts w:eastAsia="Times New Roman" w:cs="Arial"/>
          <w:lang w:eastAsia="bg-BG"/>
        </w:rPr>
      </w:pPr>
      <w:r w:rsidRPr="0091535E">
        <w:rPr>
          <w:rFonts w:eastAsia="Times New Roman" w:cs="Arial"/>
          <w:i/>
          <w:iCs/>
          <w:color w:val="000000"/>
          <w:lang w:eastAsia="bg-BG"/>
        </w:rPr>
        <w:t>Нестероидни противовъзпалителни средства (НСПВС):</w:t>
      </w:r>
      <w:r w:rsidRPr="0091535E">
        <w:rPr>
          <w:rFonts w:eastAsia="Times New Roman" w:cs="Arial"/>
          <w:color w:val="000000"/>
          <w:lang w:eastAsia="bg-BG"/>
        </w:rPr>
        <w:t xml:space="preserve"> нямат влияние върху антихипертензивния ефект на небиволол.</w:t>
      </w:r>
    </w:p>
    <w:p w14:paraId="2EFC2CD1" w14:textId="77777777" w:rsidR="0091535E" w:rsidRDefault="0091535E" w:rsidP="0091535E">
      <w:pPr>
        <w:spacing w:line="240" w:lineRule="auto"/>
        <w:rPr>
          <w:rFonts w:eastAsia="Times New Roman" w:cs="Arial"/>
          <w:i/>
          <w:iCs/>
          <w:color w:val="000000"/>
          <w:lang w:eastAsia="bg-BG"/>
        </w:rPr>
      </w:pPr>
    </w:p>
    <w:p w14:paraId="45268F99" w14:textId="6B1F6896" w:rsidR="0091535E" w:rsidRPr="0091535E" w:rsidRDefault="0091535E" w:rsidP="0091535E">
      <w:pPr>
        <w:spacing w:line="240" w:lineRule="auto"/>
        <w:rPr>
          <w:rFonts w:eastAsia="Times New Roman" w:cs="Arial"/>
          <w:lang w:eastAsia="bg-BG"/>
        </w:rPr>
      </w:pPr>
      <w:r w:rsidRPr="0091535E">
        <w:rPr>
          <w:rFonts w:eastAsia="Times New Roman" w:cs="Arial"/>
          <w:i/>
          <w:iCs/>
          <w:color w:val="000000"/>
          <w:lang w:eastAsia="bg-BG"/>
        </w:rPr>
        <w:t>Симпатикомиметични</w:t>
      </w:r>
      <w:r w:rsidRPr="0091535E">
        <w:rPr>
          <w:rFonts w:eastAsia="Times New Roman" w:cs="Arial"/>
          <w:color w:val="000000"/>
          <w:lang w:eastAsia="bg-BG"/>
        </w:rPr>
        <w:t xml:space="preserve"> едновременното приложение може да противодейства на бета- антагостичната активност. Бета-блокерите може да не противодействат на алфа-адренергичното действие на симпашкомиметициге с алфа- и бета-адренергична активност (опасност от хипертония, тежка брадикардия и сърдечен блок).</w:t>
      </w:r>
    </w:p>
    <w:p w14:paraId="6BA26C6D" w14:textId="77777777" w:rsidR="0091535E" w:rsidRDefault="0091535E" w:rsidP="0091535E">
      <w:pPr>
        <w:spacing w:line="240" w:lineRule="auto"/>
        <w:rPr>
          <w:rFonts w:eastAsia="Times New Roman" w:cs="Arial"/>
          <w:color w:val="000000"/>
          <w:u w:val="single"/>
          <w:lang w:eastAsia="bg-BG"/>
        </w:rPr>
      </w:pPr>
    </w:p>
    <w:p w14:paraId="735FB180" w14:textId="1B501E2D" w:rsidR="0091535E" w:rsidRPr="0091535E" w:rsidRDefault="0091535E" w:rsidP="0091535E">
      <w:pPr>
        <w:spacing w:line="240" w:lineRule="auto"/>
        <w:rPr>
          <w:rFonts w:eastAsia="Times New Roman" w:cs="Arial"/>
          <w:lang w:eastAsia="bg-BG"/>
        </w:rPr>
      </w:pPr>
      <w:r w:rsidRPr="0091535E">
        <w:rPr>
          <w:rFonts w:eastAsia="Times New Roman" w:cs="Arial"/>
          <w:color w:val="000000"/>
          <w:u w:val="single"/>
          <w:lang w:eastAsia="bg-BG"/>
        </w:rPr>
        <w:t>Фармакокинетични взаимодействия</w:t>
      </w:r>
    </w:p>
    <w:p w14:paraId="3929824C" w14:textId="77777777" w:rsidR="0091535E" w:rsidRPr="0091535E" w:rsidRDefault="0091535E" w:rsidP="0091535E">
      <w:pPr>
        <w:spacing w:line="240" w:lineRule="auto"/>
        <w:rPr>
          <w:rFonts w:eastAsia="Times New Roman" w:cs="Arial"/>
          <w:lang w:eastAsia="bg-BG"/>
        </w:rPr>
      </w:pPr>
      <w:r w:rsidRPr="0091535E">
        <w:rPr>
          <w:rFonts w:eastAsia="Times New Roman" w:cs="Arial"/>
          <w:color w:val="000000"/>
          <w:lang w:eastAsia="bg-BG"/>
        </w:rPr>
        <w:lastRenderedPageBreak/>
        <w:t xml:space="preserve">Метаболизмът на небиволол се осъществява с помощта на изоензима </w:t>
      </w:r>
      <w:r w:rsidRPr="0091535E">
        <w:rPr>
          <w:rFonts w:eastAsia="Times New Roman" w:cs="Arial"/>
          <w:color w:val="000000"/>
          <w:lang w:val="en-US"/>
        </w:rPr>
        <w:t xml:space="preserve">CYP2D6. </w:t>
      </w:r>
      <w:r w:rsidRPr="0091535E">
        <w:rPr>
          <w:rFonts w:eastAsia="Times New Roman" w:cs="Arial"/>
          <w:color w:val="000000"/>
          <w:lang w:eastAsia="bg-BG"/>
        </w:rPr>
        <w:t>Ето защо, едновременното приложение на продукти, които инхибират този ензим, особено пароксетин, флуоксетин, тиоридазин и хинидин, може да доведе до повишаване нивата на небиволол, което е свързано с повишен риск от тежка брадикардия и нежелани ефекти.</w:t>
      </w:r>
    </w:p>
    <w:p w14:paraId="4E33088C" w14:textId="77777777" w:rsidR="0091535E" w:rsidRDefault="0091535E" w:rsidP="0091535E">
      <w:pPr>
        <w:spacing w:line="240" w:lineRule="auto"/>
        <w:rPr>
          <w:rFonts w:eastAsia="Times New Roman" w:cs="Arial"/>
          <w:color w:val="000000"/>
          <w:lang w:eastAsia="bg-BG"/>
        </w:rPr>
      </w:pPr>
    </w:p>
    <w:p w14:paraId="08786EC3" w14:textId="512687C2" w:rsidR="0091535E" w:rsidRPr="0091535E" w:rsidRDefault="0091535E" w:rsidP="0091535E">
      <w:pPr>
        <w:spacing w:line="240" w:lineRule="auto"/>
        <w:rPr>
          <w:rFonts w:eastAsia="Times New Roman" w:cs="Arial"/>
          <w:lang w:eastAsia="bg-BG"/>
        </w:rPr>
      </w:pPr>
      <w:r w:rsidRPr="0091535E">
        <w:rPr>
          <w:rFonts w:eastAsia="Times New Roman" w:cs="Arial"/>
          <w:color w:val="000000"/>
          <w:lang w:eastAsia="bg-BG"/>
        </w:rPr>
        <w:t>Едновременното приложение на циметидин води до повишаване на плазмените нива на небиволол, без промяна на клиничния ефект. Приложението на ранитидин не променя фармакокинетиката на небиволол. Двата продукта може да се комбинират, като небиволол се приема по време на хранене, а антиацидът - между две хранения.</w:t>
      </w:r>
    </w:p>
    <w:p w14:paraId="0A21AB54" w14:textId="77777777" w:rsidR="0091535E" w:rsidRDefault="0091535E" w:rsidP="0091535E">
      <w:pPr>
        <w:spacing w:line="240" w:lineRule="auto"/>
        <w:rPr>
          <w:rFonts w:eastAsia="Times New Roman" w:cs="Arial"/>
          <w:color w:val="000000"/>
          <w:lang w:eastAsia="bg-BG"/>
        </w:rPr>
      </w:pPr>
    </w:p>
    <w:p w14:paraId="0F3DD774" w14:textId="16DBD25B" w:rsidR="0091535E" w:rsidRPr="0091535E" w:rsidRDefault="0091535E" w:rsidP="0091535E">
      <w:pPr>
        <w:spacing w:line="240" w:lineRule="auto"/>
        <w:rPr>
          <w:rFonts w:eastAsia="Times New Roman" w:cs="Arial"/>
          <w:lang w:eastAsia="bg-BG"/>
        </w:rPr>
      </w:pPr>
      <w:r w:rsidRPr="0091535E">
        <w:rPr>
          <w:rFonts w:eastAsia="Times New Roman" w:cs="Arial"/>
          <w:color w:val="000000"/>
          <w:lang w:eastAsia="bg-BG"/>
        </w:rPr>
        <w:t>Едновременното приложение на небиволол и никардипин, води до леко повишение на плазмените нива и на двата продукта, без това да повлиява клиничния ефект. Едновременния прием на алкохол, фуроземид или хидрохлоротиазид не променя фармакокинетиката на небиволол. Небиволол не повлиява фармакокинетиката и фармакодинамиката на варфарин.</w:t>
      </w:r>
    </w:p>
    <w:p w14:paraId="10470A93" w14:textId="77777777" w:rsidR="0091535E" w:rsidRPr="0091535E" w:rsidRDefault="0091535E" w:rsidP="0091535E">
      <w:pPr>
        <w:rPr>
          <w:rFonts w:eastAsia="Times New Roman" w:cs="Arial"/>
          <w:color w:val="000000"/>
          <w:lang w:eastAsia="bg-BG"/>
        </w:rPr>
      </w:pPr>
    </w:p>
    <w:p w14:paraId="48846BBA" w14:textId="48B666D1" w:rsidR="009F77A4" w:rsidRDefault="002C50EE" w:rsidP="00387A66">
      <w:pPr>
        <w:pStyle w:val="Heading2"/>
      </w:pPr>
      <w:r>
        <w:t>4.6. Фертилитет, бременност и кърмене</w:t>
      </w:r>
    </w:p>
    <w:p w14:paraId="18934DB3" w14:textId="66188379" w:rsidR="0091535E" w:rsidRDefault="0091535E" w:rsidP="0091535E"/>
    <w:p w14:paraId="61B798AF" w14:textId="77777777" w:rsidR="0091535E" w:rsidRPr="0091535E" w:rsidRDefault="0091535E" w:rsidP="0091535E">
      <w:pPr>
        <w:pStyle w:val="Heading3"/>
        <w:rPr>
          <w:rFonts w:eastAsia="Times New Roman"/>
          <w:u w:val="single"/>
          <w:lang w:eastAsia="bg-BG"/>
        </w:rPr>
      </w:pPr>
      <w:r w:rsidRPr="0091535E">
        <w:rPr>
          <w:rFonts w:eastAsia="Times New Roman"/>
          <w:u w:val="single"/>
          <w:lang w:eastAsia="bg-BG"/>
        </w:rPr>
        <w:t>Бременност</w:t>
      </w:r>
    </w:p>
    <w:p w14:paraId="5B695A2C" w14:textId="77777777" w:rsidR="0091535E" w:rsidRPr="0091535E" w:rsidRDefault="0091535E" w:rsidP="0091535E">
      <w:pPr>
        <w:spacing w:line="240" w:lineRule="auto"/>
        <w:rPr>
          <w:rFonts w:eastAsia="Times New Roman" w:cs="Arial"/>
          <w:lang w:eastAsia="bg-BG"/>
        </w:rPr>
      </w:pPr>
      <w:r w:rsidRPr="0091535E">
        <w:rPr>
          <w:rFonts w:eastAsia="Times New Roman" w:cs="Arial"/>
          <w:color w:val="000000"/>
          <w:lang w:eastAsia="bg-BG"/>
        </w:rPr>
        <w:t>Фармакологичният ефект на небиволол може да доведе до появата на неблагоприятни ефекти по време на бременност за плода и/или новороденото. По принцип, бета-блокерите намаляват перфузията на плацентата, което може да доведе до забавяне на растежа, вътреутробна смърт, аборт или преждивременно раждане. Възможна е и появата на нежелани реакции (напр. хипогликемия и брадикардия) у плода и новороденото. Ако приложението на бета-блокер е наложително, се предпочита приложението на бета-1 селективни бета-блокери.</w:t>
      </w:r>
    </w:p>
    <w:p w14:paraId="6D970F76" w14:textId="77777777" w:rsidR="0091535E" w:rsidRDefault="0091535E" w:rsidP="0091535E">
      <w:pPr>
        <w:spacing w:line="240" w:lineRule="auto"/>
        <w:rPr>
          <w:rFonts w:eastAsia="Times New Roman" w:cs="Arial"/>
          <w:color w:val="000000"/>
          <w:lang w:eastAsia="bg-BG"/>
        </w:rPr>
      </w:pPr>
    </w:p>
    <w:p w14:paraId="73B539B3" w14:textId="05E2EC7C" w:rsidR="0091535E" w:rsidRPr="0091535E" w:rsidRDefault="0091535E" w:rsidP="0091535E">
      <w:pPr>
        <w:spacing w:line="240" w:lineRule="auto"/>
        <w:rPr>
          <w:rFonts w:eastAsia="Times New Roman" w:cs="Arial"/>
          <w:lang w:eastAsia="bg-BG"/>
        </w:rPr>
      </w:pPr>
      <w:r w:rsidRPr="0091535E">
        <w:rPr>
          <w:rFonts w:eastAsia="Times New Roman" w:cs="Arial"/>
          <w:color w:val="000000"/>
          <w:lang w:eastAsia="bg-BG"/>
        </w:rPr>
        <w:t>Небиволол не трябва да се използва по време на бременност, освен в случай на абсолютна необходимост. Ако приложението на небиволол е абсолютно необходимо, то е наложително проследяване на утеро-плацентарния кръвоток и растежа на плода. При появата на неблагоприятен ефект върху бременността или у плода, трябва да се приложи друго лечение. Необходимо е внимателно проследяване на новороденото. Симптоми на хипогликемия и брадикардия по принцип може да се очакват в рамките на първите 3 дни.</w:t>
      </w:r>
    </w:p>
    <w:p w14:paraId="7EB87810" w14:textId="77777777" w:rsidR="0091535E" w:rsidRDefault="0091535E" w:rsidP="0091535E">
      <w:pPr>
        <w:spacing w:line="240" w:lineRule="auto"/>
        <w:rPr>
          <w:rFonts w:eastAsia="Times New Roman" w:cs="Arial"/>
          <w:color w:val="000000"/>
          <w:u w:val="single"/>
          <w:lang w:eastAsia="bg-BG"/>
        </w:rPr>
      </w:pPr>
    </w:p>
    <w:p w14:paraId="0A738191" w14:textId="3E55DAD2" w:rsidR="0091535E" w:rsidRPr="0091535E" w:rsidRDefault="0091535E" w:rsidP="0091535E">
      <w:pPr>
        <w:pStyle w:val="Heading3"/>
        <w:rPr>
          <w:rFonts w:eastAsia="Times New Roman"/>
          <w:u w:val="single"/>
          <w:lang w:eastAsia="bg-BG"/>
        </w:rPr>
      </w:pPr>
      <w:r w:rsidRPr="0091535E">
        <w:rPr>
          <w:rFonts w:eastAsia="Times New Roman"/>
          <w:u w:val="single"/>
          <w:lang w:eastAsia="bg-BG"/>
        </w:rPr>
        <w:t>Кърмене</w:t>
      </w:r>
    </w:p>
    <w:p w14:paraId="5578A2AE" w14:textId="40C7A88A" w:rsidR="0091535E" w:rsidRDefault="0091535E" w:rsidP="0091535E">
      <w:pPr>
        <w:rPr>
          <w:rFonts w:eastAsia="Times New Roman" w:cs="Arial"/>
          <w:color w:val="000000"/>
          <w:lang w:eastAsia="bg-BG"/>
        </w:rPr>
      </w:pPr>
      <w:r w:rsidRPr="0091535E">
        <w:rPr>
          <w:rFonts w:eastAsia="Times New Roman" w:cs="Arial"/>
          <w:color w:val="000000"/>
          <w:lang w:eastAsia="bg-BG"/>
        </w:rPr>
        <w:t>Проучванията при животни показват, че небиволол се екскретира в кърмата. Не е известно дали небиволол се екскретира в майчиното мляко при човека. Повечето от бета-блокерите, особено липофилните, какъвто е небиволол и неговите активни метаболити, преминават в майчиното мляко, макар и в различна степен. Ето защо, не се препоръчва кърмене по време на лечението с небиволол.</w:t>
      </w:r>
    </w:p>
    <w:p w14:paraId="4699936B" w14:textId="77777777" w:rsidR="0091535E" w:rsidRPr="0091535E" w:rsidRDefault="0091535E" w:rsidP="0091535E">
      <w:pPr>
        <w:rPr>
          <w:rFonts w:cs="Arial"/>
        </w:rPr>
      </w:pPr>
    </w:p>
    <w:p w14:paraId="321AAB00" w14:textId="6997AAD2" w:rsidR="009F77A4" w:rsidRDefault="002C50EE" w:rsidP="00387A66">
      <w:pPr>
        <w:pStyle w:val="Heading2"/>
      </w:pPr>
      <w:r>
        <w:t>4.7. Ефекти върху способността за шофиране и работа с машини</w:t>
      </w:r>
    </w:p>
    <w:p w14:paraId="7A811A32" w14:textId="45D6DD2F" w:rsidR="0091535E" w:rsidRDefault="0091535E" w:rsidP="0091535E"/>
    <w:p w14:paraId="37420FE0" w14:textId="77777777" w:rsidR="00903518" w:rsidRPr="00903518" w:rsidRDefault="00903518" w:rsidP="00903518">
      <w:pPr>
        <w:rPr>
          <w:rFonts w:eastAsia="Times New Roman" w:cs="Arial"/>
          <w:sz w:val="24"/>
          <w:szCs w:val="24"/>
          <w:lang w:eastAsia="bg-BG"/>
        </w:rPr>
      </w:pPr>
      <w:r w:rsidRPr="00903518">
        <w:rPr>
          <w:rFonts w:cs="Arial"/>
        </w:rPr>
        <w:t>Няма проучвания за ефектите върху способността за шофиране и работа с машини. Фармакодинамичните проучвания показват, че небиволол не повлиява психомоторната</w:t>
      </w:r>
      <w:r w:rsidRPr="00903518">
        <w:rPr>
          <w:rFonts w:cs="Arial"/>
          <w:lang w:val="en-US"/>
        </w:rPr>
        <w:t xml:space="preserve"> </w:t>
      </w:r>
      <w:r w:rsidRPr="00903518">
        <w:rPr>
          <w:rFonts w:eastAsia="Times New Roman" w:cs="Arial"/>
          <w:color w:val="000000"/>
          <w:lang w:eastAsia="bg-BG"/>
        </w:rPr>
        <w:t>функция. При шофиране и работа с машини трябва да се има предвид, възможността за поява на замаяност и умора.</w:t>
      </w:r>
    </w:p>
    <w:p w14:paraId="3C1F7359" w14:textId="7C67CF3A" w:rsidR="0091535E" w:rsidRPr="00903518" w:rsidRDefault="0091535E" w:rsidP="0091535E">
      <w:pPr>
        <w:rPr>
          <w:sz w:val="44"/>
          <w:szCs w:val="44"/>
          <w:lang w:val="en-US"/>
        </w:rPr>
      </w:pPr>
    </w:p>
    <w:p w14:paraId="359B5846" w14:textId="77777777" w:rsidR="00903518" w:rsidRPr="0091535E" w:rsidRDefault="00903518" w:rsidP="0091535E"/>
    <w:p w14:paraId="136C86B8" w14:textId="0307728A" w:rsidR="009F77A4" w:rsidRDefault="002C50EE" w:rsidP="00387A66">
      <w:pPr>
        <w:pStyle w:val="Heading2"/>
      </w:pPr>
      <w:r>
        <w:t>4.8. Нежелани лекарствени реакции</w:t>
      </w:r>
    </w:p>
    <w:p w14:paraId="4FC1B714" w14:textId="559954C8" w:rsidR="00903518" w:rsidRDefault="00903518" w:rsidP="00903518"/>
    <w:p w14:paraId="2154A680" w14:textId="77777777" w:rsidR="00903518" w:rsidRPr="00903518" w:rsidRDefault="00903518" w:rsidP="00903518">
      <w:pPr>
        <w:spacing w:line="240" w:lineRule="auto"/>
        <w:rPr>
          <w:rFonts w:eastAsia="Times New Roman" w:cs="Arial"/>
          <w:lang w:eastAsia="bg-BG"/>
        </w:rPr>
      </w:pPr>
      <w:r w:rsidRPr="00903518">
        <w:rPr>
          <w:rFonts w:eastAsia="Times New Roman" w:cs="Arial"/>
          <w:color w:val="000000"/>
          <w:lang w:eastAsia="bg-BG"/>
        </w:rPr>
        <w:t>Нежеланите лекарствени реакции са представени отделно при хипертония и при хронична сърдечна недостатъчност.</w:t>
      </w:r>
    </w:p>
    <w:p w14:paraId="6668E0CE" w14:textId="77777777" w:rsidR="00903518" w:rsidRPr="00903518" w:rsidRDefault="00903518" w:rsidP="00903518">
      <w:pPr>
        <w:spacing w:line="240" w:lineRule="auto"/>
        <w:rPr>
          <w:rFonts w:eastAsia="Times New Roman" w:cs="Arial"/>
          <w:color w:val="000000"/>
          <w:u w:val="single"/>
          <w:lang w:eastAsia="bg-BG"/>
        </w:rPr>
      </w:pPr>
    </w:p>
    <w:p w14:paraId="47844D0C" w14:textId="0C7E5AAA" w:rsidR="00903518" w:rsidRPr="00903518" w:rsidRDefault="00903518" w:rsidP="00903518">
      <w:pPr>
        <w:spacing w:line="240" w:lineRule="auto"/>
        <w:rPr>
          <w:rFonts w:eastAsia="Times New Roman" w:cs="Arial"/>
          <w:lang w:eastAsia="bg-BG"/>
        </w:rPr>
      </w:pPr>
      <w:r w:rsidRPr="00903518">
        <w:rPr>
          <w:rFonts w:eastAsia="Times New Roman" w:cs="Arial"/>
          <w:color w:val="000000"/>
          <w:u w:val="single"/>
          <w:lang w:eastAsia="bg-BG"/>
        </w:rPr>
        <w:t>Хипертония</w:t>
      </w:r>
    </w:p>
    <w:p w14:paraId="1E755D82" w14:textId="77777777" w:rsidR="00903518" w:rsidRPr="00903518" w:rsidRDefault="00903518" w:rsidP="00903518">
      <w:pPr>
        <w:spacing w:line="240" w:lineRule="auto"/>
        <w:rPr>
          <w:rFonts w:eastAsia="Times New Roman" w:cs="Arial"/>
          <w:color w:val="000000"/>
          <w:lang w:eastAsia="bg-BG"/>
        </w:rPr>
      </w:pPr>
    </w:p>
    <w:p w14:paraId="644847BD" w14:textId="042CFD87" w:rsidR="00903518" w:rsidRPr="00903518" w:rsidRDefault="00903518" w:rsidP="00903518">
      <w:pPr>
        <w:spacing w:line="240" w:lineRule="auto"/>
        <w:rPr>
          <w:rFonts w:eastAsia="Times New Roman" w:cs="Arial"/>
          <w:lang w:eastAsia="bg-BG"/>
        </w:rPr>
      </w:pPr>
      <w:r w:rsidRPr="00903518">
        <w:rPr>
          <w:rFonts w:eastAsia="Times New Roman" w:cs="Arial"/>
          <w:color w:val="000000"/>
          <w:lang w:eastAsia="bg-BG"/>
        </w:rPr>
        <w:t xml:space="preserve">Честотата и системо-органната класификация на нежеланите лекарствени реакции е представена съгласно </w:t>
      </w:r>
      <w:r w:rsidRPr="00903518">
        <w:rPr>
          <w:rFonts w:eastAsia="Times New Roman" w:cs="Arial"/>
          <w:color w:val="000000"/>
          <w:lang w:val="en-US"/>
        </w:rPr>
        <w:t xml:space="preserve">MedDRA </w:t>
      </w:r>
      <w:r w:rsidRPr="00903518">
        <w:rPr>
          <w:rFonts w:eastAsia="Times New Roman" w:cs="Arial"/>
          <w:color w:val="000000"/>
          <w:lang w:eastAsia="bg-BG"/>
        </w:rPr>
        <w:t>конвенцията, както следва: много чести (≥1/10), чести (≥1/100 до &lt;1/10), нечести (≥1/1 000 до &lt;1/100), редки (≥1/10 000 до &lt;1/1 000), много редки (&lt;1/10 000) и с неизвестна честота (от наличните данни не може да бъде направена оценка).</w:t>
      </w:r>
      <w:r>
        <w:rPr>
          <w:rFonts w:eastAsia="Times New Roman" w:cs="Arial"/>
          <w:lang w:val="en-US" w:eastAsia="bg-BG"/>
        </w:rPr>
        <w:t xml:space="preserve"> </w:t>
      </w:r>
      <w:r w:rsidRPr="00903518">
        <w:rPr>
          <w:rFonts w:eastAsia="Times New Roman" w:cs="Arial"/>
          <w:color w:val="000000"/>
          <w:lang w:eastAsia="bg-BG"/>
        </w:rPr>
        <w:t>Повече от съобщаваните нежелани реакции са леки до умерени по тежест</w:t>
      </w:r>
    </w:p>
    <w:p w14:paraId="76565751" w14:textId="4D06C8E8" w:rsidR="00903518" w:rsidRDefault="00903518" w:rsidP="00903518"/>
    <w:tbl>
      <w:tblPr>
        <w:tblStyle w:val="TableGrid"/>
        <w:tblW w:w="0" w:type="auto"/>
        <w:tblLook w:val="04A0" w:firstRow="1" w:lastRow="0" w:firstColumn="1" w:lastColumn="0" w:noHBand="0" w:noVBand="1"/>
      </w:tblPr>
      <w:tblGrid>
        <w:gridCol w:w="2667"/>
        <w:gridCol w:w="2142"/>
        <w:gridCol w:w="2244"/>
        <w:gridCol w:w="2297"/>
      </w:tblGrid>
      <w:tr w:rsidR="00903518" w14:paraId="0F268D15" w14:textId="77777777" w:rsidTr="00903518">
        <w:tc>
          <w:tcPr>
            <w:tcW w:w="2667" w:type="dxa"/>
            <w:vAlign w:val="bottom"/>
          </w:tcPr>
          <w:p w14:paraId="73E4C61D" w14:textId="5A73EF01" w:rsidR="00903518" w:rsidRPr="00903518" w:rsidRDefault="00903518" w:rsidP="00903518">
            <w:r w:rsidRPr="00903518">
              <w:rPr>
                <w:b/>
                <w:bCs/>
              </w:rPr>
              <w:t>Системо-органна класификация</w:t>
            </w:r>
          </w:p>
        </w:tc>
        <w:tc>
          <w:tcPr>
            <w:tcW w:w="2261" w:type="dxa"/>
            <w:vAlign w:val="bottom"/>
          </w:tcPr>
          <w:p w14:paraId="2A912E50" w14:textId="2CA4EA35" w:rsidR="00903518" w:rsidRPr="00903518" w:rsidRDefault="00903518" w:rsidP="00903518">
            <w:r w:rsidRPr="00903518">
              <w:rPr>
                <w:b/>
                <w:bCs/>
              </w:rPr>
              <w:t>Чести (≥1/100 до &lt;1/10)</w:t>
            </w:r>
          </w:p>
        </w:tc>
        <w:tc>
          <w:tcPr>
            <w:tcW w:w="2311" w:type="dxa"/>
            <w:vAlign w:val="bottom"/>
          </w:tcPr>
          <w:p w14:paraId="1EAA7C92" w14:textId="4DB9BBDC" w:rsidR="00903518" w:rsidRPr="00903518" w:rsidRDefault="00903518" w:rsidP="00903518">
            <w:r w:rsidRPr="00903518">
              <w:rPr>
                <w:b/>
                <w:bCs/>
              </w:rPr>
              <w:t>Нечести (≥1/1 000 до &lt;1/100)</w:t>
            </w:r>
          </w:p>
        </w:tc>
        <w:tc>
          <w:tcPr>
            <w:tcW w:w="2337" w:type="dxa"/>
            <w:vAlign w:val="bottom"/>
          </w:tcPr>
          <w:p w14:paraId="0D79A7C9" w14:textId="6968C122" w:rsidR="00903518" w:rsidRPr="00903518" w:rsidRDefault="00903518" w:rsidP="00903518">
            <w:r w:rsidRPr="00903518">
              <w:rPr>
                <w:b/>
                <w:bCs/>
              </w:rPr>
              <w:t>Много редки (&lt;1/10 000)</w:t>
            </w:r>
          </w:p>
        </w:tc>
      </w:tr>
      <w:tr w:rsidR="00903518" w14:paraId="068FC41F" w14:textId="77777777" w:rsidTr="00903518">
        <w:tc>
          <w:tcPr>
            <w:tcW w:w="2667" w:type="dxa"/>
          </w:tcPr>
          <w:p w14:paraId="54FF27E8" w14:textId="72C629DD" w:rsidR="00903518" w:rsidRPr="00903518" w:rsidRDefault="00903518" w:rsidP="00903518">
            <w:r w:rsidRPr="00903518">
              <w:rPr>
                <w:b/>
                <w:bCs/>
              </w:rPr>
              <w:t>Психични нарушения</w:t>
            </w:r>
          </w:p>
        </w:tc>
        <w:tc>
          <w:tcPr>
            <w:tcW w:w="2261" w:type="dxa"/>
          </w:tcPr>
          <w:p w14:paraId="5BAAE1D8" w14:textId="77777777" w:rsidR="00903518" w:rsidRPr="00903518" w:rsidRDefault="00903518" w:rsidP="00903518"/>
        </w:tc>
        <w:tc>
          <w:tcPr>
            <w:tcW w:w="2311" w:type="dxa"/>
            <w:vAlign w:val="bottom"/>
          </w:tcPr>
          <w:p w14:paraId="45A71142" w14:textId="3740EE6F" w:rsidR="00903518" w:rsidRPr="00903518" w:rsidRDefault="00903518" w:rsidP="00903518">
            <w:r w:rsidRPr="00903518">
              <w:t>нощни кошмари, депресия</w:t>
            </w:r>
          </w:p>
        </w:tc>
        <w:tc>
          <w:tcPr>
            <w:tcW w:w="2337" w:type="dxa"/>
          </w:tcPr>
          <w:p w14:paraId="354DD922" w14:textId="77777777" w:rsidR="00903518" w:rsidRPr="00903518" w:rsidRDefault="00903518" w:rsidP="00903518"/>
        </w:tc>
      </w:tr>
      <w:tr w:rsidR="00903518" w14:paraId="42ACA234" w14:textId="77777777" w:rsidTr="00903518">
        <w:tc>
          <w:tcPr>
            <w:tcW w:w="2667" w:type="dxa"/>
          </w:tcPr>
          <w:p w14:paraId="5107E892" w14:textId="77777777" w:rsidR="00903518" w:rsidRPr="00903518" w:rsidRDefault="00903518" w:rsidP="00903518">
            <w:r w:rsidRPr="00903518">
              <w:rPr>
                <w:b/>
                <w:bCs/>
              </w:rPr>
              <w:t>Нарушения</w:t>
            </w:r>
            <w:r w:rsidRPr="00903518">
              <w:rPr>
                <w:b/>
                <w:bCs/>
              </w:rPr>
              <w:tab/>
              <w:t>на</w:t>
            </w:r>
          </w:p>
          <w:p w14:paraId="546399C6" w14:textId="3772177C" w:rsidR="00903518" w:rsidRPr="00903518" w:rsidRDefault="00903518" w:rsidP="00903518">
            <w:r w:rsidRPr="00903518">
              <w:rPr>
                <w:b/>
                <w:bCs/>
              </w:rPr>
              <w:t>нервната система</w:t>
            </w:r>
          </w:p>
        </w:tc>
        <w:tc>
          <w:tcPr>
            <w:tcW w:w="2261" w:type="dxa"/>
            <w:vAlign w:val="bottom"/>
          </w:tcPr>
          <w:p w14:paraId="0C0F29D5" w14:textId="2EFBBFD9" w:rsidR="00903518" w:rsidRPr="00903518" w:rsidRDefault="00903518" w:rsidP="00903518">
            <w:r w:rsidRPr="00903518">
              <w:t>главоболие, замаяност, парастезии</w:t>
            </w:r>
          </w:p>
        </w:tc>
        <w:tc>
          <w:tcPr>
            <w:tcW w:w="2311" w:type="dxa"/>
          </w:tcPr>
          <w:p w14:paraId="3CC48F3F" w14:textId="77777777" w:rsidR="00903518" w:rsidRPr="00903518" w:rsidRDefault="00903518" w:rsidP="00903518"/>
        </w:tc>
        <w:tc>
          <w:tcPr>
            <w:tcW w:w="2337" w:type="dxa"/>
          </w:tcPr>
          <w:p w14:paraId="5BB82692" w14:textId="0AFBAC78" w:rsidR="00903518" w:rsidRPr="00903518" w:rsidRDefault="00903518" w:rsidP="00903518">
            <w:r w:rsidRPr="00903518">
              <w:t>Припадаък/синкоп</w:t>
            </w:r>
          </w:p>
        </w:tc>
      </w:tr>
      <w:tr w:rsidR="00903518" w14:paraId="7AD4A992" w14:textId="77777777" w:rsidTr="00903518">
        <w:tc>
          <w:tcPr>
            <w:tcW w:w="2667" w:type="dxa"/>
            <w:vAlign w:val="bottom"/>
          </w:tcPr>
          <w:p w14:paraId="73D785B2" w14:textId="741439C1" w:rsidR="00903518" w:rsidRPr="00903518" w:rsidRDefault="00903518" w:rsidP="00903518">
            <w:r w:rsidRPr="00903518">
              <w:rPr>
                <w:b/>
                <w:bCs/>
              </w:rPr>
              <w:t>Нарушения на очите</w:t>
            </w:r>
          </w:p>
        </w:tc>
        <w:tc>
          <w:tcPr>
            <w:tcW w:w="2261" w:type="dxa"/>
          </w:tcPr>
          <w:p w14:paraId="2E30F194" w14:textId="77777777" w:rsidR="00903518" w:rsidRPr="00903518" w:rsidRDefault="00903518" w:rsidP="00903518"/>
        </w:tc>
        <w:tc>
          <w:tcPr>
            <w:tcW w:w="2311" w:type="dxa"/>
            <w:vAlign w:val="bottom"/>
          </w:tcPr>
          <w:p w14:paraId="26B0949B" w14:textId="46F889DD" w:rsidR="00903518" w:rsidRPr="00903518" w:rsidRDefault="00903518" w:rsidP="00903518">
            <w:r w:rsidRPr="00903518">
              <w:t>нарушено зрение</w:t>
            </w:r>
          </w:p>
        </w:tc>
        <w:tc>
          <w:tcPr>
            <w:tcW w:w="2337" w:type="dxa"/>
          </w:tcPr>
          <w:p w14:paraId="5F41CFFB" w14:textId="77777777" w:rsidR="00903518" w:rsidRPr="00903518" w:rsidRDefault="00903518" w:rsidP="00903518"/>
        </w:tc>
      </w:tr>
      <w:tr w:rsidR="00903518" w14:paraId="24C8331F" w14:textId="77777777" w:rsidTr="00903518">
        <w:tc>
          <w:tcPr>
            <w:tcW w:w="2667" w:type="dxa"/>
          </w:tcPr>
          <w:p w14:paraId="4B7A3AA1" w14:textId="47CDBABA" w:rsidR="00903518" w:rsidRPr="00903518" w:rsidRDefault="00903518" w:rsidP="00903518">
            <w:r w:rsidRPr="00903518">
              <w:rPr>
                <w:b/>
                <w:bCs/>
              </w:rPr>
              <w:t>Сърдечни нарушения</w:t>
            </w:r>
          </w:p>
        </w:tc>
        <w:tc>
          <w:tcPr>
            <w:tcW w:w="2261" w:type="dxa"/>
          </w:tcPr>
          <w:p w14:paraId="2B27FE3E" w14:textId="77777777" w:rsidR="00903518" w:rsidRPr="00903518" w:rsidRDefault="00903518" w:rsidP="00903518"/>
        </w:tc>
        <w:tc>
          <w:tcPr>
            <w:tcW w:w="2311" w:type="dxa"/>
            <w:vAlign w:val="bottom"/>
          </w:tcPr>
          <w:p w14:paraId="38515C80" w14:textId="3A814A70" w:rsidR="00903518" w:rsidRPr="00903518" w:rsidRDefault="00903518" w:rsidP="00903518">
            <w:r w:rsidRPr="00903518">
              <w:t xml:space="preserve">брадикардия, сърдечна недостатъчност, забавена </w:t>
            </w:r>
            <w:r w:rsidRPr="00903518">
              <w:rPr>
                <w:lang w:val="en-US"/>
              </w:rPr>
              <w:t>AV</w:t>
            </w:r>
            <w:r w:rsidRPr="00903518">
              <w:t xml:space="preserve">- проводимост </w:t>
            </w:r>
            <w:r w:rsidRPr="00903518">
              <w:rPr>
                <w:lang w:val="en-US"/>
              </w:rPr>
              <w:t>/AV</w:t>
            </w:r>
            <w:r w:rsidRPr="00903518">
              <w:t>- блок</w:t>
            </w:r>
          </w:p>
        </w:tc>
        <w:tc>
          <w:tcPr>
            <w:tcW w:w="2337" w:type="dxa"/>
          </w:tcPr>
          <w:p w14:paraId="24567B62" w14:textId="77777777" w:rsidR="00903518" w:rsidRPr="00903518" w:rsidRDefault="00903518" w:rsidP="00903518"/>
        </w:tc>
      </w:tr>
      <w:tr w:rsidR="00903518" w14:paraId="6D9CA342" w14:textId="77777777" w:rsidTr="00903518">
        <w:tc>
          <w:tcPr>
            <w:tcW w:w="2667" w:type="dxa"/>
          </w:tcPr>
          <w:p w14:paraId="2F5E01E8" w14:textId="0D116E80" w:rsidR="00903518" w:rsidRPr="00903518" w:rsidRDefault="00903518" w:rsidP="00903518">
            <w:r w:rsidRPr="00903518">
              <w:rPr>
                <w:b/>
                <w:bCs/>
              </w:rPr>
              <w:t>Съдови нарушения</w:t>
            </w:r>
          </w:p>
        </w:tc>
        <w:tc>
          <w:tcPr>
            <w:tcW w:w="2261" w:type="dxa"/>
          </w:tcPr>
          <w:p w14:paraId="447BEC5C" w14:textId="77777777" w:rsidR="00903518" w:rsidRPr="00903518" w:rsidRDefault="00903518" w:rsidP="00903518"/>
        </w:tc>
        <w:tc>
          <w:tcPr>
            <w:tcW w:w="2311" w:type="dxa"/>
            <w:vAlign w:val="bottom"/>
          </w:tcPr>
          <w:p w14:paraId="70C8E6BC" w14:textId="77777777" w:rsidR="00903518" w:rsidRPr="00903518" w:rsidRDefault="00903518" w:rsidP="00903518">
            <w:r w:rsidRPr="00903518">
              <w:t>Хипотония, (влошаване</w:t>
            </w:r>
            <w:r w:rsidRPr="00903518">
              <w:tab/>
              <w:t>на)</w:t>
            </w:r>
          </w:p>
          <w:p w14:paraId="61275F69" w14:textId="6648AA03" w:rsidR="00903518" w:rsidRPr="00903518" w:rsidRDefault="00903518" w:rsidP="00903518">
            <w:r w:rsidRPr="00903518">
              <w:t>интермитентно клаудикацио</w:t>
            </w:r>
          </w:p>
        </w:tc>
        <w:tc>
          <w:tcPr>
            <w:tcW w:w="2337" w:type="dxa"/>
          </w:tcPr>
          <w:p w14:paraId="3E841EC1" w14:textId="77777777" w:rsidR="00903518" w:rsidRPr="00903518" w:rsidRDefault="00903518" w:rsidP="00903518"/>
        </w:tc>
      </w:tr>
      <w:tr w:rsidR="00903518" w14:paraId="71C8A527" w14:textId="77777777" w:rsidTr="00903518">
        <w:tc>
          <w:tcPr>
            <w:tcW w:w="2667" w:type="dxa"/>
            <w:vAlign w:val="bottom"/>
          </w:tcPr>
          <w:p w14:paraId="2D301051" w14:textId="0CAF2EB4" w:rsidR="00903518" w:rsidRPr="00903518" w:rsidRDefault="00903518" w:rsidP="00903518">
            <w:r w:rsidRPr="00903518">
              <w:rPr>
                <w:b/>
                <w:bCs/>
              </w:rPr>
              <w:t>Респираторни, гръдни и медиастннални нарушения</w:t>
            </w:r>
          </w:p>
        </w:tc>
        <w:tc>
          <w:tcPr>
            <w:tcW w:w="2261" w:type="dxa"/>
          </w:tcPr>
          <w:p w14:paraId="27EEB849" w14:textId="379F5B4D" w:rsidR="00903518" w:rsidRPr="00903518" w:rsidRDefault="00903518" w:rsidP="00903518">
            <w:r w:rsidRPr="00903518">
              <w:t>диспнея</w:t>
            </w:r>
          </w:p>
        </w:tc>
        <w:tc>
          <w:tcPr>
            <w:tcW w:w="2311" w:type="dxa"/>
          </w:tcPr>
          <w:p w14:paraId="0C209F97" w14:textId="777E5D61" w:rsidR="00903518" w:rsidRPr="00903518" w:rsidRDefault="00903518" w:rsidP="00903518">
            <w:r w:rsidRPr="00903518">
              <w:t>бронхоспазъм</w:t>
            </w:r>
          </w:p>
        </w:tc>
        <w:tc>
          <w:tcPr>
            <w:tcW w:w="2337" w:type="dxa"/>
          </w:tcPr>
          <w:p w14:paraId="5A9719E1" w14:textId="77777777" w:rsidR="00903518" w:rsidRPr="00903518" w:rsidRDefault="00903518" w:rsidP="00903518"/>
        </w:tc>
      </w:tr>
      <w:tr w:rsidR="00903518" w14:paraId="7EC034FF" w14:textId="77777777" w:rsidTr="00903518">
        <w:tc>
          <w:tcPr>
            <w:tcW w:w="2667" w:type="dxa"/>
          </w:tcPr>
          <w:p w14:paraId="3974AFE5" w14:textId="45D14C39" w:rsidR="00903518" w:rsidRPr="00903518" w:rsidRDefault="00903518" w:rsidP="00903518">
            <w:r w:rsidRPr="00903518">
              <w:rPr>
                <w:b/>
                <w:bCs/>
              </w:rPr>
              <w:t>Стомаш но-чревни нарушения</w:t>
            </w:r>
          </w:p>
        </w:tc>
        <w:tc>
          <w:tcPr>
            <w:tcW w:w="2261" w:type="dxa"/>
          </w:tcPr>
          <w:p w14:paraId="4C8CBF3B" w14:textId="0965F576" w:rsidR="00903518" w:rsidRPr="00903518" w:rsidRDefault="00903518" w:rsidP="00903518">
            <w:r w:rsidRPr="00903518">
              <w:t>констипация, гадене, диария</w:t>
            </w:r>
          </w:p>
        </w:tc>
        <w:tc>
          <w:tcPr>
            <w:tcW w:w="2311" w:type="dxa"/>
            <w:vAlign w:val="bottom"/>
          </w:tcPr>
          <w:p w14:paraId="4E910882" w14:textId="27865FAC" w:rsidR="00903518" w:rsidRPr="00903518" w:rsidRDefault="00903518" w:rsidP="00903518">
            <w:r w:rsidRPr="00903518">
              <w:t>диспепсия, флатуленция, повръщане</w:t>
            </w:r>
          </w:p>
        </w:tc>
        <w:tc>
          <w:tcPr>
            <w:tcW w:w="2337" w:type="dxa"/>
          </w:tcPr>
          <w:p w14:paraId="2D004768" w14:textId="77777777" w:rsidR="00903518" w:rsidRPr="00903518" w:rsidRDefault="00903518" w:rsidP="00903518"/>
        </w:tc>
      </w:tr>
      <w:tr w:rsidR="00903518" w14:paraId="64C7B46C" w14:textId="77777777" w:rsidTr="00903518">
        <w:tc>
          <w:tcPr>
            <w:tcW w:w="2667" w:type="dxa"/>
          </w:tcPr>
          <w:p w14:paraId="2EBE2122" w14:textId="69111EFA" w:rsidR="00903518" w:rsidRPr="00903518" w:rsidRDefault="00903518" w:rsidP="00903518">
            <w:r w:rsidRPr="00903518">
              <w:rPr>
                <w:b/>
                <w:bCs/>
              </w:rPr>
              <w:t>Нарушения на кожата и подкожната тъкан</w:t>
            </w:r>
          </w:p>
        </w:tc>
        <w:tc>
          <w:tcPr>
            <w:tcW w:w="2261" w:type="dxa"/>
          </w:tcPr>
          <w:p w14:paraId="4F09F0FD" w14:textId="77777777" w:rsidR="00903518" w:rsidRPr="00903518" w:rsidRDefault="00903518" w:rsidP="00903518"/>
        </w:tc>
        <w:tc>
          <w:tcPr>
            <w:tcW w:w="2311" w:type="dxa"/>
          </w:tcPr>
          <w:p w14:paraId="4B6EF95E" w14:textId="50DE4053" w:rsidR="00903518" w:rsidRPr="00903518" w:rsidRDefault="00903518" w:rsidP="00903518">
            <w:r w:rsidRPr="00903518">
              <w:t>Пруритус, еритематозен</w:t>
            </w:r>
          </w:p>
        </w:tc>
        <w:tc>
          <w:tcPr>
            <w:tcW w:w="2337" w:type="dxa"/>
            <w:vAlign w:val="bottom"/>
          </w:tcPr>
          <w:p w14:paraId="7B6174B8" w14:textId="79569261" w:rsidR="00903518" w:rsidRPr="00903518" w:rsidRDefault="00903518" w:rsidP="00903518">
            <w:r w:rsidRPr="00903518">
              <w:t>ангионевротичен оток, влошаване на псориазиса</w:t>
            </w:r>
          </w:p>
        </w:tc>
      </w:tr>
      <w:tr w:rsidR="00903518" w14:paraId="64DA1563" w14:textId="77777777" w:rsidTr="00903518">
        <w:tc>
          <w:tcPr>
            <w:tcW w:w="2667" w:type="dxa"/>
            <w:vAlign w:val="bottom"/>
          </w:tcPr>
          <w:p w14:paraId="5C617D8E" w14:textId="093A9877" w:rsidR="00903518" w:rsidRPr="00903518" w:rsidRDefault="00903518" w:rsidP="00903518">
            <w:r w:rsidRPr="00903518">
              <w:rPr>
                <w:b/>
                <w:bCs/>
              </w:rPr>
              <w:t>Нарушения на възпроизводителната система и гърдата</w:t>
            </w:r>
          </w:p>
        </w:tc>
        <w:tc>
          <w:tcPr>
            <w:tcW w:w="2261" w:type="dxa"/>
          </w:tcPr>
          <w:p w14:paraId="231AA720" w14:textId="77777777" w:rsidR="00903518" w:rsidRPr="00903518" w:rsidRDefault="00903518" w:rsidP="00903518"/>
        </w:tc>
        <w:tc>
          <w:tcPr>
            <w:tcW w:w="2311" w:type="dxa"/>
          </w:tcPr>
          <w:p w14:paraId="508A37BD" w14:textId="27F7BF36" w:rsidR="00903518" w:rsidRPr="00903518" w:rsidRDefault="00903518" w:rsidP="00903518">
            <w:r w:rsidRPr="00903518">
              <w:t>импотентност</w:t>
            </w:r>
          </w:p>
        </w:tc>
        <w:tc>
          <w:tcPr>
            <w:tcW w:w="2337" w:type="dxa"/>
          </w:tcPr>
          <w:p w14:paraId="61892194" w14:textId="77777777" w:rsidR="00903518" w:rsidRPr="00903518" w:rsidRDefault="00903518" w:rsidP="00903518"/>
        </w:tc>
      </w:tr>
      <w:tr w:rsidR="00903518" w14:paraId="2C68978C" w14:textId="77777777" w:rsidTr="00903518">
        <w:tc>
          <w:tcPr>
            <w:tcW w:w="2667" w:type="dxa"/>
            <w:vAlign w:val="bottom"/>
          </w:tcPr>
          <w:p w14:paraId="1D736304" w14:textId="666F3403" w:rsidR="00903518" w:rsidRPr="00903518" w:rsidRDefault="00903518" w:rsidP="00903518">
            <w:r w:rsidRPr="00903518">
              <w:rPr>
                <w:b/>
                <w:bCs/>
              </w:rPr>
              <w:lastRenderedPageBreak/>
              <w:t>Общи нарушения и ефекти на мястото на приложение</w:t>
            </w:r>
          </w:p>
        </w:tc>
        <w:tc>
          <w:tcPr>
            <w:tcW w:w="2261" w:type="dxa"/>
          </w:tcPr>
          <w:p w14:paraId="6EAA4114" w14:textId="532B362C" w:rsidR="00903518" w:rsidRPr="00903518" w:rsidRDefault="00903518" w:rsidP="00903518">
            <w:r w:rsidRPr="00903518">
              <w:t>умора, оток</w:t>
            </w:r>
          </w:p>
        </w:tc>
        <w:tc>
          <w:tcPr>
            <w:tcW w:w="2311" w:type="dxa"/>
          </w:tcPr>
          <w:p w14:paraId="148F980D" w14:textId="77777777" w:rsidR="00903518" w:rsidRPr="00903518" w:rsidRDefault="00903518" w:rsidP="00903518"/>
        </w:tc>
        <w:tc>
          <w:tcPr>
            <w:tcW w:w="2337" w:type="dxa"/>
          </w:tcPr>
          <w:p w14:paraId="63C8E0E5" w14:textId="77777777" w:rsidR="00903518" w:rsidRPr="00903518" w:rsidRDefault="00903518" w:rsidP="00903518"/>
        </w:tc>
      </w:tr>
    </w:tbl>
    <w:p w14:paraId="57D2F006" w14:textId="77777777" w:rsidR="00903518" w:rsidRDefault="00903518" w:rsidP="00903518">
      <w:pPr>
        <w:rPr>
          <w:sz w:val="44"/>
          <w:szCs w:val="44"/>
        </w:rPr>
      </w:pPr>
    </w:p>
    <w:p w14:paraId="18565436" w14:textId="524EFB68" w:rsidR="00903518" w:rsidRPr="00903518" w:rsidRDefault="00903518" w:rsidP="00903518">
      <w:pPr>
        <w:rPr>
          <w:rFonts w:cs="Arial"/>
        </w:rPr>
      </w:pPr>
      <w:r w:rsidRPr="00903518">
        <w:rPr>
          <w:rFonts w:cs="Arial"/>
        </w:rPr>
        <w:t>При някои бета-блокери са съобщавани и следните нежелани реакции: халюцинации психози, объркване, студени/цианотични крайници, феномен на Рейно, сухота в очите, окуло-мукокутанеусна токсичност от практололов тип.</w:t>
      </w:r>
    </w:p>
    <w:p w14:paraId="3B0FADD5" w14:textId="638C912E" w:rsidR="00903518" w:rsidRPr="00903518" w:rsidRDefault="00903518" w:rsidP="00903518">
      <w:pPr>
        <w:rPr>
          <w:rFonts w:cs="Arial"/>
        </w:rPr>
      </w:pPr>
    </w:p>
    <w:p w14:paraId="161C330A" w14:textId="77777777" w:rsidR="00903518" w:rsidRPr="00903518" w:rsidRDefault="00903518" w:rsidP="00903518">
      <w:pPr>
        <w:spacing w:line="240" w:lineRule="auto"/>
        <w:rPr>
          <w:rFonts w:eastAsia="Times New Roman" w:cs="Arial"/>
          <w:lang w:eastAsia="bg-BG"/>
        </w:rPr>
      </w:pPr>
      <w:r w:rsidRPr="00903518">
        <w:rPr>
          <w:rFonts w:eastAsia="Times New Roman" w:cs="Arial"/>
          <w:color w:val="000000"/>
          <w:u w:val="single"/>
          <w:lang w:eastAsia="bg-BG"/>
        </w:rPr>
        <w:t>Хронична сърдечна недостатъчност:</w:t>
      </w:r>
    </w:p>
    <w:p w14:paraId="52DED6CE" w14:textId="77777777" w:rsidR="00903518" w:rsidRPr="00903518" w:rsidRDefault="00903518" w:rsidP="00903518">
      <w:pPr>
        <w:spacing w:line="240" w:lineRule="auto"/>
        <w:rPr>
          <w:rFonts w:eastAsia="Times New Roman" w:cs="Arial"/>
          <w:lang w:eastAsia="bg-BG"/>
        </w:rPr>
      </w:pPr>
      <w:r w:rsidRPr="00903518">
        <w:rPr>
          <w:rFonts w:eastAsia="Times New Roman" w:cs="Arial"/>
          <w:color w:val="000000"/>
          <w:lang w:eastAsia="bg-BG"/>
        </w:rPr>
        <w:t>Данните за нежелани реакции при пациенти с ХСН са получени от плацебо-контролирано клинично проучване, включващо 1067 пациенти, приемали небиволол и 1061 пациенти, приемали плацебо. В това проучване, общо 449 (42,1 %) пациенти, приемали небиволол, са съобщили за поне една вероятно свързана нежелана реакция, в сравнение с 334 пациенти (31,5 %), приемали плацебо. Най-често докладваните нежелани реакции при пациентите на небиволол са били брадикардия и замаяност, като и двете реакции са се проявили при около 11 % от пациентите. Честотата при плацебо е била съответно 2% и 7 %.</w:t>
      </w:r>
    </w:p>
    <w:p w14:paraId="2B0EB399" w14:textId="77777777" w:rsidR="00903518" w:rsidRDefault="00903518" w:rsidP="00903518">
      <w:pPr>
        <w:spacing w:line="240" w:lineRule="auto"/>
        <w:rPr>
          <w:rFonts w:eastAsia="Times New Roman" w:cs="Arial"/>
          <w:color w:val="000000"/>
          <w:lang w:eastAsia="bg-BG"/>
        </w:rPr>
      </w:pPr>
    </w:p>
    <w:p w14:paraId="49E38450" w14:textId="7D7C77D9" w:rsidR="00903518" w:rsidRPr="00903518" w:rsidRDefault="00903518" w:rsidP="00903518">
      <w:pPr>
        <w:spacing w:line="240" w:lineRule="auto"/>
        <w:rPr>
          <w:rFonts w:eastAsia="Times New Roman" w:cs="Arial"/>
          <w:lang w:eastAsia="bg-BG"/>
        </w:rPr>
      </w:pPr>
      <w:r w:rsidRPr="00903518">
        <w:rPr>
          <w:rFonts w:eastAsia="Times New Roman" w:cs="Arial"/>
          <w:color w:val="000000"/>
          <w:lang w:eastAsia="bg-BG"/>
        </w:rPr>
        <w:t>По-долу е представена честотата на нежеланите реакции (поне вероятно свързани), преценени като клинично значими при лечението на хроничната сърдечна недостатъчност:</w:t>
      </w:r>
    </w:p>
    <w:p w14:paraId="28F528DD" w14:textId="77777777" w:rsidR="00903518" w:rsidRPr="00903518" w:rsidRDefault="00903518" w:rsidP="00903518">
      <w:pPr>
        <w:pStyle w:val="ListParagraph"/>
        <w:numPr>
          <w:ilvl w:val="0"/>
          <w:numId w:val="43"/>
        </w:numPr>
        <w:spacing w:line="240" w:lineRule="auto"/>
        <w:rPr>
          <w:rFonts w:eastAsia="Times New Roman" w:cs="Arial"/>
          <w:lang w:eastAsia="bg-BG"/>
        </w:rPr>
      </w:pPr>
      <w:r w:rsidRPr="00903518">
        <w:rPr>
          <w:rFonts w:eastAsia="Times New Roman" w:cs="Arial"/>
          <w:color w:val="000000"/>
          <w:lang w:eastAsia="bg-BG"/>
        </w:rPr>
        <w:t xml:space="preserve">Влошаване на сърдечната недостатъчност, проявяващо се при 5,8 </w:t>
      </w:r>
      <w:r w:rsidRPr="00903518">
        <w:rPr>
          <w:rFonts w:eastAsia="Times New Roman" w:cs="Arial"/>
          <w:i/>
          <w:iCs/>
          <w:color w:val="000000"/>
          <w:lang w:eastAsia="bg-BG"/>
        </w:rPr>
        <w:t>% от</w:t>
      </w:r>
      <w:r w:rsidRPr="00903518">
        <w:rPr>
          <w:rFonts w:eastAsia="Times New Roman" w:cs="Arial"/>
          <w:color w:val="000000"/>
          <w:lang w:eastAsia="bg-BG"/>
        </w:rPr>
        <w:t xml:space="preserve"> пациентите на небиволол в сравнение с 5,2 % от пациентите на плацебо;</w:t>
      </w:r>
    </w:p>
    <w:p w14:paraId="00DEFA2E" w14:textId="77777777" w:rsidR="00903518" w:rsidRPr="00903518" w:rsidRDefault="00903518" w:rsidP="00903518">
      <w:pPr>
        <w:pStyle w:val="ListParagraph"/>
        <w:numPr>
          <w:ilvl w:val="0"/>
          <w:numId w:val="43"/>
        </w:numPr>
        <w:spacing w:line="240" w:lineRule="auto"/>
        <w:rPr>
          <w:rFonts w:eastAsia="Times New Roman" w:cs="Arial"/>
          <w:lang w:eastAsia="bg-BG"/>
        </w:rPr>
      </w:pPr>
      <w:r w:rsidRPr="00903518">
        <w:rPr>
          <w:rFonts w:eastAsia="Times New Roman" w:cs="Arial"/>
          <w:color w:val="000000"/>
          <w:lang w:eastAsia="bg-BG"/>
        </w:rPr>
        <w:t>Постурална хипотония, докладвана при 2,1 % от пациентите на небиволол в сравнение с 1,0 % от пациентите на плацебо;</w:t>
      </w:r>
    </w:p>
    <w:p w14:paraId="3A548E71" w14:textId="77777777" w:rsidR="00903518" w:rsidRPr="00903518" w:rsidRDefault="00903518" w:rsidP="00903518">
      <w:pPr>
        <w:pStyle w:val="ListParagraph"/>
        <w:numPr>
          <w:ilvl w:val="0"/>
          <w:numId w:val="43"/>
        </w:numPr>
        <w:spacing w:line="240" w:lineRule="auto"/>
        <w:rPr>
          <w:rFonts w:eastAsia="Times New Roman" w:cs="Arial"/>
          <w:lang w:eastAsia="bg-BG"/>
        </w:rPr>
      </w:pPr>
      <w:r w:rsidRPr="00903518">
        <w:rPr>
          <w:rFonts w:eastAsia="Times New Roman" w:cs="Arial"/>
          <w:color w:val="000000"/>
          <w:lang w:eastAsia="bg-BG"/>
        </w:rPr>
        <w:t>Лекарствена непоносимост, наблюдавана при 1,6% от пациентите на небиволол в сравнение с 0,8 % от пациентите на плацебо;</w:t>
      </w:r>
    </w:p>
    <w:p w14:paraId="741244DE" w14:textId="77777777" w:rsidR="00903518" w:rsidRPr="00903518" w:rsidRDefault="00903518" w:rsidP="00903518">
      <w:pPr>
        <w:pStyle w:val="ListParagraph"/>
        <w:numPr>
          <w:ilvl w:val="0"/>
          <w:numId w:val="43"/>
        </w:numPr>
        <w:spacing w:line="240" w:lineRule="auto"/>
        <w:rPr>
          <w:rFonts w:eastAsia="Times New Roman" w:cs="Arial"/>
          <w:lang w:eastAsia="bg-BG"/>
        </w:rPr>
      </w:pPr>
      <w:r w:rsidRPr="00903518">
        <w:rPr>
          <w:rFonts w:eastAsia="Times New Roman" w:cs="Arial"/>
          <w:color w:val="000000"/>
          <w:lang w:eastAsia="bg-BG"/>
        </w:rPr>
        <w:t>Първа степен атрио-вентрикуларен блок при 1,4 % от пациентите на небиволол в сравнение с 0,9 % от пациентите на плацебо;</w:t>
      </w:r>
    </w:p>
    <w:p w14:paraId="5F617023" w14:textId="41D71A21" w:rsidR="00903518" w:rsidRPr="00903518" w:rsidRDefault="00903518" w:rsidP="00903518">
      <w:pPr>
        <w:pStyle w:val="ListParagraph"/>
        <w:numPr>
          <w:ilvl w:val="0"/>
          <w:numId w:val="43"/>
        </w:numPr>
        <w:spacing w:line="240" w:lineRule="auto"/>
        <w:rPr>
          <w:rFonts w:eastAsia="Times New Roman" w:cs="Arial"/>
          <w:lang w:eastAsia="bg-BG"/>
        </w:rPr>
      </w:pPr>
      <w:r w:rsidRPr="00903518">
        <w:rPr>
          <w:rFonts w:eastAsia="Times New Roman" w:cs="Arial"/>
          <w:color w:val="000000"/>
          <w:lang w:eastAsia="bg-BG"/>
        </w:rPr>
        <w:t>Оток на долните крайници, съобщаван при 1,0 % от пациентите на небиволол в сравнение с 0,2 % от пациентите на плацебо.</w:t>
      </w:r>
    </w:p>
    <w:p w14:paraId="32D37E0D" w14:textId="77777777" w:rsidR="00903518" w:rsidRDefault="00903518" w:rsidP="00903518">
      <w:pPr>
        <w:spacing w:line="240" w:lineRule="auto"/>
        <w:rPr>
          <w:rFonts w:eastAsia="Times New Roman" w:cs="Arial"/>
          <w:color w:val="000000"/>
          <w:u w:val="single"/>
          <w:lang w:eastAsia="bg-BG"/>
        </w:rPr>
      </w:pPr>
    </w:p>
    <w:p w14:paraId="3817CB41" w14:textId="7BE8F387" w:rsidR="00903518" w:rsidRPr="00903518" w:rsidRDefault="00903518" w:rsidP="00903518">
      <w:pPr>
        <w:spacing w:line="240" w:lineRule="auto"/>
        <w:rPr>
          <w:rFonts w:eastAsia="Times New Roman" w:cs="Arial"/>
          <w:lang w:eastAsia="bg-BG"/>
        </w:rPr>
      </w:pPr>
      <w:r w:rsidRPr="00903518">
        <w:rPr>
          <w:rFonts w:eastAsia="Times New Roman" w:cs="Arial"/>
          <w:color w:val="000000"/>
          <w:u w:val="single"/>
          <w:lang w:eastAsia="bg-BG"/>
        </w:rPr>
        <w:t>Съобщаване на подозирани нежелани реакции</w:t>
      </w:r>
    </w:p>
    <w:p w14:paraId="03DD3C9B" w14:textId="77777777" w:rsidR="00903518" w:rsidRPr="00903518" w:rsidRDefault="00903518" w:rsidP="00903518">
      <w:pPr>
        <w:spacing w:line="240" w:lineRule="auto"/>
        <w:rPr>
          <w:rFonts w:eastAsia="Times New Roman" w:cs="Arial"/>
          <w:lang w:eastAsia="bg-BG"/>
        </w:rPr>
      </w:pPr>
      <w:r w:rsidRPr="00903518">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w:t>
      </w:r>
    </w:p>
    <w:p w14:paraId="596ABE6E" w14:textId="77777777" w:rsidR="00903518" w:rsidRPr="00903518" w:rsidRDefault="00903518" w:rsidP="00903518">
      <w:pPr>
        <w:spacing w:line="240" w:lineRule="auto"/>
        <w:rPr>
          <w:rFonts w:eastAsia="Times New Roman" w:cs="Arial"/>
          <w:lang w:eastAsia="bg-BG"/>
        </w:rPr>
      </w:pPr>
      <w:r w:rsidRPr="00903518">
        <w:rPr>
          <w:rFonts w:eastAsia="Times New Roman" w:cs="Arial"/>
          <w:color w:val="000000"/>
          <w:lang w:eastAsia="bg-BG"/>
        </w:rPr>
        <w:t>Изпълнителна агенция по лекарствата</w:t>
      </w:r>
    </w:p>
    <w:p w14:paraId="6F185DAC" w14:textId="77777777" w:rsidR="00903518" w:rsidRPr="00903518" w:rsidRDefault="00903518" w:rsidP="00903518">
      <w:pPr>
        <w:spacing w:line="240" w:lineRule="auto"/>
        <w:rPr>
          <w:rFonts w:eastAsia="Times New Roman" w:cs="Arial"/>
          <w:lang w:eastAsia="bg-BG"/>
        </w:rPr>
      </w:pPr>
      <w:r w:rsidRPr="00903518">
        <w:rPr>
          <w:rFonts w:eastAsia="Times New Roman" w:cs="Arial"/>
          <w:color w:val="000000"/>
          <w:lang w:eastAsia="bg-BG"/>
        </w:rPr>
        <w:t>ул., Дамян Груев” № 8</w:t>
      </w:r>
    </w:p>
    <w:p w14:paraId="14CE75EA" w14:textId="77777777" w:rsidR="00903518" w:rsidRPr="00903518" w:rsidRDefault="00903518" w:rsidP="00903518">
      <w:pPr>
        <w:spacing w:line="240" w:lineRule="auto"/>
        <w:rPr>
          <w:rFonts w:eastAsia="Times New Roman" w:cs="Arial"/>
          <w:lang w:eastAsia="bg-BG"/>
        </w:rPr>
      </w:pPr>
      <w:r w:rsidRPr="00903518">
        <w:rPr>
          <w:rFonts w:eastAsia="Times New Roman" w:cs="Arial"/>
          <w:color w:val="000000"/>
          <w:lang w:eastAsia="bg-BG"/>
        </w:rPr>
        <w:t>1303 София</w:t>
      </w:r>
    </w:p>
    <w:p w14:paraId="4F8E512C" w14:textId="77777777" w:rsidR="00903518" w:rsidRPr="00903518" w:rsidRDefault="00903518" w:rsidP="00903518">
      <w:pPr>
        <w:spacing w:line="240" w:lineRule="auto"/>
        <w:rPr>
          <w:rFonts w:eastAsia="Times New Roman" w:cs="Arial"/>
          <w:lang w:eastAsia="bg-BG"/>
        </w:rPr>
      </w:pPr>
      <w:r w:rsidRPr="00903518">
        <w:rPr>
          <w:rFonts w:eastAsia="Times New Roman" w:cs="Arial"/>
          <w:color w:val="000000"/>
          <w:lang w:eastAsia="bg-BG"/>
        </w:rPr>
        <w:t>Тел.: +35928903417</w:t>
      </w:r>
    </w:p>
    <w:p w14:paraId="21CCE38C" w14:textId="77777777" w:rsidR="00903518" w:rsidRPr="00903518" w:rsidRDefault="00903518" w:rsidP="00903518">
      <w:pPr>
        <w:spacing w:line="240" w:lineRule="auto"/>
        <w:rPr>
          <w:rFonts w:eastAsia="Times New Roman" w:cs="Arial"/>
          <w:lang w:eastAsia="bg-BG"/>
        </w:rPr>
      </w:pPr>
      <w:r w:rsidRPr="00903518">
        <w:rPr>
          <w:rFonts w:eastAsia="Times New Roman" w:cs="Arial"/>
          <w:color w:val="000000"/>
          <w:lang w:eastAsia="bg-BG"/>
        </w:rPr>
        <w:t xml:space="preserve">уебсайт: </w:t>
      </w:r>
      <w:hyperlink r:id="rId5" w:history="1">
        <w:r w:rsidRPr="00903518">
          <w:rPr>
            <w:rFonts w:eastAsia="Times New Roman" w:cs="Arial"/>
            <w:color w:val="000000"/>
            <w:lang w:val="en-US"/>
          </w:rPr>
          <w:t>www.bda.bg</w:t>
        </w:r>
      </w:hyperlink>
    </w:p>
    <w:p w14:paraId="22AA7285" w14:textId="77777777" w:rsidR="00903518" w:rsidRPr="00903518" w:rsidRDefault="00903518" w:rsidP="00903518"/>
    <w:p w14:paraId="378A0F20" w14:textId="769783DF" w:rsidR="001D095A" w:rsidRDefault="002C50EE" w:rsidP="00340E8D">
      <w:pPr>
        <w:pStyle w:val="Heading2"/>
      </w:pPr>
      <w:r>
        <w:t>4.9. Предозиране</w:t>
      </w:r>
    </w:p>
    <w:p w14:paraId="2DAB0955" w14:textId="1591DD85" w:rsidR="00903518" w:rsidRDefault="00903518" w:rsidP="00903518"/>
    <w:p w14:paraId="234E04F0" w14:textId="77777777" w:rsidR="00903518" w:rsidRPr="00903518" w:rsidRDefault="00903518" w:rsidP="00903518">
      <w:pPr>
        <w:spacing w:line="240" w:lineRule="auto"/>
        <w:rPr>
          <w:rFonts w:eastAsia="Times New Roman" w:cs="Arial"/>
          <w:lang w:eastAsia="bg-BG"/>
        </w:rPr>
      </w:pPr>
      <w:r w:rsidRPr="00903518">
        <w:rPr>
          <w:rFonts w:eastAsia="Times New Roman" w:cs="Arial"/>
          <w:color w:val="000000"/>
          <w:lang w:eastAsia="bg-BG"/>
        </w:rPr>
        <w:t>Липсват данни за предозиране с небиволол.</w:t>
      </w:r>
    </w:p>
    <w:p w14:paraId="04C94F36" w14:textId="77777777" w:rsidR="00903518" w:rsidRDefault="00903518" w:rsidP="00903518">
      <w:pPr>
        <w:spacing w:line="240" w:lineRule="auto"/>
        <w:rPr>
          <w:rFonts w:eastAsia="Times New Roman" w:cs="Arial"/>
          <w:color w:val="000000"/>
          <w:u w:val="single"/>
          <w:lang w:eastAsia="bg-BG"/>
        </w:rPr>
      </w:pPr>
    </w:p>
    <w:p w14:paraId="03203273" w14:textId="1ACEA62A" w:rsidR="00903518" w:rsidRPr="00903518" w:rsidRDefault="00903518" w:rsidP="00903518">
      <w:pPr>
        <w:spacing w:line="240" w:lineRule="auto"/>
        <w:rPr>
          <w:rFonts w:eastAsia="Times New Roman" w:cs="Arial"/>
          <w:lang w:eastAsia="bg-BG"/>
        </w:rPr>
      </w:pPr>
      <w:r w:rsidRPr="00903518">
        <w:rPr>
          <w:rFonts w:eastAsia="Times New Roman" w:cs="Arial"/>
          <w:color w:val="000000"/>
          <w:u w:val="single"/>
          <w:lang w:eastAsia="bg-BG"/>
        </w:rPr>
        <w:t>Симптоми</w:t>
      </w:r>
    </w:p>
    <w:p w14:paraId="053C0F4B" w14:textId="77777777" w:rsidR="00903518" w:rsidRPr="00903518" w:rsidRDefault="00903518" w:rsidP="00903518">
      <w:pPr>
        <w:spacing w:line="240" w:lineRule="auto"/>
        <w:rPr>
          <w:rFonts w:eastAsia="Times New Roman" w:cs="Arial"/>
          <w:lang w:eastAsia="bg-BG"/>
        </w:rPr>
      </w:pPr>
      <w:r w:rsidRPr="00903518">
        <w:rPr>
          <w:rFonts w:eastAsia="Times New Roman" w:cs="Arial"/>
          <w:color w:val="000000"/>
          <w:lang w:eastAsia="bg-BG"/>
        </w:rPr>
        <w:lastRenderedPageBreak/>
        <w:t>Симптоми на предозиране с бета-блокери са брадикардия, хипотония, бронхоспазъм и остра сърдечна недостатъчност.</w:t>
      </w:r>
    </w:p>
    <w:p w14:paraId="58E03EE0" w14:textId="77777777" w:rsidR="00903518" w:rsidRDefault="00903518" w:rsidP="00903518">
      <w:pPr>
        <w:spacing w:line="240" w:lineRule="auto"/>
        <w:rPr>
          <w:rFonts w:eastAsia="Times New Roman" w:cs="Arial"/>
          <w:color w:val="000000"/>
          <w:u w:val="single"/>
          <w:lang w:eastAsia="bg-BG"/>
        </w:rPr>
      </w:pPr>
    </w:p>
    <w:p w14:paraId="6C23557C" w14:textId="39F075B4" w:rsidR="00903518" w:rsidRPr="00903518" w:rsidRDefault="00903518" w:rsidP="00903518">
      <w:pPr>
        <w:spacing w:line="240" w:lineRule="auto"/>
        <w:rPr>
          <w:rFonts w:eastAsia="Times New Roman" w:cs="Arial"/>
          <w:lang w:eastAsia="bg-BG"/>
        </w:rPr>
      </w:pPr>
      <w:r w:rsidRPr="00903518">
        <w:rPr>
          <w:rFonts w:eastAsia="Times New Roman" w:cs="Arial"/>
          <w:color w:val="000000"/>
          <w:u w:val="single"/>
          <w:lang w:eastAsia="bg-BG"/>
        </w:rPr>
        <w:t>Лечение</w:t>
      </w:r>
    </w:p>
    <w:p w14:paraId="5293EFFC" w14:textId="77777777" w:rsidR="00903518" w:rsidRPr="00903518" w:rsidRDefault="00903518" w:rsidP="00903518">
      <w:pPr>
        <w:rPr>
          <w:rFonts w:ascii="Times New Roman" w:eastAsia="Times New Roman" w:hAnsi="Times New Roman" w:cs="Times New Roman"/>
          <w:sz w:val="24"/>
          <w:szCs w:val="24"/>
          <w:lang w:eastAsia="bg-BG"/>
        </w:rPr>
      </w:pPr>
      <w:r w:rsidRPr="00903518">
        <w:rPr>
          <w:rFonts w:eastAsia="Times New Roman" w:cs="Arial"/>
          <w:color w:val="000000"/>
          <w:lang w:eastAsia="bg-BG"/>
        </w:rPr>
        <w:t>В случай на предозиране или свръхчувствителност, пациентът трябва да бъде под постоянно наблюдение и лечение в интензивно отделение. Необходимо е проследяване стойностите на кръвната захар. Абсорбцията на останалото в стомашно-чревния тракт количество от лекарственото вещество може да бъде предотвратена с помощта на стомашна промивка, прилагането на активен въглен или лаксатив. Може да е необходимо и прилагането на изкуствено дишане. Брадикардията или силно изразените вагусови реакции трябва да се леку</w:t>
      </w:r>
      <w:r w:rsidRPr="00903518">
        <w:rPr>
          <w:rFonts w:eastAsia="Times New Roman" w:cs="Arial"/>
          <w:color w:val="000000"/>
          <w:u w:val="single"/>
          <w:lang w:eastAsia="bg-BG"/>
        </w:rPr>
        <w:t xml:space="preserve">ват </w:t>
      </w:r>
      <w:r w:rsidRPr="00903518">
        <w:rPr>
          <w:rFonts w:eastAsia="Times New Roman" w:cs="Arial"/>
          <w:color w:val="000000"/>
          <w:lang w:eastAsia="bg-BG"/>
        </w:rPr>
        <w:t>чрез приложението на атропин или метилатропин. Хипотонията и шока трябва да бъдат повлияни чрез приложението на плазма или плазмени заместители, а при необходимост</w:t>
      </w:r>
      <w:r w:rsidRPr="00903518">
        <w:rPr>
          <w:rFonts w:eastAsia="Times New Roman" w:cs="Arial"/>
          <w:color w:val="000000"/>
          <w:u w:val="single"/>
          <w:lang w:eastAsia="bg-BG"/>
        </w:rPr>
        <w:t xml:space="preserve"> </w:t>
      </w:r>
      <w:r w:rsidRPr="00903518">
        <w:rPr>
          <w:rFonts w:eastAsia="Times New Roman" w:cs="Arial"/>
          <w:color w:val="000000"/>
          <w:lang w:eastAsia="bg-BG"/>
        </w:rPr>
        <w:t>катехоламини. На бета-блокиращия ефект може да се противодейства чрез бавно интравенозно приложение на изопреналин хидрохлорид с начална доза от около 5 μ</w:t>
      </w:r>
      <w:r w:rsidRPr="00903518">
        <w:rPr>
          <w:rFonts w:eastAsia="Times New Roman" w:cs="Arial"/>
          <w:color w:val="000000"/>
          <w:lang w:val="en-US"/>
        </w:rPr>
        <w:t xml:space="preserve">g </w:t>
      </w:r>
      <w:r w:rsidRPr="00903518">
        <w:rPr>
          <w:rFonts w:eastAsia="Times New Roman" w:cs="Arial"/>
          <w:color w:val="000000"/>
          <w:lang w:eastAsia="bg-BG"/>
        </w:rPr>
        <w:t>в минута или добутамин с начална доза от 2,5 μ</w:t>
      </w:r>
      <w:r w:rsidRPr="00903518">
        <w:rPr>
          <w:rFonts w:eastAsia="Times New Roman" w:cs="Arial"/>
          <w:color w:val="000000"/>
          <w:lang w:val="en-US"/>
        </w:rPr>
        <w:t xml:space="preserve">g </w:t>
      </w:r>
      <w:r w:rsidRPr="00903518">
        <w:rPr>
          <w:rFonts w:eastAsia="Times New Roman" w:cs="Arial"/>
          <w:color w:val="000000"/>
          <w:lang w:eastAsia="bg-BG"/>
        </w:rPr>
        <w:t>в минута, до постигането на желания ефект При рефрактерни случаи изопреналин може да бъде комбиниран с допамин. Ако отново не се</w:t>
      </w:r>
      <w:r>
        <w:rPr>
          <w:rFonts w:eastAsia="Times New Roman" w:cs="Arial"/>
          <w:color w:val="000000"/>
          <w:lang w:val="en-US" w:eastAsia="bg-BG"/>
        </w:rPr>
        <w:t xml:space="preserve"> </w:t>
      </w:r>
      <w:r w:rsidRPr="00903518">
        <w:rPr>
          <w:rFonts w:eastAsia="Times New Roman" w:cs="Arial"/>
          <w:color w:val="000000"/>
          <w:lang w:eastAsia="bg-BG"/>
        </w:rPr>
        <w:t>постигне желания ефект, може да се обмисли интравенозно приложение на глюкагон в доза 50- 100 μ</w:t>
      </w:r>
      <w:r w:rsidRPr="00903518">
        <w:rPr>
          <w:rFonts w:eastAsia="Times New Roman" w:cs="Arial"/>
          <w:color w:val="000000"/>
          <w:lang w:val="en-US"/>
        </w:rPr>
        <w:t xml:space="preserve">g/kg. </w:t>
      </w:r>
      <w:r w:rsidRPr="00903518">
        <w:rPr>
          <w:rFonts w:eastAsia="Times New Roman" w:cs="Arial"/>
          <w:color w:val="000000"/>
          <w:lang w:eastAsia="bg-BG"/>
        </w:rPr>
        <w:t>При необходимост, инжекцията може да бъде повторена в рамките на 1 час, последвано от интравенозна инфузия на глюкагон 70 μ</w:t>
      </w:r>
      <w:r w:rsidRPr="00903518">
        <w:rPr>
          <w:rFonts w:eastAsia="Times New Roman" w:cs="Arial"/>
          <w:color w:val="000000"/>
          <w:lang w:val="en-US"/>
        </w:rPr>
        <w:t xml:space="preserve">g/kg/h. </w:t>
      </w:r>
      <w:r w:rsidRPr="00903518">
        <w:rPr>
          <w:rFonts w:eastAsia="Times New Roman" w:cs="Arial"/>
          <w:color w:val="000000"/>
          <w:lang w:eastAsia="bg-BG"/>
        </w:rPr>
        <w:t>В екстремни случаи, при неповлияваща се брадикардия може да се постави пейсмейкър.</w:t>
      </w:r>
    </w:p>
    <w:p w14:paraId="17EBF06A" w14:textId="77777777" w:rsidR="00903518" w:rsidRPr="00903518" w:rsidRDefault="00903518" w:rsidP="00903518"/>
    <w:p w14:paraId="02081B24" w14:textId="36FE76F4" w:rsidR="00395555" w:rsidRPr="00395555" w:rsidRDefault="002C50EE" w:rsidP="008A6AF2">
      <w:pPr>
        <w:pStyle w:val="Heading1"/>
      </w:pPr>
      <w:r>
        <w:t>5. ФАРМАКОЛОГИЧНИ СВОЙСТВА</w:t>
      </w:r>
    </w:p>
    <w:p w14:paraId="7F6CC5E1" w14:textId="07844C13" w:rsidR="00F62E44" w:rsidRDefault="002C50EE" w:rsidP="00387A66">
      <w:pPr>
        <w:pStyle w:val="Heading2"/>
      </w:pPr>
      <w:r>
        <w:t>5.1. Фармакодинамични свойства</w:t>
      </w:r>
    </w:p>
    <w:p w14:paraId="796730EB" w14:textId="06CC942C" w:rsidR="00903518" w:rsidRDefault="00903518" w:rsidP="00903518"/>
    <w:p w14:paraId="69896052" w14:textId="77777777" w:rsidR="00903518" w:rsidRPr="00903518" w:rsidRDefault="00903518" w:rsidP="00903518">
      <w:pPr>
        <w:spacing w:line="240" w:lineRule="auto"/>
        <w:rPr>
          <w:rFonts w:eastAsia="Times New Roman" w:cs="Arial"/>
          <w:lang w:eastAsia="bg-BG"/>
        </w:rPr>
      </w:pPr>
      <w:r w:rsidRPr="00903518">
        <w:rPr>
          <w:rFonts w:eastAsia="Times New Roman" w:cs="Arial"/>
          <w:i/>
          <w:iCs/>
          <w:color w:val="000000"/>
          <w:lang w:eastAsia="bg-BG"/>
        </w:rPr>
        <w:t>Фармакотерапевтпична група:</w:t>
      </w:r>
      <w:r w:rsidRPr="00903518">
        <w:rPr>
          <w:rFonts w:eastAsia="Times New Roman" w:cs="Arial"/>
          <w:color w:val="000000"/>
          <w:lang w:eastAsia="bg-BG"/>
        </w:rPr>
        <w:t xml:space="preserve"> Антихипертензивни средства, селективни бета-блокери. АТС код: С 07АВ12.</w:t>
      </w:r>
    </w:p>
    <w:p w14:paraId="1B31695B" w14:textId="77777777" w:rsidR="00903518" w:rsidRDefault="00903518" w:rsidP="00903518">
      <w:pPr>
        <w:spacing w:line="240" w:lineRule="auto"/>
        <w:rPr>
          <w:rFonts w:eastAsia="Times New Roman" w:cs="Arial"/>
          <w:color w:val="000000"/>
          <w:lang w:eastAsia="bg-BG"/>
        </w:rPr>
      </w:pPr>
    </w:p>
    <w:p w14:paraId="56411A68" w14:textId="0046121C" w:rsidR="00903518" w:rsidRPr="00903518" w:rsidRDefault="00903518" w:rsidP="00903518">
      <w:pPr>
        <w:spacing w:line="240" w:lineRule="auto"/>
        <w:rPr>
          <w:rFonts w:eastAsia="Times New Roman" w:cs="Arial"/>
          <w:lang w:eastAsia="bg-BG"/>
        </w:rPr>
      </w:pPr>
      <w:r w:rsidRPr="00903518">
        <w:rPr>
          <w:rFonts w:eastAsia="Times New Roman" w:cs="Arial"/>
          <w:color w:val="000000"/>
          <w:lang w:eastAsia="bg-BG"/>
        </w:rPr>
        <w:t xml:space="preserve">Небиволол е рацемат от два енантиомера, </w:t>
      </w:r>
      <w:r w:rsidRPr="00903518">
        <w:rPr>
          <w:rFonts w:eastAsia="Times New Roman" w:cs="Arial"/>
          <w:color w:val="000000"/>
          <w:lang w:val="en-US"/>
        </w:rPr>
        <w:t>SRRR</w:t>
      </w:r>
      <w:r w:rsidRPr="00903518">
        <w:rPr>
          <w:rFonts w:eastAsia="Times New Roman" w:cs="Arial"/>
          <w:color w:val="000000"/>
          <w:lang w:eastAsia="bg-BG"/>
        </w:rPr>
        <w:t xml:space="preserve">-небиволол (или </w:t>
      </w:r>
      <w:r w:rsidRPr="00903518">
        <w:rPr>
          <w:rFonts w:eastAsia="Times New Roman" w:cs="Arial"/>
          <w:color w:val="000000"/>
          <w:lang w:val="en-US"/>
        </w:rPr>
        <w:t>d</w:t>
      </w:r>
      <w:r w:rsidRPr="00903518">
        <w:rPr>
          <w:rFonts w:eastAsia="Times New Roman" w:cs="Arial"/>
          <w:color w:val="000000"/>
          <w:lang w:eastAsia="bg-BG"/>
        </w:rPr>
        <w:t xml:space="preserve">-небиволол) и </w:t>
      </w:r>
      <w:r w:rsidRPr="00903518">
        <w:rPr>
          <w:rFonts w:eastAsia="Times New Roman" w:cs="Arial"/>
          <w:color w:val="000000"/>
          <w:lang w:val="en-US"/>
        </w:rPr>
        <w:t>RSSS</w:t>
      </w:r>
      <w:r w:rsidRPr="00903518">
        <w:rPr>
          <w:rFonts w:eastAsia="Times New Roman" w:cs="Arial"/>
          <w:color w:val="000000"/>
          <w:lang w:eastAsia="bg-BG"/>
        </w:rPr>
        <w:t>-небиволол (или 1-небиволол). Това съчетава два фармакологични ефекта:</w:t>
      </w:r>
    </w:p>
    <w:p w14:paraId="70CC7EE0" w14:textId="77777777" w:rsidR="00903518" w:rsidRDefault="00903518" w:rsidP="00903518">
      <w:pPr>
        <w:pStyle w:val="ListParagraph"/>
        <w:numPr>
          <w:ilvl w:val="0"/>
          <w:numId w:val="44"/>
        </w:numPr>
        <w:spacing w:line="240" w:lineRule="auto"/>
        <w:rPr>
          <w:rFonts w:eastAsia="Times New Roman" w:cs="Arial"/>
          <w:color w:val="000000"/>
          <w:lang w:eastAsia="bg-BG"/>
        </w:rPr>
      </w:pPr>
      <w:r w:rsidRPr="00903518">
        <w:rPr>
          <w:rFonts w:eastAsia="Times New Roman" w:cs="Arial"/>
          <w:color w:val="000000"/>
          <w:lang w:eastAsia="bg-BG"/>
        </w:rPr>
        <w:t xml:space="preserve">конкурентен и селективен бета-рецепторен антагонизъм, дължащ се на </w:t>
      </w:r>
      <w:r w:rsidRPr="00903518">
        <w:rPr>
          <w:rFonts w:eastAsia="Times New Roman" w:cs="Arial"/>
          <w:color w:val="000000"/>
          <w:lang w:val="en-US"/>
        </w:rPr>
        <w:t xml:space="preserve">SRRR- </w:t>
      </w:r>
      <w:r w:rsidRPr="00903518">
        <w:rPr>
          <w:rFonts w:eastAsia="Times New Roman" w:cs="Arial"/>
          <w:color w:val="000000"/>
          <w:lang w:eastAsia="bg-BG"/>
        </w:rPr>
        <w:t>енантиомера (1-енантиомера);</w:t>
      </w:r>
    </w:p>
    <w:p w14:paraId="5C4B020B" w14:textId="6B2475EA" w:rsidR="00903518" w:rsidRPr="00903518" w:rsidRDefault="00903518" w:rsidP="00903518">
      <w:pPr>
        <w:pStyle w:val="ListParagraph"/>
        <w:numPr>
          <w:ilvl w:val="0"/>
          <w:numId w:val="44"/>
        </w:numPr>
        <w:spacing w:line="240" w:lineRule="auto"/>
        <w:rPr>
          <w:rFonts w:eastAsia="Times New Roman" w:cs="Arial"/>
          <w:color w:val="000000"/>
          <w:lang w:eastAsia="bg-BG"/>
        </w:rPr>
      </w:pPr>
      <w:r w:rsidRPr="00903518">
        <w:rPr>
          <w:rFonts w:eastAsia="Times New Roman" w:cs="Arial"/>
          <w:color w:val="000000"/>
          <w:lang w:eastAsia="bg-BG"/>
        </w:rPr>
        <w:t xml:space="preserve">леко вазодилатативно действие в резултат на взаимодействието със системата </w:t>
      </w:r>
      <w:r w:rsidRPr="00903518">
        <w:rPr>
          <w:rFonts w:eastAsia="Times New Roman" w:cs="Arial"/>
          <w:color w:val="000000"/>
          <w:lang w:val="en-US"/>
        </w:rPr>
        <w:t xml:space="preserve">L- </w:t>
      </w:r>
      <w:r w:rsidRPr="00903518">
        <w:rPr>
          <w:rFonts w:eastAsia="Times New Roman" w:cs="Arial"/>
          <w:color w:val="000000"/>
          <w:lang w:eastAsia="bg-BG"/>
        </w:rPr>
        <w:t>аргинин/азотен окис.</w:t>
      </w:r>
    </w:p>
    <w:p w14:paraId="0C5B43D4" w14:textId="77777777" w:rsidR="00903518" w:rsidRDefault="00903518" w:rsidP="00903518">
      <w:pPr>
        <w:spacing w:line="240" w:lineRule="auto"/>
        <w:rPr>
          <w:rFonts w:eastAsia="Times New Roman" w:cs="Arial"/>
          <w:color w:val="000000"/>
          <w:lang w:eastAsia="bg-BG"/>
        </w:rPr>
      </w:pPr>
    </w:p>
    <w:p w14:paraId="449A5363" w14:textId="276943D0" w:rsidR="00903518" w:rsidRPr="00903518" w:rsidRDefault="00903518" w:rsidP="00903518">
      <w:pPr>
        <w:spacing w:line="240" w:lineRule="auto"/>
        <w:rPr>
          <w:rFonts w:eastAsia="Times New Roman" w:cs="Arial"/>
          <w:lang w:eastAsia="bg-BG"/>
        </w:rPr>
      </w:pPr>
      <w:r w:rsidRPr="00903518">
        <w:rPr>
          <w:rFonts w:eastAsia="Times New Roman" w:cs="Arial"/>
          <w:color w:val="000000"/>
          <w:lang w:eastAsia="bg-BG"/>
        </w:rPr>
        <w:t>Еднократното и многократно приложение на небиволол понижава сърдечната честота и артериалното налягане в покой и при усилие, какго при нормотензивни индивиди, така и при пациенти с хипертония. Антихипертензивният ефект се запазва и при продължително лечение.</w:t>
      </w:r>
    </w:p>
    <w:p w14:paraId="2669789C" w14:textId="77777777" w:rsidR="00903518" w:rsidRDefault="00903518" w:rsidP="00903518">
      <w:pPr>
        <w:spacing w:line="240" w:lineRule="auto"/>
        <w:rPr>
          <w:rFonts w:eastAsia="Times New Roman" w:cs="Arial"/>
          <w:color w:val="000000"/>
          <w:lang w:eastAsia="bg-BG"/>
        </w:rPr>
      </w:pPr>
    </w:p>
    <w:p w14:paraId="6F7DCC50" w14:textId="2445D783" w:rsidR="00903518" w:rsidRPr="00903518" w:rsidRDefault="00903518" w:rsidP="00903518">
      <w:pPr>
        <w:spacing w:line="240" w:lineRule="auto"/>
        <w:rPr>
          <w:rFonts w:eastAsia="Times New Roman" w:cs="Arial"/>
          <w:lang w:eastAsia="bg-BG"/>
        </w:rPr>
      </w:pPr>
      <w:r w:rsidRPr="00903518">
        <w:rPr>
          <w:rFonts w:eastAsia="Times New Roman" w:cs="Arial"/>
          <w:color w:val="000000"/>
          <w:lang w:eastAsia="bg-BG"/>
        </w:rPr>
        <w:t>В терапевтични дози, небиволол е лишен от алфа-адренергичен антагонизъм.</w:t>
      </w:r>
    </w:p>
    <w:p w14:paraId="63643EC1" w14:textId="77777777" w:rsidR="00903518" w:rsidRDefault="00903518" w:rsidP="00903518">
      <w:pPr>
        <w:spacing w:line="240" w:lineRule="auto"/>
        <w:rPr>
          <w:rFonts w:eastAsia="Times New Roman" w:cs="Arial"/>
          <w:color w:val="000000"/>
          <w:lang w:eastAsia="bg-BG"/>
        </w:rPr>
      </w:pPr>
    </w:p>
    <w:p w14:paraId="4814009D" w14:textId="3744BF1B" w:rsidR="00903518" w:rsidRPr="00903518" w:rsidRDefault="00903518" w:rsidP="00903518">
      <w:pPr>
        <w:spacing w:line="240" w:lineRule="auto"/>
        <w:rPr>
          <w:rFonts w:eastAsia="Times New Roman" w:cs="Arial"/>
          <w:lang w:eastAsia="bg-BG"/>
        </w:rPr>
      </w:pPr>
      <w:r w:rsidRPr="00903518">
        <w:rPr>
          <w:rFonts w:eastAsia="Times New Roman" w:cs="Arial"/>
          <w:color w:val="000000"/>
          <w:lang w:eastAsia="bg-BG"/>
        </w:rPr>
        <w:t xml:space="preserve">При остро и продължително лечение на пациенти с хипертония, небиволол води до понижаване на системната съдова резистентност. Независимо от понижението на сърдечната честота, намалението на минутния сърдечен обем в покой и при физическа активност се ограничава в резултат на повишението на ударния обем. Клиничното </w:t>
      </w:r>
      <w:r w:rsidRPr="00903518">
        <w:rPr>
          <w:rFonts w:eastAsia="Times New Roman" w:cs="Arial"/>
          <w:color w:val="000000"/>
          <w:lang w:eastAsia="bg-BG"/>
        </w:rPr>
        <w:lastRenderedPageBreak/>
        <w:t>значение на тези хемодинамични параметри в сравнение с други селективни бета-1 блокери, все още не е добре установено.</w:t>
      </w:r>
    </w:p>
    <w:p w14:paraId="7EBF8BA4" w14:textId="77777777" w:rsidR="00903518" w:rsidRDefault="00903518" w:rsidP="00903518">
      <w:pPr>
        <w:spacing w:line="240" w:lineRule="auto"/>
        <w:rPr>
          <w:rFonts w:eastAsia="Times New Roman" w:cs="Arial"/>
          <w:color w:val="000000"/>
          <w:lang w:eastAsia="bg-BG"/>
        </w:rPr>
      </w:pPr>
    </w:p>
    <w:p w14:paraId="42686213" w14:textId="17C86B0D" w:rsidR="00903518" w:rsidRPr="00903518" w:rsidRDefault="00903518" w:rsidP="00903518">
      <w:pPr>
        <w:spacing w:line="240" w:lineRule="auto"/>
        <w:rPr>
          <w:rFonts w:eastAsia="Times New Roman" w:cs="Arial"/>
          <w:lang w:eastAsia="bg-BG"/>
        </w:rPr>
      </w:pPr>
      <w:r w:rsidRPr="00903518">
        <w:rPr>
          <w:rFonts w:eastAsia="Times New Roman" w:cs="Arial"/>
          <w:color w:val="000000"/>
          <w:lang w:eastAsia="bg-BG"/>
        </w:rPr>
        <w:t xml:space="preserve">При пациенти с хипертония, небиволол повишава </w:t>
      </w:r>
      <w:r w:rsidRPr="00903518">
        <w:rPr>
          <w:rFonts w:eastAsia="Times New Roman" w:cs="Arial"/>
          <w:color w:val="000000"/>
          <w:lang w:val="en-US"/>
        </w:rPr>
        <w:t>NO</w:t>
      </w:r>
      <w:r w:rsidRPr="00903518">
        <w:rPr>
          <w:rFonts w:eastAsia="Times New Roman" w:cs="Arial"/>
          <w:color w:val="000000"/>
          <w:lang w:eastAsia="bg-BG"/>
        </w:rPr>
        <w:t>-медиирания отговор на съдовете към ацетилхолин, който е понижен при пациенти с ендотелна дисфункция.</w:t>
      </w:r>
    </w:p>
    <w:p w14:paraId="2B3F5B84" w14:textId="77777777" w:rsidR="00903518" w:rsidRDefault="00903518" w:rsidP="00903518">
      <w:pPr>
        <w:spacing w:line="240" w:lineRule="auto"/>
        <w:rPr>
          <w:rFonts w:eastAsia="Times New Roman" w:cs="Arial"/>
          <w:color w:val="000000"/>
          <w:lang w:eastAsia="bg-BG"/>
        </w:rPr>
      </w:pPr>
    </w:p>
    <w:p w14:paraId="398740FA" w14:textId="155CFC15" w:rsidR="00903518" w:rsidRPr="00903518" w:rsidRDefault="00903518" w:rsidP="00903518">
      <w:pPr>
        <w:spacing w:line="240" w:lineRule="auto"/>
        <w:rPr>
          <w:rFonts w:eastAsia="Times New Roman" w:cs="Arial"/>
          <w:lang w:eastAsia="bg-BG"/>
        </w:rPr>
      </w:pPr>
      <w:r w:rsidRPr="00903518">
        <w:rPr>
          <w:rFonts w:eastAsia="Times New Roman" w:cs="Arial"/>
          <w:color w:val="000000"/>
          <w:lang w:eastAsia="bg-BG"/>
        </w:rPr>
        <w:t xml:space="preserve">В плацебо-контролирано проучване върху заболеваемостта и смъртността при 2128 пациенти &gt; 70 години (средна възраст 75,2 години) със стабилна хронична сърдечна недостатъчност с или без нарушена левокамерна фракция на изтласкване (средно </w:t>
      </w:r>
      <w:r w:rsidRPr="00903518">
        <w:rPr>
          <w:rFonts w:eastAsia="Times New Roman" w:cs="Arial"/>
          <w:color w:val="000000"/>
          <w:lang w:val="en-US"/>
        </w:rPr>
        <w:t xml:space="preserve">LVEF: </w:t>
      </w:r>
      <w:r w:rsidRPr="00903518">
        <w:rPr>
          <w:rFonts w:eastAsia="Times New Roman" w:cs="Arial"/>
          <w:color w:val="000000"/>
          <w:lang w:eastAsia="bg-BG"/>
        </w:rPr>
        <w:t xml:space="preserve">36 ± 12,3%, при което </w:t>
      </w:r>
      <w:r w:rsidRPr="00903518">
        <w:rPr>
          <w:rFonts w:eastAsia="Times New Roman" w:cs="Arial"/>
          <w:color w:val="000000"/>
          <w:lang w:val="en-US"/>
        </w:rPr>
        <w:t xml:space="preserve">LVEF </w:t>
      </w:r>
      <w:r w:rsidRPr="00903518">
        <w:rPr>
          <w:rFonts w:eastAsia="Times New Roman" w:cs="Arial"/>
          <w:color w:val="000000"/>
          <w:lang w:eastAsia="bg-BG"/>
        </w:rPr>
        <w:t xml:space="preserve">по-малко от 35% при 56% от пациентите, </w:t>
      </w:r>
      <w:r w:rsidRPr="00903518">
        <w:rPr>
          <w:rFonts w:eastAsia="Times New Roman" w:cs="Arial"/>
          <w:color w:val="000000"/>
          <w:lang w:val="en-US"/>
        </w:rPr>
        <w:t xml:space="preserve">LVEF </w:t>
      </w:r>
      <w:r w:rsidRPr="00903518">
        <w:rPr>
          <w:rFonts w:eastAsia="Times New Roman" w:cs="Arial"/>
          <w:color w:val="000000"/>
          <w:lang w:eastAsia="bg-BG"/>
        </w:rPr>
        <w:t xml:space="preserve">между 35% и 45% при 25% от пациентите и </w:t>
      </w:r>
      <w:r w:rsidRPr="00903518">
        <w:rPr>
          <w:rFonts w:eastAsia="Times New Roman" w:cs="Arial"/>
          <w:color w:val="000000"/>
          <w:lang w:val="en-US"/>
        </w:rPr>
        <w:t xml:space="preserve">LVEF </w:t>
      </w:r>
      <w:r w:rsidRPr="00903518">
        <w:rPr>
          <w:rFonts w:eastAsia="Times New Roman" w:cs="Arial"/>
          <w:color w:val="000000"/>
          <w:lang w:eastAsia="bg-BG"/>
        </w:rPr>
        <w:t>повече от 45% при 19% от пациентите), проследявани в продължение средно на 20 месеца, небиволол, добавен към стандартното лечение, значително удължава времето до появата на смъртен изход или хоспитализация по повод сърдечно</w:t>
      </w:r>
      <w:r w:rsidRPr="00903518">
        <w:rPr>
          <w:rFonts w:eastAsia="Times New Roman" w:cs="Arial"/>
          <w:color w:val="000000"/>
          <w:lang w:eastAsia="bg-BG"/>
        </w:rPr>
        <w:softHyphen/>
        <w:t>съдови нарушения (първична крайна точка за ефикасност), при 14% понижение на относителния риск (абсолютно понижение: 4,2 %). Това понижение на риска се проявява след 6-ия месец от лечението и се поддържа по време на целия период на лечение (средна продължителност: 18 месеца). Ефектът на небиволол не е бил зависим от възрастта, пола и левокамерната фракция на изтласкване на проучваната популация. Благоприятният ефект по отношение на общата смъртност не е достигал статистическа значимост в сравнение с плацебо (абсолютно понижение: 2,3%).</w:t>
      </w:r>
    </w:p>
    <w:p w14:paraId="6B2FEC11" w14:textId="77777777" w:rsidR="00903518" w:rsidRDefault="00903518" w:rsidP="00903518">
      <w:pPr>
        <w:rPr>
          <w:rFonts w:eastAsia="Times New Roman" w:cs="Arial"/>
          <w:color w:val="000000"/>
          <w:lang w:eastAsia="bg-BG"/>
        </w:rPr>
      </w:pPr>
    </w:p>
    <w:p w14:paraId="715D0591" w14:textId="38A69F09" w:rsidR="00903518" w:rsidRPr="00903518" w:rsidRDefault="00903518" w:rsidP="00903518">
      <w:pPr>
        <w:rPr>
          <w:rFonts w:eastAsia="Times New Roman" w:cs="Arial"/>
          <w:color w:val="000000"/>
          <w:lang w:eastAsia="bg-BG"/>
        </w:rPr>
      </w:pPr>
      <w:r w:rsidRPr="00903518">
        <w:rPr>
          <w:rFonts w:eastAsia="Times New Roman" w:cs="Arial"/>
          <w:color w:val="000000"/>
          <w:lang w:eastAsia="bg-BG"/>
        </w:rPr>
        <w:t>При пациентите на лечение с небиволол е наблюдавано понижение на внезапната сърдечна смъртност (4,1 % спрямо 6,6%, относително понижение с 3 8%).</w:t>
      </w:r>
    </w:p>
    <w:p w14:paraId="3AFB61A0" w14:textId="2880332D" w:rsidR="00903518" w:rsidRDefault="00903518" w:rsidP="00903518"/>
    <w:p w14:paraId="48131134" w14:textId="77777777" w:rsidR="00903518" w:rsidRPr="00903518" w:rsidRDefault="00903518" w:rsidP="00903518">
      <w:pPr>
        <w:spacing w:line="240" w:lineRule="auto"/>
        <w:rPr>
          <w:rFonts w:eastAsia="Times New Roman" w:cs="Arial"/>
          <w:lang w:eastAsia="bg-BG"/>
        </w:rPr>
      </w:pPr>
      <w:r w:rsidRPr="00903518">
        <w:rPr>
          <w:rFonts w:eastAsia="Times New Roman" w:cs="Arial"/>
          <w:i/>
          <w:iCs/>
          <w:color w:val="000000"/>
          <w:lang w:val="en-US"/>
        </w:rPr>
        <w:t>In vitro</w:t>
      </w:r>
      <w:r w:rsidRPr="00903518">
        <w:rPr>
          <w:rFonts w:eastAsia="Times New Roman" w:cs="Arial"/>
          <w:color w:val="000000"/>
          <w:lang w:val="en-US"/>
        </w:rPr>
        <w:t xml:space="preserve"> </w:t>
      </w:r>
      <w:r w:rsidRPr="00903518">
        <w:rPr>
          <w:rFonts w:eastAsia="Times New Roman" w:cs="Arial"/>
          <w:color w:val="000000"/>
          <w:lang w:eastAsia="bg-BG"/>
        </w:rPr>
        <w:t xml:space="preserve">и </w:t>
      </w:r>
      <w:r w:rsidRPr="00903518">
        <w:rPr>
          <w:rFonts w:eastAsia="Times New Roman" w:cs="Arial"/>
          <w:i/>
          <w:iCs/>
          <w:color w:val="000000"/>
          <w:lang w:val="en-US"/>
        </w:rPr>
        <w:t>in vivo</w:t>
      </w:r>
      <w:r w:rsidRPr="00903518">
        <w:rPr>
          <w:rFonts w:eastAsia="Times New Roman" w:cs="Arial"/>
          <w:color w:val="000000"/>
          <w:lang w:val="en-US"/>
        </w:rPr>
        <w:t xml:space="preserve"> </w:t>
      </w:r>
      <w:r w:rsidRPr="00903518">
        <w:rPr>
          <w:rFonts w:eastAsia="Times New Roman" w:cs="Arial"/>
          <w:color w:val="000000"/>
          <w:lang w:eastAsia="bg-BG"/>
        </w:rPr>
        <w:t>проучванията при животни са показали, че небиволол е лишен от вътрешна симпатикомиметична активност.</w:t>
      </w:r>
    </w:p>
    <w:p w14:paraId="4900045B" w14:textId="77777777" w:rsidR="00903518" w:rsidRDefault="00903518" w:rsidP="00903518">
      <w:pPr>
        <w:spacing w:line="240" w:lineRule="auto"/>
        <w:rPr>
          <w:rFonts w:eastAsia="Times New Roman" w:cs="Arial"/>
          <w:i/>
          <w:iCs/>
          <w:color w:val="000000"/>
          <w:lang w:val="en-US"/>
        </w:rPr>
      </w:pPr>
    </w:p>
    <w:p w14:paraId="1E87DCAC" w14:textId="219AC18D" w:rsidR="00903518" w:rsidRPr="00903518" w:rsidRDefault="00903518" w:rsidP="00903518">
      <w:pPr>
        <w:spacing w:line="240" w:lineRule="auto"/>
        <w:rPr>
          <w:rFonts w:eastAsia="Times New Roman" w:cs="Arial"/>
          <w:lang w:eastAsia="bg-BG"/>
        </w:rPr>
      </w:pPr>
      <w:r w:rsidRPr="00903518">
        <w:rPr>
          <w:rFonts w:eastAsia="Times New Roman" w:cs="Arial"/>
          <w:i/>
          <w:iCs/>
          <w:color w:val="000000"/>
          <w:lang w:val="en-US"/>
        </w:rPr>
        <w:t>In vitro</w:t>
      </w:r>
      <w:r w:rsidRPr="00903518">
        <w:rPr>
          <w:rFonts w:eastAsia="Times New Roman" w:cs="Arial"/>
          <w:color w:val="000000"/>
          <w:lang w:val="en-US"/>
        </w:rPr>
        <w:t xml:space="preserve"> </w:t>
      </w:r>
      <w:r w:rsidRPr="00903518">
        <w:rPr>
          <w:rFonts w:eastAsia="Times New Roman" w:cs="Arial"/>
          <w:color w:val="000000"/>
          <w:lang w:eastAsia="bg-BG"/>
        </w:rPr>
        <w:t xml:space="preserve">и </w:t>
      </w:r>
      <w:r w:rsidRPr="00903518">
        <w:rPr>
          <w:rFonts w:eastAsia="Times New Roman" w:cs="Arial"/>
          <w:i/>
          <w:iCs/>
          <w:color w:val="000000"/>
          <w:lang w:val="en-US"/>
        </w:rPr>
        <w:t>in vivo</w:t>
      </w:r>
      <w:r w:rsidRPr="00903518">
        <w:rPr>
          <w:rFonts w:eastAsia="Times New Roman" w:cs="Arial"/>
          <w:color w:val="000000"/>
          <w:lang w:val="en-US"/>
        </w:rPr>
        <w:t xml:space="preserve"> </w:t>
      </w:r>
      <w:r w:rsidRPr="00903518">
        <w:rPr>
          <w:rFonts w:eastAsia="Times New Roman" w:cs="Arial"/>
          <w:color w:val="000000"/>
          <w:lang w:eastAsia="bg-BG"/>
        </w:rPr>
        <w:t>проучванията при животни са показали, че фармакологичните дози на небиволол нямат мембрано-стабилизиращо действие.</w:t>
      </w:r>
    </w:p>
    <w:p w14:paraId="4891EF6B" w14:textId="77777777" w:rsidR="00903518" w:rsidRDefault="00903518" w:rsidP="00903518">
      <w:pPr>
        <w:spacing w:line="240" w:lineRule="auto"/>
        <w:rPr>
          <w:rFonts w:eastAsia="Times New Roman" w:cs="Arial"/>
          <w:color w:val="000000"/>
          <w:lang w:eastAsia="bg-BG"/>
        </w:rPr>
      </w:pPr>
    </w:p>
    <w:p w14:paraId="5D2971B9" w14:textId="70A6C2F4" w:rsidR="00903518" w:rsidRPr="00903518" w:rsidRDefault="00903518" w:rsidP="00903518">
      <w:pPr>
        <w:spacing w:line="240" w:lineRule="auto"/>
        <w:rPr>
          <w:rFonts w:eastAsia="Times New Roman" w:cs="Arial"/>
          <w:lang w:eastAsia="bg-BG"/>
        </w:rPr>
      </w:pPr>
      <w:r w:rsidRPr="00903518">
        <w:rPr>
          <w:rFonts w:eastAsia="Times New Roman" w:cs="Arial"/>
          <w:color w:val="000000"/>
          <w:lang w:eastAsia="bg-BG"/>
        </w:rPr>
        <w:t>При здрави доброволци, небиволол не повлиява в значителна степен максималния физически капацитет или издържливост.</w:t>
      </w:r>
    </w:p>
    <w:p w14:paraId="59380782" w14:textId="77777777" w:rsidR="00903518" w:rsidRPr="00903518" w:rsidRDefault="00903518" w:rsidP="00903518"/>
    <w:p w14:paraId="544FFDAF" w14:textId="20B3F180" w:rsidR="00F62E44" w:rsidRDefault="002C50EE" w:rsidP="00387A66">
      <w:pPr>
        <w:pStyle w:val="Heading2"/>
      </w:pPr>
      <w:r>
        <w:t>5.2. Фармакокинетични свойства</w:t>
      </w:r>
    </w:p>
    <w:p w14:paraId="32447831" w14:textId="07C3CE97" w:rsidR="00903518" w:rsidRDefault="00903518" w:rsidP="00903518"/>
    <w:p w14:paraId="4A06F21C" w14:textId="77777777" w:rsidR="00903518" w:rsidRPr="00903518" w:rsidRDefault="00903518" w:rsidP="00903518">
      <w:pPr>
        <w:spacing w:line="240" w:lineRule="auto"/>
        <w:rPr>
          <w:rFonts w:eastAsia="Times New Roman" w:cs="Arial"/>
          <w:lang w:eastAsia="bg-BG"/>
        </w:rPr>
      </w:pPr>
      <w:r w:rsidRPr="00903518">
        <w:rPr>
          <w:rFonts w:eastAsia="Times New Roman" w:cs="Arial"/>
          <w:i/>
          <w:iCs/>
          <w:color w:val="000000"/>
          <w:lang w:eastAsia="bg-BG"/>
        </w:rPr>
        <w:t>Абсорбция:</w:t>
      </w:r>
    </w:p>
    <w:p w14:paraId="078307EC" w14:textId="77777777" w:rsidR="00903518" w:rsidRPr="00903518" w:rsidRDefault="00903518" w:rsidP="00903518">
      <w:pPr>
        <w:spacing w:line="240" w:lineRule="auto"/>
        <w:rPr>
          <w:rFonts w:eastAsia="Times New Roman" w:cs="Arial"/>
          <w:lang w:eastAsia="bg-BG"/>
        </w:rPr>
      </w:pPr>
      <w:r w:rsidRPr="00903518">
        <w:rPr>
          <w:rFonts w:eastAsia="Times New Roman" w:cs="Arial"/>
          <w:color w:val="000000"/>
          <w:lang w:eastAsia="bg-BG"/>
        </w:rPr>
        <w:t>И двата енантиомера се абсорбират бързо след перорално приложение. Абсорбцията на небиволол не се повлиява от храната; небиволол може да се приема с или без храна.</w:t>
      </w:r>
    </w:p>
    <w:p w14:paraId="66DF9DBD" w14:textId="77777777" w:rsidR="00903518" w:rsidRDefault="00903518" w:rsidP="00903518">
      <w:pPr>
        <w:spacing w:line="240" w:lineRule="auto"/>
        <w:rPr>
          <w:rFonts w:eastAsia="Times New Roman" w:cs="Arial"/>
          <w:i/>
          <w:iCs/>
          <w:color w:val="000000"/>
          <w:lang w:eastAsia="bg-BG"/>
        </w:rPr>
      </w:pPr>
    </w:p>
    <w:p w14:paraId="48D3A3DA" w14:textId="0E72D846" w:rsidR="00903518" w:rsidRPr="00903518" w:rsidRDefault="00903518" w:rsidP="00903518">
      <w:pPr>
        <w:spacing w:line="240" w:lineRule="auto"/>
        <w:rPr>
          <w:rFonts w:eastAsia="Times New Roman" w:cs="Arial"/>
          <w:lang w:eastAsia="bg-BG"/>
        </w:rPr>
      </w:pPr>
      <w:r w:rsidRPr="00903518">
        <w:rPr>
          <w:rFonts w:eastAsia="Times New Roman" w:cs="Arial"/>
          <w:i/>
          <w:iCs/>
          <w:color w:val="000000"/>
          <w:lang w:eastAsia="bg-BG"/>
        </w:rPr>
        <w:t>Метаболизъм:</w:t>
      </w:r>
    </w:p>
    <w:p w14:paraId="7A41C818" w14:textId="77777777" w:rsidR="00903518" w:rsidRPr="00903518" w:rsidRDefault="00903518" w:rsidP="00903518">
      <w:pPr>
        <w:spacing w:line="240" w:lineRule="auto"/>
        <w:rPr>
          <w:rFonts w:eastAsia="Times New Roman" w:cs="Arial"/>
          <w:lang w:eastAsia="bg-BG"/>
        </w:rPr>
      </w:pPr>
      <w:r w:rsidRPr="00903518">
        <w:rPr>
          <w:rFonts w:eastAsia="Times New Roman" w:cs="Arial"/>
          <w:color w:val="000000"/>
          <w:lang w:eastAsia="bg-BG"/>
        </w:rPr>
        <w:t xml:space="preserve">Небиволол се метаболизира екстензивно, отчасти до активни хидрокси-метаболити. Небивобол се метаболизира чрез алициклично и ароматно хидроксилиране, </w:t>
      </w:r>
      <w:r w:rsidRPr="00903518">
        <w:rPr>
          <w:rFonts w:eastAsia="Times New Roman" w:cs="Arial"/>
          <w:color w:val="000000"/>
          <w:lang w:val="en-US"/>
        </w:rPr>
        <w:t>N</w:t>
      </w:r>
      <w:r w:rsidRPr="00903518">
        <w:rPr>
          <w:rFonts w:eastAsia="Times New Roman" w:cs="Arial"/>
          <w:color w:val="000000"/>
          <w:lang w:eastAsia="bg-BG"/>
        </w:rPr>
        <w:t>-деалкилиране и глюкуронидиране; освен това се образуват и глюкурониди на хидрокси-метаболитите. Метаболизмът на небиволол чрез ароматно д</w:t>
      </w:r>
      <w:r w:rsidRPr="00903518">
        <w:rPr>
          <w:rFonts w:eastAsia="Times New Roman" w:cs="Arial"/>
          <w:i/>
          <w:iCs/>
          <w:color w:val="000000"/>
          <w:lang w:eastAsia="bg-BG"/>
        </w:rPr>
        <w:t>е</w:t>
      </w:r>
      <w:r w:rsidRPr="00903518">
        <w:rPr>
          <w:rFonts w:eastAsia="Times New Roman" w:cs="Arial"/>
          <w:color w:val="000000"/>
          <w:lang w:eastAsia="bg-BG"/>
        </w:rPr>
        <w:t>хидроксилиране е предмет на С</w:t>
      </w:r>
      <w:r w:rsidRPr="00903518">
        <w:rPr>
          <w:rFonts w:eastAsia="Times New Roman" w:cs="Arial"/>
          <w:color w:val="000000"/>
          <w:lang w:val="en-US"/>
        </w:rPr>
        <w:t>Y</w:t>
      </w:r>
      <w:r w:rsidRPr="00903518">
        <w:rPr>
          <w:rFonts w:eastAsia="Times New Roman" w:cs="Arial"/>
          <w:color w:val="000000"/>
          <w:lang w:eastAsia="bg-BG"/>
        </w:rPr>
        <w:t>Р2</w:t>
      </w:r>
      <w:r w:rsidRPr="00903518">
        <w:rPr>
          <w:rFonts w:eastAsia="Times New Roman" w:cs="Arial"/>
          <w:color w:val="000000"/>
          <w:lang w:val="en-US"/>
        </w:rPr>
        <w:t>D</w:t>
      </w:r>
      <w:r w:rsidRPr="00903518">
        <w:rPr>
          <w:rFonts w:eastAsia="Times New Roman" w:cs="Arial"/>
          <w:color w:val="000000"/>
          <w:lang w:eastAsia="bg-BG"/>
        </w:rPr>
        <w:t xml:space="preserve">6-зависим оксидативен полиморфизъм. Бионаличността на небиволол при перорално приложение е 12 % при пациентите с бърз метаболизъм и почти пълна при пациентите с бавен метаболизъм. При пациентите с бавен метаболизъм, пиковите плазмени концентрации на непроменения небиволол са около 23 пъти по-високи в сравнение с тези при пациентите с бърз метаболизъм, отчетени при стационарно състояние и едни и същи дози. Ако се има предвид сумата от непроменения небиволол и </w:t>
      </w:r>
      <w:r w:rsidRPr="00903518">
        <w:rPr>
          <w:rFonts w:eastAsia="Times New Roman" w:cs="Arial"/>
          <w:color w:val="000000"/>
          <w:lang w:eastAsia="bg-BG"/>
        </w:rPr>
        <w:lastRenderedPageBreak/>
        <w:t>активните метаболити, разликите в пиковите плазмени концентрации са около 1,3-1,4 пъти. Поради различията в скоростта на метаболизиране, дозата на небиволол, винаги трябва да бъде съобразявана с индивидуалните нужди на пациента: пациентите с бавен метаболизъм се нуждаят от по-ниски дози.</w:t>
      </w:r>
    </w:p>
    <w:p w14:paraId="193FD153" w14:textId="77777777" w:rsidR="00903518" w:rsidRDefault="00903518" w:rsidP="00903518">
      <w:pPr>
        <w:spacing w:line="240" w:lineRule="auto"/>
        <w:rPr>
          <w:rFonts w:eastAsia="Times New Roman" w:cs="Arial"/>
          <w:color w:val="000000"/>
          <w:lang w:eastAsia="bg-BG"/>
        </w:rPr>
      </w:pPr>
    </w:p>
    <w:p w14:paraId="48A6421F" w14:textId="2BB35139" w:rsidR="00903518" w:rsidRPr="00903518" w:rsidRDefault="00903518" w:rsidP="00903518">
      <w:pPr>
        <w:spacing w:line="240" w:lineRule="auto"/>
        <w:rPr>
          <w:rFonts w:eastAsia="Times New Roman" w:cs="Arial"/>
          <w:lang w:eastAsia="bg-BG"/>
        </w:rPr>
      </w:pPr>
      <w:r w:rsidRPr="00903518">
        <w:rPr>
          <w:rFonts w:eastAsia="Times New Roman" w:cs="Arial"/>
          <w:color w:val="000000"/>
          <w:lang w:eastAsia="bg-BG"/>
        </w:rPr>
        <w:t xml:space="preserve">При пациентите с бърз метаболизъм, времето на полуелиминиране на енантиомерите на небиволол е средно 10 часа. При пациентите с бавен метаболизъм това време е 3-5 пъти по-дълго. При пациентите с бърз метаболизъм плазмените нива на </w:t>
      </w:r>
      <w:r w:rsidRPr="00903518">
        <w:rPr>
          <w:rFonts w:eastAsia="Times New Roman" w:cs="Arial"/>
          <w:color w:val="000000"/>
          <w:lang w:val="en-US"/>
        </w:rPr>
        <w:t>RSSS</w:t>
      </w:r>
      <w:r w:rsidRPr="00903518">
        <w:rPr>
          <w:rFonts w:eastAsia="Times New Roman" w:cs="Arial"/>
          <w:color w:val="000000"/>
          <w:lang w:eastAsia="bg-BG"/>
        </w:rPr>
        <w:t xml:space="preserve">-енантиомера са малко по-високи от тези на </w:t>
      </w:r>
      <w:r w:rsidRPr="00903518">
        <w:rPr>
          <w:rFonts w:eastAsia="Times New Roman" w:cs="Arial"/>
          <w:color w:val="000000"/>
          <w:lang w:val="en-US"/>
        </w:rPr>
        <w:t>SRRR</w:t>
      </w:r>
      <w:r w:rsidRPr="00903518">
        <w:rPr>
          <w:rFonts w:eastAsia="Times New Roman" w:cs="Arial"/>
          <w:color w:val="000000"/>
          <w:lang w:eastAsia="bg-BG"/>
        </w:rPr>
        <w:t>-енантиомера. При пациентите с бавен метаболизъм тази разлика е малко по- голяма. При пациентите с бърз метаболизъм времето на полуелиминиране на хидрокси- метаболитите на двата енантиомера е около 24 часа, а при пациентите с бавен метаболизъм около 2 пъти по-продължително.</w:t>
      </w:r>
    </w:p>
    <w:p w14:paraId="2D436D6A" w14:textId="77777777" w:rsidR="00903518" w:rsidRPr="00903518" w:rsidRDefault="00903518" w:rsidP="00903518">
      <w:pPr>
        <w:spacing w:line="240" w:lineRule="auto"/>
        <w:rPr>
          <w:rFonts w:eastAsia="Times New Roman" w:cs="Arial"/>
          <w:lang w:eastAsia="bg-BG"/>
        </w:rPr>
      </w:pPr>
      <w:r w:rsidRPr="00903518">
        <w:rPr>
          <w:rFonts w:eastAsia="Times New Roman" w:cs="Arial"/>
          <w:color w:val="000000"/>
          <w:lang w:eastAsia="bg-BG"/>
        </w:rPr>
        <w:t>При повечето индивиди (с бърз метаболизъм), стационарни плазмени нива се достигат в рамките на 24 часа за небиволол и в рамките на няколко дни за хидрокси-метаболитите.</w:t>
      </w:r>
    </w:p>
    <w:p w14:paraId="0EC9404C" w14:textId="77777777" w:rsidR="00903518" w:rsidRPr="00903518" w:rsidRDefault="00903518" w:rsidP="00903518">
      <w:pPr>
        <w:spacing w:line="240" w:lineRule="auto"/>
        <w:rPr>
          <w:rFonts w:eastAsia="Times New Roman" w:cs="Arial"/>
          <w:lang w:eastAsia="bg-BG"/>
        </w:rPr>
      </w:pPr>
      <w:r w:rsidRPr="00903518">
        <w:rPr>
          <w:rFonts w:eastAsia="Times New Roman" w:cs="Arial"/>
          <w:color w:val="000000"/>
          <w:lang w:eastAsia="bg-BG"/>
        </w:rPr>
        <w:t xml:space="preserve">Плазмените концентрации са пропорционални на дозата в рамките на 1-30 </w:t>
      </w:r>
      <w:r w:rsidRPr="00903518">
        <w:rPr>
          <w:rFonts w:eastAsia="Times New Roman" w:cs="Arial"/>
          <w:color w:val="000000"/>
          <w:lang w:val="en-US"/>
        </w:rPr>
        <w:t xml:space="preserve">mg. </w:t>
      </w:r>
      <w:r w:rsidRPr="00903518">
        <w:rPr>
          <w:rFonts w:eastAsia="Times New Roman" w:cs="Arial"/>
          <w:color w:val="000000"/>
          <w:lang w:eastAsia="bg-BG"/>
        </w:rPr>
        <w:t>Фармакокинетиката на небиволол не се влияе от възрастта.</w:t>
      </w:r>
    </w:p>
    <w:p w14:paraId="0F453221" w14:textId="77777777" w:rsidR="00903518" w:rsidRDefault="00903518" w:rsidP="00903518">
      <w:pPr>
        <w:spacing w:line="240" w:lineRule="auto"/>
        <w:rPr>
          <w:rFonts w:eastAsia="Times New Roman" w:cs="Arial"/>
          <w:i/>
          <w:iCs/>
          <w:color w:val="000000"/>
          <w:lang w:eastAsia="bg-BG"/>
        </w:rPr>
      </w:pPr>
    </w:p>
    <w:p w14:paraId="59B44D58" w14:textId="404E19EB" w:rsidR="00903518" w:rsidRPr="00903518" w:rsidRDefault="00903518" w:rsidP="00903518">
      <w:pPr>
        <w:spacing w:line="240" w:lineRule="auto"/>
        <w:rPr>
          <w:rFonts w:eastAsia="Times New Roman" w:cs="Arial"/>
          <w:lang w:eastAsia="bg-BG"/>
        </w:rPr>
      </w:pPr>
      <w:r w:rsidRPr="00903518">
        <w:rPr>
          <w:rFonts w:eastAsia="Times New Roman" w:cs="Arial"/>
          <w:i/>
          <w:iCs/>
          <w:color w:val="000000"/>
          <w:lang w:eastAsia="bg-BG"/>
        </w:rPr>
        <w:t>Разпределение:</w:t>
      </w:r>
    </w:p>
    <w:p w14:paraId="75080979" w14:textId="77777777" w:rsidR="00903518" w:rsidRPr="00903518" w:rsidRDefault="00903518" w:rsidP="00903518">
      <w:pPr>
        <w:spacing w:line="240" w:lineRule="auto"/>
        <w:rPr>
          <w:rFonts w:eastAsia="Times New Roman" w:cs="Arial"/>
          <w:lang w:eastAsia="bg-BG"/>
        </w:rPr>
      </w:pPr>
      <w:r w:rsidRPr="00903518">
        <w:rPr>
          <w:rFonts w:eastAsia="Times New Roman" w:cs="Arial"/>
          <w:color w:val="000000"/>
          <w:lang w:eastAsia="bg-BG"/>
        </w:rPr>
        <w:t xml:space="preserve">В плазмата, и двата енантиомера на небиволол се свързват предимно с албумина. Свързването с плазмените протеини е 98,1% за </w:t>
      </w:r>
      <w:r w:rsidRPr="00903518">
        <w:rPr>
          <w:rFonts w:eastAsia="Times New Roman" w:cs="Arial"/>
          <w:color w:val="000000"/>
          <w:lang w:val="en-US"/>
        </w:rPr>
        <w:t>SRRR</w:t>
      </w:r>
      <w:r w:rsidRPr="00903518">
        <w:rPr>
          <w:rFonts w:eastAsia="Times New Roman" w:cs="Arial"/>
          <w:color w:val="000000"/>
          <w:lang w:eastAsia="bg-BG"/>
        </w:rPr>
        <w:t xml:space="preserve">-небиволол и 97,9 % за </w:t>
      </w:r>
      <w:r w:rsidRPr="00903518">
        <w:rPr>
          <w:rFonts w:eastAsia="Times New Roman" w:cs="Arial"/>
          <w:color w:val="000000"/>
          <w:lang w:val="en-US"/>
        </w:rPr>
        <w:t>RSSS</w:t>
      </w:r>
      <w:r w:rsidRPr="00903518">
        <w:rPr>
          <w:rFonts w:eastAsia="Times New Roman" w:cs="Arial"/>
          <w:color w:val="000000"/>
          <w:lang w:eastAsia="bg-BG"/>
        </w:rPr>
        <w:t>-небиволол.</w:t>
      </w:r>
    </w:p>
    <w:p w14:paraId="6E5B2FE3" w14:textId="77777777" w:rsidR="00903518" w:rsidRDefault="00903518" w:rsidP="00903518">
      <w:pPr>
        <w:spacing w:line="240" w:lineRule="auto"/>
        <w:rPr>
          <w:rFonts w:eastAsia="Times New Roman" w:cs="Arial"/>
          <w:i/>
          <w:iCs/>
          <w:color w:val="000000"/>
          <w:lang w:eastAsia="bg-BG"/>
        </w:rPr>
      </w:pPr>
    </w:p>
    <w:p w14:paraId="5060655C" w14:textId="6CA0C2B9" w:rsidR="00903518" w:rsidRPr="00903518" w:rsidRDefault="00903518" w:rsidP="00903518">
      <w:pPr>
        <w:spacing w:line="240" w:lineRule="auto"/>
        <w:rPr>
          <w:rFonts w:eastAsia="Times New Roman" w:cs="Arial"/>
          <w:lang w:eastAsia="bg-BG"/>
        </w:rPr>
      </w:pPr>
      <w:r w:rsidRPr="00903518">
        <w:rPr>
          <w:rFonts w:eastAsia="Times New Roman" w:cs="Arial"/>
          <w:i/>
          <w:iCs/>
          <w:color w:val="000000"/>
          <w:lang w:eastAsia="bg-BG"/>
        </w:rPr>
        <w:t>Елиминиране:</w:t>
      </w:r>
    </w:p>
    <w:p w14:paraId="1D1D64BF" w14:textId="77777777" w:rsidR="00903518" w:rsidRPr="00903518" w:rsidRDefault="00903518" w:rsidP="00903518">
      <w:pPr>
        <w:spacing w:line="240" w:lineRule="auto"/>
        <w:rPr>
          <w:rFonts w:eastAsia="Times New Roman" w:cs="Arial"/>
          <w:lang w:eastAsia="bg-BG"/>
        </w:rPr>
      </w:pPr>
      <w:r w:rsidRPr="00903518">
        <w:rPr>
          <w:rFonts w:eastAsia="Times New Roman" w:cs="Arial"/>
          <w:color w:val="000000"/>
          <w:lang w:eastAsia="bg-BG"/>
        </w:rPr>
        <w:t>Една седмица след приложението, 38 % от дозата се екскретира в урината, а 48 % чрез фекалиите. Ексретираният непроменен небиволол в урината е по-малко от 0,5 % от при</w:t>
      </w:r>
      <w:proofErr w:type="spellStart"/>
      <w:r w:rsidRPr="00903518">
        <w:rPr>
          <w:rFonts w:eastAsia="Times New Roman" w:cs="Arial"/>
          <w:color w:val="000000"/>
          <w:lang w:val="en-US"/>
        </w:rPr>
        <w:t>etata</w:t>
      </w:r>
      <w:proofErr w:type="spellEnd"/>
      <w:r w:rsidRPr="00903518">
        <w:rPr>
          <w:rFonts w:eastAsia="Times New Roman" w:cs="Arial"/>
          <w:color w:val="000000"/>
          <w:u w:val="single"/>
          <w:lang w:eastAsia="bg-BG"/>
        </w:rPr>
        <w:t xml:space="preserve"> </w:t>
      </w:r>
      <w:r w:rsidRPr="00903518">
        <w:rPr>
          <w:rFonts w:eastAsia="Times New Roman" w:cs="Arial"/>
          <w:color w:val="000000"/>
          <w:lang w:eastAsia="bg-BG"/>
        </w:rPr>
        <w:t>доза.</w:t>
      </w:r>
    </w:p>
    <w:p w14:paraId="7DD921B6" w14:textId="77777777" w:rsidR="00903518" w:rsidRPr="00903518" w:rsidRDefault="00903518" w:rsidP="00903518"/>
    <w:p w14:paraId="6925FEB0" w14:textId="3B48FAE5" w:rsidR="00F62E44" w:rsidRDefault="002C50EE" w:rsidP="00387A66">
      <w:pPr>
        <w:pStyle w:val="Heading2"/>
      </w:pPr>
      <w:r>
        <w:t>5.3. Предклинични данни за безопасност</w:t>
      </w:r>
    </w:p>
    <w:p w14:paraId="79CDFE87" w14:textId="6EAA6AFD" w:rsidR="00903518" w:rsidRDefault="00903518" w:rsidP="00903518"/>
    <w:p w14:paraId="0F64818A" w14:textId="77777777" w:rsidR="00903518" w:rsidRPr="00903518" w:rsidRDefault="00903518" w:rsidP="00903518">
      <w:pPr>
        <w:rPr>
          <w:sz w:val="24"/>
          <w:szCs w:val="24"/>
          <w:lang w:eastAsia="bg-BG"/>
        </w:rPr>
      </w:pPr>
      <w:r w:rsidRPr="00903518">
        <w:rPr>
          <w:lang w:eastAsia="bg-BG"/>
        </w:rPr>
        <w:t>Неклиничните данни не показват особен риск за хората на база на конвенционалните проучвания за генотоксичност и карциногенен потенциал.</w:t>
      </w:r>
    </w:p>
    <w:p w14:paraId="1AD7661F" w14:textId="77777777" w:rsidR="00903518" w:rsidRPr="00903518" w:rsidRDefault="00903518" w:rsidP="00903518"/>
    <w:p w14:paraId="357049A8" w14:textId="7AA17C98" w:rsidR="00BB22B4" w:rsidRDefault="002C50EE" w:rsidP="00471F10">
      <w:pPr>
        <w:pStyle w:val="Heading1"/>
      </w:pPr>
      <w:r>
        <w:t>7. ПРИТЕЖАТЕЛ НА РАЗРЕШЕНИЕТО ЗА УПОТРЕБА</w:t>
      </w:r>
    </w:p>
    <w:p w14:paraId="2035DD8A" w14:textId="4D80B699" w:rsidR="00903518" w:rsidRDefault="00903518" w:rsidP="00903518"/>
    <w:p w14:paraId="38F9C75A" w14:textId="77777777" w:rsidR="00903518" w:rsidRPr="00903518" w:rsidRDefault="00903518" w:rsidP="00903518">
      <w:pPr>
        <w:rPr>
          <w:sz w:val="24"/>
          <w:szCs w:val="24"/>
          <w:lang w:eastAsia="bg-BG"/>
        </w:rPr>
      </w:pPr>
      <w:r w:rsidRPr="00903518">
        <w:rPr>
          <w:lang w:eastAsia="bg-BG"/>
        </w:rPr>
        <w:t>АДИФАРМ ЕАД</w:t>
      </w:r>
    </w:p>
    <w:p w14:paraId="6161A8BA" w14:textId="77777777" w:rsidR="00903518" w:rsidRPr="00903518" w:rsidRDefault="00903518" w:rsidP="00903518">
      <w:pPr>
        <w:rPr>
          <w:sz w:val="24"/>
          <w:szCs w:val="24"/>
          <w:lang w:eastAsia="bg-BG"/>
        </w:rPr>
      </w:pPr>
      <w:r w:rsidRPr="00903518">
        <w:rPr>
          <w:lang w:eastAsia="bg-BG"/>
        </w:rPr>
        <w:t>бул. Симеоновско шосе № 130</w:t>
      </w:r>
    </w:p>
    <w:p w14:paraId="5DE9DFA6" w14:textId="7A92CA06" w:rsidR="00903518" w:rsidRPr="00903518" w:rsidRDefault="00903518" w:rsidP="00903518">
      <w:r w:rsidRPr="00903518">
        <w:rPr>
          <w:lang w:eastAsia="bg-BG"/>
        </w:rPr>
        <w:t>София 1700, България</w:t>
      </w:r>
    </w:p>
    <w:p w14:paraId="0A53321D" w14:textId="571720B0" w:rsidR="00EE6C97" w:rsidRDefault="00936AD0" w:rsidP="00A93499">
      <w:pPr>
        <w:pStyle w:val="Heading1"/>
      </w:pPr>
      <w:r>
        <w:t>8.</w:t>
      </w:r>
      <w:r w:rsidR="002C50EE">
        <w:t>НОМЕР НА РАЗРЕШЕНИЕТО ЗА УПОТРЕБА</w:t>
      </w:r>
    </w:p>
    <w:p w14:paraId="2D4DEEE8" w14:textId="21D3147F" w:rsidR="00903518" w:rsidRDefault="00903518" w:rsidP="00903518"/>
    <w:p w14:paraId="39C61A4A" w14:textId="203C7649" w:rsidR="00903518" w:rsidRPr="00903518" w:rsidRDefault="00903518" w:rsidP="00903518">
      <w:r>
        <w:rPr>
          <w:lang w:val="en-US"/>
        </w:rPr>
        <w:t xml:space="preserve">Per. </w:t>
      </w:r>
      <w:r>
        <w:t>№: 20090358</w:t>
      </w:r>
    </w:p>
    <w:p w14:paraId="7C2688F5" w14:textId="6D610EDF" w:rsidR="00F62E44" w:rsidRDefault="00F62E44" w:rsidP="00F62E44"/>
    <w:p w14:paraId="00481C21" w14:textId="3FF1CF7A" w:rsidR="00F62E44" w:rsidRDefault="002C50EE" w:rsidP="00387A66">
      <w:pPr>
        <w:pStyle w:val="Heading1"/>
      </w:pPr>
      <w:r>
        <w:t>9. ДАТА НА ПЪРВО РАЗРЕШАВАНЕ/ПОДНОВЯВАНЕ НА РАЗРЕШЕНИЕТО ЗА УПОТРЕБА</w:t>
      </w:r>
    </w:p>
    <w:p w14:paraId="3AB148DF" w14:textId="3E456CC7" w:rsidR="00903518" w:rsidRDefault="00903518" w:rsidP="00903518"/>
    <w:p w14:paraId="086AD900" w14:textId="66F97F25" w:rsidR="00903518" w:rsidRPr="00903518" w:rsidRDefault="00903518" w:rsidP="00903518">
      <w:r>
        <w:lastRenderedPageBreak/>
        <w:t>11.08.2009</w:t>
      </w:r>
    </w:p>
    <w:p w14:paraId="43FB38A2" w14:textId="0C18A683" w:rsidR="007C605B" w:rsidRDefault="002C50EE" w:rsidP="005726E3">
      <w:pPr>
        <w:pStyle w:val="Heading1"/>
      </w:pPr>
      <w:r>
        <w:t>10. ДАТА НА АКТУАЛИЗИРАНЕ НА ТЕКСТА</w:t>
      </w:r>
      <w:bookmarkEnd w:id="0"/>
    </w:p>
    <w:p w14:paraId="472617BD" w14:textId="50ACF5CE" w:rsidR="00BB22B4" w:rsidRPr="00BB22B4" w:rsidRDefault="00903518" w:rsidP="00903518">
      <w:r>
        <w:t>Септември, 2014г.</w:t>
      </w:r>
    </w:p>
    <w:sectPr w:rsidR="00BB22B4" w:rsidRPr="00BB2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5A3EE4"/>
    <w:multiLevelType w:val="hybridMultilevel"/>
    <w:tmpl w:val="09B823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8" w15:restartNumberingAfterBreak="0">
    <w:nsid w:val="12824486"/>
    <w:multiLevelType w:val="hybridMultilevel"/>
    <w:tmpl w:val="E7D45B68"/>
    <w:lvl w:ilvl="0" w:tplc="0888CD1A">
      <w:start w:val="4"/>
      <w:numFmt w:val="bullet"/>
      <w:lvlText w:val="-"/>
      <w:lvlJc w:val="left"/>
      <w:pPr>
        <w:ind w:left="720" w:hanging="360"/>
      </w:pPr>
      <w:rPr>
        <w:rFonts w:ascii="Arial" w:eastAsia="Times New Roman" w:hAnsi="Arial" w:cs="Arial" w:hint="default"/>
        <w:color w:val="00000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4"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9304D31"/>
    <w:multiLevelType w:val="hybridMultilevel"/>
    <w:tmpl w:val="558E93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6D37A7"/>
    <w:multiLevelType w:val="hybridMultilevel"/>
    <w:tmpl w:val="46CC86F0"/>
    <w:lvl w:ilvl="0" w:tplc="D1263D34">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1"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17F547F"/>
    <w:multiLevelType w:val="hybridMultilevel"/>
    <w:tmpl w:val="81F63D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41D55219"/>
    <w:multiLevelType w:val="hybridMultilevel"/>
    <w:tmpl w:val="AA8EB76A"/>
    <w:lvl w:ilvl="0" w:tplc="0888CD1A">
      <w:start w:val="4"/>
      <w:numFmt w:val="bullet"/>
      <w:lvlText w:val="-"/>
      <w:lvlJc w:val="left"/>
      <w:pPr>
        <w:ind w:left="720" w:hanging="360"/>
      </w:pPr>
      <w:rPr>
        <w:rFonts w:ascii="Arial" w:eastAsia="Times New Roman" w:hAnsi="Arial" w:cs="Arial" w:hint="default"/>
        <w:color w:val="00000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8"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5B1F91"/>
    <w:multiLevelType w:val="hybridMultilevel"/>
    <w:tmpl w:val="71369B8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E06251"/>
    <w:multiLevelType w:val="hybridMultilevel"/>
    <w:tmpl w:val="1090AE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16cid:durableId="1574118384">
    <w:abstractNumId w:val="34"/>
  </w:num>
  <w:num w:numId="2" w16cid:durableId="1612932146">
    <w:abstractNumId w:val="0"/>
  </w:num>
  <w:num w:numId="3" w16cid:durableId="1810323821">
    <w:abstractNumId w:val="17"/>
  </w:num>
  <w:num w:numId="4" w16cid:durableId="2135319613">
    <w:abstractNumId w:val="3"/>
  </w:num>
  <w:num w:numId="5" w16cid:durableId="740105516">
    <w:abstractNumId w:val="1"/>
  </w:num>
  <w:num w:numId="6" w16cid:durableId="1668363208">
    <w:abstractNumId w:val="21"/>
  </w:num>
  <w:num w:numId="7" w16cid:durableId="1241988161">
    <w:abstractNumId w:val="14"/>
  </w:num>
  <w:num w:numId="8" w16cid:durableId="2102022361">
    <w:abstractNumId w:val="20"/>
  </w:num>
  <w:num w:numId="9" w16cid:durableId="1154613663">
    <w:abstractNumId w:val="2"/>
  </w:num>
  <w:num w:numId="10" w16cid:durableId="1733848127">
    <w:abstractNumId w:val="4"/>
  </w:num>
  <w:num w:numId="11" w16cid:durableId="1861704680">
    <w:abstractNumId w:val="37"/>
  </w:num>
  <w:num w:numId="12" w16cid:durableId="1434934028">
    <w:abstractNumId w:val="18"/>
  </w:num>
  <w:num w:numId="13" w16cid:durableId="479157895">
    <w:abstractNumId w:val="26"/>
  </w:num>
  <w:num w:numId="14" w16cid:durableId="1670476636">
    <w:abstractNumId w:val="16"/>
  </w:num>
  <w:num w:numId="15" w16cid:durableId="1000155783">
    <w:abstractNumId w:val="36"/>
  </w:num>
  <w:num w:numId="16" w16cid:durableId="2056420707">
    <w:abstractNumId w:val="13"/>
  </w:num>
  <w:num w:numId="17" w16cid:durableId="1787119182">
    <w:abstractNumId w:val="31"/>
  </w:num>
  <w:num w:numId="18" w16cid:durableId="722945139">
    <w:abstractNumId w:val="10"/>
  </w:num>
  <w:num w:numId="19" w16cid:durableId="1678728408">
    <w:abstractNumId w:val="33"/>
  </w:num>
  <w:num w:numId="20" w16cid:durableId="1970816657">
    <w:abstractNumId w:val="30"/>
  </w:num>
  <w:num w:numId="21" w16cid:durableId="1531146514">
    <w:abstractNumId w:val="24"/>
  </w:num>
  <w:num w:numId="22" w16cid:durableId="1276465">
    <w:abstractNumId w:val="32"/>
  </w:num>
  <w:num w:numId="23" w16cid:durableId="1624310558">
    <w:abstractNumId w:val="25"/>
  </w:num>
  <w:num w:numId="24" w16cid:durableId="1692877547">
    <w:abstractNumId w:val="11"/>
  </w:num>
  <w:num w:numId="25" w16cid:durableId="50930855">
    <w:abstractNumId w:val="29"/>
  </w:num>
  <w:num w:numId="26" w16cid:durableId="176701536">
    <w:abstractNumId w:val="28"/>
  </w:num>
  <w:num w:numId="27" w16cid:durableId="2050564750">
    <w:abstractNumId w:val="38"/>
  </w:num>
  <w:num w:numId="28" w16cid:durableId="1820733422">
    <w:abstractNumId w:val="7"/>
  </w:num>
  <w:num w:numId="29" w16cid:durableId="973678124">
    <w:abstractNumId w:val="27"/>
  </w:num>
  <w:num w:numId="30" w16cid:durableId="154884452">
    <w:abstractNumId w:val="43"/>
  </w:num>
  <w:num w:numId="31" w16cid:durableId="1053964910">
    <w:abstractNumId w:val="5"/>
  </w:num>
  <w:num w:numId="32" w16cid:durableId="2073575793">
    <w:abstractNumId w:val="41"/>
  </w:num>
  <w:num w:numId="33" w16cid:durableId="1566643170">
    <w:abstractNumId w:val="35"/>
  </w:num>
  <w:num w:numId="34" w16cid:durableId="2060787732">
    <w:abstractNumId w:val="40"/>
  </w:num>
  <w:num w:numId="35" w16cid:durableId="34161354">
    <w:abstractNumId w:val="9"/>
  </w:num>
  <w:num w:numId="36" w16cid:durableId="1976908676">
    <w:abstractNumId w:val="12"/>
  </w:num>
  <w:num w:numId="37" w16cid:durableId="758528303">
    <w:abstractNumId w:val="19"/>
  </w:num>
  <w:num w:numId="38" w16cid:durableId="178396561">
    <w:abstractNumId w:val="42"/>
  </w:num>
  <w:num w:numId="39" w16cid:durableId="934825996">
    <w:abstractNumId w:val="15"/>
  </w:num>
  <w:num w:numId="40" w16cid:durableId="1696079598">
    <w:abstractNumId w:val="22"/>
  </w:num>
  <w:num w:numId="41" w16cid:durableId="627397209">
    <w:abstractNumId w:val="39"/>
  </w:num>
  <w:num w:numId="42" w16cid:durableId="1779642364">
    <w:abstractNumId w:val="8"/>
  </w:num>
  <w:num w:numId="43" w16cid:durableId="225261562">
    <w:abstractNumId w:val="23"/>
  </w:num>
  <w:num w:numId="44" w16cid:durableId="19008935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00"/>
    <w:rsid w:val="00185A46"/>
    <w:rsid w:val="001915B6"/>
    <w:rsid w:val="001A6EBD"/>
    <w:rsid w:val="001D095A"/>
    <w:rsid w:val="001D1B23"/>
    <w:rsid w:val="002B3C38"/>
    <w:rsid w:val="002B4DBB"/>
    <w:rsid w:val="002C50EE"/>
    <w:rsid w:val="00340A0A"/>
    <w:rsid w:val="00340E8D"/>
    <w:rsid w:val="003765DC"/>
    <w:rsid w:val="00387A66"/>
    <w:rsid w:val="00395555"/>
    <w:rsid w:val="003E3126"/>
    <w:rsid w:val="00426E5F"/>
    <w:rsid w:val="00471F10"/>
    <w:rsid w:val="004A448E"/>
    <w:rsid w:val="004D4D6B"/>
    <w:rsid w:val="004F1CE7"/>
    <w:rsid w:val="004F498A"/>
    <w:rsid w:val="00517A5B"/>
    <w:rsid w:val="005726E3"/>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75EEC"/>
    <w:rsid w:val="00893B92"/>
    <w:rsid w:val="008A6AF2"/>
    <w:rsid w:val="008C70A2"/>
    <w:rsid w:val="008F7F23"/>
    <w:rsid w:val="00903518"/>
    <w:rsid w:val="0091535E"/>
    <w:rsid w:val="00936AD0"/>
    <w:rsid w:val="00954129"/>
    <w:rsid w:val="009773E4"/>
    <w:rsid w:val="009B171C"/>
    <w:rsid w:val="009F1313"/>
    <w:rsid w:val="009F77A4"/>
    <w:rsid w:val="00A20351"/>
    <w:rsid w:val="00A428B7"/>
    <w:rsid w:val="00A65A81"/>
    <w:rsid w:val="00A71DCF"/>
    <w:rsid w:val="00A93499"/>
    <w:rsid w:val="00AA23EC"/>
    <w:rsid w:val="00AC63CE"/>
    <w:rsid w:val="00AE2107"/>
    <w:rsid w:val="00B275A8"/>
    <w:rsid w:val="00B6672E"/>
    <w:rsid w:val="00BA5B74"/>
    <w:rsid w:val="00BB22B4"/>
    <w:rsid w:val="00BF2600"/>
    <w:rsid w:val="00C0049F"/>
    <w:rsid w:val="00C07B84"/>
    <w:rsid w:val="00C33464"/>
    <w:rsid w:val="00C40420"/>
    <w:rsid w:val="00C809A7"/>
    <w:rsid w:val="00C83063"/>
    <w:rsid w:val="00C87E90"/>
    <w:rsid w:val="00CA1B57"/>
    <w:rsid w:val="00CF77F7"/>
    <w:rsid w:val="00D86297"/>
    <w:rsid w:val="00DB32D3"/>
    <w:rsid w:val="00DD466D"/>
    <w:rsid w:val="00E9184E"/>
    <w:rsid w:val="00EB6364"/>
    <w:rsid w:val="00EE6C97"/>
    <w:rsid w:val="00F37B64"/>
    <w:rsid w:val="00F53FB7"/>
    <w:rsid w:val="00F62E4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4074</Words>
  <Characters>23223</Characters>
  <Application>Microsoft Office Word</Application>
  <DocSecurity>0</DocSecurity>
  <Lines>193</Lines>
  <Paragraphs>54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2023-04-03T20:23:00Z</dcterms:created>
  <dcterms:modified xsi:type="dcterms:W3CDTF">2023-04-03T20:23:00Z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