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3B1D8295" w:rsidR="00AA23EC" w:rsidRDefault="00DD466D" w:rsidP="00DD466D">
      <w:pPr>
        <w:pStyle w:val="Heading1"/>
      </w:pPr>
      <w:r>
        <w:t>1.ИМЕ НА ЛЕКАРСТВЕНИЯ ПРОДУКТ</w:t>
      </w:r>
    </w:p>
    <w:p w14:paraId="76275D1A" w14:textId="5F2B9984" w:rsidR="00A72B7B" w:rsidRDefault="00A72B7B" w:rsidP="00A72B7B"/>
    <w:p w14:paraId="187D9B7A" w14:textId="77777777" w:rsidR="00A72B7B" w:rsidRPr="00A72B7B" w:rsidRDefault="00A72B7B" w:rsidP="00A72B7B">
      <w:pPr>
        <w:rPr>
          <w:sz w:val="24"/>
          <w:szCs w:val="24"/>
          <w:lang w:val="en-US"/>
        </w:rPr>
      </w:pPr>
      <w:r w:rsidRPr="00A72B7B">
        <w:rPr>
          <w:lang w:eastAsia="bg-BG"/>
        </w:rPr>
        <w:t xml:space="preserve">Небилан 5 </w:t>
      </w:r>
      <w:r w:rsidRPr="00A72B7B">
        <w:rPr>
          <w:lang w:val="en-US"/>
        </w:rPr>
        <w:t xml:space="preserve">mg </w:t>
      </w:r>
      <w:r w:rsidRPr="00A72B7B">
        <w:rPr>
          <w:lang w:eastAsia="bg-BG"/>
        </w:rPr>
        <w:t>таблетки</w:t>
      </w:r>
    </w:p>
    <w:p w14:paraId="26AD4C86" w14:textId="25C24627" w:rsidR="00A72B7B" w:rsidRPr="00A72B7B" w:rsidRDefault="00A72B7B" w:rsidP="00A72B7B">
      <w:proofErr w:type="spellStart"/>
      <w:r w:rsidRPr="00A72B7B">
        <w:rPr>
          <w:lang w:val="en-US"/>
        </w:rPr>
        <w:t>Nebilan</w:t>
      </w:r>
      <w:proofErr w:type="spellEnd"/>
      <w:r w:rsidRPr="00A72B7B">
        <w:rPr>
          <w:lang w:val="en-US"/>
        </w:rPr>
        <w:t xml:space="preserve"> </w:t>
      </w:r>
      <w:r w:rsidRPr="00A72B7B">
        <w:rPr>
          <w:lang w:eastAsia="bg-BG"/>
        </w:rPr>
        <w:t xml:space="preserve">5 </w:t>
      </w:r>
      <w:r w:rsidRPr="00A72B7B">
        <w:rPr>
          <w:lang w:val="en-US"/>
        </w:rPr>
        <w:t>mg tablets</w:t>
      </w:r>
    </w:p>
    <w:p w14:paraId="0A368469" w14:textId="290A0DCD" w:rsidR="00C0049F" w:rsidRDefault="00DD466D" w:rsidP="009F1313">
      <w:pPr>
        <w:pStyle w:val="Heading1"/>
      </w:pPr>
      <w:r>
        <w:t>2. КАЧЕСТВЕН И КОЛИЧЕСТВЕН СЪСТАВ</w:t>
      </w:r>
    </w:p>
    <w:p w14:paraId="01C03DD4" w14:textId="4710A503" w:rsidR="00A72B7B" w:rsidRDefault="00A72B7B" w:rsidP="00A72B7B"/>
    <w:p w14:paraId="4D04A093" w14:textId="77777777" w:rsidR="00A72B7B" w:rsidRPr="00A72B7B" w:rsidRDefault="00A72B7B" w:rsidP="00A72B7B">
      <w:pPr>
        <w:rPr>
          <w:sz w:val="24"/>
          <w:szCs w:val="24"/>
        </w:rPr>
      </w:pPr>
      <w:r w:rsidRPr="00A72B7B">
        <w:rPr>
          <w:lang w:eastAsia="bg-BG"/>
        </w:rPr>
        <w:t xml:space="preserve">Всяка таблетка съдържа 5 </w:t>
      </w:r>
      <w:r w:rsidRPr="00A72B7B">
        <w:rPr>
          <w:lang w:val="en-US"/>
        </w:rPr>
        <w:t xml:space="preserve">mg </w:t>
      </w:r>
      <w:r w:rsidRPr="00A72B7B">
        <w:rPr>
          <w:lang w:eastAsia="bg-BG"/>
        </w:rPr>
        <w:t xml:space="preserve">небиволол </w:t>
      </w:r>
      <w:r w:rsidRPr="00A72B7B">
        <w:rPr>
          <w:lang w:val="en-US"/>
        </w:rPr>
        <w:t>(</w:t>
      </w:r>
      <w:proofErr w:type="spellStart"/>
      <w:r w:rsidRPr="00A72B7B">
        <w:rPr>
          <w:lang w:val="en-US"/>
        </w:rPr>
        <w:t>nebivolol</w:t>
      </w:r>
      <w:proofErr w:type="spellEnd"/>
      <w:r w:rsidRPr="00A72B7B">
        <w:rPr>
          <w:lang w:val="en-US"/>
        </w:rPr>
        <w:t xml:space="preserve">), </w:t>
      </w:r>
      <w:r w:rsidRPr="00A72B7B">
        <w:rPr>
          <w:lang w:eastAsia="bg-BG"/>
        </w:rPr>
        <w:t xml:space="preserve">еквивалентен на 5,45 </w:t>
      </w:r>
      <w:r w:rsidRPr="00A72B7B">
        <w:rPr>
          <w:lang w:val="en-US"/>
        </w:rPr>
        <w:t xml:space="preserve">mg </w:t>
      </w:r>
      <w:r w:rsidRPr="00A72B7B">
        <w:rPr>
          <w:lang w:eastAsia="bg-BG"/>
        </w:rPr>
        <w:t xml:space="preserve">небиволол хидрохлорид </w:t>
      </w:r>
      <w:r w:rsidRPr="00A72B7B">
        <w:rPr>
          <w:lang w:val="en-US"/>
        </w:rPr>
        <w:t>(</w:t>
      </w:r>
      <w:proofErr w:type="spellStart"/>
      <w:r w:rsidRPr="00A72B7B">
        <w:rPr>
          <w:lang w:val="en-US"/>
        </w:rPr>
        <w:t>nebivolol</w:t>
      </w:r>
      <w:proofErr w:type="spellEnd"/>
      <w:r w:rsidRPr="00A72B7B">
        <w:rPr>
          <w:lang w:val="en-US"/>
        </w:rPr>
        <w:t xml:space="preserve"> hydrochloride).</w:t>
      </w:r>
    </w:p>
    <w:p w14:paraId="0E4DED26" w14:textId="77777777" w:rsidR="00A72B7B" w:rsidRDefault="00A72B7B" w:rsidP="00A72B7B">
      <w:pPr>
        <w:rPr>
          <w:lang w:eastAsia="bg-BG"/>
        </w:rPr>
      </w:pPr>
    </w:p>
    <w:p w14:paraId="4590FE18" w14:textId="6670BEA0" w:rsidR="00A72B7B" w:rsidRPr="00A72B7B" w:rsidRDefault="00A72B7B" w:rsidP="00A72B7B">
      <w:pPr>
        <w:rPr>
          <w:sz w:val="24"/>
          <w:szCs w:val="24"/>
        </w:rPr>
      </w:pPr>
      <w:r w:rsidRPr="00A72B7B">
        <w:rPr>
          <w:lang w:eastAsia="bg-BG"/>
        </w:rPr>
        <w:t xml:space="preserve">Помощно вещество с известно действие: Всяка таблетка съдържа 143,48 </w:t>
      </w:r>
      <w:r w:rsidRPr="00A72B7B">
        <w:rPr>
          <w:lang w:val="en-US"/>
        </w:rPr>
        <w:t xml:space="preserve">mg </w:t>
      </w:r>
      <w:r w:rsidRPr="00A72B7B">
        <w:rPr>
          <w:lang w:eastAsia="bg-BG"/>
        </w:rPr>
        <w:t>лактоза монохидрат.(вижте точка 6,1)</w:t>
      </w:r>
    </w:p>
    <w:p w14:paraId="64974A5E" w14:textId="77777777" w:rsidR="00A72B7B" w:rsidRPr="00A72B7B" w:rsidRDefault="00A72B7B" w:rsidP="00A72B7B"/>
    <w:p w14:paraId="614984C4" w14:textId="5375F293" w:rsidR="008A6AF2" w:rsidRDefault="00DD466D" w:rsidP="002C50EE">
      <w:pPr>
        <w:pStyle w:val="Heading1"/>
      </w:pPr>
      <w:r>
        <w:t>3. ЛЕКАРСТВЕНА ФОРМА</w:t>
      </w:r>
    </w:p>
    <w:p w14:paraId="6EE7CDA3" w14:textId="4DC8D70E" w:rsidR="00A72B7B" w:rsidRDefault="00A72B7B" w:rsidP="00A72B7B"/>
    <w:p w14:paraId="2019AF8D" w14:textId="77777777" w:rsidR="00A72B7B" w:rsidRPr="00A72B7B" w:rsidRDefault="00A72B7B" w:rsidP="00A72B7B">
      <w:pPr>
        <w:rPr>
          <w:sz w:val="24"/>
          <w:szCs w:val="24"/>
        </w:rPr>
      </w:pPr>
      <w:r w:rsidRPr="00A72B7B">
        <w:rPr>
          <w:lang w:eastAsia="bg-BG"/>
        </w:rPr>
        <w:t>Таблетка.</w:t>
      </w:r>
    </w:p>
    <w:p w14:paraId="147086A6" w14:textId="77777777" w:rsidR="00A72B7B" w:rsidRPr="00A72B7B" w:rsidRDefault="00A72B7B" w:rsidP="00A72B7B">
      <w:pPr>
        <w:rPr>
          <w:sz w:val="24"/>
          <w:szCs w:val="24"/>
        </w:rPr>
      </w:pPr>
      <w:r w:rsidRPr="00A72B7B">
        <w:rPr>
          <w:lang w:eastAsia="bg-BG"/>
        </w:rPr>
        <w:t>Бели до почти бели на цвят, кръгли, двойноизпъкнали, със скосен край таблетки, с напречна делителна черта от едната страна и плоски от другата страна.</w:t>
      </w:r>
    </w:p>
    <w:p w14:paraId="3BEA3A4A" w14:textId="77777777" w:rsidR="00A72B7B" w:rsidRPr="00A72B7B" w:rsidRDefault="00A72B7B" w:rsidP="00A72B7B">
      <w:pPr>
        <w:rPr>
          <w:sz w:val="24"/>
          <w:szCs w:val="24"/>
        </w:rPr>
      </w:pPr>
      <w:r w:rsidRPr="00A72B7B">
        <w:rPr>
          <w:lang w:eastAsia="bg-BG"/>
        </w:rPr>
        <w:t>Таблетката може да бъде разделена на еднакви дози.</w:t>
      </w:r>
    </w:p>
    <w:p w14:paraId="2CEF2335" w14:textId="77777777" w:rsidR="00A72B7B" w:rsidRPr="00A72B7B" w:rsidRDefault="00A72B7B" w:rsidP="00A72B7B"/>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23CAF443" w:rsidR="00395555" w:rsidRDefault="00395555" w:rsidP="00395555"/>
    <w:p w14:paraId="34AFB090" w14:textId="77777777"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Хипертония</w:t>
      </w:r>
    </w:p>
    <w:p w14:paraId="53155785"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Лечение на есенциална хипертония.</w:t>
      </w:r>
    </w:p>
    <w:p w14:paraId="0C4A3471" w14:textId="77777777" w:rsidR="00A72B7B" w:rsidRPr="00A72B7B" w:rsidRDefault="00A72B7B" w:rsidP="00A72B7B">
      <w:pPr>
        <w:spacing w:line="240" w:lineRule="auto"/>
        <w:rPr>
          <w:rFonts w:eastAsia="Times New Roman" w:cs="Arial"/>
          <w:color w:val="000000"/>
          <w:u w:val="single"/>
          <w:lang w:eastAsia="bg-BG"/>
        </w:rPr>
      </w:pPr>
    </w:p>
    <w:p w14:paraId="74CB6B48" w14:textId="3168607C"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Хронична сърдечна недостатъчност (ХСН)</w:t>
      </w:r>
    </w:p>
    <w:p w14:paraId="3ADFA922"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Лечение на стабилна лека и умерена хронична сърдечна недостатъчност в допълнение към стандартната терапия при пациенти в старческа възраст (</w:t>
      </w:r>
      <w:r w:rsidRPr="00A72B7B">
        <w:rPr>
          <w:rFonts w:eastAsia="Times New Roman" w:cs="Arial"/>
          <w:color w:val="000000"/>
          <w:lang w:val="en-US"/>
        </w:rPr>
        <w:t>≥</w:t>
      </w:r>
      <w:r w:rsidRPr="00A72B7B">
        <w:rPr>
          <w:rFonts w:eastAsia="Times New Roman" w:cs="Arial"/>
          <w:color w:val="000000"/>
          <w:lang w:eastAsia="bg-BG"/>
        </w:rPr>
        <w:t>70 години).</w:t>
      </w:r>
    </w:p>
    <w:p w14:paraId="3C097DD7" w14:textId="77777777" w:rsidR="00A72B7B" w:rsidRPr="00395555" w:rsidRDefault="00A72B7B" w:rsidP="00395555"/>
    <w:p w14:paraId="7C0CA5EB" w14:textId="3E208675" w:rsidR="00C0049F" w:rsidRDefault="002C50EE" w:rsidP="009F1313">
      <w:pPr>
        <w:pStyle w:val="Heading2"/>
      </w:pPr>
      <w:r>
        <w:t>4.2. Дозировка и начин на приложение</w:t>
      </w:r>
    </w:p>
    <w:p w14:paraId="00D311C5" w14:textId="3C5D6F2F" w:rsidR="00A72B7B" w:rsidRDefault="00A72B7B" w:rsidP="00A72B7B"/>
    <w:p w14:paraId="1ABFEBA6" w14:textId="77777777" w:rsidR="00A72B7B" w:rsidRPr="00A72B7B" w:rsidRDefault="00A72B7B" w:rsidP="00A72B7B">
      <w:pPr>
        <w:pStyle w:val="Heading3"/>
        <w:rPr>
          <w:rFonts w:eastAsia="Times New Roman"/>
          <w:i/>
          <w:u w:val="single"/>
        </w:rPr>
      </w:pPr>
      <w:r w:rsidRPr="00A72B7B">
        <w:rPr>
          <w:rFonts w:eastAsia="Times New Roman"/>
          <w:i/>
          <w:u w:val="single"/>
          <w:lang w:eastAsia="bg-BG"/>
        </w:rPr>
        <w:t>Дозировка</w:t>
      </w:r>
    </w:p>
    <w:p w14:paraId="6033E5EB" w14:textId="77777777" w:rsidR="00A72B7B" w:rsidRPr="00A72B7B" w:rsidRDefault="00A72B7B" w:rsidP="00A72B7B">
      <w:pPr>
        <w:spacing w:line="240" w:lineRule="auto"/>
        <w:rPr>
          <w:rFonts w:eastAsia="Times New Roman" w:cs="Arial"/>
          <w:i/>
          <w:iCs/>
          <w:color w:val="000000"/>
          <w:u w:val="single"/>
          <w:lang w:eastAsia="bg-BG"/>
        </w:rPr>
      </w:pPr>
    </w:p>
    <w:p w14:paraId="4FC0110D" w14:textId="5483D29E" w:rsidR="00A72B7B" w:rsidRPr="00A72B7B" w:rsidRDefault="00A72B7B" w:rsidP="00A72B7B">
      <w:pPr>
        <w:spacing w:line="240" w:lineRule="auto"/>
        <w:rPr>
          <w:rFonts w:eastAsia="Times New Roman" w:cs="Arial"/>
        </w:rPr>
      </w:pPr>
      <w:r w:rsidRPr="00A72B7B">
        <w:rPr>
          <w:rFonts w:eastAsia="Times New Roman" w:cs="Arial"/>
          <w:i/>
          <w:iCs/>
          <w:color w:val="000000"/>
          <w:u w:val="single"/>
          <w:lang w:eastAsia="bg-BG"/>
        </w:rPr>
        <w:t>Хипертония</w:t>
      </w:r>
    </w:p>
    <w:p w14:paraId="419A38DA" w14:textId="77777777" w:rsidR="00A72B7B" w:rsidRPr="00A72B7B" w:rsidRDefault="00A72B7B" w:rsidP="00A72B7B">
      <w:pPr>
        <w:spacing w:line="240" w:lineRule="auto"/>
        <w:rPr>
          <w:rFonts w:eastAsia="Times New Roman" w:cs="Arial"/>
          <w:i/>
          <w:iCs/>
          <w:color w:val="000000"/>
          <w:lang w:eastAsia="bg-BG"/>
        </w:rPr>
      </w:pPr>
    </w:p>
    <w:p w14:paraId="165B0015" w14:textId="3A755066"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Възрастни</w:t>
      </w:r>
    </w:p>
    <w:p w14:paraId="3C1EEFBC"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Дозата е една таблетка (5 </w:t>
      </w:r>
      <w:r w:rsidRPr="00A72B7B">
        <w:rPr>
          <w:rFonts w:eastAsia="Times New Roman" w:cs="Arial"/>
          <w:color w:val="000000"/>
          <w:lang w:val="en-US"/>
        </w:rPr>
        <w:t xml:space="preserve">mg) </w:t>
      </w:r>
      <w:r w:rsidRPr="00A72B7B">
        <w:rPr>
          <w:rFonts w:eastAsia="Times New Roman" w:cs="Arial"/>
          <w:color w:val="000000"/>
          <w:lang w:eastAsia="bg-BG"/>
        </w:rPr>
        <w:t>дневно, за предпочитане приета по едно и също време на деня. Таблетките може да се приемат с храна.</w:t>
      </w:r>
    </w:p>
    <w:p w14:paraId="09DFCB6D"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Отчетлив ефект по отношение понижаване на кръвното налягане се отбелязва след провеждане на лечение в продължение на 1-2 седмици.</w:t>
      </w:r>
    </w:p>
    <w:p w14:paraId="698BDD0D"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lastRenderedPageBreak/>
        <w:t>Обикновено оптимален ефект се постига само след 4 седмици.</w:t>
      </w:r>
    </w:p>
    <w:p w14:paraId="1CBDDA88" w14:textId="77777777" w:rsidR="00A72B7B" w:rsidRPr="00A72B7B" w:rsidRDefault="00A72B7B" w:rsidP="00A72B7B">
      <w:pPr>
        <w:spacing w:line="240" w:lineRule="auto"/>
        <w:rPr>
          <w:rFonts w:eastAsia="Times New Roman" w:cs="Arial"/>
          <w:i/>
          <w:iCs/>
          <w:color w:val="000000"/>
          <w:lang w:eastAsia="bg-BG"/>
        </w:rPr>
      </w:pPr>
    </w:p>
    <w:p w14:paraId="35AC2E5D" w14:textId="0157B4C0"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Комбинация с други антихипертензивни лекарства</w:t>
      </w:r>
    </w:p>
    <w:p w14:paraId="297B7C2E" w14:textId="516B0897" w:rsidR="00A72B7B" w:rsidRPr="00A72B7B" w:rsidRDefault="00A72B7B" w:rsidP="00A72B7B">
      <w:pPr>
        <w:spacing w:line="240" w:lineRule="auto"/>
        <w:rPr>
          <w:rFonts w:eastAsia="Times New Roman" w:cs="Arial"/>
          <w:color w:val="000000"/>
          <w:lang w:val="en-US"/>
        </w:rPr>
      </w:pPr>
      <w:r w:rsidRPr="00A72B7B">
        <w:rPr>
          <w:rFonts w:eastAsia="Times New Roman" w:cs="Arial"/>
          <w:color w:val="000000"/>
          <w:lang w:eastAsia="bg-BG"/>
        </w:rPr>
        <w:t xml:space="preserve">Бета-блокерите могат да се използват самостоятелно или едновременно с други антихипертензивни лекарствени продукти. Досега, допълнителен антихипертензивен ефект е установен единствено при комбинация на Небилан 5 </w:t>
      </w:r>
      <w:r w:rsidRPr="00A72B7B">
        <w:rPr>
          <w:rFonts w:eastAsia="Times New Roman" w:cs="Arial"/>
          <w:color w:val="000000"/>
          <w:lang w:val="en-US"/>
        </w:rPr>
        <w:t xml:space="preserve">mg </w:t>
      </w:r>
      <w:r w:rsidRPr="00A72B7B">
        <w:rPr>
          <w:rFonts w:eastAsia="Times New Roman" w:cs="Arial"/>
          <w:color w:val="000000"/>
          <w:lang w:eastAsia="bg-BG"/>
        </w:rPr>
        <w:t>с хидрохлортиазид</w:t>
      </w:r>
      <w:r w:rsidRPr="00A72B7B">
        <w:rPr>
          <w:rFonts w:eastAsia="Times New Roman" w:cs="Arial"/>
          <w:color w:val="000000"/>
          <w:lang w:val="en-US"/>
        </w:rPr>
        <w:t xml:space="preserve"> 12,5-25mg.</w:t>
      </w:r>
    </w:p>
    <w:p w14:paraId="123571C2" w14:textId="2759DE58" w:rsidR="00A72B7B" w:rsidRPr="00A72B7B" w:rsidRDefault="00A72B7B" w:rsidP="00A72B7B">
      <w:pPr>
        <w:spacing w:line="240" w:lineRule="auto"/>
        <w:rPr>
          <w:rFonts w:eastAsia="Times New Roman" w:cs="Arial"/>
          <w:color w:val="000000"/>
          <w:lang w:val="en-US"/>
        </w:rPr>
      </w:pPr>
    </w:p>
    <w:p w14:paraId="2F94557B" w14:textId="77777777"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Пациенти с бъбречна недостатъчност</w:t>
      </w:r>
    </w:p>
    <w:p w14:paraId="68A02300"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При болни с бъбречна недостатъчност се препоръчва използване на начална доза 2,5 </w:t>
      </w:r>
      <w:r w:rsidRPr="00A72B7B">
        <w:rPr>
          <w:rFonts w:eastAsia="Times New Roman" w:cs="Arial"/>
          <w:color w:val="000000"/>
          <w:lang w:val="en-US"/>
        </w:rPr>
        <w:t xml:space="preserve">mg </w:t>
      </w:r>
      <w:r w:rsidRPr="00A72B7B">
        <w:rPr>
          <w:rFonts w:eastAsia="Times New Roman" w:cs="Arial"/>
          <w:color w:val="000000"/>
          <w:lang w:eastAsia="bg-BG"/>
        </w:rPr>
        <w:t xml:space="preserve">дневно. При необходимост дневната доза може да се повиши до 5 </w:t>
      </w:r>
      <w:r w:rsidRPr="00A72B7B">
        <w:rPr>
          <w:rFonts w:eastAsia="Times New Roman" w:cs="Arial"/>
          <w:color w:val="000000"/>
          <w:lang w:val="en-US"/>
        </w:rPr>
        <w:t>mg.</w:t>
      </w:r>
    </w:p>
    <w:p w14:paraId="7FCC3FFF" w14:textId="77777777" w:rsidR="00A72B7B" w:rsidRPr="00A72B7B" w:rsidRDefault="00A72B7B" w:rsidP="00A72B7B">
      <w:pPr>
        <w:spacing w:line="240" w:lineRule="auto"/>
        <w:rPr>
          <w:rFonts w:eastAsia="Times New Roman" w:cs="Arial"/>
          <w:i/>
          <w:iCs/>
          <w:color w:val="000000"/>
          <w:lang w:eastAsia="bg-BG"/>
        </w:rPr>
      </w:pPr>
    </w:p>
    <w:p w14:paraId="626BB69A" w14:textId="21D1919F"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Пациенти с чернодробна недостатъчност</w:t>
      </w:r>
    </w:p>
    <w:p w14:paraId="59491899"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Данните за използване на лекарствения продукт при болни с чернодробна недостатъчност или увредена чернодробна функция са ограничени. По тази причина, употребата на Небилан 5 </w:t>
      </w:r>
      <w:r w:rsidRPr="00A72B7B">
        <w:rPr>
          <w:rFonts w:eastAsia="Times New Roman" w:cs="Arial"/>
          <w:color w:val="000000"/>
          <w:lang w:val="en-US"/>
        </w:rPr>
        <w:t xml:space="preserve">mg </w:t>
      </w:r>
      <w:r w:rsidRPr="00A72B7B">
        <w:rPr>
          <w:rFonts w:eastAsia="Times New Roman" w:cs="Arial"/>
          <w:color w:val="000000"/>
          <w:lang w:eastAsia="bg-BG"/>
        </w:rPr>
        <w:t>при тези болни е противопоказана.</w:t>
      </w:r>
    </w:p>
    <w:p w14:paraId="616604C3" w14:textId="77777777" w:rsidR="00A72B7B" w:rsidRPr="00A72B7B" w:rsidRDefault="00A72B7B" w:rsidP="00A72B7B">
      <w:pPr>
        <w:spacing w:line="240" w:lineRule="auto"/>
        <w:rPr>
          <w:rFonts w:eastAsia="Times New Roman" w:cs="Arial"/>
          <w:i/>
          <w:iCs/>
          <w:color w:val="000000"/>
          <w:lang w:eastAsia="bg-BG"/>
        </w:rPr>
      </w:pPr>
    </w:p>
    <w:p w14:paraId="64417993" w14:textId="6E6CDCF8"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Пациенти в старческа възраст</w:t>
      </w:r>
    </w:p>
    <w:p w14:paraId="3EE1EDFE"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При пациенти над 65 годишна възраст се препоръчва използване на начална доза 2,5 </w:t>
      </w:r>
      <w:r w:rsidRPr="00A72B7B">
        <w:rPr>
          <w:rFonts w:eastAsia="Times New Roman" w:cs="Arial"/>
          <w:color w:val="000000"/>
          <w:lang w:val="en-US"/>
        </w:rPr>
        <w:t xml:space="preserve">mg </w:t>
      </w:r>
      <w:r w:rsidRPr="00A72B7B">
        <w:rPr>
          <w:rFonts w:eastAsia="Times New Roman" w:cs="Arial"/>
          <w:color w:val="000000"/>
          <w:lang w:eastAsia="bg-BG"/>
        </w:rPr>
        <w:t xml:space="preserve">дневно. При необходимост дневната доза може да се повиши до 5 </w:t>
      </w:r>
      <w:r w:rsidRPr="00A72B7B">
        <w:rPr>
          <w:rFonts w:eastAsia="Times New Roman" w:cs="Arial"/>
          <w:color w:val="000000"/>
          <w:lang w:val="en-US"/>
        </w:rPr>
        <w:t xml:space="preserve">mg. </w:t>
      </w:r>
      <w:r w:rsidRPr="00A72B7B">
        <w:rPr>
          <w:rFonts w:eastAsia="Times New Roman" w:cs="Arial"/>
          <w:color w:val="000000"/>
          <w:lang w:eastAsia="bg-BG"/>
        </w:rPr>
        <w:t>Въпреки това, във връзка с ограничения опит от използване на лекарствения продукт при пациенти над 75 годишна възраст, той трябва да се прилага предпазливо и тези болни трябва да бъдат внимателно проследявани.</w:t>
      </w:r>
    </w:p>
    <w:p w14:paraId="48FEB4DA" w14:textId="77777777" w:rsidR="00A72B7B" w:rsidRPr="00A72B7B" w:rsidRDefault="00A72B7B" w:rsidP="00A72B7B">
      <w:pPr>
        <w:spacing w:line="240" w:lineRule="auto"/>
        <w:rPr>
          <w:rFonts w:eastAsia="Times New Roman" w:cs="Arial"/>
          <w:i/>
          <w:iCs/>
          <w:color w:val="000000"/>
          <w:lang w:eastAsia="bg-BG"/>
        </w:rPr>
      </w:pPr>
    </w:p>
    <w:p w14:paraId="7C741132" w14:textId="14A64055"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Педиатрична популация</w:t>
      </w:r>
    </w:p>
    <w:p w14:paraId="0BC4A8E6"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Не се препоръчва употребата на Небилан 5 </w:t>
      </w:r>
      <w:r w:rsidRPr="00A72B7B">
        <w:rPr>
          <w:rFonts w:eastAsia="Times New Roman" w:cs="Arial"/>
          <w:color w:val="000000"/>
          <w:lang w:val="en-US"/>
        </w:rPr>
        <w:t xml:space="preserve">mg </w:t>
      </w:r>
      <w:r w:rsidRPr="00A72B7B">
        <w:rPr>
          <w:rFonts w:eastAsia="Times New Roman" w:cs="Arial"/>
          <w:color w:val="000000"/>
          <w:lang w:eastAsia="bg-BG"/>
        </w:rPr>
        <w:t xml:space="preserve">при деца и юноши под 18 годишна възраст </w:t>
      </w:r>
      <w:r w:rsidRPr="00A72B7B">
        <w:rPr>
          <w:rFonts w:eastAsia="Times New Roman" w:cs="Arial"/>
          <w:color w:val="000000"/>
          <w:u w:val="single"/>
          <w:lang w:eastAsia="bg-BG"/>
        </w:rPr>
        <w:t>поради липса на/недостатъчно</w:t>
      </w:r>
      <w:r w:rsidRPr="00A72B7B">
        <w:rPr>
          <w:rFonts w:eastAsia="Times New Roman" w:cs="Arial"/>
          <w:color w:val="000000"/>
          <w:lang w:eastAsia="bg-BG"/>
        </w:rPr>
        <w:t xml:space="preserve"> данни за безопасността и ефикасността.</w:t>
      </w:r>
    </w:p>
    <w:p w14:paraId="7BAC1B75" w14:textId="77777777" w:rsidR="00A72B7B" w:rsidRPr="00A72B7B" w:rsidRDefault="00A72B7B" w:rsidP="00A72B7B">
      <w:pPr>
        <w:spacing w:line="240" w:lineRule="auto"/>
        <w:rPr>
          <w:rFonts w:eastAsia="Times New Roman" w:cs="Arial"/>
          <w:i/>
          <w:iCs/>
          <w:color w:val="000000"/>
          <w:u w:val="single"/>
          <w:lang w:eastAsia="bg-BG"/>
        </w:rPr>
      </w:pPr>
    </w:p>
    <w:p w14:paraId="12902B3E" w14:textId="4B8D02AA" w:rsidR="00A72B7B" w:rsidRPr="00A72B7B" w:rsidRDefault="00A72B7B" w:rsidP="00A72B7B">
      <w:pPr>
        <w:spacing w:line="240" w:lineRule="auto"/>
        <w:rPr>
          <w:rFonts w:eastAsia="Times New Roman" w:cs="Arial"/>
        </w:rPr>
      </w:pPr>
      <w:r w:rsidRPr="00A72B7B">
        <w:rPr>
          <w:rFonts w:eastAsia="Times New Roman" w:cs="Arial"/>
          <w:i/>
          <w:iCs/>
          <w:color w:val="000000"/>
          <w:u w:val="single"/>
          <w:lang w:eastAsia="bg-BG"/>
        </w:rPr>
        <w:t>Хронична сърдечна недостатъчност</w:t>
      </w:r>
      <w:r w:rsidRPr="00A72B7B">
        <w:rPr>
          <w:rFonts w:eastAsia="Times New Roman" w:cs="Arial"/>
          <w:color w:val="000000"/>
          <w:u w:val="single"/>
          <w:lang w:eastAsia="bg-BG"/>
        </w:rPr>
        <w:t xml:space="preserve"> (ХСН)</w:t>
      </w:r>
    </w:p>
    <w:p w14:paraId="3FD79907"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Лечението на стабилна хронична сърдечна недостатъчност трябва да започне с постепенно повишаване на дозата до достигане на оптимална индивидуална поддържаща доза.</w:t>
      </w:r>
    </w:p>
    <w:p w14:paraId="4D168187"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Пациентите трябва да са със стабилна хронична сърдечна недостатъчност, без епизоди на остра сърдечна недостатъчност, през последните шест седмици. Препоръчва се лекуващият лекар да има опит в лечението на хронична сърдечна недостатъчност.</w:t>
      </w:r>
    </w:p>
    <w:p w14:paraId="7373E5AA"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пациентите, които приемат лекарствени продукти за лечение на сърдечно-съдови заболявания, включително диуретици и/или дигоксин и/или АСЕ инхибитори, и/или антагонисти на ангиотензин П, се препоръчва дозировката на тези продукти да бъде уточнена през последните две седмици преди започване на лечение с небиволол.</w:t>
      </w:r>
    </w:p>
    <w:p w14:paraId="403EB1DB"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Дозата трябва да се титрира първоначално на интервали от 1-2 седмици в зависимост от индивидуалната поносимост на пациента: Дозата от 1,25 </w:t>
      </w:r>
      <w:r w:rsidRPr="00A72B7B">
        <w:rPr>
          <w:rFonts w:eastAsia="Times New Roman" w:cs="Arial"/>
          <w:color w:val="000000"/>
          <w:lang w:val="en-US"/>
        </w:rPr>
        <w:t xml:space="preserve">mg </w:t>
      </w:r>
      <w:r w:rsidRPr="00A72B7B">
        <w:rPr>
          <w:rFonts w:eastAsia="Times New Roman" w:cs="Arial"/>
          <w:color w:val="000000"/>
          <w:lang w:eastAsia="bg-BG"/>
        </w:rPr>
        <w:t xml:space="preserve">небиволол трябва да се увеличи до 2,5 </w:t>
      </w:r>
      <w:r w:rsidRPr="00A72B7B">
        <w:rPr>
          <w:rFonts w:eastAsia="Times New Roman" w:cs="Arial"/>
          <w:color w:val="000000"/>
          <w:lang w:val="en-US"/>
        </w:rPr>
        <w:t xml:space="preserve">mg </w:t>
      </w:r>
      <w:r w:rsidRPr="00A72B7B">
        <w:rPr>
          <w:rFonts w:eastAsia="Times New Roman" w:cs="Arial"/>
          <w:color w:val="000000"/>
          <w:lang w:eastAsia="bg-BG"/>
        </w:rPr>
        <w:t xml:space="preserve">небиволол веднъж дневно, след това до 5 </w:t>
      </w:r>
      <w:r w:rsidRPr="00A72B7B">
        <w:rPr>
          <w:rFonts w:eastAsia="Times New Roman" w:cs="Arial"/>
          <w:color w:val="000000"/>
          <w:lang w:val="en-US"/>
        </w:rPr>
        <w:t xml:space="preserve">mg </w:t>
      </w:r>
      <w:r w:rsidRPr="00A72B7B">
        <w:rPr>
          <w:rFonts w:eastAsia="Times New Roman" w:cs="Arial"/>
          <w:color w:val="000000"/>
          <w:lang w:eastAsia="bg-BG"/>
        </w:rPr>
        <w:t xml:space="preserve">веднъж дневно, а след това до 10 </w:t>
      </w:r>
      <w:r w:rsidRPr="00A72B7B">
        <w:rPr>
          <w:rFonts w:eastAsia="Times New Roman" w:cs="Arial"/>
          <w:color w:val="000000"/>
          <w:lang w:val="en-US"/>
        </w:rPr>
        <w:t xml:space="preserve">mg </w:t>
      </w:r>
      <w:r w:rsidRPr="00A72B7B">
        <w:rPr>
          <w:rFonts w:eastAsia="Times New Roman" w:cs="Arial"/>
          <w:color w:val="000000"/>
          <w:lang w:eastAsia="bg-BG"/>
        </w:rPr>
        <w:t>веднъж дневно.</w:t>
      </w:r>
    </w:p>
    <w:p w14:paraId="4039E537"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Препоръчителната максимална доза е 10 </w:t>
      </w:r>
      <w:r w:rsidRPr="00A72B7B">
        <w:rPr>
          <w:rFonts w:eastAsia="Times New Roman" w:cs="Arial"/>
          <w:color w:val="000000"/>
          <w:lang w:val="en-US"/>
        </w:rPr>
        <w:t xml:space="preserve">mg </w:t>
      </w:r>
      <w:r w:rsidRPr="00A72B7B">
        <w:rPr>
          <w:rFonts w:eastAsia="Times New Roman" w:cs="Arial"/>
          <w:color w:val="000000"/>
          <w:lang w:eastAsia="bg-BG"/>
        </w:rPr>
        <w:t>небиволол веднъж дневно.</w:t>
      </w:r>
    </w:p>
    <w:p w14:paraId="3A82EB63" w14:textId="77777777" w:rsidR="00A72B7B" w:rsidRPr="00A72B7B" w:rsidRDefault="00A72B7B" w:rsidP="00A72B7B">
      <w:pPr>
        <w:spacing w:line="240" w:lineRule="auto"/>
        <w:rPr>
          <w:rFonts w:eastAsia="Times New Roman" w:cs="Arial"/>
          <w:color w:val="000000"/>
          <w:lang w:eastAsia="bg-BG"/>
        </w:rPr>
      </w:pPr>
    </w:p>
    <w:p w14:paraId="081B53D6" w14:textId="1181C583" w:rsidR="00A72B7B" w:rsidRPr="00A72B7B" w:rsidRDefault="00A72B7B" w:rsidP="00A72B7B">
      <w:pPr>
        <w:spacing w:line="240" w:lineRule="auto"/>
        <w:rPr>
          <w:rFonts w:eastAsia="Times New Roman" w:cs="Arial"/>
        </w:rPr>
      </w:pPr>
      <w:r w:rsidRPr="00A72B7B">
        <w:rPr>
          <w:rFonts w:eastAsia="Times New Roman" w:cs="Arial"/>
          <w:color w:val="000000"/>
          <w:lang w:eastAsia="bg-BG"/>
        </w:rPr>
        <w:t>Започването на лечение и всяко повишаване на дозата трябва да се извършва под наблюдение на опитен лекар в продължение на най-малко 2 часа, за да бъде сигурно, че клиничното състояние (особено по отношение на кръвно налягане, сърдечна честота, проводни нарушения, белези на влошаване на сърдечната недостатъчност) остава стабилно.</w:t>
      </w:r>
    </w:p>
    <w:p w14:paraId="1B6BFEF4"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lastRenderedPageBreak/>
        <w:t>Появата на нежелани реакции може да предотврати третирането на всички пациенти с препоръчителната максимална доза. При необходимост, достигнатата доза може също така постепенно да се намали и да се възобнови лечението с продукта в подходяща дозировка.</w:t>
      </w:r>
    </w:p>
    <w:p w14:paraId="3DB398A8" w14:textId="4E10F87F" w:rsidR="00A72B7B" w:rsidRDefault="00A72B7B" w:rsidP="00A72B7B">
      <w:pPr>
        <w:spacing w:line="240" w:lineRule="auto"/>
        <w:rPr>
          <w:rFonts w:eastAsia="Times New Roman" w:cs="Arial"/>
          <w:color w:val="000000"/>
          <w:lang w:eastAsia="bg-BG"/>
        </w:rPr>
      </w:pPr>
      <w:r w:rsidRPr="00A72B7B">
        <w:rPr>
          <w:rFonts w:eastAsia="Times New Roman" w:cs="Arial"/>
          <w:color w:val="000000"/>
          <w:lang w:eastAsia="bg-BG"/>
        </w:rPr>
        <w:t xml:space="preserve">Препоръчва се, в случай на влошаване на сърдечната недостатъчност или при прояви на непоносимост, възникнали по време на определянето на подходящата терапевтична доза, първо да се намали дозата на небиволол, или при необходимост да се преустанови незабавно приема на продукта (в случаи на тежка хипотония, влошаване на сърдечната недостатъчност с прояви на остър белодробен оток, кардиогенен шок, симптоматична брадикардия или </w:t>
      </w:r>
      <w:r w:rsidRPr="00A72B7B">
        <w:rPr>
          <w:rFonts w:eastAsia="Times New Roman" w:cs="Arial"/>
          <w:color w:val="000000"/>
          <w:lang w:val="en-US"/>
        </w:rPr>
        <w:t>AV</w:t>
      </w:r>
      <w:r w:rsidRPr="00A72B7B">
        <w:rPr>
          <w:rFonts w:eastAsia="Times New Roman" w:cs="Arial"/>
          <w:color w:val="000000"/>
          <w:lang w:eastAsia="bg-BG"/>
        </w:rPr>
        <w:t>-блок). Обичайно, лечението на хронична сърдечна недостатъчност с небиволол е продължително. Не се препоръчва внезапно спиране на лечението с небиволол, тъй като това може да доведе до преходно влошаване на сърдечната недостатъчност. При необходимост от преустановяване на терапията, дозата трябва постепенно да се намалява наполовина всяка седмица. Таблетките може да се приемат с храна.</w:t>
      </w:r>
    </w:p>
    <w:p w14:paraId="7C19FE51" w14:textId="0C3E75FF" w:rsidR="00A72B7B" w:rsidRDefault="00A72B7B" w:rsidP="00A72B7B">
      <w:pPr>
        <w:spacing w:line="240" w:lineRule="auto"/>
        <w:rPr>
          <w:rFonts w:eastAsia="Times New Roman" w:cs="Arial"/>
          <w:color w:val="000000"/>
          <w:lang w:eastAsia="bg-BG"/>
        </w:rPr>
      </w:pPr>
    </w:p>
    <w:p w14:paraId="459D6DE9" w14:textId="77777777"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Пациенти с бъбречна недостатъчност</w:t>
      </w:r>
    </w:p>
    <w:p w14:paraId="438E661A"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При лека или умерена бъбречна недостатъчност не се налага промяна в дозата, тъй като постепенното повишаване на дозировката до достигане на максимално поносимата доза се извършва индивидуално. Няма опит от прилагане на лекарствения продукт при болни с тежка бъбречна недостатъчност (серумен креатинин </w:t>
      </w:r>
      <w:r w:rsidRPr="00A72B7B">
        <w:rPr>
          <w:rFonts w:eastAsia="Times New Roman" w:cs="Arial"/>
          <w:color w:val="000000"/>
          <w:lang w:val="en-US"/>
        </w:rPr>
        <w:t>≥</w:t>
      </w:r>
      <w:r w:rsidRPr="00A72B7B">
        <w:rPr>
          <w:rFonts w:eastAsia="Times New Roman" w:cs="Arial"/>
          <w:color w:val="000000"/>
          <w:lang w:eastAsia="bg-BG"/>
        </w:rPr>
        <w:t xml:space="preserve">2,83 </w:t>
      </w:r>
      <w:r w:rsidRPr="00A72B7B">
        <w:rPr>
          <w:rFonts w:eastAsia="Times New Roman" w:cs="Arial"/>
          <w:color w:val="000000"/>
          <w:lang w:val="en-US"/>
        </w:rPr>
        <w:t xml:space="preserve">mg/dl). </w:t>
      </w:r>
      <w:r w:rsidRPr="00A72B7B">
        <w:rPr>
          <w:rFonts w:eastAsia="Times New Roman" w:cs="Arial"/>
          <w:color w:val="000000"/>
          <w:lang w:eastAsia="bg-BG"/>
        </w:rPr>
        <w:t>По тази причина, при тези пациенти не се препоръчва използване на небиволол.</w:t>
      </w:r>
    </w:p>
    <w:p w14:paraId="339724F7" w14:textId="77777777" w:rsidR="00A72B7B" w:rsidRPr="00A72B7B" w:rsidRDefault="00A72B7B" w:rsidP="00A72B7B">
      <w:pPr>
        <w:spacing w:line="240" w:lineRule="auto"/>
        <w:rPr>
          <w:rFonts w:eastAsia="Times New Roman" w:cs="Arial"/>
          <w:i/>
          <w:iCs/>
          <w:color w:val="000000"/>
          <w:lang w:eastAsia="bg-BG"/>
        </w:rPr>
      </w:pPr>
    </w:p>
    <w:p w14:paraId="48EFC0D9" w14:textId="739EF12C"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Пациенти с чернодробна недостатъчност</w:t>
      </w:r>
    </w:p>
    <w:p w14:paraId="30C610A9"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Данните за използване на лекарствения продукт при болни с чернодробна недостатъчност са ограничени. По тази причина, употребата на небиволол при тези болни е противопоказана.</w:t>
      </w:r>
    </w:p>
    <w:p w14:paraId="55E95641" w14:textId="77777777" w:rsidR="00A72B7B" w:rsidRPr="00A72B7B" w:rsidRDefault="00A72B7B" w:rsidP="00A72B7B">
      <w:pPr>
        <w:spacing w:line="240" w:lineRule="auto"/>
        <w:rPr>
          <w:rFonts w:eastAsia="Times New Roman" w:cs="Arial"/>
          <w:i/>
          <w:iCs/>
          <w:color w:val="000000"/>
          <w:lang w:eastAsia="bg-BG"/>
        </w:rPr>
      </w:pPr>
    </w:p>
    <w:p w14:paraId="3979F657" w14:textId="2F0E6299"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Пациенти в старческа възраст</w:t>
      </w:r>
    </w:p>
    <w:p w14:paraId="16EC445F"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 се налага адаптиране на дозата, тъй като постепенното повишаване на дозировката до достигане на максимално поносимата доза се извършва индивидуално.</w:t>
      </w:r>
    </w:p>
    <w:p w14:paraId="127BB654" w14:textId="77777777" w:rsidR="00A72B7B" w:rsidRPr="00A72B7B" w:rsidRDefault="00A72B7B" w:rsidP="00A72B7B">
      <w:pPr>
        <w:spacing w:line="240" w:lineRule="auto"/>
        <w:rPr>
          <w:rFonts w:eastAsia="Times New Roman" w:cs="Arial"/>
          <w:i/>
          <w:iCs/>
          <w:color w:val="000000"/>
          <w:lang w:eastAsia="bg-BG"/>
        </w:rPr>
      </w:pPr>
    </w:p>
    <w:p w14:paraId="01079F0C" w14:textId="137BE137"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Педиатрична популация</w:t>
      </w:r>
    </w:p>
    <w:p w14:paraId="1C6D3B1F"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Не се препоръчва използване на Небилан 5 </w:t>
      </w:r>
      <w:r w:rsidRPr="00A72B7B">
        <w:rPr>
          <w:rFonts w:eastAsia="Times New Roman" w:cs="Arial"/>
          <w:color w:val="000000"/>
          <w:lang w:val="en-US"/>
        </w:rPr>
        <w:t xml:space="preserve">mg </w:t>
      </w:r>
      <w:r w:rsidRPr="00A72B7B">
        <w:rPr>
          <w:rFonts w:eastAsia="Times New Roman" w:cs="Arial"/>
          <w:color w:val="000000"/>
          <w:lang w:eastAsia="bg-BG"/>
        </w:rPr>
        <w:t>при деца и юноши под 18 годишна възраст поради липса на/недостатъчно данни по отношение на безопасност и ефикасност.</w:t>
      </w:r>
    </w:p>
    <w:p w14:paraId="482D78B0" w14:textId="77777777" w:rsidR="00A72B7B" w:rsidRPr="00A72B7B" w:rsidRDefault="00A72B7B" w:rsidP="00A72B7B">
      <w:pPr>
        <w:spacing w:line="240" w:lineRule="auto"/>
        <w:rPr>
          <w:rFonts w:eastAsia="Times New Roman" w:cs="Arial"/>
          <w:color w:val="000000"/>
          <w:u w:val="single"/>
          <w:lang w:eastAsia="bg-BG"/>
        </w:rPr>
      </w:pPr>
    </w:p>
    <w:p w14:paraId="2581CABD" w14:textId="15ADD0BC" w:rsidR="00A72B7B" w:rsidRPr="00A72B7B" w:rsidRDefault="00A72B7B" w:rsidP="00A72B7B">
      <w:pPr>
        <w:pStyle w:val="Heading3"/>
        <w:rPr>
          <w:rFonts w:eastAsia="Times New Roman"/>
          <w:u w:val="single"/>
        </w:rPr>
      </w:pPr>
      <w:r w:rsidRPr="00A72B7B">
        <w:rPr>
          <w:rFonts w:eastAsia="Times New Roman"/>
          <w:u w:val="single"/>
          <w:lang w:eastAsia="bg-BG"/>
        </w:rPr>
        <w:t>Начин на приложение</w:t>
      </w:r>
    </w:p>
    <w:p w14:paraId="7F4B75A8"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Перорална употреба.</w:t>
      </w:r>
    </w:p>
    <w:p w14:paraId="0CEDB10C"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Таблетката трябва да се поглъща с достатъчно количество течност (напр. чаша вода), със или без храна.</w:t>
      </w:r>
    </w:p>
    <w:p w14:paraId="534161D2" w14:textId="77777777" w:rsidR="00A72B7B" w:rsidRPr="00A72B7B" w:rsidRDefault="00A72B7B" w:rsidP="00A72B7B">
      <w:pPr>
        <w:spacing w:line="240" w:lineRule="auto"/>
        <w:rPr>
          <w:rFonts w:eastAsia="Times New Roman" w:cs="Arial"/>
        </w:rPr>
      </w:pPr>
    </w:p>
    <w:p w14:paraId="677F35E4" w14:textId="77777777" w:rsidR="00A72B7B" w:rsidRPr="00A72B7B" w:rsidRDefault="00A72B7B" w:rsidP="00A72B7B"/>
    <w:p w14:paraId="62B13D0B" w14:textId="3D05D9B9" w:rsidR="00395555" w:rsidRDefault="002C50EE" w:rsidP="008A6AF2">
      <w:pPr>
        <w:pStyle w:val="Heading2"/>
      </w:pPr>
      <w:r>
        <w:t>4.3. Противопоказания</w:t>
      </w:r>
    </w:p>
    <w:p w14:paraId="247E6979" w14:textId="20A10394" w:rsidR="00A72B7B" w:rsidRDefault="00A72B7B" w:rsidP="00A72B7B"/>
    <w:p w14:paraId="491CD864" w14:textId="77777777" w:rsidR="00A72B7B" w:rsidRPr="00A72B7B" w:rsidRDefault="00A72B7B" w:rsidP="00A72B7B">
      <w:pPr>
        <w:pStyle w:val="ListParagraph"/>
        <w:numPr>
          <w:ilvl w:val="0"/>
          <w:numId w:val="32"/>
        </w:numPr>
        <w:spacing w:line="240" w:lineRule="auto"/>
        <w:rPr>
          <w:rFonts w:eastAsia="Times New Roman" w:cs="Arial"/>
          <w:color w:val="000000"/>
          <w:lang w:eastAsia="bg-BG"/>
        </w:rPr>
      </w:pPr>
      <w:r w:rsidRPr="00A72B7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72A6526F" w14:textId="77777777" w:rsidR="00A72B7B" w:rsidRPr="00A72B7B" w:rsidRDefault="00A72B7B" w:rsidP="00A72B7B">
      <w:pPr>
        <w:pStyle w:val="ListParagraph"/>
        <w:numPr>
          <w:ilvl w:val="0"/>
          <w:numId w:val="32"/>
        </w:numPr>
        <w:spacing w:line="240" w:lineRule="auto"/>
        <w:rPr>
          <w:rFonts w:eastAsia="Times New Roman" w:cs="Arial"/>
          <w:color w:val="000000"/>
          <w:lang w:eastAsia="bg-BG"/>
        </w:rPr>
      </w:pPr>
      <w:r w:rsidRPr="00A72B7B">
        <w:rPr>
          <w:rFonts w:eastAsia="Times New Roman" w:cs="Arial"/>
          <w:color w:val="000000"/>
          <w:lang w:eastAsia="bg-BG"/>
        </w:rPr>
        <w:t>Чернодробна недостатъчност или нарушена чернодробна функция;</w:t>
      </w:r>
    </w:p>
    <w:p w14:paraId="71B571EB" w14:textId="77777777" w:rsidR="00A72B7B" w:rsidRPr="00A72B7B" w:rsidRDefault="00A72B7B" w:rsidP="00A72B7B">
      <w:pPr>
        <w:pStyle w:val="ListParagraph"/>
        <w:numPr>
          <w:ilvl w:val="0"/>
          <w:numId w:val="32"/>
        </w:numPr>
        <w:spacing w:line="240" w:lineRule="auto"/>
        <w:rPr>
          <w:rFonts w:eastAsia="Times New Roman" w:cs="Arial"/>
          <w:color w:val="000000"/>
          <w:lang w:eastAsia="bg-BG"/>
        </w:rPr>
      </w:pPr>
      <w:r w:rsidRPr="00A72B7B">
        <w:rPr>
          <w:rFonts w:eastAsia="Times New Roman" w:cs="Arial"/>
          <w:color w:val="000000"/>
          <w:lang w:eastAsia="bg-BG"/>
        </w:rPr>
        <w:lastRenderedPageBreak/>
        <w:t>Остра сърдечна недостатъчност, кардиогенен шок или епизоди на декомпенсирана сърдечна недостатъчност, които изискват интравенозно инотропно лечение</w:t>
      </w:r>
    </w:p>
    <w:p w14:paraId="334BDC58" w14:textId="77777777" w:rsidR="00A72B7B" w:rsidRPr="00A72B7B" w:rsidRDefault="00A72B7B" w:rsidP="00A72B7B">
      <w:pPr>
        <w:spacing w:line="240" w:lineRule="auto"/>
        <w:rPr>
          <w:rFonts w:eastAsia="Times New Roman" w:cs="Arial"/>
          <w:color w:val="000000"/>
          <w:lang w:eastAsia="bg-BG"/>
        </w:rPr>
      </w:pPr>
    </w:p>
    <w:p w14:paraId="0CE39266" w14:textId="77777777" w:rsidR="00A72B7B" w:rsidRDefault="00A72B7B" w:rsidP="00A72B7B">
      <w:pPr>
        <w:spacing w:line="240" w:lineRule="auto"/>
        <w:rPr>
          <w:rFonts w:eastAsia="Times New Roman" w:cs="Arial"/>
        </w:rPr>
      </w:pPr>
      <w:r w:rsidRPr="00A72B7B">
        <w:rPr>
          <w:rFonts w:eastAsia="Times New Roman" w:cs="Arial"/>
          <w:color w:val="000000"/>
          <w:lang w:eastAsia="bg-BG"/>
        </w:rPr>
        <w:t xml:space="preserve">Освен това, подобно на другите бета-блокери, Небиволол 5 </w:t>
      </w:r>
      <w:r w:rsidRPr="00A72B7B">
        <w:rPr>
          <w:rFonts w:eastAsia="Times New Roman" w:cs="Arial"/>
          <w:color w:val="000000"/>
          <w:lang w:val="en-US"/>
        </w:rPr>
        <w:t xml:space="preserve">mg </w:t>
      </w:r>
      <w:r w:rsidRPr="00A72B7B">
        <w:rPr>
          <w:rFonts w:eastAsia="Times New Roman" w:cs="Arial"/>
          <w:color w:val="000000"/>
          <w:lang w:eastAsia="bg-BG"/>
        </w:rPr>
        <w:t>е противопоказан при:</w:t>
      </w:r>
    </w:p>
    <w:p w14:paraId="2DF015F2" w14:textId="2AB32C61" w:rsidR="00A72B7B" w:rsidRPr="00A72B7B" w:rsidRDefault="00A72B7B" w:rsidP="00A72B7B">
      <w:pPr>
        <w:pStyle w:val="ListParagraph"/>
        <w:numPr>
          <w:ilvl w:val="0"/>
          <w:numId w:val="2"/>
        </w:numPr>
        <w:spacing w:line="240" w:lineRule="auto"/>
        <w:rPr>
          <w:rFonts w:eastAsia="Times New Roman" w:cs="Arial"/>
        </w:rPr>
      </w:pPr>
      <w:r w:rsidRPr="00A72B7B">
        <w:rPr>
          <w:rFonts w:eastAsia="Times New Roman" w:cs="Arial"/>
          <w:color w:val="000000"/>
          <w:lang w:eastAsia="bg-BG"/>
        </w:rPr>
        <w:t>Синдром на болния синусов възел, включително сино-атриален блок;</w:t>
      </w:r>
    </w:p>
    <w:p w14:paraId="6E86AA98" w14:textId="77777777" w:rsidR="00A72B7B" w:rsidRPr="00A72B7B" w:rsidRDefault="00A72B7B" w:rsidP="00A72B7B">
      <w:pPr>
        <w:pStyle w:val="ListParagraph"/>
        <w:numPr>
          <w:ilvl w:val="1"/>
          <w:numId w:val="2"/>
        </w:numPr>
        <w:spacing w:line="240" w:lineRule="auto"/>
        <w:rPr>
          <w:rFonts w:eastAsia="Times New Roman" w:cs="Arial"/>
          <w:color w:val="000000"/>
          <w:lang w:eastAsia="bg-BG"/>
        </w:rPr>
      </w:pPr>
      <w:r w:rsidRPr="00A72B7B">
        <w:rPr>
          <w:rFonts w:eastAsia="Times New Roman" w:cs="Arial"/>
          <w:color w:val="000000"/>
          <w:lang w:eastAsia="bg-BG"/>
        </w:rPr>
        <w:t>Сърдечен блок втора и трета степен;</w:t>
      </w:r>
    </w:p>
    <w:p w14:paraId="3F4B8693" w14:textId="77777777" w:rsidR="00A72B7B" w:rsidRP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Анамнестични данни за бронхоспазъм или бронхиална астма;</w:t>
      </w:r>
    </w:p>
    <w:p w14:paraId="4F768AE5" w14:textId="77777777" w:rsidR="00A72B7B" w:rsidRP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Нелекуван феохромоцитом;</w:t>
      </w:r>
    </w:p>
    <w:p w14:paraId="11BB56B3" w14:textId="77777777" w:rsidR="00A72B7B" w:rsidRP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Метаболитна ацидоза;</w:t>
      </w:r>
    </w:p>
    <w:p w14:paraId="5AF9CCE5" w14:textId="77777777" w:rsidR="00A72B7B" w:rsidRP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Брадикардия (сърдечна честота &lt; 60 удара в минута преди започване на лечението);</w:t>
      </w:r>
    </w:p>
    <w:p w14:paraId="3C364C0D" w14:textId="77777777" w:rsidR="00A72B7B" w:rsidRP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 xml:space="preserve">Хипотония (систолично кръвно налягане &lt; 90 </w:t>
      </w:r>
      <w:r w:rsidRPr="00A72B7B">
        <w:rPr>
          <w:rFonts w:eastAsia="Times New Roman" w:cs="Arial"/>
          <w:color w:val="000000"/>
          <w:lang w:val="en-US"/>
        </w:rPr>
        <w:t>mm Hg);</w:t>
      </w:r>
    </w:p>
    <w:p w14:paraId="0A1066EB" w14:textId="77777777" w:rsidR="00A72B7B" w:rsidRP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Тежки периферни циркулаторни нарушения.</w:t>
      </w:r>
    </w:p>
    <w:p w14:paraId="5C12F638" w14:textId="77777777" w:rsidR="00A72B7B" w:rsidRPr="00A72B7B" w:rsidRDefault="00A72B7B" w:rsidP="00A72B7B"/>
    <w:p w14:paraId="5A4AC413" w14:textId="54FFB391" w:rsidR="00395555" w:rsidRDefault="002C50EE" w:rsidP="008A6AF2">
      <w:pPr>
        <w:pStyle w:val="Heading2"/>
      </w:pPr>
      <w:r>
        <w:t>4.4. Специални предупреждения и предпазни мерки при употреба</w:t>
      </w:r>
    </w:p>
    <w:p w14:paraId="7098AB3F" w14:textId="2BEE8D78" w:rsidR="00A72B7B" w:rsidRDefault="00A72B7B" w:rsidP="00A72B7B"/>
    <w:p w14:paraId="426C7AAB"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Вижте също точка 4.8 Нежелани лекарствени реакции.</w:t>
      </w:r>
    </w:p>
    <w:p w14:paraId="67822E8D" w14:textId="77777777" w:rsidR="00A72B7B" w:rsidRPr="00A72B7B" w:rsidRDefault="00A72B7B" w:rsidP="00A72B7B">
      <w:pPr>
        <w:spacing w:line="240" w:lineRule="auto"/>
        <w:rPr>
          <w:rFonts w:eastAsia="Times New Roman" w:cs="Arial"/>
          <w:i/>
          <w:iCs/>
          <w:color w:val="000000"/>
          <w:lang w:eastAsia="bg-BG"/>
        </w:rPr>
      </w:pPr>
    </w:p>
    <w:p w14:paraId="56AAC6F0" w14:textId="3DA469F8"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Анестезия</w:t>
      </w:r>
    </w:p>
    <w:p w14:paraId="709ED6B4"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Продължаването на бета-блокадата намалява риска от аритмии по време на въвеждане в анестезия и интубация. При прекъсване на бета-блокадата във връзка с подготовка за оперативна интервенция, приемът на небиволол трябва да се преустанови най-малко 24 часа преди операцията. Някои анестетици, които причиняват миокардна депресия като</w:t>
      </w:r>
    </w:p>
    <w:p w14:paraId="79B5F88D" w14:textId="0840C0CD" w:rsidR="00A72B7B" w:rsidRPr="00A72B7B" w:rsidRDefault="00A72B7B" w:rsidP="00A72B7B">
      <w:pPr>
        <w:rPr>
          <w:rFonts w:eastAsia="Times New Roman" w:cs="Arial"/>
          <w:color w:val="000000"/>
          <w:lang w:eastAsia="bg-BG"/>
        </w:rPr>
      </w:pPr>
      <w:r w:rsidRPr="00A72B7B">
        <w:rPr>
          <w:rFonts w:eastAsia="Times New Roman" w:cs="Arial"/>
          <w:color w:val="000000"/>
          <w:lang w:eastAsia="bg-BG"/>
        </w:rPr>
        <w:t>циклопропан, етер или трихлоретилен трябва да се прилагат внимателно. Пациентът може да бъде предпазен от вагусови реакции посредством интравенозна апликация на атропин.</w:t>
      </w:r>
    </w:p>
    <w:p w14:paraId="37312954" w14:textId="740B3F79" w:rsidR="00A72B7B" w:rsidRPr="00A72B7B" w:rsidRDefault="00A72B7B" w:rsidP="00A72B7B">
      <w:pPr>
        <w:rPr>
          <w:rFonts w:eastAsia="Times New Roman" w:cs="Arial"/>
          <w:color w:val="000000"/>
          <w:lang w:eastAsia="bg-BG"/>
        </w:rPr>
      </w:pPr>
    </w:p>
    <w:p w14:paraId="3A8CF5D6" w14:textId="77777777"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Сърдечно-съдова система</w:t>
      </w:r>
    </w:p>
    <w:p w14:paraId="4CBFEC6E"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не трябва да се използва при пациенти с нелекувана хронична сърдечна недостатъчност (ХСН) до стабилизиране на състоянието им.</w:t>
      </w:r>
    </w:p>
    <w:p w14:paraId="79DE220E"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болни с исхемична болест на сърцето, лечението с небиволол трябва да се преустановява постепенно, например за период от 1-2 седмици. При необходимост, по същото време трябва да се започне заместителна терапия с оглед предотвратяване обостряне на ангина пекторис.</w:t>
      </w:r>
    </w:p>
    <w:p w14:paraId="59CD7B14"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може да причини брадикардия: при понижаване на пулсовата честота под 50-55 удара за минута в покой и/или в случай, че пациентът забележи прояви, които предполагат наличие на брадикардия, дозата трябва да се намали.</w:t>
      </w:r>
    </w:p>
    <w:p w14:paraId="159D01B2" w14:textId="77777777" w:rsidR="00A72B7B" w:rsidRPr="00A72B7B" w:rsidRDefault="00A72B7B" w:rsidP="00A72B7B">
      <w:pPr>
        <w:spacing w:line="240" w:lineRule="auto"/>
        <w:rPr>
          <w:rFonts w:eastAsia="Times New Roman" w:cs="Arial"/>
          <w:color w:val="000000"/>
          <w:lang w:eastAsia="bg-BG"/>
        </w:rPr>
      </w:pPr>
    </w:p>
    <w:p w14:paraId="3AF7A22E" w14:textId="2EFC06C8"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трябва да се прилага внимателно при:</w:t>
      </w:r>
    </w:p>
    <w:p w14:paraId="1F0293A6" w14:textId="77777777" w:rsid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 xml:space="preserve">Пациенти с нарушена периферно-съдова циркулация (болест или синдром на </w:t>
      </w:r>
      <w:r w:rsidRPr="00A72B7B">
        <w:rPr>
          <w:rFonts w:eastAsia="Times New Roman" w:cs="Arial"/>
          <w:color w:val="000000"/>
          <w:lang w:val="en-US"/>
        </w:rPr>
        <w:t xml:space="preserve">Raynaud, </w:t>
      </w:r>
      <w:r w:rsidRPr="00A72B7B">
        <w:rPr>
          <w:rFonts w:eastAsia="Times New Roman" w:cs="Arial"/>
          <w:color w:val="000000"/>
          <w:lang w:eastAsia="bg-BG"/>
        </w:rPr>
        <w:t>клаудикацио интермитенс), тъй като е възможно влошаване на симптоматиката;</w:t>
      </w:r>
    </w:p>
    <w:p w14:paraId="1911FBA1" w14:textId="77777777" w:rsid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 xml:space="preserve">При пациенти с </w:t>
      </w:r>
      <w:r w:rsidRPr="00A72B7B">
        <w:rPr>
          <w:rFonts w:eastAsia="Times New Roman" w:cs="Arial"/>
          <w:color w:val="000000"/>
          <w:lang w:val="en-US"/>
        </w:rPr>
        <w:t xml:space="preserve">AV </w:t>
      </w:r>
      <w:r w:rsidRPr="00A72B7B">
        <w:rPr>
          <w:rFonts w:eastAsia="Times New Roman" w:cs="Arial"/>
          <w:color w:val="000000"/>
          <w:lang w:eastAsia="bg-BG"/>
        </w:rPr>
        <w:t>блок първа степен, поради негативния ефект на бета-блокерите по отношение на проводното време;</w:t>
      </w:r>
    </w:p>
    <w:p w14:paraId="4D5602B1" w14:textId="6C83D868" w:rsidR="00A72B7B" w:rsidRPr="00A72B7B" w:rsidRDefault="00A72B7B" w:rsidP="00A72B7B">
      <w:pPr>
        <w:pStyle w:val="ListParagraph"/>
        <w:numPr>
          <w:ilvl w:val="0"/>
          <w:numId w:val="2"/>
        </w:numPr>
        <w:spacing w:line="240" w:lineRule="auto"/>
        <w:rPr>
          <w:rFonts w:eastAsia="Times New Roman" w:cs="Arial"/>
          <w:color w:val="000000"/>
          <w:lang w:eastAsia="bg-BG"/>
        </w:rPr>
      </w:pPr>
      <w:r w:rsidRPr="00A72B7B">
        <w:rPr>
          <w:rFonts w:eastAsia="Times New Roman" w:cs="Arial"/>
          <w:color w:val="000000"/>
          <w:lang w:eastAsia="bg-BG"/>
        </w:rPr>
        <w:t xml:space="preserve">При болни с ангина на </w:t>
      </w:r>
      <w:proofErr w:type="spellStart"/>
      <w:r w:rsidRPr="00A72B7B">
        <w:rPr>
          <w:rFonts w:eastAsia="Times New Roman" w:cs="Arial"/>
          <w:color w:val="000000"/>
          <w:lang w:val="en-US"/>
        </w:rPr>
        <w:t>Prinzmetal</w:t>
      </w:r>
      <w:proofErr w:type="spellEnd"/>
      <w:r w:rsidRPr="00A72B7B">
        <w:rPr>
          <w:rFonts w:eastAsia="Times New Roman" w:cs="Arial"/>
          <w:color w:val="000000"/>
          <w:lang w:val="en-US"/>
        </w:rPr>
        <w:t xml:space="preserve"> </w:t>
      </w:r>
      <w:r w:rsidRPr="00A72B7B">
        <w:rPr>
          <w:rFonts w:eastAsia="Times New Roman" w:cs="Arial"/>
          <w:color w:val="000000"/>
          <w:lang w:eastAsia="bg-BG"/>
        </w:rPr>
        <w:t>вследствие на некоригирана алфа-рецепторно медиирана вазоконстрикция на коронарните артерии: бета-</w:t>
      </w:r>
      <w:r w:rsidRPr="00A72B7B">
        <w:rPr>
          <w:rFonts w:eastAsia="Times New Roman" w:cs="Arial"/>
          <w:color w:val="000000"/>
          <w:lang w:eastAsia="bg-BG"/>
        </w:rPr>
        <w:lastRenderedPageBreak/>
        <w:t>адренергичните антагонисти могат да увеличат броя и продължителността на стенокардиите пристъпи.</w:t>
      </w:r>
    </w:p>
    <w:p w14:paraId="5BFDB455" w14:textId="77777777" w:rsidR="00A72B7B" w:rsidRPr="00A72B7B" w:rsidRDefault="00A72B7B" w:rsidP="00A72B7B">
      <w:pPr>
        <w:spacing w:line="240" w:lineRule="auto"/>
        <w:rPr>
          <w:rFonts w:eastAsia="Times New Roman" w:cs="Arial"/>
          <w:i/>
          <w:iCs/>
          <w:color w:val="000000"/>
          <w:lang w:eastAsia="bg-BG"/>
        </w:rPr>
      </w:pPr>
    </w:p>
    <w:p w14:paraId="77B20E26" w14:textId="0C19FCA3"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Метаболизъм/Ендокринна система</w:t>
      </w:r>
    </w:p>
    <w:p w14:paraId="04D5BD72"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не повлиява нивата на кръвната глюкоза при пациенти със захарен диабет. Въпреки това, лекарственият продукт трябва да се прилага внимателно при диабетици, тъй като небиволол може да замъгли определени симптоми на хипогликемия (тахикардия, палпитации). Бета-адренергичните блокери може да замъглят тахикардните прояви при хипертиреоидизъм. Внезапното преустановяване на приема на лекарствения продукт може да заили симптомите.</w:t>
      </w:r>
    </w:p>
    <w:p w14:paraId="6998203F" w14:textId="77777777" w:rsidR="00A72B7B" w:rsidRPr="00A72B7B" w:rsidRDefault="00A72B7B" w:rsidP="00A72B7B">
      <w:pPr>
        <w:spacing w:line="240" w:lineRule="auto"/>
        <w:rPr>
          <w:rFonts w:eastAsia="Times New Roman" w:cs="Arial"/>
          <w:i/>
          <w:iCs/>
          <w:color w:val="000000"/>
          <w:lang w:eastAsia="bg-BG"/>
        </w:rPr>
      </w:pPr>
    </w:p>
    <w:p w14:paraId="16D178C9" w14:textId="4D7DAE64"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Дихателна система</w:t>
      </w:r>
    </w:p>
    <w:p w14:paraId="7D137D99"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Бета- блокерите трябва да се използват внимателно при пациенти с хронична обструктивна белодробна болест, тъй като могат да засилят спазъма на дихателните пътища.</w:t>
      </w:r>
    </w:p>
    <w:p w14:paraId="7D29F3DF" w14:textId="77777777" w:rsidR="00A72B7B" w:rsidRPr="00A72B7B" w:rsidRDefault="00A72B7B" w:rsidP="00A72B7B">
      <w:pPr>
        <w:spacing w:line="240" w:lineRule="auto"/>
        <w:rPr>
          <w:rFonts w:eastAsia="Times New Roman" w:cs="Arial"/>
          <w:i/>
          <w:iCs/>
          <w:color w:val="000000"/>
          <w:lang w:eastAsia="bg-BG"/>
        </w:rPr>
      </w:pPr>
    </w:p>
    <w:p w14:paraId="6FC65AD4" w14:textId="49BD45C2"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Други</w:t>
      </w:r>
    </w:p>
    <w:p w14:paraId="279767C9"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Пациенти с анамнестични данни за псориазис трябва да приемат небиволол само след внимателна преценка.</w:t>
      </w:r>
    </w:p>
    <w:p w14:paraId="76754BBB"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може да увеличи чувствителността към алергени и тежестта на анафилактичните реакции.</w:t>
      </w:r>
    </w:p>
    <w:p w14:paraId="0CE72A3D"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започване на лечение на хронична сърдечна недостатъчност с небиволол е необходимо осъществяване на редовен контрол. За дозировката и начина на приложение, моля вижте точка 4.2.</w:t>
      </w:r>
    </w:p>
    <w:p w14:paraId="1B4C2FD1"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Лечението не трябва да се преустановява внезапно, освен при наличие на категорични показания. За допълнителна информация, моля вижте точка 4.2.</w:t>
      </w:r>
    </w:p>
    <w:p w14:paraId="30C32709" w14:textId="77777777" w:rsidR="00A72B7B" w:rsidRPr="00A72B7B" w:rsidRDefault="00A72B7B" w:rsidP="00A72B7B">
      <w:pPr>
        <w:spacing w:line="240" w:lineRule="auto"/>
        <w:rPr>
          <w:rFonts w:eastAsia="Times New Roman" w:cs="Arial"/>
          <w:color w:val="000000"/>
          <w:lang w:eastAsia="bg-BG"/>
        </w:rPr>
      </w:pPr>
    </w:p>
    <w:p w14:paraId="54D32D9B" w14:textId="0BAAC138"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По принцип, не се препоръчва комбинирането на небиволол с калциеви антагонисти, като верапамил и дилтиазем, </w:t>
      </w:r>
      <w:r w:rsidRPr="00A72B7B">
        <w:rPr>
          <w:rFonts w:eastAsia="Times New Roman" w:cs="Arial"/>
          <w:color w:val="000000"/>
          <w:lang w:val="en-US"/>
        </w:rPr>
        <w:t>I</w:t>
      </w:r>
      <w:r w:rsidRPr="00A72B7B">
        <w:rPr>
          <w:rFonts w:eastAsia="Times New Roman" w:cs="Arial"/>
          <w:color w:val="000000"/>
          <w:lang w:eastAsia="bg-BG"/>
        </w:rPr>
        <w:t>-ви клас антиаритмични лекарствени продукти и антихипертензивни лекарства с централен ефект. За подробности, моля вижте точка 4.5.</w:t>
      </w:r>
    </w:p>
    <w:p w14:paraId="7F9ED6FE" w14:textId="77777777" w:rsidR="00A72B7B" w:rsidRPr="00A72B7B" w:rsidRDefault="00A72B7B" w:rsidP="00A72B7B">
      <w:pPr>
        <w:spacing w:line="240" w:lineRule="auto"/>
        <w:rPr>
          <w:rFonts w:eastAsia="Times New Roman" w:cs="Arial"/>
          <w:color w:val="000000"/>
          <w:lang w:eastAsia="bg-BG"/>
        </w:rPr>
      </w:pPr>
    </w:p>
    <w:p w14:paraId="4489747E" w14:textId="6846CFCD"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Този лекарствен продукт съдържа лактоза. Пациенти с рядко срещана вродена галактозна непоносимост, </w:t>
      </w:r>
      <w:r w:rsidRPr="00A72B7B">
        <w:rPr>
          <w:rFonts w:eastAsia="Times New Roman" w:cs="Arial"/>
          <w:color w:val="000000"/>
          <w:lang w:val="en-US"/>
        </w:rPr>
        <w:t>Lapp</w:t>
      </w:r>
      <w:r w:rsidRPr="00A72B7B">
        <w:rPr>
          <w:rFonts w:eastAsia="Times New Roman" w:cs="Arial"/>
          <w:color w:val="000000"/>
          <w:lang w:eastAsia="bg-BG"/>
        </w:rPr>
        <w:t>-лактозен дефицит или глюкозо-галактозна малабсорбция не трябва да приемат този лекарствен продукт.</w:t>
      </w:r>
    </w:p>
    <w:p w14:paraId="6E8EFB7E" w14:textId="77777777" w:rsidR="00A72B7B" w:rsidRPr="00A72B7B" w:rsidRDefault="00A72B7B" w:rsidP="00A72B7B"/>
    <w:p w14:paraId="1244F76A" w14:textId="79AC739F" w:rsidR="00395555" w:rsidRDefault="002C50EE" w:rsidP="008A6AF2">
      <w:pPr>
        <w:pStyle w:val="Heading2"/>
      </w:pPr>
      <w:r>
        <w:t>4.5. Взаимодействие с други лекарствени продукти и други форми на взаимодействие</w:t>
      </w:r>
    </w:p>
    <w:p w14:paraId="67DCA06F" w14:textId="16039DF7" w:rsidR="00A72B7B" w:rsidRDefault="00A72B7B" w:rsidP="00A72B7B"/>
    <w:p w14:paraId="47A175D4" w14:textId="77777777"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Фармакодинамични взаимодействия</w:t>
      </w:r>
    </w:p>
    <w:p w14:paraId="23CFC5D4" w14:textId="537EC2F1" w:rsidR="00A72B7B" w:rsidRPr="00A72B7B" w:rsidRDefault="00A72B7B" w:rsidP="00A72B7B">
      <w:pPr>
        <w:rPr>
          <w:rFonts w:eastAsia="Times New Roman" w:cs="Arial"/>
          <w:color w:val="000000"/>
          <w:lang w:eastAsia="bg-BG"/>
        </w:rPr>
      </w:pPr>
      <w:r w:rsidRPr="00A72B7B">
        <w:rPr>
          <w:rFonts w:eastAsia="Times New Roman" w:cs="Arial"/>
          <w:color w:val="000000"/>
          <w:lang w:eastAsia="bg-BG"/>
        </w:rPr>
        <w:t>По принцип за бета-блокерите са характерни следните взаимодействия:</w:t>
      </w:r>
    </w:p>
    <w:p w14:paraId="41096B19" w14:textId="215E65DE" w:rsidR="00A72B7B" w:rsidRPr="00A72B7B" w:rsidRDefault="00A72B7B" w:rsidP="00A72B7B">
      <w:pPr>
        <w:rPr>
          <w:rFonts w:eastAsia="Times New Roman" w:cs="Arial"/>
          <w:color w:val="000000"/>
          <w:lang w:eastAsia="bg-BG"/>
        </w:rPr>
      </w:pPr>
    </w:p>
    <w:p w14:paraId="1E83DB49" w14:textId="77777777"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Комбинации, които не се препоръчват</w:t>
      </w:r>
    </w:p>
    <w:p w14:paraId="43803698" w14:textId="77777777"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1-ви клас антиаритмични лекарствени продукти (хинидин, хидрохинидин, цибензолин, флекаинид, дизопирамид, лидокаин, мексилетин, пропафенон):</w:t>
      </w:r>
      <w:r w:rsidRPr="00A72B7B">
        <w:rPr>
          <w:rFonts w:eastAsia="Times New Roman" w:cs="Arial"/>
          <w:color w:val="000000"/>
          <w:lang w:eastAsia="bg-BG"/>
        </w:rPr>
        <w:t xml:space="preserve"> възможно е да се потенцира ефектът върху атрио-вентрикуларното проводно време и да се усили отрицателният инотропен ефект.</w:t>
      </w:r>
    </w:p>
    <w:p w14:paraId="6FA3A241" w14:textId="77777777" w:rsidR="00A72B7B" w:rsidRPr="00A72B7B" w:rsidRDefault="00A72B7B" w:rsidP="00A72B7B">
      <w:pPr>
        <w:spacing w:line="240" w:lineRule="auto"/>
        <w:rPr>
          <w:rFonts w:eastAsia="Times New Roman" w:cs="Arial"/>
          <w:i/>
          <w:iCs/>
          <w:color w:val="000000"/>
          <w:lang w:eastAsia="bg-BG"/>
        </w:rPr>
      </w:pPr>
    </w:p>
    <w:p w14:paraId="28BB2C1A" w14:textId="62EE6B9F"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Калциеви антагонисти от типа на верапамил/дилтиазем:</w:t>
      </w:r>
      <w:r w:rsidRPr="00A72B7B">
        <w:rPr>
          <w:rFonts w:eastAsia="Times New Roman" w:cs="Arial"/>
          <w:color w:val="000000"/>
          <w:lang w:eastAsia="bg-BG"/>
        </w:rPr>
        <w:t xml:space="preserve"> негативен ефект върху контрактилитета и атрио-вентрикуларната проводимост. Интравенозното прилагане на </w:t>
      </w:r>
      <w:r w:rsidRPr="00A72B7B">
        <w:rPr>
          <w:rFonts w:eastAsia="Times New Roman" w:cs="Arial"/>
          <w:color w:val="000000"/>
          <w:lang w:eastAsia="bg-BG"/>
        </w:rPr>
        <w:lastRenderedPageBreak/>
        <w:t>верапамил при болни, третирани с бета-блокери, може да доведе до изразена хипотония и атрио-вентрикуларен блок (вж. точка 4.4).</w:t>
      </w:r>
    </w:p>
    <w:p w14:paraId="29B6BFF2" w14:textId="77777777" w:rsidR="00A72B7B" w:rsidRPr="00A72B7B" w:rsidRDefault="00A72B7B" w:rsidP="00A72B7B">
      <w:pPr>
        <w:spacing w:line="240" w:lineRule="auto"/>
        <w:rPr>
          <w:rFonts w:eastAsia="Times New Roman" w:cs="Arial"/>
          <w:i/>
          <w:iCs/>
          <w:color w:val="000000"/>
          <w:lang w:eastAsia="bg-BG"/>
        </w:rPr>
      </w:pPr>
    </w:p>
    <w:p w14:paraId="2F97B4D8" w14:textId="4455C6C1"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Антихипертензивни лекарствени продукти с централно действие (клонидин, гуанфацин, моксониди, метилдопа, рилменидин):</w:t>
      </w:r>
      <w:r w:rsidRPr="00A72B7B">
        <w:rPr>
          <w:rFonts w:eastAsia="Times New Roman" w:cs="Arial"/>
          <w:color w:val="000000"/>
          <w:lang w:eastAsia="bg-BG"/>
        </w:rPr>
        <w:t xml:space="preserve"> едновременното прилагане на антихипертензивни лекарствени продукти с централно действие може да влоши сърдечната недостатъчност посредством понижаване на централния симпатикусов тонус (понижаване на сърдечната честота и сърдечния дебит, вазодилатация).</w:t>
      </w:r>
    </w:p>
    <w:p w14:paraId="6A017C50"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Внезапното преустановяване на приема, особено преди спиране на приема на бета-блокери, може да повиши риска от развитие на </w:t>
      </w:r>
      <w:r w:rsidRPr="00A72B7B">
        <w:rPr>
          <w:rFonts w:eastAsia="Times New Roman" w:cs="Arial"/>
          <w:color w:val="000000"/>
          <w:lang w:val="en-US"/>
        </w:rPr>
        <w:t xml:space="preserve">„rebound- </w:t>
      </w:r>
      <w:r w:rsidRPr="00A72B7B">
        <w:rPr>
          <w:rFonts w:eastAsia="Times New Roman" w:cs="Arial"/>
          <w:color w:val="000000"/>
          <w:lang w:eastAsia="bg-BG"/>
        </w:rPr>
        <w:t>хипертония”.</w:t>
      </w:r>
    </w:p>
    <w:p w14:paraId="020CE910" w14:textId="77777777" w:rsidR="00A72B7B" w:rsidRPr="00A72B7B" w:rsidRDefault="00A72B7B" w:rsidP="00A72B7B">
      <w:pPr>
        <w:spacing w:line="240" w:lineRule="auto"/>
        <w:rPr>
          <w:rFonts w:eastAsia="Times New Roman" w:cs="Arial"/>
          <w:color w:val="000000"/>
          <w:u w:val="single"/>
          <w:lang w:eastAsia="bg-BG"/>
        </w:rPr>
      </w:pPr>
    </w:p>
    <w:p w14:paraId="560AEB98" w14:textId="26C8D7D6"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Комбинации, които трябва да се използват с повишено внимание</w:t>
      </w:r>
    </w:p>
    <w:p w14:paraId="7BFCFA96" w14:textId="77777777" w:rsidR="00A72B7B" w:rsidRPr="00A72B7B" w:rsidRDefault="00A72B7B" w:rsidP="00A72B7B">
      <w:pPr>
        <w:spacing w:line="240" w:lineRule="auto"/>
        <w:rPr>
          <w:rFonts w:eastAsia="Times New Roman" w:cs="Arial"/>
        </w:rPr>
      </w:pPr>
      <w:r w:rsidRPr="00A72B7B">
        <w:rPr>
          <w:rFonts w:eastAsia="Times New Roman" w:cs="Arial"/>
          <w:i/>
          <w:iCs/>
          <w:color w:val="000000"/>
          <w:lang w:val="en-US"/>
        </w:rPr>
        <w:t>III</w:t>
      </w:r>
      <w:r w:rsidRPr="00A72B7B">
        <w:rPr>
          <w:rFonts w:eastAsia="Times New Roman" w:cs="Arial"/>
          <w:i/>
          <w:iCs/>
          <w:color w:val="000000"/>
          <w:lang w:eastAsia="bg-BG"/>
        </w:rPr>
        <w:t>-ти клас антиаритмични лекарствени продукти (амиодарон):</w:t>
      </w:r>
      <w:r w:rsidRPr="00A72B7B">
        <w:rPr>
          <w:rFonts w:eastAsia="Times New Roman" w:cs="Arial"/>
          <w:color w:val="000000"/>
          <w:lang w:eastAsia="bg-BG"/>
        </w:rPr>
        <w:t xml:space="preserve"> може да се потенцира ефектът върху атрио-вентрикуларното проводно време.</w:t>
      </w:r>
    </w:p>
    <w:p w14:paraId="499CFDFE" w14:textId="77777777" w:rsidR="00A72B7B" w:rsidRPr="00A72B7B" w:rsidRDefault="00A72B7B" w:rsidP="00A72B7B">
      <w:pPr>
        <w:spacing w:line="240" w:lineRule="auto"/>
        <w:rPr>
          <w:rFonts w:eastAsia="Times New Roman" w:cs="Arial"/>
          <w:i/>
          <w:iCs/>
          <w:color w:val="000000"/>
          <w:lang w:eastAsia="bg-BG"/>
        </w:rPr>
      </w:pPr>
    </w:p>
    <w:p w14:paraId="33263A90" w14:textId="0A9D24E4"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Анестетици - летливи халогени:</w:t>
      </w:r>
      <w:r w:rsidRPr="00A72B7B">
        <w:rPr>
          <w:rFonts w:eastAsia="Times New Roman" w:cs="Arial"/>
          <w:color w:val="000000"/>
          <w:lang w:eastAsia="bg-BG"/>
        </w:rPr>
        <w:t xml:space="preserve"> едновременното прилагане на небиволол и анестетици може да отслаби рефлексната тахикардия и да повиши риска от хипотония (виж точка 4.4). Основно правило е да се избягва внезапното преустановяване на лечението с бета-блокери. Анестезиологът трябва да бъде уведомен, в случай че пациентът приема небиволол.</w:t>
      </w:r>
    </w:p>
    <w:p w14:paraId="15D795DE" w14:textId="77777777" w:rsidR="00A72B7B" w:rsidRPr="00A72B7B" w:rsidRDefault="00A72B7B" w:rsidP="00A72B7B">
      <w:pPr>
        <w:spacing w:line="240" w:lineRule="auto"/>
        <w:rPr>
          <w:rFonts w:eastAsia="Times New Roman" w:cs="Arial"/>
          <w:i/>
          <w:iCs/>
          <w:color w:val="000000"/>
          <w:lang w:eastAsia="bg-BG"/>
        </w:rPr>
      </w:pPr>
    </w:p>
    <w:p w14:paraId="5CA179B5" w14:textId="4531780E"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Инсулин и перорални антидиабетни лекарства:</w:t>
      </w:r>
      <w:r w:rsidRPr="00A72B7B">
        <w:rPr>
          <w:rFonts w:eastAsia="Times New Roman" w:cs="Arial"/>
          <w:color w:val="000000"/>
          <w:lang w:eastAsia="bg-BG"/>
        </w:rPr>
        <w:t xml:space="preserve"> въпреки че небиволол не оказва влияние върху нивата на кръвната глюкоза, едновременното прилагане може да замъгли определени симптоми на хипогликемия (тахикардия, палпитации).</w:t>
      </w:r>
    </w:p>
    <w:p w14:paraId="5BBEE3AE" w14:textId="77777777" w:rsidR="00A72B7B" w:rsidRPr="00A72B7B" w:rsidRDefault="00A72B7B" w:rsidP="00A72B7B">
      <w:pPr>
        <w:spacing w:line="240" w:lineRule="auto"/>
        <w:rPr>
          <w:rFonts w:eastAsia="Times New Roman" w:cs="Arial"/>
          <w:i/>
          <w:iCs/>
          <w:color w:val="000000"/>
          <w:lang w:eastAsia="bg-BG"/>
        </w:rPr>
      </w:pPr>
    </w:p>
    <w:p w14:paraId="39C6F4F6" w14:textId="1D72E4C4"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Баклофен (антиспастичо средство), амифостин (антинеопластично средство за помощна терапия):</w:t>
      </w:r>
      <w:r w:rsidRPr="00A72B7B">
        <w:rPr>
          <w:rFonts w:eastAsia="Times New Roman" w:cs="Arial"/>
          <w:color w:val="000000"/>
          <w:lang w:eastAsia="bg-BG"/>
        </w:rPr>
        <w:t xml:space="preserve"> има вероятност при едновременната им употреба с антихипертензивни лекарствени продукти да се засили понижаването на кръвното налягане, поради което дозата на антихипертензивното лекарство трябва съответно да се коригира.</w:t>
      </w:r>
    </w:p>
    <w:p w14:paraId="7AD02045" w14:textId="77777777" w:rsidR="00A72B7B" w:rsidRPr="00A72B7B" w:rsidRDefault="00A72B7B" w:rsidP="00A72B7B">
      <w:pPr>
        <w:spacing w:line="240" w:lineRule="auto"/>
        <w:rPr>
          <w:rFonts w:eastAsia="Times New Roman" w:cs="Arial"/>
          <w:color w:val="000000"/>
          <w:u w:val="single"/>
          <w:lang w:eastAsia="bg-BG"/>
        </w:rPr>
      </w:pPr>
    </w:p>
    <w:p w14:paraId="20B063E6" w14:textId="29A35A68"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Комбинации, които трябва да се имат предвид</w:t>
      </w:r>
    </w:p>
    <w:p w14:paraId="29F542ED" w14:textId="77777777"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Дигиталисови гликозиди:</w:t>
      </w:r>
      <w:r w:rsidRPr="00A72B7B">
        <w:rPr>
          <w:rFonts w:eastAsia="Times New Roman" w:cs="Arial"/>
          <w:color w:val="000000"/>
          <w:lang w:eastAsia="bg-BG"/>
        </w:rPr>
        <w:t xml:space="preserve"> при едновременно приложение е възможно удължаване на атрио- вентрикуларното проводно време. При проведените клинични проучвания с небиволол не са установени клинични данни за взаимодействие.</w:t>
      </w:r>
    </w:p>
    <w:p w14:paraId="411545CE"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не повлиява кинетиката на дигоксин.</w:t>
      </w:r>
    </w:p>
    <w:p w14:paraId="655FDCB8" w14:textId="77777777" w:rsidR="00A72B7B" w:rsidRPr="00A72B7B" w:rsidRDefault="00A72B7B" w:rsidP="00A72B7B">
      <w:pPr>
        <w:spacing w:line="240" w:lineRule="auto"/>
        <w:rPr>
          <w:rFonts w:eastAsia="Times New Roman" w:cs="Arial"/>
          <w:i/>
          <w:iCs/>
          <w:color w:val="000000"/>
          <w:lang w:eastAsia="bg-BG"/>
        </w:rPr>
      </w:pPr>
    </w:p>
    <w:p w14:paraId="6823C327" w14:textId="674F398E"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Калциеви антагонисти от дихидропиридинов тип (амлодипин, фелодипин, лацидипин, нифедипин, никардипин, нимодипин, нитрендипин):</w:t>
      </w:r>
      <w:r w:rsidRPr="00A72B7B">
        <w:rPr>
          <w:rFonts w:eastAsia="Times New Roman" w:cs="Arial"/>
          <w:color w:val="000000"/>
          <w:lang w:eastAsia="bg-BG"/>
        </w:rPr>
        <w:t xml:space="preserve"> едновременното прилагане може да повиши риска от хипотония, а при болни със сърдечна недостатъчност не може да се изключи опасността от допълнително влошаване на камерната помпена функция.</w:t>
      </w:r>
    </w:p>
    <w:p w14:paraId="7948576F" w14:textId="77777777" w:rsidR="00A72B7B" w:rsidRPr="00A72B7B" w:rsidRDefault="00A72B7B" w:rsidP="00A72B7B">
      <w:pPr>
        <w:spacing w:line="240" w:lineRule="auto"/>
        <w:rPr>
          <w:rFonts w:eastAsia="Times New Roman" w:cs="Arial"/>
          <w:i/>
          <w:iCs/>
          <w:color w:val="000000"/>
          <w:lang w:eastAsia="bg-BG"/>
        </w:rPr>
      </w:pPr>
    </w:p>
    <w:p w14:paraId="3F02AEC5" w14:textId="3A01FCB4"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 xml:space="preserve">Антипсихотици, антидепресанти (трициклични, барбитурати и фенотиазини): </w:t>
      </w:r>
      <w:r w:rsidRPr="00A72B7B">
        <w:rPr>
          <w:rFonts w:eastAsia="Times New Roman" w:cs="Arial"/>
          <w:color w:val="000000"/>
          <w:lang w:eastAsia="bg-BG"/>
        </w:rPr>
        <w:t>едновременното прилагане може да засили хипотензивния ефект на небиволол (адитивен ефект).</w:t>
      </w:r>
    </w:p>
    <w:p w14:paraId="746DF94D" w14:textId="77777777" w:rsidR="00A72B7B" w:rsidRPr="00A72B7B" w:rsidRDefault="00A72B7B" w:rsidP="00A72B7B">
      <w:pPr>
        <w:spacing w:line="240" w:lineRule="auto"/>
        <w:rPr>
          <w:rFonts w:eastAsia="Times New Roman" w:cs="Arial"/>
          <w:i/>
          <w:iCs/>
          <w:color w:val="000000"/>
          <w:lang w:eastAsia="bg-BG"/>
        </w:rPr>
      </w:pPr>
    </w:p>
    <w:p w14:paraId="3D76A993" w14:textId="6E6C8FE8" w:rsidR="00A72B7B" w:rsidRDefault="00A72B7B" w:rsidP="00A72B7B">
      <w:pPr>
        <w:spacing w:line="240" w:lineRule="auto"/>
        <w:rPr>
          <w:rFonts w:eastAsia="Times New Roman" w:cs="Arial"/>
          <w:color w:val="000000"/>
          <w:lang w:eastAsia="bg-BG"/>
        </w:rPr>
      </w:pPr>
      <w:r w:rsidRPr="00A72B7B">
        <w:rPr>
          <w:rFonts w:eastAsia="Times New Roman" w:cs="Arial"/>
          <w:i/>
          <w:iCs/>
          <w:color w:val="000000"/>
          <w:lang w:eastAsia="bg-BG"/>
        </w:rPr>
        <w:t xml:space="preserve">Нестероидни противовъзпалителни средства (НСПВС): </w:t>
      </w:r>
      <w:r w:rsidRPr="00A72B7B">
        <w:rPr>
          <w:rFonts w:eastAsia="Times New Roman" w:cs="Arial"/>
          <w:color w:val="000000"/>
          <w:lang w:eastAsia="bg-BG"/>
        </w:rPr>
        <w:t>не оказват ефект върху понижаващия</w:t>
      </w:r>
      <w:r>
        <w:rPr>
          <w:rFonts w:eastAsia="Times New Roman" w:cs="Arial"/>
          <w:lang w:val="en-US"/>
        </w:rPr>
        <w:t xml:space="preserve"> </w:t>
      </w:r>
      <w:r w:rsidRPr="00A72B7B">
        <w:rPr>
          <w:rFonts w:eastAsia="Times New Roman" w:cs="Arial"/>
          <w:color w:val="000000"/>
          <w:lang w:eastAsia="bg-BG"/>
        </w:rPr>
        <w:t>кръвното налягане ефект на небиволол.</w:t>
      </w:r>
    </w:p>
    <w:p w14:paraId="55D9AE7E" w14:textId="1B07F151" w:rsidR="00A72B7B" w:rsidRDefault="00A72B7B" w:rsidP="00A72B7B">
      <w:pPr>
        <w:spacing w:line="240" w:lineRule="auto"/>
        <w:rPr>
          <w:rFonts w:eastAsia="Times New Roman" w:cs="Arial"/>
          <w:color w:val="000000"/>
          <w:lang w:eastAsia="bg-BG"/>
        </w:rPr>
      </w:pPr>
    </w:p>
    <w:p w14:paraId="63C1B219" w14:textId="77777777" w:rsidR="00A72B7B" w:rsidRPr="00A72B7B" w:rsidRDefault="00A72B7B" w:rsidP="00A72B7B">
      <w:pPr>
        <w:spacing w:line="240" w:lineRule="auto"/>
        <w:rPr>
          <w:rFonts w:eastAsia="Times New Roman" w:cs="Arial"/>
        </w:rPr>
      </w:pPr>
      <w:r w:rsidRPr="00A72B7B">
        <w:rPr>
          <w:rFonts w:eastAsia="Times New Roman" w:cs="Arial"/>
          <w:i/>
          <w:iCs/>
          <w:color w:val="000000"/>
          <w:lang w:eastAsia="bg-BG"/>
        </w:rPr>
        <w:t>Симпатикомиметични средства',</w:t>
      </w:r>
      <w:r w:rsidRPr="00A72B7B">
        <w:rPr>
          <w:rFonts w:eastAsia="Times New Roman" w:cs="Arial"/>
          <w:color w:val="000000"/>
          <w:lang w:eastAsia="bg-BG"/>
        </w:rPr>
        <w:t xml:space="preserve"> едновременното прилагане може да противодейства на ефекта на небиволол. Небиволол може да предизвика поява на неконтролируема </w:t>
      </w:r>
      <w:r w:rsidRPr="00A72B7B">
        <w:rPr>
          <w:rFonts w:eastAsia="Times New Roman" w:cs="Arial"/>
          <w:color w:val="000000"/>
          <w:lang w:eastAsia="bg-BG"/>
        </w:rPr>
        <w:lastRenderedPageBreak/>
        <w:t>алфа- адренергична активност на симпатикомиметиците с алфа-и с бета-адренергична активност (риск от хипертония, тежка брадикардия и сърдечен блок).</w:t>
      </w:r>
    </w:p>
    <w:p w14:paraId="2E5C006A" w14:textId="77777777" w:rsidR="00A72B7B" w:rsidRPr="00A72B7B" w:rsidRDefault="00A72B7B" w:rsidP="00A72B7B">
      <w:pPr>
        <w:spacing w:line="240" w:lineRule="auto"/>
        <w:rPr>
          <w:rFonts w:eastAsia="Times New Roman" w:cs="Arial"/>
          <w:color w:val="000000"/>
          <w:u w:val="single"/>
          <w:lang w:eastAsia="bg-BG"/>
        </w:rPr>
      </w:pPr>
    </w:p>
    <w:p w14:paraId="18DA66BD" w14:textId="716AEEE7"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Фармакокинетични взаимодействия</w:t>
      </w:r>
    </w:p>
    <w:p w14:paraId="3FEFE682" w14:textId="77777777" w:rsidR="00A72B7B" w:rsidRPr="00A72B7B" w:rsidRDefault="00A72B7B" w:rsidP="00A72B7B">
      <w:pPr>
        <w:spacing w:line="240" w:lineRule="auto"/>
        <w:rPr>
          <w:rFonts w:eastAsia="Times New Roman" w:cs="Arial"/>
          <w:color w:val="000000"/>
          <w:lang w:eastAsia="bg-BG"/>
        </w:rPr>
      </w:pPr>
    </w:p>
    <w:p w14:paraId="0DA42B98" w14:textId="0F4407E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Тъй като в метаболизирането на небиволол участва изоензимът </w:t>
      </w:r>
      <w:r w:rsidRPr="00A72B7B">
        <w:rPr>
          <w:rFonts w:eastAsia="Times New Roman" w:cs="Arial"/>
          <w:color w:val="000000"/>
          <w:lang w:val="en-US"/>
        </w:rPr>
        <w:t xml:space="preserve">CYP2D6, </w:t>
      </w:r>
      <w:r w:rsidRPr="00A72B7B">
        <w:rPr>
          <w:rFonts w:eastAsia="Times New Roman" w:cs="Arial"/>
          <w:color w:val="000000"/>
          <w:lang w:eastAsia="bg-BG"/>
        </w:rPr>
        <w:t>едновременното прилагане с вещества, които потискат този ензим, особено пароксетин, флуоксетин, тиоридазин и хинидин, може да доведе до повишаване на плазмените нива на небиволол, което е свързано с повишен риск от тежка брадикардия и нежелани реакции.</w:t>
      </w:r>
    </w:p>
    <w:p w14:paraId="6E290BE8"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едновременно прилагане с циметидин плазмените концентрации на небиволол се повишават, без да се променя клиничният ефект. Едновременният прием с ранитидин не оказва влияние върху фармакокинетиката на небиволол. Двете лекарства може да се предписват едновременно, при условие че небиволол се приема с храната, а антиацидният лекарствен продукт между храненията.</w:t>
      </w:r>
    </w:p>
    <w:p w14:paraId="37BAAB22" w14:textId="77777777" w:rsidR="00A72B7B" w:rsidRPr="00A72B7B" w:rsidRDefault="00A72B7B" w:rsidP="00A72B7B">
      <w:pPr>
        <w:spacing w:line="240" w:lineRule="auto"/>
        <w:rPr>
          <w:rFonts w:ascii="Times New Roman" w:eastAsia="Times New Roman" w:hAnsi="Times New Roman" w:cs="Times New Roman"/>
          <w:sz w:val="24"/>
          <w:szCs w:val="24"/>
        </w:rPr>
      </w:pPr>
      <w:r w:rsidRPr="00A72B7B">
        <w:rPr>
          <w:rFonts w:eastAsia="Times New Roman" w:cs="Arial"/>
          <w:color w:val="000000"/>
          <w:lang w:eastAsia="bg-BG"/>
        </w:rPr>
        <w:t>При комбиниране на небиволол с никардипин, леко се повишават серумните нива и на двете лекарства, без промяна на клиничния ефект. Едновременният прием с алкохол, фуроземид или хидрохлортиазид не оказва влияние върху фармакокинетиката на небиволол. Небиволол не повлиява фармакокинетиката и фармакодинамиката на варфарин.</w:t>
      </w:r>
    </w:p>
    <w:p w14:paraId="1AC1663A" w14:textId="77777777" w:rsidR="00A72B7B" w:rsidRPr="00A72B7B" w:rsidRDefault="00A72B7B" w:rsidP="00A72B7B">
      <w:pPr>
        <w:spacing w:line="240" w:lineRule="auto"/>
        <w:rPr>
          <w:rFonts w:eastAsia="Times New Roman" w:cs="Arial"/>
        </w:rPr>
      </w:pPr>
    </w:p>
    <w:p w14:paraId="6EADE4D6" w14:textId="12649D50" w:rsidR="00395555" w:rsidRDefault="002C50EE" w:rsidP="008A6AF2">
      <w:pPr>
        <w:pStyle w:val="Heading2"/>
      </w:pPr>
      <w:r>
        <w:t>4.6. Фертилитет, бременност и кърмене</w:t>
      </w:r>
    </w:p>
    <w:p w14:paraId="38F3C6A7" w14:textId="7B18BE2B" w:rsidR="00A72B7B" w:rsidRDefault="00A72B7B" w:rsidP="00A72B7B"/>
    <w:p w14:paraId="2D61D290" w14:textId="77777777" w:rsidR="00A72B7B" w:rsidRPr="00A72B7B" w:rsidRDefault="00A72B7B" w:rsidP="00A72B7B">
      <w:pPr>
        <w:pStyle w:val="Heading3"/>
        <w:rPr>
          <w:rFonts w:eastAsia="Times New Roman"/>
          <w:u w:val="single"/>
        </w:rPr>
      </w:pPr>
      <w:r w:rsidRPr="00A72B7B">
        <w:rPr>
          <w:rFonts w:eastAsia="Times New Roman"/>
          <w:u w:val="single"/>
          <w:lang w:eastAsia="bg-BG"/>
        </w:rPr>
        <w:t>Бременност</w:t>
      </w:r>
    </w:p>
    <w:p w14:paraId="1CD7B289"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притежава фармакологични ефекти, които може да окажат вредно влияние върху бременността и/или плода/новороденото. По принцип, бета-адренорецепторните блокери намаляват перфузията на плацентата, което е свързвано със забавяне на растежа на плода, вътрематочна смърт, аборт или преждевременно раждане. При плода и новороденото е възможно да възникнат нежелани реакции (напр. хипогликемия и брадикардия). При необходимост от провеждане на лечение с бета-адренорецепторни блокери, за предпочитане е използването на бета</w:t>
      </w:r>
      <w:r w:rsidRPr="00A72B7B">
        <w:rPr>
          <w:rFonts w:eastAsia="Times New Roman" w:cs="Arial"/>
          <w:color w:val="000000"/>
          <w:vertAlign w:val="subscript"/>
          <w:lang w:eastAsia="bg-BG"/>
        </w:rPr>
        <w:t>1</w:t>
      </w:r>
      <w:r w:rsidRPr="00A72B7B">
        <w:rPr>
          <w:rFonts w:eastAsia="Times New Roman" w:cs="Arial"/>
          <w:color w:val="000000"/>
          <w:lang w:eastAsia="bg-BG"/>
        </w:rPr>
        <w:t>-селективни адренорецепторни блокери.</w:t>
      </w:r>
    </w:p>
    <w:p w14:paraId="19E8EB8B"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Небиволол не трябва да се използва по време на бременност, освен при категорична необходимост. В случай че е преценено, че се налага терапия с небиволол, трябва да се проследяват утеро-плацентарният кръвоток и растежът на плода. При вредно въздействие върху бременността или плода, трябва да се обсъди провеждане на алтернативно лечение. Новороденото трябва да бъде внимателно проследявано. По принцип, трябва да се очаква евентуалната поява на симптоми на хипогликемия и брадикардия през първите 3 дни.</w:t>
      </w:r>
    </w:p>
    <w:p w14:paraId="0D555FF0" w14:textId="77777777" w:rsidR="00A72B7B" w:rsidRPr="00A72B7B" w:rsidRDefault="00A72B7B" w:rsidP="00A72B7B">
      <w:pPr>
        <w:spacing w:line="240" w:lineRule="auto"/>
        <w:rPr>
          <w:rFonts w:eastAsia="Times New Roman" w:cs="Arial"/>
          <w:color w:val="000000"/>
          <w:u w:val="single"/>
          <w:lang w:eastAsia="bg-BG"/>
        </w:rPr>
      </w:pPr>
    </w:p>
    <w:p w14:paraId="17A0E8B3" w14:textId="306E2A31" w:rsidR="00A72B7B" w:rsidRPr="00A72B7B" w:rsidRDefault="00A72B7B" w:rsidP="00A72B7B">
      <w:pPr>
        <w:pStyle w:val="Heading3"/>
        <w:rPr>
          <w:rFonts w:eastAsia="Times New Roman"/>
          <w:u w:val="single"/>
        </w:rPr>
      </w:pPr>
      <w:r w:rsidRPr="00A72B7B">
        <w:rPr>
          <w:rFonts w:eastAsia="Times New Roman"/>
          <w:u w:val="single"/>
          <w:lang w:eastAsia="bg-BG"/>
        </w:rPr>
        <w:t>Кърмене</w:t>
      </w:r>
    </w:p>
    <w:p w14:paraId="130BCD28"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проведените проучвания при опитни животни е установено, че небиволол се излъчва в майчиното мляко. Не е известно дали този лекарствен продукт се излъчва в кърмата при хора. Повечето бета-блокери, особено липофилните съединения като небиволол и неговите активни метаболити, преминават в майчиното мляко, макар и в различна степен. По тази причина, по време на лечение с небиволол, не се препоръчва кърменето.</w:t>
      </w:r>
    </w:p>
    <w:p w14:paraId="7F447F17" w14:textId="77777777" w:rsidR="00A72B7B" w:rsidRPr="00A72B7B" w:rsidRDefault="00A72B7B" w:rsidP="00A72B7B"/>
    <w:p w14:paraId="5766770B" w14:textId="49879F15" w:rsidR="00395555" w:rsidRDefault="002C50EE" w:rsidP="008A6AF2">
      <w:pPr>
        <w:pStyle w:val="Heading2"/>
      </w:pPr>
      <w:r>
        <w:t>4.7. Ефекти върху способността за шофиране и работа с машини</w:t>
      </w:r>
    </w:p>
    <w:p w14:paraId="72EEC9BC" w14:textId="4DBE1AB8" w:rsidR="00A72B7B" w:rsidRDefault="00A72B7B" w:rsidP="00A72B7B"/>
    <w:p w14:paraId="1E49C3F2" w14:textId="77777777" w:rsidR="00A72B7B" w:rsidRPr="00A72B7B" w:rsidRDefault="00A72B7B" w:rsidP="00A72B7B">
      <w:pPr>
        <w:rPr>
          <w:sz w:val="24"/>
          <w:szCs w:val="24"/>
        </w:rPr>
      </w:pPr>
      <w:r w:rsidRPr="00A72B7B">
        <w:rPr>
          <w:lang w:eastAsia="bg-BG"/>
        </w:rPr>
        <w:lastRenderedPageBreak/>
        <w:t>Няма проучвания за ефектите върху способността за шофиране и работа с машини.</w:t>
      </w:r>
    </w:p>
    <w:p w14:paraId="0EEEE386" w14:textId="77777777" w:rsidR="00A72B7B" w:rsidRPr="00A72B7B" w:rsidRDefault="00A72B7B" w:rsidP="00A72B7B">
      <w:pPr>
        <w:rPr>
          <w:sz w:val="24"/>
          <w:szCs w:val="24"/>
        </w:rPr>
      </w:pPr>
      <w:r w:rsidRPr="00A72B7B">
        <w:rPr>
          <w:lang w:eastAsia="bg-BG"/>
        </w:rPr>
        <w:t>Резултатите от фармакодинамичните проучвания показват, че небиволол не засяга психомоторната функция. При шофиране или работа с машини трябва да се има предвид, че е възможно понякога да възникнат замаяност или умора.</w:t>
      </w:r>
    </w:p>
    <w:p w14:paraId="1113F491" w14:textId="77777777" w:rsidR="00A72B7B" w:rsidRPr="00A72B7B" w:rsidRDefault="00A72B7B" w:rsidP="00A72B7B"/>
    <w:p w14:paraId="4FE16E21" w14:textId="7D9B3F87" w:rsidR="00395555" w:rsidRDefault="002C50EE" w:rsidP="008A6AF2">
      <w:pPr>
        <w:pStyle w:val="Heading2"/>
      </w:pPr>
      <w:r>
        <w:t>4.8. Нежелани лекарствени реакции</w:t>
      </w:r>
    </w:p>
    <w:p w14:paraId="47E1128E" w14:textId="2091BCD0" w:rsidR="00A72B7B" w:rsidRDefault="00A72B7B" w:rsidP="00A72B7B"/>
    <w:p w14:paraId="17D10A84"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Нежеланите лекарствени реакции са изброени отделно за хипертония и ХСН поради, б</w:t>
      </w:r>
      <w:r w:rsidRPr="00A72B7B">
        <w:rPr>
          <w:rFonts w:eastAsia="Times New Roman" w:cs="Arial"/>
          <w:color w:val="000000"/>
          <w:lang w:val="en-US"/>
        </w:rPr>
        <w:t>a</w:t>
      </w:r>
      <w:r w:rsidRPr="00A72B7B">
        <w:rPr>
          <w:rFonts w:eastAsia="Times New Roman" w:cs="Arial"/>
          <w:color w:val="000000"/>
          <w:lang w:eastAsia="bg-BG"/>
        </w:rPr>
        <w:t>зови различия при тези заболявалия.</w:t>
      </w:r>
    </w:p>
    <w:p w14:paraId="12052845" w14:textId="498D1543" w:rsidR="00A72B7B" w:rsidRPr="00A72B7B" w:rsidRDefault="00A72B7B" w:rsidP="00A72B7B">
      <w:pPr>
        <w:rPr>
          <w:rFonts w:cs="Arial"/>
        </w:rPr>
      </w:pPr>
    </w:p>
    <w:p w14:paraId="36C9993D" w14:textId="77777777"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Хипертония</w:t>
      </w:r>
    </w:p>
    <w:p w14:paraId="6F087ADF"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Нежеланите лекарствени реакции са изброени по-долу, като са класифицирани по системи и органи и са подредени по честота на проява.</w:t>
      </w:r>
    </w:p>
    <w:p w14:paraId="447584BB" w14:textId="3733394F" w:rsidR="00A72B7B" w:rsidRDefault="00A72B7B" w:rsidP="00A72B7B"/>
    <w:tbl>
      <w:tblPr>
        <w:tblStyle w:val="TableGrid"/>
        <w:tblW w:w="0" w:type="auto"/>
        <w:tblLook w:val="04A0" w:firstRow="1" w:lastRow="0" w:firstColumn="1" w:lastColumn="0" w:noHBand="0" w:noVBand="1"/>
      </w:tblPr>
      <w:tblGrid>
        <w:gridCol w:w="2009"/>
        <w:gridCol w:w="1624"/>
        <w:gridCol w:w="1912"/>
        <w:gridCol w:w="1395"/>
        <w:gridCol w:w="2410"/>
      </w:tblGrid>
      <w:tr w:rsidR="00A72B7B" w14:paraId="2552A0D9" w14:textId="77777777" w:rsidTr="00A72B7B">
        <w:tc>
          <w:tcPr>
            <w:tcW w:w="1883" w:type="dxa"/>
          </w:tcPr>
          <w:p w14:paraId="1BE6BA0A" w14:textId="0607D305" w:rsidR="00A72B7B" w:rsidRPr="00A72B7B" w:rsidRDefault="00A72B7B" w:rsidP="00A72B7B">
            <w:r w:rsidRPr="00A72B7B">
              <w:rPr>
                <w:b/>
                <w:bCs/>
                <w:szCs w:val="46"/>
              </w:rPr>
              <w:t>Системно- органна класификация</w:t>
            </w:r>
          </w:p>
        </w:tc>
        <w:tc>
          <w:tcPr>
            <w:tcW w:w="1798" w:type="dxa"/>
          </w:tcPr>
          <w:p w14:paraId="75370E00" w14:textId="77777777" w:rsidR="00A72B7B" w:rsidRPr="00A72B7B" w:rsidRDefault="00A72B7B" w:rsidP="00A72B7B">
            <w:r w:rsidRPr="00A72B7B">
              <w:rPr>
                <w:b/>
                <w:bCs/>
                <w:szCs w:val="46"/>
              </w:rPr>
              <w:t>Чести (</w:t>
            </w:r>
            <w:r w:rsidRPr="00A72B7B">
              <w:rPr>
                <w:b/>
                <w:bCs/>
                <w:szCs w:val="46"/>
                <w:lang w:val="en-US"/>
              </w:rPr>
              <w:t>≥</w:t>
            </w:r>
            <w:r w:rsidRPr="00A72B7B">
              <w:rPr>
                <w:b/>
                <w:bCs/>
                <w:szCs w:val="46"/>
              </w:rPr>
              <w:t xml:space="preserve"> 1/100 до</w:t>
            </w:r>
          </w:p>
          <w:p w14:paraId="7D7BDDFB" w14:textId="5C211620" w:rsidR="00A72B7B" w:rsidRPr="00A72B7B" w:rsidRDefault="00A72B7B" w:rsidP="00A72B7B">
            <w:r w:rsidRPr="00A72B7B">
              <w:rPr>
                <w:b/>
                <w:bCs/>
                <w:szCs w:val="46"/>
              </w:rPr>
              <w:t>&lt;1/10)</w:t>
            </w:r>
          </w:p>
        </w:tc>
        <w:tc>
          <w:tcPr>
            <w:tcW w:w="1914" w:type="dxa"/>
          </w:tcPr>
          <w:p w14:paraId="13FFE9E9" w14:textId="7C5ABAD7" w:rsidR="00A72B7B" w:rsidRPr="00A72B7B" w:rsidRDefault="00A72B7B" w:rsidP="00A72B7B">
            <w:r w:rsidRPr="00A72B7B">
              <w:rPr>
                <w:b/>
                <w:bCs/>
                <w:szCs w:val="46"/>
              </w:rPr>
              <w:t>Нечести (</w:t>
            </w:r>
            <w:r w:rsidRPr="00A72B7B">
              <w:rPr>
                <w:b/>
                <w:bCs/>
                <w:szCs w:val="46"/>
                <w:lang w:val="en-US"/>
              </w:rPr>
              <w:t>≥</w:t>
            </w:r>
            <w:r w:rsidRPr="00A72B7B">
              <w:rPr>
                <w:b/>
                <w:bCs/>
                <w:szCs w:val="46"/>
              </w:rPr>
              <w:t xml:space="preserve"> 1/1 000 до &lt;1/100)</w:t>
            </w:r>
          </w:p>
        </w:tc>
        <w:tc>
          <w:tcPr>
            <w:tcW w:w="1570" w:type="dxa"/>
          </w:tcPr>
          <w:p w14:paraId="5BBD4FB5" w14:textId="3FBEB58E" w:rsidR="00A72B7B" w:rsidRPr="00A72B7B" w:rsidRDefault="00A72B7B" w:rsidP="00A72B7B">
            <w:r w:rsidRPr="00A72B7B">
              <w:rPr>
                <w:b/>
                <w:bCs/>
                <w:szCs w:val="46"/>
              </w:rPr>
              <w:t>Много редки (&lt; 1/10 000)</w:t>
            </w:r>
          </w:p>
        </w:tc>
        <w:tc>
          <w:tcPr>
            <w:tcW w:w="2411" w:type="dxa"/>
            <w:vAlign w:val="bottom"/>
          </w:tcPr>
          <w:p w14:paraId="08A7B836" w14:textId="1247CE59" w:rsidR="00A72B7B" w:rsidRPr="00A72B7B" w:rsidRDefault="00A72B7B" w:rsidP="00A72B7B">
            <w:r w:rsidRPr="00A72B7B">
              <w:rPr>
                <w:b/>
                <w:bCs/>
                <w:i/>
                <w:iCs/>
                <w:szCs w:val="46"/>
              </w:rPr>
              <w:t>С</w:t>
            </w:r>
            <w:r w:rsidRPr="00A72B7B">
              <w:rPr>
                <w:b/>
                <w:bCs/>
                <w:szCs w:val="46"/>
              </w:rPr>
              <w:t xml:space="preserve"> неизвестна честота </w:t>
            </w:r>
            <w:r w:rsidRPr="00A72B7B">
              <w:rPr>
                <w:szCs w:val="46"/>
              </w:rPr>
              <w:t>(от наличните данни не може да бъде направена оценка)</w:t>
            </w:r>
          </w:p>
        </w:tc>
      </w:tr>
      <w:tr w:rsidR="00A72B7B" w14:paraId="67BE4128" w14:textId="77777777" w:rsidTr="00A72B7B">
        <w:tc>
          <w:tcPr>
            <w:tcW w:w="1883" w:type="dxa"/>
            <w:vAlign w:val="bottom"/>
          </w:tcPr>
          <w:p w14:paraId="6DF16545" w14:textId="67C3E3ED" w:rsidR="00A72B7B" w:rsidRPr="00A72B7B" w:rsidRDefault="00A72B7B" w:rsidP="00A72B7B">
            <w:r w:rsidRPr="00A72B7B">
              <w:rPr>
                <w:i/>
                <w:iCs/>
                <w:szCs w:val="46"/>
              </w:rPr>
              <w:t>Нарушения на имунната система</w:t>
            </w:r>
          </w:p>
        </w:tc>
        <w:tc>
          <w:tcPr>
            <w:tcW w:w="1798" w:type="dxa"/>
          </w:tcPr>
          <w:p w14:paraId="60C6E9FF" w14:textId="77777777" w:rsidR="00A72B7B" w:rsidRPr="00A72B7B" w:rsidRDefault="00A72B7B" w:rsidP="00A72B7B"/>
        </w:tc>
        <w:tc>
          <w:tcPr>
            <w:tcW w:w="1914" w:type="dxa"/>
          </w:tcPr>
          <w:p w14:paraId="4A0BC50F" w14:textId="77777777" w:rsidR="00A72B7B" w:rsidRPr="00A72B7B" w:rsidRDefault="00A72B7B" w:rsidP="00A72B7B"/>
        </w:tc>
        <w:tc>
          <w:tcPr>
            <w:tcW w:w="1570" w:type="dxa"/>
          </w:tcPr>
          <w:p w14:paraId="4093C018" w14:textId="77777777" w:rsidR="00A72B7B" w:rsidRPr="00A72B7B" w:rsidRDefault="00A72B7B" w:rsidP="00A72B7B"/>
        </w:tc>
        <w:tc>
          <w:tcPr>
            <w:tcW w:w="2411" w:type="dxa"/>
            <w:vAlign w:val="bottom"/>
          </w:tcPr>
          <w:p w14:paraId="7F3D24EB" w14:textId="610BF2C2" w:rsidR="00A72B7B" w:rsidRPr="00A72B7B" w:rsidRDefault="00A72B7B" w:rsidP="00A72B7B">
            <w:r w:rsidRPr="00A72B7B">
              <w:rPr>
                <w:szCs w:val="46"/>
              </w:rPr>
              <w:t>Ангионевротичен оток, свръхчувствителност</w:t>
            </w:r>
          </w:p>
        </w:tc>
      </w:tr>
      <w:tr w:rsidR="00A72B7B" w14:paraId="7DEA8421" w14:textId="77777777" w:rsidTr="00A72B7B">
        <w:tc>
          <w:tcPr>
            <w:tcW w:w="1883" w:type="dxa"/>
          </w:tcPr>
          <w:p w14:paraId="08D68A0E" w14:textId="226CD964" w:rsidR="00A72B7B" w:rsidRPr="00A72B7B" w:rsidRDefault="00A72B7B" w:rsidP="00A72B7B">
            <w:r w:rsidRPr="00A72B7B">
              <w:rPr>
                <w:i/>
                <w:iCs/>
                <w:szCs w:val="46"/>
              </w:rPr>
              <w:t>Сърдечни нарушения</w:t>
            </w:r>
          </w:p>
        </w:tc>
        <w:tc>
          <w:tcPr>
            <w:tcW w:w="1798" w:type="dxa"/>
          </w:tcPr>
          <w:p w14:paraId="297AEB7E" w14:textId="77777777" w:rsidR="00A72B7B" w:rsidRPr="00A72B7B" w:rsidRDefault="00A72B7B" w:rsidP="00A72B7B"/>
        </w:tc>
        <w:tc>
          <w:tcPr>
            <w:tcW w:w="1914" w:type="dxa"/>
          </w:tcPr>
          <w:p w14:paraId="6BA90149" w14:textId="44DC8DCC" w:rsidR="00A72B7B" w:rsidRPr="00A72B7B" w:rsidRDefault="00A72B7B" w:rsidP="00A72B7B">
            <w:r w:rsidRPr="00A72B7B">
              <w:rPr>
                <w:szCs w:val="46"/>
              </w:rPr>
              <w:t xml:space="preserve">Брадикардия, сърдечна недостатъчност, забавена </w:t>
            </w:r>
            <w:r w:rsidRPr="00A72B7B">
              <w:rPr>
                <w:szCs w:val="46"/>
                <w:lang w:val="en-US"/>
              </w:rPr>
              <w:t xml:space="preserve">AV- </w:t>
            </w:r>
            <w:r w:rsidRPr="00A72B7B">
              <w:rPr>
                <w:szCs w:val="46"/>
              </w:rPr>
              <w:t>проводимост/АV - блок</w:t>
            </w:r>
          </w:p>
        </w:tc>
        <w:tc>
          <w:tcPr>
            <w:tcW w:w="1570" w:type="dxa"/>
          </w:tcPr>
          <w:p w14:paraId="4DA3366B" w14:textId="77777777" w:rsidR="00A72B7B" w:rsidRPr="00A72B7B" w:rsidRDefault="00A72B7B" w:rsidP="00A72B7B"/>
        </w:tc>
        <w:tc>
          <w:tcPr>
            <w:tcW w:w="2411" w:type="dxa"/>
          </w:tcPr>
          <w:p w14:paraId="096B8C1A" w14:textId="77777777" w:rsidR="00A72B7B" w:rsidRPr="00A72B7B" w:rsidRDefault="00A72B7B" w:rsidP="00A72B7B"/>
        </w:tc>
      </w:tr>
      <w:tr w:rsidR="00A72B7B" w14:paraId="65698104" w14:textId="77777777" w:rsidTr="00A72B7B">
        <w:tc>
          <w:tcPr>
            <w:tcW w:w="1883" w:type="dxa"/>
            <w:vAlign w:val="bottom"/>
          </w:tcPr>
          <w:p w14:paraId="28DBD928" w14:textId="5C3894FD" w:rsidR="00A72B7B" w:rsidRPr="00A72B7B" w:rsidRDefault="00A72B7B" w:rsidP="00A72B7B">
            <w:r w:rsidRPr="00A72B7B">
              <w:rPr>
                <w:i/>
                <w:iCs/>
                <w:szCs w:val="46"/>
              </w:rPr>
              <w:t>Нарушения на нервната система</w:t>
            </w:r>
          </w:p>
        </w:tc>
        <w:tc>
          <w:tcPr>
            <w:tcW w:w="1798" w:type="dxa"/>
            <w:vAlign w:val="bottom"/>
          </w:tcPr>
          <w:p w14:paraId="15268E0E" w14:textId="01B88B80" w:rsidR="00A72B7B" w:rsidRPr="00A72B7B" w:rsidRDefault="00A72B7B" w:rsidP="00A72B7B">
            <w:r w:rsidRPr="00A72B7B">
              <w:rPr>
                <w:szCs w:val="46"/>
              </w:rPr>
              <w:t>Главоболие, световъртеж, парестезии</w:t>
            </w:r>
          </w:p>
        </w:tc>
        <w:tc>
          <w:tcPr>
            <w:tcW w:w="1914" w:type="dxa"/>
          </w:tcPr>
          <w:p w14:paraId="03245D3F" w14:textId="77777777" w:rsidR="00A72B7B" w:rsidRPr="00A72B7B" w:rsidRDefault="00A72B7B" w:rsidP="00A72B7B"/>
        </w:tc>
        <w:tc>
          <w:tcPr>
            <w:tcW w:w="1570" w:type="dxa"/>
          </w:tcPr>
          <w:p w14:paraId="2519E92B" w14:textId="1FCC5BF5" w:rsidR="00A72B7B" w:rsidRPr="00A72B7B" w:rsidRDefault="00A72B7B" w:rsidP="00A72B7B">
            <w:r w:rsidRPr="00A72B7B">
              <w:rPr>
                <w:szCs w:val="46"/>
              </w:rPr>
              <w:t>Синкоп</w:t>
            </w:r>
          </w:p>
        </w:tc>
        <w:tc>
          <w:tcPr>
            <w:tcW w:w="2411" w:type="dxa"/>
          </w:tcPr>
          <w:p w14:paraId="6E12E1B3" w14:textId="77777777" w:rsidR="00A72B7B" w:rsidRPr="00A72B7B" w:rsidRDefault="00A72B7B" w:rsidP="00A72B7B"/>
        </w:tc>
      </w:tr>
      <w:tr w:rsidR="00A72B7B" w14:paraId="3184AEA7" w14:textId="77777777" w:rsidTr="00A72B7B">
        <w:tc>
          <w:tcPr>
            <w:tcW w:w="1883" w:type="dxa"/>
            <w:vAlign w:val="bottom"/>
          </w:tcPr>
          <w:p w14:paraId="1B87735C" w14:textId="7DF09128" w:rsidR="00A72B7B" w:rsidRPr="00A72B7B" w:rsidRDefault="00A72B7B" w:rsidP="00A72B7B">
            <w:r w:rsidRPr="00A72B7B">
              <w:rPr>
                <w:i/>
                <w:iCs/>
                <w:szCs w:val="46"/>
              </w:rPr>
              <w:t>Нарушения на очите</w:t>
            </w:r>
          </w:p>
        </w:tc>
        <w:tc>
          <w:tcPr>
            <w:tcW w:w="1798" w:type="dxa"/>
          </w:tcPr>
          <w:p w14:paraId="36616265" w14:textId="77777777" w:rsidR="00A72B7B" w:rsidRPr="00A72B7B" w:rsidRDefault="00A72B7B" w:rsidP="00A72B7B"/>
        </w:tc>
        <w:tc>
          <w:tcPr>
            <w:tcW w:w="1914" w:type="dxa"/>
          </w:tcPr>
          <w:p w14:paraId="51088B97" w14:textId="10FDA37F" w:rsidR="00A72B7B" w:rsidRPr="00A72B7B" w:rsidRDefault="00A72B7B" w:rsidP="00A72B7B">
            <w:r w:rsidRPr="00A72B7B">
              <w:rPr>
                <w:szCs w:val="46"/>
              </w:rPr>
              <w:t>Нарушено зрение</w:t>
            </w:r>
          </w:p>
        </w:tc>
        <w:tc>
          <w:tcPr>
            <w:tcW w:w="1570" w:type="dxa"/>
          </w:tcPr>
          <w:p w14:paraId="4FE003F6" w14:textId="77777777" w:rsidR="00A72B7B" w:rsidRPr="00A72B7B" w:rsidRDefault="00A72B7B" w:rsidP="00A72B7B"/>
        </w:tc>
        <w:tc>
          <w:tcPr>
            <w:tcW w:w="2411" w:type="dxa"/>
          </w:tcPr>
          <w:p w14:paraId="6004C19E" w14:textId="77777777" w:rsidR="00A72B7B" w:rsidRPr="00A72B7B" w:rsidRDefault="00A72B7B" w:rsidP="00A72B7B"/>
        </w:tc>
      </w:tr>
      <w:tr w:rsidR="00A72B7B" w14:paraId="0B33B76B" w14:textId="77777777" w:rsidTr="00A72B7B">
        <w:tc>
          <w:tcPr>
            <w:tcW w:w="1883" w:type="dxa"/>
          </w:tcPr>
          <w:p w14:paraId="4A2D17DB" w14:textId="7F9D1571" w:rsidR="00A72B7B" w:rsidRPr="00A72B7B" w:rsidRDefault="00A72B7B" w:rsidP="00A72B7B">
            <w:r w:rsidRPr="00A72B7B">
              <w:rPr>
                <w:i/>
                <w:iCs/>
                <w:szCs w:val="46"/>
              </w:rPr>
              <w:t>Съдови нарушения</w:t>
            </w:r>
          </w:p>
        </w:tc>
        <w:tc>
          <w:tcPr>
            <w:tcW w:w="1798" w:type="dxa"/>
          </w:tcPr>
          <w:p w14:paraId="3EF90892" w14:textId="77777777" w:rsidR="00A72B7B" w:rsidRPr="00A72B7B" w:rsidRDefault="00A72B7B" w:rsidP="00A72B7B"/>
        </w:tc>
        <w:tc>
          <w:tcPr>
            <w:tcW w:w="1914" w:type="dxa"/>
            <w:vAlign w:val="bottom"/>
          </w:tcPr>
          <w:p w14:paraId="72CAA4F9" w14:textId="484C90ED" w:rsidR="00A72B7B" w:rsidRPr="00A72B7B" w:rsidRDefault="00A72B7B" w:rsidP="00A72B7B">
            <w:r w:rsidRPr="00A72B7B">
              <w:rPr>
                <w:szCs w:val="46"/>
              </w:rPr>
              <w:t>Хипотония (влошаване на интермитентно клаудикацио)</w:t>
            </w:r>
          </w:p>
        </w:tc>
        <w:tc>
          <w:tcPr>
            <w:tcW w:w="1570" w:type="dxa"/>
          </w:tcPr>
          <w:p w14:paraId="6327DFCA" w14:textId="77777777" w:rsidR="00A72B7B" w:rsidRPr="00A72B7B" w:rsidRDefault="00A72B7B" w:rsidP="00A72B7B"/>
        </w:tc>
        <w:tc>
          <w:tcPr>
            <w:tcW w:w="2411" w:type="dxa"/>
          </w:tcPr>
          <w:p w14:paraId="0BC121A0" w14:textId="77777777" w:rsidR="00A72B7B" w:rsidRPr="00A72B7B" w:rsidRDefault="00A72B7B" w:rsidP="00A72B7B"/>
        </w:tc>
      </w:tr>
      <w:tr w:rsidR="00A72B7B" w14:paraId="4F5FEB70" w14:textId="77777777" w:rsidTr="00A72B7B">
        <w:tc>
          <w:tcPr>
            <w:tcW w:w="1883" w:type="dxa"/>
            <w:vAlign w:val="bottom"/>
          </w:tcPr>
          <w:p w14:paraId="5A103180" w14:textId="3C60BE1F" w:rsidR="00A72B7B" w:rsidRPr="00A72B7B" w:rsidRDefault="00A72B7B" w:rsidP="00A72B7B">
            <w:r w:rsidRPr="00A72B7B">
              <w:rPr>
                <w:i/>
                <w:iCs/>
                <w:szCs w:val="46"/>
              </w:rPr>
              <w:t>Респираторни, гръдни и медиастинални нарушения</w:t>
            </w:r>
          </w:p>
        </w:tc>
        <w:tc>
          <w:tcPr>
            <w:tcW w:w="1798" w:type="dxa"/>
          </w:tcPr>
          <w:p w14:paraId="3A47ED18" w14:textId="666A85EC" w:rsidR="00A72B7B" w:rsidRPr="00A72B7B" w:rsidRDefault="00A72B7B" w:rsidP="00A72B7B">
            <w:r w:rsidRPr="00A72B7B">
              <w:rPr>
                <w:szCs w:val="46"/>
              </w:rPr>
              <w:t>Диспнея</w:t>
            </w:r>
          </w:p>
        </w:tc>
        <w:tc>
          <w:tcPr>
            <w:tcW w:w="1914" w:type="dxa"/>
          </w:tcPr>
          <w:p w14:paraId="745F7347" w14:textId="1FA0A6B2" w:rsidR="00A72B7B" w:rsidRPr="00A72B7B" w:rsidRDefault="00A72B7B" w:rsidP="00A72B7B">
            <w:r w:rsidRPr="00A72B7B">
              <w:rPr>
                <w:szCs w:val="46"/>
              </w:rPr>
              <w:t>Бронхоспазъм</w:t>
            </w:r>
          </w:p>
        </w:tc>
        <w:tc>
          <w:tcPr>
            <w:tcW w:w="1570" w:type="dxa"/>
          </w:tcPr>
          <w:p w14:paraId="0CD66887" w14:textId="77777777" w:rsidR="00A72B7B" w:rsidRPr="00A72B7B" w:rsidRDefault="00A72B7B" w:rsidP="00A72B7B"/>
        </w:tc>
        <w:tc>
          <w:tcPr>
            <w:tcW w:w="2411" w:type="dxa"/>
          </w:tcPr>
          <w:p w14:paraId="1874AEBB" w14:textId="77777777" w:rsidR="00A72B7B" w:rsidRPr="00A72B7B" w:rsidRDefault="00A72B7B" w:rsidP="00A72B7B"/>
        </w:tc>
      </w:tr>
      <w:tr w:rsidR="00A72B7B" w14:paraId="70F7F150" w14:textId="77777777" w:rsidTr="00A72B7B">
        <w:tc>
          <w:tcPr>
            <w:tcW w:w="1883" w:type="dxa"/>
            <w:vAlign w:val="bottom"/>
          </w:tcPr>
          <w:p w14:paraId="2DD807AC" w14:textId="7127CD15" w:rsidR="00A72B7B" w:rsidRPr="00A72B7B" w:rsidRDefault="00A72B7B" w:rsidP="00A72B7B">
            <w:r w:rsidRPr="00A72B7B">
              <w:rPr>
                <w:i/>
                <w:iCs/>
                <w:szCs w:val="46"/>
              </w:rPr>
              <w:t>Гастро- интестинални нарушения</w:t>
            </w:r>
          </w:p>
        </w:tc>
        <w:tc>
          <w:tcPr>
            <w:tcW w:w="1798" w:type="dxa"/>
            <w:vAlign w:val="bottom"/>
          </w:tcPr>
          <w:p w14:paraId="53AB1F1C" w14:textId="1EF39757" w:rsidR="00A72B7B" w:rsidRPr="00A72B7B" w:rsidRDefault="00A72B7B" w:rsidP="00A72B7B">
            <w:r w:rsidRPr="00A72B7B">
              <w:rPr>
                <w:szCs w:val="46"/>
              </w:rPr>
              <w:t>Констипация, гадене, диария</w:t>
            </w:r>
          </w:p>
        </w:tc>
        <w:tc>
          <w:tcPr>
            <w:tcW w:w="1914" w:type="dxa"/>
            <w:vAlign w:val="bottom"/>
          </w:tcPr>
          <w:p w14:paraId="66D555E7" w14:textId="0201B010" w:rsidR="00A72B7B" w:rsidRPr="00A72B7B" w:rsidRDefault="00A72B7B" w:rsidP="00A72B7B">
            <w:r w:rsidRPr="00A72B7B">
              <w:rPr>
                <w:szCs w:val="46"/>
              </w:rPr>
              <w:t>Диспепсия, флатуленция, повръщане</w:t>
            </w:r>
          </w:p>
        </w:tc>
        <w:tc>
          <w:tcPr>
            <w:tcW w:w="1570" w:type="dxa"/>
          </w:tcPr>
          <w:p w14:paraId="214D6BDE" w14:textId="77777777" w:rsidR="00A72B7B" w:rsidRPr="00A72B7B" w:rsidRDefault="00A72B7B" w:rsidP="00A72B7B"/>
        </w:tc>
        <w:tc>
          <w:tcPr>
            <w:tcW w:w="2411" w:type="dxa"/>
          </w:tcPr>
          <w:p w14:paraId="322FDB2C" w14:textId="77777777" w:rsidR="00A72B7B" w:rsidRPr="00A72B7B" w:rsidRDefault="00A72B7B" w:rsidP="00A72B7B"/>
        </w:tc>
      </w:tr>
      <w:tr w:rsidR="00A72B7B" w14:paraId="4A7B5473" w14:textId="77777777" w:rsidTr="00A72B7B">
        <w:tc>
          <w:tcPr>
            <w:tcW w:w="1883" w:type="dxa"/>
          </w:tcPr>
          <w:p w14:paraId="72F16B18" w14:textId="15CC05EB" w:rsidR="00A72B7B" w:rsidRPr="00A72B7B" w:rsidRDefault="00A72B7B" w:rsidP="00A72B7B">
            <w:r w:rsidRPr="00A72B7B">
              <w:rPr>
                <w:i/>
                <w:iCs/>
                <w:szCs w:val="46"/>
              </w:rPr>
              <w:lastRenderedPageBreak/>
              <w:t>Нарушения на кожата и подкожната тъкан</w:t>
            </w:r>
          </w:p>
        </w:tc>
        <w:tc>
          <w:tcPr>
            <w:tcW w:w="1798" w:type="dxa"/>
          </w:tcPr>
          <w:p w14:paraId="32A65A40" w14:textId="77777777" w:rsidR="00A72B7B" w:rsidRPr="00A72B7B" w:rsidRDefault="00A72B7B" w:rsidP="00A72B7B"/>
        </w:tc>
        <w:tc>
          <w:tcPr>
            <w:tcW w:w="1914" w:type="dxa"/>
          </w:tcPr>
          <w:p w14:paraId="32E11DB2" w14:textId="4F0BD360" w:rsidR="00A72B7B" w:rsidRPr="00A72B7B" w:rsidRDefault="00A72B7B" w:rsidP="00A72B7B">
            <w:r w:rsidRPr="00A72B7B">
              <w:rPr>
                <w:szCs w:val="46"/>
              </w:rPr>
              <w:t>Пруритус, еритематозен обрив</w:t>
            </w:r>
          </w:p>
        </w:tc>
        <w:tc>
          <w:tcPr>
            <w:tcW w:w="1570" w:type="dxa"/>
          </w:tcPr>
          <w:p w14:paraId="013D0458" w14:textId="13B8F3E7" w:rsidR="00A72B7B" w:rsidRPr="00A72B7B" w:rsidRDefault="00A72B7B" w:rsidP="00A72B7B">
            <w:r w:rsidRPr="00A72B7B">
              <w:rPr>
                <w:szCs w:val="46"/>
              </w:rPr>
              <w:t>Влошаване на псориазис</w:t>
            </w:r>
          </w:p>
        </w:tc>
        <w:tc>
          <w:tcPr>
            <w:tcW w:w="2411" w:type="dxa"/>
          </w:tcPr>
          <w:p w14:paraId="1CDC4CCF" w14:textId="39719938" w:rsidR="00A72B7B" w:rsidRPr="00A72B7B" w:rsidRDefault="00A72B7B" w:rsidP="00A72B7B">
            <w:r w:rsidRPr="00A72B7B">
              <w:rPr>
                <w:szCs w:val="46"/>
              </w:rPr>
              <w:t>Уртикария</w:t>
            </w:r>
          </w:p>
        </w:tc>
      </w:tr>
      <w:tr w:rsidR="00A72B7B" w14:paraId="0287C6E9" w14:textId="77777777" w:rsidTr="00A72B7B">
        <w:tc>
          <w:tcPr>
            <w:tcW w:w="1883" w:type="dxa"/>
            <w:vAlign w:val="bottom"/>
          </w:tcPr>
          <w:p w14:paraId="7863AE68" w14:textId="560FCAF1" w:rsidR="00A72B7B" w:rsidRPr="00A72B7B" w:rsidRDefault="00A72B7B" w:rsidP="00A72B7B">
            <w:r w:rsidRPr="00A72B7B">
              <w:rPr>
                <w:i/>
                <w:iCs/>
                <w:szCs w:val="46"/>
              </w:rPr>
              <w:t>Общи нарушения и ефекти на мястото на приложение</w:t>
            </w:r>
          </w:p>
        </w:tc>
        <w:tc>
          <w:tcPr>
            <w:tcW w:w="1798" w:type="dxa"/>
          </w:tcPr>
          <w:p w14:paraId="2326C039" w14:textId="36E951F9" w:rsidR="00A72B7B" w:rsidRPr="00A72B7B" w:rsidRDefault="00A72B7B" w:rsidP="00A72B7B">
            <w:r w:rsidRPr="00A72B7B">
              <w:rPr>
                <w:szCs w:val="46"/>
              </w:rPr>
              <w:t>Отпадналост, оток</w:t>
            </w:r>
          </w:p>
        </w:tc>
        <w:tc>
          <w:tcPr>
            <w:tcW w:w="1914" w:type="dxa"/>
          </w:tcPr>
          <w:p w14:paraId="20A908AD" w14:textId="77777777" w:rsidR="00A72B7B" w:rsidRPr="00A72B7B" w:rsidRDefault="00A72B7B" w:rsidP="00A72B7B"/>
        </w:tc>
        <w:tc>
          <w:tcPr>
            <w:tcW w:w="1570" w:type="dxa"/>
          </w:tcPr>
          <w:p w14:paraId="0FBE90A5" w14:textId="77777777" w:rsidR="00A72B7B" w:rsidRPr="00A72B7B" w:rsidRDefault="00A72B7B" w:rsidP="00A72B7B"/>
        </w:tc>
        <w:tc>
          <w:tcPr>
            <w:tcW w:w="2411" w:type="dxa"/>
          </w:tcPr>
          <w:p w14:paraId="1CBFBB79" w14:textId="77777777" w:rsidR="00A72B7B" w:rsidRPr="00A72B7B" w:rsidRDefault="00A72B7B" w:rsidP="00A72B7B"/>
        </w:tc>
      </w:tr>
      <w:tr w:rsidR="00A72B7B" w14:paraId="0E8E3A4E" w14:textId="77777777" w:rsidTr="00A72B7B">
        <w:tc>
          <w:tcPr>
            <w:tcW w:w="1883" w:type="dxa"/>
            <w:vAlign w:val="bottom"/>
          </w:tcPr>
          <w:p w14:paraId="2DE683BB" w14:textId="1BF82912" w:rsidR="00A72B7B" w:rsidRPr="00A72B7B" w:rsidRDefault="00A72B7B" w:rsidP="00A72B7B">
            <w:r w:rsidRPr="00A72B7B">
              <w:rPr>
                <w:i/>
                <w:iCs/>
                <w:szCs w:val="46"/>
              </w:rPr>
              <w:t>Нарушения на репродуктивнат а система и гърдата</w:t>
            </w:r>
          </w:p>
        </w:tc>
        <w:tc>
          <w:tcPr>
            <w:tcW w:w="1798" w:type="dxa"/>
          </w:tcPr>
          <w:p w14:paraId="7F58616B" w14:textId="77777777" w:rsidR="00A72B7B" w:rsidRPr="00A72B7B" w:rsidRDefault="00A72B7B" w:rsidP="00A72B7B"/>
        </w:tc>
        <w:tc>
          <w:tcPr>
            <w:tcW w:w="1914" w:type="dxa"/>
          </w:tcPr>
          <w:p w14:paraId="7C9E3776" w14:textId="1A4C61DF" w:rsidR="00A72B7B" w:rsidRPr="00A72B7B" w:rsidRDefault="00A72B7B" w:rsidP="00A72B7B">
            <w:r w:rsidRPr="00A72B7B">
              <w:rPr>
                <w:szCs w:val="46"/>
              </w:rPr>
              <w:t>Импотентност</w:t>
            </w:r>
          </w:p>
        </w:tc>
        <w:tc>
          <w:tcPr>
            <w:tcW w:w="1570" w:type="dxa"/>
          </w:tcPr>
          <w:p w14:paraId="5CC291CB" w14:textId="77777777" w:rsidR="00A72B7B" w:rsidRDefault="00A72B7B" w:rsidP="00A72B7B"/>
        </w:tc>
        <w:tc>
          <w:tcPr>
            <w:tcW w:w="2411" w:type="dxa"/>
          </w:tcPr>
          <w:p w14:paraId="2F5FF030" w14:textId="77777777" w:rsidR="00A72B7B" w:rsidRDefault="00A72B7B" w:rsidP="00A72B7B"/>
        </w:tc>
      </w:tr>
      <w:tr w:rsidR="00A72B7B" w14:paraId="2FCB0972" w14:textId="77777777" w:rsidTr="00A72B7B">
        <w:tc>
          <w:tcPr>
            <w:tcW w:w="1883" w:type="dxa"/>
            <w:vAlign w:val="bottom"/>
          </w:tcPr>
          <w:p w14:paraId="015F8626" w14:textId="7F5362AD" w:rsidR="00A72B7B" w:rsidRPr="00A72B7B" w:rsidRDefault="00A72B7B" w:rsidP="00A72B7B">
            <w:r w:rsidRPr="00A72B7B">
              <w:rPr>
                <w:i/>
                <w:iCs/>
                <w:szCs w:val="46"/>
              </w:rPr>
              <w:t>Психични нарушения</w:t>
            </w:r>
          </w:p>
        </w:tc>
        <w:tc>
          <w:tcPr>
            <w:tcW w:w="1798" w:type="dxa"/>
          </w:tcPr>
          <w:p w14:paraId="48AA220B" w14:textId="77777777" w:rsidR="00A72B7B" w:rsidRPr="00A72B7B" w:rsidRDefault="00A72B7B" w:rsidP="00A72B7B"/>
        </w:tc>
        <w:tc>
          <w:tcPr>
            <w:tcW w:w="1914" w:type="dxa"/>
            <w:vAlign w:val="bottom"/>
          </w:tcPr>
          <w:p w14:paraId="41E8C95A" w14:textId="3CFD8FAB" w:rsidR="00A72B7B" w:rsidRPr="00A72B7B" w:rsidRDefault="00A72B7B" w:rsidP="00A72B7B">
            <w:r w:rsidRPr="00A72B7B">
              <w:rPr>
                <w:szCs w:val="46"/>
              </w:rPr>
              <w:t>Кошмари; депресия</w:t>
            </w:r>
          </w:p>
        </w:tc>
        <w:tc>
          <w:tcPr>
            <w:tcW w:w="1570" w:type="dxa"/>
          </w:tcPr>
          <w:p w14:paraId="1A816055" w14:textId="77777777" w:rsidR="00A72B7B" w:rsidRDefault="00A72B7B" w:rsidP="00A72B7B"/>
        </w:tc>
        <w:tc>
          <w:tcPr>
            <w:tcW w:w="2411" w:type="dxa"/>
          </w:tcPr>
          <w:p w14:paraId="70596029" w14:textId="77777777" w:rsidR="00A72B7B" w:rsidRDefault="00A72B7B" w:rsidP="00A72B7B"/>
        </w:tc>
      </w:tr>
    </w:tbl>
    <w:p w14:paraId="432A6CE2" w14:textId="667D60AB" w:rsidR="00A72B7B" w:rsidRDefault="00A72B7B" w:rsidP="00A72B7B"/>
    <w:p w14:paraId="63764BEE"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объркване, студени/цианотични крайници. феномен на Рейно, сухота в очите, окуло-мукокутанна токсичност от практололов тип.</w:t>
      </w:r>
    </w:p>
    <w:p w14:paraId="72F2803F" w14:textId="4C4BE83D" w:rsidR="00A72B7B" w:rsidRPr="00A72B7B" w:rsidRDefault="00A72B7B" w:rsidP="00A72B7B">
      <w:pPr>
        <w:rPr>
          <w:rFonts w:cs="Arial"/>
        </w:rPr>
      </w:pPr>
    </w:p>
    <w:p w14:paraId="732DCE08" w14:textId="77777777"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Хронична сърдечна недостатъчност</w:t>
      </w:r>
    </w:p>
    <w:p w14:paraId="3F460D28"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Има налични данни за нежелани лекарствени реакции при болни с ХСН от плацебо- контролирано клинично изпитване, в което са включени 1067 пациента, приемащи невиболол и 1061 пациента, приемащи плацебо. В това изпитване, общо 449 пациента, лекувани с небиволол (42,1%) съобщават за нежелани реакции, най-малкото с вероятност да са свързани с провежданото лечение, в сравнение с 334 болни (31.5%), приемащи плацебо.</w:t>
      </w:r>
    </w:p>
    <w:p w14:paraId="0AE1834D" w14:textId="77777777" w:rsidR="00A72B7B" w:rsidRPr="00A72B7B" w:rsidRDefault="00A72B7B" w:rsidP="00A72B7B">
      <w:pPr>
        <w:spacing w:line="240" w:lineRule="auto"/>
        <w:rPr>
          <w:rFonts w:eastAsia="Times New Roman" w:cs="Arial"/>
          <w:color w:val="000000"/>
          <w:lang w:eastAsia="bg-BG"/>
        </w:rPr>
      </w:pPr>
    </w:p>
    <w:p w14:paraId="7D7381EE" w14:textId="29D5D1E2" w:rsidR="00A72B7B" w:rsidRPr="00A72B7B" w:rsidRDefault="00A72B7B" w:rsidP="00A72B7B">
      <w:pPr>
        <w:spacing w:line="240" w:lineRule="auto"/>
        <w:rPr>
          <w:rFonts w:eastAsia="Times New Roman" w:cs="Arial"/>
        </w:rPr>
      </w:pPr>
      <w:r w:rsidRPr="00A72B7B">
        <w:rPr>
          <w:rFonts w:eastAsia="Times New Roman" w:cs="Arial"/>
          <w:color w:val="000000"/>
          <w:lang w:eastAsia="bg-BG"/>
        </w:rPr>
        <w:t>Най-често съобщаваните нежелани реакции при пациентите, лекувани с небиволол са брадикардия и замаяност, и двете появили се при около 11% от пациентите. Съответните честоти сред пациентите, приемали плацебо са респективно 2% и 7%.</w:t>
      </w:r>
    </w:p>
    <w:p w14:paraId="036DE423" w14:textId="77777777" w:rsidR="00A72B7B" w:rsidRPr="00A72B7B" w:rsidRDefault="00A72B7B" w:rsidP="00A72B7B">
      <w:pPr>
        <w:spacing w:line="240" w:lineRule="auto"/>
        <w:rPr>
          <w:rFonts w:eastAsia="Times New Roman" w:cs="Arial"/>
          <w:color w:val="000000"/>
          <w:lang w:eastAsia="bg-BG"/>
        </w:rPr>
      </w:pPr>
    </w:p>
    <w:p w14:paraId="534C95D3" w14:textId="6E170028" w:rsidR="00A72B7B" w:rsidRPr="00A72B7B" w:rsidRDefault="00A72B7B" w:rsidP="00A72B7B">
      <w:pPr>
        <w:spacing w:line="240" w:lineRule="auto"/>
        <w:rPr>
          <w:rFonts w:eastAsia="Times New Roman" w:cs="Arial"/>
        </w:rPr>
      </w:pPr>
      <w:r w:rsidRPr="00A72B7B">
        <w:rPr>
          <w:rFonts w:eastAsia="Times New Roman" w:cs="Arial"/>
          <w:color w:val="000000"/>
          <w:lang w:eastAsia="bg-BG"/>
        </w:rPr>
        <w:t>Има съобщения за следните събития, като нежелани реакции (най-малкото с вероятност да са свързани с лекарството), които се считат за отнасящи се предимно до лечението на хронична сърдечна недостатъчност:</w:t>
      </w:r>
    </w:p>
    <w:p w14:paraId="3C1C9DFD" w14:textId="77777777" w:rsidR="00A72B7B" w:rsidRPr="00A72B7B" w:rsidRDefault="00A72B7B" w:rsidP="00A72B7B">
      <w:pPr>
        <w:pStyle w:val="ListParagraph"/>
        <w:numPr>
          <w:ilvl w:val="0"/>
          <w:numId w:val="33"/>
        </w:numPr>
        <w:spacing w:line="240" w:lineRule="auto"/>
        <w:rPr>
          <w:rFonts w:eastAsia="Times New Roman" w:cs="Arial"/>
          <w:color w:val="000000"/>
          <w:lang w:eastAsia="bg-BG"/>
        </w:rPr>
      </w:pPr>
      <w:r w:rsidRPr="00A72B7B">
        <w:rPr>
          <w:rFonts w:eastAsia="Times New Roman" w:cs="Arial"/>
          <w:color w:val="000000"/>
          <w:lang w:eastAsia="bg-BG"/>
        </w:rPr>
        <w:t>Влошаване на сърдечната недостатъчност се е появило при 5,8% от пациентите, приемали небиволол в сравнение с 5,2% от пациентите, лекувани с плацебо;</w:t>
      </w:r>
    </w:p>
    <w:p w14:paraId="30E5C0B0" w14:textId="77777777" w:rsidR="00A72B7B" w:rsidRPr="00A72B7B" w:rsidRDefault="00A72B7B" w:rsidP="00A72B7B">
      <w:pPr>
        <w:pStyle w:val="ListParagraph"/>
        <w:numPr>
          <w:ilvl w:val="0"/>
          <w:numId w:val="33"/>
        </w:numPr>
        <w:spacing w:line="240" w:lineRule="auto"/>
        <w:rPr>
          <w:rFonts w:eastAsia="Times New Roman" w:cs="Arial"/>
          <w:color w:val="000000"/>
          <w:lang w:eastAsia="bg-BG"/>
        </w:rPr>
      </w:pPr>
      <w:r w:rsidRPr="00A72B7B">
        <w:rPr>
          <w:rFonts w:eastAsia="Times New Roman" w:cs="Arial"/>
          <w:color w:val="000000"/>
          <w:lang w:eastAsia="bg-BG"/>
        </w:rPr>
        <w:t>Постурална хипотония се съобщава при 2,1% от пациентите, лекувани с небиволол в сравнение с 1,0% от пациентите, лекувани с плацебо;</w:t>
      </w:r>
    </w:p>
    <w:p w14:paraId="791DE83D" w14:textId="77777777" w:rsidR="00A72B7B" w:rsidRPr="00A72B7B" w:rsidRDefault="00A72B7B" w:rsidP="00A72B7B">
      <w:pPr>
        <w:pStyle w:val="ListParagraph"/>
        <w:numPr>
          <w:ilvl w:val="0"/>
          <w:numId w:val="33"/>
        </w:numPr>
        <w:spacing w:line="240" w:lineRule="auto"/>
        <w:rPr>
          <w:rFonts w:eastAsia="Times New Roman" w:cs="Arial"/>
          <w:color w:val="000000"/>
          <w:lang w:eastAsia="bg-BG"/>
        </w:rPr>
      </w:pPr>
      <w:r w:rsidRPr="00A72B7B">
        <w:rPr>
          <w:rFonts w:eastAsia="Times New Roman" w:cs="Arial"/>
          <w:color w:val="000000"/>
          <w:lang w:eastAsia="bg-BG"/>
        </w:rPr>
        <w:t>Непоносимост към лекарството се е появила при 1,6% от пациентите, приемали небиволол, в сравнение с 0,8% при пациентите, приемали плацебо;</w:t>
      </w:r>
    </w:p>
    <w:p w14:paraId="0B63773B" w14:textId="77777777" w:rsidR="00A72B7B" w:rsidRPr="00A72B7B" w:rsidRDefault="00A72B7B" w:rsidP="00A72B7B">
      <w:pPr>
        <w:pStyle w:val="ListParagraph"/>
        <w:numPr>
          <w:ilvl w:val="0"/>
          <w:numId w:val="33"/>
        </w:numPr>
        <w:spacing w:line="240" w:lineRule="auto"/>
        <w:rPr>
          <w:rFonts w:eastAsia="Times New Roman" w:cs="Arial"/>
          <w:color w:val="000000"/>
          <w:lang w:eastAsia="bg-BG"/>
        </w:rPr>
      </w:pPr>
      <w:r w:rsidRPr="00A72B7B">
        <w:rPr>
          <w:rFonts w:eastAsia="Times New Roman" w:cs="Arial"/>
          <w:color w:val="000000"/>
          <w:lang w:eastAsia="bg-BG"/>
        </w:rPr>
        <w:t xml:space="preserve">Атриовентрикуларен блок </w:t>
      </w:r>
      <w:r w:rsidRPr="00A72B7B">
        <w:rPr>
          <w:rFonts w:eastAsia="Times New Roman" w:cs="Arial"/>
          <w:color w:val="000000"/>
          <w:lang w:val="en-US"/>
        </w:rPr>
        <w:t>I</w:t>
      </w:r>
      <w:r w:rsidRPr="00A72B7B">
        <w:rPr>
          <w:rFonts w:eastAsia="Times New Roman" w:cs="Arial"/>
          <w:color w:val="000000"/>
          <w:lang w:eastAsia="bg-BG"/>
        </w:rPr>
        <w:t>-ва степен се е появил при 1,4% от пациентите, приемали небиволол в сравнение с 0,9% от пациентите, лекувани с плацебо;</w:t>
      </w:r>
    </w:p>
    <w:p w14:paraId="01E1CAB5" w14:textId="77777777" w:rsidR="00A72B7B" w:rsidRPr="00A72B7B" w:rsidRDefault="00A72B7B" w:rsidP="00A72B7B">
      <w:pPr>
        <w:pStyle w:val="ListParagraph"/>
        <w:numPr>
          <w:ilvl w:val="0"/>
          <w:numId w:val="33"/>
        </w:numPr>
        <w:spacing w:line="240" w:lineRule="auto"/>
        <w:rPr>
          <w:rFonts w:eastAsia="Times New Roman" w:cs="Arial"/>
          <w:color w:val="000000"/>
          <w:lang w:eastAsia="bg-BG"/>
        </w:rPr>
      </w:pPr>
      <w:r w:rsidRPr="00A72B7B">
        <w:rPr>
          <w:rFonts w:eastAsia="Times New Roman" w:cs="Arial"/>
          <w:color w:val="000000"/>
          <w:lang w:eastAsia="bg-BG"/>
        </w:rPr>
        <w:t>За оток на долните крайници се съобщава при 1,0% от пациентите, приемали небиволол, в сравнение с 0,2% от пациентите, лекувани със плацебо.</w:t>
      </w:r>
    </w:p>
    <w:p w14:paraId="358FF0D6" w14:textId="77777777" w:rsidR="00A72B7B" w:rsidRPr="00A72B7B" w:rsidRDefault="00A72B7B" w:rsidP="00A72B7B">
      <w:pPr>
        <w:spacing w:line="240" w:lineRule="auto"/>
        <w:rPr>
          <w:rFonts w:eastAsia="Times New Roman" w:cs="Arial"/>
          <w:color w:val="000000"/>
          <w:u w:val="single"/>
          <w:lang w:eastAsia="bg-BG"/>
        </w:rPr>
      </w:pPr>
    </w:p>
    <w:p w14:paraId="4E2A450A" w14:textId="20534522" w:rsidR="00A72B7B" w:rsidRPr="00A72B7B" w:rsidRDefault="00A72B7B" w:rsidP="00A72B7B">
      <w:pPr>
        <w:spacing w:line="240" w:lineRule="auto"/>
        <w:rPr>
          <w:rFonts w:eastAsia="Times New Roman" w:cs="Arial"/>
        </w:rPr>
      </w:pPr>
      <w:r w:rsidRPr="00A72B7B">
        <w:rPr>
          <w:rFonts w:eastAsia="Times New Roman" w:cs="Arial"/>
          <w:color w:val="000000"/>
          <w:u w:val="single"/>
          <w:lang w:eastAsia="bg-BG"/>
        </w:rPr>
        <w:t>Съобщаване на подозирани нежелани реакции</w:t>
      </w:r>
    </w:p>
    <w:p w14:paraId="171952E4" w14:textId="47D41790" w:rsidR="00A72B7B" w:rsidRDefault="00A72B7B" w:rsidP="00A72B7B">
      <w:pPr>
        <w:rPr>
          <w:rFonts w:eastAsia="Times New Roman" w:cs="Arial"/>
          <w:color w:val="000000"/>
          <w:u w:val="single"/>
          <w:lang w:val="en-US"/>
        </w:rPr>
      </w:pPr>
      <w:r w:rsidRPr="00A72B7B">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Изпълнителната агенция по лекарствата, ул. „Дамян Груев“№ 8, </w:t>
      </w:r>
      <w:r w:rsidRPr="00A72B7B">
        <w:rPr>
          <w:rFonts w:eastAsia="Times New Roman" w:cs="Arial"/>
          <w:i/>
          <w:iCs/>
          <w:color w:val="000000"/>
          <w:lang w:eastAsia="bg-BG"/>
        </w:rPr>
        <w:t>1303 София,</w:t>
      </w:r>
      <w:r w:rsidRPr="00A72B7B">
        <w:rPr>
          <w:rFonts w:eastAsia="Times New Roman" w:cs="Arial"/>
          <w:color w:val="000000"/>
          <w:lang w:eastAsia="bg-BG"/>
        </w:rPr>
        <w:t xml:space="preserve"> тел.: +359 2 8903417, уебсайт: </w:t>
      </w:r>
      <w:r w:rsidRPr="00A72B7B">
        <w:rPr>
          <w:rFonts w:eastAsia="Times New Roman" w:cs="Arial"/>
        </w:rPr>
        <w:fldChar w:fldCharType="begin"/>
      </w:r>
      <w:r w:rsidRPr="00A72B7B">
        <w:rPr>
          <w:rFonts w:eastAsia="Times New Roman" w:cs="Arial"/>
        </w:rPr>
        <w:instrText xml:space="preserve"> HYPERLINK "http://www.bda.bg" </w:instrText>
      </w:r>
      <w:r w:rsidRPr="00A72B7B">
        <w:rPr>
          <w:rFonts w:eastAsia="Times New Roman" w:cs="Arial"/>
        </w:rPr>
      </w:r>
      <w:r w:rsidRPr="00A72B7B">
        <w:rPr>
          <w:rFonts w:eastAsia="Times New Roman" w:cs="Arial"/>
        </w:rPr>
        <w:fldChar w:fldCharType="separate"/>
      </w:r>
      <w:r w:rsidRPr="00A72B7B">
        <w:rPr>
          <w:rFonts w:eastAsia="Times New Roman" w:cs="Arial"/>
          <w:color w:val="000000"/>
          <w:u w:val="single"/>
          <w:lang w:val="en-US"/>
        </w:rPr>
        <w:t>www.bda.bg</w:t>
      </w:r>
      <w:r w:rsidRPr="00A72B7B">
        <w:rPr>
          <w:rFonts w:eastAsia="Times New Roman" w:cs="Arial"/>
        </w:rPr>
        <w:fldChar w:fldCharType="end"/>
      </w:r>
      <w:r w:rsidRPr="00A72B7B">
        <w:rPr>
          <w:rFonts w:eastAsia="Times New Roman" w:cs="Arial"/>
          <w:color w:val="000000"/>
          <w:u w:val="single"/>
          <w:lang w:val="en-US"/>
        </w:rPr>
        <w:t>.</w:t>
      </w:r>
    </w:p>
    <w:p w14:paraId="2E98C39C" w14:textId="77777777" w:rsidR="00A72B7B" w:rsidRPr="00A72B7B" w:rsidRDefault="00A72B7B" w:rsidP="00A72B7B">
      <w:pPr>
        <w:rPr>
          <w:rFonts w:cs="Arial"/>
        </w:rPr>
      </w:pPr>
    </w:p>
    <w:p w14:paraId="4ED30546" w14:textId="3594F869" w:rsidR="007C605B" w:rsidRDefault="002C50EE" w:rsidP="009F1313">
      <w:pPr>
        <w:pStyle w:val="Heading2"/>
      </w:pPr>
      <w:r>
        <w:t>4.9. Предозиране</w:t>
      </w:r>
    </w:p>
    <w:p w14:paraId="2F0AAB96" w14:textId="4765725B" w:rsidR="00A72B7B" w:rsidRDefault="00A72B7B" w:rsidP="00A72B7B"/>
    <w:p w14:paraId="16011E83"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Липсват данни за предозиране с небиволол.</w:t>
      </w:r>
    </w:p>
    <w:p w14:paraId="355944CC" w14:textId="77777777" w:rsidR="00A72B7B" w:rsidRPr="00A72B7B" w:rsidRDefault="00A72B7B" w:rsidP="00A72B7B">
      <w:pPr>
        <w:spacing w:line="240" w:lineRule="auto"/>
        <w:rPr>
          <w:rFonts w:eastAsia="Times New Roman" w:cs="Arial"/>
          <w:i/>
          <w:iCs/>
          <w:color w:val="000000"/>
          <w:lang w:eastAsia="bg-BG"/>
        </w:rPr>
      </w:pPr>
    </w:p>
    <w:p w14:paraId="43FC3645" w14:textId="2E77648D" w:rsidR="00A72B7B" w:rsidRPr="00A72B7B" w:rsidRDefault="00A72B7B" w:rsidP="00A72B7B">
      <w:pPr>
        <w:pStyle w:val="Heading3"/>
        <w:rPr>
          <w:rFonts w:eastAsia="Times New Roman"/>
          <w:i/>
        </w:rPr>
      </w:pPr>
      <w:r w:rsidRPr="00A72B7B">
        <w:rPr>
          <w:rFonts w:eastAsia="Times New Roman"/>
          <w:i/>
          <w:lang w:eastAsia="bg-BG"/>
        </w:rPr>
        <w:t>Симптоми</w:t>
      </w:r>
    </w:p>
    <w:p w14:paraId="3DBAD520"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Симптомите на предозиране с бета-блокери са: брадикардия, хипотония, бронхоспазъм и остра сърдечна недостатъчност.</w:t>
      </w:r>
    </w:p>
    <w:p w14:paraId="663C65BB" w14:textId="77777777" w:rsidR="00A72B7B" w:rsidRPr="00A72B7B" w:rsidRDefault="00A72B7B" w:rsidP="00A72B7B">
      <w:pPr>
        <w:spacing w:line="240" w:lineRule="auto"/>
        <w:rPr>
          <w:rFonts w:eastAsia="Times New Roman" w:cs="Arial"/>
          <w:color w:val="000000"/>
          <w:lang w:eastAsia="bg-BG"/>
        </w:rPr>
      </w:pPr>
    </w:p>
    <w:p w14:paraId="4175C977" w14:textId="2215840B" w:rsidR="00A72B7B" w:rsidRPr="00A72B7B" w:rsidRDefault="00A72B7B" w:rsidP="00A72B7B">
      <w:pPr>
        <w:pStyle w:val="Heading3"/>
        <w:rPr>
          <w:rFonts w:eastAsia="Times New Roman"/>
          <w:i/>
          <w:lang w:eastAsia="bg-BG"/>
        </w:rPr>
      </w:pPr>
      <w:r w:rsidRPr="00A72B7B">
        <w:rPr>
          <w:rFonts w:eastAsia="Times New Roman"/>
          <w:i/>
          <w:lang w:eastAsia="bg-BG"/>
        </w:rPr>
        <w:t>Лечение</w:t>
      </w:r>
    </w:p>
    <w:p w14:paraId="3A431E79" w14:textId="3B452105"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В случай на предозиране или свръхчувствителност, пациентът трябва да бъде внимателно проследяван и лекуван в интензивно отделение. Трябва да се изследват нивата на кръвната захар. Абсорбцията на евентулно останало количество от лекарството в гастроинтестиналния тракт може да се предотврати чрез стомашна промивка и приложение на активен въглен и лаксативни средства. Може да се наложи провеждане на изкуствено дишане. Брадикардията или силно изразените вагусови реакции се лекуват чрез прилагане на атропин или метилатропин. При хипотония и шок се прилагат плазма/плазмени заместители и, при необходимост, катехоламини. На бета-блокиращия ефект може да се противодейства чрез бавно интравенозно приложение на изопреналин хидрохлорид с начална доза от 5 </w:t>
      </w:r>
      <w:proofErr w:type="spellStart"/>
      <w:r w:rsidRPr="00A72B7B">
        <w:rPr>
          <w:rFonts w:eastAsia="Times New Roman" w:cs="Arial"/>
          <w:color w:val="000000"/>
          <w:lang w:val="en-US"/>
        </w:rPr>
        <w:t>μg</w:t>
      </w:r>
      <w:proofErr w:type="spellEnd"/>
      <w:r w:rsidRPr="00A72B7B">
        <w:rPr>
          <w:rFonts w:eastAsia="Times New Roman" w:cs="Arial"/>
          <w:color w:val="000000"/>
          <w:lang w:val="en-US"/>
        </w:rPr>
        <w:t>/</w:t>
      </w:r>
      <w:r w:rsidRPr="00A72B7B">
        <w:rPr>
          <w:rFonts w:eastAsia="Times New Roman" w:cs="Arial"/>
          <w:color w:val="000000"/>
          <w:lang w:eastAsia="bg-BG"/>
        </w:rPr>
        <w:t xml:space="preserve">минута или добутамин с начална доза от 2,5 </w:t>
      </w:r>
      <w:proofErr w:type="spellStart"/>
      <w:r w:rsidRPr="00A72B7B">
        <w:rPr>
          <w:rFonts w:eastAsia="Times New Roman" w:cs="Arial"/>
          <w:color w:val="000000"/>
          <w:lang w:val="en-US"/>
        </w:rPr>
        <w:t>pg</w:t>
      </w:r>
      <w:proofErr w:type="spellEnd"/>
      <w:r w:rsidRPr="00A72B7B">
        <w:rPr>
          <w:rFonts w:eastAsia="Times New Roman" w:cs="Arial"/>
          <w:color w:val="000000"/>
          <w:lang w:eastAsia="bg-BG"/>
        </w:rPr>
        <w:t>/минута до постигане на желания ефект. При рефрактерни случаи изопреналин може да се комбинира с допамин. Ако и по този начин не се постигне желаният ефект, може да се обмисли интравенозно приложение на глюкагон 50-100</w:t>
      </w:r>
      <w:r>
        <w:rPr>
          <w:rFonts w:eastAsia="Times New Roman" w:cs="Arial"/>
        </w:rPr>
        <w:t xml:space="preserve"> </w:t>
      </w:r>
      <w:proofErr w:type="spellStart"/>
      <w:r w:rsidRPr="00A72B7B">
        <w:rPr>
          <w:rFonts w:eastAsia="Times New Roman" w:cs="Arial"/>
          <w:color w:val="000000"/>
          <w:lang w:val="en-US"/>
        </w:rPr>
        <w:t>μg</w:t>
      </w:r>
      <w:proofErr w:type="spellEnd"/>
      <w:r w:rsidRPr="00A72B7B">
        <w:rPr>
          <w:rFonts w:eastAsia="Times New Roman" w:cs="Arial"/>
          <w:color w:val="000000"/>
          <w:lang w:val="en-US"/>
        </w:rPr>
        <w:t xml:space="preserve">/kg. </w:t>
      </w:r>
      <w:r>
        <w:rPr>
          <w:rFonts w:eastAsia="Times New Roman" w:cs="Arial"/>
          <w:color w:val="000000"/>
          <w:lang w:eastAsia="bg-BG"/>
        </w:rPr>
        <w:t xml:space="preserve">При </w:t>
      </w:r>
      <w:r w:rsidRPr="00A72B7B">
        <w:rPr>
          <w:rFonts w:eastAsia="Times New Roman" w:cs="Arial"/>
          <w:color w:val="000000"/>
          <w:lang w:eastAsia="bg-BG"/>
        </w:rPr>
        <w:t>необходимост, инжекцията трябва да се повтори в рамките на един час последвано</w:t>
      </w:r>
      <w:r>
        <w:rPr>
          <w:rFonts w:eastAsia="Times New Roman" w:cs="Arial"/>
          <w:color w:val="000000"/>
          <w:lang w:eastAsia="bg-BG"/>
        </w:rPr>
        <w:t xml:space="preserve"> </w:t>
      </w:r>
      <w:r w:rsidRPr="00A72B7B">
        <w:rPr>
          <w:lang w:eastAsia="bg-BG"/>
        </w:rPr>
        <w:t xml:space="preserve">ако се налага, от интравенозна инфузия на глюкагон 70 </w:t>
      </w:r>
      <w:proofErr w:type="spellStart"/>
      <w:r w:rsidRPr="00A72B7B">
        <w:rPr>
          <w:lang w:val="en-US"/>
        </w:rPr>
        <w:t>μg</w:t>
      </w:r>
      <w:proofErr w:type="spellEnd"/>
      <w:r w:rsidRPr="00A72B7B">
        <w:rPr>
          <w:lang w:val="en-US"/>
        </w:rPr>
        <w:t xml:space="preserve">/kg/h. </w:t>
      </w:r>
      <w:r w:rsidRPr="00A72B7B">
        <w:rPr>
          <w:lang w:eastAsia="bg-BG"/>
        </w:rPr>
        <w:t>В крайни случаи на резистентна на лечение брадикардия може да се постави пейсмейкър.</w:t>
      </w:r>
    </w:p>
    <w:p w14:paraId="19E0F73C" w14:textId="6542F881" w:rsidR="00A72B7B" w:rsidRPr="00A72B7B" w:rsidRDefault="00A72B7B" w:rsidP="00A72B7B">
      <w:pPr>
        <w:rPr>
          <w:rFonts w:cs="Arial"/>
        </w:rPr>
      </w:pPr>
    </w:p>
    <w:p w14:paraId="02081B24" w14:textId="1F46E296" w:rsidR="00395555" w:rsidRPr="00395555" w:rsidRDefault="002C50EE" w:rsidP="008A6AF2">
      <w:pPr>
        <w:pStyle w:val="Heading1"/>
      </w:pPr>
      <w:r>
        <w:t>5. ФАРМАКОЛОГИЧНИ СВОЙСТВА</w:t>
      </w:r>
    </w:p>
    <w:p w14:paraId="5350637D" w14:textId="66109096" w:rsidR="00395555" w:rsidRDefault="002C50EE" w:rsidP="008A6AF2">
      <w:pPr>
        <w:pStyle w:val="Heading2"/>
      </w:pPr>
      <w:r>
        <w:t>5.1. Фармакодинамични свойства</w:t>
      </w:r>
    </w:p>
    <w:p w14:paraId="2487A72E" w14:textId="03255DA4" w:rsidR="00A72B7B" w:rsidRDefault="00A72B7B" w:rsidP="00A72B7B"/>
    <w:p w14:paraId="17A83E20"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Фармакотерапевтична група: Бета-блокиращи агенти, селективни, АТС код: С07 АВ 12</w:t>
      </w:r>
    </w:p>
    <w:p w14:paraId="1F4831F2" w14:textId="77777777" w:rsidR="00A72B7B" w:rsidRPr="00A72B7B" w:rsidRDefault="00A72B7B" w:rsidP="00A72B7B">
      <w:pPr>
        <w:spacing w:line="240" w:lineRule="auto"/>
        <w:rPr>
          <w:rFonts w:eastAsia="Times New Roman" w:cs="Arial"/>
          <w:color w:val="000000"/>
          <w:lang w:eastAsia="bg-BG"/>
        </w:rPr>
      </w:pPr>
    </w:p>
    <w:p w14:paraId="2C640541" w14:textId="3F2F93DC"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Небиволол е рацемат от два енантиомера, </w:t>
      </w:r>
      <w:r w:rsidRPr="00A72B7B">
        <w:rPr>
          <w:rFonts w:eastAsia="Times New Roman" w:cs="Arial"/>
          <w:color w:val="000000"/>
          <w:lang w:val="en-US"/>
        </w:rPr>
        <w:t>SRRR</w:t>
      </w:r>
      <w:r w:rsidRPr="00A72B7B">
        <w:rPr>
          <w:rFonts w:eastAsia="Times New Roman" w:cs="Arial"/>
          <w:color w:val="000000"/>
          <w:lang w:eastAsia="bg-BG"/>
        </w:rPr>
        <w:t xml:space="preserve">-небиволол (или </w:t>
      </w:r>
      <w:r w:rsidRPr="00A72B7B">
        <w:rPr>
          <w:rFonts w:eastAsia="Times New Roman" w:cs="Arial"/>
          <w:color w:val="000000"/>
          <w:lang w:val="en-US"/>
        </w:rPr>
        <w:t>d</w:t>
      </w:r>
      <w:r w:rsidRPr="00A72B7B">
        <w:rPr>
          <w:rFonts w:eastAsia="Times New Roman" w:cs="Arial"/>
          <w:color w:val="000000"/>
          <w:lang w:eastAsia="bg-BG"/>
        </w:rPr>
        <w:t xml:space="preserve">-небиволол) и </w:t>
      </w:r>
      <w:r w:rsidRPr="00A72B7B">
        <w:rPr>
          <w:rFonts w:eastAsia="Times New Roman" w:cs="Arial"/>
          <w:color w:val="000000"/>
          <w:lang w:val="en-US"/>
        </w:rPr>
        <w:t xml:space="preserve">RSSS- </w:t>
      </w:r>
      <w:r w:rsidRPr="00A72B7B">
        <w:rPr>
          <w:rFonts w:eastAsia="Times New Roman" w:cs="Arial"/>
          <w:color w:val="000000"/>
          <w:lang w:eastAsia="bg-BG"/>
        </w:rPr>
        <w:t>небиволол (или 1-небиволол). Той комбинира два фармакологични ефекта:</w:t>
      </w:r>
    </w:p>
    <w:p w14:paraId="142A47DD" w14:textId="77777777" w:rsidR="00A72B7B" w:rsidRPr="00A72B7B" w:rsidRDefault="00A72B7B" w:rsidP="00A72B7B">
      <w:pPr>
        <w:pStyle w:val="ListParagraph"/>
        <w:numPr>
          <w:ilvl w:val="0"/>
          <w:numId w:val="34"/>
        </w:numPr>
        <w:spacing w:line="240" w:lineRule="auto"/>
        <w:rPr>
          <w:rFonts w:eastAsia="Times New Roman" w:cs="Arial"/>
          <w:color w:val="000000"/>
          <w:lang w:eastAsia="bg-BG"/>
        </w:rPr>
      </w:pPr>
      <w:r w:rsidRPr="00A72B7B">
        <w:rPr>
          <w:rFonts w:eastAsia="Times New Roman" w:cs="Arial"/>
          <w:color w:val="000000"/>
          <w:lang w:eastAsia="bg-BG"/>
        </w:rPr>
        <w:t xml:space="preserve">Той е конкурентен и селективен бета-рецепторен антагонист: този ефект се дължи на </w:t>
      </w:r>
      <w:r w:rsidRPr="00A72B7B">
        <w:rPr>
          <w:rFonts w:eastAsia="Times New Roman" w:cs="Arial"/>
          <w:color w:val="000000"/>
          <w:lang w:val="en-US"/>
        </w:rPr>
        <w:t>SRRR</w:t>
      </w:r>
      <w:r w:rsidRPr="00A72B7B">
        <w:rPr>
          <w:rFonts w:eastAsia="Times New Roman" w:cs="Arial"/>
          <w:color w:val="000000"/>
          <w:lang w:eastAsia="bg-BG"/>
        </w:rPr>
        <w:t xml:space="preserve">-енантиомера </w:t>
      </w:r>
      <w:r w:rsidRPr="00A72B7B">
        <w:rPr>
          <w:rFonts w:eastAsia="Times New Roman" w:cs="Arial"/>
          <w:color w:val="000000"/>
          <w:lang w:val="en-US"/>
        </w:rPr>
        <w:t xml:space="preserve">(d- </w:t>
      </w:r>
      <w:r w:rsidRPr="00A72B7B">
        <w:rPr>
          <w:rFonts w:eastAsia="Times New Roman" w:cs="Arial"/>
          <w:color w:val="000000"/>
          <w:lang w:eastAsia="bg-BG"/>
        </w:rPr>
        <w:t>енантиомер).</w:t>
      </w:r>
    </w:p>
    <w:p w14:paraId="35139412" w14:textId="77777777" w:rsidR="00A72B7B" w:rsidRPr="00A72B7B" w:rsidRDefault="00A72B7B" w:rsidP="00A72B7B">
      <w:pPr>
        <w:pStyle w:val="ListParagraph"/>
        <w:numPr>
          <w:ilvl w:val="0"/>
          <w:numId w:val="34"/>
        </w:numPr>
        <w:spacing w:line="240" w:lineRule="auto"/>
        <w:rPr>
          <w:rFonts w:eastAsia="Times New Roman" w:cs="Arial"/>
          <w:color w:val="000000"/>
          <w:lang w:eastAsia="bg-BG"/>
        </w:rPr>
      </w:pPr>
      <w:r w:rsidRPr="00A72B7B">
        <w:rPr>
          <w:rFonts w:eastAsia="Times New Roman" w:cs="Arial"/>
          <w:color w:val="000000"/>
          <w:lang w:eastAsia="bg-BG"/>
        </w:rPr>
        <w:t xml:space="preserve">Проявява слабо вазодилатативно действие в резултат на взаимодействие със системата </w:t>
      </w:r>
      <w:r w:rsidRPr="00A72B7B">
        <w:rPr>
          <w:rFonts w:eastAsia="Times New Roman" w:cs="Arial"/>
          <w:color w:val="000000"/>
          <w:lang w:val="en-US"/>
        </w:rPr>
        <w:t xml:space="preserve">L- </w:t>
      </w:r>
      <w:r w:rsidRPr="00A72B7B">
        <w:rPr>
          <w:rFonts w:eastAsia="Times New Roman" w:cs="Arial"/>
          <w:color w:val="000000"/>
          <w:lang w:eastAsia="bg-BG"/>
        </w:rPr>
        <w:t>аргинин/азотен окис.</w:t>
      </w:r>
    </w:p>
    <w:p w14:paraId="262A4897" w14:textId="77777777" w:rsidR="00A72B7B" w:rsidRPr="00A72B7B" w:rsidRDefault="00A72B7B" w:rsidP="00A72B7B">
      <w:pPr>
        <w:spacing w:line="240" w:lineRule="auto"/>
        <w:rPr>
          <w:rFonts w:eastAsia="Times New Roman" w:cs="Arial"/>
          <w:color w:val="000000"/>
          <w:lang w:eastAsia="bg-BG"/>
        </w:rPr>
      </w:pPr>
    </w:p>
    <w:p w14:paraId="4B244583" w14:textId="68F1FAAA"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При еднократен и многократен прием на небиволол се понижават сърдечната честота и кръвното налягане в покой и по време на физически усилия, както при лица с нормално, </w:t>
      </w:r>
      <w:r w:rsidRPr="00A72B7B">
        <w:rPr>
          <w:rFonts w:eastAsia="Times New Roman" w:cs="Arial"/>
          <w:color w:val="000000"/>
          <w:lang w:eastAsia="bg-BG"/>
        </w:rPr>
        <w:lastRenderedPageBreak/>
        <w:t>така и при пациенти с повишено кръвно налягане. Антихипертензивният ефект се запазва при продължително лечение.</w:t>
      </w:r>
    </w:p>
    <w:p w14:paraId="3A6FAAA3" w14:textId="77777777" w:rsidR="00A72B7B" w:rsidRPr="00A72B7B" w:rsidRDefault="00A72B7B" w:rsidP="00A72B7B">
      <w:pPr>
        <w:spacing w:line="240" w:lineRule="auto"/>
        <w:rPr>
          <w:rFonts w:eastAsia="Times New Roman" w:cs="Arial"/>
          <w:color w:val="000000"/>
          <w:lang w:eastAsia="bg-BG"/>
        </w:rPr>
      </w:pPr>
    </w:p>
    <w:p w14:paraId="498B9DAA" w14:textId="1884D1C1" w:rsidR="00A72B7B" w:rsidRPr="00A72B7B" w:rsidRDefault="00A72B7B" w:rsidP="00A72B7B">
      <w:pPr>
        <w:spacing w:line="240" w:lineRule="auto"/>
        <w:rPr>
          <w:rFonts w:eastAsia="Times New Roman" w:cs="Arial"/>
        </w:rPr>
      </w:pPr>
      <w:r w:rsidRPr="00A72B7B">
        <w:rPr>
          <w:rFonts w:eastAsia="Times New Roman" w:cs="Arial"/>
          <w:color w:val="000000"/>
          <w:lang w:eastAsia="bg-BG"/>
        </w:rPr>
        <w:t>В терапевтични дози, небиволол е лишен от алфа-антагонистична активност</w:t>
      </w:r>
    </w:p>
    <w:p w14:paraId="212B6315" w14:textId="77777777" w:rsidR="00A72B7B" w:rsidRPr="00A72B7B" w:rsidRDefault="00A72B7B" w:rsidP="00A72B7B">
      <w:pPr>
        <w:spacing w:line="240" w:lineRule="auto"/>
        <w:rPr>
          <w:rFonts w:eastAsia="Times New Roman" w:cs="Arial"/>
          <w:color w:val="000000"/>
          <w:lang w:eastAsia="bg-BG"/>
        </w:rPr>
      </w:pPr>
    </w:p>
    <w:p w14:paraId="0C2C4BE4" w14:textId="789C59BB"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остро и продължително лечение с небиволол при болни с хипертония се понижава периферното системно съдово съпротивление. Въпреки намаляването на сърдечната честота, е възможно ограничаване на намаляването на сърдечния дебит в покой и при физически усилия поради увеличаване на ударния обем. Клиничната значимост на тези хемодинамични разлики в сравнение с други бета1-рецепторни антагонисти не е напълно изяснена.</w:t>
      </w:r>
    </w:p>
    <w:p w14:paraId="1B3C6FDE" w14:textId="77777777" w:rsidR="00A72B7B" w:rsidRPr="00A72B7B" w:rsidRDefault="00A72B7B" w:rsidP="00A72B7B">
      <w:pPr>
        <w:spacing w:line="240" w:lineRule="auto"/>
        <w:rPr>
          <w:rFonts w:eastAsia="Times New Roman" w:cs="Arial"/>
          <w:color w:val="000000"/>
          <w:lang w:eastAsia="bg-BG"/>
        </w:rPr>
      </w:pPr>
    </w:p>
    <w:p w14:paraId="1A682819" w14:textId="5121DD8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При болни с артериална хипертония, небиволол повишава </w:t>
      </w:r>
      <w:r w:rsidRPr="00A72B7B">
        <w:rPr>
          <w:rFonts w:eastAsia="Times New Roman" w:cs="Arial"/>
          <w:color w:val="000000"/>
          <w:lang w:val="en-US"/>
        </w:rPr>
        <w:t>NO</w:t>
      </w:r>
      <w:r w:rsidRPr="00A72B7B">
        <w:rPr>
          <w:rFonts w:eastAsia="Times New Roman" w:cs="Arial"/>
          <w:color w:val="000000"/>
          <w:lang w:eastAsia="bg-BG"/>
        </w:rPr>
        <w:t xml:space="preserve">-медиирания съдов отговор към ацетилхолин </w:t>
      </w:r>
      <w:r w:rsidRPr="00A72B7B">
        <w:rPr>
          <w:rFonts w:eastAsia="Times New Roman" w:cs="Arial"/>
          <w:color w:val="000000"/>
          <w:lang w:val="en-US"/>
        </w:rPr>
        <w:t xml:space="preserve">(Ach), </w:t>
      </w:r>
      <w:r w:rsidRPr="00A72B7B">
        <w:rPr>
          <w:rFonts w:eastAsia="Times New Roman" w:cs="Arial"/>
          <w:color w:val="000000"/>
          <w:lang w:eastAsia="bg-BG"/>
        </w:rPr>
        <w:t>който е понижен при пациенти с ендотелна дисфункция.</w:t>
      </w:r>
    </w:p>
    <w:p w14:paraId="28D6F863" w14:textId="2428ED3C"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контролирано плацебо проучване по отношение на смъртност-заболеваемост, в което са били включени 2128 пациента на или над 70 години (средна възраст 75,2 години) със стабилна хронична сърдечна недостатъчност, със или без нарушена фракция на изтласкване на лявата камера (средни стойности на фракция на изтласкване на лявата камера: 36±12.3%, със следното разпределение: фракция на изтласкване на лявата камера под 35% при 56% от болните, фракция на изтласкване на лявата камера между 35% и 45% при 25% от пациентите и фракция на изтласкване на лявата камера над 45% при 19% от болните) и проследени в продължение средно на 20 месеца, при което е установено, че при лечение с небиволол, прибавен към стандартната терапия, значително е удължен периодът до възникване на летален изход или хоспитализация във връзка със сърдечно-съдови проблеми (първостепенен показател за ефикасност), с относително намаляване на риска от 14% (абсолютно намаляване: 4,2%). Намаляването на риска е достигнато след провеждане на лечение в продължение на 6 месеца и е поддържано за целия терапевтичен период (средна продължителност: 18 месеца). Ефектът от прилагането на небиволол е бил независим от възрастта, пола или фракцията на изтласкване на лявата камера на включените в проучването случаи. Ползата от проведеното лечение с продукта при анализ на всичките причини за летален изход не е статистически значима при сравняването с третираните с плацебо (абсолютно намаление: 2,3%).</w:t>
      </w:r>
    </w:p>
    <w:p w14:paraId="035CAB7A" w14:textId="77777777" w:rsidR="00A72B7B" w:rsidRPr="00A72B7B" w:rsidRDefault="00A72B7B" w:rsidP="00A72B7B">
      <w:pPr>
        <w:spacing w:line="240" w:lineRule="auto"/>
        <w:rPr>
          <w:rFonts w:eastAsia="Times New Roman" w:cs="Arial"/>
          <w:color w:val="000000"/>
          <w:lang w:eastAsia="bg-BG"/>
        </w:rPr>
      </w:pPr>
    </w:p>
    <w:p w14:paraId="5A03B55F" w14:textId="74FF5B40"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пациентите, лекувани с небиволол, е отбелязано намаляване на случаите с вне</w:t>
      </w:r>
      <w:r w:rsidRPr="00A72B7B">
        <w:rPr>
          <w:rFonts w:eastAsia="Times New Roman" w:cs="Arial"/>
          <w:color w:val="000000"/>
          <w:u w:val="single"/>
          <w:lang w:eastAsia="bg-BG"/>
        </w:rPr>
        <w:t xml:space="preserve">запна </w:t>
      </w:r>
      <w:r w:rsidRPr="00A72B7B">
        <w:rPr>
          <w:rFonts w:eastAsia="Times New Roman" w:cs="Arial"/>
          <w:color w:val="000000"/>
          <w:lang w:eastAsia="bg-BG"/>
        </w:rPr>
        <w:t>сърдечна смърт (4,1% спрямо 6,6%, относително намаление с 38%).</w:t>
      </w:r>
    </w:p>
    <w:p w14:paraId="37CE00BE" w14:textId="77777777" w:rsidR="00A72B7B" w:rsidRPr="00A72B7B" w:rsidRDefault="00A72B7B" w:rsidP="00A72B7B">
      <w:pPr>
        <w:rPr>
          <w:rFonts w:eastAsia="Times New Roman" w:cs="Arial"/>
          <w:color w:val="000000"/>
          <w:lang w:eastAsia="bg-BG"/>
        </w:rPr>
      </w:pPr>
    </w:p>
    <w:p w14:paraId="4B860C75" w14:textId="79B251CB" w:rsidR="00A72B7B" w:rsidRDefault="00A72B7B" w:rsidP="00A72B7B">
      <w:pPr>
        <w:rPr>
          <w:rFonts w:eastAsia="Times New Roman" w:cs="Arial"/>
          <w:color w:val="000000"/>
          <w:lang w:eastAsia="bg-BG"/>
        </w:rPr>
      </w:pPr>
      <w:r w:rsidRPr="00A72B7B">
        <w:rPr>
          <w:rFonts w:eastAsia="Times New Roman" w:cs="Arial"/>
          <w:color w:val="000000"/>
          <w:lang w:eastAsia="bg-BG"/>
        </w:rPr>
        <w:t xml:space="preserve">При проведените </w:t>
      </w:r>
      <w:r w:rsidRPr="00A72B7B">
        <w:rPr>
          <w:rFonts w:eastAsia="Times New Roman" w:cs="Arial"/>
          <w:color w:val="000000"/>
          <w:lang w:val="en-US"/>
        </w:rPr>
        <w:t xml:space="preserve">in-vitro </w:t>
      </w:r>
      <w:r w:rsidRPr="00A72B7B">
        <w:rPr>
          <w:rFonts w:eastAsia="Times New Roman" w:cs="Arial"/>
          <w:color w:val="000000"/>
          <w:lang w:eastAsia="bg-BG"/>
        </w:rPr>
        <w:t xml:space="preserve">и </w:t>
      </w:r>
      <w:r w:rsidRPr="00A72B7B">
        <w:rPr>
          <w:rFonts w:eastAsia="Times New Roman" w:cs="Arial"/>
          <w:color w:val="000000"/>
          <w:lang w:val="en-US"/>
        </w:rPr>
        <w:t xml:space="preserve">in-vivo </w:t>
      </w:r>
      <w:r w:rsidRPr="00A72B7B">
        <w:rPr>
          <w:rFonts w:eastAsia="Times New Roman" w:cs="Arial"/>
          <w:color w:val="000000"/>
          <w:lang w:eastAsia="bg-BG"/>
        </w:rPr>
        <w:t>проучвания при опитни животни е установено, че небиволол не притежава вътрешна симпатикомиметична активност.</w:t>
      </w:r>
    </w:p>
    <w:p w14:paraId="48F8CE4F" w14:textId="0C0F8664" w:rsidR="00A72B7B" w:rsidRDefault="00A72B7B" w:rsidP="00A72B7B">
      <w:pPr>
        <w:rPr>
          <w:rFonts w:eastAsia="Times New Roman" w:cs="Arial"/>
          <w:color w:val="000000"/>
          <w:lang w:eastAsia="bg-BG"/>
        </w:rPr>
      </w:pPr>
    </w:p>
    <w:p w14:paraId="113D2C21" w14:textId="77777777" w:rsidR="00A72B7B" w:rsidRPr="00A72B7B" w:rsidRDefault="00A72B7B" w:rsidP="00A72B7B">
      <w:pPr>
        <w:rPr>
          <w:sz w:val="24"/>
          <w:szCs w:val="24"/>
        </w:rPr>
      </w:pPr>
      <w:r w:rsidRPr="00A72B7B">
        <w:rPr>
          <w:lang w:eastAsia="bg-BG"/>
        </w:rPr>
        <w:t xml:space="preserve">При проведените </w:t>
      </w:r>
      <w:r w:rsidRPr="00A72B7B">
        <w:rPr>
          <w:lang w:val="en-US"/>
        </w:rPr>
        <w:t xml:space="preserve">in-vitro </w:t>
      </w:r>
      <w:r w:rsidRPr="00A72B7B">
        <w:rPr>
          <w:lang w:eastAsia="bg-BG"/>
        </w:rPr>
        <w:t xml:space="preserve">и </w:t>
      </w:r>
      <w:r w:rsidRPr="00A72B7B">
        <w:rPr>
          <w:lang w:val="en-US"/>
        </w:rPr>
        <w:t xml:space="preserve">in-vivo </w:t>
      </w:r>
      <w:r w:rsidRPr="00A72B7B">
        <w:rPr>
          <w:lang w:eastAsia="bg-BG"/>
        </w:rPr>
        <w:t>проучвания при опитни животни е установено, че приложен във фармакологични дози, небиволол не притежава мембрано-стабилизиращо действие.</w:t>
      </w:r>
    </w:p>
    <w:p w14:paraId="72D2B9E3" w14:textId="77777777" w:rsidR="00A72B7B" w:rsidRPr="00A72B7B" w:rsidRDefault="00A72B7B" w:rsidP="00A72B7B">
      <w:pPr>
        <w:rPr>
          <w:sz w:val="24"/>
          <w:szCs w:val="24"/>
        </w:rPr>
      </w:pPr>
      <w:r w:rsidRPr="00A72B7B">
        <w:rPr>
          <w:lang w:eastAsia="bg-BG"/>
        </w:rPr>
        <w:t>При здрави доброволци, небиволол не оказва значителен ефект върху максималния физически капацитет или издръжливостта.</w:t>
      </w:r>
    </w:p>
    <w:p w14:paraId="4AA36E10" w14:textId="77777777" w:rsidR="00A72B7B" w:rsidRPr="00A72B7B" w:rsidRDefault="00A72B7B" w:rsidP="00A72B7B">
      <w:pPr>
        <w:rPr>
          <w:rFonts w:cs="Arial"/>
        </w:rPr>
      </w:pPr>
    </w:p>
    <w:p w14:paraId="26535098" w14:textId="193239BF" w:rsidR="00395555" w:rsidRDefault="002C50EE" w:rsidP="008A6AF2">
      <w:pPr>
        <w:pStyle w:val="Heading2"/>
      </w:pPr>
      <w:r>
        <w:t>5.2. Фармакокинетични свойства</w:t>
      </w:r>
    </w:p>
    <w:p w14:paraId="36DE06AA" w14:textId="7EB27D06" w:rsidR="00A72B7B" w:rsidRDefault="00A72B7B" w:rsidP="00A72B7B"/>
    <w:p w14:paraId="07AAD68B" w14:textId="77777777" w:rsidR="00A72B7B" w:rsidRPr="00A72B7B" w:rsidRDefault="00A72B7B" w:rsidP="00A72B7B">
      <w:pPr>
        <w:pStyle w:val="Heading3"/>
        <w:rPr>
          <w:rFonts w:eastAsia="Times New Roman"/>
          <w:u w:val="single"/>
        </w:rPr>
      </w:pPr>
      <w:r w:rsidRPr="00A72B7B">
        <w:rPr>
          <w:rFonts w:eastAsia="Times New Roman"/>
          <w:u w:val="single"/>
          <w:lang w:eastAsia="bg-BG"/>
        </w:rPr>
        <w:lastRenderedPageBreak/>
        <w:t>Абсорбция</w:t>
      </w:r>
    </w:p>
    <w:p w14:paraId="3FF54F7D"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И двата енантиомера на небиволол се абсорбират бързо след орален прием. Абсорбцията на небиволол не се влияе от храната; небиволол може да приема със или без храна.</w:t>
      </w:r>
    </w:p>
    <w:p w14:paraId="40F742B4"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Оралната бионаличност на небиволол е средно 12% при лица, които бързо метаболизират и фактически пълна при лица, които метаболизират бавно. В </w:t>
      </w:r>
      <w:r w:rsidRPr="00A72B7B">
        <w:rPr>
          <w:rFonts w:eastAsia="Times New Roman" w:cs="Arial"/>
          <w:color w:val="000000"/>
          <w:lang w:val="en-US"/>
        </w:rPr>
        <w:t xml:space="preserve">steady-state </w:t>
      </w:r>
      <w:r w:rsidRPr="00A72B7B">
        <w:rPr>
          <w:rFonts w:eastAsia="Times New Roman" w:cs="Arial"/>
          <w:color w:val="000000"/>
          <w:lang w:eastAsia="bg-BG"/>
        </w:rPr>
        <w:t>състояние и при едни и същи дози, пиковата плазмена концентрация на непроменения небиволол е 23 пъти по-висока при пациенти с бавен метаболизъм в сравнение с тези, с бърз метаболизъм. Ако се имат предвид сумата от непромененото лекарство плюс активните метаболити, разликата в пиковите плазмени концентрации е около 1,3-1,4 пъти. Поради различията в скоростта на метаболизиране, дозата на небиволол трябва винаги да се определя в съответствие с индивидуалните нужди на пациента: по тази причина, пациентите с бавен метаболизъм може да се нуждаят от по-ниски дози.</w:t>
      </w:r>
    </w:p>
    <w:p w14:paraId="68C6DA7D"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При повечето пациенти (с бърз метаболизъм) се достигат плазмени нива в стабилно състояние: за небиволол - в рамките на 24 часа и за няколко дни - за хидроксиметаболитите.</w:t>
      </w:r>
    </w:p>
    <w:p w14:paraId="2FB8EB37"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Плазмените концентрации са пропорционални на приетата доза в рамките на 1-30 </w:t>
      </w:r>
      <w:r w:rsidRPr="00A72B7B">
        <w:rPr>
          <w:rFonts w:eastAsia="Times New Roman" w:cs="Arial"/>
          <w:color w:val="000000"/>
          <w:lang w:val="en-US"/>
        </w:rPr>
        <w:t xml:space="preserve">mg. </w:t>
      </w:r>
      <w:r w:rsidRPr="00A72B7B">
        <w:rPr>
          <w:rFonts w:eastAsia="Times New Roman" w:cs="Arial"/>
          <w:color w:val="000000"/>
          <w:lang w:eastAsia="bg-BG"/>
        </w:rPr>
        <w:t>Възрастта не оказва влияние върху фармакокинетиката на небиволол.</w:t>
      </w:r>
    </w:p>
    <w:p w14:paraId="15072759" w14:textId="77777777" w:rsidR="00A72B7B" w:rsidRPr="00A72B7B" w:rsidRDefault="00A72B7B" w:rsidP="00A72B7B">
      <w:pPr>
        <w:spacing w:line="240" w:lineRule="auto"/>
        <w:rPr>
          <w:rFonts w:eastAsia="Times New Roman" w:cs="Arial"/>
          <w:color w:val="000000"/>
          <w:u w:val="single"/>
          <w:lang w:eastAsia="bg-BG"/>
        </w:rPr>
      </w:pPr>
    </w:p>
    <w:p w14:paraId="642475D8" w14:textId="414BD3BF" w:rsidR="00A72B7B" w:rsidRPr="00A72B7B" w:rsidRDefault="00A72B7B" w:rsidP="00A72B7B">
      <w:pPr>
        <w:pStyle w:val="Heading3"/>
        <w:rPr>
          <w:rFonts w:eastAsia="Times New Roman"/>
          <w:u w:val="single"/>
        </w:rPr>
      </w:pPr>
      <w:r w:rsidRPr="00A72B7B">
        <w:rPr>
          <w:rFonts w:eastAsia="Times New Roman"/>
          <w:u w:val="single"/>
          <w:lang w:eastAsia="bg-BG"/>
        </w:rPr>
        <w:t>Разпределение</w:t>
      </w:r>
    </w:p>
    <w:p w14:paraId="65C9C9A4"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В серума, двата енантиомера на небиволол са свързани главно с албумин.</w:t>
      </w:r>
    </w:p>
    <w:p w14:paraId="0949812F"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Свързването с плазмените протеини е 98,1% за </w:t>
      </w:r>
      <w:r w:rsidRPr="00A72B7B">
        <w:rPr>
          <w:rFonts w:eastAsia="Times New Roman" w:cs="Arial"/>
          <w:color w:val="000000"/>
          <w:lang w:val="en-US"/>
        </w:rPr>
        <w:t xml:space="preserve">SRRR- </w:t>
      </w:r>
      <w:r w:rsidRPr="00A72B7B">
        <w:rPr>
          <w:rFonts w:eastAsia="Times New Roman" w:cs="Arial"/>
          <w:color w:val="000000"/>
          <w:lang w:eastAsia="bg-BG"/>
        </w:rPr>
        <w:t xml:space="preserve">небиволол и 97,9% за </w:t>
      </w:r>
      <w:r w:rsidRPr="00A72B7B">
        <w:rPr>
          <w:rFonts w:eastAsia="Times New Roman" w:cs="Arial"/>
          <w:color w:val="000000"/>
          <w:lang w:val="en-US"/>
        </w:rPr>
        <w:t xml:space="preserve">RSSS- </w:t>
      </w:r>
      <w:r w:rsidRPr="00A72B7B">
        <w:rPr>
          <w:rFonts w:eastAsia="Times New Roman" w:cs="Arial"/>
          <w:color w:val="000000"/>
          <w:lang w:eastAsia="bg-BG"/>
        </w:rPr>
        <w:t>небиволол.</w:t>
      </w:r>
    </w:p>
    <w:p w14:paraId="5A567177" w14:textId="77777777" w:rsidR="00A72B7B" w:rsidRPr="00A72B7B" w:rsidRDefault="00A72B7B" w:rsidP="00A72B7B">
      <w:pPr>
        <w:spacing w:line="240" w:lineRule="auto"/>
        <w:rPr>
          <w:rFonts w:eastAsia="Times New Roman" w:cs="Arial"/>
          <w:color w:val="000000"/>
          <w:u w:val="single"/>
          <w:lang w:eastAsia="bg-BG"/>
        </w:rPr>
      </w:pPr>
    </w:p>
    <w:p w14:paraId="63ED8B10" w14:textId="7A6A47EE" w:rsidR="00A72B7B" w:rsidRPr="00A72B7B" w:rsidRDefault="00A72B7B" w:rsidP="00A72B7B">
      <w:pPr>
        <w:pStyle w:val="Heading3"/>
        <w:rPr>
          <w:rFonts w:eastAsia="Times New Roman"/>
          <w:u w:val="single"/>
        </w:rPr>
      </w:pPr>
      <w:r w:rsidRPr="00A72B7B">
        <w:rPr>
          <w:rFonts w:eastAsia="Times New Roman"/>
          <w:u w:val="single"/>
          <w:lang w:eastAsia="bg-BG"/>
        </w:rPr>
        <w:t>Биотранформация</w:t>
      </w:r>
    </w:p>
    <w:p w14:paraId="2AFCDE59"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Небиволол се метаболизира бързо, частично до активни хидроксилни метаболити. Небиволол се метаболизира чрез алициклично и ароматно хидроксилиране, </w:t>
      </w:r>
      <w:r w:rsidRPr="00A72B7B">
        <w:rPr>
          <w:rFonts w:eastAsia="Times New Roman" w:cs="Arial"/>
          <w:color w:val="000000"/>
          <w:lang w:val="en-US"/>
        </w:rPr>
        <w:t>N</w:t>
      </w:r>
      <w:r w:rsidRPr="00A72B7B">
        <w:rPr>
          <w:rFonts w:eastAsia="Times New Roman" w:cs="Arial"/>
          <w:color w:val="000000"/>
          <w:lang w:eastAsia="bg-BG"/>
        </w:rPr>
        <w:t xml:space="preserve">-деалкилиране и глюкуронизиране; освен това се образуват глюкурониди на хидрокси-метаболитите. Метаболизмът на небиволол чрез ароматно хидроксилиране е обект на зависим от </w:t>
      </w:r>
      <w:r w:rsidRPr="00A72B7B">
        <w:rPr>
          <w:rFonts w:eastAsia="Times New Roman" w:cs="Arial"/>
          <w:color w:val="000000"/>
          <w:lang w:val="en-US"/>
        </w:rPr>
        <w:t xml:space="preserve">CYP2D6 </w:t>
      </w:r>
      <w:r w:rsidRPr="00A72B7B">
        <w:rPr>
          <w:rFonts w:eastAsia="Times New Roman" w:cs="Arial"/>
          <w:color w:val="000000"/>
          <w:lang w:eastAsia="bg-BG"/>
        </w:rPr>
        <w:t>генетичен оксидативен полиморфизъм.</w:t>
      </w:r>
    </w:p>
    <w:p w14:paraId="78E81493" w14:textId="77777777" w:rsidR="00A72B7B" w:rsidRPr="00A72B7B" w:rsidRDefault="00A72B7B" w:rsidP="00A72B7B">
      <w:pPr>
        <w:spacing w:line="240" w:lineRule="auto"/>
        <w:rPr>
          <w:rFonts w:eastAsia="Times New Roman" w:cs="Arial"/>
          <w:color w:val="000000"/>
          <w:u w:val="single"/>
          <w:lang w:eastAsia="bg-BG"/>
        </w:rPr>
      </w:pPr>
    </w:p>
    <w:p w14:paraId="41EAC7A3" w14:textId="3975D7E4" w:rsidR="00A72B7B" w:rsidRPr="00A72B7B" w:rsidRDefault="00A72B7B" w:rsidP="00A72B7B">
      <w:pPr>
        <w:pStyle w:val="Heading3"/>
        <w:rPr>
          <w:rFonts w:eastAsia="Times New Roman"/>
          <w:u w:val="single"/>
        </w:rPr>
      </w:pPr>
      <w:r w:rsidRPr="00A72B7B">
        <w:rPr>
          <w:rFonts w:eastAsia="Times New Roman"/>
          <w:u w:val="single"/>
          <w:lang w:eastAsia="bg-BG"/>
        </w:rPr>
        <w:t>Елиминиране</w:t>
      </w:r>
    </w:p>
    <w:p w14:paraId="66F980BE" w14:textId="77777777" w:rsidR="00A72B7B" w:rsidRPr="00A72B7B" w:rsidRDefault="00A72B7B" w:rsidP="00A72B7B">
      <w:pPr>
        <w:spacing w:line="240" w:lineRule="auto"/>
        <w:rPr>
          <w:rFonts w:eastAsia="Times New Roman" w:cs="Arial"/>
        </w:rPr>
      </w:pPr>
      <w:r w:rsidRPr="00A72B7B">
        <w:rPr>
          <w:rFonts w:eastAsia="Times New Roman" w:cs="Arial"/>
          <w:color w:val="000000"/>
          <w:lang w:eastAsia="bg-BG"/>
        </w:rPr>
        <w:t xml:space="preserve">При пациентите с бърз метаболизъм елиминационният полуживот на енантиомерите на небиволол е средно 10 часа. При пациентите с бавен метаболизъм той е удължен 3-5 пъти. При пациентите с бърз метаболизъм плазмените нива на </w:t>
      </w:r>
      <w:r w:rsidRPr="00A72B7B">
        <w:rPr>
          <w:rFonts w:eastAsia="Times New Roman" w:cs="Arial"/>
          <w:color w:val="000000"/>
          <w:lang w:val="en-US"/>
        </w:rPr>
        <w:t>RSSS</w:t>
      </w:r>
      <w:r w:rsidRPr="00A72B7B">
        <w:rPr>
          <w:rFonts w:eastAsia="Times New Roman" w:cs="Arial"/>
          <w:color w:val="000000"/>
          <w:lang w:eastAsia="bg-BG"/>
        </w:rPr>
        <w:t xml:space="preserve">-енантиомера са малко по-високи от тези на </w:t>
      </w:r>
      <w:r w:rsidRPr="00A72B7B">
        <w:rPr>
          <w:rFonts w:eastAsia="Times New Roman" w:cs="Arial"/>
          <w:color w:val="000000"/>
          <w:lang w:val="en-US"/>
        </w:rPr>
        <w:t>SRRR</w:t>
      </w:r>
      <w:r w:rsidRPr="00A72B7B">
        <w:rPr>
          <w:rFonts w:eastAsia="Times New Roman" w:cs="Arial"/>
          <w:color w:val="000000"/>
          <w:lang w:eastAsia="bg-BG"/>
        </w:rPr>
        <w:t>-енантиомера. При пациентите с бавен метаболизъм, тази разлика е по-голяма. При пациентите с бърз метаболизъм елиминационният полуживот на хидроксиметаболитите на двата енантиомера е средно 24 часа, а при пациентите с бавен метаболизъм той е около два пъти по-дълъг.</w:t>
      </w:r>
    </w:p>
    <w:p w14:paraId="62D5A708" w14:textId="77777777" w:rsidR="00A72B7B" w:rsidRPr="00A72B7B" w:rsidRDefault="00A72B7B" w:rsidP="00A72B7B">
      <w:pPr>
        <w:spacing w:line="240" w:lineRule="auto"/>
        <w:rPr>
          <w:rFonts w:eastAsia="Times New Roman" w:cs="Arial"/>
          <w:color w:val="000000"/>
          <w:lang w:eastAsia="bg-BG"/>
        </w:rPr>
      </w:pPr>
    </w:p>
    <w:p w14:paraId="0CCCF2A3" w14:textId="2D850320" w:rsidR="00A72B7B" w:rsidRPr="00A72B7B" w:rsidRDefault="00A72B7B" w:rsidP="00A72B7B">
      <w:pPr>
        <w:spacing w:line="240" w:lineRule="auto"/>
        <w:rPr>
          <w:rFonts w:eastAsia="Times New Roman" w:cs="Arial"/>
        </w:rPr>
      </w:pPr>
      <w:r w:rsidRPr="00A72B7B">
        <w:rPr>
          <w:rFonts w:eastAsia="Times New Roman" w:cs="Arial"/>
          <w:color w:val="000000"/>
          <w:lang w:eastAsia="bg-BG"/>
        </w:rPr>
        <w:t>Една седмица след приема, 38% от дозата се екскретира с урината, а 48% с фекалиите. По- малко от 0,5% от приетата доза небиволол се излъчва в непроменен вид с урината.</w:t>
      </w:r>
    </w:p>
    <w:p w14:paraId="20734425" w14:textId="77777777" w:rsidR="00A72B7B" w:rsidRPr="00A72B7B" w:rsidRDefault="00A72B7B" w:rsidP="00A72B7B"/>
    <w:p w14:paraId="028E658A" w14:textId="0FFE36D1" w:rsidR="00395555" w:rsidRDefault="002C50EE" w:rsidP="008A6AF2">
      <w:pPr>
        <w:pStyle w:val="Heading2"/>
      </w:pPr>
      <w:r>
        <w:t>5.3. Предклинични данни за безопасност</w:t>
      </w:r>
    </w:p>
    <w:p w14:paraId="26899C96" w14:textId="0848E3DD" w:rsidR="00A72B7B" w:rsidRDefault="00A72B7B" w:rsidP="00A72B7B"/>
    <w:p w14:paraId="6F5A3FB1" w14:textId="7AF265BF" w:rsidR="00A72B7B" w:rsidRPr="00A72B7B" w:rsidRDefault="00A72B7B" w:rsidP="00A72B7B">
      <w:r>
        <w:t>Предклиничните данни не показват особен риск за хората въз основа на конвенционалнито изпитвания за генотоксичност и карциногенен потенциал.</w:t>
      </w:r>
    </w:p>
    <w:p w14:paraId="6A7820AB" w14:textId="403659CE" w:rsidR="008A6AF2" w:rsidRDefault="002C50EE" w:rsidP="00395555">
      <w:pPr>
        <w:pStyle w:val="Heading1"/>
      </w:pPr>
      <w:r>
        <w:lastRenderedPageBreak/>
        <w:t>7. ПРИТЕЖАТЕЛ НА РАЗРЕШЕНИЕТО ЗА УПОТРЕБА</w:t>
      </w:r>
    </w:p>
    <w:p w14:paraId="002012C6" w14:textId="697CEEB9" w:rsidR="00A72B7B" w:rsidRDefault="00A72B7B" w:rsidP="00A72B7B"/>
    <w:p w14:paraId="6ACE7A47" w14:textId="77777777" w:rsidR="00A72B7B" w:rsidRPr="00A72B7B" w:rsidRDefault="00A72B7B" w:rsidP="00A72B7B">
      <w:pPr>
        <w:rPr>
          <w:sz w:val="24"/>
          <w:szCs w:val="24"/>
          <w:lang w:val="en-US"/>
        </w:rPr>
      </w:pPr>
      <w:r w:rsidRPr="00A72B7B">
        <w:rPr>
          <w:lang w:val="en-US"/>
        </w:rPr>
        <w:t xml:space="preserve">G. L. Pharma GmbH, </w:t>
      </w:r>
      <w:proofErr w:type="spellStart"/>
      <w:r w:rsidRPr="00A72B7B">
        <w:rPr>
          <w:lang w:val="en-US"/>
        </w:rPr>
        <w:t>Schlossplatz</w:t>
      </w:r>
      <w:proofErr w:type="spellEnd"/>
      <w:r w:rsidRPr="00A72B7B">
        <w:rPr>
          <w:lang w:val="en-US"/>
        </w:rPr>
        <w:t xml:space="preserve"> </w:t>
      </w:r>
      <w:r w:rsidRPr="00A72B7B">
        <w:rPr>
          <w:lang w:eastAsia="bg-BG"/>
        </w:rPr>
        <w:t xml:space="preserve">1, 8502 </w:t>
      </w:r>
      <w:proofErr w:type="spellStart"/>
      <w:r w:rsidRPr="00A72B7B">
        <w:rPr>
          <w:lang w:val="en-US"/>
        </w:rPr>
        <w:t>Lannach</w:t>
      </w:r>
      <w:proofErr w:type="spellEnd"/>
      <w:r w:rsidRPr="00A72B7B">
        <w:rPr>
          <w:lang w:val="en-US"/>
        </w:rPr>
        <w:t xml:space="preserve">, </w:t>
      </w:r>
      <w:r w:rsidRPr="00A72B7B">
        <w:rPr>
          <w:lang w:eastAsia="bg-BG"/>
        </w:rPr>
        <w:t>Австрия</w:t>
      </w:r>
    </w:p>
    <w:p w14:paraId="78DF2345" w14:textId="77777777" w:rsidR="00A72B7B" w:rsidRPr="00A72B7B" w:rsidRDefault="00A72B7B" w:rsidP="00A72B7B"/>
    <w:p w14:paraId="04840D59" w14:textId="6ADF6DD0" w:rsidR="002C50EE" w:rsidRDefault="002C50EE" w:rsidP="00395555">
      <w:pPr>
        <w:pStyle w:val="Heading1"/>
      </w:pPr>
      <w:r>
        <w:t>8. НОМЕР НА РАЗРЕШЕНИЕТО ЗА УПОТРЕБА</w:t>
      </w:r>
    </w:p>
    <w:p w14:paraId="1884A5F9" w14:textId="33DFFA07" w:rsidR="00A72B7B" w:rsidRDefault="00A72B7B" w:rsidP="00A72B7B"/>
    <w:p w14:paraId="3287BDB4" w14:textId="0CE25BD9" w:rsidR="00A72B7B" w:rsidRPr="00A72B7B" w:rsidRDefault="00A72B7B" w:rsidP="00A72B7B">
      <w:r>
        <w:t>20090315</w:t>
      </w:r>
    </w:p>
    <w:p w14:paraId="2CCB5832" w14:textId="62EA3D1E" w:rsidR="007C605B" w:rsidRDefault="002C50EE" w:rsidP="007C605B">
      <w:pPr>
        <w:pStyle w:val="Heading1"/>
      </w:pPr>
      <w:r>
        <w:t>9. ДАТА НА ПЪРВО РАЗРЕШАВАНЕ/ПОДНОВЯВАНЕ НА РАЗРЕШЕНИЕТО ЗА УПОТРЕБА</w:t>
      </w:r>
    </w:p>
    <w:p w14:paraId="4F3784F5" w14:textId="1FF49BC6" w:rsidR="00A72B7B" w:rsidRDefault="00A72B7B" w:rsidP="00A72B7B"/>
    <w:p w14:paraId="0608BC92" w14:textId="269BBF2D" w:rsidR="00A72B7B" w:rsidRPr="00A72B7B" w:rsidRDefault="00A72B7B" w:rsidP="00A72B7B">
      <w:r>
        <w:t>Дата на първо разрешаване за употреба: 30.06.2009</w:t>
      </w:r>
    </w:p>
    <w:p w14:paraId="0E9D0119" w14:textId="0245C6D7" w:rsidR="002C50EE" w:rsidRDefault="002C50EE" w:rsidP="002C50EE">
      <w:pPr>
        <w:pStyle w:val="Heading1"/>
      </w:pPr>
      <w:r>
        <w:t>10. ДАТА НА АКТУАЛИЗИРАНЕ НА ТЕКСТА</w:t>
      </w:r>
    </w:p>
    <w:bookmarkEnd w:id="0"/>
    <w:p w14:paraId="43FB38A2" w14:textId="4001F2A5" w:rsidR="007C605B" w:rsidRDefault="007C605B" w:rsidP="00395555"/>
    <w:p w14:paraId="1418797A" w14:textId="77777777" w:rsidR="00A72B7B" w:rsidRPr="00A72B7B" w:rsidRDefault="00A72B7B" w:rsidP="00A72B7B">
      <w:pPr>
        <w:rPr>
          <w:sz w:val="24"/>
          <w:szCs w:val="24"/>
        </w:rPr>
      </w:pPr>
      <w:bookmarkStart w:id="1" w:name="_GoBack"/>
      <w:r w:rsidRPr="00A72B7B">
        <w:rPr>
          <w:lang w:eastAsia="bg-BG"/>
        </w:rPr>
        <w:t>Февруари/2017</w:t>
      </w:r>
    </w:p>
    <w:bookmarkEnd w:id="1"/>
    <w:p w14:paraId="25C680DB" w14:textId="77777777" w:rsidR="00A72B7B" w:rsidRPr="003E3126" w:rsidRDefault="00A72B7B" w:rsidP="00395555"/>
    <w:sectPr w:rsidR="00A72B7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66BEB"/>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176E"/>
    <w:multiLevelType w:val="hybridMultilevel"/>
    <w:tmpl w:val="2630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46FAF"/>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7"/>
  </w:num>
  <w:num w:numId="20">
    <w:abstractNumId w:val="23"/>
  </w:num>
  <w:num w:numId="21">
    <w:abstractNumId w:val="17"/>
  </w:num>
  <w:num w:numId="22">
    <w:abstractNumId w:val="26"/>
  </w:num>
  <w:num w:numId="23">
    <w:abstractNumId w:val="18"/>
  </w:num>
  <w:num w:numId="24">
    <w:abstractNumId w:val="9"/>
  </w:num>
  <w:num w:numId="25">
    <w:abstractNumId w:val="22"/>
  </w:num>
  <w:num w:numId="26">
    <w:abstractNumId w:val="21"/>
  </w:num>
  <w:num w:numId="27">
    <w:abstractNumId w:val="31"/>
  </w:num>
  <w:num w:numId="28">
    <w:abstractNumId w:val="7"/>
  </w:num>
  <w:num w:numId="29">
    <w:abstractNumId w:val="20"/>
  </w:num>
  <w:num w:numId="30">
    <w:abstractNumId w:val="33"/>
  </w:num>
  <w:num w:numId="31">
    <w:abstractNumId w:val="5"/>
  </w:num>
  <w:num w:numId="32">
    <w:abstractNumId w:val="6"/>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72B7B"/>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4264</Words>
  <Characters>24309</Characters>
  <Application>Microsoft Office Word</Application>
  <DocSecurity>0</DocSecurity>
  <Lines>202</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2021-11-09T12:07:00Z</dcterms:created>
  <dcterms:modified xsi:type="dcterms:W3CDTF">2021-11-09T12:07:00Z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