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28012C85" w:rsidR="0091385D" w:rsidRDefault="0091385D" w:rsidP="0091385D"/>
    <w:p w14:paraId="2DC46BCE" w14:textId="77777777" w:rsidR="00B55E92" w:rsidRPr="00B55E92" w:rsidRDefault="00B55E92" w:rsidP="00B55E92">
      <w:pPr>
        <w:spacing w:line="240" w:lineRule="auto"/>
        <w:rPr>
          <w:rFonts w:eastAsia="Times New Roman" w:cs="Arial"/>
          <w:sz w:val="24"/>
          <w:szCs w:val="24"/>
          <w:lang w:val="en-US" w:eastAsia="bg-BG"/>
        </w:rPr>
      </w:pPr>
      <w:r w:rsidRPr="00B55E92">
        <w:rPr>
          <w:rFonts w:eastAsia="Times New Roman" w:cs="Arial"/>
          <w:color w:val="000000"/>
          <w:lang w:eastAsia="bg-BG"/>
        </w:rPr>
        <w:t xml:space="preserve">Небилет 5 </w:t>
      </w:r>
      <w:r w:rsidRPr="00B55E92">
        <w:rPr>
          <w:rFonts w:eastAsia="Times New Roman" w:cs="Arial"/>
          <w:color w:val="000000"/>
          <w:lang w:val="en-US"/>
        </w:rPr>
        <w:t xml:space="preserve">mg </w:t>
      </w:r>
      <w:r w:rsidRPr="00B55E92">
        <w:rPr>
          <w:rFonts w:eastAsia="Times New Roman" w:cs="Arial"/>
          <w:color w:val="000000"/>
          <w:lang w:eastAsia="bg-BG"/>
        </w:rPr>
        <w:t>таблетки</w:t>
      </w:r>
    </w:p>
    <w:p w14:paraId="5015A1FD" w14:textId="636876B4" w:rsidR="00A73575" w:rsidRPr="00B55E92" w:rsidRDefault="00B55E92" w:rsidP="00B55E92">
      <w:pPr>
        <w:rPr>
          <w:rFonts w:cs="Arial"/>
        </w:rPr>
      </w:pPr>
      <w:proofErr w:type="spellStart"/>
      <w:r w:rsidRPr="00B55E92">
        <w:rPr>
          <w:rFonts w:eastAsia="Times New Roman" w:cs="Arial"/>
          <w:color w:val="000000"/>
          <w:lang w:val="en-US"/>
        </w:rPr>
        <w:t>Nebilet</w:t>
      </w:r>
      <w:proofErr w:type="spellEnd"/>
      <w:r w:rsidRPr="00B55E92">
        <w:rPr>
          <w:rFonts w:eastAsia="Times New Roman" w:cs="Arial"/>
          <w:color w:val="000000"/>
          <w:lang w:val="en-US"/>
        </w:rPr>
        <w:t xml:space="preserve"> </w:t>
      </w:r>
      <w:r w:rsidRPr="00B55E92">
        <w:rPr>
          <w:rFonts w:eastAsia="Times New Roman" w:cs="Arial"/>
          <w:color w:val="000000"/>
          <w:lang w:eastAsia="bg-BG"/>
        </w:rPr>
        <w:t xml:space="preserve">5 </w:t>
      </w:r>
      <w:r w:rsidRPr="00B55E92">
        <w:rPr>
          <w:rFonts w:eastAsia="Times New Roman" w:cs="Arial"/>
          <w:color w:val="000000"/>
          <w:lang w:val="en-US"/>
        </w:rPr>
        <w:t>mg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288788EF" w:rsidR="0091385D" w:rsidRDefault="0091385D" w:rsidP="0091385D"/>
    <w:p w14:paraId="792B3A05"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 xml:space="preserve">Всяка таблетка Небилет съдържа 5 </w:t>
      </w:r>
      <w:r w:rsidRPr="00B55E92">
        <w:rPr>
          <w:rFonts w:eastAsia="Times New Roman" w:cs="Arial"/>
          <w:color w:val="000000"/>
          <w:lang w:val="en-US"/>
        </w:rPr>
        <w:t xml:space="preserve">mg </w:t>
      </w:r>
      <w:r w:rsidRPr="00B55E92">
        <w:rPr>
          <w:rFonts w:eastAsia="Times New Roman" w:cs="Arial"/>
          <w:color w:val="000000"/>
          <w:lang w:eastAsia="bg-BG"/>
        </w:rPr>
        <w:t xml:space="preserve">небиволол (като небиволол хидрохлорид): 2,5 </w:t>
      </w:r>
      <w:r w:rsidRPr="00B55E92">
        <w:rPr>
          <w:rFonts w:eastAsia="Times New Roman" w:cs="Arial"/>
          <w:color w:val="000000"/>
          <w:lang w:val="en-US"/>
        </w:rPr>
        <w:t xml:space="preserve">mg SRRR- </w:t>
      </w:r>
      <w:r w:rsidRPr="00B55E92">
        <w:rPr>
          <w:rFonts w:eastAsia="Times New Roman" w:cs="Arial"/>
          <w:color w:val="000000"/>
          <w:lang w:eastAsia="bg-BG"/>
        </w:rPr>
        <w:t xml:space="preserve">небиволол (или </w:t>
      </w:r>
      <w:r w:rsidRPr="00B55E92">
        <w:rPr>
          <w:rFonts w:eastAsia="Times New Roman" w:cs="Arial"/>
          <w:color w:val="000000"/>
          <w:lang w:val="en-US"/>
        </w:rPr>
        <w:t>d</w:t>
      </w:r>
      <w:r w:rsidRPr="00B55E92">
        <w:rPr>
          <w:rFonts w:eastAsia="Times New Roman" w:cs="Arial"/>
          <w:color w:val="000000"/>
          <w:lang w:eastAsia="bg-BG"/>
        </w:rPr>
        <w:t xml:space="preserve">-небиволол) и 2,5 </w:t>
      </w:r>
      <w:r w:rsidRPr="00B55E92">
        <w:rPr>
          <w:rFonts w:eastAsia="Times New Roman" w:cs="Arial"/>
          <w:color w:val="000000"/>
          <w:lang w:val="en-US"/>
        </w:rPr>
        <w:t>mg RSSS</w:t>
      </w:r>
      <w:r w:rsidRPr="00B55E92">
        <w:rPr>
          <w:rFonts w:eastAsia="Times New Roman" w:cs="Arial"/>
          <w:color w:val="000000"/>
          <w:lang w:eastAsia="bg-BG"/>
        </w:rPr>
        <w:t>-небиволол (или 1-небиволол).</w:t>
      </w:r>
    </w:p>
    <w:p w14:paraId="5E08CCC9" w14:textId="77777777" w:rsidR="00B55E92" w:rsidRPr="00B55E92" w:rsidRDefault="00B55E92" w:rsidP="00B55E92">
      <w:pPr>
        <w:spacing w:line="240" w:lineRule="auto"/>
        <w:rPr>
          <w:rFonts w:eastAsia="Times New Roman" w:cs="Arial"/>
          <w:color w:val="000000"/>
          <w:lang w:eastAsia="bg-BG"/>
        </w:rPr>
      </w:pPr>
    </w:p>
    <w:p w14:paraId="0A5DBC4B" w14:textId="1C860F61"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 xml:space="preserve">Помощно вещество с известно действие: всяка таблетка съдържа 141,75 </w:t>
      </w:r>
      <w:r w:rsidRPr="00B55E92">
        <w:rPr>
          <w:rFonts w:eastAsia="Times New Roman" w:cs="Arial"/>
          <w:color w:val="000000"/>
          <w:lang w:val="en-US"/>
        </w:rPr>
        <w:t xml:space="preserve">mg </w:t>
      </w:r>
      <w:r w:rsidRPr="00B55E92">
        <w:rPr>
          <w:rFonts w:eastAsia="Times New Roman" w:cs="Arial"/>
          <w:color w:val="000000"/>
          <w:lang w:eastAsia="bg-BG"/>
        </w:rPr>
        <w:t>лактоза монохидрат (вж. т. 4.4 и 6.1).</w:t>
      </w:r>
    </w:p>
    <w:p w14:paraId="03110A50" w14:textId="490D4111" w:rsidR="0091385D" w:rsidRPr="00B55E92" w:rsidRDefault="00B55E92" w:rsidP="00B55E92">
      <w:pPr>
        <w:rPr>
          <w:rFonts w:cs="Arial"/>
        </w:rPr>
      </w:pPr>
      <w:r w:rsidRPr="00B55E92">
        <w:rPr>
          <w:rFonts w:eastAsia="Times New Roman" w:cs="Arial"/>
          <w:color w:val="00000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277B91E7" w:rsidR="0091385D" w:rsidRDefault="0091385D" w:rsidP="0091385D"/>
    <w:p w14:paraId="39790927"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Таблетка</w:t>
      </w:r>
    </w:p>
    <w:p w14:paraId="7360F37C"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Бяла, кръгла таблетка, с две делителни черти на кръст.</w:t>
      </w:r>
    </w:p>
    <w:p w14:paraId="4129ADBB" w14:textId="6969BF79" w:rsidR="0091385D" w:rsidRPr="00B55E92" w:rsidRDefault="00B55E92" w:rsidP="00B55E92">
      <w:pPr>
        <w:rPr>
          <w:rFonts w:cs="Arial"/>
        </w:rPr>
      </w:pPr>
      <w:r w:rsidRPr="00B55E92">
        <w:rPr>
          <w:rFonts w:eastAsia="Times New Roman" w:cs="Arial"/>
          <w:color w:val="000000"/>
          <w:lang w:eastAsia="bg-BG"/>
        </w:rPr>
        <w:t>Таблетката може да бъде разделена на четири равни дози.</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487AA2DD"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u w:val="single"/>
          <w:lang w:eastAsia="bg-BG"/>
        </w:rPr>
        <w:t>Хипертония</w:t>
      </w:r>
    </w:p>
    <w:p w14:paraId="23C6D93F"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Лечение на есенциална хипертония.</w:t>
      </w:r>
    </w:p>
    <w:p w14:paraId="1DE0A6E1" w14:textId="77777777" w:rsidR="00B55E92" w:rsidRPr="00B55E92" w:rsidRDefault="00B55E92" w:rsidP="00B55E92">
      <w:pPr>
        <w:spacing w:line="240" w:lineRule="auto"/>
        <w:rPr>
          <w:rFonts w:eastAsia="Times New Roman" w:cs="Arial"/>
          <w:color w:val="000000"/>
          <w:u w:val="single"/>
          <w:lang w:eastAsia="bg-BG"/>
        </w:rPr>
      </w:pPr>
    </w:p>
    <w:p w14:paraId="1E88FB03" w14:textId="46EA197D"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u w:val="single"/>
          <w:lang w:eastAsia="bg-BG"/>
        </w:rPr>
        <w:t>Хронична сърдечна недостатъчност (ХСН)</w:t>
      </w:r>
    </w:p>
    <w:p w14:paraId="04B2E99C" w14:textId="0812739E" w:rsidR="0091385D" w:rsidRPr="00B55E92" w:rsidRDefault="00B55E92" w:rsidP="00B55E92">
      <w:pPr>
        <w:rPr>
          <w:rFonts w:cs="Arial"/>
        </w:rPr>
      </w:pPr>
      <w:r w:rsidRPr="00B55E92">
        <w:rPr>
          <w:rFonts w:eastAsia="Times New Roman" w:cs="Arial"/>
          <w:color w:val="000000"/>
          <w:lang w:eastAsia="bg-BG"/>
        </w:rPr>
        <w:t>Лечение на стабилна лека до умерена хронична сърдечна недостатъчност в допълнение към основното лечение при пациенти в напреднала възраст (≥</w:t>
      </w:r>
      <w:r w:rsidRPr="00B55E92">
        <w:rPr>
          <w:rFonts w:eastAsia="Times New Roman" w:cs="Arial"/>
          <w:color w:val="000000"/>
          <w:lang w:val="en-US"/>
        </w:rPr>
        <w:t xml:space="preserve"> </w:t>
      </w:r>
      <w:r w:rsidRPr="00B55E92">
        <w:rPr>
          <w:rFonts w:eastAsia="Times New Roman" w:cs="Arial"/>
          <w:color w:val="000000"/>
          <w:lang w:eastAsia="bg-BG"/>
        </w:rPr>
        <w:t>70 години).</w:t>
      </w:r>
    </w:p>
    <w:p w14:paraId="6DFA4B9D" w14:textId="77777777" w:rsidR="0091385D" w:rsidRPr="0091385D" w:rsidRDefault="0091385D" w:rsidP="0091385D"/>
    <w:p w14:paraId="30BE2C7B" w14:textId="3633C1E4" w:rsidR="008134C8" w:rsidRDefault="002C50EE" w:rsidP="004A448E">
      <w:pPr>
        <w:pStyle w:val="Heading2"/>
      </w:pPr>
      <w:r>
        <w:t>4.2. Дозировка и начин на приложение</w:t>
      </w:r>
    </w:p>
    <w:p w14:paraId="7AA22B68" w14:textId="3A681DFB" w:rsidR="0091385D" w:rsidRDefault="0091385D" w:rsidP="0091385D"/>
    <w:p w14:paraId="33F3AEB3" w14:textId="77777777" w:rsidR="00B55E92" w:rsidRPr="00B55E92" w:rsidRDefault="00B55E92" w:rsidP="00B55E92">
      <w:pPr>
        <w:pStyle w:val="Heading3"/>
        <w:rPr>
          <w:rFonts w:eastAsia="Times New Roman"/>
          <w:u w:val="single"/>
          <w:lang w:eastAsia="bg-BG"/>
        </w:rPr>
      </w:pPr>
      <w:r w:rsidRPr="00B55E92">
        <w:rPr>
          <w:rFonts w:eastAsia="Times New Roman"/>
          <w:u w:val="single"/>
          <w:lang w:eastAsia="bg-BG"/>
        </w:rPr>
        <w:t>Дозировка</w:t>
      </w:r>
    </w:p>
    <w:p w14:paraId="70C8356C" w14:textId="77777777" w:rsidR="00B55E92" w:rsidRPr="00B55E92" w:rsidRDefault="00B55E92" w:rsidP="00B55E92">
      <w:pPr>
        <w:spacing w:line="240" w:lineRule="auto"/>
        <w:rPr>
          <w:rFonts w:eastAsia="Times New Roman" w:cs="Arial"/>
          <w:color w:val="000000"/>
          <w:u w:val="single"/>
          <w:lang w:eastAsia="bg-BG"/>
        </w:rPr>
      </w:pPr>
    </w:p>
    <w:p w14:paraId="2681CD84" w14:textId="659A7004"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u w:val="single"/>
          <w:lang w:eastAsia="bg-BG"/>
        </w:rPr>
        <w:t>Хипертония</w:t>
      </w:r>
    </w:p>
    <w:p w14:paraId="2F8BBB4D" w14:textId="77777777" w:rsidR="00B55E92" w:rsidRPr="00B55E92" w:rsidRDefault="00B55E92" w:rsidP="00B55E92">
      <w:pPr>
        <w:spacing w:line="240" w:lineRule="auto"/>
        <w:rPr>
          <w:rFonts w:eastAsia="Times New Roman" w:cs="Arial"/>
          <w:i/>
          <w:iCs/>
          <w:color w:val="000000"/>
          <w:lang w:eastAsia="bg-BG"/>
        </w:rPr>
      </w:pPr>
    </w:p>
    <w:p w14:paraId="5CB5F52D" w14:textId="4BB6669F" w:rsidR="00B55E92" w:rsidRPr="00B55E92" w:rsidRDefault="00B55E92" w:rsidP="00B55E92">
      <w:pPr>
        <w:spacing w:line="240" w:lineRule="auto"/>
        <w:rPr>
          <w:rFonts w:eastAsia="Times New Roman" w:cs="Arial"/>
          <w:sz w:val="24"/>
          <w:szCs w:val="24"/>
          <w:lang w:eastAsia="bg-BG"/>
        </w:rPr>
      </w:pPr>
      <w:r w:rsidRPr="00B55E92">
        <w:rPr>
          <w:rFonts w:eastAsia="Times New Roman" w:cs="Arial"/>
          <w:i/>
          <w:iCs/>
          <w:color w:val="000000"/>
          <w:lang w:eastAsia="bg-BG"/>
        </w:rPr>
        <w:t>Възрастни</w:t>
      </w:r>
    </w:p>
    <w:p w14:paraId="4B8BB057"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 xml:space="preserve">Дозата е една таблетка (5 </w:t>
      </w:r>
      <w:r w:rsidRPr="00B55E92">
        <w:rPr>
          <w:rFonts w:eastAsia="Times New Roman" w:cs="Arial"/>
          <w:color w:val="000000"/>
          <w:lang w:val="en-US"/>
        </w:rPr>
        <w:t xml:space="preserve">mg) </w:t>
      </w:r>
      <w:r w:rsidRPr="00B55E92">
        <w:rPr>
          <w:rFonts w:eastAsia="Times New Roman" w:cs="Arial"/>
          <w:color w:val="000000"/>
          <w:lang w:eastAsia="bg-BG"/>
        </w:rPr>
        <w:t>дневно, за предпочитане по едно и също време на деня.</w:t>
      </w:r>
    </w:p>
    <w:p w14:paraId="48F8D026"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lastRenderedPageBreak/>
        <w:t>Антихипертензивният ефект се проявява след 1-2 седмици от началото на лечението.</w:t>
      </w:r>
    </w:p>
    <w:p w14:paraId="0C5613C8"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Обикновено оптималният ефект се постига само след 4 седмици.</w:t>
      </w:r>
    </w:p>
    <w:p w14:paraId="14D7E33A" w14:textId="77777777" w:rsidR="00B55E92" w:rsidRPr="00B55E92" w:rsidRDefault="00B55E92" w:rsidP="00B55E92">
      <w:pPr>
        <w:spacing w:line="240" w:lineRule="auto"/>
        <w:rPr>
          <w:rFonts w:eastAsia="Times New Roman" w:cs="Arial"/>
          <w:i/>
          <w:iCs/>
          <w:color w:val="000000"/>
          <w:lang w:eastAsia="bg-BG"/>
        </w:rPr>
      </w:pPr>
    </w:p>
    <w:p w14:paraId="5D418831" w14:textId="1E9D5523" w:rsidR="00B55E92" w:rsidRPr="00B55E92" w:rsidRDefault="00B55E92" w:rsidP="00B55E92">
      <w:pPr>
        <w:spacing w:line="240" w:lineRule="auto"/>
        <w:rPr>
          <w:rFonts w:eastAsia="Times New Roman" w:cs="Arial"/>
          <w:sz w:val="24"/>
          <w:szCs w:val="24"/>
          <w:lang w:eastAsia="bg-BG"/>
        </w:rPr>
      </w:pPr>
      <w:r w:rsidRPr="00B55E92">
        <w:rPr>
          <w:rFonts w:eastAsia="Times New Roman" w:cs="Arial"/>
          <w:i/>
          <w:iCs/>
          <w:color w:val="000000"/>
          <w:lang w:eastAsia="bg-BG"/>
        </w:rPr>
        <w:t>Комбинация с други антихипертензивни лекарства</w:t>
      </w:r>
    </w:p>
    <w:p w14:paraId="3612A3E8"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 xml:space="preserve">Бета-блокерите могат да се използват самостоятелно или в комбинация с други антихипертензивни лекарства. До момента допълнителен антихипертензивен ефект е наблюдаван само при комбинация на Небилет 5 </w:t>
      </w:r>
      <w:r w:rsidRPr="00B55E92">
        <w:rPr>
          <w:rFonts w:eastAsia="Times New Roman" w:cs="Arial"/>
          <w:color w:val="000000"/>
          <w:lang w:val="en-US"/>
        </w:rPr>
        <w:t xml:space="preserve">mg </w:t>
      </w:r>
      <w:r w:rsidRPr="00B55E92">
        <w:rPr>
          <w:rFonts w:eastAsia="Times New Roman" w:cs="Arial"/>
          <w:color w:val="000000"/>
          <w:lang w:eastAsia="bg-BG"/>
        </w:rPr>
        <w:t xml:space="preserve">с хидрохлортиазид 12,5-25 </w:t>
      </w:r>
      <w:r w:rsidRPr="00B55E92">
        <w:rPr>
          <w:rFonts w:eastAsia="Times New Roman" w:cs="Arial"/>
          <w:color w:val="000000"/>
          <w:lang w:val="en-US"/>
        </w:rPr>
        <w:t>mg.</w:t>
      </w:r>
    </w:p>
    <w:p w14:paraId="3FA00FF3" w14:textId="77777777" w:rsidR="00B55E92" w:rsidRPr="00B55E92" w:rsidRDefault="00B55E92" w:rsidP="00B55E92">
      <w:pPr>
        <w:spacing w:line="240" w:lineRule="auto"/>
        <w:rPr>
          <w:rFonts w:eastAsia="Times New Roman" w:cs="Arial"/>
          <w:i/>
          <w:iCs/>
          <w:color w:val="000000"/>
          <w:lang w:eastAsia="bg-BG"/>
        </w:rPr>
      </w:pPr>
    </w:p>
    <w:p w14:paraId="0426C889" w14:textId="3934F4CC" w:rsidR="00B55E92" w:rsidRPr="00B55E92" w:rsidRDefault="00B55E92" w:rsidP="00B55E92">
      <w:pPr>
        <w:spacing w:line="240" w:lineRule="auto"/>
        <w:rPr>
          <w:rFonts w:eastAsia="Times New Roman" w:cs="Arial"/>
          <w:sz w:val="24"/>
          <w:szCs w:val="24"/>
          <w:lang w:eastAsia="bg-BG"/>
        </w:rPr>
      </w:pPr>
      <w:r w:rsidRPr="00B55E92">
        <w:rPr>
          <w:rFonts w:eastAsia="Times New Roman" w:cs="Arial"/>
          <w:i/>
          <w:iCs/>
          <w:color w:val="000000"/>
          <w:lang w:eastAsia="bg-BG"/>
        </w:rPr>
        <w:t>Пациенти с бъбречна недостатъчност</w:t>
      </w:r>
    </w:p>
    <w:p w14:paraId="02954796" w14:textId="131FE046"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Препоръчителната начална доза при пациенти с бъбречна недостатъчност е</w:t>
      </w:r>
      <w:r w:rsidRPr="00B55E92">
        <w:rPr>
          <w:rFonts w:eastAsia="Times New Roman" w:cs="Arial"/>
          <w:color w:val="000000"/>
          <w:lang w:val="en-US"/>
        </w:rPr>
        <w:t xml:space="preserve"> 2,5</w:t>
      </w:r>
      <w:r w:rsidRPr="00B55E92">
        <w:rPr>
          <w:rFonts w:eastAsia="Times New Roman" w:cs="Arial"/>
          <w:color w:val="000000"/>
          <w:lang w:eastAsia="bg-BG"/>
        </w:rPr>
        <w:t xml:space="preserve"> </w:t>
      </w:r>
      <w:r w:rsidRPr="00B55E92">
        <w:rPr>
          <w:rFonts w:eastAsia="Times New Roman" w:cs="Arial"/>
          <w:color w:val="000000"/>
          <w:lang w:val="en-US"/>
        </w:rPr>
        <w:t>mg/</w:t>
      </w:r>
      <w:r w:rsidRPr="00B55E92">
        <w:rPr>
          <w:rFonts w:eastAsia="Times New Roman" w:cs="Arial"/>
          <w:color w:val="000000"/>
          <w:lang w:eastAsia="bg-BG"/>
        </w:rPr>
        <w:t>дневно.</w:t>
      </w:r>
      <w:r w:rsidRPr="00B55E92">
        <w:rPr>
          <w:rFonts w:eastAsia="Times New Roman" w:cs="Arial"/>
          <w:color w:val="000000"/>
          <w:lang w:val="en-US"/>
        </w:rPr>
        <w:t xml:space="preserve"> </w:t>
      </w:r>
      <w:r w:rsidRPr="00B55E92">
        <w:rPr>
          <w:rFonts w:eastAsia="Times New Roman" w:cs="Arial"/>
          <w:color w:val="000000"/>
          <w:lang w:eastAsia="bg-BG"/>
        </w:rPr>
        <w:t>При</w:t>
      </w:r>
      <w:r>
        <w:rPr>
          <w:rFonts w:eastAsia="Times New Roman" w:cs="Arial"/>
          <w:sz w:val="24"/>
          <w:szCs w:val="24"/>
          <w:lang w:eastAsia="bg-BG"/>
        </w:rPr>
        <w:t xml:space="preserve"> </w:t>
      </w:r>
      <w:r w:rsidRPr="00B55E92">
        <w:rPr>
          <w:rFonts w:eastAsia="Times New Roman" w:cs="Arial"/>
          <w:color w:val="000000"/>
          <w:lang w:eastAsia="bg-BG"/>
        </w:rPr>
        <w:t xml:space="preserve">необходимост дневната доза може да се увеличи до 5 </w:t>
      </w:r>
      <w:r w:rsidRPr="00B55E92">
        <w:rPr>
          <w:rFonts w:eastAsia="Times New Roman" w:cs="Arial"/>
          <w:color w:val="000000"/>
          <w:lang w:val="en-US"/>
        </w:rPr>
        <w:t>mg.</w:t>
      </w:r>
    </w:p>
    <w:p w14:paraId="1B9479AB" w14:textId="77777777" w:rsidR="00B55E92" w:rsidRPr="00B55E92" w:rsidRDefault="00B55E92" w:rsidP="00B55E92">
      <w:pPr>
        <w:rPr>
          <w:rFonts w:eastAsia="Times New Roman" w:cs="Arial"/>
          <w:i/>
          <w:iCs/>
          <w:color w:val="000000"/>
          <w:lang w:eastAsia="bg-BG"/>
        </w:rPr>
      </w:pPr>
    </w:p>
    <w:p w14:paraId="475300EC" w14:textId="7A90AEF2" w:rsidR="0091385D" w:rsidRPr="00B55E92" w:rsidRDefault="00B55E92" w:rsidP="00B55E92">
      <w:pPr>
        <w:rPr>
          <w:rFonts w:cs="Arial"/>
        </w:rPr>
      </w:pPr>
      <w:r w:rsidRPr="00B55E92">
        <w:rPr>
          <w:rFonts w:eastAsia="Times New Roman" w:cs="Arial"/>
          <w:i/>
          <w:iCs/>
          <w:color w:val="000000"/>
          <w:lang w:eastAsia="bg-BG"/>
        </w:rPr>
        <w:t>Пациенти с чернодроона недостатъчност</w:t>
      </w:r>
    </w:p>
    <w:p w14:paraId="68523561" w14:textId="77777777" w:rsidR="00B55E92" w:rsidRPr="00B55E92" w:rsidRDefault="00B55E92" w:rsidP="00B55E92">
      <w:pPr>
        <w:spacing w:line="240" w:lineRule="auto"/>
        <w:rPr>
          <w:rFonts w:eastAsia="Times New Roman" w:cs="Arial"/>
          <w:lang w:eastAsia="bg-BG"/>
        </w:rPr>
      </w:pPr>
      <w:r w:rsidRPr="00B55E92">
        <w:rPr>
          <w:rFonts w:eastAsia="Times New Roman" w:cs="Arial"/>
          <w:color w:val="000000"/>
          <w:lang w:eastAsia="bg-BG"/>
        </w:rPr>
        <w:t>Данните за пациенти с чернодробна недостатъчност или нарушена чернодробна функция са ограничени. Ето защо приложението на Небилет при тези пациенти е противопоказано.</w:t>
      </w:r>
    </w:p>
    <w:p w14:paraId="02437484" w14:textId="77777777" w:rsidR="00B55E92" w:rsidRPr="00B55E92" w:rsidRDefault="00B55E92" w:rsidP="00B55E92">
      <w:pPr>
        <w:spacing w:line="240" w:lineRule="auto"/>
        <w:rPr>
          <w:rFonts w:eastAsia="Times New Roman" w:cs="Arial"/>
          <w:i/>
          <w:iCs/>
          <w:color w:val="000000"/>
          <w:lang w:eastAsia="bg-BG"/>
        </w:rPr>
      </w:pPr>
    </w:p>
    <w:p w14:paraId="34D6B3AA" w14:textId="3647F9B5" w:rsidR="00B55E92" w:rsidRPr="00B55E92" w:rsidRDefault="00B55E92" w:rsidP="00B55E92">
      <w:pPr>
        <w:spacing w:line="240" w:lineRule="auto"/>
        <w:rPr>
          <w:rFonts w:eastAsia="Times New Roman" w:cs="Arial"/>
          <w:lang w:eastAsia="bg-BG"/>
        </w:rPr>
      </w:pPr>
      <w:r w:rsidRPr="00B55E92">
        <w:rPr>
          <w:rFonts w:eastAsia="Times New Roman" w:cs="Arial"/>
          <w:i/>
          <w:iCs/>
          <w:color w:val="000000"/>
          <w:lang w:eastAsia="bg-BG"/>
        </w:rPr>
        <w:t>Старческа възраст</w:t>
      </w:r>
    </w:p>
    <w:p w14:paraId="2BB74A0A" w14:textId="77777777" w:rsidR="00B55E92" w:rsidRPr="00B55E92" w:rsidRDefault="00B55E92" w:rsidP="00B55E92">
      <w:pPr>
        <w:spacing w:line="240" w:lineRule="auto"/>
        <w:rPr>
          <w:rFonts w:eastAsia="Times New Roman" w:cs="Arial"/>
          <w:lang w:eastAsia="bg-BG"/>
        </w:rPr>
      </w:pPr>
      <w:r w:rsidRPr="00B55E92">
        <w:rPr>
          <w:rFonts w:eastAsia="Times New Roman" w:cs="Arial"/>
          <w:color w:val="000000"/>
          <w:lang w:eastAsia="bg-BG"/>
        </w:rPr>
        <w:t xml:space="preserve">Препоръчителната начална доза при пациенти над 65 годишна възраст е 2,5 </w:t>
      </w:r>
      <w:r w:rsidRPr="00B55E92">
        <w:rPr>
          <w:rFonts w:eastAsia="Times New Roman" w:cs="Arial"/>
          <w:color w:val="000000"/>
          <w:lang w:val="en-US"/>
        </w:rPr>
        <w:t xml:space="preserve">mg </w:t>
      </w:r>
      <w:r w:rsidRPr="00B55E92">
        <w:rPr>
          <w:rFonts w:eastAsia="Times New Roman" w:cs="Arial"/>
          <w:color w:val="000000"/>
          <w:lang w:eastAsia="bg-BG"/>
        </w:rPr>
        <w:t xml:space="preserve">дневно. При необходимост дневната доза може да се увеличи до 5 </w:t>
      </w:r>
      <w:r w:rsidRPr="00B55E92">
        <w:rPr>
          <w:rFonts w:eastAsia="Times New Roman" w:cs="Arial"/>
          <w:color w:val="000000"/>
          <w:lang w:val="en-US"/>
        </w:rPr>
        <w:t xml:space="preserve">mg. </w:t>
      </w:r>
      <w:r w:rsidRPr="00B55E92">
        <w:rPr>
          <w:rFonts w:eastAsia="Times New Roman" w:cs="Arial"/>
          <w:color w:val="000000"/>
          <w:lang w:eastAsia="bg-BG"/>
        </w:rPr>
        <w:t>Поради ограничен опит при пациенти над 75-годишна възраст, Небилет трябва да се прилага внимателно и пациентите да се проследяват отблизо.</w:t>
      </w:r>
    </w:p>
    <w:p w14:paraId="690314F5" w14:textId="77777777" w:rsidR="00B55E92" w:rsidRPr="00B55E92" w:rsidRDefault="00B55E92" w:rsidP="00B55E92">
      <w:pPr>
        <w:spacing w:line="240" w:lineRule="auto"/>
        <w:rPr>
          <w:rFonts w:eastAsia="Times New Roman" w:cs="Arial"/>
          <w:i/>
          <w:iCs/>
          <w:color w:val="000000"/>
          <w:lang w:eastAsia="bg-BG"/>
        </w:rPr>
      </w:pPr>
    </w:p>
    <w:p w14:paraId="31A02DD6" w14:textId="6A841AC0" w:rsidR="00B55E92" w:rsidRPr="00B55E92" w:rsidRDefault="00B55E92" w:rsidP="00B55E92">
      <w:pPr>
        <w:spacing w:line="240" w:lineRule="auto"/>
        <w:rPr>
          <w:rFonts w:eastAsia="Times New Roman" w:cs="Arial"/>
          <w:lang w:eastAsia="bg-BG"/>
        </w:rPr>
      </w:pPr>
      <w:r w:rsidRPr="00B55E92">
        <w:rPr>
          <w:rFonts w:eastAsia="Times New Roman" w:cs="Arial"/>
          <w:i/>
          <w:iCs/>
          <w:color w:val="000000"/>
          <w:lang w:eastAsia="bg-BG"/>
        </w:rPr>
        <w:t>Педиатрична популация</w:t>
      </w:r>
    </w:p>
    <w:p w14:paraId="690B3A2A" w14:textId="77777777" w:rsidR="00B55E92" w:rsidRPr="00B55E92" w:rsidRDefault="00B55E92" w:rsidP="00B55E92">
      <w:pPr>
        <w:spacing w:line="240" w:lineRule="auto"/>
        <w:rPr>
          <w:rFonts w:eastAsia="Times New Roman" w:cs="Arial"/>
          <w:lang w:eastAsia="bg-BG"/>
        </w:rPr>
      </w:pPr>
      <w:r w:rsidRPr="00B55E92">
        <w:rPr>
          <w:rFonts w:eastAsia="Times New Roman" w:cs="Arial"/>
          <w:color w:val="000000"/>
          <w:lang w:eastAsia="bg-BG"/>
        </w:rPr>
        <w:t>Ефикасността и безопасността на Небилет при деца и юноши на възраст под 18 години не е установена. Липсват данни. Ето защо приложението при деца и юноши не се препоръчва.</w:t>
      </w:r>
    </w:p>
    <w:p w14:paraId="3F2E33C0" w14:textId="77777777" w:rsidR="00B55E92" w:rsidRPr="00B55E92" w:rsidRDefault="00B55E92" w:rsidP="00B55E92">
      <w:pPr>
        <w:spacing w:line="240" w:lineRule="auto"/>
        <w:rPr>
          <w:rFonts w:eastAsia="Times New Roman" w:cs="Arial"/>
          <w:color w:val="000000"/>
          <w:u w:val="single"/>
          <w:lang w:eastAsia="bg-BG"/>
        </w:rPr>
      </w:pPr>
    </w:p>
    <w:p w14:paraId="6EC34BC6" w14:textId="344B133F" w:rsidR="00B55E92" w:rsidRPr="00B55E92" w:rsidRDefault="00B55E92" w:rsidP="00B55E92">
      <w:pPr>
        <w:spacing w:line="240" w:lineRule="auto"/>
        <w:rPr>
          <w:rFonts w:eastAsia="Times New Roman" w:cs="Arial"/>
          <w:lang w:eastAsia="bg-BG"/>
        </w:rPr>
      </w:pPr>
      <w:r w:rsidRPr="00B55E92">
        <w:rPr>
          <w:rFonts w:eastAsia="Times New Roman" w:cs="Arial"/>
          <w:color w:val="000000"/>
          <w:u w:val="single"/>
          <w:lang w:eastAsia="bg-BG"/>
        </w:rPr>
        <w:t>Хронична сърдечна недостатъчност (ХСН)</w:t>
      </w:r>
    </w:p>
    <w:p w14:paraId="553EE80F" w14:textId="77777777" w:rsidR="00B55E92" w:rsidRPr="00B55E92" w:rsidRDefault="00B55E92" w:rsidP="00B55E92">
      <w:pPr>
        <w:spacing w:line="240" w:lineRule="auto"/>
        <w:rPr>
          <w:rFonts w:eastAsia="Times New Roman" w:cs="Arial"/>
          <w:lang w:eastAsia="bg-BG"/>
        </w:rPr>
      </w:pPr>
      <w:r w:rsidRPr="00B55E92">
        <w:rPr>
          <w:rFonts w:eastAsia="Times New Roman" w:cs="Arial"/>
          <w:color w:val="000000"/>
          <w:lang w:eastAsia="bg-BG"/>
        </w:rPr>
        <w:t>Лечението на стабилна хронична сърдечна недостатъчност трябва да започне с постепенно увеличение на дозата до постигане на оптималната индивидуална поддържаща доза.</w:t>
      </w:r>
    </w:p>
    <w:p w14:paraId="69596E79" w14:textId="77777777" w:rsidR="00B55E92" w:rsidRPr="00B55E92" w:rsidRDefault="00B55E92" w:rsidP="00B55E92">
      <w:pPr>
        <w:spacing w:line="240" w:lineRule="auto"/>
        <w:rPr>
          <w:rFonts w:eastAsia="Times New Roman" w:cs="Arial"/>
          <w:lang w:eastAsia="bg-BG"/>
        </w:rPr>
      </w:pPr>
      <w:r w:rsidRPr="00B55E92">
        <w:rPr>
          <w:rFonts w:eastAsia="Times New Roman" w:cs="Arial"/>
          <w:color w:val="000000"/>
          <w:lang w:eastAsia="bg-BG"/>
        </w:rPr>
        <w:t>Пациентите трябва да са със стабилна хронична сърдечна недостатъчност, без епизоди на остра недостатъчност през изминалите шест седмици. Препоръчително е лекуващият лекар да има опит при лечението на хронична сърдечна недостатъчност.</w:t>
      </w:r>
    </w:p>
    <w:p w14:paraId="26F00ECC" w14:textId="77777777" w:rsidR="00B55E92" w:rsidRPr="00B55E92" w:rsidRDefault="00B55E92" w:rsidP="00B55E92">
      <w:pPr>
        <w:spacing w:line="240" w:lineRule="auto"/>
        <w:rPr>
          <w:rFonts w:eastAsia="Times New Roman" w:cs="Arial"/>
          <w:lang w:eastAsia="bg-BG"/>
        </w:rPr>
      </w:pPr>
      <w:r w:rsidRPr="00B55E92">
        <w:rPr>
          <w:rFonts w:eastAsia="Times New Roman" w:cs="Arial"/>
          <w:color w:val="000000"/>
          <w:lang w:eastAsia="bg-BG"/>
        </w:rPr>
        <w:t>При пациенти, които получават сърдечно-съдови лекарства, като диуретици и/или дигоксин и/или АСЕ-инхибитори и/или ангиотензин-П-антагонисти, дозирането на тези лекарства трябва да не се променя през изминалите две седмици, преди започване на лечение с Небилет.</w:t>
      </w:r>
    </w:p>
    <w:p w14:paraId="688F4795" w14:textId="77777777" w:rsidR="00B55E92" w:rsidRPr="00B55E92" w:rsidRDefault="00B55E92" w:rsidP="00B55E92">
      <w:pPr>
        <w:spacing w:line="240" w:lineRule="auto"/>
        <w:rPr>
          <w:rFonts w:eastAsia="Times New Roman" w:cs="Arial"/>
          <w:color w:val="000000"/>
          <w:lang w:eastAsia="bg-BG"/>
        </w:rPr>
      </w:pPr>
    </w:p>
    <w:p w14:paraId="62745EBB" w14:textId="70D9A4AC" w:rsidR="00B55E92" w:rsidRPr="00B55E92" w:rsidRDefault="00B55E92" w:rsidP="00B55E92">
      <w:pPr>
        <w:spacing w:line="240" w:lineRule="auto"/>
        <w:rPr>
          <w:rFonts w:eastAsia="Times New Roman" w:cs="Arial"/>
          <w:lang w:eastAsia="bg-BG"/>
        </w:rPr>
      </w:pPr>
      <w:r w:rsidRPr="00B55E92">
        <w:rPr>
          <w:rFonts w:eastAsia="Times New Roman" w:cs="Arial"/>
          <w:color w:val="000000"/>
          <w:lang w:eastAsia="bg-BG"/>
        </w:rPr>
        <w:t>Дозата се титрира на интервали 1-2 седмици и според индивидуалната поносимост на пациента по следните стъпки:</w:t>
      </w:r>
    </w:p>
    <w:p w14:paraId="256315BC" w14:textId="77777777" w:rsidR="00B55E92" w:rsidRPr="00B55E92" w:rsidRDefault="00B55E92" w:rsidP="00B55E92">
      <w:pPr>
        <w:spacing w:line="240" w:lineRule="auto"/>
        <w:rPr>
          <w:rFonts w:eastAsia="Times New Roman" w:cs="Arial"/>
          <w:lang w:eastAsia="bg-BG"/>
        </w:rPr>
      </w:pPr>
      <w:r w:rsidRPr="00B55E92">
        <w:rPr>
          <w:rFonts w:eastAsia="Times New Roman" w:cs="Arial"/>
          <w:color w:val="000000"/>
          <w:lang w:eastAsia="bg-BG"/>
        </w:rPr>
        <w:t xml:space="preserve">1,25 </w:t>
      </w:r>
      <w:r w:rsidRPr="00B55E92">
        <w:rPr>
          <w:rFonts w:eastAsia="Times New Roman" w:cs="Arial"/>
          <w:color w:val="000000"/>
          <w:lang w:val="en-US"/>
        </w:rPr>
        <w:t xml:space="preserve">mg </w:t>
      </w:r>
      <w:r w:rsidRPr="00B55E92">
        <w:rPr>
          <w:rFonts w:eastAsia="Times New Roman" w:cs="Arial"/>
          <w:color w:val="000000"/>
          <w:lang w:eastAsia="bg-BG"/>
        </w:rPr>
        <w:t xml:space="preserve">небиволол се увеличава на 2,5 </w:t>
      </w:r>
      <w:r w:rsidRPr="00B55E92">
        <w:rPr>
          <w:rFonts w:eastAsia="Times New Roman" w:cs="Arial"/>
          <w:color w:val="000000"/>
          <w:lang w:val="en-US"/>
        </w:rPr>
        <w:t xml:space="preserve">mg </w:t>
      </w:r>
      <w:r w:rsidRPr="00B55E92">
        <w:rPr>
          <w:rFonts w:eastAsia="Times New Roman" w:cs="Arial"/>
          <w:color w:val="000000"/>
          <w:lang w:eastAsia="bg-BG"/>
        </w:rPr>
        <w:t xml:space="preserve">небиволол еднократно дневно, след това на 5 </w:t>
      </w:r>
      <w:r w:rsidRPr="00B55E92">
        <w:rPr>
          <w:rFonts w:eastAsia="Times New Roman" w:cs="Arial"/>
          <w:color w:val="000000"/>
          <w:lang w:val="en-US"/>
        </w:rPr>
        <w:t xml:space="preserve">mg </w:t>
      </w:r>
      <w:r w:rsidRPr="00B55E92">
        <w:rPr>
          <w:rFonts w:eastAsia="Times New Roman" w:cs="Arial"/>
          <w:color w:val="000000"/>
          <w:lang w:eastAsia="bg-BG"/>
        </w:rPr>
        <w:t xml:space="preserve">небиволол еднократно дневно и след това на 10 </w:t>
      </w:r>
      <w:r w:rsidRPr="00B55E92">
        <w:rPr>
          <w:rFonts w:eastAsia="Times New Roman" w:cs="Arial"/>
          <w:color w:val="000000"/>
          <w:lang w:val="en-US"/>
        </w:rPr>
        <w:t xml:space="preserve">mg </w:t>
      </w:r>
      <w:r w:rsidRPr="00B55E92">
        <w:rPr>
          <w:rFonts w:eastAsia="Times New Roman" w:cs="Arial"/>
          <w:color w:val="000000"/>
          <w:lang w:eastAsia="bg-BG"/>
        </w:rPr>
        <w:t>небиволол еднократно дневно.</w:t>
      </w:r>
    </w:p>
    <w:p w14:paraId="6545930E" w14:textId="77777777" w:rsidR="00B55E92" w:rsidRPr="00B55E92" w:rsidRDefault="00B55E92" w:rsidP="00B55E92">
      <w:pPr>
        <w:spacing w:line="240" w:lineRule="auto"/>
        <w:rPr>
          <w:rFonts w:eastAsia="Times New Roman" w:cs="Arial"/>
          <w:lang w:eastAsia="bg-BG"/>
        </w:rPr>
      </w:pPr>
      <w:r w:rsidRPr="00B55E92">
        <w:rPr>
          <w:rFonts w:eastAsia="Times New Roman" w:cs="Arial"/>
          <w:color w:val="000000"/>
          <w:lang w:eastAsia="bg-BG"/>
        </w:rPr>
        <w:t xml:space="preserve">Максималната препоръчителна доза е 10 </w:t>
      </w:r>
      <w:r w:rsidRPr="00B55E92">
        <w:rPr>
          <w:rFonts w:eastAsia="Times New Roman" w:cs="Arial"/>
          <w:color w:val="000000"/>
          <w:lang w:val="en-US"/>
        </w:rPr>
        <w:t xml:space="preserve">mg </w:t>
      </w:r>
      <w:r w:rsidRPr="00B55E92">
        <w:rPr>
          <w:rFonts w:eastAsia="Times New Roman" w:cs="Arial"/>
          <w:color w:val="000000"/>
          <w:lang w:eastAsia="bg-BG"/>
        </w:rPr>
        <w:t>еднократно дневно.</w:t>
      </w:r>
    </w:p>
    <w:p w14:paraId="08F88F1D" w14:textId="77777777" w:rsidR="00B55E92" w:rsidRPr="00B55E92" w:rsidRDefault="00B55E92" w:rsidP="00B55E92">
      <w:pPr>
        <w:spacing w:line="240" w:lineRule="auto"/>
        <w:rPr>
          <w:rFonts w:eastAsia="Times New Roman" w:cs="Arial"/>
          <w:color w:val="000000"/>
          <w:lang w:eastAsia="bg-BG"/>
        </w:rPr>
      </w:pPr>
    </w:p>
    <w:p w14:paraId="39275E0C" w14:textId="5BB9FBAA" w:rsidR="00B55E92" w:rsidRPr="00B55E92" w:rsidRDefault="00B55E92" w:rsidP="00B55E92">
      <w:pPr>
        <w:spacing w:line="240" w:lineRule="auto"/>
        <w:rPr>
          <w:rFonts w:eastAsia="Times New Roman" w:cs="Arial"/>
          <w:lang w:eastAsia="bg-BG"/>
        </w:rPr>
      </w:pPr>
      <w:r w:rsidRPr="00B55E92">
        <w:rPr>
          <w:rFonts w:eastAsia="Times New Roman" w:cs="Arial"/>
          <w:color w:val="000000"/>
          <w:lang w:eastAsia="bg-BG"/>
        </w:rPr>
        <w:t>При започване на лечението и при всяко повишение на дозата е необходим медицински контрол в продължение на поне 2 часа, за да е сигурно, че клиничното състояние е стабилно (особено по отношение на кръвно налягане, сърдечна честота, проводни нарушения, белези на влошена сърдечна недостатъчност).</w:t>
      </w:r>
    </w:p>
    <w:p w14:paraId="364FC3A8" w14:textId="77777777" w:rsidR="00B55E92" w:rsidRPr="00B55E92" w:rsidRDefault="00B55E92" w:rsidP="00B55E92">
      <w:pPr>
        <w:spacing w:line="240" w:lineRule="auto"/>
        <w:rPr>
          <w:rFonts w:eastAsia="Times New Roman" w:cs="Arial"/>
          <w:lang w:eastAsia="bg-BG"/>
        </w:rPr>
      </w:pPr>
      <w:r w:rsidRPr="00B55E92">
        <w:rPr>
          <w:rFonts w:eastAsia="Times New Roman" w:cs="Arial"/>
          <w:color w:val="000000"/>
          <w:lang w:eastAsia="bg-BG"/>
        </w:rPr>
        <w:lastRenderedPageBreak/>
        <w:t>Проявата на нежелани ефекти може да ограничи приложението на максималната препоръчителна доза при всички пациенти. При необходимост, достигнатата доза трябва да се намали стъпка по стъпка и да се започне отново, когато е възможно.</w:t>
      </w:r>
    </w:p>
    <w:p w14:paraId="2D11E0F2" w14:textId="77777777" w:rsidR="00B55E92" w:rsidRPr="00B55E92" w:rsidRDefault="00B55E92" w:rsidP="00B55E92">
      <w:pPr>
        <w:spacing w:line="240" w:lineRule="auto"/>
        <w:rPr>
          <w:rFonts w:eastAsia="Times New Roman" w:cs="Arial"/>
          <w:lang w:eastAsia="bg-BG"/>
        </w:rPr>
      </w:pPr>
      <w:r w:rsidRPr="00B55E92">
        <w:rPr>
          <w:rFonts w:eastAsia="Times New Roman" w:cs="Arial"/>
          <w:color w:val="000000"/>
          <w:lang w:eastAsia="bg-BG"/>
        </w:rPr>
        <w:t xml:space="preserve">По време на фазата на титриране, при влошаване на сърдечната недостатъчност или при непоносимост, се препоръчва първо да се намали дозата небиволол или при необходимост да се спре веднага (при тежка хипотония, влошаване на сърдечната недостатъчност с остър белодробен оток, кардиогенен шок, симптоматична брадикардия или </w:t>
      </w:r>
      <w:r w:rsidRPr="00B55E92">
        <w:rPr>
          <w:rFonts w:eastAsia="Times New Roman" w:cs="Arial"/>
          <w:color w:val="000000"/>
          <w:lang w:val="en-US"/>
        </w:rPr>
        <w:t xml:space="preserve">AV </w:t>
      </w:r>
      <w:r w:rsidRPr="00B55E92">
        <w:rPr>
          <w:rFonts w:eastAsia="Times New Roman" w:cs="Arial"/>
          <w:color w:val="000000"/>
          <w:lang w:eastAsia="bg-BG"/>
        </w:rPr>
        <w:t>блок).</w:t>
      </w:r>
    </w:p>
    <w:p w14:paraId="21EF6062" w14:textId="77777777" w:rsidR="00B55E92" w:rsidRPr="00B55E92" w:rsidRDefault="00B55E92" w:rsidP="00B55E92">
      <w:pPr>
        <w:spacing w:line="240" w:lineRule="auto"/>
        <w:rPr>
          <w:rFonts w:eastAsia="Times New Roman" w:cs="Arial"/>
          <w:lang w:eastAsia="bg-BG"/>
        </w:rPr>
      </w:pPr>
      <w:r w:rsidRPr="00B55E92">
        <w:rPr>
          <w:rFonts w:eastAsia="Times New Roman" w:cs="Arial"/>
          <w:color w:val="000000"/>
          <w:lang w:eastAsia="bg-BG"/>
        </w:rPr>
        <w:t>Лечението на стабилната хронична сърдечна недостатъчност с небиволол обикновено е продължително.</w:t>
      </w:r>
    </w:p>
    <w:p w14:paraId="7751597A" w14:textId="77777777" w:rsidR="00B55E92" w:rsidRPr="00B55E92" w:rsidRDefault="00B55E92" w:rsidP="00B55E92">
      <w:pPr>
        <w:spacing w:line="240" w:lineRule="auto"/>
        <w:rPr>
          <w:rFonts w:eastAsia="Times New Roman" w:cs="Arial"/>
          <w:lang w:eastAsia="bg-BG"/>
        </w:rPr>
      </w:pPr>
      <w:r w:rsidRPr="00B55E92">
        <w:rPr>
          <w:rFonts w:eastAsia="Times New Roman" w:cs="Arial"/>
          <w:color w:val="000000"/>
          <w:lang w:eastAsia="bg-BG"/>
        </w:rPr>
        <w:t>Не се препоръчва лечението с небиволол да се преустанови внезапно, тъй като това може да доведе до временно влошаване на сърдечната недостатъчност. Ако е нобходимо преустановяване на лечението, дозата трябва постепенно да се понижи, като на седмица се намалява на половина.</w:t>
      </w:r>
    </w:p>
    <w:p w14:paraId="36741FBF" w14:textId="77777777" w:rsidR="00B55E92" w:rsidRPr="00B55E92" w:rsidRDefault="00B55E92" w:rsidP="00B55E92">
      <w:pPr>
        <w:spacing w:line="240" w:lineRule="auto"/>
        <w:rPr>
          <w:rFonts w:eastAsia="Times New Roman" w:cs="Arial"/>
          <w:i/>
          <w:iCs/>
          <w:color w:val="000000"/>
          <w:lang w:eastAsia="bg-BG"/>
        </w:rPr>
      </w:pPr>
    </w:p>
    <w:p w14:paraId="06E2A146" w14:textId="429703A8" w:rsidR="00B55E92" w:rsidRPr="00B55E92" w:rsidRDefault="00B55E92" w:rsidP="00B55E92">
      <w:pPr>
        <w:spacing w:line="240" w:lineRule="auto"/>
        <w:rPr>
          <w:rFonts w:eastAsia="Times New Roman" w:cs="Arial"/>
          <w:lang w:eastAsia="bg-BG"/>
        </w:rPr>
      </w:pPr>
      <w:r w:rsidRPr="00B55E92">
        <w:rPr>
          <w:rFonts w:eastAsia="Times New Roman" w:cs="Arial"/>
          <w:i/>
          <w:iCs/>
          <w:color w:val="000000"/>
          <w:lang w:eastAsia="bg-BG"/>
        </w:rPr>
        <w:t>Пациенти с бъбречна недостатъчност</w:t>
      </w:r>
    </w:p>
    <w:p w14:paraId="3F51A8F6" w14:textId="25AFAC68" w:rsidR="00B55E92" w:rsidRPr="00B55E92" w:rsidRDefault="00B55E92" w:rsidP="00B55E92">
      <w:pPr>
        <w:spacing w:line="240" w:lineRule="auto"/>
        <w:rPr>
          <w:rFonts w:eastAsia="Times New Roman" w:cs="Arial"/>
          <w:lang w:eastAsia="bg-BG"/>
        </w:rPr>
      </w:pPr>
      <w:r w:rsidRPr="00B55E92">
        <w:rPr>
          <w:rFonts w:eastAsia="Times New Roman" w:cs="Arial"/>
          <w:color w:val="000000"/>
          <w:lang w:eastAsia="bg-BG"/>
        </w:rPr>
        <w:t xml:space="preserve">Не се налага коригиране на дозата при пациенти с лека до умерена бъбречна недостатъчност, тъй като повишението при титриране на дозата е индивидуално. Няма опит при пациенти с тежка бъбречна недостатъчност (серумен креатинин </w:t>
      </w:r>
      <w:r w:rsidRPr="00B55E92">
        <w:rPr>
          <w:rFonts w:cs="Arial"/>
          <w:color w:val="222222"/>
        </w:rPr>
        <w:t>≥</w:t>
      </w:r>
      <w:r w:rsidRPr="00B55E92">
        <w:rPr>
          <w:rFonts w:cs="Arial"/>
          <w:color w:val="222222"/>
        </w:rPr>
        <w:t xml:space="preserve"> </w:t>
      </w:r>
      <w:r w:rsidRPr="00B55E92">
        <w:rPr>
          <w:rFonts w:eastAsia="Times New Roman" w:cs="Arial"/>
          <w:color w:val="000000"/>
          <w:lang w:eastAsia="bg-BG"/>
        </w:rPr>
        <w:t xml:space="preserve">250 </w:t>
      </w:r>
      <w:r w:rsidRPr="00B55E92">
        <w:rPr>
          <w:rFonts w:cs="Arial"/>
          <w:color w:val="202122"/>
          <w:shd w:val="clear" w:color="auto" w:fill="F8F9FA"/>
        </w:rPr>
        <w:t>μ</w:t>
      </w:r>
      <w:proofErr w:type="spellStart"/>
      <w:r w:rsidRPr="00B55E92">
        <w:rPr>
          <w:rFonts w:eastAsia="Times New Roman" w:cs="Arial"/>
          <w:color w:val="000000"/>
          <w:lang w:val="en-US"/>
        </w:rPr>
        <w:t>mol</w:t>
      </w:r>
      <w:proofErr w:type="spellEnd"/>
      <w:r w:rsidRPr="00B55E92">
        <w:rPr>
          <w:rFonts w:eastAsia="Times New Roman" w:cs="Arial"/>
          <w:color w:val="000000"/>
          <w:lang w:val="en-US"/>
        </w:rPr>
        <w:t xml:space="preserve">/1). </w:t>
      </w:r>
      <w:r w:rsidRPr="00B55E92">
        <w:rPr>
          <w:rFonts w:eastAsia="Times New Roman" w:cs="Arial"/>
          <w:color w:val="000000"/>
          <w:lang w:eastAsia="bg-BG"/>
        </w:rPr>
        <w:t>Ето защо не се препоръчва приложението на небиволол при тези пациенти.</w:t>
      </w:r>
    </w:p>
    <w:p w14:paraId="3A4EFB3B" w14:textId="77777777" w:rsidR="00B55E92" w:rsidRPr="00B55E92" w:rsidRDefault="00B55E92" w:rsidP="00B55E92">
      <w:pPr>
        <w:rPr>
          <w:rFonts w:eastAsia="Times New Roman" w:cs="Arial"/>
          <w:i/>
          <w:iCs/>
          <w:color w:val="000000"/>
          <w:lang w:eastAsia="bg-BG"/>
        </w:rPr>
      </w:pPr>
    </w:p>
    <w:p w14:paraId="6ACAF645" w14:textId="1FF2A274" w:rsidR="0091385D" w:rsidRPr="00B55E92" w:rsidRDefault="00B55E92" w:rsidP="00B55E92">
      <w:pPr>
        <w:rPr>
          <w:rFonts w:cs="Arial"/>
        </w:rPr>
      </w:pPr>
      <w:r w:rsidRPr="00B55E92">
        <w:rPr>
          <w:rFonts w:eastAsia="Times New Roman" w:cs="Arial"/>
          <w:i/>
          <w:iCs/>
          <w:color w:val="000000"/>
          <w:lang w:eastAsia="bg-BG"/>
        </w:rPr>
        <w:t>Пациенти с чернодробна недостатъчност.</w:t>
      </w:r>
    </w:p>
    <w:p w14:paraId="7C07FE83"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Данните за пациенти с чернодробна недостатъчност са ограничени. Ето защо приложението на Небилет при тези пациенти е противопоказано.</w:t>
      </w:r>
    </w:p>
    <w:p w14:paraId="50ECD4B2" w14:textId="77777777" w:rsidR="00B55E92" w:rsidRPr="00B55E92" w:rsidRDefault="00B55E92" w:rsidP="00B55E92">
      <w:pPr>
        <w:spacing w:line="240" w:lineRule="auto"/>
        <w:rPr>
          <w:rFonts w:eastAsia="Times New Roman" w:cs="Arial"/>
          <w:i/>
          <w:iCs/>
          <w:color w:val="000000"/>
          <w:lang w:eastAsia="bg-BG"/>
        </w:rPr>
      </w:pPr>
    </w:p>
    <w:p w14:paraId="59BBF102" w14:textId="7CCFF4BC" w:rsidR="00B55E92" w:rsidRPr="00B55E92" w:rsidRDefault="00B55E92" w:rsidP="00B55E92">
      <w:pPr>
        <w:spacing w:line="240" w:lineRule="auto"/>
        <w:rPr>
          <w:rFonts w:eastAsia="Times New Roman" w:cs="Arial"/>
          <w:sz w:val="24"/>
          <w:szCs w:val="24"/>
          <w:lang w:eastAsia="bg-BG"/>
        </w:rPr>
      </w:pPr>
      <w:r w:rsidRPr="00B55E92">
        <w:rPr>
          <w:rFonts w:eastAsia="Times New Roman" w:cs="Arial"/>
          <w:i/>
          <w:iCs/>
          <w:color w:val="000000"/>
          <w:lang w:eastAsia="bg-BG"/>
        </w:rPr>
        <w:t>Старческа възраст</w:t>
      </w:r>
    </w:p>
    <w:p w14:paraId="1A19B8AA"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Не се налага коригиране на дозата, тъй като повишението при титриране на дозата е индивидуално.</w:t>
      </w:r>
    </w:p>
    <w:p w14:paraId="67CE0A8D"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i/>
          <w:iCs/>
          <w:color w:val="000000"/>
          <w:lang w:eastAsia="bg-BG"/>
        </w:rPr>
        <w:t>Педиатрична популация</w:t>
      </w:r>
    </w:p>
    <w:p w14:paraId="6677B749"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Ефикасността и безопасността на Небилет при деца и юноши на възраст под 18 години не е установена. Ето защо приложението при деца и юноши не се препоръчва. Липсват данни.</w:t>
      </w:r>
    </w:p>
    <w:p w14:paraId="5E1F9625" w14:textId="77777777" w:rsidR="00B55E92" w:rsidRPr="00B55E92" w:rsidRDefault="00B55E92" w:rsidP="00B55E92">
      <w:pPr>
        <w:spacing w:line="240" w:lineRule="auto"/>
        <w:rPr>
          <w:rFonts w:eastAsia="Times New Roman" w:cs="Arial"/>
          <w:color w:val="000000"/>
          <w:u w:val="single"/>
          <w:lang w:eastAsia="bg-BG"/>
        </w:rPr>
      </w:pPr>
    </w:p>
    <w:p w14:paraId="19BF5339" w14:textId="22136BE9" w:rsidR="00B55E92" w:rsidRPr="00B55E92" w:rsidRDefault="00B55E92" w:rsidP="00B55E92">
      <w:pPr>
        <w:pStyle w:val="Heading3"/>
        <w:rPr>
          <w:rFonts w:eastAsia="Times New Roman"/>
          <w:u w:val="single"/>
          <w:lang w:eastAsia="bg-BG"/>
        </w:rPr>
      </w:pPr>
      <w:r w:rsidRPr="00B55E92">
        <w:rPr>
          <w:rFonts w:eastAsia="Times New Roman"/>
          <w:u w:val="single"/>
          <w:lang w:eastAsia="bg-BG"/>
        </w:rPr>
        <w:t>Начин на приложение</w:t>
      </w:r>
    </w:p>
    <w:p w14:paraId="5BE8742B"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Перорално приложение</w:t>
      </w:r>
    </w:p>
    <w:p w14:paraId="5FF5572D" w14:textId="7FBD73E1" w:rsidR="00B55E92" w:rsidRPr="00B55E92" w:rsidRDefault="00B55E92" w:rsidP="00B55E92">
      <w:pPr>
        <w:rPr>
          <w:rFonts w:cs="Arial"/>
        </w:rPr>
      </w:pPr>
      <w:r w:rsidRPr="00B55E92">
        <w:rPr>
          <w:rFonts w:eastAsia="Times New Roman" w:cs="Arial"/>
          <w:color w:val="000000"/>
          <w:lang w:eastAsia="bg-BG"/>
        </w:rPr>
        <w:t>Таблетките могат да бъдат приемани по време на хранене.</w:t>
      </w:r>
    </w:p>
    <w:p w14:paraId="400B1728" w14:textId="77777777" w:rsidR="00B55E92" w:rsidRPr="0091385D" w:rsidRDefault="00B55E92" w:rsidP="0091385D"/>
    <w:p w14:paraId="28C984E8" w14:textId="0756AE28" w:rsidR="008134C8" w:rsidRDefault="002C50EE" w:rsidP="004A448E">
      <w:pPr>
        <w:pStyle w:val="Heading2"/>
      </w:pPr>
      <w:r>
        <w:t>4.3. Противопоказания</w:t>
      </w:r>
    </w:p>
    <w:p w14:paraId="2363D607" w14:textId="48168570" w:rsidR="0091385D" w:rsidRDefault="0091385D" w:rsidP="0091385D"/>
    <w:p w14:paraId="7C99F2C3" w14:textId="4F2D8F0A" w:rsidR="00B55E92" w:rsidRPr="00B55E92" w:rsidRDefault="00B55E92" w:rsidP="00B55E92">
      <w:pPr>
        <w:pStyle w:val="ListParagraph"/>
        <w:numPr>
          <w:ilvl w:val="0"/>
          <w:numId w:val="35"/>
        </w:numPr>
        <w:spacing w:line="240" w:lineRule="auto"/>
        <w:rPr>
          <w:rFonts w:eastAsia="Times New Roman" w:cs="Arial"/>
          <w:sz w:val="24"/>
          <w:szCs w:val="24"/>
          <w:lang w:eastAsia="bg-BG"/>
        </w:rPr>
      </w:pPr>
      <w:r w:rsidRPr="00B55E92">
        <w:rPr>
          <w:rFonts w:eastAsia="Times New Roman" w:cs="Arial"/>
          <w:color w:val="000000"/>
          <w:lang w:eastAsia="bg-BG"/>
        </w:rPr>
        <w:t>Свръхчувствителност към активното вещество или някое от помощните вещества</w:t>
      </w:r>
    </w:p>
    <w:p w14:paraId="39032990" w14:textId="2D86D2FC" w:rsidR="00B55E92" w:rsidRPr="00B55E92" w:rsidRDefault="00B55E92" w:rsidP="00B55E92">
      <w:pPr>
        <w:pStyle w:val="ListParagraph"/>
        <w:numPr>
          <w:ilvl w:val="0"/>
          <w:numId w:val="35"/>
        </w:numPr>
        <w:spacing w:line="240" w:lineRule="auto"/>
        <w:rPr>
          <w:rFonts w:eastAsia="Times New Roman" w:cs="Arial"/>
          <w:sz w:val="24"/>
          <w:szCs w:val="24"/>
          <w:lang w:eastAsia="bg-BG"/>
        </w:rPr>
      </w:pPr>
      <w:r w:rsidRPr="00B55E92">
        <w:rPr>
          <w:rFonts w:eastAsia="Times New Roman" w:cs="Arial"/>
          <w:color w:val="000000"/>
          <w:lang w:eastAsia="bg-BG"/>
        </w:rPr>
        <w:t>Чернодробна недостатъчност или нарушена чернодробна функция</w:t>
      </w:r>
    </w:p>
    <w:p w14:paraId="495E4391" w14:textId="32E6B187" w:rsidR="00B55E92" w:rsidRPr="00B55E92" w:rsidRDefault="00B55E92" w:rsidP="00B55E92">
      <w:pPr>
        <w:pStyle w:val="ListParagraph"/>
        <w:numPr>
          <w:ilvl w:val="0"/>
          <w:numId w:val="35"/>
        </w:numPr>
        <w:spacing w:line="240" w:lineRule="auto"/>
        <w:rPr>
          <w:rFonts w:eastAsia="Times New Roman" w:cs="Arial"/>
          <w:sz w:val="24"/>
          <w:szCs w:val="24"/>
          <w:lang w:eastAsia="bg-BG"/>
        </w:rPr>
      </w:pPr>
      <w:r w:rsidRPr="00B55E92">
        <w:rPr>
          <w:rFonts w:eastAsia="Times New Roman" w:cs="Arial"/>
          <w:color w:val="000000"/>
          <w:lang w:eastAsia="bg-BG"/>
        </w:rPr>
        <w:t>Остра сърдечна недостатъчност, кардиогенен шок или епизоди на декомпенсирана сърдечна недостатъчност, налагащи интравенозно приложение на инотропна терапия.</w:t>
      </w:r>
    </w:p>
    <w:p w14:paraId="1C33FAD0" w14:textId="77777777" w:rsidR="00B55E92" w:rsidRPr="00B55E92" w:rsidRDefault="00B55E92" w:rsidP="00B55E92">
      <w:pPr>
        <w:spacing w:line="240" w:lineRule="auto"/>
        <w:rPr>
          <w:rFonts w:eastAsia="Times New Roman" w:cs="Arial"/>
          <w:color w:val="000000"/>
          <w:lang w:eastAsia="bg-BG"/>
        </w:rPr>
      </w:pPr>
    </w:p>
    <w:p w14:paraId="4052EBBD" w14:textId="63B119B4"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Освен това, подобно на другите бета-блокери, Небилет е противопоказан при:</w:t>
      </w:r>
    </w:p>
    <w:p w14:paraId="235E12F4" w14:textId="77777777" w:rsidR="00B55E92" w:rsidRPr="00B55E92" w:rsidRDefault="00B55E92" w:rsidP="00B55E92">
      <w:pPr>
        <w:pStyle w:val="ListParagraph"/>
        <w:numPr>
          <w:ilvl w:val="0"/>
          <w:numId w:val="36"/>
        </w:numPr>
        <w:spacing w:line="240" w:lineRule="auto"/>
        <w:rPr>
          <w:rFonts w:eastAsia="Times New Roman" w:cs="Arial"/>
          <w:sz w:val="24"/>
          <w:szCs w:val="24"/>
          <w:lang w:eastAsia="bg-BG"/>
        </w:rPr>
      </w:pPr>
      <w:r w:rsidRPr="00B55E92">
        <w:rPr>
          <w:rFonts w:eastAsia="Times New Roman" w:cs="Arial"/>
          <w:color w:val="000000"/>
          <w:lang w:eastAsia="bg-BG"/>
        </w:rPr>
        <w:t>синдром на болния синусов възел, включително сино-атриален блок;</w:t>
      </w:r>
    </w:p>
    <w:p w14:paraId="02FDDF1E" w14:textId="77777777" w:rsidR="00B55E92" w:rsidRPr="00B55E92" w:rsidRDefault="00B55E92" w:rsidP="00B55E92">
      <w:pPr>
        <w:pStyle w:val="ListParagraph"/>
        <w:numPr>
          <w:ilvl w:val="0"/>
          <w:numId w:val="36"/>
        </w:numPr>
        <w:spacing w:line="240" w:lineRule="auto"/>
        <w:rPr>
          <w:rFonts w:eastAsia="Times New Roman" w:cs="Arial"/>
          <w:sz w:val="24"/>
          <w:szCs w:val="24"/>
          <w:lang w:eastAsia="bg-BG"/>
        </w:rPr>
      </w:pPr>
      <w:r w:rsidRPr="00B55E92">
        <w:rPr>
          <w:rFonts w:eastAsia="Times New Roman" w:cs="Arial"/>
          <w:color w:val="000000"/>
          <w:lang w:eastAsia="bg-BG"/>
        </w:rPr>
        <w:t>втора и трета степен сърдечен блок (без пейсмейкър);</w:t>
      </w:r>
    </w:p>
    <w:p w14:paraId="49EC2D40" w14:textId="77777777" w:rsidR="00B55E92" w:rsidRPr="00B55E92" w:rsidRDefault="00B55E92" w:rsidP="00B55E92">
      <w:pPr>
        <w:pStyle w:val="ListParagraph"/>
        <w:numPr>
          <w:ilvl w:val="0"/>
          <w:numId w:val="36"/>
        </w:numPr>
        <w:spacing w:line="240" w:lineRule="auto"/>
        <w:rPr>
          <w:rFonts w:eastAsia="Times New Roman" w:cs="Arial"/>
          <w:sz w:val="24"/>
          <w:szCs w:val="24"/>
          <w:lang w:eastAsia="bg-BG"/>
        </w:rPr>
      </w:pPr>
      <w:r w:rsidRPr="00B55E92">
        <w:rPr>
          <w:rFonts w:eastAsia="Times New Roman" w:cs="Arial"/>
          <w:color w:val="000000"/>
          <w:lang w:eastAsia="bg-BG"/>
        </w:rPr>
        <w:t>анамнеза за бронхоспазъм или бронхиална астма;</w:t>
      </w:r>
    </w:p>
    <w:p w14:paraId="16140B07" w14:textId="77777777" w:rsidR="00B55E92" w:rsidRPr="00B55E92" w:rsidRDefault="00B55E92" w:rsidP="00B55E92">
      <w:pPr>
        <w:pStyle w:val="ListParagraph"/>
        <w:numPr>
          <w:ilvl w:val="0"/>
          <w:numId w:val="36"/>
        </w:numPr>
        <w:spacing w:line="240" w:lineRule="auto"/>
        <w:rPr>
          <w:rFonts w:eastAsia="Times New Roman" w:cs="Arial"/>
          <w:sz w:val="24"/>
          <w:szCs w:val="24"/>
          <w:lang w:eastAsia="bg-BG"/>
        </w:rPr>
      </w:pPr>
      <w:r w:rsidRPr="00B55E92">
        <w:rPr>
          <w:rFonts w:eastAsia="Times New Roman" w:cs="Arial"/>
          <w:color w:val="000000"/>
          <w:lang w:eastAsia="bg-BG"/>
        </w:rPr>
        <w:lastRenderedPageBreak/>
        <w:t>нелекуван феохромоцитом;</w:t>
      </w:r>
    </w:p>
    <w:p w14:paraId="53744DC5" w14:textId="77777777" w:rsidR="00B55E92" w:rsidRPr="00B55E92" w:rsidRDefault="00B55E92" w:rsidP="00B55E92">
      <w:pPr>
        <w:pStyle w:val="ListParagraph"/>
        <w:numPr>
          <w:ilvl w:val="0"/>
          <w:numId w:val="36"/>
        </w:numPr>
        <w:spacing w:line="240" w:lineRule="auto"/>
        <w:rPr>
          <w:rFonts w:eastAsia="Times New Roman" w:cs="Arial"/>
          <w:sz w:val="24"/>
          <w:szCs w:val="24"/>
          <w:lang w:eastAsia="bg-BG"/>
        </w:rPr>
      </w:pPr>
      <w:r w:rsidRPr="00B55E92">
        <w:rPr>
          <w:rFonts w:eastAsia="Times New Roman" w:cs="Arial"/>
          <w:color w:val="000000"/>
          <w:lang w:eastAsia="bg-BG"/>
        </w:rPr>
        <w:t>метаболитна ацидоза;</w:t>
      </w:r>
    </w:p>
    <w:p w14:paraId="545B4D37" w14:textId="77777777" w:rsidR="00B55E92" w:rsidRPr="00B55E92" w:rsidRDefault="00B55E92" w:rsidP="00B55E92">
      <w:pPr>
        <w:pStyle w:val="ListParagraph"/>
        <w:numPr>
          <w:ilvl w:val="0"/>
          <w:numId w:val="36"/>
        </w:numPr>
        <w:spacing w:line="240" w:lineRule="auto"/>
        <w:rPr>
          <w:rFonts w:eastAsia="Times New Roman" w:cs="Arial"/>
          <w:sz w:val="24"/>
          <w:szCs w:val="24"/>
          <w:lang w:eastAsia="bg-BG"/>
        </w:rPr>
      </w:pPr>
      <w:r w:rsidRPr="00B55E92">
        <w:rPr>
          <w:rFonts w:eastAsia="Times New Roman" w:cs="Arial"/>
          <w:color w:val="000000"/>
          <w:lang w:eastAsia="bg-BG"/>
        </w:rPr>
        <w:t>брадикардия (сърдечна честота &lt;60 удара/минута преди началото на лечението);</w:t>
      </w:r>
    </w:p>
    <w:p w14:paraId="4319DD2E" w14:textId="77777777" w:rsidR="00B55E92" w:rsidRPr="00B55E92" w:rsidRDefault="00B55E92" w:rsidP="00B55E92">
      <w:pPr>
        <w:pStyle w:val="ListParagraph"/>
        <w:numPr>
          <w:ilvl w:val="0"/>
          <w:numId w:val="36"/>
        </w:numPr>
        <w:spacing w:line="240" w:lineRule="auto"/>
        <w:rPr>
          <w:rFonts w:eastAsia="Times New Roman" w:cs="Arial"/>
          <w:sz w:val="24"/>
          <w:szCs w:val="24"/>
          <w:lang w:eastAsia="bg-BG"/>
        </w:rPr>
      </w:pPr>
      <w:r w:rsidRPr="00B55E92">
        <w:rPr>
          <w:rFonts w:eastAsia="Times New Roman" w:cs="Arial"/>
          <w:color w:val="000000"/>
          <w:lang w:eastAsia="bg-BG"/>
        </w:rPr>
        <w:t xml:space="preserve">хипотония (систолно артериално налягане &lt;90 </w:t>
      </w:r>
      <w:r w:rsidRPr="00B55E92">
        <w:rPr>
          <w:rFonts w:eastAsia="Times New Roman" w:cs="Arial"/>
          <w:color w:val="000000"/>
          <w:lang w:val="en-US"/>
        </w:rPr>
        <w:t>mmHg);</w:t>
      </w:r>
    </w:p>
    <w:p w14:paraId="2309EAB0" w14:textId="6FBD0FF3" w:rsidR="0091385D" w:rsidRPr="00B55E92" w:rsidRDefault="00B55E92" w:rsidP="00B55E92">
      <w:pPr>
        <w:pStyle w:val="ListParagraph"/>
        <w:numPr>
          <w:ilvl w:val="0"/>
          <w:numId w:val="36"/>
        </w:numPr>
        <w:spacing w:line="240" w:lineRule="auto"/>
        <w:rPr>
          <w:rFonts w:eastAsia="Times New Roman" w:cs="Arial"/>
          <w:sz w:val="24"/>
          <w:szCs w:val="24"/>
          <w:lang w:eastAsia="bg-BG"/>
        </w:rPr>
      </w:pPr>
      <w:r w:rsidRPr="00B55E92">
        <w:rPr>
          <w:rFonts w:eastAsia="Times New Roman" w:cs="Arial"/>
          <w:color w:val="000000"/>
          <w:lang w:eastAsia="bg-BG"/>
        </w:rPr>
        <w:t>тежки нарушения в периферното кръвообращение.</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0A08B607" w:rsidR="0091385D" w:rsidRDefault="0091385D" w:rsidP="0091385D"/>
    <w:p w14:paraId="1DB0E9F6"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Виж също т. 4.8. Нежелани лекарствени реакции.</w:t>
      </w:r>
    </w:p>
    <w:p w14:paraId="635307B2" w14:textId="77777777" w:rsidR="00B55E92" w:rsidRPr="00B55E92" w:rsidRDefault="00B55E92" w:rsidP="00B55E92">
      <w:pPr>
        <w:spacing w:line="240" w:lineRule="auto"/>
        <w:rPr>
          <w:rFonts w:eastAsia="Times New Roman" w:cs="Arial"/>
          <w:color w:val="000000"/>
          <w:lang w:eastAsia="bg-BG"/>
        </w:rPr>
      </w:pPr>
    </w:p>
    <w:p w14:paraId="270C4548" w14:textId="24336915"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По принцип за бета-адренергичните блокери са в сила следните предупреждения и предпазни мерки при употреба:</w:t>
      </w:r>
    </w:p>
    <w:p w14:paraId="44FFCB9F" w14:textId="77777777" w:rsidR="00B55E92" w:rsidRPr="00B55E92" w:rsidRDefault="00B55E92" w:rsidP="00B55E92">
      <w:pPr>
        <w:spacing w:line="240" w:lineRule="auto"/>
        <w:rPr>
          <w:rFonts w:eastAsia="Times New Roman" w:cs="Arial"/>
          <w:i/>
          <w:iCs/>
          <w:color w:val="000000"/>
          <w:lang w:eastAsia="bg-BG"/>
        </w:rPr>
      </w:pPr>
    </w:p>
    <w:p w14:paraId="1CCA9680" w14:textId="3D2B6649" w:rsidR="00B55E92" w:rsidRPr="00B55E92" w:rsidRDefault="00B55E92" w:rsidP="00B55E92">
      <w:pPr>
        <w:spacing w:line="240" w:lineRule="auto"/>
        <w:rPr>
          <w:rFonts w:eastAsia="Times New Roman" w:cs="Arial"/>
          <w:sz w:val="24"/>
          <w:szCs w:val="24"/>
          <w:lang w:eastAsia="bg-BG"/>
        </w:rPr>
      </w:pPr>
      <w:r w:rsidRPr="00B55E92">
        <w:rPr>
          <w:rFonts w:eastAsia="Times New Roman" w:cs="Arial"/>
          <w:i/>
          <w:iCs/>
          <w:color w:val="000000"/>
          <w:lang w:eastAsia="bg-BG"/>
        </w:rPr>
        <w:t>Анестезия</w:t>
      </w:r>
    </w:p>
    <w:p w14:paraId="22FC80F2"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Ако не се преустанови, бета-блокадата намалява риска от аритмии по време на въвеждане в анестезия и интубиране. Когато бета-блокадата се прекъсва при подготовка за оперативна намеса, приложението на бета-блокер трябва да се преустанови поне 24 часа преди това.</w:t>
      </w:r>
    </w:p>
    <w:p w14:paraId="4BEB9297"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Необходимо е внимание при приложението на някои анестетици, които подтискат миокардната функция. За да се предотврати появата на вагусови реакции при тези пациенти, може да се приложи интравенозно атропин.</w:t>
      </w:r>
    </w:p>
    <w:p w14:paraId="57F1F114" w14:textId="77777777" w:rsidR="00B55E92" w:rsidRPr="00B55E92" w:rsidRDefault="00B55E92" w:rsidP="00B55E92">
      <w:pPr>
        <w:spacing w:line="240" w:lineRule="auto"/>
        <w:rPr>
          <w:rFonts w:eastAsia="Times New Roman" w:cs="Arial"/>
          <w:i/>
          <w:iCs/>
          <w:color w:val="000000"/>
          <w:lang w:eastAsia="bg-BG"/>
        </w:rPr>
      </w:pPr>
    </w:p>
    <w:p w14:paraId="27637A0E" w14:textId="035B12EE" w:rsidR="00B55E92" w:rsidRPr="00B55E92" w:rsidRDefault="00B55E92" w:rsidP="00B55E92">
      <w:pPr>
        <w:spacing w:line="240" w:lineRule="auto"/>
        <w:rPr>
          <w:rFonts w:eastAsia="Times New Roman" w:cs="Arial"/>
          <w:sz w:val="24"/>
          <w:szCs w:val="24"/>
          <w:lang w:eastAsia="bg-BG"/>
        </w:rPr>
      </w:pPr>
      <w:r w:rsidRPr="00B55E92">
        <w:rPr>
          <w:rFonts w:eastAsia="Times New Roman" w:cs="Arial"/>
          <w:i/>
          <w:iCs/>
          <w:color w:val="000000"/>
          <w:lang w:eastAsia="bg-BG"/>
        </w:rPr>
        <w:t>Сърдечно-съдова система</w:t>
      </w:r>
    </w:p>
    <w:p w14:paraId="2E4E44B4"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По принцип бета-адренергичните антагонисти не трябва да се използват при пациенти с нелекувана застойна сърдечна недостатъчност, с изключение на случаите, когато състоянието на пациента е стабилизирано.</w:t>
      </w:r>
    </w:p>
    <w:p w14:paraId="0B3BEE35" w14:textId="77BA6414" w:rsidR="0091385D" w:rsidRPr="00B55E92" w:rsidRDefault="00B55E92" w:rsidP="00B55E92">
      <w:pPr>
        <w:rPr>
          <w:rFonts w:eastAsia="Times New Roman" w:cs="Arial"/>
          <w:color w:val="000000"/>
          <w:lang w:eastAsia="bg-BG"/>
        </w:rPr>
      </w:pPr>
      <w:r w:rsidRPr="00B55E92">
        <w:rPr>
          <w:rFonts w:eastAsia="Times New Roman" w:cs="Arial"/>
          <w:color w:val="000000"/>
          <w:lang w:eastAsia="bg-BG"/>
        </w:rPr>
        <w:t>При пациенти с исхемична болест на сърцето приложението на бета-адренергичните антагонисти трябва да се преустанови постепенно, в продължение на повече от 1-2 седмици. При необходимост през този период се започва заместваща терапия, за да се избегне екзацербация на ангина лекторис.</w:t>
      </w:r>
    </w:p>
    <w:p w14:paraId="449E4EF9" w14:textId="08487C1B" w:rsidR="00B55E92" w:rsidRPr="00B55E92" w:rsidRDefault="00B55E92" w:rsidP="00B55E92">
      <w:pPr>
        <w:rPr>
          <w:rFonts w:eastAsia="Times New Roman" w:cs="Arial"/>
          <w:color w:val="000000"/>
          <w:lang w:eastAsia="bg-BG"/>
        </w:rPr>
      </w:pPr>
    </w:p>
    <w:p w14:paraId="3F59D6F2"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Бета-адренергичните антагонисти могат да индуцират брадикардия: ако честотата на пулса се понижи под 50-55 удара/минута в покой и/или при симптоми, насочващи за брадикардия, дозата трябва да се намали.</w:t>
      </w:r>
    </w:p>
    <w:p w14:paraId="7497E857"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Бета-адренергичните антагонисти трябва да се използват с внимание при:</w:t>
      </w:r>
    </w:p>
    <w:p w14:paraId="02B93710"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w:t>
      </w:r>
      <w:r w:rsidRPr="00B55E92">
        <w:rPr>
          <w:rFonts w:eastAsia="Times New Roman" w:cs="Arial"/>
          <w:color w:val="000000"/>
          <w:lang w:eastAsia="bg-BG"/>
        </w:rPr>
        <w:tab/>
        <w:t>пациенти с нарушено периферно кръвообращение (болест или синдром на Рейно, интермитентно накуцване), тъй като може да настъпи утежняване на тези заболявания;</w:t>
      </w:r>
    </w:p>
    <w:p w14:paraId="16821231"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w:t>
      </w:r>
      <w:r w:rsidRPr="00B55E92">
        <w:rPr>
          <w:rFonts w:eastAsia="Times New Roman" w:cs="Arial"/>
          <w:color w:val="000000"/>
          <w:lang w:eastAsia="bg-BG"/>
        </w:rPr>
        <w:tab/>
        <w:t>при пациенти с първа степен сърдечен блок, поради негативния ефект на бета-блокерите върху времето на провеждане;</w:t>
      </w:r>
    </w:p>
    <w:p w14:paraId="1700B02E"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w:t>
      </w:r>
      <w:r w:rsidRPr="00B55E92">
        <w:rPr>
          <w:rFonts w:eastAsia="Times New Roman" w:cs="Arial"/>
          <w:color w:val="000000"/>
          <w:lang w:eastAsia="bg-BG"/>
        </w:rPr>
        <w:tab/>
        <w:t>при пациенти е ангина на Принцметал, тъй като при тях се наблюдава коронарен вазоспазъм, медииран от алфа-рецепторите, които не се блокират. Бета-адренергичните антагонисти могат да увеличат честотата и продължителността на ангинозните пристъпи.</w:t>
      </w:r>
    </w:p>
    <w:p w14:paraId="10739F0B"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По принцип не се препоръчва комбинирането на небиволол с калциеви антагонисти от верапамилов или дилтиаземов тип, с антиаритмици клас I и с централно-действащи антихипертензивни лекарства, за повече информация вижте точка 4.5).</w:t>
      </w:r>
    </w:p>
    <w:p w14:paraId="34D1FD26" w14:textId="77777777" w:rsidR="00B55E92" w:rsidRPr="00B55E92" w:rsidRDefault="00B55E92" w:rsidP="00B55E92">
      <w:pPr>
        <w:spacing w:line="240" w:lineRule="auto"/>
        <w:rPr>
          <w:rFonts w:eastAsia="Times New Roman" w:cs="Arial"/>
          <w:i/>
          <w:iCs/>
          <w:color w:val="000000"/>
          <w:lang w:eastAsia="bg-BG"/>
        </w:rPr>
      </w:pPr>
    </w:p>
    <w:p w14:paraId="3EA923AA" w14:textId="435F29C3" w:rsidR="00B55E92" w:rsidRPr="00B55E92" w:rsidRDefault="00B55E92" w:rsidP="00B55E92">
      <w:pPr>
        <w:spacing w:line="240" w:lineRule="auto"/>
        <w:rPr>
          <w:rFonts w:eastAsia="Times New Roman" w:cs="Arial"/>
          <w:sz w:val="24"/>
          <w:szCs w:val="24"/>
          <w:lang w:eastAsia="bg-BG"/>
        </w:rPr>
      </w:pPr>
      <w:r w:rsidRPr="00B55E92">
        <w:rPr>
          <w:rFonts w:eastAsia="Times New Roman" w:cs="Arial"/>
          <w:i/>
          <w:iCs/>
          <w:color w:val="000000"/>
          <w:lang w:eastAsia="bg-BG"/>
        </w:rPr>
        <w:t>Метаболизъм/Ендокринна система</w:t>
      </w:r>
    </w:p>
    <w:p w14:paraId="79CA1336"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lastRenderedPageBreak/>
        <w:t>Небилет не повлиява нивата на кръвната глюкоза при пациенти със захарен диабет. По принцип е препоръчително да се внимава при диабетици, тъй като небиволол може да маскира някои от симптомите на хипогликемия (тахикардия, палпитации).</w:t>
      </w:r>
    </w:p>
    <w:p w14:paraId="584FF261"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Приложението на бета-блокери при пациенти с хипертиреоидизъм може да маскира симптоми на тахикардия. Внезапното прекъсване на лечението може да засили симптомите.</w:t>
      </w:r>
    </w:p>
    <w:p w14:paraId="518F278A" w14:textId="77777777" w:rsidR="00B55E92" w:rsidRPr="00B55E92" w:rsidRDefault="00B55E92" w:rsidP="00B55E92">
      <w:pPr>
        <w:spacing w:line="240" w:lineRule="auto"/>
        <w:rPr>
          <w:rFonts w:eastAsia="Times New Roman" w:cs="Arial"/>
          <w:i/>
          <w:iCs/>
          <w:color w:val="000000"/>
          <w:lang w:eastAsia="bg-BG"/>
        </w:rPr>
      </w:pPr>
    </w:p>
    <w:p w14:paraId="0E126582" w14:textId="143BB4AE" w:rsidR="00B55E92" w:rsidRPr="00B55E92" w:rsidRDefault="00B55E92" w:rsidP="00B55E92">
      <w:pPr>
        <w:spacing w:line="240" w:lineRule="auto"/>
        <w:rPr>
          <w:rFonts w:eastAsia="Times New Roman" w:cs="Arial"/>
          <w:sz w:val="24"/>
          <w:szCs w:val="24"/>
          <w:lang w:eastAsia="bg-BG"/>
        </w:rPr>
      </w:pPr>
      <w:r w:rsidRPr="00B55E92">
        <w:rPr>
          <w:rFonts w:eastAsia="Times New Roman" w:cs="Arial"/>
          <w:i/>
          <w:iCs/>
          <w:color w:val="000000"/>
          <w:lang w:eastAsia="bg-BG"/>
        </w:rPr>
        <w:t>Дихателна система</w:t>
      </w:r>
    </w:p>
    <w:p w14:paraId="72CCDFC6"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Бета-блокерите трябва да се прилагат предпазливо при пациенти с хронична обструктивна белодробна болест, тъй като могат да засилят спазъма на дихателните пътища.</w:t>
      </w:r>
    </w:p>
    <w:p w14:paraId="2D864CC4" w14:textId="77777777" w:rsidR="00B55E92" w:rsidRPr="00B55E92" w:rsidRDefault="00B55E92" w:rsidP="00B55E92">
      <w:pPr>
        <w:spacing w:line="240" w:lineRule="auto"/>
        <w:rPr>
          <w:rFonts w:eastAsia="Times New Roman" w:cs="Arial"/>
          <w:i/>
          <w:iCs/>
          <w:color w:val="000000"/>
          <w:lang w:eastAsia="bg-BG"/>
        </w:rPr>
      </w:pPr>
    </w:p>
    <w:p w14:paraId="38B1ADEF" w14:textId="01D3984C" w:rsidR="00B55E92" w:rsidRPr="00B55E92" w:rsidRDefault="00B55E92" w:rsidP="00B55E92">
      <w:pPr>
        <w:spacing w:line="240" w:lineRule="auto"/>
        <w:rPr>
          <w:rFonts w:eastAsia="Times New Roman" w:cs="Arial"/>
          <w:sz w:val="24"/>
          <w:szCs w:val="24"/>
          <w:lang w:eastAsia="bg-BG"/>
        </w:rPr>
      </w:pPr>
      <w:r w:rsidRPr="00B55E92">
        <w:rPr>
          <w:rFonts w:eastAsia="Times New Roman" w:cs="Arial"/>
          <w:i/>
          <w:iCs/>
          <w:color w:val="000000"/>
          <w:lang w:eastAsia="bg-BG"/>
        </w:rPr>
        <w:t>Други</w:t>
      </w:r>
    </w:p>
    <w:p w14:paraId="136A7F2C"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Пациенти с анамнеза за псориазис трябва да приемат бета-блокери само след внимателна преценка.</w:t>
      </w:r>
    </w:p>
    <w:p w14:paraId="779D6A30"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Бета-адренергичните антагонисти могат да засилят чувстителносгга към алергени и тежестта на анафилактичните реакции.</w:t>
      </w:r>
    </w:p>
    <w:p w14:paraId="4383A1A7" w14:textId="77777777" w:rsidR="00B55E92" w:rsidRPr="00B55E92" w:rsidRDefault="00B55E92" w:rsidP="00B55E92">
      <w:pPr>
        <w:spacing w:line="240" w:lineRule="auto"/>
        <w:rPr>
          <w:rFonts w:eastAsia="Times New Roman" w:cs="Arial"/>
          <w:color w:val="000000"/>
          <w:lang w:eastAsia="bg-BG"/>
        </w:rPr>
      </w:pPr>
    </w:p>
    <w:p w14:paraId="6CFF9DE8" w14:textId="7BECB90A"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Започването на лечение на хроничната сърдечна недостатъчност с небиволол изисква редовно проследяване. За дозировка и начин на приложение, вижте точка 4.2. Лечението не трябва да се преустановява внезапно, освен ако не е категорично показано. За повече информация, вижте точка 4.2.</w:t>
      </w:r>
    </w:p>
    <w:p w14:paraId="680282C2" w14:textId="77777777" w:rsidR="00B55E92" w:rsidRPr="00B55E92" w:rsidRDefault="00B55E92" w:rsidP="00B55E92">
      <w:pPr>
        <w:rPr>
          <w:rFonts w:eastAsia="Times New Roman" w:cs="Arial"/>
          <w:color w:val="000000"/>
          <w:lang w:eastAsia="bg-BG"/>
        </w:rPr>
      </w:pPr>
    </w:p>
    <w:p w14:paraId="5FCDBC86" w14:textId="2BDD6899" w:rsidR="00B55E92" w:rsidRPr="00B55E92" w:rsidRDefault="00B55E92" w:rsidP="00B55E92">
      <w:pPr>
        <w:rPr>
          <w:rFonts w:cs="Arial"/>
        </w:rPr>
      </w:pPr>
      <w:r w:rsidRPr="00B55E92">
        <w:rPr>
          <w:rFonts w:eastAsia="Times New Roman" w:cs="Arial"/>
          <w:color w:val="000000"/>
          <w:lang w:eastAsia="bg-BG"/>
        </w:rPr>
        <w:t xml:space="preserve">Този лекарствени продукт съдържа лактоза. Пациенти с редки наследствени нарушения на галактозна непоносимост, </w:t>
      </w:r>
      <w:r w:rsidRPr="00B55E92">
        <w:rPr>
          <w:rFonts w:eastAsia="Times New Roman" w:cs="Arial"/>
          <w:color w:val="000000"/>
          <w:lang w:val="en-US"/>
        </w:rPr>
        <w:t>Lapp</w:t>
      </w:r>
      <w:r w:rsidRPr="00B55E92">
        <w:rPr>
          <w:rFonts w:eastAsia="Times New Roman" w:cs="Arial"/>
          <w:color w:val="000000"/>
          <w:lang w:eastAsia="bg-BG"/>
        </w:rPr>
        <w:t>-лактазен дефицит или глюкозо-галактозна малабсорбция не трябва да приемат този лекарствен продукт.</w:t>
      </w:r>
    </w:p>
    <w:p w14:paraId="24E3E82F" w14:textId="77777777" w:rsidR="0091385D" w:rsidRPr="0091385D" w:rsidRDefault="0091385D"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4C85AC3D"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u w:val="single"/>
          <w:lang w:eastAsia="bg-BG"/>
        </w:rPr>
        <w:t>Фармакодинамични взаимодействия</w:t>
      </w:r>
    </w:p>
    <w:p w14:paraId="5B170433" w14:textId="77777777" w:rsidR="00B55E92" w:rsidRPr="00B55E92" w:rsidRDefault="00B55E92" w:rsidP="00B55E92">
      <w:pPr>
        <w:spacing w:line="240" w:lineRule="auto"/>
        <w:rPr>
          <w:rFonts w:eastAsia="Times New Roman" w:cs="Arial"/>
          <w:color w:val="000000"/>
          <w:lang w:eastAsia="bg-BG"/>
        </w:rPr>
      </w:pPr>
    </w:p>
    <w:p w14:paraId="3F2D8F94" w14:textId="02F3B943"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По принцип за бета-блокерите са характерни следните взаимодействия:</w:t>
      </w:r>
    </w:p>
    <w:p w14:paraId="23BC1EBB" w14:textId="77777777" w:rsidR="00B55E92" w:rsidRPr="00B55E92" w:rsidRDefault="00B55E92" w:rsidP="00B55E92">
      <w:pPr>
        <w:spacing w:line="240" w:lineRule="auto"/>
        <w:rPr>
          <w:rFonts w:eastAsia="Times New Roman" w:cs="Arial"/>
          <w:color w:val="000000"/>
          <w:u w:val="single"/>
          <w:lang w:eastAsia="bg-BG"/>
        </w:rPr>
      </w:pPr>
    </w:p>
    <w:p w14:paraId="51E9FE6D" w14:textId="1F192C10"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u w:val="single"/>
          <w:lang w:eastAsia="bg-BG"/>
        </w:rPr>
        <w:t>Комбинации, които не се препоръчват</w:t>
      </w:r>
    </w:p>
    <w:p w14:paraId="18D27763"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i/>
          <w:iCs/>
          <w:color w:val="000000"/>
          <w:lang w:eastAsia="bg-BG"/>
        </w:rPr>
        <w:t>Антиаритмични лекарства клас I (хинидин, хидрохинидин, цибензолин, флекаинид, дизопирамид, лидокаин, мексилетин, пропафенон):</w:t>
      </w:r>
      <w:r w:rsidRPr="00B55E92">
        <w:rPr>
          <w:rFonts w:eastAsia="Times New Roman" w:cs="Arial"/>
          <w:color w:val="000000"/>
          <w:lang w:eastAsia="bg-BG"/>
        </w:rPr>
        <w:t xml:space="preserve"> може да се потенцира ефектът върху атрио- вентрикуларното проводно време и да се усили отрицателният инотропен ефект (вж. точка 4.4).</w:t>
      </w:r>
    </w:p>
    <w:p w14:paraId="7ADC8D9B" w14:textId="77777777" w:rsidR="00B55E92" w:rsidRPr="00B55E92" w:rsidRDefault="00B55E92" w:rsidP="00B55E92">
      <w:pPr>
        <w:spacing w:line="240" w:lineRule="auto"/>
        <w:rPr>
          <w:rFonts w:eastAsia="Times New Roman" w:cs="Arial"/>
          <w:i/>
          <w:iCs/>
          <w:color w:val="000000"/>
          <w:lang w:eastAsia="bg-BG"/>
        </w:rPr>
      </w:pPr>
    </w:p>
    <w:p w14:paraId="5D3AD7FF" w14:textId="1D08EF99" w:rsidR="00B55E92" w:rsidRPr="00B55E92" w:rsidRDefault="00B55E92" w:rsidP="00B55E92">
      <w:pPr>
        <w:spacing w:line="240" w:lineRule="auto"/>
        <w:rPr>
          <w:rFonts w:eastAsia="Times New Roman" w:cs="Arial"/>
          <w:sz w:val="24"/>
          <w:szCs w:val="24"/>
          <w:lang w:eastAsia="bg-BG"/>
        </w:rPr>
      </w:pPr>
      <w:r w:rsidRPr="00B55E92">
        <w:rPr>
          <w:rFonts w:eastAsia="Times New Roman" w:cs="Arial"/>
          <w:i/>
          <w:iCs/>
          <w:color w:val="000000"/>
          <w:lang w:eastAsia="bg-BG"/>
        </w:rPr>
        <w:t xml:space="preserve">Качциеви антагонисти от верапамилов/дилтиаземов тип: </w:t>
      </w:r>
      <w:r w:rsidRPr="00B55E92">
        <w:rPr>
          <w:rFonts w:eastAsia="Times New Roman" w:cs="Arial"/>
          <w:color w:val="000000"/>
          <w:lang w:eastAsia="bg-BG"/>
        </w:rPr>
        <w:t>негативен ефект върху</w:t>
      </w:r>
    </w:p>
    <w:p w14:paraId="0C695D05" w14:textId="77777777" w:rsidR="00B55E92" w:rsidRPr="00B55E92" w:rsidRDefault="00B55E92" w:rsidP="00B55E92">
      <w:pPr>
        <w:rPr>
          <w:rFonts w:eastAsia="Times New Roman" w:cs="Arial"/>
          <w:sz w:val="24"/>
          <w:szCs w:val="24"/>
          <w:lang w:eastAsia="bg-BG"/>
        </w:rPr>
      </w:pPr>
      <w:r w:rsidRPr="00B55E92">
        <w:rPr>
          <w:rFonts w:eastAsia="Times New Roman" w:cs="Arial"/>
          <w:color w:val="000000"/>
          <w:lang w:eastAsia="bg-BG"/>
        </w:rPr>
        <w:t>контрактилитета и атрио-вентрикуларната проводимост. Интравенозно приложение на верапамил при пациенти, приемащи бета-блокер, може да доведе до тежка хипотония и атрио- вентрикуларен блок (вж. т. 4.4).</w:t>
      </w:r>
    </w:p>
    <w:p w14:paraId="302A030E" w14:textId="77777777" w:rsidR="00B55E92" w:rsidRPr="00B55E92" w:rsidRDefault="00B55E92" w:rsidP="00B55E92">
      <w:pPr>
        <w:spacing w:line="240" w:lineRule="auto"/>
        <w:rPr>
          <w:rFonts w:eastAsia="Times New Roman" w:cs="Arial"/>
          <w:i/>
          <w:iCs/>
          <w:color w:val="000000"/>
          <w:lang w:eastAsia="bg-BG"/>
        </w:rPr>
      </w:pPr>
    </w:p>
    <w:p w14:paraId="41225219" w14:textId="7853567D" w:rsidR="00B55E92" w:rsidRPr="00B55E92" w:rsidRDefault="00B55E92" w:rsidP="00B55E92">
      <w:pPr>
        <w:spacing w:line="240" w:lineRule="auto"/>
        <w:rPr>
          <w:rFonts w:eastAsia="Times New Roman" w:cs="Arial"/>
          <w:sz w:val="24"/>
          <w:szCs w:val="24"/>
          <w:lang w:eastAsia="bg-BG"/>
        </w:rPr>
      </w:pPr>
      <w:r w:rsidRPr="00B55E92">
        <w:rPr>
          <w:rFonts w:eastAsia="Times New Roman" w:cs="Arial"/>
          <w:i/>
          <w:iCs/>
          <w:color w:val="000000"/>
          <w:lang w:eastAsia="bg-BG"/>
        </w:rPr>
        <w:t>Централно-действащи антихипертензивни лекарства (клонидин, гуанфацин, моксонидин, метилдопа, рилменидин):</w:t>
      </w:r>
      <w:r w:rsidRPr="00B55E92">
        <w:rPr>
          <w:rFonts w:eastAsia="Times New Roman" w:cs="Arial"/>
          <w:color w:val="000000"/>
          <w:lang w:eastAsia="bg-BG"/>
        </w:rPr>
        <w:t xml:space="preserve"> едновременното приложение на централно-действащи антихипертензивни лекарства може да влоши сърдечната недостатъчност чрез понижение на централния симпатиков тонус (понижение в сърдечната честота и </w:t>
      </w:r>
      <w:r w:rsidRPr="00B55E92">
        <w:rPr>
          <w:rFonts w:eastAsia="Times New Roman" w:cs="Arial"/>
          <w:color w:val="000000"/>
          <w:lang w:eastAsia="bg-BG"/>
        </w:rPr>
        <w:lastRenderedPageBreak/>
        <w:t xml:space="preserve">сърдечния дебит, вазодилатация) (вж. т. 4.4). Внезапно преустановяване, особено преди преустановяване на бета- блокера, може да повиши риска от </w:t>
      </w:r>
      <w:r w:rsidRPr="00B55E92">
        <w:rPr>
          <w:rFonts w:eastAsia="Times New Roman" w:cs="Arial"/>
          <w:color w:val="000000"/>
          <w:lang w:val="en-US"/>
        </w:rPr>
        <w:t>“rebound</w:t>
      </w:r>
      <w:r w:rsidRPr="00B55E92">
        <w:rPr>
          <w:rFonts w:eastAsia="Times New Roman" w:cs="Arial"/>
          <w:color w:val="000000"/>
          <w:lang w:eastAsia="bg-BG"/>
        </w:rPr>
        <w:t>-хипертония”.</w:t>
      </w:r>
    </w:p>
    <w:p w14:paraId="37E0703D" w14:textId="77777777" w:rsidR="00B55E92" w:rsidRPr="00B55E92" w:rsidRDefault="00B55E92" w:rsidP="00B55E92">
      <w:pPr>
        <w:spacing w:line="240" w:lineRule="auto"/>
        <w:rPr>
          <w:rFonts w:eastAsia="Times New Roman" w:cs="Arial"/>
          <w:color w:val="000000"/>
          <w:u w:val="single"/>
          <w:lang w:eastAsia="bg-BG"/>
        </w:rPr>
      </w:pPr>
    </w:p>
    <w:p w14:paraId="5CB45548" w14:textId="56C3FD7C"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u w:val="single"/>
          <w:lang w:eastAsia="bg-BG"/>
        </w:rPr>
        <w:t>Комбинации, които трябва да се прилагат с внимание:</w:t>
      </w:r>
    </w:p>
    <w:p w14:paraId="0D38A0F2"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i/>
          <w:iCs/>
          <w:color w:val="000000"/>
          <w:lang w:eastAsia="bg-BG"/>
        </w:rPr>
        <w:t>Антиаритмични лекарства клас III (амиодарон):</w:t>
      </w:r>
      <w:r w:rsidRPr="00B55E92">
        <w:rPr>
          <w:rFonts w:eastAsia="Times New Roman" w:cs="Arial"/>
          <w:color w:val="000000"/>
          <w:lang w:eastAsia="bg-BG"/>
        </w:rPr>
        <w:t xml:space="preserve"> може да се потенцира ефектът върху атрио- вентрикуларното проводно време.</w:t>
      </w:r>
    </w:p>
    <w:p w14:paraId="6E0CB39C" w14:textId="77777777" w:rsidR="00B55E92" w:rsidRPr="00B55E92" w:rsidRDefault="00B55E92" w:rsidP="00B55E92">
      <w:pPr>
        <w:spacing w:line="240" w:lineRule="auto"/>
        <w:rPr>
          <w:rFonts w:eastAsia="Times New Roman" w:cs="Arial"/>
          <w:i/>
          <w:iCs/>
          <w:color w:val="000000"/>
          <w:lang w:eastAsia="bg-BG"/>
        </w:rPr>
      </w:pPr>
    </w:p>
    <w:p w14:paraId="50832C12" w14:textId="01BA95AD" w:rsidR="00B55E92" w:rsidRPr="00B55E92" w:rsidRDefault="00B55E92" w:rsidP="00B55E92">
      <w:pPr>
        <w:spacing w:line="240" w:lineRule="auto"/>
        <w:rPr>
          <w:rFonts w:eastAsia="Times New Roman" w:cs="Arial"/>
          <w:sz w:val="24"/>
          <w:szCs w:val="24"/>
          <w:lang w:eastAsia="bg-BG"/>
        </w:rPr>
      </w:pPr>
      <w:r w:rsidRPr="00B55E92">
        <w:rPr>
          <w:rFonts w:eastAsia="Times New Roman" w:cs="Arial"/>
          <w:i/>
          <w:iCs/>
          <w:color w:val="000000"/>
          <w:lang w:eastAsia="bg-BG"/>
        </w:rPr>
        <w:t>Анестетици — летливи халогени:</w:t>
      </w:r>
      <w:r w:rsidRPr="00B55E92">
        <w:rPr>
          <w:rFonts w:eastAsia="Times New Roman" w:cs="Arial"/>
          <w:color w:val="000000"/>
          <w:lang w:eastAsia="bg-BG"/>
        </w:rPr>
        <w:t xml:space="preserve"> едновременното приложение на бета-адренергични блокери и анестетици може да намали проявата на рефлекторна тахикардия и да повиши риска от хипотония (вж. т. 4.4). По принцип да се избягва внезапното преустановяване на бета-блокера. Анестезиологът трябва да бъде информиран, ако пациентът приема Небилет.</w:t>
      </w:r>
    </w:p>
    <w:p w14:paraId="3A80FEC5" w14:textId="77777777" w:rsidR="00B55E92" w:rsidRPr="00B55E92" w:rsidRDefault="00B55E92" w:rsidP="00B55E92">
      <w:pPr>
        <w:spacing w:line="240" w:lineRule="auto"/>
        <w:rPr>
          <w:rFonts w:eastAsia="Times New Roman" w:cs="Arial"/>
          <w:i/>
          <w:iCs/>
          <w:color w:val="000000"/>
          <w:lang w:eastAsia="bg-BG"/>
        </w:rPr>
      </w:pPr>
    </w:p>
    <w:p w14:paraId="533E854E" w14:textId="7A80CE8D" w:rsidR="00B55E92" w:rsidRPr="00B55E92" w:rsidRDefault="00B55E92" w:rsidP="00B55E92">
      <w:pPr>
        <w:spacing w:line="240" w:lineRule="auto"/>
        <w:rPr>
          <w:rFonts w:eastAsia="Times New Roman" w:cs="Arial"/>
          <w:sz w:val="24"/>
          <w:szCs w:val="24"/>
          <w:lang w:eastAsia="bg-BG"/>
        </w:rPr>
      </w:pPr>
      <w:r w:rsidRPr="00B55E92">
        <w:rPr>
          <w:rFonts w:eastAsia="Times New Roman" w:cs="Arial"/>
          <w:i/>
          <w:iCs/>
          <w:color w:val="000000"/>
          <w:lang w:eastAsia="bg-BG"/>
        </w:rPr>
        <w:t>Инсулин и перорални антидиабетни лекарствени продукти:</w:t>
      </w:r>
      <w:r w:rsidRPr="00B55E92">
        <w:rPr>
          <w:rFonts w:eastAsia="Times New Roman" w:cs="Arial"/>
          <w:color w:val="000000"/>
          <w:lang w:eastAsia="bg-BG"/>
        </w:rPr>
        <w:t xml:space="preserve"> въпреки че небиволол не повлиява нивата на кръвната глкжоза, може да маскира някои симптоми на хипогликемията (палпитации, тахикардия).</w:t>
      </w:r>
    </w:p>
    <w:p w14:paraId="4CFBFF5F" w14:textId="77777777" w:rsidR="00B55E92" w:rsidRPr="00B55E92" w:rsidRDefault="00B55E92" w:rsidP="00B55E92">
      <w:pPr>
        <w:spacing w:line="240" w:lineRule="auto"/>
        <w:rPr>
          <w:rFonts w:eastAsia="Times New Roman" w:cs="Arial"/>
          <w:i/>
          <w:iCs/>
          <w:color w:val="000000"/>
          <w:lang w:eastAsia="bg-BG"/>
        </w:rPr>
      </w:pPr>
    </w:p>
    <w:p w14:paraId="208CE837" w14:textId="2A064118" w:rsidR="00B55E92" w:rsidRPr="00B55E92" w:rsidRDefault="00B55E92" w:rsidP="00B55E92">
      <w:pPr>
        <w:spacing w:line="240" w:lineRule="auto"/>
        <w:rPr>
          <w:rFonts w:eastAsia="Times New Roman" w:cs="Arial"/>
          <w:sz w:val="24"/>
          <w:szCs w:val="24"/>
          <w:lang w:eastAsia="bg-BG"/>
        </w:rPr>
      </w:pPr>
      <w:r w:rsidRPr="00B55E92">
        <w:rPr>
          <w:rFonts w:eastAsia="Times New Roman" w:cs="Arial"/>
          <w:i/>
          <w:iCs/>
          <w:color w:val="000000"/>
          <w:lang w:eastAsia="bg-BG"/>
        </w:rPr>
        <w:t xml:space="preserve">Баклофен (антиспастично средство), амифостин (антинеопластична добавъчна терапия): </w:t>
      </w:r>
      <w:r w:rsidRPr="00B55E92">
        <w:rPr>
          <w:rFonts w:eastAsia="Times New Roman" w:cs="Arial"/>
          <w:color w:val="000000"/>
          <w:lang w:eastAsia="bg-BG"/>
        </w:rPr>
        <w:t>едновремената употреба на антихипертензивни лекарствени продукти е вероятно да увеличи понижението на кръвното налягане; поради това дозировката на антихипертензивните лекарствени продукти трябва да се коригира своевременно.</w:t>
      </w:r>
    </w:p>
    <w:p w14:paraId="436C3A52" w14:textId="77777777" w:rsidR="00B55E92" w:rsidRPr="00B55E92" w:rsidRDefault="00B55E92" w:rsidP="00B55E92">
      <w:pPr>
        <w:spacing w:line="240" w:lineRule="auto"/>
        <w:rPr>
          <w:rFonts w:eastAsia="Times New Roman" w:cs="Arial"/>
          <w:color w:val="000000"/>
          <w:u w:val="single"/>
          <w:lang w:eastAsia="bg-BG"/>
        </w:rPr>
      </w:pPr>
    </w:p>
    <w:p w14:paraId="58B54884" w14:textId="2399194C"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u w:val="single"/>
          <w:lang w:eastAsia="bg-BG"/>
        </w:rPr>
        <w:t>Комбинации, които трябва да се имат предвид:</w:t>
      </w:r>
    </w:p>
    <w:p w14:paraId="33F04523" w14:textId="77777777" w:rsidR="00B55E92" w:rsidRPr="00B55E92" w:rsidRDefault="00B55E92" w:rsidP="00B55E92">
      <w:pPr>
        <w:spacing w:line="240" w:lineRule="auto"/>
        <w:rPr>
          <w:rFonts w:eastAsia="Times New Roman" w:cs="Arial"/>
          <w:i/>
          <w:iCs/>
          <w:color w:val="000000"/>
          <w:lang w:eastAsia="bg-BG"/>
        </w:rPr>
      </w:pPr>
    </w:p>
    <w:p w14:paraId="3DABD52F" w14:textId="4160A6EA" w:rsidR="00B55E92" w:rsidRPr="00B55E92" w:rsidRDefault="00B55E92" w:rsidP="00B55E92">
      <w:pPr>
        <w:spacing w:line="240" w:lineRule="auto"/>
        <w:rPr>
          <w:rFonts w:eastAsia="Times New Roman" w:cs="Arial"/>
          <w:sz w:val="24"/>
          <w:szCs w:val="24"/>
          <w:lang w:eastAsia="bg-BG"/>
        </w:rPr>
      </w:pPr>
      <w:r w:rsidRPr="00B55E92">
        <w:rPr>
          <w:rFonts w:eastAsia="Times New Roman" w:cs="Arial"/>
          <w:i/>
          <w:iCs/>
          <w:color w:val="000000"/>
          <w:lang w:eastAsia="bg-BG"/>
        </w:rPr>
        <w:t>Дигиталисови гликозиди:</w:t>
      </w:r>
      <w:r w:rsidRPr="00B55E92">
        <w:rPr>
          <w:rFonts w:eastAsia="Times New Roman" w:cs="Arial"/>
          <w:color w:val="000000"/>
          <w:lang w:eastAsia="bg-BG"/>
        </w:rPr>
        <w:t xml:space="preserve"> едновременното приложение може да увеличи атрио-вентрикуларното проводно време. Клиничните изпитвания с небиволол не показват клинични доказателства за взаимодействия. Небиволол не повлиява кинетиката на дигоксин.</w:t>
      </w:r>
    </w:p>
    <w:p w14:paraId="6CA99908" w14:textId="77777777" w:rsidR="00B55E92" w:rsidRPr="00B55E92" w:rsidRDefault="00B55E92" w:rsidP="00B55E92">
      <w:pPr>
        <w:spacing w:line="240" w:lineRule="auto"/>
        <w:rPr>
          <w:rFonts w:eastAsia="Times New Roman" w:cs="Arial"/>
          <w:i/>
          <w:iCs/>
          <w:color w:val="000000"/>
          <w:lang w:eastAsia="bg-BG"/>
        </w:rPr>
      </w:pPr>
    </w:p>
    <w:p w14:paraId="041E2EC4" w14:textId="4C4ACD0F" w:rsidR="00B55E92" w:rsidRPr="00B55E92" w:rsidRDefault="00B55E92" w:rsidP="00B55E92">
      <w:pPr>
        <w:spacing w:line="240" w:lineRule="auto"/>
        <w:rPr>
          <w:rFonts w:eastAsia="Times New Roman" w:cs="Arial"/>
          <w:sz w:val="24"/>
          <w:szCs w:val="24"/>
          <w:lang w:eastAsia="bg-BG"/>
        </w:rPr>
      </w:pPr>
      <w:r w:rsidRPr="00B55E92">
        <w:rPr>
          <w:rFonts w:eastAsia="Times New Roman" w:cs="Arial"/>
          <w:i/>
          <w:iCs/>
          <w:color w:val="000000"/>
          <w:lang w:eastAsia="bg-BG"/>
        </w:rPr>
        <w:t>Калциеви антагонисти от дихидропиридинов тип (амлодипин, фелодипин, лацидипин, нифедипин, никардипин, нимодипин, нитрендипин):</w:t>
      </w:r>
      <w:r w:rsidRPr="00B55E92">
        <w:rPr>
          <w:rFonts w:eastAsia="Times New Roman" w:cs="Arial"/>
          <w:color w:val="000000"/>
          <w:lang w:eastAsia="bg-BG"/>
        </w:rPr>
        <w:t xml:space="preserve"> едновременното приложение може да увеличи риска от хипотония и не може да се изключи увеличен риск от допълнително влошаван</w:t>
      </w:r>
      <w:bookmarkStart w:id="1" w:name="_GoBack"/>
      <w:bookmarkEnd w:id="1"/>
      <w:r w:rsidRPr="00B55E92">
        <w:rPr>
          <w:rFonts w:eastAsia="Times New Roman" w:cs="Arial"/>
          <w:color w:val="000000"/>
          <w:lang w:eastAsia="bg-BG"/>
        </w:rPr>
        <w:t>е на камерната помпена функция при пациенти със сърдечна недостатъчност.</w:t>
      </w:r>
    </w:p>
    <w:p w14:paraId="5D13665C" w14:textId="77777777" w:rsidR="00B55E92" w:rsidRPr="00B55E92" w:rsidRDefault="00B55E92" w:rsidP="00B55E92">
      <w:pPr>
        <w:spacing w:line="240" w:lineRule="auto"/>
        <w:rPr>
          <w:rFonts w:eastAsia="Times New Roman" w:cs="Arial"/>
          <w:i/>
          <w:iCs/>
          <w:color w:val="000000"/>
          <w:lang w:eastAsia="bg-BG"/>
        </w:rPr>
      </w:pPr>
    </w:p>
    <w:p w14:paraId="14F4BBA5" w14:textId="661C0C5E" w:rsidR="00B55E92" w:rsidRPr="00B55E92" w:rsidRDefault="00B55E92" w:rsidP="00B55E92">
      <w:pPr>
        <w:spacing w:line="240" w:lineRule="auto"/>
        <w:rPr>
          <w:rFonts w:eastAsia="Times New Roman" w:cs="Arial"/>
          <w:sz w:val="24"/>
          <w:szCs w:val="24"/>
          <w:lang w:eastAsia="bg-BG"/>
        </w:rPr>
      </w:pPr>
      <w:r w:rsidRPr="00B55E92">
        <w:rPr>
          <w:rFonts w:eastAsia="Times New Roman" w:cs="Arial"/>
          <w:i/>
          <w:iCs/>
          <w:color w:val="000000"/>
          <w:lang w:eastAsia="bg-BG"/>
        </w:rPr>
        <w:t xml:space="preserve">Антипсихотици, антидепресанти (трициклични, барбитурати и фенотиазини): </w:t>
      </w:r>
      <w:r w:rsidRPr="00B55E92">
        <w:rPr>
          <w:rFonts w:eastAsia="Times New Roman" w:cs="Arial"/>
          <w:color w:val="000000"/>
          <w:lang w:eastAsia="bg-BG"/>
        </w:rPr>
        <w:t>едновременното приложение може да засили хипотензивният ефект на бета-блокерите (адитивен ефект).</w:t>
      </w:r>
    </w:p>
    <w:p w14:paraId="0BCF6364"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i/>
          <w:iCs/>
          <w:color w:val="000000"/>
          <w:lang w:eastAsia="bg-BG"/>
        </w:rPr>
        <w:t>Нестероидни противовъзпалителни средства (НСПВС):</w:t>
      </w:r>
      <w:r w:rsidRPr="00B55E92">
        <w:rPr>
          <w:rFonts w:eastAsia="Times New Roman" w:cs="Arial"/>
          <w:color w:val="000000"/>
          <w:lang w:eastAsia="bg-BG"/>
        </w:rPr>
        <w:t xml:space="preserve"> нямат ефект върху понижаващия кръвното налягане ефект на небиволол.</w:t>
      </w:r>
    </w:p>
    <w:p w14:paraId="569D9392" w14:textId="77777777" w:rsidR="00B55E92" w:rsidRPr="00B55E92" w:rsidRDefault="00B55E92" w:rsidP="00B55E92">
      <w:pPr>
        <w:spacing w:line="240" w:lineRule="auto"/>
        <w:rPr>
          <w:rFonts w:eastAsia="Times New Roman" w:cs="Arial"/>
          <w:i/>
          <w:iCs/>
          <w:color w:val="000000"/>
          <w:lang w:eastAsia="bg-BG"/>
        </w:rPr>
      </w:pPr>
    </w:p>
    <w:p w14:paraId="2E249A84" w14:textId="383EA71B" w:rsidR="00B55E92" w:rsidRPr="00B55E92" w:rsidRDefault="00B55E92" w:rsidP="00B55E92">
      <w:pPr>
        <w:spacing w:line="240" w:lineRule="auto"/>
        <w:rPr>
          <w:rFonts w:eastAsia="Times New Roman" w:cs="Arial"/>
          <w:sz w:val="24"/>
          <w:szCs w:val="24"/>
          <w:lang w:eastAsia="bg-BG"/>
        </w:rPr>
      </w:pPr>
      <w:r w:rsidRPr="00B55E92">
        <w:rPr>
          <w:rFonts w:eastAsia="Times New Roman" w:cs="Arial"/>
          <w:i/>
          <w:iCs/>
          <w:color w:val="000000"/>
          <w:lang w:eastAsia="bg-BG"/>
        </w:rPr>
        <w:t>Симпатикомиметичните лекарства:</w:t>
      </w:r>
      <w:r w:rsidRPr="00B55E92">
        <w:rPr>
          <w:rFonts w:eastAsia="Times New Roman" w:cs="Arial"/>
          <w:color w:val="000000"/>
          <w:lang w:eastAsia="bg-BG"/>
        </w:rPr>
        <w:t xml:space="preserve"> едновременното приложение може да противодейства на бета-антагостичната активност. Бета-блокерите могат да доведат до безпрепятствена алфа- адренергична активност на симпатикомиметиците с алфа- и с бета-адренергична активност (опасност от хипертония, тежка брадикардия и сърдечен блок).</w:t>
      </w:r>
    </w:p>
    <w:p w14:paraId="21E9CEF3" w14:textId="77777777" w:rsidR="00B55E92" w:rsidRPr="00B55E92" w:rsidRDefault="00B55E92" w:rsidP="00B55E92">
      <w:pPr>
        <w:spacing w:line="240" w:lineRule="auto"/>
        <w:rPr>
          <w:rFonts w:eastAsia="Times New Roman" w:cs="Arial"/>
          <w:color w:val="000000"/>
          <w:u w:val="single"/>
          <w:lang w:eastAsia="bg-BG"/>
        </w:rPr>
      </w:pPr>
    </w:p>
    <w:p w14:paraId="4D4893B7" w14:textId="76331CEE"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u w:val="single"/>
          <w:lang w:eastAsia="bg-BG"/>
        </w:rPr>
        <w:t>Фармакокинетични взаимодействия</w:t>
      </w:r>
    </w:p>
    <w:p w14:paraId="366AFF9D" w14:textId="77777777" w:rsidR="00B55E92" w:rsidRPr="00B55E92" w:rsidRDefault="00B55E92" w:rsidP="00B55E92">
      <w:pPr>
        <w:rPr>
          <w:rFonts w:eastAsia="Times New Roman" w:cs="Arial"/>
          <w:color w:val="000000"/>
          <w:lang w:eastAsia="bg-BG"/>
        </w:rPr>
      </w:pPr>
    </w:p>
    <w:p w14:paraId="44DC7A0C" w14:textId="77777777" w:rsidR="00B55E92" w:rsidRPr="00B55E92" w:rsidRDefault="00B55E92" w:rsidP="00B55E92">
      <w:pPr>
        <w:rPr>
          <w:rFonts w:eastAsia="Times New Roman" w:cs="Arial"/>
          <w:sz w:val="24"/>
          <w:szCs w:val="24"/>
          <w:lang w:eastAsia="bg-BG"/>
        </w:rPr>
      </w:pPr>
      <w:r w:rsidRPr="00B55E92">
        <w:rPr>
          <w:rFonts w:eastAsia="Times New Roman" w:cs="Arial"/>
          <w:color w:val="000000"/>
          <w:lang w:eastAsia="bg-BG"/>
        </w:rPr>
        <w:t xml:space="preserve">В метаболизирането на небиволол участва изоензима </w:t>
      </w:r>
      <w:r w:rsidRPr="00B55E92">
        <w:rPr>
          <w:rFonts w:eastAsia="Times New Roman" w:cs="Arial"/>
          <w:color w:val="000000"/>
          <w:lang w:val="en-US"/>
        </w:rPr>
        <w:t xml:space="preserve">CYP2D6. </w:t>
      </w:r>
      <w:r w:rsidRPr="00B55E92">
        <w:rPr>
          <w:rFonts w:eastAsia="Times New Roman" w:cs="Arial"/>
          <w:color w:val="000000"/>
          <w:lang w:eastAsia="bg-BG"/>
        </w:rPr>
        <w:t xml:space="preserve">Ето защо едновременното  приложение на вещества, които потискат този ензим, особено </w:t>
      </w:r>
      <w:r w:rsidRPr="00B55E92">
        <w:rPr>
          <w:rFonts w:eastAsia="Times New Roman" w:cs="Arial"/>
          <w:color w:val="000000"/>
          <w:lang w:eastAsia="bg-BG"/>
        </w:rPr>
        <w:lastRenderedPageBreak/>
        <w:t>пароксетин, флуксетин,</w:t>
      </w:r>
      <w:r>
        <w:rPr>
          <w:rFonts w:eastAsia="Times New Roman" w:cs="Arial"/>
          <w:color w:val="000000"/>
          <w:lang w:eastAsia="bg-BG"/>
        </w:rPr>
        <w:t xml:space="preserve"> </w:t>
      </w:r>
      <w:r w:rsidRPr="00B55E92">
        <w:rPr>
          <w:rFonts w:eastAsia="Times New Roman" w:cs="Arial"/>
          <w:color w:val="000000"/>
          <w:lang w:eastAsia="bg-BG"/>
        </w:rPr>
        <w:t>тиоридазин и хинидин, може да доведе до повишени нива на небиволол, свързани с повишен риск от тежка брадикардия и нежелани ефекти.</w:t>
      </w:r>
    </w:p>
    <w:p w14:paraId="5942E59D"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Едновременното приложение на циметидин повишава плазмените нива на небиволол без да променя клиничния ефект. Приложението на ранитидин не променя фармакокинетиката на небиволол. Двете лекарства може да се предпишат заедно, като Небилет се приема по време на хранене, а антиацидът - между две хранения.</w:t>
      </w:r>
    </w:p>
    <w:p w14:paraId="172AE819" w14:textId="766FAE45" w:rsidR="0091385D" w:rsidRPr="00B55E92" w:rsidRDefault="00B55E92" w:rsidP="00B55E92">
      <w:pPr>
        <w:rPr>
          <w:rFonts w:cs="Arial"/>
        </w:rPr>
      </w:pPr>
      <w:r w:rsidRPr="00B55E92">
        <w:rPr>
          <w:rFonts w:eastAsia="Times New Roman" w:cs="Arial"/>
          <w:color w:val="000000"/>
          <w:lang w:eastAsia="bg-BG"/>
        </w:rPr>
        <w:t>Едновременното приложение на небиволол и никардипин води до леко повишение на плазмените нива и на двете лекарства без да променя клиничния ефект. Едновременното приложение на алкохол, фуроземид или хидрохлоротиазид не променя фармакокинетиката на небиволол. Небиволол не повлиява фармакокинетиката и фармакодинамиката на варфарин.</w:t>
      </w:r>
    </w:p>
    <w:p w14:paraId="5B2761C5" w14:textId="7A316905" w:rsidR="0091385D" w:rsidRDefault="0091385D" w:rsidP="0091385D"/>
    <w:p w14:paraId="5496CC71" w14:textId="77777777" w:rsidR="00B55E92" w:rsidRPr="0091385D" w:rsidRDefault="00B55E92" w:rsidP="0091385D"/>
    <w:p w14:paraId="394A7584" w14:textId="10DEA5B3" w:rsidR="004F498A" w:rsidRDefault="002C50EE" w:rsidP="004A448E">
      <w:pPr>
        <w:pStyle w:val="Heading2"/>
      </w:pPr>
      <w:r>
        <w:t>4.6. Фертилитет, бременност и кърмене</w:t>
      </w:r>
    </w:p>
    <w:p w14:paraId="4887836B" w14:textId="11C96CFA" w:rsidR="0091385D" w:rsidRDefault="0091385D" w:rsidP="0091385D"/>
    <w:p w14:paraId="3D30DD8E" w14:textId="77777777" w:rsidR="00B55E92" w:rsidRPr="00B55E92" w:rsidRDefault="00B55E92" w:rsidP="00B55E92">
      <w:pPr>
        <w:pStyle w:val="Heading3"/>
        <w:rPr>
          <w:rFonts w:eastAsia="Times New Roman"/>
          <w:u w:val="single"/>
          <w:lang w:eastAsia="bg-BG"/>
        </w:rPr>
      </w:pPr>
      <w:r w:rsidRPr="00B55E92">
        <w:rPr>
          <w:rFonts w:eastAsia="Times New Roman"/>
          <w:u w:val="single"/>
          <w:lang w:eastAsia="bg-BG"/>
        </w:rPr>
        <w:t>Бременност</w:t>
      </w:r>
    </w:p>
    <w:p w14:paraId="16B06C4D"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Небиволол притежава фармакологичен ефект, който може да причини вредни ефекти при бременност и/или у плода/новороденото. По принцип бета-блокерите намаляват перфузията на плацентата, което може да доведе до забавен растеж, вътреутробна смърт, аборт или преждевременно раждане. Възможно е да се проявят и нежелани реакции (напр. хипогликемия и брадикардия) у плода и новороденото. Ако приложението на бета-блокер е наложително, се предпочита приложението на бета-1 селективни блокери.</w:t>
      </w:r>
    </w:p>
    <w:p w14:paraId="0937860A"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Небиволол не трябва да се използва по време на бременност, освен при наличие на категорична необходимост. Ако приложението на небиволол е наистина необходимо, трябва да се проследяват утеро-плацентарният кръвоток и растежът на плода. При наличие на вреден ефект върху бременността или у плода, трябва да се приложи друго лечение. Новороденото трябва внимателно да се проследява. Симптомите на хипогликемия и брадикардия по принцип се очакват в рамките на първите 3 дни.</w:t>
      </w:r>
    </w:p>
    <w:p w14:paraId="2748856D" w14:textId="77777777" w:rsidR="00B55E92" w:rsidRPr="00B55E92" w:rsidRDefault="00B55E92" w:rsidP="00B55E92">
      <w:pPr>
        <w:spacing w:line="240" w:lineRule="auto"/>
        <w:rPr>
          <w:rFonts w:eastAsia="Times New Roman" w:cs="Arial"/>
          <w:color w:val="000000"/>
          <w:u w:val="single"/>
          <w:lang w:eastAsia="bg-BG"/>
        </w:rPr>
      </w:pPr>
    </w:p>
    <w:p w14:paraId="321DECB9" w14:textId="652DC0C0" w:rsidR="00B55E92" w:rsidRPr="00B55E92" w:rsidRDefault="00B55E92" w:rsidP="00B55E92">
      <w:pPr>
        <w:pStyle w:val="Heading3"/>
        <w:rPr>
          <w:rFonts w:eastAsia="Times New Roman"/>
          <w:u w:val="single"/>
          <w:lang w:eastAsia="bg-BG"/>
        </w:rPr>
      </w:pPr>
      <w:r w:rsidRPr="00B55E92">
        <w:rPr>
          <w:rFonts w:eastAsia="Times New Roman"/>
          <w:u w:val="single"/>
          <w:lang w:eastAsia="bg-BG"/>
        </w:rPr>
        <w:t>Кърмене</w:t>
      </w:r>
    </w:p>
    <w:p w14:paraId="410F4CCC"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Опитите с животни показват, че небиволол се екскретира в кърмата. Не е известно дали небиволол се екскретира в майчиното мляко при човек. По-голяма част от бета-блокерите, най- вече липофилните вещества като небиволол и неговите активни метаболити, преминават в майчиното мляко в различна степен. Не може да се изключи риск за новородените/кърмачетата. Ето защо при майки, приемащи небиволол не се препоръчва кърмене.</w:t>
      </w:r>
    </w:p>
    <w:p w14:paraId="62E5079F" w14:textId="77777777" w:rsidR="00B55E92" w:rsidRPr="00B55E92" w:rsidRDefault="00B55E92" w:rsidP="00B55E92">
      <w:pPr>
        <w:spacing w:line="240" w:lineRule="auto"/>
        <w:rPr>
          <w:rFonts w:eastAsia="Times New Roman" w:cs="Arial"/>
          <w:color w:val="000000"/>
          <w:u w:val="single"/>
          <w:lang w:eastAsia="bg-BG"/>
        </w:rPr>
      </w:pPr>
    </w:p>
    <w:p w14:paraId="030214EA" w14:textId="24336637" w:rsidR="00B55E92" w:rsidRPr="00B55E92" w:rsidRDefault="00B55E92" w:rsidP="00B55E92">
      <w:pPr>
        <w:pStyle w:val="Heading3"/>
        <w:rPr>
          <w:rFonts w:eastAsia="Times New Roman"/>
          <w:u w:val="single"/>
          <w:lang w:eastAsia="bg-BG"/>
        </w:rPr>
      </w:pPr>
      <w:r w:rsidRPr="00B55E92">
        <w:rPr>
          <w:rFonts w:eastAsia="Times New Roman"/>
          <w:u w:val="single"/>
          <w:lang w:eastAsia="bg-BG"/>
        </w:rPr>
        <w:t>Фертилитет</w:t>
      </w:r>
    </w:p>
    <w:p w14:paraId="776662C5" w14:textId="01E91094" w:rsidR="0091385D" w:rsidRPr="00B55E92" w:rsidRDefault="00B55E92" w:rsidP="00B55E92">
      <w:pPr>
        <w:rPr>
          <w:rFonts w:cs="Arial"/>
        </w:rPr>
      </w:pPr>
      <w:r w:rsidRPr="00B55E92">
        <w:rPr>
          <w:rFonts w:eastAsia="Times New Roman" w:cs="Arial"/>
          <w:color w:val="000000"/>
          <w:lang w:eastAsia="bg-BG"/>
        </w:rPr>
        <w:t>Небиволол няма ефект върху фертилитета на плъхове, освен при дози няколко пъти по-високи от максималната препоръчвана доза при хора, когато са наблюдавани нежелани ефекти върху мъжките и женските репродуктивни органи при плъхове и мишки. Ефектът на небиволол върху фертилитета при хората не е известен.</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2676810A" w:rsidR="0091385D" w:rsidRDefault="0091385D" w:rsidP="0091385D"/>
    <w:p w14:paraId="2B4135A6" w14:textId="6F6DC31F" w:rsidR="0091385D" w:rsidRPr="00B55E92" w:rsidRDefault="00B55E92" w:rsidP="0091385D">
      <w:pPr>
        <w:rPr>
          <w:rFonts w:cs="Arial"/>
        </w:rPr>
      </w:pPr>
      <w:r w:rsidRPr="00B55E92">
        <w:rPr>
          <w:rFonts w:cs="Arial"/>
        </w:rPr>
        <w:t xml:space="preserve">Липсват изпитвания за влиянието върху способността за шофиране и работа с машини. Фармакодинамични проучвания показват, че Небилет 5 </w:t>
      </w:r>
      <w:r w:rsidRPr="00B55E92">
        <w:rPr>
          <w:rFonts w:cs="Arial"/>
          <w:lang w:val="en-US"/>
        </w:rPr>
        <w:t xml:space="preserve">mg </w:t>
      </w:r>
      <w:r w:rsidRPr="00B55E92">
        <w:rPr>
          <w:rFonts w:cs="Arial"/>
        </w:rPr>
        <w:t xml:space="preserve">не повлиява психомоторната </w:t>
      </w:r>
      <w:r w:rsidRPr="00B55E92">
        <w:rPr>
          <w:rFonts w:cs="Arial"/>
        </w:rPr>
        <w:lastRenderedPageBreak/>
        <w:t>функция. При шофиране или работа с машини трябва да се има предвид, че в редки случаи могат да възникнат световъртеж или отпадналост.</w:t>
      </w:r>
    </w:p>
    <w:p w14:paraId="35801A15" w14:textId="77777777" w:rsidR="0091385D" w:rsidRPr="0091385D" w:rsidRDefault="0091385D" w:rsidP="0091385D"/>
    <w:p w14:paraId="37A3FD9F" w14:textId="0E7561E3" w:rsidR="00CF77F7" w:rsidRDefault="002C50EE" w:rsidP="004A448E">
      <w:pPr>
        <w:pStyle w:val="Heading2"/>
      </w:pPr>
      <w:r>
        <w:t>4.8. Нежелани лекарствени реакции</w:t>
      </w:r>
    </w:p>
    <w:p w14:paraId="4838F52A" w14:textId="4C2232D6" w:rsidR="0091385D" w:rsidRDefault="0091385D" w:rsidP="0091385D"/>
    <w:p w14:paraId="1FDFB458" w14:textId="77777777" w:rsidR="00B55E92" w:rsidRPr="00B55E92" w:rsidRDefault="00B55E92" w:rsidP="00B55E92">
      <w:pPr>
        <w:spacing w:line="240" w:lineRule="auto"/>
        <w:rPr>
          <w:rFonts w:eastAsia="Times New Roman" w:cs="Arial"/>
          <w:sz w:val="24"/>
          <w:szCs w:val="24"/>
          <w:lang w:eastAsia="bg-BG"/>
        </w:rPr>
      </w:pPr>
      <w:r w:rsidRPr="00B55E92">
        <w:rPr>
          <w:rFonts w:eastAsia="Times New Roman" w:cs="Arial"/>
          <w:color w:val="000000"/>
          <w:lang w:eastAsia="bg-BG"/>
        </w:rPr>
        <w:t>Нежеланите лекарствени реакции са изброени отделно за хипертония и за хронична сърдечна недостатъчност поради базови разлики в тези две заболявания.</w:t>
      </w:r>
    </w:p>
    <w:p w14:paraId="43D8D896" w14:textId="77777777" w:rsidR="00B55E92" w:rsidRPr="00B55E92" w:rsidRDefault="00B55E92" w:rsidP="00B55E92">
      <w:pPr>
        <w:rPr>
          <w:rFonts w:eastAsia="Times New Roman" w:cs="Arial"/>
          <w:color w:val="000000"/>
          <w:u w:val="single"/>
          <w:lang w:eastAsia="bg-BG"/>
        </w:rPr>
      </w:pPr>
    </w:p>
    <w:p w14:paraId="570508C4" w14:textId="6EE7AD93" w:rsidR="0091385D" w:rsidRDefault="00B55E92" w:rsidP="00B55E92">
      <w:pPr>
        <w:rPr>
          <w:rFonts w:eastAsia="Times New Roman" w:cs="Arial"/>
          <w:color w:val="000000"/>
          <w:u w:val="single"/>
          <w:lang w:eastAsia="bg-BG"/>
        </w:rPr>
      </w:pPr>
      <w:r w:rsidRPr="00B55E92">
        <w:rPr>
          <w:rFonts w:eastAsia="Times New Roman" w:cs="Arial"/>
          <w:color w:val="000000"/>
          <w:u w:val="single"/>
          <w:lang w:eastAsia="bg-BG"/>
        </w:rPr>
        <w:t>Хипертония</w:t>
      </w:r>
    </w:p>
    <w:p w14:paraId="48FAC45B" w14:textId="5033FD4D" w:rsidR="00B55E92" w:rsidRPr="00B55E92" w:rsidRDefault="00B55E92" w:rsidP="00B55E92">
      <w:pPr>
        <w:rPr>
          <w:rFonts w:cs="Arial"/>
        </w:rPr>
      </w:pPr>
      <w:r>
        <w:t>П</w:t>
      </w:r>
      <w:r>
        <w:t xml:space="preserve">овечето нежелани лекарствени реакции са с лека до умерена проява. Те са изброени по-долу, </w:t>
      </w:r>
      <w:r w:rsidRPr="00B55E92">
        <w:t>класифицирани по системи и органи и подредени по честота на проява.</w:t>
      </w:r>
    </w:p>
    <w:p w14:paraId="43E3C48F" w14:textId="75895A85" w:rsidR="0091385D" w:rsidRDefault="0091385D" w:rsidP="0091385D"/>
    <w:tbl>
      <w:tblPr>
        <w:tblStyle w:val="TableGrid"/>
        <w:tblW w:w="0" w:type="auto"/>
        <w:tblLook w:val="04A0" w:firstRow="1" w:lastRow="0" w:firstColumn="1" w:lastColumn="0" w:noHBand="0" w:noVBand="1"/>
      </w:tblPr>
      <w:tblGrid>
        <w:gridCol w:w="1875"/>
        <w:gridCol w:w="1797"/>
        <w:gridCol w:w="1913"/>
        <w:gridCol w:w="1580"/>
        <w:gridCol w:w="2411"/>
      </w:tblGrid>
      <w:tr w:rsidR="00B55E92" w14:paraId="764ADD40" w14:textId="77777777" w:rsidTr="00B55E92">
        <w:tc>
          <w:tcPr>
            <w:tcW w:w="1875" w:type="dxa"/>
          </w:tcPr>
          <w:p w14:paraId="21C71848" w14:textId="66BB4352" w:rsidR="00B55E92" w:rsidRDefault="00B55E92" w:rsidP="00B55E92">
            <w:r>
              <w:rPr>
                <w:b/>
                <w:bCs/>
              </w:rPr>
              <w:t>Система/орган</w:t>
            </w:r>
          </w:p>
        </w:tc>
        <w:tc>
          <w:tcPr>
            <w:tcW w:w="1797" w:type="dxa"/>
          </w:tcPr>
          <w:p w14:paraId="6DFB47C3" w14:textId="39128040" w:rsidR="00B55E92" w:rsidRDefault="00B55E92" w:rsidP="00B55E92">
            <w:r>
              <w:rPr>
                <w:b/>
                <w:bCs/>
              </w:rPr>
              <w:t>Чести (≥1/100 до &lt; 1/10)</w:t>
            </w:r>
          </w:p>
        </w:tc>
        <w:tc>
          <w:tcPr>
            <w:tcW w:w="1913" w:type="dxa"/>
          </w:tcPr>
          <w:p w14:paraId="5BFCFA3A" w14:textId="15CEDA77" w:rsidR="00B55E92" w:rsidRDefault="00B55E92" w:rsidP="00B55E92">
            <w:r>
              <w:rPr>
                <w:b/>
                <w:bCs/>
              </w:rPr>
              <w:t>Нечести (≥1/1 000 до &lt;1/100)</w:t>
            </w:r>
          </w:p>
        </w:tc>
        <w:tc>
          <w:tcPr>
            <w:tcW w:w="1580" w:type="dxa"/>
          </w:tcPr>
          <w:p w14:paraId="13185C9D" w14:textId="3B9FB816" w:rsidR="00B55E92" w:rsidRDefault="00B55E92" w:rsidP="00B55E92">
            <w:r>
              <w:rPr>
                <w:b/>
                <w:bCs/>
              </w:rPr>
              <w:t>Много редки (&lt;1/10 000)</w:t>
            </w:r>
          </w:p>
        </w:tc>
        <w:tc>
          <w:tcPr>
            <w:tcW w:w="2411" w:type="dxa"/>
          </w:tcPr>
          <w:p w14:paraId="28A5A8D6" w14:textId="7965E7F3" w:rsidR="00B55E92" w:rsidRDefault="00B55E92" w:rsidP="00B55E92">
            <w:r>
              <w:rPr>
                <w:b/>
                <w:bCs/>
              </w:rPr>
              <w:t>С неизвестна честота</w:t>
            </w:r>
          </w:p>
        </w:tc>
      </w:tr>
      <w:tr w:rsidR="00B55E92" w14:paraId="214F33C5" w14:textId="77777777" w:rsidTr="00B55E92">
        <w:tc>
          <w:tcPr>
            <w:tcW w:w="1875" w:type="dxa"/>
          </w:tcPr>
          <w:p w14:paraId="3116D357" w14:textId="55804BD0" w:rsidR="00B55E92" w:rsidRDefault="00B55E92" w:rsidP="00B55E92">
            <w:r>
              <w:t>Нарушения на имунната система</w:t>
            </w:r>
          </w:p>
        </w:tc>
        <w:tc>
          <w:tcPr>
            <w:tcW w:w="1797" w:type="dxa"/>
          </w:tcPr>
          <w:p w14:paraId="53B68A72" w14:textId="77777777" w:rsidR="00B55E92" w:rsidRDefault="00B55E92" w:rsidP="00B55E92"/>
        </w:tc>
        <w:tc>
          <w:tcPr>
            <w:tcW w:w="1913" w:type="dxa"/>
          </w:tcPr>
          <w:p w14:paraId="1CEA0917" w14:textId="77777777" w:rsidR="00B55E92" w:rsidRDefault="00B55E92" w:rsidP="00B55E92"/>
        </w:tc>
        <w:tc>
          <w:tcPr>
            <w:tcW w:w="1580" w:type="dxa"/>
          </w:tcPr>
          <w:p w14:paraId="596B6A61" w14:textId="77777777" w:rsidR="00B55E92" w:rsidRDefault="00B55E92" w:rsidP="00B55E92"/>
        </w:tc>
        <w:tc>
          <w:tcPr>
            <w:tcW w:w="2411" w:type="dxa"/>
          </w:tcPr>
          <w:p w14:paraId="08DCFFD5" w14:textId="35E95230" w:rsidR="00B55E92" w:rsidRDefault="00B55E92" w:rsidP="00B55E92">
            <w:r>
              <w:t>Ангионевротичен оток, свръхчувствителност</w:t>
            </w:r>
          </w:p>
        </w:tc>
      </w:tr>
      <w:tr w:rsidR="00B55E92" w14:paraId="1B2F03B1" w14:textId="77777777" w:rsidTr="00B55E92">
        <w:tc>
          <w:tcPr>
            <w:tcW w:w="1875" w:type="dxa"/>
          </w:tcPr>
          <w:p w14:paraId="7681D88A" w14:textId="5302DD4B" w:rsidR="00B55E92" w:rsidRDefault="00B55E92" w:rsidP="00B55E92">
            <w:r>
              <w:t>Психични нарушения</w:t>
            </w:r>
          </w:p>
        </w:tc>
        <w:tc>
          <w:tcPr>
            <w:tcW w:w="1797" w:type="dxa"/>
          </w:tcPr>
          <w:p w14:paraId="6E5D2D60" w14:textId="77777777" w:rsidR="00B55E92" w:rsidRDefault="00B55E92" w:rsidP="00B55E92"/>
        </w:tc>
        <w:tc>
          <w:tcPr>
            <w:tcW w:w="1913" w:type="dxa"/>
          </w:tcPr>
          <w:p w14:paraId="07A2B6D6" w14:textId="2FF068A1" w:rsidR="00B55E92" w:rsidRDefault="00B55E92" w:rsidP="00B55E92">
            <w:r>
              <w:t>Кошмари, депресия</w:t>
            </w:r>
          </w:p>
        </w:tc>
        <w:tc>
          <w:tcPr>
            <w:tcW w:w="1580" w:type="dxa"/>
          </w:tcPr>
          <w:p w14:paraId="084CE612" w14:textId="77777777" w:rsidR="00B55E92" w:rsidRDefault="00B55E92" w:rsidP="00B55E92"/>
        </w:tc>
        <w:tc>
          <w:tcPr>
            <w:tcW w:w="2411" w:type="dxa"/>
          </w:tcPr>
          <w:p w14:paraId="0922E81B" w14:textId="77777777" w:rsidR="00B55E92" w:rsidRDefault="00B55E92" w:rsidP="00B55E92"/>
        </w:tc>
      </w:tr>
      <w:tr w:rsidR="00B55E92" w14:paraId="6DAB5729" w14:textId="77777777" w:rsidTr="00B55E92">
        <w:tc>
          <w:tcPr>
            <w:tcW w:w="1875" w:type="dxa"/>
          </w:tcPr>
          <w:p w14:paraId="75AD5365" w14:textId="34EAAEEC" w:rsidR="00B55E92" w:rsidRDefault="00B55E92" w:rsidP="00B55E92">
            <w:r>
              <w:t>Нарушения на нервната система</w:t>
            </w:r>
          </w:p>
        </w:tc>
        <w:tc>
          <w:tcPr>
            <w:tcW w:w="1797" w:type="dxa"/>
          </w:tcPr>
          <w:p w14:paraId="15654F71" w14:textId="2A4563AF" w:rsidR="00B55E92" w:rsidRDefault="00B55E92" w:rsidP="00B55E92">
            <w:r>
              <w:t>Главоболие, световъртеж, парестезии</w:t>
            </w:r>
          </w:p>
        </w:tc>
        <w:tc>
          <w:tcPr>
            <w:tcW w:w="1913" w:type="dxa"/>
          </w:tcPr>
          <w:p w14:paraId="6AA55E5E" w14:textId="77777777" w:rsidR="00B55E92" w:rsidRDefault="00B55E92" w:rsidP="00B55E92"/>
        </w:tc>
        <w:tc>
          <w:tcPr>
            <w:tcW w:w="1580" w:type="dxa"/>
          </w:tcPr>
          <w:p w14:paraId="65221E74" w14:textId="430E0325" w:rsidR="00B55E92" w:rsidRDefault="00B55E92" w:rsidP="00B55E92">
            <w:r>
              <w:t>Синкоп</w:t>
            </w:r>
          </w:p>
        </w:tc>
        <w:tc>
          <w:tcPr>
            <w:tcW w:w="2411" w:type="dxa"/>
          </w:tcPr>
          <w:p w14:paraId="68F72DF7" w14:textId="77777777" w:rsidR="00B55E92" w:rsidRDefault="00B55E92" w:rsidP="00B55E92"/>
        </w:tc>
      </w:tr>
      <w:tr w:rsidR="00B55E92" w14:paraId="5A9F570F" w14:textId="77777777" w:rsidTr="00B55E92">
        <w:tc>
          <w:tcPr>
            <w:tcW w:w="1875" w:type="dxa"/>
          </w:tcPr>
          <w:p w14:paraId="613BB874" w14:textId="0B9B82BA" w:rsidR="00B55E92" w:rsidRDefault="00B55E92" w:rsidP="00B55E92">
            <w:r>
              <w:t>Зрителни нарушения</w:t>
            </w:r>
          </w:p>
        </w:tc>
        <w:tc>
          <w:tcPr>
            <w:tcW w:w="1797" w:type="dxa"/>
          </w:tcPr>
          <w:p w14:paraId="4B201E05" w14:textId="77777777" w:rsidR="00B55E92" w:rsidRDefault="00B55E92" w:rsidP="00B55E92"/>
        </w:tc>
        <w:tc>
          <w:tcPr>
            <w:tcW w:w="1913" w:type="dxa"/>
          </w:tcPr>
          <w:p w14:paraId="2A2C8487" w14:textId="67F2DCB4" w:rsidR="00B55E92" w:rsidRDefault="00B55E92" w:rsidP="00B55E92">
            <w:r>
              <w:t>Нарушено зрение</w:t>
            </w:r>
          </w:p>
        </w:tc>
        <w:tc>
          <w:tcPr>
            <w:tcW w:w="1580" w:type="dxa"/>
          </w:tcPr>
          <w:p w14:paraId="08E4F94D" w14:textId="77777777" w:rsidR="00B55E92" w:rsidRDefault="00B55E92" w:rsidP="00B55E92"/>
        </w:tc>
        <w:tc>
          <w:tcPr>
            <w:tcW w:w="2411" w:type="dxa"/>
          </w:tcPr>
          <w:p w14:paraId="533CB2AC" w14:textId="77777777" w:rsidR="00B55E92" w:rsidRDefault="00B55E92" w:rsidP="00B55E92"/>
        </w:tc>
      </w:tr>
      <w:tr w:rsidR="00B55E92" w14:paraId="6EAB549B" w14:textId="77777777" w:rsidTr="00B55E92">
        <w:tc>
          <w:tcPr>
            <w:tcW w:w="1875" w:type="dxa"/>
          </w:tcPr>
          <w:p w14:paraId="2DDBCDD7" w14:textId="6B09DC00" w:rsidR="00B55E92" w:rsidRDefault="00B55E92" w:rsidP="00B55E92">
            <w:r>
              <w:t>Сърдечни нарушения</w:t>
            </w:r>
          </w:p>
        </w:tc>
        <w:tc>
          <w:tcPr>
            <w:tcW w:w="1797" w:type="dxa"/>
          </w:tcPr>
          <w:p w14:paraId="64748074" w14:textId="77777777" w:rsidR="00B55E92" w:rsidRDefault="00B55E92" w:rsidP="00B55E92"/>
        </w:tc>
        <w:tc>
          <w:tcPr>
            <w:tcW w:w="1913" w:type="dxa"/>
          </w:tcPr>
          <w:p w14:paraId="6470C9B1" w14:textId="7449DA71" w:rsidR="00B55E92" w:rsidRDefault="00B55E92" w:rsidP="00B55E92">
            <w:r>
              <w:t xml:space="preserve">Брадикардия, сърдечна недостатъчност, забавена </w:t>
            </w:r>
            <w:r>
              <w:rPr>
                <w:lang w:val="en-US"/>
              </w:rPr>
              <w:t>AV</w:t>
            </w:r>
            <w:r>
              <w:t>- проводимост</w:t>
            </w:r>
            <w:r>
              <w:rPr>
                <w:smallCaps/>
                <w:lang w:val="en-US"/>
              </w:rPr>
              <w:t>/</w:t>
            </w:r>
            <w:r>
              <w:rPr>
                <w:smallCaps/>
              </w:rPr>
              <w:t xml:space="preserve"> </w:t>
            </w:r>
            <w:r>
              <w:rPr>
                <w:smallCaps/>
                <w:lang w:val="en-US"/>
              </w:rPr>
              <w:t xml:space="preserve">AV </w:t>
            </w:r>
            <w:r>
              <w:rPr>
                <w:smallCaps/>
              </w:rPr>
              <w:t xml:space="preserve">- </w:t>
            </w:r>
            <w:r>
              <w:t>блок</w:t>
            </w:r>
          </w:p>
        </w:tc>
        <w:tc>
          <w:tcPr>
            <w:tcW w:w="1580" w:type="dxa"/>
          </w:tcPr>
          <w:p w14:paraId="55F66630" w14:textId="77777777" w:rsidR="00B55E92" w:rsidRDefault="00B55E92" w:rsidP="00B55E92"/>
        </w:tc>
        <w:tc>
          <w:tcPr>
            <w:tcW w:w="2411" w:type="dxa"/>
          </w:tcPr>
          <w:p w14:paraId="68BB25F0" w14:textId="77777777" w:rsidR="00B55E92" w:rsidRDefault="00B55E92" w:rsidP="00B55E92"/>
        </w:tc>
      </w:tr>
      <w:tr w:rsidR="00B55E92" w14:paraId="4B30FFF9" w14:textId="77777777" w:rsidTr="00B55E92">
        <w:tc>
          <w:tcPr>
            <w:tcW w:w="1875" w:type="dxa"/>
          </w:tcPr>
          <w:p w14:paraId="3DD9B824" w14:textId="3EC1D2B2" w:rsidR="00B55E92" w:rsidRDefault="00B55E92" w:rsidP="00B55E92">
            <w:r>
              <w:t>Съдови нарушения</w:t>
            </w:r>
          </w:p>
        </w:tc>
        <w:tc>
          <w:tcPr>
            <w:tcW w:w="1797" w:type="dxa"/>
          </w:tcPr>
          <w:p w14:paraId="647A2467" w14:textId="77777777" w:rsidR="00B55E92" w:rsidRDefault="00B55E92" w:rsidP="00B55E92"/>
        </w:tc>
        <w:tc>
          <w:tcPr>
            <w:tcW w:w="1913" w:type="dxa"/>
          </w:tcPr>
          <w:p w14:paraId="3CD36FC4" w14:textId="2CBCCFAE" w:rsidR="00B55E92" w:rsidRDefault="00B55E92" w:rsidP="00B55E92">
            <w:r>
              <w:t>Хипотония, (влошаване на) интермитентно клаудикацио</w:t>
            </w:r>
          </w:p>
        </w:tc>
        <w:tc>
          <w:tcPr>
            <w:tcW w:w="1580" w:type="dxa"/>
          </w:tcPr>
          <w:p w14:paraId="16737EB5" w14:textId="77777777" w:rsidR="00B55E92" w:rsidRDefault="00B55E92" w:rsidP="00B55E92"/>
        </w:tc>
        <w:tc>
          <w:tcPr>
            <w:tcW w:w="2411" w:type="dxa"/>
          </w:tcPr>
          <w:p w14:paraId="67D0AAB0" w14:textId="77777777" w:rsidR="00B55E92" w:rsidRDefault="00B55E92" w:rsidP="00B55E92"/>
        </w:tc>
      </w:tr>
      <w:tr w:rsidR="00B55E92" w14:paraId="1F1A5755" w14:textId="77777777" w:rsidTr="00B55E92">
        <w:tc>
          <w:tcPr>
            <w:tcW w:w="1875" w:type="dxa"/>
          </w:tcPr>
          <w:p w14:paraId="31D8CBB9" w14:textId="627817F5" w:rsidR="00B55E92" w:rsidRDefault="00B55E92" w:rsidP="00B55E92">
            <w:r>
              <w:t>Нарушения на дихателна система, гръден кош и медиастинум</w:t>
            </w:r>
          </w:p>
        </w:tc>
        <w:tc>
          <w:tcPr>
            <w:tcW w:w="1797" w:type="dxa"/>
          </w:tcPr>
          <w:p w14:paraId="650C50FF" w14:textId="343BF25D" w:rsidR="00B55E92" w:rsidRDefault="00B55E92" w:rsidP="00B55E92">
            <w:r>
              <w:t>Диспнея</w:t>
            </w:r>
          </w:p>
        </w:tc>
        <w:tc>
          <w:tcPr>
            <w:tcW w:w="1913" w:type="dxa"/>
          </w:tcPr>
          <w:p w14:paraId="248C29D8" w14:textId="7ACDA3E3" w:rsidR="00B55E92" w:rsidRDefault="00B55E92" w:rsidP="00B55E92">
            <w:r>
              <w:t>Бронхоспазъм</w:t>
            </w:r>
          </w:p>
        </w:tc>
        <w:tc>
          <w:tcPr>
            <w:tcW w:w="1580" w:type="dxa"/>
          </w:tcPr>
          <w:p w14:paraId="302E09D4" w14:textId="77777777" w:rsidR="00B55E92" w:rsidRDefault="00B55E92" w:rsidP="00B55E92"/>
        </w:tc>
        <w:tc>
          <w:tcPr>
            <w:tcW w:w="2411" w:type="dxa"/>
          </w:tcPr>
          <w:p w14:paraId="713BD2FE" w14:textId="77777777" w:rsidR="00B55E92" w:rsidRDefault="00B55E92" w:rsidP="00B55E92"/>
        </w:tc>
      </w:tr>
      <w:tr w:rsidR="00B55E92" w14:paraId="72BC32E0" w14:textId="77777777" w:rsidTr="00B55E92">
        <w:tc>
          <w:tcPr>
            <w:tcW w:w="1875" w:type="dxa"/>
          </w:tcPr>
          <w:p w14:paraId="50951180" w14:textId="3E152DF5" w:rsidR="00B55E92" w:rsidRDefault="00B55E92" w:rsidP="00B55E92">
            <w:r>
              <w:t>Гастро- интестинални нарушения</w:t>
            </w:r>
          </w:p>
        </w:tc>
        <w:tc>
          <w:tcPr>
            <w:tcW w:w="1797" w:type="dxa"/>
          </w:tcPr>
          <w:p w14:paraId="01CD2921" w14:textId="4D90D876" w:rsidR="00B55E92" w:rsidRDefault="00B55E92" w:rsidP="00B55E92">
            <w:r>
              <w:t>Констипация, гадене, диария</w:t>
            </w:r>
          </w:p>
        </w:tc>
        <w:tc>
          <w:tcPr>
            <w:tcW w:w="1913" w:type="dxa"/>
          </w:tcPr>
          <w:p w14:paraId="36AF915C" w14:textId="48CCF325" w:rsidR="00B55E92" w:rsidRDefault="00B55E92" w:rsidP="00B55E92">
            <w:r>
              <w:t>Диспепсия, флатуленция, повръщане</w:t>
            </w:r>
          </w:p>
        </w:tc>
        <w:tc>
          <w:tcPr>
            <w:tcW w:w="1580" w:type="dxa"/>
          </w:tcPr>
          <w:p w14:paraId="08683D03" w14:textId="77777777" w:rsidR="00B55E92" w:rsidRDefault="00B55E92" w:rsidP="00B55E92"/>
        </w:tc>
        <w:tc>
          <w:tcPr>
            <w:tcW w:w="2411" w:type="dxa"/>
          </w:tcPr>
          <w:p w14:paraId="21F94441" w14:textId="77777777" w:rsidR="00B55E92" w:rsidRDefault="00B55E92" w:rsidP="00B55E92"/>
        </w:tc>
      </w:tr>
      <w:tr w:rsidR="00B55E92" w14:paraId="5B7422A6" w14:textId="77777777" w:rsidTr="00B55E92">
        <w:tc>
          <w:tcPr>
            <w:tcW w:w="1875" w:type="dxa"/>
          </w:tcPr>
          <w:p w14:paraId="38F89D3B" w14:textId="7998A8D5" w:rsidR="00B55E92" w:rsidRDefault="00B55E92" w:rsidP="00B55E92">
            <w:r>
              <w:t>Нарушения на кожа и подкожие</w:t>
            </w:r>
          </w:p>
        </w:tc>
        <w:tc>
          <w:tcPr>
            <w:tcW w:w="1797" w:type="dxa"/>
          </w:tcPr>
          <w:p w14:paraId="34B4C2F7" w14:textId="77777777" w:rsidR="00B55E92" w:rsidRDefault="00B55E92" w:rsidP="00B55E92"/>
        </w:tc>
        <w:tc>
          <w:tcPr>
            <w:tcW w:w="1913" w:type="dxa"/>
          </w:tcPr>
          <w:p w14:paraId="15A8521A" w14:textId="7091DDC6" w:rsidR="00B55E92" w:rsidRDefault="00B55E92" w:rsidP="00B55E92">
            <w:r>
              <w:t>Пруритус, еритематозен обрив</w:t>
            </w:r>
          </w:p>
        </w:tc>
        <w:tc>
          <w:tcPr>
            <w:tcW w:w="1580" w:type="dxa"/>
          </w:tcPr>
          <w:p w14:paraId="75627726" w14:textId="26F5F270" w:rsidR="00B55E92" w:rsidRDefault="00B55E92" w:rsidP="00B55E92">
            <w:r>
              <w:t>Утежняване на псориазис</w:t>
            </w:r>
          </w:p>
        </w:tc>
        <w:tc>
          <w:tcPr>
            <w:tcW w:w="2411" w:type="dxa"/>
          </w:tcPr>
          <w:p w14:paraId="5D81E67D" w14:textId="44626FC1" w:rsidR="00B55E92" w:rsidRDefault="00B55E92" w:rsidP="00B55E92">
            <w:r>
              <w:t>Уртикария</w:t>
            </w:r>
          </w:p>
        </w:tc>
      </w:tr>
      <w:tr w:rsidR="00B55E92" w14:paraId="6E687842" w14:textId="77777777" w:rsidTr="00B55E92">
        <w:tc>
          <w:tcPr>
            <w:tcW w:w="1875" w:type="dxa"/>
          </w:tcPr>
          <w:p w14:paraId="116220F6" w14:textId="0F661A61" w:rsidR="00B55E92" w:rsidRDefault="00B55E92" w:rsidP="00B55E92">
            <w:r>
              <w:t xml:space="preserve">Нарушения на </w:t>
            </w:r>
            <w:r>
              <w:lastRenderedPageBreak/>
              <w:t>репродуктивна система, млечна жлеза</w:t>
            </w:r>
          </w:p>
        </w:tc>
        <w:tc>
          <w:tcPr>
            <w:tcW w:w="1797" w:type="dxa"/>
          </w:tcPr>
          <w:p w14:paraId="7C972AFF" w14:textId="77777777" w:rsidR="00B55E92" w:rsidRDefault="00B55E92" w:rsidP="00B55E92"/>
        </w:tc>
        <w:tc>
          <w:tcPr>
            <w:tcW w:w="1913" w:type="dxa"/>
          </w:tcPr>
          <w:p w14:paraId="4E596A3A" w14:textId="5B0EB7DB" w:rsidR="00B55E92" w:rsidRDefault="00B55E92" w:rsidP="00B55E92">
            <w:r>
              <w:t>Импотентност</w:t>
            </w:r>
          </w:p>
        </w:tc>
        <w:tc>
          <w:tcPr>
            <w:tcW w:w="1580" w:type="dxa"/>
          </w:tcPr>
          <w:p w14:paraId="574D1AFF" w14:textId="77777777" w:rsidR="00B55E92" w:rsidRDefault="00B55E92" w:rsidP="00B55E92"/>
        </w:tc>
        <w:tc>
          <w:tcPr>
            <w:tcW w:w="2411" w:type="dxa"/>
          </w:tcPr>
          <w:p w14:paraId="44118001" w14:textId="77777777" w:rsidR="00B55E92" w:rsidRDefault="00B55E92" w:rsidP="00B55E92"/>
        </w:tc>
      </w:tr>
      <w:tr w:rsidR="00B55E92" w14:paraId="709E3CF3" w14:textId="77777777" w:rsidTr="00B55E92">
        <w:tc>
          <w:tcPr>
            <w:tcW w:w="1875" w:type="dxa"/>
          </w:tcPr>
          <w:p w14:paraId="38DA6A46" w14:textId="5EB0245F" w:rsidR="00B55E92" w:rsidRDefault="00B55E92" w:rsidP="00B55E92">
            <w:r>
              <w:t>Общи нарушения и усложнения на мястото на прилагане</w:t>
            </w:r>
          </w:p>
        </w:tc>
        <w:tc>
          <w:tcPr>
            <w:tcW w:w="1797" w:type="dxa"/>
          </w:tcPr>
          <w:p w14:paraId="2E2BC14B" w14:textId="26704C38" w:rsidR="00B55E92" w:rsidRDefault="00B55E92" w:rsidP="00B55E92">
            <w:r>
              <w:t>Отпадналост, оток</w:t>
            </w:r>
          </w:p>
        </w:tc>
        <w:tc>
          <w:tcPr>
            <w:tcW w:w="1913" w:type="dxa"/>
          </w:tcPr>
          <w:p w14:paraId="5FA3271F" w14:textId="77777777" w:rsidR="00B55E92" w:rsidRDefault="00B55E92" w:rsidP="00B55E92"/>
        </w:tc>
        <w:tc>
          <w:tcPr>
            <w:tcW w:w="1580" w:type="dxa"/>
          </w:tcPr>
          <w:p w14:paraId="1120B80A" w14:textId="77777777" w:rsidR="00B55E92" w:rsidRDefault="00B55E92" w:rsidP="00B55E92"/>
        </w:tc>
        <w:tc>
          <w:tcPr>
            <w:tcW w:w="2411" w:type="dxa"/>
          </w:tcPr>
          <w:p w14:paraId="2F412110" w14:textId="77777777" w:rsidR="00B55E92" w:rsidRDefault="00B55E92" w:rsidP="00B55E92"/>
        </w:tc>
      </w:tr>
    </w:tbl>
    <w:p w14:paraId="3162A192" w14:textId="2FDD1E41" w:rsidR="00B55E92" w:rsidRDefault="00B55E92" w:rsidP="0091385D"/>
    <w:p w14:paraId="7A97E51B" w14:textId="77777777" w:rsidR="00B55E92" w:rsidRPr="00B55E92" w:rsidRDefault="00B55E92" w:rsidP="00B55E92">
      <w:pPr>
        <w:spacing w:line="240" w:lineRule="auto"/>
        <w:rPr>
          <w:rFonts w:eastAsia="Times New Roman" w:cs="Arial"/>
          <w:lang w:eastAsia="bg-BG"/>
        </w:rPr>
      </w:pPr>
      <w:r w:rsidRPr="00B55E92">
        <w:rPr>
          <w:rFonts w:eastAsia="Times New Roman" w:cs="Arial"/>
          <w:color w:val="000000"/>
          <w:lang w:eastAsia="bg-BG"/>
        </w:rPr>
        <w:t>Освен това при приложението на някои бета-блокери се съобщават и следните нежелани лекарствени реакции: халюцинации, психози, объркване, студени/цианотични крайници, феномен на Рейно, сухота в очите, окуло-мукокутанейна токсичност от практололов тип.</w:t>
      </w:r>
    </w:p>
    <w:p w14:paraId="62D64243" w14:textId="77777777" w:rsidR="00B55E92" w:rsidRPr="00B55E92" w:rsidRDefault="00B55E92" w:rsidP="00B55E92">
      <w:pPr>
        <w:rPr>
          <w:rFonts w:eastAsia="Times New Roman" w:cs="Arial"/>
          <w:color w:val="000000"/>
          <w:u w:val="single"/>
          <w:lang w:eastAsia="bg-BG"/>
        </w:rPr>
      </w:pPr>
    </w:p>
    <w:p w14:paraId="50DE70A4" w14:textId="376618E8" w:rsidR="00B55E92" w:rsidRPr="00B55E92" w:rsidRDefault="00B55E92" w:rsidP="00B55E92">
      <w:pPr>
        <w:rPr>
          <w:rFonts w:cs="Arial"/>
        </w:rPr>
      </w:pPr>
      <w:r w:rsidRPr="00B55E92">
        <w:rPr>
          <w:rFonts w:eastAsia="Times New Roman" w:cs="Arial"/>
          <w:color w:val="000000"/>
          <w:u w:val="single"/>
          <w:lang w:eastAsia="bg-BG"/>
        </w:rPr>
        <w:t>Хронична сърдечна недостатъчност:</w:t>
      </w:r>
    </w:p>
    <w:p w14:paraId="0E37143B" w14:textId="77777777" w:rsidR="00B55E92" w:rsidRPr="00B55E92" w:rsidRDefault="00B55E92" w:rsidP="00B55E92">
      <w:pPr>
        <w:spacing w:line="240" w:lineRule="auto"/>
        <w:rPr>
          <w:rFonts w:eastAsia="Times New Roman" w:cs="Arial"/>
          <w:lang w:eastAsia="bg-BG"/>
        </w:rPr>
      </w:pPr>
      <w:r w:rsidRPr="00B55E92">
        <w:rPr>
          <w:rFonts w:eastAsia="Times New Roman" w:cs="Arial"/>
          <w:color w:val="000000"/>
          <w:lang w:eastAsia="bg-BG"/>
        </w:rPr>
        <w:t>Данните за нежелани реакции при пациенти с ХСН са налични от плацебо-контролирано клинично проучване, включващо 1067 пациенти, приемащи небиволол и 1061 пациенти, приемащи плацебо. В това проучване общо 449 (42,1 %) пациенти, приемащи небиволол, съобщават за поне вероятно свързани нежелани реакции, в сравнение с 334 пациенти (31,5 %), приемащи плацебо. Най-често докладваните нежелани реакции при пациентите на небиволол са брадикардия и замаяност, като и двете се проявяват при около 11 % от пациентите. Честотата при плацебо е съответно 2 % и 7 %.</w:t>
      </w:r>
    </w:p>
    <w:p w14:paraId="720FC1A5" w14:textId="77777777" w:rsidR="00B55E92" w:rsidRPr="00B55E92" w:rsidRDefault="00B55E92" w:rsidP="00B55E92">
      <w:pPr>
        <w:spacing w:line="240" w:lineRule="auto"/>
        <w:rPr>
          <w:rFonts w:eastAsia="Times New Roman" w:cs="Arial"/>
          <w:lang w:eastAsia="bg-BG"/>
        </w:rPr>
      </w:pPr>
      <w:r w:rsidRPr="00B55E92">
        <w:rPr>
          <w:rFonts w:eastAsia="Times New Roman" w:cs="Arial"/>
          <w:color w:val="000000"/>
          <w:lang w:eastAsia="bg-BG"/>
        </w:rPr>
        <w:t>За нежеланите реакции е докладвана следната честота (поне вероятно свързани с лечението), които се приемат за специфично значими при лечението на хроничната сърдечна недостатъчност:</w:t>
      </w:r>
    </w:p>
    <w:p w14:paraId="6FA0A4E9" w14:textId="77777777" w:rsidR="004C3672" w:rsidRPr="004C3672" w:rsidRDefault="00B55E92" w:rsidP="00B55E92">
      <w:pPr>
        <w:pStyle w:val="ListParagraph"/>
        <w:numPr>
          <w:ilvl w:val="0"/>
          <w:numId w:val="37"/>
        </w:numPr>
        <w:spacing w:line="240" w:lineRule="auto"/>
        <w:rPr>
          <w:rFonts w:eastAsia="Times New Roman" w:cs="Arial"/>
          <w:lang w:eastAsia="bg-BG"/>
        </w:rPr>
      </w:pPr>
      <w:r w:rsidRPr="004C3672">
        <w:rPr>
          <w:rFonts w:eastAsia="Times New Roman" w:cs="Arial"/>
          <w:color w:val="000000"/>
          <w:lang w:eastAsia="bg-BG"/>
        </w:rPr>
        <w:t>влошаване на сърдечната недостатъчност - проявява се при 5,8 % от пациентите на небиволол в сравнение с 5,2 % от пациентите на плацебо;</w:t>
      </w:r>
    </w:p>
    <w:p w14:paraId="0925654B" w14:textId="77777777" w:rsidR="004C3672" w:rsidRPr="004C3672" w:rsidRDefault="00B55E92" w:rsidP="00B55E92">
      <w:pPr>
        <w:pStyle w:val="ListParagraph"/>
        <w:numPr>
          <w:ilvl w:val="0"/>
          <w:numId w:val="37"/>
        </w:numPr>
        <w:spacing w:line="240" w:lineRule="auto"/>
        <w:rPr>
          <w:rFonts w:eastAsia="Times New Roman" w:cs="Arial"/>
          <w:lang w:eastAsia="bg-BG"/>
        </w:rPr>
      </w:pPr>
      <w:r w:rsidRPr="004C3672">
        <w:rPr>
          <w:rFonts w:eastAsia="Times New Roman" w:cs="Arial"/>
          <w:color w:val="000000"/>
          <w:lang w:eastAsia="bg-BG"/>
        </w:rPr>
        <w:t>постурална хипотония - проявява се при 2,1 % от пациентите на небиволол в сравнение с</w:t>
      </w:r>
      <w:r w:rsidR="004C3672">
        <w:rPr>
          <w:rFonts w:eastAsia="Times New Roman" w:cs="Arial"/>
          <w:color w:val="000000"/>
          <w:lang w:eastAsia="bg-BG"/>
        </w:rPr>
        <w:t xml:space="preserve"> </w:t>
      </w:r>
      <w:r w:rsidRPr="004C3672">
        <w:rPr>
          <w:rFonts w:eastAsia="Times New Roman" w:cs="Arial"/>
          <w:color w:val="000000"/>
          <w:lang w:eastAsia="bg-BG"/>
        </w:rPr>
        <w:t>1,0 % от пациентите на плацебо;</w:t>
      </w:r>
    </w:p>
    <w:p w14:paraId="1DC66A3A" w14:textId="77777777" w:rsidR="004C3672" w:rsidRPr="004C3672" w:rsidRDefault="00B55E92" w:rsidP="00B55E92">
      <w:pPr>
        <w:pStyle w:val="ListParagraph"/>
        <w:numPr>
          <w:ilvl w:val="0"/>
          <w:numId w:val="37"/>
        </w:numPr>
        <w:spacing w:line="240" w:lineRule="auto"/>
        <w:rPr>
          <w:rFonts w:eastAsia="Times New Roman" w:cs="Arial"/>
          <w:lang w:eastAsia="bg-BG"/>
        </w:rPr>
      </w:pPr>
      <w:r w:rsidRPr="004C3672">
        <w:rPr>
          <w:rFonts w:eastAsia="Times New Roman" w:cs="Arial"/>
          <w:color w:val="000000"/>
          <w:lang w:eastAsia="bg-BG"/>
        </w:rPr>
        <w:t>непоносимост към лекарството — проявява се при 1,6% от пациентите на небиволол в сравнение с 0,8 % от пациентите на плацебо;</w:t>
      </w:r>
    </w:p>
    <w:p w14:paraId="2A1EFF83" w14:textId="77777777" w:rsidR="004C3672" w:rsidRPr="004C3672" w:rsidRDefault="00B55E92" w:rsidP="00B55E92">
      <w:pPr>
        <w:pStyle w:val="ListParagraph"/>
        <w:numPr>
          <w:ilvl w:val="0"/>
          <w:numId w:val="37"/>
        </w:numPr>
        <w:spacing w:line="240" w:lineRule="auto"/>
        <w:rPr>
          <w:rFonts w:eastAsia="Times New Roman" w:cs="Arial"/>
          <w:lang w:eastAsia="bg-BG"/>
        </w:rPr>
      </w:pPr>
      <w:r w:rsidRPr="004C3672">
        <w:rPr>
          <w:rFonts w:eastAsia="Times New Roman" w:cs="Arial"/>
          <w:color w:val="000000"/>
          <w:lang w:eastAsia="bg-BG"/>
        </w:rPr>
        <w:t>атрио-вентрикуларен блок I степен - проявява се при 1,4 % от пациентите на небиволол в сравнение с 0,9 % от пациентите на плацебо;</w:t>
      </w:r>
    </w:p>
    <w:p w14:paraId="3FD08908" w14:textId="3D7AC687" w:rsidR="00B55E92" w:rsidRPr="004C3672" w:rsidRDefault="00B55E92" w:rsidP="00B55E92">
      <w:pPr>
        <w:pStyle w:val="ListParagraph"/>
        <w:numPr>
          <w:ilvl w:val="0"/>
          <w:numId w:val="37"/>
        </w:numPr>
        <w:spacing w:line="240" w:lineRule="auto"/>
        <w:rPr>
          <w:rFonts w:eastAsia="Times New Roman" w:cs="Arial"/>
          <w:lang w:eastAsia="bg-BG"/>
        </w:rPr>
      </w:pPr>
      <w:r w:rsidRPr="004C3672">
        <w:rPr>
          <w:rFonts w:eastAsia="Times New Roman" w:cs="Arial"/>
          <w:color w:val="000000"/>
          <w:lang w:eastAsia="bg-BG"/>
        </w:rPr>
        <w:t>оток на долните крайници — проявява се при 1,0 % от пациентите на небиволол в сравнение с 0,2 % от пациентите на плацебо.</w:t>
      </w:r>
    </w:p>
    <w:p w14:paraId="4047A8B4" w14:textId="77777777" w:rsidR="00B55E92" w:rsidRPr="00B55E92" w:rsidRDefault="00B55E92" w:rsidP="00B55E92">
      <w:pPr>
        <w:spacing w:line="240" w:lineRule="auto"/>
        <w:rPr>
          <w:rFonts w:eastAsia="Times New Roman" w:cs="Arial"/>
          <w:color w:val="000000"/>
          <w:u w:val="single"/>
          <w:lang w:eastAsia="bg-BG"/>
        </w:rPr>
      </w:pPr>
    </w:p>
    <w:p w14:paraId="3E25C109" w14:textId="329CB139" w:rsidR="00B55E92" w:rsidRPr="00B55E92" w:rsidRDefault="00B55E92" w:rsidP="00B55E92">
      <w:pPr>
        <w:spacing w:line="240" w:lineRule="auto"/>
        <w:rPr>
          <w:rFonts w:eastAsia="Times New Roman" w:cs="Arial"/>
          <w:lang w:eastAsia="bg-BG"/>
        </w:rPr>
      </w:pPr>
      <w:r w:rsidRPr="00B55E92">
        <w:rPr>
          <w:rFonts w:eastAsia="Times New Roman" w:cs="Arial"/>
          <w:color w:val="000000"/>
          <w:u w:val="single"/>
          <w:lang w:eastAsia="bg-BG"/>
        </w:rPr>
        <w:t>Съобщаване на подозирани нежелани реакции</w:t>
      </w:r>
    </w:p>
    <w:p w14:paraId="496B5AE6" w14:textId="77777777" w:rsidR="00B55E92" w:rsidRPr="00B55E92" w:rsidRDefault="00B55E92" w:rsidP="00B55E92">
      <w:pPr>
        <w:spacing w:line="240" w:lineRule="auto"/>
        <w:rPr>
          <w:rFonts w:eastAsia="Times New Roman" w:cs="Arial"/>
          <w:lang w:eastAsia="bg-BG"/>
        </w:rPr>
      </w:pPr>
      <w:r w:rsidRPr="00B55E92">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w:t>
      </w:r>
    </w:p>
    <w:p w14:paraId="368B0139" w14:textId="77777777" w:rsidR="00B55E92" w:rsidRPr="00B55E92" w:rsidRDefault="00B55E92" w:rsidP="00B55E92">
      <w:pPr>
        <w:spacing w:line="240" w:lineRule="auto"/>
        <w:rPr>
          <w:rFonts w:eastAsia="Times New Roman" w:cs="Arial"/>
          <w:lang w:eastAsia="bg-BG"/>
        </w:rPr>
      </w:pPr>
      <w:r w:rsidRPr="00B55E92">
        <w:rPr>
          <w:rFonts w:eastAsia="Times New Roman" w:cs="Arial"/>
          <w:color w:val="000000"/>
          <w:lang w:eastAsia="bg-BG"/>
        </w:rPr>
        <w:t>Изпълнителна агенция по лекарствата</w:t>
      </w:r>
    </w:p>
    <w:p w14:paraId="0DBAAF1E" w14:textId="77777777" w:rsidR="00B55E92" w:rsidRPr="00B55E92" w:rsidRDefault="00B55E92" w:rsidP="00B55E92">
      <w:pPr>
        <w:spacing w:line="240" w:lineRule="auto"/>
        <w:rPr>
          <w:rFonts w:eastAsia="Times New Roman" w:cs="Arial"/>
          <w:lang w:eastAsia="bg-BG"/>
        </w:rPr>
      </w:pPr>
      <w:r w:rsidRPr="00B55E92">
        <w:rPr>
          <w:rFonts w:eastAsia="Times New Roman" w:cs="Arial"/>
          <w:color w:val="000000"/>
          <w:lang w:eastAsia="bg-BG"/>
        </w:rPr>
        <w:t>ул. „Дамян Груев” № 8</w:t>
      </w:r>
    </w:p>
    <w:p w14:paraId="4DDCC958" w14:textId="77777777" w:rsidR="00B55E92" w:rsidRPr="00B55E92" w:rsidRDefault="00B55E92" w:rsidP="00B55E92">
      <w:pPr>
        <w:spacing w:line="240" w:lineRule="auto"/>
        <w:rPr>
          <w:rFonts w:eastAsia="Times New Roman" w:cs="Arial"/>
          <w:lang w:eastAsia="bg-BG"/>
        </w:rPr>
      </w:pPr>
      <w:r w:rsidRPr="00B55E92">
        <w:rPr>
          <w:rFonts w:eastAsia="Times New Roman" w:cs="Arial"/>
          <w:color w:val="000000"/>
          <w:lang w:eastAsia="bg-BG"/>
        </w:rPr>
        <w:t>1303 София</w:t>
      </w:r>
    </w:p>
    <w:p w14:paraId="2A251EB2" w14:textId="77777777" w:rsidR="00B55E92" w:rsidRPr="00B55E92" w:rsidRDefault="00B55E92" w:rsidP="00B55E92">
      <w:pPr>
        <w:spacing w:line="240" w:lineRule="auto"/>
        <w:rPr>
          <w:rFonts w:eastAsia="Times New Roman" w:cs="Arial"/>
          <w:lang w:eastAsia="bg-BG"/>
        </w:rPr>
      </w:pPr>
      <w:r w:rsidRPr="00B55E92">
        <w:rPr>
          <w:rFonts w:eastAsia="Times New Roman" w:cs="Arial"/>
          <w:color w:val="000000"/>
          <w:lang w:eastAsia="bg-BG"/>
        </w:rPr>
        <w:t>Тел.:+359 28903417</w:t>
      </w:r>
    </w:p>
    <w:p w14:paraId="62A3361E" w14:textId="6D175174" w:rsidR="00B55E92" w:rsidRPr="00B55E92" w:rsidRDefault="00B55E92" w:rsidP="00B55E92">
      <w:pPr>
        <w:rPr>
          <w:rFonts w:cs="Arial"/>
        </w:rPr>
      </w:pPr>
      <w:r w:rsidRPr="00B55E92">
        <w:rPr>
          <w:rFonts w:eastAsia="Times New Roman" w:cs="Arial"/>
          <w:color w:val="000000"/>
          <w:lang w:eastAsia="bg-BG"/>
        </w:rPr>
        <w:t xml:space="preserve">уебсайт: </w:t>
      </w:r>
      <w:hyperlink r:id="rId5" w:history="1">
        <w:r w:rsidRPr="00B55E92">
          <w:rPr>
            <w:rFonts w:eastAsia="Times New Roman" w:cs="Arial"/>
            <w:color w:val="000000"/>
            <w:lang w:val="en-US"/>
          </w:rPr>
          <w:t>www.bda.bg</w:t>
        </w:r>
      </w:hyperlink>
    </w:p>
    <w:p w14:paraId="62F07130" w14:textId="77777777" w:rsidR="00B55E92" w:rsidRPr="0091385D" w:rsidRDefault="00B55E92" w:rsidP="0091385D"/>
    <w:p w14:paraId="0A023CE0" w14:textId="13F87CFD" w:rsidR="00CF77F7" w:rsidRDefault="002C50EE" w:rsidP="004A448E">
      <w:pPr>
        <w:pStyle w:val="Heading2"/>
      </w:pPr>
      <w:r>
        <w:t>4.9. Предозиране</w:t>
      </w:r>
    </w:p>
    <w:p w14:paraId="3EDFC3FC" w14:textId="296E7EBA" w:rsidR="0091385D" w:rsidRDefault="0091385D" w:rsidP="0091385D"/>
    <w:p w14:paraId="1F79B3CA" w14:textId="77777777" w:rsidR="004C3672" w:rsidRPr="004C3672" w:rsidRDefault="004C3672" w:rsidP="004C3672">
      <w:pPr>
        <w:spacing w:line="240" w:lineRule="auto"/>
        <w:rPr>
          <w:rFonts w:eastAsia="Times New Roman" w:cs="Arial"/>
          <w:sz w:val="24"/>
          <w:szCs w:val="24"/>
          <w:lang w:eastAsia="bg-BG"/>
        </w:rPr>
      </w:pPr>
      <w:r w:rsidRPr="004C3672">
        <w:rPr>
          <w:rFonts w:eastAsia="Times New Roman" w:cs="Arial"/>
          <w:color w:val="000000"/>
          <w:lang w:eastAsia="bg-BG"/>
        </w:rPr>
        <w:lastRenderedPageBreak/>
        <w:t>Липсват данни за предозиране с Небилет.</w:t>
      </w:r>
    </w:p>
    <w:p w14:paraId="043B8912" w14:textId="77777777" w:rsidR="004C3672" w:rsidRPr="004C3672" w:rsidRDefault="004C3672" w:rsidP="004C3672">
      <w:pPr>
        <w:spacing w:line="240" w:lineRule="auto"/>
        <w:rPr>
          <w:rFonts w:eastAsia="Times New Roman" w:cs="Arial"/>
          <w:i/>
          <w:iCs/>
          <w:color w:val="000000"/>
          <w:lang w:eastAsia="bg-BG"/>
        </w:rPr>
      </w:pPr>
    </w:p>
    <w:p w14:paraId="1AF3058E" w14:textId="061C3C22" w:rsidR="004C3672" w:rsidRPr="004C3672" w:rsidRDefault="004C3672" w:rsidP="004C3672">
      <w:pPr>
        <w:pStyle w:val="Heading3"/>
        <w:rPr>
          <w:rFonts w:eastAsia="Times New Roman"/>
          <w:u w:val="single"/>
          <w:lang w:eastAsia="bg-BG"/>
        </w:rPr>
      </w:pPr>
      <w:r w:rsidRPr="004C3672">
        <w:rPr>
          <w:rFonts w:eastAsia="Times New Roman"/>
          <w:u w:val="single"/>
          <w:lang w:eastAsia="bg-BG"/>
        </w:rPr>
        <w:t>Симптоми</w:t>
      </w:r>
    </w:p>
    <w:p w14:paraId="7828E2C3" w14:textId="77777777" w:rsidR="004C3672" w:rsidRPr="004C3672" w:rsidRDefault="004C3672" w:rsidP="004C3672">
      <w:pPr>
        <w:spacing w:line="240" w:lineRule="auto"/>
        <w:rPr>
          <w:rFonts w:eastAsia="Times New Roman" w:cs="Arial"/>
          <w:sz w:val="24"/>
          <w:szCs w:val="24"/>
          <w:lang w:eastAsia="bg-BG"/>
        </w:rPr>
      </w:pPr>
      <w:r w:rsidRPr="004C3672">
        <w:rPr>
          <w:rFonts w:eastAsia="Times New Roman" w:cs="Arial"/>
          <w:color w:val="000000"/>
          <w:lang w:eastAsia="bg-BG"/>
        </w:rPr>
        <w:t>Симптоми на предозиране с бета-блокер са: брадикардия, хипотония, бронхоспазъм и остра сърдечна недостатъчност.</w:t>
      </w:r>
    </w:p>
    <w:p w14:paraId="083220AD" w14:textId="77777777" w:rsidR="004C3672" w:rsidRPr="004C3672" w:rsidRDefault="004C3672" w:rsidP="004C3672">
      <w:pPr>
        <w:spacing w:line="240" w:lineRule="auto"/>
        <w:rPr>
          <w:rFonts w:eastAsia="Times New Roman" w:cs="Arial"/>
          <w:i/>
          <w:iCs/>
          <w:color w:val="000000"/>
          <w:lang w:eastAsia="bg-BG"/>
        </w:rPr>
      </w:pPr>
    </w:p>
    <w:p w14:paraId="53904C4C" w14:textId="7462AA74" w:rsidR="004C3672" w:rsidRPr="004C3672" w:rsidRDefault="004C3672" w:rsidP="004C3672">
      <w:pPr>
        <w:pStyle w:val="Heading3"/>
        <w:rPr>
          <w:rFonts w:eastAsia="Times New Roman"/>
          <w:u w:val="single"/>
          <w:lang w:eastAsia="bg-BG"/>
        </w:rPr>
      </w:pPr>
      <w:r w:rsidRPr="004C3672">
        <w:rPr>
          <w:rFonts w:eastAsia="Times New Roman"/>
          <w:u w:val="single"/>
          <w:lang w:eastAsia="bg-BG"/>
        </w:rPr>
        <w:t>Лечение</w:t>
      </w:r>
    </w:p>
    <w:p w14:paraId="0F0079CB" w14:textId="7B2C027D" w:rsidR="0091385D" w:rsidRPr="004C3672" w:rsidRDefault="004C3672" w:rsidP="004C3672">
      <w:pPr>
        <w:spacing w:line="240" w:lineRule="auto"/>
        <w:rPr>
          <w:rFonts w:eastAsia="Times New Roman" w:cs="Arial"/>
          <w:sz w:val="24"/>
          <w:szCs w:val="24"/>
          <w:lang w:eastAsia="bg-BG"/>
        </w:rPr>
      </w:pPr>
      <w:r w:rsidRPr="004C3672">
        <w:rPr>
          <w:rFonts w:eastAsia="Times New Roman" w:cs="Arial"/>
          <w:color w:val="000000"/>
          <w:lang w:eastAsia="bg-BG"/>
        </w:rPr>
        <w:t>В случаи на предозиране или свръхчувствителност пациентът трябва да се наблюдава непрекъснато и да се лекува в интензивно отделение. Трябва да се контролират стойностите на кръвната захар. Резорбцията на евентуално останало количество от лекарството в гастро- интестиналния тракт може да се предотврати чрез стомашен лаваж и приложението на активен въглен или лаксативни средства. Може да се наложи и изкуствено дишане. Брадикардията или силно изразените вагусови реакции се лекуват чрез приложението на атропин или метил атропин. При хипотонията и шок се прилага плазма или плазмени заместители и при необходимост - катехоламин. На бета-блокиращия ефект може да се противодейства чрез бавно интравенозно приложение на изопреналин хидрохлорид с начална доза около 5 μ</w:t>
      </w:r>
      <w:r w:rsidRPr="004C3672">
        <w:rPr>
          <w:rFonts w:eastAsia="Times New Roman" w:cs="Arial"/>
          <w:color w:val="000000"/>
          <w:lang w:val="en-US"/>
        </w:rPr>
        <w:t xml:space="preserve">g/min </w:t>
      </w:r>
      <w:r w:rsidRPr="004C3672">
        <w:rPr>
          <w:rFonts w:eastAsia="Times New Roman" w:cs="Arial"/>
          <w:color w:val="000000"/>
          <w:lang w:eastAsia="bg-BG"/>
        </w:rPr>
        <w:t xml:space="preserve">или добутамин с начална доза 2,5 </w:t>
      </w:r>
      <w:proofErr w:type="spellStart"/>
      <w:r w:rsidRPr="004C3672">
        <w:rPr>
          <w:rFonts w:eastAsia="Times New Roman" w:cs="Arial"/>
          <w:color w:val="000000"/>
          <w:lang w:val="en-US"/>
        </w:rPr>
        <w:t>pg</w:t>
      </w:r>
      <w:proofErr w:type="spellEnd"/>
      <w:r w:rsidRPr="004C3672">
        <w:rPr>
          <w:rFonts w:eastAsia="Times New Roman" w:cs="Arial"/>
          <w:color w:val="000000"/>
          <w:lang w:val="en-US"/>
        </w:rPr>
        <w:t xml:space="preserve">/min </w:t>
      </w:r>
      <w:r w:rsidRPr="004C3672">
        <w:rPr>
          <w:rFonts w:eastAsia="Times New Roman" w:cs="Arial"/>
          <w:color w:val="000000"/>
          <w:lang w:eastAsia="bg-BG"/>
        </w:rPr>
        <w:t>до достигане на желания ефект. При рефрактерни случаи изопреналин може да се комбинира с допамин. Ако отново не се постигне желаният ефект, може да се</w:t>
      </w:r>
      <w:r w:rsidRPr="004C3672">
        <w:rPr>
          <w:rFonts w:eastAsia="Times New Roman" w:cs="Arial"/>
          <w:sz w:val="24"/>
          <w:szCs w:val="24"/>
          <w:lang w:eastAsia="bg-BG"/>
        </w:rPr>
        <w:t xml:space="preserve"> </w:t>
      </w:r>
      <w:r w:rsidRPr="004C3672">
        <w:rPr>
          <w:rFonts w:eastAsia="Times New Roman" w:cs="Arial"/>
          <w:color w:val="000000"/>
          <w:lang w:eastAsia="bg-BG"/>
        </w:rPr>
        <w:t>обмисли интравенозно приложение на 50-100 μ</w:t>
      </w:r>
      <w:r w:rsidRPr="004C3672">
        <w:rPr>
          <w:rFonts w:eastAsia="Times New Roman" w:cs="Arial"/>
          <w:color w:val="000000"/>
          <w:lang w:val="en-US"/>
        </w:rPr>
        <w:t xml:space="preserve">g/kg </w:t>
      </w:r>
      <w:proofErr w:type="spellStart"/>
      <w:r w:rsidRPr="004C3672">
        <w:rPr>
          <w:rFonts w:eastAsia="Times New Roman" w:cs="Arial"/>
          <w:color w:val="000000"/>
          <w:lang w:val="en-US"/>
        </w:rPr>
        <w:t>i.v.</w:t>
      </w:r>
      <w:proofErr w:type="spellEnd"/>
      <w:r w:rsidRPr="004C3672">
        <w:rPr>
          <w:rFonts w:eastAsia="Times New Roman" w:cs="Arial"/>
          <w:color w:val="000000"/>
          <w:lang w:val="en-US"/>
        </w:rPr>
        <w:t xml:space="preserve"> </w:t>
      </w:r>
      <w:r w:rsidRPr="004C3672">
        <w:rPr>
          <w:rFonts w:eastAsia="Times New Roman" w:cs="Arial"/>
          <w:color w:val="000000"/>
          <w:lang w:eastAsia="bg-BG"/>
        </w:rPr>
        <w:t xml:space="preserve">глюкагон и при необходимост да се </w:t>
      </w:r>
      <w:r w:rsidRPr="004C3672">
        <w:rPr>
          <w:rFonts w:cs="Arial"/>
        </w:rPr>
        <w:t>повтори в рамките на един час, последвано от интравенозна инфузия глюкагон 70 μ</w:t>
      </w:r>
      <w:r w:rsidRPr="004C3672">
        <w:rPr>
          <w:rFonts w:cs="Arial"/>
          <w:lang w:val="en-US"/>
        </w:rPr>
        <w:t xml:space="preserve">g/kg/h. </w:t>
      </w:r>
      <w:r w:rsidRPr="004C3672">
        <w:rPr>
          <w:rFonts w:cs="Arial"/>
        </w:rPr>
        <w:t>В екстремни случаи на брадикардия може да се постави пейсмейкър.</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44345EC9" w:rsidR="0091385D" w:rsidRDefault="0091385D" w:rsidP="0091385D"/>
    <w:p w14:paraId="78E363E6" w14:textId="77777777" w:rsidR="004C3672" w:rsidRPr="004C3672" w:rsidRDefault="004C3672" w:rsidP="004C3672">
      <w:pPr>
        <w:spacing w:line="240" w:lineRule="auto"/>
        <w:rPr>
          <w:rFonts w:eastAsia="Times New Roman" w:cs="Arial"/>
          <w:sz w:val="24"/>
          <w:szCs w:val="24"/>
          <w:lang w:eastAsia="bg-BG"/>
        </w:rPr>
      </w:pPr>
      <w:r w:rsidRPr="004C3672">
        <w:rPr>
          <w:rFonts w:eastAsia="Times New Roman" w:cs="Arial"/>
          <w:color w:val="000000"/>
          <w:lang w:eastAsia="bg-BG"/>
        </w:rPr>
        <w:t>Фармакотерапевтичен клас: бета-блокери, селективни</w:t>
      </w:r>
    </w:p>
    <w:p w14:paraId="467C5C53" w14:textId="77777777" w:rsidR="004C3672" w:rsidRPr="004C3672" w:rsidRDefault="004C3672" w:rsidP="004C3672">
      <w:pPr>
        <w:spacing w:line="240" w:lineRule="auto"/>
        <w:rPr>
          <w:rFonts w:eastAsia="Times New Roman" w:cs="Arial"/>
          <w:sz w:val="24"/>
          <w:szCs w:val="24"/>
          <w:lang w:eastAsia="bg-BG"/>
        </w:rPr>
      </w:pPr>
      <w:r w:rsidRPr="004C3672">
        <w:rPr>
          <w:rFonts w:eastAsia="Times New Roman" w:cs="Arial"/>
          <w:color w:val="000000"/>
          <w:lang w:eastAsia="bg-BG"/>
        </w:rPr>
        <w:t>АТС код: С07АВ12</w:t>
      </w:r>
    </w:p>
    <w:p w14:paraId="2BEEBA0A" w14:textId="77777777" w:rsidR="004C3672" w:rsidRPr="004C3672" w:rsidRDefault="004C3672" w:rsidP="004C3672">
      <w:pPr>
        <w:spacing w:line="240" w:lineRule="auto"/>
        <w:rPr>
          <w:rFonts w:eastAsia="Times New Roman" w:cs="Arial"/>
          <w:sz w:val="24"/>
          <w:szCs w:val="24"/>
          <w:lang w:eastAsia="bg-BG"/>
        </w:rPr>
      </w:pPr>
      <w:r w:rsidRPr="004C3672">
        <w:rPr>
          <w:rFonts w:eastAsia="Times New Roman" w:cs="Arial"/>
          <w:color w:val="000000"/>
          <w:lang w:eastAsia="bg-BG"/>
        </w:rPr>
        <w:t xml:space="preserve">Небиволол е рацемат от два енантиомера, </w:t>
      </w:r>
      <w:r w:rsidRPr="004C3672">
        <w:rPr>
          <w:rFonts w:eastAsia="Times New Roman" w:cs="Arial"/>
          <w:color w:val="000000"/>
          <w:lang w:val="en-US"/>
        </w:rPr>
        <w:t>SRRR</w:t>
      </w:r>
      <w:r w:rsidRPr="004C3672">
        <w:rPr>
          <w:rFonts w:eastAsia="Times New Roman" w:cs="Arial"/>
          <w:color w:val="000000"/>
          <w:lang w:eastAsia="bg-BG"/>
        </w:rPr>
        <w:t xml:space="preserve">-небиволол (или </w:t>
      </w:r>
      <w:r w:rsidRPr="004C3672">
        <w:rPr>
          <w:rFonts w:eastAsia="Times New Roman" w:cs="Arial"/>
          <w:color w:val="000000"/>
          <w:lang w:val="en-US"/>
        </w:rPr>
        <w:t>d</w:t>
      </w:r>
      <w:r w:rsidRPr="004C3672">
        <w:rPr>
          <w:rFonts w:eastAsia="Times New Roman" w:cs="Arial"/>
          <w:color w:val="000000"/>
          <w:lang w:eastAsia="bg-BG"/>
        </w:rPr>
        <w:t xml:space="preserve">-небиволол) и </w:t>
      </w:r>
      <w:r w:rsidRPr="004C3672">
        <w:rPr>
          <w:rFonts w:eastAsia="Times New Roman" w:cs="Arial"/>
          <w:color w:val="000000"/>
          <w:lang w:val="en-US"/>
        </w:rPr>
        <w:t xml:space="preserve">RSSS- </w:t>
      </w:r>
      <w:r w:rsidRPr="004C3672">
        <w:rPr>
          <w:rFonts w:eastAsia="Times New Roman" w:cs="Arial"/>
          <w:color w:val="000000"/>
          <w:lang w:eastAsia="bg-BG"/>
        </w:rPr>
        <w:t>небиволол (или 1-небиволол). Небиволол съчетава два фармакологични ефекта:</w:t>
      </w:r>
    </w:p>
    <w:p w14:paraId="10A3DEE9" w14:textId="77777777" w:rsidR="004C3672" w:rsidRPr="004C3672" w:rsidRDefault="004C3672" w:rsidP="004C3672">
      <w:pPr>
        <w:pStyle w:val="ListParagraph"/>
        <w:numPr>
          <w:ilvl w:val="0"/>
          <w:numId w:val="39"/>
        </w:numPr>
        <w:spacing w:line="240" w:lineRule="auto"/>
        <w:rPr>
          <w:rFonts w:eastAsia="Times New Roman" w:cs="Arial"/>
          <w:color w:val="000000"/>
          <w:lang w:eastAsia="bg-BG"/>
        </w:rPr>
      </w:pPr>
      <w:r w:rsidRPr="004C3672">
        <w:rPr>
          <w:rFonts w:eastAsia="Times New Roman" w:cs="Arial"/>
          <w:color w:val="000000"/>
          <w:lang w:eastAsia="bg-BG"/>
        </w:rPr>
        <w:t xml:space="preserve">той е конкурентен и селективен бета-рецепторен антагонист: този ефект се дължи на </w:t>
      </w:r>
      <w:r w:rsidRPr="004C3672">
        <w:rPr>
          <w:rFonts w:eastAsia="Times New Roman" w:cs="Arial"/>
          <w:color w:val="000000"/>
          <w:lang w:val="en-US"/>
        </w:rPr>
        <w:t xml:space="preserve">SRRR- </w:t>
      </w:r>
      <w:r w:rsidRPr="004C3672">
        <w:rPr>
          <w:rFonts w:eastAsia="Times New Roman" w:cs="Arial"/>
          <w:color w:val="000000"/>
          <w:lang w:eastAsia="bg-BG"/>
        </w:rPr>
        <w:t xml:space="preserve">енантиомера </w:t>
      </w:r>
      <w:r w:rsidRPr="004C3672">
        <w:rPr>
          <w:rFonts w:eastAsia="Times New Roman" w:cs="Arial"/>
          <w:color w:val="000000"/>
          <w:lang w:val="en-US"/>
        </w:rPr>
        <w:t>(d</w:t>
      </w:r>
      <w:r w:rsidRPr="004C3672">
        <w:rPr>
          <w:rFonts w:eastAsia="Times New Roman" w:cs="Arial"/>
          <w:color w:val="000000"/>
          <w:lang w:eastAsia="bg-BG"/>
        </w:rPr>
        <w:t>-енантиомера);</w:t>
      </w:r>
    </w:p>
    <w:p w14:paraId="11FA4D67" w14:textId="4C23B357" w:rsidR="004C3672" w:rsidRPr="004C3672" w:rsidRDefault="004C3672" w:rsidP="004C3672">
      <w:pPr>
        <w:pStyle w:val="ListParagraph"/>
        <w:numPr>
          <w:ilvl w:val="0"/>
          <w:numId w:val="39"/>
        </w:numPr>
        <w:spacing w:line="240" w:lineRule="auto"/>
        <w:rPr>
          <w:rFonts w:eastAsia="Times New Roman" w:cs="Arial"/>
          <w:color w:val="000000"/>
          <w:lang w:eastAsia="bg-BG"/>
        </w:rPr>
      </w:pPr>
      <w:r w:rsidRPr="004C3672">
        <w:rPr>
          <w:rFonts w:eastAsia="Times New Roman" w:cs="Arial"/>
          <w:color w:val="000000"/>
          <w:lang w:eastAsia="bg-BG"/>
        </w:rPr>
        <w:t xml:space="preserve">има леко вазодилатативно действие в резултат на взаимодействие със системата </w:t>
      </w:r>
      <w:r w:rsidRPr="004C3672">
        <w:rPr>
          <w:rFonts w:eastAsia="Times New Roman" w:cs="Arial"/>
          <w:color w:val="000000"/>
          <w:lang w:val="en-US"/>
        </w:rPr>
        <w:t xml:space="preserve">L- </w:t>
      </w:r>
      <w:r w:rsidRPr="004C3672">
        <w:rPr>
          <w:rFonts w:eastAsia="Times New Roman" w:cs="Arial"/>
          <w:color w:val="000000"/>
          <w:lang w:eastAsia="bg-BG"/>
        </w:rPr>
        <w:t>аргинин/азотен окис.</w:t>
      </w:r>
    </w:p>
    <w:p w14:paraId="4A782483" w14:textId="77777777" w:rsidR="004C3672" w:rsidRPr="004C3672" w:rsidRDefault="004C3672" w:rsidP="004C3672">
      <w:pPr>
        <w:spacing w:line="240" w:lineRule="auto"/>
        <w:rPr>
          <w:rFonts w:eastAsia="Times New Roman" w:cs="Arial"/>
          <w:sz w:val="24"/>
          <w:szCs w:val="24"/>
          <w:lang w:eastAsia="bg-BG"/>
        </w:rPr>
      </w:pPr>
      <w:r w:rsidRPr="004C3672">
        <w:rPr>
          <w:rFonts w:eastAsia="Times New Roman" w:cs="Arial"/>
          <w:color w:val="000000"/>
          <w:lang w:eastAsia="bg-BG"/>
        </w:rPr>
        <w:t>Еднократното и многократно приложение на небиволол понижава сърдечната честота и кръвното налягане в покой и при усилие при нормотензивни индивиди и хипертензивни пациенти. Антихипертензивният ефект се запазва и при продължително лечение.</w:t>
      </w:r>
    </w:p>
    <w:p w14:paraId="7E1D915B" w14:textId="77777777" w:rsidR="004C3672" w:rsidRPr="004C3672" w:rsidRDefault="004C3672" w:rsidP="004C3672">
      <w:pPr>
        <w:spacing w:line="240" w:lineRule="auto"/>
        <w:rPr>
          <w:rFonts w:eastAsia="Times New Roman" w:cs="Arial"/>
          <w:sz w:val="24"/>
          <w:szCs w:val="24"/>
          <w:lang w:eastAsia="bg-BG"/>
        </w:rPr>
      </w:pPr>
      <w:r w:rsidRPr="004C3672">
        <w:rPr>
          <w:rFonts w:eastAsia="Times New Roman" w:cs="Arial"/>
          <w:color w:val="000000"/>
          <w:lang w:eastAsia="bg-BG"/>
        </w:rPr>
        <w:t>Небиволол в терапевтични дози е лишен от алфа-антагонистична активност.</w:t>
      </w:r>
    </w:p>
    <w:p w14:paraId="3CD40201" w14:textId="77777777" w:rsidR="004C3672" w:rsidRPr="004C3672" w:rsidRDefault="004C3672" w:rsidP="004C3672">
      <w:pPr>
        <w:spacing w:line="240" w:lineRule="auto"/>
        <w:rPr>
          <w:rFonts w:eastAsia="Times New Roman" w:cs="Arial"/>
          <w:color w:val="000000"/>
          <w:lang w:eastAsia="bg-BG"/>
        </w:rPr>
      </w:pPr>
    </w:p>
    <w:p w14:paraId="4F5E4552" w14:textId="713FEF80" w:rsidR="004C3672" w:rsidRPr="004C3672" w:rsidRDefault="004C3672" w:rsidP="004C3672">
      <w:pPr>
        <w:spacing w:line="240" w:lineRule="auto"/>
        <w:rPr>
          <w:rFonts w:eastAsia="Times New Roman" w:cs="Arial"/>
          <w:sz w:val="24"/>
          <w:szCs w:val="24"/>
          <w:lang w:eastAsia="bg-BG"/>
        </w:rPr>
      </w:pPr>
      <w:r w:rsidRPr="004C3672">
        <w:rPr>
          <w:rFonts w:eastAsia="Times New Roman" w:cs="Arial"/>
          <w:color w:val="000000"/>
          <w:lang w:eastAsia="bg-BG"/>
        </w:rPr>
        <w:t>При остро и продължително лечение на хипертоници с небиволол се понижава периферното системно съдово съпротивление. Независимо от понижение на сърдечната честота, благодарение на увеличение на ударния обем се ограничава намалението на минутния сърдечен обем в покой и при движение. Все още не е добре установено клиничното значение на тези хемодинамични параметри в сравнение с други селективни бета-1 блокери.</w:t>
      </w:r>
    </w:p>
    <w:p w14:paraId="6E963EF7" w14:textId="77777777" w:rsidR="004C3672" w:rsidRPr="004C3672" w:rsidRDefault="004C3672" w:rsidP="004C3672">
      <w:pPr>
        <w:spacing w:line="240" w:lineRule="auto"/>
        <w:rPr>
          <w:rFonts w:eastAsia="Times New Roman" w:cs="Arial"/>
          <w:sz w:val="24"/>
          <w:szCs w:val="24"/>
          <w:lang w:eastAsia="bg-BG"/>
        </w:rPr>
      </w:pPr>
      <w:r w:rsidRPr="004C3672">
        <w:rPr>
          <w:rFonts w:eastAsia="Times New Roman" w:cs="Arial"/>
          <w:color w:val="000000"/>
          <w:lang w:eastAsia="bg-BG"/>
        </w:rPr>
        <w:t xml:space="preserve">При хипертоници небиволол повишава </w:t>
      </w:r>
      <w:r w:rsidRPr="004C3672">
        <w:rPr>
          <w:rFonts w:eastAsia="Times New Roman" w:cs="Arial"/>
          <w:color w:val="000000"/>
          <w:lang w:val="en-US"/>
        </w:rPr>
        <w:t>NO</w:t>
      </w:r>
      <w:r w:rsidRPr="004C3672">
        <w:rPr>
          <w:rFonts w:eastAsia="Times New Roman" w:cs="Arial"/>
          <w:color w:val="000000"/>
          <w:lang w:eastAsia="bg-BG"/>
        </w:rPr>
        <w:t>-медиирания отговор на съдовете към ацетилхолин (АцХ), който е понижен при пациенти с ендотелна дисфункция.</w:t>
      </w:r>
    </w:p>
    <w:p w14:paraId="4684D72F" w14:textId="77777777" w:rsidR="004C3672" w:rsidRPr="004C3672" w:rsidRDefault="004C3672" w:rsidP="004C3672">
      <w:pPr>
        <w:spacing w:line="240" w:lineRule="auto"/>
        <w:rPr>
          <w:rFonts w:eastAsia="Times New Roman" w:cs="Arial"/>
          <w:color w:val="000000"/>
          <w:lang w:eastAsia="bg-BG"/>
        </w:rPr>
      </w:pPr>
    </w:p>
    <w:p w14:paraId="14FA8451" w14:textId="45DCE688" w:rsidR="004C3672" w:rsidRPr="004C3672" w:rsidRDefault="004C3672" w:rsidP="004C3672">
      <w:pPr>
        <w:spacing w:line="240" w:lineRule="auto"/>
        <w:rPr>
          <w:rFonts w:eastAsia="Times New Roman" w:cs="Arial"/>
          <w:sz w:val="24"/>
          <w:szCs w:val="24"/>
          <w:lang w:eastAsia="bg-BG"/>
        </w:rPr>
      </w:pPr>
      <w:r w:rsidRPr="004C3672">
        <w:rPr>
          <w:rFonts w:eastAsia="Times New Roman" w:cs="Arial"/>
          <w:color w:val="000000"/>
          <w:lang w:eastAsia="bg-BG"/>
        </w:rPr>
        <w:t xml:space="preserve">В плацебо-контролирано проучване за заболеваемост и смъртност с 2128 пациенти ≥70 години (средна възраст 75,2 години) със стабилна хронична сърдечна недостатъчност с или без нарушена левокамерна фракция на изтласкване </w:t>
      </w:r>
      <w:r w:rsidRPr="004C3672">
        <w:rPr>
          <w:rFonts w:eastAsia="Times New Roman" w:cs="Arial"/>
          <w:color w:val="000000"/>
          <w:lang w:val="en-US"/>
        </w:rPr>
        <w:t xml:space="preserve">(LVEF: </w:t>
      </w:r>
      <w:r w:rsidRPr="004C3672">
        <w:rPr>
          <w:rFonts w:eastAsia="Times New Roman" w:cs="Arial"/>
          <w:color w:val="000000"/>
          <w:lang w:eastAsia="bg-BG"/>
        </w:rPr>
        <w:t xml:space="preserve">36 ± 12,3%, при следното разпределение: </w:t>
      </w:r>
      <w:r w:rsidRPr="004C3672">
        <w:rPr>
          <w:rFonts w:eastAsia="Times New Roman" w:cs="Arial"/>
          <w:color w:val="000000"/>
          <w:lang w:val="en-US"/>
        </w:rPr>
        <w:t xml:space="preserve">LVEF </w:t>
      </w:r>
      <w:r w:rsidRPr="004C3672">
        <w:rPr>
          <w:rFonts w:eastAsia="Times New Roman" w:cs="Arial"/>
          <w:color w:val="000000"/>
          <w:lang w:eastAsia="bg-BG"/>
        </w:rPr>
        <w:t xml:space="preserve">по-малко от 35% при 56% от пациентите, </w:t>
      </w:r>
      <w:r w:rsidRPr="004C3672">
        <w:rPr>
          <w:rFonts w:eastAsia="Times New Roman" w:cs="Arial"/>
          <w:color w:val="000000"/>
          <w:lang w:val="en-US"/>
        </w:rPr>
        <w:t xml:space="preserve">LVEF </w:t>
      </w:r>
      <w:r w:rsidRPr="004C3672">
        <w:rPr>
          <w:rFonts w:eastAsia="Times New Roman" w:cs="Arial"/>
          <w:color w:val="000000"/>
          <w:lang w:eastAsia="bg-BG"/>
        </w:rPr>
        <w:t xml:space="preserve">между 35% и 45% при 25% от пациентите и </w:t>
      </w:r>
      <w:r w:rsidRPr="004C3672">
        <w:rPr>
          <w:rFonts w:eastAsia="Times New Roman" w:cs="Arial"/>
          <w:color w:val="000000"/>
          <w:lang w:val="en-US"/>
        </w:rPr>
        <w:t xml:space="preserve">LVEF </w:t>
      </w:r>
      <w:r w:rsidRPr="004C3672">
        <w:rPr>
          <w:rFonts w:eastAsia="Times New Roman" w:cs="Arial"/>
          <w:color w:val="000000"/>
          <w:lang w:eastAsia="bg-BG"/>
        </w:rPr>
        <w:t>повече от 45% при 19% от пациентите) проследени в продължение средно на 20 месеца, небиволол, добавен към стандартното лечение, сигнификантно удължава времето до проява на смъртен изход или хоспитализация по повод сърдечно-съдови събития (първичен краен изход за ефикасност), като релативният риск намалява с 14 % (абсолютно намаление: 4,2 %). Намалението на риска се проявява след 6-я месец от лечението и се поддържа по време на цялото лечение (средна продължителност: 18 месеца). Ефектът на небиволол е независим от възраст, пол и левокамерна фракция на изтласкване на проучваната популация. Ползите по отношение общата смъртност не достигат сигнификантна разлика в сравнение с плацебо (абсолютно намаление: 2,3%).</w:t>
      </w:r>
    </w:p>
    <w:p w14:paraId="69B2D131" w14:textId="77777777" w:rsidR="004C3672" w:rsidRPr="004C3672" w:rsidRDefault="004C3672" w:rsidP="004C3672">
      <w:pPr>
        <w:spacing w:line="240" w:lineRule="auto"/>
        <w:rPr>
          <w:rFonts w:eastAsia="Times New Roman" w:cs="Arial"/>
          <w:sz w:val="24"/>
          <w:szCs w:val="24"/>
          <w:lang w:eastAsia="bg-BG"/>
        </w:rPr>
      </w:pPr>
      <w:r w:rsidRPr="004C3672">
        <w:rPr>
          <w:rFonts w:eastAsia="Times New Roman" w:cs="Arial"/>
          <w:color w:val="000000"/>
          <w:lang w:eastAsia="bg-BG"/>
        </w:rPr>
        <w:t>Намаление на внезапната сърдечна смърт се наблюдава при пациентите, лекувани с небиволол (4,1% спрямо 6,6%, релативно намаление с 38%).</w:t>
      </w:r>
    </w:p>
    <w:p w14:paraId="23F695C8" w14:textId="77777777" w:rsidR="004C3672" w:rsidRPr="004C3672" w:rsidRDefault="004C3672" w:rsidP="004C3672">
      <w:pPr>
        <w:spacing w:line="240" w:lineRule="auto"/>
        <w:rPr>
          <w:rFonts w:eastAsia="Times New Roman" w:cs="Arial"/>
          <w:i/>
          <w:iCs/>
          <w:color w:val="000000"/>
          <w:lang w:val="en-US"/>
        </w:rPr>
      </w:pPr>
    </w:p>
    <w:p w14:paraId="0C1046BB" w14:textId="56736500" w:rsidR="004C3672" w:rsidRPr="004C3672" w:rsidRDefault="004C3672" w:rsidP="004C3672">
      <w:pPr>
        <w:spacing w:line="240" w:lineRule="auto"/>
        <w:rPr>
          <w:rFonts w:eastAsia="Times New Roman" w:cs="Arial"/>
          <w:sz w:val="24"/>
          <w:szCs w:val="24"/>
          <w:lang w:eastAsia="bg-BG"/>
        </w:rPr>
      </w:pPr>
      <w:r w:rsidRPr="004C3672">
        <w:rPr>
          <w:rFonts w:eastAsia="Times New Roman" w:cs="Arial"/>
          <w:i/>
          <w:iCs/>
          <w:color w:val="000000"/>
          <w:lang w:val="en-US"/>
        </w:rPr>
        <w:t>In vitro</w:t>
      </w:r>
      <w:r w:rsidRPr="004C3672">
        <w:rPr>
          <w:rFonts w:eastAsia="Times New Roman" w:cs="Arial"/>
          <w:color w:val="000000"/>
          <w:lang w:val="en-US"/>
        </w:rPr>
        <w:t xml:space="preserve"> </w:t>
      </w:r>
      <w:r w:rsidRPr="004C3672">
        <w:rPr>
          <w:rFonts w:eastAsia="Times New Roman" w:cs="Arial"/>
          <w:color w:val="000000"/>
          <w:lang w:eastAsia="bg-BG"/>
        </w:rPr>
        <w:t xml:space="preserve">и </w:t>
      </w:r>
      <w:r w:rsidRPr="004C3672">
        <w:rPr>
          <w:rFonts w:eastAsia="Times New Roman" w:cs="Arial"/>
          <w:i/>
          <w:iCs/>
          <w:color w:val="000000"/>
          <w:lang w:val="en-US"/>
        </w:rPr>
        <w:t>in vivo</w:t>
      </w:r>
      <w:r w:rsidRPr="004C3672">
        <w:rPr>
          <w:rFonts w:eastAsia="Times New Roman" w:cs="Arial"/>
          <w:color w:val="000000"/>
          <w:lang w:val="en-US"/>
        </w:rPr>
        <w:t xml:space="preserve"> </w:t>
      </w:r>
      <w:r w:rsidRPr="004C3672">
        <w:rPr>
          <w:rFonts w:eastAsia="Times New Roman" w:cs="Arial"/>
          <w:color w:val="000000"/>
          <w:lang w:eastAsia="bg-BG"/>
        </w:rPr>
        <w:t>изследванията с животни показват, че небиволол е лишен от вътрешна симпатикомиметична активност.</w:t>
      </w:r>
    </w:p>
    <w:p w14:paraId="6776260F" w14:textId="77777777" w:rsidR="004C3672" w:rsidRPr="004C3672" w:rsidRDefault="004C3672" w:rsidP="004C3672">
      <w:pPr>
        <w:spacing w:line="240" w:lineRule="auto"/>
        <w:rPr>
          <w:rFonts w:eastAsia="Times New Roman" w:cs="Arial"/>
          <w:sz w:val="24"/>
          <w:szCs w:val="24"/>
          <w:lang w:eastAsia="bg-BG"/>
        </w:rPr>
      </w:pPr>
      <w:r w:rsidRPr="004C3672">
        <w:rPr>
          <w:rFonts w:eastAsia="Times New Roman" w:cs="Arial"/>
          <w:i/>
          <w:iCs/>
          <w:color w:val="000000"/>
          <w:lang w:val="en-US"/>
        </w:rPr>
        <w:t>In vitro</w:t>
      </w:r>
      <w:r w:rsidRPr="004C3672">
        <w:rPr>
          <w:rFonts w:eastAsia="Times New Roman" w:cs="Arial"/>
          <w:color w:val="000000"/>
          <w:lang w:val="en-US"/>
        </w:rPr>
        <w:t xml:space="preserve"> </w:t>
      </w:r>
      <w:r w:rsidRPr="004C3672">
        <w:rPr>
          <w:rFonts w:eastAsia="Times New Roman" w:cs="Arial"/>
          <w:color w:val="000000"/>
          <w:lang w:eastAsia="bg-BG"/>
        </w:rPr>
        <w:t xml:space="preserve">и </w:t>
      </w:r>
      <w:r w:rsidRPr="004C3672">
        <w:rPr>
          <w:rFonts w:eastAsia="Times New Roman" w:cs="Arial"/>
          <w:i/>
          <w:iCs/>
          <w:color w:val="000000"/>
          <w:lang w:val="en-US"/>
        </w:rPr>
        <w:t>in vivo</w:t>
      </w:r>
      <w:r w:rsidRPr="004C3672">
        <w:rPr>
          <w:rFonts w:eastAsia="Times New Roman" w:cs="Arial"/>
          <w:color w:val="000000"/>
          <w:lang w:val="en-US"/>
        </w:rPr>
        <w:t xml:space="preserve"> </w:t>
      </w:r>
      <w:r w:rsidRPr="004C3672">
        <w:rPr>
          <w:rFonts w:eastAsia="Times New Roman" w:cs="Arial"/>
          <w:color w:val="000000"/>
          <w:lang w:eastAsia="bg-BG"/>
        </w:rPr>
        <w:t>изследванията с животни показват, че фармакологични дози на небиволол нямат мембрано-стабилизиращо действие.</w:t>
      </w:r>
    </w:p>
    <w:p w14:paraId="3A9EFB25" w14:textId="77777777" w:rsidR="004C3672" w:rsidRPr="004C3672" w:rsidRDefault="004C3672" w:rsidP="004C3672">
      <w:pPr>
        <w:spacing w:line="240" w:lineRule="auto"/>
        <w:rPr>
          <w:rFonts w:eastAsia="Times New Roman" w:cs="Arial"/>
          <w:sz w:val="24"/>
          <w:szCs w:val="24"/>
          <w:lang w:eastAsia="bg-BG"/>
        </w:rPr>
      </w:pPr>
      <w:r w:rsidRPr="004C3672">
        <w:rPr>
          <w:rFonts w:eastAsia="Times New Roman" w:cs="Arial"/>
          <w:color w:val="000000"/>
          <w:lang w:eastAsia="bg-BG"/>
        </w:rPr>
        <w:t>При здрави доброволци небиволол не оказва значително действие върху максималния физически капацитет и издръжливост.</w:t>
      </w:r>
    </w:p>
    <w:p w14:paraId="28252AA0" w14:textId="0015914A" w:rsidR="0091385D" w:rsidRPr="004C3672" w:rsidRDefault="004C3672" w:rsidP="004C3672">
      <w:pPr>
        <w:rPr>
          <w:rFonts w:cs="Arial"/>
        </w:rPr>
      </w:pPr>
      <w:r w:rsidRPr="004C3672">
        <w:rPr>
          <w:rFonts w:eastAsia="Times New Roman" w:cs="Arial"/>
          <w:color w:val="000000"/>
          <w:lang w:eastAsia="bg-BG"/>
        </w:rPr>
        <w:t>Наличните предклинични и клинични данни при пациенти с хипертония не показват вредни  ефекти на небиволол върху еректилната функция.</w:t>
      </w:r>
    </w:p>
    <w:p w14:paraId="36152471" w14:textId="77777777" w:rsidR="0091385D" w:rsidRPr="0091385D" w:rsidRDefault="0091385D" w:rsidP="0091385D"/>
    <w:p w14:paraId="35F84B81" w14:textId="6423E5BB" w:rsidR="00CF77F7" w:rsidRDefault="002C50EE" w:rsidP="004A448E">
      <w:pPr>
        <w:pStyle w:val="Heading2"/>
      </w:pPr>
      <w:r>
        <w:t>5.2. Фармакокинетични свойства</w:t>
      </w:r>
    </w:p>
    <w:p w14:paraId="5031193D" w14:textId="06A21EFE" w:rsidR="0091385D" w:rsidRDefault="0091385D" w:rsidP="0091385D"/>
    <w:p w14:paraId="2D42DCEF" w14:textId="77777777" w:rsidR="004C3672" w:rsidRPr="004C3672" w:rsidRDefault="004C3672" w:rsidP="004C3672">
      <w:pPr>
        <w:spacing w:line="240" w:lineRule="auto"/>
        <w:rPr>
          <w:rFonts w:eastAsia="Times New Roman" w:cs="Arial"/>
          <w:sz w:val="24"/>
          <w:szCs w:val="24"/>
          <w:lang w:eastAsia="bg-BG"/>
        </w:rPr>
      </w:pPr>
      <w:r w:rsidRPr="004C3672">
        <w:rPr>
          <w:rFonts w:eastAsia="Times New Roman" w:cs="Arial"/>
          <w:color w:val="000000"/>
          <w:lang w:eastAsia="bg-BG"/>
        </w:rPr>
        <w:t xml:space="preserve">И двата енантиомера се резорбират бързо след перорално приложение. Резорбцията на небиволол не се повлиява от храната. Небиволол може да се приема с или без храна. Небиволол се метаболизира изцяло, отчасти в активни хидрокси-метаболити. Небиволол се метаболизира чрез алициклична и ароматна хидроксилация, </w:t>
      </w:r>
      <w:r w:rsidRPr="004C3672">
        <w:rPr>
          <w:rFonts w:eastAsia="Times New Roman" w:cs="Arial"/>
          <w:color w:val="000000"/>
          <w:lang w:val="en-US"/>
        </w:rPr>
        <w:t>N</w:t>
      </w:r>
      <w:r w:rsidRPr="004C3672">
        <w:rPr>
          <w:rFonts w:eastAsia="Times New Roman" w:cs="Arial"/>
          <w:color w:val="000000"/>
          <w:lang w:eastAsia="bg-BG"/>
        </w:rPr>
        <w:t xml:space="preserve">-деалкилация и глюкуронидизация; в допълнение се образуват глюкурониди на хидрокси-метаболитите. Метаболизмът на небиволол чрез ароматна дехидроксилация е предмет на </w:t>
      </w:r>
      <w:r w:rsidRPr="004C3672">
        <w:rPr>
          <w:rFonts w:eastAsia="Times New Roman" w:cs="Arial"/>
          <w:color w:val="000000"/>
          <w:lang w:val="en-US"/>
        </w:rPr>
        <w:t xml:space="preserve">CYP2D6 </w:t>
      </w:r>
      <w:r w:rsidRPr="004C3672">
        <w:rPr>
          <w:rFonts w:eastAsia="Times New Roman" w:cs="Arial"/>
          <w:color w:val="000000"/>
          <w:lang w:eastAsia="bg-BG"/>
        </w:rPr>
        <w:t xml:space="preserve">зависим оксидативен полиморфизъм. Бионаличността на небиволол при перорално приложение е средно 12% при пациентите с бърз метаболизъм и почти пълна при пациентите с бавен метаболизъм. При пациентите с бавен метаболизъм пиковите плазмени концентрации на непроменения небиволол са около 23 пъти по-високи в сравнение с пациентите с бърз метаболизъм, отчетени в </w:t>
      </w:r>
      <w:r w:rsidRPr="004C3672">
        <w:rPr>
          <w:rFonts w:eastAsia="Times New Roman" w:cs="Arial"/>
          <w:color w:val="000000"/>
          <w:lang w:val="en-US"/>
        </w:rPr>
        <w:t xml:space="preserve">steady-state </w:t>
      </w:r>
      <w:r w:rsidRPr="004C3672">
        <w:rPr>
          <w:rFonts w:eastAsia="Times New Roman" w:cs="Arial"/>
          <w:color w:val="000000"/>
          <w:lang w:eastAsia="bg-BG"/>
        </w:rPr>
        <w:t>състояние и при едни и същи дози. Ако се имат предвид сумата от непромененото лекарство плюс активните метаболити, разликата в пиковите плазмени концентрации е около 1,3 до 1,4 пъти. Поради разликите в скоростта на метаболизиране, дозата Небилет трябва винаги да се съобразява с индивидуалните изисквания на пациента и в този смисъл при пациентите с бавен метаболизъм са необходими по-ниски дози.</w:t>
      </w:r>
    </w:p>
    <w:p w14:paraId="792287C0" w14:textId="77777777" w:rsidR="004C3672" w:rsidRPr="004C3672" w:rsidRDefault="004C3672" w:rsidP="004C3672">
      <w:pPr>
        <w:spacing w:line="240" w:lineRule="auto"/>
        <w:rPr>
          <w:rFonts w:eastAsia="Times New Roman" w:cs="Arial"/>
          <w:sz w:val="24"/>
          <w:szCs w:val="24"/>
          <w:lang w:eastAsia="bg-BG"/>
        </w:rPr>
      </w:pPr>
      <w:r w:rsidRPr="004C3672">
        <w:rPr>
          <w:rFonts w:eastAsia="Times New Roman" w:cs="Arial"/>
          <w:color w:val="000000"/>
          <w:lang w:eastAsia="bg-BG"/>
        </w:rPr>
        <w:t xml:space="preserve">При пациентите с бърз метаболизъм, елиминационен полуживот на енантиомерите на небиволол е средно </w:t>
      </w:r>
      <w:r w:rsidRPr="004C3672">
        <w:rPr>
          <w:rFonts w:eastAsia="Times New Roman" w:cs="Arial"/>
          <w:i/>
          <w:iCs/>
          <w:color w:val="000000"/>
          <w:lang w:eastAsia="bg-BG"/>
        </w:rPr>
        <w:t>10</w:t>
      </w:r>
      <w:r w:rsidRPr="004C3672">
        <w:rPr>
          <w:rFonts w:eastAsia="Times New Roman" w:cs="Arial"/>
          <w:color w:val="000000"/>
          <w:lang w:eastAsia="bg-BG"/>
        </w:rPr>
        <w:t xml:space="preserve"> часа. При пациентите с бавен метаболизъм това време е 3-5 пъти по-дълго. При пациентите с бърз метаболизъм плазмените нива на </w:t>
      </w:r>
      <w:r w:rsidRPr="004C3672">
        <w:rPr>
          <w:rFonts w:eastAsia="Times New Roman" w:cs="Arial"/>
          <w:color w:val="000000"/>
          <w:lang w:val="en-US"/>
        </w:rPr>
        <w:t>RSSS</w:t>
      </w:r>
      <w:r w:rsidRPr="004C3672">
        <w:rPr>
          <w:rFonts w:eastAsia="Times New Roman" w:cs="Arial"/>
          <w:color w:val="000000"/>
          <w:lang w:eastAsia="bg-BG"/>
        </w:rPr>
        <w:t xml:space="preserve">-енантиомера са малко по-високи от тези на </w:t>
      </w:r>
      <w:r w:rsidRPr="004C3672">
        <w:rPr>
          <w:rFonts w:eastAsia="Times New Roman" w:cs="Arial"/>
          <w:color w:val="000000"/>
          <w:lang w:val="en-US"/>
        </w:rPr>
        <w:t>SRRR</w:t>
      </w:r>
      <w:r w:rsidRPr="004C3672">
        <w:rPr>
          <w:rFonts w:eastAsia="Times New Roman" w:cs="Arial"/>
          <w:color w:val="000000"/>
          <w:lang w:eastAsia="bg-BG"/>
        </w:rPr>
        <w:t xml:space="preserve">-енантиомера. При пациентите с бавен метаболизъм тази разлика е по-голяма. При пациентите с бърз метаболизъм елиминационен </w:t>
      </w:r>
      <w:r w:rsidRPr="004C3672">
        <w:rPr>
          <w:rFonts w:eastAsia="Times New Roman" w:cs="Arial"/>
          <w:color w:val="000000"/>
          <w:lang w:eastAsia="bg-BG"/>
        </w:rPr>
        <w:lastRenderedPageBreak/>
        <w:t>полуживот на хидроксиметаболитите на двата енантиомера е около 24 часа, а при пациентите с бавен метаболизъм е около 2 пъти по-дълго. Плазмени нива в стабилно състояние при повечето пациенти (с бърз метаболизъм) се постигат в рамките на 24 часа за небиволол и за няколко дни за хидроксиметаболитите.</w:t>
      </w:r>
    </w:p>
    <w:p w14:paraId="3CBEC32B" w14:textId="77777777" w:rsidR="004C3672" w:rsidRPr="004C3672" w:rsidRDefault="004C3672" w:rsidP="004C3672">
      <w:pPr>
        <w:spacing w:line="240" w:lineRule="auto"/>
        <w:rPr>
          <w:rFonts w:eastAsia="Times New Roman" w:cs="Arial"/>
          <w:sz w:val="24"/>
          <w:szCs w:val="24"/>
          <w:lang w:eastAsia="bg-BG"/>
        </w:rPr>
      </w:pPr>
      <w:r w:rsidRPr="004C3672">
        <w:rPr>
          <w:rFonts w:eastAsia="Times New Roman" w:cs="Arial"/>
          <w:color w:val="000000"/>
          <w:lang w:eastAsia="bg-BG"/>
        </w:rPr>
        <w:t xml:space="preserve">Плазмените концентрации са пропорционални на дозата в рамките на 1-30 </w:t>
      </w:r>
      <w:r w:rsidRPr="004C3672">
        <w:rPr>
          <w:rFonts w:eastAsia="Times New Roman" w:cs="Arial"/>
          <w:color w:val="000000"/>
          <w:lang w:val="en-US"/>
        </w:rPr>
        <w:t xml:space="preserve">mg. </w:t>
      </w:r>
      <w:r w:rsidRPr="004C3672">
        <w:rPr>
          <w:rFonts w:eastAsia="Times New Roman" w:cs="Arial"/>
          <w:color w:val="000000"/>
          <w:lang w:eastAsia="bg-BG"/>
        </w:rPr>
        <w:t>Фармакокинетиката на небиволол не се повлиява от възрастта.</w:t>
      </w:r>
    </w:p>
    <w:p w14:paraId="7D520A2E" w14:textId="77777777" w:rsidR="004C3672" w:rsidRPr="004C3672" w:rsidRDefault="004C3672" w:rsidP="004C3672">
      <w:pPr>
        <w:spacing w:line="240" w:lineRule="auto"/>
        <w:rPr>
          <w:rFonts w:eastAsia="Times New Roman" w:cs="Arial"/>
          <w:sz w:val="24"/>
          <w:szCs w:val="24"/>
          <w:lang w:eastAsia="bg-BG"/>
        </w:rPr>
      </w:pPr>
      <w:r w:rsidRPr="004C3672">
        <w:rPr>
          <w:rFonts w:eastAsia="Times New Roman" w:cs="Arial"/>
          <w:color w:val="000000"/>
          <w:lang w:eastAsia="bg-BG"/>
        </w:rPr>
        <w:t>И двата енантиомера в плазмата се свързват главно с албумина.</w:t>
      </w:r>
    </w:p>
    <w:p w14:paraId="148BA3FC" w14:textId="4F5D8471" w:rsidR="0091385D" w:rsidRPr="004C3672" w:rsidRDefault="004C3672" w:rsidP="004C3672">
      <w:pPr>
        <w:rPr>
          <w:rFonts w:cs="Arial"/>
        </w:rPr>
      </w:pPr>
      <w:r w:rsidRPr="004C3672">
        <w:rPr>
          <w:rFonts w:eastAsia="Times New Roman" w:cs="Arial"/>
          <w:color w:val="000000"/>
          <w:lang w:eastAsia="bg-BG"/>
        </w:rPr>
        <w:t xml:space="preserve">Свързването с плазмените протеини е 98,1% за </w:t>
      </w:r>
      <w:r w:rsidRPr="004C3672">
        <w:rPr>
          <w:rFonts w:eastAsia="Times New Roman" w:cs="Arial"/>
          <w:color w:val="000000"/>
          <w:lang w:val="en-US"/>
        </w:rPr>
        <w:t>SRRR</w:t>
      </w:r>
      <w:r w:rsidRPr="004C3672">
        <w:rPr>
          <w:rFonts w:eastAsia="Times New Roman" w:cs="Arial"/>
          <w:color w:val="000000"/>
          <w:lang w:eastAsia="bg-BG"/>
        </w:rPr>
        <w:t xml:space="preserve">-небиволол и 97,9% за </w:t>
      </w:r>
      <w:r w:rsidRPr="004C3672">
        <w:rPr>
          <w:rFonts w:eastAsia="Times New Roman" w:cs="Arial"/>
          <w:color w:val="000000"/>
          <w:lang w:val="en-US"/>
        </w:rPr>
        <w:t>RSSS</w:t>
      </w:r>
      <w:r w:rsidRPr="004C3672">
        <w:rPr>
          <w:rFonts w:eastAsia="Times New Roman" w:cs="Arial"/>
          <w:color w:val="000000"/>
          <w:lang w:eastAsia="bg-BG"/>
        </w:rPr>
        <w:t>-небиволол. Една седмица след приложението 38% от дозата се екскретира в урината и 48% във фецеса. Ексретираният непроменен небиволол в урината е по-малко от 0,5% от дозата.</w:t>
      </w:r>
    </w:p>
    <w:p w14:paraId="4EE1BB0B" w14:textId="77777777" w:rsidR="0091385D" w:rsidRPr="0091385D" w:rsidRDefault="0091385D" w:rsidP="0091385D"/>
    <w:p w14:paraId="648E39DA" w14:textId="44D16CBD" w:rsidR="00CF77F7" w:rsidRDefault="002C50EE" w:rsidP="004A448E">
      <w:pPr>
        <w:pStyle w:val="Heading2"/>
      </w:pPr>
      <w:r>
        <w:t>5.3. Предклинични данни за безопасност</w:t>
      </w:r>
    </w:p>
    <w:p w14:paraId="31455D09" w14:textId="4D0EFBF5" w:rsidR="0091385D" w:rsidRDefault="0091385D" w:rsidP="0091385D"/>
    <w:p w14:paraId="52E4D01A" w14:textId="2F240C58" w:rsidR="0091385D" w:rsidRPr="004C3672" w:rsidRDefault="004C3672" w:rsidP="0091385D">
      <w:pPr>
        <w:rPr>
          <w:rFonts w:cs="Arial"/>
        </w:rPr>
      </w:pPr>
      <w:r w:rsidRPr="004C3672">
        <w:rPr>
          <w:rFonts w:cs="Arial"/>
        </w:rPr>
        <w:t>Предклиничните данни не разкриват специален риск за хората, базирайки се на конвенционални проучвания за генотоксичност, репродуктивна токсичност, токсичност за развитието и карциногенен потенциал. Страничните ефекти върху репродуктивната функция са регистрирани само при високи дози, надвишаващи няколко пъти максималната препоръчвана доза при хора (вж. точка 4.6).</w:t>
      </w:r>
    </w:p>
    <w:p w14:paraId="20E967BE" w14:textId="77777777" w:rsidR="0091385D" w:rsidRPr="0091385D" w:rsidRDefault="0091385D" w:rsidP="0091385D"/>
    <w:p w14:paraId="6A7820AB" w14:textId="353DB6D2" w:rsidR="008A6AF2" w:rsidRDefault="002C50EE" w:rsidP="00395555">
      <w:pPr>
        <w:pStyle w:val="Heading1"/>
      </w:pPr>
      <w:r>
        <w:t>7. ПРИТЕЖАТЕЛ НА РАЗРЕШЕНИЕТО ЗА УПОТРЕБА</w:t>
      </w:r>
    </w:p>
    <w:p w14:paraId="1B9B651E" w14:textId="3382E6AC" w:rsidR="0091385D" w:rsidRDefault="0091385D" w:rsidP="0091385D"/>
    <w:p w14:paraId="7989665A" w14:textId="77777777" w:rsidR="004C3672" w:rsidRPr="004C3672" w:rsidRDefault="004C3672" w:rsidP="004C3672">
      <w:pPr>
        <w:spacing w:line="240" w:lineRule="auto"/>
        <w:rPr>
          <w:rFonts w:ascii="Times New Roman" w:eastAsia="Times New Roman" w:hAnsi="Times New Roman" w:cs="Times New Roman"/>
          <w:sz w:val="24"/>
          <w:szCs w:val="24"/>
          <w:lang w:val="en-US" w:eastAsia="bg-BG"/>
        </w:rPr>
      </w:pPr>
      <w:r w:rsidRPr="004C3672">
        <w:rPr>
          <w:rFonts w:ascii="Times New Roman" w:eastAsia="Times New Roman" w:hAnsi="Times New Roman" w:cs="Times New Roman"/>
          <w:color w:val="000000"/>
          <w:lang w:val="en-US"/>
        </w:rPr>
        <w:t>Berlin-</w:t>
      </w:r>
      <w:proofErr w:type="spellStart"/>
      <w:r w:rsidRPr="004C3672">
        <w:rPr>
          <w:rFonts w:ascii="Times New Roman" w:eastAsia="Times New Roman" w:hAnsi="Times New Roman" w:cs="Times New Roman"/>
          <w:color w:val="000000"/>
          <w:lang w:val="en-US"/>
        </w:rPr>
        <w:t>Chemie</w:t>
      </w:r>
      <w:proofErr w:type="spellEnd"/>
      <w:r w:rsidRPr="004C3672">
        <w:rPr>
          <w:rFonts w:ascii="Times New Roman" w:eastAsia="Times New Roman" w:hAnsi="Times New Roman" w:cs="Times New Roman"/>
          <w:color w:val="000000"/>
          <w:lang w:val="en-US"/>
        </w:rPr>
        <w:t xml:space="preserve"> AG (MENARINI GROUP)</w:t>
      </w:r>
    </w:p>
    <w:p w14:paraId="27288175" w14:textId="77777777" w:rsidR="004C3672" w:rsidRPr="004C3672" w:rsidRDefault="004C3672" w:rsidP="004C3672">
      <w:pPr>
        <w:spacing w:line="240" w:lineRule="auto"/>
        <w:rPr>
          <w:rFonts w:ascii="Times New Roman" w:eastAsia="Times New Roman" w:hAnsi="Times New Roman" w:cs="Times New Roman"/>
          <w:sz w:val="24"/>
          <w:szCs w:val="24"/>
          <w:lang w:val="en-US" w:eastAsia="bg-BG"/>
        </w:rPr>
      </w:pPr>
      <w:proofErr w:type="spellStart"/>
      <w:r w:rsidRPr="004C3672">
        <w:rPr>
          <w:rFonts w:ascii="Times New Roman" w:eastAsia="Times New Roman" w:hAnsi="Times New Roman" w:cs="Times New Roman"/>
          <w:color w:val="000000"/>
          <w:lang w:val="en-US"/>
        </w:rPr>
        <w:t>Glienicker</w:t>
      </w:r>
      <w:proofErr w:type="spellEnd"/>
      <w:r w:rsidRPr="004C3672">
        <w:rPr>
          <w:rFonts w:ascii="Times New Roman" w:eastAsia="Times New Roman" w:hAnsi="Times New Roman" w:cs="Times New Roman"/>
          <w:color w:val="000000"/>
          <w:lang w:val="en-US"/>
        </w:rPr>
        <w:t xml:space="preserve"> </w:t>
      </w:r>
      <w:proofErr w:type="spellStart"/>
      <w:r w:rsidRPr="004C3672">
        <w:rPr>
          <w:rFonts w:ascii="Times New Roman" w:eastAsia="Times New Roman" w:hAnsi="Times New Roman" w:cs="Times New Roman"/>
          <w:color w:val="000000"/>
          <w:lang w:val="en-US"/>
        </w:rPr>
        <w:t>Weg</w:t>
      </w:r>
      <w:proofErr w:type="spellEnd"/>
      <w:r w:rsidRPr="004C3672">
        <w:rPr>
          <w:rFonts w:ascii="Times New Roman" w:eastAsia="Times New Roman" w:hAnsi="Times New Roman" w:cs="Times New Roman"/>
          <w:color w:val="000000"/>
          <w:lang w:val="en-US"/>
        </w:rPr>
        <w:t xml:space="preserve"> 125</w:t>
      </w:r>
    </w:p>
    <w:p w14:paraId="57FB3B98" w14:textId="77777777" w:rsidR="004C3672" w:rsidRPr="004C3672" w:rsidRDefault="004C3672" w:rsidP="004C3672">
      <w:pPr>
        <w:spacing w:line="240" w:lineRule="auto"/>
        <w:rPr>
          <w:rFonts w:ascii="Times New Roman" w:eastAsia="Times New Roman" w:hAnsi="Times New Roman" w:cs="Times New Roman"/>
          <w:sz w:val="24"/>
          <w:szCs w:val="24"/>
          <w:lang w:val="en-US" w:eastAsia="bg-BG"/>
        </w:rPr>
      </w:pPr>
      <w:r w:rsidRPr="004C3672">
        <w:rPr>
          <w:rFonts w:ascii="Times New Roman" w:eastAsia="Times New Roman" w:hAnsi="Times New Roman" w:cs="Times New Roman"/>
          <w:color w:val="000000"/>
          <w:lang w:val="en-US"/>
        </w:rPr>
        <w:t>12489 Berlin</w:t>
      </w:r>
    </w:p>
    <w:p w14:paraId="3FD825DB" w14:textId="5C2A2B1B" w:rsidR="0091385D" w:rsidRDefault="004C3672" w:rsidP="004C3672">
      <w:r w:rsidRPr="004C3672">
        <w:rPr>
          <w:rFonts w:ascii="Times New Roman" w:eastAsia="Times New Roman" w:hAnsi="Times New Roman" w:cs="Times New Roman"/>
          <w:color w:val="000000"/>
          <w:lang w:eastAsia="bg-BG"/>
        </w:rPr>
        <w:t>Германия</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54CA436A" w:rsidR="0091385D" w:rsidRDefault="0091385D" w:rsidP="0091385D"/>
    <w:p w14:paraId="6E892CE5" w14:textId="001F1E8F" w:rsidR="0091385D" w:rsidRDefault="004C3672" w:rsidP="0091385D">
      <w:r>
        <w:t>9900162</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0F79A9B4" w:rsidR="0091385D" w:rsidRDefault="0091385D" w:rsidP="0091385D"/>
    <w:p w14:paraId="41EEF6A5" w14:textId="77777777" w:rsidR="004C3672" w:rsidRPr="004C3672" w:rsidRDefault="004C3672" w:rsidP="004C3672">
      <w:pPr>
        <w:spacing w:line="240" w:lineRule="auto"/>
        <w:rPr>
          <w:rFonts w:ascii="Times New Roman" w:eastAsia="Times New Roman" w:hAnsi="Times New Roman" w:cs="Times New Roman"/>
          <w:sz w:val="24"/>
          <w:szCs w:val="24"/>
          <w:lang w:eastAsia="bg-BG"/>
        </w:rPr>
      </w:pPr>
      <w:r w:rsidRPr="004C3672">
        <w:rPr>
          <w:rFonts w:ascii="Times New Roman" w:eastAsia="Times New Roman" w:hAnsi="Times New Roman" w:cs="Times New Roman"/>
          <w:color w:val="000000"/>
          <w:lang w:eastAsia="bg-BG"/>
        </w:rPr>
        <w:t>Дата на първо разрешаване: 13.07.2004</w:t>
      </w:r>
    </w:p>
    <w:p w14:paraId="497007FA" w14:textId="0778DE4E" w:rsidR="0091385D" w:rsidRDefault="004C3672" w:rsidP="004C3672">
      <w:r w:rsidRPr="004C3672">
        <w:rPr>
          <w:rFonts w:ascii="Times New Roman" w:eastAsia="Times New Roman" w:hAnsi="Times New Roman" w:cs="Times New Roman"/>
          <w:color w:val="000000"/>
          <w:lang w:eastAsia="bg-BG"/>
        </w:rPr>
        <w:t>Дата на подновяване на разрешението за употреба: 29.07.2009 г.</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34E0D3BB" w:rsidR="0091385D" w:rsidRDefault="0091385D" w:rsidP="0091385D"/>
    <w:p w14:paraId="30276F52" w14:textId="2E7AD73E" w:rsidR="0091385D" w:rsidRDefault="004C3672" w:rsidP="0091385D">
      <w:r>
        <w:t>11/2021</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1814702"/>
    <w:multiLevelType w:val="hybridMultilevel"/>
    <w:tmpl w:val="DCC06C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50E1F"/>
    <w:multiLevelType w:val="hybridMultilevel"/>
    <w:tmpl w:val="AE6868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D1FF4"/>
    <w:multiLevelType w:val="hybridMultilevel"/>
    <w:tmpl w:val="F4F048D0"/>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E562D"/>
    <w:multiLevelType w:val="hybridMultilevel"/>
    <w:tmpl w:val="9050E0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63B4A"/>
    <w:multiLevelType w:val="hybridMultilevel"/>
    <w:tmpl w:val="8C2623C8"/>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5"/>
  </w:num>
  <w:num w:numId="4">
    <w:abstractNumId w:val="3"/>
  </w:num>
  <w:num w:numId="5">
    <w:abstractNumId w:val="1"/>
  </w:num>
  <w:num w:numId="6">
    <w:abstractNumId w:val="19"/>
  </w:num>
  <w:num w:numId="7">
    <w:abstractNumId w:val="12"/>
  </w:num>
  <w:num w:numId="8">
    <w:abstractNumId w:val="18"/>
  </w:num>
  <w:num w:numId="9">
    <w:abstractNumId w:val="2"/>
  </w:num>
  <w:num w:numId="10">
    <w:abstractNumId w:val="4"/>
  </w:num>
  <w:num w:numId="11">
    <w:abstractNumId w:val="34"/>
  </w:num>
  <w:num w:numId="12">
    <w:abstractNumId w:val="17"/>
  </w:num>
  <w:num w:numId="13">
    <w:abstractNumId w:val="22"/>
  </w:num>
  <w:num w:numId="14">
    <w:abstractNumId w:val="13"/>
  </w:num>
  <w:num w:numId="15">
    <w:abstractNumId w:val="32"/>
  </w:num>
  <w:num w:numId="16">
    <w:abstractNumId w:val="11"/>
  </w:num>
  <w:num w:numId="17">
    <w:abstractNumId w:val="27"/>
  </w:num>
  <w:num w:numId="18">
    <w:abstractNumId w:val="8"/>
  </w:num>
  <w:num w:numId="19">
    <w:abstractNumId w:val="29"/>
  </w:num>
  <w:num w:numId="20">
    <w:abstractNumId w:val="26"/>
  </w:num>
  <w:num w:numId="21">
    <w:abstractNumId w:val="20"/>
  </w:num>
  <w:num w:numId="22">
    <w:abstractNumId w:val="28"/>
  </w:num>
  <w:num w:numId="23">
    <w:abstractNumId w:val="21"/>
  </w:num>
  <w:num w:numId="24">
    <w:abstractNumId w:val="9"/>
  </w:num>
  <w:num w:numId="25">
    <w:abstractNumId w:val="25"/>
  </w:num>
  <w:num w:numId="26">
    <w:abstractNumId w:val="24"/>
  </w:num>
  <w:num w:numId="27">
    <w:abstractNumId w:val="35"/>
  </w:num>
  <w:num w:numId="28">
    <w:abstractNumId w:val="6"/>
  </w:num>
  <w:num w:numId="29">
    <w:abstractNumId w:val="23"/>
  </w:num>
  <w:num w:numId="30">
    <w:abstractNumId w:val="38"/>
  </w:num>
  <w:num w:numId="31">
    <w:abstractNumId w:val="5"/>
  </w:num>
  <w:num w:numId="32">
    <w:abstractNumId w:val="37"/>
  </w:num>
  <w:num w:numId="33">
    <w:abstractNumId w:val="31"/>
  </w:num>
  <w:num w:numId="34">
    <w:abstractNumId w:val="36"/>
  </w:num>
  <w:num w:numId="35">
    <w:abstractNumId w:val="10"/>
  </w:num>
  <w:num w:numId="36">
    <w:abstractNumId w:val="7"/>
  </w:num>
  <w:num w:numId="37">
    <w:abstractNumId w:val="33"/>
  </w:num>
  <w:num w:numId="38">
    <w:abstractNumId w:val="14"/>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C3672"/>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8F1AF3"/>
    <w:rsid w:val="0091385D"/>
    <w:rsid w:val="009773E4"/>
    <w:rsid w:val="009B171C"/>
    <w:rsid w:val="009F1313"/>
    <w:rsid w:val="00A20351"/>
    <w:rsid w:val="00A65A81"/>
    <w:rsid w:val="00A73575"/>
    <w:rsid w:val="00AA23EC"/>
    <w:rsid w:val="00AC63CE"/>
    <w:rsid w:val="00AE2107"/>
    <w:rsid w:val="00B275A8"/>
    <w:rsid w:val="00B55E92"/>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4114</Words>
  <Characters>23452</Characters>
  <Application>Microsoft Office Word</Application>
  <DocSecurity>0</DocSecurity>
  <Lines>195</Lines>
  <Paragraphs>55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2022-10-02T13:45:00Z</dcterms:created>
  <dcterms:modified xsi:type="dcterms:W3CDTF">2022-10-02T13:45:00Z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