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757CDFC3" w:rsidR="00AA23EC" w:rsidRDefault="00DD466D" w:rsidP="00DD466D">
      <w:pPr>
        <w:pStyle w:val="Heading1"/>
      </w:pPr>
      <w:r>
        <w:t>1.ИМЕ НА ЛЕКАРСТВЕНИЯ ПРОДУКТ</w:t>
      </w:r>
    </w:p>
    <w:p w14:paraId="52A13FB7" w14:textId="0F16346A" w:rsidR="00D46483" w:rsidRDefault="00D46483" w:rsidP="00D46483"/>
    <w:p w14:paraId="1390803F" w14:textId="77777777" w:rsidR="00D46483" w:rsidRPr="00D46483" w:rsidRDefault="00D46483" w:rsidP="00D46483">
      <w:pPr>
        <w:rPr>
          <w:sz w:val="24"/>
          <w:szCs w:val="24"/>
        </w:rPr>
      </w:pPr>
      <w:r w:rsidRPr="00D46483">
        <w:rPr>
          <w:lang w:eastAsia="bg-BG"/>
        </w:rPr>
        <w:t xml:space="preserve">Небиволол Актавис 5 </w:t>
      </w:r>
      <w:r w:rsidRPr="00D46483">
        <w:rPr>
          <w:lang w:val="en-US"/>
        </w:rPr>
        <w:t>mg</w:t>
      </w:r>
      <w:r w:rsidRPr="00D46483">
        <w:t xml:space="preserve"> </w:t>
      </w:r>
      <w:r w:rsidRPr="00D46483">
        <w:rPr>
          <w:lang w:eastAsia="bg-BG"/>
        </w:rPr>
        <w:t>таблетки</w:t>
      </w:r>
    </w:p>
    <w:p w14:paraId="2994BA05" w14:textId="77777777" w:rsidR="00D46483" w:rsidRPr="00D46483" w:rsidRDefault="00D46483" w:rsidP="00D46483">
      <w:pPr>
        <w:rPr>
          <w:sz w:val="24"/>
          <w:szCs w:val="24"/>
        </w:rPr>
      </w:pPr>
      <w:proofErr w:type="spellStart"/>
      <w:r w:rsidRPr="00D46483">
        <w:rPr>
          <w:lang w:val="en-US"/>
        </w:rPr>
        <w:t>Nebivolol</w:t>
      </w:r>
      <w:proofErr w:type="spellEnd"/>
      <w:r w:rsidRPr="00D46483">
        <w:t xml:space="preserve"> </w:t>
      </w:r>
      <w:r w:rsidRPr="00D46483">
        <w:rPr>
          <w:lang w:val="en-US"/>
        </w:rPr>
        <w:t>Actavis</w:t>
      </w:r>
      <w:r w:rsidRPr="00D46483">
        <w:t xml:space="preserve"> </w:t>
      </w:r>
      <w:r w:rsidRPr="00D46483">
        <w:rPr>
          <w:lang w:eastAsia="bg-BG"/>
        </w:rPr>
        <w:t xml:space="preserve">5 </w:t>
      </w:r>
      <w:r w:rsidRPr="00D46483">
        <w:rPr>
          <w:lang w:val="en-US"/>
        </w:rPr>
        <w:t>mg</w:t>
      </w:r>
      <w:r w:rsidRPr="00D46483">
        <w:t xml:space="preserve"> </w:t>
      </w:r>
      <w:r w:rsidRPr="00D46483">
        <w:rPr>
          <w:lang w:val="en-US"/>
        </w:rPr>
        <w:t>tablets</w:t>
      </w:r>
    </w:p>
    <w:p w14:paraId="61E56D52" w14:textId="77777777" w:rsidR="00D46483" w:rsidRPr="00D46483" w:rsidRDefault="00D46483" w:rsidP="00D46483"/>
    <w:p w14:paraId="0A368469" w14:textId="49B11015" w:rsidR="00C0049F" w:rsidRDefault="00DD466D" w:rsidP="009F1313">
      <w:pPr>
        <w:pStyle w:val="Heading1"/>
      </w:pPr>
      <w:r>
        <w:t>2. КАЧЕСТВЕН И КОЛИЧЕСТВЕН СЪСТАВ</w:t>
      </w:r>
    </w:p>
    <w:p w14:paraId="28C2CD4C" w14:textId="544AA404" w:rsidR="00D46483" w:rsidRDefault="00D46483" w:rsidP="00D46483"/>
    <w:p w14:paraId="65E2194A" w14:textId="77777777" w:rsidR="00D46483" w:rsidRPr="00D46483" w:rsidRDefault="00D46483" w:rsidP="00D46483">
      <w:pPr>
        <w:rPr>
          <w:sz w:val="24"/>
          <w:szCs w:val="24"/>
        </w:rPr>
      </w:pPr>
      <w:r w:rsidRPr="00D46483">
        <w:rPr>
          <w:lang w:eastAsia="bg-BG"/>
        </w:rPr>
        <w:t xml:space="preserve">Всяка таблетка съдържа 5 </w:t>
      </w:r>
      <w:r w:rsidRPr="00D46483">
        <w:rPr>
          <w:lang w:val="en-US"/>
        </w:rPr>
        <w:t>mg</w:t>
      </w:r>
      <w:r w:rsidRPr="00D46483">
        <w:t xml:space="preserve"> </w:t>
      </w:r>
      <w:r w:rsidRPr="00D46483">
        <w:rPr>
          <w:lang w:eastAsia="bg-BG"/>
        </w:rPr>
        <w:t xml:space="preserve">небиволол </w:t>
      </w:r>
      <w:r w:rsidRPr="00D46483">
        <w:rPr>
          <w:i/>
          <w:iCs/>
        </w:rPr>
        <w:t>(</w:t>
      </w:r>
      <w:proofErr w:type="spellStart"/>
      <w:r w:rsidRPr="00D46483">
        <w:rPr>
          <w:i/>
          <w:iCs/>
          <w:lang w:val="en-US"/>
        </w:rPr>
        <w:t>nebivolol</w:t>
      </w:r>
      <w:proofErr w:type="spellEnd"/>
      <w:r w:rsidRPr="00D46483">
        <w:rPr>
          <w:i/>
          <w:iCs/>
        </w:rPr>
        <w:t>),</w:t>
      </w:r>
      <w:r w:rsidRPr="00D46483">
        <w:t xml:space="preserve"> </w:t>
      </w:r>
      <w:r w:rsidRPr="00D46483">
        <w:rPr>
          <w:lang w:eastAsia="bg-BG"/>
        </w:rPr>
        <w:t xml:space="preserve">като небиволол хидрохлорид (неЬ/уо/о/ </w:t>
      </w:r>
      <w:r w:rsidRPr="00D46483">
        <w:rPr>
          <w:i/>
          <w:iCs/>
          <w:lang w:val="en-US"/>
        </w:rPr>
        <w:t>hydrochloride</w:t>
      </w:r>
      <w:r w:rsidRPr="00D46483">
        <w:rPr>
          <w:i/>
          <w:iCs/>
        </w:rPr>
        <w:t>)</w:t>
      </w:r>
      <w:r w:rsidRPr="00D46483">
        <w:t xml:space="preserve"> </w:t>
      </w:r>
      <w:r w:rsidRPr="00D46483">
        <w:rPr>
          <w:lang w:eastAsia="bg-BG"/>
        </w:rPr>
        <w:t xml:space="preserve">5,45 </w:t>
      </w:r>
      <w:r w:rsidRPr="00D46483">
        <w:rPr>
          <w:lang w:val="en-US"/>
        </w:rPr>
        <w:t>mg</w:t>
      </w:r>
      <w:r w:rsidRPr="00D46483">
        <w:t>.</w:t>
      </w:r>
    </w:p>
    <w:p w14:paraId="64469692" w14:textId="77777777" w:rsidR="00D46483" w:rsidRDefault="00D46483" w:rsidP="00D46483">
      <w:pPr>
        <w:rPr>
          <w:u w:val="single"/>
          <w:lang w:eastAsia="bg-BG"/>
        </w:rPr>
      </w:pPr>
    </w:p>
    <w:p w14:paraId="2DF11FB9" w14:textId="34C42830" w:rsidR="00D46483" w:rsidRPr="00D46483" w:rsidRDefault="00D46483" w:rsidP="00D46483">
      <w:pPr>
        <w:rPr>
          <w:sz w:val="24"/>
          <w:szCs w:val="24"/>
        </w:rPr>
      </w:pPr>
      <w:r w:rsidRPr="00D46483">
        <w:rPr>
          <w:u w:val="single"/>
          <w:lang w:eastAsia="bg-BG"/>
        </w:rPr>
        <w:t>Помощно вещество с известно действие</w:t>
      </w:r>
      <w:r w:rsidRPr="00D46483">
        <w:rPr>
          <w:lang w:eastAsia="bg-BG"/>
        </w:rPr>
        <w:t>: лактоза монохидрат.</w:t>
      </w:r>
    </w:p>
    <w:p w14:paraId="165ACF01" w14:textId="77777777" w:rsidR="00D46483" w:rsidRPr="00D46483" w:rsidRDefault="00D46483" w:rsidP="00D46483">
      <w:pPr>
        <w:rPr>
          <w:sz w:val="24"/>
          <w:szCs w:val="24"/>
        </w:rPr>
      </w:pPr>
      <w:r w:rsidRPr="00D46483">
        <w:rPr>
          <w:lang w:eastAsia="bg-BG"/>
        </w:rPr>
        <w:t xml:space="preserve">Всяка таблетка съдържа 192,4 </w:t>
      </w:r>
      <w:r w:rsidRPr="00D46483">
        <w:rPr>
          <w:lang w:val="en-US"/>
        </w:rPr>
        <w:t>mg</w:t>
      </w:r>
      <w:r w:rsidRPr="00D46483">
        <w:rPr>
          <w:lang w:val="ru-RU"/>
        </w:rPr>
        <w:t xml:space="preserve"> </w:t>
      </w:r>
      <w:r w:rsidRPr="00D46483">
        <w:rPr>
          <w:lang w:eastAsia="bg-BG"/>
        </w:rPr>
        <w:t>лактоза монохидрат.</w:t>
      </w:r>
    </w:p>
    <w:p w14:paraId="4E830B43" w14:textId="77777777" w:rsidR="00D46483" w:rsidRPr="00D46483" w:rsidRDefault="00D46483" w:rsidP="00D46483"/>
    <w:p w14:paraId="614984C4" w14:textId="030B56C7" w:rsidR="008A6AF2" w:rsidRDefault="00DD466D" w:rsidP="002C50EE">
      <w:pPr>
        <w:pStyle w:val="Heading1"/>
      </w:pPr>
      <w:r>
        <w:t>3. ЛЕКАРСТВЕНА ФОРМА</w:t>
      </w:r>
    </w:p>
    <w:p w14:paraId="650CCDCF" w14:textId="37405CE9" w:rsidR="00D46483" w:rsidRDefault="00D46483" w:rsidP="00D46483"/>
    <w:p w14:paraId="2D144317" w14:textId="77777777" w:rsidR="00D46483" w:rsidRPr="00D46483" w:rsidRDefault="00D46483" w:rsidP="00D46483">
      <w:pPr>
        <w:rPr>
          <w:sz w:val="24"/>
          <w:szCs w:val="24"/>
        </w:rPr>
      </w:pPr>
      <w:r w:rsidRPr="00D46483">
        <w:rPr>
          <w:lang w:eastAsia="bg-BG"/>
        </w:rPr>
        <w:t>Таблетка</w:t>
      </w:r>
    </w:p>
    <w:p w14:paraId="7D5E861E" w14:textId="77777777" w:rsidR="00D46483" w:rsidRPr="00D46483" w:rsidRDefault="00D46483" w:rsidP="00D46483">
      <w:pPr>
        <w:rPr>
          <w:sz w:val="24"/>
          <w:szCs w:val="24"/>
        </w:rPr>
      </w:pPr>
      <w:r w:rsidRPr="00D46483">
        <w:rPr>
          <w:lang w:eastAsia="bg-BG"/>
        </w:rPr>
        <w:t xml:space="preserve">Кръгли, бели, изпъкнали таблетки с диаметър 9 </w:t>
      </w:r>
      <w:r w:rsidRPr="00D46483">
        <w:rPr>
          <w:lang w:val="en-US"/>
        </w:rPr>
        <w:t>mm</w:t>
      </w:r>
      <w:r w:rsidRPr="00D46483">
        <w:rPr>
          <w:lang w:val="ru-RU"/>
        </w:rPr>
        <w:t xml:space="preserve">, </w:t>
      </w:r>
      <w:r w:rsidRPr="00D46483">
        <w:rPr>
          <w:lang w:eastAsia="bg-BG"/>
        </w:rPr>
        <w:t xml:space="preserve">с две кръстосани черти от едната страна и маркировка </w:t>
      </w:r>
      <w:r w:rsidRPr="00D46483">
        <w:rPr>
          <w:lang w:val="ru-RU"/>
        </w:rPr>
        <w:t>“</w:t>
      </w:r>
      <w:r w:rsidRPr="00D46483">
        <w:rPr>
          <w:lang w:val="en-US"/>
        </w:rPr>
        <w:t>N</w:t>
      </w:r>
      <w:r w:rsidRPr="00D46483">
        <w:rPr>
          <w:lang w:val="ru-RU"/>
        </w:rPr>
        <w:t xml:space="preserve">5” </w:t>
      </w:r>
      <w:r w:rsidRPr="00D46483">
        <w:rPr>
          <w:lang w:eastAsia="bg-BG"/>
        </w:rPr>
        <w:t>от другата страна.</w:t>
      </w:r>
    </w:p>
    <w:p w14:paraId="3B3937E7" w14:textId="2E4C3904" w:rsidR="00D46483" w:rsidRPr="00D46483" w:rsidRDefault="00D46483" w:rsidP="00D46483">
      <w:r w:rsidRPr="00D46483">
        <w:rPr>
          <w:lang w:eastAsia="bg-BG"/>
        </w:rPr>
        <w:t>Таблетката може да бъде разделена на равни дози.</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3D341BB4" w:rsidR="00395555" w:rsidRDefault="00395555" w:rsidP="00395555"/>
    <w:p w14:paraId="57FD3EF3"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Хипертония</w:t>
      </w:r>
    </w:p>
    <w:p w14:paraId="2964DF06"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Лечение на есенциалиа хипертония.</w:t>
      </w:r>
    </w:p>
    <w:p w14:paraId="54FA1B24" w14:textId="77777777" w:rsidR="00D46483" w:rsidRPr="00D46483" w:rsidRDefault="00D46483" w:rsidP="00D46483">
      <w:pPr>
        <w:spacing w:line="240" w:lineRule="auto"/>
        <w:rPr>
          <w:rFonts w:eastAsia="Times New Roman" w:cs="Arial"/>
          <w:color w:val="000000"/>
          <w:szCs w:val="20"/>
          <w:u w:val="single"/>
          <w:lang w:eastAsia="bg-BG"/>
        </w:rPr>
      </w:pPr>
    </w:p>
    <w:p w14:paraId="1DCCAE7E" w14:textId="79F206C1"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Хронична сърдечна недостатъчност (ХСН)</w:t>
      </w:r>
    </w:p>
    <w:p w14:paraId="1317ACA6" w14:textId="2C580935" w:rsidR="00D46483" w:rsidRDefault="00D46483" w:rsidP="00D46483">
      <w:pPr>
        <w:rPr>
          <w:rFonts w:eastAsia="Times New Roman" w:cs="Arial"/>
          <w:color w:val="000000"/>
          <w:szCs w:val="20"/>
          <w:lang w:eastAsia="bg-BG"/>
        </w:rPr>
      </w:pPr>
      <w:r w:rsidRPr="00D46483">
        <w:rPr>
          <w:rFonts w:eastAsia="Times New Roman" w:cs="Arial"/>
          <w:color w:val="000000"/>
          <w:szCs w:val="20"/>
          <w:lang w:eastAsia="bg-BG"/>
        </w:rPr>
        <w:t>Лечение на стабилна лека до умерена хронична сърдечна недостатъчност в допълнение към стандартната терапия при</w:t>
      </w:r>
      <w:r>
        <w:rPr>
          <w:rFonts w:eastAsia="Times New Roman" w:cs="Arial"/>
          <w:color w:val="000000"/>
          <w:szCs w:val="20"/>
          <w:lang w:eastAsia="bg-BG"/>
        </w:rPr>
        <w:t xml:space="preserve"> пациенти в старческа възраст (≥</w:t>
      </w:r>
      <w:r w:rsidRPr="00D46483">
        <w:rPr>
          <w:rFonts w:eastAsia="Times New Roman" w:cs="Arial"/>
          <w:color w:val="000000"/>
          <w:szCs w:val="20"/>
          <w:lang w:eastAsia="bg-BG"/>
        </w:rPr>
        <w:t xml:space="preserve"> 65 години).</w:t>
      </w:r>
    </w:p>
    <w:p w14:paraId="4865FC16" w14:textId="77777777" w:rsidR="00D46483" w:rsidRPr="00D46483" w:rsidRDefault="00D46483" w:rsidP="00D46483">
      <w:pPr>
        <w:rPr>
          <w:rFonts w:cs="Arial"/>
          <w:sz w:val="24"/>
        </w:rPr>
      </w:pPr>
    </w:p>
    <w:p w14:paraId="7C0CA5EB" w14:textId="22D83C73" w:rsidR="00C0049F" w:rsidRDefault="002C50EE" w:rsidP="009F1313">
      <w:pPr>
        <w:pStyle w:val="Heading2"/>
      </w:pPr>
      <w:r>
        <w:t>4.2. Дозировка и начин на приложение</w:t>
      </w:r>
    </w:p>
    <w:p w14:paraId="5C93C777" w14:textId="0B84BCED" w:rsidR="00D46483" w:rsidRDefault="00D46483" w:rsidP="00D46483"/>
    <w:p w14:paraId="0AC56E33" w14:textId="77777777" w:rsidR="00D46483" w:rsidRPr="00D46483" w:rsidRDefault="00D46483" w:rsidP="00D46483">
      <w:pPr>
        <w:pStyle w:val="Heading3"/>
        <w:rPr>
          <w:rFonts w:eastAsia="Times New Roman"/>
          <w:u w:val="single"/>
        </w:rPr>
      </w:pPr>
      <w:r w:rsidRPr="00D46483">
        <w:rPr>
          <w:rFonts w:eastAsia="Times New Roman"/>
          <w:u w:val="single"/>
          <w:lang w:eastAsia="bg-BG"/>
        </w:rPr>
        <w:t>Дозировка</w:t>
      </w:r>
    </w:p>
    <w:p w14:paraId="2CB89BB5" w14:textId="77777777" w:rsidR="00D46483" w:rsidRPr="00D46483" w:rsidRDefault="00D46483" w:rsidP="00D46483">
      <w:pPr>
        <w:spacing w:line="240" w:lineRule="auto"/>
        <w:rPr>
          <w:rFonts w:eastAsia="Times New Roman" w:cs="Arial"/>
          <w:i/>
          <w:iCs/>
          <w:color w:val="000000"/>
          <w:u w:val="single"/>
          <w:lang w:eastAsia="bg-BG"/>
        </w:rPr>
      </w:pPr>
    </w:p>
    <w:p w14:paraId="53215A11" w14:textId="5F933081" w:rsidR="00D46483" w:rsidRPr="00D46483" w:rsidRDefault="00D46483" w:rsidP="00D46483">
      <w:pPr>
        <w:spacing w:line="240" w:lineRule="auto"/>
        <w:rPr>
          <w:rFonts w:eastAsia="Times New Roman" w:cs="Arial"/>
        </w:rPr>
      </w:pPr>
      <w:r w:rsidRPr="00D46483">
        <w:rPr>
          <w:rFonts w:eastAsia="Times New Roman" w:cs="Arial"/>
          <w:i/>
          <w:iCs/>
          <w:color w:val="000000"/>
          <w:u w:val="single"/>
          <w:lang w:eastAsia="bg-BG"/>
        </w:rPr>
        <w:t>Хипертония</w:t>
      </w:r>
    </w:p>
    <w:p w14:paraId="41891937" w14:textId="77777777"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Възрастни</w:t>
      </w:r>
    </w:p>
    <w:p w14:paraId="4399210E"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 xml:space="preserve">Дозата е по една таблетка (5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дневно, за предпочитане по едно и също време на деня.</w:t>
      </w:r>
    </w:p>
    <w:p w14:paraId="6495FA43"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Таблетките могат да се приемат по време на хранене.</w:t>
      </w:r>
    </w:p>
    <w:p w14:paraId="68AED6EC"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Антихипертензивният ефект се проявява след 1-2 седмици от началото на лечението.</w:t>
      </w:r>
    </w:p>
    <w:p w14:paraId="1677FBDF"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Обикновено оптимален ефект се постига само след около 4 седмици.</w:t>
      </w:r>
    </w:p>
    <w:p w14:paraId="713F8093" w14:textId="77777777" w:rsidR="00D46483" w:rsidRPr="00D46483" w:rsidRDefault="00D46483" w:rsidP="00D46483">
      <w:pPr>
        <w:spacing w:line="240" w:lineRule="auto"/>
        <w:rPr>
          <w:rFonts w:eastAsia="Times New Roman" w:cs="Arial"/>
          <w:i/>
          <w:iCs/>
          <w:color w:val="000000"/>
          <w:lang w:eastAsia="bg-BG"/>
        </w:rPr>
      </w:pPr>
    </w:p>
    <w:p w14:paraId="14064F37" w14:textId="413A363C"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Комбинация с други антихипертензивни лекарства</w:t>
      </w:r>
    </w:p>
    <w:p w14:paraId="7E5076E8" w14:textId="159B17A1" w:rsidR="00D46483" w:rsidRPr="00D46483" w:rsidRDefault="00D46483" w:rsidP="00D46483">
      <w:pPr>
        <w:rPr>
          <w:rFonts w:eastAsia="Times New Roman" w:cs="Arial"/>
          <w:color w:val="000000"/>
          <w:lang w:val="ru-RU"/>
        </w:rPr>
      </w:pPr>
      <w:r w:rsidRPr="00D46483">
        <w:rPr>
          <w:rFonts w:eastAsia="Times New Roman" w:cs="Arial"/>
          <w:color w:val="000000"/>
          <w:lang w:eastAsia="bg-BG"/>
        </w:rPr>
        <w:t xml:space="preserve">Бета-блокерите могат да се използват самостоятелно или в комбинация с други антихипертензивни лекарства. До момента, допълнителен антихипертензивен ефект е наблюдаван само при комбинация на небиволол 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 xml:space="preserve">с хидрохлоротиазид </w:t>
      </w:r>
      <w:r w:rsidRPr="00D46483">
        <w:rPr>
          <w:rFonts w:eastAsia="Times New Roman" w:cs="Arial"/>
          <w:color w:val="000000"/>
          <w:lang w:val="ru-RU"/>
        </w:rPr>
        <w:t>12,5-25</w:t>
      </w:r>
      <w:r w:rsidRPr="00D46483">
        <w:rPr>
          <w:rFonts w:eastAsia="Times New Roman" w:cs="Arial"/>
          <w:color w:val="000000"/>
          <w:lang w:val="en-US"/>
        </w:rPr>
        <w:t>mg</w:t>
      </w:r>
      <w:r w:rsidRPr="00D46483">
        <w:rPr>
          <w:rFonts w:eastAsia="Times New Roman" w:cs="Arial"/>
          <w:color w:val="000000"/>
          <w:lang w:val="ru-RU"/>
        </w:rPr>
        <w:t>.</w:t>
      </w:r>
    </w:p>
    <w:p w14:paraId="7246A4E3" w14:textId="1B309D64" w:rsidR="00D46483" w:rsidRPr="00D46483" w:rsidRDefault="00D46483" w:rsidP="00D46483">
      <w:pPr>
        <w:rPr>
          <w:rFonts w:eastAsia="Times New Roman" w:cs="Arial"/>
          <w:color w:val="000000"/>
          <w:lang w:val="ru-RU"/>
        </w:rPr>
      </w:pPr>
    </w:p>
    <w:p w14:paraId="405B51C0" w14:textId="77777777"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Пациенти с бъбречна недостатъчност</w:t>
      </w:r>
    </w:p>
    <w:p w14:paraId="0A5BF6F0"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 xml:space="preserve">При пациенти с бъбречна недостатъчност, препоръчителната начална доза е 2,5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 xml:space="preserve">дневно. При необходимост дневната доза може да се повиши до 5 </w:t>
      </w:r>
      <w:r w:rsidRPr="00D46483">
        <w:rPr>
          <w:rFonts w:eastAsia="Times New Roman" w:cs="Arial"/>
          <w:color w:val="000000"/>
          <w:lang w:val="en-US"/>
        </w:rPr>
        <w:t>mg</w:t>
      </w:r>
      <w:r w:rsidRPr="00D46483">
        <w:rPr>
          <w:rFonts w:eastAsia="Times New Roman" w:cs="Arial"/>
          <w:color w:val="000000"/>
          <w:lang w:val="ru-RU"/>
        </w:rPr>
        <w:t>.</w:t>
      </w:r>
    </w:p>
    <w:p w14:paraId="0E4B6F6A" w14:textId="77777777" w:rsidR="00D46483" w:rsidRPr="00D46483" w:rsidRDefault="00D46483" w:rsidP="00D46483">
      <w:pPr>
        <w:spacing w:line="240" w:lineRule="auto"/>
        <w:rPr>
          <w:rFonts w:eastAsia="Times New Roman" w:cs="Arial"/>
          <w:i/>
          <w:iCs/>
          <w:color w:val="000000"/>
          <w:lang w:eastAsia="bg-BG"/>
        </w:rPr>
      </w:pPr>
    </w:p>
    <w:p w14:paraId="051D13E8" w14:textId="79E62CA3"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Пациенти с чернодробна недостатъчност</w:t>
      </w:r>
    </w:p>
    <w:p w14:paraId="6FB74802" w14:textId="77777777" w:rsidR="00D46483" w:rsidRPr="00D46483" w:rsidRDefault="00D46483" w:rsidP="00D46483">
      <w:pPr>
        <w:spacing w:line="240" w:lineRule="auto"/>
        <w:rPr>
          <w:rFonts w:eastAsia="Times New Roman" w:cs="Arial"/>
          <w:color w:val="000000"/>
          <w:lang w:eastAsia="bg-BG"/>
        </w:rPr>
      </w:pPr>
      <w:r w:rsidRPr="00D46483">
        <w:rPr>
          <w:rFonts w:eastAsia="Times New Roman" w:cs="Arial"/>
          <w:color w:val="000000"/>
          <w:lang w:eastAsia="bg-BG"/>
        </w:rPr>
        <w:t xml:space="preserve">Данните за пациенти чернодробна недостатъчност или нарушена чернодробна функция са ограничени. </w:t>
      </w:r>
    </w:p>
    <w:p w14:paraId="47916008" w14:textId="7EFDF545" w:rsidR="00D46483" w:rsidRPr="00D46483" w:rsidRDefault="00D46483" w:rsidP="00D46483">
      <w:pPr>
        <w:spacing w:line="240" w:lineRule="auto"/>
        <w:rPr>
          <w:rFonts w:eastAsia="Times New Roman" w:cs="Arial"/>
        </w:rPr>
      </w:pPr>
      <w:r w:rsidRPr="00D46483">
        <w:rPr>
          <w:rFonts w:eastAsia="Times New Roman" w:cs="Arial"/>
          <w:color w:val="000000"/>
          <w:lang w:eastAsia="bg-BG"/>
        </w:rPr>
        <w:t>Поради това лечението с небиволол е противопоказано при тази група пациенти.</w:t>
      </w:r>
    </w:p>
    <w:p w14:paraId="23C4C998" w14:textId="77777777" w:rsidR="00D46483" w:rsidRPr="00D46483" w:rsidRDefault="00D46483" w:rsidP="00D46483">
      <w:pPr>
        <w:spacing w:line="240" w:lineRule="auto"/>
        <w:rPr>
          <w:rFonts w:eastAsia="Times New Roman" w:cs="Arial"/>
          <w:i/>
          <w:iCs/>
          <w:color w:val="000000"/>
          <w:lang w:eastAsia="bg-BG"/>
        </w:rPr>
      </w:pPr>
    </w:p>
    <w:p w14:paraId="2F1DE7F4" w14:textId="65525CF3"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Пациенти в старческа възраст</w:t>
      </w:r>
    </w:p>
    <w:p w14:paraId="29583556"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 xml:space="preserve">Препоръчителната начална доза при пациенти над 65-годишна възраст е 2,5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 xml:space="preserve">дневно. При необходимост дневната доза може да се повиши до 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Поради ограничен опит при пациенти над 75 години, се изисква повишено внимание и непосредствен медицински контрол.</w:t>
      </w:r>
    </w:p>
    <w:p w14:paraId="132F9D42" w14:textId="77777777" w:rsidR="00D46483" w:rsidRPr="00D46483" w:rsidRDefault="00D46483" w:rsidP="00D46483">
      <w:pPr>
        <w:spacing w:line="240" w:lineRule="auto"/>
        <w:rPr>
          <w:rFonts w:eastAsia="Times New Roman" w:cs="Arial"/>
          <w:i/>
          <w:iCs/>
          <w:color w:val="000000"/>
          <w:lang w:eastAsia="bg-BG"/>
        </w:rPr>
      </w:pPr>
    </w:p>
    <w:p w14:paraId="3802F8D6" w14:textId="4F769499"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Педиатрична популация:</w:t>
      </w:r>
    </w:p>
    <w:p w14:paraId="6511065A"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Не са провеждани проучвания при деца и юноши. Поради това приложението при деца и юноши под 18 години не се препоръчва.</w:t>
      </w:r>
    </w:p>
    <w:p w14:paraId="272232A6" w14:textId="77777777" w:rsidR="00D46483" w:rsidRPr="00D46483" w:rsidRDefault="00D46483" w:rsidP="00D46483">
      <w:pPr>
        <w:spacing w:line="240" w:lineRule="auto"/>
        <w:rPr>
          <w:rFonts w:eastAsia="Times New Roman" w:cs="Arial"/>
          <w:i/>
          <w:iCs/>
          <w:color w:val="000000"/>
          <w:u w:val="single"/>
          <w:lang w:eastAsia="bg-BG"/>
        </w:rPr>
      </w:pPr>
    </w:p>
    <w:p w14:paraId="592D9804" w14:textId="24B0A121" w:rsidR="00D46483" w:rsidRPr="00D46483" w:rsidRDefault="00D46483" w:rsidP="00D46483">
      <w:pPr>
        <w:spacing w:line="240" w:lineRule="auto"/>
        <w:rPr>
          <w:rFonts w:eastAsia="Times New Roman" w:cs="Arial"/>
        </w:rPr>
      </w:pPr>
      <w:r w:rsidRPr="00D46483">
        <w:rPr>
          <w:rFonts w:eastAsia="Times New Roman" w:cs="Arial"/>
          <w:i/>
          <w:iCs/>
          <w:color w:val="000000"/>
          <w:u w:val="single"/>
          <w:lang w:eastAsia="bg-BG"/>
        </w:rPr>
        <w:t>Хронична сърдечна недостатъчност (ХСН)</w:t>
      </w:r>
    </w:p>
    <w:p w14:paraId="452DABD1"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Лечението на стабилна хронична сърдечна недостатъчност трябва да започне с постепенно повишаване на дозата до постигане на оптимална индивидуална поддържаща доза.</w:t>
      </w:r>
    </w:p>
    <w:p w14:paraId="5845CFB1" w14:textId="77777777" w:rsidR="00D46483" w:rsidRPr="00D46483" w:rsidRDefault="00D46483" w:rsidP="00D46483">
      <w:pPr>
        <w:spacing w:line="240" w:lineRule="auto"/>
        <w:rPr>
          <w:rFonts w:eastAsia="Times New Roman" w:cs="Arial"/>
          <w:color w:val="000000"/>
          <w:lang w:eastAsia="bg-BG"/>
        </w:rPr>
      </w:pPr>
    </w:p>
    <w:p w14:paraId="04254D04" w14:textId="65FDE4F7" w:rsidR="00D46483" w:rsidRPr="00D46483" w:rsidRDefault="00D46483" w:rsidP="00D46483">
      <w:pPr>
        <w:spacing w:line="240" w:lineRule="auto"/>
        <w:rPr>
          <w:rFonts w:eastAsia="Times New Roman" w:cs="Arial"/>
        </w:rPr>
      </w:pPr>
      <w:r w:rsidRPr="00D46483">
        <w:rPr>
          <w:rFonts w:eastAsia="Times New Roman" w:cs="Arial"/>
          <w:color w:val="000000"/>
          <w:lang w:eastAsia="bg-BG"/>
        </w:rPr>
        <w:t>Пациентите трябва да са със стабилна хронична сърдечна недостатъчност, без епизоди на остра недостатъчност през последните шест седмици. Препоръчително е лекуващият лекар да има опит при лечението на хронична сърдечна недостатъчност.</w:t>
      </w:r>
    </w:p>
    <w:p w14:paraId="19260A8E" w14:textId="77777777" w:rsidR="00D46483" w:rsidRPr="00D46483" w:rsidRDefault="00D46483" w:rsidP="00D46483">
      <w:pPr>
        <w:spacing w:line="240" w:lineRule="auto"/>
        <w:rPr>
          <w:rFonts w:eastAsia="Times New Roman" w:cs="Arial"/>
          <w:color w:val="000000"/>
          <w:lang w:eastAsia="bg-BG"/>
        </w:rPr>
      </w:pPr>
    </w:p>
    <w:p w14:paraId="26084EFF" w14:textId="093D8BBA" w:rsidR="00D46483" w:rsidRPr="00D46483" w:rsidRDefault="00D46483" w:rsidP="00D46483">
      <w:pPr>
        <w:spacing w:line="240" w:lineRule="auto"/>
        <w:rPr>
          <w:rFonts w:eastAsia="Times New Roman" w:cs="Arial"/>
        </w:rPr>
      </w:pPr>
      <w:r w:rsidRPr="00D46483">
        <w:rPr>
          <w:rFonts w:eastAsia="Times New Roman" w:cs="Arial"/>
          <w:color w:val="000000"/>
          <w:lang w:eastAsia="bg-BG"/>
        </w:rPr>
        <w:t>При пациенти, които получават лекарства, оказващи влияние върху сърдечно-съдовата система, като диуретици и/или дигоксин и/или АСЕ инхибигори и/или ангиотензин II антагонисти, дозата на тези лекарства трябва да не е променяна през последните две седмици, преди започване на лечението с небиволол.</w:t>
      </w:r>
    </w:p>
    <w:p w14:paraId="4F7E373B" w14:textId="77777777" w:rsidR="00D46483" w:rsidRPr="00D46483" w:rsidRDefault="00D46483" w:rsidP="00D46483">
      <w:pPr>
        <w:spacing w:line="240" w:lineRule="auto"/>
        <w:rPr>
          <w:rFonts w:eastAsia="Times New Roman" w:cs="Arial"/>
          <w:color w:val="000000"/>
          <w:lang w:eastAsia="bg-BG"/>
        </w:rPr>
      </w:pPr>
    </w:p>
    <w:p w14:paraId="27CB5D7C" w14:textId="636FB4F6" w:rsidR="00D46483" w:rsidRPr="00D46483" w:rsidRDefault="00D46483" w:rsidP="00D46483">
      <w:pPr>
        <w:spacing w:line="240" w:lineRule="auto"/>
        <w:rPr>
          <w:rFonts w:eastAsia="Times New Roman" w:cs="Arial"/>
        </w:rPr>
      </w:pPr>
      <w:r w:rsidRPr="00D46483">
        <w:rPr>
          <w:rFonts w:eastAsia="Times New Roman" w:cs="Arial"/>
          <w:color w:val="000000"/>
          <w:lang w:eastAsia="bg-BG"/>
        </w:rPr>
        <w:t xml:space="preserve">Дозата трябва да се титрира първоначално на интервали от 1 -2 седмици в зависимост от индивидуалната поносимост на пациента на следните етапи: 1,25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 xml:space="preserve">небиволол се повишава на 2,5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 xml:space="preserve">небиволол еднократно дневно, след това на 5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 xml:space="preserve">небиволол еднократно дневно и след това на 10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 xml:space="preserve">небиволол еднократно дневно. Максималната препоръчителна доза е 10 </w:t>
      </w:r>
      <w:r w:rsidRPr="00D46483">
        <w:rPr>
          <w:rFonts w:eastAsia="Times New Roman" w:cs="Arial"/>
          <w:color w:val="000000"/>
          <w:lang w:val="en-US"/>
        </w:rPr>
        <w:t>mg</w:t>
      </w:r>
      <w:r w:rsidRPr="00D46483">
        <w:rPr>
          <w:rFonts w:eastAsia="Times New Roman" w:cs="Arial"/>
          <w:color w:val="000000"/>
          <w:lang w:val="ru-RU"/>
        </w:rPr>
        <w:t xml:space="preserve"> </w:t>
      </w:r>
      <w:r w:rsidRPr="00D46483">
        <w:rPr>
          <w:rFonts w:eastAsia="Times New Roman" w:cs="Arial"/>
          <w:color w:val="000000"/>
          <w:lang w:eastAsia="bg-BG"/>
        </w:rPr>
        <w:t>еднократно дневно.</w:t>
      </w:r>
    </w:p>
    <w:p w14:paraId="4A57BD98" w14:textId="77777777" w:rsidR="00D46483" w:rsidRPr="00D46483" w:rsidRDefault="00D46483" w:rsidP="00D46483">
      <w:pPr>
        <w:spacing w:line="240" w:lineRule="auto"/>
        <w:rPr>
          <w:rFonts w:eastAsia="Times New Roman" w:cs="Arial"/>
          <w:color w:val="000000"/>
          <w:lang w:eastAsia="bg-BG"/>
        </w:rPr>
      </w:pPr>
    </w:p>
    <w:p w14:paraId="3FCE3783" w14:textId="3819A18F" w:rsidR="00D46483" w:rsidRPr="00D46483" w:rsidRDefault="00D46483" w:rsidP="00D46483">
      <w:pPr>
        <w:spacing w:line="240" w:lineRule="auto"/>
        <w:rPr>
          <w:rFonts w:eastAsia="Times New Roman" w:cs="Arial"/>
        </w:rPr>
      </w:pPr>
      <w:r w:rsidRPr="00D46483">
        <w:rPr>
          <w:rFonts w:eastAsia="Times New Roman" w:cs="Arial"/>
          <w:color w:val="000000"/>
          <w:lang w:eastAsia="bg-BG"/>
        </w:rPr>
        <w:t>При започване на лечението и при всяко повишаване на дозата е необходим медицински контрол в продължение на поне 2 часа, за да е сигурно, че клиничното състояние е стабилно (особено по отношение на артериално налягане, сърдечна честота, проводни нарушения, белези на влошена сърдечна недостатъчност).</w:t>
      </w:r>
    </w:p>
    <w:p w14:paraId="6B557BF8" w14:textId="77777777" w:rsidR="00D46483" w:rsidRPr="00D46483" w:rsidRDefault="00D46483" w:rsidP="00D46483">
      <w:pPr>
        <w:spacing w:line="240" w:lineRule="auto"/>
        <w:rPr>
          <w:rFonts w:eastAsia="Times New Roman" w:cs="Arial"/>
          <w:color w:val="000000"/>
          <w:lang w:eastAsia="bg-BG"/>
        </w:rPr>
      </w:pPr>
    </w:p>
    <w:p w14:paraId="653471C8" w14:textId="23115779" w:rsidR="00D46483" w:rsidRPr="00D46483" w:rsidRDefault="00D46483" w:rsidP="00D46483">
      <w:pPr>
        <w:spacing w:line="240" w:lineRule="auto"/>
        <w:rPr>
          <w:rFonts w:eastAsia="Times New Roman" w:cs="Arial"/>
        </w:rPr>
      </w:pPr>
      <w:r w:rsidRPr="00D46483">
        <w:rPr>
          <w:rFonts w:eastAsia="Times New Roman" w:cs="Arial"/>
          <w:color w:val="000000"/>
          <w:lang w:eastAsia="bg-BG"/>
        </w:rPr>
        <w:lastRenderedPageBreak/>
        <w:t>Проявата на нежелани ефекти може да ограничи приложението на максималната препоръчителна доза при всички пациенти. При необходимост, достигнатата доза трябва да се намали стъпка по стъпка и да се започне отново, когато е възможно.</w:t>
      </w:r>
    </w:p>
    <w:p w14:paraId="14187A31" w14:textId="77777777" w:rsidR="00D46483" w:rsidRPr="00D46483" w:rsidRDefault="00D46483" w:rsidP="00D46483">
      <w:pPr>
        <w:spacing w:line="240" w:lineRule="auto"/>
        <w:rPr>
          <w:rFonts w:eastAsia="Times New Roman" w:cs="Arial"/>
          <w:color w:val="000000"/>
          <w:lang w:eastAsia="bg-BG"/>
        </w:rPr>
      </w:pPr>
    </w:p>
    <w:p w14:paraId="27FDF3A7" w14:textId="4981D014" w:rsidR="00D46483" w:rsidRPr="00D46483" w:rsidRDefault="00D46483" w:rsidP="00D46483">
      <w:pPr>
        <w:spacing w:line="240" w:lineRule="auto"/>
        <w:rPr>
          <w:rFonts w:eastAsia="Times New Roman" w:cs="Arial"/>
        </w:rPr>
      </w:pPr>
      <w:r w:rsidRPr="00D46483">
        <w:rPr>
          <w:rFonts w:eastAsia="Times New Roman" w:cs="Arial"/>
          <w:color w:val="000000"/>
          <w:lang w:eastAsia="bg-BG"/>
        </w:rPr>
        <w:t xml:space="preserve">По време на фазата на титриране, при влошаване на сърдечната недостатъчност или при непоносимост, се препоръчва първо да се намали дозата небиволол или при необходимост да се спре веднага (при тежка хипотония, влошаване на сърдечната недостатъчност с остър белодробен оток, кардиогенен шок, симптоматична брадикардия или </w:t>
      </w:r>
      <w:r w:rsidRPr="00D46483">
        <w:rPr>
          <w:rFonts w:eastAsia="Times New Roman" w:cs="Arial"/>
          <w:color w:val="000000"/>
          <w:lang w:val="en-US"/>
        </w:rPr>
        <w:t>AV</w:t>
      </w:r>
      <w:r w:rsidRPr="00D46483">
        <w:rPr>
          <w:rFonts w:eastAsia="Times New Roman" w:cs="Arial"/>
          <w:color w:val="000000"/>
          <w:lang w:val="ru-RU"/>
        </w:rPr>
        <w:t xml:space="preserve"> </w:t>
      </w:r>
      <w:r w:rsidRPr="00D46483">
        <w:rPr>
          <w:rFonts w:eastAsia="Times New Roman" w:cs="Arial"/>
          <w:color w:val="000000"/>
          <w:lang w:eastAsia="bg-BG"/>
        </w:rPr>
        <w:t>блок).</w:t>
      </w:r>
    </w:p>
    <w:p w14:paraId="4B735125" w14:textId="77777777" w:rsidR="00D46483" w:rsidRPr="00D46483" w:rsidRDefault="00D46483" w:rsidP="00D46483">
      <w:pPr>
        <w:spacing w:line="240" w:lineRule="auto"/>
        <w:rPr>
          <w:rFonts w:eastAsia="Times New Roman" w:cs="Arial"/>
          <w:color w:val="000000"/>
          <w:lang w:eastAsia="bg-BG"/>
        </w:rPr>
      </w:pPr>
    </w:p>
    <w:p w14:paraId="54791A05" w14:textId="0A1464FF" w:rsidR="00D46483" w:rsidRPr="00D46483" w:rsidRDefault="00D46483" w:rsidP="00D46483">
      <w:pPr>
        <w:spacing w:line="240" w:lineRule="auto"/>
        <w:rPr>
          <w:rFonts w:eastAsia="Times New Roman" w:cs="Arial"/>
        </w:rPr>
      </w:pPr>
      <w:r w:rsidRPr="00D46483">
        <w:rPr>
          <w:rFonts w:eastAsia="Times New Roman" w:cs="Arial"/>
          <w:color w:val="000000"/>
          <w:lang w:eastAsia="bg-BG"/>
        </w:rPr>
        <w:t>Лечението на стабилна хронична сърдечна недостатъчност с небиволол обикновено е продължително.</w:t>
      </w:r>
    </w:p>
    <w:p w14:paraId="7AABCADE" w14:textId="77777777" w:rsidR="00D46483" w:rsidRPr="00D46483" w:rsidRDefault="00D46483" w:rsidP="00D46483">
      <w:pPr>
        <w:rPr>
          <w:rFonts w:eastAsia="Times New Roman" w:cs="Arial"/>
          <w:color w:val="000000"/>
          <w:lang w:eastAsia="bg-BG"/>
        </w:rPr>
      </w:pPr>
    </w:p>
    <w:p w14:paraId="75B64698" w14:textId="77777777" w:rsidR="00D46483" w:rsidRPr="00D46483" w:rsidRDefault="00D46483" w:rsidP="00D46483">
      <w:pPr>
        <w:rPr>
          <w:rFonts w:eastAsia="Times New Roman" w:cs="Arial"/>
        </w:rPr>
      </w:pPr>
      <w:r w:rsidRPr="00D46483">
        <w:rPr>
          <w:rFonts w:eastAsia="Times New Roman" w:cs="Arial"/>
          <w:color w:val="000000"/>
          <w:lang w:eastAsia="bg-BG"/>
        </w:rPr>
        <w:t>Не е препоръчително лечението с небиволол да се преустановява внезапно, тъй като това може</w:t>
      </w:r>
      <w:r w:rsidRPr="00D46483">
        <w:rPr>
          <w:rFonts w:eastAsia="Times New Roman" w:cs="Arial"/>
          <w:i/>
          <w:iCs/>
          <w:color w:val="000000"/>
          <w:lang w:eastAsia="bg-BG"/>
        </w:rPr>
        <w:t xml:space="preserve"> </w:t>
      </w:r>
      <w:r w:rsidRPr="00D46483">
        <w:rPr>
          <w:rFonts w:eastAsia="Times New Roman" w:cs="Arial"/>
          <w:color w:val="000000"/>
          <w:lang w:eastAsia="bg-BG"/>
        </w:rPr>
        <w:t>да доведе до временно влошаване на сърдечната недостатъчност. Ако е необходимо</w:t>
      </w:r>
      <w:r w:rsidRPr="00D46483">
        <w:rPr>
          <w:rFonts w:eastAsia="Times New Roman" w:cs="Arial"/>
          <w:color w:val="000000"/>
          <w:lang w:val="ru-RU" w:eastAsia="bg-BG"/>
        </w:rPr>
        <w:t xml:space="preserve"> </w:t>
      </w:r>
      <w:r w:rsidRPr="00D46483">
        <w:rPr>
          <w:rFonts w:eastAsia="Times New Roman" w:cs="Arial"/>
          <w:color w:val="000000"/>
          <w:lang w:eastAsia="bg-BG"/>
        </w:rPr>
        <w:t>преустановяване на лечението, дозата трябва да се понижава постепенно, като на седмица се намалява на половина.</w:t>
      </w:r>
    </w:p>
    <w:p w14:paraId="2E1BEBE9" w14:textId="77777777" w:rsidR="00D46483" w:rsidRPr="00D46483" w:rsidRDefault="00D46483" w:rsidP="00D46483">
      <w:pPr>
        <w:spacing w:line="240" w:lineRule="auto"/>
        <w:rPr>
          <w:rFonts w:eastAsia="Times New Roman" w:cs="Arial"/>
          <w:i/>
          <w:iCs/>
          <w:color w:val="000000"/>
          <w:lang w:eastAsia="bg-BG"/>
        </w:rPr>
      </w:pPr>
    </w:p>
    <w:p w14:paraId="6CBF199F" w14:textId="0F9DA6FD"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Пациенти с бъбречна недостатъчност</w:t>
      </w:r>
    </w:p>
    <w:p w14:paraId="7A46D1E2"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Не се налага коригиране на дозата при пациенти с лека до умерена бъбречна недостатъчност, тъй като при титриране на дозата повишението й до максималната поносима доза е индивидуално.</w:t>
      </w:r>
    </w:p>
    <w:p w14:paraId="09EEC550"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Няма опит при пациенти с тежка бъбречна недостатъчност (серумен креатинин ≥ 250 μ</w:t>
      </w:r>
      <w:proofErr w:type="spellStart"/>
      <w:r w:rsidRPr="00D46483">
        <w:rPr>
          <w:rFonts w:eastAsia="Times New Roman" w:cs="Arial"/>
          <w:color w:val="000000"/>
          <w:lang w:val="en-US"/>
        </w:rPr>
        <w:t>mol</w:t>
      </w:r>
      <w:proofErr w:type="spellEnd"/>
      <w:r w:rsidRPr="00D46483">
        <w:rPr>
          <w:rFonts w:eastAsia="Times New Roman" w:cs="Arial"/>
          <w:color w:val="000000"/>
          <w:lang w:val="ru-RU"/>
        </w:rPr>
        <w:t xml:space="preserve">/1). </w:t>
      </w:r>
      <w:r w:rsidRPr="00D46483">
        <w:rPr>
          <w:rFonts w:eastAsia="Times New Roman" w:cs="Arial"/>
          <w:color w:val="000000"/>
          <w:lang w:eastAsia="bg-BG"/>
        </w:rPr>
        <w:t>Поради това не се препоръчва приложението на небиволол при тези пациенти.</w:t>
      </w:r>
    </w:p>
    <w:p w14:paraId="4B3371B2" w14:textId="77777777" w:rsidR="00D46483" w:rsidRPr="00D46483" w:rsidRDefault="00D46483" w:rsidP="00D46483">
      <w:pPr>
        <w:spacing w:line="240" w:lineRule="auto"/>
        <w:rPr>
          <w:rFonts w:eastAsia="Times New Roman" w:cs="Arial"/>
          <w:i/>
          <w:iCs/>
          <w:color w:val="000000"/>
          <w:lang w:eastAsia="bg-BG"/>
        </w:rPr>
      </w:pPr>
    </w:p>
    <w:p w14:paraId="28144B6E" w14:textId="6ACCBB1F"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Пациенти с чернодробна недостатъчност</w:t>
      </w:r>
    </w:p>
    <w:p w14:paraId="2D9E8BBC"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Данните за пациенти с чернодробна недостатъчност са ограничени. Поради това лечението с небиволол е противопоказано при тази група пациенти.</w:t>
      </w:r>
    </w:p>
    <w:p w14:paraId="611E8477" w14:textId="77777777" w:rsidR="00D46483" w:rsidRPr="00D46483" w:rsidRDefault="00D46483" w:rsidP="00D46483">
      <w:pPr>
        <w:spacing w:line="240" w:lineRule="auto"/>
        <w:rPr>
          <w:rFonts w:eastAsia="Times New Roman" w:cs="Arial"/>
          <w:i/>
          <w:iCs/>
          <w:color w:val="000000"/>
          <w:lang w:eastAsia="bg-BG"/>
        </w:rPr>
      </w:pPr>
    </w:p>
    <w:p w14:paraId="36637DCB" w14:textId="36471C89"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Пациенти в старческа възраст</w:t>
      </w:r>
    </w:p>
    <w:p w14:paraId="21DDAE10"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Не се налага коригиране на дозата, тъй като повишението при титриране на дозата до максималната поносима доза е индивидуално.</w:t>
      </w:r>
    </w:p>
    <w:p w14:paraId="65A64237" w14:textId="77777777" w:rsidR="00D46483" w:rsidRPr="00D46483" w:rsidRDefault="00D46483" w:rsidP="00D46483">
      <w:pPr>
        <w:spacing w:line="240" w:lineRule="auto"/>
        <w:rPr>
          <w:rFonts w:eastAsia="Times New Roman" w:cs="Arial"/>
          <w:i/>
          <w:iCs/>
          <w:color w:val="000000"/>
          <w:lang w:eastAsia="bg-BG"/>
        </w:rPr>
      </w:pPr>
    </w:p>
    <w:p w14:paraId="506B6312" w14:textId="4D94EF1E" w:rsidR="00D46483" w:rsidRPr="00D46483" w:rsidRDefault="00D46483" w:rsidP="00D46483">
      <w:pPr>
        <w:spacing w:line="240" w:lineRule="auto"/>
        <w:rPr>
          <w:rFonts w:eastAsia="Times New Roman" w:cs="Arial"/>
        </w:rPr>
      </w:pPr>
      <w:r w:rsidRPr="00D46483">
        <w:rPr>
          <w:rFonts w:eastAsia="Times New Roman" w:cs="Arial"/>
          <w:i/>
          <w:iCs/>
          <w:color w:val="000000"/>
          <w:lang w:eastAsia="bg-BG"/>
        </w:rPr>
        <w:t>Педиатрична популация:</w:t>
      </w:r>
    </w:p>
    <w:p w14:paraId="42C4796A"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Не са провеждани проучвания при деца и юноши. Поради това приложението при деца и юноши не се препоръчва.</w:t>
      </w:r>
    </w:p>
    <w:p w14:paraId="76AFB3E2" w14:textId="77777777" w:rsidR="00D46483" w:rsidRPr="00D46483" w:rsidRDefault="00D46483" w:rsidP="00D46483">
      <w:pPr>
        <w:spacing w:line="240" w:lineRule="auto"/>
        <w:rPr>
          <w:rFonts w:eastAsia="Times New Roman" w:cs="Arial"/>
          <w:color w:val="000000"/>
          <w:u w:val="single"/>
          <w:lang w:eastAsia="bg-BG"/>
        </w:rPr>
      </w:pPr>
    </w:p>
    <w:p w14:paraId="0672A31D" w14:textId="48F4E987" w:rsidR="00D46483" w:rsidRPr="00D46483" w:rsidRDefault="00D46483" w:rsidP="00D46483">
      <w:pPr>
        <w:pStyle w:val="Heading3"/>
        <w:rPr>
          <w:rFonts w:eastAsia="Times New Roman"/>
          <w:u w:val="single"/>
        </w:rPr>
      </w:pPr>
      <w:r w:rsidRPr="00D46483">
        <w:rPr>
          <w:rFonts w:eastAsia="Times New Roman"/>
          <w:u w:val="single"/>
          <w:lang w:eastAsia="bg-BG"/>
        </w:rPr>
        <w:t>Начин на приложение</w:t>
      </w:r>
    </w:p>
    <w:p w14:paraId="76E84D93"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Таблетката трябва да се поглъща с достатъчно количество течност (напр. чаша вода). Таблетките могат да бъдат приемани със или без храна.</w:t>
      </w:r>
    </w:p>
    <w:p w14:paraId="3312C1CC" w14:textId="2B92ADAC" w:rsidR="00D46483" w:rsidRPr="00D46483" w:rsidRDefault="00D46483" w:rsidP="00D46483">
      <w:pPr>
        <w:rPr>
          <w:lang w:val="en-US"/>
        </w:rPr>
      </w:pPr>
    </w:p>
    <w:p w14:paraId="62B13D0B" w14:textId="4A4D5DF4" w:rsidR="00395555" w:rsidRDefault="002C50EE" w:rsidP="008A6AF2">
      <w:pPr>
        <w:pStyle w:val="Heading2"/>
      </w:pPr>
      <w:r>
        <w:t>4.3. Противопоказания</w:t>
      </w:r>
    </w:p>
    <w:p w14:paraId="151A417F" w14:textId="2B4F4F2C" w:rsidR="00D46483" w:rsidRDefault="00D46483" w:rsidP="00D46483"/>
    <w:p w14:paraId="11D7A52F" w14:textId="77777777" w:rsidR="00D46483" w:rsidRPr="00D46483" w:rsidRDefault="00D46483" w:rsidP="00D46483">
      <w:pPr>
        <w:pStyle w:val="ListParagraph"/>
        <w:numPr>
          <w:ilvl w:val="0"/>
          <w:numId w:val="32"/>
        </w:numPr>
        <w:rPr>
          <w:sz w:val="24"/>
          <w:szCs w:val="24"/>
        </w:rPr>
      </w:pPr>
      <w:r w:rsidRPr="00D46483">
        <w:rPr>
          <w:lang w:eastAsia="bg-BG"/>
        </w:rPr>
        <w:t>Свръхчувствителност към активното или към някое от помощните вещества, изброени в точка 6.1;</w:t>
      </w:r>
    </w:p>
    <w:p w14:paraId="6B76139E" w14:textId="77777777" w:rsidR="00D46483" w:rsidRPr="00D46483" w:rsidRDefault="00D46483" w:rsidP="00D46483">
      <w:pPr>
        <w:pStyle w:val="ListParagraph"/>
        <w:numPr>
          <w:ilvl w:val="0"/>
          <w:numId w:val="32"/>
        </w:numPr>
        <w:rPr>
          <w:sz w:val="24"/>
          <w:szCs w:val="24"/>
        </w:rPr>
      </w:pPr>
      <w:r w:rsidRPr="00D46483">
        <w:rPr>
          <w:lang w:eastAsia="bg-BG"/>
        </w:rPr>
        <w:t>Чернодробна недостатъчност или нарушена чернодробна функция;</w:t>
      </w:r>
    </w:p>
    <w:p w14:paraId="3CDC035D" w14:textId="0B30D55D" w:rsidR="00D46483" w:rsidRPr="00D46483" w:rsidRDefault="00D46483" w:rsidP="00D46483">
      <w:pPr>
        <w:pStyle w:val="ListParagraph"/>
        <w:numPr>
          <w:ilvl w:val="0"/>
          <w:numId w:val="32"/>
        </w:numPr>
        <w:rPr>
          <w:sz w:val="24"/>
          <w:szCs w:val="24"/>
        </w:rPr>
      </w:pPr>
      <w:r w:rsidRPr="00D46483">
        <w:rPr>
          <w:lang w:eastAsia="bg-BG"/>
        </w:rPr>
        <w:t>Остра сърдечна недостатъчност, кардиогенен шок или епизоди на декомпенсирана сърдечна недостатъчност, налагащи интравенозно приложение на инотропна терапия.</w:t>
      </w:r>
    </w:p>
    <w:p w14:paraId="17136DAA" w14:textId="77777777" w:rsidR="00D46483" w:rsidRDefault="00D46483" w:rsidP="00D46483">
      <w:pPr>
        <w:rPr>
          <w:lang w:eastAsia="bg-BG"/>
        </w:rPr>
      </w:pPr>
    </w:p>
    <w:p w14:paraId="5F79CAAB" w14:textId="5E4EFB81" w:rsidR="00D46483" w:rsidRPr="00D46483" w:rsidRDefault="00D46483" w:rsidP="00D46483">
      <w:pPr>
        <w:rPr>
          <w:sz w:val="24"/>
          <w:szCs w:val="24"/>
        </w:rPr>
      </w:pPr>
      <w:r w:rsidRPr="00D46483">
        <w:rPr>
          <w:lang w:eastAsia="bg-BG"/>
        </w:rPr>
        <w:t>Освен това, подобно на другите бета-блокери, Небиволол Актавис е противопоказан при:</w:t>
      </w:r>
    </w:p>
    <w:p w14:paraId="7C1F6141" w14:textId="77777777" w:rsidR="00D46483" w:rsidRPr="00D46483" w:rsidRDefault="00D46483" w:rsidP="00D46483">
      <w:pPr>
        <w:pStyle w:val="ListParagraph"/>
        <w:numPr>
          <w:ilvl w:val="0"/>
          <w:numId w:val="33"/>
        </w:numPr>
        <w:rPr>
          <w:sz w:val="24"/>
          <w:szCs w:val="24"/>
        </w:rPr>
      </w:pPr>
      <w:r w:rsidRPr="00D46483">
        <w:rPr>
          <w:lang w:eastAsia="bg-BG"/>
        </w:rPr>
        <w:t xml:space="preserve">Синдром на болния синусов възел </w:t>
      </w:r>
      <w:r w:rsidRPr="00D46483">
        <w:rPr>
          <w:lang w:val="ru-RU"/>
        </w:rPr>
        <w:t>(</w:t>
      </w:r>
      <w:r w:rsidRPr="00D46483">
        <w:rPr>
          <w:lang w:val="en-US"/>
        </w:rPr>
        <w:t>SS</w:t>
      </w:r>
      <w:r w:rsidRPr="00D46483">
        <w:rPr>
          <w:lang w:eastAsia="bg-BG"/>
        </w:rPr>
        <w:t xml:space="preserve">-синдром), включително синоатриален </w:t>
      </w:r>
      <w:r w:rsidRPr="00D46483">
        <w:rPr>
          <w:lang w:val="ru-RU"/>
        </w:rPr>
        <w:t>(</w:t>
      </w:r>
      <w:r w:rsidRPr="00D46483">
        <w:rPr>
          <w:lang w:val="en-US"/>
        </w:rPr>
        <w:t>SA</w:t>
      </w:r>
      <w:r w:rsidRPr="00D46483">
        <w:rPr>
          <w:lang w:val="ru-RU"/>
        </w:rPr>
        <w:t xml:space="preserve">) </w:t>
      </w:r>
      <w:r w:rsidRPr="00D46483">
        <w:rPr>
          <w:lang w:eastAsia="bg-BG"/>
        </w:rPr>
        <w:t>блок;</w:t>
      </w:r>
    </w:p>
    <w:p w14:paraId="56B4CCB0" w14:textId="77777777" w:rsidR="00D46483" w:rsidRPr="00D46483" w:rsidRDefault="00D46483" w:rsidP="00D46483">
      <w:pPr>
        <w:pStyle w:val="ListParagraph"/>
        <w:numPr>
          <w:ilvl w:val="0"/>
          <w:numId w:val="33"/>
        </w:numPr>
        <w:rPr>
          <w:sz w:val="24"/>
          <w:szCs w:val="24"/>
        </w:rPr>
      </w:pPr>
      <w:r w:rsidRPr="00D46483">
        <w:rPr>
          <w:lang w:val="en-US"/>
        </w:rPr>
        <w:t>AV</w:t>
      </w:r>
      <w:r w:rsidRPr="00D46483">
        <w:rPr>
          <w:lang w:eastAsia="bg-BG"/>
        </w:rPr>
        <w:t xml:space="preserve">-блок </w:t>
      </w:r>
      <w:r w:rsidRPr="00D46483">
        <w:rPr>
          <w:lang w:val="en-US"/>
        </w:rPr>
        <w:t>II</w:t>
      </w:r>
      <w:r w:rsidRPr="00D46483">
        <w:rPr>
          <w:lang w:eastAsia="bg-BG"/>
        </w:rPr>
        <w:t xml:space="preserve">-ра и </w:t>
      </w:r>
      <w:r w:rsidRPr="00D46483">
        <w:rPr>
          <w:lang w:val="en-US"/>
        </w:rPr>
        <w:t>III</w:t>
      </w:r>
      <w:r w:rsidRPr="00D46483">
        <w:rPr>
          <w:lang w:eastAsia="bg-BG"/>
        </w:rPr>
        <w:t>-та степен (без поставен пейсмейкър);</w:t>
      </w:r>
    </w:p>
    <w:p w14:paraId="51BDD447" w14:textId="77777777" w:rsidR="00D46483" w:rsidRPr="00D46483" w:rsidRDefault="00D46483" w:rsidP="00D46483">
      <w:pPr>
        <w:pStyle w:val="ListParagraph"/>
        <w:numPr>
          <w:ilvl w:val="0"/>
          <w:numId w:val="33"/>
        </w:numPr>
        <w:rPr>
          <w:sz w:val="24"/>
          <w:szCs w:val="24"/>
        </w:rPr>
      </w:pPr>
      <w:r w:rsidRPr="00D46483">
        <w:rPr>
          <w:lang w:eastAsia="bg-BG"/>
        </w:rPr>
        <w:t>Анамнеза за бронхоспазъм или бронхиална астма;</w:t>
      </w:r>
    </w:p>
    <w:p w14:paraId="26F0E1E7" w14:textId="77777777" w:rsidR="00D46483" w:rsidRPr="00D46483" w:rsidRDefault="00D46483" w:rsidP="00D46483">
      <w:pPr>
        <w:pStyle w:val="ListParagraph"/>
        <w:numPr>
          <w:ilvl w:val="0"/>
          <w:numId w:val="33"/>
        </w:numPr>
        <w:rPr>
          <w:sz w:val="24"/>
          <w:szCs w:val="24"/>
        </w:rPr>
      </w:pPr>
      <w:r w:rsidRPr="00D46483">
        <w:rPr>
          <w:lang w:eastAsia="bg-BG"/>
        </w:rPr>
        <w:t>Нелекуван феохромоцитом;</w:t>
      </w:r>
    </w:p>
    <w:p w14:paraId="5FCE2572" w14:textId="77777777" w:rsidR="00D46483" w:rsidRPr="00D46483" w:rsidRDefault="00D46483" w:rsidP="00D46483">
      <w:pPr>
        <w:pStyle w:val="ListParagraph"/>
        <w:numPr>
          <w:ilvl w:val="0"/>
          <w:numId w:val="33"/>
        </w:numPr>
        <w:rPr>
          <w:sz w:val="24"/>
          <w:szCs w:val="24"/>
        </w:rPr>
      </w:pPr>
      <w:r w:rsidRPr="00D46483">
        <w:rPr>
          <w:lang w:eastAsia="bg-BG"/>
        </w:rPr>
        <w:t>Метаболитна ацидоза;</w:t>
      </w:r>
    </w:p>
    <w:p w14:paraId="0B3B1E3E" w14:textId="77777777" w:rsidR="00D46483" w:rsidRPr="00D46483" w:rsidRDefault="00D46483" w:rsidP="00D46483">
      <w:pPr>
        <w:pStyle w:val="ListParagraph"/>
        <w:numPr>
          <w:ilvl w:val="0"/>
          <w:numId w:val="33"/>
        </w:numPr>
        <w:rPr>
          <w:sz w:val="24"/>
          <w:szCs w:val="24"/>
        </w:rPr>
      </w:pPr>
      <w:r w:rsidRPr="00D46483">
        <w:rPr>
          <w:lang w:eastAsia="bg-BG"/>
        </w:rPr>
        <w:t>Брадикардия (сърдечна честота &lt; 60 удара/минута преди началото на лечението);</w:t>
      </w:r>
    </w:p>
    <w:p w14:paraId="694A8EF9" w14:textId="77777777" w:rsidR="00D46483" w:rsidRPr="00D46483" w:rsidRDefault="00D46483" w:rsidP="00D46483">
      <w:pPr>
        <w:pStyle w:val="ListParagraph"/>
        <w:numPr>
          <w:ilvl w:val="0"/>
          <w:numId w:val="33"/>
        </w:numPr>
        <w:rPr>
          <w:sz w:val="24"/>
          <w:szCs w:val="24"/>
        </w:rPr>
      </w:pPr>
      <w:r w:rsidRPr="00D46483">
        <w:rPr>
          <w:lang w:eastAsia="bg-BG"/>
        </w:rPr>
        <w:t xml:space="preserve">Хипотония (систолично артериално налягане &lt; 90 </w:t>
      </w:r>
      <w:r w:rsidRPr="00D46483">
        <w:rPr>
          <w:lang w:val="en-US"/>
        </w:rPr>
        <w:t>mmHg</w:t>
      </w:r>
      <w:r w:rsidRPr="00D46483">
        <w:rPr>
          <w:lang w:val="ru-RU"/>
        </w:rPr>
        <w:t>);</w:t>
      </w:r>
    </w:p>
    <w:p w14:paraId="64850649" w14:textId="03BC4909" w:rsidR="00D46483" w:rsidRPr="00D46483" w:rsidRDefault="00D46483" w:rsidP="00D46483">
      <w:pPr>
        <w:pStyle w:val="ListParagraph"/>
        <w:numPr>
          <w:ilvl w:val="0"/>
          <w:numId w:val="33"/>
        </w:numPr>
        <w:rPr>
          <w:sz w:val="24"/>
          <w:szCs w:val="24"/>
        </w:rPr>
      </w:pPr>
      <w:r w:rsidRPr="00D46483">
        <w:rPr>
          <w:lang w:eastAsia="bg-BG"/>
        </w:rPr>
        <w:t>Тежки нарушения в периферното кръвообращение.</w:t>
      </w:r>
    </w:p>
    <w:p w14:paraId="1C9D2101" w14:textId="77777777" w:rsidR="00D46483" w:rsidRPr="00D46483" w:rsidRDefault="00D46483" w:rsidP="00D46483"/>
    <w:p w14:paraId="5A4AC413" w14:textId="6C5BC2D7" w:rsidR="00395555" w:rsidRDefault="002C50EE" w:rsidP="008A6AF2">
      <w:pPr>
        <w:pStyle w:val="Heading2"/>
      </w:pPr>
      <w:r>
        <w:t>4.4. Специални предупреждения и предпазни мерки при употреба</w:t>
      </w:r>
    </w:p>
    <w:p w14:paraId="174EB0E3" w14:textId="40E4B4D4" w:rsidR="00D46483" w:rsidRDefault="00D46483" w:rsidP="00D46483"/>
    <w:p w14:paraId="77B69484"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Вижте също и точка 4.8.</w:t>
      </w:r>
    </w:p>
    <w:p w14:paraId="326C8689"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По принцип за бета-адренергичните блокери са в сила следните предупреждения и предпазни мерки при употреба.</w:t>
      </w:r>
    </w:p>
    <w:p w14:paraId="5F37BAAE" w14:textId="77777777" w:rsidR="00D46483" w:rsidRPr="00D46483" w:rsidRDefault="00D46483" w:rsidP="00D46483">
      <w:pPr>
        <w:spacing w:line="240" w:lineRule="auto"/>
        <w:rPr>
          <w:rFonts w:eastAsia="Times New Roman" w:cs="Arial"/>
          <w:i/>
          <w:iCs/>
          <w:color w:val="000000"/>
          <w:szCs w:val="20"/>
          <w:lang w:eastAsia="bg-BG"/>
        </w:rPr>
      </w:pPr>
    </w:p>
    <w:p w14:paraId="087215E8" w14:textId="0D67B92D"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Анестезия</w:t>
      </w:r>
    </w:p>
    <w:p w14:paraId="2B988D28" w14:textId="77777777" w:rsidR="00D46483" w:rsidRPr="00D46483" w:rsidRDefault="00D46483" w:rsidP="00D46483">
      <w:pPr>
        <w:rPr>
          <w:rFonts w:eastAsia="Times New Roman" w:cs="Arial"/>
          <w:sz w:val="28"/>
          <w:szCs w:val="24"/>
        </w:rPr>
      </w:pPr>
      <w:r w:rsidRPr="00D46483">
        <w:rPr>
          <w:rFonts w:eastAsia="Times New Roman" w:cs="Arial"/>
          <w:color w:val="000000"/>
          <w:szCs w:val="20"/>
          <w:lang w:eastAsia="bg-BG"/>
        </w:rPr>
        <w:t>Ако не бъде преустановена, бета-блокадата намалява риска от появата на аритмии</w:t>
      </w:r>
      <w:r w:rsidRPr="00D46483">
        <w:rPr>
          <w:rFonts w:eastAsia="Times New Roman" w:cs="Arial"/>
          <w:color w:val="000000"/>
          <w:szCs w:val="20"/>
          <w:lang w:val="ru-RU"/>
        </w:rPr>
        <w:t xml:space="preserve"> </w:t>
      </w:r>
      <w:r w:rsidRPr="00D46483">
        <w:rPr>
          <w:rFonts w:eastAsia="Times New Roman" w:cs="Arial"/>
          <w:color w:val="000000"/>
          <w:szCs w:val="20"/>
          <w:lang w:eastAsia="bg-BG"/>
        </w:rPr>
        <w:t>по време въвеждане в анестезия и интубиране. Когато бета-блокерите се прекъсват при подготовка за оперативна намеса, приложението им трябва да се преустанови поне 24 часа преди това</w:t>
      </w:r>
      <w:r w:rsidRPr="00D46483">
        <w:rPr>
          <w:rFonts w:eastAsia="Times New Roman" w:cs="Arial"/>
          <w:color w:val="000000"/>
          <w:szCs w:val="20"/>
          <w:lang w:val="ru-RU" w:eastAsia="bg-BG"/>
        </w:rPr>
        <w:t xml:space="preserve"> </w:t>
      </w:r>
      <w:r w:rsidRPr="00D46483">
        <w:rPr>
          <w:rFonts w:eastAsia="Times New Roman" w:cs="Arial"/>
          <w:color w:val="000000"/>
          <w:szCs w:val="20"/>
          <w:lang w:eastAsia="bg-BG"/>
        </w:rPr>
        <w:t>Необходимо е внимание при приложението на някои анестетици, които потискат миокардната функция. За да се предотврати появата на вагусови реакции при тези пациенти, може да се приложи интравенозно атропин.</w:t>
      </w:r>
    </w:p>
    <w:p w14:paraId="7244EE23" w14:textId="77777777" w:rsidR="00D46483" w:rsidRPr="00D46483" w:rsidRDefault="00D46483" w:rsidP="00D46483">
      <w:pPr>
        <w:spacing w:line="240" w:lineRule="auto"/>
        <w:rPr>
          <w:rFonts w:eastAsia="Times New Roman" w:cs="Arial"/>
          <w:i/>
          <w:iCs/>
          <w:color w:val="000000"/>
          <w:szCs w:val="20"/>
          <w:lang w:eastAsia="bg-BG"/>
        </w:rPr>
      </w:pPr>
    </w:p>
    <w:p w14:paraId="166BF08E" w14:textId="4B896DC5"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Сърдечно-съдова система</w:t>
      </w:r>
    </w:p>
    <w:p w14:paraId="45F833D4"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По принцип бета-блокерите не трябва да се използват при пациенти с нелекувана застойна сърдечна недостатъчност </w:t>
      </w:r>
      <w:r w:rsidRPr="00D46483">
        <w:rPr>
          <w:rFonts w:eastAsia="Times New Roman" w:cs="Arial"/>
          <w:color w:val="000000"/>
          <w:szCs w:val="20"/>
          <w:lang w:val="ru-RU"/>
        </w:rPr>
        <w:t>(</w:t>
      </w:r>
      <w:r w:rsidRPr="00D46483">
        <w:rPr>
          <w:rFonts w:eastAsia="Times New Roman" w:cs="Arial"/>
          <w:color w:val="000000"/>
          <w:szCs w:val="20"/>
          <w:lang w:val="en-US"/>
        </w:rPr>
        <w:t>CHF</w:t>
      </w:r>
      <w:r w:rsidRPr="00D46483">
        <w:rPr>
          <w:rFonts w:eastAsia="Times New Roman" w:cs="Arial"/>
          <w:color w:val="000000"/>
          <w:szCs w:val="20"/>
          <w:lang w:val="ru-RU"/>
        </w:rPr>
        <w:t xml:space="preserve">), </w:t>
      </w:r>
      <w:r w:rsidRPr="00D46483">
        <w:rPr>
          <w:rFonts w:eastAsia="Times New Roman" w:cs="Arial"/>
          <w:color w:val="000000"/>
          <w:szCs w:val="20"/>
          <w:lang w:eastAsia="bg-BG"/>
        </w:rPr>
        <w:t>с изключение на случаите, когато състоянието на пациента е стабилизирано.</w:t>
      </w:r>
    </w:p>
    <w:p w14:paraId="5349B395" w14:textId="77777777" w:rsidR="00D46483" w:rsidRPr="00D46483" w:rsidRDefault="00D46483" w:rsidP="00D46483">
      <w:pPr>
        <w:spacing w:line="240" w:lineRule="auto"/>
        <w:rPr>
          <w:rFonts w:eastAsia="Times New Roman" w:cs="Arial"/>
          <w:color w:val="000000"/>
          <w:szCs w:val="20"/>
          <w:lang w:eastAsia="bg-BG"/>
        </w:rPr>
      </w:pPr>
    </w:p>
    <w:p w14:paraId="5DE9275A" w14:textId="5970B12B"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При пациенти с исхемична болест на сърцето, приложението на бета-блокерите трябва да се преустановява постепенно, в продължение на повече от 1-2 седмици. При необходимост в този период се започва заместителна терапия, за да се избегне обостряне на стенокардната симптоматика.</w:t>
      </w:r>
    </w:p>
    <w:p w14:paraId="4885AEA3" w14:textId="77777777" w:rsidR="00D46483" w:rsidRPr="00D46483" w:rsidRDefault="00D46483" w:rsidP="00D46483">
      <w:pPr>
        <w:spacing w:line="240" w:lineRule="auto"/>
        <w:rPr>
          <w:rFonts w:eastAsia="Times New Roman" w:cs="Arial"/>
          <w:color w:val="000000"/>
          <w:szCs w:val="20"/>
          <w:lang w:eastAsia="bg-BG"/>
        </w:rPr>
      </w:pPr>
    </w:p>
    <w:p w14:paraId="549791A5" w14:textId="73135A8C"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Бета-блокерите могат да предизвикат брадикардия. Поради това при понижаване на сърдечната честота под 50-55 удара/минута в покой и/или при симптоми, насочващи за брадикардия, дозата трябва да се понижи.</w:t>
      </w:r>
    </w:p>
    <w:p w14:paraId="5898A589" w14:textId="77777777" w:rsidR="00D46483" w:rsidRPr="00D46483" w:rsidRDefault="00D46483" w:rsidP="00D46483">
      <w:pPr>
        <w:spacing w:line="240" w:lineRule="auto"/>
        <w:rPr>
          <w:rFonts w:eastAsia="Times New Roman" w:cs="Arial"/>
          <w:color w:val="000000"/>
          <w:szCs w:val="20"/>
          <w:lang w:eastAsia="bg-BG"/>
        </w:rPr>
      </w:pPr>
    </w:p>
    <w:p w14:paraId="55BB3AA3" w14:textId="5B4DF40E"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Бета-блокерите трябва да се използват внимателно при:</w:t>
      </w:r>
    </w:p>
    <w:p w14:paraId="26F49DCF" w14:textId="77777777" w:rsidR="00D46483" w:rsidRPr="00D46483" w:rsidRDefault="00D46483" w:rsidP="00D46483">
      <w:pPr>
        <w:pStyle w:val="ListParagraph"/>
        <w:numPr>
          <w:ilvl w:val="0"/>
          <w:numId w:val="34"/>
        </w:numPr>
        <w:spacing w:line="240" w:lineRule="auto"/>
        <w:rPr>
          <w:rFonts w:eastAsia="Times New Roman" w:cs="Arial"/>
          <w:sz w:val="28"/>
          <w:szCs w:val="24"/>
        </w:rPr>
      </w:pPr>
      <w:r w:rsidRPr="00D46483">
        <w:rPr>
          <w:rFonts w:eastAsia="Times New Roman" w:cs="Arial"/>
          <w:color w:val="000000"/>
          <w:szCs w:val="20"/>
          <w:lang w:eastAsia="bg-BG"/>
        </w:rPr>
        <w:t xml:space="preserve">Пациенти с нарушена периферно съдова циркулация (болест или синдром на </w:t>
      </w:r>
      <w:r w:rsidRPr="00D46483">
        <w:rPr>
          <w:rFonts w:eastAsia="Times New Roman" w:cs="Arial"/>
          <w:color w:val="000000"/>
          <w:szCs w:val="20"/>
          <w:lang w:val="en-US"/>
        </w:rPr>
        <w:t>Raynaud</w:t>
      </w:r>
      <w:r w:rsidRPr="00D46483">
        <w:rPr>
          <w:rFonts w:eastAsia="Times New Roman" w:cs="Arial"/>
          <w:color w:val="000000"/>
          <w:szCs w:val="20"/>
          <w:lang w:val="ru-RU"/>
        </w:rPr>
        <w:t xml:space="preserve">, </w:t>
      </w:r>
      <w:r w:rsidRPr="00D46483">
        <w:rPr>
          <w:rFonts w:eastAsia="Times New Roman" w:cs="Arial"/>
          <w:color w:val="000000"/>
          <w:szCs w:val="20"/>
          <w:lang w:eastAsia="bg-BG"/>
        </w:rPr>
        <w:t>клаудикацио интермитенс), поради възможност от влошаване на сиптоматиката;</w:t>
      </w:r>
    </w:p>
    <w:p w14:paraId="2E118CA7" w14:textId="77777777" w:rsidR="00D46483" w:rsidRPr="00D46483" w:rsidRDefault="00D46483" w:rsidP="00D46483">
      <w:pPr>
        <w:pStyle w:val="ListParagraph"/>
        <w:numPr>
          <w:ilvl w:val="0"/>
          <w:numId w:val="34"/>
        </w:numPr>
        <w:spacing w:line="240" w:lineRule="auto"/>
        <w:rPr>
          <w:rFonts w:eastAsia="Times New Roman" w:cs="Arial"/>
          <w:sz w:val="28"/>
          <w:szCs w:val="24"/>
        </w:rPr>
      </w:pPr>
      <w:r w:rsidRPr="00D46483">
        <w:rPr>
          <w:rFonts w:eastAsia="Times New Roman" w:cs="Arial"/>
          <w:color w:val="000000"/>
          <w:szCs w:val="20"/>
          <w:lang w:eastAsia="bg-BG"/>
        </w:rPr>
        <w:t xml:space="preserve">При пациенти с </w:t>
      </w:r>
      <w:r w:rsidRPr="00D46483">
        <w:rPr>
          <w:rFonts w:eastAsia="Times New Roman" w:cs="Arial"/>
          <w:color w:val="000000"/>
          <w:szCs w:val="20"/>
          <w:lang w:val="en-US"/>
        </w:rPr>
        <w:t>AV</w:t>
      </w:r>
      <w:r w:rsidRPr="00D46483">
        <w:rPr>
          <w:rFonts w:eastAsia="Times New Roman" w:cs="Arial"/>
          <w:color w:val="000000"/>
          <w:szCs w:val="20"/>
          <w:lang w:val="ru-RU"/>
        </w:rPr>
        <w:t xml:space="preserve"> </w:t>
      </w:r>
      <w:r w:rsidRPr="00D46483">
        <w:rPr>
          <w:rFonts w:eastAsia="Times New Roman" w:cs="Arial"/>
          <w:color w:val="000000"/>
          <w:szCs w:val="20"/>
          <w:lang w:eastAsia="bg-BG"/>
        </w:rPr>
        <w:t xml:space="preserve">блок </w:t>
      </w:r>
      <w:r w:rsidRPr="00D46483">
        <w:rPr>
          <w:rFonts w:eastAsia="Times New Roman" w:cs="Arial"/>
          <w:color w:val="000000"/>
          <w:szCs w:val="20"/>
          <w:lang w:val="en-US"/>
        </w:rPr>
        <w:t>I</w:t>
      </w:r>
      <w:r w:rsidRPr="00D46483">
        <w:rPr>
          <w:rFonts w:eastAsia="Times New Roman" w:cs="Arial"/>
          <w:color w:val="000000"/>
          <w:szCs w:val="20"/>
          <w:lang w:eastAsia="bg-BG"/>
        </w:rPr>
        <w:t>-ва степен, поради възможност за допълнително потискане на проводимостта;</w:t>
      </w:r>
    </w:p>
    <w:p w14:paraId="03D80EE2" w14:textId="1869CE06" w:rsidR="00D46483" w:rsidRPr="00D46483" w:rsidRDefault="00D46483" w:rsidP="00D46483">
      <w:pPr>
        <w:pStyle w:val="ListParagraph"/>
        <w:numPr>
          <w:ilvl w:val="0"/>
          <w:numId w:val="34"/>
        </w:numPr>
        <w:spacing w:line="240" w:lineRule="auto"/>
        <w:rPr>
          <w:rFonts w:eastAsia="Times New Roman" w:cs="Arial"/>
          <w:sz w:val="28"/>
          <w:szCs w:val="24"/>
        </w:rPr>
      </w:pPr>
      <w:r w:rsidRPr="00D46483">
        <w:rPr>
          <w:rFonts w:eastAsia="Times New Roman" w:cs="Arial"/>
          <w:color w:val="000000"/>
          <w:szCs w:val="20"/>
          <w:lang w:eastAsia="bg-BG"/>
        </w:rPr>
        <w:lastRenderedPageBreak/>
        <w:t xml:space="preserve">При пациенти с вариантна ангина (ангина на </w:t>
      </w:r>
      <w:proofErr w:type="spellStart"/>
      <w:r w:rsidRPr="00D46483">
        <w:rPr>
          <w:rFonts w:eastAsia="Times New Roman" w:cs="Arial"/>
          <w:color w:val="000000"/>
          <w:szCs w:val="20"/>
          <w:lang w:val="en-US"/>
        </w:rPr>
        <w:t>Prinzmetal</w:t>
      </w:r>
      <w:proofErr w:type="spellEnd"/>
      <w:r w:rsidRPr="00D46483">
        <w:rPr>
          <w:rFonts w:eastAsia="Times New Roman" w:cs="Arial"/>
          <w:color w:val="000000"/>
          <w:szCs w:val="20"/>
          <w:lang w:val="ru-RU"/>
        </w:rPr>
        <w:t xml:space="preserve">), </w:t>
      </w:r>
      <w:r w:rsidRPr="00D46483">
        <w:rPr>
          <w:rFonts w:eastAsia="Times New Roman" w:cs="Arial"/>
          <w:color w:val="000000"/>
          <w:szCs w:val="20"/>
          <w:lang w:eastAsia="bg-BG"/>
        </w:rPr>
        <w:t>тъй като при тях се наблюдава коронарен вазоспазъм, медииран от алфа-рецепторите, които не са блокирани. Бета- блокерите могат да увеличат честотата и продължителността на ангинозните пристъпи при тези пациенти.</w:t>
      </w:r>
    </w:p>
    <w:p w14:paraId="5314AD6C" w14:textId="77777777" w:rsidR="00D46483" w:rsidRPr="00D46483" w:rsidRDefault="00D46483" w:rsidP="00D46483">
      <w:pPr>
        <w:spacing w:line="240" w:lineRule="auto"/>
        <w:rPr>
          <w:rFonts w:eastAsia="Times New Roman" w:cs="Arial"/>
          <w:color w:val="000000"/>
          <w:szCs w:val="20"/>
          <w:lang w:eastAsia="bg-BG"/>
        </w:rPr>
      </w:pPr>
    </w:p>
    <w:p w14:paraId="12BFADB9" w14:textId="731DA375"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По принцип не се препоръчва комбинирането на небиволол с калциеви антагонисти от верапамилов или дилтиаземов тип с антиаритмици от клас I и с централно действащи антихипертензивни лекарствени продукти (вж. точка 4.5).</w:t>
      </w:r>
    </w:p>
    <w:p w14:paraId="7CC02A24" w14:textId="77777777" w:rsidR="00D46483" w:rsidRPr="00D46483" w:rsidRDefault="00D46483" w:rsidP="00D46483">
      <w:pPr>
        <w:spacing w:line="240" w:lineRule="auto"/>
        <w:rPr>
          <w:rFonts w:eastAsia="Times New Roman" w:cs="Arial"/>
          <w:i/>
          <w:iCs/>
          <w:color w:val="000000"/>
          <w:szCs w:val="20"/>
          <w:lang w:eastAsia="bg-BG"/>
        </w:rPr>
      </w:pPr>
    </w:p>
    <w:p w14:paraId="5E785FD5" w14:textId="22FDC6CB"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Метаболизъм/Ендокринна система</w:t>
      </w:r>
    </w:p>
    <w:p w14:paraId="4B014F1C"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Небиволол не повлиява нивата на кръвната глюкоза при пациенти със захарен диабет. По принцип е необходимо повишено внимание при диабетици, тъй като небиволол може да маскира някои от симптомите на хипогликемия (тахикардия, палпитации).</w:t>
      </w:r>
    </w:p>
    <w:p w14:paraId="0C44D21F"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Приложението на бета-блокери може да маскира симптоматичната тахикардия при пациенти с хипертиреоидизъм. Внезапното прекъсване на лечението може да засили тази симптоматика.</w:t>
      </w:r>
    </w:p>
    <w:p w14:paraId="7BA278B6" w14:textId="77777777" w:rsidR="00D46483" w:rsidRPr="00D46483" w:rsidRDefault="00D46483" w:rsidP="00D46483">
      <w:pPr>
        <w:spacing w:line="240" w:lineRule="auto"/>
        <w:rPr>
          <w:rFonts w:eastAsia="Times New Roman" w:cs="Arial"/>
          <w:i/>
          <w:iCs/>
          <w:color w:val="000000"/>
          <w:szCs w:val="20"/>
          <w:lang w:eastAsia="bg-BG"/>
        </w:rPr>
      </w:pPr>
    </w:p>
    <w:p w14:paraId="473DA6C9" w14:textId="33A27D02"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Дихателна система</w:t>
      </w:r>
    </w:p>
    <w:p w14:paraId="2334375A"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Бета-блокерите трябва да се прилагат предпазливо при пациенти с хронична обструктивна белодробна болест, тъй като могат да провокират или засилят наличния бронхоспазъм.</w:t>
      </w:r>
    </w:p>
    <w:p w14:paraId="300553D5" w14:textId="77777777" w:rsidR="00D46483" w:rsidRPr="00D46483" w:rsidRDefault="00D46483" w:rsidP="00D46483">
      <w:pPr>
        <w:spacing w:line="240" w:lineRule="auto"/>
        <w:rPr>
          <w:rFonts w:eastAsia="Times New Roman" w:cs="Arial"/>
          <w:i/>
          <w:iCs/>
          <w:color w:val="000000"/>
          <w:szCs w:val="20"/>
          <w:lang w:eastAsia="bg-BG"/>
        </w:rPr>
      </w:pPr>
    </w:p>
    <w:p w14:paraId="253C325E" w14:textId="53A3050B"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Други</w:t>
      </w:r>
    </w:p>
    <w:p w14:paraId="1164FC3E"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Приложението на бета-блокери при пациенти с анамнеза за псориазис трябва да става само след внимателна преценка.</w:t>
      </w:r>
    </w:p>
    <w:p w14:paraId="2F598E86" w14:textId="77777777" w:rsidR="00D46483" w:rsidRPr="00D46483" w:rsidRDefault="00D46483" w:rsidP="00D46483">
      <w:pPr>
        <w:spacing w:line="240" w:lineRule="auto"/>
        <w:rPr>
          <w:rFonts w:eastAsia="Times New Roman" w:cs="Arial"/>
          <w:color w:val="000000"/>
          <w:szCs w:val="20"/>
          <w:lang w:eastAsia="bg-BG"/>
        </w:rPr>
      </w:pPr>
    </w:p>
    <w:p w14:paraId="6A2DA3EC" w14:textId="576DEE3D"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Бета-блокерите могат да засилят чувствителността към алергени и тежестта на анафилактичните реакции.</w:t>
      </w:r>
    </w:p>
    <w:p w14:paraId="22BFD030" w14:textId="77777777" w:rsidR="00D46483" w:rsidRPr="00D46483" w:rsidRDefault="00D46483" w:rsidP="00D46483">
      <w:pPr>
        <w:spacing w:line="240" w:lineRule="auto"/>
        <w:rPr>
          <w:rFonts w:eastAsia="Times New Roman" w:cs="Arial"/>
          <w:color w:val="000000"/>
          <w:szCs w:val="20"/>
          <w:lang w:eastAsia="bg-BG"/>
        </w:rPr>
      </w:pPr>
    </w:p>
    <w:p w14:paraId="17130E2C" w14:textId="708112EC" w:rsidR="00D46483" w:rsidRPr="00D46483" w:rsidRDefault="00D46483" w:rsidP="00D46483">
      <w:pPr>
        <w:spacing w:line="240" w:lineRule="auto"/>
        <w:rPr>
          <w:rFonts w:eastAsia="Times New Roman" w:cs="Arial"/>
          <w:color w:val="000000"/>
          <w:szCs w:val="20"/>
          <w:lang w:eastAsia="bg-BG"/>
        </w:rPr>
      </w:pPr>
      <w:r w:rsidRPr="00D46483">
        <w:rPr>
          <w:rFonts w:eastAsia="Times New Roman" w:cs="Arial"/>
          <w:color w:val="000000"/>
          <w:szCs w:val="20"/>
          <w:lang w:eastAsia="bg-BG"/>
        </w:rPr>
        <w:t xml:space="preserve">Започването на лечение на хронична сърдечна недостатъчност с небиволол изисква редовно проследяване. </w:t>
      </w:r>
    </w:p>
    <w:p w14:paraId="73F686EC" w14:textId="59C4DDE2"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За дозировка и начин на приложение вж. точка 4.2. Лечението не трябва да се преустановява внезапно, освен ако не е категорично показано (вж. точка 4.2).</w:t>
      </w:r>
    </w:p>
    <w:p w14:paraId="1BBF1A7C" w14:textId="4D7B49B9" w:rsidR="00D46483" w:rsidRPr="00D46483" w:rsidRDefault="00D46483" w:rsidP="00D46483">
      <w:pPr>
        <w:spacing w:line="240" w:lineRule="auto"/>
        <w:rPr>
          <w:rFonts w:eastAsia="Times New Roman" w:cs="Arial"/>
          <w:sz w:val="28"/>
          <w:szCs w:val="24"/>
        </w:rPr>
      </w:pPr>
    </w:p>
    <w:p w14:paraId="5CB07D91"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Помощни вещества</w:t>
      </w:r>
    </w:p>
    <w:p w14:paraId="00D503D3" w14:textId="77777777" w:rsidR="00D46483" w:rsidRPr="00D46483" w:rsidRDefault="00D46483" w:rsidP="00D46483">
      <w:pPr>
        <w:spacing w:line="240" w:lineRule="auto"/>
        <w:rPr>
          <w:rFonts w:eastAsia="Times New Roman" w:cs="Arial"/>
          <w:i/>
          <w:iCs/>
          <w:color w:val="000000"/>
          <w:szCs w:val="20"/>
          <w:lang w:eastAsia="bg-BG"/>
        </w:rPr>
      </w:pPr>
    </w:p>
    <w:p w14:paraId="79CE0215" w14:textId="325EFB22"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Лактоза</w:t>
      </w:r>
    </w:p>
    <w:p w14:paraId="6F32DABC"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6CE54397" w14:textId="77777777" w:rsidR="00D46483" w:rsidRPr="00D46483" w:rsidRDefault="00D46483" w:rsidP="00D46483">
      <w:pPr>
        <w:spacing w:line="240" w:lineRule="auto"/>
        <w:rPr>
          <w:rFonts w:eastAsia="Times New Roman" w:cs="Arial"/>
          <w:i/>
          <w:iCs/>
          <w:color w:val="000000"/>
          <w:szCs w:val="20"/>
          <w:lang w:eastAsia="bg-BG"/>
        </w:rPr>
      </w:pPr>
    </w:p>
    <w:p w14:paraId="0CFE48EC" w14:textId="479CFEBC"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Натрий</w:t>
      </w:r>
    </w:p>
    <w:p w14:paraId="0DC81BF2" w14:textId="12404B7F"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Това лекарство съдържа по-малко от 1 </w:t>
      </w:r>
      <w:proofErr w:type="spellStart"/>
      <w:r w:rsidRPr="00D46483">
        <w:rPr>
          <w:rFonts w:eastAsia="Times New Roman" w:cs="Arial"/>
          <w:color w:val="000000"/>
          <w:szCs w:val="20"/>
          <w:lang w:val="en-US"/>
        </w:rPr>
        <w:t>mmol</w:t>
      </w:r>
      <w:proofErr w:type="spellEnd"/>
      <w:r w:rsidRPr="00D46483">
        <w:rPr>
          <w:rFonts w:eastAsia="Times New Roman" w:cs="Arial"/>
          <w:color w:val="000000"/>
          <w:szCs w:val="20"/>
          <w:lang w:val="ru-RU"/>
        </w:rPr>
        <w:t xml:space="preserve"> </w:t>
      </w:r>
      <w:r w:rsidRPr="00D46483">
        <w:rPr>
          <w:rFonts w:eastAsia="Times New Roman" w:cs="Arial"/>
          <w:color w:val="000000"/>
          <w:szCs w:val="20"/>
          <w:lang w:eastAsia="bg-BG"/>
        </w:rPr>
        <w:t xml:space="preserve">натрий (23 </w:t>
      </w:r>
      <w:r w:rsidRPr="00D46483">
        <w:rPr>
          <w:rFonts w:eastAsia="Times New Roman" w:cs="Arial"/>
          <w:color w:val="000000"/>
          <w:szCs w:val="20"/>
          <w:lang w:val="en-US"/>
        </w:rPr>
        <w:t>mg</w:t>
      </w:r>
      <w:r w:rsidRPr="00D46483">
        <w:rPr>
          <w:rFonts w:eastAsia="Times New Roman" w:cs="Arial"/>
          <w:color w:val="000000"/>
          <w:szCs w:val="20"/>
          <w:lang w:val="ru-RU"/>
        </w:rPr>
        <w:t xml:space="preserve">) </w:t>
      </w:r>
      <w:r w:rsidRPr="00D46483">
        <w:rPr>
          <w:rFonts w:eastAsia="Times New Roman" w:cs="Arial"/>
          <w:color w:val="000000"/>
          <w:szCs w:val="20"/>
          <w:lang w:eastAsia="bg-BG"/>
        </w:rPr>
        <w:t>на таблетка, т.е. може да се каже, че практически не съдържа натрий.</w:t>
      </w:r>
    </w:p>
    <w:p w14:paraId="20FA03FB" w14:textId="77777777" w:rsidR="00D46483" w:rsidRPr="00D46483" w:rsidRDefault="00D46483" w:rsidP="00D46483"/>
    <w:p w14:paraId="1244F76A" w14:textId="724DBFA7" w:rsidR="00395555" w:rsidRDefault="002C50EE" w:rsidP="008A6AF2">
      <w:pPr>
        <w:pStyle w:val="Heading2"/>
      </w:pPr>
      <w:r>
        <w:t>4.5. Взаимодействие с други лекарствени продукти и други форми на взаимодействие</w:t>
      </w:r>
    </w:p>
    <w:p w14:paraId="2BBE5378" w14:textId="3F94E85A" w:rsidR="00D46483" w:rsidRDefault="00D46483" w:rsidP="00D46483"/>
    <w:p w14:paraId="36250629" w14:textId="77777777" w:rsidR="00D46483" w:rsidRPr="00D46483" w:rsidRDefault="00D46483" w:rsidP="00D46483">
      <w:pPr>
        <w:spacing w:line="240" w:lineRule="auto"/>
        <w:rPr>
          <w:rFonts w:eastAsia="Times New Roman" w:cs="Arial"/>
          <w:sz w:val="28"/>
          <w:szCs w:val="24"/>
        </w:rPr>
      </w:pPr>
      <w:bookmarkStart w:id="1" w:name="bookmark0"/>
      <w:r w:rsidRPr="00D46483">
        <w:rPr>
          <w:rFonts w:eastAsia="Times New Roman" w:cs="Arial"/>
          <w:b/>
          <w:bCs/>
          <w:color w:val="000000"/>
          <w:szCs w:val="20"/>
          <w:u w:val="single"/>
          <w:lang w:eastAsia="bg-BG"/>
        </w:rPr>
        <w:t>Фармакодинамични взаимодействия</w:t>
      </w:r>
      <w:bookmarkEnd w:id="1"/>
    </w:p>
    <w:p w14:paraId="456A343A"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lastRenderedPageBreak/>
        <w:t>По принцип за бета-блокерите са характерни следните взаимодействия:</w:t>
      </w:r>
    </w:p>
    <w:p w14:paraId="62B54A6D" w14:textId="77777777" w:rsidR="00D46483" w:rsidRPr="00D46483" w:rsidRDefault="00D46483" w:rsidP="00D46483">
      <w:pPr>
        <w:spacing w:line="240" w:lineRule="auto"/>
        <w:rPr>
          <w:rFonts w:eastAsia="Times New Roman" w:cs="Arial"/>
          <w:color w:val="000000"/>
          <w:szCs w:val="20"/>
          <w:u w:val="single"/>
          <w:lang w:eastAsia="bg-BG"/>
        </w:rPr>
      </w:pPr>
    </w:p>
    <w:p w14:paraId="16626D0A" w14:textId="471DF10D"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Комбинации, които не се препоръчват</w:t>
      </w:r>
    </w:p>
    <w:p w14:paraId="58FDD58C" w14:textId="77777777"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 xml:space="preserve">Антиаритмични лекарствени продукти от клас </w:t>
      </w:r>
      <w:r w:rsidRPr="00D46483">
        <w:rPr>
          <w:rFonts w:eastAsia="Times New Roman" w:cs="Arial"/>
          <w:i/>
          <w:iCs/>
          <w:color w:val="000000"/>
          <w:szCs w:val="20"/>
          <w:lang w:val="en-US"/>
        </w:rPr>
        <w:t>I</w:t>
      </w:r>
      <w:r w:rsidRPr="00D46483">
        <w:rPr>
          <w:rFonts w:eastAsia="Times New Roman" w:cs="Arial"/>
          <w:i/>
          <w:iCs/>
          <w:color w:val="000000"/>
          <w:szCs w:val="20"/>
        </w:rPr>
        <w:t xml:space="preserve"> (</w:t>
      </w:r>
      <w:r w:rsidRPr="00D46483">
        <w:rPr>
          <w:rFonts w:eastAsia="Times New Roman" w:cs="Arial"/>
          <w:i/>
          <w:iCs/>
          <w:color w:val="000000"/>
          <w:szCs w:val="20"/>
          <w:lang w:val="en-US"/>
        </w:rPr>
        <w:t>quinidine</w:t>
      </w:r>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hydroquinidine</w:t>
      </w:r>
      <w:proofErr w:type="spellEnd"/>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cibenzoline</w:t>
      </w:r>
      <w:proofErr w:type="spellEnd"/>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flecainide</w:t>
      </w:r>
      <w:proofErr w:type="spellEnd"/>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disopyramide</w:t>
      </w:r>
      <w:proofErr w:type="spellEnd"/>
      <w:r w:rsidRPr="00D46483">
        <w:rPr>
          <w:rFonts w:eastAsia="Times New Roman" w:cs="Arial"/>
          <w:i/>
          <w:iCs/>
          <w:color w:val="000000"/>
          <w:szCs w:val="20"/>
        </w:rPr>
        <w:t xml:space="preserve">, </w:t>
      </w:r>
      <w:r w:rsidRPr="00D46483">
        <w:rPr>
          <w:rFonts w:eastAsia="Times New Roman" w:cs="Arial"/>
          <w:i/>
          <w:iCs/>
          <w:color w:val="000000"/>
          <w:szCs w:val="20"/>
          <w:lang w:val="en-US"/>
        </w:rPr>
        <w:t>lidocaine</w:t>
      </w:r>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mexiletine</w:t>
      </w:r>
      <w:proofErr w:type="spellEnd"/>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propafenone</w:t>
      </w:r>
      <w:proofErr w:type="spellEnd"/>
      <w:r w:rsidRPr="00D46483">
        <w:rPr>
          <w:rFonts w:eastAsia="Times New Roman" w:cs="Arial"/>
          <w:i/>
          <w:iCs/>
          <w:color w:val="000000"/>
          <w:szCs w:val="20"/>
        </w:rPr>
        <w:t>),</w:t>
      </w:r>
      <w:r w:rsidRPr="00D46483">
        <w:rPr>
          <w:rFonts w:eastAsia="Times New Roman" w:cs="Arial"/>
          <w:color w:val="000000"/>
          <w:szCs w:val="20"/>
        </w:rPr>
        <w:t xml:space="preserve"> </w:t>
      </w:r>
      <w:r w:rsidRPr="00D46483">
        <w:rPr>
          <w:rFonts w:eastAsia="Times New Roman" w:cs="Arial"/>
          <w:color w:val="000000"/>
          <w:szCs w:val="20"/>
          <w:lang w:eastAsia="bg-BG"/>
        </w:rPr>
        <w:t>тъй като може да настъпи потенциране на ефекта им върху атриовентрикуларната проводимост и повишаване на отрицателния инотропен ефект (вж. точка 4.4).</w:t>
      </w:r>
    </w:p>
    <w:p w14:paraId="5837A105" w14:textId="77777777" w:rsidR="00D46483" w:rsidRPr="00D46483" w:rsidRDefault="00D46483" w:rsidP="00D46483">
      <w:pPr>
        <w:spacing w:line="240" w:lineRule="auto"/>
        <w:rPr>
          <w:rFonts w:eastAsia="Times New Roman" w:cs="Arial"/>
          <w:i/>
          <w:iCs/>
          <w:color w:val="000000"/>
          <w:szCs w:val="20"/>
          <w:lang w:eastAsia="bg-BG"/>
        </w:rPr>
      </w:pPr>
    </w:p>
    <w:p w14:paraId="1CF64F8D" w14:textId="5FF5151B"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Калциеви антагонисти от верапамилов или дилтиаземов тип,</w:t>
      </w:r>
      <w:r w:rsidRPr="00D46483">
        <w:rPr>
          <w:rFonts w:eastAsia="Times New Roman" w:cs="Arial"/>
          <w:color w:val="000000"/>
          <w:szCs w:val="20"/>
          <w:lang w:eastAsia="bg-BG"/>
        </w:rPr>
        <w:t xml:space="preserve"> поради негативният им ефект върху контрактилитета и атриовентрикуларната проводимост. Интравенозното приложение на верапамил при пациенти, приемащи бета-блокер, може да доведе до тежка хипотония и атриовентрикуларен блок (вж. точка 4.4).</w:t>
      </w:r>
    </w:p>
    <w:p w14:paraId="6C816CB9" w14:textId="77777777" w:rsidR="00D46483" w:rsidRPr="00D46483" w:rsidRDefault="00D46483" w:rsidP="00D46483">
      <w:pPr>
        <w:spacing w:line="240" w:lineRule="auto"/>
        <w:rPr>
          <w:rFonts w:eastAsia="Times New Roman" w:cs="Arial"/>
          <w:i/>
          <w:iCs/>
          <w:color w:val="000000"/>
          <w:szCs w:val="20"/>
          <w:lang w:eastAsia="bg-BG"/>
        </w:rPr>
      </w:pPr>
    </w:p>
    <w:p w14:paraId="30569915" w14:textId="69293274"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 xml:space="preserve">Антихипертензивни продукти с централно действие </w:t>
      </w:r>
      <w:r w:rsidRPr="00D46483">
        <w:rPr>
          <w:rFonts w:eastAsia="Times New Roman" w:cs="Arial"/>
          <w:i/>
          <w:iCs/>
          <w:color w:val="000000"/>
          <w:szCs w:val="20"/>
        </w:rPr>
        <w:t>(</w:t>
      </w:r>
      <w:r w:rsidRPr="00D46483">
        <w:rPr>
          <w:rFonts w:eastAsia="Times New Roman" w:cs="Arial"/>
          <w:i/>
          <w:iCs/>
          <w:color w:val="000000"/>
          <w:szCs w:val="20"/>
          <w:lang w:val="en-US"/>
        </w:rPr>
        <w:t>clonidine</w:t>
      </w:r>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guanfacin</w:t>
      </w:r>
      <w:proofErr w:type="spellEnd"/>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moxonidine</w:t>
      </w:r>
      <w:proofErr w:type="spellEnd"/>
      <w:r w:rsidRPr="00D46483">
        <w:rPr>
          <w:rFonts w:eastAsia="Times New Roman" w:cs="Arial"/>
          <w:i/>
          <w:iCs/>
          <w:color w:val="000000"/>
          <w:szCs w:val="20"/>
        </w:rPr>
        <w:t xml:space="preserve">, </w:t>
      </w:r>
      <w:r w:rsidRPr="00D46483">
        <w:rPr>
          <w:rFonts w:eastAsia="Times New Roman" w:cs="Arial"/>
          <w:i/>
          <w:iCs/>
          <w:color w:val="000000"/>
          <w:szCs w:val="20"/>
          <w:lang w:val="en-US"/>
        </w:rPr>
        <w:t>methyldopa</w:t>
      </w:r>
      <w:r w:rsidRPr="00D46483">
        <w:rPr>
          <w:rFonts w:eastAsia="Times New Roman" w:cs="Arial"/>
          <w:i/>
          <w:iCs/>
          <w:color w:val="000000"/>
          <w:szCs w:val="20"/>
        </w:rPr>
        <w:t xml:space="preserve">, </w:t>
      </w:r>
      <w:proofErr w:type="spellStart"/>
      <w:r w:rsidRPr="00D46483">
        <w:rPr>
          <w:rFonts w:eastAsia="Times New Roman" w:cs="Arial"/>
          <w:i/>
          <w:iCs/>
          <w:color w:val="000000"/>
          <w:szCs w:val="20"/>
          <w:lang w:val="en-US"/>
        </w:rPr>
        <w:t>rilmenidine</w:t>
      </w:r>
      <w:proofErr w:type="spellEnd"/>
      <w:r w:rsidRPr="00D46483">
        <w:rPr>
          <w:rFonts w:eastAsia="Times New Roman" w:cs="Arial"/>
          <w:i/>
          <w:iCs/>
          <w:color w:val="000000"/>
          <w:szCs w:val="20"/>
        </w:rPr>
        <w:t>):</w:t>
      </w:r>
      <w:r w:rsidRPr="00D46483">
        <w:rPr>
          <w:rFonts w:eastAsia="Times New Roman" w:cs="Arial"/>
          <w:color w:val="000000"/>
          <w:szCs w:val="20"/>
        </w:rPr>
        <w:t xml:space="preserve"> </w:t>
      </w:r>
      <w:r w:rsidRPr="00D46483">
        <w:rPr>
          <w:rFonts w:eastAsia="Times New Roman" w:cs="Arial"/>
          <w:color w:val="000000"/>
          <w:szCs w:val="20"/>
          <w:lang w:eastAsia="bg-BG"/>
        </w:rPr>
        <w:t xml:space="preserve">едновременното им приложение може да влоши сърдечната недостатъчност чрез централно потискане на симпатикусовия тонус (понижаване на сърдечната честота и сърдечния дебит, вазодилатация) (вж. точка 4.4). При внезапно прекъсване на продължително лечение с тези продукти, особено ако това става преди спиране на приложението на бета-блокера, съществува риск от развитие на </w:t>
      </w:r>
      <w:r w:rsidRPr="00D46483">
        <w:rPr>
          <w:rFonts w:eastAsia="Times New Roman" w:cs="Arial"/>
          <w:color w:val="000000"/>
          <w:szCs w:val="20"/>
          <w:lang w:val="ru-RU"/>
        </w:rPr>
        <w:t>“</w:t>
      </w:r>
      <w:r w:rsidRPr="00D46483">
        <w:rPr>
          <w:rFonts w:eastAsia="Times New Roman" w:cs="Arial"/>
          <w:color w:val="000000"/>
          <w:szCs w:val="20"/>
          <w:lang w:val="en-US"/>
        </w:rPr>
        <w:t>rebound</w:t>
      </w:r>
      <w:r w:rsidRPr="00D46483">
        <w:rPr>
          <w:rFonts w:eastAsia="Times New Roman" w:cs="Arial"/>
          <w:color w:val="000000"/>
          <w:szCs w:val="20"/>
          <w:lang w:val="ru-RU"/>
        </w:rPr>
        <w:t xml:space="preserve"> </w:t>
      </w:r>
      <w:r w:rsidRPr="00D46483">
        <w:rPr>
          <w:rFonts w:eastAsia="Times New Roman" w:cs="Arial"/>
          <w:color w:val="000000"/>
          <w:szCs w:val="20"/>
          <w:lang w:eastAsia="bg-BG"/>
        </w:rPr>
        <w:t>хипертония”.</w:t>
      </w:r>
    </w:p>
    <w:p w14:paraId="51BE281B" w14:textId="77777777" w:rsidR="00D46483" w:rsidRPr="00D46483" w:rsidRDefault="00D46483" w:rsidP="00D46483">
      <w:pPr>
        <w:spacing w:line="240" w:lineRule="auto"/>
        <w:rPr>
          <w:rFonts w:eastAsia="Times New Roman" w:cs="Arial"/>
          <w:color w:val="000000"/>
          <w:szCs w:val="20"/>
          <w:u w:val="single"/>
          <w:lang w:eastAsia="bg-BG"/>
        </w:rPr>
      </w:pPr>
    </w:p>
    <w:p w14:paraId="053B91B3" w14:textId="3C34D43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Комбинации, които трябва да се използват с повишено внимание</w:t>
      </w:r>
    </w:p>
    <w:p w14:paraId="5951360D" w14:textId="77777777"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 xml:space="preserve">Клас III антиаритмични лекарствени продукти </w:t>
      </w:r>
      <w:r w:rsidRPr="00D46483">
        <w:rPr>
          <w:rFonts w:eastAsia="Times New Roman" w:cs="Arial"/>
          <w:i/>
          <w:iCs/>
          <w:color w:val="000000"/>
          <w:szCs w:val="20"/>
          <w:lang w:val="ru-RU"/>
        </w:rPr>
        <w:t>(</w:t>
      </w:r>
      <w:proofErr w:type="spellStart"/>
      <w:r w:rsidRPr="00D46483">
        <w:rPr>
          <w:rFonts w:eastAsia="Times New Roman" w:cs="Arial"/>
          <w:i/>
          <w:iCs/>
          <w:color w:val="000000"/>
          <w:szCs w:val="20"/>
          <w:lang w:val="en-US"/>
        </w:rPr>
        <w:t>amiodaron</w:t>
      </w:r>
      <w:proofErr w:type="spellEnd"/>
      <w:r w:rsidRPr="00D46483">
        <w:rPr>
          <w:rFonts w:eastAsia="Times New Roman" w:cs="Arial"/>
          <w:i/>
          <w:iCs/>
          <w:color w:val="000000"/>
          <w:szCs w:val="20"/>
          <w:lang w:val="ru-RU"/>
        </w:rPr>
        <w:t>):</w:t>
      </w:r>
      <w:r w:rsidRPr="00D46483">
        <w:rPr>
          <w:rFonts w:eastAsia="Times New Roman" w:cs="Arial"/>
          <w:color w:val="000000"/>
          <w:szCs w:val="20"/>
          <w:lang w:val="ru-RU"/>
        </w:rPr>
        <w:t xml:space="preserve"> </w:t>
      </w:r>
      <w:r w:rsidRPr="00D46483">
        <w:rPr>
          <w:rFonts w:eastAsia="Times New Roman" w:cs="Arial"/>
          <w:color w:val="000000"/>
          <w:szCs w:val="20"/>
          <w:lang w:eastAsia="bg-BG"/>
        </w:rPr>
        <w:t>може да се потен цират ефектите им върху предсърдно-камерната проводимост.</w:t>
      </w:r>
    </w:p>
    <w:p w14:paraId="5F6C44D3" w14:textId="77777777" w:rsidR="00D46483" w:rsidRPr="00D46483" w:rsidRDefault="00D46483" w:rsidP="00D46483">
      <w:pPr>
        <w:spacing w:line="240" w:lineRule="auto"/>
        <w:rPr>
          <w:rFonts w:eastAsia="Times New Roman" w:cs="Arial"/>
          <w:i/>
          <w:iCs/>
          <w:color w:val="000000"/>
          <w:szCs w:val="20"/>
          <w:lang w:eastAsia="bg-BG"/>
        </w:rPr>
      </w:pPr>
    </w:p>
    <w:p w14:paraId="1B936924" w14:textId="071583C1"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Анестетици - летливи халогени:</w:t>
      </w:r>
      <w:r w:rsidRPr="00D46483">
        <w:rPr>
          <w:rFonts w:eastAsia="Times New Roman" w:cs="Arial"/>
          <w:color w:val="000000"/>
          <w:szCs w:val="20"/>
          <w:lang w:eastAsia="bg-BG"/>
        </w:rPr>
        <w:t xml:space="preserve"> едновременното приложение на бета-блокери и анестетици може да намали рефлекторната тахикардия и да повиши риска от хипотония (вж. точка 4.4). Основно правило е да се избягва внезапно прекъсване на приложението на бета-блокера. Анестезиологът трябва да бъде информиран, ако пациентът приема небиволол.</w:t>
      </w:r>
    </w:p>
    <w:p w14:paraId="2C047BA9" w14:textId="77777777" w:rsidR="00D46483" w:rsidRPr="00D46483" w:rsidRDefault="00D46483" w:rsidP="00D46483">
      <w:pPr>
        <w:spacing w:line="240" w:lineRule="auto"/>
        <w:rPr>
          <w:rFonts w:eastAsia="Times New Roman" w:cs="Arial"/>
          <w:i/>
          <w:iCs/>
          <w:color w:val="000000"/>
          <w:szCs w:val="20"/>
          <w:lang w:eastAsia="bg-BG"/>
        </w:rPr>
      </w:pPr>
    </w:p>
    <w:p w14:paraId="01354A72" w14:textId="579937F4"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Инсулин и перорални антидиабетни средства:</w:t>
      </w:r>
      <w:r w:rsidRPr="00D46483">
        <w:rPr>
          <w:rFonts w:eastAsia="Times New Roman" w:cs="Arial"/>
          <w:color w:val="000000"/>
          <w:szCs w:val="20"/>
          <w:lang w:eastAsia="bg-BG"/>
        </w:rPr>
        <w:t xml:space="preserve"> въпреки, че небиволол не повлиява нивата на кръвната глюкоза, той може да маскира някои от симптомите на настъпваща хипогликемия (палпитации, тахикардия).</w:t>
      </w:r>
    </w:p>
    <w:p w14:paraId="43637916" w14:textId="77777777" w:rsidR="00D46483" w:rsidRPr="00D46483" w:rsidRDefault="00D46483" w:rsidP="00D46483">
      <w:pPr>
        <w:spacing w:line="240" w:lineRule="auto"/>
        <w:rPr>
          <w:rFonts w:eastAsia="Times New Roman" w:cs="Arial"/>
          <w:color w:val="000000"/>
          <w:szCs w:val="20"/>
          <w:lang w:eastAsia="bg-BG"/>
        </w:rPr>
      </w:pPr>
    </w:p>
    <w:p w14:paraId="7475AC03" w14:textId="4308CB13"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Баклофен (антиспастичен продукт), амифостин (детоксикиращо средство при антинеопластично лечение): едновременното приложение с антихипертензивни продукти засилва понижаването на артериалното налягане. Поради това, дозата на антихипертензивния медикамент, трябва да бъде съответно коригирана.</w:t>
      </w:r>
    </w:p>
    <w:p w14:paraId="7398AA56" w14:textId="77777777" w:rsidR="00D46483" w:rsidRPr="00D46483" w:rsidRDefault="00D46483" w:rsidP="00D46483">
      <w:pPr>
        <w:spacing w:line="240" w:lineRule="auto"/>
        <w:rPr>
          <w:rFonts w:eastAsia="Times New Roman" w:cs="Arial"/>
          <w:color w:val="000000"/>
          <w:szCs w:val="20"/>
          <w:u w:val="single"/>
          <w:lang w:eastAsia="bg-BG"/>
        </w:rPr>
      </w:pPr>
    </w:p>
    <w:p w14:paraId="6154DC8F" w14:textId="5A290B05"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Комбинации, които трябва да се имат предвид</w:t>
      </w:r>
    </w:p>
    <w:p w14:paraId="05149D14" w14:textId="77777777" w:rsidR="00D46483" w:rsidRPr="00D46483" w:rsidRDefault="00D46483" w:rsidP="00D46483">
      <w:pPr>
        <w:rPr>
          <w:rFonts w:eastAsia="Times New Roman" w:cs="Arial"/>
          <w:sz w:val="28"/>
          <w:szCs w:val="24"/>
        </w:rPr>
      </w:pPr>
      <w:r w:rsidRPr="00D46483">
        <w:rPr>
          <w:rFonts w:eastAsia="Times New Roman" w:cs="Arial"/>
          <w:i/>
          <w:iCs/>
          <w:color w:val="000000"/>
          <w:szCs w:val="20"/>
          <w:lang w:eastAsia="bg-BG"/>
        </w:rPr>
        <w:t>Дигиталисови гликозиди:</w:t>
      </w:r>
      <w:r w:rsidRPr="00D46483">
        <w:rPr>
          <w:rFonts w:eastAsia="Times New Roman" w:cs="Arial"/>
          <w:color w:val="000000"/>
          <w:szCs w:val="20"/>
          <w:lang w:eastAsia="bg-BG"/>
        </w:rPr>
        <w:t xml:space="preserve"> едновременното приложение на дигиталисови продукти и бета блокери може да увеличи атриовентрикуларното време на провеждане. Клиничните изпитвания</w:t>
      </w:r>
      <w:r w:rsidRPr="00D46483">
        <w:rPr>
          <w:rFonts w:eastAsia="Times New Roman" w:cs="Arial"/>
          <w:color w:val="000000"/>
          <w:szCs w:val="20"/>
          <w:lang w:val="ru-RU" w:eastAsia="bg-BG"/>
        </w:rPr>
        <w:t xml:space="preserve"> </w:t>
      </w:r>
      <w:r w:rsidRPr="00D46483">
        <w:rPr>
          <w:rFonts w:eastAsia="Times New Roman" w:cs="Arial"/>
          <w:color w:val="000000"/>
          <w:szCs w:val="20"/>
          <w:lang w:eastAsia="bg-BG"/>
        </w:rPr>
        <w:t>с небиволол не дават клинични доказателства за взаимодействия. Небиволол не повлиява кинетиката на дигоксин.</w:t>
      </w:r>
    </w:p>
    <w:p w14:paraId="7A22C769" w14:textId="77777777" w:rsidR="00D46483" w:rsidRPr="00D46483" w:rsidRDefault="00D46483" w:rsidP="00D46483">
      <w:pPr>
        <w:spacing w:line="240" w:lineRule="auto"/>
        <w:rPr>
          <w:rFonts w:eastAsia="Times New Roman" w:cs="Arial"/>
          <w:i/>
          <w:iCs/>
          <w:color w:val="000000"/>
          <w:szCs w:val="20"/>
          <w:lang w:eastAsia="bg-BG"/>
        </w:rPr>
      </w:pPr>
    </w:p>
    <w:p w14:paraId="02DAC9C2" w14:textId="3871A063"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Калциеви антагонисти от дихидропиридинов тип (амлодипин, фелодипин, лацидипин, нифедипин, никардипин, нимодипин, нитрендипин):</w:t>
      </w:r>
      <w:r w:rsidRPr="00D46483">
        <w:rPr>
          <w:rFonts w:eastAsia="Times New Roman" w:cs="Arial"/>
          <w:color w:val="000000"/>
          <w:szCs w:val="20"/>
          <w:lang w:eastAsia="bg-BG"/>
        </w:rPr>
        <w:t xml:space="preserve"> едновременното им приложение може да повиши риска от хипотония, като не може да се изключи и риск от допълнително </w:t>
      </w:r>
      <w:r w:rsidRPr="00D46483">
        <w:rPr>
          <w:rFonts w:eastAsia="Times New Roman" w:cs="Arial"/>
          <w:color w:val="000000"/>
          <w:szCs w:val="20"/>
          <w:lang w:eastAsia="bg-BG"/>
        </w:rPr>
        <w:lastRenderedPageBreak/>
        <w:t>влошаване на помпената функция на сърцето при пациенти със сърдечна недостатъчност.</w:t>
      </w:r>
    </w:p>
    <w:p w14:paraId="793D1C3F" w14:textId="77777777" w:rsidR="00D46483" w:rsidRPr="00D46483" w:rsidRDefault="00D46483" w:rsidP="00D46483">
      <w:pPr>
        <w:spacing w:line="240" w:lineRule="auto"/>
        <w:rPr>
          <w:rFonts w:eastAsia="Times New Roman" w:cs="Arial"/>
          <w:i/>
          <w:iCs/>
          <w:color w:val="000000"/>
          <w:szCs w:val="20"/>
          <w:lang w:eastAsia="bg-BG"/>
        </w:rPr>
      </w:pPr>
    </w:p>
    <w:p w14:paraId="1E7AC184" w14:textId="748A5072"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 xml:space="preserve">Антипсихотици, антидепресанти (трициклични, барбитурати, фенотиазини): </w:t>
      </w:r>
      <w:r w:rsidRPr="00D46483">
        <w:rPr>
          <w:rFonts w:eastAsia="Times New Roman" w:cs="Arial"/>
          <w:color w:val="000000"/>
          <w:szCs w:val="20"/>
          <w:lang w:eastAsia="bg-BG"/>
        </w:rPr>
        <w:t>едновременното им приложение може да засили хипотензивният ефект на бета-блокерите (адитивен ефект).</w:t>
      </w:r>
    </w:p>
    <w:p w14:paraId="14F4205D" w14:textId="77777777" w:rsidR="00D46483" w:rsidRPr="00D46483" w:rsidRDefault="00D46483" w:rsidP="00D46483">
      <w:pPr>
        <w:spacing w:line="240" w:lineRule="auto"/>
        <w:rPr>
          <w:rFonts w:eastAsia="Times New Roman" w:cs="Arial"/>
          <w:i/>
          <w:iCs/>
          <w:color w:val="000000"/>
          <w:szCs w:val="20"/>
          <w:lang w:eastAsia="bg-BG"/>
        </w:rPr>
      </w:pPr>
    </w:p>
    <w:p w14:paraId="665E949C" w14:textId="6EA39766"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Нестероидни противовъзпалителни средства (НСПВС):</w:t>
      </w:r>
      <w:r w:rsidRPr="00D46483">
        <w:rPr>
          <w:rFonts w:eastAsia="Times New Roman" w:cs="Arial"/>
          <w:color w:val="000000"/>
          <w:szCs w:val="20"/>
          <w:lang w:eastAsia="bg-BG"/>
        </w:rPr>
        <w:t xml:space="preserve"> не оказват ефект върху понижаващия кръвното налягане ефект на небиволол.</w:t>
      </w:r>
    </w:p>
    <w:p w14:paraId="40CF6006" w14:textId="77777777" w:rsidR="00D46483" w:rsidRPr="00D46483" w:rsidRDefault="00D46483" w:rsidP="00D46483">
      <w:pPr>
        <w:spacing w:line="240" w:lineRule="auto"/>
        <w:rPr>
          <w:rFonts w:eastAsia="Times New Roman" w:cs="Arial"/>
          <w:i/>
          <w:iCs/>
          <w:color w:val="000000"/>
          <w:szCs w:val="20"/>
          <w:lang w:eastAsia="bg-BG"/>
        </w:rPr>
      </w:pPr>
    </w:p>
    <w:p w14:paraId="5578033B" w14:textId="6A545861" w:rsidR="00D46483" w:rsidRPr="00D46483" w:rsidRDefault="00D46483" w:rsidP="00D46483">
      <w:pPr>
        <w:spacing w:line="240" w:lineRule="auto"/>
        <w:rPr>
          <w:rFonts w:eastAsia="Times New Roman" w:cs="Arial"/>
          <w:sz w:val="28"/>
          <w:szCs w:val="24"/>
        </w:rPr>
      </w:pPr>
      <w:r w:rsidRPr="00D46483">
        <w:rPr>
          <w:rFonts w:eastAsia="Times New Roman" w:cs="Arial"/>
          <w:i/>
          <w:iCs/>
          <w:color w:val="000000"/>
          <w:szCs w:val="20"/>
          <w:lang w:eastAsia="bg-BG"/>
        </w:rPr>
        <w:t>Симпатикомиметични лекарствени продукти:</w:t>
      </w:r>
      <w:r w:rsidRPr="00D46483">
        <w:rPr>
          <w:rFonts w:eastAsia="Times New Roman" w:cs="Arial"/>
          <w:color w:val="000000"/>
          <w:szCs w:val="20"/>
          <w:lang w:eastAsia="bg-BG"/>
        </w:rPr>
        <w:t xml:space="preserve"> могат да противодействат на ефектите на бета- адренергичните антагонисти. Бета-блокерите могат да доведат до безпрепятствена алфа- адренергична активност на симпатикомиметиците с едновременна алфа- и бета-адренергична активност (опасност от хипертония, тежка брадикардия и сърдечен блок).</w:t>
      </w:r>
    </w:p>
    <w:p w14:paraId="5C37E71A" w14:textId="77777777" w:rsidR="00D46483" w:rsidRPr="00D46483" w:rsidRDefault="00D46483" w:rsidP="00D46483">
      <w:pPr>
        <w:spacing w:line="240" w:lineRule="auto"/>
        <w:rPr>
          <w:rFonts w:eastAsia="Times New Roman" w:cs="Arial"/>
          <w:b/>
          <w:bCs/>
          <w:color w:val="000000"/>
          <w:szCs w:val="20"/>
          <w:u w:val="single"/>
          <w:lang w:eastAsia="bg-BG"/>
        </w:rPr>
      </w:pPr>
    </w:p>
    <w:p w14:paraId="7820D11C" w14:textId="6D9A86F2" w:rsidR="00D46483" w:rsidRPr="00D46483" w:rsidRDefault="00D46483" w:rsidP="00D46483">
      <w:pPr>
        <w:spacing w:line="240" w:lineRule="auto"/>
        <w:rPr>
          <w:rFonts w:eastAsia="Times New Roman" w:cs="Arial"/>
          <w:sz w:val="28"/>
          <w:szCs w:val="24"/>
        </w:rPr>
      </w:pPr>
      <w:r w:rsidRPr="00D46483">
        <w:rPr>
          <w:rFonts w:eastAsia="Times New Roman" w:cs="Arial"/>
          <w:b/>
          <w:bCs/>
          <w:color w:val="000000"/>
          <w:szCs w:val="20"/>
          <w:u w:val="single"/>
          <w:lang w:eastAsia="bg-BG"/>
        </w:rPr>
        <w:t>Фармакокинетнчни взаимодействия</w:t>
      </w:r>
    </w:p>
    <w:p w14:paraId="1E0327D8"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Тъй като в метаболизирането на небиволол участва изоензима </w:t>
      </w:r>
      <w:r w:rsidRPr="00D46483">
        <w:rPr>
          <w:rFonts w:eastAsia="Times New Roman" w:cs="Arial"/>
          <w:color w:val="000000"/>
          <w:szCs w:val="20"/>
          <w:lang w:val="en-US"/>
        </w:rPr>
        <w:t>CYP</w:t>
      </w:r>
      <w:r w:rsidRPr="00D46483">
        <w:rPr>
          <w:rFonts w:eastAsia="Times New Roman" w:cs="Arial"/>
          <w:color w:val="000000"/>
          <w:szCs w:val="20"/>
          <w:lang w:val="ru-RU"/>
        </w:rPr>
        <w:t>2</w:t>
      </w:r>
      <w:r w:rsidRPr="00D46483">
        <w:rPr>
          <w:rFonts w:eastAsia="Times New Roman" w:cs="Arial"/>
          <w:color w:val="000000"/>
          <w:szCs w:val="20"/>
          <w:lang w:val="en-US"/>
        </w:rPr>
        <w:t>D</w:t>
      </w:r>
      <w:r w:rsidRPr="00D46483">
        <w:rPr>
          <w:rFonts w:eastAsia="Times New Roman" w:cs="Arial"/>
          <w:color w:val="000000"/>
          <w:szCs w:val="20"/>
          <w:lang w:val="ru-RU"/>
        </w:rPr>
        <w:t xml:space="preserve">6, </w:t>
      </w:r>
      <w:r w:rsidRPr="00D46483">
        <w:rPr>
          <w:rFonts w:eastAsia="Times New Roman" w:cs="Arial"/>
          <w:color w:val="000000"/>
          <w:szCs w:val="20"/>
          <w:lang w:eastAsia="bg-BG"/>
        </w:rPr>
        <w:t xml:space="preserve">едновременното приложение на субстанции инхибиращи този ензим </w:t>
      </w:r>
      <w:r w:rsidRPr="00D46483">
        <w:rPr>
          <w:rFonts w:eastAsia="Times New Roman" w:cs="Arial"/>
          <w:color w:val="000000"/>
          <w:szCs w:val="20"/>
          <w:lang w:val="ru-RU"/>
        </w:rPr>
        <w:t>(</w:t>
      </w:r>
      <w:r w:rsidRPr="00D46483">
        <w:rPr>
          <w:rFonts w:eastAsia="Times New Roman" w:cs="Arial"/>
          <w:color w:val="000000"/>
          <w:szCs w:val="20"/>
          <w:lang w:val="en-US"/>
        </w:rPr>
        <w:t>paroxetine</w:t>
      </w:r>
      <w:r w:rsidRPr="00D46483">
        <w:rPr>
          <w:rFonts w:eastAsia="Times New Roman" w:cs="Arial"/>
          <w:color w:val="000000"/>
          <w:szCs w:val="20"/>
          <w:lang w:val="ru-RU"/>
        </w:rPr>
        <w:t xml:space="preserve">, </w:t>
      </w:r>
      <w:r w:rsidRPr="00D46483">
        <w:rPr>
          <w:rFonts w:eastAsia="Times New Roman" w:cs="Arial"/>
          <w:color w:val="000000"/>
          <w:szCs w:val="20"/>
          <w:lang w:val="en-US"/>
        </w:rPr>
        <w:t>fluoxetine</w:t>
      </w:r>
      <w:r w:rsidRPr="00D46483">
        <w:rPr>
          <w:rFonts w:eastAsia="Times New Roman" w:cs="Arial"/>
          <w:color w:val="000000"/>
          <w:szCs w:val="20"/>
          <w:lang w:val="ru-RU"/>
        </w:rPr>
        <w:t xml:space="preserve">, </w:t>
      </w:r>
      <w:proofErr w:type="spellStart"/>
      <w:r w:rsidRPr="00D46483">
        <w:rPr>
          <w:rFonts w:eastAsia="Times New Roman" w:cs="Arial"/>
          <w:color w:val="000000"/>
          <w:szCs w:val="20"/>
          <w:lang w:val="en-US"/>
        </w:rPr>
        <w:t>thioridazine</w:t>
      </w:r>
      <w:proofErr w:type="spellEnd"/>
      <w:r w:rsidRPr="00D46483">
        <w:rPr>
          <w:rFonts w:eastAsia="Times New Roman" w:cs="Arial"/>
          <w:color w:val="000000"/>
          <w:szCs w:val="20"/>
          <w:lang w:val="ru-RU"/>
        </w:rPr>
        <w:t xml:space="preserve">, </w:t>
      </w:r>
      <w:r w:rsidRPr="00D46483">
        <w:rPr>
          <w:rFonts w:eastAsia="Times New Roman" w:cs="Arial"/>
          <w:color w:val="000000"/>
          <w:szCs w:val="20"/>
          <w:lang w:val="en-US"/>
        </w:rPr>
        <w:t>quinidine</w:t>
      </w:r>
      <w:r w:rsidRPr="00D46483">
        <w:rPr>
          <w:rFonts w:eastAsia="Times New Roman" w:cs="Arial"/>
          <w:color w:val="000000"/>
          <w:szCs w:val="20"/>
          <w:lang w:val="ru-RU"/>
        </w:rPr>
        <w:t xml:space="preserve">) </w:t>
      </w:r>
      <w:r w:rsidRPr="00D46483">
        <w:rPr>
          <w:rFonts w:eastAsia="Times New Roman" w:cs="Arial"/>
          <w:color w:val="000000"/>
          <w:szCs w:val="20"/>
          <w:lang w:eastAsia="bg-BG"/>
        </w:rPr>
        <w:t>може да доведе до повишаване на плазмените концентрации на небиволол, което е свързано с повишен риск от развитие на ексцесивна брадикардия и поява на нежелани реакции.</w:t>
      </w:r>
    </w:p>
    <w:p w14:paraId="7374FE80" w14:textId="77777777" w:rsidR="00D46483" w:rsidRPr="00D46483" w:rsidRDefault="00D46483" w:rsidP="00D46483">
      <w:pPr>
        <w:spacing w:line="240" w:lineRule="auto"/>
        <w:rPr>
          <w:rFonts w:eastAsia="Times New Roman" w:cs="Arial"/>
          <w:color w:val="000000"/>
          <w:szCs w:val="20"/>
          <w:lang w:eastAsia="bg-BG"/>
        </w:rPr>
      </w:pPr>
    </w:p>
    <w:p w14:paraId="7A1C48EE" w14:textId="67A9AD94"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Едновременното приложение на циметидин повишава плазмените концентрации на небиволол, без да променя клиничния ефект. Приложението на ранитидин не променя фармакокинетиката на небиволол. Те могат да се употребяват заедно, като небиволол се приема по време на хранене, а антиацидът между две хранения.</w:t>
      </w:r>
    </w:p>
    <w:p w14:paraId="516A1453" w14:textId="77777777" w:rsidR="00D46483" w:rsidRPr="00D46483" w:rsidRDefault="00D46483" w:rsidP="00D46483">
      <w:pPr>
        <w:spacing w:line="240" w:lineRule="auto"/>
        <w:rPr>
          <w:rFonts w:eastAsia="Times New Roman" w:cs="Arial"/>
          <w:color w:val="000000"/>
          <w:szCs w:val="20"/>
          <w:lang w:eastAsia="bg-BG"/>
        </w:rPr>
      </w:pPr>
    </w:p>
    <w:p w14:paraId="2A26CCE5" w14:textId="2D2722AD"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Едновременното приложение на небиволол и никардипин води до леко повишаване на плазмените концентрации и на двата лекарствени продукта, без да се повлиява клиничният им ефект.</w:t>
      </w:r>
    </w:p>
    <w:p w14:paraId="38F1BE87" w14:textId="77777777" w:rsidR="00D46483" w:rsidRPr="00D46483" w:rsidRDefault="00D46483" w:rsidP="00D46483">
      <w:pPr>
        <w:spacing w:line="240" w:lineRule="auto"/>
        <w:rPr>
          <w:rFonts w:eastAsia="Times New Roman" w:cs="Arial"/>
          <w:color w:val="000000"/>
          <w:szCs w:val="20"/>
          <w:lang w:eastAsia="bg-BG"/>
        </w:rPr>
      </w:pPr>
    </w:p>
    <w:p w14:paraId="2D8F3F8A" w14:textId="0610434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Едновременното приложение на алкохол, фуроземид или хидрохлоротиазид не променя фармакокинетиката на небиволол.</w:t>
      </w:r>
    </w:p>
    <w:p w14:paraId="4B408A8E" w14:textId="77777777" w:rsidR="00D46483" w:rsidRPr="00D46483" w:rsidRDefault="00D46483" w:rsidP="00D46483">
      <w:pPr>
        <w:rPr>
          <w:rFonts w:eastAsia="Times New Roman" w:cs="Arial"/>
          <w:color w:val="000000"/>
          <w:szCs w:val="20"/>
          <w:lang w:eastAsia="bg-BG"/>
        </w:rPr>
      </w:pPr>
    </w:p>
    <w:p w14:paraId="4EA2A2A8" w14:textId="2348F1FF" w:rsidR="00D46483" w:rsidRPr="00D46483" w:rsidRDefault="00D46483" w:rsidP="00D46483">
      <w:pPr>
        <w:rPr>
          <w:rFonts w:eastAsia="Times New Roman" w:cs="Arial"/>
          <w:color w:val="000000"/>
          <w:szCs w:val="20"/>
          <w:lang w:eastAsia="bg-BG"/>
        </w:rPr>
      </w:pPr>
      <w:r w:rsidRPr="00D46483">
        <w:rPr>
          <w:rFonts w:eastAsia="Times New Roman" w:cs="Arial"/>
          <w:color w:val="000000"/>
          <w:szCs w:val="20"/>
          <w:lang w:eastAsia="bg-BG"/>
        </w:rPr>
        <w:t>Небиволол не повлиява фармакокинетиката и фармакодинамиката на варфарин.</w:t>
      </w:r>
    </w:p>
    <w:p w14:paraId="40787803" w14:textId="77777777" w:rsidR="00D46483" w:rsidRPr="00D46483" w:rsidRDefault="00D46483" w:rsidP="00D46483">
      <w:pPr>
        <w:rPr>
          <w:lang w:val="ru-RU"/>
        </w:rPr>
      </w:pPr>
    </w:p>
    <w:p w14:paraId="6EADE4D6" w14:textId="46F64B8A" w:rsidR="00395555" w:rsidRDefault="002C50EE" w:rsidP="008A6AF2">
      <w:pPr>
        <w:pStyle w:val="Heading2"/>
      </w:pPr>
      <w:r>
        <w:t>4.6. Фертилитет, бременност и кърмене</w:t>
      </w:r>
    </w:p>
    <w:p w14:paraId="71BCD8CD" w14:textId="74D63159" w:rsidR="00D46483" w:rsidRDefault="00D46483" w:rsidP="00D46483"/>
    <w:p w14:paraId="3A7787F4" w14:textId="77777777" w:rsidR="00D46483" w:rsidRPr="00D46483" w:rsidRDefault="00D46483" w:rsidP="00D46483">
      <w:pPr>
        <w:pStyle w:val="Heading3"/>
        <w:rPr>
          <w:rFonts w:eastAsia="Times New Roman"/>
          <w:u w:val="single"/>
        </w:rPr>
      </w:pPr>
      <w:r w:rsidRPr="00D46483">
        <w:rPr>
          <w:rFonts w:eastAsia="Times New Roman"/>
          <w:u w:val="single"/>
          <w:lang w:eastAsia="bg-BG"/>
        </w:rPr>
        <w:t>Бременност</w:t>
      </w:r>
    </w:p>
    <w:p w14:paraId="16A770E9" w14:textId="77777777" w:rsidR="00D46483" w:rsidRPr="00D46483" w:rsidRDefault="00D46483" w:rsidP="00D46483">
      <w:pPr>
        <w:rPr>
          <w:sz w:val="24"/>
          <w:szCs w:val="24"/>
        </w:rPr>
      </w:pPr>
      <w:r w:rsidRPr="00D46483">
        <w:rPr>
          <w:lang w:eastAsia="bg-BG"/>
        </w:rPr>
        <w:t>Небиволол притежава фармакологични ефекти, които могат да окажат вредни ефекти върху бременността и/или върху плода/новородеиото. По принцип бета-блокерите намаляват перфузията на плацентата, което може да доведе до забавено развитие, интраутеринна смърт на плода, аборт или преждевременно раждане. Освен това е възможно да се проявят и нежелани реакции като хипогликемия и брадикардия у плода и новороденото. Ако приложението на бета- блокер е наложително, за предпочитане е приложението на бета]-селективни блокери.</w:t>
      </w:r>
    </w:p>
    <w:p w14:paraId="6A6C82A2" w14:textId="77777777" w:rsidR="00D46483" w:rsidRDefault="00D46483" w:rsidP="00D46483">
      <w:pPr>
        <w:rPr>
          <w:lang w:eastAsia="bg-BG"/>
        </w:rPr>
      </w:pPr>
    </w:p>
    <w:p w14:paraId="58300D5B" w14:textId="5FDC639B" w:rsidR="00D46483" w:rsidRDefault="00D46483" w:rsidP="00D46483">
      <w:pPr>
        <w:rPr>
          <w:lang w:eastAsia="bg-BG"/>
        </w:rPr>
      </w:pPr>
      <w:r w:rsidRPr="00D46483">
        <w:rPr>
          <w:lang w:eastAsia="bg-BG"/>
        </w:rPr>
        <w:lastRenderedPageBreak/>
        <w:t>Небиволол не трябва да се използва по време на бременност, освен при наличие на категорична необходимост. Ако приложението на небиволол е наистина необходимо, трябва да се проследяват утеро-плацентарния кръвоток и растежа на плода. При наличие на вреден ефект върху бременността или плода, трябва да се приложи друго алтернативно лечение. Новороденото трябва внимателно да се проследява. Симптомите на хипогликемия и брадикардия по принцип се очакват в рамките на първите 3 дни.</w:t>
      </w:r>
    </w:p>
    <w:p w14:paraId="24E61A96" w14:textId="2A96A7D6" w:rsidR="00D46483" w:rsidRDefault="00D46483" w:rsidP="00D46483">
      <w:pPr>
        <w:rPr>
          <w:lang w:eastAsia="bg-BG"/>
        </w:rPr>
      </w:pPr>
    </w:p>
    <w:p w14:paraId="4CBE0D70" w14:textId="77777777" w:rsidR="00D46483" w:rsidRPr="00D46483" w:rsidRDefault="00D46483" w:rsidP="00D46483">
      <w:pPr>
        <w:pStyle w:val="Heading3"/>
        <w:rPr>
          <w:rFonts w:eastAsia="Times New Roman"/>
          <w:u w:val="single"/>
        </w:rPr>
      </w:pPr>
      <w:r w:rsidRPr="00D46483">
        <w:rPr>
          <w:rFonts w:eastAsia="Times New Roman"/>
          <w:u w:val="single"/>
          <w:lang w:eastAsia="bg-BG"/>
        </w:rPr>
        <w:t>Кърмене</w:t>
      </w:r>
    </w:p>
    <w:p w14:paraId="321651A3" w14:textId="77777777" w:rsidR="00D46483" w:rsidRPr="00D46483" w:rsidRDefault="00D46483" w:rsidP="00D46483">
      <w:pPr>
        <w:rPr>
          <w:sz w:val="24"/>
          <w:szCs w:val="24"/>
        </w:rPr>
      </w:pPr>
      <w:r w:rsidRPr="00D46483">
        <w:rPr>
          <w:lang w:eastAsia="bg-BG"/>
        </w:rPr>
        <w:t>Опитите с животни са показали, че небиволол се излъчва в кърмата. Не е известно дали небиволол се екскретира в майчиното мляко при хората. По-голямата част от бета-блокерите, най-вече липофилните, като небиволол и неговите активни метаболити, преминават в майчиното мляко в различна степен. Поради това не се препоръчва кърмене по време на приложението на небиволол.</w:t>
      </w:r>
    </w:p>
    <w:p w14:paraId="70B1912F" w14:textId="77777777" w:rsidR="00D46483" w:rsidRPr="00D46483" w:rsidRDefault="00D46483" w:rsidP="00D46483"/>
    <w:p w14:paraId="5766770B" w14:textId="1D46ACCA" w:rsidR="00395555" w:rsidRDefault="002C50EE" w:rsidP="008A6AF2">
      <w:pPr>
        <w:pStyle w:val="Heading2"/>
      </w:pPr>
      <w:r>
        <w:t>4.7. Ефекти върху способността за шофиране и работа с машини</w:t>
      </w:r>
    </w:p>
    <w:p w14:paraId="3B5F7B4E" w14:textId="590A2278" w:rsidR="00D46483" w:rsidRDefault="00D46483" w:rsidP="00D46483"/>
    <w:p w14:paraId="74D94C34" w14:textId="314B86ED" w:rsidR="00D46483" w:rsidRDefault="00D46483" w:rsidP="00D46483">
      <w:r>
        <w:t xml:space="preserve">Липсват изпитвания за влиянието върху способността за шофиране и работа с машини. Фармакодинамични проучвания показват, че небиволол 5 </w:t>
      </w:r>
      <w:r>
        <w:rPr>
          <w:lang w:val="en-US"/>
        </w:rPr>
        <w:t>mg</w:t>
      </w:r>
      <w:r w:rsidRPr="00D46483">
        <w:rPr>
          <w:lang w:val="ru-RU"/>
        </w:rPr>
        <w:t xml:space="preserve"> </w:t>
      </w:r>
      <w:r>
        <w:t>не повлиява психомоторната функция. При шофиране и работа с машини трябва да се има предвид, че в редки случаи могат да се появят световъртеж и отпадналост.</w:t>
      </w:r>
    </w:p>
    <w:p w14:paraId="3983F289" w14:textId="77777777" w:rsidR="00D46483" w:rsidRPr="00D46483" w:rsidRDefault="00D46483" w:rsidP="00D46483"/>
    <w:p w14:paraId="4FE16E21" w14:textId="62847F29" w:rsidR="00395555" w:rsidRDefault="002C50EE" w:rsidP="008A6AF2">
      <w:pPr>
        <w:pStyle w:val="Heading2"/>
      </w:pPr>
      <w:r>
        <w:t>4.8. Нежелани лекарствени реакции</w:t>
      </w:r>
    </w:p>
    <w:p w14:paraId="100F2D5A" w14:textId="15FC53B4" w:rsidR="00D46483" w:rsidRDefault="00D46483" w:rsidP="00D46483"/>
    <w:p w14:paraId="1D62FD10"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Нежеланите лекарствени реакции са изброени по отделно за хипертония и за хронична сърдечна недостатъчност, поради базови различия при тези две заболявалия.</w:t>
      </w:r>
    </w:p>
    <w:p w14:paraId="2D17018E" w14:textId="77777777" w:rsidR="00D46483" w:rsidRPr="00D46483" w:rsidRDefault="00D46483" w:rsidP="00D46483">
      <w:pPr>
        <w:spacing w:line="240" w:lineRule="auto"/>
        <w:rPr>
          <w:rFonts w:eastAsia="Times New Roman" w:cs="Arial"/>
          <w:color w:val="000000"/>
          <w:szCs w:val="20"/>
          <w:u w:val="single"/>
          <w:lang w:eastAsia="bg-BG"/>
        </w:rPr>
      </w:pPr>
    </w:p>
    <w:p w14:paraId="799323C7" w14:textId="071AE02E"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Хипертония</w:t>
      </w:r>
    </w:p>
    <w:p w14:paraId="0C23E361" w14:textId="1558BDE3" w:rsidR="00D46483" w:rsidRDefault="00D46483" w:rsidP="00D46483">
      <w:pPr>
        <w:rPr>
          <w:rFonts w:eastAsia="Times New Roman" w:cs="Arial"/>
          <w:color w:val="000000"/>
          <w:szCs w:val="20"/>
          <w:lang w:eastAsia="bg-BG"/>
        </w:rPr>
      </w:pPr>
      <w:r w:rsidRPr="00D46483">
        <w:rPr>
          <w:rFonts w:eastAsia="Times New Roman" w:cs="Arial"/>
          <w:color w:val="000000"/>
          <w:szCs w:val="20"/>
          <w:lang w:eastAsia="bg-BG"/>
        </w:rPr>
        <w:t>Повечето нежелани лекарствени реакции са с лека до умерена проява. Те са изброени по-долу, като са класифицирани по системи и органи и са подредени по честота на проява.</w:t>
      </w:r>
    </w:p>
    <w:p w14:paraId="08796703" w14:textId="3471A4C0" w:rsidR="00D46483" w:rsidRDefault="00D46483" w:rsidP="00D46483">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2090"/>
        <w:gridCol w:w="1595"/>
        <w:gridCol w:w="1877"/>
        <w:gridCol w:w="1424"/>
        <w:gridCol w:w="2364"/>
      </w:tblGrid>
      <w:tr w:rsidR="00D46483" w14:paraId="7D9052A7" w14:textId="77777777" w:rsidTr="00D46483">
        <w:tc>
          <w:tcPr>
            <w:tcW w:w="1888" w:type="dxa"/>
          </w:tcPr>
          <w:p w14:paraId="44C801B6" w14:textId="0222E502" w:rsidR="00D46483" w:rsidRPr="00D46483" w:rsidRDefault="00D46483" w:rsidP="00D46483">
            <w:pPr>
              <w:rPr>
                <w:rFonts w:cs="Arial"/>
              </w:rPr>
            </w:pPr>
            <w:r w:rsidRPr="00D46483">
              <w:rPr>
                <w:b/>
                <w:bCs/>
              </w:rPr>
              <w:t>Системно- органна класификация</w:t>
            </w:r>
          </w:p>
        </w:tc>
        <w:tc>
          <w:tcPr>
            <w:tcW w:w="1799" w:type="dxa"/>
          </w:tcPr>
          <w:p w14:paraId="47F66E1F" w14:textId="0FB82E0F" w:rsidR="00D46483" w:rsidRPr="00D46483" w:rsidRDefault="00D46483" w:rsidP="00D46483">
            <w:pPr>
              <w:rPr>
                <w:rFonts w:cs="Arial"/>
              </w:rPr>
            </w:pPr>
            <w:r w:rsidRPr="00D46483">
              <w:rPr>
                <w:b/>
                <w:bCs/>
              </w:rPr>
              <w:t>Чести (≥1/100 до &lt;1/10)</w:t>
            </w:r>
          </w:p>
        </w:tc>
        <w:tc>
          <w:tcPr>
            <w:tcW w:w="1913" w:type="dxa"/>
          </w:tcPr>
          <w:p w14:paraId="27CBAF00" w14:textId="77777777" w:rsidR="00D46483" w:rsidRPr="00D46483" w:rsidRDefault="00D46483" w:rsidP="00D46483">
            <w:r w:rsidRPr="00D46483">
              <w:rPr>
                <w:b/>
                <w:bCs/>
              </w:rPr>
              <w:t>Нечести (≥1/1 000 до</w:t>
            </w:r>
          </w:p>
          <w:p w14:paraId="53EB6E48" w14:textId="4C054A4C" w:rsidR="00D46483" w:rsidRPr="00D46483" w:rsidRDefault="00D46483" w:rsidP="00D46483">
            <w:pPr>
              <w:rPr>
                <w:rFonts w:cs="Arial"/>
              </w:rPr>
            </w:pPr>
            <w:r w:rsidRPr="00D46483">
              <w:rPr>
                <w:b/>
                <w:bCs/>
              </w:rPr>
              <w:t>&lt;1/100)</w:t>
            </w:r>
          </w:p>
        </w:tc>
        <w:tc>
          <w:tcPr>
            <w:tcW w:w="1565" w:type="dxa"/>
          </w:tcPr>
          <w:p w14:paraId="09F2A3E4" w14:textId="02002167" w:rsidR="00D46483" w:rsidRPr="00D46483" w:rsidRDefault="00D46483" w:rsidP="00D46483">
            <w:pPr>
              <w:rPr>
                <w:rFonts w:cs="Arial"/>
              </w:rPr>
            </w:pPr>
            <w:r w:rsidRPr="00D46483">
              <w:rPr>
                <w:b/>
                <w:bCs/>
              </w:rPr>
              <w:t>Много редки (&lt;1/10 000)</w:t>
            </w:r>
          </w:p>
        </w:tc>
        <w:tc>
          <w:tcPr>
            <w:tcW w:w="2411" w:type="dxa"/>
          </w:tcPr>
          <w:p w14:paraId="3C860C3D" w14:textId="5A0E0D16" w:rsidR="00D46483" w:rsidRPr="00D46483" w:rsidRDefault="00D46483" w:rsidP="00D46483">
            <w:pPr>
              <w:rPr>
                <w:rFonts w:cs="Arial"/>
              </w:rPr>
            </w:pPr>
            <w:r w:rsidRPr="00D46483">
              <w:rPr>
                <w:rFonts w:cs="Arial"/>
                <w:b/>
                <w:bCs/>
                <w:i/>
                <w:iCs/>
              </w:rPr>
              <w:t>С</w:t>
            </w:r>
            <w:r w:rsidRPr="00D46483">
              <w:rPr>
                <w:b/>
                <w:bCs/>
              </w:rPr>
              <w:t xml:space="preserve"> неизвестна честота</w:t>
            </w:r>
          </w:p>
        </w:tc>
      </w:tr>
      <w:tr w:rsidR="00D46483" w14:paraId="38A9F6D6" w14:textId="77777777" w:rsidTr="00D46483">
        <w:tc>
          <w:tcPr>
            <w:tcW w:w="1888" w:type="dxa"/>
          </w:tcPr>
          <w:p w14:paraId="24BFD059" w14:textId="6818E653" w:rsidR="00D46483" w:rsidRPr="00D46483" w:rsidRDefault="00D46483" w:rsidP="00D46483">
            <w:pPr>
              <w:rPr>
                <w:rFonts w:cs="Arial"/>
              </w:rPr>
            </w:pPr>
            <w:r w:rsidRPr="00D46483">
              <w:rPr>
                <w:i/>
                <w:iCs/>
              </w:rPr>
              <w:t>Нарушения на имунната система</w:t>
            </w:r>
          </w:p>
        </w:tc>
        <w:tc>
          <w:tcPr>
            <w:tcW w:w="1799" w:type="dxa"/>
          </w:tcPr>
          <w:p w14:paraId="6DA8AD96" w14:textId="77777777" w:rsidR="00D46483" w:rsidRPr="00D46483" w:rsidRDefault="00D46483" w:rsidP="00D46483">
            <w:pPr>
              <w:rPr>
                <w:rFonts w:cs="Arial"/>
              </w:rPr>
            </w:pPr>
          </w:p>
        </w:tc>
        <w:tc>
          <w:tcPr>
            <w:tcW w:w="1913" w:type="dxa"/>
          </w:tcPr>
          <w:p w14:paraId="7B1849BA" w14:textId="77777777" w:rsidR="00D46483" w:rsidRPr="00D46483" w:rsidRDefault="00D46483" w:rsidP="00D46483">
            <w:pPr>
              <w:rPr>
                <w:rFonts w:cs="Arial"/>
              </w:rPr>
            </w:pPr>
          </w:p>
        </w:tc>
        <w:tc>
          <w:tcPr>
            <w:tcW w:w="1565" w:type="dxa"/>
          </w:tcPr>
          <w:p w14:paraId="6DD156AF" w14:textId="77777777" w:rsidR="00D46483" w:rsidRPr="00D46483" w:rsidRDefault="00D46483" w:rsidP="00D46483">
            <w:pPr>
              <w:rPr>
                <w:rFonts w:cs="Arial"/>
              </w:rPr>
            </w:pPr>
          </w:p>
        </w:tc>
        <w:tc>
          <w:tcPr>
            <w:tcW w:w="2411" w:type="dxa"/>
          </w:tcPr>
          <w:p w14:paraId="12F769FE" w14:textId="1E48ED20" w:rsidR="00D46483" w:rsidRPr="00D46483" w:rsidRDefault="00D46483" w:rsidP="00D46483">
            <w:pPr>
              <w:rPr>
                <w:rFonts w:cs="Arial"/>
              </w:rPr>
            </w:pPr>
            <w:r w:rsidRPr="00D46483">
              <w:t>Ангионевротичен оток, свръхчувствителност</w:t>
            </w:r>
          </w:p>
        </w:tc>
      </w:tr>
      <w:tr w:rsidR="00D46483" w14:paraId="13D0303D" w14:textId="77777777" w:rsidTr="00D46483">
        <w:tc>
          <w:tcPr>
            <w:tcW w:w="1888" w:type="dxa"/>
          </w:tcPr>
          <w:p w14:paraId="6B6F471B" w14:textId="6EBD9879" w:rsidR="00D46483" w:rsidRPr="00D46483" w:rsidRDefault="00D46483" w:rsidP="00D46483">
            <w:pPr>
              <w:rPr>
                <w:rFonts w:cs="Arial"/>
              </w:rPr>
            </w:pPr>
            <w:r w:rsidRPr="00D46483">
              <w:rPr>
                <w:i/>
                <w:iCs/>
              </w:rPr>
              <w:t>Психични нарушения</w:t>
            </w:r>
          </w:p>
        </w:tc>
        <w:tc>
          <w:tcPr>
            <w:tcW w:w="1799" w:type="dxa"/>
          </w:tcPr>
          <w:p w14:paraId="2707CF12" w14:textId="77777777" w:rsidR="00D46483" w:rsidRPr="00D46483" w:rsidRDefault="00D46483" w:rsidP="00D46483">
            <w:pPr>
              <w:rPr>
                <w:rFonts w:cs="Arial"/>
              </w:rPr>
            </w:pPr>
          </w:p>
        </w:tc>
        <w:tc>
          <w:tcPr>
            <w:tcW w:w="1913" w:type="dxa"/>
          </w:tcPr>
          <w:p w14:paraId="719FAD8B" w14:textId="7A8F4E78" w:rsidR="00D46483" w:rsidRPr="00D46483" w:rsidRDefault="00D46483" w:rsidP="00D46483">
            <w:pPr>
              <w:rPr>
                <w:rFonts w:cs="Arial"/>
              </w:rPr>
            </w:pPr>
            <w:r w:rsidRPr="00D46483">
              <w:t>Кошмари, депресия</w:t>
            </w:r>
          </w:p>
        </w:tc>
        <w:tc>
          <w:tcPr>
            <w:tcW w:w="1565" w:type="dxa"/>
          </w:tcPr>
          <w:p w14:paraId="15D19CB1" w14:textId="77777777" w:rsidR="00D46483" w:rsidRPr="00D46483" w:rsidRDefault="00D46483" w:rsidP="00D46483">
            <w:pPr>
              <w:rPr>
                <w:rFonts w:cs="Arial"/>
              </w:rPr>
            </w:pPr>
          </w:p>
        </w:tc>
        <w:tc>
          <w:tcPr>
            <w:tcW w:w="2411" w:type="dxa"/>
          </w:tcPr>
          <w:p w14:paraId="2574FB0F" w14:textId="77777777" w:rsidR="00D46483" w:rsidRPr="00D46483" w:rsidRDefault="00D46483" w:rsidP="00D46483">
            <w:pPr>
              <w:rPr>
                <w:rFonts w:cs="Arial"/>
              </w:rPr>
            </w:pPr>
          </w:p>
        </w:tc>
      </w:tr>
      <w:tr w:rsidR="00D46483" w14:paraId="075345E5" w14:textId="77777777" w:rsidTr="00D46483">
        <w:tc>
          <w:tcPr>
            <w:tcW w:w="1888" w:type="dxa"/>
          </w:tcPr>
          <w:p w14:paraId="34D75A12" w14:textId="66C23CD0" w:rsidR="00D46483" w:rsidRPr="00D46483" w:rsidRDefault="00D46483" w:rsidP="00D46483">
            <w:pPr>
              <w:rPr>
                <w:rFonts w:cs="Arial"/>
              </w:rPr>
            </w:pPr>
            <w:r w:rsidRPr="00D46483">
              <w:rPr>
                <w:i/>
                <w:iCs/>
              </w:rPr>
              <w:t>Нарушения на нервната система</w:t>
            </w:r>
          </w:p>
        </w:tc>
        <w:tc>
          <w:tcPr>
            <w:tcW w:w="1799" w:type="dxa"/>
          </w:tcPr>
          <w:p w14:paraId="44A72A13" w14:textId="44A3F511" w:rsidR="00D46483" w:rsidRPr="00D46483" w:rsidRDefault="00D46483" w:rsidP="00D46483">
            <w:pPr>
              <w:rPr>
                <w:rFonts w:cs="Arial"/>
              </w:rPr>
            </w:pPr>
            <w:r w:rsidRPr="00D46483">
              <w:t>Главоболие, световъртеж, парестезии</w:t>
            </w:r>
          </w:p>
        </w:tc>
        <w:tc>
          <w:tcPr>
            <w:tcW w:w="1913" w:type="dxa"/>
          </w:tcPr>
          <w:p w14:paraId="5C05E3F5" w14:textId="77777777" w:rsidR="00D46483" w:rsidRPr="00D46483" w:rsidRDefault="00D46483" w:rsidP="00D46483">
            <w:pPr>
              <w:rPr>
                <w:rFonts w:cs="Arial"/>
              </w:rPr>
            </w:pPr>
          </w:p>
        </w:tc>
        <w:tc>
          <w:tcPr>
            <w:tcW w:w="1565" w:type="dxa"/>
          </w:tcPr>
          <w:p w14:paraId="69070BA9" w14:textId="60FD7087" w:rsidR="00D46483" w:rsidRPr="00D46483" w:rsidRDefault="00D46483" w:rsidP="00D46483">
            <w:pPr>
              <w:rPr>
                <w:rFonts w:cs="Arial"/>
              </w:rPr>
            </w:pPr>
            <w:r w:rsidRPr="00D46483">
              <w:t>Синкоп</w:t>
            </w:r>
          </w:p>
        </w:tc>
        <w:tc>
          <w:tcPr>
            <w:tcW w:w="2411" w:type="dxa"/>
          </w:tcPr>
          <w:p w14:paraId="4E57548B" w14:textId="77777777" w:rsidR="00D46483" w:rsidRPr="00D46483" w:rsidRDefault="00D46483" w:rsidP="00D46483">
            <w:pPr>
              <w:rPr>
                <w:rFonts w:cs="Arial"/>
              </w:rPr>
            </w:pPr>
          </w:p>
        </w:tc>
      </w:tr>
      <w:tr w:rsidR="00D46483" w14:paraId="26AEBAF6" w14:textId="77777777" w:rsidTr="00D46483">
        <w:tc>
          <w:tcPr>
            <w:tcW w:w="1888" w:type="dxa"/>
          </w:tcPr>
          <w:p w14:paraId="20AD1D2A" w14:textId="75D2E5B3" w:rsidR="00D46483" w:rsidRPr="00D46483" w:rsidRDefault="00D46483" w:rsidP="00D46483">
            <w:pPr>
              <w:rPr>
                <w:rFonts w:cs="Arial"/>
              </w:rPr>
            </w:pPr>
            <w:r w:rsidRPr="00D46483">
              <w:rPr>
                <w:i/>
                <w:iCs/>
              </w:rPr>
              <w:t>Нарушения на очите</w:t>
            </w:r>
          </w:p>
        </w:tc>
        <w:tc>
          <w:tcPr>
            <w:tcW w:w="1799" w:type="dxa"/>
          </w:tcPr>
          <w:p w14:paraId="2C4485DD" w14:textId="77777777" w:rsidR="00D46483" w:rsidRPr="00D46483" w:rsidRDefault="00D46483" w:rsidP="00D46483">
            <w:pPr>
              <w:rPr>
                <w:rFonts w:cs="Arial"/>
              </w:rPr>
            </w:pPr>
          </w:p>
        </w:tc>
        <w:tc>
          <w:tcPr>
            <w:tcW w:w="1913" w:type="dxa"/>
          </w:tcPr>
          <w:p w14:paraId="5BD02C33" w14:textId="36C2EB21" w:rsidR="00D46483" w:rsidRPr="00D46483" w:rsidRDefault="00D46483" w:rsidP="00D46483">
            <w:pPr>
              <w:rPr>
                <w:rFonts w:cs="Arial"/>
              </w:rPr>
            </w:pPr>
            <w:r w:rsidRPr="00D46483">
              <w:t>Нарушено зрение</w:t>
            </w:r>
          </w:p>
        </w:tc>
        <w:tc>
          <w:tcPr>
            <w:tcW w:w="1565" w:type="dxa"/>
          </w:tcPr>
          <w:p w14:paraId="5C3C9437" w14:textId="77777777" w:rsidR="00D46483" w:rsidRPr="00D46483" w:rsidRDefault="00D46483" w:rsidP="00D46483">
            <w:pPr>
              <w:rPr>
                <w:rFonts w:cs="Arial"/>
              </w:rPr>
            </w:pPr>
          </w:p>
        </w:tc>
        <w:tc>
          <w:tcPr>
            <w:tcW w:w="2411" w:type="dxa"/>
          </w:tcPr>
          <w:p w14:paraId="1B0EED35" w14:textId="77777777" w:rsidR="00D46483" w:rsidRPr="00D46483" w:rsidRDefault="00D46483" w:rsidP="00D46483">
            <w:pPr>
              <w:rPr>
                <w:rFonts w:cs="Arial"/>
              </w:rPr>
            </w:pPr>
          </w:p>
        </w:tc>
      </w:tr>
      <w:tr w:rsidR="00D46483" w14:paraId="277923AF" w14:textId="77777777" w:rsidTr="00D46483">
        <w:tc>
          <w:tcPr>
            <w:tcW w:w="1888" w:type="dxa"/>
          </w:tcPr>
          <w:p w14:paraId="18472565" w14:textId="5443D7C3" w:rsidR="00D46483" w:rsidRPr="00D46483" w:rsidRDefault="00D46483" w:rsidP="00D46483">
            <w:pPr>
              <w:rPr>
                <w:rFonts w:cs="Arial"/>
              </w:rPr>
            </w:pPr>
            <w:r w:rsidRPr="00D46483">
              <w:rPr>
                <w:i/>
                <w:iCs/>
                <w:szCs w:val="20"/>
              </w:rPr>
              <w:t>Сърдечни нарушения</w:t>
            </w:r>
          </w:p>
        </w:tc>
        <w:tc>
          <w:tcPr>
            <w:tcW w:w="1799" w:type="dxa"/>
          </w:tcPr>
          <w:p w14:paraId="7C7245BD" w14:textId="77777777" w:rsidR="00D46483" w:rsidRPr="00D46483" w:rsidRDefault="00D46483" w:rsidP="00D46483">
            <w:pPr>
              <w:rPr>
                <w:rFonts w:cs="Arial"/>
              </w:rPr>
            </w:pPr>
          </w:p>
        </w:tc>
        <w:tc>
          <w:tcPr>
            <w:tcW w:w="1913" w:type="dxa"/>
          </w:tcPr>
          <w:p w14:paraId="46EA70C0" w14:textId="49B929DB" w:rsidR="00D46483" w:rsidRPr="00D46483" w:rsidRDefault="00D46483" w:rsidP="00D46483">
            <w:pPr>
              <w:rPr>
                <w:rFonts w:cs="Arial"/>
              </w:rPr>
            </w:pPr>
            <w:r w:rsidRPr="00D46483">
              <w:rPr>
                <w:szCs w:val="20"/>
              </w:rPr>
              <w:t xml:space="preserve">Брадикардия, сърдечна </w:t>
            </w:r>
            <w:r w:rsidRPr="00D46483">
              <w:rPr>
                <w:szCs w:val="20"/>
              </w:rPr>
              <w:lastRenderedPageBreak/>
              <w:t xml:space="preserve">недостатъчност, забавена </w:t>
            </w:r>
            <w:r w:rsidRPr="00D46483">
              <w:rPr>
                <w:szCs w:val="20"/>
                <w:lang w:val="en-US"/>
              </w:rPr>
              <w:t>AV</w:t>
            </w:r>
            <w:r w:rsidRPr="00D46483">
              <w:rPr>
                <w:szCs w:val="20"/>
                <w:lang w:val="ru-RU"/>
              </w:rPr>
              <w:t xml:space="preserve"> </w:t>
            </w:r>
            <w:r w:rsidRPr="00D46483">
              <w:rPr>
                <w:szCs w:val="20"/>
              </w:rPr>
              <w:t>проводимост</w:t>
            </w:r>
            <w:r w:rsidRPr="00D46483">
              <w:rPr>
                <w:szCs w:val="20"/>
                <w:lang w:val="ru-RU"/>
              </w:rPr>
              <w:t>/</w:t>
            </w:r>
            <w:r w:rsidRPr="00D46483">
              <w:rPr>
                <w:szCs w:val="20"/>
                <w:lang w:val="en-US"/>
              </w:rPr>
              <w:t>AV</w:t>
            </w:r>
            <w:r w:rsidRPr="00D46483">
              <w:rPr>
                <w:szCs w:val="20"/>
                <w:lang w:val="ru-RU"/>
              </w:rPr>
              <w:t xml:space="preserve"> </w:t>
            </w:r>
            <w:r w:rsidRPr="00D46483">
              <w:rPr>
                <w:szCs w:val="20"/>
              </w:rPr>
              <w:t>блок</w:t>
            </w:r>
          </w:p>
        </w:tc>
        <w:tc>
          <w:tcPr>
            <w:tcW w:w="1565" w:type="dxa"/>
          </w:tcPr>
          <w:p w14:paraId="2AF450CA" w14:textId="77777777" w:rsidR="00D46483" w:rsidRPr="00D46483" w:rsidRDefault="00D46483" w:rsidP="00D46483">
            <w:pPr>
              <w:rPr>
                <w:rFonts w:cs="Arial"/>
              </w:rPr>
            </w:pPr>
          </w:p>
        </w:tc>
        <w:tc>
          <w:tcPr>
            <w:tcW w:w="2411" w:type="dxa"/>
          </w:tcPr>
          <w:p w14:paraId="79CC2374" w14:textId="77777777" w:rsidR="00D46483" w:rsidRPr="00D46483" w:rsidRDefault="00D46483" w:rsidP="00D46483">
            <w:pPr>
              <w:rPr>
                <w:rFonts w:cs="Arial"/>
              </w:rPr>
            </w:pPr>
          </w:p>
        </w:tc>
      </w:tr>
      <w:tr w:rsidR="00D46483" w14:paraId="579199CD" w14:textId="77777777" w:rsidTr="00D46483">
        <w:tc>
          <w:tcPr>
            <w:tcW w:w="1888" w:type="dxa"/>
          </w:tcPr>
          <w:p w14:paraId="6D5AC4DE" w14:textId="5F87A47A" w:rsidR="00D46483" w:rsidRPr="00D46483" w:rsidRDefault="00D46483" w:rsidP="00D46483">
            <w:pPr>
              <w:rPr>
                <w:rFonts w:cs="Arial"/>
              </w:rPr>
            </w:pPr>
            <w:r w:rsidRPr="00D46483">
              <w:rPr>
                <w:i/>
                <w:iCs/>
                <w:szCs w:val="20"/>
              </w:rPr>
              <w:t>Съдови нарушения</w:t>
            </w:r>
          </w:p>
        </w:tc>
        <w:tc>
          <w:tcPr>
            <w:tcW w:w="1799" w:type="dxa"/>
          </w:tcPr>
          <w:p w14:paraId="4E3F5FC0" w14:textId="77777777" w:rsidR="00D46483" w:rsidRPr="00D46483" w:rsidRDefault="00D46483" w:rsidP="00D46483">
            <w:pPr>
              <w:rPr>
                <w:rFonts w:cs="Arial"/>
              </w:rPr>
            </w:pPr>
          </w:p>
        </w:tc>
        <w:tc>
          <w:tcPr>
            <w:tcW w:w="1913" w:type="dxa"/>
          </w:tcPr>
          <w:p w14:paraId="70492030" w14:textId="71BDC811" w:rsidR="00D46483" w:rsidRPr="00D46483" w:rsidRDefault="00D46483" w:rsidP="00D46483">
            <w:pPr>
              <w:rPr>
                <w:rFonts w:cs="Arial"/>
              </w:rPr>
            </w:pPr>
            <w:r w:rsidRPr="00D46483">
              <w:rPr>
                <w:szCs w:val="20"/>
              </w:rPr>
              <w:t>Хипотония, (влошаване на) интермитентно клаудикацио</w:t>
            </w:r>
          </w:p>
        </w:tc>
        <w:tc>
          <w:tcPr>
            <w:tcW w:w="1565" w:type="dxa"/>
          </w:tcPr>
          <w:p w14:paraId="4064D0AB" w14:textId="77777777" w:rsidR="00D46483" w:rsidRPr="00D46483" w:rsidRDefault="00D46483" w:rsidP="00D46483">
            <w:pPr>
              <w:rPr>
                <w:rFonts w:cs="Arial"/>
              </w:rPr>
            </w:pPr>
          </w:p>
        </w:tc>
        <w:tc>
          <w:tcPr>
            <w:tcW w:w="2411" w:type="dxa"/>
          </w:tcPr>
          <w:p w14:paraId="76A5F414" w14:textId="77777777" w:rsidR="00D46483" w:rsidRPr="00D46483" w:rsidRDefault="00D46483" w:rsidP="00D46483">
            <w:pPr>
              <w:rPr>
                <w:rFonts w:cs="Arial"/>
              </w:rPr>
            </w:pPr>
          </w:p>
        </w:tc>
      </w:tr>
      <w:tr w:rsidR="00D46483" w14:paraId="268D30DB" w14:textId="77777777" w:rsidTr="00D46483">
        <w:tc>
          <w:tcPr>
            <w:tcW w:w="1888" w:type="dxa"/>
          </w:tcPr>
          <w:p w14:paraId="07C6351A" w14:textId="18B115A9" w:rsidR="00D46483" w:rsidRPr="00D46483" w:rsidRDefault="00D46483" w:rsidP="00D46483">
            <w:pPr>
              <w:rPr>
                <w:rFonts w:cs="Arial"/>
              </w:rPr>
            </w:pPr>
            <w:r w:rsidRPr="00D46483">
              <w:rPr>
                <w:i/>
                <w:iCs/>
                <w:szCs w:val="20"/>
              </w:rPr>
              <w:t>Респираторни, гръдни и медиастинални нарушения</w:t>
            </w:r>
          </w:p>
        </w:tc>
        <w:tc>
          <w:tcPr>
            <w:tcW w:w="1799" w:type="dxa"/>
          </w:tcPr>
          <w:p w14:paraId="59EFE1F0" w14:textId="5C98B402" w:rsidR="00D46483" w:rsidRPr="00D46483" w:rsidRDefault="00D46483" w:rsidP="00D46483">
            <w:pPr>
              <w:rPr>
                <w:rFonts w:cs="Arial"/>
              </w:rPr>
            </w:pPr>
            <w:r w:rsidRPr="00D46483">
              <w:rPr>
                <w:szCs w:val="20"/>
              </w:rPr>
              <w:t>Диспнея</w:t>
            </w:r>
          </w:p>
        </w:tc>
        <w:tc>
          <w:tcPr>
            <w:tcW w:w="1913" w:type="dxa"/>
          </w:tcPr>
          <w:p w14:paraId="62BB9691" w14:textId="693E92BB" w:rsidR="00D46483" w:rsidRPr="00D46483" w:rsidRDefault="00D46483" w:rsidP="00D46483">
            <w:pPr>
              <w:rPr>
                <w:rFonts w:cs="Arial"/>
              </w:rPr>
            </w:pPr>
            <w:r w:rsidRPr="00D46483">
              <w:rPr>
                <w:szCs w:val="20"/>
              </w:rPr>
              <w:t>Бронхоспазъм</w:t>
            </w:r>
          </w:p>
        </w:tc>
        <w:tc>
          <w:tcPr>
            <w:tcW w:w="1565" w:type="dxa"/>
          </w:tcPr>
          <w:p w14:paraId="518C2579" w14:textId="77777777" w:rsidR="00D46483" w:rsidRPr="00D46483" w:rsidRDefault="00D46483" w:rsidP="00D46483">
            <w:pPr>
              <w:rPr>
                <w:rFonts w:cs="Arial"/>
              </w:rPr>
            </w:pPr>
          </w:p>
        </w:tc>
        <w:tc>
          <w:tcPr>
            <w:tcW w:w="2411" w:type="dxa"/>
          </w:tcPr>
          <w:p w14:paraId="088662E9" w14:textId="77777777" w:rsidR="00D46483" w:rsidRPr="00D46483" w:rsidRDefault="00D46483" w:rsidP="00D46483">
            <w:pPr>
              <w:rPr>
                <w:rFonts w:cs="Arial"/>
              </w:rPr>
            </w:pPr>
          </w:p>
        </w:tc>
      </w:tr>
      <w:tr w:rsidR="00D46483" w14:paraId="6674E44A" w14:textId="77777777" w:rsidTr="00D46483">
        <w:tc>
          <w:tcPr>
            <w:tcW w:w="1888" w:type="dxa"/>
          </w:tcPr>
          <w:p w14:paraId="1197FB7B" w14:textId="20900041" w:rsidR="00D46483" w:rsidRPr="00D46483" w:rsidRDefault="00D46483" w:rsidP="00D46483">
            <w:pPr>
              <w:rPr>
                <w:rFonts w:cs="Arial"/>
              </w:rPr>
            </w:pPr>
            <w:r w:rsidRPr="00D46483">
              <w:rPr>
                <w:i/>
                <w:iCs/>
                <w:szCs w:val="20"/>
              </w:rPr>
              <w:t>Гастро- интестинални нарушения</w:t>
            </w:r>
          </w:p>
        </w:tc>
        <w:tc>
          <w:tcPr>
            <w:tcW w:w="1799" w:type="dxa"/>
          </w:tcPr>
          <w:p w14:paraId="0E9760D3" w14:textId="4F667BCE" w:rsidR="00D46483" w:rsidRPr="00D46483" w:rsidRDefault="00D46483" w:rsidP="00D46483">
            <w:pPr>
              <w:rPr>
                <w:rFonts w:cs="Arial"/>
              </w:rPr>
            </w:pPr>
            <w:r w:rsidRPr="00D46483">
              <w:rPr>
                <w:szCs w:val="20"/>
              </w:rPr>
              <w:t>Констатация, гадене, диария</w:t>
            </w:r>
          </w:p>
        </w:tc>
        <w:tc>
          <w:tcPr>
            <w:tcW w:w="1913" w:type="dxa"/>
          </w:tcPr>
          <w:p w14:paraId="606A2889" w14:textId="29A85E89" w:rsidR="00D46483" w:rsidRPr="00D46483" w:rsidRDefault="00D46483" w:rsidP="00D46483">
            <w:pPr>
              <w:rPr>
                <w:rFonts w:cs="Arial"/>
              </w:rPr>
            </w:pPr>
            <w:r w:rsidRPr="00D46483">
              <w:rPr>
                <w:szCs w:val="20"/>
              </w:rPr>
              <w:t>Диспепсия, флатуленция, повръщане</w:t>
            </w:r>
          </w:p>
        </w:tc>
        <w:tc>
          <w:tcPr>
            <w:tcW w:w="1565" w:type="dxa"/>
          </w:tcPr>
          <w:p w14:paraId="63A1FE36" w14:textId="77777777" w:rsidR="00D46483" w:rsidRPr="00D46483" w:rsidRDefault="00D46483" w:rsidP="00D46483">
            <w:pPr>
              <w:rPr>
                <w:rFonts w:cs="Arial"/>
              </w:rPr>
            </w:pPr>
          </w:p>
        </w:tc>
        <w:tc>
          <w:tcPr>
            <w:tcW w:w="2411" w:type="dxa"/>
          </w:tcPr>
          <w:p w14:paraId="58A253C7" w14:textId="77777777" w:rsidR="00D46483" w:rsidRPr="00D46483" w:rsidRDefault="00D46483" w:rsidP="00D46483">
            <w:pPr>
              <w:rPr>
                <w:rFonts w:cs="Arial"/>
              </w:rPr>
            </w:pPr>
          </w:p>
        </w:tc>
      </w:tr>
      <w:tr w:rsidR="00D46483" w14:paraId="7B0129EF" w14:textId="77777777" w:rsidTr="00D46483">
        <w:tc>
          <w:tcPr>
            <w:tcW w:w="1888" w:type="dxa"/>
          </w:tcPr>
          <w:p w14:paraId="2D66D369" w14:textId="54D334EE" w:rsidR="00D46483" w:rsidRPr="00D46483" w:rsidRDefault="00D46483" w:rsidP="00D46483">
            <w:pPr>
              <w:rPr>
                <w:rFonts w:cs="Arial"/>
              </w:rPr>
            </w:pPr>
            <w:r w:rsidRPr="00D46483">
              <w:rPr>
                <w:i/>
                <w:iCs/>
                <w:szCs w:val="20"/>
              </w:rPr>
              <w:t>Нарушения на кожата и подкожната тъкан</w:t>
            </w:r>
          </w:p>
        </w:tc>
        <w:tc>
          <w:tcPr>
            <w:tcW w:w="1799" w:type="dxa"/>
          </w:tcPr>
          <w:p w14:paraId="5CC92588" w14:textId="77777777" w:rsidR="00D46483" w:rsidRPr="00D46483" w:rsidRDefault="00D46483" w:rsidP="00D46483">
            <w:pPr>
              <w:rPr>
                <w:rFonts w:cs="Arial"/>
              </w:rPr>
            </w:pPr>
          </w:p>
        </w:tc>
        <w:tc>
          <w:tcPr>
            <w:tcW w:w="1913" w:type="dxa"/>
          </w:tcPr>
          <w:p w14:paraId="2BB1A9B3" w14:textId="45A262E8" w:rsidR="00D46483" w:rsidRPr="00D46483" w:rsidRDefault="00D46483" w:rsidP="00D46483">
            <w:pPr>
              <w:rPr>
                <w:rFonts w:cs="Arial"/>
              </w:rPr>
            </w:pPr>
            <w:r w:rsidRPr="00D46483">
              <w:rPr>
                <w:szCs w:val="20"/>
              </w:rPr>
              <w:t>Пруритус, еритематозен обрив</w:t>
            </w:r>
          </w:p>
        </w:tc>
        <w:tc>
          <w:tcPr>
            <w:tcW w:w="1565" w:type="dxa"/>
          </w:tcPr>
          <w:p w14:paraId="59C802F4" w14:textId="01B92CF6" w:rsidR="00D46483" w:rsidRPr="00D46483" w:rsidRDefault="00D46483" w:rsidP="00D46483">
            <w:pPr>
              <w:rPr>
                <w:rFonts w:cs="Arial"/>
              </w:rPr>
            </w:pPr>
            <w:r w:rsidRPr="00D46483">
              <w:rPr>
                <w:szCs w:val="20"/>
              </w:rPr>
              <w:t>Утежняване на псориазис</w:t>
            </w:r>
          </w:p>
        </w:tc>
        <w:tc>
          <w:tcPr>
            <w:tcW w:w="2411" w:type="dxa"/>
          </w:tcPr>
          <w:p w14:paraId="69263D0E" w14:textId="37FE8234" w:rsidR="00D46483" w:rsidRPr="00D46483" w:rsidRDefault="00D46483" w:rsidP="00D46483">
            <w:pPr>
              <w:rPr>
                <w:rFonts w:cs="Arial"/>
              </w:rPr>
            </w:pPr>
            <w:r w:rsidRPr="00D46483">
              <w:rPr>
                <w:szCs w:val="20"/>
              </w:rPr>
              <w:t>Уртикария</w:t>
            </w:r>
          </w:p>
        </w:tc>
      </w:tr>
      <w:tr w:rsidR="00D46483" w14:paraId="65D5D6EB" w14:textId="77777777" w:rsidTr="00D46483">
        <w:tc>
          <w:tcPr>
            <w:tcW w:w="1888" w:type="dxa"/>
          </w:tcPr>
          <w:p w14:paraId="76B2AC95" w14:textId="39D5DE82" w:rsidR="00D46483" w:rsidRPr="00D46483" w:rsidRDefault="00D46483" w:rsidP="00D46483">
            <w:pPr>
              <w:rPr>
                <w:rFonts w:cs="Arial"/>
              </w:rPr>
            </w:pPr>
            <w:r w:rsidRPr="00D46483">
              <w:rPr>
                <w:i/>
                <w:iCs/>
                <w:szCs w:val="20"/>
              </w:rPr>
              <w:t>Нарушения на репродуктивната система и гърдата</w:t>
            </w:r>
          </w:p>
        </w:tc>
        <w:tc>
          <w:tcPr>
            <w:tcW w:w="1799" w:type="dxa"/>
          </w:tcPr>
          <w:p w14:paraId="3F93CC96" w14:textId="77777777" w:rsidR="00D46483" w:rsidRPr="00D46483" w:rsidRDefault="00D46483" w:rsidP="00D46483">
            <w:pPr>
              <w:rPr>
                <w:rFonts w:cs="Arial"/>
              </w:rPr>
            </w:pPr>
          </w:p>
        </w:tc>
        <w:tc>
          <w:tcPr>
            <w:tcW w:w="1913" w:type="dxa"/>
          </w:tcPr>
          <w:p w14:paraId="241C6518" w14:textId="5CC5F4FF" w:rsidR="00D46483" w:rsidRPr="00D46483" w:rsidRDefault="00D46483" w:rsidP="00D46483">
            <w:pPr>
              <w:rPr>
                <w:rFonts w:cs="Arial"/>
              </w:rPr>
            </w:pPr>
            <w:r w:rsidRPr="00D46483">
              <w:rPr>
                <w:szCs w:val="20"/>
              </w:rPr>
              <w:t>Импотентност</w:t>
            </w:r>
          </w:p>
        </w:tc>
        <w:tc>
          <w:tcPr>
            <w:tcW w:w="1565" w:type="dxa"/>
          </w:tcPr>
          <w:p w14:paraId="705F11F2" w14:textId="77777777" w:rsidR="00D46483" w:rsidRPr="00D46483" w:rsidRDefault="00D46483" w:rsidP="00D46483">
            <w:pPr>
              <w:rPr>
                <w:rFonts w:cs="Arial"/>
              </w:rPr>
            </w:pPr>
          </w:p>
        </w:tc>
        <w:tc>
          <w:tcPr>
            <w:tcW w:w="2411" w:type="dxa"/>
          </w:tcPr>
          <w:p w14:paraId="0A407504" w14:textId="77777777" w:rsidR="00D46483" w:rsidRPr="00D46483" w:rsidRDefault="00D46483" w:rsidP="00D46483">
            <w:pPr>
              <w:rPr>
                <w:rFonts w:cs="Arial"/>
              </w:rPr>
            </w:pPr>
          </w:p>
        </w:tc>
      </w:tr>
      <w:tr w:rsidR="00D46483" w14:paraId="2B659706" w14:textId="77777777" w:rsidTr="00D46483">
        <w:tc>
          <w:tcPr>
            <w:tcW w:w="1888" w:type="dxa"/>
          </w:tcPr>
          <w:p w14:paraId="57A2E59D" w14:textId="3154B753" w:rsidR="00D46483" w:rsidRPr="00D46483" w:rsidRDefault="00D46483" w:rsidP="00D46483">
            <w:pPr>
              <w:rPr>
                <w:rFonts w:cs="Arial"/>
              </w:rPr>
            </w:pPr>
            <w:r w:rsidRPr="00D46483">
              <w:rPr>
                <w:i/>
                <w:iCs/>
                <w:szCs w:val="20"/>
              </w:rPr>
              <w:t>Общи нарушения и ефекти на мястото на приложение</w:t>
            </w:r>
          </w:p>
        </w:tc>
        <w:tc>
          <w:tcPr>
            <w:tcW w:w="1799" w:type="dxa"/>
          </w:tcPr>
          <w:p w14:paraId="1F4F959F" w14:textId="1A09B915" w:rsidR="00D46483" w:rsidRPr="00D46483" w:rsidRDefault="00D46483" w:rsidP="00D46483">
            <w:pPr>
              <w:rPr>
                <w:rFonts w:cs="Arial"/>
              </w:rPr>
            </w:pPr>
            <w:r w:rsidRPr="00D46483">
              <w:rPr>
                <w:szCs w:val="20"/>
              </w:rPr>
              <w:t>Отпадналост, оток</w:t>
            </w:r>
          </w:p>
        </w:tc>
        <w:tc>
          <w:tcPr>
            <w:tcW w:w="1913" w:type="dxa"/>
          </w:tcPr>
          <w:p w14:paraId="4B2BC995" w14:textId="77777777" w:rsidR="00D46483" w:rsidRPr="00D46483" w:rsidRDefault="00D46483" w:rsidP="00D46483">
            <w:pPr>
              <w:rPr>
                <w:rFonts w:cs="Arial"/>
              </w:rPr>
            </w:pPr>
          </w:p>
        </w:tc>
        <w:tc>
          <w:tcPr>
            <w:tcW w:w="1565" w:type="dxa"/>
          </w:tcPr>
          <w:p w14:paraId="69E12448" w14:textId="77777777" w:rsidR="00D46483" w:rsidRPr="00D46483" w:rsidRDefault="00D46483" w:rsidP="00D46483">
            <w:pPr>
              <w:rPr>
                <w:rFonts w:cs="Arial"/>
              </w:rPr>
            </w:pPr>
          </w:p>
        </w:tc>
        <w:tc>
          <w:tcPr>
            <w:tcW w:w="2411" w:type="dxa"/>
          </w:tcPr>
          <w:p w14:paraId="7D39BF1C" w14:textId="77777777" w:rsidR="00D46483" w:rsidRPr="00D46483" w:rsidRDefault="00D46483" w:rsidP="00D46483">
            <w:pPr>
              <w:rPr>
                <w:rFonts w:cs="Arial"/>
              </w:rPr>
            </w:pPr>
          </w:p>
        </w:tc>
      </w:tr>
    </w:tbl>
    <w:p w14:paraId="06CA183E" w14:textId="020E0A83" w:rsidR="00D46483" w:rsidRDefault="00D46483" w:rsidP="00D46483">
      <w:pPr>
        <w:rPr>
          <w:rFonts w:cs="Arial"/>
          <w:sz w:val="24"/>
        </w:rPr>
      </w:pPr>
    </w:p>
    <w:p w14:paraId="5D0D1E72"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объркване, студени/цианотични крайници, феномен на Рейно, сухота в очите, окуло-мукокуганна токсичност от практололов тип.</w:t>
      </w:r>
    </w:p>
    <w:p w14:paraId="6733BCD3" w14:textId="77777777" w:rsidR="00D46483" w:rsidRPr="00D46483" w:rsidRDefault="00D46483" w:rsidP="00D46483">
      <w:pPr>
        <w:spacing w:line="240" w:lineRule="auto"/>
        <w:rPr>
          <w:rFonts w:eastAsia="Times New Roman" w:cs="Arial"/>
          <w:color w:val="000000"/>
          <w:u w:val="single"/>
          <w:lang w:eastAsia="bg-BG"/>
        </w:rPr>
      </w:pPr>
    </w:p>
    <w:p w14:paraId="5B55D540" w14:textId="5FF5791A" w:rsidR="00D46483" w:rsidRPr="00D46483" w:rsidRDefault="00D46483" w:rsidP="00D46483">
      <w:pPr>
        <w:spacing w:line="240" w:lineRule="auto"/>
        <w:rPr>
          <w:rFonts w:eastAsia="Times New Roman" w:cs="Arial"/>
        </w:rPr>
      </w:pPr>
      <w:r w:rsidRPr="00D46483">
        <w:rPr>
          <w:rFonts w:eastAsia="Times New Roman" w:cs="Arial"/>
          <w:color w:val="000000"/>
          <w:u w:val="single"/>
          <w:lang w:eastAsia="bg-BG"/>
        </w:rPr>
        <w:t>Хронична сърдечна недостатъчност (ХСН)</w:t>
      </w:r>
    </w:p>
    <w:p w14:paraId="06E2F04A" w14:textId="77777777" w:rsidR="00D46483" w:rsidRPr="00D46483" w:rsidRDefault="00D46483" w:rsidP="00D46483">
      <w:pPr>
        <w:spacing w:line="240" w:lineRule="auto"/>
        <w:rPr>
          <w:rFonts w:eastAsia="Times New Roman" w:cs="Arial"/>
        </w:rPr>
      </w:pPr>
      <w:r w:rsidRPr="00D46483">
        <w:rPr>
          <w:rFonts w:eastAsia="Times New Roman" w:cs="Arial"/>
          <w:color w:val="000000"/>
          <w:lang w:eastAsia="bg-BG"/>
        </w:rPr>
        <w:t>Данните за нежелани реакции при пациенти с ХСН са налични от плацебо-контролирано клинично проучване, включващо 1067 пациенти, приемащи небиволол и 1061 пациенти, приемащи плацебо. В това проучване общо 449 (42,1%) пациенти, приемащи небиволол, съобщават за поне вероятно свързани нежелани реакции, в сравнение с 334 пациенти (31,5%), приемащи плацебо. Най-често докладваните нежелани реакции при пациентите на небиволол са брадикардия и замаяност, като и двете се проявяват при около 11% от пациентите. Честотата при плацебо е съответно 2% и 7%.</w:t>
      </w:r>
    </w:p>
    <w:p w14:paraId="75607E66" w14:textId="77777777" w:rsidR="00D46483" w:rsidRDefault="00D46483" w:rsidP="00D46483">
      <w:pPr>
        <w:spacing w:line="240" w:lineRule="auto"/>
        <w:rPr>
          <w:rFonts w:eastAsia="Times New Roman" w:cs="Arial"/>
          <w:color w:val="000000"/>
          <w:lang w:eastAsia="bg-BG"/>
        </w:rPr>
      </w:pPr>
      <w:r w:rsidRPr="00D46483">
        <w:rPr>
          <w:rFonts w:eastAsia="Times New Roman" w:cs="Arial"/>
          <w:color w:val="000000"/>
          <w:lang w:eastAsia="bg-BG"/>
        </w:rPr>
        <w:t>Следната честота е докладвана за нежеланите реакции (поне вероятно свързани с лечението), които се приемат за специфично значими при лечението на хрон</w:t>
      </w:r>
      <w:r>
        <w:rPr>
          <w:rFonts w:eastAsia="Times New Roman" w:cs="Arial"/>
          <w:color w:val="000000"/>
          <w:lang w:eastAsia="bg-BG"/>
        </w:rPr>
        <w:t>ична сърдечна недостатъчност:</w:t>
      </w:r>
    </w:p>
    <w:p w14:paraId="623FE0AE" w14:textId="77777777" w:rsidR="00D46483" w:rsidRPr="00D46483" w:rsidRDefault="00D46483" w:rsidP="00D46483">
      <w:pPr>
        <w:pStyle w:val="ListParagraph"/>
        <w:numPr>
          <w:ilvl w:val="0"/>
          <w:numId w:val="35"/>
        </w:numPr>
        <w:spacing w:line="240" w:lineRule="auto"/>
        <w:rPr>
          <w:rFonts w:eastAsia="Times New Roman" w:cs="Arial"/>
        </w:rPr>
      </w:pPr>
      <w:r w:rsidRPr="00D46483">
        <w:rPr>
          <w:rFonts w:eastAsia="Times New Roman" w:cs="Arial"/>
          <w:color w:val="000000"/>
          <w:lang w:eastAsia="bg-BG"/>
        </w:rPr>
        <w:t>Влошаване на сърд</w:t>
      </w:r>
      <w:r>
        <w:rPr>
          <w:rFonts w:eastAsia="Times New Roman" w:cs="Arial"/>
          <w:color w:val="000000"/>
          <w:lang w:eastAsia="bg-BG"/>
        </w:rPr>
        <w:t xml:space="preserve">ечната недостатъчност </w:t>
      </w:r>
      <w:r w:rsidRPr="00D46483">
        <w:rPr>
          <w:rFonts w:eastAsia="Times New Roman" w:cs="Arial"/>
          <w:color w:val="000000"/>
          <w:lang w:val="ru-RU" w:eastAsia="bg-BG"/>
        </w:rPr>
        <w:t xml:space="preserve">- </w:t>
      </w:r>
      <w:r w:rsidRPr="00D46483">
        <w:rPr>
          <w:rFonts w:eastAsia="Times New Roman" w:cs="Arial"/>
          <w:color w:val="000000"/>
          <w:lang w:eastAsia="bg-BG"/>
        </w:rPr>
        <w:t>проявява се при 5,8% от пациентите на небиволол в сравнение с 5,2% от пациентите на плацебо;</w:t>
      </w:r>
    </w:p>
    <w:p w14:paraId="2FF2FF52" w14:textId="77777777" w:rsidR="00D46483" w:rsidRPr="00D46483" w:rsidRDefault="00D46483" w:rsidP="00D46483">
      <w:pPr>
        <w:pStyle w:val="ListParagraph"/>
        <w:numPr>
          <w:ilvl w:val="0"/>
          <w:numId w:val="35"/>
        </w:numPr>
        <w:spacing w:line="240" w:lineRule="auto"/>
        <w:rPr>
          <w:rFonts w:eastAsia="Times New Roman" w:cs="Arial"/>
        </w:rPr>
      </w:pPr>
      <w:r w:rsidRPr="00D46483">
        <w:rPr>
          <w:rFonts w:eastAsia="Times New Roman" w:cs="Arial"/>
          <w:color w:val="000000"/>
          <w:lang w:eastAsia="bg-BG"/>
        </w:rPr>
        <w:t>Постурална хипотония - проявява се при 2,1% от пациентите на небиволол в сравнение с 1,0% от пациентите на плацебо;</w:t>
      </w:r>
    </w:p>
    <w:p w14:paraId="16B8E1EC" w14:textId="77777777" w:rsidR="00D46483" w:rsidRPr="00D46483" w:rsidRDefault="00D46483" w:rsidP="00D46483">
      <w:pPr>
        <w:pStyle w:val="ListParagraph"/>
        <w:numPr>
          <w:ilvl w:val="0"/>
          <w:numId w:val="35"/>
        </w:numPr>
        <w:spacing w:line="240" w:lineRule="auto"/>
        <w:rPr>
          <w:rFonts w:eastAsia="Times New Roman" w:cs="Arial"/>
        </w:rPr>
      </w:pPr>
      <w:r w:rsidRPr="00D46483">
        <w:rPr>
          <w:rFonts w:eastAsia="Times New Roman" w:cs="Arial"/>
          <w:color w:val="000000"/>
          <w:lang w:eastAsia="bg-BG"/>
        </w:rPr>
        <w:lastRenderedPageBreak/>
        <w:t>Непоносимост към продукта - проявява се при 1,6% от пациентите на небиволол в сравнение с 0,8% от пациентите на плацебо;</w:t>
      </w:r>
    </w:p>
    <w:p w14:paraId="6C76A49C" w14:textId="77777777" w:rsidR="00D46483" w:rsidRPr="00D46483" w:rsidRDefault="00D46483" w:rsidP="00D46483">
      <w:pPr>
        <w:pStyle w:val="ListParagraph"/>
        <w:numPr>
          <w:ilvl w:val="0"/>
          <w:numId w:val="35"/>
        </w:numPr>
        <w:spacing w:line="240" w:lineRule="auto"/>
        <w:rPr>
          <w:rFonts w:eastAsia="Times New Roman" w:cs="Arial"/>
        </w:rPr>
      </w:pPr>
      <w:r w:rsidRPr="00D46483">
        <w:rPr>
          <w:rFonts w:eastAsia="Times New Roman" w:cs="Arial"/>
          <w:color w:val="000000"/>
          <w:lang w:eastAsia="bg-BG"/>
        </w:rPr>
        <w:t>Атриовентрикуларен блок I степен - проявява се при 1,4% от пациентите на небиволол в сравнение с 0,9% от пациентите на плацебо;</w:t>
      </w:r>
    </w:p>
    <w:p w14:paraId="6B418B76" w14:textId="78AEFEEC" w:rsidR="00D46483" w:rsidRPr="00D46483" w:rsidRDefault="00D46483" w:rsidP="00D46483">
      <w:pPr>
        <w:pStyle w:val="ListParagraph"/>
        <w:numPr>
          <w:ilvl w:val="0"/>
          <w:numId w:val="35"/>
        </w:numPr>
        <w:spacing w:line="240" w:lineRule="auto"/>
        <w:rPr>
          <w:rFonts w:eastAsia="Times New Roman" w:cs="Arial"/>
        </w:rPr>
      </w:pPr>
      <w:r w:rsidRPr="00D46483">
        <w:rPr>
          <w:rFonts w:eastAsia="Times New Roman" w:cs="Arial"/>
          <w:color w:val="000000"/>
          <w:lang w:eastAsia="bg-BG"/>
        </w:rPr>
        <w:t>Оток на долните крайници - проявява се при 1,0% от пациентите на небиволол в сравнение с 0,2% от пациентите на плацебо.</w:t>
      </w:r>
    </w:p>
    <w:p w14:paraId="1889224C" w14:textId="77777777" w:rsidR="00D46483" w:rsidRPr="00D46483" w:rsidRDefault="00D46483" w:rsidP="00D46483">
      <w:pPr>
        <w:spacing w:line="240" w:lineRule="auto"/>
        <w:rPr>
          <w:rFonts w:eastAsia="Times New Roman" w:cs="Arial"/>
          <w:color w:val="000000"/>
          <w:u w:val="single"/>
          <w:lang w:eastAsia="bg-BG"/>
        </w:rPr>
      </w:pPr>
    </w:p>
    <w:p w14:paraId="4C9024A1" w14:textId="57D4C4A7" w:rsidR="00D46483" w:rsidRPr="00D46483" w:rsidRDefault="00D46483" w:rsidP="00D46483">
      <w:pPr>
        <w:spacing w:line="240" w:lineRule="auto"/>
        <w:rPr>
          <w:rFonts w:eastAsia="Times New Roman" w:cs="Arial"/>
        </w:rPr>
      </w:pPr>
      <w:r w:rsidRPr="00D46483">
        <w:rPr>
          <w:rFonts w:eastAsia="Times New Roman" w:cs="Arial"/>
          <w:color w:val="000000"/>
          <w:u w:val="single"/>
          <w:lang w:eastAsia="bg-BG"/>
        </w:rPr>
        <w:t>Съобщаване на подозирани нежелани реакции</w:t>
      </w:r>
    </w:p>
    <w:p w14:paraId="6FB5F9AF" w14:textId="46DFD773" w:rsidR="00D46483" w:rsidRDefault="00D46483" w:rsidP="00D46483">
      <w:pPr>
        <w:rPr>
          <w:rFonts w:ascii="Times New Roman" w:eastAsia="Times New Roman" w:hAnsi="Times New Roman" w:cs="Times New Roman"/>
          <w:color w:val="000000"/>
          <w:sz w:val="20"/>
          <w:szCs w:val="20"/>
          <w:lang w:val="en-US"/>
        </w:rPr>
      </w:pPr>
      <w:r w:rsidRPr="00D4648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02 8903417, уебсайт: </w:t>
      </w:r>
      <w:r w:rsidRPr="00D46483">
        <w:rPr>
          <w:rFonts w:eastAsia="Times New Roman" w:cs="Arial"/>
        </w:rPr>
        <w:fldChar w:fldCharType="begin"/>
      </w:r>
      <w:r w:rsidRPr="00D46483">
        <w:rPr>
          <w:rFonts w:eastAsia="Times New Roman" w:cs="Arial"/>
        </w:rPr>
        <w:instrText xml:space="preserve"> HYPERLINK "http://www.bda.bg" </w:instrText>
      </w:r>
      <w:r w:rsidRPr="00D46483">
        <w:rPr>
          <w:rFonts w:eastAsia="Times New Roman" w:cs="Arial"/>
        </w:rPr>
      </w:r>
      <w:r w:rsidRPr="00D46483">
        <w:rPr>
          <w:rFonts w:eastAsia="Times New Roman" w:cs="Arial"/>
        </w:rPr>
        <w:fldChar w:fldCharType="separate"/>
      </w:r>
      <w:r w:rsidRPr="00D46483">
        <w:rPr>
          <w:rFonts w:eastAsia="Times New Roman" w:cs="Arial"/>
          <w:color w:val="000000"/>
          <w:lang w:val="en-US"/>
        </w:rPr>
        <w:t>www.bda.bg</w:t>
      </w:r>
      <w:r w:rsidRPr="00D46483">
        <w:rPr>
          <w:rFonts w:eastAsia="Times New Roman" w:cs="Arial"/>
        </w:rPr>
        <w:fldChar w:fldCharType="end"/>
      </w:r>
      <w:r w:rsidRPr="00D46483">
        <w:rPr>
          <w:rFonts w:eastAsia="Times New Roman" w:cs="Arial"/>
          <w:color w:val="000000"/>
          <w:lang w:val="en-US"/>
        </w:rPr>
        <w:t>.</w:t>
      </w:r>
    </w:p>
    <w:p w14:paraId="145926BB" w14:textId="77777777" w:rsidR="00D46483" w:rsidRPr="00D46483" w:rsidRDefault="00D46483" w:rsidP="00D46483">
      <w:pPr>
        <w:rPr>
          <w:rFonts w:cs="Arial"/>
          <w:sz w:val="24"/>
        </w:rPr>
      </w:pPr>
    </w:p>
    <w:p w14:paraId="4ED30546" w14:textId="1E95DEB3" w:rsidR="007C605B" w:rsidRDefault="002C50EE" w:rsidP="009F1313">
      <w:pPr>
        <w:pStyle w:val="Heading2"/>
      </w:pPr>
      <w:r>
        <w:t>4.9. Предозиране</w:t>
      </w:r>
    </w:p>
    <w:p w14:paraId="768D2D66" w14:textId="2113A0FC" w:rsidR="00D46483" w:rsidRDefault="00D46483" w:rsidP="00D46483"/>
    <w:p w14:paraId="7374EE14" w14:textId="77777777" w:rsidR="00D46483" w:rsidRPr="00D46483" w:rsidRDefault="00D46483" w:rsidP="00D46483">
      <w:pPr>
        <w:rPr>
          <w:sz w:val="24"/>
          <w:szCs w:val="24"/>
        </w:rPr>
      </w:pPr>
      <w:r w:rsidRPr="00D46483">
        <w:rPr>
          <w:lang w:eastAsia="bg-BG"/>
        </w:rPr>
        <w:t>Липсват данни за предозиране с небиволол таблетки.</w:t>
      </w:r>
    </w:p>
    <w:p w14:paraId="46667395" w14:textId="77777777" w:rsidR="00D46483" w:rsidRDefault="00D46483" w:rsidP="00D46483">
      <w:pPr>
        <w:rPr>
          <w:i/>
          <w:iCs/>
          <w:lang w:eastAsia="bg-BG"/>
        </w:rPr>
      </w:pPr>
    </w:p>
    <w:p w14:paraId="67DE6F9F" w14:textId="02DBD426" w:rsidR="00D46483" w:rsidRPr="00D46483" w:rsidRDefault="00D46483" w:rsidP="00D46483">
      <w:pPr>
        <w:pStyle w:val="Heading3"/>
        <w:rPr>
          <w:rFonts w:eastAsia="Times New Roman"/>
          <w:i/>
        </w:rPr>
      </w:pPr>
      <w:r w:rsidRPr="00D46483">
        <w:rPr>
          <w:rFonts w:eastAsia="Times New Roman"/>
          <w:i/>
          <w:lang w:eastAsia="bg-BG"/>
        </w:rPr>
        <w:t>Симптоми</w:t>
      </w:r>
    </w:p>
    <w:p w14:paraId="5B6D186D" w14:textId="77777777" w:rsidR="00D46483" w:rsidRPr="00D46483" w:rsidRDefault="00D46483" w:rsidP="00D46483">
      <w:pPr>
        <w:rPr>
          <w:sz w:val="24"/>
          <w:szCs w:val="24"/>
        </w:rPr>
      </w:pPr>
      <w:r w:rsidRPr="00D46483">
        <w:rPr>
          <w:lang w:eastAsia="bg-BG"/>
        </w:rPr>
        <w:t>Симптомите на предозиране с бета-блокер са брадикардия, хипотония, бронхоспазъм и остра сърдечна недостатъчност.</w:t>
      </w:r>
    </w:p>
    <w:p w14:paraId="2B9B60C3" w14:textId="77777777" w:rsidR="00D46483" w:rsidRDefault="00D46483" w:rsidP="00D46483">
      <w:pPr>
        <w:rPr>
          <w:i/>
          <w:iCs/>
          <w:lang w:eastAsia="bg-BG"/>
        </w:rPr>
      </w:pPr>
    </w:p>
    <w:p w14:paraId="034EFC7F" w14:textId="17802F18" w:rsidR="00D46483" w:rsidRPr="00D46483" w:rsidRDefault="00D46483" w:rsidP="00D46483">
      <w:pPr>
        <w:pStyle w:val="Heading3"/>
        <w:rPr>
          <w:rFonts w:eastAsia="Times New Roman"/>
          <w:i/>
        </w:rPr>
      </w:pPr>
      <w:r w:rsidRPr="00D46483">
        <w:rPr>
          <w:rFonts w:eastAsia="Times New Roman"/>
          <w:i/>
          <w:lang w:eastAsia="bg-BG"/>
        </w:rPr>
        <w:t>Лечение</w:t>
      </w:r>
    </w:p>
    <w:p w14:paraId="0913B200" w14:textId="636CFF0C" w:rsidR="00D46483" w:rsidRDefault="00D46483" w:rsidP="00D46483">
      <w:pPr>
        <w:rPr>
          <w:lang w:eastAsia="bg-BG"/>
        </w:rPr>
      </w:pPr>
      <w:r w:rsidRPr="00D46483">
        <w:rPr>
          <w:lang w:eastAsia="bg-BG"/>
        </w:rPr>
        <w:t>В случай на предозиране, пациентът трябва да се наблюдава непрекъснато в</w:t>
      </w:r>
      <w:r w:rsidRPr="00D46483">
        <w:rPr>
          <w:lang w:val="ru-RU"/>
        </w:rPr>
        <w:t xml:space="preserve"> </w:t>
      </w:r>
      <w:r w:rsidRPr="00D46483">
        <w:rPr>
          <w:lang w:eastAsia="bg-BG"/>
        </w:rPr>
        <w:t>условията на интензивна терапия. Необходимо е да се контролират стойностите на кръвната захар.</w:t>
      </w:r>
    </w:p>
    <w:p w14:paraId="67815556" w14:textId="67B3A63F" w:rsidR="00D46483" w:rsidRDefault="00D46483" w:rsidP="00D46483">
      <w:pPr>
        <w:rPr>
          <w:lang w:eastAsia="bg-BG"/>
        </w:rPr>
      </w:pPr>
    </w:p>
    <w:p w14:paraId="71FDAF34" w14:textId="624197F9" w:rsidR="00D46483" w:rsidRPr="00D46483" w:rsidRDefault="00D46483" w:rsidP="00D46483">
      <w:r>
        <w:t>Резорбцията на евентуалното останало количество от медикамента в гастроинтестиналния тракт може да се предотврати чрез стомашен лаваж и приложение на активен въглен или лаксативни средства. При необходимост се провежда изкуствена белодробна вентилация. Брадикардията или силно изразените вагусови реакции се лекуват чрез приложение на атропин или метилатропин. При хипотония и шок се вливат плазма или плазмени заместители и при необходимост катехоламини. На бета-блокиращия ефект може да се противодейства чрез бавно интравенозно приложение на изопреналин хидрохлорид с начална доза около 5 μ</w:t>
      </w:r>
      <w:r>
        <w:rPr>
          <w:lang w:val="en-US"/>
        </w:rPr>
        <w:t>g</w:t>
      </w:r>
      <w:r w:rsidRPr="00D46483">
        <w:rPr>
          <w:lang w:val="ru-RU"/>
        </w:rPr>
        <w:t>/</w:t>
      </w:r>
      <w:r>
        <w:rPr>
          <w:lang w:val="en-US"/>
        </w:rPr>
        <w:t>min</w:t>
      </w:r>
      <w:r w:rsidRPr="00D46483">
        <w:rPr>
          <w:lang w:val="ru-RU"/>
        </w:rPr>
        <w:t xml:space="preserve"> </w:t>
      </w:r>
      <w:r>
        <w:t xml:space="preserve">или добутамин с начална доза 2,5 </w:t>
      </w:r>
      <w:proofErr w:type="spellStart"/>
      <w:r>
        <w:rPr>
          <w:lang w:val="en-US"/>
        </w:rPr>
        <w:t>pg</w:t>
      </w:r>
      <w:proofErr w:type="spellEnd"/>
      <w:r w:rsidRPr="00D46483">
        <w:rPr>
          <w:lang w:val="ru-RU"/>
        </w:rPr>
        <w:t>/</w:t>
      </w:r>
      <w:r>
        <w:rPr>
          <w:u w:val="single"/>
          <w:lang w:val="en-US"/>
        </w:rPr>
        <w:t>min</w:t>
      </w:r>
      <w:r w:rsidRPr="00D46483">
        <w:rPr>
          <w:lang w:val="ru-RU"/>
        </w:rPr>
        <w:t xml:space="preserve"> </w:t>
      </w:r>
      <w:r>
        <w:t>до достигане на желания ефект. При рефрактерни случаи изопреналин може да се комбинира с допамин. Ако отново не се постигне желания ефект, може да се обмисли интравенозно приложение на 50-100 μ</w:t>
      </w:r>
      <w:r>
        <w:rPr>
          <w:lang w:val="en-US"/>
        </w:rPr>
        <w:t>g</w:t>
      </w:r>
      <w:r w:rsidRPr="00D46483">
        <w:rPr>
          <w:lang w:val="ru-RU"/>
        </w:rPr>
        <w:t>/</w:t>
      </w:r>
      <w:r>
        <w:rPr>
          <w:lang w:val="en-US"/>
        </w:rPr>
        <w:t>kg</w:t>
      </w:r>
      <w:r w:rsidRPr="00D46483">
        <w:rPr>
          <w:lang w:val="ru-RU"/>
        </w:rPr>
        <w:t xml:space="preserve"> </w:t>
      </w:r>
      <w:r>
        <w:t>глюкагон и при необходимост да се повтори в рамките на един час, последвано от интравенозна инфузия на глюкагон 70 μ</w:t>
      </w:r>
      <w:r>
        <w:rPr>
          <w:lang w:val="en-US"/>
        </w:rPr>
        <w:t>g</w:t>
      </w:r>
      <w:r w:rsidRPr="00D46483">
        <w:rPr>
          <w:lang w:val="ru-RU"/>
        </w:rPr>
        <w:t>/</w:t>
      </w:r>
      <w:r>
        <w:rPr>
          <w:lang w:val="en-US"/>
        </w:rPr>
        <w:t>kg</w:t>
      </w:r>
      <w:r w:rsidRPr="00D46483">
        <w:rPr>
          <w:lang w:val="ru-RU"/>
        </w:rPr>
        <w:t>/</w:t>
      </w:r>
      <w:r>
        <w:rPr>
          <w:lang w:val="en-US"/>
        </w:rPr>
        <w:t>h</w:t>
      </w:r>
      <w:r w:rsidRPr="00D46483">
        <w:rPr>
          <w:lang w:val="ru-RU"/>
        </w:rPr>
        <w:t xml:space="preserve">. </w:t>
      </w:r>
      <w:r>
        <w:t>В екстремни случаи на брадикардия може да се наложи поставяне на временен пейсмейкър.</w:t>
      </w:r>
    </w:p>
    <w:p w14:paraId="02081B24" w14:textId="1F46E296" w:rsidR="00395555" w:rsidRPr="00395555" w:rsidRDefault="002C50EE" w:rsidP="008A6AF2">
      <w:pPr>
        <w:pStyle w:val="Heading1"/>
      </w:pPr>
      <w:r>
        <w:t>5. ФАРМАКОЛОГИЧНИ СВОЙСТВА</w:t>
      </w:r>
    </w:p>
    <w:p w14:paraId="5350637D" w14:textId="09700899" w:rsidR="00395555" w:rsidRDefault="002C50EE" w:rsidP="008A6AF2">
      <w:pPr>
        <w:pStyle w:val="Heading2"/>
      </w:pPr>
      <w:r>
        <w:t>5.1. Фармакодинамични свойства</w:t>
      </w:r>
    </w:p>
    <w:p w14:paraId="2A068098" w14:textId="568004BC" w:rsidR="00D46483" w:rsidRDefault="00D46483" w:rsidP="00D46483"/>
    <w:p w14:paraId="473860D3"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Фармакотерапевтична група: Бета-блокиращи агенти, селективни, АТС код - С07АВ12</w:t>
      </w:r>
    </w:p>
    <w:p w14:paraId="41FD7DCA" w14:textId="77777777" w:rsidR="00D46483" w:rsidRPr="00D46483" w:rsidRDefault="00D46483" w:rsidP="00D46483">
      <w:pPr>
        <w:spacing w:line="240" w:lineRule="auto"/>
        <w:rPr>
          <w:rFonts w:eastAsia="Times New Roman" w:cs="Arial"/>
          <w:color w:val="000000"/>
          <w:szCs w:val="20"/>
          <w:lang w:eastAsia="bg-BG"/>
        </w:rPr>
      </w:pPr>
    </w:p>
    <w:p w14:paraId="58E75040" w14:textId="3D88BE68"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lastRenderedPageBreak/>
        <w:t xml:space="preserve">Небиволол е рацемична смес от два енантиомера, </w:t>
      </w:r>
      <w:r w:rsidRPr="00D46483">
        <w:rPr>
          <w:rFonts w:eastAsia="Times New Roman" w:cs="Arial"/>
          <w:color w:val="000000"/>
          <w:szCs w:val="20"/>
          <w:lang w:val="en-US"/>
        </w:rPr>
        <w:t>SRRR</w:t>
      </w:r>
      <w:r w:rsidRPr="00D46483">
        <w:rPr>
          <w:rFonts w:eastAsia="Times New Roman" w:cs="Arial"/>
          <w:color w:val="000000"/>
          <w:szCs w:val="20"/>
          <w:lang w:eastAsia="bg-BG"/>
        </w:rPr>
        <w:t xml:space="preserve">-небиволол (или </w:t>
      </w:r>
      <w:r w:rsidRPr="00D46483">
        <w:rPr>
          <w:rFonts w:eastAsia="Times New Roman" w:cs="Arial"/>
          <w:color w:val="000000"/>
          <w:szCs w:val="20"/>
          <w:lang w:val="en-US"/>
        </w:rPr>
        <w:t>d</w:t>
      </w:r>
      <w:r w:rsidRPr="00D46483">
        <w:rPr>
          <w:rFonts w:eastAsia="Times New Roman" w:cs="Arial"/>
          <w:color w:val="000000"/>
          <w:szCs w:val="20"/>
          <w:lang w:eastAsia="bg-BG"/>
        </w:rPr>
        <w:t xml:space="preserve">-небиволол) и </w:t>
      </w:r>
      <w:r w:rsidRPr="00D46483">
        <w:rPr>
          <w:rFonts w:eastAsia="Times New Roman" w:cs="Arial"/>
          <w:color w:val="000000"/>
          <w:szCs w:val="20"/>
          <w:lang w:val="en-US"/>
        </w:rPr>
        <w:t>RSSS</w:t>
      </w:r>
      <w:r w:rsidRPr="00D46483">
        <w:rPr>
          <w:rFonts w:eastAsia="Times New Roman" w:cs="Arial"/>
          <w:color w:val="000000"/>
          <w:szCs w:val="20"/>
          <w:lang w:val="ru-RU"/>
        </w:rPr>
        <w:t xml:space="preserve">- </w:t>
      </w:r>
      <w:r w:rsidRPr="00D46483">
        <w:rPr>
          <w:rFonts w:eastAsia="Times New Roman" w:cs="Arial"/>
          <w:color w:val="000000"/>
          <w:szCs w:val="20"/>
          <w:lang w:eastAsia="bg-BG"/>
        </w:rPr>
        <w:t xml:space="preserve">небиволол (или </w:t>
      </w:r>
      <w:r w:rsidRPr="00D46483">
        <w:rPr>
          <w:rFonts w:eastAsia="Times New Roman" w:cs="Arial"/>
          <w:color w:val="000000"/>
          <w:szCs w:val="20"/>
          <w:lang w:val="en-US"/>
        </w:rPr>
        <w:t>L</w:t>
      </w:r>
      <w:r w:rsidRPr="00D46483">
        <w:rPr>
          <w:rFonts w:eastAsia="Times New Roman" w:cs="Arial"/>
          <w:color w:val="000000"/>
          <w:szCs w:val="20"/>
          <w:lang w:eastAsia="bg-BG"/>
        </w:rPr>
        <w:t>-небиволол).</w:t>
      </w:r>
    </w:p>
    <w:p w14:paraId="4D0B1746" w14:textId="77777777" w:rsidR="00D46483" w:rsidRPr="00D46483" w:rsidRDefault="00D46483" w:rsidP="00D46483">
      <w:pPr>
        <w:spacing w:line="240" w:lineRule="auto"/>
        <w:rPr>
          <w:rFonts w:eastAsia="Times New Roman" w:cs="Arial"/>
          <w:color w:val="000000"/>
          <w:szCs w:val="20"/>
          <w:u w:val="single"/>
          <w:lang w:eastAsia="bg-BG"/>
        </w:rPr>
      </w:pPr>
    </w:p>
    <w:p w14:paraId="3CFE79AC" w14:textId="084EAB3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Механизъм на действие и фармакодинамични ефекти</w:t>
      </w:r>
    </w:p>
    <w:p w14:paraId="098E8DD6"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Небиволол съчетава два фармакологични ефекта:</w:t>
      </w:r>
    </w:p>
    <w:p w14:paraId="065DC80E" w14:textId="77777777" w:rsidR="00D46483" w:rsidRDefault="00D46483" w:rsidP="00D46483">
      <w:pPr>
        <w:pStyle w:val="ListParagraph"/>
        <w:numPr>
          <w:ilvl w:val="0"/>
          <w:numId w:val="37"/>
        </w:numPr>
        <w:spacing w:line="240" w:lineRule="auto"/>
        <w:rPr>
          <w:rFonts w:eastAsia="Times New Roman" w:cs="Arial"/>
          <w:color w:val="000000"/>
          <w:szCs w:val="20"/>
          <w:lang w:eastAsia="bg-BG"/>
        </w:rPr>
      </w:pPr>
      <w:r w:rsidRPr="00D46483">
        <w:rPr>
          <w:rFonts w:eastAsia="Times New Roman" w:cs="Arial"/>
          <w:color w:val="000000"/>
          <w:szCs w:val="20"/>
          <w:lang w:eastAsia="bg-BG"/>
        </w:rPr>
        <w:t xml:space="preserve">конкурентен и селективен бета-рецепторен антагонистичен ефект. Този ефект се дължи на </w:t>
      </w:r>
      <w:r w:rsidRPr="00D46483">
        <w:rPr>
          <w:rFonts w:eastAsia="Times New Roman" w:cs="Arial"/>
          <w:color w:val="000000"/>
          <w:szCs w:val="20"/>
          <w:lang w:val="en-US"/>
        </w:rPr>
        <w:t>SRRR</w:t>
      </w:r>
      <w:r w:rsidRPr="00D46483">
        <w:rPr>
          <w:rFonts w:eastAsia="Times New Roman" w:cs="Arial"/>
          <w:color w:val="000000"/>
          <w:szCs w:val="20"/>
          <w:lang w:eastAsia="bg-BG"/>
        </w:rPr>
        <w:t xml:space="preserve">-енантиомера </w:t>
      </w:r>
      <w:r w:rsidRPr="00D46483">
        <w:rPr>
          <w:rFonts w:eastAsia="Times New Roman" w:cs="Arial"/>
          <w:color w:val="000000"/>
          <w:szCs w:val="20"/>
          <w:lang w:val="ru-RU"/>
        </w:rPr>
        <w:t>(</w:t>
      </w:r>
      <w:r w:rsidRPr="00D46483">
        <w:rPr>
          <w:rFonts w:eastAsia="Times New Roman" w:cs="Arial"/>
          <w:color w:val="000000"/>
          <w:szCs w:val="20"/>
          <w:lang w:val="en-US"/>
        </w:rPr>
        <w:t>d</w:t>
      </w:r>
      <w:r w:rsidRPr="00D46483">
        <w:rPr>
          <w:rFonts w:eastAsia="Times New Roman" w:cs="Arial"/>
          <w:color w:val="000000"/>
          <w:szCs w:val="20"/>
          <w:lang w:eastAsia="bg-BG"/>
        </w:rPr>
        <w:t>-енантиомера).</w:t>
      </w:r>
    </w:p>
    <w:p w14:paraId="0F71B4FB" w14:textId="63747949" w:rsidR="00D46483" w:rsidRPr="00D46483" w:rsidRDefault="00D46483" w:rsidP="00D46483">
      <w:pPr>
        <w:pStyle w:val="ListParagraph"/>
        <w:numPr>
          <w:ilvl w:val="0"/>
          <w:numId w:val="37"/>
        </w:numPr>
        <w:spacing w:line="240" w:lineRule="auto"/>
        <w:rPr>
          <w:rFonts w:eastAsia="Times New Roman" w:cs="Arial"/>
          <w:color w:val="000000"/>
          <w:szCs w:val="20"/>
          <w:lang w:eastAsia="bg-BG"/>
        </w:rPr>
      </w:pPr>
      <w:r w:rsidRPr="00D46483">
        <w:rPr>
          <w:rFonts w:eastAsia="Times New Roman" w:cs="Arial"/>
          <w:color w:val="000000"/>
          <w:szCs w:val="20"/>
          <w:lang w:eastAsia="bg-BG"/>
        </w:rPr>
        <w:t xml:space="preserve">проявява слабо вазодилатативно действие в резултат на взаимодействие със системата </w:t>
      </w:r>
      <w:r w:rsidRPr="00D46483">
        <w:rPr>
          <w:rFonts w:eastAsia="Times New Roman" w:cs="Arial"/>
          <w:color w:val="000000"/>
          <w:szCs w:val="20"/>
          <w:lang w:val="en-US"/>
        </w:rPr>
        <w:t>L</w:t>
      </w:r>
      <w:r w:rsidRPr="00D46483">
        <w:rPr>
          <w:rFonts w:eastAsia="Times New Roman" w:cs="Arial"/>
          <w:color w:val="000000"/>
          <w:szCs w:val="20"/>
          <w:lang w:eastAsia="bg-BG"/>
        </w:rPr>
        <w:t>-аргинин/азотен окис.</w:t>
      </w:r>
    </w:p>
    <w:p w14:paraId="2BFF9D9F" w14:textId="77777777" w:rsidR="00D46483" w:rsidRPr="00D46483" w:rsidRDefault="00D46483" w:rsidP="00D46483">
      <w:pPr>
        <w:spacing w:line="240" w:lineRule="auto"/>
        <w:rPr>
          <w:rFonts w:eastAsia="Times New Roman" w:cs="Arial"/>
          <w:color w:val="000000"/>
          <w:szCs w:val="20"/>
          <w:u w:val="single"/>
          <w:lang w:eastAsia="bg-BG"/>
        </w:rPr>
      </w:pPr>
    </w:p>
    <w:p w14:paraId="1838A9F3" w14:textId="4E158E44"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Клинична ефикасност и безопасност</w:t>
      </w:r>
    </w:p>
    <w:p w14:paraId="50DC7B8F"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Еднократното и многократно приложение на небиволол понижава сърдечната честота и артериалното налягане в покой и при усилие при нормотензивни индивиди и хипертензивни пациенти. Антихипертензивният ефект се запазва и при продължително лечение.</w:t>
      </w:r>
    </w:p>
    <w:p w14:paraId="357D0434"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В терапевтични дози небиволол е лишен от алфа-антагонистична активност.</w:t>
      </w:r>
    </w:p>
    <w:p w14:paraId="1816FDE8"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При остро и продължително лечение на хипертоници с небиволол се понижава периферното системно съдово съпротивление. Благодарение на увеличаване на ударния обем, независимо от намаляване на сърдечната честота, се ограничава намалението на минутния сърдечен обем в покой и при движение. Все още не е добре установено клиничното значение на тези хемодинамични параметри в сравнение с други селективни бета</w:t>
      </w:r>
      <w:r w:rsidRPr="00D46483">
        <w:rPr>
          <w:rFonts w:eastAsia="Times New Roman" w:cs="Arial"/>
          <w:color w:val="000000"/>
          <w:szCs w:val="20"/>
          <w:vertAlign w:val="subscript"/>
          <w:lang w:eastAsia="bg-BG"/>
        </w:rPr>
        <w:t>1</w:t>
      </w:r>
      <w:r w:rsidRPr="00D46483">
        <w:rPr>
          <w:rFonts w:eastAsia="Times New Roman" w:cs="Arial"/>
          <w:color w:val="000000"/>
          <w:szCs w:val="20"/>
          <w:lang w:eastAsia="bg-BG"/>
        </w:rPr>
        <w:t>-блокери.</w:t>
      </w:r>
    </w:p>
    <w:p w14:paraId="45177DE7"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При хипертоници небиволол повишава </w:t>
      </w:r>
      <w:r w:rsidRPr="00D46483">
        <w:rPr>
          <w:rFonts w:eastAsia="Times New Roman" w:cs="Arial"/>
          <w:color w:val="000000"/>
          <w:szCs w:val="20"/>
          <w:lang w:val="en-US"/>
        </w:rPr>
        <w:t>NO</w:t>
      </w:r>
      <w:r w:rsidRPr="00D46483">
        <w:rPr>
          <w:rFonts w:eastAsia="Times New Roman" w:cs="Arial"/>
          <w:color w:val="000000"/>
          <w:szCs w:val="20"/>
          <w:lang w:eastAsia="bg-BG"/>
        </w:rPr>
        <w:t>-медиирания отговор на съдовете към ацетилхолин, който е понижен при пациенти с ендотелна дисфункция.</w:t>
      </w:r>
    </w:p>
    <w:p w14:paraId="3145F1D8"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В плацебо-контролирано проучване за заболеваемост и смъртност с 2128 пациенти ≥ 70 години (средна възраст 75,2 години) със стабилна хронична сърдечна недостатъчност с или без нарушена левокамерна фракция на изтласкване </w:t>
      </w:r>
      <w:r w:rsidRPr="00D46483">
        <w:rPr>
          <w:rFonts w:eastAsia="Times New Roman" w:cs="Arial"/>
          <w:color w:val="000000"/>
          <w:szCs w:val="20"/>
          <w:lang w:val="ru-RU"/>
        </w:rPr>
        <w:t>(</w:t>
      </w:r>
      <w:r w:rsidRPr="00D46483">
        <w:rPr>
          <w:rFonts w:eastAsia="Times New Roman" w:cs="Arial"/>
          <w:color w:val="000000"/>
          <w:szCs w:val="20"/>
          <w:lang w:val="en-US"/>
        </w:rPr>
        <w:t>LVEF</w:t>
      </w:r>
      <w:r w:rsidRPr="00D46483">
        <w:rPr>
          <w:rFonts w:eastAsia="Times New Roman" w:cs="Arial"/>
          <w:color w:val="000000"/>
          <w:szCs w:val="20"/>
          <w:lang w:val="ru-RU"/>
        </w:rPr>
        <w:t xml:space="preserve">: </w:t>
      </w:r>
      <w:r w:rsidRPr="00D46483">
        <w:rPr>
          <w:rFonts w:eastAsia="Times New Roman" w:cs="Arial"/>
          <w:color w:val="000000"/>
          <w:szCs w:val="20"/>
          <w:lang w:eastAsia="bg-BG"/>
        </w:rPr>
        <w:t xml:space="preserve">36 ± 12.3%, при следното разпределение: </w:t>
      </w:r>
      <w:r w:rsidRPr="00D46483">
        <w:rPr>
          <w:rFonts w:eastAsia="Times New Roman" w:cs="Arial"/>
          <w:color w:val="000000"/>
          <w:szCs w:val="20"/>
          <w:lang w:val="en-US"/>
        </w:rPr>
        <w:t>LVEF</w:t>
      </w:r>
      <w:r w:rsidRPr="00D46483">
        <w:rPr>
          <w:rFonts w:eastAsia="Times New Roman" w:cs="Arial"/>
          <w:color w:val="000000"/>
          <w:szCs w:val="20"/>
          <w:lang w:val="ru-RU"/>
        </w:rPr>
        <w:t xml:space="preserve"> </w:t>
      </w:r>
      <w:r w:rsidRPr="00D46483">
        <w:rPr>
          <w:rFonts w:eastAsia="Times New Roman" w:cs="Arial"/>
          <w:color w:val="000000"/>
          <w:szCs w:val="20"/>
          <w:lang w:eastAsia="bg-BG"/>
        </w:rPr>
        <w:t xml:space="preserve">по-малко от 35% при 56% от пациентите, </w:t>
      </w:r>
      <w:r w:rsidRPr="00D46483">
        <w:rPr>
          <w:rFonts w:eastAsia="Times New Roman" w:cs="Arial"/>
          <w:color w:val="000000"/>
          <w:szCs w:val="20"/>
          <w:lang w:val="en-US"/>
        </w:rPr>
        <w:t>LVEF</w:t>
      </w:r>
      <w:r w:rsidRPr="00D46483">
        <w:rPr>
          <w:rFonts w:eastAsia="Times New Roman" w:cs="Arial"/>
          <w:color w:val="000000"/>
          <w:szCs w:val="20"/>
          <w:lang w:val="ru-RU"/>
        </w:rPr>
        <w:t xml:space="preserve"> </w:t>
      </w:r>
      <w:r w:rsidRPr="00D46483">
        <w:rPr>
          <w:rFonts w:eastAsia="Times New Roman" w:cs="Arial"/>
          <w:color w:val="000000"/>
          <w:szCs w:val="20"/>
          <w:lang w:eastAsia="bg-BG"/>
        </w:rPr>
        <w:t xml:space="preserve">между 35% и 45% при 25% от пациентите и </w:t>
      </w:r>
      <w:r w:rsidRPr="00D46483">
        <w:rPr>
          <w:rFonts w:eastAsia="Times New Roman" w:cs="Arial"/>
          <w:color w:val="000000"/>
          <w:szCs w:val="20"/>
          <w:lang w:val="en-US"/>
        </w:rPr>
        <w:t>LVEF</w:t>
      </w:r>
      <w:r w:rsidRPr="00D46483">
        <w:rPr>
          <w:rFonts w:eastAsia="Times New Roman" w:cs="Arial"/>
          <w:color w:val="000000"/>
          <w:szCs w:val="20"/>
          <w:lang w:val="ru-RU"/>
        </w:rPr>
        <w:t xml:space="preserve"> </w:t>
      </w:r>
      <w:r w:rsidRPr="00D46483">
        <w:rPr>
          <w:rFonts w:eastAsia="Times New Roman" w:cs="Arial"/>
          <w:color w:val="000000"/>
          <w:szCs w:val="20"/>
          <w:lang w:eastAsia="bg-BG"/>
        </w:rPr>
        <w:t>повече от 45% при 19% от пациентите) проследени в продължение средно на 20 месеца, небиволол, добавен към стандартното лечение, сигнификантно удължава времето до проява на смъртен изход или хоспитализация по повод сърдечно-съдови събития (първична крайна точка за ефикасност), като релативният риск намалява с 14% (абсолютно намаление: 4,2%). Намалението на риска се проявява след 6-тия месец от началото на лечението и се поддържа по време на цялото лечение (средна продължителност 18 месеца).</w:t>
      </w:r>
    </w:p>
    <w:p w14:paraId="08427F03" w14:textId="34CF7857" w:rsidR="00D46483" w:rsidRPr="00D46483" w:rsidRDefault="00D46483" w:rsidP="00D46483">
      <w:pPr>
        <w:rPr>
          <w:rFonts w:eastAsia="Times New Roman" w:cs="Arial"/>
          <w:color w:val="000000"/>
          <w:szCs w:val="20"/>
          <w:lang w:eastAsia="bg-BG"/>
        </w:rPr>
      </w:pPr>
      <w:r w:rsidRPr="00D46483">
        <w:rPr>
          <w:rFonts w:eastAsia="Times New Roman" w:cs="Arial"/>
          <w:color w:val="000000"/>
          <w:szCs w:val="20"/>
          <w:lang w:eastAsia="bg-BG"/>
        </w:rPr>
        <w:t>Ефектът на небиволол е независим от възраст, пол и левокамерна фракция на изтеласкване на проучваната популация. Ползите по отношение на общата смъртност не достигат сигнификантна разлика в сравнение с плацебо (абсолютно намаление 2,3%).</w:t>
      </w:r>
    </w:p>
    <w:p w14:paraId="16485FCC" w14:textId="56D06F17" w:rsidR="00D46483" w:rsidRDefault="00D46483" w:rsidP="00D46483"/>
    <w:p w14:paraId="6E664702" w14:textId="77777777" w:rsidR="00D46483" w:rsidRPr="00D46483" w:rsidRDefault="00D46483" w:rsidP="00D46483">
      <w:pPr>
        <w:rPr>
          <w:sz w:val="24"/>
          <w:szCs w:val="24"/>
        </w:rPr>
      </w:pPr>
      <w:r w:rsidRPr="00D46483">
        <w:rPr>
          <w:lang w:eastAsia="bg-BG"/>
        </w:rPr>
        <w:t>Намаление на внезапната сърдечна смърт се наблюдава при пациентите, лекувани с небиволол (4,1% спрямо 6,6%, релативно намаление с 38%).</w:t>
      </w:r>
    </w:p>
    <w:p w14:paraId="64BF171A" w14:textId="77777777" w:rsidR="00D46483" w:rsidRPr="00D46483" w:rsidRDefault="00D46483" w:rsidP="00D46483">
      <w:pPr>
        <w:rPr>
          <w:sz w:val="24"/>
          <w:szCs w:val="24"/>
        </w:rPr>
      </w:pPr>
      <w:r w:rsidRPr="00D46483">
        <w:rPr>
          <w:i/>
          <w:iCs/>
          <w:lang w:val="en-US"/>
        </w:rPr>
        <w:t>In</w:t>
      </w:r>
      <w:r w:rsidRPr="00D46483">
        <w:rPr>
          <w:i/>
          <w:iCs/>
          <w:lang w:val="ru-RU"/>
        </w:rPr>
        <w:t xml:space="preserve"> </w:t>
      </w:r>
      <w:r w:rsidRPr="00D46483">
        <w:rPr>
          <w:i/>
          <w:iCs/>
          <w:lang w:val="en-US"/>
        </w:rPr>
        <w:t>vitro</w:t>
      </w:r>
      <w:r w:rsidRPr="00D46483">
        <w:rPr>
          <w:lang w:val="ru-RU"/>
        </w:rPr>
        <w:t xml:space="preserve"> </w:t>
      </w:r>
      <w:r w:rsidRPr="00D46483">
        <w:rPr>
          <w:lang w:eastAsia="bg-BG"/>
        </w:rPr>
        <w:t xml:space="preserve">и </w:t>
      </w:r>
      <w:r w:rsidRPr="00D46483">
        <w:rPr>
          <w:i/>
          <w:iCs/>
          <w:lang w:val="en-US"/>
        </w:rPr>
        <w:t>in</w:t>
      </w:r>
      <w:r w:rsidRPr="00D46483">
        <w:rPr>
          <w:i/>
          <w:iCs/>
          <w:lang w:val="ru-RU"/>
        </w:rPr>
        <w:t xml:space="preserve"> </w:t>
      </w:r>
      <w:r w:rsidRPr="00D46483">
        <w:rPr>
          <w:i/>
          <w:iCs/>
          <w:lang w:val="en-US"/>
        </w:rPr>
        <w:t>vivo</w:t>
      </w:r>
      <w:r w:rsidRPr="00D46483">
        <w:rPr>
          <w:lang w:val="ru-RU"/>
        </w:rPr>
        <w:t xml:space="preserve"> </w:t>
      </w:r>
      <w:r w:rsidRPr="00D46483">
        <w:rPr>
          <w:lang w:eastAsia="bg-BG"/>
        </w:rPr>
        <w:t>изследвания върху животни показват, че небиволол е лишен от вътрешна симпатикомиметична активност.</w:t>
      </w:r>
    </w:p>
    <w:p w14:paraId="11E6388F" w14:textId="77777777" w:rsidR="00D46483" w:rsidRPr="00D46483" w:rsidRDefault="00D46483" w:rsidP="00D46483">
      <w:pPr>
        <w:rPr>
          <w:sz w:val="24"/>
          <w:szCs w:val="24"/>
        </w:rPr>
      </w:pPr>
      <w:r w:rsidRPr="00D46483">
        <w:rPr>
          <w:i/>
          <w:iCs/>
          <w:lang w:val="en-US"/>
        </w:rPr>
        <w:t>In</w:t>
      </w:r>
      <w:r w:rsidRPr="00D46483">
        <w:rPr>
          <w:i/>
          <w:iCs/>
          <w:lang w:val="ru-RU"/>
        </w:rPr>
        <w:t xml:space="preserve"> </w:t>
      </w:r>
      <w:r w:rsidRPr="00D46483">
        <w:rPr>
          <w:i/>
          <w:iCs/>
          <w:lang w:val="en-US"/>
        </w:rPr>
        <w:t>vitro</w:t>
      </w:r>
      <w:r w:rsidRPr="00D46483">
        <w:rPr>
          <w:lang w:val="ru-RU"/>
        </w:rPr>
        <w:t xml:space="preserve"> </w:t>
      </w:r>
      <w:r w:rsidRPr="00D46483">
        <w:rPr>
          <w:lang w:eastAsia="bg-BG"/>
        </w:rPr>
        <w:t xml:space="preserve">и </w:t>
      </w:r>
      <w:r w:rsidRPr="00D46483">
        <w:rPr>
          <w:i/>
          <w:iCs/>
          <w:lang w:val="en-US"/>
        </w:rPr>
        <w:t>in</w:t>
      </w:r>
      <w:r w:rsidRPr="00D46483">
        <w:rPr>
          <w:i/>
          <w:iCs/>
          <w:lang w:val="ru-RU"/>
        </w:rPr>
        <w:t xml:space="preserve"> </w:t>
      </w:r>
      <w:r w:rsidRPr="00D46483">
        <w:rPr>
          <w:i/>
          <w:iCs/>
          <w:lang w:val="en-US"/>
        </w:rPr>
        <w:t>vivo</w:t>
      </w:r>
      <w:r w:rsidRPr="00D46483">
        <w:rPr>
          <w:lang w:val="ru-RU"/>
        </w:rPr>
        <w:t xml:space="preserve"> </w:t>
      </w:r>
      <w:r w:rsidRPr="00D46483">
        <w:rPr>
          <w:lang w:eastAsia="bg-BG"/>
        </w:rPr>
        <w:t>изследвания върху животни показват, че във фармакологични дози той няма мембраностабилизиращо действие.</w:t>
      </w:r>
    </w:p>
    <w:p w14:paraId="48147FF2" w14:textId="77777777" w:rsidR="00D46483" w:rsidRPr="00D46483" w:rsidRDefault="00D46483" w:rsidP="00D46483">
      <w:pPr>
        <w:rPr>
          <w:sz w:val="24"/>
          <w:szCs w:val="24"/>
        </w:rPr>
      </w:pPr>
      <w:r w:rsidRPr="00D46483">
        <w:rPr>
          <w:lang w:eastAsia="bg-BG"/>
        </w:rPr>
        <w:t>При здрави доброволци небиволол не оказва значително действие върху максималния физически капацитет и издръжливост.</w:t>
      </w:r>
    </w:p>
    <w:p w14:paraId="453D239C" w14:textId="558BFE53" w:rsidR="00D46483" w:rsidRPr="00D46483" w:rsidRDefault="00D46483" w:rsidP="00D46483"/>
    <w:p w14:paraId="26535098" w14:textId="557D3104" w:rsidR="00395555" w:rsidRDefault="002C50EE" w:rsidP="008A6AF2">
      <w:pPr>
        <w:pStyle w:val="Heading2"/>
      </w:pPr>
      <w:r>
        <w:lastRenderedPageBreak/>
        <w:t>5.2. Фармакокинетични свойства</w:t>
      </w:r>
    </w:p>
    <w:p w14:paraId="3ECE58F2" w14:textId="0D370460" w:rsidR="00D46483" w:rsidRDefault="00D46483" w:rsidP="00D46483"/>
    <w:p w14:paraId="5CB51B7E" w14:textId="77777777" w:rsidR="00D46483" w:rsidRPr="00D46483" w:rsidRDefault="00D46483" w:rsidP="00D46483">
      <w:pPr>
        <w:pStyle w:val="Heading3"/>
        <w:rPr>
          <w:rFonts w:eastAsia="Times New Roman"/>
          <w:sz w:val="28"/>
          <w:u w:val="single"/>
        </w:rPr>
      </w:pPr>
      <w:r w:rsidRPr="00D46483">
        <w:rPr>
          <w:rFonts w:eastAsia="Times New Roman"/>
          <w:u w:val="single"/>
          <w:lang w:eastAsia="bg-BG"/>
        </w:rPr>
        <w:t>Абсорбция</w:t>
      </w:r>
    </w:p>
    <w:p w14:paraId="2AEC90C2"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И двата енантиомера се абсорбират бързо след перорално приложение. Абсорбцията на небиволол не се повлиява от храната. Той може да се приема с или без храна.</w:t>
      </w:r>
    </w:p>
    <w:p w14:paraId="712B13FC" w14:textId="77777777" w:rsidR="00D46483" w:rsidRPr="00D46483" w:rsidRDefault="00D46483" w:rsidP="00D46483">
      <w:pPr>
        <w:spacing w:line="240" w:lineRule="auto"/>
        <w:rPr>
          <w:rFonts w:eastAsia="Times New Roman" w:cs="Arial"/>
          <w:color w:val="000000"/>
          <w:szCs w:val="20"/>
          <w:u w:val="single"/>
          <w:lang w:eastAsia="bg-BG"/>
        </w:rPr>
      </w:pPr>
    </w:p>
    <w:p w14:paraId="3DF3B653" w14:textId="750C3A72" w:rsidR="00D46483" w:rsidRPr="00D46483" w:rsidRDefault="00D46483" w:rsidP="00D46483">
      <w:pPr>
        <w:pStyle w:val="Heading3"/>
        <w:rPr>
          <w:rFonts w:eastAsia="Times New Roman"/>
          <w:color w:val="auto"/>
          <w:sz w:val="28"/>
          <w:u w:val="single"/>
        </w:rPr>
      </w:pPr>
      <w:r w:rsidRPr="00D46483">
        <w:rPr>
          <w:rFonts w:eastAsia="Times New Roman"/>
          <w:u w:val="single"/>
          <w:lang w:eastAsia="bg-BG"/>
        </w:rPr>
        <w:t>Разпределение</w:t>
      </w:r>
    </w:p>
    <w:p w14:paraId="7A94362D" w14:textId="4964E00A"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И двата енантиомера в плазмата се свързват главно с албумина. Свързването с плазмените протеини е 98,1% за </w:t>
      </w:r>
      <w:r w:rsidRPr="00D46483">
        <w:rPr>
          <w:rFonts w:eastAsia="Times New Roman" w:cs="Arial"/>
          <w:color w:val="000000"/>
          <w:szCs w:val="20"/>
          <w:lang w:val="en-US"/>
        </w:rPr>
        <w:t>SRRR</w:t>
      </w:r>
      <w:r w:rsidRPr="00D46483">
        <w:rPr>
          <w:rFonts w:eastAsia="Times New Roman" w:cs="Arial"/>
          <w:color w:val="000000"/>
          <w:szCs w:val="20"/>
          <w:lang w:eastAsia="bg-BG"/>
        </w:rPr>
        <w:t xml:space="preserve">-небиволол и 97,9% за </w:t>
      </w:r>
      <w:r w:rsidRPr="00D46483">
        <w:rPr>
          <w:rFonts w:eastAsia="Times New Roman" w:cs="Arial"/>
          <w:color w:val="000000"/>
          <w:szCs w:val="20"/>
          <w:lang w:val="en-US"/>
        </w:rPr>
        <w:t>RSSS</w:t>
      </w:r>
      <w:r w:rsidRPr="00D46483">
        <w:rPr>
          <w:rFonts w:eastAsia="Times New Roman" w:cs="Arial"/>
          <w:color w:val="000000"/>
          <w:szCs w:val="20"/>
          <w:lang w:eastAsia="bg-BG"/>
        </w:rPr>
        <w:t>-небиволол.</w:t>
      </w:r>
    </w:p>
    <w:p w14:paraId="40F5C5D4" w14:textId="77777777" w:rsidR="00D46483" w:rsidRPr="00D46483" w:rsidRDefault="00D46483" w:rsidP="00D46483">
      <w:pPr>
        <w:spacing w:line="240" w:lineRule="auto"/>
        <w:rPr>
          <w:rFonts w:eastAsia="Times New Roman" w:cs="Arial"/>
          <w:color w:val="000000"/>
          <w:szCs w:val="20"/>
          <w:u w:val="single"/>
          <w:lang w:eastAsia="bg-BG"/>
        </w:rPr>
      </w:pPr>
    </w:p>
    <w:p w14:paraId="22EF494C" w14:textId="5890AAD0" w:rsidR="00D46483" w:rsidRPr="00D46483" w:rsidRDefault="00D46483" w:rsidP="00D46483">
      <w:pPr>
        <w:pStyle w:val="Heading3"/>
        <w:rPr>
          <w:rFonts w:eastAsia="Times New Roman"/>
          <w:sz w:val="28"/>
          <w:u w:val="single"/>
        </w:rPr>
      </w:pPr>
      <w:r w:rsidRPr="00D46483">
        <w:rPr>
          <w:rFonts w:eastAsia="Times New Roman"/>
          <w:u w:val="single"/>
          <w:lang w:eastAsia="bg-BG"/>
        </w:rPr>
        <w:t>Биотрансформация</w:t>
      </w:r>
    </w:p>
    <w:p w14:paraId="50DBA048"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Небиволол се подлага на екстензивен метаболизъм, отчасти в активни хидрокси метаболити. Небиволол се метаболизира чрез алициклично и ароматно хидроксилиране, </w:t>
      </w:r>
      <w:r w:rsidRPr="00D46483">
        <w:rPr>
          <w:rFonts w:eastAsia="Times New Roman" w:cs="Arial"/>
          <w:color w:val="000000"/>
          <w:szCs w:val="20"/>
          <w:lang w:val="en-US"/>
        </w:rPr>
        <w:t>N</w:t>
      </w:r>
      <w:r w:rsidRPr="00D46483">
        <w:rPr>
          <w:rFonts w:eastAsia="Times New Roman" w:cs="Arial"/>
          <w:color w:val="000000"/>
          <w:szCs w:val="20"/>
          <w:lang w:eastAsia="bg-BG"/>
        </w:rPr>
        <w:t xml:space="preserve">-деалкилизиране и глюкуронизиране; допълнително се образуват глюкурониди и хидрокси метаболити. Метаболизмът на небиволол чрез ароматно дехидроксилиране е обект на </w:t>
      </w:r>
      <w:r w:rsidRPr="00D46483">
        <w:rPr>
          <w:rFonts w:eastAsia="Times New Roman" w:cs="Arial"/>
          <w:color w:val="000000"/>
          <w:szCs w:val="20"/>
          <w:lang w:val="en-US"/>
        </w:rPr>
        <w:t>CYP</w:t>
      </w:r>
      <w:r w:rsidRPr="00D46483">
        <w:rPr>
          <w:rFonts w:eastAsia="Times New Roman" w:cs="Arial"/>
          <w:color w:val="000000"/>
          <w:szCs w:val="20"/>
          <w:lang w:val="ru-RU"/>
        </w:rPr>
        <w:t>2</w:t>
      </w:r>
      <w:r w:rsidRPr="00D46483">
        <w:rPr>
          <w:rFonts w:eastAsia="Times New Roman" w:cs="Arial"/>
          <w:color w:val="000000"/>
          <w:szCs w:val="20"/>
          <w:lang w:val="en-US"/>
        </w:rPr>
        <w:t>D</w:t>
      </w:r>
      <w:r w:rsidRPr="00D46483">
        <w:rPr>
          <w:rFonts w:eastAsia="Times New Roman" w:cs="Arial"/>
          <w:color w:val="000000"/>
          <w:szCs w:val="20"/>
          <w:lang w:val="ru-RU"/>
        </w:rPr>
        <w:t xml:space="preserve">6 </w:t>
      </w:r>
      <w:r w:rsidRPr="00D46483">
        <w:rPr>
          <w:rFonts w:eastAsia="Times New Roman" w:cs="Arial"/>
          <w:color w:val="000000"/>
          <w:szCs w:val="20"/>
          <w:lang w:eastAsia="bg-BG"/>
        </w:rPr>
        <w:t xml:space="preserve">зависим оксидативен полиморфизъм. Бионаличността на небиволол при перорално приложение е 12% при пациентите с бърз метаболизъм и почти пълна при пациентите с бавен метаболизъм. При пациентите с бавен метаболизъм, пиковите плазмени концентрации на непроменения небиволол са около 23 пъти по-високи в сравнение с пациентите с бърз метаболизъм, отчетени в </w:t>
      </w:r>
      <w:r w:rsidRPr="00D46483">
        <w:rPr>
          <w:rFonts w:eastAsia="Times New Roman" w:cs="Arial"/>
          <w:color w:val="000000"/>
          <w:szCs w:val="20"/>
          <w:lang w:val="en-US"/>
        </w:rPr>
        <w:t>steady</w:t>
      </w:r>
      <w:r w:rsidRPr="00D46483">
        <w:rPr>
          <w:rFonts w:eastAsia="Times New Roman" w:cs="Arial"/>
          <w:color w:val="000000"/>
          <w:szCs w:val="20"/>
          <w:lang w:val="ru-RU"/>
        </w:rPr>
        <w:t>-</w:t>
      </w:r>
      <w:r w:rsidRPr="00D46483">
        <w:rPr>
          <w:rFonts w:eastAsia="Times New Roman" w:cs="Arial"/>
          <w:color w:val="000000"/>
          <w:szCs w:val="20"/>
          <w:lang w:val="en-US"/>
        </w:rPr>
        <w:t>state</w:t>
      </w:r>
      <w:r w:rsidRPr="00D46483">
        <w:rPr>
          <w:rFonts w:eastAsia="Times New Roman" w:cs="Arial"/>
          <w:color w:val="000000"/>
          <w:szCs w:val="20"/>
          <w:lang w:val="ru-RU"/>
        </w:rPr>
        <w:t xml:space="preserve"> </w:t>
      </w:r>
      <w:r w:rsidRPr="00D46483">
        <w:rPr>
          <w:rFonts w:eastAsia="Times New Roman" w:cs="Arial"/>
          <w:color w:val="000000"/>
          <w:szCs w:val="20"/>
          <w:lang w:eastAsia="bg-BG"/>
        </w:rPr>
        <w:t>състояние и при едни и същи дози. Ако се имат предвид сумата от непромененото лекарство плюс активните метаболити, разликите в пиковите плазмени концентрации е около 1,3-1,4 пъти. Поради разликите в скоростта на метаболизиране, дозата небиволол трябва винаги да се съобразява с индивидуалните изисквания на пациента, и в този смисъл при пациентите с бавен метаболизъм са необходими по-ниски дози.</w:t>
      </w:r>
    </w:p>
    <w:p w14:paraId="14A0C26D"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При пациентите с бърз метаболизъм, времето на полуживот на енантиомерите на небиволол е средно 10 часа. При пациентите с бавен метаболизъм, това време е 3-5 пъти по-дълго. При пациентите с бърз метаболизъм, плазмените нива на </w:t>
      </w:r>
      <w:r w:rsidRPr="00D46483">
        <w:rPr>
          <w:rFonts w:eastAsia="Times New Roman" w:cs="Arial"/>
          <w:color w:val="000000"/>
          <w:szCs w:val="20"/>
          <w:lang w:val="en-US"/>
        </w:rPr>
        <w:t>RSSS</w:t>
      </w:r>
      <w:r w:rsidRPr="00D46483">
        <w:rPr>
          <w:rFonts w:eastAsia="Times New Roman" w:cs="Arial"/>
          <w:color w:val="000000"/>
          <w:szCs w:val="20"/>
          <w:lang w:eastAsia="bg-BG"/>
        </w:rPr>
        <w:t xml:space="preserve">-енантиомера са малко по-високи от тези на </w:t>
      </w:r>
      <w:r w:rsidRPr="00D46483">
        <w:rPr>
          <w:rFonts w:eastAsia="Times New Roman" w:cs="Arial"/>
          <w:color w:val="000000"/>
          <w:szCs w:val="20"/>
          <w:lang w:val="en-US"/>
        </w:rPr>
        <w:t>SRRR</w:t>
      </w:r>
      <w:r w:rsidRPr="00D46483">
        <w:rPr>
          <w:rFonts w:eastAsia="Times New Roman" w:cs="Arial"/>
          <w:color w:val="000000"/>
          <w:szCs w:val="20"/>
          <w:lang w:eastAsia="bg-BG"/>
        </w:rPr>
        <w:t>-енантиомера. При пациентите с бавен метаболизъм тази разлика е малко по- голяма. При пациентите с бърз метаболизъм, времето на полуживот на хидроксиметаболитите на двата енантиомера е около 24 часа, а при пациентите с бавен метаболизъм е около 2 пъти по- дълго.</w:t>
      </w:r>
    </w:p>
    <w:p w14:paraId="764F8205"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 xml:space="preserve">Плазмени нива в </w:t>
      </w:r>
      <w:r w:rsidRPr="00D46483">
        <w:rPr>
          <w:rFonts w:eastAsia="Times New Roman" w:cs="Arial"/>
          <w:color w:val="000000"/>
          <w:szCs w:val="20"/>
          <w:lang w:val="en-US"/>
        </w:rPr>
        <w:t>steady</w:t>
      </w:r>
      <w:r w:rsidRPr="00D46483">
        <w:rPr>
          <w:rFonts w:eastAsia="Times New Roman" w:cs="Arial"/>
          <w:color w:val="000000"/>
          <w:szCs w:val="20"/>
          <w:lang w:val="ru-RU"/>
        </w:rPr>
        <w:t>-</w:t>
      </w:r>
      <w:r w:rsidRPr="00D46483">
        <w:rPr>
          <w:rFonts w:eastAsia="Times New Roman" w:cs="Arial"/>
          <w:color w:val="000000"/>
          <w:szCs w:val="20"/>
          <w:lang w:val="en-US"/>
        </w:rPr>
        <w:t>state</w:t>
      </w:r>
      <w:r w:rsidRPr="00D46483">
        <w:rPr>
          <w:rFonts w:eastAsia="Times New Roman" w:cs="Arial"/>
          <w:color w:val="000000"/>
          <w:szCs w:val="20"/>
          <w:lang w:val="ru-RU"/>
        </w:rPr>
        <w:t xml:space="preserve">, </w:t>
      </w:r>
      <w:r w:rsidRPr="00D46483">
        <w:rPr>
          <w:rFonts w:eastAsia="Times New Roman" w:cs="Arial"/>
          <w:color w:val="000000"/>
          <w:szCs w:val="20"/>
          <w:lang w:eastAsia="bg-BG"/>
        </w:rPr>
        <w:t>при повечето пациенти (тези с бърз метаболизъм), се постига в рамките на 24 часа за небиволол и за няколко дни за хидроксиметаболитите.</w:t>
      </w:r>
    </w:p>
    <w:p w14:paraId="26D1C574" w14:textId="77777777" w:rsidR="00D46483" w:rsidRPr="00D46483" w:rsidRDefault="00D46483" w:rsidP="00D46483">
      <w:pPr>
        <w:spacing w:line="240" w:lineRule="auto"/>
        <w:rPr>
          <w:rFonts w:eastAsia="Times New Roman" w:cs="Arial"/>
          <w:color w:val="000000"/>
          <w:szCs w:val="20"/>
          <w:u w:val="single"/>
          <w:lang w:eastAsia="bg-BG"/>
        </w:rPr>
      </w:pPr>
    </w:p>
    <w:p w14:paraId="633C0362" w14:textId="14FF7254" w:rsidR="00D46483" w:rsidRPr="00D46483" w:rsidRDefault="00D46483" w:rsidP="00D46483">
      <w:pPr>
        <w:pStyle w:val="Heading3"/>
        <w:rPr>
          <w:rFonts w:eastAsia="Times New Roman"/>
          <w:sz w:val="28"/>
          <w:u w:val="single"/>
        </w:rPr>
      </w:pPr>
      <w:r w:rsidRPr="00D46483">
        <w:rPr>
          <w:rFonts w:eastAsia="Times New Roman"/>
          <w:u w:val="single"/>
          <w:lang w:eastAsia="bg-BG"/>
        </w:rPr>
        <w:t>Елиминиране</w:t>
      </w:r>
    </w:p>
    <w:p w14:paraId="105AB353" w14:textId="77777777"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lang w:eastAsia="bg-BG"/>
        </w:rPr>
        <w:t>Една седмица след приложението, 38% от дозата се екскретира в урината и 48% във фецеса. Екскретираният непроменен небиволол в урината е по-малко от 0,5% от приетата доза.</w:t>
      </w:r>
    </w:p>
    <w:p w14:paraId="55D2D9EE" w14:textId="77777777" w:rsidR="00D46483" w:rsidRPr="00D46483" w:rsidRDefault="00D46483" w:rsidP="00D46483">
      <w:pPr>
        <w:spacing w:line="240" w:lineRule="auto"/>
        <w:rPr>
          <w:rFonts w:eastAsia="Times New Roman" w:cs="Arial"/>
          <w:color w:val="000000"/>
          <w:szCs w:val="20"/>
          <w:u w:val="single"/>
          <w:lang w:eastAsia="bg-BG"/>
        </w:rPr>
      </w:pPr>
    </w:p>
    <w:p w14:paraId="029E4023" w14:textId="3D8C98E8" w:rsidR="00D46483" w:rsidRPr="00D46483" w:rsidRDefault="00D46483" w:rsidP="00D46483">
      <w:pPr>
        <w:spacing w:line="240" w:lineRule="auto"/>
        <w:rPr>
          <w:rFonts w:eastAsia="Times New Roman" w:cs="Arial"/>
          <w:sz w:val="28"/>
          <w:szCs w:val="24"/>
        </w:rPr>
      </w:pPr>
      <w:r w:rsidRPr="00D46483">
        <w:rPr>
          <w:rFonts w:eastAsia="Times New Roman" w:cs="Arial"/>
          <w:color w:val="000000"/>
          <w:szCs w:val="20"/>
          <w:u w:val="single"/>
          <w:lang w:eastAsia="bg-BG"/>
        </w:rPr>
        <w:t>Линейност/нелинейност</w:t>
      </w:r>
    </w:p>
    <w:p w14:paraId="0C0F2F0C" w14:textId="77777777" w:rsidR="00D46483" w:rsidRPr="00D46483" w:rsidRDefault="00D46483" w:rsidP="00D46483">
      <w:pPr>
        <w:spacing w:line="240" w:lineRule="auto"/>
        <w:rPr>
          <w:rFonts w:ascii="Times New Roman" w:eastAsia="Times New Roman" w:hAnsi="Times New Roman" w:cs="Times New Roman"/>
          <w:sz w:val="24"/>
          <w:szCs w:val="24"/>
        </w:rPr>
      </w:pPr>
      <w:r w:rsidRPr="00D46483">
        <w:rPr>
          <w:rFonts w:eastAsia="Times New Roman" w:cs="Arial"/>
          <w:color w:val="000000"/>
          <w:szCs w:val="20"/>
          <w:lang w:eastAsia="bg-BG"/>
        </w:rPr>
        <w:t xml:space="preserve">Плазмените концентрации са пропорционални на дозата в рамките на 1 -30 </w:t>
      </w:r>
      <w:r w:rsidRPr="00D46483">
        <w:rPr>
          <w:rFonts w:eastAsia="Times New Roman" w:cs="Arial"/>
          <w:color w:val="000000"/>
          <w:szCs w:val="20"/>
          <w:lang w:val="en-US"/>
        </w:rPr>
        <w:t>mg</w:t>
      </w:r>
      <w:r w:rsidRPr="00D46483">
        <w:rPr>
          <w:rFonts w:eastAsia="Times New Roman" w:cs="Arial"/>
          <w:color w:val="000000"/>
          <w:szCs w:val="20"/>
          <w:lang w:val="ru-RU"/>
        </w:rPr>
        <w:t xml:space="preserve">. </w:t>
      </w:r>
      <w:r w:rsidRPr="00D46483">
        <w:rPr>
          <w:rFonts w:eastAsia="Times New Roman" w:cs="Arial"/>
          <w:color w:val="000000"/>
          <w:szCs w:val="20"/>
          <w:lang w:eastAsia="bg-BG"/>
        </w:rPr>
        <w:t>Фармакокинетиката на небиволол не се повлиява от възрастта.</w:t>
      </w:r>
    </w:p>
    <w:p w14:paraId="12AF7CCB" w14:textId="77777777" w:rsidR="00D46483" w:rsidRPr="00D46483" w:rsidRDefault="00D46483" w:rsidP="00D46483"/>
    <w:p w14:paraId="028E658A" w14:textId="6061A652" w:rsidR="00395555" w:rsidRDefault="002C50EE" w:rsidP="008A6AF2">
      <w:pPr>
        <w:pStyle w:val="Heading2"/>
      </w:pPr>
      <w:r>
        <w:t>5.3. Предклинични данни за безопасност</w:t>
      </w:r>
    </w:p>
    <w:p w14:paraId="1D36881C" w14:textId="5010585D" w:rsidR="00D46483" w:rsidRDefault="00D46483" w:rsidP="00D46483"/>
    <w:p w14:paraId="1E1AB87C" w14:textId="670B5102" w:rsidR="00D46483" w:rsidRPr="00D46483" w:rsidRDefault="00D46483" w:rsidP="00D46483">
      <w:pPr>
        <w:rPr>
          <w:lang w:val="ru-RU"/>
        </w:rPr>
      </w:pPr>
      <w:r>
        <w:t>Неклиничните данни не показват особен риск за хора на базата на конвенционалните фармакологични проучвания за генотоксичност и за канцерогенен потенциал</w:t>
      </w:r>
      <w:r w:rsidRPr="00D46483">
        <w:rPr>
          <w:lang w:val="ru-RU"/>
        </w:rPr>
        <w:t>.</w:t>
      </w:r>
    </w:p>
    <w:p w14:paraId="6A7820AB" w14:textId="382F97EA" w:rsidR="008A6AF2" w:rsidRDefault="002C50EE" w:rsidP="00395555">
      <w:pPr>
        <w:pStyle w:val="Heading1"/>
      </w:pPr>
      <w:r>
        <w:lastRenderedPageBreak/>
        <w:t>7. ПРИТЕЖАТЕЛ НА РАЗРЕШЕНИЕТО ЗА УПОТРЕБА</w:t>
      </w:r>
    </w:p>
    <w:p w14:paraId="14E3ABDA" w14:textId="7D447460" w:rsidR="00D46483" w:rsidRDefault="00D46483" w:rsidP="00D46483"/>
    <w:p w14:paraId="1E07AE9B" w14:textId="77777777" w:rsidR="00D46483" w:rsidRPr="00D46483" w:rsidRDefault="00D46483" w:rsidP="00D46483">
      <w:pPr>
        <w:rPr>
          <w:sz w:val="24"/>
          <w:szCs w:val="24"/>
        </w:rPr>
      </w:pPr>
      <w:r w:rsidRPr="00D46483">
        <w:rPr>
          <w:lang w:eastAsia="bg-BG"/>
        </w:rPr>
        <w:t>Тева Фарма ЕАД</w:t>
      </w:r>
    </w:p>
    <w:p w14:paraId="27C22463" w14:textId="77777777" w:rsidR="00D46483" w:rsidRPr="00D46483" w:rsidRDefault="00D46483" w:rsidP="00D46483">
      <w:pPr>
        <w:rPr>
          <w:sz w:val="24"/>
          <w:szCs w:val="24"/>
        </w:rPr>
      </w:pPr>
      <w:r w:rsidRPr="00D46483">
        <w:rPr>
          <w:lang w:eastAsia="bg-BG"/>
        </w:rPr>
        <w:t>ул. „Люба Величкова“ № 9,1407 София</w:t>
      </w:r>
    </w:p>
    <w:p w14:paraId="46319131" w14:textId="5DFAA6A8" w:rsidR="00D46483" w:rsidRPr="00D46483" w:rsidRDefault="00D46483" w:rsidP="00D46483">
      <w:r w:rsidRPr="00D46483">
        <w:rPr>
          <w:lang w:eastAsia="bg-BG"/>
        </w:rPr>
        <w:t>България</w:t>
      </w:r>
    </w:p>
    <w:p w14:paraId="04840D59" w14:textId="73D859D0" w:rsidR="002C50EE" w:rsidRDefault="002C50EE" w:rsidP="00395555">
      <w:pPr>
        <w:pStyle w:val="Heading1"/>
      </w:pPr>
      <w:r>
        <w:t>8. НОМЕР НА РАЗРЕШЕНИЕТО ЗА УПОТРЕБА</w:t>
      </w:r>
    </w:p>
    <w:p w14:paraId="4DFA7826" w14:textId="1CE01FC0" w:rsidR="00D46483" w:rsidRDefault="00D46483" w:rsidP="00D46483"/>
    <w:p w14:paraId="5D2EC956" w14:textId="084BE8A2" w:rsidR="00D46483" w:rsidRPr="00D46483" w:rsidRDefault="00D46483" w:rsidP="00D46483">
      <w:pPr>
        <w:rPr>
          <w:sz w:val="24"/>
          <w:szCs w:val="24"/>
        </w:rPr>
      </w:pPr>
      <w:r w:rsidRPr="00D46483">
        <w:rPr>
          <w:lang w:val="en-US"/>
        </w:rPr>
        <w:t>Per</w:t>
      </w:r>
      <w:r w:rsidRPr="00D46483">
        <w:rPr>
          <w:lang w:val="ru-RU"/>
        </w:rPr>
        <w:t xml:space="preserve">. </w:t>
      </w:r>
      <w:r w:rsidRPr="00D46483">
        <w:rPr>
          <w:lang w:eastAsia="bg-BG"/>
        </w:rPr>
        <w:t>№20070092</w:t>
      </w:r>
    </w:p>
    <w:p w14:paraId="2CCB5832" w14:textId="63283776" w:rsidR="007C605B" w:rsidRDefault="002C50EE" w:rsidP="007C605B">
      <w:pPr>
        <w:pStyle w:val="Heading1"/>
      </w:pPr>
      <w:r>
        <w:t>9. ДАТА НА ПЪРВО РАЗРЕШАВАНЕ/ПОДНОВЯВАНЕ НА РАЗРЕШЕНИЕТО ЗА УПОТРЕБА</w:t>
      </w:r>
    </w:p>
    <w:p w14:paraId="7DCC3AE1" w14:textId="77777777" w:rsidR="00D46483" w:rsidRPr="00D46483" w:rsidRDefault="00D46483" w:rsidP="00D46483">
      <w:pPr>
        <w:rPr>
          <w:sz w:val="24"/>
          <w:szCs w:val="24"/>
        </w:rPr>
      </w:pPr>
      <w:r w:rsidRPr="00D46483">
        <w:rPr>
          <w:lang w:eastAsia="bg-BG"/>
        </w:rPr>
        <w:t>Дата на първо разрешаване: 09.10.2007 г.</w:t>
      </w:r>
    </w:p>
    <w:p w14:paraId="18E494F1" w14:textId="1EFBB7F6" w:rsidR="00D46483" w:rsidRPr="00D46483" w:rsidRDefault="00D46483" w:rsidP="00D46483">
      <w:r w:rsidRPr="00D46483">
        <w:rPr>
          <w:lang w:eastAsia="bg-BG"/>
        </w:rPr>
        <w:t>Дата на последно подновяване: 12.11.2012 г.</w:t>
      </w:r>
    </w:p>
    <w:p w14:paraId="0E9D0119" w14:textId="0245C6D7" w:rsidR="002C50EE" w:rsidRDefault="002C50EE" w:rsidP="002C50EE">
      <w:pPr>
        <w:pStyle w:val="Heading1"/>
      </w:pPr>
      <w:r>
        <w:t>10. ДАТА НА АКТУАЛИЗИРАНЕ НА ТЕКСТА</w:t>
      </w:r>
    </w:p>
    <w:bookmarkEnd w:id="0"/>
    <w:p w14:paraId="43FB38A2" w14:textId="2453A084" w:rsidR="007C605B" w:rsidRPr="003E3126" w:rsidRDefault="00D46483" w:rsidP="00D46483">
      <w:r>
        <w:t>05.01.2021</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576A78"/>
    <w:multiLevelType w:val="hybridMultilevel"/>
    <w:tmpl w:val="7DBE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24B13"/>
    <w:multiLevelType w:val="hybridMultilevel"/>
    <w:tmpl w:val="A998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9148A"/>
    <w:multiLevelType w:val="hybridMultilevel"/>
    <w:tmpl w:val="3BCE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E4494"/>
    <w:multiLevelType w:val="hybridMultilevel"/>
    <w:tmpl w:val="6E669D08"/>
    <w:lvl w:ilvl="0" w:tplc="2B8E4BCC">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3FF7352E"/>
    <w:multiLevelType w:val="hybridMultilevel"/>
    <w:tmpl w:val="C7C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50895"/>
    <w:multiLevelType w:val="hybridMultilevel"/>
    <w:tmpl w:val="3BDCBDC2"/>
    <w:lvl w:ilvl="0" w:tplc="2B8E4BCC">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20"/>
  </w:num>
  <w:num w:numId="7">
    <w:abstractNumId w:val="12"/>
  </w:num>
  <w:num w:numId="8">
    <w:abstractNumId w:val="18"/>
  </w:num>
  <w:num w:numId="9">
    <w:abstractNumId w:val="2"/>
  </w:num>
  <w:num w:numId="10">
    <w:abstractNumId w:val="4"/>
  </w:num>
  <w:num w:numId="11">
    <w:abstractNumId w:val="33"/>
  </w:num>
  <w:num w:numId="12">
    <w:abstractNumId w:val="16"/>
  </w:num>
  <w:num w:numId="13">
    <w:abstractNumId w:val="23"/>
  </w:num>
  <w:num w:numId="14">
    <w:abstractNumId w:val="13"/>
  </w:num>
  <w:num w:numId="15">
    <w:abstractNumId w:val="32"/>
  </w:num>
  <w:num w:numId="16">
    <w:abstractNumId w:val="11"/>
  </w:num>
  <w:num w:numId="17">
    <w:abstractNumId w:val="28"/>
  </w:num>
  <w:num w:numId="18">
    <w:abstractNumId w:val="8"/>
  </w:num>
  <w:num w:numId="19">
    <w:abstractNumId w:val="30"/>
  </w:num>
  <w:num w:numId="20">
    <w:abstractNumId w:val="27"/>
  </w:num>
  <w:num w:numId="21">
    <w:abstractNumId w:val="21"/>
  </w:num>
  <w:num w:numId="22">
    <w:abstractNumId w:val="29"/>
  </w:num>
  <w:num w:numId="23">
    <w:abstractNumId w:val="22"/>
  </w:num>
  <w:num w:numId="24">
    <w:abstractNumId w:val="9"/>
  </w:num>
  <w:num w:numId="25">
    <w:abstractNumId w:val="26"/>
  </w:num>
  <w:num w:numId="26">
    <w:abstractNumId w:val="25"/>
  </w:num>
  <w:num w:numId="27">
    <w:abstractNumId w:val="35"/>
  </w:num>
  <w:num w:numId="28">
    <w:abstractNumId w:val="7"/>
  </w:num>
  <w:num w:numId="29">
    <w:abstractNumId w:val="24"/>
  </w:num>
  <w:num w:numId="30">
    <w:abstractNumId w:val="36"/>
  </w:num>
  <w:num w:numId="31">
    <w:abstractNumId w:val="6"/>
  </w:num>
  <w:num w:numId="32">
    <w:abstractNumId w:val="15"/>
  </w:num>
  <w:num w:numId="33">
    <w:abstractNumId w:val="5"/>
  </w:num>
  <w:num w:numId="34">
    <w:abstractNumId w:val="10"/>
  </w:num>
  <w:num w:numId="35">
    <w:abstractNumId w:val="34"/>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46483"/>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4120</Words>
  <Characters>23484</Characters>
  <Application>Microsoft Office Word</Application>
  <DocSecurity>0</DocSecurity>
  <Lines>195</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2022-02-17T10:14:00Z</dcterms:created>
  <dcterms:modified xsi:type="dcterms:W3CDTF">2022-02-17T10:14:00Z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