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74783AB3" w14:textId="77777777" w:rsidR="000D4749" w:rsidRPr="000D4749" w:rsidRDefault="000D4749" w:rsidP="000D4749">
      <w:pPr>
        <w:spacing w:line="240" w:lineRule="auto"/>
        <w:rPr>
          <w:rFonts w:eastAsia="Times New Roman" w:cs="Arial"/>
          <w:sz w:val="24"/>
          <w:szCs w:val="24"/>
          <w:lang w:val="en-US" w:eastAsia="bg-BG"/>
        </w:rPr>
      </w:pPr>
      <w:r w:rsidRPr="000D4749">
        <w:rPr>
          <w:rFonts w:eastAsia="Times New Roman" w:cs="Arial"/>
          <w:color w:val="000000"/>
          <w:lang w:val="en-US"/>
        </w:rPr>
        <w:t xml:space="preserve">NEOFORMIN </w:t>
      </w:r>
      <w:r w:rsidRPr="000D4749">
        <w:rPr>
          <w:rFonts w:eastAsia="Times New Roman" w:cs="Arial"/>
          <w:color w:val="000000"/>
          <w:lang w:eastAsia="bg-BG"/>
        </w:rPr>
        <w:t xml:space="preserve">500 </w:t>
      </w:r>
      <w:r w:rsidRPr="000D4749">
        <w:rPr>
          <w:rFonts w:eastAsia="Times New Roman" w:cs="Arial"/>
          <w:color w:val="000000"/>
          <w:lang w:val="en-US"/>
        </w:rPr>
        <w:t>mg film-coated tablets</w:t>
      </w:r>
    </w:p>
    <w:p w14:paraId="4370CFCD" w14:textId="77777777" w:rsidR="000D4749" w:rsidRPr="000D4749" w:rsidRDefault="000D4749" w:rsidP="000D4749">
      <w:pPr>
        <w:spacing w:line="240" w:lineRule="auto"/>
        <w:rPr>
          <w:rFonts w:eastAsia="Times New Roman" w:cs="Arial"/>
          <w:sz w:val="24"/>
          <w:szCs w:val="24"/>
          <w:lang w:val="en-US" w:eastAsia="bg-BG"/>
        </w:rPr>
      </w:pPr>
      <w:r w:rsidRPr="000D4749">
        <w:rPr>
          <w:rFonts w:eastAsia="Times New Roman" w:cs="Arial"/>
          <w:color w:val="000000"/>
          <w:lang w:eastAsia="bg-BG"/>
        </w:rPr>
        <w:t xml:space="preserve">НЕОФОРМИН </w:t>
      </w:r>
      <w:r w:rsidRPr="000D4749">
        <w:rPr>
          <w:rFonts w:eastAsia="Times New Roman" w:cs="Arial"/>
          <w:color w:val="000000"/>
          <w:lang w:val="en-US"/>
        </w:rPr>
        <w:t xml:space="preserve">500 mg </w:t>
      </w:r>
      <w:r w:rsidRPr="000D4749">
        <w:rPr>
          <w:rFonts w:eastAsia="Times New Roman" w:cs="Arial"/>
          <w:color w:val="000000"/>
          <w:lang w:eastAsia="bg-BG"/>
        </w:rPr>
        <w:t>филмирани таблетки</w:t>
      </w:r>
    </w:p>
    <w:p w14:paraId="0435E58A" w14:textId="77777777" w:rsidR="000D4749" w:rsidRPr="000D4749" w:rsidRDefault="000D4749" w:rsidP="000D4749">
      <w:pPr>
        <w:spacing w:line="240" w:lineRule="auto"/>
        <w:rPr>
          <w:rFonts w:eastAsia="Times New Roman" w:cs="Arial"/>
          <w:color w:val="000000"/>
          <w:lang w:val="en-US"/>
        </w:rPr>
      </w:pPr>
    </w:p>
    <w:p w14:paraId="59E0BF2B" w14:textId="4D1D9DA7" w:rsidR="000D4749" w:rsidRPr="000D4749" w:rsidRDefault="000D4749" w:rsidP="000D4749">
      <w:pPr>
        <w:spacing w:line="240" w:lineRule="auto"/>
        <w:rPr>
          <w:rFonts w:eastAsia="Times New Roman" w:cs="Arial"/>
          <w:sz w:val="24"/>
          <w:szCs w:val="24"/>
          <w:lang w:val="en-US" w:eastAsia="bg-BG"/>
        </w:rPr>
      </w:pPr>
      <w:r w:rsidRPr="000D4749">
        <w:rPr>
          <w:rFonts w:eastAsia="Times New Roman" w:cs="Arial"/>
          <w:color w:val="000000"/>
          <w:lang w:val="en-US"/>
        </w:rPr>
        <w:t>NEOFORMIN 850 mg film-coated tablets</w:t>
      </w:r>
    </w:p>
    <w:p w14:paraId="5015A1FD" w14:textId="1E12AA57" w:rsidR="00A73575" w:rsidRPr="000D4749" w:rsidRDefault="000D4749" w:rsidP="000D4749">
      <w:pPr>
        <w:rPr>
          <w:rFonts w:cs="Arial"/>
        </w:rPr>
      </w:pPr>
      <w:r w:rsidRPr="000D4749">
        <w:rPr>
          <w:rFonts w:eastAsia="Times New Roman" w:cs="Arial"/>
          <w:color w:val="000000"/>
          <w:lang w:eastAsia="bg-BG"/>
        </w:rPr>
        <w:t xml:space="preserve">НЕОФОРМИН </w:t>
      </w:r>
      <w:r w:rsidRPr="000D4749">
        <w:rPr>
          <w:rFonts w:eastAsia="Times New Roman" w:cs="Arial"/>
          <w:color w:val="000000"/>
          <w:lang w:val="en-US"/>
        </w:rPr>
        <w:t xml:space="preserve">850 mg </w:t>
      </w:r>
      <w:r w:rsidRPr="000D4749">
        <w:rPr>
          <w:rFonts w:eastAsia="Times New Roman" w:cs="Arial"/>
          <w:color w:val="000000"/>
          <w:lang w:eastAsia="bg-BG"/>
        </w:rPr>
        <w:t>филмирани таблетки</w:t>
      </w:r>
    </w:p>
    <w:p w14:paraId="1E8447D1" w14:textId="77777777" w:rsidR="0091385D" w:rsidRPr="00E3785D" w:rsidRDefault="0091385D" w:rsidP="0091385D">
      <w:pPr>
        <w:rPr>
          <w:lang w:val="en-US"/>
        </w:rPr>
      </w:pPr>
      <w:bookmarkStart w:id="1" w:name="_GoBack"/>
      <w:bookmarkEnd w:id="1"/>
    </w:p>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4DBB3193"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val="en-US"/>
        </w:rPr>
        <w:t xml:space="preserve">NEOFORMIN </w:t>
      </w:r>
      <w:r w:rsidRPr="000D4749">
        <w:rPr>
          <w:rFonts w:eastAsia="Times New Roman" w:cs="Arial"/>
          <w:color w:val="000000"/>
          <w:lang w:eastAsia="bg-BG"/>
        </w:rPr>
        <w:t xml:space="preserve">500 </w:t>
      </w:r>
      <w:r w:rsidRPr="000D4749">
        <w:rPr>
          <w:rFonts w:eastAsia="Times New Roman" w:cs="Arial"/>
          <w:color w:val="000000"/>
          <w:lang w:val="en-US"/>
        </w:rPr>
        <w:t xml:space="preserve">mg </w:t>
      </w:r>
      <w:r w:rsidRPr="000D4749">
        <w:rPr>
          <w:rFonts w:eastAsia="Times New Roman" w:cs="Arial"/>
          <w:color w:val="000000"/>
          <w:lang w:eastAsia="bg-BG"/>
        </w:rPr>
        <w:t xml:space="preserve">- Всяка филмирана таблетка съдържа 500 </w:t>
      </w:r>
      <w:r w:rsidRPr="000D4749">
        <w:rPr>
          <w:rFonts w:eastAsia="Times New Roman" w:cs="Arial"/>
          <w:color w:val="000000"/>
          <w:lang w:val="en-US"/>
        </w:rPr>
        <w:t xml:space="preserve">mg </w:t>
      </w:r>
      <w:r w:rsidRPr="000D4749">
        <w:rPr>
          <w:rFonts w:eastAsia="Times New Roman" w:cs="Arial"/>
          <w:color w:val="000000"/>
          <w:lang w:eastAsia="bg-BG"/>
        </w:rPr>
        <w:t xml:space="preserve">метформинов хидрохлорид </w:t>
      </w:r>
      <w:r w:rsidRPr="000D4749">
        <w:rPr>
          <w:rFonts w:eastAsia="Times New Roman" w:cs="Arial"/>
          <w:i/>
          <w:iCs/>
          <w:color w:val="000000"/>
          <w:lang w:val="en-US"/>
        </w:rPr>
        <w:t>(metformin hydrochloride).</w:t>
      </w:r>
    </w:p>
    <w:p w14:paraId="644BB00C" w14:textId="77777777" w:rsidR="000D4749" w:rsidRPr="000D4749" w:rsidRDefault="000D4749" w:rsidP="000D4749">
      <w:pPr>
        <w:spacing w:line="240" w:lineRule="auto"/>
        <w:rPr>
          <w:rFonts w:eastAsia="Times New Roman" w:cs="Arial"/>
          <w:color w:val="000000"/>
          <w:lang w:val="en-US"/>
        </w:rPr>
      </w:pPr>
    </w:p>
    <w:p w14:paraId="2169AD32" w14:textId="45DA5716"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val="en-US"/>
        </w:rPr>
        <w:t xml:space="preserve">NEOFORMIN </w:t>
      </w:r>
      <w:r w:rsidRPr="000D4749">
        <w:rPr>
          <w:rFonts w:eastAsia="Times New Roman" w:cs="Arial"/>
          <w:color w:val="000000"/>
          <w:lang w:eastAsia="bg-BG"/>
        </w:rPr>
        <w:t xml:space="preserve">850 </w:t>
      </w:r>
      <w:r w:rsidRPr="000D4749">
        <w:rPr>
          <w:rFonts w:eastAsia="Times New Roman" w:cs="Arial"/>
          <w:color w:val="000000"/>
          <w:lang w:val="en-US"/>
        </w:rPr>
        <w:t xml:space="preserve">mg - </w:t>
      </w:r>
      <w:r w:rsidRPr="000D4749">
        <w:rPr>
          <w:rFonts w:eastAsia="Times New Roman" w:cs="Arial"/>
          <w:color w:val="000000"/>
          <w:lang w:eastAsia="bg-BG"/>
        </w:rPr>
        <w:t xml:space="preserve">Всяка филмирана таблетка съдържа 850 </w:t>
      </w:r>
      <w:r w:rsidRPr="000D4749">
        <w:rPr>
          <w:rFonts w:eastAsia="Times New Roman" w:cs="Arial"/>
          <w:color w:val="000000"/>
          <w:lang w:val="en-US"/>
        </w:rPr>
        <w:t xml:space="preserve">mg </w:t>
      </w:r>
      <w:r w:rsidRPr="000D4749">
        <w:rPr>
          <w:rFonts w:eastAsia="Times New Roman" w:cs="Arial"/>
          <w:color w:val="000000"/>
          <w:lang w:eastAsia="bg-BG"/>
        </w:rPr>
        <w:t xml:space="preserve">метформинов хидрохлорид </w:t>
      </w:r>
      <w:r w:rsidRPr="000D4749">
        <w:rPr>
          <w:rFonts w:eastAsia="Times New Roman" w:cs="Arial"/>
          <w:i/>
          <w:iCs/>
          <w:color w:val="000000"/>
          <w:lang w:val="en-US"/>
        </w:rPr>
        <w:t>(metformin hydrochloride).</w:t>
      </w:r>
    </w:p>
    <w:p w14:paraId="0CFA8D9B" w14:textId="77777777" w:rsidR="000D4749" w:rsidRPr="000D4749" w:rsidRDefault="000D4749" w:rsidP="000D4749">
      <w:pPr>
        <w:rPr>
          <w:rFonts w:eastAsia="Times New Roman" w:cs="Arial"/>
          <w:color w:val="000000"/>
          <w:lang w:eastAsia="bg-BG"/>
        </w:rPr>
      </w:pPr>
    </w:p>
    <w:p w14:paraId="03110A50" w14:textId="46AD9A05" w:rsidR="0091385D" w:rsidRPr="000D4749" w:rsidRDefault="000D4749" w:rsidP="000D4749">
      <w:pPr>
        <w:rPr>
          <w:rFonts w:cs="Arial"/>
        </w:rPr>
      </w:pPr>
      <w:r w:rsidRPr="000D4749">
        <w:rPr>
          <w:rFonts w:eastAsia="Times New Roman" w:cs="Arial"/>
          <w:color w:val="000000"/>
          <w:lang w:eastAsia="bg-BG"/>
        </w:rPr>
        <w:t>За пълния списък на помощните вещества, вж.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5939A059"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Филмирани таблетки.</w:t>
      </w:r>
    </w:p>
    <w:p w14:paraId="4129ADBB" w14:textId="12C95246" w:rsidR="0091385D" w:rsidRPr="000D4749" w:rsidRDefault="000D4749" w:rsidP="000D4749">
      <w:pPr>
        <w:rPr>
          <w:rFonts w:cs="Arial"/>
        </w:rPr>
      </w:pPr>
      <w:r w:rsidRPr="000D4749">
        <w:rPr>
          <w:rFonts w:eastAsia="Times New Roman" w:cs="Arial"/>
          <w:color w:val="000000"/>
          <w:lang w:eastAsia="bg-BG"/>
        </w:rPr>
        <w:t>Бели, кръгли, двойноизпъкнали филмирани таблетки.</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51AEB32A"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Лечение на захарен диабет тип 2 при възрастни, особено такива с наднормено тегло, когато само диетата и физическите упражнения не водят до адекватен гликемичен контрол.</w:t>
      </w:r>
    </w:p>
    <w:p w14:paraId="1B415902" w14:textId="77777777" w:rsidR="000D4749" w:rsidRPr="000D4749" w:rsidRDefault="000D4749" w:rsidP="000D4749">
      <w:pPr>
        <w:pStyle w:val="ListParagraph"/>
        <w:numPr>
          <w:ilvl w:val="0"/>
          <w:numId w:val="35"/>
        </w:numPr>
        <w:spacing w:line="240" w:lineRule="auto"/>
        <w:rPr>
          <w:rFonts w:eastAsia="Times New Roman" w:cs="Arial"/>
          <w:sz w:val="24"/>
          <w:szCs w:val="24"/>
          <w:lang w:eastAsia="bg-BG"/>
        </w:rPr>
      </w:pPr>
      <w:r w:rsidRPr="000D4749">
        <w:rPr>
          <w:rFonts w:eastAsia="Times New Roman" w:cs="Arial"/>
          <w:color w:val="000000"/>
          <w:lang w:eastAsia="bg-BG"/>
        </w:rPr>
        <w:t>При възрастни, метформин може да се прилага като монотерапия или в комбинация с други перорални антидиабетни лекарствени продукти или с инсулин.</w:t>
      </w:r>
    </w:p>
    <w:p w14:paraId="73CE75FD" w14:textId="3605E57A" w:rsidR="000D4749" w:rsidRPr="000D4749" w:rsidRDefault="000D4749" w:rsidP="000D4749">
      <w:pPr>
        <w:pStyle w:val="ListParagraph"/>
        <w:numPr>
          <w:ilvl w:val="0"/>
          <w:numId w:val="35"/>
        </w:numPr>
        <w:spacing w:line="240" w:lineRule="auto"/>
        <w:rPr>
          <w:rFonts w:eastAsia="Times New Roman" w:cs="Arial"/>
          <w:sz w:val="24"/>
          <w:szCs w:val="24"/>
          <w:lang w:eastAsia="bg-BG"/>
        </w:rPr>
      </w:pPr>
      <w:r w:rsidRPr="000D4749">
        <w:rPr>
          <w:rFonts w:eastAsia="Times New Roman" w:cs="Arial"/>
          <w:color w:val="000000"/>
          <w:lang w:eastAsia="bg-BG"/>
        </w:rPr>
        <w:t>При деца над 10 години, метформин може да се прилага като монотерапия или в комбинация с инсулин.</w:t>
      </w:r>
    </w:p>
    <w:p w14:paraId="19494EED" w14:textId="77777777" w:rsidR="000D4749" w:rsidRPr="000D4749" w:rsidRDefault="000D4749" w:rsidP="000D4749">
      <w:pPr>
        <w:rPr>
          <w:rFonts w:eastAsia="Times New Roman" w:cs="Arial"/>
          <w:color w:val="000000"/>
          <w:lang w:eastAsia="bg-BG"/>
        </w:rPr>
      </w:pPr>
    </w:p>
    <w:p w14:paraId="04B2E99C" w14:textId="303FC3DA" w:rsidR="0091385D" w:rsidRPr="000D4749" w:rsidRDefault="000D4749" w:rsidP="000D4749">
      <w:pPr>
        <w:rPr>
          <w:rFonts w:cs="Arial"/>
        </w:rPr>
      </w:pPr>
      <w:r w:rsidRPr="000D4749">
        <w:rPr>
          <w:rFonts w:eastAsia="Times New Roman" w:cs="Arial"/>
          <w:color w:val="000000"/>
          <w:lang w:eastAsia="bg-BG"/>
        </w:rPr>
        <w:t>Наблюдавано е намаление на усложненията на диабета при пациенти с наднормено тегло и захарен диабет тип 2, лекувани с метформин като първа линия на лечение, след неуспех на диетичния режим (виж точка 5.1 Фармакодинамични свойства).</w:t>
      </w:r>
    </w:p>
    <w:p w14:paraId="6DFA4B9D" w14:textId="77777777" w:rsidR="0091385D" w:rsidRPr="0091385D" w:rsidRDefault="0091385D" w:rsidP="0091385D"/>
    <w:p w14:paraId="30BE2C7B" w14:textId="3633C1E4" w:rsidR="008134C8" w:rsidRDefault="002C50EE" w:rsidP="004A448E">
      <w:pPr>
        <w:pStyle w:val="Heading2"/>
      </w:pPr>
      <w:r>
        <w:lastRenderedPageBreak/>
        <w:t>4.2. Дозировка и начин на приложение</w:t>
      </w:r>
    </w:p>
    <w:p w14:paraId="7AA22B68" w14:textId="3A681DFB" w:rsidR="0091385D" w:rsidRDefault="0091385D" w:rsidP="0091385D"/>
    <w:p w14:paraId="4AF5C2BA" w14:textId="77777777" w:rsidR="000D4749" w:rsidRPr="00E3785D" w:rsidRDefault="000D4749" w:rsidP="00E3785D">
      <w:pPr>
        <w:pStyle w:val="Heading3"/>
        <w:rPr>
          <w:rFonts w:eastAsia="Times New Roman"/>
          <w:b/>
          <w:u w:val="single"/>
          <w:lang w:eastAsia="bg-BG"/>
        </w:rPr>
      </w:pPr>
      <w:bookmarkStart w:id="2" w:name="bookmark0"/>
      <w:r w:rsidRPr="00E3785D">
        <w:rPr>
          <w:rFonts w:eastAsia="Times New Roman"/>
          <w:b/>
          <w:u w:val="single"/>
          <w:lang w:eastAsia="bg-BG"/>
        </w:rPr>
        <w:t>Дозировка</w:t>
      </w:r>
      <w:bookmarkEnd w:id="2"/>
    </w:p>
    <w:p w14:paraId="513C434B"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Възрастни:</w:t>
      </w:r>
    </w:p>
    <w:p w14:paraId="347F699C" w14:textId="77777777" w:rsidR="000D4749" w:rsidRPr="000D4749" w:rsidRDefault="000D4749" w:rsidP="000D4749">
      <w:pPr>
        <w:spacing w:line="240" w:lineRule="auto"/>
        <w:rPr>
          <w:rFonts w:eastAsia="Times New Roman" w:cs="Arial"/>
          <w:i/>
          <w:iCs/>
          <w:color w:val="000000"/>
          <w:lang w:eastAsia="bg-BG"/>
        </w:rPr>
      </w:pPr>
    </w:p>
    <w:p w14:paraId="0FEE7967" w14:textId="53385E1D" w:rsidR="000D4749" w:rsidRPr="000D4749" w:rsidRDefault="000D4749" w:rsidP="000D4749">
      <w:pPr>
        <w:spacing w:line="240" w:lineRule="auto"/>
        <w:rPr>
          <w:rFonts w:eastAsia="Times New Roman" w:cs="Arial"/>
          <w:sz w:val="24"/>
          <w:szCs w:val="24"/>
          <w:lang w:eastAsia="bg-BG"/>
        </w:rPr>
      </w:pPr>
      <w:r w:rsidRPr="000D4749">
        <w:rPr>
          <w:rFonts w:eastAsia="Times New Roman" w:cs="Arial"/>
          <w:i/>
          <w:iCs/>
          <w:color w:val="000000"/>
          <w:lang w:eastAsia="bg-BG"/>
        </w:rPr>
        <w:t>Като монотерапия или в комбинация с други перорални антидиабетни средства</w:t>
      </w:r>
    </w:p>
    <w:p w14:paraId="74F2F319" w14:textId="77777777" w:rsidR="000D4749" w:rsidRPr="000D4749" w:rsidRDefault="000D4749" w:rsidP="000D4749">
      <w:pPr>
        <w:spacing w:line="240" w:lineRule="auto"/>
        <w:rPr>
          <w:rFonts w:eastAsia="Times New Roman" w:cs="Arial"/>
          <w:color w:val="000000"/>
          <w:lang w:eastAsia="bg-BG"/>
        </w:rPr>
      </w:pPr>
    </w:p>
    <w:p w14:paraId="4AB42023" w14:textId="17034ECE"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 xml:space="preserve">- Обичайната начална доза е една таблетка от 500 </w:t>
      </w:r>
      <w:r w:rsidRPr="000D4749">
        <w:rPr>
          <w:rFonts w:eastAsia="Times New Roman" w:cs="Arial"/>
          <w:color w:val="000000"/>
          <w:lang w:val="en-US"/>
        </w:rPr>
        <w:t xml:space="preserve">mg </w:t>
      </w:r>
      <w:r w:rsidRPr="000D4749">
        <w:rPr>
          <w:rFonts w:eastAsia="Times New Roman" w:cs="Arial"/>
          <w:color w:val="000000"/>
          <w:lang w:eastAsia="bg-BG"/>
        </w:rPr>
        <w:t xml:space="preserve">или 850 </w:t>
      </w:r>
      <w:r w:rsidRPr="000D4749">
        <w:rPr>
          <w:rFonts w:eastAsia="Times New Roman" w:cs="Arial"/>
          <w:color w:val="000000"/>
          <w:lang w:val="en-US"/>
        </w:rPr>
        <w:t xml:space="preserve">mg </w:t>
      </w:r>
      <w:r w:rsidRPr="000D4749">
        <w:rPr>
          <w:rFonts w:eastAsia="Times New Roman" w:cs="Arial"/>
          <w:color w:val="000000"/>
          <w:lang w:eastAsia="bg-BG"/>
        </w:rPr>
        <w:t>два или три пъти дневно по време на хранене или след това.</w:t>
      </w:r>
    </w:p>
    <w:p w14:paraId="7B41AFA2"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След 10 до 15 дни дозата трябва да се промени въз основа на резултатите от измерването на глюкозата в кръвта. Постепенното повишаване на дозата може да</w:t>
      </w:r>
    </w:p>
    <w:p w14:paraId="21FBE0A6"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подобри поносимостта от страна на стомашно-чревния тракт.</w:t>
      </w:r>
    </w:p>
    <w:p w14:paraId="207B7A27" w14:textId="77777777" w:rsidR="000D4749" w:rsidRPr="000D4749" w:rsidRDefault="000D4749" w:rsidP="000D4749">
      <w:pPr>
        <w:rPr>
          <w:rFonts w:eastAsia="Times New Roman" w:cs="Arial"/>
          <w:sz w:val="24"/>
          <w:szCs w:val="24"/>
          <w:lang w:eastAsia="bg-BG"/>
        </w:rPr>
      </w:pPr>
      <w:r w:rsidRPr="000D4749">
        <w:rPr>
          <w:rFonts w:eastAsia="Times New Roman" w:cs="Arial"/>
          <w:color w:val="000000"/>
          <w:lang w:eastAsia="bg-BG"/>
        </w:rPr>
        <w:t xml:space="preserve">Максималната препоръчвана доза метформин е 3 </w:t>
      </w:r>
      <w:r w:rsidRPr="000D4749">
        <w:rPr>
          <w:rFonts w:eastAsia="Times New Roman" w:cs="Arial"/>
          <w:color w:val="000000"/>
          <w:lang w:val="en-US"/>
        </w:rPr>
        <w:t xml:space="preserve">g </w:t>
      </w:r>
      <w:r w:rsidRPr="000D4749">
        <w:rPr>
          <w:rFonts w:eastAsia="Times New Roman" w:cs="Arial"/>
          <w:color w:val="000000"/>
          <w:lang w:eastAsia="bg-BG"/>
        </w:rPr>
        <w:t>дневно, разделена на три отделни</w:t>
      </w:r>
      <w:r>
        <w:rPr>
          <w:rFonts w:eastAsia="Times New Roman" w:cs="Arial"/>
          <w:color w:val="000000"/>
          <w:lang w:eastAsia="bg-BG"/>
        </w:rPr>
        <w:t xml:space="preserve"> </w:t>
      </w:r>
      <w:r w:rsidRPr="000D4749">
        <w:rPr>
          <w:rFonts w:eastAsia="Times New Roman" w:cs="Arial"/>
          <w:color w:val="000000"/>
          <w:lang w:eastAsia="bg-BG"/>
        </w:rPr>
        <w:t>приема.</w:t>
      </w:r>
    </w:p>
    <w:p w14:paraId="3C09DF84"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При преминаване от друго орално антидиабетно средство: спиране на другото средство и започване лечението с метформин с посочената по-горе доза.</w:t>
      </w:r>
    </w:p>
    <w:p w14:paraId="6F9F9240" w14:textId="77777777" w:rsidR="000D4749" w:rsidRPr="000D4749" w:rsidRDefault="000D4749" w:rsidP="000D4749">
      <w:pPr>
        <w:spacing w:line="240" w:lineRule="auto"/>
        <w:rPr>
          <w:rFonts w:eastAsia="Times New Roman" w:cs="Arial"/>
          <w:i/>
          <w:iCs/>
          <w:color w:val="000000"/>
          <w:lang w:eastAsia="bg-BG"/>
        </w:rPr>
      </w:pPr>
    </w:p>
    <w:p w14:paraId="61D0B161" w14:textId="16A268EA" w:rsidR="000D4749" w:rsidRPr="000D4749" w:rsidRDefault="000D4749" w:rsidP="000D4749">
      <w:pPr>
        <w:spacing w:line="240" w:lineRule="auto"/>
        <w:rPr>
          <w:rFonts w:eastAsia="Times New Roman" w:cs="Arial"/>
          <w:sz w:val="24"/>
          <w:szCs w:val="24"/>
          <w:lang w:eastAsia="bg-BG"/>
        </w:rPr>
      </w:pPr>
      <w:r w:rsidRPr="000D4749">
        <w:rPr>
          <w:rFonts w:eastAsia="Times New Roman" w:cs="Arial"/>
          <w:i/>
          <w:iCs/>
          <w:color w:val="000000"/>
          <w:lang w:eastAsia="bg-BG"/>
        </w:rPr>
        <w:t>Комбинация с инсулин</w:t>
      </w:r>
    </w:p>
    <w:p w14:paraId="2C833FE4" w14:textId="77777777" w:rsidR="000D4749" w:rsidRPr="000D4749" w:rsidRDefault="000D4749" w:rsidP="000D4749">
      <w:pPr>
        <w:spacing w:line="240" w:lineRule="auto"/>
        <w:rPr>
          <w:rFonts w:eastAsia="Times New Roman" w:cs="Arial"/>
          <w:color w:val="000000"/>
          <w:lang w:eastAsia="bg-BG"/>
        </w:rPr>
      </w:pPr>
    </w:p>
    <w:p w14:paraId="1E31BBB2" w14:textId="57BA98C2"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 xml:space="preserve">Метформин и инсулин могат да се прилагат под формата на комбинирано лечение за постигане на по-добър контрол на кръвната захар. Метформин се прилага в обичайната начална доза от 500 </w:t>
      </w:r>
      <w:r w:rsidRPr="000D4749">
        <w:rPr>
          <w:rFonts w:eastAsia="Times New Roman" w:cs="Arial"/>
          <w:color w:val="000000"/>
          <w:lang w:val="en-US"/>
        </w:rPr>
        <w:t xml:space="preserve">mg </w:t>
      </w:r>
      <w:r w:rsidRPr="000D4749">
        <w:rPr>
          <w:rFonts w:eastAsia="Times New Roman" w:cs="Arial"/>
          <w:color w:val="000000"/>
          <w:lang w:eastAsia="bg-BG"/>
        </w:rPr>
        <w:t xml:space="preserve">или 850 </w:t>
      </w:r>
      <w:r w:rsidRPr="000D4749">
        <w:rPr>
          <w:rFonts w:eastAsia="Times New Roman" w:cs="Arial"/>
          <w:color w:val="000000"/>
          <w:lang w:val="en-US"/>
        </w:rPr>
        <w:t xml:space="preserve">mg </w:t>
      </w:r>
      <w:r w:rsidRPr="000D4749">
        <w:rPr>
          <w:rFonts w:eastAsia="Times New Roman" w:cs="Arial"/>
          <w:color w:val="000000"/>
          <w:lang w:eastAsia="bg-BG"/>
        </w:rPr>
        <w:t>таблетка 2-3 пъти дневно, докато дозата на инсулина се коригира въз основа на резултатите от измерването на глюкозата в кръвта.</w:t>
      </w:r>
    </w:p>
    <w:p w14:paraId="4D43153C" w14:textId="77777777" w:rsidR="000D4749" w:rsidRPr="000D4749" w:rsidRDefault="000D4749" w:rsidP="000D4749">
      <w:pPr>
        <w:spacing w:line="240" w:lineRule="auto"/>
        <w:rPr>
          <w:rFonts w:eastAsia="Times New Roman" w:cs="Arial"/>
          <w:b/>
          <w:bCs/>
          <w:color w:val="000000"/>
          <w:lang w:eastAsia="bg-BG"/>
        </w:rPr>
      </w:pPr>
    </w:p>
    <w:p w14:paraId="74FA4CE4" w14:textId="4236D982"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 xml:space="preserve">Пациенти в старческа възраст: </w:t>
      </w:r>
      <w:r w:rsidRPr="000D4749">
        <w:rPr>
          <w:rFonts w:eastAsia="Times New Roman" w:cs="Arial"/>
          <w:color w:val="000000"/>
          <w:lang w:eastAsia="bg-BG"/>
        </w:rPr>
        <w:t>поради възможност за намаление на бъбречната функция при пациентите в старческа възраст, дозата на метформин трябва да се определи въз основа на бъбречната функция. Необходима е редовна оценка на бъбречната функция (виж точка 4.4).</w:t>
      </w:r>
    </w:p>
    <w:p w14:paraId="0CD7239F" w14:textId="77777777" w:rsidR="000D4749" w:rsidRPr="000D4749" w:rsidRDefault="000D4749" w:rsidP="000D4749">
      <w:pPr>
        <w:spacing w:line="240" w:lineRule="auto"/>
        <w:rPr>
          <w:rFonts w:eastAsia="Times New Roman" w:cs="Arial"/>
          <w:b/>
          <w:bCs/>
          <w:color w:val="000000"/>
          <w:lang w:eastAsia="bg-BG"/>
        </w:rPr>
      </w:pPr>
    </w:p>
    <w:p w14:paraId="4164ADA1" w14:textId="219283CD"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Педиатрична популация</w:t>
      </w:r>
    </w:p>
    <w:p w14:paraId="4E65DB6B"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i/>
          <w:iCs/>
          <w:color w:val="000000"/>
          <w:lang w:eastAsia="bg-BG"/>
        </w:rPr>
        <w:t>Като монотерапия и в комбинация с инсулин</w:t>
      </w:r>
    </w:p>
    <w:p w14:paraId="43891ACC" w14:textId="77777777" w:rsidR="000D4749" w:rsidRPr="000D4749" w:rsidRDefault="000D4749" w:rsidP="000D4749">
      <w:pPr>
        <w:pStyle w:val="ListParagraph"/>
        <w:numPr>
          <w:ilvl w:val="0"/>
          <w:numId w:val="36"/>
        </w:numPr>
        <w:spacing w:line="240" w:lineRule="auto"/>
        <w:rPr>
          <w:rFonts w:eastAsia="Times New Roman" w:cs="Arial"/>
          <w:sz w:val="24"/>
          <w:szCs w:val="24"/>
          <w:lang w:eastAsia="bg-BG"/>
        </w:rPr>
      </w:pPr>
      <w:r w:rsidRPr="000D4749">
        <w:rPr>
          <w:rFonts w:eastAsia="Times New Roman" w:cs="Arial"/>
          <w:color w:val="000000"/>
          <w:lang w:eastAsia="bg-BG"/>
        </w:rPr>
        <w:t>Метформин може да се използва при деца над 10 години и юноши.</w:t>
      </w:r>
    </w:p>
    <w:p w14:paraId="662D2A04" w14:textId="2C7C9C68" w:rsidR="000D4749" w:rsidRPr="000D4749" w:rsidRDefault="000D4749" w:rsidP="000D4749">
      <w:pPr>
        <w:pStyle w:val="ListParagraph"/>
        <w:numPr>
          <w:ilvl w:val="0"/>
          <w:numId w:val="36"/>
        </w:numPr>
        <w:spacing w:line="240" w:lineRule="auto"/>
        <w:rPr>
          <w:rFonts w:eastAsia="Times New Roman" w:cs="Arial"/>
          <w:sz w:val="24"/>
          <w:szCs w:val="24"/>
          <w:lang w:eastAsia="bg-BG"/>
        </w:rPr>
      </w:pPr>
      <w:r w:rsidRPr="000D4749">
        <w:rPr>
          <w:rFonts w:eastAsia="Times New Roman" w:cs="Arial"/>
          <w:color w:val="000000"/>
          <w:lang w:eastAsia="bg-BG"/>
        </w:rPr>
        <w:t xml:space="preserve">Обичайната начална доза е една таблетка метформин от 500 </w:t>
      </w:r>
      <w:r w:rsidRPr="000D4749">
        <w:rPr>
          <w:rFonts w:eastAsia="Times New Roman" w:cs="Arial"/>
          <w:color w:val="000000"/>
          <w:lang w:val="en-US"/>
        </w:rPr>
        <w:t xml:space="preserve">mg </w:t>
      </w:r>
      <w:r w:rsidRPr="000D4749">
        <w:rPr>
          <w:rFonts w:eastAsia="Times New Roman" w:cs="Arial"/>
          <w:color w:val="000000"/>
          <w:lang w:eastAsia="bg-BG"/>
        </w:rPr>
        <w:t xml:space="preserve">или 850 </w:t>
      </w:r>
      <w:r w:rsidRPr="000D4749">
        <w:rPr>
          <w:rFonts w:eastAsia="Times New Roman" w:cs="Arial"/>
          <w:color w:val="000000"/>
          <w:lang w:val="en-US"/>
        </w:rPr>
        <w:t xml:space="preserve">mg </w:t>
      </w:r>
      <w:r w:rsidRPr="000D4749">
        <w:rPr>
          <w:rFonts w:eastAsia="Times New Roman" w:cs="Arial"/>
          <w:color w:val="000000"/>
          <w:lang w:eastAsia="bg-BG"/>
        </w:rPr>
        <w:t>веднъж дневно, която се приема по време или след хранене.</w:t>
      </w:r>
    </w:p>
    <w:p w14:paraId="6DB1D223"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След 10 до 15 дни дозата трябва да се уточни в зависимост от стойностите на кръвната захар. Постепенното повишаване на дозата може да подобри гастроинтестиналната поносимост.</w:t>
      </w:r>
    </w:p>
    <w:p w14:paraId="59D77E20"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 xml:space="preserve">Препоръчваната максимална дневна доза метформин е 2 </w:t>
      </w:r>
      <w:r w:rsidRPr="000D4749">
        <w:rPr>
          <w:rFonts w:eastAsia="Times New Roman" w:cs="Arial"/>
          <w:color w:val="000000"/>
          <w:lang w:val="en-US"/>
        </w:rPr>
        <w:t xml:space="preserve">g </w:t>
      </w:r>
      <w:r w:rsidRPr="000D4749">
        <w:rPr>
          <w:rFonts w:eastAsia="Times New Roman" w:cs="Arial"/>
          <w:color w:val="000000"/>
          <w:lang w:eastAsia="bg-BG"/>
        </w:rPr>
        <w:t>разделена на два или три приема.</w:t>
      </w:r>
    </w:p>
    <w:p w14:paraId="6A0C9CFE" w14:textId="77777777" w:rsidR="000D4749" w:rsidRPr="000D4749" w:rsidRDefault="000D4749" w:rsidP="000D4749">
      <w:pPr>
        <w:spacing w:line="240" w:lineRule="auto"/>
        <w:rPr>
          <w:rFonts w:eastAsia="Times New Roman" w:cs="Arial"/>
          <w:b/>
          <w:bCs/>
          <w:color w:val="000000"/>
          <w:lang w:eastAsia="bg-BG"/>
        </w:rPr>
      </w:pPr>
      <w:bookmarkStart w:id="3" w:name="bookmark2"/>
    </w:p>
    <w:p w14:paraId="3B0E83BE" w14:textId="347E3D90" w:rsidR="000D4749" w:rsidRPr="00E3785D" w:rsidRDefault="000D4749" w:rsidP="00E3785D">
      <w:pPr>
        <w:pStyle w:val="Heading3"/>
        <w:rPr>
          <w:rFonts w:eastAsia="Times New Roman"/>
          <w:b/>
          <w:u w:val="single"/>
          <w:lang w:eastAsia="bg-BG"/>
        </w:rPr>
      </w:pPr>
      <w:r w:rsidRPr="00E3785D">
        <w:rPr>
          <w:rFonts w:eastAsia="Times New Roman"/>
          <w:b/>
          <w:u w:val="single"/>
          <w:lang w:eastAsia="bg-BG"/>
        </w:rPr>
        <w:t>Начин на приложение</w:t>
      </w:r>
      <w:bookmarkEnd w:id="3"/>
    </w:p>
    <w:p w14:paraId="475300EC" w14:textId="36E0DC00" w:rsidR="0091385D" w:rsidRPr="000D4749" w:rsidRDefault="000D4749" w:rsidP="000D4749">
      <w:pPr>
        <w:rPr>
          <w:rFonts w:cs="Arial"/>
        </w:rPr>
      </w:pPr>
      <w:r w:rsidRPr="000D4749">
        <w:rPr>
          <w:rFonts w:eastAsia="Times New Roman" w:cs="Arial"/>
          <w:color w:val="000000"/>
          <w:lang w:eastAsia="bg-BG"/>
        </w:rPr>
        <w:t>През устата.</w:t>
      </w:r>
    </w:p>
    <w:p w14:paraId="6ACAF645" w14:textId="77777777" w:rsidR="0091385D" w:rsidRPr="0091385D" w:rsidRDefault="0091385D"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04B4F069"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Свръхчувствителност към метформинов хидрохлорид или някое от помощните вещества.</w:t>
      </w:r>
    </w:p>
    <w:p w14:paraId="2C7798F4"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Диабетна кетоацидоза, диабетна прекома.</w:t>
      </w:r>
    </w:p>
    <w:p w14:paraId="033393F3"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lastRenderedPageBreak/>
        <w:t xml:space="preserve">Бъбречна недостатъчност или бъбречна дисфункция (нива на серумния креатинин &lt; 60 </w:t>
      </w:r>
      <w:r w:rsidRPr="000D4749">
        <w:rPr>
          <w:rFonts w:eastAsia="Times New Roman" w:cs="Arial"/>
          <w:color w:val="000000"/>
          <w:lang w:val="en-US"/>
        </w:rPr>
        <w:t>ml/min).</w:t>
      </w:r>
    </w:p>
    <w:p w14:paraId="4DFE6FCA" w14:textId="77777777" w:rsidR="000D4749" w:rsidRPr="000D4749" w:rsidRDefault="000D4749" w:rsidP="000D4749">
      <w:pPr>
        <w:pStyle w:val="ListParagraph"/>
        <w:numPr>
          <w:ilvl w:val="0"/>
          <w:numId w:val="2"/>
        </w:numPr>
        <w:spacing w:line="240" w:lineRule="auto"/>
        <w:rPr>
          <w:rFonts w:eastAsia="Times New Roman" w:cs="Arial"/>
          <w:color w:val="000000"/>
          <w:lang w:eastAsia="bg-BG"/>
        </w:rPr>
      </w:pPr>
      <w:r w:rsidRPr="000D4749">
        <w:rPr>
          <w:rFonts w:eastAsia="Times New Roman" w:cs="Arial"/>
          <w:color w:val="000000"/>
          <w:lang w:eastAsia="bg-BG"/>
        </w:rPr>
        <w:t xml:space="preserve"> Остри състояния с възможност за нарушение на бъбречната функция като:</w:t>
      </w:r>
    </w:p>
    <w:p w14:paraId="368F28DF" w14:textId="77777777" w:rsidR="000D4749" w:rsidRPr="000D4749" w:rsidRDefault="000D4749" w:rsidP="000D4749">
      <w:pPr>
        <w:pStyle w:val="ListParagraph"/>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дехидратация,</w:t>
      </w:r>
    </w:p>
    <w:p w14:paraId="3C957B43" w14:textId="77777777" w:rsidR="000D4749" w:rsidRPr="000D4749" w:rsidRDefault="000D4749" w:rsidP="000D4749">
      <w:pPr>
        <w:pStyle w:val="ListParagraph"/>
        <w:numPr>
          <w:ilvl w:val="0"/>
          <w:numId w:val="2"/>
        </w:numPr>
        <w:spacing w:line="240" w:lineRule="auto"/>
        <w:rPr>
          <w:rFonts w:eastAsia="Times New Roman" w:cs="Arial"/>
          <w:color w:val="000000"/>
          <w:lang w:eastAsia="bg-BG"/>
        </w:rPr>
      </w:pPr>
      <w:r w:rsidRPr="000D4749">
        <w:rPr>
          <w:rFonts w:eastAsia="Times New Roman" w:cs="Arial"/>
          <w:color w:val="000000"/>
          <w:lang w:eastAsia="bg-BG"/>
        </w:rPr>
        <w:t xml:space="preserve">тежка инфекция, </w:t>
      </w:r>
    </w:p>
    <w:p w14:paraId="6CABCFAB" w14:textId="21906C3F" w:rsidR="000D4749" w:rsidRPr="000D4749" w:rsidRDefault="000D4749" w:rsidP="000D4749">
      <w:pPr>
        <w:pStyle w:val="ListParagraph"/>
        <w:numPr>
          <w:ilvl w:val="0"/>
          <w:numId w:val="2"/>
        </w:numPr>
        <w:spacing w:line="240" w:lineRule="auto"/>
        <w:rPr>
          <w:rFonts w:eastAsia="Times New Roman" w:cs="Arial"/>
          <w:color w:val="000000"/>
          <w:lang w:eastAsia="bg-BG"/>
        </w:rPr>
      </w:pPr>
      <w:r w:rsidRPr="000D4749">
        <w:rPr>
          <w:rFonts w:eastAsia="Times New Roman" w:cs="Arial"/>
          <w:color w:val="000000"/>
          <w:lang w:eastAsia="bg-BG"/>
        </w:rPr>
        <w:t>шок,</w:t>
      </w:r>
    </w:p>
    <w:p w14:paraId="5F8CA8F6"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 Остри или хронични заболявания, които могат да доведат до тъканна хипоксия, като::</w:t>
      </w:r>
    </w:p>
    <w:p w14:paraId="3E5F06F7" w14:textId="77777777" w:rsidR="000D4749" w:rsidRPr="000D4749" w:rsidRDefault="000D4749" w:rsidP="000D4749">
      <w:pPr>
        <w:pStyle w:val="ListParagraph"/>
        <w:numPr>
          <w:ilvl w:val="0"/>
          <w:numId w:val="38"/>
        </w:numPr>
        <w:spacing w:line="240" w:lineRule="auto"/>
        <w:rPr>
          <w:rFonts w:eastAsia="Times New Roman" w:cs="Arial"/>
          <w:sz w:val="24"/>
          <w:szCs w:val="24"/>
          <w:lang w:eastAsia="bg-BG"/>
        </w:rPr>
      </w:pPr>
      <w:r w:rsidRPr="000D4749">
        <w:rPr>
          <w:rFonts w:eastAsia="Times New Roman" w:cs="Arial"/>
          <w:color w:val="000000"/>
          <w:lang w:eastAsia="bg-BG"/>
        </w:rPr>
        <w:t>сърдечна или респираторна недостатъчност,</w:t>
      </w:r>
    </w:p>
    <w:p w14:paraId="3DB6B2BE" w14:textId="77777777" w:rsidR="000D4749" w:rsidRPr="000D4749" w:rsidRDefault="000D4749" w:rsidP="000D4749">
      <w:pPr>
        <w:pStyle w:val="ListParagraph"/>
        <w:numPr>
          <w:ilvl w:val="0"/>
          <w:numId w:val="38"/>
        </w:numPr>
        <w:spacing w:line="240" w:lineRule="auto"/>
        <w:rPr>
          <w:rFonts w:eastAsia="Times New Roman" w:cs="Arial"/>
          <w:sz w:val="24"/>
          <w:szCs w:val="24"/>
          <w:lang w:eastAsia="bg-BG"/>
        </w:rPr>
      </w:pPr>
      <w:r w:rsidRPr="000D4749">
        <w:rPr>
          <w:rFonts w:eastAsia="Times New Roman" w:cs="Arial"/>
          <w:color w:val="000000"/>
          <w:lang w:eastAsia="bg-BG"/>
        </w:rPr>
        <w:t>наскоро прекаран инфаркт на миокарда,</w:t>
      </w:r>
    </w:p>
    <w:p w14:paraId="0C93668C" w14:textId="37150D94" w:rsidR="000D4749" w:rsidRPr="000D4749" w:rsidRDefault="000D4749" w:rsidP="000D4749">
      <w:pPr>
        <w:pStyle w:val="ListParagraph"/>
        <w:numPr>
          <w:ilvl w:val="0"/>
          <w:numId w:val="38"/>
        </w:numPr>
        <w:spacing w:line="240" w:lineRule="auto"/>
        <w:rPr>
          <w:rFonts w:eastAsia="Times New Roman" w:cs="Arial"/>
          <w:sz w:val="24"/>
          <w:szCs w:val="24"/>
          <w:lang w:eastAsia="bg-BG"/>
        </w:rPr>
      </w:pPr>
      <w:r w:rsidRPr="000D4749">
        <w:rPr>
          <w:rFonts w:eastAsia="Times New Roman" w:cs="Arial"/>
          <w:color w:val="000000"/>
          <w:lang w:eastAsia="bg-BG"/>
        </w:rPr>
        <w:t>шок</w:t>
      </w:r>
    </w:p>
    <w:p w14:paraId="2309EAB0" w14:textId="0DD1B1B3" w:rsidR="0091385D" w:rsidRPr="000D4749" w:rsidRDefault="000D4749" w:rsidP="000D4749">
      <w:pPr>
        <w:rPr>
          <w:rFonts w:cs="Arial"/>
        </w:rPr>
      </w:pPr>
      <w:r w:rsidRPr="000D4749">
        <w:rPr>
          <w:rFonts w:eastAsia="Times New Roman" w:cs="Arial"/>
          <w:color w:val="000000"/>
          <w:lang w:eastAsia="bg-BG"/>
        </w:rPr>
        <w:t>- Чернодробна недостатъчност, остра алкохолна интоксикация, алкохолизъм</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2D0E8583"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Лактатна ацидоза</w:t>
      </w:r>
    </w:p>
    <w:p w14:paraId="7533AB9E" w14:textId="77777777" w:rsidR="000D4749" w:rsidRPr="000D4749" w:rsidRDefault="000D4749" w:rsidP="000D4749">
      <w:pPr>
        <w:rPr>
          <w:rFonts w:eastAsia="Times New Roman" w:cs="Arial"/>
          <w:sz w:val="24"/>
          <w:szCs w:val="24"/>
          <w:lang w:eastAsia="bg-BG"/>
        </w:rPr>
      </w:pPr>
      <w:r w:rsidRPr="000D4749">
        <w:rPr>
          <w:rFonts w:eastAsia="Times New Roman" w:cs="Arial"/>
          <w:color w:val="000000"/>
          <w:lang w:eastAsia="bg-BG"/>
        </w:rPr>
        <w:t>Лактатната ацидоза е рядко, но сериозно (висока смъртност, ако не се приложи адекватно лечение), метаболитно усложнение, което може да възникне в резултат на акумулация на метформин. Докладваните случаи с лактатна ацидоза при лечение с метформин са възникнали главно при диабетици с изразена бъбречна недостатъчност Честотата на лактатната ацидоза може и трябва да се намали чрез предварителната оценка и на другите рискови фактори, като лош контрол на диабета, кетоза продължително гладуване (постене, диета), прекомерна употреба на алкохол,</w:t>
      </w:r>
      <w:r>
        <w:rPr>
          <w:rFonts w:eastAsia="Times New Roman" w:cs="Arial"/>
          <w:color w:val="000000"/>
          <w:lang w:eastAsia="bg-BG"/>
        </w:rPr>
        <w:t xml:space="preserve"> </w:t>
      </w:r>
      <w:r w:rsidRPr="000D4749">
        <w:rPr>
          <w:rFonts w:eastAsia="Times New Roman" w:cs="Arial"/>
          <w:color w:val="000000"/>
          <w:lang w:eastAsia="bg-BG"/>
        </w:rPr>
        <w:t>чернодробна недостатъчност и състояния, свързани с хипоксия.</w:t>
      </w:r>
    </w:p>
    <w:p w14:paraId="4277D993" w14:textId="77777777" w:rsidR="000D4749" w:rsidRPr="000D4749" w:rsidRDefault="000D4749" w:rsidP="000D4749">
      <w:pPr>
        <w:spacing w:line="240" w:lineRule="auto"/>
        <w:rPr>
          <w:rFonts w:eastAsia="Times New Roman" w:cs="Arial"/>
          <w:b/>
          <w:bCs/>
          <w:color w:val="000000"/>
          <w:u w:val="single"/>
          <w:lang w:eastAsia="bg-BG"/>
        </w:rPr>
      </w:pPr>
    </w:p>
    <w:p w14:paraId="5A4BB3B9" w14:textId="4C3FB10B"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u w:val="single"/>
          <w:lang w:eastAsia="bg-BG"/>
        </w:rPr>
        <w:t>Диагноза:</w:t>
      </w:r>
    </w:p>
    <w:p w14:paraId="253AACA1"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Рискът от лактатна ацидоза трябва да се има впредвид дори и в случай на неспецифични симптоми, като схващане на мускулите, стомашно-чревни смущения, като абдоминална болка и тежка астения.</w:t>
      </w:r>
    </w:p>
    <w:p w14:paraId="56FD6FF5"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 xml:space="preserve">Лактатната ацидоза се храктеризира с ацидотична диспнея, коремни болки и хипотермия, последвани от кома. Диагностичните лабораторни показатели са: ниско </w:t>
      </w:r>
      <w:r w:rsidRPr="000D4749">
        <w:rPr>
          <w:rFonts w:eastAsia="Times New Roman" w:cs="Arial"/>
          <w:color w:val="000000"/>
          <w:lang w:val="en-US"/>
        </w:rPr>
        <w:t xml:space="preserve">pH </w:t>
      </w:r>
      <w:r w:rsidRPr="000D4749">
        <w:rPr>
          <w:rFonts w:eastAsia="Times New Roman" w:cs="Arial"/>
          <w:color w:val="000000"/>
          <w:lang w:eastAsia="bg-BG"/>
        </w:rPr>
        <w:t xml:space="preserve">на кръвта, плазмени лактатни нива над 5 </w:t>
      </w:r>
      <w:proofErr w:type="spellStart"/>
      <w:r w:rsidRPr="000D4749">
        <w:rPr>
          <w:rFonts w:eastAsia="Times New Roman" w:cs="Arial"/>
          <w:color w:val="000000"/>
          <w:lang w:val="en-US"/>
        </w:rPr>
        <w:t>mmol</w:t>
      </w:r>
      <w:proofErr w:type="spellEnd"/>
      <w:r w:rsidRPr="000D4749">
        <w:rPr>
          <w:rFonts w:eastAsia="Times New Roman" w:cs="Arial"/>
          <w:color w:val="000000"/>
          <w:lang w:val="en-US"/>
        </w:rPr>
        <w:t xml:space="preserve">/L, </w:t>
      </w:r>
      <w:r w:rsidRPr="000D4749">
        <w:rPr>
          <w:rFonts w:eastAsia="Times New Roman" w:cs="Arial"/>
          <w:color w:val="000000"/>
          <w:lang w:eastAsia="bg-BG"/>
        </w:rPr>
        <w:t>повишение на свободните аниони и съотношението лактат/пируват. При съмнение за метаболитна ацидоза, приема на метформин трябва да се прекрати, а пациента незабавно да се хоспитализира (виж точка 4.9).</w:t>
      </w:r>
    </w:p>
    <w:p w14:paraId="4CD96D37" w14:textId="77777777" w:rsidR="000D4749" w:rsidRPr="000D4749" w:rsidRDefault="000D4749" w:rsidP="000D4749">
      <w:pPr>
        <w:spacing w:line="240" w:lineRule="auto"/>
        <w:rPr>
          <w:rFonts w:eastAsia="Times New Roman" w:cs="Arial"/>
          <w:b/>
          <w:bCs/>
          <w:color w:val="000000"/>
          <w:lang w:eastAsia="bg-BG"/>
        </w:rPr>
      </w:pPr>
    </w:p>
    <w:p w14:paraId="53BCF12E" w14:textId="4DBC536D"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Бъбречна функция:</w:t>
      </w:r>
    </w:p>
    <w:p w14:paraId="127D5020"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Тъй като метформин се отделя през бъбреците, преди началото на лечението и след това по време на самото лечение трябва редовно да се проследяват нивата на серумния креатинин:</w:t>
      </w:r>
    </w:p>
    <w:p w14:paraId="6C778A01"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най-малко веднъж годишно при пациентите с нормална бъбречна функция,</w:t>
      </w:r>
    </w:p>
    <w:p w14:paraId="40F632E9"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най-малко 2 до 4 пъти годишно, при пациентите с нива на серумния креатинин на горната граница на нормата и такива в напреднала възраст. Понижението на бъбречната функция при пациентите в напреднала възраст е често и асимптомно. Необходимо е повишено внимание в случаите, когато бъбречната функция може да се наруши, например при започване на антихипертензивно или диуретично лечение, както и в началото на лечението с НСПВС.</w:t>
      </w:r>
    </w:p>
    <w:p w14:paraId="7111AA39" w14:textId="77777777" w:rsidR="000D4749" w:rsidRPr="000D4749" w:rsidRDefault="000D4749" w:rsidP="000D4749">
      <w:pPr>
        <w:spacing w:line="240" w:lineRule="auto"/>
        <w:rPr>
          <w:rFonts w:eastAsia="Times New Roman" w:cs="Arial"/>
          <w:b/>
          <w:bCs/>
          <w:color w:val="000000"/>
          <w:lang w:eastAsia="bg-BG"/>
        </w:rPr>
      </w:pPr>
      <w:bookmarkStart w:id="4" w:name="bookmark4"/>
    </w:p>
    <w:p w14:paraId="400BF9DF" w14:textId="26A05CB7"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Прием на йодни контрастни вещества</w:t>
      </w:r>
      <w:bookmarkEnd w:id="4"/>
    </w:p>
    <w:p w14:paraId="267DC910"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lastRenderedPageBreak/>
        <w:t>Тъй като приема на йодни контрастни средства за нуждите на рентгеново изследване, може да доведе до бъбречно нарушение, приема на метформин трябва да се прекрати преди изследването, по време на него и за период от 48 часа след това, като лечението се възобновява само след нова оценка на бъбречната функция и в случай че резултатите показват нормално функциониране на бъбреците.</w:t>
      </w:r>
    </w:p>
    <w:p w14:paraId="3631914F" w14:textId="77777777" w:rsidR="000D4749" w:rsidRPr="000D4749" w:rsidRDefault="000D4749" w:rsidP="000D4749">
      <w:pPr>
        <w:spacing w:line="240" w:lineRule="auto"/>
        <w:rPr>
          <w:rFonts w:eastAsia="Times New Roman" w:cs="Arial"/>
          <w:b/>
          <w:bCs/>
          <w:color w:val="000000"/>
          <w:lang w:eastAsia="bg-BG"/>
        </w:rPr>
      </w:pPr>
      <w:bookmarkStart w:id="5" w:name="bookmark6"/>
    </w:p>
    <w:p w14:paraId="4297379D" w14:textId="4B0C6954"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Хирургични операции</w:t>
      </w:r>
      <w:bookmarkEnd w:id="5"/>
    </w:p>
    <w:p w14:paraId="3E3D62D8"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Приема на метформин трябва да се спре 48 часа преди хирургична интервенция с обща анестезия и да не се възстановява по-рано от 48 часа след това или след преминаване към приемането на твърда храна и то само при потвърдена, след изследване нормална функция на бъбреците.</w:t>
      </w:r>
    </w:p>
    <w:p w14:paraId="4052FEF9" w14:textId="77777777" w:rsidR="000D4749" w:rsidRPr="000D4749" w:rsidRDefault="000D4749" w:rsidP="000D4749">
      <w:pPr>
        <w:spacing w:line="240" w:lineRule="auto"/>
        <w:rPr>
          <w:rFonts w:eastAsia="Times New Roman" w:cs="Arial"/>
          <w:b/>
          <w:bCs/>
          <w:color w:val="000000"/>
          <w:lang w:eastAsia="bg-BG"/>
        </w:rPr>
      </w:pPr>
      <w:bookmarkStart w:id="6" w:name="bookmark8"/>
    </w:p>
    <w:p w14:paraId="5405C605" w14:textId="15B0F27A"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Педиатрична популация</w:t>
      </w:r>
      <w:bookmarkEnd w:id="6"/>
    </w:p>
    <w:p w14:paraId="7C8A8794"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Преди започване на лечение с метформин трябва да бъде потвърдена диагнозата захарен диабет тип 2.</w:t>
      </w:r>
    </w:p>
    <w:p w14:paraId="698029D5"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Проведени контролирани клинични проучвания в продължение на една година не са установили влияние на метформин върху растежа и пубертета, но засега няма данни от продължителни наблюдения в тази област. Затова се препоръчва внимателно проследяване ефектите на метформин върху показатели, по-специално при лечение на деца в предпубертетна възраст.</w:t>
      </w:r>
    </w:p>
    <w:p w14:paraId="348AB050" w14:textId="77777777" w:rsidR="000D4749" w:rsidRPr="000D4749" w:rsidRDefault="000D4749" w:rsidP="000D4749">
      <w:pPr>
        <w:spacing w:line="240" w:lineRule="auto"/>
        <w:rPr>
          <w:rFonts w:eastAsia="Times New Roman" w:cs="Arial"/>
          <w:b/>
          <w:bCs/>
          <w:color w:val="000000"/>
          <w:lang w:eastAsia="bg-BG"/>
        </w:rPr>
      </w:pPr>
      <w:bookmarkStart w:id="7" w:name="bookmark10"/>
    </w:p>
    <w:p w14:paraId="74D1ADF6" w14:textId="0AE2A96F"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Други предупреждения</w:t>
      </w:r>
      <w:bookmarkEnd w:id="7"/>
    </w:p>
    <w:p w14:paraId="2B0BB18D"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Всички пациенти трябва да продължат диетата си с равномерно разпределение на дневния прием на въглехидратите. Пациентите с наднормено тегло трябва да продължат своята диета с ограничаване на енергийния прием.</w:t>
      </w:r>
    </w:p>
    <w:p w14:paraId="7AA7395F"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Необходимо е редовно провеждане на рутинните лабораторни изследвания за проследяване на диабета.</w:t>
      </w:r>
    </w:p>
    <w:p w14:paraId="0B3BEE35" w14:textId="7C50F8D4" w:rsidR="0091385D" w:rsidRPr="000D4749" w:rsidRDefault="000D4749" w:rsidP="000D4749">
      <w:pPr>
        <w:rPr>
          <w:rFonts w:cs="Arial"/>
        </w:rPr>
      </w:pPr>
      <w:r w:rsidRPr="000D4749">
        <w:rPr>
          <w:rFonts w:eastAsia="Times New Roman" w:cs="Arial"/>
          <w:color w:val="000000"/>
          <w:lang w:eastAsia="bg-BG"/>
        </w:rPr>
        <w:t>Самостоятелното прилагане на метформин никога не води до хипогликемия, въпреки това е необходимо повишено внимание при комбинирането му с инсулин или сулфонилурейни или меглитиниди.</w:t>
      </w:r>
    </w:p>
    <w:p w14:paraId="24E3E82F" w14:textId="77777777" w:rsidR="0091385D" w:rsidRPr="0091385D" w:rsidRDefault="0091385D"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142E0D95"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b/>
          <w:bCs/>
          <w:color w:val="000000"/>
          <w:lang w:eastAsia="bg-BG"/>
        </w:rPr>
        <w:t>Не се препоръчва комбиниране с:</w:t>
      </w:r>
    </w:p>
    <w:p w14:paraId="45CBC314"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Алкохол</w:t>
      </w:r>
    </w:p>
    <w:p w14:paraId="3507A7B7"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Съществува повишен риск от лактатна ацидоза при остро алкохолно отравяне, особено при:</w:t>
      </w:r>
    </w:p>
    <w:p w14:paraId="01B9DBF8"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гладуване или недохранване, - чернодробна недостатъчност. Да се избягва употребата на алкохол или лекарствени продукти, съдържащи алкохол.</w:t>
      </w:r>
    </w:p>
    <w:p w14:paraId="6E512E8B" w14:textId="77777777" w:rsidR="00E3785D" w:rsidRPr="00E3785D" w:rsidRDefault="00E3785D" w:rsidP="00E3785D">
      <w:pPr>
        <w:spacing w:line="240" w:lineRule="auto"/>
        <w:rPr>
          <w:rFonts w:eastAsia="Times New Roman" w:cs="Arial"/>
          <w:color w:val="000000"/>
          <w:u w:val="single"/>
          <w:lang w:eastAsia="bg-BG"/>
        </w:rPr>
      </w:pPr>
    </w:p>
    <w:p w14:paraId="52386D51" w14:textId="0D180A56"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Йодни рентгеноконтрастни продукти (вижте точка 4.4)</w:t>
      </w:r>
    </w:p>
    <w:p w14:paraId="59C6AD6B"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Интравенозното приложение на йодни контрастни съединения може да доведе до бъбречно нарушение, последвано от кумулиране на метформин и риск от лактатна ацидоза.</w:t>
      </w:r>
    </w:p>
    <w:p w14:paraId="35F7CF6B"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Приема на метформин трябва да се прекрати преди изследването, по време на него и за период от 48 часа след това, като лечението се възобновява само след нова оценка на бъбречната функция и в случай, че резултатите показват нормално функциониране на бъбреците.</w:t>
      </w:r>
    </w:p>
    <w:p w14:paraId="59EB46D1" w14:textId="77777777" w:rsidR="00E3785D" w:rsidRPr="00E3785D" w:rsidRDefault="00E3785D" w:rsidP="00E3785D">
      <w:pPr>
        <w:spacing w:line="240" w:lineRule="auto"/>
        <w:rPr>
          <w:rFonts w:eastAsia="Times New Roman" w:cs="Arial"/>
          <w:b/>
          <w:bCs/>
          <w:color w:val="000000"/>
          <w:lang w:eastAsia="bg-BG"/>
        </w:rPr>
      </w:pPr>
    </w:p>
    <w:p w14:paraId="7EDD04C6" w14:textId="3B738612" w:rsidR="00E3785D" w:rsidRPr="00E3785D" w:rsidRDefault="00E3785D" w:rsidP="00E3785D">
      <w:pPr>
        <w:spacing w:line="240" w:lineRule="auto"/>
        <w:rPr>
          <w:rFonts w:eastAsia="Times New Roman" w:cs="Arial"/>
          <w:sz w:val="24"/>
          <w:szCs w:val="24"/>
          <w:lang w:eastAsia="bg-BG"/>
        </w:rPr>
      </w:pPr>
      <w:r w:rsidRPr="00E3785D">
        <w:rPr>
          <w:rFonts w:eastAsia="Times New Roman" w:cs="Arial"/>
          <w:b/>
          <w:bCs/>
          <w:color w:val="000000"/>
          <w:lang w:eastAsia="bg-BG"/>
        </w:rPr>
        <w:t>Комбинации, изискващи повишено внимание</w:t>
      </w:r>
    </w:p>
    <w:p w14:paraId="000D1605"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Глюкокортикостероидите (системни или за локално приложение)</w:t>
      </w:r>
      <w:r w:rsidRPr="00E3785D">
        <w:rPr>
          <w:rFonts w:eastAsia="Times New Roman" w:cs="Arial"/>
          <w:color w:val="000000"/>
          <w:lang w:eastAsia="bg-BG"/>
        </w:rPr>
        <w:t xml:space="preserve"> притежават хипергликемичната активност. Уведомете за това пациентите и провеждайте по-чест контрол на кръвната захар, особено в началото на лечението. При необходимост коригирайте дозата на антидиабетното лекарство по време на приема на другите лекарства и до тяхното спиране.</w:t>
      </w:r>
    </w:p>
    <w:p w14:paraId="0EA6A9E3" w14:textId="77777777" w:rsidR="00E3785D" w:rsidRPr="00E3785D" w:rsidRDefault="00E3785D" w:rsidP="00E3785D">
      <w:pPr>
        <w:rPr>
          <w:rFonts w:eastAsia="Times New Roman" w:cs="Arial"/>
          <w:color w:val="000000"/>
          <w:u w:val="single"/>
          <w:lang w:eastAsia="bg-BG"/>
        </w:rPr>
      </w:pPr>
    </w:p>
    <w:p w14:paraId="172AE819" w14:textId="32089771" w:rsidR="0091385D" w:rsidRPr="00E3785D" w:rsidRDefault="00E3785D" w:rsidP="00E3785D">
      <w:pPr>
        <w:rPr>
          <w:rFonts w:cs="Arial"/>
        </w:rPr>
      </w:pPr>
      <w:r w:rsidRPr="00E3785D">
        <w:rPr>
          <w:rFonts w:eastAsia="Times New Roman" w:cs="Arial"/>
          <w:color w:val="000000"/>
          <w:u w:val="single"/>
          <w:lang w:eastAsia="bg-BG"/>
        </w:rPr>
        <w:t>Диуретици,</w:t>
      </w:r>
      <w:r w:rsidRPr="00E3785D">
        <w:rPr>
          <w:rFonts w:eastAsia="Times New Roman" w:cs="Arial"/>
          <w:color w:val="000000"/>
          <w:lang w:eastAsia="bg-BG"/>
        </w:rPr>
        <w:t xml:space="preserve"> особено бримковите, може да повишат рискът от проява на лактатна ацидоза, тъй като те понижават функцията на бъбреците.</w:t>
      </w:r>
    </w:p>
    <w:p w14:paraId="5B2761C5" w14:textId="77777777" w:rsidR="0091385D" w:rsidRPr="0091385D" w:rsidRDefault="0091385D"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649A4D3A" w14:textId="77777777" w:rsidR="00E3785D" w:rsidRPr="00E3785D" w:rsidRDefault="00E3785D" w:rsidP="00E3785D">
      <w:pPr>
        <w:pStyle w:val="Heading3"/>
        <w:rPr>
          <w:rFonts w:eastAsia="Times New Roman"/>
          <w:u w:val="single"/>
          <w:lang w:eastAsia="bg-BG"/>
        </w:rPr>
      </w:pPr>
      <w:r w:rsidRPr="00E3785D">
        <w:rPr>
          <w:rFonts w:eastAsia="Times New Roman"/>
          <w:u w:val="single"/>
          <w:lang w:eastAsia="bg-BG"/>
        </w:rPr>
        <w:t>Бременност</w:t>
      </w:r>
    </w:p>
    <w:p w14:paraId="0E9191B3"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Неконтролиран диабет през време на бременност (гестационен или постоянен) е свързан с повишен риск от вродени аномалии и перинатална смъртност.</w:t>
      </w:r>
    </w:p>
    <w:p w14:paraId="018F3B86"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Ограничени данни от употребата на метформин при бременни жени не показват увеличен риск от вродени аномалии. Проучванията при животни не показват увреждащи ефекти по отношение на бременността, ембрионалното или развитието на фетуса, раждане или постнаталното развитие (виж точка 5.3).</w:t>
      </w:r>
    </w:p>
    <w:p w14:paraId="6EEB3FB2"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В случай на планирана бременност или по време на бременност, метформин не трябва да се използва за лечение на диабет. Трябва да се прилага инсулин за поддържане на концентрацията на захар в кръвта, възможно най-близко до нормалните стойности, за да се намали до минимум риска от малформации на плода, свързани с патологичните концентрации на кръвната захар.</w:t>
      </w:r>
    </w:p>
    <w:p w14:paraId="54890995" w14:textId="77777777" w:rsidR="00E3785D" w:rsidRPr="00E3785D" w:rsidRDefault="00E3785D" w:rsidP="00E3785D">
      <w:pPr>
        <w:spacing w:line="240" w:lineRule="auto"/>
        <w:rPr>
          <w:rFonts w:eastAsia="Times New Roman" w:cs="Arial"/>
          <w:b/>
          <w:bCs/>
          <w:color w:val="000000"/>
          <w:lang w:eastAsia="bg-BG"/>
        </w:rPr>
      </w:pPr>
    </w:p>
    <w:p w14:paraId="51F77C76" w14:textId="138AF295" w:rsidR="00E3785D" w:rsidRPr="00E3785D" w:rsidRDefault="00E3785D" w:rsidP="00E3785D">
      <w:pPr>
        <w:pStyle w:val="Heading3"/>
        <w:rPr>
          <w:rFonts w:eastAsia="Times New Roman"/>
          <w:u w:val="single"/>
          <w:lang w:eastAsia="bg-BG"/>
        </w:rPr>
      </w:pPr>
      <w:r w:rsidRPr="00E3785D">
        <w:rPr>
          <w:rFonts w:eastAsia="Times New Roman"/>
          <w:u w:val="single"/>
          <w:lang w:eastAsia="bg-BG"/>
        </w:rPr>
        <w:t>Кърмене</w:t>
      </w:r>
    </w:p>
    <w:p w14:paraId="776662C5" w14:textId="1E6E965B" w:rsidR="0091385D" w:rsidRPr="00E3785D" w:rsidRDefault="00E3785D" w:rsidP="00E3785D">
      <w:pPr>
        <w:rPr>
          <w:rFonts w:cs="Arial"/>
        </w:rPr>
      </w:pPr>
      <w:r w:rsidRPr="00E3785D">
        <w:rPr>
          <w:rFonts w:eastAsia="Times New Roman" w:cs="Arial"/>
          <w:color w:val="000000"/>
          <w:lang w:eastAsia="bg-BG"/>
        </w:rPr>
        <w:t>Метформин се екскретира в кърмата при хора. При кърмене не са наблюдавани никакви нежелани реакции при новородени. Въпреки това, тъй като наличните данни са ограничени, не се препоръчва кърмене по време на лечение с метформин. Трябва да се вземе решение дали да се спре кърменето, като се има предвид ползата от кърменето и възможния риск за поява на нежелани лекарствени реакции при детето.</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A7443B1" w14:textId="639FC874" w:rsidR="00E3785D" w:rsidRDefault="00E3785D" w:rsidP="00E3785D"/>
    <w:p w14:paraId="2B4135A6" w14:textId="79559771" w:rsidR="0091385D" w:rsidRDefault="00E3785D" w:rsidP="00E3785D">
      <w:r>
        <w:t>Самостоятелното приложение на метформин не води до хипогликемия, поради което не оказва влияние върху способността за шофиране и работа с машини.</w:t>
      </w:r>
    </w:p>
    <w:p w14:paraId="35801A15" w14:textId="31981D0C" w:rsidR="0091385D" w:rsidRDefault="00E3785D" w:rsidP="0091385D">
      <w:r>
        <w:t>Въпреки това, при комбинирането на метформин с други антидиабетни средства (сулфонилурейни, инсулин, меглитиниди), пациентите трябва да бъдат предупредени за възможността от възникване на хипогликемия.</w:t>
      </w:r>
    </w:p>
    <w:p w14:paraId="5B844967" w14:textId="77777777" w:rsidR="00E3785D" w:rsidRPr="0091385D" w:rsidRDefault="00E37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7D3476AA"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По време на лечение с метформин могат да се появят следните нежелани лекарствени реакции, като честотата им се определя както следва: много чести (&gt;1/10), чести (&gt;1/100 до &lt;1/10), нечести (&gt;1/1000 до &lt;1/100), редки (&gt;1/10,000 до &lt;1/1000), много редки (&lt;1/10 000), с неизвестна честота (от наличните данни не може да бъде направена оценка).</w:t>
      </w:r>
    </w:p>
    <w:p w14:paraId="60B94228"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lastRenderedPageBreak/>
        <w:t>Нарушения на метаболизма и храненето</w:t>
      </w:r>
    </w:p>
    <w:p w14:paraId="3E2BCFAC"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Много редки:</w:t>
      </w:r>
      <w:r w:rsidRPr="00E3785D">
        <w:rPr>
          <w:rFonts w:eastAsia="Times New Roman" w:cs="Arial"/>
          <w:color w:val="000000"/>
          <w:lang w:eastAsia="bg-BG"/>
        </w:rPr>
        <w:t xml:space="preserve"> Лактатна ацидоза (виж точка 4.4).</w:t>
      </w:r>
    </w:p>
    <w:p w14:paraId="31CADCD7"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Намалената абсорбция на витамин В</w:t>
      </w:r>
      <w:r w:rsidRPr="00E3785D">
        <w:rPr>
          <w:rFonts w:eastAsia="Times New Roman" w:cs="Arial"/>
          <w:color w:val="000000"/>
          <w:vertAlign w:val="subscript"/>
          <w:lang w:eastAsia="bg-BG"/>
        </w:rPr>
        <w:t xml:space="preserve">12 </w:t>
      </w:r>
      <w:r w:rsidRPr="00E3785D">
        <w:rPr>
          <w:rFonts w:eastAsia="Times New Roman" w:cs="Arial"/>
          <w:color w:val="000000"/>
          <w:lang w:eastAsia="bg-BG"/>
        </w:rPr>
        <w:t>ще доведе до намаляване на концентрациите му в серума по време на продължителното лечение с метформин. Препоръчва се подобна етиология да се вземе предвид в случай, че пациентът има мегалобластна анемия.</w:t>
      </w:r>
    </w:p>
    <w:p w14:paraId="29B89B21" w14:textId="77777777" w:rsidR="00E3785D" w:rsidRPr="00E3785D" w:rsidRDefault="00E3785D" w:rsidP="00E3785D">
      <w:pPr>
        <w:spacing w:line="240" w:lineRule="auto"/>
        <w:rPr>
          <w:rFonts w:eastAsia="Times New Roman" w:cs="Arial"/>
          <w:color w:val="000000"/>
          <w:u w:val="single"/>
          <w:lang w:eastAsia="bg-BG"/>
        </w:rPr>
      </w:pPr>
    </w:p>
    <w:p w14:paraId="4E86F866" w14:textId="670E46A2"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Нарушения на нервната система</w:t>
      </w:r>
    </w:p>
    <w:p w14:paraId="2AF44828"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Чести:</w:t>
      </w:r>
      <w:r w:rsidRPr="00E3785D">
        <w:rPr>
          <w:rFonts w:eastAsia="Times New Roman" w:cs="Arial"/>
          <w:color w:val="000000"/>
          <w:lang w:eastAsia="bg-BG"/>
        </w:rPr>
        <w:t xml:space="preserve"> Нарушения на вкуса.</w:t>
      </w:r>
    </w:p>
    <w:p w14:paraId="2DC12DFE" w14:textId="77777777" w:rsidR="00E3785D" w:rsidRPr="00E3785D" w:rsidRDefault="00E3785D" w:rsidP="00E3785D">
      <w:pPr>
        <w:spacing w:line="240" w:lineRule="auto"/>
        <w:rPr>
          <w:rFonts w:eastAsia="Times New Roman" w:cs="Arial"/>
          <w:color w:val="000000"/>
          <w:u w:val="single"/>
          <w:lang w:eastAsia="bg-BG"/>
        </w:rPr>
      </w:pPr>
    </w:p>
    <w:p w14:paraId="7880FDF8" w14:textId="1C1005F4"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Стомашно-чревни нарушения</w:t>
      </w:r>
    </w:p>
    <w:p w14:paraId="079C1253"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Много чести:</w:t>
      </w:r>
      <w:r w:rsidRPr="00E3785D">
        <w:rPr>
          <w:rFonts w:eastAsia="Times New Roman" w:cs="Arial"/>
          <w:color w:val="000000"/>
          <w:lang w:eastAsia="bg-BG"/>
        </w:rPr>
        <w:t xml:space="preserve"> Гадене, повръщане, диария, болка в абдоминалната област и загуба на апетит. Те се проявяват най-често в началото на терапията и отзвучават спонтанно в повечето случаи. За да се предотвратят тези симптоми, препоръчва се дневната доза метформин да се приема на 2 или 3 дневни дози по време или в края на храненето. Постепенното увеличаване на дозата може също да подобри гастроинтестиналната поносимост.</w:t>
      </w:r>
    </w:p>
    <w:p w14:paraId="45CCECB2" w14:textId="77777777" w:rsidR="00E3785D" w:rsidRPr="00E3785D" w:rsidRDefault="00E3785D" w:rsidP="00E3785D">
      <w:pPr>
        <w:spacing w:line="240" w:lineRule="auto"/>
        <w:rPr>
          <w:rFonts w:eastAsia="Times New Roman" w:cs="Arial"/>
          <w:color w:val="000000"/>
          <w:u w:val="single"/>
          <w:lang w:eastAsia="bg-BG"/>
        </w:rPr>
      </w:pPr>
    </w:p>
    <w:p w14:paraId="0977BE1E" w14:textId="2A241882"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Хепатобилиарни нарушения</w:t>
      </w:r>
    </w:p>
    <w:p w14:paraId="51C52EB5"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Много редки:</w:t>
      </w:r>
      <w:r w:rsidRPr="00E3785D">
        <w:rPr>
          <w:rFonts w:eastAsia="Times New Roman" w:cs="Arial"/>
          <w:color w:val="000000"/>
          <w:lang w:eastAsia="bg-BG"/>
        </w:rPr>
        <w:t xml:space="preserve"> Изолирани съобщения за отклонения в лабораторните резултати на чернодробните ензими или поява на хепатит, които отзвучават след преустановяване на лечението с метформин.</w:t>
      </w:r>
    </w:p>
    <w:p w14:paraId="0455AB75" w14:textId="77777777" w:rsidR="00E3785D" w:rsidRPr="00E3785D" w:rsidRDefault="00E3785D" w:rsidP="00E3785D">
      <w:pPr>
        <w:spacing w:line="240" w:lineRule="auto"/>
        <w:rPr>
          <w:rFonts w:eastAsia="Times New Roman" w:cs="Arial"/>
          <w:color w:val="000000"/>
          <w:u w:val="single"/>
          <w:lang w:eastAsia="bg-BG"/>
        </w:rPr>
      </w:pPr>
    </w:p>
    <w:p w14:paraId="149DBD3C" w14:textId="61A14EB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Нарушения на кожата и подкожната тъкан</w:t>
      </w:r>
    </w:p>
    <w:p w14:paraId="0271545B"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Много редки:</w:t>
      </w:r>
      <w:r w:rsidRPr="00E3785D">
        <w:rPr>
          <w:rFonts w:eastAsia="Times New Roman" w:cs="Arial"/>
          <w:color w:val="000000"/>
          <w:lang w:eastAsia="bg-BG"/>
        </w:rPr>
        <w:t xml:space="preserve"> Кожни реакции, като еритема, пруритус, уртикария.</w:t>
      </w:r>
    </w:p>
    <w:p w14:paraId="3A47DC2E" w14:textId="77777777" w:rsidR="00E3785D" w:rsidRPr="00E3785D" w:rsidRDefault="00E3785D" w:rsidP="00E3785D">
      <w:pPr>
        <w:spacing w:line="240" w:lineRule="auto"/>
        <w:rPr>
          <w:rFonts w:eastAsia="Times New Roman" w:cs="Arial"/>
          <w:i/>
          <w:iCs/>
          <w:color w:val="000000"/>
          <w:lang w:eastAsia="bg-BG"/>
        </w:rPr>
      </w:pPr>
    </w:p>
    <w:p w14:paraId="50BDEB51" w14:textId="17C6A22A"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Педиатрична популация</w:t>
      </w:r>
    </w:p>
    <w:p w14:paraId="3032612C" w14:textId="77777777" w:rsidR="00E3785D" w:rsidRPr="00E3785D" w:rsidRDefault="00E3785D" w:rsidP="00E3785D">
      <w:pPr>
        <w:rPr>
          <w:rFonts w:eastAsia="Times New Roman" w:cs="Arial"/>
          <w:color w:val="000000"/>
          <w:lang w:eastAsia="bg-BG"/>
        </w:rPr>
      </w:pPr>
    </w:p>
    <w:p w14:paraId="570508C4" w14:textId="659F6D56" w:rsidR="0091385D" w:rsidRPr="00E3785D" w:rsidRDefault="00E3785D" w:rsidP="00E3785D">
      <w:pPr>
        <w:rPr>
          <w:rFonts w:cs="Arial"/>
        </w:rPr>
      </w:pPr>
      <w:r w:rsidRPr="00E3785D">
        <w:rPr>
          <w:rFonts w:eastAsia="Times New Roman" w:cs="Arial"/>
          <w:color w:val="000000"/>
          <w:lang w:eastAsia="bg-BG"/>
        </w:rPr>
        <w:t>Нежеаните лекарствени реакции от публикации и постмаркетингови данни, както и от клиничните проучвания на малка група деца между 10 и 16 години, лекувани в продължение на 1 година, са подобни на наблюдаваните при възрастни по отношение на характера и тежестта им.</w:t>
      </w:r>
    </w:p>
    <w:p w14:paraId="43E3C48F" w14:textId="77777777" w:rsidR="0091385D" w:rsidRPr="0091385D" w:rsidRDefault="0091385D" w:rsidP="0091385D"/>
    <w:p w14:paraId="0A023CE0" w14:textId="13F87CFD" w:rsidR="00CF77F7" w:rsidRDefault="002C50EE" w:rsidP="004A448E">
      <w:pPr>
        <w:pStyle w:val="Heading2"/>
      </w:pPr>
      <w:r>
        <w:t>4.9. Предозиране</w:t>
      </w:r>
    </w:p>
    <w:p w14:paraId="3EDFC3FC" w14:textId="296E7EBA" w:rsidR="0091385D" w:rsidRDefault="0091385D" w:rsidP="0091385D"/>
    <w:p w14:paraId="0F0079CB" w14:textId="26F2026C" w:rsidR="0091385D" w:rsidRDefault="00E3785D" w:rsidP="0091385D">
      <w:r>
        <w:t xml:space="preserve">Не е наблюдавана хипогликемия при дози метформин до 85 </w:t>
      </w:r>
      <w:r>
        <w:rPr>
          <w:lang w:val="en-US"/>
        </w:rPr>
        <w:t xml:space="preserve">g, </w:t>
      </w:r>
      <w:r>
        <w:t>въпреки че в тези случаи възниква лактатна ацидоза. Остро предозиране или други рискови фактори могат да доведат до появата на лактатна ацидоза. Лактатната ацидоза е спешно състояние в медицината и изисква болнично лечение. Хемодиализата е най-ефективният метод за отстраняване на лактата и метформина от организма.</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64CEEABA"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Фармакотерапевтична група: Лекарства, понижаващи кръвната захар, непринадлежащи към групата на инсулин. Бигваниди.</w:t>
      </w:r>
    </w:p>
    <w:p w14:paraId="77B7153B"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АТС код: А10ВА02</w:t>
      </w:r>
    </w:p>
    <w:p w14:paraId="01845651" w14:textId="77777777" w:rsidR="00E3785D" w:rsidRPr="00E3785D" w:rsidRDefault="00E3785D" w:rsidP="00E3785D">
      <w:pPr>
        <w:spacing w:line="240" w:lineRule="auto"/>
        <w:rPr>
          <w:rFonts w:eastAsia="Times New Roman" w:cs="Arial"/>
          <w:sz w:val="24"/>
          <w:szCs w:val="24"/>
          <w:lang w:eastAsia="bg-BG"/>
        </w:rPr>
      </w:pPr>
    </w:p>
    <w:p w14:paraId="05EE41CB" w14:textId="45B6666E"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Метформин е бигванид с антихипергликемични свойства, понижаващ както базалната така и пост-прандиалната плазмена глюкоза. Той не стимулира секрецията на инсулин, поради което не води до хипогликемия.</w:t>
      </w:r>
    </w:p>
    <w:p w14:paraId="3D76595E" w14:textId="77777777" w:rsidR="00E3785D" w:rsidRPr="00E3785D" w:rsidRDefault="00E3785D" w:rsidP="00E3785D">
      <w:pPr>
        <w:spacing w:line="240" w:lineRule="auto"/>
        <w:rPr>
          <w:rFonts w:eastAsia="Times New Roman" w:cs="Arial"/>
          <w:color w:val="000000"/>
          <w:lang w:eastAsia="bg-BG"/>
        </w:rPr>
      </w:pPr>
    </w:p>
    <w:p w14:paraId="205EAA8B" w14:textId="4B880D63"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Метформин може да действа по 3 механизма:</w:t>
      </w:r>
    </w:p>
    <w:p w14:paraId="6AC146E6"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(1)</w:t>
      </w:r>
      <w:r w:rsidRPr="00E3785D">
        <w:rPr>
          <w:rFonts w:eastAsia="Times New Roman" w:cs="Arial"/>
          <w:color w:val="000000"/>
          <w:lang w:eastAsia="bg-BG"/>
        </w:rPr>
        <w:tab/>
        <w:t>понижаване на чернодробната продукция на глюкоза чрез инхибиране глюконеогенезата и гликогенолизата</w:t>
      </w:r>
    </w:p>
    <w:p w14:paraId="13C9CC6F"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(2)</w:t>
      </w:r>
      <w:r w:rsidRPr="00E3785D">
        <w:rPr>
          <w:rFonts w:eastAsia="Times New Roman" w:cs="Arial"/>
          <w:color w:val="000000"/>
          <w:lang w:eastAsia="bg-BG"/>
        </w:rPr>
        <w:tab/>
        <w:t>в мускулите, чрез повишаване на инсулиновата чувствителност, като подобрява периферното използване и утилизация на глюкозата</w:t>
      </w:r>
    </w:p>
    <w:p w14:paraId="3FB480DC"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(3)</w:t>
      </w:r>
      <w:r w:rsidRPr="00E3785D">
        <w:rPr>
          <w:rFonts w:eastAsia="Times New Roman" w:cs="Arial"/>
          <w:color w:val="000000"/>
          <w:lang w:eastAsia="bg-BG"/>
        </w:rPr>
        <w:tab/>
        <w:t>и забавяне на чревната абсорбция на глюкозата.</w:t>
      </w:r>
    </w:p>
    <w:p w14:paraId="7E35B723" w14:textId="77777777" w:rsidR="00E3785D" w:rsidRPr="00E3785D" w:rsidRDefault="00E3785D" w:rsidP="00E3785D">
      <w:pPr>
        <w:spacing w:line="240" w:lineRule="auto"/>
        <w:rPr>
          <w:rFonts w:eastAsia="Times New Roman" w:cs="Arial"/>
          <w:color w:val="000000"/>
          <w:lang w:eastAsia="bg-BG"/>
        </w:rPr>
      </w:pPr>
    </w:p>
    <w:p w14:paraId="0AC05D27" w14:textId="004F532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Метформин хидрохлорид стимулира вътреклетъчната синтеза на гликоген.</w:t>
      </w:r>
    </w:p>
    <w:p w14:paraId="10C263DB" w14:textId="02D4543D"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Метформин хидрохлорид повишава транспортния капацитет на всички типове мембранни преносители на глюкоза </w:t>
      </w:r>
      <w:r w:rsidRPr="00E3785D">
        <w:rPr>
          <w:rFonts w:eastAsia="Times New Roman" w:cs="Arial"/>
          <w:color w:val="000000"/>
          <w:lang w:val="en-US"/>
        </w:rPr>
        <w:t>(GLUT).</w:t>
      </w:r>
    </w:p>
    <w:p w14:paraId="1251A1DC" w14:textId="77777777" w:rsidR="00E3785D" w:rsidRPr="00E3785D" w:rsidRDefault="00E3785D" w:rsidP="00E3785D">
      <w:pPr>
        <w:spacing w:line="240" w:lineRule="auto"/>
        <w:rPr>
          <w:rFonts w:eastAsia="Times New Roman" w:cs="Arial"/>
          <w:color w:val="000000"/>
          <w:lang w:eastAsia="bg-BG"/>
        </w:rPr>
      </w:pPr>
    </w:p>
    <w:p w14:paraId="0C7D955D" w14:textId="5809FD92"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При човека, независимо от въздействието си върху гликемията, метформин има благоприятни ефекти върху липидния метаболизъм. Това е установено при терапевтични дози, по време на контролирани клинични проучвания със средна или голяма продължителност: метформин понижава нивата на общия холестерол, </w:t>
      </w:r>
      <w:r w:rsidRPr="00E3785D">
        <w:rPr>
          <w:rFonts w:eastAsia="Times New Roman" w:cs="Arial"/>
          <w:color w:val="000000"/>
          <w:lang w:val="en-US"/>
        </w:rPr>
        <w:t xml:space="preserve">LDL </w:t>
      </w:r>
      <w:r w:rsidRPr="00E3785D">
        <w:rPr>
          <w:rFonts w:eastAsia="Times New Roman" w:cs="Arial"/>
          <w:color w:val="000000"/>
          <w:lang w:eastAsia="bg-BG"/>
        </w:rPr>
        <w:t>холестерола и триглицеридите.</w:t>
      </w:r>
    </w:p>
    <w:p w14:paraId="31E5CD84" w14:textId="77777777" w:rsidR="00E3785D" w:rsidRPr="00E3785D" w:rsidRDefault="00E3785D" w:rsidP="00E3785D">
      <w:pPr>
        <w:spacing w:line="240" w:lineRule="auto"/>
        <w:rPr>
          <w:rFonts w:eastAsia="Times New Roman" w:cs="Arial"/>
          <w:i/>
          <w:iCs/>
          <w:color w:val="000000"/>
          <w:u w:val="single"/>
          <w:lang w:eastAsia="bg-BG"/>
        </w:rPr>
      </w:pPr>
    </w:p>
    <w:p w14:paraId="48D7CB3B" w14:textId="4CF0186C"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u w:val="single"/>
          <w:lang w:eastAsia="bg-BG"/>
        </w:rPr>
        <w:t>Клинична ефективност:</w:t>
      </w:r>
    </w:p>
    <w:p w14:paraId="199C63FD"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Проспективно рандомизирано </w:t>
      </w:r>
      <w:r w:rsidRPr="00E3785D">
        <w:rPr>
          <w:rFonts w:eastAsia="Times New Roman" w:cs="Arial"/>
          <w:color w:val="000000"/>
          <w:lang w:val="en-US"/>
        </w:rPr>
        <w:t xml:space="preserve">(UKPDS) </w:t>
      </w:r>
      <w:r w:rsidRPr="00E3785D">
        <w:rPr>
          <w:rFonts w:eastAsia="Times New Roman" w:cs="Arial"/>
          <w:color w:val="000000"/>
          <w:lang w:eastAsia="bg-BG"/>
        </w:rPr>
        <w:t>проучване е установило продължителния благоприятен ефект от интензивния контрол на диабета от 2 тип.</w:t>
      </w:r>
    </w:p>
    <w:p w14:paraId="065D2A7D" w14:textId="77777777" w:rsidR="00E3785D" w:rsidRPr="00E3785D" w:rsidRDefault="00E3785D" w:rsidP="00E3785D">
      <w:pPr>
        <w:spacing w:line="240" w:lineRule="auto"/>
        <w:rPr>
          <w:rFonts w:eastAsia="Times New Roman" w:cs="Arial"/>
          <w:color w:val="000000"/>
          <w:lang w:eastAsia="bg-BG"/>
        </w:rPr>
      </w:pPr>
    </w:p>
    <w:p w14:paraId="1FB49450" w14:textId="60BB23E6"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Анализът на резултатите от пациенти с наднормено тегло, лекувани с метформин след неуспех от самостоятелното прилагане на диета показва:</w:t>
      </w:r>
    </w:p>
    <w:p w14:paraId="6DAA8BC3"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w:t>
      </w:r>
      <w:r w:rsidRPr="00E3785D">
        <w:rPr>
          <w:rFonts w:eastAsia="Times New Roman" w:cs="Arial"/>
          <w:color w:val="000000"/>
          <w:lang w:eastAsia="bg-BG"/>
        </w:rPr>
        <w:tab/>
        <w:t>Значително понижение на абсолютния риск от някакво свързано с диабета усложнение при групата на метформин (29.8 случая/ 1000 пациенто-години), спрямо пациентите само на диета (43,3 случая/ 1000 пациенто-години), р=0.002.3 и спрямо комбинирането на сулфонилурейни лекарствени препарати и инсулин (40.1 случая/1000 пациенто- години), р=0.0034.</w:t>
      </w:r>
    </w:p>
    <w:p w14:paraId="42C0BBB7"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w:t>
      </w:r>
      <w:r w:rsidRPr="00E3785D">
        <w:rPr>
          <w:rFonts w:eastAsia="Times New Roman" w:cs="Arial"/>
          <w:color w:val="000000"/>
          <w:lang w:eastAsia="bg-BG"/>
        </w:rPr>
        <w:tab/>
        <w:t>Значително понижение на абсолютния риск от свързаната с диабета смъртност: метформин 7.5 случая/1000 пациенто-години, самостоятелно приложение на диета 12.7 случая/1000 пациенто-години, р=0.017;</w:t>
      </w:r>
    </w:p>
    <w:p w14:paraId="76EE2954"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w:t>
      </w:r>
      <w:r w:rsidRPr="00E3785D">
        <w:rPr>
          <w:rFonts w:eastAsia="Times New Roman" w:cs="Arial"/>
          <w:color w:val="000000"/>
          <w:lang w:eastAsia="bg-BG"/>
        </w:rPr>
        <w:tab/>
        <w:t>Значително понижение на абсолютния риск от смъртност (обща): метформин 13.5 случая/ 1000 пациенто-години, спрямо самостоятелно приложение на диета 20.6 случая/ 1000 пациенто-години спрямо комбинирането на сулфонилурейни лекарствени препарати и инсулин 18.9 случая/ 1000 пациенто-години (р=0.021);</w:t>
      </w:r>
    </w:p>
    <w:p w14:paraId="29B47128"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w:t>
      </w:r>
      <w:r w:rsidRPr="00E3785D">
        <w:rPr>
          <w:rFonts w:eastAsia="Times New Roman" w:cs="Arial"/>
          <w:color w:val="000000"/>
          <w:lang w:eastAsia="bg-BG"/>
        </w:rPr>
        <w:tab/>
        <w:t>Значително понижение на абсолютния риск от инфаркт на миокарда: метформин 11 случая/1000 пациенто-години, само диета 18 случая/ 1000 пациенто-години (р=0.01)</w:t>
      </w:r>
    </w:p>
    <w:p w14:paraId="3FA7950C" w14:textId="77777777" w:rsidR="00E3785D" w:rsidRPr="00E3785D" w:rsidRDefault="00E3785D" w:rsidP="00E3785D">
      <w:pPr>
        <w:spacing w:line="240" w:lineRule="auto"/>
        <w:rPr>
          <w:rFonts w:eastAsia="Times New Roman" w:cs="Arial"/>
          <w:color w:val="000000"/>
          <w:lang w:eastAsia="bg-BG"/>
        </w:rPr>
      </w:pPr>
    </w:p>
    <w:p w14:paraId="0A65C5E7" w14:textId="286ED9D5"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При приложението на метформин като втора линия лечение, в комбинация със сулфонилурейни лекарствени препарати, не е наблюдавано предимство по отношение на крайния клиничен резултат.</w:t>
      </w:r>
    </w:p>
    <w:p w14:paraId="3F93E96D" w14:textId="77777777" w:rsidR="00E3785D" w:rsidRPr="00E3785D" w:rsidRDefault="00E3785D" w:rsidP="00E3785D">
      <w:pPr>
        <w:rPr>
          <w:rFonts w:eastAsia="Times New Roman" w:cs="Arial"/>
          <w:color w:val="000000"/>
          <w:lang w:eastAsia="bg-BG"/>
        </w:rPr>
      </w:pPr>
    </w:p>
    <w:p w14:paraId="28252AA0" w14:textId="3F33C185" w:rsidR="0091385D" w:rsidRPr="00E3785D" w:rsidRDefault="00E3785D" w:rsidP="00E3785D">
      <w:pPr>
        <w:rPr>
          <w:rFonts w:cs="Arial"/>
        </w:rPr>
      </w:pPr>
      <w:r w:rsidRPr="00E3785D">
        <w:rPr>
          <w:rFonts w:eastAsia="Times New Roman" w:cs="Arial"/>
          <w:color w:val="000000"/>
          <w:lang w:eastAsia="bg-BG"/>
        </w:rPr>
        <w:t>При диабет I тип комбинирането на метформин и инсулин е използвано при определени пациенти, но предимството на тази комбинация по отношение на крайния изход не е установено.</w:t>
      </w:r>
    </w:p>
    <w:p w14:paraId="36152471" w14:textId="77777777" w:rsidR="0091385D" w:rsidRPr="0091385D" w:rsidRDefault="0091385D"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148BA3FC" w14:textId="6C667C75" w:rsidR="0091385D" w:rsidRPr="00E3785D" w:rsidRDefault="00E3785D" w:rsidP="00E3785D">
      <w:pPr>
        <w:pStyle w:val="Heading3"/>
        <w:rPr>
          <w:u w:val="single"/>
        </w:rPr>
      </w:pPr>
      <w:r w:rsidRPr="00E3785D">
        <w:rPr>
          <w:u w:val="single"/>
        </w:rPr>
        <w:t>Абсорбция:</w:t>
      </w:r>
    </w:p>
    <w:p w14:paraId="32C18040" w14:textId="4461F8E2" w:rsidR="00E3785D" w:rsidRPr="00E3785D" w:rsidRDefault="00E3785D" w:rsidP="0091385D">
      <w:pPr>
        <w:rPr>
          <w:rFonts w:cs="Arial"/>
          <w:i/>
          <w:iCs/>
        </w:rPr>
      </w:pPr>
    </w:p>
    <w:p w14:paraId="04ED7F11"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След перорално приложение на една доза метформин, Ттах е 2.5 часа. Абсолютната бионаличност на 500 </w:t>
      </w:r>
      <w:r w:rsidRPr="00E3785D">
        <w:rPr>
          <w:rFonts w:eastAsia="Times New Roman" w:cs="Arial"/>
          <w:color w:val="000000"/>
          <w:lang w:val="en-US"/>
        </w:rPr>
        <w:t xml:space="preserve">mg </w:t>
      </w:r>
      <w:r w:rsidRPr="00E3785D">
        <w:rPr>
          <w:rFonts w:eastAsia="Times New Roman" w:cs="Arial"/>
          <w:color w:val="000000"/>
          <w:lang w:eastAsia="bg-BG"/>
        </w:rPr>
        <w:t xml:space="preserve">или 850 </w:t>
      </w:r>
      <w:r w:rsidRPr="00E3785D">
        <w:rPr>
          <w:rFonts w:eastAsia="Times New Roman" w:cs="Arial"/>
          <w:color w:val="000000"/>
          <w:lang w:val="en-US"/>
        </w:rPr>
        <w:t xml:space="preserve">mg </w:t>
      </w:r>
      <w:r w:rsidRPr="00E3785D">
        <w:rPr>
          <w:rFonts w:eastAsia="Times New Roman" w:cs="Arial"/>
          <w:color w:val="000000"/>
          <w:lang w:eastAsia="bg-BG"/>
        </w:rPr>
        <w:t>метформин е приблизително 50-60% при здрави доброволци. След перорално приложение не-абсорбираната фракция, оделена с изпражненията е 20-30%.</w:t>
      </w:r>
    </w:p>
    <w:p w14:paraId="58D29133" w14:textId="77777777" w:rsidR="00E3785D" w:rsidRPr="00E3785D" w:rsidRDefault="00E3785D" w:rsidP="00E3785D">
      <w:pPr>
        <w:spacing w:line="240" w:lineRule="auto"/>
        <w:rPr>
          <w:rFonts w:eastAsia="Times New Roman" w:cs="Arial"/>
          <w:color w:val="000000"/>
          <w:lang w:eastAsia="bg-BG"/>
        </w:rPr>
      </w:pPr>
    </w:p>
    <w:p w14:paraId="26306EDE" w14:textId="5DF9F255"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След перорално приложение, абсорбцията на метформин е насищаща се и непълна. Това показва, че фармакокинетиката на метформин е нелинейна.</w:t>
      </w:r>
    </w:p>
    <w:p w14:paraId="61EE7549" w14:textId="77777777" w:rsidR="00E3785D" w:rsidRPr="00E3785D" w:rsidRDefault="00E3785D" w:rsidP="00E3785D">
      <w:pPr>
        <w:spacing w:line="240" w:lineRule="auto"/>
        <w:rPr>
          <w:rFonts w:eastAsia="Times New Roman" w:cs="Arial"/>
          <w:color w:val="000000"/>
          <w:lang w:eastAsia="bg-BG"/>
        </w:rPr>
      </w:pPr>
    </w:p>
    <w:p w14:paraId="2B19FD43" w14:textId="21194811"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При обичайната доза и схема на приложение, равновесни плазмени концентрации се достигат в рамките на 24 до 48 часа и са по-малки от 1 μ</w:t>
      </w:r>
      <w:r w:rsidRPr="00E3785D">
        <w:rPr>
          <w:rFonts w:eastAsia="Times New Roman" w:cs="Arial"/>
          <w:color w:val="000000"/>
          <w:lang w:val="en-US"/>
        </w:rPr>
        <w:t xml:space="preserve">g/ml. </w:t>
      </w:r>
      <w:r w:rsidRPr="00E3785D">
        <w:rPr>
          <w:rFonts w:eastAsia="Times New Roman" w:cs="Arial"/>
          <w:color w:val="000000"/>
          <w:lang w:eastAsia="bg-BG"/>
        </w:rPr>
        <w:t>При контролирани клинични проучвания, максималните плазмени нива на метформин (С</w:t>
      </w:r>
      <w:r w:rsidRPr="00E3785D">
        <w:rPr>
          <w:rFonts w:eastAsia="Times New Roman" w:cs="Arial"/>
          <w:color w:val="000000"/>
          <w:lang w:val="en-US"/>
        </w:rPr>
        <w:t>m</w:t>
      </w:r>
      <w:r w:rsidRPr="00E3785D">
        <w:rPr>
          <w:rFonts w:eastAsia="Times New Roman" w:cs="Arial"/>
          <w:color w:val="000000"/>
          <w:lang w:eastAsia="bg-BG"/>
        </w:rPr>
        <w:t>ах) не надвишават 4 μ</w:t>
      </w:r>
      <w:r w:rsidRPr="00E3785D">
        <w:rPr>
          <w:rFonts w:eastAsia="Times New Roman" w:cs="Arial"/>
          <w:color w:val="000000"/>
          <w:lang w:val="en-US"/>
        </w:rPr>
        <w:t xml:space="preserve">g/ml, </w:t>
      </w:r>
      <w:r w:rsidRPr="00E3785D">
        <w:rPr>
          <w:rFonts w:eastAsia="Times New Roman" w:cs="Arial"/>
          <w:color w:val="000000"/>
          <w:lang w:eastAsia="bg-BG"/>
        </w:rPr>
        <w:t>дори при максимална доза.</w:t>
      </w:r>
    </w:p>
    <w:p w14:paraId="3B328219" w14:textId="77777777" w:rsidR="00E3785D" w:rsidRPr="00E3785D" w:rsidRDefault="00E3785D" w:rsidP="00E3785D">
      <w:pPr>
        <w:spacing w:line="240" w:lineRule="auto"/>
        <w:rPr>
          <w:rFonts w:eastAsia="Times New Roman" w:cs="Arial"/>
          <w:color w:val="000000"/>
          <w:lang w:eastAsia="bg-BG"/>
        </w:rPr>
      </w:pPr>
    </w:p>
    <w:p w14:paraId="1F15B92D" w14:textId="14166BCE"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Храната понижава степента и слабо забавя абсорбцията на метформин. След приложението на доза от 850 </w:t>
      </w:r>
      <w:r w:rsidRPr="00E3785D">
        <w:rPr>
          <w:rFonts w:eastAsia="Times New Roman" w:cs="Arial"/>
          <w:color w:val="000000"/>
          <w:lang w:val="en-US"/>
        </w:rPr>
        <w:t xml:space="preserve">mg, </w:t>
      </w:r>
      <w:r w:rsidRPr="00E3785D">
        <w:rPr>
          <w:rFonts w:eastAsia="Times New Roman" w:cs="Arial"/>
          <w:color w:val="000000"/>
          <w:lang w:eastAsia="bg-BG"/>
        </w:rPr>
        <w:t xml:space="preserve">е наблюдаван 40% по-нисък пик на плазмената концентрация, 25% понижение на </w:t>
      </w:r>
      <w:r w:rsidRPr="00E3785D">
        <w:rPr>
          <w:rFonts w:eastAsia="Times New Roman" w:cs="Arial"/>
          <w:color w:val="000000"/>
          <w:lang w:val="en-US"/>
        </w:rPr>
        <w:t xml:space="preserve">AUC </w:t>
      </w:r>
      <w:r w:rsidRPr="00E3785D">
        <w:rPr>
          <w:rFonts w:eastAsia="Times New Roman" w:cs="Arial"/>
          <w:color w:val="000000"/>
          <w:lang w:eastAsia="bg-BG"/>
        </w:rPr>
        <w:t>и 35-минутно удължение на времето за достигане на пикова плазмена концентрация. Клиничната значимост на тези промени (понижения) не е установена.</w:t>
      </w:r>
    </w:p>
    <w:p w14:paraId="26643C32" w14:textId="77777777" w:rsidR="00E3785D" w:rsidRDefault="00E3785D" w:rsidP="00E3785D">
      <w:pPr>
        <w:spacing w:line="240" w:lineRule="auto"/>
        <w:rPr>
          <w:rFonts w:ascii="Times New Roman" w:eastAsia="Times New Roman" w:hAnsi="Times New Roman" w:cs="Times New Roman"/>
          <w:i/>
          <w:iCs/>
          <w:color w:val="000000"/>
          <w:lang w:eastAsia="bg-BG"/>
        </w:rPr>
      </w:pPr>
    </w:p>
    <w:p w14:paraId="1F6DB1EA" w14:textId="1BB5BEC5" w:rsidR="00E3785D" w:rsidRPr="00E3785D" w:rsidRDefault="00E3785D" w:rsidP="00E3785D">
      <w:pPr>
        <w:pStyle w:val="Heading3"/>
        <w:rPr>
          <w:rFonts w:eastAsia="Times New Roman"/>
          <w:u w:val="single"/>
          <w:lang w:eastAsia="bg-BG"/>
        </w:rPr>
      </w:pPr>
      <w:r w:rsidRPr="00E3785D">
        <w:rPr>
          <w:rFonts w:eastAsia="Times New Roman"/>
          <w:u w:val="single"/>
          <w:lang w:eastAsia="bg-BG"/>
        </w:rPr>
        <w:t>Разпределение:</w:t>
      </w:r>
    </w:p>
    <w:p w14:paraId="5ED673AA" w14:textId="77777777" w:rsidR="00E3785D" w:rsidRPr="00E3785D" w:rsidRDefault="00E3785D" w:rsidP="00E3785D">
      <w:pPr>
        <w:spacing w:line="240" w:lineRule="auto"/>
        <w:rPr>
          <w:rFonts w:eastAsia="Times New Roman" w:cs="Arial"/>
          <w:color w:val="000000"/>
          <w:lang w:eastAsia="bg-BG"/>
        </w:rPr>
      </w:pPr>
    </w:p>
    <w:p w14:paraId="4E4F2B2F" w14:textId="6E661F94"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Свързването с плазмените протеини е незначително. Метформин навлиза в еритроцитите. Пикът в кръвта е по-нисък от този в плазмата, като двете най-високи концентрации се достигат за приблизително едно и също време. Червените кръвни клетки са вторичните места за разпределение. Средният обем на разпределение е между 63-276 </w:t>
      </w:r>
      <w:r w:rsidRPr="00E3785D">
        <w:rPr>
          <w:rFonts w:eastAsia="Times New Roman" w:cs="Arial"/>
          <w:color w:val="000000"/>
          <w:lang w:val="en-US"/>
        </w:rPr>
        <w:t>L</w:t>
      </w:r>
    </w:p>
    <w:p w14:paraId="408C1B87" w14:textId="77777777" w:rsidR="00E3785D" w:rsidRPr="00E3785D" w:rsidRDefault="00E3785D" w:rsidP="00E3785D">
      <w:pPr>
        <w:spacing w:line="240" w:lineRule="auto"/>
        <w:rPr>
          <w:rFonts w:eastAsia="Times New Roman" w:cs="Arial"/>
          <w:i/>
          <w:iCs/>
          <w:color w:val="000000"/>
          <w:lang w:eastAsia="bg-BG"/>
        </w:rPr>
      </w:pPr>
    </w:p>
    <w:p w14:paraId="4E38875C" w14:textId="6420272F"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Метаболизъм:</w:t>
      </w:r>
    </w:p>
    <w:p w14:paraId="21C4EAA8" w14:textId="77777777" w:rsidR="00E3785D" w:rsidRPr="00E3785D" w:rsidRDefault="00E3785D" w:rsidP="00E3785D">
      <w:pPr>
        <w:spacing w:line="240" w:lineRule="auto"/>
        <w:rPr>
          <w:rFonts w:eastAsia="Times New Roman" w:cs="Arial"/>
          <w:color w:val="000000"/>
          <w:lang w:eastAsia="bg-BG"/>
        </w:rPr>
      </w:pPr>
    </w:p>
    <w:p w14:paraId="69ADB3BA" w14:textId="5A08E1A2"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Метформин се отделя непроменен в урината, като не са установени метаболити при човека.</w:t>
      </w:r>
    </w:p>
    <w:p w14:paraId="12B6D8EF" w14:textId="77777777" w:rsidR="00E3785D" w:rsidRPr="00E3785D" w:rsidRDefault="00E3785D" w:rsidP="00E3785D">
      <w:pPr>
        <w:spacing w:line="240" w:lineRule="auto"/>
        <w:rPr>
          <w:rFonts w:eastAsia="Times New Roman" w:cs="Arial"/>
          <w:i/>
          <w:iCs/>
          <w:color w:val="000000"/>
          <w:lang w:eastAsia="bg-BG"/>
        </w:rPr>
      </w:pPr>
    </w:p>
    <w:p w14:paraId="47D4E892" w14:textId="1A6AEA9A" w:rsidR="00E3785D" w:rsidRPr="00E3785D" w:rsidRDefault="00E3785D" w:rsidP="00E3785D">
      <w:pPr>
        <w:pStyle w:val="Heading3"/>
        <w:rPr>
          <w:rFonts w:eastAsia="Times New Roman"/>
          <w:u w:val="single"/>
          <w:lang w:eastAsia="bg-BG"/>
        </w:rPr>
      </w:pPr>
      <w:r w:rsidRPr="00E3785D">
        <w:rPr>
          <w:rFonts w:eastAsia="Times New Roman"/>
          <w:u w:val="single"/>
          <w:lang w:eastAsia="bg-BG"/>
        </w:rPr>
        <w:t>Елиминиране:</w:t>
      </w:r>
    </w:p>
    <w:p w14:paraId="08910E0B" w14:textId="77777777" w:rsidR="00E3785D" w:rsidRPr="00E3785D" w:rsidRDefault="00E3785D" w:rsidP="00E3785D">
      <w:pPr>
        <w:spacing w:line="240" w:lineRule="auto"/>
        <w:rPr>
          <w:rFonts w:eastAsia="Times New Roman" w:cs="Arial"/>
          <w:color w:val="000000"/>
          <w:lang w:eastAsia="bg-BG"/>
        </w:rPr>
      </w:pPr>
    </w:p>
    <w:p w14:paraId="4DEB087F" w14:textId="0BAD0B24"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Бъбречният клирънс на метформин е &gt; 400 </w:t>
      </w:r>
      <w:r w:rsidRPr="00E3785D">
        <w:rPr>
          <w:rFonts w:eastAsia="Times New Roman" w:cs="Arial"/>
          <w:color w:val="000000"/>
          <w:lang w:val="en-US"/>
        </w:rPr>
        <w:t xml:space="preserve">ml/min, </w:t>
      </w:r>
      <w:r w:rsidRPr="00E3785D">
        <w:rPr>
          <w:rFonts w:eastAsia="Times New Roman" w:cs="Arial"/>
          <w:color w:val="000000"/>
          <w:lang w:eastAsia="bg-BG"/>
        </w:rPr>
        <w:t>което показва че метформин се отделя с помощта на гломерулна филтрация и тубулна секреция. След перорално приложение на една доза, крайното време на полу-живот е около 6.5 часа.</w:t>
      </w:r>
    </w:p>
    <w:p w14:paraId="7D95C393" w14:textId="4CB1D9B6" w:rsidR="00E3785D" w:rsidRPr="00E3785D" w:rsidRDefault="00E3785D" w:rsidP="00E3785D">
      <w:pPr>
        <w:rPr>
          <w:rFonts w:cs="Arial"/>
        </w:rPr>
      </w:pPr>
      <w:r w:rsidRPr="00E3785D">
        <w:rPr>
          <w:rFonts w:eastAsia="Times New Roman" w:cs="Arial"/>
          <w:color w:val="000000"/>
          <w:lang w:eastAsia="bg-BG"/>
        </w:rPr>
        <w:t>При увреждане на бъбречната функция, реналният клирънс намалява пропорционално на креатининовия, времето на полу-живот се удължава, а това води до повишаване на плазмените нива на метформин.</w:t>
      </w:r>
    </w:p>
    <w:p w14:paraId="4EE1BB0B" w14:textId="77777777" w:rsidR="0091385D" w:rsidRPr="0091385D" w:rsidRDefault="0091385D"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52E4D01A" w14:textId="56CBDCBD" w:rsidR="0091385D" w:rsidRPr="00E3785D" w:rsidRDefault="00E3785D" w:rsidP="0091385D">
      <w:pPr>
        <w:rPr>
          <w:rFonts w:cs="Arial"/>
        </w:rPr>
      </w:pPr>
      <w:r w:rsidRPr="00E3785D">
        <w:rPr>
          <w:rFonts w:cs="Arial"/>
        </w:rPr>
        <w:lastRenderedPageBreak/>
        <w:t>Предклиничните данни по отношение на профила на безопасност, токсичността при многократно приложение, генотоксичностга, канцерогенния потенциал и репродуктивната токсичност не са показали специфично вредно въздействие по време на проучванията.</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27CE8772"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Нео Балканика ЕООД</w:t>
      </w:r>
    </w:p>
    <w:p w14:paraId="392EECC4"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Ул. “Земляне” 35</w:t>
      </w:r>
    </w:p>
    <w:p w14:paraId="3FD825DB" w14:textId="583DF890" w:rsidR="0091385D" w:rsidRPr="00E3785D" w:rsidRDefault="00E3785D" w:rsidP="00E3785D">
      <w:pPr>
        <w:rPr>
          <w:rFonts w:cs="Arial"/>
        </w:rPr>
      </w:pPr>
      <w:r w:rsidRPr="00E3785D">
        <w:rPr>
          <w:rFonts w:eastAsia="Times New Roman" w:cs="Arial"/>
          <w:color w:val="000000"/>
          <w:lang w:eastAsia="bg-BG"/>
        </w:rPr>
        <w:t>София, България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1A0D0615"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val="en-US"/>
        </w:rPr>
        <w:t xml:space="preserve">NEOFORMIN </w:t>
      </w:r>
      <w:r w:rsidRPr="00E3785D">
        <w:rPr>
          <w:rFonts w:eastAsia="Times New Roman" w:cs="Arial"/>
          <w:color w:val="000000"/>
          <w:lang w:eastAsia="bg-BG"/>
        </w:rPr>
        <w:t xml:space="preserve">500 </w:t>
      </w:r>
      <w:r w:rsidRPr="00E3785D">
        <w:rPr>
          <w:rFonts w:eastAsia="Times New Roman" w:cs="Arial"/>
          <w:color w:val="000000"/>
          <w:lang w:val="en-US"/>
        </w:rPr>
        <w:t xml:space="preserve">mg </w:t>
      </w:r>
      <w:r w:rsidRPr="00E3785D">
        <w:rPr>
          <w:rFonts w:eastAsia="Times New Roman" w:cs="Arial"/>
          <w:color w:val="000000"/>
          <w:lang w:eastAsia="bg-BG"/>
        </w:rPr>
        <w:t>- II 13470/20.06.2006</w:t>
      </w:r>
    </w:p>
    <w:p w14:paraId="6E892CE5" w14:textId="00AF15F2" w:rsidR="0091385D" w:rsidRPr="00E3785D" w:rsidRDefault="00E3785D" w:rsidP="00E3785D">
      <w:pPr>
        <w:rPr>
          <w:rFonts w:cs="Arial"/>
        </w:rPr>
      </w:pPr>
      <w:r w:rsidRPr="00E3785D">
        <w:rPr>
          <w:rFonts w:eastAsia="Times New Roman" w:cs="Arial"/>
          <w:color w:val="000000"/>
          <w:lang w:val="en-US"/>
        </w:rPr>
        <w:t xml:space="preserve">NEOFORMIN </w:t>
      </w:r>
      <w:r w:rsidRPr="00E3785D">
        <w:rPr>
          <w:rFonts w:eastAsia="Times New Roman" w:cs="Arial"/>
          <w:color w:val="000000"/>
          <w:lang w:eastAsia="bg-BG"/>
        </w:rPr>
        <w:t xml:space="preserve">850 </w:t>
      </w:r>
      <w:r w:rsidRPr="00E3785D">
        <w:rPr>
          <w:rFonts w:eastAsia="Times New Roman" w:cs="Arial"/>
          <w:color w:val="000000"/>
          <w:lang w:val="en-US"/>
        </w:rPr>
        <w:t xml:space="preserve">mg - </w:t>
      </w:r>
      <w:r w:rsidRPr="00E3785D">
        <w:rPr>
          <w:rFonts w:eastAsia="Times New Roman" w:cs="Arial"/>
          <w:color w:val="000000"/>
          <w:lang w:eastAsia="bg-BG"/>
        </w:rPr>
        <w:t>II 13471/20.06.2006</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497007FA" w14:textId="4F4CD6F8" w:rsidR="0091385D" w:rsidRPr="00E3785D" w:rsidRDefault="00E3785D" w:rsidP="0091385D">
      <w:pPr>
        <w:rPr>
          <w:rFonts w:cs="Arial"/>
        </w:rPr>
      </w:pPr>
      <w:r w:rsidRPr="00E3785D">
        <w:rPr>
          <w:rFonts w:cs="Arial"/>
        </w:rPr>
        <w:t>20.06.2006</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76695839" w:rsidR="0091385D" w:rsidRPr="00E3785D" w:rsidRDefault="00E3785D" w:rsidP="0091385D">
      <w:pPr>
        <w:rPr>
          <w:rFonts w:cs="Arial"/>
        </w:rPr>
      </w:pPr>
      <w:r w:rsidRPr="00E3785D">
        <w:rPr>
          <w:rFonts w:cs="Arial"/>
        </w:rPr>
        <w:t>Септември 2012 г.</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000005"/>
    <w:multiLevelType w:val="multilevel"/>
    <w:tmpl w:val="00000004"/>
    <w:lvl w:ilvl="0">
      <w:start w:val="1"/>
      <w:numFmt w:val="bullet"/>
      <w:lvlText w:val="-"/>
      <w:lvlJc w:val="left"/>
      <w:rPr>
        <w:b w:val="0"/>
        <w:bCs w:val="0"/>
        <w:i w:val="0"/>
        <w:iCs w:val="0"/>
        <w:smallCaps w:val="0"/>
        <w:strike w:val="0"/>
        <w:color w:val="000000"/>
        <w:spacing w:val="0"/>
        <w:w w:val="100"/>
        <w:position w:val="0"/>
        <w:sz w:val="22"/>
        <w:szCs w:val="22"/>
        <w:u w:val="none"/>
      </w:rPr>
    </w:lvl>
    <w:lvl w:ilvl="1">
      <w:start w:val="1"/>
      <w:numFmt w:val="bullet"/>
      <w:lvlText w:val="-"/>
      <w:lvlJc w:val="left"/>
      <w:rPr>
        <w:b w:val="0"/>
        <w:bCs w:val="0"/>
        <w:i w:val="0"/>
        <w:iCs w:val="0"/>
        <w:smallCaps w:val="0"/>
        <w:strike w:val="0"/>
        <w:color w:val="000000"/>
        <w:spacing w:val="0"/>
        <w:w w:val="100"/>
        <w:position w:val="0"/>
        <w:sz w:val="22"/>
        <w:szCs w:val="22"/>
        <w:u w:val="none"/>
      </w:rPr>
    </w:lvl>
    <w:lvl w:ilvl="2">
      <w:start w:val="1"/>
      <w:numFmt w:val="bullet"/>
      <w:lvlText w:val="-"/>
      <w:lvlJc w:val="left"/>
      <w:rPr>
        <w:b w:val="0"/>
        <w:bCs w:val="0"/>
        <w:i w:val="0"/>
        <w:iCs w:val="0"/>
        <w:smallCaps w:val="0"/>
        <w:strike w:val="0"/>
        <w:color w:val="000000"/>
        <w:spacing w:val="0"/>
        <w:w w:val="100"/>
        <w:position w:val="0"/>
        <w:sz w:val="22"/>
        <w:szCs w:val="22"/>
        <w:u w:val="none"/>
      </w:rPr>
    </w:lvl>
    <w:lvl w:ilvl="3">
      <w:start w:val="1"/>
      <w:numFmt w:val="bullet"/>
      <w:lvlText w:val="-"/>
      <w:lvlJc w:val="left"/>
      <w:rPr>
        <w:b w:val="0"/>
        <w:bCs w:val="0"/>
        <w:i w:val="0"/>
        <w:iCs w:val="0"/>
        <w:smallCaps w:val="0"/>
        <w:strike w:val="0"/>
        <w:color w:val="000000"/>
        <w:spacing w:val="0"/>
        <w:w w:val="100"/>
        <w:position w:val="0"/>
        <w:sz w:val="22"/>
        <w:szCs w:val="22"/>
        <w:u w:val="none"/>
      </w:rPr>
    </w:lvl>
    <w:lvl w:ilvl="4">
      <w:start w:val="1"/>
      <w:numFmt w:val="bullet"/>
      <w:lvlText w:val="-"/>
      <w:lvlJc w:val="left"/>
      <w:rPr>
        <w:b w:val="0"/>
        <w:bCs w:val="0"/>
        <w:i w:val="0"/>
        <w:iCs w:val="0"/>
        <w:smallCaps w:val="0"/>
        <w:strike w:val="0"/>
        <w:color w:val="000000"/>
        <w:spacing w:val="0"/>
        <w:w w:val="100"/>
        <w:position w:val="0"/>
        <w:sz w:val="22"/>
        <w:szCs w:val="22"/>
        <w:u w:val="none"/>
      </w:rPr>
    </w:lvl>
    <w:lvl w:ilvl="5">
      <w:start w:val="1"/>
      <w:numFmt w:val="bullet"/>
      <w:lvlText w:val="-"/>
      <w:lvlJc w:val="left"/>
      <w:rPr>
        <w:b w:val="0"/>
        <w:bCs w:val="0"/>
        <w:i w:val="0"/>
        <w:iCs w:val="0"/>
        <w:smallCaps w:val="0"/>
        <w:strike w:val="0"/>
        <w:color w:val="000000"/>
        <w:spacing w:val="0"/>
        <w:w w:val="100"/>
        <w:position w:val="0"/>
        <w:sz w:val="22"/>
        <w:szCs w:val="22"/>
        <w:u w:val="none"/>
      </w:rPr>
    </w:lvl>
    <w:lvl w:ilvl="6">
      <w:start w:val="1"/>
      <w:numFmt w:val="bullet"/>
      <w:lvlText w:val="-"/>
      <w:lvlJc w:val="left"/>
      <w:rPr>
        <w:b w:val="0"/>
        <w:bCs w:val="0"/>
        <w:i w:val="0"/>
        <w:iCs w:val="0"/>
        <w:smallCaps w:val="0"/>
        <w:strike w:val="0"/>
        <w:color w:val="000000"/>
        <w:spacing w:val="0"/>
        <w:w w:val="100"/>
        <w:position w:val="0"/>
        <w:sz w:val="22"/>
        <w:szCs w:val="22"/>
        <w:u w:val="none"/>
      </w:rPr>
    </w:lvl>
    <w:lvl w:ilvl="7">
      <w:start w:val="1"/>
      <w:numFmt w:val="bullet"/>
      <w:lvlText w:val="-"/>
      <w:lvlJc w:val="left"/>
      <w:rPr>
        <w:b w:val="0"/>
        <w:bCs w:val="0"/>
        <w:i w:val="0"/>
        <w:iCs w:val="0"/>
        <w:smallCaps w:val="0"/>
        <w:strike w:val="0"/>
        <w:color w:val="000000"/>
        <w:spacing w:val="0"/>
        <w:w w:val="100"/>
        <w:position w:val="0"/>
        <w:sz w:val="22"/>
        <w:szCs w:val="22"/>
        <w:u w:val="none"/>
      </w:rPr>
    </w:lvl>
    <w:lvl w:ilvl="8">
      <w:start w:val="1"/>
      <w:numFmt w:val="bullet"/>
      <w:lvlText w:val="-"/>
      <w:lvlJc w:val="left"/>
      <w:rPr>
        <w:b w:val="0"/>
        <w:bCs w:val="0"/>
        <w:i w:val="0"/>
        <w:iCs w:val="0"/>
        <w:smallCaps w:val="0"/>
        <w:strike w:val="0"/>
        <w:color w:val="000000"/>
        <w:spacing w:val="0"/>
        <w:w w:val="100"/>
        <w:position w:val="0"/>
        <w:sz w:val="22"/>
        <w:szCs w:val="22"/>
        <w:u w:val="none"/>
      </w:rPr>
    </w:lvl>
  </w:abstractNum>
  <w:abstractNum w:abstractNumId="3"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1"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022366"/>
    <w:multiLevelType w:val="hybridMultilevel"/>
    <w:tmpl w:val="56DE0566"/>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504BC3"/>
    <w:multiLevelType w:val="hybridMultilevel"/>
    <w:tmpl w:val="69020DE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7E677CAA"/>
    <w:multiLevelType w:val="hybridMultilevel"/>
    <w:tmpl w:val="B64E43E4"/>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7"/>
  </w:num>
  <w:num w:numId="2">
    <w:abstractNumId w:val="0"/>
  </w:num>
  <w:num w:numId="3">
    <w:abstractNumId w:val="13"/>
  </w:num>
  <w:num w:numId="4">
    <w:abstractNumId w:val="4"/>
  </w:num>
  <w:num w:numId="5">
    <w:abstractNumId w:val="1"/>
  </w:num>
  <w:num w:numId="6">
    <w:abstractNumId w:val="16"/>
  </w:num>
  <w:num w:numId="7">
    <w:abstractNumId w:val="11"/>
  </w:num>
  <w:num w:numId="8">
    <w:abstractNumId w:val="15"/>
  </w:num>
  <w:num w:numId="9">
    <w:abstractNumId w:val="3"/>
  </w:num>
  <w:num w:numId="10">
    <w:abstractNumId w:val="5"/>
  </w:num>
  <w:num w:numId="11">
    <w:abstractNumId w:val="30"/>
  </w:num>
  <w:num w:numId="12">
    <w:abstractNumId w:val="14"/>
  </w:num>
  <w:num w:numId="13">
    <w:abstractNumId w:val="19"/>
  </w:num>
  <w:num w:numId="14">
    <w:abstractNumId w:val="12"/>
  </w:num>
  <w:num w:numId="15">
    <w:abstractNumId w:val="29"/>
  </w:num>
  <w:num w:numId="16">
    <w:abstractNumId w:val="10"/>
  </w:num>
  <w:num w:numId="17">
    <w:abstractNumId w:val="24"/>
  </w:num>
  <w:num w:numId="18">
    <w:abstractNumId w:val="8"/>
  </w:num>
  <w:num w:numId="19">
    <w:abstractNumId w:val="26"/>
  </w:num>
  <w:num w:numId="20">
    <w:abstractNumId w:val="23"/>
  </w:num>
  <w:num w:numId="21">
    <w:abstractNumId w:val="17"/>
  </w:num>
  <w:num w:numId="22">
    <w:abstractNumId w:val="25"/>
  </w:num>
  <w:num w:numId="23">
    <w:abstractNumId w:val="18"/>
  </w:num>
  <w:num w:numId="24">
    <w:abstractNumId w:val="9"/>
  </w:num>
  <w:num w:numId="25">
    <w:abstractNumId w:val="22"/>
  </w:num>
  <w:num w:numId="26">
    <w:abstractNumId w:val="21"/>
  </w:num>
  <w:num w:numId="27">
    <w:abstractNumId w:val="32"/>
  </w:num>
  <w:num w:numId="28">
    <w:abstractNumId w:val="7"/>
  </w:num>
  <w:num w:numId="29">
    <w:abstractNumId w:val="20"/>
  </w:num>
  <w:num w:numId="30">
    <w:abstractNumId w:val="37"/>
  </w:num>
  <w:num w:numId="31">
    <w:abstractNumId w:val="6"/>
  </w:num>
  <w:num w:numId="32">
    <w:abstractNumId w:val="34"/>
  </w:num>
  <w:num w:numId="33">
    <w:abstractNumId w:val="28"/>
  </w:num>
  <w:num w:numId="34">
    <w:abstractNumId w:val="33"/>
  </w:num>
  <w:num w:numId="35">
    <w:abstractNumId w:val="35"/>
  </w:num>
  <w:num w:numId="36">
    <w:abstractNumId w:val="36"/>
  </w:num>
  <w:num w:numId="37">
    <w:abstractNumId w:val="2"/>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D4749"/>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8F1AF3"/>
    <w:rsid w:val="0091385D"/>
    <w:rsid w:val="009773E4"/>
    <w:rsid w:val="009B171C"/>
    <w:rsid w:val="009F1313"/>
    <w:rsid w:val="00A20351"/>
    <w:rsid w:val="00A65A81"/>
    <w:rsid w:val="00A73575"/>
    <w:rsid w:val="00AA23EC"/>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D466D"/>
    <w:rsid w:val="00E3785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2692</Words>
  <Characters>15349</Characters>
  <Application>Microsoft Office Word</Application>
  <DocSecurity>0</DocSecurity>
  <Lines>127</Lines>
  <Paragraphs>36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2022-09-27T09:14:00Z</dcterms:created>
  <dcterms:modified xsi:type="dcterms:W3CDTF">2022-09-27T09:14:00Z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