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09CEB67B" w:rsidR="002C50EE" w:rsidRDefault="002C50EE" w:rsidP="002C50EE">
      <w:pPr>
        <w:pStyle w:val="Heading1"/>
        <w:jc w:val="center"/>
      </w:pPr>
      <w:bookmarkStart w:id="0" w:name="_Hlk63124480"/>
      <w:r>
        <w:t>КРАТКА ХАРАКТЕРИСТИКА НА ПРОДУКТА</w:t>
      </w:r>
    </w:p>
    <w:p w14:paraId="5A3B4435" w14:textId="77777777" w:rsidR="0091385D" w:rsidRPr="0091385D" w:rsidRDefault="0091385D" w:rsidP="0091385D"/>
    <w:p w14:paraId="3320F4BE" w14:textId="2EB48694" w:rsidR="00C40420" w:rsidRDefault="00DD466D" w:rsidP="004A448E">
      <w:pPr>
        <w:pStyle w:val="Heading1"/>
      </w:pPr>
      <w:r>
        <w:t>1.ИМЕ НА ЛЕКАРСТВЕНИЯ ПРОДУКТ</w:t>
      </w:r>
    </w:p>
    <w:p w14:paraId="5E9BA472" w14:textId="28012C85" w:rsidR="0091385D" w:rsidRDefault="0091385D" w:rsidP="0091385D"/>
    <w:p w14:paraId="74783AB3" w14:textId="77777777" w:rsidR="000D4749" w:rsidRPr="000D4749" w:rsidRDefault="000D4749" w:rsidP="000D4749">
      <w:pPr>
        <w:spacing w:line="240" w:lineRule="auto"/>
        <w:rPr>
          <w:rFonts w:eastAsia="Times New Roman" w:cs="Arial"/>
          <w:sz w:val="24"/>
          <w:szCs w:val="24"/>
          <w:lang w:val="en-US" w:eastAsia="bg-BG"/>
        </w:rPr>
      </w:pPr>
      <w:r w:rsidRPr="000D4749">
        <w:rPr>
          <w:rFonts w:eastAsia="Times New Roman" w:cs="Arial"/>
          <w:color w:val="000000"/>
          <w:lang w:val="en-US"/>
        </w:rPr>
        <w:t xml:space="preserve">NEOFORMIN </w:t>
      </w:r>
      <w:r w:rsidRPr="000D4749">
        <w:rPr>
          <w:rFonts w:eastAsia="Times New Roman" w:cs="Arial"/>
          <w:color w:val="000000"/>
          <w:lang w:eastAsia="bg-BG"/>
        </w:rPr>
        <w:t xml:space="preserve">500 </w:t>
      </w:r>
      <w:r w:rsidRPr="000D4749">
        <w:rPr>
          <w:rFonts w:eastAsia="Times New Roman" w:cs="Arial"/>
          <w:color w:val="000000"/>
          <w:lang w:val="en-US"/>
        </w:rPr>
        <w:t>mg film-coated tablets</w:t>
      </w:r>
    </w:p>
    <w:p w14:paraId="4370CFCD" w14:textId="77777777" w:rsidR="000D4749" w:rsidRPr="000D4749" w:rsidRDefault="000D4749" w:rsidP="000D4749">
      <w:pPr>
        <w:spacing w:line="240" w:lineRule="auto"/>
        <w:rPr>
          <w:rFonts w:eastAsia="Times New Roman" w:cs="Arial"/>
          <w:sz w:val="24"/>
          <w:szCs w:val="24"/>
          <w:lang w:val="en-US" w:eastAsia="bg-BG"/>
        </w:rPr>
      </w:pPr>
      <w:r w:rsidRPr="000D4749">
        <w:rPr>
          <w:rFonts w:eastAsia="Times New Roman" w:cs="Arial"/>
          <w:color w:val="000000"/>
          <w:lang w:eastAsia="bg-BG"/>
        </w:rPr>
        <w:t xml:space="preserve">НЕОФОРМИН </w:t>
      </w:r>
      <w:r w:rsidRPr="000D4749">
        <w:rPr>
          <w:rFonts w:eastAsia="Times New Roman" w:cs="Arial"/>
          <w:color w:val="000000"/>
          <w:lang w:val="en-US"/>
        </w:rPr>
        <w:t xml:space="preserve">500 mg </w:t>
      </w:r>
      <w:r w:rsidRPr="000D4749">
        <w:rPr>
          <w:rFonts w:eastAsia="Times New Roman" w:cs="Arial"/>
          <w:color w:val="000000"/>
          <w:lang w:eastAsia="bg-BG"/>
        </w:rPr>
        <w:t>филмирани таблетки</w:t>
      </w:r>
    </w:p>
    <w:p w14:paraId="0435E58A" w14:textId="77777777" w:rsidR="000D4749" w:rsidRPr="000D4749" w:rsidRDefault="000D4749" w:rsidP="000D4749">
      <w:pPr>
        <w:spacing w:line="240" w:lineRule="auto"/>
        <w:rPr>
          <w:rFonts w:eastAsia="Times New Roman" w:cs="Arial"/>
          <w:color w:val="000000"/>
          <w:lang w:val="en-US"/>
        </w:rPr>
      </w:pPr>
    </w:p>
    <w:p w14:paraId="59E0BF2B" w14:textId="4D1D9DA7" w:rsidR="000D4749" w:rsidRPr="000D4749" w:rsidRDefault="000D4749" w:rsidP="000D4749">
      <w:pPr>
        <w:spacing w:line="240" w:lineRule="auto"/>
        <w:rPr>
          <w:rFonts w:eastAsia="Times New Roman" w:cs="Arial"/>
          <w:sz w:val="24"/>
          <w:szCs w:val="24"/>
          <w:lang w:val="en-US" w:eastAsia="bg-BG"/>
        </w:rPr>
      </w:pPr>
      <w:r w:rsidRPr="000D4749">
        <w:rPr>
          <w:rFonts w:eastAsia="Times New Roman" w:cs="Arial"/>
          <w:color w:val="000000"/>
          <w:lang w:val="en-US"/>
        </w:rPr>
        <w:t>NEOFORMIN 850 mg film-coated tablets</w:t>
      </w:r>
    </w:p>
    <w:p w14:paraId="5015A1FD" w14:textId="1E12AA57" w:rsidR="00A73575" w:rsidRPr="000D4749" w:rsidRDefault="000D4749" w:rsidP="000D4749">
      <w:pPr>
        <w:rPr>
          <w:rFonts w:cs="Arial"/>
        </w:rPr>
      </w:pPr>
      <w:r w:rsidRPr="000D4749">
        <w:rPr>
          <w:rFonts w:eastAsia="Times New Roman" w:cs="Arial"/>
          <w:color w:val="000000"/>
          <w:lang w:eastAsia="bg-BG"/>
        </w:rPr>
        <w:t xml:space="preserve">НЕОФОРМИН </w:t>
      </w:r>
      <w:r w:rsidRPr="000D4749">
        <w:rPr>
          <w:rFonts w:eastAsia="Times New Roman" w:cs="Arial"/>
          <w:color w:val="000000"/>
          <w:lang w:val="en-US"/>
        </w:rPr>
        <w:t xml:space="preserve">850 mg </w:t>
      </w:r>
      <w:r w:rsidRPr="000D4749">
        <w:rPr>
          <w:rFonts w:eastAsia="Times New Roman" w:cs="Arial"/>
          <w:color w:val="000000"/>
          <w:lang w:eastAsia="bg-BG"/>
        </w:rPr>
        <w:t>филмирани таблетки</w:t>
      </w:r>
    </w:p>
    <w:p w14:paraId="1E8447D1" w14:textId="77777777" w:rsidR="0091385D" w:rsidRPr="00E3785D" w:rsidRDefault="0091385D" w:rsidP="0091385D">
      <w:pPr>
        <w:rPr>
          <w:lang w:val="en-US"/>
        </w:rPr>
      </w:pPr>
      <w:bookmarkStart w:id="1" w:name="_GoBack"/>
      <w:bookmarkEnd w:id="1"/>
    </w:p>
    <w:p w14:paraId="6920A680" w14:textId="53C3EFCC" w:rsidR="00C40420" w:rsidRDefault="00DD466D" w:rsidP="004A448E">
      <w:pPr>
        <w:pStyle w:val="Heading1"/>
      </w:pPr>
      <w:r>
        <w:t>2. КАЧЕСТВЕН И КОЛИЧЕСТВЕН СЪСТАВ</w:t>
      </w:r>
    </w:p>
    <w:p w14:paraId="1ED33AE8" w14:textId="288788EF" w:rsidR="0091385D" w:rsidRDefault="0091385D" w:rsidP="0091385D"/>
    <w:p w14:paraId="4DBB3193"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val="en-US"/>
        </w:rPr>
        <w:t xml:space="preserve">NEOFORMIN </w:t>
      </w:r>
      <w:r w:rsidRPr="000D4749">
        <w:rPr>
          <w:rFonts w:eastAsia="Times New Roman" w:cs="Arial"/>
          <w:color w:val="000000"/>
          <w:lang w:eastAsia="bg-BG"/>
        </w:rPr>
        <w:t xml:space="preserve">500 </w:t>
      </w:r>
      <w:r w:rsidRPr="000D4749">
        <w:rPr>
          <w:rFonts w:eastAsia="Times New Roman" w:cs="Arial"/>
          <w:color w:val="000000"/>
          <w:lang w:val="en-US"/>
        </w:rPr>
        <w:t xml:space="preserve">mg </w:t>
      </w:r>
      <w:r w:rsidRPr="000D4749">
        <w:rPr>
          <w:rFonts w:eastAsia="Times New Roman" w:cs="Arial"/>
          <w:color w:val="000000"/>
          <w:lang w:eastAsia="bg-BG"/>
        </w:rPr>
        <w:t xml:space="preserve">- Всяка филмирана таблетка съдържа 500 </w:t>
      </w:r>
      <w:r w:rsidRPr="000D4749">
        <w:rPr>
          <w:rFonts w:eastAsia="Times New Roman" w:cs="Arial"/>
          <w:color w:val="000000"/>
          <w:lang w:val="en-US"/>
        </w:rPr>
        <w:t xml:space="preserve">mg </w:t>
      </w:r>
      <w:r w:rsidRPr="000D4749">
        <w:rPr>
          <w:rFonts w:eastAsia="Times New Roman" w:cs="Arial"/>
          <w:color w:val="000000"/>
          <w:lang w:eastAsia="bg-BG"/>
        </w:rPr>
        <w:t xml:space="preserve">метформинов хидрохлорид </w:t>
      </w:r>
      <w:r w:rsidRPr="000D4749">
        <w:rPr>
          <w:rFonts w:eastAsia="Times New Roman" w:cs="Arial"/>
          <w:i/>
          <w:iCs/>
          <w:color w:val="000000"/>
          <w:lang w:val="en-US"/>
        </w:rPr>
        <w:t>(metformin hydrochloride).</w:t>
      </w:r>
    </w:p>
    <w:p w14:paraId="644BB00C" w14:textId="77777777" w:rsidR="000D4749" w:rsidRPr="000D4749" w:rsidRDefault="000D4749" w:rsidP="000D4749">
      <w:pPr>
        <w:spacing w:line="240" w:lineRule="auto"/>
        <w:rPr>
          <w:rFonts w:eastAsia="Times New Roman" w:cs="Arial"/>
          <w:color w:val="000000"/>
          <w:lang w:val="en-US"/>
        </w:rPr>
      </w:pPr>
    </w:p>
    <w:p w14:paraId="2169AD32" w14:textId="45DA5716"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val="en-US"/>
        </w:rPr>
        <w:t xml:space="preserve">NEOFORMIN </w:t>
      </w:r>
      <w:r w:rsidRPr="000D4749">
        <w:rPr>
          <w:rFonts w:eastAsia="Times New Roman" w:cs="Arial"/>
          <w:color w:val="000000"/>
          <w:lang w:eastAsia="bg-BG"/>
        </w:rPr>
        <w:t xml:space="preserve">850 </w:t>
      </w:r>
      <w:r w:rsidRPr="000D4749">
        <w:rPr>
          <w:rFonts w:eastAsia="Times New Roman" w:cs="Arial"/>
          <w:color w:val="000000"/>
          <w:lang w:val="en-US"/>
        </w:rPr>
        <w:t xml:space="preserve">mg - </w:t>
      </w:r>
      <w:r w:rsidRPr="000D4749">
        <w:rPr>
          <w:rFonts w:eastAsia="Times New Roman" w:cs="Arial"/>
          <w:color w:val="000000"/>
          <w:lang w:eastAsia="bg-BG"/>
        </w:rPr>
        <w:t xml:space="preserve">Всяка филмирана таблетка съдържа 850 </w:t>
      </w:r>
      <w:r w:rsidRPr="000D4749">
        <w:rPr>
          <w:rFonts w:eastAsia="Times New Roman" w:cs="Arial"/>
          <w:color w:val="000000"/>
          <w:lang w:val="en-US"/>
        </w:rPr>
        <w:t xml:space="preserve">mg </w:t>
      </w:r>
      <w:r w:rsidRPr="000D4749">
        <w:rPr>
          <w:rFonts w:eastAsia="Times New Roman" w:cs="Arial"/>
          <w:color w:val="000000"/>
          <w:lang w:eastAsia="bg-BG"/>
        </w:rPr>
        <w:t xml:space="preserve">метформинов хидрохлорид </w:t>
      </w:r>
      <w:r w:rsidRPr="000D4749">
        <w:rPr>
          <w:rFonts w:eastAsia="Times New Roman" w:cs="Arial"/>
          <w:i/>
          <w:iCs/>
          <w:color w:val="000000"/>
          <w:lang w:val="en-US"/>
        </w:rPr>
        <w:t>(metformin hydrochloride).</w:t>
      </w:r>
    </w:p>
    <w:p w14:paraId="0CFA8D9B" w14:textId="77777777" w:rsidR="000D4749" w:rsidRPr="000D4749" w:rsidRDefault="000D4749" w:rsidP="000D4749">
      <w:pPr>
        <w:rPr>
          <w:rFonts w:eastAsia="Times New Roman" w:cs="Arial"/>
          <w:color w:val="000000"/>
          <w:lang w:eastAsia="bg-BG"/>
        </w:rPr>
      </w:pPr>
    </w:p>
    <w:p w14:paraId="03110A50" w14:textId="46AD9A05" w:rsidR="0091385D" w:rsidRPr="000D4749" w:rsidRDefault="000D4749" w:rsidP="000D4749">
      <w:pPr>
        <w:rPr>
          <w:rFonts w:cs="Arial"/>
        </w:rPr>
      </w:pPr>
      <w:r w:rsidRPr="000D4749">
        <w:rPr>
          <w:rFonts w:eastAsia="Times New Roman" w:cs="Arial"/>
          <w:color w:val="000000"/>
          <w:lang w:eastAsia="bg-BG"/>
        </w:rPr>
        <w:t>За пълния списък на помощните вещества, вж. точка 6.1.</w:t>
      </w:r>
    </w:p>
    <w:p w14:paraId="3C47C299" w14:textId="77777777" w:rsidR="00A73575" w:rsidRPr="0091385D" w:rsidRDefault="00A73575" w:rsidP="0091385D"/>
    <w:p w14:paraId="614984C4" w14:textId="3FC552C3" w:rsidR="008A6AF2" w:rsidRDefault="00DD466D" w:rsidP="002C50EE">
      <w:pPr>
        <w:pStyle w:val="Heading1"/>
      </w:pPr>
      <w:r>
        <w:t>3. ЛЕКАРСТВЕНА ФОРМА</w:t>
      </w:r>
    </w:p>
    <w:p w14:paraId="1004E96C" w14:textId="277B91E7" w:rsidR="0091385D" w:rsidRDefault="0091385D" w:rsidP="0091385D"/>
    <w:p w14:paraId="5939A059"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Филмирани таблетки.</w:t>
      </w:r>
    </w:p>
    <w:p w14:paraId="4129ADBB" w14:textId="12C95246" w:rsidR="0091385D" w:rsidRPr="000D4749" w:rsidRDefault="000D4749" w:rsidP="000D4749">
      <w:pPr>
        <w:rPr>
          <w:rFonts w:cs="Arial"/>
        </w:rPr>
      </w:pPr>
      <w:r w:rsidRPr="000D4749">
        <w:rPr>
          <w:rFonts w:eastAsia="Times New Roman" w:cs="Arial"/>
          <w:color w:val="000000"/>
          <w:lang w:eastAsia="bg-BG"/>
        </w:rPr>
        <w:t>Бели, кръгли, двойноизпъкнали филмирани таблетки.</w:t>
      </w:r>
    </w:p>
    <w:p w14:paraId="7D287A22" w14:textId="77777777" w:rsidR="00A73575" w:rsidRPr="0091385D" w:rsidRDefault="00A73575" w:rsidP="0091385D"/>
    <w:p w14:paraId="490FC2C4" w14:textId="76FABE77" w:rsidR="002C50EE" w:rsidRDefault="002C50EE" w:rsidP="002C50EE">
      <w:pPr>
        <w:pStyle w:val="Heading1"/>
      </w:pPr>
      <w:r>
        <w:t>4. КЛИНИЧНИ ДАННИ</w:t>
      </w:r>
    </w:p>
    <w:p w14:paraId="0C69CBC7" w14:textId="77777777" w:rsidR="0091385D" w:rsidRPr="0091385D" w:rsidRDefault="0091385D" w:rsidP="0091385D"/>
    <w:p w14:paraId="0C8E6903" w14:textId="51BB3E2D" w:rsidR="008134C8" w:rsidRDefault="002C50EE" w:rsidP="004A448E">
      <w:pPr>
        <w:pStyle w:val="Heading2"/>
      </w:pPr>
      <w:r>
        <w:t>4.1. Терапевтични показания</w:t>
      </w:r>
    </w:p>
    <w:p w14:paraId="174D169F" w14:textId="0369962D" w:rsidR="0091385D" w:rsidRDefault="0091385D" w:rsidP="0091385D"/>
    <w:p w14:paraId="51AEB32A"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Лечение на захарен диабет тип 2 при възрастни, особено такива с наднормено тегло, когато само диетата и физическите упражнения не водят до адекватен гликемичен контрол.</w:t>
      </w:r>
    </w:p>
    <w:p w14:paraId="1B415902" w14:textId="77777777" w:rsidR="000D4749" w:rsidRPr="000D4749" w:rsidRDefault="000D4749" w:rsidP="000D4749">
      <w:pPr>
        <w:pStyle w:val="ListParagraph"/>
        <w:numPr>
          <w:ilvl w:val="0"/>
          <w:numId w:val="35"/>
        </w:numPr>
        <w:spacing w:line="240" w:lineRule="auto"/>
        <w:rPr>
          <w:rFonts w:eastAsia="Times New Roman" w:cs="Arial"/>
          <w:sz w:val="24"/>
          <w:szCs w:val="24"/>
          <w:lang w:eastAsia="bg-BG"/>
        </w:rPr>
      </w:pPr>
      <w:r w:rsidRPr="000D4749">
        <w:rPr>
          <w:rFonts w:eastAsia="Times New Roman" w:cs="Arial"/>
          <w:color w:val="000000"/>
          <w:lang w:eastAsia="bg-BG"/>
        </w:rPr>
        <w:t>При възрастни, метформин може да се прилага като монотерапия или в комбинация с други перорални антидиабетни лекарствени продукти или с инсулин.</w:t>
      </w:r>
    </w:p>
    <w:p w14:paraId="73CE75FD" w14:textId="3605E57A" w:rsidR="000D4749" w:rsidRPr="000D4749" w:rsidRDefault="000D4749" w:rsidP="000D4749">
      <w:pPr>
        <w:pStyle w:val="ListParagraph"/>
        <w:numPr>
          <w:ilvl w:val="0"/>
          <w:numId w:val="35"/>
        </w:numPr>
        <w:spacing w:line="240" w:lineRule="auto"/>
        <w:rPr>
          <w:rFonts w:eastAsia="Times New Roman" w:cs="Arial"/>
          <w:sz w:val="24"/>
          <w:szCs w:val="24"/>
          <w:lang w:eastAsia="bg-BG"/>
        </w:rPr>
      </w:pPr>
      <w:r w:rsidRPr="000D4749">
        <w:rPr>
          <w:rFonts w:eastAsia="Times New Roman" w:cs="Arial"/>
          <w:color w:val="000000"/>
          <w:lang w:eastAsia="bg-BG"/>
        </w:rPr>
        <w:t>При деца над 10 години, метформин може да се прилага като монотерапия или в комбинация с инсулин.</w:t>
      </w:r>
    </w:p>
    <w:p w14:paraId="19494EED" w14:textId="77777777" w:rsidR="000D4749" w:rsidRPr="000D4749" w:rsidRDefault="000D4749" w:rsidP="000D4749">
      <w:pPr>
        <w:rPr>
          <w:rFonts w:eastAsia="Times New Roman" w:cs="Arial"/>
          <w:color w:val="000000"/>
          <w:lang w:eastAsia="bg-BG"/>
        </w:rPr>
      </w:pPr>
    </w:p>
    <w:p w14:paraId="04B2E99C" w14:textId="303FC3DA" w:rsidR="0091385D" w:rsidRPr="000D4749" w:rsidRDefault="000D4749" w:rsidP="000D4749">
      <w:pPr>
        <w:rPr>
          <w:rFonts w:cs="Arial"/>
        </w:rPr>
      </w:pPr>
      <w:r w:rsidRPr="000D4749">
        <w:rPr>
          <w:rFonts w:eastAsia="Times New Roman" w:cs="Arial"/>
          <w:color w:val="000000"/>
          <w:lang w:eastAsia="bg-BG"/>
        </w:rPr>
        <w:t>Наблюдавано е намаление на усложненията на диабета при пациенти с наднормено тегло и захарен диабет тип 2, лекувани с метформин като първа линия на лечение, след неуспех на диетичния режим (виж точка 5.1 Фармакодинамични свойства).</w:t>
      </w:r>
    </w:p>
    <w:p w14:paraId="6DFA4B9D" w14:textId="77777777" w:rsidR="0091385D" w:rsidRPr="0091385D" w:rsidRDefault="0091385D" w:rsidP="0091385D"/>
    <w:p w14:paraId="30BE2C7B" w14:textId="3633C1E4" w:rsidR="008134C8" w:rsidRDefault="002C50EE" w:rsidP="004A448E">
      <w:pPr>
        <w:pStyle w:val="Heading2"/>
      </w:pPr>
      <w:r>
        <w:lastRenderedPageBreak/>
        <w:t>4.2. Дозировка и начин на приложение</w:t>
      </w:r>
    </w:p>
    <w:p w14:paraId="7AA22B68" w14:textId="3A681DFB" w:rsidR="0091385D" w:rsidRDefault="0091385D" w:rsidP="0091385D"/>
    <w:p w14:paraId="4AF5C2BA" w14:textId="77777777" w:rsidR="000D4749" w:rsidRPr="00E3785D" w:rsidRDefault="000D4749" w:rsidP="00E3785D">
      <w:pPr>
        <w:pStyle w:val="Heading3"/>
        <w:rPr>
          <w:rFonts w:eastAsia="Times New Roman"/>
          <w:b/>
          <w:u w:val="single"/>
          <w:lang w:eastAsia="bg-BG"/>
        </w:rPr>
      </w:pPr>
      <w:bookmarkStart w:id="2" w:name="bookmark0"/>
      <w:r w:rsidRPr="00E3785D">
        <w:rPr>
          <w:rFonts w:eastAsia="Times New Roman"/>
          <w:b/>
          <w:u w:val="single"/>
          <w:lang w:eastAsia="bg-BG"/>
        </w:rPr>
        <w:t>Дозировка</w:t>
      </w:r>
      <w:bookmarkEnd w:id="2"/>
    </w:p>
    <w:p w14:paraId="513C434B"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b/>
          <w:bCs/>
          <w:color w:val="000000"/>
          <w:lang w:eastAsia="bg-BG"/>
        </w:rPr>
        <w:t>Възрастни:</w:t>
      </w:r>
    </w:p>
    <w:p w14:paraId="347F699C" w14:textId="77777777" w:rsidR="000D4749" w:rsidRPr="000D4749" w:rsidRDefault="000D4749" w:rsidP="000D4749">
      <w:pPr>
        <w:spacing w:line="240" w:lineRule="auto"/>
        <w:rPr>
          <w:rFonts w:eastAsia="Times New Roman" w:cs="Arial"/>
          <w:i/>
          <w:iCs/>
          <w:color w:val="000000"/>
          <w:lang w:eastAsia="bg-BG"/>
        </w:rPr>
      </w:pPr>
    </w:p>
    <w:p w14:paraId="0FEE7967" w14:textId="53385E1D" w:rsidR="000D4749" w:rsidRPr="000D4749" w:rsidRDefault="000D4749" w:rsidP="000D4749">
      <w:pPr>
        <w:spacing w:line="240" w:lineRule="auto"/>
        <w:rPr>
          <w:rFonts w:eastAsia="Times New Roman" w:cs="Arial"/>
          <w:sz w:val="24"/>
          <w:szCs w:val="24"/>
          <w:lang w:eastAsia="bg-BG"/>
        </w:rPr>
      </w:pPr>
      <w:r w:rsidRPr="000D4749">
        <w:rPr>
          <w:rFonts w:eastAsia="Times New Roman" w:cs="Arial"/>
          <w:i/>
          <w:iCs/>
          <w:color w:val="000000"/>
          <w:lang w:eastAsia="bg-BG"/>
        </w:rPr>
        <w:t>Като монотерапия или в комбинация с други перорални антидиабетни средства</w:t>
      </w:r>
    </w:p>
    <w:p w14:paraId="74F2F319" w14:textId="77777777" w:rsidR="000D4749" w:rsidRPr="000D4749" w:rsidRDefault="000D4749" w:rsidP="000D4749">
      <w:pPr>
        <w:spacing w:line="240" w:lineRule="auto"/>
        <w:rPr>
          <w:rFonts w:eastAsia="Times New Roman" w:cs="Arial"/>
          <w:color w:val="000000"/>
          <w:lang w:eastAsia="bg-BG"/>
        </w:rPr>
      </w:pPr>
    </w:p>
    <w:p w14:paraId="4AB42023" w14:textId="17034ECE"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 xml:space="preserve">- Обичайната начална доза е една таблетка от 500 </w:t>
      </w:r>
      <w:r w:rsidRPr="000D4749">
        <w:rPr>
          <w:rFonts w:eastAsia="Times New Roman" w:cs="Arial"/>
          <w:color w:val="000000"/>
          <w:lang w:val="en-US"/>
        </w:rPr>
        <w:t xml:space="preserve">mg </w:t>
      </w:r>
      <w:r w:rsidRPr="000D4749">
        <w:rPr>
          <w:rFonts w:eastAsia="Times New Roman" w:cs="Arial"/>
          <w:color w:val="000000"/>
          <w:lang w:eastAsia="bg-BG"/>
        </w:rPr>
        <w:t xml:space="preserve">или 850 </w:t>
      </w:r>
      <w:r w:rsidRPr="000D4749">
        <w:rPr>
          <w:rFonts w:eastAsia="Times New Roman" w:cs="Arial"/>
          <w:color w:val="000000"/>
          <w:lang w:val="en-US"/>
        </w:rPr>
        <w:t xml:space="preserve">mg </w:t>
      </w:r>
      <w:r w:rsidRPr="000D4749">
        <w:rPr>
          <w:rFonts w:eastAsia="Times New Roman" w:cs="Arial"/>
          <w:color w:val="000000"/>
          <w:lang w:eastAsia="bg-BG"/>
        </w:rPr>
        <w:t>два или три пъти дневно по време на хранене или след това.</w:t>
      </w:r>
    </w:p>
    <w:p w14:paraId="7B41AFA2"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След 10 до 15 дни дозата трябва да се промени въз основа на резултатите от измерването на глюкозата в кръвта. Постепенното повишаване на дозата може да</w:t>
      </w:r>
    </w:p>
    <w:p w14:paraId="21FBE0A6"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подобри поносимостта от страна на стомашно-чревния тракт.</w:t>
      </w:r>
    </w:p>
    <w:p w14:paraId="207B7A27" w14:textId="77777777" w:rsidR="000D4749" w:rsidRPr="000D4749" w:rsidRDefault="000D4749" w:rsidP="000D4749">
      <w:pPr>
        <w:rPr>
          <w:rFonts w:eastAsia="Times New Roman" w:cs="Arial"/>
          <w:sz w:val="24"/>
          <w:szCs w:val="24"/>
          <w:lang w:eastAsia="bg-BG"/>
        </w:rPr>
      </w:pPr>
      <w:r w:rsidRPr="000D4749">
        <w:rPr>
          <w:rFonts w:eastAsia="Times New Roman" w:cs="Arial"/>
          <w:color w:val="000000"/>
          <w:lang w:eastAsia="bg-BG"/>
        </w:rPr>
        <w:t xml:space="preserve">Максималната препоръчвана доза метформин е 3 </w:t>
      </w:r>
      <w:r w:rsidRPr="000D4749">
        <w:rPr>
          <w:rFonts w:eastAsia="Times New Roman" w:cs="Arial"/>
          <w:color w:val="000000"/>
          <w:lang w:val="en-US"/>
        </w:rPr>
        <w:t xml:space="preserve">g </w:t>
      </w:r>
      <w:r w:rsidRPr="000D4749">
        <w:rPr>
          <w:rFonts w:eastAsia="Times New Roman" w:cs="Arial"/>
          <w:color w:val="000000"/>
          <w:lang w:eastAsia="bg-BG"/>
        </w:rPr>
        <w:t>дневно, разделена на три отделни</w:t>
      </w:r>
      <w:r>
        <w:rPr>
          <w:rFonts w:eastAsia="Times New Roman" w:cs="Arial"/>
          <w:color w:val="000000"/>
          <w:lang w:eastAsia="bg-BG"/>
        </w:rPr>
        <w:t xml:space="preserve"> </w:t>
      </w:r>
      <w:r w:rsidRPr="000D4749">
        <w:rPr>
          <w:rFonts w:eastAsia="Times New Roman" w:cs="Arial"/>
          <w:color w:val="000000"/>
          <w:lang w:eastAsia="bg-BG"/>
        </w:rPr>
        <w:t>приема.</w:t>
      </w:r>
    </w:p>
    <w:p w14:paraId="3C09DF84" w14:textId="77777777" w:rsidR="000D4749" w:rsidRPr="000D4749" w:rsidRDefault="000D4749" w:rsidP="000D4749">
      <w:pPr>
        <w:numPr>
          <w:ilvl w:val="0"/>
          <w:numId w:val="2"/>
        </w:numPr>
        <w:spacing w:line="240" w:lineRule="auto"/>
        <w:rPr>
          <w:rFonts w:eastAsia="Times New Roman" w:cs="Arial"/>
          <w:color w:val="000000"/>
          <w:lang w:eastAsia="bg-BG"/>
        </w:rPr>
      </w:pPr>
      <w:r w:rsidRPr="000D4749">
        <w:rPr>
          <w:rFonts w:eastAsia="Times New Roman" w:cs="Arial"/>
          <w:color w:val="000000"/>
          <w:lang w:eastAsia="bg-BG"/>
        </w:rPr>
        <w:t>При преминаване от друго орално антидиабетно средство: спиране на другото средство и започване лечението с метформин с посочената по-горе доза.</w:t>
      </w:r>
    </w:p>
    <w:p w14:paraId="6F9F9240" w14:textId="77777777" w:rsidR="000D4749" w:rsidRPr="000D4749" w:rsidRDefault="000D4749" w:rsidP="000D4749">
      <w:pPr>
        <w:spacing w:line="240" w:lineRule="auto"/>
        <w:rPr>
          <w:rFonts w:eastAsia="Times New Roman" w:cs="Arial"/>
          <w:i/>
          <w:iCs/>
          <w:color w:val="000000"/>
          <w:lang w:eastAsia="bg-BG"/>
        </w:rPr>
      </w:pPr>
    </w:p>
    <w:p w14:paraId="61D0B161" w14:textId="16A268EA" w:rsidR="000D4749" w:rsidRPr="000D4749" w:rsidRDefault="000D4749" w:rsidP="000D4749">
      <w:pPr>
        <w:spacing w:line="240" w:lineRule="auto"/>
        <w:rPr>
          <w:rFonts w:eastAsia="Times New Roman" w:cs="Arial"/>
          <w:sz w:val="24"/>
          <w:szCs w:val="24"/>
          <w:lang w:eastAsia="bg-BG"/>
        </w:rPr>
      </w:pPr>
      <w:r w:rsidRPr="000D4749">
        <w:rPr>
          <w:rFonts w:eastAsia="Times New Roman" w:cs="Arial"/>
          <w:i/>
          <w:iCs/>
          <w:color w:val="000000"/>
          <w:lang w:eastAsia="bg-BG"/>
        </w:rPr>
        <w:t>Комбинация с инсулин</w:t>
      </w:r>
    </w:p>
    <w:p w14:paraId="2C833FE4" w14:textId="77777777" w:rsidR="000D4749" w:rsidRPr="000D4749" w:rsidRDefault="000D4749" w:rsidP="000D4749">
      <w:pPr>
        <w:spacing w:line="240" w:lineRule="auto"/>
        <w:rPr>
          <w:rFonts w:eastAsia="Times New Roman" w:cs="Arial"/>
          <w:color w:val="000000"/>
          <w:lang w:eastAsia="bg-BG"/>
        </w:rPr>
      </w:pPr>
    </w:p>
    <w:p w14:paraId="1E31BBB2" w14:textId="57BA98C2"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 xml:space="preserve">Метформин и инсулин могат да се прилагат под формата на комбинирано лечение за постигане на по-добър контрол на кръвната захар. Метформин се прилага в обичайната начална доза от 500 </w:t>
      </w:r>
      <w:r w:rsidRPr="000D4749">
        <w:rPr>
          <w:rFonts w:eastAsia="Times New Roman" w:cs="Arial"/>
          <w:color w:val="000000"/>
          <w:lang w:val="en-US"/>
        </w:rPr>
        <w:t xml:space="preserve">mg </w:t>
      </w:r>
      <w:r w:rsidRPr="000D4749">
        <w:rPr>
          <w:rFonts w:eastAsia="Times New Roman" w:cs="Arial"/>
          <w:color w:val="000000"/>
          <w:lang w:eastAsia="bg-BG"/>
        </w:rPr>
        <w:t xml:space="preserve">или 850 </w:t>
      </w:r>
      <w:r w:rsidRPr="000D4749">
        <w:rPr>
          <w:rFonts w:eastAsia="Times New Roman" w:cs="Arial"/>
          <w:color w:val="000000"/>
          <w:lang w:val="en-US"/>
        </w:rPr>
        <w:t xml:space="preserve">mg </w:t>
      </w:r>
      <w:r w:rsidRPr="000D4749">
        <w:rPr>
          <w:rFonts w:eastAsia="Times New Roman" w:cs="Arial"/>
          <w:color w:val="000000"/>
          <w:lang w:eastAsia="bg-BG"/>
        </w:rPr>
        <w:t>таблетка 2-3 пъти дневно, докато дозата на инсулина се коригира въз основа на резултатите от измерването на глюкозата в кръвта.</w:t>
      </w:r>
    </w:p>
    <w:p w14:paraId="4D43153C" w14:textId="77777777" w:rsidR="000D4749" w:rsidRPr="000D4749" w:rsidRDefault="000D4749" w:rsidP="000D4749">
      <w:pPr>
        <w:spacing w:line="240" w:lineRule="auto"/>
        <w:rPr>
          <w:rFonts w:eastAsia="Times New Roman" w:cs="Arial"/>
          <w:b/>
          <w:bCs/>
          <w:color w:val="000000"/>
          <w:lang w:eastAsia="bg-BG"/>
        </w:rPr>
      </w:pPr>
    </w:p>
    <w:p w14:paraId="74FA4CE4" w14:textId="4236D982" w:rsidR="000D4749" w:rsidRPr="000D4749" w:rsidRDefault="000D4749" w:rsidP="000D4749">
      <w:pPr>
        <w:spacing w:line="240" w:lineRule="auto"/>
        <w:rPr>
          <w:rFonts w:eastAsia="Times New Roman" w:cs="Arial"/>
          <w:sz w:val="24"/>
          <w:szCs w:val="24"/>
          <w:lang w:eastAsia="bg-BG"/>
        </w:rPr>
      </w:pPr>
      <w:r w:rsidRPr="000D4749">
        <w:rPr>
          <w:rFonts w:eastAsia="Times New Roman" w:cs="Arial"/>
          <w:b/>
          <w:bCs/>
          <w:color w:val="000000"/>
          <w:lang w:eastAsia="bg-BG"/>
        </w:rPr>
        <w:t xml:space="preserve">Пациенти в старческа възраст: </w:t>
      </w:r>
      <w:r w:rsidRPr="000D4749">
        <w:rPr>
          <w:rFonts w:eastAsia="Times New Roman" w:cs="Arial"/>
          <w:color w:val="000000"/>
          <w:lang w:eastAsia="bg-BG"/>
        </w:rPr>
        <w:t>поради възможност за намаление на бъбречната функция при пациентите в старческа възраст, дозата на метформин трябва да се определи въз основа на бъбречната функция. Необходима е редовна оценка на бъбречната функция (виж точка 4.4).</w:t>
      </w:r>
    </w:p>
    <w:p w14:paraId="0CD7239F" w14:textId="77777777" w:rsidR="000D4749" w:rsidRPr="000D4749" w:rsidRDefault="000D4749" w:rsidP="000D4749">
      <w:pPr>
        <w:spacing w:line="240" w:lineRule="auto"/>
        <w:rPr>
          <w:rFonts w:eastAsia="Times New Roman" w:cs="Arial"/>
          <w:b/>
          <w:bCs/>
          <w:color w:val="000000"/>
          <w:lang w:eastAsia="bg-BG"/>
        </w:rPr>
      </w:pPr>
    </w:p>
    <w:p w14:paraId="4164ADA1" w14:textId="219283CD" w:rsidR="000D4749" w:rsidRPr="000D4749" w:rsidRDefault="000D4749" w:rsidP="000D4749">
      <w:pPr>
        <w:spacing w:line="240" w:lineRule="auto"/>
        <w:rPr>
          <w:rFonts w:eastAsia="Times New Roman" w:cs="Arial"/>
          <w:sz w:val="24"/>
          <w:szCs w:val="24"/>
          <w:lang w:eastAsia="bg-BG"/>
        </w:rPr>
      </w:pPr>
      <w:r w:rsidRPr="000D4749">
        <w:rPr>
          <w:rFonts w:eastAsia="Times New Roman" w:cs="Arial"/>
          <w:b/>
          <w:bCs/>
          <w:color w:val="000000"/>
          <w:lang w:eastAsia="bg-BG"/>
        </w:rPr>
        <w:t>Педиатрична популация</w:t>
      </w:r>
    </w:p>
    <w:p w14:paraId="4E65DB6B"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i/>
          <w:iCs/>
          <w:color w:val="000000"/>
          <w:lang w:eastAsia="bg-BG"/>
        </w:rPr>
        <w:t>Като монотерапия и в комбинация с инсулин</w:t>
      </w:r>
    </w:p>
    <w:p w14:paraId="43891ACC" w14:textId="77777777" w:rsidR="000D4749" w:rsidRPr="000D4749" w:rsidRDefault="000D4749" w:rsidP="000D4749">
      <w:pPr>
        <w:pStyle w:val="ListParagraph"/>
        <w:numPr>
          <w:ilvl w:val="0"/>
          <w:numId w:val="36"/>
        </w:numPr>
        <w:spacing w:line="240" w:lineRule="auto"/>
        <w:rPr>
          <w:rFonts w:eastAsia="Times New Roman" w:cs="Arial"/>
          <w:sz w:val="24"/>
          <w:szCs w:val="24"/>
          <w:lang w:eastAsia="bg-BG"/>
        </w:rPr>
      </w:pPr>
      <w:r w:rsidRPr="000D4749">
        <w:rPr>
          <w:rFonts w:eastAsia="Times New Roman" w:cs="Arial"/>
          <w:color w:val="000000"/>
          <w:lang w:eastAsia="bg-BG"/>
        </w:rPr>
        <w:t>Метформин може да се използва при деца над 10 години и юноши.</w:t>
      </w:r>
    </w:p>
    <w:p w14:paraId="662D2A04" w14:textId="2C7C9C68" w:rsidR="000D4749" w:rsidRPr="000D4749" w:rsidRDefault="000D4749" w:rsidP="000D4749">
      <w:pPr>
        <w:pStyle w:val="ListParagraph"/>
        <w:numPr>
          <w:ilvl w:val="0"/>
          <w:numId w:val="36"/>
        </w:numPr>
        <w:spacing w:line="240" w:lineRule="auto"/>
        <w:rPr>
          <w:rFonts w:eastAsia="Times New Roman" w:cs="Arial"/>
          <w:sz w:val="24"/>
          <w:szCs w:val="24"/>
          <w:lang w:eastAsia="bg-BG"/>
        </w:rPr>
      </w:pPr>
      <w:r w:rsidRPr="000D4749">
        <w:rPr>
          <w:rFonts w:eastAsia="Times New Roman" w:cs="Arial"/>
          <w:color w:val="000000"/>
          <w:lang w:eastAsia="bg-BG"/>
        </w:rPr>
        <w:t xml:space="preserve">Обичайната начална доза е една таблетка метформин от 500 </w:t>
      </w:r>
      <w:r w:rsidRPr="000D4749">
        <w:rPr>
          <w:rFonts w:eastAsia="Times New Roman" w:cs="Arial"/>
          <w:color w:val="000000"/>
          <w:lang w:val="en-US"/>
        </w:rPr>
        <w:t xml:space="preserve">mg </w:t>
      </w:r>
      <w:r w:rsidRPr="000D4749">
        <w:rPr>
          <w:rFonts w:eastAsia="Times New Roman" w:cs="Arial"/>
          <w:color w:val="000000"/>
          <w:lang w:eastAsia="bg-BG"/>
        </w:rPr>
        <w:t xml:space="preserve">или 850 </w:t>
      </w:r>
      <w:r w:rsidRPr="000D4749">
        <w:rPr>
          <w:rFonts w:eastAsia="Times New Roman" w:cs="Arial"/>
          <w:color w:val="000000"/>
          <w:lang w:val="en-US"/>
        </w:rPr>
        <w:t xml:space="preserve">mg </w:t>
      </w:r>
      <w:r w:rsidRPr="000D4749">
        <w:rPr>
          <w:rFonts w:eastAsia="Times New Roman" w:cs="Arial"/>
          <w:color w:val="000000"/>
          <w:lang w:eastAsia="bg-BG"/>
        </w:rPr>
        <w:t>веднъж дневно, която се приема по време или след хранене.</w:t>
      </w:r>
    </w:p>
    <w:p w14:paraId="6DB1D223"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След 10 до 15 дни дозата трябва да се уточни в зависимост от стойностите на кръвната захар. Постепенното повишаване на дозата може да подобри гастроинтестиналната поносимост.</w:t>
      </w:r>
    </w:p>
    <w:p w14:paraId="59D77E20"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 xml:space="preserve">Препоръчваната максимална дневна доза метформин е 2 </w:t>
      </w:r>
      <w:r w:rsidRPr="000D4749">
        <w:rPr>
          <w:rFonts w:eastAsia="Times New Roman" w:cs="Arial"/>
          <w:color w:val="000000"/>
          <w:lang w:val="en-US"/>
        </w:rPr>
        <w:t xml:space="preserve">g </w:t>
      </w:r>
      <w:r w:rsidRPr="000D4749">
        <w:rPr>
          <w:rFonts w:eastAsia="Times New Roman" w:cs="Arial"/>
          <w:color w:val="000000"/>
          <w:lang w:eastAsia="bg-BG"/>
        </w:rPr>
        <w:t>разделена на два или три приема.</w:t>
      </w:r>
    </w:p>
    <w:p w14:paraId="6A0C9CFE" w14:textId="77777777" w:rsidR="000D4749" w:rsidRPr="000D4749" w:rsidRDefault="000D4749" w:rsidP="000D4749">
      <w:pPr>
        <w:spacing w:line="240" w:lineRule="auto"/>
        <w:rPr>
          <w:rFonts w:eastAsia="Times New Roman" w:cs="Arial"/>
          <w:b/>
          <w:bCs/>
          <w:color w:val="000000"/>
          <w:lang w:eastAsia="bg-BG"/>
        </w:rPr>
      </w:pPr>
      <w:bookmarkStart w:id="3" w:name="bookmark2"/>
    </w:p>
    <w:p w14:paraId="3B0E83BE" w14:textId="347E3D90" w:rsidR="000D4749" w:rsidRPr="00E3785D" w:rsidRDefault="000D4749" w:rsidP="00E3785D">
      <w:pPr>
        <w:pStyle w:val="Heading3"/>
        <w:rPr>
          <w:rFonts w:eastAsia="Times New Roman"/>
          <w:b/>
          <w:u w:val="single"/>
          <w:lang w:eastAsia="bg-BG"/>
        </w:rPr>
      </w:pPr>
      <w:r w:rsidRPr="00E3785D">
        <w:rPr>
          <w:rFonts w:eastAsia="Times New Roman"/>
          <w:b/>
          <w:u w:val="single"/>
          <w:lang w:eastAsia="bg-BG"/>
        </w:rPr>
        <w:t>Начин на приложение</w:t>
      </w:r>
      <w:bookmarkEnd w:id="3"/>
    </w:p>
    <w:p w14:paraId="475300EC" w14:textId="36E0DC00" w:rsidR="0091385D" w:rsidRPr="000D4749" w:rsidRDefault="000D4749" w:rsidP="000D4749">
      <w:pPr>
        <w:rPr>
          <w:rFonts w:cs="Arial"/>
        </w:rPr>
      </w:pPr>
      <w:r w:rsidRPr="000D4749">
        <w:rPr>
          <w:rFonts w:eastAsia="Times New Roman" w:cs="Arial"/>
          <w:color w:val="000000"/>
          <w:lang w:eastAsia="bg-BG"/>
        </w:rPr>
        <w:t>През устата.</w:t>
      </w:r>
    </w:p>
    <w:p w14:paraId="6ACAF645" w14:textId="77777777" w:rsidR="0091385D" w:rsidRPr="0091385D" w:rsidRDefault="0091385D" w:rsidP="0091385D"/>
    <w:p w14:paraId="28C984E8" w14:textId="0756AE28" w:rsidR="008134C8" w:rsidRDefault="002C50EE" w:rsidP="004A448E">
      <w:pPr>
        <w:pStyle w:val="Heading2"/>
      </w:pPr>
      <w:r>
        <w:t>4.3. Противопоказания</w:t>
      </w:r>
    </w:p>
    <w:p w14:paraId="2363D607" w14:textId="48168570" w:rsidR="0091385D" w:rsidRDefault="0091385D" w:rsidP="0091385D"/>
    <w:p w14:paraId="04B4F069" w14:textId="77777777" w:rsidR="000D4749" w:rsidRPr="000D4749" w:rsidRDefault="000D4749" w:rsidP="000D4749">
      <w:pPr>
        <w:numPr>
          <w:ilvl w:val="0"/>
          <w:numId w:val="2"/>
        </w:numPr>
        <w:spacing w:line="240" w:lineRule="auto"/>
        <w:rPr>
          <w:rFonts w:eastAsia="Times New Roman" w:cs="Arial"/>
          <w:color w:val="000000"/>
          <w:lang w:eastAsia="bg-BG"/>
        </w:rPr>
      </w:pPr>
      <w:r w:rsidRPr="000D4749">
        <w:rPr>
          <w:rFonts w:eastAsia="Times New Roman" w:cs="Arial"/>
          <w:color w:val="000000"/>
          <w:lang w:eastAsia="bg-BG"/>
        </w:rPr>
        <w:t>Свръхчувствителност към метформинов хидрохлорид или някое от помощните вещества.</w:t>
      </w:r>
    </w:p>
    <w:p w14:paraId="2C7798F4" w14:textId="77777777" w:rsidR="000D4749" w:rsidRPr="000D4749" w:rsidRDefault="000D4749" w:rsidP="000D4749">
      <w:pPr>
        <w:numPr>
          <w:ilvl w:val="0"/>
          <w:numId w:val="2"/>
        </w:numPr>
        <w:spacing w:line="240" w:lineRule="auto"/>
        <w:rPr>
          <w:rFonts w:eastAsia="Times New Roman" w:cs="Arial"/>
          <w:color w:val="000000"/>
          <w:lang w:eastAsia="bg-BG"/>
        </w:rPr>
      </w:pPr>
      <w:r w:rsidRPr="000D4749">
        <w:rPr>
          <w:rFonts w:eastAsia="Times New Roman" w:cs="Arial"/>
          <w:color w:val="000000"/>
          <w:lang w:eastAsia="bg-BG"/>
        </w:rPr>
        <w:t>Диабетна кетоацидоза, диабетна прекома.</w:t>
      </w:r>
    </w:p>
    <w:p w14:paraId="033393F3" w14:textId="77777777" w:rsidR="000D4749" w:rsidRPr="000D4749" w:rsidRDefault="000D4749" w:rsidP="000D4749">
      <w:pPr>
        <w:numPr>
          <w:ilvl w:val="0"/>
          <w:numId w:val="2"/>
        </w:numPr>
        <w:spacing w:line="240" w:lineRule="auto"/>
        <w:rPr>
          <w:rFonts w:eastAsia="Times New Roman" w:cs="Arial"/>
          <w:color w:val="000000"/>
          <w:lang w:eastAsia="bg-BG"/>
        </w:rPr>
      </w:pPr>
      <w:r w:rsidRPr="000D4749">
        <w:rPr>
          <w:rFonts w:eastAsia="Times New Roman" w:cs="Arial"/>
          <w:color w:val="000000"/>
          <w:lang w:eastAsia="bg-BG"/>
        </w:rPr>
        <w:lastRenderedPageBreak/>
        <w:t xml:space="preserve">Бъбречна недостатъчност или бъбречна дисфункция (нива на серумния креатинин &lt; 60 </w:t>
      </w:r>
      <w:r w:rsidRPr="000D4749">
        <w:rPr>
          <w:rFonts w:eastAsia="Times New Roman" w:cs="Arial"/>
          <w:color w:val="000000"/>
          <w:lang w:val="en-US"/>
        </w:rPr>
        <w:t>ml/min).</w:t>
      </w:r>
    </w:p>
    <w:p w14:paraId="4DFE6FCA" w14:textId="77777777" w:rsidR="000D4749" w:rsidRPr="000D4749" w:rsidRDefault="000D4749" w:rsidP="000D4749">
      <w:pPr>
        <w:pStyle w:val="ListParagraph"/>
        <w:numPr>
          <w:ilvl w:val="0"/>
          <w:numId w:val="2"/>
        </w:numPr>
        <w:spacing w:line="240" w:lineRule="auto"/>
        <w:rPr>
          <w:rFonts w:eastAsia="Times New Roman" w:cs="Arial"/>
          <w:color w:val="000000"/>
          <w:lang w:eastAsia="bg-BG"/>
        </w:rPr>
      </w:pPr>
      <w:r w:rsidRPr="000D4749">
        <w:rPr>
          <w:rFonts w:eastAsia="Times New Roman" w:cs="Arial"/>
          <w:color w:val="000000"/>
          <w:lang w:eastAsia="bg-BG"/>
        </w:rPr>
        <w:t xml:space="preserve"> Остри състояния с възможност за нарушение на бъбречната функция като:</w:t>
      </w:r>
    </w:p>
    <w:p w14:paraId="368F28DF" w14:textId="77777777" w:rsidR="000D4749" w:rsidRPr="000D4749" w:rsidRDefault="000D4749" w:rsidP="000D4749">
      <w:pPr>
        <w:pStyle w:val="ListParagraph"/>
        <w:numPr>
          <w:ilvl w:val="0"/>
          <w:numId w:val="2"/>
        </w:numPr>
        <w:spacing w:line="240" w:lineRule="auto"/>
        <w:rPr>
          <w:rFonts w:eastAsia="Times New Roman" w:cs="Arial"/>
          <w:color w:val="000000"/>
          <w:lang w:eastAsia="bg-BG"/>
        </w:rPr>
      </w:pPr>
      <w:r w:rsidRPr="000D4749">
        <w:rPr>
          <w:rFonts w:eastAsia="Times New Roman" w:cs="Arial"/>
          <w:color w:val="000000"/>
          <w:lang w:eastAsia="bg-BG"/>
        </w:rPr>
        <w:t>дехидратация,</w:t>
      </w:r>
    </w:p>
    <w:p w14:paraId="3C957B43" w14:textId="77777777" w:rsidR="000D4749" w:rsidRPr="000D4749" w:rsidRDefault="000D4749" w:rsidP="000D4749">
      <w:pPr>
        <w:pStyle w:val="ListParagraph"/>
        <w:numPr>
          <w:ilvl w:val="0"/>
          <w:numId w:val="2"/>
        </w:numPr>
        <w:spacing w:line="240" w:lineRule="auto"/>
        <w:rPr>
          <w:rFonts w:eastAsia="Times New Roman" w:cs="Arial"/>
          <w:color w:val="000000"/>
          <w:lang w:eastAsia="bg-BG"/>
        </w:rPr>
      </w:pPr>
      <w:r w:rsidRPr="000D4749">
        <w:rPr>
          <w:rFonts w:eastAsia="Times New Roman" w:cs="Arial"/>
          <w:color w:val="000000"/>
          <w:lang w:eastAsia="bg-BG"/>
        </w:rPr>
        <w:t xml:space="preserve">тежка инфекция, </w:t>
      </w:r>
    </w:p>
    <w:p w14:paraId="6CABCFAB" w14:textId="21906C3F" w:rsidR="000D4749" w:rsidRPr="000D4749" w:rsidRDefault="000D4749" w:rsidP="000D4749">
      <w:pPr>
        <w:pStyle w:val="ListParagraph"/>
        <w:numPr>
          <w:ilvl w:val="0"/>
          <w:numId w:val="2"/>
        </w:numPr>
        <w:spacing w:line="240" w:lineRule="auto"/>
        <w:rPr>
          <w:rFonts w:eastAsia="Times New Roman" w:cs="Arial"/>
          <w:color w:val="000000"/>
          <w:lang w:eastAsia="bg-BG"/>
        </w:rPr>
      </w:pPr>
      <w:r w:rsidRPr="000D4749">
        <w:rPr>
          <w:rFonts w:eastAsia="Times New Roman" w:cs="Arial"/>
          <w:color w:val="000000"/>
          <w:lang w:eastAsia="bg-BG"/>
        </w:rPr>
        <w:t>шок,</w:t>
      </w:r>
    </w:p>
    <w:p w14:paraId="5F8CA8F6"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 Остри или хронични заболявания, които могат да доведат до тъканна хипоксия, като::</w:t>
      </w:r>
    </w:p>
    <w:p w14:paraId="3E5F06F7" w14:textId="77777777" w:rsidR="000D4749" w:rsidRPr="000D4749" w:rsidRDefault="000D4749" w:rsidP="000D4749">
      <w:pPr>
        <w:pStyle w:val="ListParagraph"/>
        <w:numPr>
          <w:ilvl w:val="0"/>
          <w:numId w:val="38"/>
        </w:numPr>
        <w:spacing w:line="240" w:lineRule="auto"/>
        <w:rPr>
          <w:rFonts w:eastAsia="Times New Roman" w:cs="Arial"/>
          <w:sz w:val="24"/>
          <w:szCs w:val="24"/>
          <w:lang w:eastAsia="bg-BG"/>
        </w:rPr>
      </w:pPr>
      <w:r w:rsidRPr="000D4749">
        <w:rPr>
          <w:rFonts w:eastAsia="Times New Roman" w:cs="Arial"/>
          <w:color w:val="000000"/>
          <w:lang w:eastAsia="bg-BG"/>
        </w:rPr>
        <w:t>сърдечна или респираторна недостатъчност,</w:t>
      </w:r>
    </w:p>
    <w:p w14:paraId="3DB6B2BE" w14:textId="77777777" w:rsidR="000D4749" w:rsidRPr="000D4749" w:rsidRDefault="000D4749" w:rsidP="000D4749">
      <w:pPr>
        <w:pStyle w:val="ListParagraph"/>
        <w:numPr>
          <w:ilvl w:val="0"/>
          <w:numId w:val="38"/>
        </w:numPr>
        <w:spacing w:line="240" w:lineRule="auto"/>
        <w:rPr>
          <w:rFonts w:eastAsia="Times New Roman" w:cs="Arial"/>
          <w:sz w:val="24"/>
          <w:szCs w:val="24"/>
          <w:lang w:eastAsia="bg-BG"/>
        </w:rPr>
      </w:pPr>
      <w:r w:rsidRPr="000D4749">
        <w:rPr>
          <w:rFonts w:eastAsia="Times New Roman" w:cs="Arial"/>
          <w:color w:val="000000"/>
          <w:lang w:eastAsia="bg-BG"/>
        </w:rPr>
        <w:t>наскоро прекаран инфаркт на миокарда,</w:t>
      </w:r>
    </w:p>
    <w:p w14:paraId="0C93668C" w14:textId="37150D94" w:rsidR="000D4749" w:rsidRPr="000D4749" w:rsidRDefault="000D4749" w:rsidP="000D4749">
      <w:pPr>
        <w:pStyle w:val="ListParagraph"/>
        <w:numPr>
          <w:ilvl w:val="0"/>
          <w:numId w:val="38"/>
        </w:numPr>
        <w:spacing w:line="240" w:lineRule="auto"/>
        <w:rPr>
          <w:rFonts w:eastAsia="Times New Roman" w:cs="Arial"/>
          <w:sz w:val="24"/>
          <w:szCs w:val="24"/>
          <w:lang w:eastAsia="bg-BG"/>
        </w:rPr>
      </w:pPr>
      <w:r w:rsidRPr="000D4749">
        <w:rPr>
          <w:rFonts w:eastAsia="Times New Roman" w:cs="Arial"/>
          <w:color w:val="000000"/>
          <w:lang w:eastAsia="bg-BG"/>
        </w:rPr>
        <w:t>шок</w:t>
      </w:r>
    </w:p>
    <w:p w14:paraId="2309EAB0" w14:textId="0DD1B1B3" w:rsidR="0091385D" w:rsidRPr="000D4749" w:rsidRDefault="000D4749" w:rsidP="000D4749">
      <w:pPr>
        <w:rPr>
          <w:rFonts w:cs="Arial"/>
        </w:rPr>
      </w:pPr>
      <w:r w:rsidRPr="000D4749">
        <w:rPr>
          <w:rFonts w:eastAsia="Times New Roman" w:cs="Arial"/>
          <w:color w:val="000000"/>
          <w:lang w:eastAsia="bg-BG"/>
        </w:rPr>
        <w:t>- Чернодробна недостатъчност, остра алкохолна интоксикация, алкохолизъм</w:t>
      </w:r>
    </w:p>
    <w:p w14:paraId="31B39DC6" w14:textId="77777777" w:rsidR="0091385D" w:rsidRPr="0091385D" w:rsidRDefault="0091385D" w:rsidP="0091385D"/>
    <w:p w14:paraId="212F509C" w14:textId="52B87D4F" w:rsidR="004F498A" w:rsidRDefault="002C50EE" w:rsidP="004A448E">
      <w:pPr>
        <w:pStyle w:val="Heading2"/>
      </w:pPr>
      <w:r>
        <w:t>4.4. Специални предупреждения и предпазни мерки при употреба</w:t>
      </w:r>
    </w:p>
    <w:p w14:paraId="0AAC2B60" w14:textId="0A08B607" w:rsidR="0091385D" w:rsidRDefault="0091385D" w:rsidP="0091385D"/>
    <w:p w14:paraId="2D0E8583"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b/>
          <w:bCs/>
          <w:color w:val="000000"/>
          <w:lang w:eastAsia="bg-BG"/>
        </w:rPr>
        <w:t>Лактатна ацидоза</w:t>
      </w:r>
    </w:p>
    <w:p w14:paraId="7533AB9E" w14:textId="77777777" w:rsidR="000D4749" w:rsidRPr="000D4749" w:rsidRDefault="000D4749" w:rsidP="000D4749">
      <w:pPr>
        <w:rPr>
          <w:rFonts w:eastAsia="Times New Roman" w:cs="Arial"/>
          <w:sz w:val="24"/>
          <w:szCs w:val="24"/>
          <w:lang w:eastAsia="bg-BG"/>
        </w:rPr>
      </w:pPr>
      <w:r w:rsidRPr="000D4749">
        <w:rPr>
          <w:rFonts w:eastAsia="Times New Roman" w:cs="Arial"/>
          <w:color w:val="000000"/>
          <w:lang w:eastAsia="bg-BG"/>
        </w:rPr>
        <w:t>Лактатната ацидоза е рядко, но сериозно (висока смъртност, ако не се приложи адекватно лечение), метаболитно усложнение, което може да възникне в резултат на акумулация на метформин. Докладваните случаи с лактатна ацидоза при лечение с метформин са възникнали главно при диабетици с изразена бъбречна недостатъчност Честотата на лактатната ацидоза може и трябва да се намали чрез предварителната оценка и на другите рискови фактори, като лош контрол на диабета, кетоза продължително гладуване (постене, диета), прекомерна употреба на алкохол,</w:t>
      </w:r>
      <w:r>
        <w:rPr>
          <w:rFonts w:eastAsia="Times New Roman" w:cs="Arial"/>
          <w:color w:val="000000"/>
          <w:lang w:eastAsia="bg-BG"/>
        </w:rPr>
        <w:t xml:space="preserve"> </w:t>
      </w:r>
      <w:r w:rsidRPr="000D4749">
        <w:rPr>
          <w:rFonts w:eastAsia="Times New Roman" w:cs="Arial"/>
          <w:color w:val="000000"/>
          <w:lang w:eastAsia="bg-BG"/>
        </w:rPr>
        <w:t>чернодробна недостатъчност и състояния, свързани с хипоксия.</w:t>
      </w:r>
    </w:p>
    <w:p w14:paraId="4277D993" w14:textId="77777777" w:rsidR="000D4749" w:rsidRPr="000D4749" w:rsidRDefault="000D4749" w:rsidP="000D4749">
      <w:pPr>
        <w:spacing w:line="240" w:lineRule="auto"/>
        <w:rPr>
          <w:rFonts w:eastAsia="Times New Roman" w:cs="Arial"/>
          <w:b/>
          <w:bCs/>
          <w:color w:val="000000"/>
          <w:u w:val="single"/>
          <w:lang w:eastAsia="bg-BG"/>
        </w:rPr>
      </w:pPr>
    </w:p>
    <w:p w14:paraId="5A4BB3B9" w14:textId="4C3FB10B" w:rsidR="000D4749" w:rsidRPr="000D4749" w:rsidRDefault="000D4749" w:rsidP="000D4749">
      <w:pPr>
        <w:spacing w:line="240" w:lineRule="auto"/>
        <w:rPr>
          <w:rFonts w:eastAsia="Times New Roman" w:cs="Arial"/>
          <w:sz w:val="24"/>
          <w:szCs w:val="24"/>
          <w:lang w:eastAsia="bg-BG"/>
        </w:rPr>
      </w:pPr>
      <w:r w:rsidRPr="000D4749">
        <w:rPr>
          <w:rFonts w:eastAsia="Times New Roman" w:cs="Arial"/>
          <w:b/>
          <w:bCs/>
          <w:color w:val="000000"/>
          <w:u w:val="single"/>
          <w:lang w:eastAsia="bg-BG"/>
        </w:rPr>
        <w:t>Диагноза:</w:t>
      </w:r>
    </w:p>
    <w:p w14:paraId="253AACA1"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Рискът от лактатна ацидоза трябва да се има впредвид дори и в случай на неспецифични симптоми, като схващане на мускулите, стомашно-чревни смущения, като абдоминална болка и тежка астения.</w:t>
      </w:r>
    </w:p>
    <w:p w14:paraId="56FD6FF5"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 xml:space="preserve">Лактатната ацидоза се храктеризира с ацидотична диспнея, коремни болки и хипотермия, последвани от кома. Диагностичните лабораторни показатели са: ниско </w:t>
      </w:r>
      <w:r w:rsidRPr="000D4749">
        <w:rPr>
          <w:rFonts w:eastAsia="Times New Roman" w:cs="Arial"/>
          <w:color w:val="000000"/>
          <w:lang w:val="en-US"/>
        </w:rPr>
        <w:t xml:space="preserve">pH </w:t>
      </w:r>
      <w:r w:rsidRPr="000D4749">
        <w:rPr>
          <w:rFonts w:eastAsia="Times New Roman" w:cs="Arial"/>
          <w:color w:val="000000"/>
          <w:lang w:eastAsia="bg-BG"/>
        </w:rPr>
        <w:t xml:space="preserve">на кръвта, плазмени лактатни нива над 5 </w:t>
      </w:r>
      <w:proofErr w:type="spellStart"/>
      <w:r w:rsidRPr="000D4749">
        <w:rPr>
          <w:rFonts w:eastAsia="Times New Roman" w:cs="Arial"/>
          <w:color w:val="000000"/>
          <w:lang w:val="en-US"/>
        </w:rPr>
        <w:t>mmol</w:t>
      </w:r>
      <w:proofErr w:type="spellEnd"/>
      <w:r w:rsidRPr="000D4749">
        <w:rPr>
          <w:rFonts w:eastAsia="Times New Roman" w:cs="Arial"/>
          <w:color w:val="000000"/>
          <w:lang w:val="en-US"/>
        </w:rPr>
        <w:t xml:space="preserve">/L, </w:t>
      </w:r>
      <w:r w:rsidRPr="000D4749">
        <w:rPr>
          <w:rFonts w:eastAsia="Times New Roman" w:cs="Arial"/>
          <w:color w:val="000000"/>
          <w:lang w:eastAsia="bg-BG"/>
        </w:rPr>
        <w:t>повишение на свободните аниони и съотношението лактат/пируват. При съмнение за метаболитна ацидоза, приема на метформин трябва да се прекрати, а пациента незабавно да се хоспитализира (виж точка 4.9).</w:t>
      </w:r>
    </w:p>
    <w:p w14:paraId="4CD96D37" w14:textId="77777777" w:rsidR="000D4749" w:rsidRPr="000D4749" w:rsidRDefault="000D4749" w:rsidP="000D4749">
      <w:pPr>
        <w:spacing w:line="240" w:lineRule="auto"/>
        <w:rPr>
          <w:rFonts w:eastAsia="Times New Roman" w:cs="Arial"/>
          <w:b/>
          <w:bCs/>
          <w:color w:val="000000"/>
          <w:lang w:eastAsia="bg-BG"/>
        </w:rPr>
      </w:pPr>
    </w:p>
    <w:p w14:paraId="53BCF12E" w14:textId="4DBC536D" w:rsidR="000D4749" w:rsidRPr="000D4749" w:rsidRDefault="000D4749" w:rsidP="000D4749">
      <w:pPr>
        <w:spacing w:line="240" w:lineRule="auto"/>
        <w:rPr>
          <w:rFonts w:eastAsia="Times New Roman" w:cs="Arial"/>
          <w:sz w:val="24"/>
          <w:szCs w:val="24"/>
          <w:lang w:eastAsia="bg-BG"/>
        </w:rPr>
      </w:pPr>
      <w:r w:rsidRPr="000D4749">
        <w:rPr>
          <w:rFonts w:eastAsia="Times New Roman" w:cs="Arial"/>
          <w:b/>
          <w:bCs/>
          <w:color w:val="000000"/>
          <w:lang w:eastAsia="bg-BG"/>
        </w:rPr>
        <w:t>Бъбречна функция:</w:t>
      </w:r>
    </w:p>
    <w:p w14:paraId="127D5020"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Тъй като метформин се отделя през бъбреците, преди началото на лечението и след това по време на самото лечение трябва редовно да се проследяват нивата на серумния креатинин:</w:t>
      </w:r>
    </w:p>
    <w:p w14:paraId="6C778A01" w14:textId="77777777" w:rsidR="000D4749" w:rsidRPr="000D4749" w:rsidRDefault="000D4749" w:rsidP="000D4749">
      <w:pPr>
        <w:numPr>
          <w:ilvl w:val="0"/>
          <w:numId w:val="2"/>
        </w:numPr>
        <w:spacing w:line="240" w:lineRule="auto"/>
        <w:rPr>
          <w:rFonts w:eastAsia="Times New Roman" w:cs="Arial"/>
          <w:color w:val="000000"/>
          <w:lang w:eastAsia="bg-BG"/>
        </w:rPr>
      </w:pPr>
      <w:r w:rsidRPr="000D4749">
        <w:rPr>
          <w:rFonts w:eastAsia="Times New Roman" w:cs="Arial"/>
          <w:color w:val="000000"/>
          <w:lang w:eastAsia="bg-BG"/>
        </w:rPr>
        <w:t>най-малко веднъж годишно при пациентите с нормална бъбречна функция,</w:t>
      </w:r>
    </w:p>
    <w:p w14:paraId="40F632E9" w14:textId="77777777" w:rsidR="000D4749" w:rsidRPr="000D4749" w:rsidRDefault="000D4749" w:rsidP="000D4749">
      <w:pPr>
        <w:numPr>
          <w:ilvl w:val="0"/>
          <w:numId w:val="2"/>
        </w:numPr>
        <w:spacing w:line="240" w:lineRule="auto"/>
        <w:rPr>
          <w:rFonts w:eastAsia="Times New Roman" w:cs="Arial"/>
          <w:color w:val="000000"/>
          <w:lang w:eastAsia="bg-BG"/>
        </w:rPr>
      </w:pPr>
      <w:r w:rsidRPr="000D4749">
        <w:rPr>
          <w:rFonts w:eastAsia="Times New Roman" w:cs="Arial"/>
          <w:color w:val="000000"/>
          <w:lang w:eastAsia="bg-BG"/>
        </w:rPr>
        <w:t>най-малко 2 до 4 пъти годишно, при пациентите с нива на серумния креатинин на горната граница на нормата и такива в напреднала възраст. Понижението на бъбречната функция при пациентите в напреднала възраст е често и асимптомно. Необходимо е повишено внимание в случаите, когато бъбречната функция може да се наруши, например при започване на антихипертензивно или диуретично лечение, както и в началото на лечението с НСПВС.</w:t>
      </w:r>
    </w:p>
    <w:p w14:paraId="7111AA39" w14:textId="77777777" w:rsidR="000D4749" w:rsidRPr="000D4749" w:rsidRDefault="000D4749" w:rsidP="000D4749">
      <w:pPr>
        <w:spacing w:line="240" w:lineRule="auto"/>
        <w:rPr>
          <w:rFonts w:eastAsia="Times New Roman" w:cs="Arial"/>
          <w:b/>
          <w:bCs/>
          <w:color w:val="000000"/>
          <w:lang w:eastAsia="bg-BG"/>
        </w:rPr>
      </w:pPr>
      <w:bookmarkStart w:id="4" w:name="bookmark4"/>
    </w:p>
    <w:p w14:paraId="400BF9DF" w14:textId="26A05CB7" w:rsidR="000D4749" w:rsidRPr="000D4749" w:rsidRDefault="000D4749" w:rsidP="000D4749">
      <w:pPr>
        <w:spacing w:line="240" w:lineRule="auto"/>
        <w:rPr>
          <w:rFonts w:eastAsia="Times New Roman" w:cs="Arial"/>
          <w:sz w:val="24"/>
          <w:szCs w:val="24"/>
          <w:lang w:eastAsia="bg-BG"/>
        </w:rPr>
      </w:pPr>
      <w:r w:rsidRPr="000D4749">
        <w:rPr>
          <w:rFonts w:eastAsia="Times New Roman" w:cs="Arial"/>
          <w:b/>
          <w:bCs/>
          <w:color w:val="000000"/>
          <w:lang w:eastAsia="bg-BG"/>
        </w:rPr>
        <w:t>Прием на йодни контрастни вещества</w:t>
      </w:r>
      <w:bookmarkEnd w:id="4"/>
    </w:p>
    <w:p w14:paraId="267DC910"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lastRenderedPageBreak/>
        <w:t>Тъй като приема на йодни контрастни средства за нуждите на рентгеново изследване, може да доведе до бъбречно нарушение, приема на метформин трябва да се прекрати преди изследването, по време на него и за период от 48 часа след това, като лечението се възобновява само след нова оценка на бъбречната функция и в случай че резултатите показват нормално функциониране на бъбреците.</w:t>
      </w:r>
    </w:p>
    <w:p w14:paraId="3631914F" w14:textId="77777777" w:rsidR="000D4749" w:rsidRPr="000D4749" w:rsidRDefault="000D4749" w:rsidP="000D4749">
      <w:pPr>
        <w:spacing w:line="240" w:lineRule="auto"/>
        <w:rPr>
          <w:rFonts w:eastAsia="Times New Roman" w:cs="Arial"/>
          <w:b/>
          <w:bCs/>
          <w:color w:val="000000"/>
          <w:lang w:eastAsia="bg-BG"/>
        </w:rPr>
      </w:pPr>
      <w:bookmarkStart w:id="5" w:name="bookmark6"/>
    </w:p>
    <w:p w14:paraId="4297379D" w14:textId="4B0C6954" w:rsidR="000D4749" w:rsidRPr="000D4749" w:rsidRDefault="000D4749" w:rsidP="000D4749">
      <w:pPr>
        <w:spacing w:line="240" w:lineRule="auto"/>
        <w:rPr>
          <w:rFonts w:eastAsia="Times New Roman" w:cs="Arial"/>
          <w:sz w:val="24"/>
          <w:szCs w:val="24"/>
          <w:lang w:eastAsia="bg-BG"/>
        </w:rPr>
      </w:pPr>
      <w:r w:rsidRPr="000D4749">
        <w:rPr>
          <w:rFonts w:eastAsia="Times New Roman" w:cs="Arial"/>
          <w:b/>
          <w:bCs/>
          <w:color w:val="000000"/>
          <w:lang w:eastAsia="bg-BG"/>
        </w:rPr>
        <w:t>Хирургични операции</w:t>
      </w:r>
      <w:bookmarkEnd w:id="5"/>
    </w:p>
    <w:p w14:paraId="3E3D62D8"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Приема на метформин трябва да се спре 48 часа преди хирургична интервенция с обща анестезия и да не се възстановява по-рано от 48 часа след това или след преминаване към приемането на твърда храна и то само при потвърдена, след изследване нормална функция на бъбреците.</w:t>
      </w:r>
    </w:p>
    <w:p w14:paraId="4052FEF9" w14:textId="77777777" w:rsidR="000D4749" w:rsidRPr="000D4749" w:rsidRDefault="000D4749" w:rsidP="000D4749">
      <w:pPr>
        <w:spacing w:line="240" w:lineRule="auto"/>
        <w:rPr>
          <w:rFonts w:eastAsia="Times New Roman" w:cs="Arial"/>
          <w:b/>
          <w:bCs/>
          <w:color w:val="000000"/>
          <w:lang w:eastAsia="bg-BG"/>
        </w:rPr>
      </w:pPr>
      <w:bookmarkStart w:id="6" w:name="bookmark8"/>
    </w:p>
    <w:p w14:paraId="5405C605" w14:textId="15B0F27A" w:rsidR="000D4749" w:rsidRPr="000D4749" w:rsidRDefault="000D4749" w:rsidP="000D4749">
      <w:pPr>
        <w:spacing w:line="240" w:lineRule="auto"/>
        <w:rPr>
          <w:rFonts w:eastAsia="Times New Roman" w:cs="Arial"/>
          <w:sz w:val="24"/>
          <w:szCs w:val="24"/>
          <w:lang w:eastAsia="bg-BG"/>
        </w:rPr>
      </w:pPr>
      <w:r w:rsidRPr="000D4749">
        <w:rPr>
          <w:rFonts w:eastAsia="Times New Roman" w:cs="Arial"/>
          <w:b/>
          <w:bCs/>
          <w:color w:val="000000"/>
          <w:lang w:eastAsia="bg-BG"/>
        </w:rPr>
        <w:t>Педиатрична популация</w:t>
      </w:r>
      <w:bookmarkEnd w:id="6"/>
    </w:p>
    <w:p w14:paraId="7C8A8794"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Преди започване на лечение с метформин трябва да бъде потвърдена диагнозата захарен диабет тип 2.</w:t>
      </w:r>
    </w:p>
    <w:p w14:paraId="698029D5" w14:textId="77777777" w:rsidR="000D4749" w:rsidRPr="000D4749" w:rsidRDefault="000D4749" w:rsidP="000D4749">
      <w:pPr>
        <w:spacing w:line="240" w:lineRule="auto"/>
        <w:rPr>
          <w:rFonts w:eastAsia="Times New Roman" w:cs="Arial"/>
          <w:sz w:val="24"/>
          <w:szCs w:val="24"/>
          <w:lang w:eastAsia="bg-BG"/>
        </w:rPr>
      </w:pPr>
      <w:r w:rsidRPr="000D4749">
        <w:rPr>
          <w:rFonts w:eastAsia="Times New Roman" w:cs="Arial"/>
          <w:color w:val="000000"/>
          <w:lang w:eastAsia="bg-BG"/>
        </w:rPr>
        <w:t>Проведени контролирани клинични проучвания в продължение на една година не са установили влияние на метформин върху растежа и пубертета, но засега няма данни от продължителни наблюдения в тази област. Затова се препоръчва внимателно проследяване ефектите на метформин върху показатели, по-специално при лечение на деца в предпубертетна възраст.</w:t>
      </w:r>
    </w:p>
    <w:p w14:paraId="348AB050" w14:textId="77777777" w:rsidR="000D4749" w:rsidRPr="000D4749" w:rsidRDefault="000D4749" w:rsidP="000D4749">
      <w:pPr>
        <w:spacing w:line="240" w:lineRule="auto"/>
        <w:rPr>
          <w:rFonts w:eastAsia="Times New Roman" w:cs="Arial"/>
          <w:b/>
          <w:bCs/>
          <w:color w:val="000000"/>
          <w:lang w:eastAsia="bg-BG"/>
        </w:rPr>
      </w:pPr>
      <w:bookmarkStart w:id="7" w:name="bookmark10"/>
    </w:p>
    <w:p w14:paraId="74D1ADF6" w14:textId="0AE2A96F" w:rsidR="000D4749" w:rsidRPr="000D4749" w:rsidRDefault="000D4749" w:rsidP="000D4749">
      <w:pPr>
        <w:spacing w:line="240" w:lineRule="auto"/>
        <w:rPr>
          <w:rFonts w:eastAsia="Times New Roman" w:cs="Arial"/>
          <w:sz w:val="24"/>
          <w:szCs w:val="24"/>
          <w:lang w:eastAsia="bg-BG"/>
        </w:rPr>
      </w:pPr>
      <w:r w:rsidRPr="000D4749">
        <w:rPr>
          <w:rFonts w:eastAsia="Times New Roman" w:cs="Arial"/>
          <w:b/>
          <w:bCs/>
          <w:color w:val="000000"/>
          <w:lang w:eastAsia="bg-BG"/>
        </w:rPr>
        <w:t>Други предупреждения</w:t>
      </w:r>
      <w:bookmarkEnd w:id="7"/>
    </w:p>
    <w:p w14:paraId="2B0BB18D" w14:textId="77777777" w:rsidR="000D4749" w:rsidRPr="000D4749" w:rsidRDefault="000D4749" w:rsidP="000D4749">
      <w:pPr>
        <w:numPr>
          <w:ilvl w:val="0"/>
          <w:numId w:val="2"/>
        </w:numPr>
        <w:spacing w:line="240" w:lineRule="auto"/>
        <w:rPr>
          <w:rFonts w:eastAsia="Times New Roman" w:cs="Arial"/>
          <w:color w:val="000000"/>
          <w:lang w:eastAsia="bg-BG"/>
        </w:rPr>
      </w:pPr>
      <w:r w:rsidRPr="000D4749">
        <w:rPr>
          <w:rFonts w:eastAsia="Times New Roman" w:cs="Arial"/>
          <w:color w:val="000000"/>
          <w:lang w:eastAsia="bg-BG"/>
        </w:rPr>
        <w:t>Всички пациенти трябва да продължат диетата си с равномерно разпределение на дневния прием на въглехидратите. Пациентите с наднормено тегло трябва да продължат своята диета с ограничаване на енергийния прием.</w:t>
      </w:r>
    </w:p>
    <w:p w14:paraId="7AA7395F" w14:textId="77777777" w:rsidR="000D4749" w:rsidRPr="000D4749" w:rsidRDefault="000D4749" w:rsidP="000D4749">
      <w:pPr>
        <w:numPr>
          <w:ilvl w:val="0"/>
          <w:numId w:val="2"/>
        </w:numPr>
        <w:spacing w:line="240" w:lineRule="auto"/>
        <w:rPr>
          <w:rFonts w:eastAsia="Times New Roman" w:cs="Arial"/>
          <w:color w:val="000000"/>
          <w:lang w:eastAsia="bg-BG"/>
        </w:rPr>
      </w:pPr>
      <w:r w:rsidRPr="000D4749">
        <w:rPr>
          <w:rFonts w:eastAsia="Times New Roman" w:cs="Arial"/>
          <w:color w:val="000000"/>
          <w:lang w:eastAsia="bg-BG"/>
        </w:rPr>
        <w:t>Необходимо е редовно провеждане на рутинните лабораторни изследвания за проследяване на диабета.</w:t>
      </w:r>
    </w:p>
    <w:p w14:paraId="0B3BEE35" w14:textId="7C50F8D4" w:rsidR="0091385D" w:rsidRPr="000D4749" w:rsidRDefault="000D4749" w:rsidP="000D4749">
      <w:pPr>
        <w:rPr>
          <w:rFonts w:cs="Arial"/>
        </w:rPr>
      </w:pPr>
      <w:r w:rsidRPr="000D4749">
        <w:rPr>
          <w:rFonts w:eastAsia="Times New Roman" w:cs="Arial"/>
          <w:color w:val="000000"/>
          <w:lang w:eastAsia="bg-BG"/>
        </w:rPr>
        <w:t>Самостоятелното прилагане на метформин никога не води до хипогликемия, въпреки това е необходимо повишено внимание при комбинирането му с инсулин или сулфонилурейни или меглитиниди.</w:t>
      </w:r>
    </w:p>
    <w:p w14:paraId="24E3E82F" w14:textId="77777777" w:rsidR="0091385D" w:rsidRPr="0091385D" w:rsidRDefault="0091385D" w:rsidP="0091385D"/>
    <w:p w14:paraId="619DED1E" w14:textId="564F257F"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55E4B7C" w14:textId="7D829F6C" w:rsidR="0091385D" w:rsidRDefault="0091385D" w:rsidP="0091385D"/>
    <w:p w14:paraId="142E0D95"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b/>
          <w:bCs/>
          <w:color w:val="000000"/>
          <w:lang w:eastAsia="bg-BG"/>
        </w:rPr>
        <w:t>Не се препоръчва комбиниране с:</w:t>
      </w:r>
    </w:p>
    <w:p w14:paraId="45CBC314"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u w:val="single"/>
          <w:lang w:eastAsia="bg-BG"/>
        </w:rPr>
        <w:t>Алкохол</w:t>
      </w:r>
    </w:p>
    <w:p w14:paraId="3507A7B7"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Съществува повишен риск от лактатна ацидоза при остро алкохолно отравяне, особено при:</w:t>
      </w:r>
    </w:p>
    <w:p w14:paraId="01B9DBF8"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 гладуване или недохранване, - чернодробна недостатъчност. Да се избягва употребата на алкохол или лекарствени продукти, съдържащи алкохол.</w:t>
      </w:r>
    </w:p>
    <w:p w14:paraId="6E512E8B" w14:textId="77777777" w:rsidR="00E3785D" w:rsidRPr="00E3785D" w:rsidRDefault="00E3785D" w:rsidP="00E3785D">
      <w:pPr>
        <w:spacing w:line="240" w:lineRule="auto"/>
        <w:rPr>
          <w:rFonts w:eastAsia="Times New Roman" w:cs="Arial"/>
          <w:color w:val="000000"/>
          <w:u w:val="single"/>
          <w:lang w:eastAsia="bg-BG"/>
        </w:rPr>
      </w:pPr>
    </w:p>
    <w:p w14:paraId="52386D51" w14:textId="0D180A56"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u w:val="single"/>
          <w:lang w:eastAsia="bg-BG"/>
        </w:rPr>
        <w:t>Йодни рентгеноконтрастни продукти (вижте точка 4.4)</w:t>
      </w:r>
    </w:p>
    <w:p w14:paraId="59C6AD6B"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Интравенозното приложение на йодни контрастни съединения може да доведе до бъбречно нарушение, последвано от кумулиране на метформин и риск от лактатна ацидоза.</w:t>
      </w:r>
    </w:p>
    <w:p w14:paraId="35F7CF6B"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Приема на метформин трябва да се прекрати преди изследването, по време на него и за период от 48 часа след това, като лечението се възобновява само след нова оценка на бъбречната функция и в случай, че резултатите показват нормално функциониране на бъбреците.</w:t>
      </w:r>
    </w:p>
    <w:p w14:paraId="59EB46D1" w14:textId="77777777" w:rsidR="00E3785D" w:rsidRPr="00E3785D" w:rsidRDefault="00E3785D" w:rsidP="00E3785D">
      <w:pPr>
        <w:spacing w:line="240" w:lineRule="auto"/>
        <w:rPr>
          <w:rFonts w:eastAsia="Times New Roman" w:cs="Arial"/>
          <w:b/>
          <w:bCs/>
          <w:color w:val="000000"/>
          <w:lang w:eastAsia="bg-BG"/>
        </w:rPr>
      </w:pPr>
    </w:p>
    <w:p w14:paraId="7EDD04C6" w14:textId="3B738612" w:rsidR="00E3785D" w:rsidRPr="00E3785D" w:rsidRDefault="00E3785D" w:rsidP="00E3785D">
      <w:pPr>
        <w:spacing w:line="240" w:lineRule="auto"/>
        <w:rPr>
          <w:rFonts w:eastAsia="Times New Roman" w:cs="Arial"/>
          <w:sz w:val="24"/>
          <w:szCs w:val="24"/>
          <w:lang w:eastAsia="bg-BG"/>
        </w:rPr>
      </w:pPr>
      <w:r w:rsidRPr="00E3785D">
        <w:rPr>
          <w:rFonts w:eastAsia="Times New Roman" w:cs="Arial"/>
          <w:b/>
          <w:bCs/>
          <w:color w:val="000000"/>
          <w:lang w:eastAsia="bg-BG"/>
        </w:rPr>
        <w:t>Комбинации, изискващи повишено внимание</w:t>
      </w:r>
    </w:p>
    <w:p w14:paraId="000D1605"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u w:val="single"/>
          <w:lang w:eastAsia="bg-BG"/>
        </w:rPr>
        <w:t>Глюкокортикостероидите (системни или за локално приложение)</w:t>
      </w:r>
      <w:r w:rsidRPr="00E3785D">
        <w:rPr>
          <w:rFonts w:eastAsia="Times New Roman" w:cs="Arial"/>
          <w:color w:val="000000"/>
          <w:lang w:eastAsia="bg-BG"/>
        </w:rPr>
        <w:t xml:space="preserve"> притежават хипергликемичната активност. Уведомете за това пациентите и провеждайте по-чест контрол на кръвната захар, особено в началото на лечението. При необходимост коригирайте дозата на антидиабетното лекарство по време на приема на другите лекарства и до тяхното спиране.</w:t>
      </w:r>
    </w:p>
    <w:p w14:paraId="0EA6A9E3" w14:textId="77777777" w:rsidR="00E3785D" w:rsidRPr="00E3785D" w:rsidRDefault="00E3785D" w:rsidP="00E3785D">
      <w:pPr>
        <w:rPr>
          <w:rFonts w:eastAsia="Times New Roman" w:cs="Arial"/>
          <w:color w:val="000000"/>
          <w:u w:val="single"/>
          <w:lang w:eastAsia="bg-BG"/>
        </w:rPr>
      </w:pPr>
    </w:p>
    <w:p w14:paraId="172AE819" w14:textId="32089771" w:rsidR="0091385D" w:rsidRPr="00E3785D" w:rsidRDefault="00E3785D" w:rsidP="00E3785D">
      <w:pPr>
        <w:rPr>
          <w:rFonts w:cs="Arial"/>
        </w:rPr>
      </w:pPr>
      <w:r w:rsidRPr="00E3785D">
        <w:rPr>
          <w:rFonts w:eastAsia="Times New Roman" w:cs="Arial"/>
          <w:color w:val="000000"/>
          <w:u w:val="single"/>
          <w:lang w:eastAsia="bg-BG"/>
        </w:rPr>
        <w:t>Диуретици,</w:t>
      </w:r>
      <w:r w:rsidRPr="00E3785D">
        <w:rPr>
          <w:rFonts w:eastAsia="Times New Roman" w:cs="Arial"/>
          <w:color w:val="000000"/>
          <w:lang w:eastAsia="bg-BG"/>
        </w:rPr>
        <w:t xml:space="preserve"> особено бримковите, може да повишат рискът от проява на лактатна ацидоза, тъй като те понижават функцията на бъбреците.</w:t>
      </w:r>
    </w:p>
    <w:p w14:paraId="5B2761C5" w14:textId="77777777" w:rsidR="0091385D" w:rsidRPr="0091385D" w:rsidRDefault="0091385D" w:rsidP="0091385D"/>
    <w:p w14:paraId="394A7584" w14:textId="10DEA5B3" w:rsidR="004F498A" w:rsidRDefault="002C50EE" w:rsidP="004A448E">
      <w:pPr>
        <w:pStyle w:val="Heading2"/>
      </w:pPr>
      <w:r>
        <w:t>4.6. Фертилитет, бременност и кърмене</w:t>
      </w:r>
    </w:p>
    <w:p w14:paraId="4887836B" w14:textId="11C96CFA" w:rsidR="0091385D" w:rsidRDefault="0091385D" w:rsidP="0091385D"/>
    <w:p w14:paraId="649A4D3A" w14:textId="77777777" w:rsidR="00E3785D" w:rsidRPr="00E3785D" w:rsidRDefault="00E3785D" w:rsidP="00E3785D">
      <w:pPr>
        <w:pStyle w:val="Heading3"/>
        <w:rPr>
          <w:rFonts w:eastAsia="Times New Roman"/>
          <w:u w:val="single"/>
          <w:lang w:eastAsia="bg-BG"/>
        </w:rPr>
      </w:pPr>
      <w:r w:rsidRPr="00E3785D">
        <w:rPr>
          <w:rFonts w:eastAsia="Times New Roman"/>
          <w:u w:val="single"/>
          <w:lang w:eastAsia="bg-BG"/>
        </w:rPr>
        <w:t>Бременност</w:t>
      </w:r>
    </w:p>
    <w:p w14:paraId="0E9191B3"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Неконтролиран диабет през време на бременност (гестационен или постоянен) е свързан с повишен риск от вродени аномалии и перинатална смъртност.</w:t>
      </w:r>
    </w:p>
    <w:p w14:paraId="018F3B86"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Ограничени данни от употребата на метформин при бременни жени не показват увеличен риск от вродени аномалии. Проучванията при животни не показват увреждащи ефекти по отношение на бременността, ембрионалното или развитието на фетуса, раждане или постнаталното развитие (виж точка 5.3).</w:t>
      </w:r>
    </w:p>
    <w:p w14:paraId="6EEB3FB2"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В случай на планирана бременност или по време на бременност, метформин не трябва да се използва за лечение на диабет. Трябва да се прилага инсулин за поддържане на концентрацията на захар в кръвта, възможно най-близко до нормалните стойности, за да се намали до минимум риска от малформации на плода, свързани с патологичните концентрации на кръвната захар.</w:t>
      </w:r>
    </w:p>
    <w:p w14:paraId="54890995" w14:textId="77777777" w:rsidR="00E3785D" w:rsidRPr="00E3785D" w:rsidRDefault="00E3785D" w:rsidP="00E3785D">
      <w:pPr>
        <w:spacing w:line="240" w:lineRule="auto"/>
        <w:rPr>
          <w:rFonts w:eastAsia="Times New Roman" w:cs="Arial"/>
          <w:b/>
          <w:bCs/>
          <w:color w:val="000000"/>
          <w:lang w:eastAsia="bg-BG"/>
        </w:rPr>
      </w:pPr>
    </w:p>
    <w:p w14:paraId="51F77C76" w14:textId="138AF295" w:rsidR="00E3785D" w:rsidRPr="00E3785D" w:rsidRDefault="00E3785D" w:rsidP="00E3785D">
      <w:pPr>
        <w:pStyle w:val="Heading3"/>
        <w:rPr>
          <w:rFonts w:eastAsia="Times New Roman"/>
          <w:u w:val="single"/>
          <w:lang w:eastAsia="bg-BG"/>
        </w:rPr>
      </w:pPr>
      <w:r w:rsidRPr="00E3785D">
        <w:rPr>
          <w:rFonts w:eastAsia="Times New Roman"/>
          <w:u w:val="single"/>
          <w:lang w:eastAsia="bg-BG"/>
        </w:rPr>
        <w:t>Кърмене</w:t>
      </w:r>
    </w:p>
    <w:p w14:paraId="776662C5" w14:textId="1E6E965B" w:rsidR="0091385D" w:rsidRPr="00E3785D" w:rsidRDefault="00E3785D" w:rsidP="00E3785D">
      <w:pPr>
        <w:rPr>
          <w:rFonts w:cs="Arial"/>
        </w:rPr>
      </w:pPr>
      <w:r w:rsidRPr="00E3785D">
        <w:rPr>
          <w:rFonts w:eastAsia="Times New Roman" w:cs="Arial"/>
          <w:color w:val="000000"/>
          <w:lang w:eastAsia="bg-BG"/>
        </w:rPr>
        <w:t>Метформин се екскретира в кърмата при хора. При кърмене не са наблюдавани никакви нежелани реакции при новородени. Въпреки това, тъй като наличните данни са ограничени, не се препоръчва кърмене по време на лечение с метформин. Трябва да се вземе решение дали да се спре кърменето, като се има предвид ползата от кърменето и възможния риск за поява на нежелани лекарствени реакции при детето.</w:t>
      </w:r>
    </w:p>
    <w:p w14:paraId="3E8789C3" w14:textId="77777777" w:rsidR="0091385D" w:rsidRPr="0091385D" w:rsidRDefault="0091385D" w:rsidP="0091385D"/>
    <w:p w14:paraId="064DF1DE" w14:textId="70BCC16C" w:rsidR="00CF77F7" w:rsidRDefault="002C50EE" w:rsidP="004A448E">
      <w:pPr>
        <w:pStyle w:val="Heading2"/>
      </w:pPr>
      <w:r>
        <w:t>4.7. Ефекти върху способността за шофиране и работа с машини</w:t>
      </w:r>
    </w:p>
    <w:p w14:paraId="1A7443B1" w14:textId="639FC874" w:rsidR="00E3785D" w:rsidRDefault="00E3785D" w:rsidP="00E3785D"/>
    <w:p w14:paraId="2B4135A6" w14:textId="79559771" w:rsidR="0091385D" w:rsidRDefault="00E3785D" w:rsidP="00E3785D">
      <w:r>
        <w:t>Самостоятелното приложение на метформин не води до хипогликемия, поради което не оказва влияние върху способността за шофиране и работа с машини.</w:t>
      </w:r>
    </w:p>
    <w:p w14:paraId="35801A15" w14:textId="31981D0C" w:rsidR="0091385D" w:rsidRDefault="00E3785D" w:rsidP="0091385D">
      <w:r>
        <w:t>Въпреки това, при комбинирането на метформин с други антидиабетни средства (сулфонилурейни, инсулин, меглитиниди), пациентите трябва да бъдат предупредени за възможността от възникване на хипогликемия.</w:t>
      </w:r>
    </w:p>
    <w:p w14:paraId="5B844967" w14:textId="77777777" w:rsidR="00E3785D" w:rsidRPr="0091385D" w:rsidRDefault="00E3785D" w:rsidP="0091385D"/>
    <w:p w14:paraId="37A3FD9F" w14:textId="0E7561E3" w:rsidR="00CF77F7" w:rsidRDefault="002C50EE" w:rsidP="004A448E">
      <w:pPr>
        <w:pStyle w:val="Heading2"/>
      </w:pPr>
      <w:r>
        <w:t>4.8. Нежелани лекарствени реакции</w:t>
      </w:r>
    </w:p>
    <w:p w14:paraId="4838F52A" w14:textId="4C2232D6" w:rsidR="0091385D" w:rsidRDefault="0091385D" w:rsidP="0091385D"/>
    <w:p w14:paraId="7D3476AA"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По време на лечение с метформин могат да се появят следните нежелани лекарствени реакции, като честотата им се определя както следва: много чести (&gt;1/10), чести (&gt;1/100 до &lt;1/10), нечести (&gt;1/1000 до &lt;1/100), редки (&gt;1/10,000 до &lt;1/1000), много редки (&lt;1/10 000), с неизвестна честота (от наличните данни не може да бъде направена оценка).</w:t>
      </w:r>
    </w:p>
    <w:p w14:paraId="60B94228"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u w:val="single"/>
          <w:lang w:eastAsia="bg-BG"/>
        </w:rPr>
        <w:lastRenderedPageBreak/>
        <w:t>Нарушения на метаболизма и храненето</w:t>
      </w:r>
    </w:p>
    <w:p w14:paraId="3E2BCFAC"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i/>
          <w:iCs/>
          <w:color w:val="000000"/>
          <w:lang w:eastAsia="bg-BG"/>
        </w:rPr>
        <w:t>Много редки:</w:t>
      </w:r>
      <w:r w:rsidRPr="00E3785D">
        <w:rPr>
          <w:rFonts w:eastAsia="Times New Roman" w:cs="Arial"/>
          <w:color w:val="000000"/>
          <w:lang w:eastAsia="bg-BG"/>
        </w:rPr>
        <w:t xml:space="preserve"> Лактатна ацидоза (виж точка 4.4).</w:t>
      </w:r>
    </w:p>
    <w:p w14:paraId="31CADCD7"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Намалената абсорбция на витамин В</w:t>
      </w:r>
      <w:r w:rsidRPr="00E3785D">
        <w:rPr>
          <w:rFonts w:eastAsia="Times New Roman" w:cs="Arial"/>
          <w:color w:val="000000"/>
          <w:vertAlign w:val="subscript"/>
          <w:lang w:eastAsia="bg-BG"/>
        </w:rPr>
        <w:t xml:space="preserve">12 </w:t>
      </w:r>
      <w:r w:rsidRPr="00E3785D">
        <w:rPr>
          <w:rFonts w:eastAsia="Times New Roman" w:cs="Arial"/>
          <w:color w:val="000000"/>
          <w:lang w:eastAsia="bg-BG"/>
        </w:rPr>
        <w:t>ще доведе до намаляване на концентрациите му в серума по време на продължителното лечение с метформин. Препоръчва се подобна етиология да се вземе предвид в случай, че пациентът има мегалобластна анемия.</w:t>
      </w:r>
    </w:p>
    <w:p w14:paraId="29B89B21" w14:textId="77777777" w:rsidR="00E3785D" w:rsidRPr="00E3785D" w:rsidRDefault="00E3785D" w:rsidP="00E3785D">
      <w:pPr>
        <w:spacing w:line="240" w:lineRule="auto"/>
        <w:rPr>
          <w:rFonts w:eastAsia="Times New Roman" w:cs="Arial"/>
          <w:color w:val="000000"/>
          <w:u w:val="single"/>
          <w:lang w:eastAsia="bg-BG"/>
        </w:rPr>
      </w:pPr>
    </w:p>
    <w:p w14:paraId="4E86F866" w14:textId="670E46A2"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u w:val="single"/>
          <w:lang w:eastAsia="bg-BG"/>
        </w:rPr>
        <w:t>Нарушения на нервната система</w:t>
      </w:r>
    </w:p>
    <w:p w14:paraId="2AF44828"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i/>
          <w:iCs/>
          <w:color w:val="000000"/>
          <w:lang w:eastAsia="bg-BG"/>
        </w:rPr>
        <w:t>Чести:</w:t>
      </w:r>
      <w:r w:rsidRPr="00E3785D">
        <w:rPr>
          <w:rFonts w:eastAsia="Times New Roman" w:cs="Arial"/>
          <w:color w:val="000000"/>
          <w:lang w:eastAsia="bg-BG"/>
        </w:rPr>
        <w:t xml:space="preserve"> Нарушения на вкуса.</w:t>
      </w:r>
    </w:p>
    <w:p w14:paraId="2DC12DFE" w14:textId="77777777" w:rsidR="00E3785D" w:rsidRPr="00E3785D" w:rsidRDefault="00E3785D" w:rsidP="00E3785D">
      <w:pPr>
        <w:spacing w:line="240" w:lineRule="auto"/>
        <w:rPr>
          <w:rFonts w:eastAsia="Times New Roman" w:cs="Arial"/>
          <w:color w:val="000000"/>
          <w:u w:val="single"/>
          <w:lang w:eastAsia="bg-BG"/>
        </w:rPr>
      </w:pPr>
    </w:p>
    <w:p w14:paraId="7880FDF8" w14:textId="1C1005F4"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u w:val="single"/>
          <w:lang w:eastAsia="bg-BG"/>
        </w:rPr>
        <w:t>Стомашно-чревни нарушения</w:t>
      </w:r>
    </w:p>
    <w:p w14:paraId="079C1253"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i/>
          <w:iCs/>
          <w:color w:val="000000"/>
          <w:lang w:eastAsia="bg-BG"/>
        </w:rPr>
        <w:t>Много чести:</w:t>
      </w:r>
      <w:r w:rsidRPr="00E3785D">
        <w:rPr>
          <w:rFonts w:eastAsia="Times New Roman" w:cs="Arial"/>
          <w:color w:val="000000"/>
          <w:lang w:eastAsia="bg-BG"/>
        </w:rPr>
        <w:t xml:space="preserve"> Гадене, повръщане, диария, болка в абдоминалната област и загуба на апетит. Те се проявяват най-често в началото на терапията и отзвучават спонтанно в повечето случаи. За да се предотвратят тези симптоми, препоръчва се дневната доза метформин да се приема на 2 или 3 дневни дози по време или в края на храненето. Постепенното увеличаване на дозата може също да подобри гастроинтестиналната поносимост.</w:t>
      </w:r>
    </w:p>
    <w:p w14:paraId="45CCECB2" w14:textId="77777777" w:rsidR="00E3785D" w:rsidRPr="00E3785D" w:rsidRDefault="00E3785D" w:rsidP="00E3785D">
      <w:pPr>
        <w:spacing w:line="240" w:lineRule="auto"/>
        <w:rPr>
          <w:rFonts w:eastAsia="Times New Roman" w:cs="Arial"/>
          <w:color w:val="000000"/>
          <w:u w:val="single"/>
          <w:lang w:eastAsia="bg-BG"/>
        </w:rPr>
      </w:pPr>
    </w:p>
    <w:p w14:paraId="0977BE1E" w14:textId="2A241882"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u w:val="single"/>
          <w:lang w:eastAsia="bg-BG"/>
        </w:rPr>
        <w:t>Хепатобилиарни нарушения</w:t>
      </w:r>
    </w:p>
    <w:p w14:paraId="51C52EB5"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i/>
          <w:iCs/>
          <w:color w:val="000000"/>
          <w:lang w:eastAsia="bg-BG"/>
        </w:rPr>
        <w:t>Много редки:</w:t>
      </w:r>
      <w:r w:rsidRPr="00E3785D">
        <w:rPr>
          <w:rFonts w:eastAsia="Times New Roman" w:cs="Arial"/>
          <w:color w:val="000000"/>
          <w:lang w:eastAsia="bg-BG"/>
        </w:rPr>
        <w:t xml:space="preserve"> Изолирани съобщения за отклонения в лабораторните резултати на чернодробните ензими или поява на хепатит, които отзвучават след преустановяване на лечението с метформин.</w:t>
      </w:r>
    </w:p>
    <w:p w14:paraId="0455AB75" w14:textId="77777777" w:rsidR="00E3785D" w:rsidRPr="00E3785D" w:rsidRDefault="00E3785D" w:rsidP="00E3785D">
      <w:pPr>
        <w:spacing w:line="240" w:lineRule="auto"/>
        <w:rPr>
          <w:rFonts w:eastAsia="Times New Roman" w:cs="Arial"/>
          <w:color w:val="000000"/>
          <w:u w:val="single"/>
          <w:lang w:eastAsia="bg-BG"/>
        </w:rPr>
      </w:pPr>
    </w:p>
    <w:p w14:paraId="149DBD3C" w14:textId="61A14EB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u w:val="single"/>
          <w:lang w:eastAsia="bg-BG"/>
        </w:rPr>
        <w:t>Нарушения на кожата и подкожната тъкан</w:t>
      </w:r>
    </w:p>
    <w:p w14:paraId="0271545B"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i/>
          <w:iCs/>
          <w:color w:val="000000"/>
          <w:lang w:eastAsia="bg-BG"/>
        </w:rPr>
        <w:t>Много редки:</w:t>
      </w:r>
      <w:r w:rsidRPr="00E3785D">
        <w:rPr>
          <w:rFonts w:eastAsia="Times New Roman" w:cs="Arial"/>
          <w:color w:val="000000"/>
          <w:lang w:eastAsia="bg-BG"/>
        </w:rPr>
        <w:t xml:space="preserve"> Кожни реакции, като еритема, пруритус, уртикария.</w:t>
      </w:r>
    </w:p>
    <w:p w14:paraId="3A47DC2E" w14:textId="77777777" w:rsidR="00E3785D" w:rsidRPr="00E3785D" w:rsidRDefault="00E3785D" w:rsidP="00E3785D">
      <w:pPr>
        <w:spacing w:line="240" w:lineRule="auto"/>
        <w:rPr>
          <w:rFonts w:eastAsia="Times New Roman" w:cs="Arial"/>
          <w:i/>
          <w:iCs/>
          <w:color w:val="000000"/>
          <w:lang w:eastAsia="bg-BG"/>
        </w:rPr>
      </w:pPr>
    </w:p>
    <w:p w14:paraId="50BDEB51" w14:textId="17C6A22A" w:rsidR="00E3785D" w:rsidRPr="00E3785D" w:rsidRDefault="00E3785D" w:rsidP="00E3785D">
      <w:pPr>
        <w:spacing w:line="240" w:lineRule="auto"/>
        <w:rPr>
          <w:rFonts w:eastAsia="Times New Roman" w:cs="Arial"/>
          <w:sz w:val="24"/>
          <w:szCs w:val="24"/>
          <w:lang w:eastAsia="bg-BG"/>
        </w:rPr>
      </w:pPr>
      <w:r w:rsidRPr="00E3785D">
        <w:rPr>
          <w:rFonts w:eastAsia="Times New Roman" w:cs="Arial"/>
          <w:i/>
          <w:iCs/>
          <w:color w:val="000000"/>
          <w:lang w:eastAsia="bg-BG"/>
        </w:rPr>
        <w:t>Педиатрична популация</w:t>
      </w:r>
    </w:p>
    <w:p w14:paraId="3032612C" w14:textId="77777777" w:rsidR="00E3785D" w:rsidRPr="00E3785D" w:rsidRDefault="00E3785D" w:rsidP="00E3785D">
      <w:pPr>
        <w:rPr>
          <w:rFonts w:eastAsia="Times New Roman" w:cs="Arial"/>
          <w:color w:val="000000"/>
          <w:lang w:eastAsia="bg-BG"/>
        </w:rPr>
      </w:pPr>
    </w:p>
    <w:p w14:paraId="570508C4" w14:textId="659F6D56" w:rsidR="0091385D" w:rsidRPr="00E3785D" w:rsidRDefault="00E3785D" w:rsidP="00E3785D">
      <w:pPr>
        <w:rPr>
          <w:rFonts w:cs="Arial"/>
        </w:rPr>
      </w:pPr>
      <w:r w:rsidRPr="00E3785D">
        <w:rPr>
          <w:rFonts w:eastAsia="Times New Roman" w:cs="Arial"/>
          <w:color w:val="000000"/>
          <w:lang w:eastAsia="bg-BG"/>
        </w:rPr>
        <w:t>Нежеаните лекарствени реакции от публикации и постмаркетингови данни, както и от клиничните проучвания на малка група деца между 10 и 16 години, лекувани в продължение на 1 година, са подобни на наблюдаваните при възрастни по отношение на характера и тежестта им.</w:t>
      </w:r>
    </w:p>
    <w:p w14:paraId="43E3C48F" w14:textId="77777777" w:rsidR="0091385D" w:rsidRPr="0091385D" w:rsidRDefault="0091385D" w:rsidP="0091385D"/>
    <w:p w14:paraId="0A023CE0" w14:textId="13F87CFD" w:rsidR="00CF77F7" w:rsidRDefault="002C50EE" w:rsidP="004A448E">
      <w:pPr>
        <w:pStyle w:val="Heading2"/>
      </w:pPr>
      <w:r>
        <w:t>4.9. Предозиране</w:t>
      </w:r>
    </w:p>
    <w:p w14:paraId="3EDFC3FC" w14:textId="296E7EBA" w:rsidR="0091385D" w:rsidRDefault="0091385D" w:rsidP="0091385D"/>
    <w:p w14:paraId="0F0079CB" w14:textId="26F2026C" w:rsidR="0091385D" w:rsidRDefault="00E3785D" w:rsidP="0091385D">
      <w:r>
        <w:t xml:space="preserve">Не е наблюдавана хипогликемия при дози метформин до 85 </w:t>
      </w:r>
      <w:r>
        <w:rPr>
          <w:lang w:val="en-US"/>
        </w:rPr>
        <w:t xml:space="preserve">g, </w:t>
      </w:r>
      <w:r>
        <w:t>въпреки че в тези случаи възниква лактатна ацидоза. Остро предозиране или други рискови фактори могат да доведат до появата на лактатна ацидоза. Лактатната ацидоза е спешно състояние в медицината и изисква болнично лечение. Хемодиализата е най-ефективният метод за отстраняване на лактата и метформина от организма.</w:t>
      </w:r>
    </w:p>
    <w:p w14:paraId="48FF1584" w14:textId="77777777" w:rsidR="0091385D" w:rsidRPr="0091385D" w:rsidRDefault="0091385D" w:rsidP="0091385D"/>
    <w:p w14:paraId="02081B24" w14:textId="7CE94171" w:rsidR="00395555" w:rsidRDefault="002C50EE" w:rsidP="008A6AF2">
      <w:pPr>
        <w:pStyle w:val="Heading1"/>
      </w:pPr>
      <w:r>
        <w:t>5. ФАРМАКОЛОГИЧНИ СВОЙСТВА</w:t>
      </w:r>
    </w:p>
    <w:p w14:paraId="1B8079C0" w14:textId="77777777" w:rsidR="0091385D" w:rsidRPr="0091385D" w:rsidRDefault="0091385D" w:rsidP="0091385D"/>
    <w:p w14:paraId="32B6DE66" w14:textId="2ACB6B3B" w:rsidR="00CF77F7" w:rsidRDefault="002C50EE" w:rsidP="004A448E">
      <w:pPr>
        <w:pStyle w:val="Heading2"/>
      </w:pPr>
      <w:r>
        <w:t>5.1. Фармакодинамични свойства</w:t>
      </w:r>
    </w:p>
    <w:p w14:paraId="58DD7DEA" w14:textId="44345EC9" w:rsidR="0091385D" w:rsidRDefault="0091385D" w:rsidP="0091385D"/>
    <w:p w14:paraId="64CEEABA"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Фармакотерапевтична група: Лекарства, понижаващи кръвната захар, непринадлежащи към групата на инсулин. Бигваниди.</w:t>
      </w:r>
    </w:p>
    <w:p w14:paraId="77B7153B"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АТС код: А10ВА02</w:t>
      </w:r>
    </w:p>
    <w:p w14:paraId="01845651" w14:textId="77777777" w:rsidR="00E3785D" w:rsidRPr="00E3785D" w:rsidRDefault="00E3785D" w:rsidP="00E3785D">
      <w:pPr>
        <w:spacing w:line="240" w:lineRule="auto"/>
        <w:rPr>
          <w:rFonts w:eastAsia="Times New Roman" w:cs="Arial"/>
          <w:sz w:val="24"/>
          <w:szCs w:val="24"/>
          <w:lang w:eastAsia="bg-BG"/>
        </w:rPr>
      </w:pPr>
    </w:p>
    <w:p w14:paraId="05EE41CB" w14:textId="45B6666E"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Метформин е бигванид с антихипергликемични свойства, понижаващ както базалната така и пост-прандиалната плазмена глюкоза. Той не стимулира секрецията на инсулин, поради което не води до хипогликемия.</w:t>
      </w:r>
    </w:p>
    <w:p w14:paraId="3D76595E" w14:textId="77777777" w:rsidR="00E3785D" w:rsidRPr="00E3785D" w:rsidRDefault="00E3785D" w:rsidP="00E3785D">
      <w:pPr>
        <w:spacing w:line="240" w:lineRule="auto"/>
        <w:rPr>
          <w:rFonts w:eastAsia="Times New Roman" w:cs="Arial"/>
          <w:color w:val="000000"/>
          <w:lang w:eastAsia="bg-BG"/>
        </w:rPr>
      </w:pPr>
    </w:p>
    <w:p w14:paraId="205EAA8B" w14:textId="4B880D63"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Метформин може да действа по 3 механизма:</w:t>
      </w:r>
    </w:p>
    <w:p w14:paraId="6AC146E6"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(1)</w:t>
      </w:r>
      <w:r w:rsidRPr="00E3785D">
        <w:rPr>
          <w:rFonts w:eastAsia="Times New Roman" w:cs="Arial"/>
          <w:color w:val="000000"/>
          <w:lang w:eastAsia="bg-BG"/>
        </w:rPr>
        <w:tab/>
        <w:t>понижаване на чернодробната продукция на глюкоза чрез инхибиране глюконеогенезата и гликогенолизата</w:t>
      </w:r>
    </w:p>
    <w:p w14:paraId="13C9CC6F"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(2)</w:t>
      </w:r>
      <w:r w:rsidRPr="00E3785D">
        <w:rPr>
          <w:rFonts w:eastAsia="Times New Roman" w:cs="Arial"/>
          <w:color w:val="000000"/>
          <w:lang w:eastAsia="bg-BG"/>
        </w:rPr>
        <w:tab/>
        <w:t>в мускулите, чрез повишаване на инсулиновата чувствителност, като подобрява периферното използване и утилизация на глюкозата</w:t>
      </w:r>
    </w:p>
    <w:p w14:paraId="3FB480DC"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(3)</w:t>
      </w:r>
      <w:r w:rsidRPr="00E3785D">
        <w:rPr>
          <w:rFonts w:eastAsia="Times New Roman" w:cs="Arial"/>
          <w:color w:val="000000"/>
          <w:lang w:eastAsia="bg-BG"/>
        </w:rPr>
        <w:tab/>
        <w:t>и забавяне на чревната абсорбция на глюкозата.</w:t>
      </w:r>
    </w:p>
    <w:p w14:paraId="7E35B723" w14:textId="77777777" w:rsidR="00E3785D" w:rsidRPr="00E3785D" w:rsidRDefault="00E3785D" w:rsidP="00E3785D">
      <w:pPr>
        <w:spacing w:line="240" w:lineRule="auto"/>
        <w:rPr>
          <w:rFonts w:eastAsia="Times New Roman" w:cs="Arial"/>
          <w:color w:val="000000"/>
          <w:lang w:eastAsia="bg-BG"/>
        </w:rPr>
      </w:pPr>
    </w:p>
    <w:p w14:paraId="0AC05D27" w14:textId="004F532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Метформин хидрохлорид стимулира вътреклетъчната синтеза на гликоген.</w:t>
      </w:r>
    </w:p>
    <w:p w14:paraId="10C263DB" w14:textId="02D4543D"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 xml:space="preserve">Метформин хидрохлорид повишава транспортния капацитет на всички типове мембранни преносители на глюкоза </w:t>
      </w:r>
      <w:r w:rsidRPr="00E3785D">
        <w:rPr>
          <w:rFonts w:eastAsia="Times New Roman" w:cs="Arial"/>
          <w:color w:val="000000"/>
          <w:lang w:val="en-US"/>
        </w:rPr>
        <w:t>(GLUT).</w:t>
      </w:r>
    </w:p>
    <w:p w14:paraId="1251A1DC" w14:textId="77777777" w:rsidR="00E3785D" w:rsidRPr="00E3785D" w:rsidRDefault="00E3785D" w:rsidP="00E3785D">
      <w:pPr>
        <w:spacing w:line="240" w:lineRule="auto"/>
        <w:rPr>
          <w:rFonts w:eastAsia="Times New Roman" w:cs="Arial"/>
          <w:color w:val="000000"/>
          <w:lang w:eastAsia="bg-BG"/>
        </w:rPr>
      </w:pPr>
    </w:p>
    <w:p w14:paraId="0C7D955D" w14:textId="5809FD92"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 xml:space="preserve">При човека, независимо от въздействието си върху гликемията, метформин има благоприятни ефекти върху липидния метаболизъм. Това е установено при терапевтични дози, по време на контролирани клинични проучвания със средна или голяма продължителност: метформин понижава нивата на общия холестерол, </w:t>
      </w:r>
      <w:r w:rsidRPr="00E3785D">
        <w:rPr>
          <w:rFonts w:eastAsia="Times New Roman" w:cs="Arial"/>
          <w:color w:val="000000"/>
          <w:lang w:val="en-US"/>
        </w:rPr>
        <w:t xml:space="preserve">LDL </w:t>
      </w:r>
      <w:r w:rsidRPr="00E3785D">
        <w:rPr>
          <w:rFonts w:eastAsia="Times New Roman" w:cs="Arial"/>
          <w:color w:val="000000"/>
          <w:lang w:eastAsia="bg-BG"/>
        </w:rPr>
        <w:t>холестерола и триглицеридите.</w:t>
      </w:r>
    </w:p>
    <w:p w14:paraId="31E5CD84" w14:textId="77777777" w:rsidR="00E3785D" w:rsidRPr="00E3785D" w:rsidRDefault="00E3785D" w:rsidP="00E3785D">
      <w:pPr>
        <w:spacing w:line="240" w:lineRule="auto"/>
        <w:rPr>
          <w:rFonts w:eastAsia="Times New Roman" w:cs="Arial"/>
          <w:i/>
          <w:iCs/>
          <w:color w:val="000000"/>
          <w:u w:val="single"/>
          <w:lang w:eastAsia="bg-BG"/>
        </w:rPr>
      </w:pPr>
    </w:p>
    <w:p w14:paraId="48D7CB3B" w14:textId="4CF0186C" w:rsidR="00E3785D" w:rsidRPr="00E3785D" w:rsidRDefault="00E3785D" w:rsidP="00E3785D">
      <w:pPr>
        <w:spacing w:line="240" w:lineRule="auto"/>
        <w:rPr>
          <w:rFonts w:eastAsia="Times New Roman" w:cs="Arial"/>
          <w:sz w:val="24"/>
          <w:szCs w:val="24"/>
          <w:lang w:eastAsia="bg-BG"/>
        </w:rPr>
      </w:pPr>
      <w:r w:rsidRPr="00E3785D">
        <w:rPr>
          <w:rFonts w:eastAsia="Times New Roman" w:cs="Arial"/>
          <w:i/>
          <w:iCs/>
          <w:color w:val="000000"/>
          <w:u w:val="single"/>
          <w:lang w:eastAsia="bg-BG"/>
        </w:rPr>
        <w:t>Клинична ефективност:</w:t>
      </w:r>
    </w:p>
    <w:p w14:paraId="199C63FD"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 xml:space="preserve">Проспективно рандомизирано </w:t>
      </w:r>
      <w:r w:rsidRPr="00E3785D">
        <w:rPr>
          <w:rFonts w:eastAsia="Times New Roman" w:cs="Arial"/>
          <w:color w:val="000000"/>
          <w:lang w:val="en-US"/>
        </w:rPr>
        <w:t xml:space="preserve">(UKPDS) </w:t>
      </w:r>
      <w:r w:rsidRPr="00E3785D">
        <w:rPr>
          <w:rFonts w:eastAsia="Times New Roman" w:cs="Arial"/>
          <w:color w:val="000000"/>
          <w:lang w:eastAsia="bg-BG"/>
        </w:rPr>
        <w:t>проучване е установило продължителния благоприятен ефект от интензивния контрол на диабета от 2 тип.</w:t>
      </w:r>
    </w:p>
    <w:p w14:paraId="065D2A7D" w14:textId="77777777" w:rsidR="00E3785D" w:rsidRPr="00E3785D" w:rsidRDefault="00E3785D" w:rsidP="00E3785D">
      <w:pPr>
        <w:spacing w:line="240" w:lineRule="auto"/>
        <w:rPr>
          <w:rFonts w:eastAsia="Times New Roman" w:cs="Arial"/>
          <w:color w:val="000000"/>
          <w:lang w:eastAsia="bg-BG"/>
        </w:rPr>
      </w:pPr>
    </w:p>
    <w:p w14:paraId="1FB49450" w14:textId="60BB23E6"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Анализът на резултатите от пациенти с наднормено тегло, лекувани с метформин след неуспех от самостоятелното прилагане на диета показва:</w:t>
      </w:r>
    </w:p>
    <w:p w14:paraId="6DAA8BC3"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w:t>
      </w:r>
      <w:r w:rsidRPr="00E3785D">
        <w:rPr>
          <w:rFonts w:eastAsia="Times New Roman" w:cs="Arial"/>
          <w:color w:val="000000"/>
          <w:lang w:eastAsia="bg-BG"/>
        </w:rPr>
        <w:tab/>
        <w:t>Значително понижение на абсолютния риск от някакво свързано с диабета усложнение при групата на метформин (29.8 случая/ 1000 пациенто-години), спрямо пациентите само на диета (43,3 случая/ 1000 пациенто-години), р=0.002.3 и спрямо комбинирането на сулфонилурейни лекарствени препарати и инсулин (40.1 случая/1000 пациенто- години), р=0.0034.</w:t>
      </w:r>
    </w:p>
    <w:p w14:paraId="42C0BBB7"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w:t>
      </w:r>
      <w:r w:rsidRPr="00E3785D">
        <w:rPr>
          <w:rFonts w:eastAsia="Times New Roman" w:cs="Arial"/>
          <w:color w:val="000000"/>
          <w:lang w:eastAsia="bg-BG"/>
        </w:rPr>
        <w:tab/>
        <w:t>Значително понижение на абсолютния риск от свързаната с диабета смъртност: метформин 7.5 случая/1000 пациенто-години, самостоятелно приложение на диета 12.7 случая/1000 пациенто-години, р=0.017;</w:t>
      </w:r>
    </w:p>
    <w:p w14:paraId="76EE2954"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w:t>
      </w:r>
      <w:r w:rsidRPr="00E3785D">
        <w:rPr>
          <w:rFonts w:eastAsia="Times New Roman" w:cs="Arial"/>
          <w:color w:val="000000"/>
          <w:lang w:eastAsia="bg-BG"/>
        </w:rPr>
        <w:tab/>
        <w:t>Значително понижение на абсолютния риск от смъртност (обща): метформин 13.5 случая/ 1000 пациенто-години, спрямо самостоятелно приложение на диета 20.6 случая/ 1000 пациенто-години спрямо комбинирането на сулфонилурейни лекарствени препарати и инсулин 18.9 случая/ 1000 пациенто-години (р=0.021);</w:t>
      </w:r>
    </w:p>
    <w:p w14:paraId="29B47128"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w:t>
      </w:r>
      <w:r w:rsidRPr="00E3785D">
        <w:rPr>
          <w:rFonts w:eastAsia="Times New Roman" w:cs="Arial"/>
          <w:color w:val="000000"/>
          <w:lang w:eastAsia="bg-BG"/>
        </w:rPr>
        <w:tab/>
        <w:t>Значително понижение на абсолютния риск от инфаркт на миокарда: метформин 11 случая/1000 пациенто-години, само диета 18 случая/ 1000 пациенто-години (р=0.01)</w:t>
      </w:r>
    </w:p>
    <w:p w14:paraId="3FA7950C" w14:textId="77777777" w:rsidR="00E3785D" w:rsidRPr="00E3785D" w:rsidRDefault="00E3785D" w:rsidP="00E3785D">
      <w:pPr>
        <w:spacing w:line="240" w:lineRule="auto"/>
        <w:rPr>
          <w:rFonts w:eastAsia="Times New Roman" w:cs="Arial"/>
          <w:color w:val="000000"/>
          <w:lang w:eastAsia="bg-BG"/>
        </w:rPr>
      </w:pPr>
    </w:p>
    <w:p w14:paraId="0A65C5E7" w14:textId="286ED9D5"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При приложението на метформин като втора линия лечение, в комбинация със сулфонилурейни лекарствени препарати, не е наблюдавано предимство по отношение на крайния клиничен резултат.</w:t>
      </w:r>
    </w:p>
    <w:p w14:paraId="3F93E96D" w14:textId="77777777" w:rsidR="00E3785D" w:rsidRPr="00E3785D" w:rsidRDefault="00E3785D" w:rsidP="00E3785D">
      <w:pPr>
        <w:rPr>
          <w:rFonts w:eastAsia="Times New Roman" w:cs="Arial"/>
          <w:color w:val="000000"/>
          <w:lang w:eastAsia="bg-BG"/>
        </w:rPr>
      </w:pPr>
    </w:p>
    <w:p w14:paraId="28252AA0" w14:textId="3F33C185" w:rsidR="0091385D" w:rsidRPr="00E3785D" w:rsidRDefault="00E3785D" w:rsidP="00E3785D">
      <w:pPr>
        <w:rPr>
          <w:rFonts w:cs="Arial"/>
        </w:rPr>
      </w:pPr>
      <w:r w:rsidRPr="00E3785D">
        <w:rPr>
          <w:rFonts w:eastAsia="Times New Roman" w:cs="Arial"/>
          <w:color w:val="000000"/>
          <w:lang w:eastAsia="bg-BG"/>
        </w:rPr>
        <w:t>При диабет I тип комбинирането на метформин и инсулин е използвано при определени пациенти, но предимството на тази комбинация по отношение на крайния изход не е установено.</w:t>
      </w:r>
    </w:p>
    <w:p w14:paraId="36152471" w14:textId="77777777" w:rsidR="0091385D" w:rsidRPr="0091385D" w:rsidRDefault="0091385D" w:rsidP="0091385D"/>
    <w:p w14:paraId="35F84B81" w14:textId="6423E5BB" w:rsidR="00CF77F7" w:rsidRDefault="002C50EE" w:rsidP="004A448E">
      <w:pPr>
        <w:pStyle w:val="Heading2"/>
      </w:pPr>
      <w:r>
        <w:t>5.2. Фармакокинетични свойства</w:t>
      </w:r>
    </w:p>
    <w:p w14:paraId="5031193D" w14:textId="06A21EFE" w:rsidR="0091385D" w:rsidRDefault="0091385D" w:rsidP="0091385D"/>
    <w:p w14:paraId="148BA3FC" w14:textId="6C667C75" w:rsidR="0091385D" w:rsidRPr="00E3785D" w:rsidRDefault="00E3785D" w:rsidP="00E3785D">
      <w:pPr>
        <w:pStyle w:val="Heading3"/>
        <w:rPr>
          <w:u w:val="single"/>
        </w:rPr>
      </w:pPr>
      <w:r w:rsidRPr="00E3785D">
        <w:rPr>
          <w:u w:val="single"/>
        </w:rPr>
        <w:t>Абсорбция:</w:t>
      </w:r>
    </w:p>
    <w:p w14:paraId="32C18040" w14:textId="4461F8E2" w:rsidR="00E3785D" w:rsidRPr="00E3785D" w:rsidRDefault="00E3785D" w:rsidP="0091385D">
      <w:pPr>
        <w:rPr>
          <w:rFonts w:cs="Arial"/>
          <w:i/>
          <w:iCs/>
        </w:rPr>
      </w:pPr>
    </w:p>
    <w:p w14:paraId="04ED7F11"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 xml:space="preserve">След перорално приложение на една доза метформин, Ттах е 2.5 часа. Абсолютната бионаличност на 500 </w:t>
      </w:r>
      <w:r w:rsidRPr="00E3785D">
        <w:rPr>
          <w:rFonts w:eastAsia="Times New Roman" w:cs="Arial"/>
          <w:color w:val="000000"/>
          <w:lang w:val="en-US"/>
        </w:rPr>
        <w:t xml:space="preserve">mg </w:t>
      </w:r>
      <w:r w:rsidRPr="00E3785D">
        <w:rPr>
          <w:rFonts w:eastAsia="Times New Roman" w:cs="Arial"/>
          <w:color w:val="000000"/>
          <w:lang w:eastAsia="bg-BG"/>
        </w:rPr>
        <w:t xml:space="preserve">или 850 </w:t>
      </w:r>
      <w:r w:rsidRPr="00E3785D">
        <w:rPr>
          <w:rFonts w:eastAsia="Times New Roman" w:cs="Arial"/>
          <w:color w:val="000000"/>
          <w:lang w:val="en-US"/>
        </w:rPr>
        <w:t xml:space="preserve">mg </w:t>
      </w:r>
      <w:r w:rsidRPr="00E3785D">
        <w:rPr>
          <w:rFonts w:eastAsia="Times New Roman" w:cs="Arial"/>
          <w:color w:val="000000"/>
          <w:lang w:eastAsia="bg-BG"/>
        </w:rPr>
        <w:t>метформин е приблизително 50-60% при здрави доброволци. След перорално приложение не-абсорбираната фракция, оделена с изпражненията е 20-30%.</w:t>
      </w:r>
    </w:p>
    <w:p w14:paraId="58D29133" w14:textId="77777777" w:rsidR="00E3785D" w:rsidRPr="00E3785D" w:rsidRDefault="00E3785D" w:rsidP="00E3785D">
      <w:pPr>
        <w:spacing w:line="240" w:lineRule="auto"/>
        <w:rPr>
          <w:rFonts w:eastAsia="Times New Roman" w:cs="Arial"/>
          <w:color w:val="000000"/>
          <w:lang w:eastAsia="bg-BG"/>
        </w:rPr>
      </w:pPr>
    </w:p>
    <w:p w14:paraId="26306EDE" w14:textId="5DF9F255"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След перорално приложение, абсорбцията на метформин е насищаща се и непълна. Това показва, че фармакокинетиката на метформин е нелинейна.</w:t>
      </w:r>
    </w:p>
    <w:p w14:paraId="61EE7549" w14:textId="77777777" w:rsidR="00E3785D" w:rsidRPr="00E3785D" w:rsidRDefault="00E3785D" w:rsidP="00E3785D">
      <w:pPr>
        <w:spacing w:line="240" w:lineRule="auto"/>
        <w:rPr>
          <w:rFonts w:eastAsia="Times New Roman" w:cs="Arial"/>
          <w:color w:val="000000"/>
          <w:lang w:eastAsia="bg-BG"/>
        </w:rPr>
      </w:pPr>
    </w:p>
    <w:p w14:paraId="2B19FD43" w14:textId="21194811"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При обичайната доза и схема на приложение, равновесни плазмени концентрации се достигат в рамките на 24 до 48 часа и са по-малки от 1 μ</w:t>
      </w:r>
      <w:r w:rsidRPr="00E3785D">
        <w:rPr>
          <w:rFonts w:eastAsia="Times New Roman" w:cs="Arial"/>
          <w:color w:val="000000"/>
          <w:lang w:val="en-US"/>
        </w:rPr>
        <w:t xml:space="preserve">g/ml. </w:t>
      </w:r>
      <w:r w:rsidRPr="00E3785D">
        <w:rPr>
          <w:rFonts w:eastAsia="Times New Roman" w:cs="Arial"/>
          <w:color w:val="000000"/>
          <w:lang w:eastAsia="bg-BG"/>
        </w:rPr>
        <w:t>При контролирани клинични проучвания, максималните плазмени нива на метформин (С</w:t>
      </w:r>
      <w:r w:rsidRPr="00E3785D">
        <w:rPr>
          <w:rFonts w:eastAsia="Times New Roman" w:cs="Arial"/>
          <w:color w:val="000000"/>
          <w:lang w:val="en-US"/>
        </w:rPr>
        <w:t>m</w:t>
      </w:r>
      <w:r w:rsidRPr="00E3785D">
        <w:rPr>
          <w:rFonts w:eastAsia="Times New Roman" w:cs="Arial"/>
          <w:color w:val="000000"/>
          <w:lang w:eastAsia="bg-BG"/>
        </w:rPr>
        <w:t>ах) не надвишават 4 μ</w:t>
      </w:r>
      <w:r w:rsidRPr="00E3785D">
        <w:rPr>
          <w:rFonts w:eastAsia="Times New Roman" w:cs="Arial"/>
          <w:color w:val="000000"/>
          <w:lang w:val="en-US"/>
        </w:rPr>
        <w:t xml:space="preserve">g/ml, </w:t>
      </w:r>
      <w:r w:rsidRPr="00E3785D">
        <w:rPr>
          <w:rFonts w:eastAsia="Times New Roman" w:cs="Arial"/>
          <w:color w:val="000000"/>
          <w:lang w:eastAsia="bg-BG"/>
        </w:rPr>
        <w:t>дори при максимална доза.</w:t>
      </w:r>
    </w:p>
    <w:p w14:paraId="3B328219" w14:textId="77777777" w:rsidR="00E3785D" w:rsidRPr="00E3785D" w:rsidRDefault="00E3785D" w:rsidP="00E3785D">
      <w:pPr>
        <w:spacing w:line="240" w:lineRule="auto"/>
        <w:rPr>
          <w:rFonts w:eastAsia="Times New Roman" w:cs="Arial"/>
          <w:color w:val="000000"/>
          <w:lang w:eastAsia="bg-BG"/>
        </w:rPr>
      </w:pPr>
    </w:p>
    <w:p w14:paraId="1F15B92D" w14:textId="14166BCE"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 xml:space="preserve">Храната понижава степента и слабо забавя абсорбцията на метформин. След приложението на доза от 850 </w:t>
      </w:r>
      <w:r w:rsidRPr="00E3785D">
        <w:rPr>
          <w:rFonts w:eastAsia="Times New Roman" w:cs="Arial"/>
          <w:color w:val="000000"/>
          <w:lang w:val="en-US"/>
        </w:rPr>
        <w:t xml:space="preserve">mg, </w:t>
      </w:r>
      <w:r w:rsidRPr="00E3785D">
        <w:rPr>
          <w:rFonts w:eastAsia="Times New Roman" w:cs="Arial"/>
          <w:color w:val="000000"/>
          <w:lang w:eastAsia="bg-BG"/>
        </w:rPr>
        <w:t xml:space="preserve">е наблюдаван 40% по-нисък пик на плазмената концентрация, 25% понижение на </w:t>
      </w:r>
      <w:r w:rsidRPr="00E3785D">
        <w:rPr>
          <w:rFonts w:eastAsia="Times New Roman" w:cs="Arial"/>
          <w:color w:val="000000"/>
          <w:lang w:val="en-US"/>
        </w:rPr>
        <w:t xml:space="preserve">AUC </w:t>
      </w:r>
      <w:r w:rsidRPr="00E3785D">
        <w:rPr>
          <w:rFonts w:eastAsia="Times New Roman" w:cs="Arial"/>
          <w:color w:val="000000"/>
          <w:lang w:eastAsia="bg-BG"/>
        </w:rPr>
        <w:t>и 35-минутно удължение на времето за достигане на пикова плазмена концентрация. Клиничната значимост на тези промени (понижения) не е установена.</w:t>
      </w:r>
    </w:p>
    <w:p w14:paraId="26643C32" w14:textId="77777777" w:rsidR="00E3785D" w:rsidRDefault="00E3785D" w:rsidP="00E3785D">
      <w:pPr>
        <w:spacing w:line="240" w:lineRule="auto"/>
        <w:rPr>
          <w:rFonts w:ascii="Times New Roman" w:eastAsia="Times New Roman" w:hAnsi="Times New Roman" w:cs="Times New Roman"/>
          <w:i/>
          <w:iCs/>
          <w:color w:val="000000"/>
          <w:lang w:eastAsia="bg-BG"/>
        </w:rPr>
      </w:pPr>
    </w:p>
    <w:p w14:paraId="1F6DB1EA" w14:textId="1BB5BEC5" w:rsidR="00E3785D" w:rsidRPr="00E3785D" w:rsidRDefault="00E3785D" w:rsidP="00E3785D">
      <w:pPr>
        <w:pStyle w:val="Heading3"/>
        <w:rPr>
          <w:rFonts w:eastAsia="Times New Roman"/>
          <w:u w:val="single"/>
          <w:lang w:eastAsia="bg-BG"/>
        </w:rPr>
      </w:pPr>
      <w:r w:rsidRPr="00E3785D">
        <w:rPr>
          <w:rFonts w:eastAsia="Times New Roman"/>
          <w:u w:val="single"/>
          <w:lang w:eastAsia="bg-BG"/>
        </w:rPr>
        <w:t>Разпределение:</w:t>
      </w:r>
    </w:p>
    <w:p w14:paraId="5ED673AA" w14:textId="77777777" w:rsidR="00E3785D" w:rsidRPr="00E3785D" w:rsidRDefault="00E3785D" w:rsidP="00E3785D">
      <w:pPr>
        <w:spacing w:line="240" w:lineRule="auto"/>
        <w:rPr>
          <w:rFonts w:eastAsia="Times New Roman" w:cs="Arial"/>
          <w:color w:val="000000"/>
          <w:lang w:eastAsia="bg-BG"/>
        </w:rPr>
      </w:pPr>
    </w:p>
    <w:p w14:paraId="4E4F2B2F" w14:textId="6E661F94"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 xml:space="preserve">Свързването с плазмените протеини е незначително. Метформин навлиза в еритроцитите. Пикът в кръвта е по-нисък от този в плазмата, като двете най-високи концентрации се достигат за приблизително едно и също време. Червените кръвни клетки са вторичните места за разпределение. Средният обем на разпределение е между 63-276 </w:t>
      </w:r>
      <w:r w:rsidRPr="00E3785D">
        <w:rPr>
          <w:rFonts w:eastAsia="Times New Roman" w:cs="Arial"/>
          <w:color w:val="000000"/>
          <w:lang w:val="en-US"/>
        </w:rPr>
        <w:t>L</w:t>
      </w:r>
    </w:p>
    <w:p w14:paraId="408C1B87" w14:textId="77777777" w:rsidR="00E3785D" w:rsidRPr="00E3785D" w:rsidRDefault="00E3785D" w:rsidP="00E3785D">
      <w:pPr>
        <w:spacing w:line="240" w:lineRule="auto"/>
        <w:rPr>
          <w:rFonts w:eastAsia="Times New Roman" w:cs="Arial"/>
          <w:i/>
          <w:iCs/>
          <w:color w:val="000000"/>
          <w:lang w:eastAsia="bg-BG"/>
        </w:rPr>
      </w:pPr>
    </w:p>
    <w:p w14:paraId="4E38875C" w14:textId="6420272F" w:rsidR="00E3785D" w:rsidRPr="00E3785D" w:rsidRDefault="00E3785D" w:rsidP="00E3785D">
      <w:pPr>
        <w:spacing w:line="240" w:lineRule="auto"/>
        <w:rPr>
          <w:rFonts w:eastAsia="Times New Roman" w:cs="Arial"/>
          <w:sz w:val="24"/>
          <w:szCs w:val="24"/>
          <w:lang w:eastAsia="bg-BG"/>
        </w:rPr>
      </w:pPr>
      <w:r w:rsidRPr="00E3785D">
        <w:rPr>
          <w:rFonts w:eastAsia="Times New Roman" w:cs="Arial"/>
          <w:i/>
          <w:iCs/>
          <w:color w:val="000000"/>
          <w:lang w:eastAsia="bg-BG"/>
        </w:rPr>
        <w:t>Метаболизъм:</w:t>
      </w:r>
    </w:p>
    <w:p w14:paraId="21C4EAA8" w14:textId="77777777" w:rsidR="00E3785D" w:rsidRPr="00E3785D" w:rsidRDefault="00E3785D" w:rsidP="00E3785D">
      <w:pPr>
        <w:spacing w:line="240" w:lineRule="auto"/>
        <w:rPr>
          <w:rFonts w:eastAsia="Times New Roman" w:cs="Arial"/>
          <w:color w:val="000000"/>
          <w:lang w:eastAsia="bg-BG"/>
        </w:rPr>
      </w:pPr>
    </w:p>
    <w:p w14:paraId="69ADB3BA" w14:textId="5A08E1A2"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Метформин се отделя непроменен в урината, като не са установени метаболити при човека.</w:t>
      </w:r>
    </w:p>
    <w:p w14:paraId="12B6D8EF" w14:textId="77777777" w:rsidR="00E3785D" w:rsidRPr="00E3785D" w:rsidRDefault="00E3785D" w:rsidP="00E3785D">
      <w:pPr>
        <w:spacing w:line="240" w:lineRule="auto"/>
        <w:rPr>
          <w:rFonts w:eastAsia="Times New Roman" w:cs="Arial"/>
          <w:i/>
          <w:iCs/>
          <w:color w:val="000000"/>
          <w:lang w:eastAsia="bg-BG"/>
        </w:rPr>
      </w:pPr>
    </w:p>
    <w:p w14:paraId="47D4E892" w14:textId="1A6AEA9A" w:rsidR="00E3785D" w:rsidRPr="00E3785D" w:rsidRDefault="00E3785D" w:rsidP="00E3785D">
      <w:pPr>
        <w:pStyle w:val="Heading3"/>
        <w:rPr>
          <w:rFonts w:eastAsia="Times New Roman"/>
          <w:u w:val="single"/>
          <w:lang w:eastAsia="bg-BG"/>
        </w:rPr>
      </w:pPr>
      <w:r w:rsidRPr="00E3785D">
        <w:rPr>
          <w:rFonts w:eastAsia="Times New Roman"/>
          <w:u w:val="single"/>
          <w:lang w:eastAsia="bg-BG"/>
        </w:rPr>
        <w:t>Елиминиране:</w:t>
      </w:r>
    </w:p>
    <w:p w14:paraId="08910E0B" w14:textId="77777777" w:rsidR="00E3785D" w:rsidRPr="00E3785D" w:rsidRDefault="00E3785D" w:rsidP="00E3785D">
      <w:pPr>
        <w:spacing w:line="240" w:lineRule="auto"/>
        <w:rPr>
          <w:rFonts w:eastAsia="Times New Roman" w:cs="Arial"/>
          <w:color w:val="000000"/>
          <w:lang w:eastAsia="bg-BG"/>
        </w:rPr>
      </w:pPr>
    </w:p>
    <w:p w14:paraId="4DEB087F" w14:textId="0BAD0B24"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 xml:space="preserve">Бъбречният клирънс на метформин е &gt; 400 </w:t>
      </w:r>
      <w:r w:rsidRPr="00E3785D">
        <w:rPr>
          <w:rFonts w:eastAsia="Times New Roman" w:cs="Arial"/>
          <w:color w:val="000000"/>
          <w:lang w:val="en-US"/>
        </w:rPr>
        <w:t xml:space="preserve">ml/min, </w:t>
      </w:r>
      <w:r w:rsidRPr="00E3785D">
        <w:rPr>
          <w:rFonts w:eastAsia="Times New Roman" w:cs="Arial"/>
          <w:color w:val="000000"/>
          <w:lang w:eastAsia="bg-BG"/>
        </w:rPr>
        <w:t>което показва че метформин се отделя с помощта на гломерулна филтрация и тубулна секреция. След перорално приложение на една доза, крайното време на полу-живот е около 6.5 часа.</w:t>
      </w:r>
    </w:p>
    <w:p w14:paraId="7D95C393" w14:textId="4CB1D9B6" w:rsidR="00E3785D" w:rsidRPr="00E3785D" w:rsidRDefault="00E3785D" w:rsidP="00E3785D">
      <w:pPr>
        <w:rPr>
          <w:rFonts w:cs="Arial"/>
        </w:rPr>
      </w:pPr>
      <w:r w:rsidRPr="00E3785D">
        <w:rPr>
          <w:rFonts w:eastAsia="Times New Roman" w:cs="Arial"/>
          <w:color w:val="000000"/>
          <w:lang w:eastAsia="bg-BG"/>
        </w:rPr>
        <w:t>При увреждане на бъбречната функция, реналният клирънс намалява пропорционално на креатининовия, времето на полу-живот се удължава, а това води до повишаване на плазмените нива на метформин.</w:t>
      </w:r>
    </w:p>
    <w:p w14:paraId="4EE1BB0B" w14:textId="77777777" w:rsidR="0091385D" w:rsidRPr="0091385D" w:rsidRDefault="0091385D" w:rsidP="0091385D"/>
    <w:p w14:paraId="648E39DA" w14:textId="44D16CBD" w:rsidR="00CF77F7" w:rsidRDefault="002C50EE" w:rsidP="004A448E">
      <w:pPr>
        <w:pStyle w:val="Heading2"/>
      </w:pPr>
      <w:r>
        <w:t>5.3. Предклинични данни за безопасност</w:t>
      </w:r>
    </w:p>
    <w:p w14:paraId="31455D09" w14:textId="4D0EFBF5" w:rsidR="0091385D" w:rsidRDefault="0091385D" w:rsidP="0091385D"/>
    <w:p w14:paraId="52E4D01A" w14:textId="56CBDCBD" w:rsidR="0091385D" w:rsidRPr="00E3785D" w:rsidRDefault="00E3785D" w:rsidP="0091385D">
      <w:pPr>
        <w:rPr>
          <w:rFonts w:cs="Arial"/>
        </w:rPr>
      </w:pPr>
      <w:r w:rsidRPr="00E3785D">
        <w:rPr>
          <w:rFonts w:cs="Arial"/>
        </w:rPr>
        <w:lastRenderedPageBreak/>
        <w:t>Предклиничните данни по отношение на профила на безопасност, токсичността при многократно приложение, генотоксичностга, канцерогенния потенциал и репродуктивната токсичност не са показали специфично вредно въздействие по време на проучванията.</w:t>
      </w:r>
    </w:p>
    <w:p w14:paraId="20E967BE" w14:textId="77777777" w:rsidR="0091385D" w:rsidRPr="0091385D" w:rsidRDefault="0091385D" w:rsidP="0091385D"/>
    <w:p w14:paraId="6A7820AB" w14:textId="353DB6D2" w:rsidR="008A6AF2" w:rsidRDefault="002C50EE" w:rsidP="00395555">
      <w:pPr>
        <w:pStyle w:val="Heading1"/>
      </w:pPr>
      <w:r>
        <w:t>7. ПРИТЕЖАТЕЛ НА РАЗРЕШЕНИЕТО ЗА УПОТРЕБА</w:t>
      </w:r>
    </w:p>
    <w:p w14:paraId="1B9B651E" w14:textId="3382E6AC" w:rsidR="0091385D" w:rsidRDefault="0091385D" w:rsidP="0091385D"/>
    <w:p w14:paraId="27CE8772"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Нео Балканика ЕООД</w:t>
      </w:r>
    </w:p>
    <w:p w14:paraId="392EECC4"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eastAsia="bg-BG"/>
        </w:rPr>
        <w:t>Ул. “Земляне” 35</w:t>
      </w:r>
    </w:p>
    <w:p w14:paraId="3FD825DB" w14:textId="583DF890" w:rsidR="0091385D" w:rsidRPr="00E3785D" w:rsidRDefault="00E3785D" w:rsidP="00E3785D">
      <w:pPr>
        <w:rPr>
          <w:rFonts w:cs="Arial"/>
        </w:rPr>
      </w:pPr>
      <w:r w:rsidRPr="00E3785D">
        <w:rPr>
          <w:rFonts w:eastAsia="Times New Roman" w:cs="Arial"/>
          <w:color w:val="000000"/>
          <w:lang w:eastAsia="bg-BG"/>
        </w:rPr>
        <w:t>София, България</w:t>
      </w:r>
    </w:p>
    <w:p w14:paraId="129C7566" w14:textId="77777777" w:rsidR="0091385D" w:rsidRPr="0091385D" w:rsidRDefault="0091385D" w:rsidP="0091385D"/>
    <w:p w14:paraId="7BA1BA64" w14:textId="17509450" w:rsidR="00CF77F7" w:rsidRDefault="002C50EE" w:rsidP="004A448E">
      <w:pPr>
        <w:pStyle w:val="Heading1"/>
      </w:pPr>
      <w:r>
        <w:t>8. НОМЕР НА РАЗРЕШЕНИЕТО ЗА УПОТРЕБА</w:t>
      </w:r>
    </w:p>
    <w:p w14:paraId="095674C4" w14:textId="54CA436A" w:rsidR="0091385D" w:rsidRDefault="0091385D" w:rsidP="0091385D"/>
    <w:p w14:paraId="1A0D0615" w14:textId="77777777" w:rsidR="00E3785D" w:rsidRPr="00E3785D" w:rsidRDefault="00E3785D" w:rsidP="00E3785D">
      <w:pPr>
        <w:spacing w:line="240" w:lineRule="auto"/>
        <w:rPr>
          <w:rFonts w:eastAsia="Times New Roman" w:cs="Arial"/>
          <w:sz w:val="24"/>
          <w:szCs w:val="24"/>
          <w:lang w:eastAsia="bg-BG"/>
        </w:rPr>
      </w:pPr>
      <w:r w:rsidRPr="00E3785D">
        <w:rPr>
          <w:rFonts w:eastAsia="Times New Roman" w:cs="Arial"/>
          <w:color w:val="000000"/>
          <w:lang w:val="en-US"/>
        </w:rPr>
        <w:t xml:space="preserve">NEOFORMIN </w:t>
      </w:r>
      <w:r w:rsidRPr="00E3785D">
        <w:rPr>
          <w:rFonts w:eastAsia="Times New Roman" w:cs="Arial"/>
          <w:color w:val="000000"/>
          <w:lang w:eastAsia="bg-BG"/>
        </w:rPr>
        <w:t xml:space="preserve">500 </w:t>
      </w:r>
      <w:r w:rsidRPr="00E3785D">
        <w:rPr>
          <w:rFonts w:eastAsia="Times New Roman" w:cs="Arial"/>
          <w:color w:val="000000"/>
          <w:lang w:val="en-US"/>
        </w:rPr>
        <w:t xml:space="preserve">mg </w:t>
      </w:r>
      <w:r w:rsidRPr="00E3785D">
        <w:rPr>
          <w:rFonts w:eastAsia="Times New Roman" w:cs="Arial"/>
          <w:color w:val="000000"/>
          <w:lang w:eastAsia="bg-BG"/>
        </w:rPr>
        <w:t>- II 13470/20.06.2006</w:t>
      </w:r>
    </w:p>
    <w:p w14:paraId="6E892CE5" w14:textId="00AF15F2" w:rsidR="0091385D" w:rsidRPr="00E3785D" w:rsidRDefault="00E3785D" w:rsidP="00E3785D">
      <w:pPr>
        <w:rPr>
          <w:rFonts w:cs="Arial"/>
        </w:rPr>
      </w:pPr>
      <w:r w:rsidRPr="00E3785D">
        <w:rPr>
          <w:rFonts w:eastAsia="Times New Roman" w:cs="Arial"/>
          <w:color w:val="000000"/>
          <w:lang w:val="en-US"/>
        </w:rPr>
        <w:t xml:space="preserve">NEOFORMIN </w:t>
      </w:r>
      <w:r w:rsidRPr="00E3785D">
        <w:rPr>
          <w:rFonts w:eastAsia="Times New Roman" w:cs="Arial"/>
          <w:color w:val="000000"/>
          <w:lang w:eastAsia="bg-BG"/>
        </w:rPr>
        <w:t xml:space="preserve">850 </w:t>
      </w:r>
      <w:r w:rsidRPr="00E3785D">
        <w:rPr>
          <w:rFonts w:eastAsia="Times New Roman" w:cs="Arial"/>
          <w:color w:val="000000"/>
          <w:lang w:val="en-US"/>
        </w:rPr>
        <w:t xml:space="preserve">mg - </w:t>
      </w:r>
      <w:r w:rsidRPr="00E3785D">
        <w:rPr>
          <w:rFonts w:eastAsia="Times New Roman" w:cs="Arial"/>
          <w:color w:val="000000"/>
          <w:lang w:eastAsia="bg-BG"/>
        </w:rPr>
        <w:t>II 13471/20.06.2006</w:t>
      </w:r>
    </w:p>
    <w:p w14:paraId="62EF7F8B" w14:textId="77777777" w:rsidR="0091385D" w:rsidRPr="0091385D" w:rsidRDefault="0091385D" w:rsidP="0091385D"/>
    <w:p w14:paraId="2CCB5832" w14:textId="18FCD95B" w:rsidR="007C605B" w:rsidRDefault="002C50EE" w:rsidP="007C605B">
      <w:pPr>
        <w:pStyle w:val="Heading1"/>
      </w:pPr>
      <w:r>
        <w:t>9. ДАТА НА ПЪРВО РАЗРЕШАВАНЕ/ПОДНОВЯВАНЕ НА РАЗРЕШЕНИЕТО ЗА УПОТРЕБА</w:t>
      </w:r>
    </w:p>
    <w:p w14:paraId="372B3414" w14:textId="0F79A9B4" w:rsidR="0091385D" w:rsidRDefault="0091385D" w:rsidP="0091385D"/>
    <w:p w14:paraId="497007FA" w14:textId="4F4CD6F8" w:rsidR="0091385D" w:rsidRPr="00E3785D" w:rsidRDefault="00E3785D" w:rsidP="0091385D">
      <w:pPr>
        <w:rPr>
          <w:rFonts w:cs="Arial"/>
        </w:rPr>
      </w:pPr>
      <w:r w:rsidRPr="00E3785D">
        <w:rPr>
          <w:rFonts w:cs="Arial"/>
        </w:rPr>
        <w:t>20.06.2006</w:t>
      </w:r>
    </w:p>
    <w:p w14:paraId="0A56E09D" w14:textId="77777777" w:rsidR="0091385D" w:rsidRPr="0091385D" w:rsidRDefault="0091385D" w:rsidP="0091385D"/>
    <w:p w14:paraId="0E9D0119" w14:textId="1FEC128A" w:rsidR="002C50EE" w:rsidRDefault="002C50EE" w:rsidP="002C50EE">
      <w:pPr>
        <w:pStyle w:val="Heading1"/>
      </w:pPr>
      <w:r>
        <w:t>10. ДАТА НА АКТУАЛИЗИРАНЕ НА ТЕКСТА</w:t>
      </w:r>
    </w:p>
    <w:p w14:paraId="3E8FFCC4" w14:textId="34E0D3BB" w:rsidR="0091385D" w:rsidRDefault="0091385D" w:rsidP="0091385D"/>
    <w:p w14:paraId="30276F52" w14:textId="76695839" w:rsidR="0091385D" w:rsidRPr="00E3785D" w:rsidRDefault="00E3785D" w:rsidP="0091385D">
      <w:pPr>
        <w:rPr>
          <w:rFonts w:cs="Arial"/>
        </w:rPr>
      </w:pPr>
      <w:r w:rsidRPr="00E3785D">
        <w:rPr>
          <w:rFonts w:cs="Arial"/>
        </w:rPr>
        <w:t>Септември 2012 г.</w:t>
      </w:r>
    </w:p>
    <w:p w14:paraId="6B00148E" w14:textId="77777777" w:rsidR="0091385D" w:rsidRPr="0091385D" w:rsidRDefault="0091385D" w:rsidP="0091385D"/>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000005"/>
    <w:multiLevelType w:val="multilevel"/>
    <w:tmpl w:val="00000004"/>
    <w:lvl w:ilvl="0">
      <w:start w:val="1"/>
      <w:numFmt w:val="bullet"/>
      <w:lvlText w:val="-"/>
      <w:lvlJc w:val="left"/>
      <w:rPr>
        <w:b w:val="0"/>
        <w:bCs w:val="0"/>
        <w:i w:val="0"/>
        <w:iCs w:val="0"/>
        <w:smallCaps w:val="0"/>
        <w:strike w:val="0"/>
        <w:color w:val="000000"/>
        <w:spacing w:val="0"/>
        <w:w w:val="100"/>
        <w:position w:val="0"/>
        <w:sz w:val="22"/>
        <w:szCs w:val="22"/>
        <w:u w:val="none"/>
      </w:rPr>
    </w:lvl>
    <w:lvl w:ilvl="1">
      <w:start w:val="1"/>
      <w:numFmt w:val="bullet"/>
      <w:lvlText w:val="-"/>
      <w:lvlJc w:val="left"/>
      <w:rPr>
        <w:b w:val="0"/>
        <w:bCs w:val="0"/>
        <w:i w:val="0"/>
        <w:iCs w:val="0"/>
        <w:smallCaps w:val="0"/>
        <w:strike w:val="0"/>
        <w:color w:val="000000"/>
        <w:spacing w:val="0"/>
        <w:w w:val="100"/>
        <w:position w:val="0"/>
        <w:sz w:val="22"/>
        <w:szCs w:val="22"/>
        <w:u w:val="none"/>
      </w:rPr>
    </w:lvl>
    <w:lvl w:ilvl="2">
      <w:start w:val="1"/>
      <w:numFmt w:val="bullet"/>
      <w:lvlText w:val="-"/>
      <w:lvlJc w:val="left"/>
      <w:rPr>
        <w:b w:val="0"/>
        <w:bCs w:val="0"/>
        <w:i w:val="0"/>
        <w:iCs w:val="0"/>
        <w:smallCaps w:val="0"/>
        <w:strike w:val="0"/>
        <w:color w:val="000000"/>
        <w:spacing w:val="0"/>
        <w:w w:val="100"/>
        <w:position w:val="0"/>
        <w:sz w:val="22"/>
        <w:szCs w:val="22"/>
        <w:u w:val="none"/>
      </w:rPr>
    </w:lvl>
    <w:lvl w:ilvl="3">
      <w:start w:val="1"/>
      <w:numFmt w:val="bullet"/>
      <w:lvlText w:val="-"/>
      <w:lvlJc w:val="left"/>
      <w:rPr>
        <w:b w:val="0"/>
        <w:bCs w:val="0"/>
        <w:i w:val="0"/>
        <w:iCs w:val="0"/>
        <w:smallCaps w:val="0"/>
        <w:strike w:val="0"/>
        <w:color w:val="000000"/>
        <w:spacing w:val="0"/>
        <w:w w:val="100"/>
        <w:position w:val="0"/>
        <w:sz w:val="22"/>
        <w:szCs w:val="22"/>
        <w:u w:val="none"/>
      </w:rPr>
    </w:lvl>
    <w:lvl w:ilvl="4">
      <w:start w:val="1"/>
      <w:numFmt w:val="bullet"/>
      <w:lvlText w:val="-"/>
      <w:lvlJc w:val="left"/>
      <w:rPr>
        <w:b w:val="0"/>
        <w:bCs w:val="0"/>
        <w:i w:val="0"/>
        <w:iCs w:val="0"/>
        <w:smallCaps w:val="0"/>
        <w:strike w:val="0"/>
        <w:color w:val="000000"/>
        <w:spacing w:val="0"/>
        <w:w w:val="100"/>
        <w:position w:val="0"/>
        <w:sz w:val="22"/>
        <w:szCs w:val="22"/>
        <w:u w:val="none"/>
      </w:rPr>
    </w:lvl>
    <w:lvl w:ilvl="5">
      <w:start w:val="1"/>
      <w:numFmt w:val="bullet"/>
      <w:lvlText w:val="-"/>
      <w:lvlJc w:val="left"/>
      <w:rPr>
        <w:b w:val="0"/>
        <w:bCs w:val="0"/>
        <w:i w:val="0"/>
        <w:iCs w:val="0"/>
        <w:smallCaps w:val="0"/>
        <w:strike w:val="0"/>
        <w:color w:val="000000"/>
        <w:spacing w:val="0"/>
        <w:w w:val="100"/>
        <w:position w:val="0"/>
        <w:sz w:val="22"/>
        <w:szCs w:val="22"/>
        <w:u w:val="none"/>
      </w:rPr>
    </w:lvl>
    <w:lvl w:ilvl="6">
      <w:start w:val="1"/>
      <w:numFmt w:val="bullet"/>
      <w:lvlText w:val="-"/>
      <w:lvlJc w:val="left"/>
      <w:rPr>
        <w:b w:val="0"/>
        <w:bCs w:val="0"/>
        <w:i w:val="0"/>
        <w:iCs w:val="0"/>
        <w:smallCaps w:val="0"/>
        <w:strike w:val="0"/>
        <w:color w:val="000000"/>
        <w:spacing w:val="0"/>
        <w:w w:val="100"/>
        <w:position w:val="0"/>
        <w:sz w:val="22"/>
        <w:szCs w:val="22"/>
        <w:u w:val="none"/>
      </w:rPr>
    </w:lvl>
    <w:lvl w:ilvl="7">
      <w:start w:val="1"/>
      <w:numFmt w:val="bullet"/>
      <w:lvlText w:val="-"/>
      <w:lvlJc w:val="left"/>
      <w:rPr>
        <w:b w:val="0"/>
        <w:bCs w:val="0"/>
        <w:i w:val="0"/>
        <w:iCs w:val="0"/>
        <w:smallCaps w:val="0"/>
        <w:strike w:val="0"/>
        <w:color w:val="000000"/>
        <w:spacing w:val="0"/>
        <w:w w:val="100"/>
        <w:position w:val="0"/>
        <w:sz w:val="22"/>
        <w:szCs w:val="22"/>
        <w:u w:val="none"/>
      </w:rPr>
    </w:lvl>
    <w:lvl w:ilvl="8">
      <w:start w:val="1"/>
      <w:numFmt w:val="bullet"/>
      <w:lvlText w:val="-"/>
      <w:lvlJc w:val="left"/>
      <w:rPr>
        <w:b w:val="0"/>
        <w:bCs w:val="0"/>
        <w:i w:val="0"/>
        <w:iCs w:val="0"/>
        <w:smallCaps w:val="0"/>
        <w:strike w:val="0"/>
        <w:color w:val="000000"/>
        <w:spacing w:val="0"/>
        <w:w w:val="100"/>
        <w:position w:val="0"/>
        <w:sz w:val="22"/>
        <w:szCs w:val="22"/>
        <w:u w:val="none"/>
      </w:rPr>
    </w:lvl>
  </w:abstractNum>
  <w:abstractNum w:abstractNumId="3"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1"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6"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1"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022366"/>
    <w:multiLevelType w:val="hybridMultilevel"/>
    <w:tmpl w:val="56DE0566"/>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504BC3"/>
    <w:multiLevelType w:val="hybridMultilevel"/>
    <w:tmpl w:val="69020DE2"/>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7E677CAA"/>
    <w:multiLevelType w:val="hybridMultilevel"/>
    <w:tmpl w:val="B64E43E4"/>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7"/>
  </w:num>
  <w:num w:numId="2">
    <w:abstractNumId w:val="0"/>
  </w:num>
  <w:num w:numId="3">
    <w:abstractNumId w:val="13"/>
  </w:num>
  <w:num w:numId="4">
    <w:abstractNumId w:val="4"/>
  </w:num>
  <w:num w:numId="5">
    <w:abstractNumId w:val="1"/>
  </w:num>
  <w:num w:numId="6">
    <w:abstractNumId w:val="16"/>
  </w:num>
  <w:num w:numId="7">
    <w:abstractNumId w:val="11"/>
  </w:num>
  <w:num w:numId="8">
    <w:abstractNumId w:val="15"/>
  </w:num>
  <w:num w:numId="9">
    <w:abstractNumId w:val="3"/>
  </w:num>
  <w:num w:numId="10">
    <w:abstractNumId w:val="5"/>
  </w:num>
  <w:num w:numId="11">
    <w:abstractNumId w:val="30"/>
  </w:num>
  <w:num w:numId="12">
    <w:abstractNumId w:val="14"/>
  </w:num>
  <w:num w:numId="13">
    <w:abstractNumId w:val="19"/>
  </w:num>
  <w:num w:numId="14">
    <w:abstractNumId w:val="12"/>
  </w:num>
  <w:num w:numId="15">
    <w:abstractNumId w:val="29"/>
  </w:num>
  <w:num w:numId="16">
    <w:abstractNumId w:val="10"/>
  </w:num>
  <w:num w:numId="17">
    <w:abstractNumId w:val="24"/>
  </w:num>
  <w:num w:numId="18">
    <w:abstractNumId w:val="8"/>
  </w:num>
  <w:num w:numId="19">
    <w:abstractNumId w:val="26"/>
  </w:num>
  <w:num w:numId="20">
    <w:abstractNumId w:val="23"/>
  </w:num>
  <w:num w:numId="21">
    <w:abstractNumId w:val="17"/>
  </w:num>
  <w:num w:numId="22">
    <w:abstractNumId w:val="25"/>
  </w:num>
  <w:num w:numId="23">
    <w:abstractNumId w:val="18"/>
  </w:num>
  <w:num w:numId="24">
    <w:abstractNumId w:val="9"/>
  </w:num>
  <w:num w:numId="25">
    <w:abstractNumId w:val="22"/>
  </w:num>
  <w:num w:numId="26">
    <w:abstractNumId w:val="21"/>
  </w:num>
  <w:num w:numId="27">
    <w:abstractNumId w:val="32"/>
  </w:num>
  <w:num w:numId="28">
    <w:abstractNumId w:val="7"/>
  </w:num>
  <w:num w:numId="29">
    <w:abstractNumId w:val="20"/>
  </w:num>
  <w:num w:numId="30">
    <w:abstractNumId w:val="37"/>
  </w:num>
  <w:num w:numId="31">
    <w:abstractNumId w:val="6"/>
  </w:num>
  <w:num w:numId="32">
    <w:abstractNumId w:val="34"/>
  </w:num>
  <w:num w:numId="33">
    <w:abstractNumId w:val="28"/>
  </w:num>
  <w:num w:numId="34">
    <w:abstractNumId w:val="33"/>
  </w:num>
  <w:num w:numId="35">
    <w:abstractNumId w:val="35"/>
  </w:num>
  <w:num w:numId="36">
    <w:abstractNumId w:val="36"/>
  </w:num>
  <w:num w:numId="37">
    <w:abstractNumId w:val="2"/>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0D4749"/>
    <w:rsid w:val="00185A46"/>
    <w:rsid w:val="001915B6"/>
    <w:rsid w:val="001D1B23"/>
    <w:rsid w:val="002B3C38"/>
    <w:rsid w:val="002B4DBB"/>
    <w:rsid w:val="002C50EE"/>
    <w:rsid w:val="00340A0A"/>
    <w:rsid w:val="003765DC"/>
    <w:rsid w:val="00395555"/>
    <w:rsid w:val="003E3126"/>
    <w:rsid w:val="00426E5F"/>
    <w:rsid w:val="00430807"/>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8134C8"/>
    <w:rsid w:val="00814073"/>
    <w:rsid w:val="00826F0D"/>
    <w:rsid w:val="00893B92"/>
    <w:rsid w:val="008A6AF2"/>
    <w:rsid w:val="008C70A2"/>
    <w:rsid w:val="008F1AF3"/>
    <w:rsid w:val="0091385D"/>
    <w:rsid w:val="009773E4"/>
    <w:rsid w:val="009B171C"/>
    <w:rsid w:val="009F1313"/>
    <w:rsid w:val="00A20351"/>
    <w:rsid w:val="00A65A81"/>
    <w:rsid w:val="00A73575"/>
    <w:rsid w:val="00AA23EC"/>
    <w:rsid w:val="00AC63CE"/>
    <w:rsid w:val="00AE2107"/>
    <w:rsid w:val="00B275A8"/>
    <w:rsid w:val="00BF2600"/>
    <w:rsid w:val="00C0049F"/>
    <w:rsid w:val="00C07B84"/>
    <w:rsid w:val="00C33464"/>
    <w:rsid w:val="00C40420"/>
    <w:rsid w:val="00C809A7"/>
    <w:rsid w:val="00C83063"/>
    <w:rsid w:val="00C87E90"/>
    <w:rsid w:val="00CA1B57"/>
    <w:rsid w:val="00CF77F7"/>
    <w:rsid w:val="00D86297"/>
    <w:rsid w:val="00DD466D"/>
    <w:rsid w:val="00E3785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2692</Words>
  <Characters>15349</Characters>
  <Application>Microsoft Office Word</Application>
  <DocSecurity>0</DocSecurity>
  <Lines>127</Lines>
  <Paragraphs>36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2022-09-27T09:14:00Z</dcterms:created>
  <dcterms:modified xsi:type="dcterms:W3CDTF">2022-09-27T09:14:00Z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