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7EA51565" w14:textId="77777777"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xml:space="preserve">® </w:t>
      </w:r>
      <w:r w:rsidRPr="00B466CB">
        <w:rPr>
          <w:rFonts w:eastAsia="Times New Roman" w:cs="Arial"/>
          <w:color w:val="000000"/>
          <w:lang w:eastAsia="bg-BG"/>
        </w:rPr>
        <w:t xml:space="preserve">1 </w:t>
      </w:r>
      <w:r w:rsidRPr="00B466CB">
        <w:rPr>
          <w:rFonts w:eastAsia="Times New Roman" w:cs="Arial"/>
          <w:color w:val="000000"/>
          <w:lang w:val="en-US"/>
        </w:rPr>
        <w:t>mg tablets</w:t>
      </w:r>
    </w:p>
    <w:p w14:paraId="1E32CFBC" w14:textId="77777777"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1 </w:t>
      </w:r>
      <w:r w:rsidRPr="00B466CB">
        <w:rPr>
          <w:rFonts w:eastAsia="Times New Roman" w:cs="Arial"/>
          <w:color w:val="000000"/>
          <w:lang w:val="en-US"/>
        </w:rPr>
        <w:t xml:space="preserve">mg </w:t>
      </w:r>
      <w:r w:rsidRPr="00B466CB">
        <w:rPr>
          <w:rFonts w:eastAsia="Times New Roman" w:cs="Arial"/>
          <w:color w:val="000000"/>
          <w:lang w:eastAsia="bg-BG"/>
        </w:rPr>
        <w:t>таблетки</w:t>
      </w:r>
    </w:p>
    <w:p w14:paraId="1E582582" w14:textId="77777777" w:rsidR="00B466CB" w:rsidRPr="00B466CB" w:rsidRDefault="00B466CB" w:rsidP="00B466CB">
      <w:pPr>
        <w:spacing w:line="240" w:lineRule="auto"/>
        <w:rPr>
          <w:rFonts w:eastAsia="Times New Roman" w:cs="Arial"/>
          <w:sz w:val="24"/>
          <w:szCs w:val="24"/>
          <w:lang w:val="en-US" w:eastAsia="bg-BG"/>
        </w:rPr>
      </w:pPr>
    </w:p>
    <w:p w14:paraId="36A3A745" w14:textId="77777777"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2 mg tablets</w:t>
      </w:r>
    </w:p>
    <w:p w14:paraId="3F54E100" w14:textId="47F27E06"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2 mg </w:t>
      </w:r>
      <w:r w:rsidRPr="00B466CB">
        <w:rPr>
          <w:rFonts w:eastAsia="Times New Roman" w:cs="Arial"/>
          <w:color w:val="000000"/>
          <w:lang w:eastAsia="bg-BG"/>
        </w:rPr>
        <w:t>таблетки</w:t>
      </w:r>
    </w:p>
    <w:p w14:paraId="0158CF96" w14:textId="77777777" w:rsidR="00B466CB" w:rsidRPr="00B466CB" w:rsidRDefault="00B466CB" w:rsidP="00B466CB">
      <w:pPr>
        <w:spacing w:line="240" w:lineRule="auto"/>
        <w:rPr>
          <w:rFonts w:eastAsia="Times New Roman" w:cs="Arial"/>
          <w:color w:val="000000"/>
          <w:lang w:val="en-US"/>
        </w:rPr>
      </w:pPr>
    </w:p>
    <w:p w14:paraId="36489C29" w14:textId="3CD98F3C"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3 mg tablets</w:t>
      </w:r>
      <w:r w:rsidRPr="00B466CB">
        <w:rPr>
          <w:rFonts w:eastAsia="Times New Roman" w:cs="Arial"/>
          <w:color w:val="000000"/>
          <w:lang w:val="en-US"/>
        </w:rPr>
        <w:tab/>
      </w:r>
    </w:p>
    <w:p w14:paraId="1A9B9E99" w14:textId="77777777" w:rsidR="00B466CB" w:rsidRPr="00B466CB" w:rsidRDefault="00B466CB" w:rsidP="00B466CB">
      <w:pPr>
        <w:spacing w:line="240" w:lineRule="auto"/>
        <w:rPr>
          <w:rFonts w:eastAsia="Times New Roman" w:cs="Arial"/>
          <w:sz w:val="24"/>
          <w:szCs w:val="24"/>
          <w:lang w:val="en-US" w:eastAsia="bg-BG"/>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3 mg </w:t>
      </w:r>
      <w:r w:rsidRPr="00B466CB">
        <w:rPr>
          <w:rFonts w:eastAsia="Times New Roman" w:cs="Arial"/>
          <w:color w:val="000000"/>
          <w:lang w:eastAsia="bg-BG"/>
        </w:rPr>
        <w:t>таблетки</w:t>
      </w:r>
    </w:p>
    <w:p w14:paraId="3EEA4AA4" w14:textId="77777777" w:rsidR="00B466CB" w:rsidRPr="00B466CB" w:rsidRDefault="00B466CB" w:rsidP="00B466CB">
      <w:pPr>
        <w:spacing w:line="240" w:lineRule="auto"/>
        <w:rPr>
          <w:rFonts w:eastAsia="Times New Roman" w:cs="Arial"/>
          <w:color w:val="000000"/>
          <w:lang w:val="en-US"/>
        </w:rPr>
      </w:pPr>
    </w:p>
    <w:p w14:paraId="5F2014EB" w14:textId="4720585A" w:rsidR="00B466CB" w:rsidRPr="00B466CB" w:rsidRDefault="00B466CB" w:rsidP="00B466CB">
      <w:pPr>
        <w:spacing w:line="240" w:lineRule="auto"/>
        <w:rPr>
          <w:rFonts w:eastAsia="Times New Roman" w:cs="Arial"/>
          <w:sz w:val="24"/>
          <w:szCs w:val="24"/>
          <w:lang w:val="en-US" w:eastAsia="bg-BG"/>
        </w:rPr>
      </w:pPr>
      <w:proofErr w:type="spellStart"/>
      <w:r w:rsidRPr="00B466CB">
        <w:rPr>
          <w:rFonts w:eastAsia="Times New Roman" w:cs="Arial"/>
          <w:color w:val="000000"/>
          <w:lang w:val="en-US"/>
        </w:rPr>
        <w:t>Neoglim</w:t>
      </w:r>
      <w:proofErr w:type="spellEnd"/>
      <w:r w:rsidRPr="00B466CB">
        <w:rPr>
          <w:rFonts w:eastAsia="Times New Roman" w:cs="Arial"/>
          <w:color w:val="000000"/>
          <w:lang w:val="en-US"/>
        </w:rPr>
        <w:t>® 4 mg tablets</w:t>
      </w:r>
    </w:p>
    <w:p w14:paraId="5015A1FD" w14:textId="6CCF6432" w:rsidR="00A73575" w:rsidRPr="00B466CB" w:rsidRDefault="00B466CB" w:rsidP="00B466CB">
      <w:pPr>
        <w:rPr>
          <w:rFonts w:cs="Arial"/>
        </w:rPr>
      </w:pPr>
      <w:r w:rsidRPr="00B466CB">
        <w:rPr>
          <w:rFonts w:eastAsia="Times New Roman" w:cs="Arial"/>
          <w:color w:val="000000"/>
          <w:lang w:eastAsia="bg-BG"/>
        </w:rPr>
        <w:t xml:space="preserve">Неоглим® </w:t>
      </w:r>
      <w:r w:rsidRPr="00B466CB">
        <w:rPr>
          <w:rFonts w:eastAsia="Times New Roman" w:cs="Arial"/>
          <w:color w:val="000000"/>
          <w:lang w:val="en-US"/>
        </w:rPr>
        <w:t xml:space="preserve">4 mg </w:t>
      </w:r>
      <w:r w:rsidRPr="00B466CB">
        <w:rPr>
          <w:rFonts w:eastAsia="Times New Roman" w:cs="Arial"/>
          <w:color w:val="000000"/>
          <w:lang w:eastAsia="bg-BG"/>
        </w:rPr>
        <w:t>таблетки</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4ACDFBBC"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1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1 </w:t>
      </w:r>
      <w:r w:rsidRPr="00B466CB">
        <w:rPr>
          <w:rFonts w:eastAsia="Times New Roman" w:cs="Arial"/>
          <w:color w:val="000000"/>
          <w:lang w:val="en-US"/>
        </w:rPr>
        <w:t>mg.</w:t>
      </w:r>
    </w:p>
    <w:p w14:paraId="2EE49656" w14:textId="77777777" w:rsidR="00B466CB" w:rsidRPr="00B466CB" w:rsidRDefault="00B466CB" w:rsidP="00B466CB">
      <w:pPr>
        <w:spacing w:line="240" w:lineRule="auto"/>
        <w:rPr>
          <w:rFonts w:eastAsia="Times New Roman" w:cs="Arial"/>
          <w:color w:val="000000"/>
          <w:lang w:eastAsia="bg-BG"/>
        </w:rPr>
      </w:pPr>
    </w:p>
    <w:p w14:paraId="5B3F2C5E" w14:textId="2BF34681"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2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2 </w:t>
      </w:r>
      <w:r w:rsidRPr="00B466CB">
        <w:rPr>
          <w:rFonts w:eastAsia="Times New Roman" w:cs="Arial"/>
          <w:color w:val="000000"/>
          <w:lang w:val="en-US"/>
        </w:rPr>
        <w:t>mg.</w:t>
      </w:r>
    </w:p>
    <w:p w14:paraId="3FEF517F" w14:textId="77777777" w:rsidR="00B466CB" w:rsidRPr="00B466CB" w:rsidRDefault="00B466CB" w:rsidP="00B466CB">
      <w:pPr>
        <w:spacing w:line="240" w:lineRule="auto"/>
        <w:rPr>
          <w:rFonts w:eastAsia="Times New Roman" w:cs="Arial"/>
          <w:color w:val="000000"/>
          <w:lang w:eastAsia="bg-BG"/>
        </w:rPr>
      </w:pPr>
    </w:p>
    <w:p w14:paraId="21960085" w14:textId="1268220F"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3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3 </w:t>
      </w:r>
      <w:r w:rsidRPr="00B466CB">
        <w:rPr>
          <w:rFonts w:eastAsia="Times New Roman" w:cs="Arial"/>
          <w:color w:val="000000"/>
          <w:lang w:val="en-US"/>
        </w:rPr>
        <w:t>mg.</w:t>
      </w:r>
    </w:p>
    <w:p w14:paraId="011D274A" w14:textId="77777777" w:rsidR="00B466CB" w:rsidRPr="00B466CB" w:rsidRDefault="00B466CB" w:rsidP="00B466CB">
      <w:pPr>
        <w:spacing w:line="240" w:lineRule="auto"/>
        <w:rPr>
          <w:rFonts w:eastAsia="Times New Roman" w:cs="Arial"/>
          <w:color w:val="000000"/>
          <w:lang w:eastAsia="bg-BG"/>
        </w:rPr>
      </w:pPr>
    </w:p>
    <w:p w14:paraId="129EB726" w14:textId="5B1649E1"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Всяка таблетка Неоглим® 4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глимепирид </w:t>
      </w:r>
      <w:r w:rsidRPr="00B466CB">
        <w:rPr>
          <w:rFonts w:eastAsia="Times New Roman" w:cs="Arial"/>
          <w:i/>
          <w:iCs/>
          <w:color w:val="000000"/>
          <w:lang w:val="en-US"/>
        </w:rPr>
        <w:t>(glimepiride)</w:t>
      </w:r>
      <w:r w:rsidRPr="00B466CB">
        <w:rPr>
          <w:rFonts w:eastAsia="Times New Roman" w:cs="Arial"/>
          <w:color w:val="000000"/>
          <w:lang w:val="en-US"/>
        </w:rPr>
        <w:t xml:space="preserve"> </w:t>
      </w:r>
      <w:r w:rsidRPr="00B466CB">
        <w:rPr>
          <w:rFonts w:eastAsia="Times New Roman" w:cs="Arial"/>
          <w:color w:val="000000"/>
          <w:lang w:eastAsia="bg-BG"/>
        </w:rPr>
        <w:t xml:space="preserve">4 </w:t>
      </w:r>
      <w:r w:rsidRPr="00B466CB">
        <w:rPr>
          <w:rFonts w:eastAsia="Times New Roman" w:cs="Arial"/>
          <w:color w:val="000000"/>
          <w:lang w:val="en-US"/>
        </w:rPr>
        <w:t>mg.</w:t>
      </w:r>
    </w:p>
    <w:p w14:paraId="7B18C8B1" w14:textId="77777777" w:rsidR="00B466CB" w:rsidRPr="00B466CB" w:rsidRDefault="00B466CB" w:rsidP="00B466CB">
      <w:pPr>
        <w:spacing w:line="240" w:lineRule="auto"/>
        <w:rPr>
          <w:rFonts w:eastAsia="Times New Roman" w:cs="Arial"/>
          <w:color w:val="000000"/>
          <w:lang w:eastAsia="bg-BG"/>
        </w:rPr>
      </w:pPr>
    </w:p>
    <w:p w14:paraId="6DE4F58F" w14:textId="5679009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Помощни вещества: Продуктът съдържа лактоза.</w:t>
      </w:r>
    </w:p>
    <w:p w14:paraId="03110A50" w14:textId="03AD571B" w:rsidR="0091385D" w:rsidRPr="00B466CB" w:rsidRDefault="00B466CB" w:rsidP="00B466CB">
      <w:pPr>
        <w:rPr>
          <w:rFonts w:cs="Arial"/>
        </w:rPr>
      </w:pPr>
      <w:r w:rsidRPr="00B466CB">
        <w:rPr>
          <w:rFonts w:eastAsia="Times New Roman" w:cs="Arial"/>
          <w:color w:val="000000"/>
          <w:lang w:eastAsia="bg-BG"/>
        </w:rPr>
        <w:t>За пълния списък на помощните вещества, вж.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06C9C336"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Таблетки.</w:t>
      </w:r>
    </w:p>
    <w:p w14:paraId="3AE5445C" w14:textId="77777777" w:rsidR="00B466CB" w:rsidRPr="00B466CB" w:rsidRDefault="00B466CB" w:rsidP="00B466CB">
      <w:pPr>
        <w:spacing w:line="240" w:lineRule="auto"/>
        <w:rPr>
          <w:rFonts w:eastAsia="Times New Roman" w:cs="Arial"/>
          <w:color w:val="000000"/>
          <w:lang w:eastAsia="bg-BG"/>
        </w:rPr>
      </w:pPr>
    </w:p>
    <w:p w14:paraId="25AAF153" w14:textId="77777777" w:rsidR="00B466CB" w:rsidRPr="00B466CB" w:rsidRDefault="00B466CB" w:rsidP="00B466CB">
      <w:pPr>
        <w:spacing w:line="240" w:lineRule="auto"/>
        <w:rPr>
          <w:rFonts w:eastAsia="Times New Roman" w:cs="Arial"/>
          <w:color w:val="000000"/>
          <w:lang w:val="en-US"/>
        </w:rPr>
      </w:pPr>
      <w:r w:rsidRPr="00B466CB">
        <w:rPr>
          <w:rFonts w:eastAsia="Times New Roman" w:cs="Arial"/>
          <w:color w:val="000000"/>
          <w:lang w:eastAsia="bg-BG"/>
        </w:rPr>
        <w:t xml:space="preserve">Таблетките са продълговати и биконвексни. Таблетките Неоглим® 1 </w:t>
      </w:r>
      <w:r w:rsidRPr="00B466CB">
        <w:rPr>
          <w:rFonts w:eastAsia="Times New Roman" w:cs="Arial"/>
          <w:color w:val="000000"/>
          <w:lang w:val="en-US"/>
        </w:rPr>
        <w:t xml:space="preserve">mg </w:t>
      </w:r>
      <w:r w:rsidRPr="00B466CB">
        <w:rPr>
          <w:rFonts w:eastAsia="Times New Roman" w:cs="Arial"/>
          <w:color w:val="000000"/>
          <w:lang w:eastAsia="bg-BG"/>
        </w:rPr>
        <w:t xml:space="preserve">са с размери 8 х 4 </w:t>
      </w:r>
      <w:r w:rsidRPr="00B466CB">
        <w:rPr>
          <w:rFonts w:eastAsia="Times New Roman" w:cs="Arial"/>
          <w:color w:val="000000"/>
          <w:lang w:val="en-US"/>
        </w:rPr>
        <w:t xml:space="preserve">mm. </w:t>
      </w:r>
    </w:p>
    <w:p w14:paraId="461E10D5" w14:textId="77777777" w:rsidR="00B466CB" w:rsidRPr="00B466CB" w:rsidRDefault="00B466CB" w:rsidP="00B466CB">
      <w:pPr>
        <w:spacing w:line="240" w:lineRule="auto"/>
        <w:rPr>
          <w:rFonts w:eastAsia="Times New Roman" w:cs="Arial"/>
          <w:color w:val="000000"/>
          <w:lang w:val="en-US"/>
        </w:rPr>
      </w:pPr>
    </w:p>
    <w:p w14:paraId="0552B55A" w14:textId="29F8BAA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2 </w:t>
      </w:r>
      <w:r w:rsidRPr="00B466CB">
        <w:rPr>
          <w:rFonts w:eastAsia="Times New Roman" w:cs="Arial"/>
          <w:color w:val="000000"/>
          <w:lang w:val="en-US"/>
        </w:rPr>
        <w:t xml:space="preserve">mg, </w:t>
      </w:r>
      <w:r w:rsidRPr="00B466CB">
        <w:rPr>
          <w:rFonts w:eastAsia="Times New Roman" w:cs="Arial"/>
          <w:color w:val="000000"/>
          <w:lang w:eastAsia="bg-BG"/>
        </w:rPr>
        <w:t xml:space="preserve">3 </w:t>
      </w:r>
      <w:r w:rsidRPr="00B466CB">
        <w:rPr>
          <w:rFonts w:eastAsia="Times New Roman" w:cs="Arial"/>
          <w:color w:val="000000"/>
          <w:lang w:val="en-US"/>
        </w:rPr>
        <w:t xml:space="preserve">mg </w:t>
      </w:r>
      <w:r w:rsidRPr="00B466CB">
        <w:rPr>
          <w:rFonts w:eastAsia="Times New Roman" w:cs="Arial"/>
          <w:color w:val="000000"/>
          <w:lang w:eastAsia="bg-BG"/>
        </w:rPr>
        <w:t xml:space="preserve">и 4 </w:t>
      </w:r>
      <w:r w:rsidRPr="00B466CB">
        <w:rPr>
          <w:rFonts w:eastAsia="Times New Roman" w:cs="Arial"/>
          <w:color w:val="000000"/>
          <w:lang w:val="en-US"/>
        </w:rPr>
        <w:t xml:space="preserve">mg </w:t>
      </w:r>
      <w:r w:rsidRPr="00B466CB">
        <w:rPr>
          <w:rFonts w:eastAsia="Times New Roman" w:cs="Arial"/>
          <w:color w:val="000000"/>
          <w:lang w:eastAsia="bg-BG"/>
        </w:rPr>
        <w:t xml:space="preserve">са с размери </w:t>
      </w:r>
      <w:r w:rsidRPr="00B466CB">
        <w:rPr>
          <w:rFonts w:eastAsia="Times New Roman" w:cs="Arial"/>
          <w:color w:val="000000"/>
          <w:lang w:val="en-US"/>
        </w:rPr>
        <w:t>10x5 mm.</w:t>
      </w:r>
    </w:p>
    <w:p w14:paraId="4CAB71EA" w14:textId="77777777" w:rsidR="00B466CB" w:rsidRPr="00B466CB" w:rsidRDefault="00B466CB" w:rsidP="00B466CB">
      <w:pPr>
        <w:spacing w:line="240" w:lineRule="auto"/>
        <w:rPr>
          <w:rFonts w:eastAsia="Times New Roman" w:cs="Arial"/>
          <w:color w:val="000000"/>
          <w:lang w:eastAsia="bg-BG"/>
        </w:rPr>
      </w:pPr>
    </w:p>
    <w:p w14:paraId="51040327" w14:textId="0A7885A3"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1 </w:t>
      </w:r>
      <w:r w:rsidRPr="00B466CB">
        <w:rPr>
          <w:rFonts w:eastAsia="Times New Roman" w:cs="Arial"/>
          <w:color w:val="000000"/>
          <w:lang w:val="en-US"/>
        </w:rPr>
        <w:t xml:space="preserve">mg </w:t>
      </w:r>
      <w:r w:rsidRPr="00B466CB">
        <w:rPr>
          <w:rFonts w:eastAsia="Times New Roman" w:cs="Arial"/>
          <w:color w:val="000000"/>
          <w:lang w:eastAsia="bg-BG"/>
        </w:rPr>
        <w:t>са розови на цвят.</w:t>
      </w:r>
    </w:p>
    <w:p w14:paraId="2E42BB85" w14:textId="77777777" w:rsidR="00B466CB" w:rsidRPr="00B466CB" w:rsidRDefault="00B466CB" w:rsidP="00B466CB">
      <w:pPr>
        <w:spacing w:line="240" w:lineRule="auto"/>
        <w:rPr>
          <w:rFonts w:eastAsia="Times New Roman" w:cs="Arial"/>
          <w:color w:val="000000"/>
          <w:lang w:eastAsia="bg-BG"/>
        </w:rPr>
      </w:pPr>
    </w:p>
    <w:p w14:paraId="21F9D79F" w14:textId="683E049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2 </w:t>
      </w:r>
      <w:r w:rsidRPr="00B466CB">
        <w:rPr>
          <w:rFonts w:eastAsia="Times New Roman" w:cs="Arial"/>
          <w:color w:val="000000"/>
          <w:lang w:val="en-US"/>
        </w:rPr>
        <w:t xml:space="preserve">mg </w:t>
      </w:r>
      <w:r w:rsidRPr="00B466CB">
        <w:rPr>
          <w:rFonts w:eastAsia="Times New Roman" w:cs="Arial"/>
          <w:color w:val="000000"/>
          <w:lang w:eastAsia="bg-BG"/>
        </w:rPr>
        <w:t>са зелени на цвят.</w:t>
      </w:r>
    </w:p>
    <w:p w14:paraId="6D8CDD4E" w14:textId="77777777" w:rsidR="00B466CB" w:rsidRPr="00B466CB" w:rsidRDefault="00B466CB" w:rsidP="00B466CB">
      <w:pPr>
        <w:spacing w:line="240" w:lineRule="auto"/>
        <w:rPr>
          <w:rFonts w:eastAsia="Times New Roman" w:cs="Arial"/>
          <w:color w:val="000000"/>
          <w:lang w:eastAsia="bg-BG"/>
        </w:rPr>
      </w:pPr>
    </w:p>
    <w:p w14:paraId="08D1AA2F" w14:textId="5120ACAA"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Таблетките Неоглим® 3 </w:t>
      </w:r>
      <w:r w:rsidRPr="00B466CB">
        <w:rPr>
          <w:rFonts w:eastAsia="Times New Roman" w:cs="Arial"/>
          <w:color w:val="000000"/>
          <w:lang w:val="en-US"/>
        </w:rPr>
        <w:t xml:space="preserve">mg </w:t>
      </w:r>
      <w:r w:rsidRPr="00B466CB">
        <w:rPr>
          <w:rFonts w:eastAsia="Times New Roman" w:cs="Arial"/>
          <w:color w:val="000000"/>
          <w:lang w:eastAsia="bg-BG"/>
        </w:rPr>
        <w:t>са бледожълти на цвят.</w:t>
      </w:r>
    </w:p>
    <w:p w14:paraId="03243313" w14:textId="77777777" w:rsidR="00B466CB" w:rsidRPr="00B466CB" w:rsidRDefault="00B466CB" w:rsidP="00B466CB">
      <w:pPr>
        <w:rPr>
          <w:rFonts w:eastAsia="Times New Roman" w:cs="Arial"/>
          <w:color w:val="000000"/>
          <w:lang w:eastAsia="bg-BG"/>
        </w:rPr>
      </w:pPr>
    </w:p>
    <w:p w14:paraId="4129ADBB" w14:textId="5012FA96" w:rsidR="0091385D" w:rsidRPr="00B466CB" w:rsidRDefault="00B466CB" w:rsidP="00B466CB">
      <w:pPr>
        <w:rPr>
          <w:rFonts w:cs="Arial"/>
        </w:rPr>
      </w:pPr>
      <w:r w:rsidRPr="00B466CB">
        <w:rPr>
          <w:rFonts w:eastAsia="Times New Roman" w:cs="Arial"/>
          <w:color w:val="000000"/>
          <w:lang w:eastAsia="bg-BG"/>
        </w:rPr>
        <w:lastRenderedPageBreak/>
        <w:t xml:space="preserve">Таблетките Неоглим® 4 </w:t>
      </w:r>
      <w:r w:rsidRPr="00B466CB">
        <w:rPr>
          <w:rFonts w:eastAsia="Times New Roman" w:cs="Arial"/>
          <w:color w:val="000000"/>
          <w:lang w:val="en-US"/>
        </w:rPr>
        <w:t xml:space="preserve">mg </w:t>
      </w:r>
      <w:r w:rsidRPr="00B466CB">
        <w:rPr>
          <w:rFonts w:eastAsia="Times New Roman" w:cs="Arial"/>
          <w:color w:val="000000"/>
          <w:lang w:eastAsia="bg-BG"/>
        </w:rPr>
        <w:t>са светлосини на цвят.</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04B2E99C" w14:textId="7086ED38" w:rsidR="0091385D" w:rsidRDefault="00B466CB" w:rsidP="0091385D">
      <w:r>
        <w:t xml:space="preserve">Неоглим® (1, 2, 3, 4 </w:t>
      </w:r>
      <w:r>
        <w:rPr>
          <w:lang w:val="en-US"/>
        </w:rPr>
        <w:t xml:space="preserve">mg) </w:t>
      </w:r>
      <w:r>
        <w:t xml:space="preserve">е показан за лечение на </w:t>
      </w:r>
      <w:r>
        <w:rPr>
          <w:lang w:val="en-US"/>
        </w:rPr>
        <w:t xml:space="preserve">diabetes mellitus </w:t>
      </w:r>
      <w:r>
        <w:t>тип 2, когато</w:t>
      </w:r>
      <w:r>
        <w:rPr>
          <w:lang w:val="en-US"/>
        </w:rPr>
        <w:t xml:space="preserve"> </w:t>
      </w:r>
      <w:r>
        <w:t>диетата, физическите упражнения и намаляването на теглото не дават задоволителен ефект.</w:t>
      </w:r>
    </w:p>
    <w:p w14:paraId="6DFA4B9D" w14:textId="77777777" w:rsidR="0091385D" w:rsidRPr="0091385D" w:rsidRDefault="0091385D" w:rsidP="0091385D"/>
    <w:p w14:paraId="30BE2C7B" w14:textId="3633C1E4" w:rsidR="008134C8" w:rsidRDefault="002C50EE" w:rsidP="004A448E">
      <w:pPr>
        <w:pStyle w:val="Heading2"/>
      </w:pPr>
      <w:r>
        <w:t>4.2. Дозировка и начин на приложение</w:t>
      </w:r>
    </w:p>
    <w:p w14:paraId="7AA22B68" w14:textId="3A681DFB" w:rsidR="0091385D" w:rsidRDefault="0091385D" w:rsidP="0091385D"/>
    <w:p w14:paraId="6448DADC"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В основата на успешното лечение на диабета са добрата диета, редовната физическа активност, както и ежедневните изследвания на кръвта и урината. Таблетките или инсулинът не могат да компенсират неспазването на препоръчителната диета от пациента.</w:t>
      </w:r>
    </w:p>
    <w:p w14:paraId="2D346453" w14:textId="77777777" w:rsidR="00B466CB" w:rsidRPr="00B466CB" w:rsidRDefault="00B466CB" w:rsidP="00B466CB">
      <w:pPr>
        <w:spacing w:line="240" w:lineRule="auto"/>
        <w:rPr>
          <w:rFonts w:eastAsia="Times New Roman" w:cs="Arial"/>
          <w:color w:val="000000"/>
          <w:lang w:eastAsia="bg-BG"/>
        </w:rPr>
      </w:pPr>
    </w:p>
    <w:p w14:paraId="5A010748" w14:textId="5F46764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Дозата определят резултатите от изследванията за съдържанието на глюкоза в кръвта и урината.</w:t>
      </w:r>
    </w:p>
    <w:p w14:paraId="7B5D1462" w14:textId="77777777" w:rsidR="00B466CB" w:rsidRPr="00B466CB" w:rsidRDefault="00B466CB" w:rsidP="00B466CB">
      <w:pPr>
        <w:spacing w:line="240" w:lineRule="auto"/>
        <w:rPr>
          <w:rFonts w:eastAsia="Times New Roman" w:cs="Arial"/>
          <w:color w:val="000000"/>
          <w:lang w:eastAsia="bg-BG"/>
        </w:rPr>
      </w:pPr>
    </w:p>
    <w:p w14:paraId="74813B6E" w14:textId="4DF9988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Началната доза е 1 </w:t>
      </w:r>
      <w:r w:rsidRPr="00B466CB">
        <w:rPr>
          <w:rFonts w:eastAsia="Times New Roman" w:cs="Arial"/>
          <w:color w:val="000000"/>
          <w:lang w:val="en-US"/>
        </w:rPr>
        <w:t xml:space="preserve">mg glimepiride </w:t>
      </w:r>
      <w:r w:rsidRPr="00B466CB">
        <w:rPr>
          <w:rFonts w:eastAsia="Times New Roman" w:cs="Arial"/>
          <w:color w:val="000000"/>
          <w:lang w:eastAsia="bg-BG"/>
        </w:rPr>
        <w:t>на ден. Ако се постигне добър контрол, тази доза може да бъде използвана за поддържаща терапия.</w:t>
      </w:r>
    </w:p>
    <w:p w14:paraId="0F12E2C3" w14:textId="77777777" w:rsidR="00B466CB" w:rsidRPr="00B466CB" w:rsidRDefault="00B466CB" w:rsidP="00B466CB">
      <w:pPr>
        <w:spacing w:line="240" w:lineRule="auto"/>
        <w:rPr>
          <w:rFonts w:eastAsia="Times New Roman" w:cs="Arial"/>
          <w:color w:val="000000"/>
          <w:lang w:eastAsia="bg-BG"/>
        </w:rPr>
      </w:pPr>
    </w:p>
    <w:p w14:paraId="1CD1E8D8" w14:textId="3CE3ED4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контролът е незадоволителен, дозата трябва да бъде увеличена на базата на гликемичния контрол, постепенно, в интервал от 1 до 2 седмици между всяко увеличение, до 2,3 или 4 </w:t>
      </w:r>
      <w:r w:rsidRPr="00B466CB">
        <w:rPr>
          <w:rFonts w:eastAsia="Times New Roman" w:cs="Arial"/>
          <w:color w:val="000000"/>
          <w:lang w:val="en-US"/>
        </w:rPr>
        <w:t xml:space="preserve">mg glimepiride </w:t>
      </w:r>
      <w:r w:rsidRPr="00B466CB">
        <w:rPr>
          <w:rFonts w:eastAsia="Times New Roman" w:cs="Arial"/>
          <w:color w:val="000000"/>
          <w:lang w:eastAsia="bg-BG"/>
        </w:rPr>
        <w:t>на ден.</w:t>
      </w:r>
    </w:p>
    <w:p w14:paraId="18F4ACFC" w14:textId="77777777" w:rsidR="00B466CB" w:rsidRPr="00B466CB" w:rsidRDefault="00B466CB" w:rsidP="00B466CB">
      <w:pPr>
        <w:spacing w:line="240" w:lineRule="auto"/>
        <w:rPr>
          <w:rFonts w:eastAsia="Times New Roman" w:cs="Arial"/>
          <w:color w:val="000000"/>
          <w:lang w:eastAsia="bg-BG"/>
        </w:rPr>
      </w:pPr>
    </w:p>
    <w:p w14:paraId="3BDE5FF0" w14:textId="6292132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Доза повече от 4 </w:t>
      </w:r>
      <w:r w:rsidRPr="00B466CB">
        <w:rPr>
          <w:rFonts w:eastAsia="Times New Roman" w:cs="Arial"/>
          <w:color w:val="000000"/>
          <w:lang w:val="en-US"/>
        </w:rPr>
        <w:t xml:space="preserve">mg glimepiride </w:t>
      </w:r>
      <w:r w:rsidRPr="00B466CB">
        <w:rPr>
          <w:rFonts w:eastAsia="Times New Roman" w:cs="Arial"/>
          <w:color w:val="000000"/>
          <w:lang w:eastAsia="bg-BG"/>
        </w:rPr>
        <w:t xml:space="preserve">на ден дава по-добри резултати само в изключителни случаи. Максималната препоръчителна доза е 6 </w:t>
      </w:r>
      <w:r w:rsidRPr="00B466CB">
        <w:rPr>
          <w:rFonts w:eastAsia="Times New Roman" w:cs="Arial"/>
          <w:color w:val="000000"/>
          <w:lang w:val="en-US"/>
        </w:rPr>
        <w:t xml:space="preserve">mg glimepiride </w:t>
      </w:r>
      <w:r w:rsidRPr="00B466CB">
        <w:rPr>
          <w:rFonts w:eastAsia="Times New Roman" w:cs="Arial"/>
          <w:color w:val="000000"/>
          <w:lang w:eastAsia="bg-BG"/>
        </w:rPr>
        <w:t>на ден.</w:t>
      </w:r>
    </w:p>
    <w:p w14:paraId="0CB335DC" w14:textId="77777777" w:rsidR="00B466CB" w:rsidRPr="00B466CB" w:rsidRDefault="00B466CB" w:rsidP="00B466CB">
      <w:pPr>
        <w:spacing w:line="240" w:lineRule="auto"/>
        <w:rPr>
          <w:rFonts w:eastAsia="Times New Roman" w:cs="Arial"/>
          <w:color w:val="000000"/>
          <w:lang w:eastAsia="bg-BG"/>
        </w:rPr>
      </w:pPr>
    </w:p>
    <w:p w14:paraId="5D13603D" w14:textId="7D9D0AC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неадекватно контролирани с максимална дневна доза </w:t>
      </w:r>
      <w:r w:rsidRPr="00B466CB">
        <w:rPr>
          <w:rFonts w:eastAsia="Times New Roman" w:cs="Arial"/>
          <w:color w:val="000000"/>
          <w:lang w:val="en-US"/>
        </w:rPr>
        <w:t xml:space="preserve">metformin, </w:t>
      </w:r>
      <w:r w:rsidRPr="00B466CB">
        <w:rPr>
          <w:rFonts w:eastAsia="Times New Roman" w:cs="Arial"/>
          <w:color w:val="000000"/>
          <w:lang w:eastAsia="bg-BG"/>
        </w:rPr>
        <w:t xml:space="preserve">може да бъде назначена съпътстваща терапия с </w:t>
      </w:r>
      <w:r w:rsidRPr="00B466CB">
        <w:rPr>
          <w:rFonts w:eastAsia="Times New Roman" w:cs="Arial"/>
          <w:color w:val="000000"/>
          <w:lang w:val="en-US"/>
        </w:rPr>
        <w:t xml:space="preserve">glimepiride. </w:t>
      </w:r>
      <w:r w:rsidRPr="00B466CB">
        <w:rPr>
          <w:rFonts w:eastAsia="Times New Roman" w:cs="Arial"/>
          <w:color w:val="000000"/>
          <w:lang w:eastAsia="bg-BG"/>
        </w:rPr>
        <w:t xml:space="preserve">Запазвайки дозата </w:t>
      </w:r>
      <w:r w:rsidRPr="00B466CB">
        <w:rPr>
          <w:rFonts w:eastAsia="Times New Roman" w:cs="Arial"/>
          <w:color w:val="000000"/>
          <w:lang w:val="en-US"/>
        </w:rPr>
        <w:t xml:space="preserve">metformin, </w:t>
      </w:r>
      <w:r w:rsidRPr="00B466CB">
        <w:rPr>
          <w:rFonts w:eastAsia="Times New Roman" w:cs="Arial"/>
          <w:color w:val="000000"/>
          <w:lang w:eastAsia="bg-BG"/>
        </w:rPr>
        <w:t xml:space="preserve">терапията с </w:t>
      </w:r>
      <w:r w:rsidRPr="00B466CB">
        <w:rPr>
          <w:rFonts w:eastAsia="Times New Roman" w:cs="Arial"/>
          <w:color w:val="000000"/>
          <w:lang w:val="en-US"/>
        </w:rPr>
        <w:t xml:space="preserve">glimepiride </w:t>
      </w:r>
      <w:r w:rsidRPr="00B466CB">
        <w:rPr>
          <w:rFonts w:eastAsia="Times New Roman" w:cs="Arial"/>
          <w:color w:val="000000"/>
          <w:lang w:eastAsia="bg-BG"/>
        </w:rPr>
        <w:t>започва с ниска доза, след което се увеличава постепенно в зависимост от желаното ниво на метаболитен контрол, докато се достигне максималната дневна доза. Комбинираната терапия трябва да бъде започната под непосредствено лекарско наблюдение.</w:t>
      </w:r>
    </w:p>
    <w:p w14:paraId="138EDADE" w14:textId="77777777" w:rsidR="00B466CB" w:rsidRPr="00B466CB" w:rsidRDefault="00B466CB" w:rsidP="00B466CB">
      <w:pPr>
        <w:spacing w:line="240" w:lineRule="auto"/>
        <w:rPr>
          <w:rFonts w:eastAsia="Times New Roman" w:cs="Arial"/>
          <w:color w:val="000000"/>
          <w:lang w:eastAsia="bg-BG"/>
        </w:rPr>
      </w:pPr>
    </w:p>
    <w:p w14:paraId="4B5FED22" w14:textId="5225EA0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неадекватно контролирани с максимална дневна доза Неоглим® (1,2, 3, 4 </w:t>
      </w:r>
      <w:r w:rsidRPr="00B466CB">
        <w:rPr>
          <w:rFonts w:eastAsia="Times New Roman" w:cs="Arial"/>
          <w:color w:val="000000"/>
          <w:lang w:val="en-US"/>
        </w:rPr>
        <w:t xml:space="preserve">mg), </w:t>
      </w:r>
      <w:r w:rsidRPr="00B466CB">
        <w:rPr>
          <w:rFonts w:eastAsia="Times New Roman" w:cs="Arial"/>
          <w:color w:val="000000"/>
          <w:lang w:eastAsia="bg-BG"/>
        </w:rPr>
        <w:t xml:space="preserve">ако е необходимо, може да бъде назначена съпътстваща инсулинова терапия. Запазвайки дозата </w:t>
      </w:r>
      <w:r w:rsidRPr="00B466CB">
        <w:rPr>
          <w:rFonts w:eastAsia="Times New Roman" w:cs="Arial"/>
          <w:color w:val="000000"/>
          <w:lang w:val="en-US"/>
        </w:rPr>
        <w:t xml:space="preserve">glimepiride, </w:t>
      </w:r>
      <w:r w:rsidRPr="00B466CB">
        <w:rPr>
          <w:rFonts w:eastAsia="Times New Roman" w:cs="Arial"/>
          <w:color w:val="000000"/>
          <w:lang w:eastAsia="bg-BG"/>
        </w:rPr>
        <w:t>терапията с инсулин започва с ниска доза, след което се увеличава постепенно в зависимост от желаното ниво на метаболитен контрол. Комбинираната терапия трябва да бъде започната под непосредствено лекарско наблюдение.</w:t>
      </w:r>
    </w:p>
    <w:p w14:paraId="4822831B" w14:textId="77777777" w:rsidR="00B466CB" w:rsidRPr="00B466CB" w:rsidRDefault="00B466CB" w:rsidP="00B466CB">
      <w:pPr>
        <w:spacing w:line="240" w:lineRule="auto"/>
        <w:rPr>
          <w:rFonts w:eastAsia="Times New Roman" w:cs="Arial"/>
          <w:color w:val="000000"/>
          <w:lang w:eastAsia="bg-BG"/>
        </w:rPr>
      </w:pPr>
    </w:p>
    <w:p w14:paraId="3A191D8C" w14:textId="6A6F3A75"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Обикновено еднократна дневна доза от </w:t>
      </w:r>
      <w:r w:rsidRPr="00B466CB">
        <w:rPr>
          <w:rFonts w:eastAsia="Times New Roman" w:cs="Arial"/>
          <w:color w:val="000000"/>
          <w:lang w:val="en-US"/>
        </w:rPr>
        <w:t xml:space="preserve">glimepiride </w:t>
      </w:r>
      <w:r w:rsidRPr="00B466CB">
        <w:rPr>
          <w:rFonts w:eastAsia="Times New Roman" w:cs="Arial"/>
          <w:color w:val="000000"/>
          <w:lang w:eastAsia="bg-BG"/>
        </w:rPr>
        <w:t>се оказва достатъчна. Препоръчително е тази доза да бъде приемана малко след обилна закуска или - ако няма такава - малко преди или по време на първото главно ястие.</w:t>
      </w:r>
    </w:p>
    <w:p w14:paraId="4A9E5A6E" w14:textId="77777777" w:rsidR="00B466CB" w:rsidRPr="00B466CB" w:rsidRDefault="00B466CB" w:rsidP="00B466CB">
      <w:pPr>
        <w:spacing w:line="240" w:lineRule="auto"/>
        <w:rPr>
          <w:rFonts w:eastAsia="Times New Roman" w:cs="Arial"/>
          <w:color w:val="000000"/>
          <w:lang w:eastAsia="bg-BG"/>
        </w:rPr>
      </w:pPr>
    </w:p>
    <w:p w14:paraId="708F68C9" w14:textId="6F0C6C2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lastRenderedPageBreak/>
        <w:t>Ако дозата бъде пропусната, това не трябва да се коригира посредством увеличаване на следващата доза.</w:t>
      </w:r>
    </w:p>
    <w:p w14:paraId="72102DF9" w14:textId="77777777" w:rsidR="00B466CB" w:rsidRPr="00B466CB" w:rsidRDefault="00B466CB" w:rsidP="00B466CB">
      <w:pPr>
        <w:spacing w:line="240" w:lineRule="auto"/>
        <w:rPr>
          <w:rFonts w:eastAsia="Times New Roman" w:cs="Arial"/>
          <w:color w:val="000000"/>
          <w:lang w:eastAsia="bg-BG"/>
        </w:rPr>
      </w:pPr>
    </w:p>
    <w:p w14:paraId="48B3DA8F" w14:textId="37FFF96A"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Таблетките трябва да се поглъщат цели, с малко количество течност.</w:t>
      </w:r>
    </w:p>
    <w:p w14:paraId="050063C0" w14:textId="77777777" w:rsidR="00B466CB" w:rsidRPr="00B466CB" w:rsidRDefault="00B466CB" w:rsidP="00B466CB">
      <w:pPr>
        <w:spacing w:line="240" w:lineRule="auto"/>
        <w:rPr>
          <w:rFonts w:eastAsia="Times New Roman" w:cs="Arial"/>
          <w:color w:val="000000"/>
          <w:lang w:eastAsia="bg-BG"/>
        </w:rPr>
      </w:pPr>
    </w:p>
    <w:p w14:paraId="36D47D63" w14:textId="71C09AD2"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при даден пациент се наблюдава хипогликемична реакция при доза 1 </w:t>
      </w:r>
      <w:r w:rsidRPr="00B466CB">
        <w:rPr>
          <w:rFonts w:eastAsia="Times New Roman" w:cs="Arial"/>
          <w:color w:val="000000"/>
          <w:lang w:val="en-US"/>
        </w:rPr>
        <w:t xml:space="preserve">mg glimepiride </w:t>
      </w:r>
      <w:r w:rsidRPr="00B466CB">
        <w:rPr>
          <w:rFonts w:eastAsia="Times New Roman" w:cs="Arial"/>
          <w:color w:val="000000"/>
          <w:lang w:eastAsia="bg-BG"/>
        </w:rPr>
        <w:t>дневно, това е знак, че той може да бъде контролиран единствено посредством диета.</w:t>
      </w:r>
    </w:p>
    <w:p w14:paraId="370AD584" w14:textId="77777777" w:rsidR="00B466CB" w:rsidRPr="00B466CB" w:rsidRDefault="00B466CB" w:rsidP="00B466CB">
      <w:pPr>
        <w:spacing w:line="240" w:lineRule="auto"/>
        <w:rPr>
          <w:rFonts w:eastAsia="Times New Roman" w:cs="Arial"/>
          <w:color w:val="000000"/>
          <w:lang w:eastAsia="bg-BG"/>
        </w:rPr>
      </w:pPr>
    </w:p>
    <w:p w14:paraId="10DB05DA" w14:textId="7AFF8128"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В процеса на лечението, тъй като подобрението в контрола на диабета е свързано с по- висока инсулинова чувствителност, нуждата от </w:t>
      </w:r>
      <w:r w:rsidRPr="00B466CB">
        <w:rPr>
          <w:rFonts w:eastAsia="Times New Roman" w:cs="Arial"/>
          <w:color w:val="000000"/>
          <w:lang w:val="en-US"/>
        </w:rPr>
        <w:t xml:space="preserve">glimepiride </w:t>
      </w:r>
      <w:r w:rsidRPr="00B466CB">
        <w:rPr>
          <w:rFonts w:eastAsia="Times New Roman" w:cs="Arial"/>
          <w:color w:val="000000"/>
          <w:lang w:eastAsia="bg-BG"/>
        </w:rPr>
        <w:t>може да намалее. За да се избегне хипогликемията, трябва да се помисли за своевременно намаление на дозата или спиране на лечението. Промени в дозата могат също да бъдат необходими, ако има такива в теглото или стила на живот на пациента или други фактори, които увеличават риска от хипо- или хипергликемия.</w:t>
      </w:r>
    </w:p>
    <w:p w14:paraId="6E048A8E" w14:textId="77777777" w:rsidR="00B466CB" w:rsidRPr="00B466CB" w:rsidRDefault="00B466CB" w:rsidP="00B466CB">
      <w:pPr>
        <w:rPr>
          <w:rFonts w:eastAsia="Times New Roman" w:cs="Arial"/>
          <w:b/>
          <w:bCs/>
          <w:color w:val="000000"/>
          <w:lang w:eastAsia="bg-BG"/>
        </w:rPr>
      </w:pPr>
    </w:p>
    <w:p w14:paraId="475300EC" w14:textId="35ADF7B4" w:rsidR="0091385D" w:rsidRPr="00B466CB" w:rsidRDefault="00B466CB" w:rsidP="00B466CB">
      <w:pPr>
        <w:rPr>
          <w:rFonts w:cs="Arial"/>
        </w:rPr>
      </w:pPr>
      <w:r w:rsidRPr="00B466CB">
        <w:rPr>
          <w:rFonts w:eastAsia="Times New Roman" w:cs="Arial"/>
          <w:b/>
          <w:bCs/>
          <w:color w:val="000000"/>
          <w:lang w:eastAsia="bg-BG"/>
        </w:rPr>
        <w:t>Преминаване от други орални хипогликемични агенти към Неоглим® (1.</w:t>
      </w:r>
      <w:r w:rsidRPr="00B466CB">
        <w:rPr>
          <w:rFonts w:eastAsia="Times New Roman" w:cs="Arial"/>
          <w:b/>
          <w:bCs/>
          <w:color w:val="000000"/>
          <w:lang w:val="en-US"/>
        </w:rPr>
        <w:t xml:space="preserve"> </w:t>
      </w:r>
      <w:r w:rsidRPr="00B466CB">
        <w:rPr>
          <w:rFonts w:eastAsia="Times New Roman" w:cs="Arial"/>
          <w:b/>
          <w:bCs/>
          <w:color w:val="000000"/>
          <w:lang w:eastAsia="bg-BG"/>
        </w:rPr>
        <w:t>2.</w:t>
      </w:r>
      <w:r w:rsidRPr="00B466CB">
        <w:rPr>
          <w:rFonts w:eastAsia="Times New Roman" w:cs="Arial"/>
          <w:b/>
          <w:bCs/>
          <w:color w:val="000000"/>
          <w:lang w:val="en-US"/>
        </w:rPr>
        <w:t xml:space="preserve"> </w:t>
      </w:r>
      <w:r w:rsidRPr="00B466CB">
        <w:rPr>
          <w:rFonts w:eastAsia="Times New Roman" w:cs="Arial"/>
          <w:b/>
          <w:bCs/>
          <w:color w:val="000000"/>
          <w:lang w:eastAsia="bg-BG"/>
        </w:rPr>
        <w:t>3.</w:t>
      </w:r>
      <w:r w:rsidRPr="00B466CB">
        <w:rPr>
          <w:rFonts w:eastAsia="Times New Roman" w:cs="Arial"/>
          <w:b/>
          <w:bCs/>
          <w:color w:val="000000"/>
          <w:lang w:val="en-US"/>
        </w:rPr>
        <w:t xml:space="preserve"> </w:t>
      </w:r>
      <w:r w:rsidRPr="00B466CB">
        <w:rPr>
          <w:rFonts w:eastAsia="Times New Roman" w:cs="Arial"/>
          <w:b/>
          <w:bCs/>
          <w:color w:val="000000"/>
          <w:lang w:eastAsia="bg-BG"/>
        </w:rPr>
        <w:t xml:space="preserve">4 </w:t>
      </w:r>
      <w:r w:rsidRPr="00B466CB">
        <w:rPr>
          <w:rFonts w:eastAsia="Times New Roman" w:cs="Arial"/>
          <w:b/>
          <w:bCs/>
          <w:color w:val="000000"/>
          <w:lang w:val="en-US"/>
        </w:rPr>
        <w:t>mg):</w:t>
      </w:r>
    </w:p>
    <w:p w14:paraId="6ACAF645" w14:textId="05C95E77" w:rsidR="0091385D" w:rsidRDefault="0091385D" w:rsidP="0091385D"/>
    <w:p w14:paraId="1FE470CE"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 xml:space="preserve">В общия случай това може да бъде направено. За тази цел трябва да бъдат взети предвид силата и плазменият полуживот на предшестващия лекарствен продукт. В някои случаи, специално при антидиабетици с дълъг плазмен полуживот (напр. хлорпропамид), е препоръчителен очистващ период от няколко дни с цел да бъде намален риска от хипогликемични реакции, дължащи се на кумулативния ефект. Препоръчителната начална доза е 1 </w:t>
      </w:r>
      <w:r w:rsidRPr="00B466CB">
        <w:rPr>
          <w:rFonts w:eastAsia="Times New Roman" w:cs="Arial"/>
          <w:color w:val="000000"/>
          <w:lang w:val="en-US"/>
        </w:rPr>
        <w:t xml:space="preserve">mg glimepiride </w:t>
      </w:r>
      <w:r w:rsidRPr="00B466CB">
        <w:rPr>
          <w:rFonts w:eastAsia="Times New Roman" w:cs="Arial"/>
          <w:color w:val="000000"/>
          <w:lang w:eastAsia="bg-BG"/>
        </w:rPr>
        <w:t xml:space="preserve">на ден. В зависимост от отговора дозата </w:t>
      </w:r>
      <w:r w:rsidRPr="00B466CB">
        <w:rPr>
          <w:rFonts w:eastAsia="Times New Roman" w:cs="Arial"/>
          <w:color w:val="000000"/>
          <w:lang w:val="en-US"/>
        </w:rPr>
        <w:t xml:space="preserve">glimepiride </w:t>
      </w:r>
      <w:r w:rsidRPr="00B466CB">
        <w:rPr>
          <w:rFonts w:eastAsia="Times New Roman" w:cs="Arial"/>
          <w:color w:val="000000"/>
          <w:lang w:eastAsia="bg-BG"/>
        </w:rPr>
        <w:t>може да бъде увеличена постепенно, както е описано по-горе.</w:t>
      </w:r>
    </w:p>
    <w:p w14:paraId="19C85E43" w14:textId="77777777" w:rsidR="00B466CB" w:rsidRDefault="00B466CB" w:rsidP="00B466CB">
      <w:pPr>
        <w:spacing w:line="240" w:lineRule="auto"/>
        <w:rPr>
          <w:rFonts w:eastAsia="Times New Roman" w:cs="Arial"/>
          <w:b/>
          <w:bCs/>
          <w:color w:val="000000"/>
          <w:lang w:eastAsia="bg-BG"/>
        </w:rPr>
      </w:pPr>
      <w:bookmarkStart w:id="1" w:name="bookmark0"/>
    </w:p>
    <w:p w14:paraId="36D4F87F"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 xml:space="preserve">Преминаване от инсулин към Неоглим® (1,2,3,4 </w:t>
      </w:r>
      <w:r w:rsidRPr="00B466CB">
        <w:rPr>
          <w:rFonts w:eastAsia="Times New Roman" w:cs="Arial"/>
          <w:b/>
          <w:bCs/>
          <w:color w:val="000000"/>
          <w:lang w:val="en-US"/>
        </w:rPr>
        <w:t>mg):</w:t>
      </w:r>
      <w:bookmarkEnd w:id="1"/>
    </w:p>
    <w:p w14:paraId="234DF6E8" w14:textId="77777777" w:rsidR="00B466CB" w:rsidRDefault="00B466CB" w:rsidP="00B466CB">
      <w:pPr>
        <w:spacing w:line="240" w:lineRule="auto"/>
        <w:rPr>
          <w:rFonts w:eastAsia="Times New Roman" w:cs="Arial"/>
          <w:color w:val="000000"/>
          <w:lang w:eastAsia="bg-BG"/>
        </w:rPr>
      </w:pPr>
    </w:p>
    <w:p w14:paraId="0105E2CC"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 xml:space="preserve">В изключителни случаи, когато пациенти с диабет тип 2 са лекувани с инсулин, може да бъде назначено преминаване към Неоглим® (1, 2, 3, 4 </w:t>
      </w:r>
      <w:r w:rsidRPr="00B466CB">
        <w:rPr>
          <w:rFonts w:eastAsia="Times New Roman" w:cs="Arial"/>
          <w:color w:val="000000"/>
          <w:lang w:val="en-US"/>
        </w:rPr>
        <w:t xml:space="preserve">mg). </w:t>
      </w:r>
      <w:r w:rsidRPr="00B466CB">
        <w:rPr>
          <w:rFonts w:eastAsia="Times New Roman" w:cs="Arial"/>
          <w:color w:val="000000"/>
          <w:lang w:eastAsia="bg-BG"/>
        </w:rPr>
        <w:t>То трябва да бъде предприето под непосредствено лекарско наблюдение.</w:t>
      </w:r>
    </w:p>
    <w:p w14:paraId="59DA6EA5" w14:textId="77777777" w:rsidR="00B466CB" w:rsidRDefault="00B466CB" w:rsidP="00B466CB">
      <w:pPr>
        <w:spacing w:line="240" w:lineRule="auto"/>
        <w:rPr>
          <w:rFonts w:eastAsia="Times New Roman" w:cs="Arial"/>
          <w:b/>
          <w:bCs/>
          <w:color w:val="000000"/>
          <w:lang w:eastAsia="bg-BG"/>
        </w:rPr>
      </w:pPr>
      <w:bookmarkStart w:id="2" w:name="bookmark2"/>
    </w:p>
    <w:p w14:paraId="2BD3952C"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Използване при пациенти с бъбречна или чернодробна недостатъчност:</w:t>
      </w:r>
      <w:bookmarkEnd w:id="2"/>
    </w:p>
    <w:p w14:paraId="6F0E8722" w14:textId="77777777" w:rsidR="00B466CB" w:rsidRDefault="00B466CB" w:rsidP="00B466CB">
      <w:pPr>
        <w:spacing w:line="240" w:lineRule="auto"/>
        <w:rPr>
          <w:rFonts w:eastAsia="Times New Roman" w:cs="Arial"/>
          <w:color w:val="000000"/>
          <w:lang w:eastAsia="bg-BG"/>
        </w:rPr>
      </w:pPr>
    </w:p>
    <w:p w14:paraId="1B630E80"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color w:val="000000"/>
          <w:lang w:eastAsia="bg-BG"/>
        </w:rPr>
        <w:t>Вж. 4.3, Противопоказания.</w:t>
      </w:r>
    </w:p>
    <w:p w14:paraId="423014C0" w14:textId="77777777" w:rsidR="00B466CB" w:rsidRDefault="00B466CB" w:rsidP="00B466CB">
      <w:pPr>
        <w:spacing w:line="240" w:lineRule="auto"/>
        <w:rPr>
          <w:rFonts w:eastAsia="Times New Roman" w:cs="Arial"/>
          <w:b/>
          <w:bCs/>
          <w:color w:val="000000"/>
          <w:lang w:eastAsia="bg-BG"/>
        </w:rPr>
      </w:pPr>
      <w:bookmarkStart w:id="3" w:name="bookmark4"/>
    </w:p>
    <w:p w14:paraId="4998D1D5" w14:textId="77777777" w:rsidR="00B466CB" w:rsidRPr="00B466CB" w:rsidRDefault="00B466CB" w:rsidP="00B466CB">
      <w:pPr>
        <w:spacing w:line="240" w:lineRule="auto"/>
        <w:rPr>
          <w:rFonts w:ascii="Times New Roman" w:eastAsia="Times New Roman" w:hAnsi="Times New Roman" w:cs="Times New Roman"/>
          <w:sz w:val="24"/>
          <w:szCs w:val="24"/>
          <w:lang w:eastAsia="bg-BG"/>
        </w:rPr>
      </w:pPr>
      <w:r w:rsidRPr="00B466CB">
        <w:rPr>
          <w:rFonts w:eastAsia="Times New Roman" w:cs="Arial"/>
          <w:b/>
          <w:bCs/>
          <w:color w:val="000000"/>
          <w:lang w:eastAsia="bg-BG"/>
        </w:rPr>
        <w:t>Употреба в педиатричната популация:</w:t>
      </w:r>
      <w:bookmarkEnd w:id="3"/>
    </w:p>
    <w:p w14:paraId="06B6A82E" w14:textId="77777777" w:rsidR="00B466CB" w:rsidRDefault="00B466CB" w:rsidP="00B466CB">
      <w:pPr>
        <w:rPr>
          <w:rFonts w:eastAsia="Times New Roman" w:cs="Arial"/>
          <w:color w:val="000000"/>
          <w:lang w:eastAsia="bg-BG"/>
        </w:rPr>
      </w:pPr>
    </w:p>
    <w:p w14:paraId="285EB159" w14:textId="77777777" w:rsidR="00B466CB" w:rsidRDefault="00B466CB" w:rsidP="00B466CB">
      <w:r w:rsidRPr="00B466CB">
        <w:rPr>
          <w:rFonts w:eastAsia="Times New Roman" w:cs="Arial"/>
          <w:color w:val="000000"/>
          <w:lang w:eastAsia="bg-BG"/>
        </w:rPr>
        <w:t xml:space="preserve">Няма данни относно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 xml:space="preserve">при деца под 8 години. Липсват достатъчно данни относно безопасност и ефикасност, и поради това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в педиатричната популация не се препоръчва.</w:t>
      </w:r>
    </w:p>
    <w:p w14:paraId="64D37961" w14:textId="53C6657E" w:rsidR="00B466CB" w:rsidRPr="0091385D" w:rsidRDefault="00B466CB" w:rsidP="0091385D"/>
    <w:p w14:paraId="28C984E8" w14:textId="0756AE28" w:rsidR="008134C8" w:rsidRDefault="002C50EE" w:rsidP="004A448E">
      <w:pPr>
        <w:pStyle w:val="Heading2"/>
      </w:pPr>
      <w:r>
        <w:t>4.3. Противопоказания</w:t>
      </w:r>
    </w:p>
    <w:p w14:paraId="2363D607" w14:textId="7D307B85" w:rsidR="0091385D" w:rsidRDefault="0091385D" w:rsidP="0091385D"/>
    <w:p w14:paraId="1008FB8E" w14:textId="16D30520"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 xml:space="preserve">Неоглим® (1,2,3, 4 </w:t>
      </w:r>
      <w:r w:rsidRPr="00B466CB">
        <w:rPr>
          <w:rFonts w:eastAsia="Times New Roman" w:cs="Arial"/>
          <w:color w:val="000000"/>
          <w:lang w:val="en-US"/>
        </w:rPr>
        <w:t xml:space="preserve">mg) </w:t>
      </w:r>
      <w:r w:rsidRPr="00B466CB">
        <w:rPr>
          <w:rFonts w:eastAsia="Times New Roman" w:cs="Arial"/>
          <w:color w:val="000000"/>
          <w:lang w:eastAsia="bg-BG"/>
        </w:rPr>
        <w:t>не трябва да бъде използван в следните случаи:</w:t>
      </w:r>
    </w:p>
    <w:p w14:paraId="38785B1E" w14:textId="77777777" w:rsidR="00B466CB" w:rsidRPr="00B466CB" w:rsidRDefault="00B466CB" w:rsidP="00B466CB">
      <w:pPr>
        <w:spacing w:line="240" w:lineRule="auto"/>
        <w:rPr>
          <w:rFonts w:eastAsia="Times New Roman" w:cs="Arial"/>
          <w:sz w:val="24"/>
          <w:szCs w:val="24"/>
          <w:lang w:eastAsia="bg-BG"/>
        </w:rPr>
      </w:pPr>
    </w:p>
    <w:p w14:paraId="274F2219"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инсулинозависим диабет, </w:t>
      </w:r>
    </w:p>
    <w:p w14:paraId="67C9D9EA"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диабетна кома, </w:t>
      </w:r>
    </w:p>
    <w:p w14:paraId="25296B30" w14:textId="09DFBFB3"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кетоацидоза, </w:t>
      </w:r>
    </w:p>
    <w:p w14:paraId="66939587"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 xml:space="preserve">остри състояния на бъбречна или чернодробна дисфункция, </w:t>
      </w:r>
    </w:p>
    <w:p w14:paraId="2973145D" w14:textId="77777777"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lastRenderedPageBreak/>
        <w:t>свръхчувствителност към глимепирид, други сулфанилурейни или сулфонамидни препарати, или помощните вещества в таблетката.</w:t>
      </w:r>
    </w:p>
    <w:p w14:paraId="7DA3E963" w14:textId="4FA5DF44" w:rsidR="00B466CB" w:rsidRPr="00B466CB" w:rsidRDefault="00B466CB" w:rsidP="00B466CB">
      <w:pPr>
        <w:pStyle w:val="ListParagraph"/>
        <w:numPr>
          <w:ilvl w:val="0"/>
          <w:numId w:val="36"/>
        </w:numPr>
        <w:spacing w:line="240" w:lineRule="auto"/>
        <w:rPr>
          <w:rFonts w:eastAsia="Times New Roman" w:cs="Arial"/>
          <w:sz w:val="24"/>
          <w:szCs w:val="24"/>
          <w:lang w:eastAsia="bg-BG"/>
        </w:rPr>
      </w:pPr>
      <w:r w:rsidRPr="00B466CB">
        <w:rPr>
          <w:rFonts w:eastAsia="Times New Roman" w:cs="Arial"/>
          <w:color w:val="000000"/>
          <w:lang w:eastAsia="bg-BG"/>
        </w:rPr>
        <w:t>Бременност и кърмене</w:t>
      </w:r>
    </w:p>
    <w:p w14:paraId="17437138" w14:textId="77777777" w:rsidR="00B466CB" w:rsidRPr="00B466CB" w:rsidRDefault="00B466CB" w:rsidP="00B466CB">
      <w:pPr>
        <w:rPr>
          <w:rFonts w:eastAsia="Times New Roman" w:cs="Arial"/>
          <w:color w:val="000000"/>
          <w:lang w:eastAsia="bg-BG"/>
        </w:rPr>
      </w:pPr>
    </w:p>
    <w:p w14:paraId="47FF9AF9" w14:textId="7C4C541A" w:rsidR="00B466CB" w:rsidRPr="00B466CB" w:rsidRDefault="00B466CB" w:rsidP="00B466CB">
      <w:pPr>
        <w:rPr>
          <w:rFonts w:cs="Arial"/>
        </w:rPr>
      </w:pPr>
      <w:r w:rsidRPr="00B466CB">
        <w:rPr>
          <w:rFonts w:eastAsia="Times New Roman" w:cs="Arial"/>
          <w:color w:val="000000"/>
          <w:lang w:eastAsia="bg-BG"/>
        </w:rPr>
        <w:t>При състояния на бъбречна или чернодробна дисфункция е наложително преминаване към инсулин.</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09802F98"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Неоглим® (1, 2, 3,4 </w:t>
      </w:r>
      <w:r w:rsidRPr="00B466CB">
        <w:rPr>
          <w:rFonts w:eastAsia="Times New Roman" w:cs="Arial"/>
          <w:color w:val="000000"/>
          <w:lang w:val="en-US"/>
        </w:rPr>
        <w:t xml:space="preserve">mg) </w:t>
      </w:r>
      <w:r w:rsidRPr="00B466CB">
        <w:rPr>
          <w:rFonts w:eastAsia="Times New Roman" w:cs="Arial"/>
          <w:color w:val="000000"/>
          <w:lang w:eastAsia="bg-BG"/>
        </w:rPr>
        <w:t>трябва да бъде приеман малко преди или по време на хранене.</w:t>
      </w:r>
    </w:p>
    <w:p w14:paraId="0B8DF48B" w14:textId="77777777" w:rsidR="00B466CB" w:rsidRPr="00B466CB" w:rsidRDefault="00B466CB" w:rsidP="00B466CB">
      <w:pPr>
        <w:spacing w:line="240" w:lineRule="auto"/>
        <w:rPr>
          <w:rFonts w:eastAsia="Times New Roman" w:cs="Arial"/>
          <w:color w:val="000000"/>
          <w:lang w:eastAsia="bg-BG"/>
        </w:rPr>
      </w:pPr>
    </w:p>
    <w:p w14:paraId="15AE8F59" w14:textId="26420207"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 xml:space="preserve">Когато отделните хранения се приемат нередовно или бъдат прескочени, 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може да доведе до хипогликемия. Възможните симптоми на хипогликемия включват: главоболие, вълчи глад, гадене, повръщане, отпадналост, сънливост, нарушения в съня, безпокойство, агресивност, нарушена концентрация, напрежение и свръх-реактивност, депресия, объркване, говорни и зрителни смущения, афазия, тремор, пареза, сетивни нарушения, виене на свят, безпомощност, загуба на самоконтрол, делириум, церебрални конвулсии, сомнолентност и загуба на съзнание, включително до състояние на кома, учестено дишане и брадикардия.</w:t>
      </w:r>
    </w:p>
    <w:p w14:paraId="4D549751" w14:textId="413DD0EC" w:rsidR="00B466CB" w:rsidRPr="00B466CB" w:rsidRDefault="00B466CB" w:rsidP="00B466CB">
      <w:pPr>
        <w:spacing w:line="240" w:lineRule="auto"/>
        <w:rPr>
          <w:rFonts w:eastAsia="Times New Roman" w:cs="Arial"/>
          <w:color w:val="000000"/>
          <w:lang w:eastAsia="bg-BG"/>
        </w:rPr>
      </w:pPr>
    </w:p>
    <w:p w14:paraId="7905C222"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Допълнително могат да бъдат наблюдавани признаци на адренергична регулация, такива като потене, овлажнена кожа, тревожност, тахикардия, високо кръвно налягане, сърцебиене, ангина пекторис и сърдечни аритмии.</w:t>
      </w:r>
    </w:p>
    <w:p w14:paraId="6CF5909A"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Симптомите на тежка хипогликемична атака почти винаги могат да бъдат бързо овладяни посредством незабавния прием на въглехидрати (захар). В този случай изкуствените подсладители нямат ефект.</w:t>
      </w:r>
    </w:p>
    <w:p w14:paraId="23B966B2"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От лечението с други сулфонилурейни препарати е известно, че независимо от първоначалните успешни мерки, хипогликемията може да се повтори.</w:t>
      </w:r>
    </w:p>
    <w:p w14:paraId="1AA59328"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Тежката или продължителна хипогликемия, която временно се контролира от количество приета захар, изисква незабавно медицинско лечение и понякога хоспитализация.</w:t>
      </w:r>
    </w:p>
    <w:p w14:paraId="67867EE9" w14:textId="77777777" w:rsidR="00B466CB" w:rsidRPr="00B466CB" w:rsidRDefault="00B466CB" w:rsidP="00B466CB">
      <w:pPr>
        <w:spacing w:line="240" w:lineRule="auto"/>
        <w:rPr>
          <w:rFonts w:eastAsia="Times New Roman" w:cs="Arial"/>
          <w:color w:val="000000"/>
          <w:lang w:eastAsia="bg-BG"/>
        </w:rPr>
      </w:pPr>
    </w:p>
    <w:p w14:paraId="5D0B2CDD" w14:textId="00E836AF"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Факторите, благоприятстващи хипогликемията, са:</w:t>
      </w:r>
    </w:p>
    <w:p w14:paraId="4942525B"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нежелание или (по-често при по-възрастни пациент</w:t>
      </w:r>
      <w:r>
        <w:rPr>
          <w:rFonts w:eastAsia="Times New Roman" w:cs="Arial"/>
          <w:color w:val="000000"/>
          <w:lang w:eastAsia="bg-BG"/>
        </w:rPr>
        <w:t xml:space="preserve">и) невъзможност да кооперират, </w:t>
      </w:r>
    </w:p>
    <w:p w14:paraId="3FD7121C"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недохранване, нередовни или пропуснати</w:t>
      </w:r>
      <w:r>
        <w:rPr>
          <w:rFonts w:eastAsia="Times New Roman" w:cs="Arial"/>
          <w:color w:val="000000"/>
          <w:lang w:eastAsia="bg-BG"/>
        </w:rPr>
        <w:t xml:space="preserve"> хранения, периоди на постене, </w:t>
      </w:r>
    </w:p>
    <w:p w14:paraId="1C19C0E3"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Pr>
          <w:rFonts w:eastAsia="Times New Roman" w:cs="Arial"/>
          <w:color w:val="000000"/>
          <w:lang w:eastAsia="bg-BG"/>
        </w:rPr>
        <w:t xml:space="preserve">промени в диетата, </w:t>
      </w:r>
    </w:p>
    <w:p w14:paraId="586B6ECF"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нарушен баланс между физическото напр</w:t>
      </w:r>
      <w:r>
        <w:rPr>
          <w:rFonts w:eastAsia="Times New Roman" w:cs="Arial"/>
          <w:color w:val="000000"/>
          <w:lang w:eastAsia="bg-BG"/>
        </w:rPr>
        <w:t xml:space="preserve">ежение и въглехидратния прием, </w:t>
      </w:r>
    </w:p>
    <w:p w14:paraId="3760960D"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консумация на алкохол, специално в ком</w:t>
      </w:r>
      <w:r>
        <w:rPr>
          <w:rFonts w:eastAsia="Times New Roman" w:cs="Arial"/>
          <w:color w:val="000000"/>
          <w:lang w:eastAsia="bg-BG"/>
        </w:rPr>
        <w:t xml:space="preserve">бинация с пропуснати хранения, </w:t>
      </w:r>
    </w:p>
    <w:p w14:paraId="51C8849D"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Pr>
          <w:rFonts w:eastAsia="Times New Roman" w:cs="Arial"/>
          <w:color w:val="000000"/>
          <w:lang w:eastAsia="bg-BG"/>
        </w:rPr>
        <w:t xml:space="preserve">нарушена бъбречна функция, </w:t>
      </w:r>
    </w:p>
    <w:p w14:paraId="3773717F"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сер</w:t>
      </w:r>
      <w:r>
        <w:rPr>
          <w:rFonts w:eastAsia="Times New Roman" w:cs="Arial"/>
          <w:color w:val="000000"/>
          <w:lang w:eastAsia="bg-BG"/>
        </w:rPr>
        <w:t xml:space="preserve">иозна чернодробна дисфункция, </w:t>
      </w:r>
    </w:p>
    <w:p w14:paraId="302FE334"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 xml:space="preserve">предозиране с Неоглим® (1,2,3,4 </w:t>
      </w:r>
      <w:r>
        <w:rPr>
          <w:rFonts w:eastAsia="Times New Roman" w:cs="Arial"/>
          <w:color w:val="000000"/>
          <w:lang w:val="en-US"/>
        </w:rPr>
        <w:t xml:space="preserve">mg), </w:t>
      </w:r>
    </w:p>
    <w:p w14:paraId="794FB5BC" w14:textId="77777777"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някои некомпенсирани нарушения в ендокринната система, оказващи ефект върху въглехидратния метаболизъм или регулацията на хипогликемията (напр. при някои нарушения на тиреоидната функция и предната хипофиза или адр</w:t>
      </w:r>
      <w:r>
        <w:rPr>
          <w:rFonts w:eastAsia="Times New Roman" w:cs="Arial"/>
          <w:color w:val="000000"/>
          <w:lang w:eastAsia="bg-BG"/>
        </w:rPr>
        <w:t xml:space="preserve">енокортикална недостатъчност), </w:t>
      </w:r>
    </w:p>
    <w:p w14:paraId="10C4F121" w14:textId="40E7024A" w:rsidR="00B466CB" w:rsidRPr="00B466CB" w:rsidRDefault="00B466CB" w:rsidP="00B466CB">
      <w:pPr>
        <w:pStyle w:val="ListParagraph"/>
        <w:numPr>
          <w:ilvl w:val="0"/>
          <w:numId w:val="39"/>
        </w:numPr>
        <w:spacing w:line="240" w:lineRule="auto"/>
        <w:rPr>
          <w:rFonts w:eastAsia="Times New Roman" w:cs="Arial"/>
          <w:sz w:val="24"/>
          <w:szCs w:val="24"/>
          <w:lang w:eastAsia="bg-BG"/>
        </w:rPr>
      </w:pPr>
      <w:r w:rsidRPr="00B466CB">
        <w:rPr>
          <w:rFonts w:eastAsia="Times New Roman" w:cs="Arial"/>
          <w:color w:val="000000"/>
          <w:lang w:eastAsia="bg-BG"/>
        </w:rPr>
        <w:t>едновременно приемане на някои определени лекарства (вж. Взаимодействия с други лекарствени продукти и други форми на взаимодействие).</w:t>
      </w:r>
    </w:p>
    <w:p w14:paraId="2A445C42" w14:textId="77777777" w:rsidR="00B466CB" w:rsidRPr="00B466CB" w:rsidRDefault="00B466CB" w:rsidP="00B466CB">
      <w:pPr>
        <w:spacing w:line="240" w:lineRule="auto"/>
        <w:rPr>
          <w:rFonts w:eastAsia="Times New Roman" w:cs="Arial"/>
          <w:color w:val="000000"/>
          <w:lang w:eastAsia="bg-BG"/>
        </w:rPr>
      </w:pPr>
    </w:p>
    <w:p w14:paraId="6E634678" w14:textId="2DBF985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lastRenderedPageBreak/>
        <w:t xml:space="preserve">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изисква редовно следене на глюкозните нива в кръвта и урината. Допълнително се препоръчва и определяне на пропорцията на гликозилирания хемоглобин.</w:t>
      </w:r>
    </w:p>
    <w:p w14:paraId="71934E5F"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По време на лечението с Неоглим® (1, 2, 3, 4 </w:t>
      </w:r>
      <w:r w:rsidRPr="00B466CB">
        <w:rPr>
          <w:rFonts w:eastAsia="Times New Roman" w:cs="Arial"/>
          <w:color w:val="000000"/>
          <w:lang w:val="en-US"/>
        </w:rPr>
        <w:t xml:space="preserve">mg) </w:t>
      </w:r>
      <w:r w:rsidRPr="00B466CB">
        <w:rPr>
          <w:rFonts w:eastAsia="Times New Roman" w:cs="Arial"/>
          <w:color w:val="000000"/>
          <w:lang w:eastAsia="bg-BG"/>
        </w:rPr>
        <w:t>се изискват редовни чернодробни и хематологични изследвания (по-специално на левкоцитите и тромбоцитите).</w:t>
      </w:r>
    </w:p>
    <w:p w14:paraId="3B327831"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 време на стресови ситуации (напр. катастрофи, тежки операции, инфекции, придружени с треска и т.н.) може да бъде назначено временно преминаване към инсулинова терапия.</w:t>
      </w:r>
    </w:p>
    <w:p w14:paraId="1A39B603" w14:textId="09E84698" w:rsidR="00B466CB" w:rsidRPr="00B466CB" w:rsidRDefault="00B466CB" w:rsidP="00B466CB">
      <w:pPr>
        <w:pStyle w:val="ListParagraph"/>
        <w:numPr>
          <w:ilvl w:val="0"/>
          <w:numId w:val="37"/>
        </w:numPr>
        <w:spacing w:line="240" w:lineRule="auto"/>
        <w:rPr>
          <w:rFonts w:eastAsia="Times New Roman" w:cs="Arial"/>
          <w:sz w:val="24"/>
          <w:szCs w:val="24"/>
          <w:lang w:eastAsia="bg-BG"/>
        </w:rPr>
      </w:pPr>
      <w:r w:rsidRPr="00B466CB">
        <w:rPr>
          <w:rFonts w:eastAsia="Times New Roman" w:cs="Arial"/>
          <w:color w:val="000000"/>
          <w:lang w:eastAsia="bg-BG"/>
        </w:rPr>
        <w:t xml:space="preserve">Няма достатъчен опит, касаещ употребата на Неоглим® (1, 2, 3, 4 </w:t>
      </w:r>
      <w:r w:rsidRPr="00B466CB">
        <w:rPr>
          <w:rFonts w:eastAsia="Times New Roman" w:cs="Arial"/>
          <w:color w:val="000000"/>
          <w:lang w:val="en-US"/>
        </w:rPr>
        <w:t xml:space="preserve">mg) </w:t>
      </w:r>
      <w:r w:rsidRPr="00B466CB">
        <w:rPr>
          <w:rFonts w:eastAsia="Times New Roman" w:cs="Arial"/>
          <w:color w:val="000000"/>
          <w:lang w:eastAsia="bg-BG"/>
        </w:rPr>
        <w:t>при пациенти с тежки нарушения на чернодробната функция или при диализни пациенти. При такива пациенти се преминава към инсулинова терапия.</w:t>
      </w:r>
    </w:p>
    <w:p w14:paraId="1D8B0ECF" w14:textId="77777777" w:rsidR="00B466CB" w:rsidRPr="00B466CB" w:rsidRDefault="00B466CB" w:rsidP="00B466CB">
      <w:pPr>
        <w:spacing w:line="240" w:lineRule="auto"/>
        <w:rPr>
          <w:rFonts w:eastAsia="Times New Roman" w:cs="Arial"/>
          <w:color w:val="000000"/>
          <w:lang w:eastAsia="bg-BG"/>
        </w:rPr>
      </w:pPr>
    </w:p>
    <w:p w14:paraId="33084C22" w14:textId="1B942639"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При пациенти с </w:t>
      </w:r>
      <w:r w:rsidRPr="00B466CB">
        <w:rPr>
          <w:rFonts w:eastAsia="Times New Roman" w:cs="Arial"/>
          <w:color w:val="000000"/>
          <w:lang w:val="en-US"/>
        </w:rPr>
        <w:t>G6PD</w:t>
      </w:r>
      <w:r w:rsidRPr="00B466CB">
        <w:rPr>
          <w:rFonts w:eastAsia="Times New Roman" w:cs="Arial"/>
          <w:color w:val="000000"/>
          <w:lang w:eastAsia="bg-BG"/>
        </w:rPr>
        <w:t xml:space="preserve">-недостатъчност употребата на сулфанилурейни продукти може да доведе до появата на хемолитична анемия. Глимепирид принадлежи към класа на сулфанилурейните лекарствени продукти и поради това когато се прилага при пациенти с </w:t>
      </w:r>
      <w:r w:rsidRPr="00B466CB">
        <w:rPr>
          <w:rFonts w:eastAsia="Times New Roman" w:cs="Arial"/>
          <w:color w:val="000000"/>
          <w:lang w:val="en-US"/>
        </w:rPr>
        <w:t>G6PD</w:t>
      </w:r>
      <w:r w:rsidRPr="00B466CB">
        <w:rPr>
          <w:rFonts w:eastAsia="Times New Roman" w:cs="Arial"/>
          <w:color w:val="000000"/>
          <w:lang w:eastAsia="bg-BG"/>
        </w:rPr>
        <w:t>-недостатъчност се изисква повишено внимание и по възможност обсъждане на алтернативно лечение.</w:t>
      </w:r>
    </w:p>
    <w:p w14:paraId="45B14AF3" w14:textId="77777777" w:rsidR="00B466CB" w:rsidRPr="00B466CB" w:rsidRDefault="00B466CB" w:rsidP="00B466CB">
      <w:pPr>
        <w:spacing w:line="240" w:lineRule="auto"/>
        <w:rPr>
          <w:rFonts w:eastAsia="Times New Roman" w:cs="Arial"/>
          <w:color w:val="000000"/>
          <w:lang w:eastAsia="bg-BG"/>
        </w:rPr>
      </w:pPr>
    </w:p>
    <w:p w14:paraId="7B84C70C" w14:textId="7AC3D43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Неоглим® (1, 2, 3, 4 </w:t>
      </w:r>
      <w:r w:rsidRPr="00B466CB">
        <w:rPr>
          <w:rFonts w:eastAsia="Times New Roman" w:cs="Arial"/>
          <w:color w:val="000000"/>
          <w:lang w:val="en-US"/>
        </w:rPr>
        <w:t xml:space="preserve">mg) </w:t>
      </w:r>
      <w:r w:rsidRPr="00B466CB">
        <w:rPr>
          <w:rFonts w:eastAsia="Times New Roman" w:cs="Arial"/>
          <w:color w:val="000000"/>
          <w:lang w:eastAsia="bg-BG"/>
        </w:rPr>
        <w:t xml:space="preserve">съдържа лактоза. Пациенти с редки наследствени проблеми на галактозна непоносимост, </w:t>
      </w:r>
      <w:r w:rsidRPr="00B466CB">
        <w:rPr>
          <w:rFonts w:eastAsia="Times New Roman" w:cs="Arial"/>
          <w:color w:val="000000"/>
          <w:lang w:val="en-US"/>
        </w:rPr>
        <w:t xml:space="preserve">Lapp </w:t>
      </w:r>
      <w:r w:rsidRPr="00B466CB">
        <w:rPr>
          <w:rFonts w:eastAsia="Times New Roman" w:cs="Arial"/>
          <w:color w:val="000000"/>
          <w:lang w:eastAsia="bg-BG"/>
        </w:rPr>
        <w:t>лактазна недостатъчност или глюкозо-галактозна малабсорбция не трябва да приемат този лекарствен продукт.</w:t>
      </w:r>
    </w:p>
    <w:p w14:paraId="24E3E82F" w14:textId="59C99ABC" w:rsidR="0091385D" w:rsidRPr="0091385D" w:rsidRDefault="0091385D"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5EE29B96"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Ако Неоглим® (1, 2, 3, 4 </w:t>
      </w:r>
      <w:r w:rsidRPr="00B466CB">
        <w:rPr>
          <w:rFonts w:eastAsia="Times New Roman" w:cs="Arial"/>
          <w:color w:val="000000"/>
          <w:lang w:val="en-US"/>
        </w:rPr>
        <w:t xml:space="preserve">mg) </w:t>
      </w:r>
      <w:r w:rsidRPr="00B466CB">
        <w:rPr>
          <w:rFonts w:eastAsia="Times New Roman" w:cs="Arial"/>
          <w:color w:val="000000"/>
          <w:lang w:eastAsia="bg-BG"/>
        </w:rPr>
        <w:t>се приема заедно с някои други медикаменти, може да бъде наблюдавано нежелано засилване или отслабване на хипогликемичния ефект на глимепирида. По тази причина приемът на други медикаменти трябва да става с изричното знание (или по изричното предписание) на лекуващия лекар.</w:t>
      </w:r>
    </w:p>
    <w:p w14:paraId="4E4CC1A0" w14:textId="77777777" w:rsidR="00B466CB" w:rsidRPr="00B466CB" w:rsidRDefault="00B466CB" w:rsidP="00B466CB">
      <w:pPr>
        <w:spacing w:line="240" w:lineRule="auto"/>
        <w:rPr>
          <w:rFonts w:eastAsia="Times New Roman" w:cs="Arial"/>
          <w:color w:val="000000"/>
          <w:lang w:eastAsia="bg-BG"/>
        </w:rPr>
      </w:pPr>
    </w:p>
    <w:p w14:paraId="3677A25C" w14:textId="59312B08"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На базата на събрания досега опит с Неоглим® (1, 2, 3, 4 </w:t>
      </w:r>
      <w:r w:rsidRPr="00B466CB">
        <w:rPr>
          <w:rFonts w:eastAsia="Times New Roman" w:cs="Arial"/>
          <w:color w:val="000000"/>
          <w:lang w:val="en-US"/>
        </w:rPr>
        <w:t xml:space="preserve">mg) </w:t>
      </w:r>
      <w:r w:rsidRPr="00B466CB">
        <w:rPr>
          <w:rFonts w:eastAsia="Times New Roman" w:cs="Arial"/>
          <w:color w:val="000000"/>
          <w:lang w:eastAsia="bg-BG"/>
        </w:rPr>
        <w:t>и с други сулфонилурейни препарати, следните взаимодействия трябва да бъдат споменати.</w:t>
      </w:r>
    </w:p>
    <w:p w14:paraId="11A530EA" w14:textId="77777777" w:rsidR="00B466CB" w:rsidRPr="00B466CB" w:rsidRDefault="00B466CB" w:rsidP="00B466CB">
      <w:pPr>
        <w:rPr>
          <w:rFonts w:eastAsia="Times New Roman" w:cs="Arial"/>
          <w:color w:val="000000"/>
          <w:lang w:eastAsia="bg-BG"/>
        </w:rPr>
      </w:pPr>
    </w:p>
    <w:p w14:paraId="172AE819" w14:textId="71ACEA4B" w:rsidR="0091385D" w:rsidRPr="00B466CB" w:rsidRDefault="00B466CB" w:rsidP="00B466CB">
      <w:pPr>
        <w:rPr>
          <w:rFonts w:cs="Arial"/>
        </w:rPr>
      </w:pPr>
      <w:r w:rsidRPr="00B466CB">
        <w:rPr>
          <w:rFonts w:eastAsia="Times New Roman" w:cs="Arial"/>
          <w:color w:val="000000"/>
          <w:lang w:eastAsia="bg-BG"/>
        </w:rPr>
        <w:t>Потенцииране на глюкозо-намаляващия ефект в кръвта и по този начин в някои случаи поява на хипогликемия, когато се приема някой от следните медикаменти, напр.:</w:t>
      </w:r>
    </w:p>
    <w:p w14:paraId="5B2761C5" w14:textId="0952499E" w:rsidR="0091385D" w:rsidRPr="00B466CB" w:rsidRDefault="0091385D" w:rsidP="0091385D">
      <w:pPr>
        <w:rPr>
          <w:rFonts w:cs="Arial"/>
        </w:rPr>
      </w:pPr>
    </w:p>
    <w:tbl>
      <w:tblPr>
        <w:tblStyle w:val="TableGrid"/>
        <w:tblW w:w="0" w:type="auto"/>
        <w:tblLook w:val="04A0" w:firstRow="1" w:lastRow="0" w:firstColumn="1" w:lastColumn="0" w:noHBand="0" w:noVBand="1"/>
      </w:tblPr>
      <w:tblGrid>
        <w:gridCol w:w="4677"/>
        <w:gridCol w:w="4673"/>
      </w:tblGrid>
      <w:tr w:rsidR="00B466CB" w14:paraId="02D805E7" w14:textId="77777777" w:rsidTr="00B466CB">
        <w:tc>
          <w:tcPr>
            <w:tcW w:w="4750" w:type="dxa"/>
          </w:tcPr>
          <w:p w14:paraId="00D1D736" w14:textId="3A18241E" w:rsidR="00B466CB" w:rsidRPr="00B466CB" w:rsidRDefault="00B466CB" w:rsidP="00B466CB">
            <w:pPr>
              <w:rPr>
                <w:rFonts w:cs="Arial"/>
              </w:rPr>
            </w:pPr>
            <w:r w:rsidRPr="00B466CB">
              <w:t>фенилбутазон, азапропазон и оксифенбутазон</w:t>
            </w:r>
          </w:p>
        </w:tc>
        <w:tc>
          <w:tcPr>
            <w:tcW w:w="4750" w:type="dxa"/>
          </w:tcPr>
          <w:p w14:paraId="0D39F0D0" w14:textId="4B2E6552" w:rsidR="00B466CB" w:rsidRPr="00B466CB" w:rsidRDefault="00B466CB" w:rsidP="00B466CB">
            <w:pPr>
              <w:rPr>
                <w:rFonts w:cs="Arial"/>
              </w:rPr>
            </w:pPr>
            <w:r w:rsidRPr="00B466CB">
              <w:t>сулфинпиразон</w:t>
            </w:r>
          </w:p>
        </w:tc>
      </w:tr>
      <w:tr w:rsidR="00B466CB" w14:paraId="1A3DB348" w14:textId="77777777" w:rsidTr="00B466CB">
        <w:tc>
          <w:tcPr>
            <w:tcW w:w="4750" w:type="dxa"/>
          </w:tcPr>
          <w:p w14:paraId="34671F96" w14:textId="4DF1CD22" w:rsidR="00B466CB" w:rsidRPr="00B466CB" w:rsidRDefault="00B466CB" w:rsidP="00B466CB">
            <w:pPr>
              <w:rPr>
                <w:rFonts w:cs="Arial"/>
              </w:rPr>
            </w:pPr>
            <w:r w:rsidRPr="00B466CB">
              <w:t>инсулин и орални антидиабетични продукти</w:t>
            </w:r>
          </w:p>
        </w:tc>
        <w:tc>
          <w:tcPr>
            <w:tcW w:w="4750" w:type="dxa"/>
          </w:tcPr>
          <w:p w14:paraId="73338336" w14:textId="50578318" w:rsidR="00B466CB" w:rsidRPr="00B466CB" w:rsidRDefault="00B466CB" w:rsidP="00B466CB">
            <w:pPr>
              <w:rPr>
                <w:rFonts w:cs="Arial"/>
              </w:rPr>
            </w:pPr>
            <w:r w:rsidRPr="00B466CB">
              <w:t>метформин</w:t>
            </w:r>
          </w:p>
        </w:tc>
      </w:tr>
      <w:tr w:rsidR="00B466CB" w14:paraId="22B1F89B" w14:textId="77777777" w:rsidTr="00B466CB">
        <w:tc>
          <w:tcPr>
            <w:tcW w:w="4750" w:type="dxa"/>
          </w:tcPr>
          <w:p w14:paraId="4C138861" w14:textId="484CFF38" w:rsidR="00B466CB" w:rsidRPr="00B466CB" w:rsidRDefault="00B466CB" w:rsidP="00B466CB">
            <w:pPr>
              <w:rPr>
                <w:rFonts w:cs="Arial"/>
              </w:rPr>
            </w:pPr>
            <w:r w:rsidRPr="00B466CB">
              <w:t>някои дългодействащи сулфонамиди</w:t>
            </w:r>
          </w:p>
        </w:tc>
        <w:tc>
          <w:tcPr>
            <w:tcW w:w="4750" w:type="dxa"/>
          </w:tcPr>
          <w:p w14:paraId="2463C60F" w14:textId="4CE7D678" w:rsidR="00B466CB" w:rsidRPr="00B466CB" w:rsidRDefault="00B466CB" w:rsidP="00B466CB">
            <w:pPr>
              <w:rPr>
                <w:rFonts w:cs="Arial"/>
              </w:rPr>
            </w:pPr>
            <w:r w:rsidRPr="00B466CB">
              <w:t>тетрациклини</w:t>
            </w:r>
          </w:p>
        </w:tc>
      </w:tr>
      <w:tr w:rsidR="00B466CB" w14:paraId="0CE9C84F" w14:textId="77777777" w:rsidTr="00B466CB">
        <w:tc>
          <w:tcPr>
            <w:tcW w:w="4750" w:type="dxa"/>
          </w:tcPr>
          <w:p w14:paraId="751B8C3D" w14:textId="77777777" w:rsidR="00B466CB" w:rsidRPr="00B466CB" w:rsidRDefault="00B466CB" w:rsidP="00B466CB">
            <w:r w:rsidRPr="00B466CB">
              <w:t>салицилати и</w:t>
            </w:r>
          </w:p>
          <w:p w14:paraId="209B0CE8" w14:textId="3CDFE769" w:rsidR="00B466CB" w:rsidRPr="00B466CB" w:rsidRDefault="00B466CB" w:rsidP="00B466CB">
            <w:pPr>
              <w:rPr>
                <w:rFonts w:cs="Arial"/>
              </w:rPr>
            </w:pPr>
            <w:r w:rsidRPr="00B466CB">
              <w:t>пара-амино-салицилова киселина</w:t>
            </w:r>
          </w:p>
        </w:tc>
        <w:tc>
          <w:tcPr>
            <w:tcW w:w="4750" w:type="dxa"/>
          </w:tcPr>
          <w:p w14:paraId="774AD567" w14:textId="74BD8CAB" w:rsidR="00B466CB" w:rsidRPr="00B466CB" w:rsidRDefault="00B466CB" w:rsidP="00B466CB">
            <w:pPr>
              <w:rPr>
                <w:rFonts w:cs="Arial"/>
              </w:rPr>
            </w:pPr>
            <w:r w:rsidRPr="00B466CB">
              <w:t>МАО-инхибитори</w:t>
            </w:r>
          </w:p>
        </w:tc>
      </w:tr>
      <w:tr w:rsidR="00B466CB" w14:paraId="3AB0C059" w14:textId="77777777" w:rsidTr="00B466CB">
        <w:tc>
          <w:tcPr>
            <w:tcW w:w="4750" w:type="dxa"/>
          </w:tcPr>
          <w:p w14:paraId="7FB623C9" w14:textId="26CA810C" w:rsidR="00B466CB" w:rsidRPr="00B466CB" w:rsidRDefault="00B466CB" w:rsidP="00B466CB">
            <w:pPr>
              <w:rPr>
                <w:rFonts w:cs="Arial"/>
              </w:rPr>
            </w:pPr>
            <w:r w:rsidRPr="00B466CB">
              <w:t>анаболни стероиди и мъжки хормони</w:t>
            </w:r>
          </w:p>
        </w:tc>
        <w:tc>
          <w:tcPr>
            <w:tcW w:w="4750" w:type="dxa"/>
          </w:tcPr>
          <w:p w14:paraId="0987D2DB" w14:textId="41C565D4" w:rsidR="00B466CB" w:rsidRPr="00B466CB" w:rsidRDefault="00B466CB" w:rsidP="00B466CB">
            <w:pPr>
              <w:rPr>
                <w:rFonts w:cs="Arial"/>
              </w:rPr>
            </w:pPr>
            <w:r w:rsidRPr="00B466CB">
              <w:t>хинолонови антибиотици</w:t>
            </w:r>
          </w:p>
        </w:tc>
      </w:tr>
      <w:tr w:rsidR="00B466CB" w14:paraId="275DE709" w14:textId="77777777" w:rsidTr="00B466CB">
        <w:tc>
          <w:tcPr>
            <w:tcW w:w="4750" w:type="dxa"/>
          </w:tcPr>
          <w:p w14:paraId="29CFF74A" w14:textId="4CE03FE5" w:rsidR="00B466CB" w:rsidRPr="00B466CB" w:rsidRDefault="00B466CB" w:rsidP="00B466CB">
            <w:pPr>
              <w:rPr>
                <w:rFonts w:cs="Arial"/>
              </w:rPr>
            </w:pPr>
            <w:r w:rsidRPr="00B466CB">
              <w:t>хлорамфеникол</w:t>
            </w:r>
          </w:p>
        </w:tc>
        <w:tc>
          <w:tcPr>
            <w:tcW w:w="4750" w:type="dxa"/>
          </w:tcPr>
          <w:p w14:paraId="2A4EAD5F" w14:textId="520011C7" w:rsidR="00B466CB" w:rsidRPr="00B466CB" w:rsidRDefault="00B466CB" w:rsidP="00B466CB">
            <w:pPr>
              <w:rPr>
                <w:rFonts w:cs="Arial"/>
              </w:rPr>
            </w:pPr>
            <w:r w:rsidRPr="00B466CB">
              <w:t>пробенецид</w:t>
            </w:r>
          </w:p>
        </w:tc>
      </w:tr>
      <w:tr w:rsidR="00B466CB" w14:paraId="0F1871DB" w14:textId="77777777" w:rsidTr="00B466CB">
        <w:tc>
          <w:tcPr>
            <w:tcW w:w="4750" w:type="dxa"/>
          </w:tcPr>
          <w:p w14:paraId="58750FB9" w14:textId="0E77DDF2" w:rsidR="00B466CB" w:rsidRDefault="00B466CB" w:rsidP="00B466CB">
            <w:pPr>
              <w:rPr>
                <w:rFonts w:cs="Arial"/>
              </w:rPr>
            </w:pPr>
            <w:r>
              <w:t>кумаринови антикоагуланти</w:t>
            </w:r>
          </w:p>
        </w:tc>
        <w:tc>
          <w:tcPr>
            <w:tcW w:w="4750" w:type="dxa"/>
          </w:tcPr>
          <w:p w14:paraId="1DE902AD" w14:textId="278A3DD8" w:rsidR="00B466CB" w:rsidRDefault="00B466CB" w:rsidP="00B466CB">
            <w:pPr>
              <w:rPr>
                <w:rFonts w:cs="Arial"/>
              </w:rPr>
            </w:pPr>
            <w:r>
              <w:t>миконазол</w:t>
            </w:r>
          </w:p>
        </w:tc>
      </w:tr>
      <w:tr w:rsidR="00B466CB" w14:paraId="0A3B36E5" w14:textId="77777777" w:rsidTr="00B466CB">
        <w:tc>
          <w:tcPr>
            <w:tcW w:w="4750" w:type="dxa"/>
          </w:tcPr>
          <w:p w14:paraId="37D48B37" w14:textId="7D735265" w:rsidR="00B466CB" w:rsidRDefault="00B466CB" w:rsidP="00B466CB">
            <w:pPr>
              <w:rPr>
                <w:rFonts w:cs="Arial"/>
              </w:rPr>
            </w:pPr>
            <w:r>
              <w:t>пентоксифилин (във високи дози, парентерално)</w:t>
            </w:r>
          </w:p>
        </w:tc>
        <w:tc>
          <w:tcPr>
            <w:tcW w:w="4750" w:type="dxa"/>
          </w:tcPr>
          <w:p w14:paraId="6FEDA0B5" w14:textId="4C2CDF1B" w:rsidR="00B466CB" w:rsidRDefault="00B466CB" w:rsidP="00B466CB">
            <w:pPr>
              <w:rPr>
                <w:rFonts w:cs="Arial"/>
              </w:rPr>
            </w:pPr>
            <w:r>
              <w:t>фенфлурамин</w:t>
            </w:r>
          </w:p>
        </w:tc>
      </w:tr>
      <w:tr w:rsidR="00B466CB" w14:paraId="53B6CEA2" w14:textId="77777777" w:rsidTr="00B466CB">
        <w:tc>
          <w:tcPr>
            <w:tcW w:w="4750" w:type="dxa"/>
          </w:tcPr>
          <w:p w14:paraId="1CB59B7A" w14:textId="7077F6BB" w:rsidR="00B466CB" w:rsidRDefault="00B466CB" w:rsidP="00B466CB">
            <w:pPr>
              <w:rPr>
                <w:rFonts w:cs="Arial"/>
              </w:rPr>
            </w:pPr>
            <w:r>
              <w:lastRenderedPageBreak/>
              <w:t>фибрата</w:t>
            </w:r>
          </w:p>
        </w:tc>
        <w:tc>
          <w:tcPr>
            <w:tcW w:w="4750" w:type="dxa"/>
          </w:tcPr>
          <w:p w14:paraId="7E1A5834" w14:textId="454161AA" w:rsidR="00B466CB" w:rsidRDefault="00B466CB" w:rsidP="00B466CB">
            <w:pPr>
              <w:rPr>
                <w:rFonts w:cs="Arial"/>
              </w:rPr>
            </w:pPr>
            <w:r>
              <w:t>тритоквалин</w:t>
            </w:r>
          </w:p>
        </w:tc>
      </w:tr>
      <w:tr w:rsidR="00B466CB" w14:paraId="18207430" w14:textId="77777777" w:rsidTr="00B466CB">
        <w:tc>
          <w:tcPr>
            <w:tcW w:w="4750" w:type="dxa"/>
          </w:tcPr>
          <w:p w14:paraId="2721ED8D" w14:textId="784C88CD" w:rsidR="00B466CB" w:rsidRDefault="00B466CB" w:rsidP="00B466CB">
            <w:pPr>
              <w:rPr>
                <w:rFonts w:cs="Arial"/>
              </w:rPr>
            </w:pPr>
            <w:r>
              <w:t>АСЕ инхибитори</w:t>
            </w:r>
          </w:p>
        </w:tc>
        <w:tc>
          <w:tcPr>
            <w:tcW w:w="4750" w:type="dxa"/>
          </w:tcPr>
          <w:p w14:paraId="5BA305C0" w14:textId="2B291CB5" w:rsidR="00B466CB" w:rsidRDefault="00B466CB" w:rsidP="00B466CB">
            <w:pPr>
              <w:rPr>
                <w:rFonts w:cs="Arial"/>
              </w:rPr>
            </w:pPr>
            <w:r>
              <w:t>флуоксетин</w:t>
            </w:r>
          </w:p>
        </w:tc>
      </w:tr>
      <w:tr w:rsidR="00B466CB" w14:paraId="25897049" w14:textId="77777777" w:rsidTr="00B466CB">
        <w:tc>
          <w:tcPr>
            <w:tcW w:w="4750" w:type="dxa"/>
          </w:tcPr>
          <w:p w14:paraId="30161C52" w14:textId="633F0586" w:rsidR="00B466CB" w:rsidRDefault="00B466CB" w:rsidP="00B466CB">
            <w:pPr>
              <w:rPr>
                <w:rFonts w:cs="Arial"/>
              </w:rPr>
            </w:pPr>
            <w:r>
              <w:t>алопуринол</w:t>
            </w:r>
          </w:p>
        </w:tc>
        <w:tc>
          <w:tcPr>
            <w:tcW w:w="4750" w:type="dxa"/>
          </w:tcPr>
          <w:p w14:paraId="5B49492F" w14:textId="03C3C13F" w:rsidR="00B466CB" w:rsidRDefault="00B466CB" w:rsidP="00B466CB">
            <w:pPr>
              <w:rPr>
                <w:rFonts w:cs="Arial"/>
              </w:rPr>
            </w:pPr>
            <w:r>
              <w:t>симпатолитици</w:t>
            </w:r>
          </w:p>
        </w:tc>
      </w:tr>
      <w:tr w:rsidR="00B466CB" w14:paraId="48CFBE68" w14:textId="77777777" w:rsidTr="00B466CB">
        <w:tc>
          <w:tcPr>
            <w:tcW w:w="4750" w:type="dxa"/>
          </w:tcPr>
          <w:p w14:paraId="24A55CB0" w14:textId="07D94004" w:rsidR="00B466CB" w:rsidRDefault="00B466CB" w:rsidP="00B466CB">
            <w:pPr>
              <w:rPr>
                <w:rFonts w:cs="Arial"/>
              </w:rPr>
            </w:pPr>
            <w:r>
              <w:t>цикло-, тро- и ифосфамиди</w:t>
            </w:r>
          </w:p>
        </w:tc>
        <w:tc>
          <w:tcPr>
            <w:tcW w:w="4750" w:type="dxa"/>
          </w:tcPr>
          <w:p w14:paraId="76E1A04E" w14:textId="77777777" w:rsidR="00B466CB" w:rsidRDefault="00B466CB" w:rsidP="00B466CB">
            <w:pPr>
              <w:rPr>
                <w:rFonts w:cs="Arial"/>
              </w:rPr>
            </w:pPr>
          </w:p>
        </w:tc>
      </w:tr>
    </w:tbl>
    <w:p w14:paraId="34DEE640" w14:textId="6633F366" w:rsidR="00B466CB" w:rsidRPr="00B466CB" w:rsidRDefault="00B466CB" w:rsidP="0091385D">
      <w:pPr>
        <w:rPr>
          <w:rFonts w:cs="Arial"/>
        </w:rPr>
      </w:pPr>
    </w:p>
    <w:p w14:paraId="720D7B33" w14:textId="0A3C49FE" w:rsidR="00B466CB" w:rsidRPr="00B466CB" w:rsidRDefault="00B466CB" w:rsidP="0091385D">
      <w:pPr>
        <w:rPr>
          <w:rFonts w:cs="Arial"/>
        </w:rPr>
      </w:pPr>
    </w:p>
    <w:p w14:paraId="2DEE962E" w14:textId="06AFD9C9"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Намаление на глюкозо-намаляващия ефект в кръвта и оттам повишени кръвни нива на глюкозата могат да се появят, когато се приема някой от следните медикаменти, напр.:</w:t>
      </w:r>
    </w:p>
    <w:p w14:paraId="2342B5BC" w14:textId="77777777" w:rsidR="00B466CB" w:rsidRPr="00B466CB" w:rsidRDefault="00B466CB" w:rsidP="00B466CB">
      <w:pPr>
        <w:spacing w:line="240" w:lineRule="auto"/>
        <w:rPr>
          <w:rFonts w:eastAsia="Times New Roman" w:cs="Arial"/>
          <w:sz w:val="24"/>
          <w:szCs w:val="24"/>
          <w:lang w:eastAsia="bg-BG"/>
        </w:rPr>
      </w:pPr>
    </w:p>
    <w:p w14:paraId="65A8F79A"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Pr>
          <w:rFonts w:eastAsia="Times New Roman" w:cs="Arial"/>
          <w:color w:val="000000"/>
          <w:lang w:eastAsia="bg-BG"/>
        </w:rPr>
        <w:t xml:space="preserve">естрогени и прогестагени, </w:t>
      </w:r>
    </w:p>
    <w:p w14:paraId="38E5BE9B"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с</w:t>
      </w:r>
      <w:r>
        <w:rPr>
          <w:rFonts w:eastAsia="Times New Roman" w:cs="Arial"/>
          <w:color w:val="000000"/>
          <w:lang w:eastAsia="bg-BG"/>
        </w:rPr>
        <w:t xml:space="preserve">алуретици, тиазидни диуретици, </w:t>
      </w:r>
    </w:p>
    <w:p w14:paraId="78507CE7"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тирео-стимул</w:t>
      </w:r>
      <w:r>
        <w:rPr>
          <w:rFonts w:eastAsia="Times New Roman" w:cs="Arial"/>
          <w:color w:val="000000"/>
          <w:lang w:eastAsia="bg-BG"/>
        </w:rPr>
        <w:t xml:space="preserve">иращи агенти, глюкокортикоиди, </w:t>
      </w:r>
    </w:p>
    <w:p w14:paraId="007B83AD"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фенотиази</w:t>
      </w:r>
      <w:r>
        <w:rPr>
          <w:rFonts w:eastAsia="Times New Roman" w:cs="Arial"/>
          <w:color w:val="000000"/>
          <w:lang w:eastAsia="bg-BG"/>
        </w:rPr>
        <w:t xml:space="preserve">дни производни, хлорпромазин, </w:t>
      </w:r>
    </w:p>
    <w:p w14:paraId="21B225FA"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а</w:t>
      </w:r>
      <w:r>
        <w:rPr>
          <w:rFonts w:eastAsia="Times New Roman" w:cs="Arial"/>
          <w:color w:val="000000"/>
          <w:lang w:eastAsia="bg-BG"/>
        </w:rPr>
        <w:t xml:space="preserve">дреналин и симпатикомиметици, </w:t>
      </w:r>
    </w:p>
    <w:p w14:paraId="558493F0"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никотинова киселина (ви</w:t>
      </w:r>
      <w:r>
        <w:rPr>
          <w:rFonts w:eastAsia="Times New Roman" w:cs="Arial"/>
          <w:color w:val="000000"/>
          <w:lang w:eastAsia="bg-BG"/>
        </w:rPr>
        <w:t xml:space="preserve">соки дози) и нейни производни, </w:t>
      </w:r>
    </w:p>
    <w:p w14:paraId="71CFC891"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лакса</w:t>
      </w:r>
      <w:r>
        <w:rPr>
          <w:rFonts w:eastAsia="Times New Roman" w:cs="Arial"/>
          <w:color w:val="000000"/>
          <w:lang w:eastAsia="bg-BG"/>
        </w:rPr>
        <w:t xml:space="preserve">тиви (продължителна употреба), </w:t>
      </w:r>
    </w:p>
    <w:p w14:paraId="6FE73CC1"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Pr>
          <w:rFonts w:eastAsia="Times New Roman" w:cs="Arial"/>
          <w:color w:val="000000"/>
          <w:lang w:eastAsia="bg-BG"/>
        </w:rPr>
        <w:t xml:space="preserve">фенитоин, диазоксид, </w:t>
      </w:r>
    </w:p>
    <w:p w14:paraId="5D042F5C" w14:textId="77777777"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глюка</w:t>
      </w:r>
      <w:r>
        <w:rPr>
          <w:rFonts w:eastAsia="Times New Roman" w:cs="Arial"/>
          <w:color w:val="000000"/>
          <w:lang w:eastAsia="bg-BG"/>
        </w:rPr>
        <w:t xml:space="preserve">гон, барбитурати и рифампицин, </w:t>
      </w:r>
    </w:p>
    <w:p w14:paraId="350431FC" w14:textId="62972F73" w:rsidR="00B466CB" w:rsidRPr="00B466CB" w:rsidRDefault="00B466CB" w:rsidP="00B466CB">
      <w:pPr>
        <w:pStyle w:val="ListParagraph"/>
        <w:numPr>
          <w:ilvl w:val="0"/>
          <w:numId w:val="40"/>
        </w:numPr>
        <w:spacing w:line="240" w:lineRule="auto"/>
        <w:rPr>
          <w:rFonts w:eastAsia="Times New Roman" w:cs="Arial"/>
          <w:sz w:val="24"/>
          <w:szCs w:val="24"/>
          <w:lang w:eastAsia="bg-BG"/>
        </w:rPr>
      </w:pPr>
      <w:r w:rsidRPr="00B466CB">
        <w:rPr>
          <w:rFonts w:eastAsia="Times New Roman" w:cs="Arial"/>
          <w:color w:val="000000"/>
          <w:lang w:eastAsia="bg-BG"/>
        </w:rPr>
        <w:t>ацетозоламид.</w:t>
      </w:r>
    </w:p>
    <w:p w14:paraId="05D669D2" w14:textId="77777777" w:rsidR="00B466CB" w:rsidRPr="00B466CB" w:rsidRDefault="00B466CB" w:rsidP="00B466CB">
      <w:pPr>
        <w:spacing w:line="240" w:lineRule="auto"/>
        <w:rPr>
          <w:rFonts w:eastAsia="Times New Roman" w:cs="Arial"/>
          <w:color w:val="000000"/>
          <w:lang w:eastAsia="bg-BG"/>
        </w:rPr>
      </w:pPr>
    </w:p>
    <w:p w14:paraId="7CFE7120" w14:textId="5142AC3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Н2-антагонистите, бета-блокерите, клонидинът и резерпинът могат да доведат или до потенцииране, или до намаление на глюкозо-намаляващия ефект в кръвта.</w:t>
      </w:r>
    </w:p>
    <w:p w14:paraId="3DE2FE7E" w14:textId="77777777" w:rsidR="00B466CB" w:rsidRPr="00B466CB" w:rsidRDefault="00B466CB" w:rsidP="00B466CB">
      <w:pPr>
        <w:spacing w:line="240" w:lineRule="auto"/>
        <w:rPr>
          <w:rFonts w:eastAsia="Times New Roman" w:cs="Arial"/>
          <w:color w:val="000000"/>
          <w:lang w:eastAsia="bg-BG"/>
        </w:rPr>
      </w:pPr>
    </w:p>
    <w:p w14:paraId="4846DDFF" w14:textId="0DA63F9C"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Под влиянието на симпатолитични лекарства като бета-блокерите, клонидина, гуанегидина и резерпина признаците на адренергична регулация на хипогликемията могат да бъдат редуцирани или да изчезнат.</w:t>
      </w:r>
    </w:p>
    <w:p w14:paraId="57CE30FE" w14:textId="77777777" w:rsidR="00B466CB" w:rsidRPr="00B466CB" w:rsidRDefault="00B466CB" w:rsidP="00B466CB">
      <w:pPr>
        <w:rPr>
          <w:rFonts w:eastAsia="Times New Roman" w:cs="Arial"/>
          <w:color w:val="000000"/>
          <w:lang w:eastAsia="bg-BG"/>
        </w:rPr>
      </w:pPr>
    </w:p>
    <w:p w14:paraId="45EF4F7E" w14:textId="3479A0C9" w:rsidR="00B466CB" w:rsidRDefault="00B466CB" w:rsidP="00B466CB">
      <w:pPr>
        <w:rPr>
          <w:rFonts w:eastAsia="Times New Roman" w:cs="Arial"/>
          <w:color w:val="000000"/>
          <w:lang w:eastAsia="bg-BG"/>
        </w:rPr>
      </w:pPr>
      <w:r w:rsidRPr="00B466CB">
        <w:rPr>
          <w:rFonts w:eastAsia="Times New Roman" w:cs="Arial"/>
          <w:color w:val="000000"/>
          <w:lang w:eastAsia="bg-BG"/>
        </w:rPr>
        <w:t>Приемът на алкохол може да потенциира или намали хипогликемичния ефект на глимепирида по непредсказуем начин.</w:t>
      </w:r>
    </w:p>
    <w:p w14:paraId="391A15DD" w14:textId="38C586C4" w:rsidR="00B466CB" w:rsidRDefault="00B466CB" w:rsidP="00B466CB">
      <w:pPr>
        <w:rPr>
          <w:rFonts w:eastAsia="Times New Roman" w:cs="Arial"/>
          <w:color w:val="000000"/>
          <w:lang w:eastAsia="bg-BG"/>
        </w:rPr>
      </w:pPr>
    </w:p>
    <w:p w14:paraId="0CCFF1FC" w14:textId="4B33A802" w:rsidR="00B466CB" w:rsidRPr="00B466CB" w:rsidRDefault="00B466CB" w:rsidP="00B466CB">
      <w:pPr>
        <w:rPr>
          <w:rFonts w:cs="Arial"/>
        </w:rPr>
      </w:pPr>
      <w:r>
        <w:rPr>
          <w:lang w:val="en-US"/>
        </w:rPr>
        <w:t xml:space="preserve">Glimepiride </w:t>
      </w:r>
      <w:r>
        <w:t>може или да потенциира, или да намали ефектите на кумариновите производни.</w:t>
      </w:r>
    </w:p>
    <w:p w14:paraId="336BA5C9" w14:textId="77777777" w:rsidR="00B466CB" w:rsidRPr="0091385D" w:rsidRDefault="00B466CB"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23719DA6" w14:textId="77777777" w:rsidR="00B466CB" w:rsidRPr="008F587E" w:rsidRDefault="00B466CB" w:rsidP="008F587E">
      <w:pPr>
        <w:pStyle w:val="Heading3"/>
        <w:rPr>
          <w:rFonts w:eastAsia="Times New Roman"/>
          <w:u w:val="single"/>
          <w:lang w:eastAsia="bg-BG"/>
        </w:rPr>
      </w:pPr>
      <w:r w:rsidRPr="008F587E">
        <w:rPr>
          <w:rFonts w:eastAsia="Times New Roman"/>
          <w:u w:val="single"/>
          <w:lang w:eastAsia="bg-BG"/>
        </w:rPr>
        <w:t>Бременност:</w:t>
      </w:r>
    </w:p>
    <w:p w14:paraId="74C0A7FE" w14:textId="77777777" w:rsidR="00B466CB" w:rsidRPr="00B466CB" w:rsidRDefault="00B466CB" w:rsidP="00B466CB">
      <w:pPr>
        <w:spacing w:line="240" w:lineRule="auto"/>
        <w:rPr>
          <w:rFonts w:eastAsia="Times New Roman" w:cs="Arial"/>
          <w:color w:val="000000"/>
          <w:lang w:eastAsia="bg-BG"/>
        </w:rPr>
      </w:pPr>
    </w:p>
    <w:p w14:paraId="58B9A4A6" w14:textId="01AC5C68" w:rsidR="00B466CB" w:rsidRPr="00B466CB" w:rsidRDefault="00B466CB" w:rsidP="00B466CB">
      <w:pPr>
        <w:spacing w:line="240" w:lineRule="auto"/>
        <w:rPr>
          <w:rFonts w:eastAsia="Times New Roman" w:cs="Arial"/>
          <w:color w:val="000000"/>
          <w:lang w:eastAsia="bg-BG"/>
        </w:rPr>
      </w:pPr>
      <w:r w:rsidRPr="00B466CB">
        <w:rPr>
          <w:rFonts w:eastAsia="Times New Roman" w:cs="Arial"/>
          <w:color w:val="000000"/>
          <w:lang w:eastAsia="bg-BG"/>
        </w:rPr>
        <w:t>Необичайни нива на кръвната захар по време на бременност са свързани с по-често възникване на вродени аномалии и перинатална смъртност. Ето защо нивата на кръвната захар трябва да бъдат стриктно следени по време на бременността с цел избягване на тератогенен риск.</w:t>
      </w:r>
    </w:p>
    <w:p w14:paraId="5CE0863A" w14:textId="77777777" w:rsidR="00B466CB" w:rsidRPr="00B466CB" w:rsidRDefault="00B466CB" w:rsidP="00B466CB">
      <w:pPr>
        <w:spacing w:line="240" w:lineRule="auto"/>
        <w:rPr>
          <w:rFonts w:eastAsia="Times New Roman" w:cs="Arial"/>
          <w:color w:val="000000"/>
          <w:lang w:eastAsia="bg-BG"/>
        </w:rPr>
      </w:pPr>
    </w:p>
    <w:p w14:paraId="64EE48BF" w14:textId="4C61BEC6"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Няма достатъчно данни за употребата на </w:t>
      </w:r>
      <w:r w:rsidRPr="00B466CB">
        <w:rPr>
          <w:rFonts w:eastAsia="Times New Roman" w:cs="Arial"/>
          <w:color w:val="000000"/>
          <w:lang w:val="en-US"/>
        </w:rPr>
        <w:t xml:space="preserve">glimepiride </w:t>
      </w:r>
      <w:r w:rsidRPr="00B466CB">
        <w:rPr>
          <w:rFonts w:eastAsia="Times New Roman" w:cs="Arial"/>
          <w:color w:val="000000"/>
          <w:lang w:eastAsia="bg-BG"/>
        </w:rPr>
        <w:t>при бременни жени.</w:t>
      </w:r>
    </w:p>
    <w:p w14:paraId="4D6597F0" w14:textId="77777777" w:rsidR="00B466CB" w:rsidRPr="00B466CB" w:rsidRDefault="00B466CB" w:rsidP="00B466CB">
      <w:pPr>
        <w:spacing w:line="240" w:lineRule="auto"/>
        <w:rPr>
          <w:rFonts w:eastAsia="Times New Roman" w:cs="Arial"/>
          <w:color w:val="000000"/>
          <w:lang w:eastAsia="bg-BG"/>
        </w:rPr>
      </w:pPr>
    </w:p>
    <w:p w14:paraId="2469BC6D" w14:textId="2C8A36D0"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 xml:space="preserve">По тези причини Неоглим® (1, 2, 3, 4 </w:t>
      </w:r>
      <w:r w:rsidRPr="00B466CB">
        <w:rPr>
          <w:rFonts w:eastAsia="Times New Roman" w:cs="Arial"/>
          <w:color w:val="000000"/>
          <w:lang w:val="en-US"/>
        </w:rPr>
        <w:t xml:space="preserve">mg) </w:t>
      </w:r>
      <w:r w:rsidRPr="00B466CB">
        <w:rPr>
          <w:rFonts w:eastAsia="Times New Roman" w:cs="Arial"/>
          <w:color w:val="000000"/>
          <w:lang w:eastAsia="bg-BG"/>
        </w:rPr>
        <w:t>е противопоказан по време на бременност. В тази ситуация се изисква употребата на инсулин. Пациентки, които планират забременяване, трябва да информират лекуващия си лекар.</w:t>
      </w:r>
    </w:p>
    <w:p w14:paraId="29089A7A" w14:textId="77777777" w:rsidR="00B466CB" w:rsidRPr="00B466CB" w:rsidRDefault="00B466CB" w:rsidP="00B466CB">
      <w:pPr>
        <w:spacing w:line="240" w:lineRule="auto"/>
        <w:rPr>
          <w:rFonts w:eastAsia="Times New Roman" w:cs="Arial"/>
          <w:i/>
          <w:iCs/>
          <w:color w:val="000000"/>
          <w:lang w:eastAsia="bg-BG"/>
        </w:rPr>
      </w:pPr>
    </w:p>
    <w:p w14:paraId="076E70CD" w14:textId="4D82ABE0" w:rsidR="00B466CB" w:rsidRPr="008F587E" w:rsidRDefault="00B466CB" w:rsidP="008F587E">
      <w:pPr>
        <w:pStyle w:val="Heading3"/>
        <w:rPr>
          <w:rFonts w:eastAsia="Times New Roman"/>
          <w:u w:val="single"/>
          <w:lang w:eastAsia="bg-BG"/>
        </w:rPr>
      </w:pPr>
      <w:r w:rsidRPr="008F587E">
        <w:rPr>
          <w:rFonts w:eastAsia="Times New Roman"/>
          <w:u w:val="single"/>
          <w:lang w:eastAsia="bg-BG"/>
        </w:rPr>
        <w:t>Кърмене:</w:t>
      </w:r>
    </w:p>
    <w:p w14:paraId="074C6F56" w14:textId="77777777" w:rsidR="00B466CB" w:rsidRPr="00B466CB" w:rsidRDefault="00B466CB" w:rsidP="00B466CB">
      <w:pPr>
        <w:rPr>
          <w:rFonts w:eastAsia="Times New Roman" w:cs="Arial"/>
          <w:color w:val="000000"/>
          <w:lang w:eastAsia="bg-BG"/>
        </w:rPr>
      </w:pPr>
    </w:p>
    <w:p w14:paraId="776662C5" w14:textId="4A1AF597" w:rsidR="0091385D" w:rsidRPr="00B466CB" w:rsidRDefault="00B466CB" w:rsidP="00B466CB">
      <w:pPr>
        <w:rPr>
          <w:rFonts w:cs="Arial"/>
        </w:rPr>
      </w:pPr>
      <w:r w:rsidRPr="00B466CB">
        <w:rPr>
          <w:rFonts w:eastAsia="Times New Roman" w:cs="Arial"/>
          <w:color w:val="000000"/>
          <w:lang w:eastAsia="bg-BG"/>
        </w:rPr>
        <w:t xml:space="preserve">Тъй като сулфонилурейните производни като </w:t>
      </w:r>
      <w:r w:rsidRPr="00B466CB">
        <w:rPr>
          <w:rFonts w:eastAsia="Times New Roman" w:cs="Arial"/>
          <w:color w:val="000000"/>
          <w:lang w:val="en-US"/>
        </w:rPr>
        <w:t xml:space="preserve">glimepiride </w:t>
      </w:r>
      <w:r w:rsidRPr="00B466CB">
        <w:rPr>
          <w:rFonts w:eastAsia="Times New Roman" w:cs="Arial"/>
          <w:color w:val="000000"/>
          <w:lang w:eastAsia="bg-BG"/>
        </w:rPr>
        <w:t xml:space="preserve">преминават в кърмата, Неоглим® (1, 2, 3, 4 </w:t>
      </w:r>
      <w:r w:rsidRPr="00B466CB">
        <w:rPr>
          <w:rFonts w:eastAsia="Times New Roman" w:cs="Arial"/>
          <w:color w:val="000000"/>
          <w:lang w:val="en-US"/>
        </w:rPr>
        <w:t xml:space="preserve">mg) </w:t>
      </w:r>
      <w:r w:rsidRPr="00B466CB">
        <w:rPr>
          <w:rFonts w:eastAsia="Times New Roman" w:cs="Arial"/>
          <w:color w:val="000000"/>
          <w:lang w:eastAsia="bg-BG"/>
        </w:rPr>
        <w:t>не трябва да се приема от кърмещи майки поради риск от възникване на хипогликемия при кърмачето.</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1A339904" w14:textId="77777777" w:rsidR="00B466CB" w:rsidRPr="00B466CB" w:rsidRDefault="00B466CB" w:rsidP="00B466CB">
      <w:pPr>
        <w:spacing w:line="240" w:lineRule="auto"/>
        <w:rPr>
          <w:rFonts w:eastAsia="Times New Roman" w:cs="Arial"/>
          <w:sz w:val="24"/>
          <w:szCs w:val="24"/>
          <w:lang w:eastAsia="bg-BG"/>
        </w:rPr>
      </w:pPr>
      <w:r w:rsidRPr="00B466CB">
        <w:rPr>
          <w:rFonts w:eastAsia="Times New Roman" w:cs="Arial"/>
          <w:color w:val="000000"/>
          <w:lang w:eastAsia="bg-BG"/>
        </w:rPr>
        <w:t>Способността на пациента да се концентрира и реагира може да бъде нарушена в резултат на хипогликемия или хипергликемия, или напр. в резултат на нарушено зрение. Това може да представлява риск в ситуации, когато тези способности са от особено важно значение (напр. шофиране или управление на машини).</w:t>
      </w:r>
    </w:p>
    <w:p w14:paraId="2B4135A6" w14:textId="4881F290" w:rsidR="0091385D" w:rsidRPr="008F587E" w:rsidRDefault="00B466CB" w:rsidP="00B466CB">
      <w:pPr>
        <w:rPr>
          <w:rFonts w:cs="Arial"/>
        </w:rPr>
      </w:pPr>
      <w:r w:rsidRPr="008F587E">
        <w:rPr>
          <w:rFonts w:eastAsia="Times New Roman" w:cs="Arial"/>
          <w:color w:val="000000"/>
          <w:lang w:eastAsia="bg-BG"/>
        </w:rPr>
        <w:t>Пациентите трябва да бъдат предупреждавани да вземат предпазни мерки, за да избягват хипогликемията по време на шофиране. Това е особено важно за онези пациенти, при които е намалена или липсва способността за оценка на предупредителните симптоми на хипогликемията или които имат чести такива епизоди. Трябва да се прецени дали въобще е удачно да се шофира или да се управляват машини при тези обстоятелства.</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3F745308"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 xml:space="preserve">На базата на събрания клиничен опит с Неоглим® (1, 2, 3, 4 </w:t>
      </w:r>
      <w:r w:rsidRPr="008F587E">
        <w:rPr>
          <w:rFonts w:eastAsia="Times New Roman" w:cs="Arial"/>
          <w:color w:val="000000"/>
          <w:lang w:val="en-US"/>
        </w:rPr>
        <w:t xml:space="preserve">mg) </w:t>
      </w:r>
      <w:r w:rsidRPr="008F587E">
        <w:rPr>
          <w:rFonts w:eastAsia="Times New Roman" w:cs="Arial"/>
          <w:color w:val="000000"/>
          <w:lang w:eastAsia="bg-BG"/>
        </w:rPr>
        <w:t>и други сулфанилурейни препарати трябва да бъдат споменати следните нежелани лекарствени реакции, изредени по системо-органен клас и в ред на намаляваща честота (много чести</w:t>
      </w:r>
    </w:p>
    <w:p w14:paraId="6CA22F19"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 1/10; чести: ≥ 1/100 до &lt; 1/10; нечести: ≥ 1/1000 до &lt; 1/100; редки: ≥ 1/10000 до &lt; 1/1000; много редки &lt; 1/10000), с неизвестна чесота (от наличните данни не може да бъде направено оценка).</w:t>
      </w:r>
    </w:p>
    <w:p w14:paraId="2F9403A2" w14:textId="77777777" w:rsidR="008F587E" w:rsidRPr="008F587E" w:rsidRDefault="008F587E" w:rsidP="008F587E">
      <w:pPr>
        <w:spacing w:line="240" w:lineRule="auto"/>
        <w:rPr>
          <w:rFonts w:eastAsia="Times New Roman" w:cs="Arial"/>
          <w:b/>
          <w:bCs/>
          <w:color w:val="000000"/>
          <w:lang w:eastAsia="bg-BG"/>
        </w:rPr>
      </w:pPr>
    </w:p>
    <w:p w14:paraId="24F5C014" w14:textId="37FE3DC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имунната система</w:t>
      </w:r>
    </w:p>
    <w:p w14:paraId="585B7846" w14:textId="77777777" w:rsidR="008F587E" w:rsidRPr="008F587E" w:rsidRDefault="008F587E" w:rsidP="008F587E">
      <w:pPr>
        <w:spacing w:line="240" w:lineRule="auto"/>
        <w:rPr>
          <w:rFonts w:eastAsia="Times New Roman" w:cs="Arial"/>
          <w:color w:val="000000"/>
          <w:lang w:eastAsia="bg-BG"/>
        </w:rPr>
      </w:pPr>
    </w:p>
    <w:p w14:paraId="02D68B9F" w14:textId="5C5C349E"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леки реакции на свръхчувствителност, които могат да се развият в сериозни реакции с диспнея, падане на кръвното налягане и понякога анафилактичен, шок; алергичен васкулит.</w:t>
      </w:r>
    </w:p>
    <w:p w14:paraId="5B26C1BE" w14:textId="77777777" w:rsidR="008F587E" w:rsidRPr="008F587E" w:rsidRDefault="008F587E" w:rsidP="008F587E">
      <w:pPr>
        <w:rPr>
          <w:rFonts w:eastAsia="Times New Roman" w:cs="Arial"/>
          <w:color w:val="000000"/>
          <w:lang w:eastAsia="bg-BG"/>
        </w:rPr>
      </w:pPr>
    </w:p>
    <w:p w14:paraId="570508C4" w14:textId="4821FE54" w:rsidR="0091385D" w:rsidRPr="008F587E" w:rsidRDefault="008F587E" w:rsidP="008F587E">
      <w:pPr>
        <w:rPr>
          <w:rFonts w:cs="Arial"/>
        </w:rPr>
      </w:pPr>
      <w:r w:rsidRPr="008F587E">
        <w:rPr>
          <w:rFonts w:eastAsia="Times New Roman" w:cs="Arial"/>
          <w:color w:val="000000"/>
          <w:lang w:eastAsia="bg-BG"/>
        </w:rPr>
        <w:t>Възможна е кръстосана алергия със сулфанилурейни, сулфонамидни и други подобни. лекарствени продукти.</w:t>
      </w:r>
    </w:p>
    <w:p w14:paraId="43E3C48F" w14:textId="62B68245" w:rsidR="0091385D" w:rsidRDefault="0091385D" w:rsidP="0091385D"/>
    <w:p w14:paraId="3B9729C1"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кръвта и лимфната система</w:t>
      </w:r>
    </w:p>
    <w:p w14:paraId="3309EF0A" w14:textId="77777777" w:rsidR="008F587E" w:rsidRPr="008F587E" w:rsidRDefault="008F587E" w:rsidP="008F587E">
      <w:pPr>
        <w:spacing w:line="240" w:lineRule="auto"/>
        <w:rPr>
          <w:rFonts w:eastAsia="Times New Roman" w:cs="Arial"/>
          <w:color w:val="000000"/>
          <w:lang w:eastAsia="bg-BG"/>
        </w:rPr>
      </w:pPr>
    </w:p>
    <w:p w14:paraId="3129AF4D" w14:textId="1B9B61F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Редки:</w:t>
      </w:r>
      <w:r w:rsidRPr="008F587E">
        <w:rPr>
          <w:rFonts w:eastAsia="Times New Roman" w:cs="Arial"/>
          <w:color w:val="000000"/>
          <w:lang w:eastAsia="bg-BG"/>
        </w:rPr>
        <w:tab/>
        <w:t>умерена до тежка тромбоцитопения, левкопения, еритроцитопения,</w:t>
      </w:r>
    </w:p>
    <w:p w14:paraId="2736DCD0" w14:textId="7777777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гранулоцитопения, агранулоцитоза, хемолитична анемия и панцитопения.</w:t>
      </w:r>
    </w:p>
    <w:p w14:paraId="4580E108" w14:textId="77777777" w:rsidR="008F587E" w:rsidRPr="008F587E" w:rsidRDefault="008F587E" w:rsidP="008F587E">
      <w:pPr>
        <w:spacing w:line="240" w:lineRule="auto"/>
        <w:rPr>
          <w:rFonts w:eastAsia="Times New Roman" w:cs="Arial"/>
          <w:color w:val="000000"/>
          <w:lang w:eastAsia="bg-BG"/>
        </w:rPr>
      </w:pPr>
    </w:p>
    <w:p w14:paraId="7EC1E81B" w14:textId="1F240FDA"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В общия случай тези промени са обратими след прекъсване на лечението.</w:t>
      </w:r>
    </w:p>
    <w:p w14:paraId="1C7BF482" w14:textId="77777777" w:rsidR="008F587E" w:rsidRPr="008F587E" w:rsidRDefault="008F587E" w:rsidP="008F587E">
      <w:pPr>
        <w:spacing w:line="240" w:lineRule="auto"/>
        <w:rPr>
          <w:rFonts w:eastAsia="Times New Roman" w:cs="Arial"/>
          <w:b/>
          <w:bCs/>
          <w:color w:val="000000"/>
          <w:lang w:eastAsia="bg-BG"/>
        </w:rPr>
      </w:pPr>
    </w:p>
    <w:p w14:paraId="6FF25E20" w14:textId="7C45CAA4"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метаболизма и храненето</w:t>
      </w:r>
    </w:p>
    <w:p w14:paraId="2D2DE682" w14:textId="77777777" w:rsidR="008F587E" w:rsidRPr="008F587E" w:rsidRDefault="008F587E" w:rsidP="008F587E">
      <w:pPr>
        <w:spacing w:line="240" w:lineRule="auto"/>
        <w:rPr>
          <w:rFonts w:eastAsia="Times New Roman" w:cs="Arial"/>
          <w:color w:val="000000"/>
          <w:lang w:eastAsia="bg-BG"/>
        </w:rPr>
      </w:pPr>
    </w:p>
    <w:p w14:paraId="4011D774" w14:textId="5A5FEDAD"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Редки: хипогликемия.</w:t>
      </w:r>
    </w:p>
    <w:p w14:paraId="3455C21D" w14:textId="77777777" w:rsidR="008F587E" w:rsidRPr="008F587E" w:rsidRDefault="008F587E" w:rsidP="008F587E">
      <w:pPr>
        <w:spacing w:line="240" w:lineRule="auto"/>
        <w:rPr>
          <w:rFonts w:eastAsia="Times New Roman" w:cs="Arial"/>
          <w:color w:val="000000"/>
          <w:lang w:eastAsia="bg-BG"/>
        </w:rPr>
      </w:pPr>
    </w:p>
    <w:p w14:paraId="0783514A" w14:textId="54F0C8D7"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Най-често тези реакции се проявяват внезапно, като могат да бъдат тежки и не винаги лесни за овладяване. Появата на такива реакции зависи, както и при други хипогликемични терапии, от индивидуални фактори, такива като хранителни навици и дозировка (вж. “Специални предупреждения и предпазни мерки при употреба”).</w:t>
      </w:r>
    </w:p>
    <w:p w14:paraId="20F44BF7" w14:textId="77777777" w:rsidR="008F587E" w:rsidRPr="008F587E" w:rsidRDefault="008F587E" w:rsidP="008F587E">
      <w:pPr>
        <w:spacing w:line="240" w:lineRule="auto"/>
        <w:rPr>
          <w:rFonts w:eastAsia="Times New Roman" w:cs="Arial"/>
          <w:b/>
          <w:bCs/>
          <w:color w:val="000000"/>
          <w:lang w:eastAsia="bg-BG"/>
        </w:rPr>
      </w:pPr>
    </w:p>
    <w:p w14:paraId="53D236AF" w14:textId="59049C7D"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очите</w:t>
      </w:r>
    </w:p>
    <w:p w14:paraId="11DD2E7E" w14:textId="77777777" w:rsidR="008F587E" w:rsidRPr="008F587E" w:rsidRDefault="008F587E" w:rsidP="008F587E">
      <w:pPr>
        <w:spacing w:line="240" w:lineRule="auto"/>
        <w:rPr>
          <w:rFonts w:eastAsia="Times New Roman" w:cs="Arial"/>
          <w:color w:val="000000"/>
          <w:lang w:eastAsia="bg-BG"/>
        </w:rPr>
      </w:pPr>
    </w:p>
    <w:p w14:paraId="4288B742" w14:textId="5713136D"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Поради промени в кръвните нива на глюкозата са възможни временни зрителни нарушения, особено в началото на терапията.</w:t>
      </w:r>
    </w:p>
    <w:p w14:paraId="49D6A1B7" w14:textId="77777777" w:rsidR="008F587E" w:rsidRPr="008F587E" w:rsidRDefault="008F587E" w:rsidP="008F587E">
      <w:pPr>
        <w:spacing w:line="240" w:lineRule="auto"/>
        <w:rPr>
          <w:rFonts w:eastAsia="Times New Roman" w:cs="Arial"/>
          <w:b/>
          <w:bCs/>
          <w:color w:val="000000"/>
          <w:lang w:eastAsia="bg-BG"/>
        </w:rPr>
      </w:pPr>
      <w:bookmarkStart w:id="4" w:name="bookmark6"/>
    </w:p>
    <w:p w14:paraId="11EB3718" w14:textId="6D4D4ED8"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Стомашно-чревни нарушения</w:t>
      </w:r>
      <w:bookmarkEnd w:id="4"/>
    </w:p>
    <w:p w14:paraId="7F8E7D52" w14:textId="77777777" w:rsidR="008F587E" w:rsidRPr="008F587E" w:rsidRDefault="008F587E" w:rsidP="008F587E">
      <w:pPr>
        <w:spacing w:line="240" w:lineRule="auto"/>
        <w:rPr>
          <w:rFonts w:eastAsia="Times New Roman" w:cs="Arial"/>
          <w:color w:val="000000"/>
          <w:lang w:eastAsia="bg-BG"/>
        </w:rPr>
      </w:pPr>
    </w:p>
    <w:p w14:paraId="07AD5E93" w14:textId="4A06BD06"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гадене, повръщане и диария, тежест или чувство на запълненост в стомаха, както и стомашни болки, коитоводят до прекъсване на терапията.</w:t>
      </w:r>
    </w:p>
    <w:p w14:paraId="5072CB3E" w14:textId="77777777" w:rsidR="008F587E" w:rsidRPr="008F587E" w:rsidRDefault="008F587E" w:rsidP="008F587E">
      <w:pPr>
        <w:spacing w:line="240" w:lineRule="auto"/>
        <w:rPr>
          <w:rFonts w:eastAsia="Times New Roman" w:cs="Arial"/>
          <w:b/>
          <w:bCs/>
          <w:color w:val="000000"/>
          <w:lang w:eastAsia="bg-BG"/>
        </w:rPr>
      </w:pPr>
      <w:bookmarkStart w:id="5" w:name="bookmark8"/>
    </w:p>
    <w:p w14:paraId="2111F27D" w14:textId="186AB37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Хенато-билиарни нарушения</w:t>
      </w:r>
      <w:bookmarkEnd w:id="5"/>
    </w:p>
    <w:p w14:paraId="1D8375AC" w14:textId="77777777" w:rsidR="008F587E" w:rsidRPr="008F587E" w:rsidRDefault="008F587E" w:rsidP="008F587E">
      <w:pPr>
        <w:spacing w:line="240" w:lineRule="auto"/>
        <w:rPr>
          <w:rFonts w:eastAsia="Times New Roman" w:cs="Arial"/>
          <w:color w:val="000000"/>
          <w:lang w:eastAsia="bg-BG"/>
        </w:rPr>
      </w:pPr>
    </w:p>
    <w:p w14:paraId="48906B05" w14:textId="5EEBF784"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Възможно е покачване нивото на чернодробните ензими.</w:t>
      </w:r>
    </w:p>
    <w:p w14:paraId="67666ED6" w14:textId="5E533962"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Много редки: нарушение на чернодробната функция (напр. холестаза и жълтеница), както и хепатит, който може да прогресира в спиране функциите на черния дроб.</w:t>
      </w:r>
    </w:p>
    <w:p w14:paraId="32600BF0" w14:textId="77777777" w:rsidR="008F587E" w:rsidRPr="008F587E" w:rsidRDefault="008F587E" w:rsidP="008F587E">
      <w:pPr>
        <w:spacing w:line="240" w:lineRule="auto"/>
        <w:rPr>
          <w:rFonts w:eastAsia="Times New Roman" w:cs="Arial"/>
          <w:b/>
          <w:bCs/>
          <w:color w:val="000000"/>
          <w:lang w:eastAsia="bg-BG"/>
        </w:rPr>
      </w:pPr>
      <w:bookmarkStart w:id="6" w:name="bookmark10"/>
    </w:p>
    <w:p w14:paraId="5FB707A5" w14:textId="5085A6E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Нарушения на кожата и подкожната тъкан</w:t>
      </w:r>
      <w:bookmarkEnd w:id="6"/>
    </w:p>
    <w:p w14:paraId="616C3B59" w14:textId="77777777" w:rsidR="008F587E" w:rsidRPr="008F587E" w:rsidRDefault="008F587E" w:rsidP="008F587E">
      <w:pPr>
        <w:spacing w:line="240" w:lineRule="auto"/>
        <w:rPr>
          <w:rFonts w:eastAsia="Times New Roman" w:cs="Arial"/>
          <w:color w:val="000000"/>
          <w:lang w:eastAsia="bg-BG"/>
        </w:rPr>
      </w:pPr>
    </w:p>
    <w:p w14:paraId="0BAD211B" w14:textId="29B6B5E1"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С неизвестна честота реакции на свръхчувствителност, като дразнене, обрив и уртикария.</w:t>
      </w:r>
    </w:p>
    <w:p w14:paraId="44006CF9" w14:textId="77777777" w:rsidR="008F587E" w:rsidRPr="008F587E" w:rsidRDefault="008F587E" w:rsidP="008F587E">
      <w:pPr>
        <w:spacing w:line="240" w:lineRule="auto"/>
        <w:rPr>
          <w:rFonts w:eastAsia="Times New Roman" w:cs="Arial"/>
          <w:color w:val="000000"/>
          <w:lang w:eastAsia="bg-BG"/>
        </w:rPr>
      </w:pPr>
    </w:p>
    <w:p w14:paraId="0BDBCC53" w14:textId="102DB188" w:rsidR="008F587E" w:rsidRPr="008F587E" w:rsidRDefault="008F587E" w:rsidP="008F587E">
      <w:pPr>
        <w:spacing w:line="240" w:lineRule="auto"/>
        <w:rPr>
          <w:rFonts w:eastAsia="Times New Roman" w:cs="Arial"/>
          <w:sz w:val="24"/>
          <w:szCs w:val="24"/>
          <w:lang w:eastAsia="bg-BG"/>
        </w:rPr>
      </w:pPr>
      <w:r w:rsidRPr="008F587E">
        <w:rPr>
          <w:rFonts w:eastAsia="Times New Roman" w:cs="Arial"/>
          <w:color w:val="000000"/>
          <w:lang w:eastAsia="bg-BG"/>
        </w:rPr>
        <w:t>В редки случаи може да се наблюдава свръхчувствителност към светлина.</w:t>
      </w:r>
    </w:p>
    <w:p w14:paraId="34B87923" w14:textId="77777777" w:rsidR="008F587E" w:rsidRPr="008F587E" w:rsidRDefault="008F587E" w:rsidP="008F587E">
      <w:pPr>
        <w:spacing w:line="240" w:lineRule="auto"/>
        <w:rPr>
          <w:rFonts w:eastAsia="Times New Roman" w:cs="Arial"/>
          <w:b/>
          <w:bCs/>
          <w:color w:val="000000"/>
          <w:lang w:eastAsia="bg-BG"/>
        </w:rPr>
      </w:pPr>
      <w:bookmarkStart w:id="7" w:name="bookmark12"/>
    </w:p>
    <w:p w14:paraId="0A3A3285" w14:textId="5F6159A2" w:rsidR="008F587E" w:rsidRPr="008F587E" w:rsidRDefault="008F587E" w:rsidP="008F587E">
      <w:pPr>
        <w:spacing w:line="240" w:lineRule="auto"/>
        <w:rPr>
          <w:rFonts w:eastAsia="Times New Roman" w:cs="Arial"/>
          <w:sz w:val="24"/>
          <w:szCs w:val="24"/>
          <w:lang w:eastAsia="bg-BG"/>
        </w:rPr>
      </w:pPr>
      <w:r w:rsidRPr="008F587E">
        <w:rPr>
          <w:rFonts w:eastAsia="Times New Roman" w:cs="Arial"/>
          <w:b/>
          <w:bCs/>
          <w:color w:val="000000"/>
          <w:lang w:eastAsia="bg-BG"/>
        </w:rPr>
        <w:t>Изследвания</w:t>
      </w:r>
      <w:bookmarkEnd w:id="7"/>
    </w:p>
    <w:p w14:paraId="7E42A8D0" w14:textId="77777777" w:rsidR="008F587E" w:rsidRPr="008F587E" w:rsidRDefault="008F587E" w:rsidP="008F587E">
      <w:pPr>
        <w:rPr>
          <w:rFonts w:eastAsia="Times New Roman" w:cs="Arial"/>
          <w:color w:val="000000"/>
          <w:lang w:eastAsia="bg-BG"/>
        </w:rPr>
      </w:pPr>
    </w:p>
    <w:p w14:paraId="0EB08BF4" w14:textId="240C1307" w:rsidR="008F587E" w:rsidRPr="008F587E" w:rsidRDefault="008F587E" w:rsidP="008F587E">
      <w:pPr>
        <w:rPr>
          <w:rFonts w:cs="Arial"/>
        </w:rPr>
      </w:pPr>
      <w:r w:rsidRPr="008F587E">
        <w:rPr>
          <w:rFonts w:eastAsia="Times New Roman" w:cs="Arial"/>
          <w:color w:val="000000"/>
          <w:lang w:eastAsia="bg-BG"/>
        </w:rPr>
        <w:t>В редки случаи може да се наблюдава намаляване на натриевите серумни концентрации.</w:t>
      </w:r>
    </w:p>
    <w:p w14:paraId="5FAA2ED0" w14:textId="77777777" w:rsidR="008F587E" w:rsidRPr="0091385D" w:rsidRDefault="008F587E" w:rsidP="0091385D"/>
    <w:p w14:paraId="0A023CE0" w14:textId="24FAD394" w:rsidR="00CF77F7" w:rsidRDefault="002C50EE" w:rsidP="004A448E">
      <w:pPr>
        <w:pStyle w:val="Heading2"/>
      </w:pPr>
      <w:r>
        <w:t>4.9. Предозиране</w:t>
      </w:r>
    </w:p>
    <w:p w14:paraId="45938F36" w14:textId="77777777" w:rsidR="007D6885" w:rsidRPr="007D6885" w:rsidRDefault="007D6885" w:rsidP="007D6885"/>
    <w:p w14:paraId="4F986EE7"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При предозиране може да се наблюдава хипогликемия, която трае от 12 до 72 часа, и е възможно да се повтори след първоначално подобрение. Симптомите могат и да не се появят до 24 часа след приема. В общия случай се препоръчва болнично наблюдение. Могат да се появят гадене, повръщане и болки в епигастриума. Обикновено хипогликемията се съпровожда от неврологични симптоми, като безпокойство, тремор зрителни нарушения, проблеми с координацията, сънливост, кома и гърчове.</w:t>
      </w:r>
    </w:p>
    <w:p w14:paraId="25E37926" w14:textId="77777777" w:rsidR="007D6885" w:rsidRPr="007D6885" w:rsidRDefault="007D6885" w:rsidP="007D6885">
      <w:pPr>
        <w:spacing w:line="240" w:lineRule="auto"/>
        <w:rPr>
          <w:rFonts w:eastAsia="Times New Roman" w:cs="Arial"/>
          <w:sz w:val="24"/>
          <w:szCs w:val="24"/>
          <w:lang w:eastAsia="bg-BG"/>
        </w:rPr>
      </w:pPr>
    </w:p>
    <w:p w14:paraId="4041381C" w14:textId="2D4598CE" w:rsidR="007D6885" w:rsidRPr="007D6885" w:rsidRDefault="007D6885" w:rsidP="007D6885">
      <w:pPr>
        <w:rPr>
          <w:rFonts w:cs="Arial"/>
        </w:rPr>
      </w:pPr>
      <w:r w:rsidRPr="007D6885">
        <w:rPr>
          <w:rFonts w:eastAsia="Times New Roman" w:cs="Arial"/>
          <w:color w:val="000000"/>
          <w:lang w:eastAsia="bg-BG"/>
        </w:rPr>
        <w:t>Лечението се състои главно от предотвратяване на абсорбцията посредством предизвикване на повръщане и последващ прием на вода или лимонада с активен</w:t>
      </w:r>
      <w:r>
        <w:rPr>
          <w:rFonts w:cs="Arial"/>
          <w:lang w:val="en-US"/>
        </w:rPr>
        <w:t xml:space="preserve"> </w:t>
      </w:r>
      <w:r w:rsidRPr="007D6885">
        <w:rPr>
          <w:rFonts w:eastAsia="Times New Roman" w:cs="Arial"/>
          <w:color w:val="000000"/>
          <w:lang w:eastAsia="bg-BG"/>
        </w:rPr>
        <w:t xml:space="preserve">въглен (адсорбент), както и натриев сулфат (лаксатив). Ако са приети големи количества от медикамента, се налага стомашна промивка, последвана от поемане на активен въглен и натриев сулфат. В случай на тежко предозиране се налага хоспитализация в интензивно отделение. Незабавно трябва да се назначи глюкоза, ако е необходимо под формата на интравенозна инжекция 50 </w:t>
      </w:r>
      <w:r w:rsidRPr="007D6885">
        <w:rPr>
          <w:rFonts w:eastAsia="Times New Roman" w:cs="Arial"/>
          <w:color w:val="000000"/>
          <w:lang w:val="en-US"/>
        </w:rPr>
        <w:t xml:space="preserve">ml </w:t>
      </w:r>
      <w:r w:rsidRPr="007D6885">
        <w:rPr>
          <w:rFonts w:eastAsia="Times New Roman" w:cs="Arial"/>
          <w:color w:val="000000"/>
          <w:lang w:eastAsia="bg-BG"/>
        </w:rPr>
        <w:t xml:space="preserve">50%-ен разтвор, последвана от инфузия на 10%-ен разтвор </w:t>
      </w:r>
      <w:r w:rsidRPr="007D6885">
        <w:rPr>
          <w:rFonts w:eastAsia="Times New Roman" w:cs="Arial"/>
          <w:color w:val="000000"/>
          <w:lang w:eastAsia="bg-BG"/>
        </w:rPr>
        <w:lastRenderedPageBreak/>
        <w:t>при стриктно следене нивото на глюкозата в кръвта. По</w:t>
      </w:r>
      <w:r w:rsidRPr="007D6885">
        <w:rPr>
          <w:rFonts w:eastAsia="Times New Roman" w:cs="Arial"/>
          <w:color w:val="000000"/>
          <w:lang w:eastAsia="bg-BG"/>
        </w:rPr>
        <w:softHyphen/>
        <w:t>нататъшното лечение трябва да бъде симптоматично.</w:t>
      </w:r>
    </w:p>
    <w:p w14:paraId="62ADFC38" w14:textId="77777777" w:rsidR="007D6885" w:rsidRPr="007D6885" w:rsidRDefault="007D6885" w:rsidP="007D6885">
      <w:pPr>
        <w:rPr>
          <w:rFonts w:eastAsia="Times New Roman" w:cs="Arial"/>
          <w:color w:val="000000"/>
          <w:lang w:eastAsia="bg-BG"/>
        </w:rPr>
      </w:pPr>
    </w:p>
    <w:p w14:paraId="4448ECB4" w14:textId="5BA1A118" w:rsidR="007D6885" w:rsidRPr="007D6885" w:rsidRDefault="007D6885" w:rsidP="007D6885">
      <w:pPr>
        <w:rPr>
          <w:rFonts w:cs="Arial"/>
        </w:rPr>
      </w:pPr>
      <w:r w:rsidRPr="007D6885">
        <w:rPr>
          <w:rFonts w:eastAsia="Times New Roman" w:cs="Arial"/>
          <w:color w:val="000000"/>
          <w:lang w:eastAsia="bg-BG"/>
        </w:rPr>
        <w:t xml:space="preserve">В отделни случаи, когато се третира хипогликемия, получена поради случаен прием на Неоглим® (1, 2, 3, 4 </w:t>
      </w:r>
      <w:r w:rsidRPr="007D6885">
        <w:rPr>
          <w:rFonts w:eastAsia="Times New Roman" w:cs="Arial"/>
          <w:color w:val="000000"/>
          <w:lang w:val="en-US"/>
        </w:rPr>
        <w:t xml:space="preserve">mg) </w:t>
      </w:r>
      <w:r w:rsidRPr="007D6885">
        <w:rPr>
          <w:rFonts w:eastAsia="Times New Roman" w:cs="Arial"/>
          <w:color w:val="000000"/>
          <w:lang w:eastAsia="bg-BG"/>
        </w:rPr>
        <w:t>от малки деца, дозата на назначената глюкоза трябва да бъде внимателно контролирана, за да бъде избегната възможността от предизвикването на опасна хипергликемия. Кръвните нива на глюкозата трябва да бъдат стриктно проследявани.</w:t>
      </w:r>
    </w:p>
    <w:p w14:paraId="67C74E57" w14:textId="77777777" w:rsidR="007D6885" w:rsidRPr="0091385D" w:rsidRDefault="007D6885"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5066A44B"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Фармакотерапевтична група: Перорални глюкозо-намаляващи лекарства: Сулфонамиди, производни на уреята. АТС код: А10ВВ12.</w:t>
      </w:r>
    </w:p>
    <w:p w14:paraId="11E05CF4" w14:textId="77777777" w:rsidR="007D6885" w:rsidRPr="007D6885" w:rsidRDefault="007D6885" w:rsidP="007D6885">
      <w:pPr>
        <w:spacing w:line="240" w:lineRule="auto"/>
        <w:rPr>
          <w:rFonts w:eastAsia="Times New Roman" w:cs="Arial"/>
          <w:color w:val="000000"/>
          <w:lang w:val="en-US"/>
        </w:rPr>
      </w:pPr>
    </w:p>
    <w:p w14:paraId="0CB99F7A" w14:textId="0279B34E"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 xml:space="preserve">е перорално активно хипогликемично вещество, принадлежащо към групата на сулфанилуреята. Може да бъде използвано за лечение на не- инсулинозависим </w:t>
      </w:r>
      <w:r w:rsidRPr="007D6885">
        <w:rPr>
          <w:rFonts w:eastAsia="Times New Roman" w:cs="Arial"/>
          <w:color w:val="000000"/>
          <w:lang w:val="en-US"/>
        </w:rPr>
        <w:t>diabetes mellitus.</w:t>
      </w:r>
    </w:p>
    <w:p w14:paraId="1E318B6B" w14:textId="77777777" w:rsidR="007D6885" w:rsidRPr="007D6885" w:rsidRDefault="007D6885" w:rsidP="007D6885">
      <w:pPr>
        <w:spacing w:line="240" w:lineRule="auto"/>
        <w:rPr>
          <w:rFonts w:eastAsia="Times New Roman" w:cs="Arial"/>
          <w:color w:val="000000"/>
          <w:lang w:val="en-US"/>
        </w:rPr>
      </w:pPr>
    </w:p>
    <w:p w14:paraId="4827B0B6" w14:textId="675AB72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действа главно чрез стимулиране на инсулиновото освобождаване от бета- клетките на панкреаса.</w:t>
      </w:r>
    </w:p>
    <w:p w14:paraId="39BA8BAE" w14:textId="77777777" w:rsidR="007D6885" w:rsidRPr="007D6885" w:rsidRDefault="007D6885" w:rsidP="007D6885">
      <w:pPr>
        <w:spacing w:line="240" w:lineRule="auto"/>
        <w:rPr>
          <w:rFonts w:eastAsia="Times New Roman" w:cs="Arial"/>
          <w:color w:val="000000"/>
          <w:lang w:eastAsia="bg-BG"/>
        </w:rPr>
      </w:pPr>
    </w:p>
    <w:p w14:paraId="35B30218" w14:textId="6DBE5472"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Както и при други сулфанилурейни производни, този ефект се базира на увеличената способност за отговор на бета-клетките към физиологичния глюкозен стимул.</w:t>
      </w:r>
    </w:p>
    <w:p w14:paraId="007CC024" w14:textId="77777777" w:rsidR="007D6885" w:rsidRPr="007D6885" w:rsidRDefault="007D6885" w:rsidP="007D6885">
      <w:pPr>
        <w:spacing w:line="240" w:lineRule="auto"/>
        <w:rPr>
          <w:rFonts w:eastAsia="Times New Roman" w:cs="Arial"/>
          <w:b/>
          <w:bCs/>
          <w:color w:val="000000"/>
          <w:u w:val="single"/>
          <w:lang w:eastAsia="bg-BG"/>
        </w:rPr>
      </w:pPr>
    </w:p>
    <w:p w14:paraId="2F64339A" w14:textId="448D6C33"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Инсулиново освобождаване:</w:t>
      </w:r>
    </w:p>
    <w:p w14:paraId="5AAA2042" w14:textId="77777777" w:rsidR="007D6885" w:rsidRPr="007D6885" w:rsidRDefault="007D6885" w:rsidP="007D6885">
      <w:pPr>
        <w:spacing w:line="240" w:lineRule="auto"/>
        <w:rPr>
          <w:rFonts w:eastAsia="Times New Roman" w:cs="Arial"/>
          <w:color w:val="000000"/>
          <w:lang w:eastAsia="bg-BG"/>
        </w:rPr>
      </w:pPr>
    </w:p>
    <w:p w14:paraId="321C6F77" w14:textId="4CE3CFDD"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Сулфанилурейните препарати регулират инсулиновата секреция посредством затваряне на АТФ-чувствителните калиеви канали в мемраната на бета-клетките. Това от своя страна предизвиква деполяризация на бета-клетките, в резултат на което - чрез отваряне на калциевите канали - се стига до увеличен инфлукс на калций в клетката.</w:t>
      </w:r>
    </w:p>
    <w:p w14:paraId="7FFCDB10" w14:textId="77777777" w:rsidR="007D6885" w:rsidRPr="007D6885" w:rsidRDefault="007D6885" w:rsidP="007D6885">
      <w:pPr>
        <w:spacing w:line="240" w:lineRule="auto"/>
        <w:rPr>
          <w:rFonts w:eastAsia="Times New Roman" w:cs="Arial"/>
          <w:color w:val="000000"/>
          <w:lang w:eastAsia="bg-BG"/>
        </w:rPr>
      </w:pPr>
    </w:p>
    <w:p w14:paraId="07ECFDE1" w14:textId="4BA47A83"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Това води до инсулиново освобождаване посредством екзоцитоза.</w:t>
      </w:r>
    </w:p>
    <w:p w14:paraId="481D5657" w14:textId="77777777" w:rsidR="007D6885" w:rsidRPr="007D6885" w:rsidRDefault="007D6885" w:rsidP="007D6885">
      <w:pPr>
        <w:spacing w:line="240" w:lineRule="auto"/>
        <w:rPr>
          <w:rFonts w:eastAsia="Times New Roman" w:cs="Arial"/>
          <w:color w:val="000000"/>
          <w:lang w:val="en-US"/>
        </w:rPr>
      </w:pPr>
    </w:p>
    <w:p w14:paraId="29D44574" w14:textId="226CEF1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се свързва високообменно с мембранния протеин на бета-клетката, асоцииран с АТФ-чувствителния калиев канал, като трябва да се има предвид, че това място на свързване е различно от обичайното такова.</w:t>
      </w:r>
    </w:p>
    <w:p w14:paraId="3F7864A9" w14:textId="77777777" w:rsidR="007D6885" w:rsidRPr="007D6885" w:rsidRDefault="007D6885" w:rsidP="007D6885">
      <w:pPr>
        <w:spacing w:line="240" w:lineRule="auto"/>
        <w:rPr>
          <w:rFonts w:eastAsia="Times New Roman" w:cs="Arial"/>
          <w:b/>
          <w:bCs/>
          <w:color w:val="000000"/>
          <w:u w:val="single"/>
          <w:lang w:eastAsia="bg-BG"/>
        </w:rPr>
      </w:pPr>
    </w:p>
    <w:p w14:paraId="4F794D21" w14:textId="288633A7"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Екстрапанкреатична активност:</w:t>
      </w:r>
    </w:p>
    <w:p w14:paraId="75531419" w14:textId="77777777" w:rsidR="007D6885" w:rsidRPr="007D6885" w:rsidRDefault="007D6885" w:rsidP="007D6885">
      <w:pPr>
        <w:spacing w:line="240" w:lineRule="auto"/>
        <w:rPr>
          <w:rFonts w:eastAsia="Times New Roman" w:cs="Arial"/>
          <w:color w:val="000000"/>
          <w:lang w:eastAsia="bg-BG"/>
        </w:rPr>
      </w:pPr>
    </w:p>
    <w:p w14:paraId="7B90CA98" w14:textId="08BA7CD1"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Екстрапанкреатични ефекти са например подобрението на чувствителността на периферната тъкан към инсулин и намаляването на инсулиновия ъптейк от черния Дроб.</w:t>
      </w:r>
    </w:p>
    <w:p w14:paraId="7CB920BA" w14:textId="77777777" w:rsidR="007D6885" w:rsidRPr="007D6885" w:rsidRDefault="007D6885" w:rsidP="007D6885">
      <w:pPr>
        <w:spacing w:line="240" w:lineRule="auto"/>
        <w:rPr>
          <w:rFonts w:eastAsia="Times New Roman" w:cs="Arial"/>
          <w:sz w:val="24"/>
          <w:szCs w:val="24"/>
          <w:lang w:eastAsia="bg-BG"/>
        </w:rPr>
      </w:pPr>
    </w:p>
    <w:p w14:paraId="4DF5E4FB" w14:textId="77777777" w:rsidR="007D6885" w:rsidRPr="007D6885" w:rsidRDefault="007D6885" w:rsidP="007D6885">
      <w:pPr>
        <w:rPr>
          <w:rFonts w:eastAsia="Times New Roman" w:cs="Arial"/>
          <w:sz w:val="24"/>
          <w:szCs w:val="24"/>
          <w:lang w:eastAsia="bg-BG"/>
        </w:rPr>
      </w:pPr>
      <w:r w:rsidRPr="007D6885">
        <w:rPr>
          <w:rFonts w:eastAsia="Times New Roman" w:cs="Arial"/>
          <w:color w:val="000000"/>
          <w:lang w:eastAsia="bg-BG"/>
        </w:rPr>
        <w:t xml:space="preserve">Захващането на глюкоза от кръвта в периферните мускули и мастната тъкан </w:t>
      </w:r>
      <w:r w:rsidRPr="007D6885">
        <w:rPr>
          <w:rFonts w:eastAsia="Times New Roman" w:cs="Arial"/>
          <w:color w:val="000000"/>
          <w:lang w:val="en-US"/>
        </w:rPr>
        <w:t>c</w:t>
      </w:r>
      <w:r w:rsidRPr="007D6885">
        <w:rPr>
          <w:rFonts w:eastAsia="Times New Roman" w:cs="Arial"/>
          <w:color w:val="000000"/>
          <w:lang w:eastAsia="bg-BG"/>
        </w:rPr>
        <w:t>тава посредством специални транспортни протеини, локализирани в клетъчната мембрана Транспортът на глюкоза в тези тъкани е скорост-лимитиращата стъпка в използването</w:t>
      </w:r>
      <w:r w:rsidRPr="007D6885">
        <w:rPr>
          <w:rFonts w:eastAsia="Times New Roman" w:cs="Arial"/>
          <w:smallCaps/>
          <w:color w:val="000000"/>
          <w:lang w:eastAsia="bg-BG"/>
        </w:rPr>
        <w:t xml:space="preserve"> </w:t>
      </w:r>
      <w:r w:rsidRPr="007D6885">
        <w:rPr>
          <w:rFonts w:eastAsia="Times New Roman" w:cs="Arial"/>
          <w:color w:val="000000"/>
          <w:lang w:eastAsia="bg-BG"/>
        </w:rPr>
        <w:t xml:space="preserve">на глюкозата. </w:t>
      </w:r>
      <w:r w:rsidRPr="007D6885">
        <w:rPr>
          <w:rFonts w:eastAsia="Times New Roman" w:cs="Arial"/>
          <w:color w:val="000000"/>
          <w:lang w:val="en-US"/>
        </w:rPr>
        <w:t xml:space="preserve">Glimepiride </w:t>
      </w:r>
      <w:r w:rsidRPr="007D6885">
        <w:rPr>
          <w:rFonts w:eastAsia="Times New Roman" w:cs="Arial"/>
          <w:color w:val="000000"/>
          <w:lang w:eastAsia="bg-BG"/>
        </w:rPr>
        <w:t>увеличава много бързо броя на активни глюкозни</w:t>
      </w:r>
      <w:r w:rsidRPr="007D6885">
        <w:rPr>
          <w:rFonts w:eastAsia="Times New Roman" w:cs="Arial"/>
          <w:color w:val="000000"/>
          <w:lang w:val="en-US" w:eastAsia="bg-BG"/>
        </w:rPr>
        <w:t xml:space="preserve"> </w:t>
      </w:r>
      <w:r w:rsidRPr="007D6885">
        <w:rPr>
          <w:rFonts w:eastAsia="Times New Roman" w:cs="Arial"/>
          <w:color w:val="000000"/>
          <w:lang w:eastAsia="bg-BG"/>
        </w:rPr>
        <w:t xml:space="preserve">транспортни </w:t>
      </w:r>
      <w:r w:rsidRPr="007D6885">
        <w:rPr>
          <w:rFonts w:eastAsia="Times New Roman" w:cs="Arial"/>
          <w:color w:val="000000"/>
          <w:lang w:eastAsia="bg-BG"/>
        </w:rPr>
        <w:lastRenderedPageBreak/>
        <w:t>молекули в плазмените мембрани на мускулните и мастните клетки, което води до стимулиране на глюкозния ъптейк.</w:t>
      </w:r>
    </w:p>
    <w:p w14:paraId="5BB0CB7F" w14:textId="77777777" w:rsidR="007D6885" w:rsidRPr="007D6885" w:rsidRDefault="007D6885" w:rsidP="007D6885">
      <w:pPr>
        <w:spacing w:line="240" w:lineRule="auto"/>
        <w:rPr>
          <w:rFonts w:eastAsia="Times New Roman" w:cs="Arial"/>
          <w:color w:val="000000"/>
          <w:lang w:val="en-US"/>
        </w:rPr>
      </w:pPr>
    </w:p>
    <w:p w14:paraId="6D5E4DF1" w14:textId="49945C96"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увеличава активността на глюкозил-фосфатидилинозитол-специфичната фосфолипаза С, която може да бъде свързана с лекарствено-индуцираната липогенеза и гликогенеза в изолирани мастни и мускулни клетки.</w:t>
      </w:r>
    </w:p>
    <w:p w14:paraId="4AB2D4A3" w14:textId="77777777" w:rsidR="007D6885" w:rsidRPr="007D6885" w:rsidRDefault="007D6885" w:rsidP="007D6885">
      <w:pPr>
        <w:spacing w:line="240" w:lineRule="auto"/>
        <w:rPr>
          <w:rFonts w:eastAsia="Times New Roman" w:cs="Arial"/>
          <w:color w:val="000000"/>
          <w:lang w:val="en-US"/>
        </w:rPr>
      </w:pPr>
    </w:p>
    <w:p w14:paraId="55E111CF" w14:textId="11D8F16E"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val="en-US"/>
        </w:rPr>
        <w:t xml:space="preserve">Glimepiride </w:t>
      </w:r>
      <w:r w:rsidRPr="007D6885">
        <w:rPr>
          <w:rFonts w:eastAsia="Times New Roman" w:cs="Arial"/>
          <w:color w:val="000000"/>
          <w:lang w:eastAsia="bg-BG"/>
        </w:rPr>
        <w:t>инхибира произвеждането на глюкоза в черния дроб посредством увеличаване на вътреклетъчната концентрация на фруктозо-2</w:t>
      </w:r>
      <w:proofErr w:type="gramStart"/>
      <w:r w:rsidRPr="007D6885">
        <w:rPr>
          <w:rFonts w:eastAsia="Times New Roman" w:cs="Arial"/>
          <w:color w:val="000000"/>
          <w:lang w:eastAsia="bg-BG"/>
        </w:rPr>
        <w:t>,6</w:t>
      </w:r>
      <w:proofErr w:type="gramEnd"/>
      <w:r w:rsidRPr="007D6885">
        <w:rPr>
          <w:rFonts w:eastAsia="Times New Roman" w:cs="Arial"/>
          <w:color w:val="000000"/>
          <w:lang w:eastAsia="bg-BG"/>
        </w:rPr>
        <w:t>-бифосфат, който на свой ред инхибира глюконеогенезата.</w:t>
      </w:r>
    </w:p>
    <w:p w14:paraId="2900F253" w14:textId="77777777" w:rsidR="007D6885" w:rsidRPr="007D6885" w:rsidRDefault="007D6885" w:rsidP="007D6885">
      <w:pPr>
        <w:spacing w:line="240" w:lineRule="auto"/>
        <w:rPr>
          <w:rFonts w:eastAsia="Times New Roman" w:cs="Arial"/>
          <w:b/>
          <w:bCs/>
          <w:color w:val="000000"/>
          <w:u w:val="single"/>
          <w:lang w:eastAsia="bg-BG"/>
        </w:rPr>
      </w:pPr>
    </w:p>
    <w:p w14:paraId="36750465" w14:textId="287B9B48"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Общо</w:t>
      </w:r>
    </w:p>
    <w:p w14:paraId="0797B790" w14:textId="77777777" w:rsidR="007D6885" w:rsidRPr="007D6885" w:rsidRDefault="007D6885" w:rsidP="007D6885">
      <w:pPr>
        <w:spacing w:line="240" w:lineRule="auto"/>
        <w:rPr>
          <w:rFonts w:eastAsia="Times New Roman" w:cs="Arial"/>
          <w:color w:val="000000"/>
          <w:lang w:eastAsia="bg-BG"/>
        </w:rPr>
      </w:pPr>
    </w:p>
    <w:p w14:paraId="42367A7F" w14:textId="7F8760C1"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При здрави хора минималната ефикасна перорална доза е около 0.6 </w:t>
      </w:r>
      <w:r w:rsidRPr="007D6885">
        <w:rPr>
          <w:rFonts w:eastAsia="Times New Roman" w:cs="Arial"/>
          <w:color w:val="000000"/>
          <w:lang w:val="en-US"/>
        </w:rPr>
        <w:t xml:space="preserve">mg. </w:t>
      </w:r>
      <w:r w:rsidRPr="007D6885">
        <w:rPr>
          <w:rFonts w:eastAsia="Times New Roman" w:cs="Arial"/>
          <w:color w:val="000000"/>
          <w:lang w:eastAsia="bg-BG"/>
        </w:rPr>
        <w:t xml:space="preserve">Ефектът на </w:t>
      </w:r>
      <w:r w:rsidRPr="007D6885">
        <w:rPr>
          <w:rFonts w:eastAsia="Times New Roman" w:cs="Arial"/>
          <w:color w:val="000000"/>
          <w:lang w:val="en-US"/>
        </w:rPr>
        <w:t xml:space="preserve">glimepiride </w:t>
      </w:r>
      <w:r w:rsidRPr="007D6885">
        <w:rPr>
          <w:rFonts w:eastAsia="Times New Roman" w:cs="Arial"/>
          <w:color w:val="000000"/>
          <w:lang w:eastAsia="bg-BG"/>
        </w:rPr>
        <w:t>е дозо-зависим и възпроизводим. Физиологичният отговор на интензивни физически упражнения, намаляването на инсулиновата секреция, все още присъства под действието на глимепирид.</w:t>
      </w:r>
    </w:p>
    <w:p w14:paraId="111FF181" w14:textId="77777777" w:rsidR="007D6885" w:rsidRPr="007D6885" w:rsidRDefault="007D6885" w:rsidP="007D6885">
      <w:pPr>
        <w:spacing w:line="240" w:lineRule="auto"/>
        <w:rPr>
          <w:rFonts w:eastAsia="Times New Roman" w:cs="Arial"/>
          <w:color w:val="000000"/>
          <w:lang w:eastAsia="bg-BG"/>
        </w:rPr>
      </w:pPr>
    </w:p>
    <w:p w14:paraId="3F0631E1" w14:textId="6269D512"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Не съществува значителна разлика в ефекта, независимо от това дали лекарството е прието 30 минути или непосредствено преди хранене. Добър метаболитен контрол в рамките на 24 часа може да бъде постигнат с една единствена дневна доза.</w:t>
      </w:r>
    </w:p>
    <w:p w14:paraId="21C0E113" w14:textId="77777777" w:rsidR="007D6885" w:rsidRPr="007D6885" w:rsidRDefault="007D6885" w:rsidP="007D6885">
      <w:pPr>
        <w:spacing w:line="240" w:lineRule="auto"/>
        <w:rPr>
          <w:rFonts w:eastAsia="Times New Roman" w:cs="Arial"/>
          <w:color w:val="000000"/>
          <w:lang w:eastAsia="bg-BG"/>
        </w:rPr>
      </w:pPr>
    </w:p>
    <w:p w14:paraId="6BB4531C" w14:textId="245D1379"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Въпреки че хидрокси-метаболитът на </w:t>
      </w:r>
      <w:r w:rsidRPr="007D6885">
        <w:rPr>
          <w:rFonts w:eastAsia="Times New Roman" w:cs="Arial"/>
          <w:color w:val="000000"/>
          <w:lang w:val="en-US"/>
        </w:rPr>
        <w:t xml:space="preserve">glimepiride </w:t>
      </w:r>
      <w:r w:rsidRPr="007D6885">
        <w:rPr>
          <w:rFonts w:eastAsia="Times New Roman" w:cs="Arial"/>
          <w:color w:val="000000"/>
          <w:lang w:eastAsia="bg-BG"/>
        </w:rPr>
        <w:t>причинява малко, но значително намаляване нивото на серумната глюкоза при здрави хора, той отговаря само за малка част от общия ефект на лекарствения продукт.</w:t>
      </w:r>
    </w:p>
    <w:p w14:paraId="0BA64B06" w14:textId="77777777" w:rsidR="007D6885" w:rsidRPr="007D6885" w:rsidRDefault="007D6885" w:rsidP="007D6885">
      <w:pPr>
        <w:spacing w:line="240" w:lineRule="auto"/>
        <w:rPr>
          <w:rFonts w:eastAsia="Times New Roman" w:cs="Arial"/>
          <w:b/>
          <w:bCs/>
          <w:color w:val="000000"/>
          <w:u w:val="single"/>
          <w:lang w:eastAsia="bg-BG"/>
        </w:rPr>
      </w:pPr>
    </w:p>
    <w:p w14:paraId="7FE55939" w14:textId="11808CCD"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 xml:space="preserve">Комбинирана терапия с </w:t>
      </w:r>
      <w:r w:rsidRPr="007D6885">
        <w:rPr>
          <w:rFonts w:eastAsia="Times New Roman" w:cs="Arial"/>
          <w:b/>
          <w:bCs/>
          <w:color w:val="000000"/>
          <w:u w:val="single"/>
          <w:lang w:val="en-US"/>
        </w:rPr>
        <w:t>metformin</w:t>
      </w:r>
    </w:p>
    <w:p w14:paraId="65B499B3" w14:textId="77777777" w:rsidR="007D6885" w:rsidRPr="007D6885" w:rsidRDefault="007D6885" w:rsidP="007D6885">
      <w:pPr>
        <w:spacing w:line="240" w:lineRule="auto"/>
        <w:rPr>
          <w:rFonts w:eastAsia="Times New Roman" w:cs="Arial"/>
          <w:color w:val="000000"/>
          <w:lang w:eastAsia="bg-BG"/>
        </w:rPr>
      </w:pPr>
    </w:p>
    <w:p w14:paraId="1C9CC9E2" w14:textId="08CAC35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Както показва едно проучване, при пациенти, неадекватно контролирани с максимална дневна доза </w:t>
      </w:r>
      <w:r w:rsidRPr="007D6885">
        <w:rPr>
          <w:rFonts w:eastAsia="Times New Roman" w:cs="Arial"/>
          <w:color w:val="000000"/>
          <w:lang w:val="en-US"/>
        </w:rPr>
        <w:t xml:space="preserve">metformin, </w:t>
      </w:r>
      <w:r w:rsidRPr="007D6885">
        <w:rPr>
          <w:rFonts w:eastAsia="Times New Roman" w:cs="Arial"/>
          <w:color w:val="000000"/>
          <w:lang w:eastAsia="bg-BG"/>
        </w:rPr>
        <w:t xml:space="preserve">се наблюдава подобрен метаболитен контрол при съвместна терапия с </w:t>
      </w:r>
      <w:r w:rsidRPr="007D6885">
        <w:rPr>
          <w:rFonts w:eastAsia="Times New Roman" w:cs="Arial"/>
          <w:color w:val="000000"/>
          <w:lang w:val="en-US"/>
        </w:rPr>
        <w:t>glimepiride.</w:t>
      </w:r>
    </w:p>
    <w:p w14:paraId="5515672F" w14:textId="77777777" w:rsidR="007D6885" w:rsidRPr="007D6885" w:rsidRDefault="007D6885" w:rsidP="007D6885">
      <w:pPr>
        <w:spacing w:line="240" w:lineRule="auto"/>
        <w:rPr>
          <w:rFonts w:eastAsia="Times New Roman" w:cs="Arial"/>
          <w:b/>
          <w:bCs/>
          <w:color w:val="000000"/>
          <w:u w:val="single"/>
          <w:lang w:eastAsia="bg-BG"/>
        </w:rPr>
      </w:pPr>
    </w:p>
    <w:p w14:paraId="45F9A56A" w14:textId="0598E1A7" w:rsidR="007D6885" w:rsidRPr="007D6885" w:rsidRDefault="007D6885" w:rsidP="007D6885">
      <w:pPr>
        <w:spacing w:line="240" w:lineRule="auto"/>
        <w:rPr>
          <w:rFonts w:eastAsia="Times New Roman" w:cs="Arial"/>
          <w:sz w:val="24"/>
          <w:szCs w:val="24"/>
          <w:lang w:eastAsia="bg-BG"/>
        </w:rPr>
      </w:pPr>
      <w:r w:rsidRPr="007D6885">
        <w:rPr>
          <w:rFonts w:eastAsia="Times New Roman" w:cs="Arial"/>
          <w:b/>
          <w:bCs/>
          <w:color w:val="000000"/>
          <w:u w:val="single"/>
          <w:lang w:eastAsia="bg-BG"/>
        </w:rPr>
        <w:t>Комбинирана терапия с инсулин</w:t>
      </w:r>
    </w:p>
    <w:p w14:paraId="59AA4F36" w14:textId="77777777" w:rsidR="007D6885" w:rsidRPr="007D6885" w:rsidRDefault="007D6885" w:rsidP="007D6885">
      <w:pPr>
        <w:rPr>
          <w:rFonts w:eastAsia="Times New Roman" w:cs="Arial"/>
          <w:color w:val="000000"/>
          <w:lang w:eastAsia="bg-BG"/>
        </w:rPr>
      </w:pPr>
    </w:p>
    <w:p w14:paraId="28252AA0" w14:textId="25174550" w:rsidR="0091385D" w:rsidRPr="007D6885" w:rsidRDefault="007D6885" w:rsidP="007D6885">
      <w:pPr>
        <w:rPr>
          <w:rFonts w:cs="Arial"/>
          <w:lang w:val="en-US"/>
        </w:rPr>
      </w:pPr>
      <w:r w:rsidRPr="007D6885">
        <w:rPr>
          <w:rFonts w:eastAsia="Times New Roman" w:cs="Arial"/>
          <w:color w:val="000000"/>
          <w:lang w:eastAsia="bg-BG"/>
        </w:rPr>
        <w:t xml:space="preserve">Данните за комбинирана терапия с инсулин са ограничени. При пациенти, неадекватно контролирани с максимална доза </w:t>
      </w:r>
      <w:r w:rsidRPr="007D6885">
        <w:rPr>
          <w:rFonts w:eastAsia="Times New Roman" w:cs="Arial"/>
          <w:color w:val="000000"/>
          <w:lang w:val="en-US"/>
        </w:rPr>
        <w:t xml:space="preserve">glimepiride, </w:t>
      </w:r>
      <w:r w:rsidRPr="007D6885">
        <w:rPr>
          <w:rFonts w:eastAsia="Times New Roman" w:cs="Arial"/>
          <w:color w:val="000000"/>
          <w:lang w:eastAsia="bg-BG"/>
        </w:rPr>
        <w:t>може да се започне съвместна терапия с инсулин. В две отделни проучвания с комбинацията се постига същото подобрение в метаболитния контрол, както при самостоятелното приложение на инсулин.При комбинираната терапия обаче се изисква по-ниска средна доза инсулин.</w:t>
      </w:r>
    </w:p>
    <w:p w14:paraId="36152471" w14:textId="77777777" w:rsidR="0091385D" w:rsidRPr="0091385D" w:rsidRDefault="0091385D"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284E9C81" w14:textId="77777777" w:rsidR="007D6885" w:rsidRDefault="007D6885" w:rsidP="007D6885">
      <w:r w:rsidRPr="007D6885">
        <w:rPr>
          <w:rStyle w:val="Heading3Char"/>
          <w:u w:val="single"/>
        </w:rPr>
        <w:t>Абсорбция:</w:t>
      </w:r>
      <w:r>
        <w:rPr>
          <w:b/>
          <w:bCs/>
        </w:rPr>
        <w:t xml:space="preserve"> </w:t>
      </w:r>
      <w:r>
        <w:t xml:space="preserve">Бионаличността на </w:t>
      </w:r>
      <w:r>
        <w:rPr>
          <w:lang w:val="en-US"/>
        </w:rPr>
        <w:t xml:space="preserve">glimepiride </w:t>
      </w:r>
      <w:r>
        <w:t xml:space="preserve">след орално приложение е пълна. Приемът на храна има съществено влияние върху нивото на абсорбцията. Максимални серумни концентрации (С </w:t>
      </w:r>
      <w:r>
        <w:rPr>
          <w:lang w:val="en-US"/>
        </w:rPr>
        <w:t xml:space="preserve">max) </w:t>
      </w:r>
      <w:r>
        <w:t xml:space="preserve">се достигат приблизително 2,5 часа след оралния прием (или 0.3 </w:t>
      </w:r>
      <w:r>
        <w:rPr>
          <w:lang w:val="en-US"/>
        </w:rPr>
        <w:t xml:space="preserve">mcg/ml </w:t>
      </w:r>
      <w:r>
        <w:t xml:space="preserve">по време на многократно дозиране на 4 </w:t>
      </w:r>
      <w:r>
        <w:rPr>
          <w:lang w:val="en-US"/>
        </w:rPr>
        <w:t xml:space="preserve">mg </w:t>
      </w:r>
      <w:r>
        <w:t xml:space="preserve">дневно) и е налице линейна зависимост както между дозата и С </w:t>
      </w:r>
      <w:r>
        <w:rPr>
          <w:lang w:val="en-US"/>
        </w:rPr>
        <w:t xml:space="preserve">max, </w:t>
      </w:r>
      <w:r>
        <w:t xml:space="preserve">така и между дозата и </w:t>
      </w:r>
      <w:r>
        <w:rPr>
          <w:lang w:val="en-US"/>
        </w:rPr>
        <w:t xml:space="preserve">AUC </w:t>
      </w:r>
      <w:r>
        <w:t>(площта под кривата време/концентрация).</w:t>
      </w:r>
    </w:p>
    <w:p w14:paraId="7CE75130" w14:textId="77777777" w:rsidR="007D6885" w:rsidRDefault="007D6885" w:rsidP="007D6885">
      <w:pPr>
        <w:rPr>
          <w:b/>
          <w:bCs/>
        </w:rPr>
      </w:pPr>
    </w:p>
    <w:p w14:paraId="6AD6DAC6" w14:textId="768F922A" w:rsidR="007D6885" w:rsidRDefault="007D6885" w:rsidP="007D6885">
      <w:r w:rsidRPr="007D6885">
        <w:rPr>
          <w:rStyle w:val="Heading3Char"/>
          <w:u w:val="single"/>
        </w:rPr>
        <w:lastRenderedPageBreak/>
        <w:t>Разпределение:</w:t>
      </w:r>
      <w:r>
        <w:rPr>
          <w:b/>
          <w:bCs/>
        </w:rPr>
        <w:t xml:space="preserve"> </w:t>
      </w:r>
      <w:r>
        <w:rPr>
          <w:lang w:val="en-US"/>
        </w:rPr>
        <w:t xml:space="preserve">Glimepiride </w:t>
      </w:r>
      <w:r>
        <w:t xml:space="preserve">има много нисък обем на разпределение (приблизително 8.8 литра), който е горе-долу равен на албуминовия разпределителен обем, високо протеиново свързване (&gt; 99%) и нисък клирънс (прибл. 48 </w:t>
      </w:r>
      <w:r>
        <w:rPr>
          <w:lang w:val="en-US"/>
        </w:rPr>
        <w:t>ml/min).</w:t>
      </w:r>
    </w:p>
    <w:p w14:paraId="34F0F092" w14:textId="77777777" w:rsidR="007D6885" w:rsidRDefault="007D6885" w:rsidP="007D6885"/>
    <w:p w14:paraId="148BA3FC" w14:textId="5122890F" w:rsidR="0091385D" w:rsidRDefault="007D6885" w:rsidP="007D6885">
      <w:r>
        <w:t xml:space="preserve">При животните </w:t>
      </w:r>
      <w:r>
        <w:rPr>
          <w:lang w:val="en-US"/>
        </w:rPr>
        <w:t xml:space="preserve">glimepiride </w:t>
      </w:r>
      <w:r>
        <w:t>се екскретира с млякото. Той преминава плацентарната бариера. Преминаването на кръвно-мозъчната бариера е в по-ниска степен.</w:t>
      </w:r>
    </w:p>
    <w:p w14:paraId="4EE1BB0B" w14:textId="1A49EF00" w:rsidR="0091385D" w:rsidRDefault="0091385D" w:rsidP="0091385D"/>
    <w:p w14:paraId="70BAA681" w14:textId="3270EBBA" w:rsidR="007D6885" w:rsidRPr="007D6885" w:rsidRDefault="007D6885" w:rsidP="007D6885">
      <w:pPr>
        <w:spacing w:line="240" w:lineRule="auto"/>
        <w:rPr>
          <w:rFonts w:eastAsia="Times New Roman" w:cs="Arial"/>
          <w:color w:val="000000"/>
          <w:lang w:eastAsia="bg-BG"/>
        </w:rPr>
      </w:pPr>
      <w:bookmarkStart w:id="8" w:name="_GoBack"/>
      <w:r w:rsidRPr="007D6885">
        <w:rPr>
          <w:rStyle w:val="Heading3Char"/>
          <w:u w:val="single"/>
          <w:lang w:eastAsia="bg-BG"/>
        </w:rPr>
        <w:t>Биотрансформация и елиминиране:</w:t>
      </w:r>
      <w:r w:rsidRPr="007D6885">
        <w:rPr>
          <w:rFonts w:eastAsia="Times New Roman" w:cs="Arial"/>
          <w:b/>
          <w:bCs/>
          <w:color w:val="000000"/>
          <w:lang w:eastAsia="bg-BG"/>
        </w:rPr>
        <w:t xml:space="preserve"> </w:t>
      </w:r>
      <w:bookmarkEnd w:id="8"/>
      <w:r w:rsidRPr="007D6885">
        <w:rPr>
          <w:rFonts w:eastAsia="Times New Roman" w:cs="Arial"/>
          <w:color w:val="000000"/>
          <w:lang w:eastAsia="bg-BG"/>
        </w:rPr>
        <w:t>Средният доминантен серумен полуживот, който е от значение за серумните концентрации при условия на многократно дозиране, е около 5 до 8 часа. След приемането на високи дози се наблюдава малко по-дълъг полуживот.</w:t>
      </w:r>
    </w:p>
    <w:p w14:paraId="4F717DBE" w14:textId="77777777" w:rsidR="007D6885" w:rsidRPr="007D6885" w:rsidRDefault="007D6885" w:rsidP="007D6885">
      <w:pPr>
        <w:spacing w:line="240" w:lineRule="auto"/>
        <w:rPr>
          <w:rFonts w:eastAsia="Times New Roman" w:cs="Arial"/>
          <w:color w:val="000000"/>
          <w:lang w:eastAsia="bg-BG"/>
        </w:rPr>
      </w:pPr>
    </w:p>
    <w:p w14:paraId="4392A636" w14:textId="31100A8D"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След приемането на единична доза радиоактивно белязан </w:t>
      </w:r>
      <w:r w:rsidRPr="007D6885">
        <w:rPr>
          <w:rFonts w:eastAsia="Times New Roman" w:cs="Arial"/>
          <w:color w:val="000000"/>
          <w:lang w:val="en-US"/>
        </w:rPr>
        <w:t xml:space="preserve">glimepiride, </w:t>
      </w:r>
      <w:r w:rsidRPr="007D6885">
        <w:rPr>
          <w:rFonts w:eastAsia="Times New Roman" w:cs="Arial"/>
          <w:color w:val="000000"/>
          <w:lang w:eastAsia="bg-BG"/>
        </w:rPr>
        <w:t xml:space="preserve">58% се откриват в урината и 35% - във фекалиите. В урината не се открива непроменено количество от лекарственото вещество. В урината и фекалиите са идентифицирани два метаболита - най-вероятно резултат на чернодробния метаболизъм - хидроксилно и карбоксилно производно. След орално приложение на </w:t>
      </w:r>
      <w:r w:rsidRPr="007D6885">
        <w:rPr>
          <w:rFonts w:eastAsia="Times New Roman" w:cs="Arial"/>
          <w:color w:val="000000"/>
          <w:lang w:val="en-US"/>
        </w:rPr>
        <w:t xml:space="preserve">glimepiride </w:t>
      </w:r>
      <w:r w:rsidRPr="007D6885">
        <w:rPr>
          <w:rFonts w:eastAsia="Times New Roman" w:cs="Arial"/>
          <w:color w:val="000000"/>
          <w:lang w:eastAsia="bg-BG"/>
        </w:rPr>
        <w:t>поруживотите на тези метаболити са съответно от 3 до 6 и от 5 до 6 часа.</w:t>
      </w:r>
    </w:p>
    <w:p w14:paraId="06F4C825" w14:textId="77777777" w:rsidR="007D6885" w:rsidRPr="007D6885" w:rsidRDefault="007D6885" w:rsidP="007D6885">
      <w:pPr>
        <w:spacing w:line="240" w:lineRule="auto"/>
        <w:rPr>
          <w:rFonts w:eastAsia="Times New Roman" w:cs="Arial"/>
          <w:color w:val="000000"/>
          <w:lang w:eastAsia="bg-BG"/>
        </w:rPr>
      </w:pPr>
    </w:p>
    <w:p w14:paraId="6BFF4F7D" w14:textId="4FF1B68B"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Сравнението между еднократното и многократното дозиране не показва съществени разлики във фармакокинетиката и интраиндивидуалната вариабилност е много ниска. Не се наблюдава натрупване.</w:t>
      </w:r>
    </w:p>
    <w:p w14:paraId="09A75086" w14:textId="77777777" w:rsidR="007D6885" w:rsidRPr="007D6885" w:rsidRDefault="007D6885" w:rsidP="007D6885">
      <w:pPr>
        <w:spacing w:line="240" w:lineRule="auto"/>
        <w:rPr>
          <w:rFonts w:eastAsia="Times New Roman" w:cs="Arial"/>
          <w:color w:val="000000"/>
          <w:lang w:eastAsia="bg-BG"/>
        </w:rPr>
      </w:pPr>
    </w:p>
    <w:p w14:paraId="3C996180" w14:textId="77AED82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Фармакокинетичните параметри са подобни както и при мъже и жени, така и при млади и възрастни (над 65 години) пациенти. При пациенти с нисък креатининов клирънс има тенденция към увеличаване на клирънса на </w:t>
      </w:r>
      <w:r w:rsidRPr="007D6885">
        <w:rPr>
          <w:rFonts w:eastAsia="Times New Roman" w:cs="Arial"/>
          <w:color w:val="000000"/>
          <w:lang w:val="en-US"/>
        </w:rPr>
        <w:t xml:space="preserve">glimepiride </w:t>
      </w:r>
      <w:r w:rsidRPr="007D6885">
        <w:rPr>
          <w:rFonts w:eastAsia="Times New Roman" w:cs="Arial"/>
          <w:color w:val="000000"/>
          <w:lang w:eastAsia="bg-BG"/>
        </w:rPr>
        <w:t>и намаление на средните серумни концентрации вероятно в резултат на по-бързото елиминиране поради ниска степен на протеинно свързване. Бъбречното елиминиране на двата метаболита е намалено. При такива пациенти като цяло се счита, че няма допълнителен риск от акумулиране.</w:t>
      </w:r>
    </w:p>
    <w:p w14:paraId="1EF97E1E" w14:textId="77777777" w:rsidR="007D6885" w:rsidRPr="007D6885" w:rsidRDefault="007D6885" w:rsidP="007D6885">
      <w:pPr>
        <w:rPr>
          <w:rFonts w:eastAsia="Times New Roman" w:cs="Arial"/>
          <w:color w:val="000000"/>
          <w:lang w:eastAsia="bg-BG"/>
        </w:rPr>
      </w:pPr>
    </w:p>
    <w:p w14:paraId="2162A44D" w14:textId="72C8DDFF" w:rsidR="007D6885" w:rsidRPr="007D6885" w:rsidRDefault="007D6885" w:rsidP="007D6885">
      <w:pPr>
        <w:rPr>
          <w:rFonts w:cs="Arial"/>
        </w:rPr>
      </w:pPr>
      <w:r w:rsidRPr="007D6885">
        <w:rPr>
          <w:rFonts w:eastAsia="Times New Roman" w:cs="Arial"/>
          <w:color w:val="000000"/>
          <w:lang w:eastAsia="bg-BG"/>
        </w:rPr>
        <w:t>Фармакокинетиката при петима не-диабетни пациенти след операция на жлъчния канал е подобна на тази при здрави пациенти</w:t>
      </w:r>
    </w:p>
    <w:p w14:paraId="71F6D525" w14:textId="77777777" w:rsidR="007D6885" w:rsidRPr="0091385D" w:rsidRDefault="007D6885"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68CA9BBD" w:rsidR="0091385D" w:rsidRDefault="007D6885" w:rsidP="0091385D">
      <w:r>
        <w:t>Наблюдаваните предклинични ефекти са се появявали при дози, значително превишаващи максималните човешки дози, без съществено клинично приложение, или са се дължали на фармакодинамичното действие (хипогликемия) на съединението. Това откритие се базира на конвенционалната фармакология, токсичността на повтарящите се дози, генотоксичността, канцерогенността и репродукционната токсичност. При последната (включваща ембриотоксичностга, тератогенността и растежната токсичност) наблюдаваните странични действия се считат за вторични на хипогликемичните ефекти, индуцирани от съединението при майки и подрастващи.</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3746A2E4"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Нео Балканика ЕООД</w:t>
      </w:r>
    </w:p>
    <w:p w14:paraId="2BE3DFA5"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Ул. “Земляне” 35</w:t>
      </w:r>
    </w:p>
    <w:p w14:paraId="3FD825DB" w14:textId="6007761C" w:rsidR="0091385D" w:rsidRPr="007D6885" w:rsidRDefault="007D6885" w:rsidP="007D6885">
      <w:pPr>
        <w:rPr>
          <w:rFonts w:cs="Arial"/>
        </w:rPr>
      </w:pPr>
      <w:r w:rsidRPr="007D6885">
        <w:rPr>
          <w:rFonts w:eastAsia="Times New Roman" w:cs="Arial"/>
          <w:color w:val="000000"/>
          <w:lang w:eastAsia="bg-BG"/>
        </w:rPr>
        <w:lastRenderedPageBreak/>
        <w:t>София,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39B84D6E"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1 </w:t>
      </w:r>
      <w:r w:rsidRPr="007D6885">
        <w:rPr>
          <w:rFonts w:eastAsia="Times New Roman" w:cs="Arial"/>
          <w:color w:val="000000"/>
          <w:lang w:val="en-US"/>
        </w:rPr>
        <w:t xml:space="preserve">mg-II-11251/27.07.2005r.- </w:t>
      </w:r>
      <w:r w:rsidRPr="007D6885">
        <w:rPr>
          <w:rFonts w:eastAsia="Times New Roman" w:cs="Arial"/>
          <w:color w:val="000000"/>
          <w:lang w:eastAsia="bg-BG"/>
        </w:rPr>
        <w:t>20050408</w:t>
      </w:r>
    </w:p>
    <w:p w14:paraId="6E7F45F5"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2 </w:t>
      </w:r>
      <w:r w:rsidRPr="007D6885">
        <w:rPr>
          <w:rFonts w:eastAsia="Times New Roman" w:cs="Arial"/>
          <w:color w:val="000000"/>
          <w:lang w:val="en-US"/>
        </w:rPr>
        <w:t xml:space="preserve">mg - </w:t>
      </w:r>
      <w:r w:rsidRPr="007D6885">
        <w:rPr>
          <w:rFonts w:eastAsia="Times New Roman" w:cs="Arial"/>
          <w:color w:val="000000"/>
          <w:lang w:eastAsia="bg-BG"/>
        </w:rPr>
        <w:t>II-11252/27.07.2005г.- 20050409</w:t>
      </w:r>
    </w:p>
    <w:p w14:paraId="23ABAF68" w14:textId="77777777" w:rsidR="007D6885" w:rsidRPr="007D6885" w:rsidRDefault="007D6885" w:rsidP="007D6885">
      <w:pPr>
        <w:spacing w:line="240" w:lineRule="auto"/>
        <w:rPr>
          <w:rFonts w:eastAsia="Times New Roman" w:cs="Arial"/>
          <w:sz w:val="24"/>
          <w:szCs w:val="24"/>
          <w:lang w:eastAsia="bg-BG"/>
        </w:rPr>
      </w:pPr>
      <w:r w:rsidRPr="007D6885">
        <w:rPr>
          <w:rFonts w:eastAsia="Times New Roman" w:cs="Arial"/>
          <w:color w:val="000000"/>
          <w:lang w:eastAsia="bg-BG"/>
        </w:rPr>
        <w:t xml:space="preserve">Неоглим® 3 </w:t>
      </w:r>
      <w:r w:rsidRPr="007D6885">
        <w:rPr>
          <w:rFonts w:eastAsia="Times New Roman" w:cs="Arial"/>
          <w:color w:val="000000"/>
          <w:lang w:val="en-US"/>
        </w:rPr>
        <w:t xml:space="preserve">mg </w:t>
      </w:r>
      <w:r w:rsidRPr="007D6885">
        <w:rPr>
          <w:rFonts w:eastAsia="Times New Roman" w:cs="Arial"/>
          <w:color w:val="000000"/>
          <w:lang w:eastAsia="bg-BG"/>
        </w:rPr>
        <w:t>- II-11253/27.07.2005г.- 20050410</w:t>
      </w:r>
    </w:p>
    <w:p w14:paraId="6E892CE5" w14:textId="0C74F5BC" w:rsidR="0091385D" w:rsidRPr="007D6885" w:rsidRDefault="007D6885" w:rsidP="007D6885">
      <w:pPr>
        <w:rPr>
          <w:rFonts w:cs="Arial"/>
        </w:rPr>
      </w:pPr>
      <w:r w:rsidRPr="007D6885">
        <w:rPr>
          <w:rFonts w:eastAsia="Times New Roman" w:cs="Arial"/>
          <w:color w:val="000000"/>
          <w:lang w:eastAsia="bg-BG"/>
        </w:rPr>
        <w:t xml:space="preserve">Неоглим® 4 </w:t>
      </w:r>
      <w:r w:rsidRPr="007D6885">
        <w:rPr>
          <w:rFonts w:eastAsia="Times New Roman" w:cs="Arial"/>
          <w:color w:val="000000"/>
          <w:lang w:val="en-US"/>
        </w:rPr>
        <w:t xml:space="preserve">mg </w:t>
      </w:r>
      <w:r w:rsidRPr="007D6885">
        <w:rPr>
          <w:rFonts w:eastAsia="Times New Roman" w:cs="Arial"/>
          <w:color w:val="000000"/>
          <w:lang w:eastAsia="bg-BG"/>
        </w:rPr>
        <w:t>- II-11254/27.07.2005г.- 20050411</w:t>
      </w:r>
    </w:p>
    <w:p w14:paraId="62EF7F8B" w14:textId="77777777" w:rsidR="0091385D" w:rsidRPr="0091385D" w:rsidRDefault="0091385D" w:rsidP="0091385D"/>
    <w:p w14:paraId="2CCB5832" w14:textId="18FCD95B" w:rsidR="007C605B" w:rsidRDefault="002C50EE" w:rsidP="007C605B">
      <w:pPr>
        <w:pStyle w:val="Heading1"/>
      </w:pPr>
      <w:r>
        <w:t>9. ДАТА НА ПЪРВО РАЗРЕШАВАНЕ/ПОДНОВЯВАНЕ НА РАЗРЕШЕНИЕТО ЗА УПОТРЕБА</w:t>
      </w:r>
    </w:p>
    <w:p w14:paraId="372B3414" w14:textId="0F79A9B4" w:rsidR="0091385D" w:rsidRDefault="0091385D" w:rsidP="0091385D"/>
    <w:p w14:paraId="497007FA" w14:textId="69EED464" w:rsidR="0091385D" w:rsidRDefault="0091385D" w:rsidP="0091385D"/>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258FFE56" w:rsidR="0091385D" w:rsidRPr="007D6885" w:rsidRDefault="007D6885" w:rsidP="0091385D">
      <w:pPr>
        <w:rPr>
          <w:rFonts w:cs="Arial"/>
        </w:rPr>
      </w:pPr>
      <w:r w:rsidRPr="007D6885">
        <w:rPr>
          <w:rFonts w:cs="Arial"/>
        </w:rPr>
        <w:t>Януари 2010 г.</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F57313"/>
    <w:multiLevelType w:val="hybridMultilevel"/>
    <w:tmpl w:val="DB12BF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F6C249F"/>
    <w:multiLevelType w:val="hybridMultilevel"/>
    <w:tmpl w:val="4D6A739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6456C5E"/>
    <w:multiLevelType w:val="hybridMultilevel"/>
    <w:tmpl w:val="369A0BA0"/>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1A46B0"/>
    <w:multiLevelType w:val="hybridMultilevel"/>
    <w:tmpl w:val="3D2C1B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D80A9A"/>
    <w:multiLevelType w:val="hybridMultilevel"/>
    <w:tmpl w:val="CEA88C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D23415"/>
    <w:multiLevelType w:val="hybridMultilevel"/>
    <w:tmpl w:val="A7F4EC2E"/>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1"/>
  </w:num>
  <w:num w:numId="2">
    <w:abstractNumId w:val="0"/>
  </w:num>
  <w:num w:numId="3">
    <w:abstractNumId w:val="15"/>
  </w:num>
  <w:num w:numId="4">
    <w:abstractNumId w:val="3"/>
  </w:num>
  <w:num w:numId="5">
    <w:abstractNumId w:val="1"/>
  </w:num>
  <w:num w:numId="6">
    <w:abstractNumId w:val="19"/>
  </w:num>
  <w:num w:numId="7">
    <w:abstractNumId w:val="12"/>
  </w:num>
  <w:num w:numId="8">
    <w:abstractNumId w:val="18"/>
  </w:num>
  <w:num w:numId="9">
    <w:abstractNumId w:val="2"/>
  </w:num>
  <w:num w:numId="10">
    <w:abstractNumId w:val="4"/>
  </w:num>
  <w:num w:numId="11">
    <w:abstractNumId w:val="35"/>
  </w:num>
  <w:num w:numId="12">
    <w:abstractNumId w:val="16"/>
  </w:num>
  <w:num w:numId="13">
    <w:abstractNumId w:val="22"/>
  </w:num>
  <w:num w:numId="14">
    <w:abstractNumId w:val="14"/>
  </w:num>
  <w:num w:numId="15">
    <w:abstractNumId w:val="34"/>
  </w:num>
  <w:num w:numId="16">
    <w:abstractNumId w:val="11"/>
  </w:num>
  <w:num w:numId="17">
    <w:abstractNumId w:val="27"/>
  </w:num>
  <w:num w:numId="18">
    <w:abstractNumId w:val="7"/>
  </w:num>
  <w:num w:numId="19">
    <w:abstractNumId w:val="30"/>
  </w:num>
  <w:num w:numId="20">
    <w:abstractNumId w:val="26"/>
  </w:num>
  <w:num w:numId="21">
    <w:abstractNumId w:val="20"/>
  </w:num>
  <w:num w:numId="22">
    <w:abstractNumId w:val="28"/>
  </w:num>
  <w:num w:numId="23">
    <w:abstractNumId w:val="21"/>
  </w:num>
  <w:num w:numId="24">
    <w:abstractNumId w:val="8"/>
  </w:num>
  <w:num w:numId="25">
    <w:abstractNumId w:val="25"/>
  </w:num>
  <w:num w:numId="26">
    <w:abstractNumId w:val="24"/>
  </w:num>
  <w:num w:numId="27">
    <w:abstractNumId w:val="36"/>
  </w:num>
  <w:num w:numId="28">
    <w:abstractNumId w:val="6"/>
  </w:num>
  <w:num w:numId="29">
    <w:abstractNumId w:val="23"/>
  </w:num>
  <w:num w:numId="30">
    <w:abstractNumId w:val="39"/>
  </w:num>
  <w:num w:numId="31">
    <w:abstractNumId w:val="5"/>
  </w:num>
  <w:num w:numId="32">
    <w:abstractNumId w:val="38"/>
  </w:num>
  <w:num w:numId="33">
    <w:abstractNumId w:val="33"/>
  </w:num>
  <w:num w:numId="34">
    <w:abstractNumId w:val="37"/>
  </w:num>
  <w:num w:numId="35">
    <w:abstractNumId w:val="9"/>
  </w:num>
  <w:num w:numId="36">
    <w:abstractNumId w:val="10"/>
  </w:num>
  <w:num w:numId="37">
    <w:abstractNumId w:val="29"/>
  </w:num>
  <w:num w:numId="38">
    <w:abstractNumId w:val="17"/>
  </w:num>
  <w:num w:numId="39">
    <w:abstractNumId w:val="13"/>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12661"/>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7D6885"/>
    <w:rsid w:val="008134C8"/>
    <w:rsid w:val="00814073"/>
    <w:rsid w:val="00826F0D"/>
    <w:rsid w:val="00893B92"/>
    <w:rsid w:val="008A6AF2"/>
    <w:rsid w:val="008C70A2"/>
    <w:rsid w:val="008F1AF3"/>
    <w:rsid w:val="008F587E"/>
    <w:rsid w:val="0091385D"/>
    <w:rsid w:val="009773E4"/>
    <w:rsid w:val="009B171C"/>
    <w:rsid w:val="009F1313"/>
    <w:rsid w:val="00A20351"/>
    <w:rsid w:val="00A65A81"/>
    <w:rsid w:val="00A73575"/>
    <w:rsid w:val="00AA23EC"/>
    <w:rsid w:val="00AC63CE"/>
    <w:rsid w:val="00AE2107"/>
    <w:rsid w:val="00B275A8"/>
    <w:rsid w:val="00B466CB"/>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3575</Words>
  <Characters>20384</Characters>
  <Application>Microsoft Office Word</Application>
  <DocSecurity>0</DocSecurity>
  <Lines>169</Lines>
  <Paragraphs>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2022-09-06T11:38:00Z</dcterms:created>
  <dcterms:modified xsi:type="dcterms:W3CDTF">2022-09-06T11:38:00Z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