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EA5156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 tablets</w:t>
      </w:r>
    </w:p>
    <w:p w14:paraId="1E32CFBC"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1 </w:t>
      </w:r>
      <w:r w:rsidRPr="00B466CB">
        <w:rPr>
          <w:rFonts w:eastAsia="Times New Roman" w:cs="Arial"/>
          <w:color w:val="000000"/>
          <w:lang w:val="en-US"/>
        </w:rPr>
        <w:t xml:space="preserve">mg </w:t>
      </w:r>
      <w:r w:rsidRPr="00B466CB">
        <w:rPr>
          <w:rFonts w:eastAsia="Times New Roman" w:cs="Arial"/>
          <w:color w:val="000000"/>
          <w:lang w:eastAsia="bg-BG"/>
        </w:rPr>
        <w:t>таблетки</w:t>
      </w:r>
    </w:p>
    <w:p w14:paraId="1E582582" w14:textId="77777777" w:rsidR="00B466CB" w:rsidRPr="00B466CB" w:rsidRDefault="00B466CB" w:rsidP="00B466CB">
      <w:pPr>
        <w:spacing w:line="240" w:lineRule="auto"/>
        <w:rPr>
          <w:rFonts w:eastAsia="Times New Roman" w:cs="Arial"/>
          <w:sz w:val="24"/>
          <w:szCs w:val="24"/>
          <w:lang w:val="en-US" w:eastAsia="bg-BG"/>
        </w:rPr>
      </w:pPr>
    </w:p>
    <w:p w14:paraId="36A3A74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2 mg tablets</w:t>
      </w:r>
    </w:p>
    <w:p w14:paraId="3F54E100" w14:textId="47F27E06"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2 mg </w:t>
      </w:r>
      <w:r w:rsidRPr="00B466CB">
        <w:rPr>
          <w:rFonts w:eastAsia="Times New Roman" w:cs="Arial"/>
          <w:color w:val="000000"/>
          <w:lang w:eastAsia="bg-BG"/>
        </w:rPr>
        <w:t>таблетки</w:t>
      </w:r>
    </w:p>
    <w:p w14:paraId="0158CF96" w14:textId="77777777" w:rsidR="00B466CB" w:rsidRPr="00B466CB" w:rsidRDefault="00B466CB" w:rsidP="00B466CB">
      <w:pPr>
        <w:spacing w:line="240" w:lineRule="auto"/>
        <w:rPr>
          <w:rFonts w:eastAsia="Times New Roman" w:cs="Arial"/>
          <w:color w:val="000000"/>
          <w:lang w:val="en-US"/>
        </w:rPr>
      </w:pPr>
    </w:p>
    <w:p w14:paraId="36489C29" w14:textId="3CD98F3C"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3 mg tablets</w:t>
      </w:r>
      <w:r w:rsidRPr="00B466CB">
        <w:rPr>
          <w:rFonts w:eastAsia="Times New Roman" w:cs="Arial"/>
          <w:color w:val="000000"/>
          <w:lang w:val="en-US"/>
        </w:rPr>
        <w:tab/>
      </w:r>
    </w:p>
    <w:p w14:paraId="1A9B9E99"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3 mg </w:t>
      </w:r>
      <w:r w:rsidRPr="00B466CB">
        <w:rPr>
          <w:rFonts w:eastAsia="Times New Roman" w:cs="Arial"/>
          <w:color w:val="000000"/>
          <w:lang w:eastAsia="bg-BG"/>
        </w:rPr>
        <w:t>таблетки</w:t>
      </w:r>
    </w:p>
    <w:p w14:paraId="3EEA4AA4" w14:textId="77777777" w:rsidR="00B466CB" w:rsidRPr="00B466CB" w:rsidRDefault="00B466CB" w:rsidP="00B466CB">
      <w:pPr>
        <w:spacing w:line="240" w:lineRule="auto"/>
        <w:rPr>
          <w:rFonts w:eastAsia="Times New Roman" w:cs="Arial"/>
          <w:color w:val="000000"/>
          <w:lang w:val="en-US"/>
        </w:rPr>
      </w:pPr>
    </w:p>
    <w:p w14:paraId="5F2014EB" w14:textId="4720585A"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4 mg tablets</w:t>
      </w:r>
    </w:p>
    <w:p w14:paraId="5015A1FD" w14:textId="6CCF6432" w:rsidR="00A73575" w:rsidRPr="00B466CB" w:rsidRDefault="00B466CB" w:rsidP="00B466CB">
      <w:pPr>
        <w:rPr>
          <w:rFonts w:cs="Arial"/>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4 mg </w:t>
      </w:r>
      <w:r w:rsidRPr="00B466CB">
        <w:rPr>
          <w:rFonts w:eastAsia="Times New Roman" w:cs="Arial"/>
          <w:color w:val="000000"/>
          <w:lang w:eastAsia="bg-BG"/>
        </w:rPr>
        <w:t>таблетки</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ACDFBB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w:t>
      </w:r>
    </w:p>
    <w:p w14:paraId="2EE49656" w14:textId="77777777" w:rsidR="00B466CB" w:rsidRPr="00B466CB" w:rsidRDefault="00B466CB" w:rsidP="00B466CB">
      <w:pPr>
        <w:spacing w:line="240" w:lineRule="auto"/>
        <w:rPr>
          <w:rFonts w:eastAsia="Times New Roman" w:cs="Arial"/>
          <w:color w:val="000000"/>
          <w:lang w:eastAsia="bg-BG"/>
        </w:rPr>
      </w:pPr>
    </w:p>
    <w:p w14:paraId="5B3F2C5E" w14:textId="2BF3468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2 </w:t>
      </w:r>
      <w:r w:rsidRPr="00B466CB">
        <w:rPr>
          <w:rFonts w:eastAsia="Times New Roman" w:cs="Arial"/>
          <w:color w:val="000000"/>
          <w:lang w:val="en-US"/>
        </w:rPr>
        <w:t>mg.</w:t>
      </w:r>
    </w:p>
    <w:p w14:paraId="3FEF517F" w14:textId="77777777" w:rsidR="00B466CB" w:rsidRPr="00B466CB" w:rsidRDefault="00B466CB" w:rsidP="00B466CB">
      <w:pPr>
        <w:spacing w:line="240" w:lineRule="auto"/>
        <w:rPr>
          <w:rFonts w:eastAsia="Times New Roman" w:cs="Arial"/>
          <w:color w:val="000000"/>
          <w:lang w:eastAsia="bg-BG"/>
        </w:rPr>
      </w:pPr>
    </w:p>
    <w:p w14:paraId="21960085" w14:textId="1268220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3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3 </w:t>
      </w:r>
      <w:r w:rsidRPr="00B466CB">
        <w:rPr>
          <w:rFonts w:eastAsia="Times New Roman" w:cs="Arial"/>
          <w:color w:val="000000"/>
          <w:lang w:val="en-US"/>
        </w:rPr>
        <w:t>mg.</w:t>
      </w:r>
    </w:p>
    <w:p w14:paraId="011D274A" w14:textId="77777777" w:rsidR="00B466CB" w:rsidRPr="00B466CB" w:rsidRDefault="00B466CB" w:rsidP="00B466CB">
      <w:pPr>
        <w:spacing w:line="240" w:lineRule="auto"/>
        <w:rPr>
          <w:rFonts w:eastAsia="Times New Roman" w:cs="Arial"/>
          <w:color w:val="000000"/>
          <w:lang w:eastAsia="bg-BG"/>
        </w:rPr>
      </w:pPr>
    </w:p>
    <w:p w14:paraId="129EB726" w14:textId="5B1649E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4 </w:t>
      </w:r>
      <w:r w:rsidRPr="00B466CB">
        <w:rPr>
          <w:rFonts w:eastAsia="Times New Roman" w:cs="Arial"/>
          <w:color w:val="000000"/>
          <w:lang w:val="en-US"/>
        </w:rPr>
        <w:t>mg.</w:t>
      </w:r>
    </w:p>
    <w:p w14:paraId="7B18C8B1" w14:textId="77777777" w:rsidR="00B466CB" w:rsidRPr="00B466CB" w:rsidRDefault="00B466CB" w:rsidP="00B466CB">
      <w:pPr>
        <w:spacing w:line="240" w:lineRule="auto"/>
        <w:rPr>
          <w:rFonts w:eastAsia="Times New Roman" w:cs="Arial"/>
          <w:color w:val="000000"/>
          <w:lang w:eastAsia="bg-BG"/>
        </w:rPr>
      </w:pPr>
    </w:p>
    <w:p w14:paraId="6DE4F58F" w14:textId="5679009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Помощни вещества: Продуктът съдържа лактоза.</w:t>
      </w:r>
    </w:p>
    <w:p w14:paraId="03110A50" w14:textId="03AD571B" w:rsidR="0091385D" w:rsidRPr="00B466CB" w:rsidRDefault="00B466CB" w:rsidP="00B466CB">
      <w:pPr>
        <w:rPr>
          <w:rFonts w:cs="Arial"/>
        </w:rPr>
      </w:pPr>
      <w:r w:rsidRPr="00B466CB">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06C9C33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w:t>
      </w:r>
    </w:p>
    <w:p w14:paraId="3AE5445C" w14:textId="77777777" w:rsidR="00B466CB" w:rsidRPr="00B466CB" w:rsidRDefault="00B466CB" w:rsidP="00B466CB">
      <w:pPr>
        <w:spacing w:line="240" w:lineRule="auto"/>
        <w:rPr>
          <w:rFonts w:eastAsia="Times New Roman" w:cs="Arial"/>
          <w:color w:val="000000"/>
          <w:lang w:eastAsia="bg-BG"/>
        </w:rPr>
      </w:pPr>
    </w:p>
    <w:p w14:paraId="25AAF153" w14:textId="77777777" w:rsidR="00B466CB" w:rsidRPr="00B466CB" w:rsidRDefault="00B466CB" w:rsidP="00B466CB">
      <w:pPr>
        <w:spacing w:line="240" w:lineRule="auto"/>
        <w:rPr>
          <w:rFonts w:eastAsia="Times New Roman" w:cs="Arial"/>
          <w:color w:val="000000"/>
          <w:lang w:val="en-US"/>
        </w:rPr>
      </w:pPr>
      <w:r w:rsidRPr="00B466CB">
        <w:rPr>
          <w:rFonts w:eastAsia="Times New Roman" w:cs="Arial"/>
          <w:color w:val="000000"/>
          <w:lang w:eastAsia="bg-BG"/>
        </w:rPr>
        <w:t xml:space="preserve">Таблетките са продълговати и биконвексни. 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8 х 4 </w:t>
      </w:r>
      <w:r w:rsidRPr="00B466CB">
        <w:rPr>
          <w:rFonts w:eastAsia="Times New Roman" w:cs="Arial"/>
          <w:color w:val="000000"/>
          <w:lang w:val="en-US"/>
        </w:rPr>
        <w:t xml:space="preserve">mm. </w:t>
      </w:r>
    </w:p>
    <w:p w14:paraId="461E10D5" w14:textId="77777777" w:rsidR="00B466CB" w:rsidRPr="00B466CB" w:rsidRDefault="00B466CB" w:rsidP="00B466CB">
      <w:pPr>
        <w:spacing w:line="240" w:lineRule="auto"/>
        <w:rPr>
          <w:rFonts w:eastAsia="Times New Roman" w:cs="Arial"/>
          <w:color w:val="000000"/>
          <w:lang w:val="en-US"/>
        </w:rPr>
      </w:pPr>
    </w:p>
    <w:p w14:paraId="0552B55A" w14:textId="29F8BAA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3 </w:t>
      </w:r>
      <w:r w:rsidRPr="00B466CB">
        <w:rPr>
          <w:rFonts w:eastAsia="Times New Roman" w:cs="Arial"/>
          <w:color w:val="000000"/>
          <w:lang w:val="en-US"/>
        </w:rPr>
        <w:t xml:space="preserve">mg </w:t>
      </w:r>
      <w:r w:rsidRPr="00B466CB">
        <w:rPr>
          <w:rFonts w:eastAsia="Times New Roman" w:cs="Arial"/>
          <w:color w:val="000000"/>
          <w:lang w:eastAsia="bg-BG"/>
        </w:rPr>
        <w:t xml:space="preserve">и 4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w:t>
      </w:r>
      <w:r w:rsidRPr="00B466CB">
        <w:rPr>
          <w:rFonts w:eastAsia="Times New Roman" w:cs="Arial"/>
          <w:color w:val="000000"/>
          <w:lang w:val="en-US"/>
        </w:rPr>
        <w:t>10x5 mm.</w:t>
      </w:r>
    </w:p>
    <w:p w14:paraId="4CAB71EA" w14:textId="77777777" w:rsidR="00B466CB" w:rsidRPr="00B466CB" w:rsidRDefault="00B466CB" w:rsidP="00B466CB">
      <w:pPr>
        <w:spacing w:line="240" w:lineRule="auto"/>
        <w:rPr>
          <w:rFonts w:eastAsia="Times New Roman" w:cs="Arial"/>
          <w:color w:val="000000"/>
          <w:lang w:eastAsia="bg-BG"/>
        </w:rPr>
      </w:pPr>
    </w:p>
    <w:p w14:paraId="51040327" w14:textId="0A7885A3"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са розови на цвят.</w:t>
      </w:r>
    </w:p>
    <w:p w14:paraId="2E42BB85" w14:textId="77777777" w:rsidR="00B466CB" w:rsidRPr="00B466CB" w:rsidRDefault="00B466CB" w:rsidP="00B466CB">
      <w:pPr>
        <w:spacing w:line="240" w:lineRule="auto"/>
        <w:rPr>
          <w:rFonts w:eastAsia="Times New Roman" w:cs="Arial"/>
          <w:color w:val="000000"/>
          <w:lang w:eastAsia="bg-BG"/>
        </w:rPr>
      </w:pPr>
    </w:p>
    <w:p w14:paraId="21F9D79F" w14:textId="683E049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са зелени на цвят.</w:t>
      </w:r>
    </w:p>
    <w:p w14:paraId="6D8CDD4E" w14:textId="77777777" w:rsidR="00B466CB" w:rsidRPr="00B466CB" w:rsidRDefault="00B466CB" w:rsidP="00B466CB">
      <w:pPr>
        <w:spacing w:line="240" w:lineRule="auto"/>
        <w:rPr>
          <w:rFonts w:eastAsia="Times New Roman" w:cs="Arial"/>
          <w:color w:val="000000"/>
          <w:lang w:eastAsia="bg-BG"/>
        </w:rPr>
      </w:pPr>
    </w:p>
    <w:p w14:paraId="08D1AA2F" w14:textId="5120ACA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3 </w:t>
      </w:r>
      <w:r w:rsidRPr="00B466CB">
        <w:rPr>
          <w:rFonts w:eastAsia="Times New Roman" w:cs="Arial"/>
          <w:color w:val="000000"/>
          <w:lang w:val="en-US"/>
        </w:rPr>
        <w:t xml:space="preserve">mg </w:t>
      </w:r>
      <w:r w:rsidRPr="00B466CB">
        <w:rPr>
          <w:rFonts w:eastAsia="Times New Roman" w:cs="Arial"/>
          <w:color w:val="000000"/>
          <w:lang w:eastAsia="bg-BG"/>
        </w:rPr>
        <w:t>са бледожълти на цвят.</w:t>
      </w:r>
    </w:p>
    <w:p w14:paraId="03243313" w14:textId="77777777" w:rsidR="00B466CB" w:rsidRPr="00B466CB" w:rsidRDefault="00B466CB" w:rsidP="00B466CB">
      <w:pPr>
        <w:rPr>
          <w:rFonts w:eastAsia="Times New Roman" w:cs="Arial"/>
          <w:color w:val="000000"/>
          <w:lang w:eastAsia="bg-BG"/>
        </w:rPr>
      </w:pPr>
    </w:p>
    <w:p w14:paraId="4129ADBB" w14:textId="5012FA96" w:rsidR="0091385D" w:rsidRPr="00B466CB" w:rsidRDefault="00B466CB" w:rsidP="00B466CB">
      <w:pPr>
        <w:rPr>
          <w:rFonts w:cs="Arial"/>
        </w:rPr>
      </w:pPr>
      <w:r w:rsidRPr="00B466CB">
        <w:rPr>
          <w:rFonts w:eastAsia="Times New Roman" w:cs="Arial"/>
          <w:color w:val="000000"/>
          <w:lang w:eastAsia="bg-BG"/>
        </w:rPr>
        <w:lastRenderedPageBreak/>
        <w:t xml:space="preserve">Таблетките Неоглим® 4 </w:t>
      </w:r>
      <w:r w:rsidRPr="00B466CB">
        <w:rPr>
          <w:rFonts w:eastAsia="Times New Roman" w:cs="Arial"/>
          <w:color w:val="000000"/>
          <w:lang w:val="en-US"/>
        </w:rPr>
        <w:t xml:space="preserve">mg </w:t>
      </w:r>
      <w:r w:rsidRPr="00B466CB">
        <w:rPr>
          <w:rFonts w:eastAsia="Times New Roman" w:cs="Arial"/>
          <w:color w:val="000000"/>
          <w:lang w:eastAsia="bg-BG"/>
        </w:rPr>
        <w:t>са светлосини на цвят.</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4B2E99C" w14:textId="7086ED38" w:rsidR="0091385D" w:rsidRDefault="00B466CB" w:rsidP="0091385D">
      <w:r>
        <w:t xml:space="preserve">Неоглим® (1, 2, 3, 4 </w:t>
      </w:r>
      <w:r>
        <w:rPr>
          <w:lang w:val="en-US"/>
        </w:rPr>
        <w:t xml:space="preserve">mg) </w:t>
      </w:r>
      <w:r>
        <w:t xml:space="preserve">е показан за лечение на </w:t>
      </w:r>
      <w:r>
        <w:rPr>
          <w:lang w:val="en-US"/>
        </w:rPr>
        <w:t xml:space="preserve">diabetes mellitus </w:t>
      </w:r>
      <w:r>
        <w:t>тип 2, когато</w:t>
      </w:r>
      <w:r>
        <w:rPr>
          <w:lang w:val="en-US"/>
        </w:rPr>
        <w:t xml:space="preserve"> </w:t>
      </w:r>
      <w:r>
        <w:t>диетата, физическите упражнения и намаляването на теглото не дават задоволителен ефект.</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6448DAD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В основата на успешното лечение на диабета са добрата диета, редовната физическа активност, както и ежедневните изследвания на кръвта и урината. Таблетките или инсулинът не могат да компенсират неспазването на препоръчителната диета от пациента.</w:t>
      </w:r>
    </w:p>
    <w:p w14:paraId="2D346453" w14:textId="77777777" w:rsidR="00B466CB" w:rsidRPr="00B466CB" w:rsidRDefault="00B466CB" w:rsidP="00B466CB">
      <w:pPr>
        <w:spacing w:line="240" w:lineRule="auto"/>
        <w:rPr>
          <w:rFonts w:eastAsia="Times New Roman" w:cs="Arial"/>
          <w:color w:val="000000"/>
          <w:lang w:eastAsia="bg-BG"/>
        </w:rPr>
      </w:pPr>
    </w:p>
    <w:p w14:paraId="5A010748" w14:textId="5F46764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Дозата определят резултатите от изследванията за съдържанието на глюкоза в кръвта и урината.</w:t>
      </w:r>
    </w:p>
    <w:p w14:paraId="7B5D1462" w14:textId="77777777" w:rsidR="00B466CB" w:rsidRPr="00B466CB" w:rsidRDefault="00B466CB" w:rsidP="00B466CB">
      <w:pPr>
        <w:spacing w:line="240" w:lineRule="auto"/>
        <w:rPr>
          <w:rFonts w:eastAsia="Times New Roman" w:cs="Arial"/>
          <w:color w:val="000000"/>
          <w:lang w:eastAsia="bg-BG"/>
        </w:rPr>
      </w:pPr>
    </w:p>
    <w:p w14:paraId="74813B6E" w14:textId="4DF9988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Началната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на ден. Ако се постигне добър контрол, тази доза може да бъде използвана за поддържаща терапия.</w:t>
      </w:r>
    </w:p>
    <w:p w14:paraId="0F12E2C3" w14:textId="77777777" w:rsidR="00B466CB" w:rsidRPr="00B466CB" w:rsidRDefault="00B466CB" w:rsidP="00B466CB">
      <w:pPr>
        <w:spacing w:line="240" w:lineRule="auto"/>
        <w:rPr>
          <w:rFonts w:eastAsia="Times New Roman" w:cs="Arial"/>
          <w:color w:val="000000"/>
          <w:lang w:eastAsia="bg-BG"/>
        </w:rPr>
      </w:pPr>
    </w:p>
    <w:p w14:paraId="1CD1E8D8" w14:textId="3CE3ED4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контролът е незадоволителен, дозата трябва да бъде увеличена на базата на гликемичния контрол, постепенно, в интервал от 1 до 2 седмици между всяко увеличение, до 2,3 или 4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18F4ACFC" w14:textId="77777777" w:rsidR="00B466CB" w:rsidRPr="00B466CB" w:rsidRDefault="00B466CB" w:rsidP="00B466CB">
      <w:pPr>
        <w:spacing w:line="240" w:lineRule="auto"/>
        <w:rPr>
          <w:rFonts w:eastAsia="Times New Roman" w:cs="Arial"/>
          <w:color w:val="000000"/>
          <w:lang w:eastAsia="bg-BG"/>
        </w:rPr>
      </w:pPr>
    </w:p>
    <w:p w14:paraId="3BDE5FF0" w14:textId="6292132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Доза повече от 4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дава по-добри резултати само в изключителни случаи. Максималната препоръчителна доза е 6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0CB335DC" w14:textId="77777777" w:rsidR="00B466CB" w:rsidRPr="00B466CB" w:rsidRDefault="00B466CB" w:rsidP="00B466CB">
      <w:pPr>
        <w:spacing w:line="240" w:lineRule="auto"/>
        <w:rPr>
          <w:rFonts w:eastAsia="Times New Roman" w:cs="Arial"/>
          <w:color w:val="000000"/>
          <w:lang w:eastAsia="bg-BG"/>
        </w:rPr>
      </w:pPr>
    </w:p>
    <w:p w14:paraId="5D13603D" w14:textId="7D9D0AC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w:t>
      </w:r>
      <w:r w:rsidRPr="00B466CB">
        <w:rPr>
          <w:rFonts w:eastAsia="Times New Roman" w:cs="Arial"/>
          <w:color w:val="000000"/>
          <w:lang w:val="en-US"/>
        </w:rPr>
        <w:t xml:space="preserve">metformin, </w:t>
      </w:r>
      <w:r w:rsidRPr="00B466CB">
        <w:rPr>
          <w:rFonts w:eastAsia="Times New Roman" w:cs="Arial"/>
          <w:color w:val="000000"/>
          <w:lang w:eastAsia="bg-BG"/>
        </w:rPr>
        <w:t xml:space="preserve">може да бъде назначена съпътстваща терапия с </w:t>
      </w:r>
      <w:r w:rsidRPr="00B466CB">
        <w:rPr>
          <w:rFonts w:eastAsia="Times New Roman" w:cs="Arial"/>
          <w:color w:val="000000"/>
          <w:lang w:val="en-US"/>
        </w:rPr>
        <w:t xml:space="preserve">glimepiride. </w:t>
      </w:r>
      <w:r w:rsidRPr="00B466CB">
        <w:rPr>
          <w:rFonts w:eastAsia="Times New Roman" w:cs="Arial"/>
          <w:color w:val="000000"/>
          <w:lang w:eastAsia="bg-BG"/>
        </w:rPr>
        <w:t xml:space="preserve">Запазвайки дозата </w:t>
      </w:r>
      <w:r w:rsidRPr="00B466CB">
        <w:rPr>
          <w:rFonts w:eastAsia="Times New Roman" w:cs="Arial"/>
          <w:color w:val="000000"/>
          <w:lang w:val="en-US"/>
        </w:rPr>
        <w:t xml:space="preserve">metformin, </w:t>
      </w:r>
      <w:r w:rsidRPr="00B466CB">
        <w:rPr>
          <w:rFonts w:eastAsia="Times New Roman" w:cs="Arial"/>
          <w:color w:val="000000"/>
          <w:lang w:eastAsia="bg-BG"/>
        </w:rPr>
        <w:t xml:space="preserve">терапията с </w:t>
      </w:r>
      <w:r w:rsidRPr="00B466CB">
        <w:rPr>
          <w:rFonts w:eastAsia="Times New Roman" w:cs="Arial"/>
          <w:color w:val="000000"/>
          <w:lang w:val="en-US"/>
        </w:rPr>
        <w:t xml:space="preserve">glimepiride </w:t>
      </w:r>
      <w:r w:rsidRPr="00B466CB">
        <w:rPr>
          <w:rFonts w:eastAsia="Times New Roman" w:cs="Arial"/>
          <w:color w:val="000000"/>
          <w:lang w:eastAsia="bg-BG"/>
        </w:rPr>
        <w:t>започва с ниска доза, след което се увеличава постепенно в зависимост от желаното ниво на метаболитен контрол, докато се достигне максималната дневна доза. Комбинираната терапия трябва да бъде започната под непосредствено лекарско наблюдение.</w:t>
      </w:r>
    </w:p>
    <w:p w14:paraId="138EDADE" w14:textId="77777777" w:rsidR="00B466CB" w:rsidRPr="00B466CB" w:rsidRDefault="00B466CB" w:rsidP="00B466CB">
      <w:pPr>
        <w:spacing w:line="240" w:lineRule="auto"/>
        <w:rPr>
          <w:rFonts w:eastAsia="Times New Roman" w:cs="Arial"/>
          <w:color w:val="000000"/>
          <w:lang w:eastAsia="bg-BG"/>
        </w:rPr>
      </w:pPr>
    </w:p>
    <w:p w14:paraId="4B5FED22" w14:textId="5225EA0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Неоглим® (1,2, 3, 4 </w:t>
      </w:r>
      <w:r w:rsidRPr="00B466CB">
        <w:rPr>
          <w:rFonts w:eastAsia="Times New Roman" w:cs="Arial"/>
          <w:color w:val="000000"/>
          <w:lang w:val="en-US"/>
        </w:rPr>
        <w:t xml:space="preserve">mg), </w:t>
      </w:r>
      <w:r w:rsidRPr="00B466CB">
        <w:rPr>
          <w:rFonts w:eastAsia="Times New Roman" w:cs="Arial"/>
          <w:color w:val="000000"/>
          <w:lang w:eastAsia="bg-BG"/>
        </w:rPr>
        <w:t xml:space="preserve">ако е необходимо, може да бъде назначена съпътстваща инсулинова терапия. Запазвайки дозата </w:t>
      </w:r>
      <w:r w:rsidRPr="00B466CB">
        <w:rPr>
          <w:rFonts w:eastAsia="Times New Roman" w:cs="Arial"/>
          <w:color w:val="000000"/>
          <w:lang w:val="en-US"/>
        </w:rPr>
        <w:t xml:space="preserve">glimepiride, </w:t>
      </w:r>
      <w:r w:rsidRPr="00B466CB">
        <w:rPr>
          <w:rFonts w:eastAsia="Times New Roman" w:cs="Arial"/>
          <w:color w:val="000000"/>
          <w:lang w:eastAsia="bg-BG"/>
        </w:rPr>
        <w:t>терапията с инсулин започва с ниска доза, след което се увеличава постепенно в зависимост от желаното ниво на метаболитен контрол. Комбинираната терапия трябва да бъде започната под непосредствено лекарско наблюдение.</w:t>
      </w:r>
    </w:p>
    <w:p w14:paraId="4822831B" w14:textId="77777777" w:rsidR="00B466CB" w:rsidRPr="00B466CB" w:rsidRDefault="00B466CB" w:rsidP="00B466CB">
      <w:pPr>
        <w:spacing w:line="240" w:lineRule="auto"/>
        <w:rPr>
          <w:rFonts w:eastAsia="Times New Roman" w:cs="Arial"/>
          <w:color w:val="000000"/>
          <w:lang w:eastAsia="bg-BG"/>
        </w:rPr>
      </w:pPr>
    </w:p>
    <w:p w14:paraId="3A191D8C" w14:textId="6A6F3A7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Обикновено еднократна дневна доза от </w:t>
      </w:r>
      <w:r w:rsidRPr="00B466CB">
        <w:rPr>
          <w:rFonts w:eastAsia="Times New Roman" w:cs="Arial"/>
          <w:color w:val="000000"/>
          <w:lang w:val="en-US"/>
        </w:rPr>
        <w:t xml:space="preserve">glimepiride </w:t>
      </w:r>
      <w:r w:rsidRPr="00B466CB">
        <w:rPr>
          <w:rFonts w:eastAsia="Times New Roman" w:cs="Arial"/>
          <w:color w:val="000000"/>
          <w:lang w:eastAsia="bg-BG"/>
        </w:rPr>
        <w:t>се оказва достатъчна. Препоръчително е тази доза да бъде приемана малко след обилна закуска или - ако няма такава - малко преди или по време на първото главно ястие.</w:t>
      </w:r>
    </w:p>
    <w:p w14:paraId="4A9E5A6E" w14:textId="77777777" w:rsidR="00B466CB" w:rsidRPr="00B466CB" w:rsidRDefault="00B466CB" w:rsidP="00B466CB">
      <w:pPr>
        <w:spacing w:line="240" w:lineRule="auto"/>
        <w:rPr>
          <w:rFonts w:eastAsia="Times New Roman" w:cs="Arial"/>
          <w:color w:val="000000"/>
          <w:lang w:eastAsia="bg-BG"/>
        </w:rPr>
      </w:pPr>
    </w:p>
    <w:p w14:paraId="708F68C9" w14:textId="6F0C6C2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Ако дозата бъде пропусната, това не трябва да се коригира посредством увеличаване на следващата доза.</w:t>
      </w:r>
    </w:p>
    <w:p w14:paraId="72102DF9" w14:textId="77777777" w:rsidR="00B466CB" w:rsidRPr="00B466CB" w:rsidRDefault="00B466CB" w:rsidP="00B466CB">
      <w:pPr>
        <w:spacing w:line="240" w:lineRule="auto"/>
        <w:rPr>
          <w:rFonts w:eastAsia="Times New Roman" w:cs="Arial"/>
          <w:color w:val="000000"/>
          <w:lang w:eastAsia="bg-BG"/>
        </w:rPr>
      </w:pPr>
    </w:p>
    <w:p w14:paraId="48B3DA8F" w14:textId="37FFF96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Таблетките трябва да се поглъщат цели, с малко количество течност.</w:t>
      </w:r>
    </w:p>
    <w:p w14:paraId="050063C0" w14:textId="77777777" w:rsidR="00B466CB" w:rsidRPr="00B466CB" w:rsidRDefault="00B466CB" w:rsidP="00B466CB">
      <w:pPr>
        <w:spacing w:line="240" w:lineRule="auto"/>
        <w:rPr>
          <w:rFonts w:eastAsia="Times New Roman" w:cs="Arial"/>
          <w:color w:val="000000"/>
          <w:lang w:eastAsia="bg-BG"/>
        </w:rPr>
      </w:pPr>
    </w:p>
    <w:p w14:paraId="36D47D63" w14:textId="71C09AD2"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при даден пациент се наблюдава хипогликемична реакция при доза 1 </w:t>
      </w:r>
      <w:r w:rsidRPr="00B466CB">
        <w:rPr>
          <w:rFonts w:eastAsia="Times New Roman" w:cs="Arial"/>
          <w:color w:val="000000"/>
          <w:lang w:val="en-US"/>
        </w:rPr>
        <w:t xml:space="preserve">mg glimepiride </w:t>
      </w:r>
      <w:r w:rsidRPr="00B466CB">
        <w:rPr>
          <w:rFonts w:eastAsia="Times New Roman" w:cs="Arial"/>
          <w:color w:val="000000"/>
          <w:lang w:eastAsia="bg-BG"/>
        </w:rPr>
        <w:t>дневно, това е знак, че той може да бъде контролиран единствено посредством диета.</w:t>
      </w:r>
    </w:p>
    <w:p w14:paraId="370AD584" w14:textId="77777777" w:rsidR="00B466CB" w:rsidRPr="00B466CB" w:rsidRDefault="00B466CB" w:rsidP="00B466CB">
      <w:pPr>
        <w:spacing w:line="240" w:lineRule="auto"/>
        <w:rPr>
          <w:rFonts w:eastAsia="Times New Roman" w:cs="Arial"/>
          <w:color w:val="000000"/>
          <w:lang w:eastAsia="bg-BG"/>
        </w:rPr>
      </w:pPr>
    </w:p>
    <w:p w14:paraId="10DB05DA" w14:textId="7AFF812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 процеса на лечението, тъй като подобрението в контрола на диабета е свързано с по- висока инсулинова чувствителност, нуждата от </w:t>
      </w:r>
      <w:r w:rsidRPr="00B466CB">
        <w:rPr>
          <w:rFonts w:eastAsia="Times New Roman" w:cs="Arial"/>
          <w:color w:val="000000"/>
          <w:lang w:val="en-US"/>
        </w:rPr>
        <w:t xml:space="preserve">glimepiride </w:t>
      </w:r>
      <w:r w:rsidRPr="00B466CB">
        <w:rPr>
          <w:rFonts w:eastAsia="Times New Roman" w:cs="Arial"/>
          <w:color w:val="000000"/>
          <w:lang w:eastAsia="bg-BG"/>
        </w:rPr>
        <w:t>може да намалее. За да се избегне хипогликемията, трябва да се помисли за своевременно намаление на дозата или спиране на лечението. Промени в дозата могат също да бъдат необходими, ако има такива в теглото или стила на живот на пациента или други фактори, които увеличават риска от хипо- или хипергликемия.</w:t>
      </w:r>
    </w:p>
    <w:p w14:paraId="6E048A8E" w14:textId="77777777" w:rsidR="00B466CB" w:rsidRPr="00B466CB" w:rsidRDefault="00B466CB" w:rsidP="00B466CB">
      <w:pPr>
        <w:rPr>
          <w:rFonts w:eastAsia="Times New Roman" w:cs="Arial"/>
          <w:b/>
          <w:bCs/>
          <w:color w:val="000000"/>
          <w:lang w:eastAsia="bg-BG"/>
        </w:rPr>
      </w:pPr>
    </w:p>
    <w:p w14:paraId="475300EC" w14:textId="35ADF7B4" w:rsidR="0091385D" w:rsidRPr="00B466CB" w:rsidRDefault="00B466CB" w:rsidP="00B466CB">
      <w:pPr>
        <w:rPr>
          <w:rFonts w:cs="Arial"/>
        </w:rPr>
      </w:pPr>
      <w:r w:rsidRPr="00B466CB">
        <w:rPr>
          <w:rFonts w:eastAsia="Times New Roman" w:cs="Arial"/>
          <w:b/>
          <w:bCs/>
          <w:color w:val="000000"/>
          <w:lang w:eastAsia="bg-BG"/>
        </w:rPr>
        <w:t>Преминаване от други орални хипогликемични агенти към Неоглим® (1.</w:t>
      </w:r>
      <w:r w:rsidRPr="00B466CB">
        <w:rPr>
          <w:rFonts w:eastAsia="Times New Roman" w:cs="Arial"/>
          <w:b/>
          <w:bCs/>
          <w:color w:val="000000"/>
          <w:lang w:val="en-US"/>
        </w:rPr>
        <w:t xml:space="preserve"> </w:t>
      </w:r>
      <w:r w:rsidRPr="00B466CB">
        <w:rPr>
          <w:rFonts w:eastAsia="Times New Roman" w:cs="Arial"/>
          <w:b/>
          <w:bCs/>
          <w:color w:val="000000"/>
          <w:lang w:eastAsia="bg-BG"/>
        </w:rPr>
        <w:t>2.</w:t>
      </w:r>
      <w:r w:rsidRPr="00B466CB">
        <w:rPr>
          <w:rFonts w:eastAsia="Times New Roman" w:cs="Arial"/>
          <w:b/>
          <w:bCs/>
          <w:color w:val="000000"/>
          <w:lang w:val="en-US"/>
        </w:rPr>
        <w:t xml:space="preserve"> </w:t>
      </w:r>
      <w:r w:rsidRPr="00B466CB">
        <w:rPr>
          <w:rFonts w:eastAsia="Times New Roman" w:cs="Arial"/>
          <w:b/>
          <w:bCs/>
          <w:color w:val="000000"/>
          <w:lang w:eastAsia="bg-BG"/>
        </w:rPr>
        <w:t>3.</w:t>
      </w:r>
      <w:r w:rsidRPr="00B466CB">
        <w:rPr>
          <w:rFonts w:eastAsia="Times New Roman" w:cs="Arial"/>
          <w:b/>
          <w:bCs/>
          <w:color w:val="000000"/>
          <w:lang w:val="en-US"/>
        </w:rPr>
        <w:t xml:space="preserve"> </w:t>
      </w:r>
      <w:r w:rsidRPr="00B466CB">
        <w:rPr>
          <w:rFonts w:eastAsia="Times New Roman" w:cs="Arial"/>
          <w:b/>
          <w:bCs/>
          <w:color w:val="000000"/>
          <w:lang w:eastAsia="bg-BG"/>
        </w:rPr>
        <w:t xml:space="preserve">4 </w:t>
      </w:r>
      <w:r w:rsidRPr="00B466CB">
        <w:rPr>
          <w:rFonts w:eastAsia="Times New Roman" w:cs="Arial"/>
          <w:b/>
          <w:bCs/>
          <w:color w:val="000000"/>
          <w:lang w:val="en-US"/>
        </w:rPr>
        <w:t>mg):</w:t>
      </w:r>
    </w:p>
    <w:p w14:paraId="6ACAF645" w14:textId="05C95E77" w:rsidR="0091385D" w:rsidRDefault="0091385D" w:rsidP="0091385D"/>
    <w:p w14:paraId="1FE470CE"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общия случай това може да бъде направено. За тази цел трябва да бъдат взети предвид силата и плазменият полуживот на предшестващия лекарствен продукт. В някои случаи, специално при антидиабетици с дълъг плазмен полуживот (напр. хлорпропамид), е препоръчителен очистващ период от няколко дни с цел да бъде намален риска от хипогликемични реакции, дължащи се на кумулативния ефект. Препоръчителната начална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В зависимост от отговора дозата </w:t>
      </w:r>
      <w:r w:rsidRPr="00B466CB">
        <w:rPr>
          <w:rFonts w:eastAsia="Times New Roman" w:cs="Arial"/>
          <w:color w:val="000000"/>
          <w:lang w:val="en-US"/>
        </w:rPr>
        <w:t xml:space="preserve">glimepiride </w:t>
      </w:r>
      <w:r w:rsidRPr="00B466CB">
        <w:rPr>
          <w:rFonts w:eastAsia="Times New Roman" w:cs="Arial"/>
          <w:color w:val="000000"/>
          <w:lang w:eastAsia="bg-BG"/>
        </w:rPr>
        <w:t>може да бъде увеличена постепенно, както е описано по-горе.</w:t>
      </w:r>
    </w:p>
    <w:p w14:paraId="19C85E43" w14:textId="77777777" w:rsidR="00B466CB" w:rsidRDefault="00B466CB" w:rsidP="00B466CB">
      <w:pPr>
        <w:spacing w:line="240" w:lineRule="auto"/>
        <w:rPr>
          <w:rFonts w:eastAsia="Times New Roman" w:cs="Arial"/>
          <w:b/>
          <w:bCs/>
          <w:color w:val="000000"/>
          <w:lang w:eastAsia="bg-BG"/>
        </w:rPr>
      </w:pPr>
      <w:bookmarkStart w:id="1" w:name="bookmark0"/>
    </w:p>
    <w:p w14:paraId="36D4F87F"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 xml:space="preserve">Преминаване от инсулин към Неоглим® (1,2,3,4 </w:t>
      </w:r>
      <w:r w:rsidRPr="00B466CB">
        <w:rPr>
          <w:rFonts w:eastAsia="Times New Roman" w:cs="Arial"/>
          <w:b/>
          <w:bCs/>
          <w:color w:val="000000"/>
          <w:lang w:val="en-US"/>
        </w:rPr>
        <w:t>mg):</w:t>
      </w:r>
      <w:bookmarkEnd w:id="1"/>
    </w:p>
    <w:p w14:paraId="234DF6E8" w14:textId="77777777" w:rsidR="00B466CB" w:rsidRDefault="00B466CB" w:rsidP="00B466CB">
      <w:pPr>
        <w:spacing w:line="240" w:lineRule="auto"/>
        <w:rPr>
          <w:rFonts w:eastAsia="Times New Roman" w:cs="Arial"/>
          <w:color w:val="000000"/>
          <w:lang w:eastAsia="bg-BG"/>
        </w:rPr>
      </w:pPr>
    </w:p>
    <w:p w14:paraId="0105E2C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изключителни случаи, когато пациенти с диабет тип 2 са лекувани с инсулин, може да бъде назначено преминаване към Неоглим® (1, 2, 3, 4 </w:t>
      </w:r>
      <w:r w:rsidRPr="00B466CB">
        <w:rPr>
          <w:rFonts w:eastAsia="Times New Roman" w:cs="Arial"/>
          <w:color w:val="000000"/>
          <w:lang w:val="en-US"/>
        </w:rPr>
        <w:t xml:space="preserve">mg). </w:t>
      </w:r>
      <w:r w:rsidRPr="00B466CB">
        <w:rPr>
          <w:rFonts w:eastAsia="Times New Roman" w:cs="Arial"/>
          <w:color w:val="000000"/>
          <w:lang w:eastAsia="bg-BG"/>
        </w:rPr>
        <w:t>То трябва да бъде предприето под непосредствено лекарско наблюдение.</w:t>
      </w:r>
    </w:p>
    <w:p w14:paraId="59DA6EA5" w14:textId="77777777" w:rsidR="00B466CB" w:rsidRDefault="00B466CB" w:rsidP="00B466CB">
      <w:pPr>
        <w:spacing w:line="240" w:lineRule="auto"/>
        <w:rPr>
          <w:rFonts w:eastAsia="Times New Roman" w:cs="Arial"/>
          <w:b/>
          <w:bCs/>
          <w:color w:val="000000"/>
          <w:lang w:eastAsia="bg-BG"/>
        </w:rPr>
      </w:pPr>
      <w:bookmarkStart w:id="2" w:name="bookmark2"/>
    </w:p>
    <w:p w14:paraId="2BD3952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Използване при пациенти с бъбречна или чернодробна недостатъчност:</w:t>
      </w:r>
      <w:bookmarkEnd w:id="2"/>
    </w:p>
    <w:p w14:paraId="6F0E8722" w14:textId="77777777" w:rsidR="00B466CB" w:rsidRDefault="00B466CB" w:rsidP="00B466CB">
      <w:pPr>
        <w:spacing w:line="240" w:lineRule="auto"/>
        <w:rPr>
          <w:rFonts w:eastAsia="Times New Roman" w:cs="Arial"/>
          <w:color w:val="000000"/>
          <w:lang w:eastAsia="bg-BG"/>
        </w:rPr>
      </w:pPr>
    </w:p>
    <w:p w14:paraId="1B630E80"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Вж. 4.3, Противопоказания.</w:t>
      </w:r>
    </w:p>
    <w:p w14:paraId="423014C0" w14:textId="77777777" w:rsidR="00B466CB" w:rsidRDefault="00B466CB" w:rsidP="00B466CB">
      <w:pPr>
        <w:spacing w:line="240" w:lineRule="auto"/>
        <w:rPr>
          <w:rFonts w:eastAsia="Times New Roman" w:cs="Arial"/>
          <w:b/>
          <w:bCs/>
          <w:color w:val="000000"/>
          <w:lang w:eastAsia="bg-BG"/>
        </w:rPr>
      </w:pPr>
      <w:bookmarkStart w:id="3" w:name="bookmark4"/>
    </w:p>
    <w:p w14:paraId="4998D1D5"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Употреба в педиатричната популация:</w:t>
      </w:r>
      <w:bookmarkEnd w:id="3"/>
    </w:p>
    <w:p w14:paraId="06B6A82E" w14:textId="77777777" w:rsidR="00B466CB" w:rsidRDefault="00B466CB" w:rsidP="00B466CB">
      <w:pPr>
        <w:rPr>
          <w:rFonts w:eastAsia="Times New Roman" w:cs="Arial"/>
          <w:color w:val="000000"/>
          <w:lang w:eastAsia="bg-BG"/>
        </w:rPr>
      </w:pPr>
    </w:p>
    <w:p w14:paraId="285EB159" w14:textId="77777777" w:rsidR="00B466CB" w:rsidRDefault="00B466CB" w:rsidP="00B466CB">
      <w:r w:rsidRPr="00B466CB">
        <w:rPr>
          <w:rFonts w:eastAsia="Times New Roman" w:cs="Arial"/>
          <w:color w:val="000000"/>
          <w:lang w:eastAsia="bg-BG"/>
        </w:rPr>
        <w:t xml:space="preserve">Няма данни относно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при деца под 8 години. Липсват достатъчно данни относно безопасност и ефикасност, и поради това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в педиатричната популация не се препоръчва.</w:t>
      </w:r>
    </w:p>
    <w:p w14:paraId="64D37961" w14:textId="53C6657E" w:rsidR="00B466CB" w:rsidRPr="0091385D" w:rsidRDefault="00B466CB" w:rsidP="0091385D"/>
    <w:p w14:paraId="28C984E8" w14:textId="0756AE28" w:rsidR="008134C8" w:rsidRDefault="002C50EE" w:rsidP="004A448E">
      <w:pPr>
        <w:pStyle w:val="Heading2"/>
      </w:pPr>
      <w:r>
        <w:t>4.3. Противопоказания</w:t>
      </w:r>
    </w:p>
    <w:p w14:paraId="2363D607" w14:textId="7D307B85" w:rsidR="0091385D" w:rsidRDefault="0091385D" w:rsidP="0091385D"/>
    <w:p w14:paraId="1008FB8E" w14:textId="16D30520"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Неоглим® (1,2,3, 4 </w:t>
      </w:r>
      <w:r w:rsidRPr="00B466CB">
        <w:rPr>
          <w:rFonts w:eastAsia="Times New Roman" w:cs="Arial"/>
          <w:color w:val="000000"/>
          <w:lang w:val="en-US"/>
        </w:rPr>
        <w:t xml:space="preserve">mg) </w:t>
      </w:r>
      <w:r w:rsidRPr="00B466CB">
        <w:rPr>
          <w:rFonts w:eastAsia="Times New Roman" w:cs="Arial"/>
          <w:color w:val="000000"/>
          <w:lang w:eastAsia="bg-BG"/>
        </w:rPr>
        <w:t>не трябва да бъде използван в следните случаи:</w:t>
      </w:r>
    </w:p>
    <w:p w14:paraId="38785B1E" w14:textId="77777777" w:rsidR="00B466CB" w:rsidRPr="00B466CB" w:rsidRDefault="00B466CB" w:rsidP="00B466CB">
      <w:pPr>
        <w:spacing w:line="240" w:lineRule="auto"/>
        <w:rPr>
          <w:rFonts w:eastAsia="Times New Roman" w:cs="Arial"/>
          <w:sz w:val="24"/>
          <w:szCs w:val="24"/>
          <w:lang w:eastAsia="bg-BG"/>
        </w:rPr>
      </w:pPr>
    </w:p>
    <w:p w14:paraId="274F2219"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инсулинозависим диабет, </w:t>
      </w:r>
    </w:p>
    <w:p w14:paraId="67C9D9EA"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диабетна кома, </w:t>
      </w:r>
    </w:p>
    <w:p w14:paraId="25296B30" w14:textId="09DFBFB3"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кетоацидоза, </w:t>
      </w:r>
    </w:p>
    <w:p w14:paraId="66939587"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остри състояния на бъбречна или чернодробна дисфункция, </w:t>
      </w:r>
    </w:p>
    <w:p w14:paraId="2973145D"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lastRenderedPageBreak/>
        <w:t>свръхчувствителност към глимепирид, други сулфанилурейни или сулфонамидни препарати, или помощните вещества в таблетката.</w:t>
      </w:r>
    </w:p>
    <w:p w14:paraId="7DA3E963" w14:textId="4FA5DF44"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Бременност и кърмене</w:t>
      </w:r>
    </w:p>
    <w:p w14:paraId="17437138" w14:textId="77777777" w:rsidR="00B466CB" w:rsidRPr="00B466CB" w:rsidRDefault="00B466CB" w:rsidP="00B466CB">
      <w:pPr>
        <w:rPr>
          <w:rFonts w:eastAsia="Times New Roman" w:cs="Arial"/>
          <w:color w:val="000000"/>
          <w:lang w:eastAsia="bg-BG"/>
        </w:rPr>
      </w:pPr>
    </w:p>
    <w:p w14:paraId="47FF9AF9" w14:textId="7C4C541A" w:rsidR="00B466CB" w:rsidRPr="00B466CB" w:rsidRDefault="00B466CB" w:rsidP="00B466CB">
      <w:pPr>
        <w:rPr>
          <w:rFonts w:cs="Arial"/>
        </w:rPr>
      </w:pPr>
      <w:r w:rsidRPr="00B466CB">
        <w:rPr>
          <w:rFonts w:eastAsia="Times New Roman" w:cs="Arial"/>
          <w:color w:val="000000"/>
          <w:lang w:eastAsia="bg-BG"/>
        </w:rPr>
        <w:t>При състояния на бъбречна или чернодробна дисфункция е наложително преминаване към инсулин.</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09802F9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3,4 </w:t>
      </w:r>
      <w:r w:rsidRPr="00B466CB">
        <w:rPr>
          <w:rFonts w:eastAsia="Times New Roman" w:cs="Arial"/>
          <w:color w:val="000000"/>
          <w:lang w:val="en-US"/>
        </w:rPr>
        <w:t xml:space="preserve">mg) </w:t>
      </w:r>
      <w:r w:rsidRPr="00B466CB">
        <w:rPr>
          <w:rFonts w:eastAsia="Times New Roman" w:cs="Arial"/>
          <w:color w:val="000000"/>
          <w:lang w:eastAsia="bg-BG"/>
        </w:rPr>
        <w:t>трябва да бъде приеман малко преди или по време на хранене.</w:t>
      </w:r>
    </w:p>
    <w:p w14:paraId="0B8DF48B" w14:textId="77777777" w:rsidR="00B466CB" w:rsidRPr="00B466CB" w:rsidRDefault="00B466CB" w:rsidP="00B466CB">
      <w:pPr>
        <w:spacing w:line="240" w:lineRule="auto"/>
        <w:rPr>
          <w:rFonts w:eastAsia="Times New Roman" w:cs="Arial"/>
          <w:color w:val="000000"/>
          <w:lang w:eastAsia="bg-BG"/>
        </w:rPr>
      </w:pPr>
    </w:p>
    <w:p w14:paraId="15AE8F59" w14:textId="26420207"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Когато отделните хранения се приемат нередовно или бъдат прескочени,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може да доведе до хипогликемия. Възможните симптоми на хипогликемия включват: главоболие, вълчи глад, гадене, повръщане, отпадналост, сънливост, нарушения в съня, безпокойство, агресивност, нарушена концентрация, напрежение и свръх-реактивност, депресия, объркване, говорни и зрителни смущения, афазия, тремор, пареза, сетивни нарушения, виене на свят, безпомощност, загуба на самоконтрол, делириум, церебрални конвулсии, сомнолентност и загуба на съзнание, включително до състояние на кома, учестено дишане и брадикардия.</w:t>
      </w:r>
    </w:p>
    <w:p w14:paraId="4D549751" w14:textId="413DD0EC" w:rsidR="00B466CB" w:rsidRPr="00B466CB" w:rsidRDefault="00B466CB" w:rsidP="00B466CB">
      <w:pPr>
        <w:spacing w:line="240" w:lineRule="auto"/>
        <w:rPr>
          <w:rFonts w:eastAsia="Times New Roman" w:cs="Arial"/>
          <w:color w:val="000000"/>
          <w:lang w:eastAsia="bg-BG"/>
        </w:rPr>
      </w:pPr>
    </w:p>
    <w:p w14:paraId="7905C22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Допълнително могат да бъдат наблюдавани признаци на адренергична регулация, такива като потене, овлажнена кожа, тревожност, тахикардия, високо кръвно налягане, сърцебиене, ангина пекторис и сърдечни аритмии.</w:t>
      </w:r>
    </w:p>
    <w:p w14:paraId="6CF5909A"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Симптомите на тежка хипогликемична атака почти винаги могат да бъдат бързо овладяни посредством незабавния прием на въглехидрати (захар). В този случай изкуствените подсладители нямат ефект.</w:t>
      </w:r>
    </w:p>
    <w:p w14:paraId="23B966B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От лечението с други сулфонилурейни препарати е известно, че независимо от първоначалните успешни мерки, хипогликемията може да се повтори.</w:t>
      </w:r>
    </w:p>
    <w:p w14:paraId="1AA5932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Тежката или продължителна хипогликемия, която временно се контролира от количество приета захар, изисква незабавно медицинско лечение и понякога хоспитализация.</w:t>
      </w:r>
    </w:p>
    <w:p w14:paraId="67867EE9" w14:textId="77777777" w:rsidR="00B466CB" w:rsidRPr="00B466CB" w:rsidRDefault="00B466CB" w:rsidP="00B466CB">
      <w:pPr>
        <w:spacing w:line="240" w:lineRule="auto"/>
        <w:rPr>
          <w:rFonts w:eastAsia="Times New Roman" w:cs="Arial"/>
          <w:color w:val="000000"/>
          <w:lang w:eastAsia="bg-BG"/>
        </w:rPr>
      </w:pPr>
    </w:p>
    <w:p w14:paraId="5D0B2CDD" w14:textId="00E836A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Факторите, благоприятстващи хипогликемията, са:</w:t>
      </w:r>
    </w:p>
    <w:p w14:paraId="4942525B"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нежелание или (по-често при по-възрастни пациент</w:t>
      </w:r>
      <w:r>
        <w:rPr>
          <w:rFonts w:eastAsia="Times New Roman" w:cs="Arial"/>
          <w:color w:val="000000"/>
          <w:lang w:eastAsia="bg-BG"/>
        </w:rPr>
        <w:t xml:space="preserve">и) невъзможност да кооперират, </w:t>
      </w:r>
    </w:p>
    <w:p w14:paraId="3FD7121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недохранване, нередовни или пропуснати</w:t>
      </w:r>
      <w:r>
        <w:rPr>
          <w:rFonts w:eastAsia="Times New Roman" w:cs="Arial"/>
          <w:color w:val="000000"/>
          <w:lang w:eastAsia="bg-BG"/>
        </w:rPr>
        <w:t xml:space="preserve"> хранения, периоди на постене, </w:t>
      </w:r>
    </w:p>
    <w:p w14:paraId="1C19C0E3"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промени в диетата, </w:t>
      </w:r>
    </w:p>
    <w:p w14:paraId="586B6EC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нарушен баланс между физическото напр</w:t>
      </w:r>
      <w:r>
        <w:rPr>
          <w:rFonts w:eastAsia="Times New Roman" w:cs="Arial"/>
          <w:color w:val="000000"/>
          <w:lang w:eastAsia="bg-BG"/>
        </w:rPr>
        <w:t xml:space="preserve">ежение и въглехидратния прием, </w:t>
      </w:r>
    </w:p>
    <w:p w14:paraId="3760960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консумация на алкохол, специално в ком</w:t>
      </w:r>
      <w:r>
        <w:rPr>
          <w:rFonts w:eastAsia="Times New Roman" w:cs="Arial"/>
          <w:color w:val="000000"/>
          <w:lang w:eastAsia="bg-BG"/>
        </w:rPr>
        <w:t xml:space="preserve">бинация с пропуснати хранения, </w:t>
      </w:r>
    </w:p>
    <w:p w14:paraId="51C8849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нарушена бъбречна функция, </w:t>
      </w:r>
    </w:p>
    <w:p w14:paraId="3773717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сер</w:t>
      </w:r>
      <w:r>
        <w:rPr>
          <w:rFonts w:eastAsia="Times New Roman" w:cs="Arial"/>
          <w:color w:val="000000"/>
          <w:lang w:eastAsia="bg-BG"/>
        </w:rPr>
        <w:t xml:space="preserve">иозна чернодробна дисфункция, </w:t>
      </w:r>
    </w:p>
    <w:p w14:paraId="302FE334"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 xml:space="preserve">предозиране с Неоглим® (1,2,3,4 </w:t>
      </w:r>
      <w:r>
        <w:rPr>
          <w:rFonts w:eastAsia="Times New Roman" w:cs="Arial"/>
          <w:color w:val="000000"/>
          <w:lang w:val="en-US"/>
        </w:rPr>
        <w:t xml:space="preserve">mg), </w:t>
      </w:r>
    </w:p>
    <w:p w14:paraId="794FB5B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някои некомпенсирани нарушения в ендокринната система, оказващи ефект върху въглехидратния метаболизъм или регулацията на хипогликемията (напр. при някои нарушения на тиреоидната функция и предната хипофиза или адр</w:t>
      </w:r>
      <w:r>
        <w:rPr>
          <w:rFonts w:eastAsia="Times New Roman" w:cs="Arial"/>
          <w:color w:val="000000"/>
          <w:lang w:eastAsia="bg-BG"/>
        </w:rPr>
        <w:t xml:space="preserve">енокортикална недостатъчност), </w:t>
      </w:r>
    </w:p>
    <w:p w14:paraId="10C4F121" w14:textId="40E7024A"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едновременно приемане на някои определени лекарства (вж. Взаимодействия с други лекарствени продукти и други форми на взаимодействие).</w:t>
      </w:r>
    </w:p>
    <w:p w14:paraId="2A445C42" w14:textId="77777777" w:rsidR="00B466CB" w:rsidRPr="00B466CB" w:rsidRDefault="00B466CB" w:rsidP="00B466CB">
      <w:pPr>
        <w:spacing w:line="240" w:lineRule="auto"/>
        <w:rPr>
          <w:rFonts w:eastAsia="Times New Roman" w:cs="Arial"/>
          <w:color w:val="000000"/>
          <w:lang w:eastAsia="bg-BG"/>
        </w:rPr>
      </w:pPr>
    </w:p>
    <w:p w14:paraId="6E634678" w14:textId="2DBF985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 xml:space="preserve">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изисква редовно следене на глюкозните нива в кръвта и урината. Допълнително се препоръчва и определяне на пропорцията на гликозилирания хемоглобин.</w:t>
      </w:r>
    </w:p>
    <w:p w14:paraId="71934E5F"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време на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изискват редовни чернодробни и хематологични изследвания (по-специално на левкоцитите и тромбоцитите).</w:t>
      </w:r>
    </w:p>
    <w:p w14:paraId="3B327831"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 време на стресови ситуации (напр. катастрофи, тежки операции, инфекции, придружени с треска и т.н.) може да бъде назначено временно преминаване към инсулинова терапия.</w:t>
      </w:r>
    </w:p>
    <w:p w14:paraId="1A39B603" w14:textId="09E84698" w:rsidR="00B466CB" w:rsidRPr="00B466CB" w:rsidRDefault="00B466CB" w:rsidP="00B466CB">
      <w:pPr>
        <w:pStyle w:val="ListParagraph"/>
        <w:numPr>
          <w:ilvl w:val="0"/>
          <w:numId w:val="37"/>
        </w:num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достатъчен опит, касаещ употребата на Неоглим® (1, 2, 3, 4 </w:t>
      </w:r>
      <w:r w:rsidRPr="00B466CB">
        <w:rPr>
          <w:rFonts w:eastAsia="Times New Roman" w:cs="Arial"/>
          <w:color w:val="000000"/>
          <w:lang w:val="en-US"/>
        </w:rPr>
        <w:t xml:space="preserve">mg) </w:t>
      </w:r>
      <w:r w:rsidRPr="00B466CB">
        <w:rPr>
          <w:rFonts w:eastAsia="Times New Roman" w:cs="Arial"/>
          <w:color w:val="000000"/>
          <w:lang w:eastAsia="bg-BG"/>
        </w:rPr>
        <w:t>при пациенти с тежки нарушения на чернодробната функция или при диализни пациенти. При такива пациенти се преминава към инсулинова терапия.</w:t>
      </w:r>
    </w:p>
    <w:p w14:paraId="1D8B0ECF" w14:textId="77777777" w:rsidR="00B466CB" w:rsidRPr="00B466CB" w:rsidRDefault="00B466CB" w:rsidP="00B466CB">
      <w:pPr>
        <w:spacing w:line="240" w:lineRule="auto"/>
        <w:rPr>
          <w:rFonts w:eastAsia="Times New Roman" w:cs="Arial"/>
          <w:color w:val="000000"/>
          <w:lang w:eastAsia="bg-BG"/>
        </w:rPr>
      </w:pPr>
    </w:p>
    <w:p w14:paraId="33084C22" w14:textId="1B94263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с </w:t>
      </w:r>
      <w:r w:rsidRPr="00B466CB">
        <w:rPr>
          <w:rFonts w:eastAsia="Times New Roman" w:cs="Arial"/>
          <w:color w:val="000000"/>
          <w:lang w:val="en-US"/>
        </w:rPr>
        <w:t>G6PD</w:t>
      </w:r>
      <w:r w:rsidRPr="00B466CB">
        <w:rPr>
          <w:rFonts w:eastAsia="Times New Roman" w:cs="Arial"/>
          <w:color w:val="000000"/>
          <w:lang w:eastAsia="bg-BG"/>
        </w:rPr>
        <w:t xml:space="preserve">-недостатъчност употребата на сулфанилурейни продукти може да доведе до появата на хемолитична анемия. Глимепирид принадлежи към класа на сулфанилурейните лекарствени продукти и поради това когато се прилага при пациенти с </w:t>
      </w:r>
      <w:r w:rsidRPr="00B466CB">
        <w:rPr>
          <w:rFonts w:eastAsia="Times New Roman" w:cs="Arial"/>
          <w:color w:val="000000"/>
          <w:lang w:val="en-US"/>
        </w:rPr>
        <w:t>G6PD</w:t>
      </w:r>
      <w:r w:rsidRPr="00B466CB">
        <w:rPr>
          <w:rFonts w:eastAsia="Times New Roman" w:cs="Arial"/>
          <w:color w:val="000000"/>
          <w:lang w:eastAsia="bg-BG"/>
        </w:rPr>
        <w:t>-недостатъчност се изисква повишено внимание и по възможност обсъждане на алтернативно лечение.</w:t>
      </w:r>
    </w:p>
    <w:p w14:paraId="45B14AF3" w14:textId="77777777" w:rsidR="00B466CB" w:rsidRPr="00B466CB" w:rsidRDefault="00B466CB" w:rsidP="00B466CB">
      <w:pPr>
        <w:spacing w:line="240" w:lineRule="auto"/>
        <w:rPr>
          <w:rFonts w:eastAsia="Times New Roman" w:cs="Arial"/>
          <w:color w:val="000000"/>
          <w:lang w:eastAsia="bg-BG"/>
        </w:rPr>
      </w:pPr>
    </w:p>
    <w:p w14:paraId="7B84C70C" w14:textId="7AC3D43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лактоза. Пациенти с редки наследствени проблеми на галактозна непоносимост, </w:t>
      </w:r>
      <w:r w:rsidRPr="00B466CB">
        <w:rPr>
          <w:rFonts w:eastAsia="Times New Roman" w:cs="Arial"/>
          <w:color w:val="000000"/>
          <w:lang w:val="en-US"/>
        </w:rPr>
        <w:t xml:space="preserve">Lapp </w:t>
      </w:r>
      <w:r w:rsidRPr="00B466CB">
        <w:rPr>
          <w:rFonts w:eastAsia="Times New Roman" w:cs="Arial"/>
          <w:color w:val="000000"/>
          <w:lang w:eastAsia="bg-BG"/>
        </w:rPr>
        <w:t>лактазна недостатъчност или глюкозо-галактозна малабсорбция не трябва да приемат този лекарствен продукт.</w:t>
      </w:r>
    </w:p>
    <w:p w14:paraId="24E3E82F" w14:textId="59C99ABC"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EE29B9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приема заедно с някои други медикаменти, може да бъде наблюдавано нежелано засилване или отслабване на хипогликемичния ефект на глимепирида. По тази причина приемът на други медикаменти трябва да става с изричното знание (или по изричното предписание) на лекуващия лекар.</w:t>
      </w:r>
    </w:p>
    <w:p w14:paraId="4E4CC1A0" w14:textId="77777777" w:rsidR="00B466CB" w:rsidRPr="00B466CB" w:rsidRDefault="00B466CB" w:rsidP="00B466CB">
      <w:pPr>
        <w:spacing w:line="240" w:lineRule="auto"/>
        <w:rPr>
          <w:rFonts w:eastAsia="Times New Roman" w:cs="Arial"/>
          <w:color w:val="000000"/>
          <w:lang w:eastAsia="bg-BG"/>
        </w:rPr>
      </w:pPr>
    </w:p>
    <w:p w14:paraId="3677A25C" w14:textId="59312B0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 базата на събрания досега опит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 с други сулфонилурейни препарати, следните взаимодействия трябва да бъдат споменати.</w:t>
      </w:r>
    </w:p>
    <w:p w14:paraId="11A530EA" w14:textId="77777777" w:rsidR="00B466CB" w:rsidRPr="00B466CB" w:rsidRDefault="00B466CB" w:rsidP="00B466CB">
      <w:pPr>
        <w:rPr>
          <w:rFonts w:eastAsia="Times New Roman" w:cs="Arial"/>
          <w:color w:val="000000"/>
          <w:lang w:eastAsia="bg-BG"/>
        </w:rPr>
      </w:pPr>
    </w:p>
    <w:p w14:paraId="172AE819" w14:textId="71ACEA4B" w:rsidR="0091385D" w:rsidRPr="00B466CB" w:rsidRDefault="00B466CB" w:rsidP="00B466CB">
      <w:pPr>
        <w:rPr>
          <w:rFonts w:cs="Arial"/>
        </w:rPr>
      </w:pPr>
      <w:r w:rsidRPr="00B466CB">
        <w:rPr>
          <w:rFonts w:eastAsia="Times New Roman" w:cs="Arial"/>
          <w:color w:val="000000"/>
          <w:lang w:eastAsia="bg-BG"/>
        </w:rPr>
        <w:t>Потенцииране на глюкозо-намаляващия ефект в кръвта и по този начин в някои случаи поява на хипогликемия, когато се приема някой от следните медикаменти, напр.:</w:t>
      </w:r>
    </w:p>
    <w:p w14:paraId="5B2761C5" w14:textId="0952499E" w:rsidR="0091385D" w:rsidRPr="00B466CB" w:rsidRDefault="0091385D" w:rsidP="0091385D">
      <w:pPr>
        <w:rPr>
          <w:rFonts w:cs="Arial"/>
        </w:rPr>
      </w:pPr>
    </w:p>
    <w:tbl>
      <w:tblPr>
        <w:tblStyle w:val="TableGrid"/>
        <w:tblW w:w="0" w:type="auto"/>
        <w:tblLook w:val="04A0" w:firstRow="1" w:lastRow="0" w:firstColumn="1" w:lastColumn="0" w:noHBand="0" w:noVBand="1"/>
      </w:tblPr>
      <w:tblGrid>
        <w:gridCol w:w="4677"/>
        <w:gridCol w:w="4673"/>
      </w:tblGrid>
      <w:tr w:rsidR="00B466CB" w14:paraId="02D805E7" w14:textId="77777777" w:rsidTr="00B466CB">
        <w:tc>
          <w:tcPr>
            <w:tcW w:w="4750" w:type="dxa"/>
          </w:tcPr>
          <w:p w14:paraId="00D1D736" w14:textId="3A18241E" w:rsidR="00B466CB" w:rsidRPr="00B466CB" w:rsidRDefault="00B466CB" w:rsidP="00B466CB">
            <w:pPr>
              <w:rPr>
                <w:rFonts w:cs="Arial"/>
              </w:rPr>
            </w:pPr>
            <w:r w:rsidRPr="00B466CB">
              <w:t>фенилбутазон, азапропазон и оксифенбутазон</w:t>
            </w:r>
          </w:p>
        </w:tc>
        <w:tc>
          <w:tcPr>
            <w:tcW w:w="4750" w:type="dxa"/>
          </w:tcPr>
          <w:p w14:paraId="0D39F0D0" w14:textId="4B2E6552" w:rsidR="00B466CB" w:rsidRPr="00B466CB" w:rsidRDefault="00B466CB" w:rsidP="00B466CB">
            <w:pPr>
              <w:rPr>
                <w:rFonts w:cs="Arial"/>
              </w:rPr>
            </w:pPr>
            <w:r w:rsidRPr="00B466CB">
              <w:t>сулфинпиразон</w:t>
            </w:r>
          </w:p>
        </w:tc>
      </w:tr>
      <w:tr w:rsidR="00B466CB" w14:paraId="1A3DB348" w14:textId="77777777" w:rsidTr="00B466CB">
        <w:tc>
          <w:tcPr>
            <w:tcW w:w="4750" w:type="dxa"/>
          </w:tcPr>
          <w:p w14:paraId="34671F96" w14:textId="4DF1CD22" w:rsidR="00B466CB" w:rsidRPr="00B466CB" w:rsidRDefault="00B466CB" w:rsidP="00B466CB">
            <w:pPr>
              <w:rPr>
                <w:rFonts w:cs="Arial"/>
              </w:rPr>
            </w:pPr>
            <w:r w:rsidRPr="00B466CB">
              <w:t>инсулин и орални антидиабетични продукти</w:t>
            </w:r>
          </w:p>
        </w:tc>
        <w:tc>
          <w:tcPr>
            <w:tcW w:w="4750" w:type="dxa"/>
          </w:tcPr>
          <w:p w14:paraId="73338336" w14:textId="50578318" w:rsidR="00B466CB" w:rsidRPr="00B466CB" w:rsidRDefault="00B466CB" w:rsidP="00B466CB">
            <w:pPr>
              <w:rPr>
                <w:rFonts w:cs="Arial"/>
              </w:rPr>
            </w:pPr>
            <w:r w:rsidRPr="00B466CB">
              <w:t>метформин</w:t>
            </w:r>
          </w:p>
        </w:tc>
      </w:tr>
      <w:tr w:rsidR="00B466CB" w14:paraId="22B1F89B" w14:textId="77777777" w:rsidTr="00B466CB">
        <w:tc>
          <w:tcPr>
            <w:tcW w:w="4750" w:type="dxa"/>
          </w:tcPr>
          <w:p w14:paraId="4C138861" w14:textId="484CFF38" w:rsidR="00B466CB" w:rsidRPr="00B466CB" w:rsidRDefault="00B466CB" w:rsidP="00B466CB">
            <w:pPr>
              <w:rPr>
                <w:rFonts w:cs="Arial"/>
              </w:rPr>
            </w:pPr>
            <w:r w:rsidRPr="00B466CB">
              <w:t>някои дългодействащи сулфонамиди</w:t>
            </w:r>
          </w:p>
        </w:tc>
        <w:tc>
          <w:tcPr>
            <w:tcW w:w="4750" w:type="dxa"/>
          </w:tcPr>
          <w:p w14:paraId="2463C60F" w14:textId="4CE7D678" w:rsidR="00B466CB" w:rsidRPr="00B466CB" w:rsidRDefault="00B466CB" w:rsidP="00B466CB">
            <w:pPr>
              <w:rPr>
                <w:rFonts w:cs="Arial"/>
              </w:rPr>
            </w:pPr>
            <w:r w:rsidRPr="00B466CB">
              <w:t>тетрациклини</w:t>
            </w:r>
          </w:p>
        </w:tc>
      </w:tr>
      <w:tr w:rsidR="00B466CB" w14:paraId="0CE9C84F" w14:textId="77777777" w:rsidTr="00B466CB">
        <w:tc>
          <w:tcPr>
            <w:tcW w:w="4750" w:type="dxa"/>
          </w:tcPr>
          <w:p w14:paraId="751B8C3D" w14:textId="77777777" w:rsidR="00B466CB" w:rsidRPr="00B466CB" w:rsidRDefault="00B466CB" w:rsidP="00B466CB">
            <w:r w:rsidRPr="00B466CB">
              <w:t>салицилати и</w:t>
            </w:r>
          </w:p>
          <w:p w14:paraId="209B0CE8" w14:textId="3CDFE769" w:rsidR="00B466CB" w:rsidRPr="00B466CB" w:rsidRDefault="00B466CB" w:rsidP="00B466CB">
            <w:pPr>
              <w:rPr>
                <w:rFonts w:cs="Arial"/>
              </w:rPr>
            </w:pPr>
            <w:r w:rsidRPr="00B466CB">
              <w:t>пара-амино-салицилова киселина</w:t>
            </w:r>
          </w:p>
        </w:tc>
        <w:tc>
          <w:tcPr>
            <w:tcW w:w="4750" w:type="dxa"/>
          </w:tcPr>
          <w:p w14:paraId="774AD567" w14:textId="74BD8CAB" w:rsidR="00B466CB" w:rsidRPr="00B466CB" w:rsidRDefault="00B466CB" w:rsidP="00B466CB">
            <w:pPr>
              <w:rPr>
                <w:rFonts w:cs="Arial"/>
              </w:rPr>
            </w:pPr>
            <w:r w:rsidRPr="00B466CB">
              <w:t>МАО-инхибитори</w:t>
            </w:r>
          </w:p>
        </w:tc>
      </w:tr>
      <w:tr w:rsidR="00B466CB" w14:paraId="3AB0C059" w14:textId="77777777" w:rsidTr="00B466CB">
        <w:tc>
          <w:tcPr>
            <w:tcW w:w="4750" w:type="dxa"/>
          </w:tcPr>
          <w:p w14:paraId="7FB623C9" w14:textId="26CA810C" w:rsidR="00B466CB" w:rsidRPr="00B466CB" w:rsidRDefault="00B466CB" w:rsidP="00B466CB">
            <w:pPr>
              <w:rPr>
                <w:rFonts w:cs="Arial"/>
              </w:rPr>
            </w:pPr>
            <w:r w:rsidRPr="00B466CB">
              <w:t>анаболни стероиди и мъжки хормони</w:t>
            </w:r>
          </w:p>
        </w:tc>
        <w:tc>
          <w:tcPr>
            <w:tcW w:w="4750" w:type="dxa"/>
          </w:tcPr>
          <w:p w14:paraId="0987D2DB" w14:textId="41C565D4" w:rsidR="00B466CB" w:rsidRPr="00B466CB" w:rsidRDefault="00B466CB" w:rsidP="00B466CB">
            <w:pPr>
              <w:rPr>
                <w:rFonts w:cs="Arial"/>
              </w:rPr>
            </w:pPr>
            <w:r w:rsidRPr="00B466CB">
              <w:t>хинолонови антибиотици</w:t>
            </w:r>
          </w:p>
        </w:tc>
      </w:tr>
      <w:tr w:rsidR="00B466CB" w14:paraId="275DE709" w14:textId="77777777" w:rsidTr="00B466CB">
        <w:tc>
          <w:tcPr>
            <w:tcW w:w="4750" w:type="dxa"/>
          </w:tcPr>
          <w:p w14:paraId="29CFF74A" w14:textId="4CE03FE5" w:rsidR="00B466CB" w:rsidRPr="00B466CB" w:rsidRDefault="00B466CB" w:rsidP="00B466CB">
            <w:pPr>
              <w:rPr>
                <w:rFonts w:cs="Arial"/>
              </w:rPr>
            </w:pPr>
            <w:r w:rsidRPr="00B466CB">
              <w:t>хлорамфеникол</w:t>
            </w:r>
          </w:p>
        </w:tc>
        <w:tc>
          <w:tcPr>
            <w:tcW w:w="4750" w:type="dxa"/>
          </w:tcPr>
          <w:p w14:paraId="2A4EAD5F" w14:textId="520011C7" w:rsidR="00B466CB" w:rsidRPr="00B466CB" w:rsidRDefault="00B466CB" w:rsidP="00B466CB">
            <w:pPr>
              <w:rPr>
                <w:rFonts w:cs="Arial"/>
              </w:rPr>
            </w:pPr>
            <w:r w:rsidRPr="00B466CB">
              <w:t>пробенецид</w:t>
            </w:r>
          </w:p>
        </w:tc>
      </w:tr>
      <w:tr w:rsidR="00B466CB" w14:paraId="0F1871DB" w14:textId="77777777" w:rsidTr="00B466CB">
        <w:tc>
          <w:tcPr>
            <w:tcW w:w="4750" w:type="dxa"/>
          </w:tcPr>
          <w:p w14:paraId="58750FB9" w14:textId="0E77DDF2" w:rsidR="00B466CB" w:rsidRDefault="00B466CB" w:rsidP="00B466CB">
            <w:pPr>
              <w:rPr>
                <w:rFonts w:cs="Arial"/>
              </w:rPr>
            </w:pPr>
            <w:r>
              <w:t>кумаринови антикоагуланти</w:t>
            </w:r>
          </w:p>
        </w:tc>
        <w:tc>
          <w:tcPr>
            <w:tcW w:w="4750" w:type="dxa"/>
          </w:tcPr>
          <w:p w14:paraId="1DE902AD" w14:textId="278A3DD8" w:rsidR="00B466CB" w:rsidRDefault="00B466CB" w:rsidP="00B466CB">
            <w:pPr>
              <w:rPr>
                <w:rFonts w:cs="Arial"/>
              </w:rPr>
            </w:pPr>
            <w:r>
              <w:t>миконазол</w:t>
            </w:r>
          </w:p>
        </w:tc>
      </w:tr>
      <w:tr w:rsidR="00B466CB" w14:paraId="0A3B36E5" w14:textId="77777777" w:rsidTr="00B466CB">
        <w:tc>
          <w:tcPr>
            <w:tcW w:w="4750" w:type="dxa"/>
          </w:tcPr>
          <w:p w14:paraId="37D48B37" w14:textId="7D735265" w:rsidR="00B466CB" w:rsidRDefault="00B466CB" w:rsidP="00B466CB">
            <w:pPr>
              <w:rPr>
                <w:rFonts w:cs="Arial"/>
              </w:rPr>
            </w:pPr>
            <w:r>
              <w:t>пентоксифилин (във високи дози, парентерално)</w:t>
            </w:r>
          </w:p>
        </w:tc>
        <w:tc>
          <w:tcPr>
            <w:tcW w:w="4750" w:type="dxa"/>
          </w:tcPr>
          <w:p w14:paraId="6FEDA0B5" w14:textId="4C2CDF1B" w:rsidR="00B466CB" w:rsidRDefault="00B466CB" w:rsidP="00B466CB">
            <w:pPr>
              <w:rPr>
                <w:rFonts w:cs="Arial"/>
              </w:rPr>
            </w:pPr>
            <w:r>
              <w:t>фенфлурамин</w:t>
            </w:r>
          </w:p>
        </w:tc>
      </w:tr>
      <w:tr w:rsidR="00B466CB" w14:paraId="53B6CEA2" w14:textId="77777777" w:rsidTr="00B466CB">
        <w:tc>
          <w:tcPr>
            <w:tcW w:w="4750" w:type="dxa"/>
          </w:tcPr>
          <w:p w14:paraId="1CB59B7A" w14:textId="7077F6BB" w:rsidR="00B466CB" w:rsidRDefault="00B466CB" w:rsidP="00B466CB">
            <w:pPr>
              <w:rPr>
                <w:rFonts w:cs="Arial"/>
              </w:rPr>
            </w:pPr>
            <w:r>
              <w:lastRenderedPageBreak/>
              <w:t>фибрата</w:t>
            </w:r>
          </w:p>
        </w:tc>
        <w:tc>
          <w:tcPr>
            <w:tcW w:w="4750" w:type="dxa"/>
          </w:tcPr>
          <w:p w14:paraId="7E1A5834" w14:textId="454161AA" w:rsidR="00B466CB" w:rsidRDefault="00B466CB" w:rsidP="00B466CB">
            <w:pPr>
              <w:rPr>
                <w:rFonts w:cs="Arial"/>
              </w:rPr>
            </w:pPr>
            <w:r>
              <w:t>тритоквалин</w:t>
            </w:r>
          </w:p>
        </w:tc>
      </w:tr>
      <w:tr w:rsidR="00B466CB" w14:paraId="18207430" w14:textId="77777777" w:rsidTr="00B466CB">
        <w:tc>
          <w:tcPr>
            <w:tcW w:w="4750" w:type="dxa"/>
          </w:tcPr>
          <w:p w14:paraId="2721ED8D" w14:textId="784C88CD" w:rsidR="00B466CB" w:rsidRDefault="00B466CB" w:rsidP="00B466CB">
            <w:pPr>
              <w:rPr>
                <w:rFonts w:cs="Arial"/>
              </w:rPr>
            </w:pPr>
            <w:r>
              <w:t>АСЕ инхибитори</w:t>
            </w:r>
          </w:p>
        </w:tc>
        <w:tc>
          <w:tcPr>
            <w:tcW w:w="4750" w:type="dxa"/>
          </w:tcPr>
          <w:p w14:paraId="5BA305C0" w14:textId="2B291CB5" w:rsidR="00B466CB" w:rsidRDefault="00B466CB" w:rsidP="00B466CB">
            <w:pPr>
              <w:rPr>
                <w:rFonts w:cs="Arial"/>
              </w:rPr>
            </w:pPr>
            <w:r>
              <w:t>флуоксетин</w:t>
            </w:r>
          </w:p>
        </w:tc>
      </w:tr>
      <w:tr w:rsidR="00B466CB" w14:paraId="25897049" w14:textId="77777777" w:rsidTr="00B466CB">
        <w:tc>
          <w:tcPr>
            <w:tcW w:w="4750" w:type="dxa"/>
          </w:tcPr>
          <w:p w14:paraId="30161C52" w14:textId="633F0586" w:rsidR="00B466CB" w:rsidRDefault="00B466CB" w:rsidP="00B466CB">
            <w:pPr>
              <w:rPr>
                <w:rFonts w:cs="Arial"/>
              </w:rPr>
            </w:pPr>
            <w:r>
              <w:t>алопуринол</w:t>
            </w:r>
          </w:p>
        </w:tc>
        <w:tc>
          <w:tcPr>
            <w:tcW w:w="4750" w:type="dxa"/>
          </w:tcPr>
          <w:p w14:paraId="5B49492F" w14:textId="03C3C13F" w:rsidR="00B466CB" w:rsidRDefault="00B466CB" w:rsidP="00B466CB">
            <w:pPr>
              <w:rPr>
                <w:rFonts w:cs="Arial"/>
              </w:rPr>
            </w:pPr>
            <w:r>
              <w:t>симпатолитици</w:t>
            </w:r>
          </w:p>
        </w:tc>
      </w:tr>
      <w:tr w:rsidR="00B466CB" w14:paraId="48CFBE68" w14:textId="77777777" w:rsidTr="00B466CB">
        <w:tc>
          <w:tcPr>
            <w:tcW w:w="4750" w:type="dxa"/>
          </w:tcPr>
          <w:p w14:paraId="24A55CB0" w14:textId="07D94004" w:rsidR="00B466CB" w:rsidRDefault="00B466CB" w:rsidP="00B466CB">
            <w:pPr>
              <w:rPr>
                <w:rFonts w:cs="Arial"/>
              </w:rPr>
            </w:pPr>
            <w:r>
              <w:t>цикло-, тро- и ифосфамиди</w:t>
            </w:r>
          </w:p>
        </w:tc>
        <w:tc>
          <w:tcPr>
            <w:tcW w:w="4750" w:type="dxa"/>
          </w:tcPr>
          <w:p w14:paraId="76E1A04E" w14:textId="77777777" w:rsidR="00B466CB" w:rsidRDefault="00B466CB" w:rsidP="00B466CB">
            <w:pPr>
              <w:rPr>
                <w:rFonts w:cs="Arial"/>
              </w:rPr>
            </w:pPr>
          </w:p>
        </w:tc>
      </w:tr>
    </w:tbl>
    <w:p w14:paraId="34DEE640" w14:textId="6633F366" w:rsidR="00B466CB" w:rsidRPr="00B466CB" w:rsidRDefault="00B466CB" w:rsidP="0091385D">
      <w:pPr>
        <w:rPr>
          <w:rFonts w:cs="Arial"/>
        </w:rPr>
      </w:pPr>
    </w:p>
    <w:p w14:paraId="720D7B33" w14:textId="0A3C49FE" w:rsidR="00B466CB" w:rsidRPr="00B466CB" w:rsidRDefault="00B466CB" w:rsidP="0091385D">
      <w:pPr>
        <w:rPr>
          <w:rFonts w:cs="Arial"/>
        </w:rPr>
      </w:pPr>
    </w:p>
    <w:p w14:paraId="2DEE962E" w14:textId="06AFD9C9"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Намаление на глюкозо-намаляващия ефект в кръвта и оттам повишени кръвни нива на глюкозата могат да се появят, когато се приема някой от следните медикаменти, напр.:</w:t>
      </w:r>
    </w:p>
    <w:p w14:paraId="2342B5BC" w14:textId="77777777" w:rsidR="00B466CB" w:rsidRPr="00B466CB" w:rsidRDefault="00B466CB" w:rsidP="00B466CB">
      <w:pPr>
        <w:spacing w:line="240" w:lineRule="auto"/>
        <w:rPr>
          <w:rFonts w:eastAsia="Times New Roman" w:cs="Arial"/>
          <w:sz w:val="24"/>
          <w:szCs w:val="24"/>
          <w:lang w:eastAsia="bg-BG"/>
        </w:rPr>
      </w:pPr>
    </w:p>
    <w:p w14:paraId="65A8F79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естрогени и прогестагени, </w:t>
      </w:r>
    </w:p>
    <w:p w14:paraId="38E5BE9B"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с</w:t>
      </w:r>
      <w:r>
        <w:rPr>
          <w:rFonts w:eastAsia="Times New Roman" w:cs="Arial"/>
          <w:color w:val="000000"/>
          <w:lang w:eastAsia="bg-BG"/>
        </w:rPr>
        <w:t xml:space="preserve">алуретици, тиазидни диуретици, </w:t>
      </w:r>
    </w:p>
    <w:p w14:paraId="78507CE7"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тирео-стимул</w:t>
      </w:r>
      <w:r>
        <w:rPr>
          <w:rFonts w:eastAsia="Times New Roman" w:cs="Arial"/>
          <w:color w:val="000000"/>
          <w:lang w:eastAsia="bg-BG"/>
        </w:rPr>
        <w:t xml:space="preserve">иращи агенти, глюкокортикоиди, </w:t>
      </w:r>
    </w:p>
    <w:p w14:paraId="007B83AD"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фенотиази</w:t>
      </w:r>
      <w:r>
        <w:rPr>
          <w:rFonts w:eastAsia="Times New Roman" w:cs="Arial"/>
          <w:color w:val="000000"/>
          <w:lang w:eastAsia="bg-BG"/>
        </w:rPr>
        <w:t xml:space="preserve">дни производни, хлорпромазин, </w:t>
      </w:r>
    </w:p>
    <w:p w14:paraId="21B225F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w:t>
      </w:r>
      <w:r>
        <w:rPr>
          <w:rFonts w:eastAsia="Times New Roman" w:cs="Arial"/>
          <w:color w:val="000000"/>
          <w:lang w:eastAsia="bg-BG"/>
        </w:rPr>
        <w:t xml:space="preserve">дреналин и симпатикомиметици, </w:t>
      </w:r>
    </w:p>
    <w:p w14:paraId="558493F0"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никотинова киселина (ви</w:t>
      </w:r>
      <w:r>
        <w:rPr>
          <w:rFonts w:eastAsia="Times New Roman" w:cs="Arial"/>
          <w:color w:val="000000"/>
          <w:lang w:eastAsia="bg-BG"/>
        </w:rPr>
        <w:t xml:space="preserve">соки дози) и нейни производни, </w:t>
      </w:r>
    </w:p>
    <w:p w14:paraId="71CFC89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лакса</w:t>
      </w:r>
      <w:r>
        <w:rPr>
          <w:rFonts w:eastAsia="Times New Roman" w:cs="Arial"/>
          <w:color w:val="000000"/>
          <w:lang w:eastAsia="bg-BG"/>
        </w:rPr>
        <w:t xml:space="preserve">тиви (продължителна употреба), </w:t>
      </w:r>
    </w:p>
    <w:p w14:paraId="6FE73CC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фенитоин, диазоксид, </w:t>
      </w:r>
    </w:p>
    <w:p w14:paraId="5D042F5C"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глюка</w:t>
      </w:r>
      <w:r>
        <w:rPr>
          <w:rFonts w:eastAsia="Times New Roman" w:cs="Arial"/>
          <w:color w:val="000000"/>
          <w:lang w:eastAsia="bg-BG"/>
        </w:rPr>
        <w:t xml:space="preserve">гон, барбитурати и рифампицин, </w:t>
      </w:r>
    </w:p>
    <w:p w14:paraId="350431FC" w14:textId="62972F73"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ацетозоламид.</w:t>
      </w:r>
    </w:p>
    <w:p w14:paraId="05D669D2" w14:textId="77777777" w:rsidR="00B466CB" w:rsidRPr="00B466CB" w:rsidRDefault="00B466CB" w:rsidP="00B466CB">
      <w:pPr>
        <w:spacing w:line="240" w:lineRule="auto"/>
        <w:rPr>
          <w:rFonts w:eastAsia="Times New Roman" w:cs="Arial"/>
          <w:color w:val="000000"/>
          <w:lang w:eastAsia="bg-BG"/>
        </w:rPr>
      </w:pPr>
    </w:p>
    <w:p w14:paraId="7CFE7120" w14:textId="5142AC3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Н2-антагонистите, бета-блокерите, клонидинът и резерпинът могат да доведат или до потенцииране, или до намаление на глюкозо-намаляващия ефект в кръвта.</w:t>
      </w:r>
    </w:p>
    <w:p w14:paraId="3DE2FE7E" w14:textId="77777777" w:rsidR="00B466CB" w:rsidRPr="00B466CB" w:rsidRDefault="00B466CB" w:rsidP="00B466CB">
      <w:pPr>
        <w:spacing w:line="240" w:lineRule="auto"/>
        <w:rPr>
          <w:rFonts w:eastAsia="Times New Roman" w:cs="Arial"/>
          <w:color w:val="000000"/>
          <w:lang w:eastAsia="bg-BG"/>
        </w:rPr>
      </w:pPr>
    </w:p>
    <w:p w14:paraId="4846DDFF" w14:textId="0DA63F9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Под влиянието на симпатолитични лекарства като бета-блокерите, клонидина, гуанегидина и резерпина признаците на адренергична регулация на хипогликемията могат да бъдат редуцирани или да изчезнат.</w:t>
      </w:r>
    </w:p>
    <w:p w14:paraId="57CE30FE" w14:textId="77777777" w:rsidR="00B466CB" w:rsidRPr="00B466CB" w:rsidRDefault="00B466CB" w:rsidP="00B466CB">
      <w:pPr>
        <w:rPr>
          <w:rFonts w:eastAsia="Times New Roman" w:cs="Arial"/>
          <w:color w:val="000000"/>
          <w:lang w:eastAsia="bg-BG"/>
        </w:rPr>
      </w:pPr>
    </w:p>
    <w:p w14:paraId="45EF4F7E" w14:textId="3479A0C9" w:rsidR="00B466CB" w:rsidRDefault="00B466CB" w:rsidP="00B466CB">
      <w:pPr>
        <w:rPr>
          <w:rFonts w:eastAsia="Times New Roman" w:cs="Arial"/>
          <w:color w:val="000000"/>
          <w:lang w:eastAsia="bg-BG"/>
        </w:rPr>
      </w:pPr>
      <w:r w:rsidRPr="00B466CB">
        <w:rPr>
          <w:rFonts w:eastAsia="Times New Roman" w:cs="Arial"/>
          <w:color w:val="000000"/>
          <w:lang w:eastAsia="bg-BG"/>
        </w:rPr>
        <w:t>Приемът на алкохол може да потенциира или намали хипогликемичния ефект на глимепирида по непредсказуем начин.</w:t>
      </w:r>
    </w:p>
    <w:p w14:paraId="391A15DD" w14:textId="38C586C4" w:rsidR="00B466CB" w:rsidRDefault="00B466CB" w:rsidP="00B466CB">
      <w:pPr>
        <w:rPr>
          <w:rFonts w:eastAsia="Times New Roman" w:cs="Arial"/>
          <w:color w:val="000000"/>
          <w:lang w:eastAsia="bg-BG"/>
        </w:rPr>
      </w:pPr>
    </w:p>
    <w:p w14:paraId="0CCFF1FC" w14:textId="4B33A802" w:rsidR="00B466CB" w:rsidRPr="00B466CB" w:rsidRDefault="00B466CB" w:rsidP="00B466CB">
      <w:pPr>
        <w:rPr>
          <w:rFonts w:cs="Arial"/>
        </w:rPr>
      </w:pPr>
      <w:r>
        <w:rPr>
          <w:lang w:val="en-US"/>
        </w:rPr>
        <w:t xml:space="preserve">Glimepiride </w:t>
      </w:r>
      <w:r>
        <w:t>може или да потенциира, или да намали ефектите на кумариновите производни.</w:t>
      </w:r>
    </w:p>
    <w:p w14:paraId="336BA5C9" w14:textId="77777777" w:rsidR="00B466CB" w:rsidRPr="0091385D" w:rsidRDefault="00B466CB"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719DA6" w14:textId="77777777" w:rsidR="00B466CB" w:rsidRPr="008F587E" w:rsidRDefault="00B466CB" w:rsidP="008F587E">
      <w:pPr>
        <w:pStyle w:val="Heading3"/>
        <w:rPr>
          <w:rFonts w:eastAsia="Times New Roman"/>
          <w:u w:val="single"/>
          <w:lang w:eastAsia="bg-BG"/>
        </w:rPr>
      </w:pPr>
      <w:r w:rsidRPr="008F587E">
        <w:rPr>
          <w:rFonts w:eastAsia="Times New Roman"/>
          <w:u w:val="single"/>
          <w:lang w:eastAsia="bg-BG"/>
        </w:rPr>
        <w:t>Бременност:</w:t>
      </w:r>
    </w:p>
    <w:p w14:paraId="74C0A7FE" w14:textId="77777777" w:rsidR="00B466CB" w:rsidRPr="00B466CB" w:rsidRDefault="00B466CB" w:rsidP="00B466CB">
      <w:pPr>
        <w:spacing w:line="240" w:lineRule="auto"/>
        <w:rPr>
          <w:rFonts w:eastAsia="Times New Roman" w:cs="Arial"/>
          <w:color w:val="000000"/>
          <w:lang w:eastAsia="bg-BG"/>
        </w:rPr>
      </w:pPr>
    </w:p>
    <w:p w14:paraId="58B9A4A6" w14:textId="01AC5C68"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Необичайни нива на кръвната захар по време на бременност са свързани с по-често възникване на вродени аномалии и перинатална смъртност. Ето защо нивата на кръвната захар трябва да бъдат стриктно следени по време на бременността с цел избягване на тератогенен риск.</w:t>
      </w:r>
    </w:p>
    <w:p w14:paraId="5CE0863A" w14:textId="77777777" w:rsidR="00B466CB" w:rsidRPr="00B466CB" w:rsidRDefault="00B466CB" w:rsidP="00B466CB">
      <w:pPr>
        <w:spacing w:line="240" w:lineRule="auto"/>
        <w:rPr>
          <w:rFonts w:eastAsia="Times New Roman" w:cs="Arial"/>
          <w:color w:val="000000"/>
          <w:lang w:eastAsia="bg-BG"/>
        </w:rPr>
      </w:pPr>
    </w:p>
    <w:p w14:paraId="64EE48BF" w14:textId="4C61BEC6"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достатъчно данни за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при бременни жени.</w:t>
      </w:r>
    </w:p>
    <w:p w14:paraId="4D6597F0" w14:textId="77777777" w:rsidR="00B466CB" w:rsidRPr="00B466CB" w:rsidRDefault="00B466CB" w:rsidP="00B466CB">
      <w:pPr>
        <w:spacing w:line="240" w:lineRule="auto"/>
        <w:rPr>
          <w:rFonts w:eastAsia="Times New Roman" w:cs="Arial"/>
          <w:color w:val="000000"/>
          <w:lang w:eastAsia="bg-BG"/>
        </w:rPr>
      </w:pPr>
    </w:p>
    <w:p w14:paraId="2469BC6D" w14:textId="2C8A36D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тези причини Неоглим® (1, 2, 3, 4 </w:t>
      </w:r>
      <w:r w:rsidRPr="00B466CB">
        <w:rPr>
          <w:rFonts w:eastAsia="Times New Roman" w:cs="Arial"/>
          <w:color w:val="000000"/>
          <w:lang w:val="en-US"/>
        </w:rPr>
        <w:t xml:space="preserve">mg) </w:t>
      </w:r>
      <w:r w:rsidRPr="00B466CB">
        <w:rPr>
          <w:rFonts w:eastAsia="Times New Roman" w:cs="Arial"/>
          <w:color w:val="000000"/>
          <w:lang w:eastAsia="bg-BG"/>
        </w:rPr>
        <w:t>е противопоказан по време на бременност. В тази ситуация се изисква употребата на инсулин. Пациентки, които планират забременяване, трябва да информират лекуващия си лекар.</w:t>
      </w:r>
    </w:p>
    <w:p w14:paraId="29089A7A" w14:textId="77777777" w:rsidR="00B466CB" w:rsidRPr="00B466CB" w:rsidRDefault="00B466CB" w:rsidP="00B466CB">
      <w:pPr>
        <w:spacing w:line="240" w:lineRule="auto"/>
        <w:rPr>
          <w:rFonts w:eastAsia="Times New Roman" w:cs="Arial"/>
          <w:i/>
          <w:iCs/>
          <w:color w:val="000000"/>
          <w:lang w:eastAsia="bg-BG"/>
        </w:rPr>
      </w:pPr>
    </w:p>
    <w:p w14:paraId="076E70CD" w14:textId="4D82ABE0" w:rsidR="00B466CB" w:rsidRPr="008F587E" w:rsidRDefault="00B466CB" w:rsidP="008F587E">
      <w:pPr>
        <w:pStyle w:val="Heading3"/>
        <w:rPr>
          <w:rFonts w:eastAsia="Times New Roman"/>
          <w:u w:val="single"/>
          <w:lang w:eastAsia="bg-BG"/>
        </w:rPr>
      </w:pPr>
      <w:r w:rsidRPr="008F587E">
        <w:rPr>
          <w:rFonts w:eastAsia="Times New Roman"/>
          <w:u w:val="single"/>
          <w:lang w:eastAsia="bg-BG"/>
        </w:rPr>
        <w:t>Кърмене:</w:t>
      </w:r>
    </w:p>
    <w:p w14:paraId="074C6F56" w14:textId="77777777" w:rsidR="00B466CB" w:rsidRPr="00B466CB" w:rsidRDefault="00B466CB" w:rsidP="00B466CB">
      <w:pPr>
        <w:rPr>
          <w:rFonts w:eastAsia="Times New Roman" w:cs="Arial"/>
          <w:color w:val="000000"/>
          <w:lang w:eastAsia="bg-BG"/>
        </w:rPr>
      </w:pPr>
    </w:p>
    <w:p w14:paraId="776662C5" w14:textId="4A1AF597" w:rsidR="0091385D" w:rsidRPr="00B466CB" w:rsidRDefault="00B466CB" w:rsidP="00B466CB">
      <w:pPr>
        <w:rPr>
          <w:rFonts w:cs="Arial"/>
        </w:rPr>
      </w:pPr>
      <w:r w:rsidRPr="00B466CB">
        <w:rPr>
          <w:rFonts w:eastAsia="Times New Roman" w:cs="Arial"/>
          <w:color w:val="000000"/>
          <w:lang w:eastAsia="bg-BG"/>
        </w:rPr>
        <w:t xml:space="preserve">Тъй като сулфонилурейните производни като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преминават в кърмата, Неоглим® (1, 2, 3, 4 </w:t>
      </w:r>
      <w:r w:rsidRPr="00B466CB">
        <w:rPr>
          <w:rFonts w:eastAsia="Times New Roman" w:cs="Arial"/>
          <w:color w:val="000000"/>
          <w:lang w:val="en-US"/>
        </w:rPr>
        <w:t xml:space="preserve">mg) </w:t>
      </w:r>
      <w:r w:rsidRPr="00B466CB">
        <w:rPr>
          <w:rFonts w:eastAsia="Times New Roman" w:cs="Arial"/>
          <w:color w:val="000000"/>
          <w:lang w:eastAsia="bg-BG"/>
        </w:rPr>
        <w:t>не трябва да се приема от кърмещи майки поради риск от възникване на хипогликемия при кърмачето.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1A339904"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Способността на пациента да се концентрира и реагира може да бъде нарушена в резултат на хипогликемия или хипергликемия, или напр. в резултат на нарушено зрение. Това може да представлява риск в ситуации, когато тези способности са от особено важно значение (напр. шофиране или управление на машини).</w:t>
      </w:r>
    </w:p>
    <w:p w14:paraId="2B4135A6" w14:textId="4881F290" w:rsidR="0091385D" w:rsidRPr="008F587E" w:rsidRDefault="00B466CB" w:rsidP="00B466CB">
      <w:pPr>
        <w:rPr>
          <w:rFonts w:cs="Arial"/>
        </w:rPr>
      </w:pPr>
      <w:r w:rsidRPr="008F587E">
        <w:rPr>
          <w:rFonts w:eastAsia="Times New Roman" w:cs="Arial"/>
          <w:color w:val="000000"/>
          <w:lang w:eastAsia="bg-BG"/>
        </w:rPr>
        <w:t>Пациентите трябва да бъдат предупреждавани да вземат предпазни мерки, за да избягват хипогликемията по време на шофиране. Това е особено важно за онези пациенти, при които е намалена или липсва способността за оценка на предупредителните симптоми на хипогликемията или които имат чести такива епизоди. Трябва да се прецени дали въобще е удачно да се шофира или да се управляват машини при тези обстоятелства.</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3F745308"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xml:space="preserve">На базата на събрания клиничен опит с Неоглим® (1, 2, 3, 4 </w:t>
      </w:r>
      <w:r w:rsidRPr="008F587E">
        <w:rPr>
          <w:rFonts w:eastAsia="Times New Roman" w:cs="Arial"/>
          <w:color w:val="000000"/>
          <w:lang w:val="en-US"/>
        </w:rPr>
        <w:t xml:space="preserve">mg) </w:t>
      </w:r>
      <w:r w:rsidRPr="008F587E">
        <w:rPr>
          <w:rFonts w:eastAsia="Times New Roman" w:cs="Arial"/>
          <w:color w:val="000000"/>
          <w:lang w:eastAsia="bg-BG"/>
        </w:rPr>
        <w:t>и други сулфанилурейни препарати трябва да бъдат споменати следните нежелани лекарствени реакции, изредени по системо-органен клас и в ред на намаляваща честота (много чести</w:t>
      </w:r>
    </w:p>
    <w:p w14:paraId="6CA22F19"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1/10; чести: ≥ 1/100 до &lt; 1/10; нечести: ≥ 1/1000 до &lt; 1/100; редки: ≥ 1/10000 до &lt; 1/1000; много редки &lt; 1/10000), с неизвестна чесота (от наличните данни не може да бъде направено оценка).</w:t>
      </w:r>
    </w:p>
    <w:p w14:paraId="2F9403A2" w14:textId="77777777" w:rsidR="008F587E" w:rsidRPr="008F587E" w:rsidRDefault="008F587E" w:rsidP="008F587E">
      <w:pPr>
        <w:spacing w:line="240" w:lineRule="auto"/>
        <w:rPr>
          <w:rFonts w:eastAsia="Times New Roman" w:cs="Arial"/>
          <w:b/>
          <w:bCs/>
          <w:color w:val="000000"/>
          <w:lang w:eastAsia="bg-BG"/>
        </w:rPr>
      </w:pPr>
    </w:p>
    <w:p w14:paraId="24F5C014" w14:textId="37FE3DC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имунната система</w:t>
      </w:r>
    </w:p>
    <w:p w14:paraId="585B7846" w14:textId="77777777" w:rsidR="008F587E" w:rsidRPr="008F587E" w:rsidRDefault="008F587E" w:rsidP="008F587E">
      <w:pPr>
        <w:spacing w:line="240" w:lineRule="auto"/>
        <w:rPr>
          <w:rFonts w:eastAsia="Times New Roman" w:cs="Arial"/>
          <w:color w:val="000000"/>
          <w:lang w:eastAsia="bg-BG"/>
        </w:rPr>
      </w:pPr>
    </w:p>
    <w:p w14:paraId="02D68B9F" w14:textId="5C5C349E"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леки реакции на свръхчувствителност, които могат да се развият в сериозни реакции с диспнея, падане на кръвното налягане и понякога анафилактичен, шок; алергичен васкулит.</w:t>
      </w:r>
    </w:p>
    <w:p w14:paraId="5B26C1BE" w14:textId="77777777" w:rsidR="008F587E" w:rsidRPr="008F587E" w:rsidRDefault="008F587E" w:rsidP="008F587E">
      <w:pPr>
        <w:rPr>
          <w:rFonts w:eastAsia="Times New Roman" w:cs="Arial"/>
          <w:color w:val="000000"/>
          <w:lang w:eastAsia="bg-BG"/>
        </w:rPr>
      </w:pPr>
    </w:p>
    <w:p w14:paraId="570508C4" w14:textId="4821FE54" w:rsidR="0091385D" w:rsidRPr="008F587E" w:rsidRDefault="008F587E" w:rsidP="008F587E">
      <w:pPr>
        <w:rPr>
          <w:rFonts w:cs="Arial"/>
        </w:rPr>
      </w:pPr>
      <w:r w:rsidRPr="008F587E">
        <w:rPr>
          <w:rFonts w:eastAsia="Times New Roman" w:cs="Arial"/>
          <w:color w:val="000000"/>
          <w:lang w:eastAsia="bg-BG"/>
        </w:rPr>
        <w:t>Възможна е кръстосана алергия със сулфанилурейни, сулфонамидни и други подобни. лекарствени продукти.</w:t>
      </w:r>
    </w:p>
    <w:p w14:paraId="43E3C48F" w14:textId="62B68245" w:rsidR="0091385D" w:rsidRDefault="0091385D" w:rsidP="0091385D"/>
    <w:p w14:paraId="3B9729C1"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кръвта и лимфната система</w:t>
      </w:r>
    </w:p>
    <w:p w14:paraId="3309EF0A" w14:textId="77777777" w:rsidR="008F587E" w:rsidRPr="008F587E" w:rsidRDefault="008F587E" w:rsidP="008F587E">
      <w:pPr>
        <w:spacing w:line="240" w:lineRule="auto"/>
        <w:rPr>
          <w:rFonts w:eastAsia="Times New Roman" w:cs="Arial"/>
          <w:color w:val="000000"/>
          <w:lang w:eastAsia="bg-BG"/>
        </w:rPr>
      </w:pPr>
    </w:p>
    <w:p w14:paraId="3129AF4D" w14:textId="1B9B61F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w:t>
      </w:r>
      <w:r w:rsidRPr="008F587E">
        <w:rPr>
          <w:rFonts w:eastAsia="Times New Roman" w:cs="Arial"/>
          <w:color w:val="000000"/>
          <w:lang w:eastAsia="bg-BG"/>
        </w:rPr>
        <w:tab/>
        <w:t>умерена до тежка тромбоцитопения, левкопения, еритроцитопения,</w:t>
      </w:r>
    </w:p>
    <w:p w14:paraId="2736DCD0"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гранулоцитопения, агранулоцитоза, хемолитична анемия и панцитопения.</w:t>
      </w:r>
    </w:p>
    <w:p w14:paraId="4580E108" w14:textId="77777777" w:rsidR="008F587E" w:rsidRPr="008F587E" w:rsidRDefault="008F587E" w:rsidP="008F587E">
      <w:pPr>
        <w:spacing w:line="240" w:lineRule="auto"/>
        <w:rPr>
          <w:rFonts w:eastAsia="Times New Roman" w:cs="Arial"/>
          <w:color w:val="000000"/>
          <w:lang w:eastAsia="bg-BG"/>
        </w:rPr>
      </w:pPr>
    </w:p>
    <w:p w14:paraId="7EC1E81B" w14:textId="1F240FDA"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общия случай тези промени са обратими след прекъсване на лечението.</w:t>
      </w:r>
    </w:p>
    <w:p w14:paraId="1C7BF482" w14:textId="77777777" w:rsidR="008F587E" w:rsidRPr="008F587E" w:rsidRDefault="008F587E" w:rsidP="008F587E">
      <w:pPr>
        <w:spacing w:line="240" w:lineRule="auto"/>
        <w:rPr>
          <w:rFonts w:eastAsia="Times New Roman" w:cs="Arial"/>
          <w:b/>
          <w:bCs/>
          <w:color w:val="000000"/>
          <w:lang w:eastAsia="bg-BG"/>
        </w:rPr>
      </w:pPr>
    </w:p>
    <w:p w14:paraId="6FF25E20" w14:textId="7C45CAA4"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метаболизма и храненето</w:t>
      </w:r>
    </w:p>
    <w:p w14:paraId="2D2DE682" w14:textId="77777777" w:rsidR="008F587E" w:rsidRPr="008F587E" w:rsidRDefault="008F587E" w:rsidP="008F587E">
      <w:pPr>
        <w:spacing w:line="240" w:lineRule="auto"/>
        <w:rPr>
          <w:rFonts w:eastAsia="Times New Roman" w:cs="Arial"/>
          <w:color w:val="000000"/>
          <w:lang w:eastAsia="bg-BG"/>
        </w:rPr>
      </w:pPr>
    </w:p>
    <w:p w14:paraId="4011D774" w14:textId="5A5FEDA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 хипогликемия.</w:t>
      </w:r>
    </w:p>
    <w:p w14:paraId="3455C21D" w14:textId="77777777" w:rsidR="008F587E" w:rsidRPr="008F587E" w:rsidRDefault="008F587E" w:rsidP="008F587E">
      <w:pPr>
        <w:spacing w:line="240" w:lineRule="auto"/>
        <w:rPr>
          <w:rFonts w:eastAsia="Times New Roman" w:cs="Arial"/>
          <w:color w:val="000000"/>
          <w:lang w:eastAsia="bg-BG"/>
        </w:rPr>
      </w:pPr>
    </w:p>
    <w:p w14:paraId="0783514A" w14:textId="54F0C8D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Най-често тези реакции се проявяват внезапно, като могат да бъдат тежки и не винаги лесни за овладяване. Появата на такива реакции зависи, както и при други хипогликемични терапии, от индивидуални фактори, такива като хранителни навици и дозировка (вж. “Специални предупреждения и предпазни мерки при употреба”).</w:t>
      </w:r>
    </w:p>
    <w:p w14:paraId="20F44BF7" w14:textId="77777777" w:rsidR="008F587E" w:rsidRPr="008F587E" w:rsidRDefault="008F587E" w:rsidP="008F587E">
      <w:pPr>
        <w:spacing w:line="240" w:lineRule="auto"/>
        <w:rPr>
          <w:rFonts w:eastAsia="Times New Roman" w:cs="Arial"/>
          <w:b/>
          <w:bCs/>
          <w:color w:val="000000"/>
          <w:lang w:eastAsia="bg-BG"/>
        </w:rPr>
      </w:pPr>
    </w:p>
    <w:p w14:paraId="53D236AF" w14:textId="59049C7D"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очите</w:t>
      </w:r>
    </w:p>
    <w:p w14:paraId="11DD2E7E" w14:textId="77777777" w:rsidR="008F587E" w:rsidRPr="008F587E" w:rsidRDefault="008F587E" w:rsidP="008F587E">
      <w:pPr>
        <w:spacing w:line="240" w:lineRule="auto"/>
        <w:rPr>
          <w:rFonts w:eastAsia="Times New Roman" w:cs="Arial"/>
          <w:color w:val="000000"/>
          <w:lang w:eastAsia="bg-BG"/>
        </w:rPr>
      </w:pPr>
    </w:p>
    <w:p w14:paraId="4288B742" w14:textId="5713136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Поради промени в кръвните нива на глюкозата са възможни временни зрителни нарушения, особено в началото на терапията.</w:t>
      </w:r>
    </w:p>
    <w:p w14:paraId="49D6A1B7" w14:textId="77777777" w:rsidR="008F587E" w:rsidRPr="008F587E" w:rsidRDefault="008F587E" w:rsidP="008F587E">
      <w:pPr>
        <w:spacing w:line="240" w:lineRule="auto"/>
        <w:rPr>
          <w:rFonts w:eastAsia="Times New Roman" w:cs="Arial"/>
          <w:b/>
          <w:bCs/>
          <w:color w:val="000000"/>
          <w:lang w:eastAsia="bg-BG"/>
        </w:rPr>
      </w:pPr>
      <w:bookmarkStart w:id="4" w:name="bookmark6"/>
    </w:p>
    <w:p w14:paraId="11EB3718" w14:textId="6D4D4ED8"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Стомашно-чревни нарушения</w:t>
      </w:r>
      <w:bookmarkEnd w:id="4"/>
    </w:p>
    <w:p w14:paraId="7F8E7D52" w14:textId="77777777" w:rsidR="008F587E" w:rsidRPr="008F587E" w:rsidRDefault="008F587E" w:rsidP="008F587E">
      <w:pPr>
        <w:spacing w:line="240" w:lineRule="auto"/>
        <w:rPr>
          <w:rFonts w:eastAsia="Times New Roman" w:cs="Arial"/>
          <w:color w:val="000000"/>
          <w:lang w:eastAsia="bg-BG"/>
        </w:rPr>
      </w:pPr>
    </w:p>
    <w:p w14:paraId="07AD5E93" w14:textId="4A06BD06"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гадене, повръщане и диария, тежест или чувство на запълненост в стомаха, както и стомашни болки, коитоводят до прекъсване на терапията.</w:t>
      </w:r>
    </w:p>
    <w:p w14:paraId="5072CB3E" w14:textId="77777777" w:rsidR="008F587E" w:rsidRPr="008F587E" w:rsidRDefault="008F587E" w:rsidP="008F587E">
      <w:pPr>
        <w:spacing w:line="240" w:lineRule="auto"/>
        <w:rPr>
          <w:rFonts w:eastAsia="Times New Roman" w:cs="Arial"/>
          <w:b/>
          <w:bCs/>
          <w:color w:val="000000"/>
          <w:lang w:eastAsia="bg-BG"/>
        </w:rPr>
      </w:pPr>
      <w:bookmarkStart w:id="5" w:name="bookmark8"/>
    </w:p>
    <w:p w14:paraId="2111F27D" w14:textId="186AB37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Хенато-билиарни нарушения</w:t>
      </w:r>
      <w:bookmarkEnd w:id="5"/>
    </w:p>
    <w:p w14:paraId="1D8375AC" w14:textId="77777777" w:rsidR="008F587E" w:rsidRPr="008F587E" w:rsidRDefault="008F587E" w:rsidP="008F587E">
      <w:pPr>
        <w:spacing w:line="240" w:lineRule="auto"/>
        <w:rPr>
          <w:rFonts w:eastAsia="Times New Roman" w:cs="Arial"/>
          <w:color w:val="000000"/>
          <w:lang w:eastAsia="bg-BG"/>
        </w:rPr>
      </w:pPr>
    </w:p>
    <w:p w14:paraId="48906B05" w14:textId="5EEBF784"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Възможно е покачване нивото на чернодробните ензими.</w:t>
      </w:r>
    </w:p>
    <w:p w14:paraId="67666ED6" w14:textId="5E533962"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нарушение на чернодробната функция (напр. холестаза и жълтеница), както и хепатит, който може да прогресира в спиране функциите на черния дроб.</w:t>
      </w:r>
    </w:p>
    <w:p w14:paraId="32600BF0" w14:textId="77777777" w:rsidR="008F587E" w:rsidRPr="008F587E" w:rsidRDefault="008F587E" w:rsidP="008F587E">
      <w:pPr>
        <w:spacing w:line="240" w:lineRule="auto"/>
        <w:rPr>
          <w:rFonts w:eastAsia="Times New Roman" w:cs="Arial"/>
          <w:b/>
          <w:bCs/>
          <w:color w:val="000000"/>
          <w:lang w:eastAsia="bg-BG"/>
        </w:rPr>
      </w:pPr>
      <w:bookmarkStart w:id="6" w:name="bookmark10"/>
    </w:p>
    <w:p w14:paraId="5FB707A5" w14:textId="5085A6E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кожата и подкожната тъкан</w:t>
      </w:r>
      <w:bookmarkEnd w:id="6"/>
    </w:p>
    <w:p w14:paraId="616C3B59" w14:textId="77777777" w:rsidR="008F587E" w:rsidRPr="008F587E" w:rsidRDefault="008F587E" w:rsidP="008F587E">
      <w:pPr>
        <w:spacing w:line="240" w:lineRule="auto"/>
        <w:rPr>
          <w:rFonts w:eastAsia="Times New Roman" w:cs="Arial"/>
          <w:color w:val="000000"/>
          <w:lang w:eastAsia="bg-BG"/>
        </w:rPr>
      </w:pPr>
    </w:p>
    <w:p w14:paraId="0BAD211B" w14:textId="29B6B5E1"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реакции на свръхчувствителност, като дразнене, обрив и уртикария.</w:t>
      </w:r>
    </w:p>
    <w:p w14:paraId="44006CF9" w14:textId="77777777" w:rsidR="008F587E" w:rsidRPr="008F587E" w:rsidRDefault="008F587E" w:rsidP="008F587E">
      <w:pPr>
        <w:spacing w:line="240" w:lineRule="auto"/>
        <w:rPr>
          <w:rFonts w:eastAsia="Times New Roman" w:cs="Arial"/>
          <w:color w:val="000000"/>
          <w:lang w:eastAsia="bg-BG"/>
        </w:rPr>
      </w:pPr>
    </w:p>
    <w:p w14:paraId="0BDBCC53" w14:textId="102DB188"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редки случаи може да се наблюдава свръхчувствителност към светлина.</w:t>
      </w:r>
    </w:p>
    <w:p w14:paraId="34B87923" w14:textId="77777777" w:rsidR="008F587E" w:rsidRPr="008F587E" w:rsidRDefault="008F587E" w:rsidP="008F587E">
      <w:pPr>
        <w:spacing w:line="240" w:lineRule="auto"/>
        <w:rPr>
          <w:rFonts w:eastAsia="Times New Roman" w:cs="Arial"/>
          <w:b/>
          <w:bCs/>
          <w:color w:val="000000"/>
          <w:lang w:eastAsia="bg-BG"/>
        </w:rPr>
      </w:pPr>
      <w:bookmarkStart w:id="7" w:name="bookmark12"/>
    </w:p>
    <w:p w14:paraId="0A3A3285" w14:textId="5F6159A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Изследвания</w:t>
      </w:r>
      <w:bookmarkEnd w:id="7"/>
    </w:p>
    <w:p w14:paraId="7E42A8D0" w14:textId="77777777" w:rsidR="008F587E" w:rsidRPr="008F587E" w:rsidRDefault="008F587E" w:rsidP="008F587E">
      <w:pPr>
        <w:rPr>
          <w:rFonts w:eastAsia="Times New Roman" w:cs="Arial"/>
          <w:color w:val="000000"/>
          <w:lang w:eastAsia="bg-BG"/>
        </w:rPr>
      </w:pPr>
    </w:p>
    <w:p w14:paraId="0EB08BF4" w14:textId="240C1307" w:rsidR="008F587E" w:rsidRPr="008F587E" w:rsidRDefault="008F587E" w:rsidP="008F587E">
      <w:pPr>
        <w:rPr>
          <w:rFonts w:cs="Arial"/>
        </w:rPr>
      </w:pPr>
      <w:r w:rsidRPr="008F587E">
        <w:rPr>
          <w:rFonts w:eastAsia="Times New Roman" w:cs="Arial"/>
          <w:color w:val="000000"/>
          <w:lang w:eastAsia="bg-BG"/>
        </w:rPr>
        <w:t>В редки случаи може да се наблюдава намаляване на натриевите серумни концентрации.</w:t>
      </w:r>
    </w:p>
    <w:p w14:paraId="5FAA2ED0" w14:textId="77777777" w:rsidR="008F587E" w:rsidRPr="0091385D" w:rsidRDefault="008F587E" w:rsidP="0091385D"/>
    <w:p w14:paraId="0A023CE0" w14:textId="24FAD394" w:rsidR="00CF77F7" w:rsidRDefault="002C50EE" w:rsidP="004A448E">
      <w:pPr>
        <w:pStyle w:val="Heading2"/>
      </w:pPr>
      <w:r>
        <w:t>4.9. Предозиране</w:t>
      </w:r>
    </w:p>
    <w:p w14:paraId="45938F36" w14:textId="77777777" w:rsidR="007D6885" w:rsidRPr="007D6885" w:rsidRDefault="007D6885" w:rsidP="007D6885"/>
    <w:p w14:paraId="4F986EE7"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При предозиране може да се наблюдава хипогликемия, която трае от 12 до 72 часа, и е възможно да се повтори след първоначално подобрение. Симптомите могат и да не се появят до 24 часа след приема. В общия случай се препоръчва болнично наблюдение. Могат да се появят гадене, повръщане и болки в епигастриума. Обикновено хипогликемията се съпровожда от неврологични симптоми, като безпокойство, тремор зрителни нарушения, проблеми с координацията, сънливост, кома и гърчове.</w:t>
      </w:r>
    </w:p>
    <w:p w14:paraId="25E37926" w14:textId="77777777" w:rsidR="007D6885" w:rsidRPr="007D6885" w:rsidRDefault="007D6885" w:rsidP="007D6885">
      <w:pPr>
        <w:spacing w:line="240" w:lineRule="auto"/>
        <w:rPr>
          <w:rFonts w:eastAsia="Times New Roman" w:cs="Arial"/>
          <w:sz w:val="24"/>
          <w:szCs w:val="24"/>
          <w:lang w:eastAsia="bg-BG"/>
        </w:rPr>
      </w:pPr>
    </w:p>
    <w:p w14:paraId="4041381C" w14:textId="2D4598CE" w:rsidR="007D6885" w:rsidRPr="007D6885" w:rsidRDefault="007D6885" w:rsidP="007D6885">
      <w:pPr>
        <w:rPr>
          <w:rFonts w:cs="Arial"/>
        </w:rPr>
      </w:pPr>
      <w:r w:rsidRPr="007D6885">
        <w:rPr>
          <w:rFonts w:eastAsia="Times New Roman" w:cs="Arial"/>
          <w:color w:val="000000"/>
          <w:lang w:eastAsia="bg-BG"/>
        </w:rPr>
        <w:t>Лечението се състои главно от предотвратяване на абсорбцията посредством предизвикване на повръщане и последващ прием на вода или лимонада с активен</w:t>
      </w:r>
      <w:r>
        <w:rPr>
          <w:rFonts w:cs="Arial"/>
          <w:lang w:val="en-US"/>
        </w:rPr>
        <w:t xml:space="preserve"> </w:t>
      </w:r>
      <w:r w:rsidRPr="007D6885">
        <w:rPr>
          <w:rFonts w:eastAsia="Times New Roman" w:cs="Arial"/>
          <w:color w:val="000000"/>
          <w:lang w:eastAsia="bg-BG"/>
        </w:rPr>
        <w:t xml:space="preserve">въглен (адсорбент), както и натриев сулфат (лаксатив). Ако са приети големи количества от медикамента, се налага стомашна промивка, последвана от поемане на активен въглен и натриев сулфат. В случай на тежко предозиране се налага хоспитализация в интензивно отделение. Незабавно трябва да се назначи глюкоза, ако е необходимо под формата на интравенозна инжекция 50 </w:t>
      </w:r>
      <w:r w:rsidRPr="007D6885">
        <w:rPr>
          <w:rFonts w:eastAsia="Times New Roman" w:cs="Arial"/>
          <w:color w:val="000000"/>
          <w:lang w:val="en-US"/>
        </w:rPr>
        <w:t xml:space="preserve">ml </w:t>
      </w:r>
      <w:r w:rsidRPr="007D6885">
        <w:rPr>
          <w:rFonts w:eastAsia="Times New Roman" w:cs="Arial"/>
          <w:color w:val="000000"/>
          <w:lang w:eastAsia="bg-BG"/>
        </w:rPr>
        <w:t xml:space="preserve">50%-ен разтвор, последвана от инфузия на 10%-ен разтвор </w:t>
      </w:r>
      <w:r w:rsidRPr="007D6885">
        <w:rPr>
          <w:rFonts w:eastAsia="Times New Roman" w:cs="Arial"/>
          <w:color w:val="000000"/>
          <w:lang w:eastAsia="bg-BG"/>
        </w:rPr>
        <w:lastRenderedPageBreak/>
        <w:t>при стриктно следене нивото на глюкозата в кръвта. По</w:t>
      </w:r>
      <w:r w:rsidRPr="007D6885">
        <w:rPr>
          <w:rFonts w:eastAsia="Times New Roman" w:cs="Arial"/>
          <w:color w:val="000000"/>
          <w:lang w:eastAsia="bg-BG"/>
        </w:rPr>
        <w:softHyphen/>
        <w:t>нататъшното лечение трябва да бъде симптоматично.</w:t>
      </w:r>
    </w:p>
    <w:p w14:paraId="62ADFC38" w14:textId="77777777" w:rsidR="007D6885" w:rsidRPr="007D6885" w:rsidRDefault="007D6885" w:rsidP="007D6885">
      <w:pPr>
        <w:rPr>
          <w:rFonts w:eastAsia="Times New Roman" w:cs="Arial"/>
          <w:color w:val="000000"/>
          <w:lang w:eastAsia="bg-BG"/>
        </w:rPr>
      </w:pPr>
    </w:p>
    <w:p w14:paraId="4448ECB4" w14:textId="5BA1A118" w:rsidR="007D6885" w:rsidRPr="007D6885" w:rsidRDefault="007D6885" w:rsidP="007D6885">
      <w:pPr>
        <w:rPr>
          <w:rFonts w:cs="Arial"/>
        </w:rPr>
      </w:pPr>
      <w:r w:rsidRPr="007D6885">
        <w:rPr>
          <w:rFonts w:eastAsia="Times New Roman" w:cs="Arial"/>
          <w:color w:val="000000"/>
          <w:lang w:eastAsia="bg-BG"/>
        </w:rPr>
        <w:t xml:space="preserve">В отделни случаи, когато се третира хипогликемия, получена поради случаен прием на Неоглим® (1, 2, 3, 4 </w:t>
      </w:r>
      <w:r w:rsidRPr="007D6885">
        <w:rPr>
          <w:rFonts w:eastAsia="Times New Roman" w:cs="Arial"/>
          <w:color w:val="000000"/>
          <w:lang w:val="en-US"/>
        </w:rPr>
        <w:t xml:space="preserve">mg) </w:t>
      </w:r>
      <w:r w:rsidRPr="007D6885">
        <w:rPr>
          <w:rFonts w:eastAsia="Times New Roman" w:cs="Arial"/>
          <w:color w:val="000000"/>
          <w:lang w:eastAsia="bg-BG"/>
        </w:rPr>
        <w:t>от малки деца, дозата на назначената глюкоза трябва да бъде внимателно контролирана, за да бъде избегната възможността от предизвикването на опасна хипергликемия. Кръвните нива на глюкозата трябва да бъдат стриктно проследявани.</w:t>
      </w:r>
    </w:p>
    <w:p w14:paraId="67C74E57" w14:textId="77777777" w:rsidR="007D6885" w:rsidRPr="0091385D" w:rsidRDefault="007D6885"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5066A44B"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Фармакотерапевтична група: Перорални глюкозо-намаляващи лекарства: Сулфонамиди, производни на уреята. АТС код: А10ВВ12.</w:t>
      </w:r>
    </w:p>
    <w:p w14:paraId="11E05CF4" w14:textId="77777777" w:rsidR="007D6885" w:rsidRPr="007D6885" w:rsidRDefault="007D6885" w:rsidP="007D6885">
      <w:pPr>
        <w:spacing w:line="240" w:lineRule="auto"/>
        <w:rPr>
          <w:rFonts w:eastAsia="Times New Roman" w:cs="Arial"/>
          <w:color w:val="000000"/>
          <w:lang w:val="en-US"/>
        </w:rPr>
      </w:pPr>
    </w:p>
    <w:p w14:paraId="0CB99F7A" w14:textId="0279B34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 xml:space="preserve">е перорално активно хипогликемично вещество, принадлежащо към групата на сулфанилуреята. Може да бъде използвано за лечение на не- инсулинозависим </w:t>
      </w:r>
      <w:r w:rsidRPr="007D6885">
        <w:rPr>
          <w:rFonts w:eastAsia="Times New Roman" w:cs="Arial"/>
          <w:color w:val="000000"/>
          <w:lang w:val="en-US"/>
        </w:rPr>
        <w:t>diabetes mellitus.</w:t>
      </w:r>
    </w:p>
    <w:p w14:paraId="1E318B6B" w14:textId="77777777" w:rsidR="007D6885" w:rsidRPr="007D6885" w:rsidRDefault="007D6885" w:rsidP="007D6885">
      <w:pPr>
        <w:spacing w:line="240" w:lineRule="auto"/>
        <w:rPr>
          <w:rFonts w:eastAsia="Times New Roman" w:cs="Arial"/>
          <w:color w:val="000000"/>
          <w:lang w:val="en-US"/>
        </w:rPr>
      </w:pPr>
    </w:p>
    <w:p w14:paraId="4827B0B6" w14:textId="675AB72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действа главно чрез стимулиране на инсулиновото освобождаване от бета- клетките на панкреаса.</w:t>
      </w:r>
    </w:p>
    <w:p w14:paraId="39BA8BAE" w14:textId="77777777" w:rsidR="007D6885" w:rsidRPr="007D6885" w:rsidRDefault="007D6885" w:rsidP="007D6885">
      <w:pPr>
        <w:spacing w:line="240" w:lineRule="auto"/>
        <w:rPr>
          <w:rFonts w:eastAsia="Times New Roman" w:cs="Arial"/>
          <w:color w:val="000000"/>
          <w:lang w:eastAsia="bg-BG"/>
        </w:rPr>
      </w:pPr>
    </w:p>
    <w:p w14:paraId="35B30218" w14:textId="6DBE547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Както и при други сулфанилурейни производни, този ефект се базира на увеличената способност за отговор на бета-клетките към физиологичния глюкозен стимул.</w:t>
      </w:r>
    </w:p>
    <w:p w14:paraId="007CC024" w14:textId="77777777" w:rsidR="007D6885" w:rsidRPr="007D6885" w:rsidRDefault="007D6885" w:rsidP="007D6885">
      <w:pPr>
        <w:spacing w:line="240" w:lineRule="auto"/>
        <w:rPr>
          <w:rFonts w:eastAsia="Times New Roman" w:cs="Arial"/>
          <w:b/>
          <w:bCs/>
          <w:color w:val="000000"/>
          <w:u w:val="single"/>
          <w:lang w:eastAsia="bg-BG"/>
        </w:rPr>
      </w:pPr>
    </w:p>
    <w:p w14:paraId="2F64339A" w14:textId="448D6C33"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Инсулиново освобождаване:</w:t>
      </w:r>
    </w:p>
    <w:p w14:paraId="5AAA2042" w14:textId="77777777" w:rsidR="007D6885" w:rsidRPr="007D6885" w:rsidRDefault="007D6885" w:rsidP="007D6885">
      <w:pPr>
        <w:spacing w:line="240" w:lineRule="auto"/>
        <w:rPr>
          <w:rFonts w:eastAsia="Times New Roman" w:cs="Arial"/>
          <w:color w:val="000000"/>
          <w:lang w:eastAsia="bg-BG"/>
        </w:rPr>
      </w:pPr>
    </w:p>
    <w:p w14:paraId="321C6F77" w14:textId="4CE3CFD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Сулфанилурейните препарати регулират инсулиновата секреция посредством затваряне на АТФ-чувствителните калиеви канали в мемраната на бета-клетките. Това от своя страна предизвиква деполяризация на бета-клетките, в резултат на което - чрез отваряне на калциевите канали - се стига до увеличен инфлукс на калций в клетката.</w:t>
      </w:r>
    </w:p>
    <w:p w14:paraId="7FFCDB10" w14:textId="77777777" w:rsidR="007D6885" w:rsidRPr="007D6885" w:rsidRDefault="007D6885" w:rsidP="007D6885">
      <w:pPr>
        <w:spacing w:line="240" w:lineRule="auto"/>
        <w:rPr>
          <w:rFonts w:eastAsia="Times New Roman" w:cs="Arial"/>
          <w:color w:val="000000"/>
          <w:lang w:eastAsia="bg-BG"/>
        </w:rPr>
      </w:pPr>
    </w:p>
    <w:p w14:paraId="07ECFDE1" w14:textId="4BA47A83"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Това води до инсулиново освобождаване посредством екзоцитоза.</w:t>
      </w:r>
    </w:p>
    <w:p w14:paraId="481D5657" w14:textId="77777777" w:rsidR="007D6885" w:rsidRPr="007D6885" w:rsidRDefault="007D6885" w:rsidP="007D6885">
      <w:pPr>
        <w:spacing w:line="240" w:lineRule="auto"/>
        <w:rPr>
          <w:rFonts w:eastAsia="Times New Roman" w:cs="Arial"/>
          <w:color w:val="000000"/>
          <w:lang w:val="en-US"/>
        </w:rPr>
      </w:pPr>
    </w:p>
    <w:p w14:paraId="29D44574" w14:textId="226CEF1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се свързва високообменно с мембранния протеин на бета-клетката, асоцииран с АТФ-чувствителния калиев канал, като трябва да се има предвид, че това място на свързване е различно от обичайното такова.</w:t>
      </w:r>
    </w:p>
    <w:p w14:paraId="3F7864A9" w14:textId="77777777" w:rsidR="007D6885" w:rsidRPr="007D6885" w:rsidRDefault="007D6885" w:rsidP="007D6885">
      <w:pPr>
        <w:spacing w:line="240" w:lineRule="auto"/>
        <w:rPr>
          <w:rFonts w:eastAsia="Times New Roman" w:cs="Arial"/>
          <w:b/>
          <w:bCs/>
          <w:color w:val="000000"/>
          <w:u w:val="single"/>
          <w:lang w:eastAsia="bg-BG"/>
        </w:rPr>
      </w:pPr>
    </w:p>
    <w:p w14:paraId="4F794D21" w14:textId="288633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Екстрапанкреатична активност:</w:t>
      </w:r>
    </w:p>
    <w:p w14:paraId="75531419" w14:textId="77777777" w:rsidR="007D6885" w:rsidRPr="007D6885" w:rsidRDefault="007D6885" w:rsidP="007D6885">
      <w:pPr>
        <w:spacing w:line="240" w:lineRule="auto"/>
        <w:rPr>
          <w:rFonts w:eastAsia="Times New Roman" w:cs="Arial"/>
          <w:color w:val="000000"/>
          <w:lang w:eastAsia="bg-BG"/>
        </w:rPr>
      </w:pPr>
    </w:p>
    <w:p w14:paraId="7B90CA98" w14:textId="08BA7CD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Екстрапанкреатични ефекти са например подобрението на чувствителността на периферната тъкан към инсулин и намаляването на инсулиновия ъптейк от черния Дроб.</w:t>
      </w:r>
    </w:p>
    <w:p w14:paraId="7CB920BA" w14:textId="77777777" w:rsidR="007D6885" w:rsidRPr="007D6885" w:rsidRDefault="007D6885" w:rsidP="007D6885">
      <w:pPr>
        <w:spacing w:line="240" w:lineRule="auto"/>
        <w:rPr>
          <w:rFonts w:eastAsia="Times New Roman" w:cs="Arial"/>
          <w:sz w:val="24"/>
          <w:szCs w:val="24"/>
          <w:lang w:eastAsia="bg-BG"/>
        </w:rPr>
      </w:pPr>
    </w:p>
    <w:p w14:paraId="4DF5E4FB" w14:textId="77777777" w:rsidR="007D6885" w:rsidRPr="007D6885" w:rsidRDefault="007D6885" w:rsidP="007D6885">
      <w:pPr>
        <w:rPr>
          <w:rFonts w:eastAsia="Times New Roman" w:cs="Arial"/>
          <w:sz w:val="24"/>
          <w:szCs w:val="24"/>
          <w:lang w:eastAsia="bg-BG"/>
        </w:rPr>
      </w:pPr>
      <w:r w:rsidRPr="007D6885">
        <w:rPr>
          <w:rFonts w:eastAsia="Times New Roman" w:cs="Arial"/>
          <w:color w:val="000000"/>
          <w:lang w:eastAsia="bg-BG"/>
        </w:rPr>
        <w:t xml:space="preserve">Захващането на глюкоза от кръвта в периферните мускули и мастната тъкан </w:t>
      </w:r>
      <w:r w:rsidRPr="007D6885">
        <w:rPr>
          <w:rFonts w:eastAsia="Times New Roman" w:cs="Arial"/>
          <w:color w:val="000000"/>
          <w:lang w:val="en-US"/>
        </w:rPr>
        <w:t>c</w:t>
      </w:r>
      <w:r w:rsidRPr="007D6885">
        <w:rPr>
          <w:rFonts w:eastAsia="Times New Roman" w:cs="Arial"/>
          <w:color w:val="000000"/>
          <w:lang w:eastAsia="bg-BG"/>
        </w:rPr>
        <w:t>тава посредством специални транспортни протеини, локализирани в клетъчната мембрана Транспортът на глюкоза в тези тъкани е скорост-лимитиращата стъпка в използването</w:t>
      </w:r>
      <w:r w:rsidRPr="007D6885">
        <w:rPr>
          <w:rFonts w:eastAsia="Times New Roman" w:cs="Arial"/>
          <w:smallCaps/>
          <w:color w:val="000000"/>
          <w:lang w:eastAsia="bg-BG"/>
        </w:rPr>
        <w:t xml:space="preserve"> </w:t>
      </w:r>
      <w:r w:rsidRPr="007D6885">
        <w:rPr>
          <w:rFonts w:eastAsia="Times New Roman" w:cs="Arial"/>
          <w:color w:val="000000"/>
          <w:lang w:eastAsia="bg-BG"/>
        </w:rPr>
        <w:t xml:space="preserve">на глюкозата. </w:t>
      </w:r>
      <w:r w:rsidRPr="007D6885">
        <w:rPr>
          <w:rFonts w:eastAsia="Times New Roman" w:cs="Arial"/>
          <w:color w:val="000000"/>
          <w:lang w:val="en-US"/>
        </w:rPr>
        <w:t xml:space="preserve">Glimepiride </w:t>
      </w:r>
      <w:r w:rsidRPr="007D6885">
        <w:rPr>
          <w:rFonts w:eastAsia="Times New Roman" w:cs="Arial"/>
          <w:color w:val="000000"/>
          <w:lang w:eastAsia="bg-BG"/>
        </w:rPr>
        <w:t>увеличава много бързо броя на активни глюкозни</w:t>
      </w:r>
      <w:r w:rsidRPr="007D6885">
        <w:rPr>
          <w:rFonts w:eastAsia="Times New Roman" w:cs="Arial"/>
          <w:color w:val="000000"/>
          <w:lang w:val="en-US" w:eastAsia="bg-BG"/>
        </w:rPr>
        <w:t xml:space="preserve"> </w:t>
      </w:r>
      <w:r w:rsidRPr="007D6885">
        <w:rPr>
          <w:rFonts w:eastAsia="Times New Roman" w:cs="Arial"/>
          <w:color w:val="000000"/>
          <w:lang w:eastAsia="bg-BG"/>
        </w:rPr>
        <w:t xml:space="preserve">транспортни </w:t>
      </w:r>
      <w:r w:rsidRPr="007D6885">
        <w:rPr>
          <w:rFonts w:eastAsia="Times New Roman" w:cs="Arial"/>
          <w:color w:val="000000"/>
          <w:lang w:eastAsia="bg-BG"/>
        </w:rPr>
        <w:lastRenderedPageBreak/>
        <w:t>молекули в плазмените мембрани на мускулните и мастните клетки, което води до стимулиране на глюкозния ъптейк.</w:t>
      </w:r>
    </w:p>
    <w:p w14:paraId="5BB0CB7F" w14:textId="77777777" w:rsidR="007D6885" w:rsidRPr="007D6885" w:rsidRDefault="007D6885" w:rsidP="007D6885">
      <w:pPr>
        <w:spacing w:line="240" w:lineRule="auto"/>
        <w:rPr>
          <w:rFonts w:eastAsia="Times New Roman" w:cs="Arial"/>
          <w:color w:val="000000"/>
          <w:lang w:val="en-US"/>
        </w:rPr>
      </w:pPr>
    </w:p>
    <w:p w14:paraId="6D5E4DF1" w14:textId="49945C96"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увеличава активността на глюкозил-фосфатидилинозитол-специфичната фосфолипаза С, която може да бъде свързана с лекарствено-индуцираната липогенеза и гликогенеза в изолирани мастни и мускулни клетки.</w:t>
      </w:r>
    </w:p>
    <w:p w14:paraId="4AB2D4A3" w14:textId="77777777" w:rsidR="007D6885" w:rsidRPr="007D6885" w:rsidRDefault="007D6885" w:rsidP="007D6885">
      <w:pPr>
        <w:spacing w:line="240" w:lineRule="auto"/>
        <w:rPr>
          <w:rFonts w:eastAsia="Times New Roman" w:cs="Arial"/>
          <w:color w:val="000000"/>
          <w:lang w:val="en-US"/>
        </w:rPr>
      </w:pPr>
    </w:p>
    <w:p w14:paraId="55E111CF" w14:textId="11D8F16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инхибира произвеждането на глюкоза в черния дроб посредством увеличаване на вътреклетъчната концентрация на фруктозо-2</w:t>
      </w:r>
      <w:proofErr w:type="gramStart"/>
      <w:r w:rsidRPr="007D6885">
        <w:rPr>
          <w:rFonts w:eastAsia="Times New Roman" w:cs="Arial"/>
          <w:color w:val="000000"/>
          <w:lang w:eastAsia="bg-BG"/>
        </w:rPr>
        <w:t>,6</w:t>
      </w:r>
      <w:proofErr w:type="gramEnd"/>
      <w:r w:rsidRPr="007D6885">
        <w:rPr>
          <w:rFonts w:eastAsia="Times New Roman" w:cs="Arial"/>
          <w:color w:val="000000"/>
          <w:lang w:eastAsia="bg-BG"/>
        </w:rPr>
        <w:t>-бифосфат, който на свой ред инхибира глюконеогенезата.</w:t>
      </w:r>
    </w:p>
    <w:p w14:paraId="2900F253" w14:textId="77777777" w:rsidR="007D6885" w:rsidRPr="007D6885" w:rsidRDefault="007D6885" w:rsidP="007D6885">
      <w:pPr>
        <w:spacing w:line="240" w:lineRule="auto"/>
        <w:rPr>
          <w:rFonts w:eastAsia="Times New Roman" w:cs="Arial"/>
          <w:b/>
          <w:bCs/>
          <w:color w:val="000000"/>
          <w:u w:val="single"/>
          <w:lang w:eastAsia="bg-BG"/>
        </w:rPr>
      </w:pPr>
    </w:p>
    <w:p w14:paraId="36750465" w14:textId="287B9B48"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Общо</w:t>
      </w:r>
    </w:p>
    <w:p w14:paraId="0797B790" w14:textId="77777777" w:rsidR="007D6885" w:rsidRPr="007D6885" w:rsidRDefault="007D6885" w:rsidP="007D6885">
      <w:pPr>
        <w:spacing w:line="240" w:lineRule="auto"/>
        <w:rPr>
          <w:rFonts w:eastAsia="Times New Roman" w:cs="Arial"/>
          <w:color w:val="000000"/>
          <w:lang w:eastAsia="bg-BG"/>
        </w:rPr>
      </w:pPr>
    </w:p>
    <w:p w14:paraId="42367A7F" w14:textId="7F8760C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При здрави хора минималната ефикасна перорална доза е около 0.6 </w:t>
      </w:r>
      <w:r w:rsidRPr="007D6885">
        <w:rPr>
          <w:rFonts w:eastAsia="Times New Roman" w:cs="Arial"/>
          <w:color w:val="000000"/>
          <w:lang w:val="en-US"/>
        </w:rPr>
        <w:t xml:space="preserve">mg. </w:t>
      </w:r>
      <w:r w:rsidRPr="007D6885">
        <w:rPr>
          <w:rFonts w:eastAsia="Times New Roman" w:cs="Arial"/>
          <w:color w:val="000000"/>
          <w:lang w:eastAsia="bg-BG"/>
        </w:rPr>
        <w:t xml:space="preserve">Ефектът на </w:t>
      </w:r>
      <w:r w:rsidRPr="007D6885">
        <w:rPr>
          <w:rFonts w:eastAsia="Times New Roman" w:cs="Arial"/>
          <w:color w:val="000000"/>
          <w:lang w:val="en-US"/>
        </w:rPr>
        <w:t xml:space="preserve">glimepiride </w:t>
      </w:r>
      <w:r w:rsidRPr="007D6885">
        <w:rPr>
          <w:rFonts w:eastAsia="Times New Roman" w:cs="Arial"/>
          <w:color w:val="000000"/>
          <w:lang w:eastAsia="bg-BG"/>
        </w:rPr>
        <w:t>е дозо-зависим и възпроизводим. Физиологичният отговор на интензивни физически упражнения, намаляването на инсулиновата секреция, все още присъства под действието на глимепирид.</w:t>
      </w:r>
    </w:p>
    <w:p w14:paraId="111FF181" w14:textId="77777777" w:rsidR="007D6885" w:rsidRPr="007D6885" w:rsidRDefault="007D6885" w:rsidP="007D6885">
      <w:pPr>
        <w:spacing w:line="240" w:lineRule="auto"/>
        <w:rPr>
          <w:rFonts w:eastAsia="Times New Roman" w:cs="Arial"/>
          <w:color w:val="000000"/>
          <w:lang w:eastAsia="bg-BG"/>
        </w:rPr>
      </w:pPr>
    </w:p>
    <w:p w14:paraId="3F0631E1" w14:textId="6269D51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 съществува значителна разлика в ефекта, независимо от това дали лекарството е прието 30 минути или непосредствено преди хранене. Добър метаболитен контрол в рамките на 24 часа може да бъде постигнат с една единствена дневна доза.</w:t>
      </w:r>
    </w:p>
    <w:p w14:paraId="21C0E113" w14:textId="77777777" w:rsidR="007D6885" w:rsidRPr="007D6885" w:rsidRDefault="007D6885" w:rsidP="007D6885">
      <w:pPr>
        <w:spacing w:line="240" w:lineRule="auto"/>
        <w:rPr>
          <w:rFonts w:eastAsia="Times New Roman" w:cs="Arial"/>
          <w:color w:val="000000"/>
          <w:lang w:eastAsia="bg-BG"/>
        </w:rPr>
      </w:pPr>
    </w:p>
    <w:p w14:paraId="6BB4531C" w14:textId="245D137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Въпреки че хидрокси-метаболитът на </w:t>
      </w:r>
      <w:r w:rsidRPr="007D6885">
        <w:rPr>
          <w:rFonts w:eastAsia="Times New Roman" w:cs="Arial"/>
          <w:color w:val="000000"/>
          <w:lang w:val="en-US"/>
        </w:rPr>
        <w:t xml:space="preserve">glimepiride </w:t>
      </w:r>
      <w:r w:rsidRPr="007D6885">
        <w:rPr>
          <w:rFonts w:eastAsia="Times New Roman" w:cs="Arial"/>
          <w:color w:val="000000"/>
          <w:lang w:eastAsia="bg-BG"/>
        </w:rPr>
        <w:t>причинява малко, но значително намаляване нивото на серумната глюкоза при здрави хора, той отговаря само за малка част от общия ефект на лекарствения продукт.</w:t>
      </w:r>
    </w:p>
    <w:p w14:paraId="0BA64B06" w14:textId="77777777" w:rsidR="007D6885" w:rsidRPr="007D6885" w:rsidRDefault="007D6885" w:rsidP="007D6885">
      <w:pPr>
        <w:spacing w:line="240" w:lineRule="auto"/>
        <w:rPr>
          <w:rFonts w:eastAsia="Times New Roman" w:cs="Arial"/>
          <w:b/>
          <w:bCs/>
          <w:color w:val="000000"/>
          <w:u w:val="single"/>
          <w:lang w:eastAsia="bg-BG"/>
        </w:rPr>
      </w:pPr>
    </w:p>
    <w:p w14:paraId="7FE55939" w14:textId="11808CCD"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 xml:space="preserve">Комбинирана терапия с </w:t>
      </w:r>
      <w:r w:rsidRPr="007D6885">
        <w:rPr>
          <w:rFonts w:eastAsia="Times New Roman" w:cs="Arial"/>
          <w:b/>
          <w:bCs/>
          <w:color w:val="000000"/>
          <w:u w:val="single"/>
          <w:lang w:val="en-US"/>
        </w:rPr>
        <w:t>metformin</w:t>
      </w:r>
    </w:p>
    <w:p w14:paraId="65B499B3" w14:textId="77777777" w:rsidR="007D6885" w:rsidRPr="007D6885" w:rsidRDefault="007D6885" w:rsidP="007D6885">
      <w:pPr>
        <w:spacing w:line="240" w:lineRule="auto"/>
        <w:rPr>
          <w:rFonts w:eastAsia="Times New Roman" w:cs="Arial"/>
          <w:color w:val="000000"/>
          <w:lang w:eastAsia="bg-BG"/>
        </w:rPr>
      </w:pPr>
    </w:p>
    <w:p w14:paraId="1C9CC9E2" w14:textId="08CAC35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Както показва едно проучване, при пациенти, неадекватно контролирани с максимална дневна доза </w:t>
      </w:r>
      <w:r w:rsidRPr="007D6885">
        <w:rPr>
          <w:rFonts w:eastAsia="Times New Roman" w:cs="Arial"/>
          <w:color w:val="000000"/>
          <w:lang w:val="en-US"/>
        </w:rPr>
        <w:t xml:space="preserve">metformin, </w:t>
      </w:r>
      <w:r w:rsidRPr="007D6885">
        <w:rPr>
          <w:rFonts w:eastAsia="Times New Roman" w:cs="Arial"/>
          <w:color w:val="000000"/>
          <w:lang w:eastAsia="bg-BG"/>
        </w:rPr>
        <w:t xml:space="preserve">се наблюдава подобрен метаболитен контрол при съвместна терапия с </w:t>
      </w:r>
      <w:r w:rsidRPr="007D6885">
        <w:rPr>
          <w:rFonts w:eastAsia="Times New Roman" w:cs="Arial"/>
          <w:color w:val="000000"/>
          <w:lang w:val="en-US"/>
        </w:rPr>
        <w:t>glimepiride.</w:t>
      </w:r>
    </w:p>
    <w:p w14:paraId="5515672F" w14:textId="77777777" w:rsidR="007D6885" w:rsidRPr="007D6885" w:rsidRDefault="007D6885" w:rsidP="007D6885">
      <w:pPr>
        <w:spacing w:line="240" w:lineRule="auto"/>
        <w:rPr>
          <w:rFonts w:eastAsia="Times New Roman" w:cs="Arial"/>
          <w:b/>
          <w:bCs/>
          <w:color w:val="000000"/>
          <w:u w:val="single"/>
          <w:lang w:eastAsia="bg-BG"/>
        </w:rPr>
      </w:pPr>
    </w:p>
    <w:p w14:paraId="45F9A56A" w14:textId="0598E1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Комбинирана терапия с инсулин</w:t>
      </w:r>
    </w:p>
    <w:p w14:paraId="59AA4F36" w14:textId="77777777" w:rsidR="007D6885" w:rsidRPr="007D6885" w:rsidRDefault="007D6885" w:rsidP="007D6885">
      <w:pPr>
        <w:rPr>
          <w:rFonts w:eastAsia="Times New Roman" w:cs="Arial"/>
          <w:color w:val="000000"/>
          <w:lang w:eastAsia="bg-BG"/>
        </w:rPr>
      </w:pPr>
    </w:p>
    <w:p w14:paraId="28252AA0" w14:textId="25174550" w:rsidR="0091385D" w:rsidRPr="007D6885" w:rsidRDefault="007D6885" w:rsidP="007D6885">
      <w:pPr>
        <w:rPr>
          <w:rFonts w:cs="Arial"/>
          <w:lang w:val="en-US"/>
        </w:rPr>
      </w:pPr>
      <w:r w:rsidRPr="007D6885">
        <w:rPr>
          <w:rFonts w:eastAsia="Times New Roman" w:cs="Arial"/>
          <w:color w:val="000000"/>
          <w:lang w:eastAsia="bg-BG"/>
        </w:rPr>
        <w:t xml:space="preserve">Данните за комбинирана терапия с инсулин са ограничени. При пациенти, неадекватно контролирани с максимална доза </w:t>
      </w:r>
      <w:r w:rsidRPr="007D6885">
        <w:rPr>
          <w:rFonts w:eastAsia="Times New Roman" w:cs="Arial"/>
          <w:color w:val="000000"/>
          <w:lang w:val="en-US"/>
        </w:rPr>
        <w:t xml:space="preserve">glimepiride, </w:t>
      </w:r>
      <w:r w:rsidRPr="007D6885">
        <w:rPr>
          <w:rFonts w:eastAsia="Times New Roman" w:cs="Arial"/>
          <w:color w:val="000000"/>
          <w:lang w:eastAsia="bg-BG"/>
        </w:rPr>
        <w:t>може да се започне съвместна терапия с инсулин. В две отделни проучвания с комбинацията се постига същото подобрение в метаболитния контрол, както при самостоятелното приложение на инсулин.При комбинираната терапия обаче се изисква по-ниска средна доза инсулин.</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84E9C81" w14:textId="77777777" w:rsidR="007D6885" w:rsidRDefault="007D6885" w:rsidP="007D6885">
      <w:r w:rsidRPr="007D6885">
        <w:rPr>
          <w:rStyle w:val="Heading3Char"/>
          <w:u w:val="single"/>
        </w:rPr>
        <w:t>Абсорбция:</w:t>
      </w:r>
      <w:r>
        <w:rPr>
          <w:b/>
          <w:bCs/>
        </w:rPr>
        <w:t xml:space="preserve"> </w:t>
      </w:r>
      <w:r>
        <w:t xml:space="preserve">Бионаличността на </w:t>
      </w:r>
      <w:r>
        <w:rPr>
          <w:lang w:val="en-US"/>
        </w:rPr>
        <w:t xml:space="preserve">glimepiride </w:t>
      </w:r>
      <w:r>
        <w:t xml:space="preserve">след орално приложение е пълна. Приемът на храна има съществено влияние върху нивото на абсорбцията. Максимални серумни концентрации (С </w:t>
      </w:r>
      <w:r>
        <w:rPr>
          <w:lang w:val="en-US"/>
        </w:rPr>
        <w:t xml:space="preserve">max) </w:t>
      </w:r>
      <w:r>
        <w:t xml:space="preserve">се достигат приблизително 2,5 часа след оралния прием (или 0.3 </w:t>
      </w:r>
      <w:r>
        <w:rPr>
          <w:lang w:val="en-US"/>
        </w:rPr>
        <w:t xml:space="preserve">mcg/ml </w:t>
      </w:r>
      <w:r>
        <w:t xml:space="preserve">по време на многократно дозиране на 4 </w:t>
      </w:r>
      <w:r>
        <w:rPr>
          <w:lang w:val="en-US"/>
        </w:rPr>
        <w:t xml:space="preserve">mg </w:t>
      </w:r>
      <w:r>
        <w:t xml:space="preserve">дневно) и е налице линейна зависимост както между дозата и С </w:t>
      </w:r>
      <w:r>
        <w:rPr>
          <w:lang w:val="en-US"/>
        </w:rPr>
        <w:t xml:space="preserve">max, </w:t>
      </w:r>
      <w:r>
        <w:t xml:space="preserve">така и между дозата и </w:t>
      </w:r>
      <w:r>
        <w:rPr>
          <w:lang w:val="en-US"/>
        </w:rPr>
        <w:t xml:space="preserve">AUC </w:t>
      </w:r>
      <w:r>
        <w:t>(площта под кривата време/концентрация).</w:t>
      </w:r>
    </w:p>
    <w:p w14:paraId="7CE75130" w14:textId="77777777" w:rsidR="007D6885" w:rsidRDefault="007D6885" w:rsidP="007D6885">
      <w:pPr>
        <w:rPr>
          <w:b/>
          <w:bCs/>
        </w:rPr>
      </w:pPr>
    </w:p>
    <w:p w14:paraId="6AD6DAC6" w14:textId="768F922A" w:rsidR="007D6885" w:rsidRDefault="007D6885" w:rsidP="007D6885">
      <w:r w:rsidRPr="007D6885">
        <w:rPr>
          <w:rStyle w:val="Heading3Char"/>
          <w:u w:val="single"/>
        </w:rPr>
        <w:lastRenderedPageBreak/>
        <w:t>Разпределение:</w:t>
      </w:r>
      <w:r>
        <w:rPr>
          <w:b/>
          <w:bCs/>
        </w:rPr>
        <w:t xml:space="preserve"> </w:t>
      </w:r>
      <w:r>
        <w:rPr>
          <w:lang w:val="en-US"/>
        </w:rPr>
        <w:t xml:space="preserve">Glimepiride </w:t>
      </w:r>
      <w:r>
        <w:t xml:space="preserve">има много нисък обем на разпределение (приблизително 8.8 литра), който е горе-долу равен на албуминовия разпределителен обем, високо протеиново свързване (&gt; 99%) и нисък клирънс (прибл. 48 </w:t>
      </w:r>
      <w:r>
        <w:rPr>
          <w:lang w:val="en-US"/>
        </w:rPr>
        <w:t>ml/min).</w:t>
      </w:r>
    </w:p>
    <w:p w14:paraId="34F0F092" w14:textId="77777777" w:rsidR="007D6885" w:rsidRDefault="007D6885" w:rsidP="007D6885"/>
    <w:p w14:paraId="148BA3FC" w14:textId="5122890F" w:rsidR="0091385D" w:rsidRDefault="007D6885" w:rsidP="007D6885">
      <w:r>
        <w:t xml:space="preserve">При животните </w:t>
      </w:r>
      <w:r>
        <w:rPr>
          <w:lang w:val="en-US"/>
        </w:rPr>
        <w:t xml:space="preserve">glimepiride </w:t>
      </w:r>
      <w:r>
        <w:t>се екскретира с млякото. Той преминава плацентарната бариера. Преминаването на кръвно-мозъчната бариера е в по-ниска степен.</w:t>
      </w:r>
    </w:p>
    <w:p w14:paraId="4EE1BB0B" w14:textId="1A49EF00" w:rsidR="0091385D" w:rsidRDefault="0091385D" w:rsidP="0091385D"/>
    <w:p w14:paraId="70BAA681" w14:textId="3270EBBA" w:rsidR="007D6885" w:rsidRPr="007D6885" w:rsidRDefault="007D6885" w:rsidP="007D6885">
      <w:pPr>
        <w:spacing w:line="240" w:lineRule="auto"/>
        <w:rPr>
          <w:rFonts w:eastAsia="Times New Roman" w:cs="Arial"/>
          <w:color w:val="000000"/>
          <w:lang w:eastAsia="bg-BG"/>
        </w:rPr>
      </w:pPr>
      <w:bookmarkStart w:id="8" w:name="_GoBack"/>
      <w:r w:rsidRPr="007D6885">
        <w:rPr>
          <w:rStyle w:val="Heading3Char"/>
          <w:u w:val="single"/>
          <w:lang w:eastAsia="bg-BG"/>
        </w:rPr>
        <w:t>Биотрансформация и елиминиране:</w:t>
      </w:r>
      <w:r w:rsidRPr="007D6885">
        <w:rPr>
          <w:rFonts w:eastAsia="Times New Roman" w:cs="Arial"/>
          <w:b/>
          <w:bCs/>
          <w:color w:val="000000"/>
          <w:lang w:eastAsia="bg-BG"/>
        </w:rPr>
        <w:t xml:space="preserve"> </w:t>
      </w:r>
      <w:bookmarkEnd w:id="8"/>
      <w:r w:rsidRPr="007D6885">
        <w:rPr>
          <w:rFonts w:eastAsia="Times New Roman" w:cs="Arial"/>
          <w:color w:val="000000"/>
          <w:lang w:eastAsia="bg-BG"/>
        </w:rPr>
        <w:t>Средният доминантен серумен полуживот, който е от значение за серумните концентрации при условия на многократно дозиране, е около 5 до 8 часа. След приемането на високи дози се наблюдава малко по-дълъг полуживот.</w:t>
      </w:r>
    </w:p>
    <w:p w14:paraId="4F717DBE" w14:textId="77777777" w:rsidR="007D6885" w:rsidRPr="007D6885" w:rsidRDefault="007D6885" w:rsidP="007D6885">
      <w:pPr>
        <w:spacing w:line="240" w:lineRule="auto"/>
        <w:rPr>
          <w:rFonts w:eastAsia="Times New Roman" w:cs="Arial"/>
          <w:color w:val="000000"/>
          <w:lang w:eastAsia="bg-BG"/>
        </w:rPr>
      </w:pPr>
    </w:p>
    <w:p w14:paraId="4392A636" w14:textId="31100A8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След приемането на единична доза радиоактивно белязан </w:t>
      </w:r>
      <w:r w:rsidRPr="007D6885">
        <w:rPr>
          <w:rFonts w:eastAsia="Times New Roman" w:cs="Arial"/>
          <w:color w:val="000000"/>
          <w:lang w:val="en-US"/>
        </w:rPr>
        <w:t xml:space="preserve">glimepiride, </w:t>
      </w:r>
      <w:r w:rsidRPr="007D6885">
        <w:rPr>
          <w:rFonts w:eastAsia="Times New Roman" w:cs="Arial"/>
          <w:color w:val="000000"/>
          <w:lang w:eastAsia="bg-BG"/>
        </w:rPr>
        <w:t xml:space="preserve">58% се откриват в урината и 35% - във фекалиите. В урината не се открива непроменено количество от лекарственото вещество. В урината и фекалиите са идентифицирани два метаболита - най-вероятно резултат на чернодробния метаболизъм - хидроксилно и карбоксилно производно. След орално приложение на </w:t>
      </w:r>
      <w:r w:rsidRPr="007D6885">
        <w:rPr>
          <w:rFonts w:eastAsia="Times New Roman" w:cs="Arial"/>
          <w:color w:val="000000"/>
          <w:lang w:val="en-US"/>
        </w:rPr>
        <w:t xml:space="preserve">glimepiride </w:t>
      </w:r>
      <w:r w:rsidRPr="007D6885">
        <w:rPr>
          <w:rFonts w:eastAsia="Times New Roman" w:cs="Arial"/>
          <w:color w:val="000000"/>
          <w:lang w:eastAsia="bg-BG"/>
        </w:rPr>
        <w:t>поруживотите на тези метаболити са съответно от 3 до 6 и от 5 до 6 часа.</w:t>
      </w:r>
    </w:p>
    <w:p w14:paraId="06F4C825" w14:textId="77777777" w:rsidR="007D6885" w:rsidRPr="007D6885" w:rsidRDefault="007D6885" w:rsidP="007D6885">
      <w:pPr>
        <w:spacing w:line="240" w:lineRule="auto"/>
        <w:rPr>
          <w:rFonts w:eastAsia="Times New Roman" w:cs="Arial"/>
          <w:color w:val="000000"/>
          <w:lang w:eastAsia="bg-BG"/>
        </w:rPr>
      </w:pPr>
    </w:p>
    <w:p w14:paraId="6BFF4F7D" w14:textId="4FF1B68B"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Сравнението между еднократното и многократното дозиране не показва съществени разлики във фармакокинетиката и интраиндивидуалната вариабилност е много ниска. Не се наблюдава натрупване.</w:t>
      </w:r>
    </w:p>
    <w:p w14:paraId="09A75086" w14:textId="77777777" w:rsidR="007D6885" w:rsidRPr="007D6885" w:rsidRDefault="007D6885" w:rsidP="007D6885">
      <w:pPr>
        <w:spacing w:line="240" w:lineRule="auto"/>
        <w:rPr>
          <w:rFonts w:eastAsia="Times New Roman" w:cs="Arial"/>
          <w:color w:val="000000"/>
          <w:lang w:eastAsia="bg-BG"/>
        </w:rPr>
      </w:pPr>
    </w:p>
    <w:p w14:paraId="3C996180" w14:textId="77AED82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Фармакокинетичните параметри са подобни както и при мъже и жени, така и при млади и възрастни (над 65 години) пациенти. При пациенти с нисък креатининов клирънс има тенденция към увеличаване на клирънса на </w:t>
      </w:r>
      <w:r w:rsidRPr="007D6885">
        <w:rPr>
          <w:rFonts w:eastAsia="Times New Roman" w:cs="Arial"/>
          <w:color w:val="000000"/>
          <w:lang w:val="en-US"/>
        </w:rPr>
        <w:t xml:space="preserve">glimepiride </w:t>
      </w:r>
      <w:r w:rsidRPr="007D6885">
        <w:rPr>
          <w:rFonts w:eastAsia="Times New Roman" w:cs="Arial"/>
          <w:color w:val="000000"/>
          <w:lang w:eastAsia="bg-BG"/>
        </w:rPr>
        <w:t>и намаление на средните серумни концентрации вероятно в резултат на по-бързото елиминиране поради ниска степен на протеинно свързване. Бъбречното елиминиране на двата метаболита е намалено. При такива пациенти като цяло се счита, че няма допълнителен риск от акумулиране.</w:t>
      </w:r>
    </w:p>
    <w:p w14:paraId="1EF97E1E" w14:textId="77777777" w:rsidR="007D6885" w:rsidRPr="007D6885" w:rsidRDefault="007D6885" w:rsidP="007D6885">
      <w:pPr>
        <w:rPr>
          <w:rFonts w:eastAsia="Times New Roman" w:cs="Arial"/>
          <w:color w:val="000000"/>
          <w:lang w:eastAsia="bg-BG"/>
        </w:rPr>
      </w:pPr>
    </w:p>
    <w:p w14:paraId="2162A44D" w14:textId="72C8DDFF" w:rsidR="007D6885" w:rsidRPr="007D6885" w:rsidRDefault="007D6885" w:rsidP="007D6885">
      <w:pPr>
        <w:rPr>
          <w:rFonts w:cs="Arial"/>
        </w:rPr>
      </w:pPr>
      <w:r w:rsidRPr="007D6885">
        <w:rPr>
          <w:rFonts w:eastAsia="Times New Roman" w:cs="Arial"/>
          <w:color w:val="000000"/>
          <w:lang w:eastAsia="bg-BG"/>
        </w:rPr>
        <w:t>Фармакокинетиката при петима не-диабетни пациенти след операция на жлъчния канал е подобна на тази при здрави пациенти</w:t>
      </w:r>
    </w:p>
    <w:p w14:paraId="71F6D525" w14:textId="77777777" w:rsidR="007D6885" w:rsidRPr="0091385D" w:rsidRDefault="007D688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68CA9BBD" w:rsidR="0091385D" w:rsidRDefault="007D6885" w:rsidP="0091385D">
      <w:r>
        <w:t>Наблюдаваните предклинични ефекти са се появявали при дози, значително превишаващи максималните човешки дози, без съществено клинично приложение, или са се дължали на фармакодинамичното действие (хипогликемия) на съединението. Това откритие се базира на конвенционалната фармакология, токсичността на повтарящите се дози, генотоксичността, канцерогенността и репродукционната токсичност. При последната (включваща ембриотоксичностга, тератогенността и растежната токсичност) наблюдаваните странични действия се считат за вторични на хипогликемичните ефекти, индуцирани от съединението при майки и подрастващи.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3746A2E4"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Нео Балканика ЕООД</w:t>
      </w:r>
    </w:p>
    <w:p w14:paraId="2BE3DFA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Ул. “Земляне” 35</w:t>
      </w:r>
    </w:p>
    <w:p w14:paraId="3FD825DB" w14:textId="6007761C" w:rsidR="0091385D" w:rsidRPr="007D6885" w:rsidRDefault="007D6885" w:rsidP="007D6885">
      <w:pPr>
        <w:rPr>
          <w:rFonts w:cs="Arial"/>
        </w:rPr>
      </w:pPr>
      <w:r w:rsidRPr="007D6885">
        <w:rPr>
          <w:rFonts w:eastAsia="Times New Roman" w:cs="Arial"/>
          <w:color w:val="000000"/>
          <w:lang w:eastAsia="bg-BG"/>
        </w:rPr>
        <w:lastRenderedPageBreak/>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39B84D6E"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1 </w:t>
      </w:r>
      <w:r w:rsidRPr="007D6885">
        <w:rPr>
          <w:rFonts w:eastAsia="Times New Roman" w:cs="Arial"/>
          <w:color w:val="000000"/>
          <w:lang w:val="en-US"/>
        </w:rPr>
        <w:t xml:space="preserve">mg-II-11251/27.07.2005r.- </w:t>
      </w:r>
      <w:r w:rsidRPr="007D6885">
        <w:rPr>
          <w:rFonts w:eastAsia="Times New Roman" w:cs="Arial"/>
          <w:color w:val="000000"/>
          <w:lang w:eastAsia="bg-BG"/>
        </w:rPr>
        <w:t>20050408</w:t>
      </w:r>
    </w:p>
    <w:p w14:paraId="6E7F45F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2 </w:t>
      </w:r>
      <w:r w:rsidRPr="007D6885">
        <w:rPr>
          <w:rFonts w:eastAsia="Times New Roman" w:cs="Arial"/>
          <w:color w:val="000000"/>
          <w:lang w:val="en-US"/>
        </w:rPr>
        <w:t xml:space="preserve">mg - </w:t>
      </w:r>
      <w:r w:rsidRPr="007D6885">
        <w:rPr>
          <w:rFonts w:eastAsia="Times New Roman" w:cs="Arial"/>
          <w:color w:val="000000"/>
          <w:lang w:eastAsia="bg-BG"/>
        </w:rPr>
        <w:t>II-11252/27.07.2005г.- 20050409</w:t>
      </w:r>
    </w:p>
    <w:p w14:paraId="23ABAF68"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3 </w:t>
      </w:r>
      <w:r w:rsidRPr="007D6885">
        <w:rPr>
          <w:rFonts w:eastAsia="Times New Roman" w:cs="Arial"/>
          <w:color w:val="000000"/>
          <w:lang w:val="en-US"/>
        </w:rPr>
        <w:t xml:space="preserve">mg </w:t>
      </w:r>
      <w:r w:rsidRPr="007D6885">
        <w:rPr>
          <w:rFonts w:eastAsia="Times New Roman" w:cs="Arial"/>
          <w:color w:val="000000"/>
          <w:lang w:eastAsia="bg-BG"/>
        </w:rPr>
        <w:t>- II-11253/27.07.2005г.- 20050410</w:t>
      </w:r>
    </w:p>
    <w:p w14:paraId="6E892CE5" w14:textId="0C74F5BC" w:rsidR="0091385D" w:rsidRPr="007D6885" w:rsidRDefault="007D6885" w:rsidP="007D6885">
      <w:pPr>
        <w:rPr>
          <w:rFonts w:cs="Arial"/>
        </w:rPr>
      </w:pPr>
      <w:r w:rsidRPr="007D6885">
        <w:rPr>
          <w:rFonts w:eastAsia="Times New Roman" w:cs="Arial"/>
          <w:color w:val="000000"/>
          <w:lang w:eastAsia="bg-BG"/>
        </w:rPr>
        <w:t xml:space="preserve">Неоглим® 4 </w:t>
      </w:r>
      <w:r w:rsidRPr="007D6885">
        <w:rPr>
          <w:rFonts w:eastAsia="Times New Roman" w:cs="Arial"/>
          <w:color w:val="000000"/>
          <w:lang w:val="en-US"/>
        </w:rPr>
        <w:t xml:space="preserve">mg </w:t>
      </w:r>
      <w:r w:rsidRPr="007D6885">
        <w:rPr>
          <w:rFonts w:eastAsia="Times New Roman" w:cs="Arial"/>
          <w:color w:val="000000"/>
          <w:lang w:eastAsia="bg-BG"/>
        </w:rPr>
        <w:t>- II-11254/27.07.2005г.- 20050411</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258FFE56" w:rsidR="0091385D" w:rsidRPr="007D6885" w:rsidRDefault="007D6885" w:rsidP="0091385D">
      <w:pPr>
        <w:rPr>
          <w:rFonts w:cs="Arial"/>
        </w:rPr>
      </w:pPr>
      <w:r w:rsidRPr="007D6885">
        <w:rPr>
          <w:rFonts w:cs="Arial"/>
        </w:rPr>
        <w:t>Януари 2010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57313"/>
    <w:multiLevelType w:val="hybridMultilevel"/>
    <w:tmpl w:val="DB12BF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F6C249F"/>
    <w:multiLevelType w:val="hybridMultilevel"/>
    <w:tmpl w:val="4D6A739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456C5E"/>
    <w:multiLevelType w:val="hybridMultilevel"/>
    <w:tmpl w:val="369A0BA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A46B0"/>
    <w:multiLevelType w:val="hybridMultilevel"/>
    <w:tmpl w:val="3D2C1B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80A9A"/>
    <w:multiLevelType w:val="hybridMultilevel"/>
    <w:tmpl w:val="CEA88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3415"/>
    <w:multiLevelType w:val="hybridMultilevel"/>
    <w:tmpl w:val="A7F4EC2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5"/>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5"/>
  </w:num>
  <w:num w:numId="12">
    <w:abstractNumId w:val="16"/>
  </w:num>
  <w:num w:numId="13">
    <w:abstractNumId w:val="22"/>
  </w:num>
  <w:num w:numId="14">
    <w:abstractNumId w:val="14"/>
  </w:num>
  <w:num w:numId="15">
    <w:abstractNumId w:val="34"/>
  </w:num>
  <w:num w:numId="16">
    <w:abstractNumId w:val="11"/>
  </w:num>
  <w:num w:numId="17">
    <w:abstractNumId w:val="27"/>
  </w:num>
  <w:num w:numId="18">
    <w:abstractNumId w:val="7"/>
  </w:num>
  <w:num w:numId="19">
    <w:abstractNumId w:val="30"/>
  </w:num>
  <w:num w:numId="20">
    <w:abstractNumId w:val="26"/>
  </w:num>
  <w:num w:numId="21">
    <w:abstractNumId w:val="20"/>
  </w:num>
  <w:num w:numId="22">
    <w:abstractNumId w:val="28"/>
  </w:num>
  <w:num w:numId="23">
    <w:abstractNumId w:val="21"/>
  </w:num>
  <w:num w:numId="24">
    <w:abstractNumId w:val="8"/>
  </w:num>
  <w:num w:numId="25">
    <w:abstractNumId w:val="25"/>
  </w:num>
  <w:num w:numId="26">
    <w:abstractNumId w:val="24"/>
  </w:num>
  <w:num w:numId="27">
    <w:abstractNumId w:val="36"/>
  </w:num>
  <w:num w:numId="28">
    <w:abstractNumId w:val="6"/>
  </w:num>
  <w:num w:numId="29">
    <w:abstractNumId w:val="23"/>
  </w:num>
  <w:num w:numId="30">
    <w:abstractNumId w:val="39"/>
  </w:num>
  <w:num w:numId="31">
    <w:abstractNumId w:val="5"/>
  </w:num>
  <w:num w:numId="32">
    <w:abstractNumId w:val="38"/>
  </w:num>
  <w:num w:numId="33">
    <w:abstractNumId w:val="33"/>
  </w:num>
  <w:num w:numId="34">
    <w:abstractNumId w:val="37"/>
  </w:num>
  <w:num w:numId="35">
    <w:abstractNumId w:val="9"/>
  </w:num>
  <w:num w:numId="36">
    <w:abstractNumId w:val="10"/>
  </w:num>
  <w:num w:numId="37">
    <w:abstractNumId w:val="29"/>
  </w:num>
  <w:num w:numId="38">
    <w:abstractNumId w:val="17"/>
  </w:num>
  <w:num w:numId="39">
    <w:abstractNumId w:val="1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1266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D6885"/>
    <w:rsid w:val="008134C8"/>
    <w:rsid w:val="00814073"/>
    <w:rsid w:val="00826F0D"/>
    <w:rsid w:val="008535A9"/>
    <w:rsid w:val="00893B92"/>
    <w:rsid w:val="008A6AF2"/>
    <w:rsid w:val="008C70A2"/>
    <w:rsid w:val="008F1AF3"/>
    <w:rsid w:val="008F587E"/>
    <w:rsid w:val="0091385D"/>
    <w:rsid w:val="009773E4"/>
    <w:rsid w:val="009B171C"/>
    <w:rsid w:val="009F1313"/>
    <w:rsid w:val="00A20351"/>
    <w:rsid w:val="00A65A81"/>
    <w:rsid w:val="00A73575"/>
    <w:rsid w:val="00AA23EC"/>
    <w:rsid w:val="00AC63CE"/>
    <w:rsid w:val="00AE2107"/>
    <w:rsid w:val="00B275A8"/>
    <w:rsid w:val="00B466CB"/>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3575</Words>
  <Characters>20384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2022-09-06T11:39:00Z</dcterms:created>
  <dcterms:modified xsi:type="dcterms:W3CDTF">2022-09-06T11:39:00Z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