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09CEB67B" w:rsidR="002C50EE" w:rsidRDefault="002C50EE" w:rsidP="002C50EE">
      <w:pPr>
        <w:pStyle w:val="Heading1"/>
        <w:jc w:val="center"/>
      </w:pPr>
      <w:bookmarkStart w:id="0" w:name="_Hlk63124480"/>
      <w:r>
        <w:t>КРАТКА ХАРАКТЕРИСТИКА НА ПРОДУКТА</w:t>
      </w:r>
    </w:p>
    <w:p w14:paraId="5A3B4435" w14:textId="77777777" w:rsidR="0091385D" w:rsidRPr="0091385D" w:rsidRDefault="0091385D" w:rsidP="0091385D"/>
    <w:p w14:paraId="3320F4BE" w14:textId="2EB48694" w:rsidR="00C40420" w:rsidRDefault="00DD466D" w:rsidP="004A448E">
      <w:pPr>
        <w:pStyle w:val="Heading1"/>
      </w:pPr>
      <w:r>
        <w:t>1.ИМЕ НА ЛЕКАРСТВЕНИЯ ПРОДУКТ</w:t>
      </w:r>
    </w:p>
    <w:p w14:paraId="5E9BA472" w14:textId="28012C85" w:rsidR="0091385D" w:rsidRDefault="0091385D" w:rsidP="0091385D"/>
    <w:p w14:paraId="7EA51565" w14:textId="77777777" w:rsidR="00B466CB" w:rsidRPr="00B466CB" w:rsidRDefault="00B466CB" w:rsidP="00B466CB">
      <w:pPr>
        <w:spacing w:line="240" w:lineRule="auto"/>
        <w:rPr>
          <w:rFonts w:eastAsia="Times New Roman" w:cs="Arial"/>
          <w:sz w:val="24"/>
          <w:szCs w:val="24"/>
          <w:lang w:val="en-US" w:eastAsia="bg-BG"/>
        </w:rPr>
      </w:pPr>
      <w:proofErr w:type="spellStart"/>
      <w:r w:rsidRPr="00B466CB">
        <w:rPr>
          <w:rFonts w:eastAsia="Times New Roman" w:cs="Arial"/>
          <w:color w:val="000000"/>
          <w:lang w:val="en-US"/>
        </w:rPr>
        <w:t>Neoglim</w:t>
      </w:r>
      <w:proofErr w:type="spellEnd"/>
      <w:r w:rsidRPr="00B466CB">
        <w:rPr>
          <w:rFonts w:eastAsia="Times New Roman" w:cs="Arial"/>
          <w:color w:val="000000"/>
          <w:lang w:val="en-US"/>
        </w:rPr>
        <w:t xml:space="preserve">® </w:t>
      </w:r>
      <w:r w:rsidRPr="00B466CB">
        <w:rPr>
          <w:rFonts w:eastAsia="Times New Roman" w:cs="Arial"/>
          <w:color w:val="000000"/>
          <w:lang w:eastAsia="bg-BG"/>
        </w:rPr>
        <w:t xml:space="preserve">1 </w:t>
      </w:r>
      <w:r w:rsidRPr="00B466CB">
        <w:rPr>
          <w:rFonts w:eastAsia="Times New Roman" w:cs="Arial"/>
          <w:color w:val="000000"/>
          <w:lang w:val="en-US"/>
        </w:rPr>
        <w:t>mg tablets</w:t>
      </w:r>
    </w:p>
    <w:p w14:paraId="1E32CFBC" w14:textId="77777777" w:rsidR="00B466CB" w:rsidRPr="00B466CB" w:rsidRDefault="00B466CB" w:rsidP="00B466CB">
      <w:pPr>
        <w:spacing w:line="240" w:lineRule="auto"/>
        <w:rPr>
          <w:rFonts w:eastAsia="Times New Roman" w:cs="Arial"/>
          <w:sz w:val="24"/>
          <w:szCs w:val="24"/>
          <w:lang w:val="en-US" w:eastAsia="bg-BG"/>
        </w:rPr>
      </w:pPr>
      <w:r w:rsidRPr="00B466CB">
        <w:rPr>
          <w:rFonts w:eastAsia="Times New Roman" w:cs="Arial"/>
          <w:color w:val="000000"/>
          <w:lang w:eastAsia="bg-BG"/>
        </w:rPr>
        <w:t xml:space="preserve">Неоглим® 1 </w:t>
      </w:r>
      <w:r w:rsidRPr="00B466CB">
        <w:rPr>
          <w:rFonts w:eastAsia="Times New Roman" w:cs="Arial"/>
          <w:color w:val="000000"/>
          <w:lang w:val="en-US"/>
        </w:rPr>
        <w:t xml:space="preserve">mg </w:t>
      </w:r>
      <w:r w:rsidRPr="00B466CB">
        <w:rPr>
          <w:rFonts w:eastAsia="Times New Roman" w:cs="Arial"/>
          <w:color w:val="000000"/>
          <w:lang w:eastAsia="bg-BG"/>
        </w:rPr>
        <w:t>таблетки</w:t>
      </w:r>
    </w:p>
    <w:p w14:paraId="1E582582" w14:textId="77777777" w:rsidR="00B466CB" w:rsidRPr="00B466CB" w:rsidRDefault="00B466CB" w:rsidP="00B466CB">
      <w:pPr>
        <w:spacing w:line="240" w:lineRule="auto"/>
        <w:rPr>
          <w:rFonts w:eastAsia="Times New Roman" w:cs="Arial"/>
          <w:sz w:val="24"/>
          <w:szCs w:val="24"/>
          <w:lang w:val="en-US" w:eastAsia="bg-BG"/>
        </w:rPr>
      </w:pPr>
    </w:p>
    <w:p w14:paraId="36A3A745" w14:textId="77777777" w:rsidR="00B466CB" w:rsidRPr="00B466CB" w:rsidRDefault="00B466CB" w:rsidP="00B466CB">
      <w:pPr>
        <w:spacing w:line="240" w:lineRule="auto"/>
        <w:rPr>
          <w:rFonts w:eastAsia="Times New Roman" w:cs="Arial"/>
          <w:sz w:val="24"/>
          <w:szCs w:val="24"/>
          <w:lang w:val="en-US" w:eastAsia="bg-BG"/>
        </w:rPr>
      </w:pPr>
      <w:proofErr w:type="spellStart"/>
      <w:r w:rsidRPr="00B466CB">
        <w:rPr>
          <w:rFonts w:eastAsia="Times New Roman" w:cs="Arial"/>
          <w:color w:val="000000"/>
          <w:lang w:val="en-US"/>
        </w:rPr>
        <w:t>Neoglim</w:t>
      </w:r>
      <w:proofErr w:type="spellEnd"/>
      <w:r w:rsidRPr="00B466CB">
        <w:rPr>
          <w:rFonts w:eastAsia="Times New Roman" w:cs="Arial"/>
          <w:color w:val="000000"/>
          <w:lang w:val="en-US"/>
        </w:rPr>
        <w:t>® 2 mg tablets</w:t>
      </w:r>
    </w:p>
    <w:p w14:paraId="3F54E100" w14:textId="47F27E06" w:rsidR="00B466CB" w:rsidRPr="00B466CB" w:rsidRDefault="00B466CB" w:rsidP="00B466CB">
      <w:pPr>
        <w:spacing w:line="240" w:lineRule="auto"/>
        <w:rPr>
          <w:rFonts w:eastAsia="Times New Roman" w:cs="Arial"/>
          <w:sz w:val="24"/>
          <w:szCs w:val="24"/>
          <w:lang w:val="en-US" w:eastAsia="bg-BG"/>
        </w:rPr>
      </w:pPr>
      <w:r w:rsidRPr="00B466CB">
        <w:rPr>
          <w:rFonts w:eastAsia="Times New Roman" w:cs="Arial"/>
          <w:color w:val="000000"/>
          <w:lang w:eastAsia="bg-BG"/>
        </w:rPr>
        <w:t xml:space="preserve">Неоглим® </w:t>
      </w:r>
      <w:r w:rsidRPr="00B466CB">
        <w:rPr>
          <w:rFonts w:eastAsia="Times New Roman" w:cs="Arial"/>
          <w:color w:val="000000"/>
          <w:lang w:val="en-US"/>
        </w:rPr>
        <w:t xml:space="preserve">2 mg </w:t>
      </w:r>
      <w:r w:rsidRPr="00B466CB">
        <w:rPr>
          <w:rFonts w:eastAsia="Times New Roman" w:cs="Arial"/>
          <w:color w:val="000000"/>
          <w:lang w:eastAsia="bg-BG"/>
        </w:rPr>
        <w:t>таблетки</w:t>
      </w:r>
    </w:p>
    <w:p w14:paraId="0158CF96" w14:textId="77777777" w:rsidR="00B466CB" w:rsidRPr="00B466CB" w:rsidRDefault="00B466CB" w:rsidP="00B466CB">
      <w:pPr>
        <w:spacing w:line="240" w:lineRule="auto"/>
        <w:rPr>
          <w:rFonts w:eastAsia="Times New Roman" w:cs="Arial"/>
          <w:color w:val="000000"/>
          <w:lang w:val="en-US"/>
        </w:rPr>
      </w:pPr>
    </w:p>
    <w:p w14:paraId="36489C29" w14:textId="3CD98F3C" w:rsidR="00B466CB" w:rsidRPr="00B466CB" w:rsidRDefault="00B466CB" w:rsidP="00B466CB">
      <w:pPr>
        <w:spacing w:line="240" w:lineRule="auto"/>
        <w:rPr>
          <w:rFonts w:eastAsia="Times New Roman" w:cs="Arial"/>
          <w:sz w:val="24"/>
          <w:szCs w:val="24"/>
          <w:lang w:val="en-US" w:eastAsia="bg-BG"/>
        </w:rPr>
      </w:pPr>
      <w:proofErr w:type="spellStart"/>
      <w:r w:rsidRPr="00B466CB">
        <w:rPr>
          <w:rFonts w:eastAsia="Times New Roman" w:cs="Arial"/>
          <w:color w:val="000000"/>
          <w:lang w:val="en-US"/>
        </w:rPr>
        <w:t>Neoglim</w:t>
      </w:r>
      <w:proofErr w:type="spellEnd"/>
      <w:r w:rsidRPr="00B466CB">
        <w:rPr>
          <w:rFonts w:eastAsia="Times New Roman" w:cs="Arial"/>
          <w:color w:val="000000"/>
          <w:lang w:val="en-US"/>
        </w:rPr>
        <w:t>® 3 mg tablets</w:t>
      </w:r>
      <w:r w:rsidRPr="00B466CB">
        <w:rPr>
          <w:rFonts w:eastAsia="Times New Roman" w:cs="Arial"/>
          <w:color w:val="000000"/>
          <w:lang w:val="en-US"/>
        </w:rPr>
        <w:tab/>
      </w:r>
    </w:p>
    <w:p w14:paraId="1A9B9E99" w14:textId="77777777" w:rsidR="00B466CB" w:rsidRPr="00B466CB" w:rsidRDefault="00B466CB" w:rsidP="00B466CB">
      <w:pPr>
        <w:spacing w:line="240" w:lineRule="auto"/>
        <w:rPr>
          <w:rFonts w:eastAsia="Times New Roman" w:cs="Arial"/>
          <w:sz w:val="24"/>
          <w:szCs w:val="24"/>
          <w:lang w:val="en-US" w:eastAsia="bg-BG"/>
        </w:rPr>
      </w:pPr>
      <w:r w:rsidRPr="00B466CB">
        <w:rPr>
          <w:rFonts w:eastAsia="Times New Roman" w:cs="Arial"/>
          <w:color w:val="000000"/>
          <w:lang w:eastAsia="bg-BG"/>
        </w:rPr>
        <w:t xml:space="preserve">Неоглим® </w:t>
      </w:r>
      <w:r w:rsidRPr="00B466CB">
        <w:rPr>
          <w:rFonts w:eastAsia="Times New Roman" w:cs="Arial"/>
          <w:color w:val="000000"/>
          <w:lang w:val="en-US"/>
        </w:rPr>
        <w:t xml:space="preserve">3 mg </w:t>
      </w:r>
      <w:r w:rsidRPr="00B466CB">
        <w:rPr>
          <w:rFonts w:eastAsia="Times New Roman" w:cs="Arial"/>
          <w:color w:val="000000"/>
          <w:lang w:eastAsia="bg-BG"/>
        </w:rPr>
        <w:t>таблетки</w:t>
      </w:r>
    </w:p>
    <w:p w14:paraId="3EEA4AA4" w14:textId="77777777" w:rsidR="00B466CB" w:rsidRPr="00B466CB" w:rsidRDefault="00B466CB" w:rsidP="00B466CB">
      <w:pPr>
        <w:spacing w:line="240" w:lineRule="auto"/>
        <w:rPr>
          <w:rFonts w:eastAsia="Times New Roman" w:cs="Arial"/>
          <w:color w:val="000000"/>
          <w:lang w:val="en-US"/>
        </w:rPr>
      </w:pPr>
    </w:p>
    <w:p w14:paraId="5F2014EB" w14:textId="4720585A" w:rsidR="00B466CB" w:rsidRPr="00B466CB" w:rsidRDefault="00B466CB" w:rsidP="00B466CB">
      <w:pPr>
        <w:spacing w:line="240" w:lineRule="auto"/>
        <w:rPr>
          <w:rFonts w:eastAsia="Times New Roman" w:cs="Arial"/>
          <w:sz w:val="24"/>
          <w:szCs w:val="24"/>
          <w:lang w:val="en-US" w:eastAsia="bg-BG"/>
        </w:rPr>
      </w:pPr>
      <w:proofErr w:type="spellStart"/>
      <w:r w:rsidRPr="00B466CB">
        <w:rPr>
          <w:rFonts w:eastAsia="Times New Roman" w:cs="Arial"/>
          <w:color w:val="000000"/>
          <w:lang w:val="en-US"/>
        </w:rPr>
        <w:t>Neoglim</w:t>
      </w:r>
      <w:proofErr w:type="spellEnd"/>
      <w:r w:rsidRPr="00B466CB">
        <w:rPr>
          <w:rFonts w:eastAsia="Times New Roman" w:cs="Arial"/>
          <w:color w:val="000000"/>
          <w:lang w:val="en-US"/>
        </w:rPr>
        <w:t>® 4 mg tablets</w:t>
      </w:r>
    </w:p>
    <w:p w14:paraId="5015A1FD" w14:textId="6CCF6432" w:rsidR="00A73575" w:rsidRPr="00B466CB" w:rsidRDefault="00B466CB" w:rsidP="00B466CB">
      <w:pPr>
        <w:rPr>
          <w:rFonts w:cs="Arial"/>
        </w:rPr>
      </w:pPr>
      <w:r w:rsidRPr="00B466CB">
        <w:rPr>
          <w:rFonts w:eastAsia="Times New Roman" w:cs="Arial"/>
          <w:color w:val="000000"/>
          <w:lang w:eastAsia="bg-BG"/>
        </w:rPr>
        <w:t xml:space="preserve">Неоглим® </w:t>
      </w:r>
      <w:r w:rsidRPr="00B466CB">
        <w:rPr>
          <w:rFonts w:eastAsia="Times New Roman" w:cs="Arial"/>
          <w:color w:val="000000"/>
          <w:lang w:val="en-US"/>
        </w:rPr>
        <w:t xml:space="preserve">4 mg </w:t>
      </w:r>
      <w:r w:rsidRPr="00B466CB">
        <w:rPr>
          <w:rFonts w:eastAsia="Times New Roman" w:cs="Arial"/>
          <w:color w:val="000000"/>
          <w:lang w:eastAsia="bg-BG"/>
        </w:rPr>
        <w:t>таблетки</w:t>
      </w:r>
    </w:p>
    <w:p w14:paraId="1E8447D1" w14:textId="77777777" w:rsidR="0091385D" w:rsidRPr="0091385D" w:rsidRDefault="0091385D" w:rsidP="0091385D"/>
    <w:p w14:paraId="6920A680" w14:textId="53C3EFCC" w:rsidR="00C40420" w:rsidRDefault="00DD466D" w:rsidP="004A448E">
      <w:pPr>
        <w:pStyle w:val="Heading1"/>
      </w:pPr>
      <w:r>
        <w:t>2. КАЧЕСТВЕН И КОЛИЧЕСТВЕН СЪСТАВ</w:t>
      </w:r>
    </w:p>
    <w:p w14:paraId="1ED33AE8" w14:textId="288788EF" w:rsidR="0091385D" w:rsidRDefault="0091385D" w:rsidP="0091385D"/>
    <w:p w14:paraId="4ACDFBBC" w14:textId="77777777"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Всяка таблетка Неоглим® 1 </w:t>
      </w:r>
      <w:r w:rsidRPr="00B466CB">
        <w:rPr>
          <w:rFonts w:eastAsia="Times New Roman" w:cs="Arial"/>
          <w:color w:val="000000"/>
          <w:lang w:val="en-US"/>
        </w:rPr>
        <w:t xml:space="preserve">mg </w:t>
      </w:r>
      <w:r w:rsidRPr="00B466CB">
        <w:rPr>
          <w:rFonts w:eastAsia="Times New Roman" w:cs="Arial"/>
          <w:color w:val="000000"/>
          <w:lang w:eastAsia="bg-BG"/>
        </w:rPr>
        <w:t xml:space="preserve">съдържа глимепирид </w:t>
      </w:r>
      <w:r w:rsidRPr="00B466CB">
        <w:rPr>
          <w:rFonts w:eastAsia="Times New Roman" w:cs="Arial"/>
          <w:i/>
          <w:iCs/>
          <w:color w:val="000000"/>
          <w:lang w:val="en-US"/>
        </w:rPr>
        <w:t>(glimepiride)</w:t>
      </w:r>
      <w:r w:rsidRPr="00B466CB">
        <w:rPr>
          <w:rFonts w:eastAsia="Times New Roman" w:cs="Arial"/>
          <w:color w:val="000000"/>
          <w:lang w:val="en-US"/>
        </w:rPr>
        <w:t xml:space="preserve"> </w:t>
      </w:r>
      <w:r w:rsidRPr="00B466CB">
        <w:rPr>
          <w:rFonts w:eastAsia="Times New Roman" w:cs="Arial"/>
          <w:color w:val="000000"/>
          <w:lang w:eastAsia="bg-BG"/>
        </w:rPr>
        <w:t xml:space="preserve">1 </w:t>
      </w:r>
      <w:r w:rsidRPr="00B466CB">
        <w:rPr>
          <w:rFonts w:eastAsia="Times New Roman" w:cs="Arial"/>
          <w:color w:val="000000"/>
          <w:lang w:val="en-US"/>
        </w:rPr>
        <w:t>mg.</w:t>
      </w:r>
    </w:p>
    <w:p w14:paraId="2EE49656" w14:textId="77777777" w:rsidR="00B466CB" w:rsidRPr="00B466CB" w:rsidRDefault="00B466CB" w:rsidP="00B466CB">
      <w:pPr>
        <w:spacing w:line="240" w:lineRule="auto"/>
        <w:rPr>
          <w:rFonts w:eastAsia="Times New Roman" w:cs="Arial"/>
          <w:color w:val="000000"/>
          <w:lang w:eastAsia="bg-BG"/>
        </w:rPr>
      </w:pPr>
    </w:p>
    <w:p w14:paraId="5B3F2C5E" w14:textId="2BF34681"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Всяка таблетка Неоглим® 2 </w:t>
      </w:r>
      <w:r w:rsidRPr="00B466CB">
        <w:rPr>
          <w:rFonts w:eastAsia="Times New Roman" w:cs="Arial"/>
          <w:color w:val="000000"/>
          <w:lang w:val="en-US"/>
        </w:rPr>
        <w:t xml:space="preserve">mg </w:t>
      </w:r>
      <w:r w:rsidRPr="00B466CB">
        <w:rPr>
          <w:rFonts w:eastAsia="Times New Roman" w:cs="Arial"/>
          <w:color w:val="000000"/>
          <w:lang w:eastAsia="bg-BG"/>
        </w:rPr>
        <w:t xml:space="preserve">съдържа глимепирид </w:t>
      </w:r>
      <w:r w:rsidRPr="00B466CB">
        <w:rPr>
          <w:rFonts w:eastAsia="Times New Roman" w:cs="Arial"/>
          <w:i/>
          <w:iCs/>
          <w:color w:val="000000"/>
          <w:lang w:val="en-US"/>
        </w:rPr>
        <w:t>(glimepiride)</w:t>
      </w:r>
      <w:r w:rsidRPr="00B466CB">
        <w:rPr>
          <w:rFonts w:eastAsia="Times New Roman" w:cs="Arial"/>
          <w:color w:val="000000"/>
          <w:lang w:val="en-US"/>
        </w:rPr>
        <w:t xml:space="preserve"> </w:t>
      </w:r>
      <w:r w:rsidRPr="00B466CB">
        <w:rPr>
          <w:rFonts w:eastAsia="Times New Roman" w:cs="Arial"/>
          <w:color w:val="000000"/>
          <w:lang w:eastAsia="bg-BG"/>
        </w:rPr>
        <w:t xml:space="preserve">2 </w:t>
      </w:r>
      <w:r w:rsidRPr="00B466CB">
        <w:rPr>
          <w:rFonts w:eastAsia="Times New Roman" w:cs="Arial"/>
          <w:color w:val="000000"/>
          <w:lang w:val="en-US"/>
        </w:rPr>
        <w:t>mg.</w:t>
      </w:r>
    </w:p>
    <w:p w14:paraId="3FEF517F" w14:textId="77777777" w:rsidR="00B466CB" w:rsidRPr="00B466CB" w:rsidRDefault="00B466CB" w:rsidP="00B466CB">
      <w:pPr>
        <w:spacing w:line="240" w:lineRule="auto"/>
        <w:rPr>
          <w:rFonts w:eastAsia="Times New Roman" w:cs="Arial"/>
          <w:color w:val="000000"/>
          <w:lang w:eastAsia="bg-BG"/>
        </w:rPr>
      </w:pPr>
    </w:p>
    <w:p w14:paraId="21960085" w14:textId="1268220F"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Всяка таблетка Неоглим® 3 </w:t>
      </w:r>
      <w:r w:rsidRPr="00B466CB">
        <w:rPr>
          <w:rFonts w:eastAsia="Times New Roman" w:cs="Arial"/>
          <w:color w:val="000000"/>
          <w:lang w:val="en-US"/>
        </w:rPr>
        <w:t xml:space="preserve">mg </w:t>
      </w:r>
      <w:r w:rsidRPr="00B466CB">
        <w:rPr>
          <w:rFonts w:eastAsia="Times New Roman" w:cs="Arial"/>
          <w:color w:val="000000"/>
          <w:lang w:eastAsia="bg-BG"/>
        </w:rPr>
        <w:t xml:space="preserve">съдържа глимепирид </w:t>
      </w:r>
      <w:r w:rsidRPr="00B466CB">
        <w:rPr>
          <w:rFonts w:eastAsia="Times New Roman" w:cs="Arial"/>
          <w:i/>
          <w:iCs/>
          <w:color w:val="000000"/>
          <w:lang w:val="en-US"/>
        </w:rPr>
        <w:t>(glimepiride)</w:t>
      </w:r>
      <w:r w:rsidRPr="00B466CB">
        <w:rPr>
          <w:rFonts w:eastAsia="Times New Roman" w:cs="Arial"/>
          <w:color w:val="000000"/>
          <w:lang w:val="en-US"/>
        </w:rPr>
        <w:t xml:space="preserve"> </w:t>
      </w:r>
      <w:r w:rsidRPr="00B466CB">
        <w:rPr>
          <w:rFonts w:eastAsia="Times New Roman" w:cs="Arial"/>
          <w:color w:val="000000"/>
          <w:lang w:eastAsia="bg-BG"/>
        </w:rPr>
        <w:t xml:space="preserve">3 </w:t>
      </w:r>
      <w:r w:rsidRPr="00B466CB">
        <w:rPr>
          <w:rFonts w:eastAsia="Times New Roman" w:cs="Arial"/>
          <w:color w:val="000000"/>
          <w:lang w:val="en-US"/>
        </w:rPr>
        <w:t>mg.</w:t>
      </w:r>
    </w:p>
    <w:p w14:paraId="011D274A" w14:textId="77777777" w:rsidR="00B466CB" w:rsidRPr="00B466CB" w:rsidRDefault="00B466CB" w:rsidP="00B466CB">
      <w:pPr>
        <w:spacing w:line="240" w:lineRule="auto"/>
        <w:rPr>
          <w:rFonts w:eastAsia="Times New Roman" w:cs="Arial"/>
          <w:color w:val="000000"/>
          <w:lang w:eastAsia="bg-BG"/>
        </w:rPr>
      </w:pPr>
    </w:p>
    <w:p w14:paraId="129EB726" w14:textId="5B1649E1"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Всяка таблетка Неоглим® 4 </w:t>
      </w:r>
      <w:r w:rsidRPr="00B466CB">
        <w:rPr>
          <w:rFonts w:eastAsia="Times New Roman" w:cs="Arial"/>
          <w:color w:val="000000"/>
          <w:lang w:val="en-US"/>
        </w:rPr>
        <w:t xml:space="preserve">mg </w:t>
      </w:r>
      <w:r w:rsidRPr="00B466CB">
        <w:rPr>
          <w:rFonts w:eastAsia="Times New Roman" w:cs="Arial"/>
          <w:color w:val="000000"/>
          <w:lang w:eastAsia="bg-BG"/>
        </w:rPr>
        <w:t xml:space="preserve">съдържа глимепирид </w:t>
      </w:r>
      <w:r w:rsidRPr="00B466CB">
        <w:rPr>
          <w:rFonts w:eastAsia="Times New Roman" w:cs="Arial"/>
          <w:i/>
          <w:iCs/>
          <w:color w:val="000000"/>
          <w:lang w:val="en-US"/>
        </w:rPr>
        <w:t>(glimepiride)</w:t>
      </w:r>
      <w:r w:rsidRPr="00B466CB">
        <w:rPr>
          <w:rFonts w:eastAsia="Times New Roman" w:cs="Arial"/>
          <w:color w:val="000000"/>
          <w:lang w:val="en-US"/>
        </w:rPr>
        <w:t xml:space="preserve"> </w:t>
      </w:r>
      <w:r w:rsidRPr="00B466CB">
        <w:rPr>
          <w:rFonts w:eastAsia="Times New Roman" w:cs="Arial"/>
          <w:color w:val="000000"/>
          <w:lang w:eastAsia="bg-BG"/>
        </w:rPr>
        <w:t xml:space="preserve">4 </w:t>
      </w:r>
      <w:r w:rsidRPr="00B466CB">
        <w:rPr>
          <w:rFonts w:eastAsia="Times New Roman" w:cs="Arial"/>
          <w:color w:val="000000"/>
          <w:lang w:val="en-US"/>
        </w:rPr>
        <w:t>mg.</w:t>
      </w:r>
    </w:p>
    <w:p w14:paraId="7B18C8B1" w14:textId="77777777" w:rsidR="00B466CB" w:rsidRPr="00B466CB" w:rsidRDefault="00B466CB" w:rsidP="00B466CB">
      <w:pPr>
        <w:spacing w:line="240" w:lineRule="auto"/>
        <w:rPr>
          <w:rFonts w:eastAsia="Times New Roman" w:cs="Arial"/>
          <w:color w:val="000000"/>
          <w:lang w:eastAsia="bg-BG"/>
        </w:rPr>
      </w:pPr>
    </w:p>
    <w:p w14:paraId="6DE4F58F" w14:textId="56790099"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Помощни вещества: Продуктът съдържа лактоза.</w:t>
      </w:r>
    </w:p>
    <w:p w14:paraId="03110A50" w14:textId="03AD571B" w:rsidR="0091385D" w:rsidRPr="00B466CB" w:rsidRDefault="00B466CB" w:rsidP="00B466CB">
      <w:pPr>
        <w:rPr>
          <w:rFonts w:cs="Arial"/>
        </w:rPr>
      </w:pPr>
      <w:r w:rsidRPr="00B466CB">
        <w:rPr>
          <w:rFonts w:eastAsia="Times New Roman" w:cs="Arial"/>
          <w:color w:val="000000"/>
          <w:lang w:eastAsia="bg-BG"/>
        </w:rPr>
        <w:t>За пълния списък на помощните вещества, вж. точка 6.1.</w:t>
      </w:r>
    </w:p>
    <w:p w14:paraId="3C47C299" w14:textId="77777777" w:rsidR="00A73575" w:rsidRPr="0091385D" w:rsidRDefault="00A73575" w:rsidP="0091385D"/>
    <w:p w14:paraId="614984C4" w14:textId="3FC552C3" w:rsidR="008A6AF2" w:rsidRDefault="00DD466D" w:rsidP="002C50EE">
      <w:pPr>
        <w:pStyle w:val="Heading1"/>
      </w:pPr>
      <w:r>
        <w:t>3. ЛЕКАРСТВЕНА ФОРМА</w:t>
      </w:r>
    </w:p>
    <w:p w14:paraId="1004E96C" w14:textId="277B91E7" w:rsidR="0091385D" w:rsidRDefault="0091385D" w:rsidP="0091385D"/>
    <w:p w14:paraId="06C9C336" w14:textId="77777777"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Таблетки.</w:t>
      </w:r>
    </w:p>
    <w:p w14:paraId="3AE5445C" w14:textId="77777777" w:rsidR="00B466CB" w:rsidRPr="00B466CB" w:rsidRDefault="00B466CB" w:rsidP="00B466CB">
      <w:pPr>
        <w:spacing w:line="240" w:lineRule="auto"/>
        <w:rPr>
          <w:rFonts w:eastAsia="Times New Roman" w:cs="Arial"/>
          <w:color w:val="000000"/>
          <w:lang w:eastAsia="bg-BG"/>
        </w:rPr>
      </w:pPr>
    </w:p>
    <w:p w14:paraId="25AAF153" w14:textId="77777777" w:rsidR="00B466CB" w:rsidRPr="00B466CB" w:rsidRDefault="00B466CB" w:rsidP="00B466CB">
      <w:pPr>
        <w:spacing w:line="240" w:lineRule="auto"/>
        <w:rPr>
          <w:rFonts w:eastAsia="Times New Roman" w:cs="Arial"/>
          <w:color w:val="000000"/>
          <w:lang w:val="en-US"/>
        </w:rPr>
      </w:pPr>
      <w:r w:rsidRPr="00B466CB">
        <w:rPr>
          <w:rFonts w:eastAsia="Times New Roman" w:cs="Arial"/>
          <w:color w:val="000000"/>
          <w:lang w:eastAsia="bg-BG"/>
        </w:rPr>
        <w:t xml:space="preserve">Таблетките са продълговати и биконвексни. Таблетките Неоглим® 1 </w:t>
      </w:r>
      <w:r w:rsidRPr="00B466CB">
        <w:rPr>
          <w:rFonts w:eastAsia="Times New Roman" w:cs="Arial"/>
          <w:color w:val="000000"/>
          <w:lang w:val="en-US"/>
        </w:rPr>
        <w:t xml:space="preserve">mg </w:t>
      </w:r>
      <w:r w:rsidRPr="00B466CB">
        <w:rPr>
          <w:rFonts w:eastAsia="Times New Roman" w:cs="Arial"/>
          <w:color w:val="000000"/>
          <w:lang w:eastAsia="bg-BG"/>
        </w:rPr>
        <w:t xml:space="preserve">са с размери 8 х 4 </w:t>
      </w:r>
      <w:r w:rsidRPr="00B466CB">
        <w:rPr>
          <w:rFonts w:eastAsia="Times New Roman" w:cs="Arial"/>
          <w:color w:val="000000"/>
          <w:lang w:val="en-US"/>
        </w:rPr>
        <w:t xml:space="preserve">mm. </w:t>
      </w:r>
    </w:p>
    <w:p w14:paraId="461E10D5" w14:textId="77777777" w:rsidR="00B466CB" w:rsidRPr="00B466CB" w:rsidRDefault="00B466CB" w:rsidP="00B466CB">
      <w:pPr>
        <w:spacing w:line="240" w:lineRule="auto"/>
        <w:rPr>
          <w:rFonts w:eastAsia="Times New Roman" w:cs="Arial"/>
          <w:color w:val="000000"/>
          <w:lang w:val="en-US"/>
        </w:rPr>
      </w:pPr>
    </w:p>
    <w:p w14:paraId="0552B55A" w14:textId="29F8BAAC"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Таблетките Неоглим® 2 </w:t>
      </w:r>
      <w:r w:rsidRPr="00B466CB">
        <w:rPr>
          <w:rFonts w:eastAsia="Times New Roman" w:cs="Arial"/>
          <w:color w:val="000000"/>
          <w:lang w:val="en-US"/>
        </w:rPr>
        <w:t xml:space="preserve">mg, </w:t>
      </w:r>
      <w:r w:rsidRPr="00B466CB">
        <w:rPr>
          <w:rFonts w:eastAsia="Times New Roman" w:cs="Arial"/>
          <w:color w:val="000000"/>
          <w:lang w:eastAsia="bg-BG"/>
        </w:rPr>
        <w:t xml:space="preserve">3 </w:t>
      </w:r>
      <w:r w:rsidRPr="00B466CB">
        <w:rPr>
          <w:rFonts w:eastAsia="Times New Roman" w:cs="Arial"/>
          <w:color w:val="000000"/>
          <w:lang w:val="en-US"/>
        </w:rPr>
        <w:t xml:space="preserve">mg </w:t>
      </w:r>
      <w:r w:rsidRPr="00B466CB">
        <w:rPr>
          <w:rFonts w:eastAsia="Times New Roman" w:cs="Arial"/>
          <w:color w:val="000000"/>
          <w:lang w:eastAsia="bg-BG"/>
        </w:rPr>
        <w:t xml:space="preserve">и 4 </w:t>
      </w:r>
      <w:r w:rsidRPr="00B466CB">
        <w:rPr>
          <w:rFonts w:eastAsia="Times New Roman" w:cs="Arial"/>
          <w:color w:val="000000"/>
          <w:lang w:val="en-US"/>
        </w:rPr>
        <w:t xml:space="preserve">mg </w:t>
      </w:r>
      <w:r w:rsidRPr="00B466CB">
        <w:rPr>
          <w:rFonts w:eastAsia="Times New Roman" w:cs="Arial"/>
          <w:color w:val="000000"/>
          <w:lang w:eastAsia="bg-BG"/>
        </w:rPr>
        <w:t xml:space="preserve">са с размери </w:t>
      </w:r>
      <w:r w:rsidRPr="00B466CB">
        <w:rPr>
          <w:rFonts w:eastAsia="Times New Roman" w:cs="Arial"/>
          <w:color w:val="000000"/>
          <w:lang w:val="en-US"/>
        </w:rPr>
        <w:t>10x5 mm.</w:t>
      </w:r>
    </w:p>
    <w:p w14:paraId="4CAB71EA" w14:textId="77777777" w:rsidR="00B466CB" w:rsidRPr="00B466CB" w:rsidRDefault="00B466CB" w:rsidP="00B466CB">
      <w:pPr>
        <w:spacing w:line="240" w:lineRule="auto"/>
        <w:rPr>
          <w:rFonts w:eastAsia="Times New Roman" w:cs="Arial"/>
          <w:color w:val="000000"/>
          <w:lang w:eastAsia="bg-BG"/>
        </w:rPr>
      </w:pPr>
    </w:p>
    <w:p w14:paraId="51040327" w14:textId="0A7885A3"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Таблетките Неоглим® 1 </w:t>
      </w:r>
      <w:r w:rsidRPr="00B466CB">
        <w:rPr>
          <w:rFonts w:eastAsia="Times New Roman" w:cs="Arial"/>
          <w:color w:val="000000"/>
          <w:lang w:val="en-US"/>
        </w:rPr>
        <w:t xml:space="preserve">mg </w:t>
      </w:r>
      <w:r w:rsidRPr="00B466CB">
        <w:rPr>
          <w:rFonts w:eastAsia="Times New Roman" w:cs="Arial"/>
          <w:color w:val="000000"/>
          <w:lang w:eastAsia="bg-BG"/>
        </w:rPr>
        <w:t>са розови на цвят.</w:t>
      </w:r>
    </w:p>
    <w:p w14:paraId="2E42BB85" w14:textId="77777777" w:rsidR="00B466CB" w:rsidRPr="00B466CB" w:rsidRDefault="00B466CB" w:rsidP="00B466CB">
      <w:pPr>
        <w:spacing w:line="240" w:lineRule="auto"/>
        <w:rPr>
          <w:rFonts w:eastAsia="Times New Roman" w:cs="Arial"/>
          <w:color w:val="000000"/>
          <w:lang w:eastAsia="bg-BG"/>
        </w:rPr>
      </w:pPr>
    </w:p>
    <w:p w14:paraId="21F9D79F" w14:textId="683E0495"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Таблетките Неоглим® 2 </w:t>
      </w:r>
      <w:r w:rsidRPr="00B466CB">
        <w:rPr>
          <w:rFonts w:eastAsia="Times New Roman" w:cs="Arial"/>
          <w:color w:val="000000"/>
          <w:lang w:val="en-US"/>
        </w:rPr>
        <w:t xml:space="preserve">mg </w:t>
      </w:r>
      <w:r w:rsidRPr="00B466CB">
        <w:rPr>
          <w:rFonts w:eastAsia="Times New Roman" w:cs="Arial"/>
          <w:color w:val="000000"/>
          <w:lang w:eastAsia="bg-BG"/>
        </w:rPr>
        <w:t>са зелени на цвят.</w:t>
      </w:r>
    </w:p>
    <w:p w14:paraId="6D8CDD4E" w14:textId="77777777" w:rsidR="00B466CB" w:rsidRPr="00B466CB" w:rsidRDefault="00B466CB" w:rsidP="00B466CB">
      <w:pPr>
        <w:spacing w:line="240" w:lineRule="auto"/>
        <w:rPr>
          <w:rFonts w:eastAsia="Times New Roman" w:cs="Arial"/>
          <w:color w:val="000000"/>
          <w:lang w:eastAsia="bg-BG"/>
        </w:rPr>
      </w:pPr>
    </w:p>
    <w:p w14:paraId="08D1AA2F" w14:textId="5120ACAA"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Таблетките Неоглим® 3 </w:t>
      </w:r>
      <w:r w:rsidRPr="00B466CB">
        <w:rPr>
          <w:rFonts w:eastAsia="Times New Roman" w:cs="Arial"/>
          <w:color w:val="000000"/>
          <w:lang w:val="en-US"/>
        </w:rPr>
        <w:t xml:space="preserve">mg </w:t>
      </w:r>
      <w:r w:rsidRPr="00B466CB">
        <w:rPr>
          <w:rFonts w:eastAsia="Times New Roman" w:cs="Arial"/>
          <w:color w:val="000000"/>
          <w:lang w:eastAsia="bg-BG"/>
        </w:rPr>
        <w:t>са бледожълти на цвят.</w:t>
      </w:r>
    </w:p>
    <w:p w14:paraId="03243313" w14:textId="77777777" w:rsidR="00B466CB" w:rsidRPr="00B466CB" w:rsidRDefault="00B466CB" w:rsidP="00B466CB">
      <w:pPr>
        <w:rPr>
          <w:rFonts w:eastAsia="Times New Roman" w:cs="Arial"/>
          <w:color w:val="000000"/>
          <w:lang w:eastAsia="bg-BG"/>
        </w:rPr>
      </w:pPr>
    </w:p>
    <w:p w14:paraId="4129ADBB" w14:textId="5012FA96" w:rsidR="0091385D" w:rsidRPr="00B466CB" w:rsidRDefault="00B466CB" w:rsidP="00B466CB">
      <w:pPr>
        <w:rPr>
          <w:rFonts w:cs="Arial"/>
        </w:rPr>
      </w:pPr>
      <w:r w:rsidRPr="00B466CB">
        <w:rPr>
          <w:rFonts w:eastAsia="Times New Roman" w:cs="Arial"/>
          <w:color w:val="000000"/>
          <w:lang w:eastAsia="bg-BG"/>
        </w:rPr>
        <w:lastRenderedPageBreak/>
        <w:t xml:space="preserve">Таблетките Неоглим® 4 </w:t>
      </w:r>
      <w:r w:rsidRPr="00B466CB">
        <w:rPr>
          <w:rFonts w:eastAsia="Times New Roman" w:cs="Arial"/>
          <w:color w:val="000000"/>
          <w:lang w:val="en-US"/>
        </w:rPr>
        <w:t xml:space="preserve">mg </w:t>
      </w:r>
      <w:r w:rsidRPr="00B466CB">
        <w:rPr>
          <w:rFonts w:eastAsia="Times New Roman" w:cs="Arial"/>
          <w:color w:val="000000"/>
          <w:lang w:eastAsia="bg-BG"/>
        </w:rPr>
        <w:t>са светлосини на цвят.</w:t>
      </w:r>
    </w:p>
    <w:p w14:paraId="7D287A22" w14:textId="77777777" w:rsidR="00A73575" w:rsidRPr="0091385D" w:rsidRDefault="00A73575" w:rsidP="0091385D"/>
    <w:p w14:paraId="490FC2C4" w14:textId="76FABE77" w:rsidR="002C50EE" w:rsidRDefault="002C50EE" w:rsidP="002C50EE">
      <w:pPr>
        <w:pStyle w:val="Heading1"/>
      </w:pPr>
      <w:r>
        <w:t>4. КЛИНИЧНИ ДАННИ</w:t>
      </w:r>
    </w:p>
    <w:p w14:paraId="0C69CBC7" w14:textId="77777777" w:rsidR="0091385D" w:rsidRPr="0091385D" w:rsidRDefault="0091385D" w:rsidP="0091385D"/>
    <w:p w14:paraId="0C8E6903" w14:textId="51BB3E2D" w:rsidR="008134C8" w:rsidRDefault="002C50EE" w:rsidP="004A448E">
      <w:pPr>
        <w:pStyle w:val="Heading2"/>
      </w:pPr>
      <w:r>
        <w:t>4.1. Терапевтични показания</w:t>
      </w:r>
    </w:p>
    <w:p w14:paraId="174D169F" w14:textId="0369962D" w:rsidR="0091385D" w:rsidRDefault="0091385D" w:rsidP="0091385D"/>
    <w:p w14:paraId="04B2E99C" w14:textId="7086ED38" w:rsidR="0091385D" w:rsidRDefault="00B466CB" w:rsidP="0091385D">
      <w:r>
        <w:t xml:space="preserve">Неоглим® (1, 2, 3, 4 </w:t>
      </w:r>
      <w:r>
        <w:rPr>
          <w:lang w:val="en-US"/>
        </w:rPr>
        <w:t xml:space="preserve">mg) </w:t>
      </w:r>
      <w:r>
        <w:t xml:space="preserve">е показан за лечение на </w:t>
      </w:r>
      <w:r>
        <w:rPr>
          <w:lang w:val="en-US"/>
        </w:rPr>
        <w:t xml:space="preserve">diabetes mellitus </w:t>
      </w:r>
      <w:r>
        <w:t>тип 2, когато</w:t>
      </w:r>
      <w:r>
        <w:rPr>
          <w:lang w:val="en-US"/>
        </w:rPr>
        <w:t xml:space="preserve"> </w:t>
      </w:r>
      <w:r>
        <w:t>диетата, физическите упражнения и намаляването на теглото не дават задоволителен ефект.</w:t>
      </w:r>
    </w:p>
    <w:p w14:paraId="6DFA4B9D" w14:textId="77777777" w:rsidR="0091385D" w:rsidRPr="0091385D" w:rsidRDefault="0091385D" w:rsidP="0091385D"/>
    <w:p w14:paraId="30BE2C7B" w14:textId="3633C1E4" w:rsidR="008134C8" w:rsidRDefault="002C50EE" w:rsidP="004A448E">
      <w:pPr>
        <w:pStyle w:val="Heading2"/>
      </w:pPr>
      <w:r>
        <w:t>4.2. Дозировка и начин на приложение</w:t>
      </w:r>
    </w:p>
    <w:p w14:paraId="7AA22B68" w14:textId="3A681DFB" w:rsidR="0091385D" w:rsidRDefault="0091385D" w:rsidP="0091385D"/>
    <w:p w14:paraId="6448DADC" w14:textId="77777777"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В основата на успешното лечение на диабета са добрата диета, редовната физическа активност, както и ежедневните изследвания на кръвта и урината. Таблетките или инсулинът не могат да компенсират неспазването на препоръчителната диета от пациента.</w:t>
      </w:r>
    </w:p>
    <w:p w14:paraId="2D346453" w14:textId="77777777" w:rsidR="00B466CB" w:rsidRPr="00B466CB" w:rsidRDefault="00B466CB" w:rsidP="00B466CB">
      <w:pPr>
        <w:spacing w:line="240" w:lineRule="auto"/>
        <w:rPr>
          <w:rFonts w:eastAsia="Times New Roman" w:cs="Arial"/>
          <w:color w:val="000000"/>
          <w:lang w:eastAsia="bg-BG"/>
        </w:rPr>
      </w:pPr>
    </w:p>
    <w:p w14:paraId="5A010748" w14:textId="5F467647"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Дозата определят резултатите от изследванията за съдържанието на глюкоза в кръвта и урината.</w:t>
      </w:r>
    </w:p>
    <w:p w14:paraId="7B5D1462" w14:textId="77777777" w:rsidR="00B466CB" w:rsidRPr="00B466CB" w:rsidRDefault="00B466CB" w:rsidP="00B466CB">
      <w:pPr>
        <w:spacing w:line="240" w:lineRule="auto"/>
        <w:rPr>
          <w:rFonts w:eastAsia="Times New Roman" w:cs="Arial"/>
          <w:color w:val="000000"/>
          <w:lang w:eastAsia="bg-BG"/>
        </w:rPr>
      </w:pPr>
    </w:p>
    <w:p w14:paraId="74813B6E" w14:textId="4DF99885"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Началната доза е 1 </w:t>
      </w:r>
      <w:r w:rsidRPr="00B466CB">
        <w:rPr>
          <w:rFonts w:eastAsia="Times New Roman" w:cs="Arial"/>
          <w:color w:val="000000"/>
          <w:lang w:val="en-US"/>
        </w:rPr>
        <w:t xml:space="preserve">mg glimepiride </w:t>
      </w:r>
      <w:r w:rsidRPr="00B466CB">
        <w:rPr>
          <w:rFonts w:eastAsia="Times New Roman" w:cs="Arial"/>
          <w:color w:val="000000"/>
          <w:lang w:eastAsia="bg-BG"/>
        </w:rPr>
        <w:t>на ден. Ако се постигне добър контрол, тази доза може да бъде използвана за поддържаща терапия.</w:t>
      </w:r>
    </w:p>
    <w:p w14:paraId="0F12E2C3" w14:textId="77777777" w:rsidR="00B466CB" w:rsidRPr="00B466CB" w:rsidRDefault="00B466CB" w:rsidP="00B466CB">
      <w:pPr>
        <w:spacing w:line="240" w:lineRule="auto"/>
        <w:rPr>
          <w:rFonts w:eastAsia="Times New Roman" w:cs="Arial"/>
          <w:color w:val="000000"/>
          <w:lang w:eastAsia="bg-BG"/>
        </w:rPr>
      </w:pPr>
    </w:p>
    <w:p w14:paraId="1CD1E8D8" w14:textId="3CE3ED49"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Ако контролът е незадоволителен, дозата трябва да бъде увеличена на базата на гликемичния контрол, постепенно, в интервал от 1 до 2 седмици между всяко увеличение, до 2,3 или 4 </w:t>
      </w:r>
      <w:r w:rsidRPr="00B466CB">
        <w:rPr>
          <w:rFonts w:eastAsia="Times New Roman" w:cs="Arial"/>
          <w:color w:val="000000"/>
          <w:lang w:val="en-US"/>
        </w:rPr>
        <w:t xml:space="preserve">mg glimepiride </w:t>
      </w:r>
      <w:r w:rsidRPr="00B466CB">
        <w:rPr>
          <w:rFonts w:eastAsia="Times New Roman" w:cs="Arial"/>
          <w:color w:val="000000"/>
          <w:lang w:eastAsia="bg-BG"/>
        </w:rPr>
        <w:t>на ден.</w:t>
      </w:r>
    </w:p>
    <w:p w14:paraId="18F4ACFC" w14:textId="77777777" w:rsidR="00B466CB" w:rsidRPr="00B466CB" w:rsidRDefault="00B466CB" w:rsidP="00B466CB">
      <w:pPr>
        <w:spacing w:line="240" w:lineRule="auto"/>
        <w:rPr>
          <w:rFonts w:eastAsia="Times New Roman" w:cs="Arial"/>
          <w:color w:val="000000"/>
          <w:lang w:eastAsia="bg-BG"/>
        </w:rPr>
      </w:pPr>
    </w:p>
    <w:p w14:paraId="3BDE5FF0" w14:textId="62921320"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Доза повече от 4 </w:t>
      </w:r>
      <w:r w:rsidRPr="00B466CB">
        <w:rPr>
          <w:rFonts w:eastAsia="Times New Roman" w:cs="Arial"/>
          <w:color w:val="000000"/>
          <w:lang w:val="en-US"/>
        </w:rPr>
        <w:t xml:space="preserve">mg glimepiride </w:t>
      </w:r>
      <w:r w:rsidRPr="00B466CB">
        <w:rPr>
          <w:rFonts w:eastAsia="Times New Roman" w:cs="Arial"/>
          <w:color w:val="000000"/>
          <w:lang w:eastAsia="bg-BG"/>
        </w:rPr>
        <w:t xml:space="preserve">на ден дава по-добри резултати само в изключителни случаи. Максималната препоръчителна доза е 6 </w:t>
      </w:r>
      <w:r w:rsidRPr="00B466CB">
        <w:rPr>
          <w:rFonts w:eastAsia="Times New Roman" w:cs="Arial"/>
          <w:color w:val="000000"/>
          <w:lang w:val="en-US"/>
        </w:rPr>
        <w:t xml:space="preserve">mg glimepiride </w:t>
      </w:r>
      <w:r w:rsidRPr="00B466CB">
        <w:rPr>
          <w:rFonts w:eastAsia="Times New Roman" w:cs="Arial"/>
          <w:color w:val="000000"/>
          <w:lang w:eastAsia="bg-BG"/>
        </w:rPr>
        <w:t>на ден.</w:t>
      </w:r>
    </w:p>
    <w:p w14:paraId="0CB335DC" w14:textId="77777777" w:rsidR="00B466CB" w:rsidRPr="00B466CB" w:rsidRDefault="00B466CB" w:rsidP="00B466CB">
      <w:pPr>
        <w:spacing w:line="240" w:lineRule="auto"/>
        <w:rPr>
          <w:rFonts w:eastAsia="Times New Roman" w:cs="Arial"/>
          <w:color w:val="000000"/>
          <w:lang w:eastAsia="bg-BG"/>
        </w:rPr>
      </w:pPr>
    </w:p>
    <w:p w14:paraId="5D13603D" w14:textId="7D9D0AC5"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При пациенти, неадекватно контролирани с максимална дневна доза </w:t>
      </w:r>
      <w:r w:rsidRPr="00B466CB">
        <w:rPr>
          <w:rFonts w:eastAsia="Times New Roman" w:cs="Arial"/>
          <w:color w:val="000000"/>
          <w:lang w:val="en-US"/>
        </w:rPr>
        <w:t xml:space="preserve">metformin, </w:t>
      </w:r>
      <w:r w:rsidRPr="00B466CB">
        <w:rPr>
          <w:rFonts w:eastAsia="Times New Roman" w:cs="Arial"/>
          <w:color w:val="000000"/>
          <w:lang w:eastAsia="bg-BG"/>
        </w:rPr>
        <w:t xml:space="preserve">може да бъде назначена съпътстваща терапия с </w:t>
      </w:r>
      <w:r w:rsidRPr="00B466CB">
        <w:rPr>
          <w:rFonts w:eastAsia="Times New Roman" w:cs="Arial"/>
          <w:color w:val="000000"/>
          <w:lang w:val="en-US"/>
        </w:rPr>
        <w:t xml:space="preserve">glimepiride. </w:t>
      </w:r>
      <w:r w:rsidRPr="00B466CB">
        <w:rPr>
          <w:rFonts w:eastAsia="Times New Roman" w:cs="Arial"/>
          <w:color w:val="000000"/>
          <w:lang w:eastAsia="bg-BG"/>
        </w:rPr>
        <w:t xml:space="preserve">Запазвайки дозата </w:t>
      </w:r>
      <w:r w:rsidRPr="00B466CB">
        <w:rPr>
          <w:rFonts w:eastAsia="Times New Roman" w:cs="Arial"/>
          <w:color w:val="000000"/>
          <w:lang w:val="en-US"/>
        </w:rPr>
        <w:t xml:space="preserve">metformin, </w:t>
      </w:r>
      <w:r w:rsidRPr="00B466CB">
        <w:rPr>
          <w:rFonts w:eastAsia="Times New Roman" w:cs="Arial"/>
          <w:color w:val="000000"/>
          <w:lang w:eastAsia="bg-BG"/>
        </w:rPr>
        <w:t xml:space="preserve">терапията с </w:t>
      </w:r>
      <w:r w:rsidRPr="00B466CB">
        <w:rPr>
          <w:rFonts w:eastAsia="Times New Roman" w:cs="Arial"/>
          <w:color w:val="000000"/>
          <w:lang w:val="en-US"/>
        </w:rPr>
        <w:t xml:space="preserve">glimepiride </w:t>
      </w:r>
      <w:r w:rsidRPr="00B466CB">
        <w:rPr>
          <w:rFonts w:eastAsia="Times New Roman" w:cs="Arial"/>
          <w:color w:val="000000"/>
          <w:lang w:eastAsia="bg-BG"/>
        </w:rPr>
        <w:t>започва с ниска доза, след което се увеличава постепенно в зависимост от желаното ниво на метаболитен контрол, докато се достигне максималната дневна доза. Комбинираната терапия трябва да бъде започната под непосредствено лекарско наблюдение.</w:t>
      </w:r>
    </w:p>
    <w:p w14:paraId="138EDADE" w14:textId="77777777" w:rsidR="00B466CB" w:rsidRPr="00B466CB" w:rsidRDefault="00B466CB" w:rsidP="00B466CB">
      <w:pPr>
        <w:spacing w:line="240" w:lineRule="auto"/>
        <w:rPr>
          <w:rFonts w:eastAsia="Times New Roman" w:cs="Arial"/>
          <w:color w:val="000000"/>
          <w:lang w:eastAsia="bg-BG"/>
        </w:rPr>
      </w:pPr>
    </w:p>
    <w:p w14:paraId="4B5FED22" w14:textId="5225EA00"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При пациенти, неадекватно контролирани с максимална дневна доза Неоглим® (1,2, 3, 4 </w:t>
      </w:r>
      <w:r w:rsidRPr="00B466CB">
        <w:rPr>
          <w:rFonts w:eastAsia="Times New Roman" w:cs="Arial"/>
          <w:color w:val="000000"/>
          <w:lang w:val="en-US"/>
        </w:rPr>
        <w:t xml:space="preserve">mg), </w:t>
      </w:r>
      <w:r w:rsidRPr="00B466CB">
        <w:rPr>
          <w:rFonts w:eastAsia="Times New Roman" w:cs="Arial"/>
          <w:color w:val="000000"/>
          <w:lang w:eastAsia="bg-BG"/>
        </w:rPr>
        <w:t xml:space="preserve">ако е необходимо, може да бъде назначена съпътстваща инсулинова терапия. Запазвайки дозата </w:t>
      </w:r>
      <w:r w:rsidRPr="00B466CB">
        <w:rPr>
          <w:rFonts w:eastAsia="Times New Roman" w:cs="Arial"/>
          <w:color w:val="000000"/>
          <w:lang w:val="en-US"/>
        </w:rPr>
        <w:t xml:space="preserve">glimepiride, </w:t>
      </w:r>
      <w:r w:rsidRPr="00B466CB">
        <w:rPr>
          <w:rFonts w:eastAsia="Times New Roman" w:cs="Arial"/>
          <w:color w:val="000000"/>
          <w:lang w:eastAsia="bg-BG"/>
        </w:rPr>
        <w:t>терапията с инсулин започва с ниска доза, след което се увеличава постепенно в зависимост от желаното ниво на метаболитен контрол. Комбинираната терапия трябва да бъде започната под непосредствено лекарско наблюдение.</w:t>
      </w:r>
    </w:p>
    <w:p w14:paraId="4822831B" w14:textId="77777777" w:rsidR="00B466CB" w:rsidRPr="00B466CB" w:rsidRDefault="00B466CB" w:rsidP="00B466CB">
      <w:pPr>
        <w:spacing w:line="240" w:lineRule="auto"/>
        <w:rPr>
          <w:rFonts w:eastAsia="Times New Roman" w:cs="Arial"/>
          <w:color w:val="000000"/>
          <w:lang w:eastAsia="bg-BG"/>
        </w:rPr>
      </w:pPr>
    </w:p>
    <w:p w14:paraId="3A191D8C" w14:textId="6A6F3A75"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Обикновено еднократна дневна доза от </w:t>
      </w:r>
      <w:r w:rsidRPr="00B466CB">
        <w:rPr>
          <w:rFonts w:eastAsia="Times New Roman" w:cs="Arial"/>
          <w:color w:val="000000"/>
          <w:lang w:val="en-US"/>
        </w:rPr>
        <w:t xml:space="preserve">glimepiride </w:t>
      </w:r>
      <w:r w:rsidRPr="00B466CB">
        <w:rPr>
          <w:rFonts w:eastAsia="Times New Roman" w:cs="Arial"/>
          <w:color w:val="000000"/>
          <w:lang w:eastAsia="bg-BG"/>
        </w:rPr>
        <w:t>се оказва достатъчна. Препоръчително е тази доза да бъде приемана малко след обилна закуска или - ако няма такава - малко преди или по време на първото главно ястие.</w:t>
      </w:r>
    </w:p>
    <w:p w14:paraId="4A9E5A6E" w14:textId="77777777" w:rsidR="00B466CB" w:rsidRPr="00B466CB" w:rsidRDefault="00B466CB" w:rsidP="00B466CB">
      <w:pPr>
        <w:spacing w:line="240" w:lineRule="auto"/>
        <w:rPr>
          <w:rFonts w:eastAsia="Times New Roman" w:cs="Arial"/>
          <w:color w:val="000000"/>
          <w:lang w:eastAsia="bg-BG"/>
        </w:rPr>
      </w:pPr>
    </w:p>
    <w:p w14:paraId="708F68C9" w14:textId="6F0C6C29"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lastRenderedPageBreak/>
        <w:t>Ако дозата бъде пропусната, това не трябва да се коригира посредством увеличаване на следващата доза.</w:t>
      </w:r>
    </w:p>
    <w:p w14:paraId="72102DF9" w14:textId="77777777" w:rsidR="00B466CB" w:rsidRPr="00B466CB" w:rsidRDefault="00B466CB" w:rsidP="00B466CB">
      <w:pPr>
        <w:spacing w:line="240" w:lineRule="auto"/>
        <w:rPr>
          <w:rFonts w:eastAsia="Times New Roman" w:cs="Arial"/>
          <w:color w:val="000000"/>
          <w:lang w:eastAsia="bg-BG"/>
        </w:rPr>
      </w:pPr>
    </w:p>
    <w:p w14:paraId="48B3DA8F" w14:textId="37FFF96A"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Таблетките трябва да се поглъщат цели, с малко количество течност.</w:t>
      </w:r>
    </w:p>
    <w:p w14:paraId="050063C0" w14:textId="77777777" w:rsidR="00B466CB" w:rsidRPr="00B466CB" w:rsidRDefault="00B466CB" w:rsidP="00B466CB">
      <w:pPr>
        <w:spacing w:line="240" w:lineRule="auto"/>
        <w:rPr>
          <w:rFonts w:eastAsia="Times New Roman" w:cs="Arial"/>
          <w:color w:val="000000"/>
          <w:lang w:eastAsia="bg-BG"/>
        </w:rPr>
      </w:pPr>
    </w:p>
    <w:p w14:paraId="36D47D63" w14:textId="71C09AD2"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Ако при даден пациент се наблюдава хипогликемична реакция при доза 1 </w:t>
      </w:r>
      <w:r w:rsidRPr="00B466CB">
        <w:rPr>
          <w:rFonts w:eastAsia="Times New Roman" w:cs="Arial"/>
          <w:color w:val="000000"/>
          <w:lang w:val="en-US"/>
        </w:rPr>
        <w:t xml:space="preserve">mg glimepiride </w:t>
      </w:r>
      <w:r w:rsidRPr="00B466CB">
        <w:rPr>
          <w:rFonts w:eastAsia="Times New Roman" w:cs="Arial"/>
          <w:color w:val="000000"/>
          <w:lang w:eastAsia="bg-BG"/>
        </w:rPr>
        <w:t>дневно, това е знак, че той може да бъде контролиран единствено посредством диета.</w:t>
      </w:r>
    </w:p>
    <w:p w14:paraId="370AD584" w14:textId="77777777" w:rsidR="00B466CB" w:rsidRPr="00B466CB" w:rsidRDefault="00B466CB" w:rsidP="00B466CB">
      <w:pPr>
        <w:spacing w:line="240" w:lineRule="auto"/>
        <w:rPr>
          <w:rFonts w:eastAsia="Times New Roman" w:cs="Arial"/>
          <w:color w:val="000000"/>
          <w:lang w:eastAsia="bg-BG"/>
        </w:rPr>
      </w:pPr>
    </w:p>
    <w:p w14:paraId="10DB05DA" w14:textId="7AFF8128"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В процеса на лечението, тъй като подобрението в контрола на диабета е свързано с по- висока инсулинова чувствителност, нуждата от </w:t>
      </w:r>
      <w:r w:rsidRPr="00B466CB">
        <w:rPr>
          <w:rFonts w:eastAsia="Times New Roman" w:cs="Arial"/>
          <w:color w:val="000000"/>
          <w:lang w:val="en-US"/>
        </w:rPr>
        <w:t xml:space="preserve">glimepiride </w:t>
      </w:r>
      <w:r w:rsidRPr="00B466CB">
        <w:rPr>
          <w:rFonts w:eastAsia="Times New Roman" w:cs="Arial"/>
          <w:color w:val="000000"/>
          <w:lang w:eastAsia="bg-BG"/>
        </w:rPr>
        <w:t>може да намалее. За да се избегне хипогликемията, трябва да се помисли за своевременно намаление на дозата или спиране на лечението. Промени в дозата могат също да бъдат необходими, ако има такива в теглото или стила на живот на пациента или други фактори, които увеличават риска от хипо- или хипергликемия.</w:t>
      </w:r>
    </w:p>
    <w:p w14:paraId="6E048A8E" w14:textId="77777777" w:rsidR="00B466CB" w:rsidRPr="00B466CB" w:rsidRDefault="00B466CB" w:rsidP="00B466CB">
      <w:pPr>
        <w:rPr>
          <w:rFonts w:eastAsia="Times New Roman" w:cs="Arial"/>
          <w:b/>
          <w:bCs/>
          <w:color w:val="000000"/>
          <w:lang w:eastAsia="bg-BG"/>
        </w:rPr>
      </w:pPr>
    </w:p>
    <w:p w14:paraId="475300EC" w14:textId="35ADF7B4" w:rsidR="0091385D" w:rsidRPr="00B466CB" w:rsidRDefault="00B466CB" w:rsidP="00B466CB">
      <w:pPr>
        <w:rPr>
          <w:rFonts w:cs="Arial"/>
        </w:rPr>
      </w:pPr>
      <w:r w:rsidRPr="00B466CB">
        <w:rPr>
          <w:rFonts w:eastAsia="Times New Roman" w:cs="Arial"/>
          <w:b/>
          <w:bCs/>
          <w:color w:val="000000"/>
          <w:lang w:eastAsia="bg-BG"/>
        </w:rPr>
        <w:t>Преминаване от други орални хипогликемични агенти към Неоглим® (1.</w:t>
      </w:r>
      <w:r w:rsidRPr="00B466CB">
        <w:rPr>
          <w:rFonts w:eastAsia="Times New Roman" w:cs="Arial"/>
          <w:b/>
          <w:bCs/>
          <w:color w:val="000000"/>
          <w:lang w:val="en-US"/>
        </w:rPr>
        <w:t xml:space="preserve"> </w:t>
      </w:r>
      <w:r w:rsidRPr="00B466CB">
        <w:rPr>
          <w:rFonts w:eastAsia="Times New Roman" w:cs="Arial"/>
          <w:b/>
          <w:bCs/>
          <w:color w:val="000000"/>
          <w:lang w:eastAsia="bg-BG"/>
        </w:rPr>
        <w:t>2.</w:t>
      </w:r>
      <w:r w:rsidRPr="00B466CB">
        <w:rPr>
          <w:rFonts w:eastAsia="Times New Roman" w:cs="Arial"/>
          <w:b/>
          <w:bCs/>
          <w:color w:val="000000"/>
          <w:lang w:val="en-US"/>
        </w:rPr>
        <w:t xml:space="preserve"> </w:t>
      </w:r>
      <w:r w:rsidRPr="00B466CB">
        <w:rPr>
          <w:rFonts w:eastAsia="Times New Roman" w:cs="Arial"/>
          <w:b/>
          <w:bCs/>
          <w:color w:val="000000"/>
          <w:lang w:eastAsia="bg-BG"/>
        </w:rPr>
        <w:t>3.</w:t>
      </w:r>
      <w:r w:rsidRPr="00B466CB">
        <w:rPr>
          <w:rFonts w:eastAsia="Times New Roman" w:cs="Arial"/>
          <w:b/>
          <w:bCs/>
          <w:color w:val="000000"/>
          <w:lang w:val="en-US"/>
        </w:rPr>
        <w:t xml:space="preserve"> </w:t>
      </w:r>
      <w:r w:rsidRPr="00B466CB">
        <w:rPr>
          <w:rFonts w:eastAsia="Times New Roman" w:cs="Arial"/>
          <w:b/>
          <w:bCs/>
          <w:color w:val="000000"/>
          <w:lang w:eastAsia="bg-BG"/>
        </w:rPr>
        <w:t xml:space="preserve">4 </w:t>
      </w:r>
      <w:r w:rsidRPr="00B466CB">
        <w:rPr>
          <w:rFonts w:eastAsia="Times New Roman" w:cs="Arial"/>
          <w:b/>
          <w:bCs/>
          <w:color w:val="000000"/>
          <w:lang w:val="en-US"/>
        </w:rPr>
        <w:t>mg):</w:t>
      </w:r>
    </w:p>
    <w:p w14:paraId="6ACAF645" w14:textId="05C95E77" w:rsidR="0091385D" w:rsidRDefault="0091385D" w:rsidP="0091385D"/>
    <w:p w14:paraId="1FE470CE" w14:textId="77777777" w:rsidR="00B466CB" w:rsidRPr="00B466CB" w:rsidRDefault="00B466CB" w:rsidP="00B466CB">
      <w:pPr>
        <w:spacing w:line="240" w:lineRule="auto"/>
        <w:rPr>
          <w:rFonts w:ascii="Times New Roman" w:eastAsia="Times New Roman" w:hAnsi="Times New Roman" w:cs="Times New Roman"/>
          <w:sz w:val="24"/>
          <w:szCs w:val="24"/>
          <w:lang w:eastAsia="bg-BG"/>
        </w:rPr>
      </w:pPr>
      <w:r w:rsidRPr="00B466CB">
        <w:rPr>
          <w:rFonts w:eastAsia="Times New Roman" w:cs="Arial"/>
          <w:color w:val="000000"/>
          <w:lang w:eastAsia="bg-BG"/>
        </w:rPr>
        <w:t xml:space="preserve">В общия случай това може да бъде направено. За тази цел трябва да бъдат взети предвид силата и плазменият полуживот на предшестващия лекарствен продукт. В някои случаи, специално при антидиабетици с дълъг плазмен полуживот (напр. хлорпропамид), е препоръчителен очистващ период от няколко дни с цел да бъде намален риска от хипогликемични реакции, дължащи се на кумулативния ефект. Препоръчителната начална доза е 1 </w:t>
      </w:r>
      <w:r w:rsidRPr="00B466CB">
        <w:rPr>
          <w:rFonts w:eastAsia="Times New Roman" w:cs="Arial"/>
          <w:color w:val="000000"/>
          <w:lang w:val="en-US"/>
        </w:rPr>
        <w:t xml:space="preserve">mg glimepiride </w:t>
      </w:r>
      <w:r w:rsidRPr="00B466CB">
        <w:rPr>
          <w:rFonts w:eastAsia="Times New Roman" w:cs="Arial"/>
          <w:color w:val="000000"/>
          <w:lang w:eastAsia="bg-BG"/>
        </w:rPr>
        <w:t xml:space="preserve">на ден. В зависимост от отговора дозата </w:t>
      </w:r>
      <w:r w:rsidRPr="00B466CB">
        <w:rPr>
          <w:rFonts w:eastAsia="Times New Roman" w:cs="Arial"/>
          <w:color w:val="000000"/>
          <w:lang w:val="en-US"/>
        </w:rPr>
        <w:t xml:space="preserve">glimepiride </w:t>
      </w:r>
      <w:r w:rsidRPr="00B466CB">
        <w:rPr>
          <w:rFonts w:eastAsia="Times New Roman" w:cs="Arial"/>
          <w:color w:val="000000"/>
          <w:lang w:eastAsia="bg-BG"/>
        </w:rPr>
        <w:t>може да бъде увеличена постепенно, както е описано по-горе.</w:t>
      </w:r>
    </w:p>
    <w:p w14:paraId="19C85E43" w14:textId="77777777" w:rsidR="00B466CB" w:rsidRDefault="00B466CB" w:rsidP="00B466CB">
      <w:pPr>
        <w:spacing w:line="240" w:lineRule="auto"/>
        <w:rPr>
          <w:rFonts w:eastAsia="Times New Roman" w:cs="Arial"/>
          <w:b/>
          <w:bCs/>
          <w:color w:val="000000"/>
          <w:lang w:eastAsia="bg-BG"/>
        </w:rPr>
      </w:pPr>
      <w:bookmarkStart w:id="1" w:name="bookmark0"/>
    </w:p>
    <w:p w14:paraId="36D4F87F" w14:textId="77777777" w:rsidR="00B466CB" w:rsidRPr="00B466CB" w:rsidRDefault="00B466CB" w:rsidP="00B466CB">
      <w:pPr>
        <w:spacing w:line="240" w:lineRule="auto"/>
        <w:rPr>
          <w:rFonts w:ascii="Times New Roman" w:eastAsia="Times New Roman" w:hAnsi="Times New Roman" w:cs="Times New Roman"/>
          <w:sz w:val="24"/>
          <w:szCs w:val="24"/>
          <w:lang w:eastAsia="bg-BG"/>
        </w:rPr>
      </w:pPr>
      <w:r w:rsidRPr="00B466CB">
        <w:rPr>
          <w:rFonts w:eastAsia="Times New Roman" w:cs="Arial"/>
          <w:b/>
          <w:bCs/>
          <w:color w:val="000000"/>
          <w:lang w:eastAsia="bg-BG"/>
        </w:rPr>
        <w:t xml:space="preserve">Преминаване от инсулин към Неоглим® (1,2,3,4 </w:t>
      </w:r>
      <w:r w:rsidRPr="00B466CB">
        <w:rPr>
          <w:rFonts w:eastAsia="Times New Roman" w:cs="Arial"/>
          <w:b/>
          <w:bCs/>
          <w:color w:val="000000"/>
          <w:lang w:val="en-US"/>
        </w:rPr>
        <w:t>mg):</w:t>
      </w:r>
      <w:bookmarkEnd w:id="1"/>
    </w:p>
    <w:p w14:paraId="234DF6E8" w14:textId="77777777" w:rsidR="00B466CB" w:rsidRDefault="00B466CB" w:rsidP="00B466CB">
      <w:pPr>
        <w:spacing w:line="240" w:lineRule="auto"/>
        <w:rPr>
          <w:rFonts w:eastAsia="Times New Roman" w:cs="Arial"/>
          <w:color w:val="000000"/>
          <w:lang w:eastAsia="bg-BG"/>
        </w:rPr>
      </w:pPr>
    </w:p>
    <w:p w14:paraId="0105E2CC" w14:textId="77777777" w:rsidR="00B466CB" w:rsidRPr="00B466CB" w:rsidRDefault="00B466CB" w:rsidP="00B466CB">
      <w:pPr>
        <w:spacing w:line="240" w:lineRule="auto"/>
        <w:rPr>
          <w:rFonts w:ascii="Times New Roman" w:eastAsia="Times New Roman" w:hAnsi="Times New Roman" w:cs="Times New Roman"/>
          <w:sz w:val="24"/>
          <w:szCs w:val="24"/>
          <w:lang w:eastAsia="bg-BG"/>
        </w:rPr>
      </w:pPr>
      <w:r w:rsidRPr="00B466CB">
        <w:rPr>
          <w:rFonts w:eastAsia="Times New Roman" w:cs="Arial"/>
          <w:color w:val="000000"/>
          <w:lang w:eastAsia="bg-BG"/>
        </w:rPr>
        <w:t xml:space="preserve">В изключителни случаи, когато пациенти с диабет тип 2 са лекувани с инсулин, може да бъде назначено преминаване към Неоглим® (1, 2, 3, 4 </w:t>
      </w:r>
      <w:r w:rsidRPr="00B466CB">
        <w:rPr>
          <w:rFonts w:eastAsia="Times New Roman" w:cs="Arial"/>
          <w:color w:val="000000"/>
          <w:lang w:val="en-US"/>
        </w:rPr>
        <w:t xml:space="preserve">mg). </w:t>
      </w:r>
      <w:r w:rsidRPr="00B466CB">
        <w:rPr>
          <w:rFonts w:eastAsia="Times New Roman" w:cs="Arial"/>
          <w:color w:val="000000"/>
          <w:lang w:eastAsia="bg-BG"/>
        </w:rPr>
        <w:t>То трябва да бъде предприето под непосредствено лекарско наблюдение.</w:t>
      </w:r>
    </w:p>
    <w:p w14:paraId="59DA6EA5" w14:textId="77777777" w:rsidR="00B466CB" w:rsidRDefault="00B466CB" w:rsidP="00B466CB">
      <w:pPr>
        <w:spacing w:line="240" w:lineRule="auto"/>
        <w:rPr>
          <w:rFonts w:eastAsia="Times New Roman" w:cs="Arial"/>
          <w:b/>
          <w:bCs/>
          <w:color w:val="000000"/>
          <w:lang w:eastAsia="bg-BG"/>
        </w:rPr>
      </w:pPr>
      <w:bookmarkStart w:id="2" w:name="bookmark2"/>
    </w:p>
    <w:p w14:paraId="2BD3952C" w14:textId="77777777" w:rsidR="00B466CB" w:rsidRPr="00B466CB" w:rsidRDefault="00B466CB" w:rsidP="00B466CB">
      <w:pPr>
        <w:spacing w:line="240" w:lineRule="auto"/>
        <w:rPr>
          <w:rFonts w:ascii="Times New Roman" w:eastAsia="Times New Roman" w:hAnsi="Times New Roman" w:cs="Times New Roman"/>
          <w:sz w:val="24"/>
          <w:szCs w:val="24"/>
          <w:lang w:eastAsia="bg-BG"/>
        </w:rPr>
      </w:pPr>
      <w:r w:rsidRPr="00B466CB">
        <w:rPr>
          <w:rFonts w:eastAsia="Times New Roman" w:cs="Arial"/>
          <w:b/>
          <w:bCs/>
          <w:color w:val="000000"/>
          <w:lang w:eastAsia="bg-BG"/>
        </w:rPr>
        <w:t>Използване при пациенти с бъбречна или чернодробна недостатъчност:</w:t>
      </w:r>
      <w:bookmarkEnd w:id="2"/>
    </w:p>
    <w:p w14:paraId="6F0E8722" w14:textId="77777777" w:rsidR="00B466CB" w:rsidRDefault="00B466CB" w:rsidP="00B466CB">
      <w:pPr>
        <w:spacing w:line="240" w:lineRule="auto"/>
        <w:rPr>
          <w:rFonts w:eastAsia="Times New Roman" w:cs="Arial"/>
          <w:color w:val="000000"/>
          <w:lang w:eastAsia="bg-BG"/>
        </w:rPr>
      </w:pPr>
    </w:p>
    <w:p w14:paraId="1B630E80" w14:textId="77777777" w:rsidR="00B466CB" w:rsidRPr="00B466CB" w:rsidRDefault="00B466CB" w:rsidP="00B466CB">
      <w:pPr>
        <w:spacing w:line="240" w:lineRule="auto"/>
        <w:rPr>
          <w:rFonts w:ascii="Times New Roman" w:eastAsia="Times New Roman" w:hAnsi="Times New Roman" w:cs="Times New Roman"/>
          <w:sz w:val="24"/>
          <w:szCs w:val="24"/>
          <w:lang w:eastAsia="bg-BG"/>
        </w:rPr>
      </w:pPr>
      <w:r w:rsidRPr="00B466CB">
        <w:rPr>
          <w:rFonts w:eastAsia="Times New Roman" w:cs="Arial"/>
          <w:color w:val="000000"/>
          <w:lang w:eastAsia="bg-BG"/>
        </w:rPr>
        <w:t>Вж. 4.3, Противопоказания.</w:t>
      </w:r>
    </w:p>
    <w:p w14:paraId="423014C0" w14:textId="77777777" w:rsidR="00B466CB" w:rsidRDefault="00B466CB" w:rsidP="00B466CB">
      <w:pPr>
        <w:spacing w:line="240" w:lineRule="auto"/>
        <w:rPr>
          <w:rFonts w:eastAsia="Times New Roman" w:cs="Arial"/>
          <w:b/>
          <w:bCs/>
          <w:color w:val="000000"/>
          <w:lang w:eastAsia="bg-BG"/>
        </w:rPr>
      </w:pPr>
      <w:bookmarkStart w:id="3" w:name="bookmark4"/>
    </w:p>
    <w:p w14:paraId="4998D1D5" w14:textId="77777777" w:rsidR="00B466CB" w:rsidRPr="00B466CB" w:rsidRDefault="00B466CB" w:rsidP="00B466CB">
      <w:pPr>
        <w:spacing w:line="240" w:lineRule="auto"/>
        <w:rPr>
          <w:rFonts w:ascii="Times New Roman" w:eastAsia="Times New Roman" w:hAnsi="Times New Roman" w:cs="Times New Roman"/>
          <w:sz w:val="24"/>
          <w:szCs w:val="24"/>
          <w:lang w:eastAsia="bg-BG"/>
        </w:rPr>
      </w:pPr>
      <w:r w:rsidRPr="00B466CB">
        <w:rPr>
          <w:rFonts w:eastAsia="Times New Roman" w:cs="Arial"/>
          <w:b/>
          <w:bCs/>
          <w:color w:val="000000"/>
          <w:lang w:eastAsia="bg-BG"/>
        </w:rPr>
        <w:t>Употреба в педиатричната популация:</w:t>
      </w:r>
      <w:bookmarkEnd w:id="3"/>
    </w:p>
    <w:p w14:paraId="06B6A82E" w14:textId="77777777" w:rsidR="00B466CB" w:rsidRDefault="00B466CB" w:rsidP="00B466CB">
      <w:pPr>
        <w:rPr>
          <w:rFonts w:eastAsia="Times New Roman" w:cs="Arial"/>
          <w:color w:val="000000"/>
          <w:lang w:eastAsia="bg-BG"/>
        </w:rPr>
      </w:pPr>
    </w:p>
    <w:p w14:paraId="285EB159" w14:textId="77777777" w:rsidR="00B466CB" w:rsidRDefault="00B466CB" w:rsidP="00B466CB">
      <w:r w:rsidRPr="00B466CB">
        <w:rPr>
          <w:rFonts w:eastAsia="Times New Roman" w:cs="Arial"/>
          <w:color w:val="000000"/>
          <w:lang w:eastAsia="bg-BG"/>
        </w:rPr>
        <w:t xml:space="preserve">Няма данни относно употребата на </w:t>
      </w:r>
      <w:r w:rsidRPr="00B466CB">
        <w:rPr>
          <w:rFonts w:eastAsia="Times New Roman" w:cs="Arial"/>
          <w:color w:val="000000"/>
          <w:lang w:val="en-US"/>
        </w:rPr>
        <w:t xml:space="preserve">glimepiride </w:t>
      </w:r>
      <w:r w:rsidRPr="00B466CB">
        <w:rPr>
          <w:rFonts w:eastAsia="Times New Roman" w:cs="Arial"/>
          <w:color w:val="000000"/>
          <w:lang w:eastAsia="bg-BG"/>
        </w:rPr>
        <w:t xml:space="preserve">при деца под 8 години. Липсват достатъчно данни относно безопасност и ефикасност, и поради това употребата на </w:t>
      </w:r>
      <w:r w:rsidRPr="00B466CB">
        <w:rPr>
          <w:rFonts w:eastAsia="Times New Roman" w:cs="Arial"/>
          <w:color w:val="000000"/>
          <w:lang w:val="en-US"/>
        </w:rPr>
        <w:t xml:space="preserve">glimepiride </w:t>
      </w:r>
      <w:r w:rsidRPr="00B466CB">
        <w:rPr>
          <w:rFonts w:eastAsia="Times New Roman" w:cs="Arial"/>
          <w:color w:val="000000"/>
          <w:lang w:eastAsia="bg-BG"/>
        </w:rPr>
        <w:t>в педиатричната популация не се препоръчва.</w:t>
      </w:r>
    </w:p>
    <w:p w14:paraId="64D37961" w14:textId="53C6657E" w:rsidR="00B466CB" w:rsidRPr="0091385D" w:rsidRDefault="00B466CB" w:rsidP="0091385D"/>
    <w:p w14:paraId="28C984E8" w14:textId="0756AE28" w:rsidR="008134C8" w:rsidRDefault="002C50EE" w:rsidP="004A448E">
      <w:pPr>
        <w:pStyle w:val="Heading2"/>
      </w:pPr>
      <w:r>
        <w:t>4.3. Противопоказания</w:t>
      </w:r>
    </w:p>
    <w:p w14:paraId="2363D607" w14:textId="7D307B85" w:rsidR="0091385D" w:rsidRDefault="0091385D" w:rsidP="0091385D"/>
    <w:p w14:paraId="1008FB8E" w14:textId="16D30520" w:rsidR="00B466CB" w:rsidRPr="00B466CB" w:rsidRDefault="00B466CB" w:rsidP="00B466CB">
      <w:pPr>
        <w:spacing w:line="240" w:lineRule="auto"/>
        <w:rPr>
          <w:rFonts w:eastAsia="Times New Roman" w:cs="Arial"/>
          <w:color w:val="000000"/>
          <w:lang w:eastAsia="bg-BG"/>
        </w:rPr>
      </w:pPr>
      <w:r w:rsidRPr="00B466CB">
        <w:rPr>
          <w:rFonts w:eastAsia="Times New Roman" w:cs="Arial"/>
          <w:color w:val="000000"/>
          <w:lang w:eastAsia="bg-BG"/>
        </w:rPr>
        <w:t xml:space="preserve">Неоглим® (1,2,3, 4 </w:t>
      </w:r>
      <w:r w:rsidRPr="00B466CB">
        <w:rPr>
          <w:rFonts w:eastAsia="Times New Roman" w:cs="Arial"/>
          <w:color w:val="000000"/>
          <w:lang w:val="en-US"/>
        </w:rPr>
        <w:t xml:space="preserve">mg) </w:t>
      </w:r>
      <w:r w:rsidRPr="00B466CB">
        <w:rPr>
          <w:rFonts w:eastAsia="Times New Roman" w:cs="Arial"/>
          <w:color w:val="000000"/>
          <w:lang w:eastAsia="bg-BG"/>
        </w:rPr>
        <w:t>не трябва да бъде използван в следните случаи:</w:t>
      </w:r>
    </w:p>
    <w:p w14:paraId="38785B1E" w14:textId="77777777" w:rsidR="00B466CB" w:rsidRPr="00B466CB" w:rsidRDefault="00B466CB" w:rsidP="00B466CB">
      <w:pPr>
        <w:spacing w:line="240" w:lineRule="auto"/>
        <w:rPr>
          <w:rFonts w:eastAsia="Times New Roman" w:cs="Arial"/>
          <w:sz w:val="24"/>
          <w:szCs w:val="24"/>
          <w:lang w:eastAsia="bg-BG"/>
        </w:rPr>
      </w:pPr>
    </w:p>
    <w:p w14:paraId="274F2219" w14:textId="77777777" w:rsidR="00B466CB" w:rsidRPr="00B466CB" w:rsidRDefault="00B466CB" w:rsidP="00B466CB">
      <w:pPr>
        <w:pStyle w:val="ListParagraph"/>
        <w:numPr>
          <w:ilvl w:val="0"/>
          <w:numId w:val="36"/>
        </w:numPr>
        <w:spacing w:line="240" w:lineRule="auto"/>
        <w:rPr>
          <w:rFonts w:eastAsia="Times New Roman" w:cs="Arial"/>
          <w:sz w:val="24"/>
          <w:szCs w:val="24"/>
          <w:lang w:eastAsia="bg-BG"/>
        </w:rPr>
      </w:pPr>
      <w:r w:rsidRPr="00B466CB">
        <w:rPr>
          <w:rFonts w:eastAsia="Times New Roman" w:cs="Arial"/>
          <w:color w:val="000000"/>
          <w:lang w:eastAsia="bg-BG"/>
        </w:rPr>
        <w:t xml:space="preserve">инсулинозависим диабет, </w:t>
      </w:r>
    </w:p>
    <w:p w14:paraId="67C9D9EA" w14:textId="77777777" w:rsidR="00B466CB" w:rsidRPr="00B466CB" w:rsidRDefault="00B466CB" w:rsidP="00B466CB">
      <w:pPr>
        <w:pStyle w:val="ListParagraph"/>
        <w:numPr>
          <w:ilvl w:val="0"/>
          <w:numId w:val="36"/>
        </w:numPr>
        <w:spacing w:line="240" w:lineRule="auto"/>
        <w:rPr>
          <w:rFonts w:eastAsia="Times New Roman" w:cs="Arial"/>
          <w:sz w:val="24"/>
          <w:szCs w:val="24"/>
          <w:lang w:eastAsia="bg-BG"/>
        </w:rPr>
      </w:pPr>
      <w:r w:rsidRPr="00B466CB">
        <w:rPr>
          <w:rFonts w:eastAsia="Times New Roman" w:cs="Arial"/>
          <w:color w:val="000000"/>
          <w:lang w:eastAsia="bg-BG"/>
        </w:rPr>
        <w:t xml:space="preserve">диабетна кома, </w:t>
      </w:r>
    </w:p>
    <w:p w14:paraId="25296B30" w14:textId="09DFBFB3" w:rsidR="00B466CB" w:rsidRPr="00B466CB" w:rsidRDefault="00B466CB" w:rsidP="00B466CB">
      <w:pPr>
        <w:pStyle w:val="ListParagraph"/>
        <w:numPr>
          <w:ilvl w:val="0"/>
          <w:numId w:val="36"/>
        </w:numPr>
        <w:spacing w:line="240" w:lineRule="auto"/>
        <w:rPr>
          <w:rFonts w:eastAsia="Times New Roman" w:cs="Arial"/>
          <w:sz w:val="24"/>
          <w:szCs w:val="24"/>
          <w:lang w:eastAsia="bg-BG"/>
        </w:rPr>
      </w:pPr>
      <w:r w:rsidRPr="00B466CB">
        <w:rPr>
          <w:rFonts w:eastAsia="Times New Roman" w:cs="Arial"/>
          <w:color w:val="000000"/>
          <w:lang w:eastAsia="bg-BG"/>
        </w:rPr>
        <w:t xml:space="preserve">кетоацидоза, </w:t>
      </w:r>
    </w:p>
    <w:p w14:paraId="66939587" w14:textId="77777777" w:rsidR="00B466CB" w:rsidRPr="00B466CB" w:rsidRDefault="00B466CB" w:rsidP="00B466CB">
      <w:pPr>
        <w:pStyle w:val="ListParagraph"/>
        <w:numPr>
          <w:ilvl w:val="0"/>
          <w:numId w:val="36"/>
        </w:numPr>
        <w:spacing w:line="240" w:lineRule="auto"/>
        <w:rPr>
          <w:rFonts w:eastAsia="Times New Roman" w:cs="Arial"/>
          <w:sz w:val="24"/>
          <w:szCs w:val="24"/>
          <w:lang w:eastAsia="bg-BG"/>
        </w:rPr>
      </w:pPr>
      <w:r w:rsidRPr="00B466CB">
        <w:rPr>
          <w:rFonts w:eastAsia="Times New Roman" w:cs="Arial"/>
          <w:color w:val="000000"/>
          <w:lang w:eastAsia="bg-BG"/>
        </w:rPr>
        <w:t xml:space="preserve">остри състояния на бъбречна или чернодробна дисфункция, </w:t>
      </w:r>
    </w:p>
    <w:p w14:paraId="2973145D" w14:textId="77777777" w:rsidR="00B466CB" w:rsidRPr="00B466CB" w:rsidRDefault="00B466CB" w:rsidP="00B466CB">
      <w:pPr>
        <w:pStyle w:val="ListParagraph"/>
        <w:numPr>
          <w:ilvl w:val="0"/>
          <w:numId w:val="36"/>
        </w:numPr>
        <w:spacing w:line="240" w:lineRule="auto"/>
        <w:rPr>
          <w:rFonts w:eastAsia="Times New Roman" w:cs="Arial"/>
          <w:sz w:val="24"/>
          <w:szCs w:val="24"/>
          <w:lang w:eastAsia="bg-BG"/>
        </w:rPr>
      </w:pPr>
      <w:r w:rsidRPr="00B466CB">
        <w:rPr>
          <w:rFonts w:eastAsia="Times New Roman" w:cs="Arial"/>
          <w:color w:val="000000"/>
          <w:lang w:eastAsia="bg-BG"/>
        </w:rPr>
        <w:lastRenderedPageBreak/>
        <w:t>свръхчувствителност към глимепирид, други сулфанилурейни или сулфонамидни препарати, или помощните вещества в таблетката.</w:t>
      </w:r>
    </w:p>
    <w:p w14:paraId="7DA3E963" w14:textId="4FA5DF44" w:rsidR="00B466CB" w:rsidRPr="00B466CB" w:rsidRDefault="00B466CB" w:rsidP="00B466CB">
      <w:pPr>
        <w:pStyle w:val="ListParagraph"/>
        <w:numPr>
          <w:ilvl w:val="0"/>
          <w:numId w:val="36"/>
        </w:numPr>
        <w:spacing w:line="240" w:lineRule="auto"/>
        <w:rPr>
          <w:rFonts w:eastAsia="Times New Roman" w:cs="Arial"/>
          <w:sz w:val="24"/>
          <w:szCs w:val="24"/>
          <w:lang w:eastAsia="bg-BG"/>
        </w:rPr>
      </w:pPr>
      <w:r w:rsidRPr="00B466CB">
        <w:rPr>
          <w:rFonts w:eastAsia="Times New Roman" w:cs="Arial"/>
          <w:color w:val="000000"/>
          <w:lang w:eastAsia="bg-BG"/>
        </w:rPr>
        <w:t>Бременност и кърмене</w:t>
      </w:r>
    </w:p>
    <w:p w14:paraId="17437138" w14:textId="77777777" w:rsidR="00B466CB" w:rsidRPr="00B466CB" w:rsidRDefault="00B466CB" w:rsidP="00B466CB">
      <w:pPr>
        <w:rPr>
          <w:rFonts w:eastAsia="Times New Roman" w:cs="Arial"/>
          <w:color w:val="000000"/>
          <w:lang w:eastAsia="bg-BG"/>
        </w:rPr>
      </w:pPr>
    </w:p>
    <w:p w14:paraId="47FF9AF9" w14:textId="7C4C541A" w:rsidR="00B466CB" w:rsidRPr="00B466CB" w:rsidRDefault="00B466CB" w:rsidP="00B466CB">
      <w:pPr>
        <w:rPr>
          <w:rFonts w:cs="Arial"/>
        </w:rPr>
      </w:pPr>
      <w:r w:rsidRPr="00B466CB">
        <w:rPr>
          <w:rFonts w:eastAsia="Times New Roman" w:cs="Arial"/>
          <w:color w:val="000000"/>
          <w:lang w:eastAsia="bg-BG"/>
        </w:rPr>
        <w:t>При състояния на бъбречна или чернодробна дисфункция е наложително преминаване към инсулин.</w:t>
      </w:r>
    </w:p>
    <w:p w14:paraId="31B39DC6" w14:textId="77777777" w:rsidR="0091385D" w:rsidRPr="0091385D" w:rsidRDefault="0091385D" w:rsidP="0091385D"/>
    <w:p w14:paraId="212F509C" w14:textId="52B87D4F" w:rsidR="004F498A" w:rsidRDefault="002C50EE" w:rsidP="004A448E">
      <w:pPr>
        <w:pStyle w:val="Heading2"/>
      </w:pPr>
      <w:r>
        <w:t>4.4. Специални предупреждения и предпазни мерки при употреба</w:t>
      </w:r>
    </w:p>
    <w:p w14:paraId="0AAC2B60" w14:textId="0A08B607" w:rsidR="0091385D" w:rsidRDefault="0091385D" w:rsidP="0091385D"/>
    <w:p w14:paraId="09802F98" w14:textId="77777777"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Неоглим® (1, 2, 3,4 </w:t>
      </w:r>
      <w:r w:rsidRPr="00B466CB">
        <w:rPr>
          <w:rFonts w:eastAsia="Times New Roman" w:cs="Arial"/>
          <w:color w:val="000000"/>
          <w:lang w:val="en-US"/>
        </w:rPr>
        <w:t xml:space="preserve">mg) </w:t>
      </w:r>
      <w:r w:rsidRPr="00B466CB">
        <w:rPr>
          <w:rFonts w:eastAsia="Times New Roman" w:cs="Arial"/>
          <w:color w:val="000000"/>
          <w:lang w:eastAsia="bg-BG"/>
        </w:rPr>
        <w:t>трябва да бъде приеман малко преди или по време на хранене.</w:t>
      </w:r>
    </w:p>
    <w:p w14:paraId="0B8DF48B" w14:textId="77777777" w:rsidR="00B466CB" w:rsidRPr="00B466CB" w:rsidRDefault="00B466CB" w:rsidP="00B466CB">
      <w:pPr>
        <w:spacing w:line="240" w:lineRule="auto"/>
        <w:rPr>
          <w:rFonts w:eastAsia="Times New Roman" w:cs="Arial"/>
          <w:color w:val="000000"/>
          <w:lang w:eastAsia="bg-BG"/>
        </w:rPr>
      </w:pPr>
    </w:p>
    <w:p w14:paraId="15AE8F59" w14:textId="26420207" w:rsidR="00B466CB" w:rsidRPr="00B466CB" w:rsidRDefault="00B466CB" w:rsidP="00B466CB">
      <w:pPr>
        <w:spacing w:line="240" w:lineRule="auto"/>
        <w:rPr>
          <w:rFonts w:eastAsia="Times New Roman" w:cs="Arial"/>
          <w:color w:val="000000"/>
          <w:lang w:eastAsia="bg-BG"/>
        </w:rPr>
      </w:pPr>
      <w:r w:rsidRPr="00B466CB">
        <w:rPr>
          <w:rFonts w:eastAsia="Times New Roman" w:cs="Arial"/>
          <w:color w:val="000000"/>
          <w:lang w:eastAsia="bg-BG"/>
        </w:rPr>
        <w:t xml:space="preserve">Когато отделните хранения се приемат нередовно или бъдат прескочени, лечението с Неоглим® (1, 2, 3, 4 </w:t>
      </w:r>
      <w:r w:rsidRPr="00B466CB">
        <w:rPr>
          <w:rFonts w:eastAsia="Times New Roman" w:cs="Arial"/>
          <w:color w:val="000000"/>
          <w:lang w:val="en-US"/>
        </w:rPr>
        <w:t xml:space="preserve">mg) </w:t>
      </w:r>
      <w:r w:rsidRPr="00B466CB">
        <w:rPr>
          <w:rFonts w:eastAsia="Times New Roman" w:cs="Arial"/>
          <w:color w:val="000000"/>
          <w:lang w:eastAsia="bg-BG"/>
        </w:rPr>
        <w:t>може да доведе до хипогликемия. Възможните симптоми на хипогликемия включват: главоболие, вълчи глад, гадене, повръщане, отпадналост, сънливост, нарушения в съня, безпокойство, агресивност, нарушена концентрация, напрежение и свръх-реактивност, депресия, объркване, говорни и зрителни смущения, афазия, тремор, пареза, сетивни нарушения, виене на свят, безпомощност, загуба на самоконтрол, делириум, церебрални конвулсии, сомнолентност и загуба на съзнание, включително до състояние на кома, учестено дишане и брадикардия.</w:t>
      </w:r>
    </w:p>
    <w:p w14:paraId="4D549751" w14:textId="413DD0EC" w:rsidR="00B466CB" w:rsidRPr="00B466CB" w:rsidRDefault="00B466CB" w:rsidP="00B466CB">
      <w:pPr>
        <w:spacing w:line="240" w:lineRule="auto"/>
        <w:rPr>
          <w:rFonts w:eastAsia="Times New Roman" w:cs="Arial"/>
          <w:color w:val="000000"/>
          <w:lang w:eastAsia="bg-BG"/>
        </w:rPr>
      </w:pPr>
    </w:p>
    <w:p w14:paraId="7905C222" w14:textId="77777777"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Допълнително могат да бъдат наблюдавани признаци на адренергична регулация, такива като потене, овлажнена кожа, тревожност, тахикардия, високо кръвно налягане, сърцебиене, ангина пекторис и сърдечни аритмии.</w:t>
      </w:r>
    </w:p>
    <w:p w14:paraId="6CF5909A" w14:textId="77777777"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Симптомите на тежка хипогликемична атака почти винаги могат да бъдат бързо овладяни посредством незабавния прием на въглехидрати (захар). В този случай изкуствените подсладители нямат ефект.</w:t>
      </w:r>
    </w:p>
    <w:p w14:paraId="23B966B2" w14:textId="77777777"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От лечението с други сулфонилурейни препарати е известно, че независимо от първоначалните успешни мерки, хипогликемията може да се повтори.</w:t>
      </w:r>
    </w:p>
    <w:p w14:paraId="1AA59328" w14:textId="77777777"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Тежката или продължителна хипогликемия, която временно се контролира от количество приета захар, изисква незабавно медицинско лечение и понякога хоспитализация.</w:t>
      </w:r>
    </w:p>
    <w:p w14:paraId="67867EE9" w14:textId="77777777" w:rsidR="00B466CB" w:rsidRPr="00B466CB" w:rsidRDefault="00B466CB" w:rsidP="00B466CB">
      <w:pPr>
        <w:spacing w:line="240" w:lineRule="auto"/>
        <w:rPr>
          <w:rFonts w:eastAsia="Times New Roman" w:cs="Arial"/>
          <w:color w:val="000000"/>
          <w:lang w:eastAsia="bg-BG"/>
        </w:rPr>
      </w:pPr>
    </w:p>
    <w:p w14:paraId="5D0B2CDD" w14:textId="00E836AF"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Факторите, благоприятстващи хипогликемията, са:</w:t>
      </w:r>
    </w:p>
    <w:p w14:paraId="4942525B" w14:textId="77777777" w:rsidR="00B466CB" w:rsidRPr="00B466CB" w:rsidRDefault="00B466CB" w:rsidP="00B466CB">
      <w:pPr>
        <w:pStyle w:val="ListParagraph"/>
        <w:numPr>
          <w:ilvl w:val="0"/>
          <w:numId w:val="39"/>
        </w:numPr>
        <w:spacing w:line="240" w:lineRule="auto"/>
        <w:rPr>
          <w:rFonts w:eastAsia="Times New Roman" w:cs="Arial"/>
          <w:sz w:val="24"/>
          <w:szCs w:val="24"/>
          <w:lang w:eastAsia="bg-BG"/>
        </w:rPr>
      </w:pPr>
      <w:r w:rsidRPr="00B466CB">
        <w:rPr>
          <w:rFonts w:eastAsia="Times New Roman" w:cs="Arial"/>
          <w:color w:val="000000"/>
          <w:lang w:eastAsia="bg-BG"/>
        </w:rPr>
        <w:t>нежелание или (по-често при по-възрастни пациент</w:t>
      </w:r>
      <w:r>
        <w:rPr>
          <w:rFonts w:eastAsia="Times New Roman" w:cs="Arial"/>
          <w:color w:val="000000"/>
          <w:lang w:eastAsia="bg-BG"/>
        </w:rPr>
        <w:t xml:space="preserve">и) невъзможност да кооперират, </w:t>
      </w:r>
    </w:p>
    <w:p w14:paraId="3FD7121C" w14:textId="77777777" w:rsidR="00B466CB" w:rsidRPr="00B466CB" w:rsidRDefault="00B466CB" w:rsidP="00B466CB">
      <w:pPr>
        <w:pStyle w:val="ListParagraph"/>
        <w:numPr>
          <w:ilvl w:val="0"/>
          <w:numId w:val="39"/>
        </w:numPr>
        <w:spacing w:line="240" w:lineRule="auto"/>
        <w:rPr>
          <w:rFonts w:eastAsia="Times New Roman" w:cs="Arial"/>
          <w:sz w:val="24"/>
          <w:szCs w:val="24"/>
          <w:lang w:eastAsia="bg-BG"/>
        </w:rPr>
      </w:pPr>
      <w:r w:rsidRPr="00B466CB">
        <w:rPr>
          <w:rFonts w:eastAsia="Times New Roman" w:cs="Arial"/>
          <w:color w:val="000000"/>
          <w:lang w:eastAsia="bg-BG"/>
        </w:rPr>
        <w:t>недохранване, нередовни или пропуснати</w:t>
      </w:r>
      <w:r>
        <w:rPr>
          <w:rFonts w:eastAsia="Times New Roman" w:cs="Arial"/>
          <w:color w:val="000000"/>
          <w:lang w:eastAsia="bg-BG"/>
        </w:rPr>
        <w:t xml:space="preserve"> хранения, периоди на постене, </w:t>
      </w:r>
    </w:p>
    <w:p w14:paraId="1C19C0E3" w14:textId="77777777" w:rsidR="00B466CB" w:rsidRPr="00B466CB" w:rsidRDefault="00B466CB" w:rsidP="00B466CB">
      <w:pPr>
        <w:pStyle w:val="ListParagraph"/>
        <w:numPr>
          <w:ilvl w:val="0"/>
          <w:numId w:val="39"/>
        </w:numPr>
        <w:spacing w:line="240" w:lineRule="auto"/>
        <w:rPr>
          <w:rFonts w:eastAsia="Times New Roman" w:cs="Arial"/>
          <w:sz w:val="24"/>
          <w:szCs w:val="24"/>
          <w:lang w:eastAsia="bg-BG"/>
        </w:rPr>
      </w:pPr>
      <w:r>
        <w:rPr>
          <w:rFonts w:eastAsia="Times New Roman" w:cs="Arial"/>
          <w:color w:val="000000"/>
          <w:lang w:eastAsia="bg-BG"/>
        </w:rPr>
        <w:t xml:space="preserve">промени в диетата, </w:t>
      </w:r>
    </w:p>
    <w:p w14:paraId="586B6ECF" w14:textId="77777777" w:rsidR="00B466CB" w:rsidRPr="00B466CB" w:rsidRDefault="00B466CB" w:rsidP="00B466CB">
      <w:pPr>
        <w:pStyle w:val="ListParagraph"/>
        <w:numPr>
          <w:ilvl w:val="0"/>
          <w:numId w:val="39"/>
        </w:numPr>
        <w:spacing w:line="240" w:lineRule="auto"/>
        <w:rPr>
          <w:rFonts w:eastAsia="Times New Roman" w:cs="Arial"/>
          <w:sz w:val="24"/>
          <w:szCs w:val="24"/>
          <w:lang w:eastAsia="bg-BG"/>
        </w:rPr>
      </w:pPr>
      <w:r w:rsidRPr="00B466CB">
        <w:rPr>
          <w:rFonts w:eastAsia="Times New Roman" w:cs="Arial"/>
          <w:color w:val="000000"/>
          <w:lang w:eastAsia="bg-BG"/>
        </w:rPr>
        <w:t>нарушен баланс между физическото напр</w:t>
      </w:r>
      <w:r>
        <w:rPr>
          <w:rFonts w:eastAsia="Times New Roman" w:cs="Arial"/>
          <w:color w:val="000000"/>
          <w:lang w:eastAsia="bg-BG"/>
        </w:rPr>
        <w:t xml:space="preserve">ежение и въглехидратния прием, </w:t>
      </w:r>
    </w:p>
    <w:p w14:paraId="3760960D" w14:textId="77777777" w:rsidR="00B466CB" w:rsidRPr="00B466CB" w:rsidRDefault="00B466CB" w:rsidP="00B466CB">
      <w:pPr>
        <w:pStyle w:val="ListParagraph"/>
        <w:numPr>
          <w:ilvl w:val="0"/>
          <w:numId w:val="39"/>
        </w:numPr>
        <w:spacing w:line="240" w:lineRule="auto"/>
        <w:rPr>
          <w:rFonts w:eastAsia="Times New Roman" w:cs="Arial"/>
          <w:sz w:val="24"/>
          <w:szCs w:val="24"/>
          <w:lang w:eastAsia="bg-BG"/>
        </w:rPr>
      </w:pPr>
      <w:r w:rsidRPr="00B466CB">
        <w:rPr>
          <w:rFonts w:eastAsia="Times New Roman" w:cs="Arial"/>
          <w:color w:val="000000"/>
          <w:lang w:eastAsia="bg-BG"/>
        </w:rPr>
        <w:t>консумация на алкохол, специално в ком</w:t>
      </w:r>
      <w:r>
        <w:rPr>
          <w:rFonts w:eastAsia="Times New Roman" w:cs="Arial"/>
          <w:color w:val="000000"/>
          <w:lang w:eastAsia="bg-BG"/>
        </w:rPr>
        <w:t xml:space="preserve">бинация с пропуснати хранения, </w:t>
      </w:r>
    </w:p>
    <w:p w14:paraId="51C8849D" w14:textId="77777777" w:rsidR="00B466CB" w:rsidRPr="00B466CB" w:rsidRDefault="00B466CB" w:rsidP="00B466CB">
      <w:pPr>
        <w:pStyle w:val="ListParagraph"/>
        <w:numPr>
          <w:ilvl w:val="0"/>
          <w:numId w:val="39"/>
        </w:numPr>
        <w:spacing w:line="240" w:lineRule="auto"/>
        <w:rPr>
          <w:rFonts w:eastAsia="Times New Roman" w:cs="Arial"/>
          <w:sz w:val="24"/>
          <w:szCs w:val="24"/>
          <w:lang w:eastAsia="bg-BG"/>
        </w:rPr>
      </w:pPr>
      <w:r>
        <w:rPr>
          <w:rFonts w:eastAsia="Times New Roman" w:cs="Arial"/>
          <w:color w:val="000000"/>
          <w:lang w:eastAsia="bg-BG"/>
        </w:rPr>
        <w:t xml:space="preserve">нарушена бъбречна функция, </w:t>
      </w:r>
    </w:p>
    <w:p w14:paraId="3773717F" w14:textId="77777777" w:rsidR="00B466CB" w:rsidRPr="00B466CB" w:rsidRDefault="00B466CB" w:rsidP="00B466CB">
      <w:pPr>
        <w:pStyle w:val="ListParagraph"/>
        <w:numPr>
          <w:ilvl w:val="0"/>
          <w:numId w:val="39"/>
        </w:numPr>
        <w:spacing w:line="240" w:lineRule="auto"/>
        <w:rPr>
          <w:rFonts w:eastAsia="Times New Roman" w:cs="Arial"/>
          <w:sz w:val="24"/>
          <w:szCs w:val="24"/>
          <w:lang w:eastAsia="bg-BG"/>
        </w:rPr>
      </w:pPr>
      <w:r w:rsidRPr="00B466CB">
        <w:rPr>
          <w:rFonts w:eastAsia="Times New Roman" w:cs="Arial"/>
          <w:color w:val="000000"/>
          <w:lang w:eastAsia="bg-BG"/>
        </w:rPr>
        <w:t>сер</w:t>
      </w:r>
      <w:r>
        <w:rPr>
          <w:rFonts w:eastAsia="Times New Roman" w:cs="Arial"/>
          <w:color w:val="000000"/>
          <w:lang w:eastAsia="bg-BG"/>
        </w:rPr>
        <w:t xml:space="preserve">иозна чернодробна дисфункция, </w:t>
      </w:r>
    </w:p>
    <w:p w14:paraId="302FE334" w14:textId="77777777" w:rsidR="00B466CB" w:rsidRPr="00B466CB" w:rsidRDefault="00B466CB" w:rsidP="00B466CB">
      <w:pPr>
        <w:pStyle w:val="ListParagraph"/>
        <w:numPr>
          <w:ilvl w:val="0"/>
          <w:numId w:val="39"/>
        </w:numPr>
        <w:spacing w:line="240" w:lineRule="auto"/>
        <w:rPr>
          <w:rFonts w:eastAsia="Times New Roman" w:cs="Arial"/>
          <w:sz w:val="24"/>
          <w:szCs w:val="24"/>
          <w:lang w:eastAsia="bg-BG"/>
        </w:rPr>
      </w:pPr>
      <w:r w:rsidRPr="00B466CB">
        <w:rPr>
          <w:rFonts w:eastAsia="Times New Roman" w:cs="Arial"/>
          <w:color w:val="000000"/>
          <w:lang w:eastAsia="bg-BG"/>
        </w:rPr>
        <w:t xml:space="preserve">предозиране с Неоглим® (1,2,3,4 </w:t>
      </w:r>
      <w:r>
        <w:rPr>
          <w:rFonts w:eastAsia="Times New Roman" w:cs="Arial"/>
          <w:color w:val="000000"/>
          <w:lang w:val="en-US"/>
        </w:rPr>
        <w:t xml:space="preserve">mg), </w:t>
      </w:r>
    </w:p>
    <w:p w14:paraId="794FB5BC" w14:textId="77777777" w:rsidR="00B466CB" w:rsidRPr="00B466CB" w:rsidRDefault="00B466CB" w:rsidP="00B466CB">
      <w:pPr>
        <w:pStyle w:val="ListParagraph"/>
        <w:numPr>
          <w:ilvl w:val="0"/>
          <w:numId w:val="39"/>
        </w:numPr>
        <w:spacing w:line="240" w:lineRule="auto"/>
        <w:rPr>
          <w:rFonts w:eastAsia="Times New Roman" w:cs="Arial"/>
          <w:sz w:val="24"/>
          <w:szCs w:val="24"/>
          <w:lang w:eastAsia="bg-BG"/>
        </w:rPr>
      </w:pPr>
      <w:r w:rsidRPr="00B466CB">
        <w:rPr>
          <w:rFonts w:eastAsia="Times New Roman" w:cs="Arial"/>
          <w:color w:val="000000"/>
          <w:lang w:eastAsia="bg-BG"/>
        </w:rPr>
        <w:t>някои некомпенсирани нарушения в ендокринната система, оказващи ефект върху въглехидратния метаболизъм или регулацията на хипогликемията (напр. при някои нарушения на тиреоидната функция и предната хипофиза или адр</w:t>
      </w:r>
      <w:r>
        <w:rPr>
          <w:rFonts w:eastAsia="Times New Roman" w:cs="Arial"/>
          <w:color w:val="000000"/>
          <w:lang w:eastAsia="bg-BG"/>
        </w:rPr>
        <w:t xml:space="preserve">енокортикална недостатъчност), </w:t>
      </w:r>
    </w:p>
    <w:p w14:paraId="10C4F121" w14:textId="40E7024A" w:rsidR="00B466CB" w:rsidRPr="00B466CB" w:rsidRDefault="00B466CB" w:rsidP="00B466CB">
      <w:pPr>
        <w:pStyle w:val="ListParagraph"/>
        <w:numPr>
          <w:ilvl w:val="0"/>
          <w:numId w:val="39"/>
        </w:numPr>
        <w:spacing w:line="240" w:lineRule="auto"/>
        <w:rPr>
          <w:rFonts w:eastAsia="Times New Roman" w:cs="Arial"/>
          <w:sz w:val="24"/>
          <w:szCs w:val="24"/>
          <w:lang w:eastAsia="bg-BG"/>
        </w:rPr>
      </w:pPr>
      <w:r w:rsidRPr="00B466CB">
        <w:rPr>
          <w:rFonts w:eastAsia="Times New Roman" w:cs="Arial"/>
          <w:color w:val="000000"/>
          <w:lang w:eastAsia="bg-BG"/>
        </w:rPr>
        <w:t>едновременно приемане на някои определени лекарства (вж. Взаимодействия с други лекарствени продукти и други форми на взаимодействие).</w:t>
      </w:r>
    </w:p>
    <w:p w14:paraId="2A445C42" w14:textId="77777777" w:rsidR="00B466CB" w:rsidRPr="00B466CB" w:rsidRDefault="00B466CB" w:rsidP="00B466CB">
      <w:pPr>
        <w:spacing w:line="240" w:lineRule="auto"/>
        <w:rPr>
          <w:rFonts w:eastAsia="Times New Roman" w:cs="Arial"/>
          <w:color w:val="000000"/>
          <w:lang w:eastAsia="bg-BG"/>
        </w:rPr>
      </w:pPr>
    </w:p>
    <w:p w14:paraId="6E634678" w14:textId="2DBF9859"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lastRenderedPageBreak/>
        <w:t xml:space="preserve">Лечението с Неоглим® (1, 2, 3, 4 </w:t>
      </w:r>
      <w:r w:rsidRPr="00B466CB">
        <w:rPr>
          <w:rFonts w:eastAsia="Times New Roman" w:cs="Arial"/>
          <w:color w:val="000000"/>
          <w:lang w:val="en-US"/>
        </w:rPr>
        <w:t xml:space="preserve">mg) </w:t>
      </w:r>
      <w:r w:rsidRPr="00B466CB">
        <w:rPr>
          <w:rFonts w:eastAsia="Times New Roman" w:cs="Arial"/>
          <w:color w:val="000000"/>
          <w:lang w:eastAsia="bg-BG"/>
        </w:rPr>
        <w:t>изисква редовно следене на глюкозните нива в кръвта и урината. Допълнително се препоръчва и определяне на пропорцията на гликозилирания хемоглобин.</w:t>
      </w:r>
    </w:p>
    <w:p w14:paraId="71934E5F" w14:textId="77777777"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По време на лечението с Неоглим® (1, 2, 3, 4 </w:t>
      </w:r>
      <w:r w:rsidRPr="00B466CB">
        <w:rPr>
          <w:rFonts w:eastAsia="Times New Roman" w:cs="Arial"/>
          <w:color w:val="000000"/>
          <w:lang w:val="en-US"/>
        </w:rPr>
        <w:t xml:space="preserve">mg) </w:t>
      </w:r>
      <w:r w:rsidRPr="00B466CB">
        <w:rPr>
          <w:rFonts w:eastAsia="Times New Roman" w:cs="Arial"/>
          <w:color w:val="000000"/>
          <w:lang w:eastAsia="bg-BG"/>
        </w:rPr>
        <w:t>се изискват редовни чернодробни и хематологични изследвания (по-специално на левкоцитите и тромбоцитите).</w:t>
      </w:r>
    </w:p>
    <w:p w14:paraId="3B327831" w14:textId="77777777"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По време на стресови ситуации (напр. катастрофи, тежки операции, инфекции, придружени с треска и т.н.) може да бъде назначено временно преминаване към инсулинова терапия.</w:t>
      </w:r>
    </w:p>
    <w:p w14:paraId="1A39B603" w14:textId="09E84698" w:rsidR="00B466CB" w:rsidRPr="00B466CB" w:rsidRDefault="00B466CB" w:rsidP="00B466CB">
      <w:pPr>
        <w:pStyle w:val="ListParagraph"/>
        <w:numPr>
          <w:ilvl w:val="0"/>
          <w:numId w:val="37"/>
        </w:numPr>
        <w:spacing w:line="240" w:lineRule="auto"/>
        <w:rPr>
          <w:rFonts w:eastAsia="Times New Roman" w:cs="Arial"/>
          <w:sz w:val="24"/>
          <w:szCs w:val="24"/>
          <w:lang w:eastAsia="bg-BG"/>
        </w:rPr>
      </w:pPr>
      <w:r w:rsidRPr="00B466CB">
        <w:rPr>
          <w:rFonts w:eastAsia="Times New Roman" w:cs="Arial"/>
          <w:color w:val="000000"/>
          <w:lang w:eastAsia="bg-BG"/>
        </w:rPr>
        <w:t xml:space="preserve">Няма достатъчен опит, касаещ употребата на Неоглим® (1, 2, 3, 4 </w:t>
      </w:r>
      <w:r w:rsidRPr="00B466CB">
        <w:rPr>
          <w:rFonts w:eastAsia="Times New Roman" w:cs="Arial"/>
          <w:color w:val="000000"/>
          <w:lang w:val="en-US"/>
        </w:rPr>
        <w:t xml:space="preserve">mg) </w:t>
      </w:r>
      <w:r w:rsidRPr="00B466CB">
        <w:rPr>
          <w:rFonts w:eastAsia="Times New Roman" w:cs="Arial"/>
          <w:color w:val="000000"/>
          <w:lang w:eastAsia="bg-BG"/>
        </w:rPr>
        <w:t>при пациенти с тежки нарушения на чернодробната функция или при диализни пациенти. При такива пациенти се преминава към инсулинова терапия.</w:t>
      </w:r>
    </w:p>
    <w:p w14:paraId="1D8B0ECF" w14:textId="77777777" w:rsidR="00B466CB" w:rsidRPr="00B466CB" w:rsidRDefault="00B466CB" w:rsidP="00B466CB">
      <w:pPr>
        <w:spacing w:line="240" w:lineRule="auto"/>
        <w:rPr>
          <w:rFonts w:eastAsia="Times New Roman" w:cs="Arial"/>
          <w:color w:val="000000"/>
          <w:lang w:eastAsia="bg-BG"/>
        </w:rPr>
      </w:pPr>
    </w:p>
    <w:p w14:paraId="33084C22" w14:textId="1B942639"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При пациенти с </w:t>
      </w:r>
      <w:r w:rsidRPr="00B466CB">
        <w:rPr>
          <w:rFonts w:eastAsia="Times New Roman" w:cs="Arial"/>
          <w:color w:val="000000"/>
          <w:lang w:val="en-US"/>
        </w:rPr>
        <w:t>G6PD</w:t>
      </w:r>
      <w:r w:rsidRPr="00B466CB">
        <w:rPr>
          <w:rFonts w:eastAsia="Times New Roman" w:cs="Arial"/>
          <w:color w:val="000000"/>
          <w:lang w:eastAsia="bg-BG"/>
        </w:rPr>
        <w:t xml:space="preserve">-недостатъчност употребата на сулфанилурейни продукти може да доведе до появата на хемолитична анемия. Глимепирид принадлежи към класа на сулфанилурейните лекарствени продукти и поради това когато се прилага при пациенти с </w:t>
      </w:r>
      <w:r w:rsidRPr="00B466CB">
        <w:rPr>
          <w:rFonts w:eastAsia="Times New Roman" w:cs="Arial"/>
          <w:color w:val="000000"/>
          <w:lang w:val="en-US"/>
        </w:rPr>
        <w:t>G6PD</w:t>
      </w:r>
      <w:r w:rsidRPr="00B466CB">
        <w:rPr>
          <w:rFonts w:eastAsia="Times New Roman" w:cs="Arial"/>
          <w:color w:val="000000"/>
          <w:lang w:eastAsia="bg-BG"/>
        </w:rPr>
        <w:t>-недостатъчност се изисква повишено внимание и по възможност обсъждане на алтернативно лечение.</w:t>
      </w:r>
    </w:p>
    <w:p w14:paraId="45B14AF3" w14:textId="77777777" w:rsidR="00B466CB" w:rsidRPr="00B466CB" w:rsidRDefault="00B466CB" w:rsidP="00B466CB">
      <w:pPr>
        <w:spacing w:line="240" w:lineRule="auto"/>
        <w:rPr>
          <w:rFonts w:eastAsia="Times New Roman" w:cs="Arial"/>
          <w:color w:val="000000"/>
          <w:lang w:eastAsia="bg-BG"/>
        </w:rPr>
      </w:pPr>
    </w:p>
    <w:p w14:paraId="7B84C70C" w14:textId="7AC3D437"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Неоглим® (1, 2, 3, 4 </w:t>
      </w:r>
      <w:r w:rsidRPr="00B466CB">
        <w:rPr>
          <w:rFonts w:eastAsia="Times New Roman" w:cs="Arial"/>
          <w:color w:val="000000"/>
          <w:lang w:val="en-US"/>
        </w:rPr>
        <w:t xml:space="preserve">mg) </w:t>
      </w:r>
      <w:r w:rsidRPr="00B466CB">
        <w:rPr>
          <w:rFonts w:eastAsia="Times New Roman" w:cs="Arial"/>
          <w:color w:val="000000"/>
          <w:lang w:eastAsia="bg-BG"/>
        </w:rPr>
        <w:t xml:space="preserve">съдържа лактоза. Пациенти с редки наследствени проблеми на галактозна непоносимост, </w:t>
      </w:r>
      <w:r w:rsidRPr="00B466CB">
        <w:rPr>
          <w:rFonts w:eastAsia="Times New Roman" w:cs="Arial"/>
          <w:color w:val="000000"/>
          <w:lang w:val="en-US"/>
        </w:rPr>
        <w:t xml:space="preserve">Lapp </w:t>
      </w:r>
      <w:r w:rsidRPr="00B466CB">
        <w:rPr>
          <w:rFonts w:eastAsia="Times New Roman" w:cs="Arial"/>
          <w:color w:val="000000"/>
          <w:lang w:eastAsia="bg-BG"/>
        </w:rPr>
        <w:t>лактазна недостатъчност или глюкозо-галактозна малабсорбция не трябва да приемат този лекарствен продукт.</w:t>
      </w:r>
    </w:p>
    <w:p w14:paraId="24E3E82F" w14:textId="59C99ABC" w:rsidR="0091385D" w:rsidRPr="0091385D" w:rsidRDefault="0091385D" w:rsidP="0091385D"/>
    <w:p w14:paraId="619DED1E" w14:textId="564F257F" w:rsidR="004F498A" w:rsidRDefault="002C50EE" w:rsidP="004A448E">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r>
        <w:t xml:space="preserve"> </w:t>
      </w:r>
    </w:p>
    <w:p w14:paraId="355E4B7C" w14:textId="7D829F6C" w:rsidR="0091385D" w:rsidRDefault="0091385D" w:rsidP="0091385D"/>
    <w:p w14:paraId="5EE29B96" w14:textId="77777777"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Ако Неоглим® (1, 2, 3, 4 </w:t>
      </w:r>
      <w:r w:rsidRPr="00B466CB">
        <w:rPr>
          <w:rFonts w:eastAsia="Times New Roman" w:cs="Arial"/>
          <w:color w:val="000000"/>
          <w:lang w:val="en-US"/>
        </w:rPr>
        <w:t xml:space="preserve">mg) </w:t>
      </w:r>
      <w:r w:rsidRPr="00B466CB">
        <w:rPr>
          <w:rFonts w:eastAsia="Times New Roman" w:cs="Arial"/>
          <w:color w:val="000000"/>
          <w:lang w:eastAsia="bg-BG"/>
        </w:rPr>
        <w:t>се приема заедно с някои други медикаменти, може да бъде наблюдавано нежелано засилване или отслабване на хипогликемичния ефект на глимепирида. По тази причина приемът на други медикаменти трябва да става с изричното знание (или по изричното предписание) на лекуващия лекар.</w:t>
      </w:r>
    </w:p>
    <w:p w14:paraId="4E4CC1A0" w14:textId="77777777" w:rsidR="00B466CB" w:rsidRPr="00B466CB" w:rsidRDefault="00B466CB" w:rsidP="00B466CB">
      <w:pPr>
        <w:spacing w:line="240" w:lineRule="auto"/>
        <w:rPr>
          <w:rFonts w:eastAsia="Times New Roman" w:cs="Arial"/>
          <w:color w:val="000000"/>
          <w:lang w:eastAsia="bg-BG"/>
        </w:rPr>
      </w:pPr>
    </w:p>
    <w:p w14:paraId="3677A25C" w14:textId="59312B08"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На базата на събрания досега опит с Неоглим® (1, 2, 3, 4 </w:t>
      </w:r>
      <w:r w:rsidRPr="00B466CB">
        <w:rPr>
          <w:rFonts w:eastAsia="Times New Roman" w:cs="Arial"/>
          <w:color w:val="000000"/>
          <w:lang w:val="en-US"/>
        </w:rPr>
        <w:t xml:space="preserve">mg) </w:t>
      </w:r>
      <w:r w:rsidRPr="00B466CB">
        <w:rPr>
          <w:rFonts w:eastAsia="Times New Roman" w:cs="Arial"/>
          <w:color w:val="000000"/>
          <w:lang w:eastAsia="bg-BG"/>
        </w:rPr>
        <w:t>и с други сулфонилурейни препарати, следните взаимодействия трябва да бъдат споменати.</w:t>
      </w:r>
    </w:p>
    <w:p w14:paraId="11A530EA" w14:textId="77777777" w:rsidR="00B466CB" w:rsidRPr="00B466CB" w:rsidRDefault="00B466CB" w:rsidP="00B466CB">
      <w:pPr>
        <w:rPr>
          <w:rFonts w:eastAsia="Times New Roman" w:cs="Arial"/>
          <w:color w:val="000000"/>
          <w:lang w:eastAsia="bg-BG"/>
        </w:rPr>
      </w:pPr>
    </w:p>
    <w:p w14:paraId="172AE819" w14:textId="71ACEA4B" w:rsidR="0091385D" w:rsidRPr="00B466CB" w:rsidRDefault="00B466CB" w:rsidP="00B466CB">
      <w:pPr>
        <w:rPr>
          <w:rFonts w:cs="Arial"/>
        </w:rPr>
      </w:pPr>
      <w:r w:rsidRPr="00B466CB">
        <w:rPr>
          <w:rFonts w:eastAsia="Times New Roman" w:cs="Arial"/>
          <w:color w:val="000000"/>
          <w:lang w:eastAsia="bg-BG"/>
        </w:rPr>
        <w:t>Потенцииране на глюкозо-намаляващия ефект в кръвта и по този начин в някои случаи поява на хипогликемия, когато се приема някой от следните медикаменти, напр.:</w:t>
      </w:r>
    </w:p>
    <w:p w14:paraId="5B2761C5" w14:textId="0952499E" w:rsidR="0091385D" w:rsidRPr="00B466CB" w:rsidRDefault="0091385D" w:rsidP="0091385D">
      <w:pPr>
        <w:rPr>
          <w:rFonts w:cs="Arial"/>
        </w:rPr>
      </w:pPr>
    </w:p>
    <w:tbl>
      <w:tblPr>
        <w:tblStyle w:val="TableGrid"/>
        <w:tblW w:w="0" w:type="auto"/>
        <w:tblLook w:val="04A0" w:firstRow="1" w:lastRow="0" w:firstColumn="1" w:lastColumn="0" w:noHBand="0" w:noVBand="1"/>
      </w:tblPr>
      <w:tblGrid>
        <w:gridCol w:w="4677"/>
        <w:gridCol w:w="4673"/>
      </w:tblGrid>
      <w:tr w:rsidR="00B466CB" w14:paraId="02D805E7" w14:textId="77777777" w:rsidTr="00B466CB">
        <w:tc>
          <w:tcPr>
            <w:tcW w:w="4750" w:type="dxa"/>
          </w:tcPr>
          <w:p w14:paraId="00D1D736" w14:textId="3A18241E" w:rsidR="00B466CB" w:rsidRPr="00B466CB" w:rsidRDefault="00B466CB" w:rsidP="00B466CB">
            <w:pPr>
              <w:rPr>
                <w:rFonts w:cs="Arial"/>
              </w:rPr>
            </w:pPr>
            <w:r w:rsidRPr="00B466CB">
              <w:t>фенилбутазон, азапропазон и оксифенбутазон</w:t>
            </w:r>
          </w:p>
        </w:tc>
        <w:tc>
          <w:tcPr>
            <w:tcW w:w="4750" w:type="dxa"/>
          </w:tcPr>
          <w:p w14:paraId="0D39F0D0" w14:textId="4B2E6552" w:rsidR="00B466CB" w:rsidRPr="00B466CB" w:rsidRDefault="00B466CB" w:rsidP="00B466CB">
            <w:pPr>
              <w:rPr>
                <w:rFonts w:cs="Arial"/>
              </w:rPr>
            </w:pPr>
            <w:r w:rsidRPr="00B466CB">
              <w:t>сулфинпиразон</w:t>
            </w:r>
          </w:p>
        </w:tc>
      </w:tr>
      <w:tr w:rsidR="00B466CB" w14:paraId="1A3DB348" w14:textId="77777777" w:rsidTr="00B466CB">
        <w:tc>
          <w:tcPr>
            <w:tcW w:w="4750" w:type="dxa"/>
          </w:tcPr>
          <w:p w14:paraId="34671F96" w14:textId="4DF1CD22" w:rsidR="00B466CB" w:rsidRPr="00B466CB" w:rsidRDefault="00B466CB" w:rsidP="00B466CB">
            <w:pPr>
              <w:rPr>
                <w:rFonts w:cs="Arial"/>
              </w:rPr>
            </w:pPr>
            <w:r w:rsidRPr="00B466CB">
              <w:t>инсулин и орални антидиабетични продукти</w:t>
            </w:r>
          </w:p>
        </w:tc>
        <w:tc>
          <w:tcPr>
            <w:tcW w:w="4750" w:type="dxa"/>
          </w:tcPr>
          <w:p w14:paraId="73338336" w14:textId="50578318" w:rsidR="00B466CB" w:rsidRPr="00B466CB" w:rsidRDefault="00B466CB" w:rsidP="00B466CB">
            <w:pPr>
              <w:rPr>
                <w:rFonts w:cs="Arial"/>
              </w:rPr>
            </w:pPr>
            <w:r w:rsidRPr="00B466CB">
              <w:t>метформин</w:t>
            </w:r>
          </w:p>
        </w:tc>
      </w:tr>
      <w:tr w:rsidR="00B466CB" w14:paraId="22B1F89B" w14:textId="77777777" w:rsidTr="00B466CB">
        <w:tc>
          <w:tcPr>
            <w:tcW w:w="4750" w:type="dxa"/>
          </w:tcPr>
          <w:p w14:paraId="4C138861" w14:textId="484CFF38" w:rsidR="00B466CB" w:rsidRPr="00B466CB" w:rsidRDefault="00B466CB" w:rsidP="00B466CB">
            <w:pPr>
              <w:rPr>
                <w:rFonts w:cs="Arial"/>
              </w:rPr>
            </w:pPr>
            <w:r w:rsidRPr="00B466CB">
              <w:t>някои дългодействащи сулфонамиди</w:t>
            </w:r>
          </w:p>
        </w:tc>
        <w:tc>
          <w:tcPr>
            <w:tcW w:w="4750" w:type="dxa"/>
          </w:tcPr>
          <w:p w14:paraId="2463C60F" w14:textId="4CE7D678" w:rsidR="00B466CB" w:rsidRPr="00B466CB" w:rsidRDefault="00B466CB" w:rsidP="00B466CB">
            <w:pPr>
              <w:rPr>
                <w:rFonts w:cs="Arial"/>
              </w:rPr>
            </w:pPr>
            <w:r w:rsidRPr="00B466CB">
              <w:t>тетрациклини</w:t>
            </w:r>
          </w:p>
        </w:tc>
      </w:tr>
      <w:tr w:rsidR="00B466CB" w14:paraId="0CE9C84F" w14:textId="77777777" w:rsidTr="00B466CB">
        <w:tc>
          <w:tcPr>
            <w:tcW w:w="4750" w:type="dxa"/>
          </w:tcPr>
          <w:p w14:paraId="751B8C3D" w14:textId="77777777" w:rsidR="00B466CB" w:rsidRPr="00B466CB" w:rsidRDefault="00B466CB" w:rsidP="00B466CB">
            <w:r w:rsidRPr="00B466CB">
              <w:t>салицилати и</w:t>
            </w:r>
          </w:p>
          <w:p w14:paraId="209B0CE8" w14:textId="3CDFE769" w:rsidR="00B466CB" w:rsidRPr="00B466CB" w:rsidRDefault="00B466CB" w:rsidP="00B466CB">
            <w:pPr>
              <w:rPr>
                <w:rFonts w:cs="Arial"/>
              </w:rPr>
            </w:pPr>
            <w:r w:rsidRPr="00B466CB">
              <w:t>пара-амино-салицилова киселина</w:t>
            </w:r>
          </w:p>
        </w:tc>
        <w:tc>
          <w:tcPr>
            <w:tcW w:w="4750" w:type="dxa"/>
          </w:tcPr>
          <w:p w14:paraId="774AD567" w14:textId="74BD8CAB" w:rsidR="00B466CB" w:rsidRPr="00B466CB" w:rsidRDefault="00B466CB" w:rsidP="00B466CB">
            <w:pPr>
              <w:rPr>
                <w:rFonts w:cs="Arial"/>
              </w:rPr>
            </w:pPr>
            <w:r w:rsidRPr="00B466CB">
              <w:t>МАО-инхибитори</w:t>
            </w:r>
          </w:p>
        </w:tc>
      </w:tr>
      <w:tr w:rsidR="00B466CB" w14:paraId="3AB0C059" w14:textId="77777777" w:rsidTr="00B466CB">
        <w:tc>
          <w:tcPr>
            <w:tcW w:w="4750" w:type="dxa"/>
          </w:tcPr>
          <w:p w14:paraId="7FB623C9" w14:textId="26CA810C" w:rsidR="00B466CB" w:rsidRPr="00B466CB" w:rsidRDefault="00B466CB" w:rsidP="00B466CB">
            <w:pPr>
              <w:rPr>
                <w:rFonts w:cs="Arial"/>
              </w:rPr>
            </w:pPr>
            <w:r w:rsidRPr="00B466CB">
              <w:t>анаболни стероиди и мъжки хормони</w:t>
            </w:r>
          </w:p>
        </w:tc>
        <w:tc>
          <w:tcPr>
            <w:tcW w:w="4750" w:type="dxa"/>
          </w:tcPr>
          <w:p w14:paraId="0987D2DB" w14:textId="41C565D4" w:rsidR="00B466CB" w:rsidRPr="00B466CB" w:rsidRDefault="00B466CB" w:rsidP="00B466CB">
            <w:pPr>
              <w:rPr>
                <w:rFonts w:cs="Arial"/>
              </w:rPr>
            </w:pPr>
            <w:r w:rsidRPr="00B466CB">
              <w:t>хинолонови антибиотици</w:t>
            </w:r>
          </w:p>
        </w:tc>
      </w:tr>
      <w:tr w:rsidR="00B466CB" w14:paraId="275DE709" w14:textId="77777777" w:rsidTr="00B466CB">
        <w:tc>
          <w:tcPr>
            <w:tcW w:w="4750" w:type="dxa"/>
          </w:tcPr>
          <w:p w14:paraId="29CFF74A" w14:textId="4CE03FE5" w:rsidR="00B466CB" w:rsidRPr="00B466CB" w:rsidRDefault="00B466CB" w:rsidP="00B466CB">
            <w:pPr>
              <w:rPr>
                <w:rFonts w:cs="Arial"/>
              </w:rPr>
            </w:pPr>
            <w:r w:rsidRPr="00B466CB">
              <w:t>хлорамфеникол</w:t>
            </w:r>
          </w:p>
        </w:tc>
        <w:tc>
          <w:tcPr>
            <w:tcW w:w="4750" w:type="dxa"/>
          </w:tcPr>
          <w:p w14:paraId="2A4EAD5F" w14:textId="520011C7" w:rsidR="00B466CB" w:rsidRPr="00B466CB" w:rsidRDefault="00B466CB" w:rsidP="00B466CB">
            <w:pPr>
              <w:rPr>
                <w:rFonts w:cs="Arial"/>
              </w:rPr>
            </w:pPr>
            <w:r w:rsidRPr="00B466CB">
              <w:t>пробенецид</w:t>
            </w:r>
          </w:p>
        </w:tc>
      </w:tr>
      <w:tr w:rsidR="00B466CB" w14:paraId="0F1871DB" w14:textId="77777777" w:rsidTr="00B466CB">
        <w:tc>
          <w:tcPr>
            <w:tcW w:w="4750" w:type="dxa"/>
          </w:tcPr>
          <w:p w14:paraId="58750FB9" w14:textId="0E77DDF2" w:rsidR="00B466CB" w:rsidRDefault="00B466CB" w:rsidP="00B466CB">
            <w:pPr>
              <w:rPr>
                <w:rFonts w:cs="Arial"/>
              </w:rPr>
            </w:pPr>
            <w:r>
              <w:t>кумаринови антикоагуланти</w:t>
            </w:r>
          </w:p>
        </w:tc>
        <w:tc>
          <w:tcPr>
            <w:tcW w:w="4750" w:type="dxa"/>
          </w:tcPr>
          <w:p w14:paraId="1DE902AD" w14:textId="278A3DD8" w:rsidR="00B466CB" w:rsidRDefault="00B466CB" w:rsidP="00B466CB">
            <w:pPr>
              <w:rPr>
                <w:rFonts w:cs="Arial"/>
              </w:rPr>
            </w:pPr>
            <w:r>
              <w:t>миконазол</w:t>
            </w:r>
          </w:p>
        </w:tc>
      </w:tr>
      <w:tr w:rsidR="00B466CB" w14:paraId="0A3B36E5" w14:textId="77777777" w:rsidTr="00B466CB">
        <w:tc>
          <w:tcPr>
            <w:tcW w:w="4750" w:type="dxa"/>
          </w:tcPr>
          <w:p w14:paraId="37D48B37" w14:textId="7D735265" w:rsidR="00B466CB" w:rsidRDefault="00B466CB" w:rsidP="00B466CB">
            <w:pPr>
              <w:rPr>
                <w:rFonts w:cs="Arial"/>
              </w:rPr>
            </w:pPr>
            <w:r>
              <w:t>пентоксифилин (във високи дози, парентерално)</w:t>
            </w:r>
          </w:p>
        </w:tc>
        <w:tc>
          <w:tcPr>
            <w:tcW w:w="4750" w:type="dxa"/>
          </w:tcPr>
          <w:p w14:paraId="6FEDA0B5" w14:textId="4C2CDF1B" w:rsidR="00B466CB" w:rsidRDefault="00B466CB" w:rsidP="00B466CB">
            <w:pPr>
              <w:rPr>
                <w:rFonts w:cs="Arial"/>
              </w:rPr>
            </w:pPr>
            <w:r>
              <w:t>фенфлурамин</w:t>
            </w:r>
          </w:p>
        </w:tc>
      </w:tr>
      <w:tr w:rsidR="00B466CB" w14:paraId="53B6CEA2" w14:textId="77777777" w:rsidTr="00B466CB">
        <w:tc>
          <w:tcPr>
            <w:tcW w:w="4750" w:type="dxa"/>
          </w:tcPr>
          <w:p w14:paraId="1CB59B7A" w14:textId="7077F6BB" w:rsidR="00B466CB" w:rsidRDefault="00B466CB" w:rsidP="00B466CB">
            <w:pPr>
              <w:rPr>
                <w:rFonts w:cs="Arial"/>
              </w:rPr>
            </w:pPr>
            <w:r>
              <w:lastRenderedPageBreak/>
              <w:t>фибрата</w:t>
            </w:r>
          </w:p>
        </w:tc>
        <w:tc>
          <w:tcPr>
            <w:tcW w:w="4750" w:type="dxa"/>
          </w:tcPr>
          <w:p w14:paraId="7E1A5834" w14:textId="454161AA" w:rsidR="00B466CB" w:rsidRDefault="00B466CB" w:rsidP="00B466CB">
            <w:pPr>
              <w:rPr>
                <w:rFonts w:cs="Arial"/>
              </w:rPr>
            </w:pPr>
            <w:r>
              <w:t>тритоквалин</w:t>
            </w:r>
          </w:p>
        </w:tc>
      </w:tr>
      <w:tr w:rsidR="00B466CB" w14:paraId="18207430" w14:textId="77777777" w:rsidTr="00B466CB">
        <w:tc>
          <w:tcPr>
            <w:tcW w:w="4750" w:type="dxa"/>
          </w:tcPr>
          <w:p w14:paraId="2721ED8D" w14:textId="784C88CD" w:rsidR="00B466CB" w:rsidRDefault="00B466CB" w:rsidP="00B466CB">
            <w:pPr>
              <w:rPr>
                <w:rFonts w:cs="Arial"/>
              </w:rPr>
            </w:pPr>
            <w:r>
              <w:t>АСЕ инхибитори</w:t>
            </w:r>
          </w:p>
        </w:tc>
        <w:tc>
          <w:tcPr>
            <w:tcW w:w="4750" w:type="dxa"/>
          </w:tcPr>
          <w:p w14:paraId="5BA305C0" w14:textId="2B291CB5" w:rsidR="00B466CB" w:rsidRDefault="00B466CB" w:rsidP="00B466CB">
            <w:pPr>
              <w:rPr>
                <w:rFonts w:cs="Arial"/>
              </w:rPr>
            </w:pPr>
            <w:r>
              <w:t>флуоксетин</w:t>
            </w:r>
          </w:p>
        </w:tc>
      </w:tr>
      <w:tr w:rsidR="00B466CB" w14:paraId="25897049" w14:textId="77777777" w:rsidTr="00B466CB">
        <w:tc>
          <w:tcPr>
            <w:tcW w:w="4750" w:type="dxa"/>
          </w:tcPr>
          <w:p w14:paraId="30161C52" w14:textId="633F0586" w:rsidR="00B466CB" w:rsidRDefault="00B466CB" w:rsidP="00B466CB">
            <w:pPr>
              <w:rPr>
                <w:rFonts w:cs="Arial"/>
              </w:rPr>
            </w:pPr>
            <w:r>
              <w:t>алопуринол</w:t>
            </w:r>
          </w:p>
        </w:tc>
        <w:tc>
          <w:tcPr>
            <w:tcW w:w="4750" w:type="dxa"/>
          </w:tcPr>
          <w:p w14:paraId="5B49492F" w14:textId="03C3C13F" w:rsidR="00B466CB" w:rsidRDefault="00B466CB" w:rsidP="00B466CB">
            <w:pPr>
              <w:rPr>
                <w:rFonts w:cs="Arial"/>
              </w:rPr>
            </w:pPr>
            <w:r>
              <w:t>симпатолитици</w:t>
            </w:r>
          </w:p>
        </w:tc>
      </w:tr>
      <w:tr w:rsidR="00B466CB" w14:paraId="48CFBE68" w14:textId="77777777" w:rsidTr="00B466CB">
        <w:tc>
          <w:tcPr>
            <w:tcW w:w="4750" w:type="dxa"/>
          </w:tcPr>
          <w:p w14:paraId="24A55CB0" w14:textId="07D94004" w:rsidR="00B466CB" w:rsidRDefault="00B466CB" w:rsidP="00B466CB">
            <w:pPr>
              <w:rPr>
                <w:rFonts w:cs="Arial"/>
              </w:rPr>
            </w:pPr>
            <w:r>
              <w:t>цикло-, тро- и ифосфамиди</w:t>
            </w:r>
          </w:p>
        </w:tc>
        <w:tc>
          <w:tcPr>
            <w:tcW w:w="4750" w:type="dxa"/>
          </w:tcPr>
          <w:p w14:paraId="76E1A04E" w14:textId="77777777" w:rsidR="00B466CB" w:rsidRDefault="00B466CB" w:rsidP="00B466CB">
            <w:pPr>
              <w:rPr>
                <w:rFonts w:cs="Arial"/>
              </w:rPr>
            </w:pPr>
          </w:p>
        </w:tc>
      </w:tr>
    </w:tbl>
    <w:p w14:paraId="34DEE640" w14:textId="6633F366" w:rsidR="00B466CB" w:rsidRPr="00B466CB" w:rsidRDefault="00B466CB" w:rsidP="0091385D">
      <w:pPr>
        <w:rPr>
          <w:rFonts w:cs="Arial"/>
        </w:rPr>
      </w:pPr>
    </w:p>
    <w:p w14:paraId="720D7B33" w14:textId="0A3C49FE" w:rsidR="00B466CB" w:rsidRPr="00B466CB" w:rsidRDefault="00B466CB" w:rsidP="0091385D">
      <w:pPr>
        <w:rPr>
          <w:rFonts w:cs="Arial"/>
        </w:rPr>
      </w:pPr>
    </w:p>
    <w:p w14:paraId="2DEE962E" w14:textId="06AFD9C9" w:rsidR="00B466CB" w:rsidRPr="00B466CB" w:rsidRDefault="00B466CB" w:rsidP="00B466CB">
      <w:pPr>
        <w:spacing w:line="240" w:lineRule="auto"/>
        <w:rPr>
          <w:rFonts w:eastAsia="Times New Roman" w:cs="Arial"/>
          <w:color w:val="000000"/>
          <w:lang w:eastAsia="bg-BG"/>
        </w:rPr>
      </w:pPr>
      <w:r w:rsidRPr="00B466CB">
        <w:rPr>
          <w:rFonts w:eastAsia="Times New Roman" w:cs="Arial"/>
          <w:color w:val="000000"/>
          <w:lang w:eastAsia="bg-BG"/>
        </w:rPr>
        <w:t>Намаление на глюкозо-намаляващия ефект в кръвта и оттам повишени кръвни нива на глюкозата могат да се появят, когато се приема някой от следните медикаменти, напр.:</w:t>
      </w:r>
    </w:p>
    <w:p w14:paraId="2342B5BC" w14:textId="77777777" w:rsidR="00B466CB" w:rsidRPr="00B466CB" w:rsidRDefault="00B466CB" w:rsidP="00B466CB">
      <w:pPr>
        <w:spacing w:line="240" w:lineRule="auto"/>
        <w:rPr>
          <w:rFonts w:eastAsia="Times New Roman" w:cs="Arial"/>
          <w:sz w:val="24"/>
          <w:szCs w:val="24"/>
          <w:lang w:eastAsia="bg-BG"/>
        </w:rPr>
      </w:pPr>
    </w:p>
    <w:p w14:paraId="65A8F79A" w14:textId="77777777" w:rsidR="00B466CB" w:rsidRPr="00B466CB" w:rsidRDefault="00B466CB" w:rsidP="00B466CB">
      <w:pPr>
        <w:pStyle w:val="ListParagraph"/>
        <w:numPr>
          <w:ilvl w:val="0"/>
          <w:numId w:val="40"/>
        </w:numPr>
        <w:spacing w:line="240" w:lineRule="auto"/>
        <w:rPr>
          <w:rFonts w:eastAsia="Times New Roman" w:cs="Arial"/>
          <w:sz w:val="24"/>
          <w:szCs w:val="24"/>
          <w:lang w:eastAsia="bg-BG"/>
        </w:rPr>
      </w:pPr>
      <w:r>
        <w:rPr>
          <w:rFonts w:eastAsia="Times New Roman" w:cs="Arial"/>
          <w:color w:val="000000"/>
          <w:lang w:eastAsia="bg-BG"/>
        </w:rPr>
        <w:t xml:space="preserve">естрогени и прогестагени, </w:t>
      </w:r>
    </w:p>
    <w:p w14:paraId="38E5BE9B" w14:textId="77777777" w:rsidR="00B466CB" w:rsidRPr="00B466CB" w:rsidRDefault="00B466CB" w:rsidP="00B466CB">
      <w:pPr>
        <w:pStyle w:val="ListParagraph"/>
        <w:numPr>
          <w:ilvl w:val="0"/>
          <w:numId w:val="40"/>
        </w:numPr>
        <w:spacing w:line="240" w:lineRule="auto"/>
        <w:rPr>
          <w:rFonts w:eastAsia="Times New Roman" w:cs="Arial"/>
          <w:sz w:val="24"/>
          <w:szCs w:val="24"/>
          <w:lang w:eastAsia="bg-BG"/>
        </w:rPr>
      </w:pPr>
      <w:r w:rsidRPr="00B466CB">
        <w:rPr>
          <w:rFonts w:eastAsia="Times New Roman" w:cs="Arial"/>
          <w:color w:val="000000"/>
          <w:lang w:eastAsia="bg-BG"/>
        </w:rPr>
        <w:t>с</w:t>
      </w:r>
      <w:r>
        <w:rPr>
          <w:rFonts w:eastAsia="Times New Roman" w:cs="Arial"/>
          <w:color w:val="000000"/>
          <w:lang w:eastAsia="bg-BG"/>
        </w:rPr>
        <w:t xml:space="preserve">алуретици, тиазидни диуретици, </w:t>
      </w:r>
    </w:p>
    <w:p w14:paraId="78507CE7" w14:textId="77777777" w:rsidR="00B466CB" w:rsidRPr="00B466CB" w:rsidRDefault="00B466CB" w:rsidP="00B466CB">
      <w:pPr>
        <w:pStyle w:val="ListParagraph"/>
        <w:numPr>
          <w:ilvl w:val="0"/>
          <w:numId w:val="40"/>
        </w:numPr>
        <w:spacing w:line="240" w:lineRule="auto"/>
        <w:rPr>
          <w:rFonts w:eastAsia="Times New Roman" w:cs="Arial"/>
          <w:sz w:val="24"/>
          <w:szCs w:val="24"/>
          <w:lang w:eastAsia="bg-BG"/>
        </w:rPr>
      </w:pPr>
      <w:r w:rsidRPr="00B466CB">
        <w:rPr>
          <w:rFonts w:eastAsia="Times New Roman" w:cs="Arial"/>
          <w:color w:val="000000"/>
          <w:lang w:eastAsia="bg-BG"/>
        </w:rPr>
        <w:t>тирео-стимул</w:t>
      </w:r>
      <w:r>
        <w:rPr>
          <w:rFonts w:eastAsia="Times New Roman" w:cs="Arial"/>
          <w:color w:val="000000"/>
          <w:lang w:eastAsia="bg-BG"/>
        </w:rPr>
        <w:t xml:space="preserve">иращи агенти, глюкокортикоиди, </w:t>
      </w:r>
    </w:p>
    <w:p w14:paraId="007B83AD" w14:textId="77777777" w:rsidR="00B466CB" w:rsidRPr="00B466CB" w:rsidRDefault="00B466CB" w:rsidP="00B466CB">
      <w:pPr>
        <w:pStyle w:val="ListParagraph"/>
        <w:numPr>
          <w:ilvl w:val="0"/>
          <w:numId w:val="40"/>
        </w:numPr>
        <w:spacing w:line="240" w:lineRule="auto"/>
        <w:rPr>
          <w:rFonts w:eastAsia="Times New Roman" w:cs="Arial"/>
          <w:sz w:val="24"/>
          <w:szCs w:val="24"/>
          <w:lang w:eastAsia="bg-BG"/>
        </w:rPr>
      </w:pPr>
      <w:r w:rsidRPr="00B466CB">
        <w:rPr>
          <w:rFonts w:eastAsia="Times New Roman" w:cs="Arial"/>
          <w:color w:val="000000"/>
          <w:lang w:eastAsia="bg-BG"/>
        </w:rPr>
        <w:t>фенотиази</w:t>
      </w:r>
      <w:r>
        <w:rPr>
          <w:rFonts w:eastAsia="Times New Roman" w:cs="Arial"/>
          <w:color w:val="000000"/>
          <w:lang w:eastAsia="bg-BG"/>
        </w:rPr>
        <w:t xml:space="preserve">дни производни, хлорпромазин, </w:t>
      </w:r>
    </w:p>
    <w:p w14:paraId="21B225FA" w14:textId="77777777" w:rsidR="00B466CB" w:rsidRPr="00B466CB" w:rsidRDefault="00B466CB" w:rsidP="00B466CB">
      <w:pPr>
        <w:pStyle w:val="ListParagraph"/>
        <w:numPr>
          <w:ilvl w:val="0"/>
          <w:numId w:val="40"/>
        </w:numPr>
        <w:spacing w:line="240" w:lineRule="auto"/>
        <w:rPr>
          <w:rFonts w:eastAsia="Times New Roman" w:cs="Arial"/>
          <w:sz w:val="24"/>
          <w:szCs w:val="24"/>
          <w:lang w:eastAsia="bg-BG"/>
        </w:rPr>
      </w:pPr>
      <w:r w:rsidRPr="00B466CB">
        <w:rPr>
          <w:rFonts w:eastAsia="Times New Roman" w:cs="Arial"/>
          <w:color w:val="000000"/>
          <w:lang w:eastAsia="bg-BG"/>
        </w:rPr>
        <w:t>а</w:t>
      </w:r>
      <w:r>
        <w:rPr>
          <w:rFonts w:eastAsia="Times New Roman" w:cs="Arial"/>
          <w:color w:val="000000"/>
          <w:lang w:eastAsia="bg-BG"/>
        </w:rPr>
        <w:t xml:space="preserve">дреналин и симпатикомиметици, </w:t>
      </w:r>
    </w:p>
    <w:p w14:paraId="558493F0" w14:textId="77777777" w:rsidR="00B466CB" w:rsidRPr="00B466CB" w:rsidRDefault="00B466CB" w:rsidP="00B466CB">
      <w:pPr>
        <w:pStyle w:val="ListParagraph"/>
        <w:numPr>
          <w:ilvl w:val="0"/>
          <w:numId w:val="40"/>
        </w:numPr>
        <w:spacing w:line="240" w:lineRule="auto"/>
        <w:rPr>
          <w:rFonts w:eastAsia="Times New Roman" w:cs="Arial"/>
          <w:sz w:val="24"/>
          <w:szCs w:val="24"/>
          <w:lang w:eastAsia="bg-BG"/>
        </w:rPr>
      </w:pPr>
      <w:r w:rsidRPr="00B466CB">
        <w:rPr>
          <w:rFonts w:eastAsia="Times New Roman" w:cs="Arial"/>
          <w:color w:val="000000"/>
          <w:lang w:eastAsia="bg-BG"/>
        </w:rPr>
        <w:t>никотинова киселина (ви</w:t>
      </w:r>
      <w:r>
        <w:rPr>
          <w:rFonts w:eastAsia="Times New Roman" w:cs="Arial"/>
          <w:color w:val="000000"/>
          <w:lang w:eastAsia="bg-BG"/>
        </w:rPr>
        <w:t xml:space="preserve">соки дози) и нейни производни, </w:t>
      </w:r>
    </w:p>
    <w:p w14:paraId="71CFC891" w14:textId="77777777" w:rsidR="00B466CB" w:rsidRPr="00B466CB" w:rsidRDefault="00B466CB" w:rsidP="00B466CB">
      <w:pPr>
        <w:pStyle w:val="ListParagraph"/>
        <w:numPr>
          <w:ilvl w:val="0"/>
          <w:numId w:val="40"/>
        </w:numPr>
        <w:spacing w:line="240" w:lineRule="auto"/>
        <w:rPr>
          <w:rFonts w:eastAsia="Times New Roman" w:cs="Arial"/>
          <w:sz w:val="24"/>
          <w:szCs w:val="24"/>
          <w:lang w:eastAsia="bg-BG"/>
        </w:rPr>
      </w:pPr>
      <w:r w:rsidRPr="00B466CB">
        <w:rPr>
          <w:rFonts w:eastAsia="Times New Roman" w:cs="Arial"/>
          <w:color w:val="000000"/>
          <w:lang w:eastAsia="bg-BG"/>
        </w:rPr>
        <w:t>лакса</w:t>
      </w:r>
      <w:r>
        <w:rPr>
          <w:rFonts w:eastAsia="Times New Roman" w:cs="Arial"/>
          <w:color w:val="000000"/>
          <w:lang w:eastAsia="bg-BG"/>
        </w:rPr>
        <w:t xml:space="preserve">тиви (продължителна употреба), </w:t>
      </w:r>
    </w:p>
    <w:p w14:paraId="6FE73CC1" w14:textId="77777777" w:rsidR="00B466CB" w:rsidRPr="00B466CB" w:rsidRDefault="00B466CB" w:rsidP="00B466CB">
      <w:pPr>
        <w:pStyle w:val="ListParagraph"/>
        <w:numPr>
          <w:ilvl w:val="0"/>
          <w:numId w:val="40"/>
        </w:numPr>
        <w:spacing w:line="240" w:lineRule="auto"/>
        <w:rPr>
          <w:rFonts w:eastAsia="Times New Roman" w:cs="Arial"/>
          <w:sz w:val="24"/>
          <w:szCs w:val="24"/>
          <w:lang w:eastAsia="bg-BG"/>
        </w:rPr>
      </w:pPr>
      <w:r>
        <w:rPr>
          <w:rFonts w:eastAsia="Times New Roman" w:cs="Arial"/>
          <w:color w:val="000000"/>
          <w:lang w:eastAsia="bg-BG"/>
        </w:rPr>
        <w:t xml:space="preserve">фенитоин, диазоксид, </w:t>
      </w:r>
    </w:p>
    <w:p w14:paraId="5D042F5C" w14:textId="77777777" w:rsidR="00B466CB" w:rsidRPr="00B466CB" w:rsidRDefault="00B466CB" w:rsidP="00B466CB">
      <w:pPr>
        <w:pStyle w:val="ListParagraph"/>
        <w:numPr>
          <w:ilvl w:val="0"/>
          <w:numId w:val="40"/>
        </w:numPr>
        <w:spacing w:line="240" w:lineRule="auto"/>
        <w:rPr>
          <w:rFonts w:eastAsia="Times New Roman" w:cs="Arial"/>
          <w:sz w:val="24"/>
          <w:szCs w:val="24"/>
          <w:lang w:eastAsia="bg-BG"/>
        </w:rPr>
      </w:pPr>
      <w:r w:rsidRPr="00B466CB">
        <w:rPr>
          <w:rFonts w:eastAsia="Times New Roman" w:cs="Arial"/>
          <w:color w:val="000000"/>
          <w:lang w:eastAsia="bg-BG"/>
        </w:rPr>
        <w:t>глюка</w:t>
      </w:r>
      <w:r>
        <w:rPr>
          <w:rFonts w:eastAsia="Times New Roman" w:cs="Arial"/>
          <w:color w:val="000000"/>
          <w:lang w:eastAsia="bg-BG"/>
        </w:rPr>
        <w:t xml:space="preserve">гон, барбитурати и рифампицин, </w:t>
      </w:r>
    </w:p>
    <w:p w14:paraId="350431FC" w14:textId="62972F73" w:rsidR="00B466CB" w:rsidRPr="00B466CB" w:rsidRDefault="00B466CB" w:rsidP="00B466CB">
      <w:pPr>
        <w:pStyle w:val="ListParagraph"/>
        <w:numPr>
          <w:ilvl w:val="0"/>
          <w:numId w:val="40"/>
        </w:numPr>
        <w:spacing w:line="240" w:lineRule="auto"/>
        <w:rPr>
          <w:rFonts w:eastAsia="Times New Roman" w:cs="Arial"/>
          <w:sz w:val="24"/>
          <w:szCs w:val="24"/>
          <w:lang w:eastAsia="bg-BG"/>
        </w:rPr>
      </w:pPr>
      <w:r w:rsidRPr="00B466CB">
        <w:rPr>
          <w:rFonts w:eastAsia="Times New Roman" w:cs="Arial"/>
          <w:color w:val="000000"/>
          <w:lang w:eastAsia="bg-BG"/>
        </w:rPr>
        <w:t>ацетозоламид.</w:t>
      </w:r>
    </w:p>
    <w:p w14:paraId="05D669D2" w14:textId="77777777" w:rsidR="00B466CB" w:rsidRPr="00B466CB" w:rsidRDefault="00B466CB" w:rsidP="00B466CB">
      <w:pPr>
        <w:spacing w:line="240" w:lineRule="auto"/>
        <w:rPr>
          <w:rFonts w:eastAsia="Times New Roman" w:cs="Arial"/>
          <w:color w:val="000000"/>
          <w:lang w:eastAsia="bg-BG"/>
        </w:rPr>
      </w:pPr>
    </w:p>
    <w:p w14:paraId="7CFE7120" w14:textId="5142AC3C"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Н2-антагонистите, бета-блокерите, клонидинът и резерпинът могат да доведат или до потенцииране, или до намаление на глюкозо-намаляващия ефект в кръвта.</w:t>
      </w:r>
    </w:p>
    <w:p w14:paraId="3DE2FE7E" w14:textId="77777777" w:rsidR="00B466CB" w:rsidRPr="00B466CB" w:rsidRDefault="00B466CB" w:rsidP="00B466CB">
      <w:pPr>
        <w:spacing w:line="240" w:lineRule="auto"/>
        <w:rPr>
          <w:rFonts w:eastAsia="Times New Roman" w:cs="Arial"/>
          <w:color w:val="000000"/>
          <w:lang w:eastAsia="bg-BG"/>
        </w:rPr>
      </w:pPr>
    </w:p>
    <w:p w14:paraId="4846DDFF" w14:textId="0DA63F9C"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Под влиянието на симпатолитични лекарства като бета-блокерите, клонидина, гуанегидина и резерпина признаците на адренергична регулация на хипогликемията могат да бъдат редуцирани или да изчезнат.</w:t>
      </w:r>
    </w:p>
    <w:p w14:paraId="57CE30FE" w14:textId="77777777" w:rsidR="00B466CB" w:rsidRPr="00B466CB" w:rsidRDefault="00B466CB" w:rsidP="00B466CB">
      <w:pPr>
        <w:rPr>
          <w:rFonts w:eastAsia="Times New Roman" w:cs="Arial"/>
          <w:color w:val="000000"/>
          <w:lang w:eastAsia="bg-BG"/>
        </w:rPr>
      </w:pPr>
    </w:p>
    <w:p w14:paraId="45EF4F7E" w14:textId="3479A0C9" w:rsidR="00B466CB" w:rsidRDefault="00B466CB" w:rsidP="00B466CB">
      <w:pPr>
        <w:rPr>
          <w:rFonts w:eastAsia="Times New Roman" w:cs="Arial"/>
          <w:color w:val="000000"/>
          <w:lang w:eastAsia="bg-BG"/>
        </w:rPr>
      </w:pPr>
      <w:r w:rsidRPr="00B466CB">
        <w:rPr>
          <w:rFonts w:eastAsia="Times New Roman" w:cs="Arial"/>
          <w:color w:val="000000"/>
          <w:lang w:eastAsia="bg-BG"/>
        </w:rPr>
        <w:t>Приемът на алкохол може да потенциира или намали хипогликемичния ефект на глимепирида по непредсказуем начин.</w:t>
      </w:r>
    </w:p>
    <w:p w14:paraId="391A15DD" w14:textId="38C586C4" w:rsidR="00B466CB" w:rsidRDefault="00B466CB" w:rsidP="00B466CB">
      <w:pPr>
        <w:rPr>
          <w:rFonts w:eastAsia="Times New Roman" w:cs="Arial"/>
          <w:color w:val="000000"/>
          <w:lang w:eastAsia="bg-BG"/>
        </w:rPr>
      </w:pPr>
    </w:p>
    <w:p w14:paraId="0CCFF1FC" w14:textId="4B33A802" w:rsidR="00B466CB" w:rsidRPr="00B466CB" w:rsidRDefault="00B466CB" w:rsidP="00B466CB">
      <w:pPr>
        <w:rPr>
          <w:rFonts w:cs="Arial"/>
        </w:rPr>
      </w:pPr>
      <w:r>
        <w:rPr>
          <w:lang w:val="en-US"/>
        </w:rPr>
        <w:t xml:space="preserve">Glimepiride </w:t>
      </w:r>
      <w:r>
        <w:t>може или да потенциира, или да намали ефектите на кумариновите производни.</w:t>
      </w:r>
    </w:p>
    <w:p w14:paraId="336BA5C9" w14:textId="77777777" w:rsidR="00B466CB" w:rsidRPr="0091385D" w:rsidRDefault="00B466CB" w:rsidP="0091385D"/>
    <w:p w14:paraId="394A7584" w14:textId="10DEA5B3" w:rsidR="004F498A" w:rsidRDefault="002C50EE" w:rsidP="004A448E">
      <w:pPr>
        <w:pStyle w:val="Heading2"/>
      </w:pPr>
      <w:r>
        <w:t>4.6. Фертилитет, бременност и кърмене</w:t>
      </w:r>
    </w:p>
    <w:p w14:paraId="4887836B" w14:textId="11C96CFA" w:rsidR="0091385D" w:rsidRDefault="0091385D" w:rsidP="0091385D"/>
    <w:p w14:paraId="23719DA6" w14:textId="77777777" w:rsidR="00B466CB" w:rsidRPr="008F587E" w:rsidRDefault="00B466CB" w:rsidP="008F587E">
      <w:pPr>
        <w:pStyle w:val="Heading3"/>
        <w:rPr>
          <w:rFonts w:eastAsia="Times New Roman"/>
          <w:u w:val="single"/>
          <w:lang w:eastAsia="bg-BG"/>
        </w:rPr>
      </w:pPr>
      <w:r w:rsidRPr="008F587E">
        <w:rPr>
          <w:rFonts w:eastAsia="Times New Roman"/>
          <w:u w:val="single"/>
          <w:lang w:eastAsia="bg-BG"/>
        </w:rPr>
        <w:t>Бременност:</w:t>
      </w:r>
    </w:p>
    <w:p w14:paraId="74C0A7FE" w14:textId="77777777" w:rsidR="00B466CB" w:rsidRPr="00B466CB" w:rsidRDefault="00B466CB" w:rsidP="00B466CB">
      <w:pPr>
        <w:spacing w:line="240" w:lineRule="auto"/>
        <w:rPr>
          <w:rFonts w:eastAsia="Times New Roman" w:cs="Arial"/>
          <w:color w:val="000000"/>
          <w:lang w:eastAsia="bg-BG"/>
        </w:rPr>
      </w:pPr>
    </w:p>
    <w:p w14:paraId="58B9A4A6" w14:textId="01AC5C68" w:rsidR="00B466CB" w:rsidRPr="00B466CB" w:rsidRDefault="00B466CB" w:rsidP="00B466CB">
      <w:pPr>
        <w:spacing w:line="240" w:lineRule="auto"/>
        <w:rPr>
          <w:rFonts w:eastAsia="Times New Roman" w:cs="Arial"/>
          <w:color w:val="000000"/>
          <w:lang w:eastAsia="bg-BG"/>
        </w:rPr>
      </w:pPr>
      <w:r w:rsidRPr="00B466CB">
        <w:rPr>
          <w:rFonts w:eastAsia="Times New Roman" w:cs="Arial"/>
          <w:color w:val="000000"/>
          <w:lang w:eastAsia="bg-BG"/>
        </w:rPr>
        <w:t>Необичайни нива на кръвната захар по време на бременност са свързани с по-често възникване на вродени аномалии и перинатална смъртност. Ето защо нивата на кръвната захар трябва да бъдат стриктно следени по време на бременността с цел избягване на тератогенен риск.</w:t>
      </w:r>
    </w:p>
    <w:p w14:paraId="5CE0863A" w14:textId="77777777" w:rsidR="00B466CB" w:rsidRPr="00B466CB" w:rsidRDefault="00B466CB" w:rsidP="00B466CB">
      <w:pPr>
        <w:spacing w:line="240" w:lineRule="auto"/>
        <w:rPr>
          <w:rFonts w:eastAsia="Times New Roman" w:cs="Arial"/>
          <w:color w:val="000000"/>
          <w:lang w:eastAsia="bg-BG"/>
        </w:rPr>
      </w:pPr>
    </w:p>
    <w:p w14:paraId="64EE48BF" w14:textId="4C61BEC6"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Няма достатъчно данни за употребата на </w:t>
      </w:r>
      <w:r w:rsidRPr="00B466CB">
        <w:rPr>
          <w:rFonts w:eastAsia="Times New Roman" w:cs="Arial"/>
          <w:color w:val="000000"/>
          <w:lang w:val="en-US"/>
        </w:rPr>
        <w:t xml:space="preserve">glimepiride </w:t>
      </w:r>
      <w:r w:rsidRPr="00B466CB">
        <w:rPr>
          <w:rFonts w:eastAsia="Times New Roman" w:cs="Arial"/>
          <w:color w:val="000000"/>
          <w:lang w:eastAsia="bg-BG"/>
        </w:rPr>
        <w:t>при бременни жени.</w:t>
      </w:r>
    </w:p>
    <w:p w14:paraId="4D6597F0" w14:textId="77777777" w:rsidR="00B466CB" w:rsidRPr="00B466CB" w:rsidRDefault="00B466CB" w:rsidP="00B466CB">
      <w:pPr>
        <w:spacing w:line="240" w:lineRule="auto"/>
        <w:rPr>
          <w:rFonts w:eastAsia="Times New Roman" w:cs="Arial"/>
          <w:color w:val="000000"/>
          <w:lang w:eastAsia="bg-BG"/>
        </w:rPr>
      </w:pPr>
    </w:p>
    <w:p w14:paraId="2469BC6D" w14:textId="2C8A36D0"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По тези причини Неоглим® (1, 2, 3, 4 </w:t>
      </w:r>
      <w:r w:rsidRPr="00B466CB">
        <w:rPr>
          <w:rFonts w:eastAsia="Times New Roman" w:cs="Arial"/>
          <w:color w:val="000000"/>
          <w:lang w:val="en-US"/>
        </w:rPr>
        <w:t xml:space="preserve">mg) </w:t>
      </w:r>
      <w:r w:rsidRPr="00B466CB">
        <w:rPr>
          <w:rFonts w:eastAsia="Times New Roman" w:cs="Arial"/>
          <w:color w:val="000000"/>
          <w:lang w:eastAsia="bg-BG"/>
        </w:rPr>
        <w:t>е противопоказан по време на бременност. В тази ситуация се изисква употребата на инсулин. Пациентки, които планират забременяване, трябва да информират лекуващия си лекар.</w:t>
      </w:r>
    </w:p>
    <w:p w14:paraId="29089A7A" w14:textId="77777777" w:rsidR="00B466CB" w:rsidRPr="00B466CB" w:rsidRDefault="00B466CB" w:rsidP="00B466CB">
      <w:pPr>
        <w:spacing w:line="240" w:lineRule="auto"/>
        <w:rPr>
          <w:rFonts w:eastAsia="Times New Roman" w:cs="Arial"/>
          <w:i/>
          <w:iCs/>
          <w:color w:val="000000"/>
          <w:lang w:eastAsia="bg-BG"/>
        </w:rPr>
      </w:pPr>
    </w:p>
    <w:p w14:paraId="076E70CD" w14:textId="4D82ABE0" w:rsidR="00B466CB" w:rsidRPr="008F587E" w:rsidRDefault="00B466CB" w:rsidP="008F587E">
      <w:pPr>
        <w:pStyle w:val="Heading3"/>
        <w:rPr>
          <w:rFonts w:eastAsia="Times New Roman"/>
          <w:u w:val="single"/>
          <w:lang w:eastAsia="bg-BG"/>
        </w:rPr>
      </w:pPr>
      <w:r w:rsidRPr="008F587E">
        <w:rPr>
          <w:rFonts w:eastAsia="Times New Roman"/>
          <w:u w:val="single"/>
          <w:lang w:eastAsia="bg-BG"/>
        </w:rPr>
        <w:t>Кърмене:</w:t>
      </w:r>
    </w:p>
    <w:p w14:paraId="074C6F56" w14:textId="77777777" w:rsidR="00B466CB" w:rsidRPr="00B466CB" w:rsidRDefault="00B466CB" w:rsidP="00B466CB">
      <w:pPr>
        <w:rPr>
          <w:rFonts w:eastAsia="Times New Roman" w:cs="Arial"/>
          <w:color w:val="000000"/>
          <w:lang w:eastAsia="bg-BG"/>
        </w:rPr>
      </w:pPr>
    </w:p>
    <w:p w14:paraId="776662C5" w14:textId="4A1AF597" w:rsidR="0091385D" w:rsidRPr="00B466CB" w:rsidRDefault="00B466CB" w:rsidP="00B466CB">
      <w:pPr>
        <w:rPr>
          <w:rFonts w:cs="Arial"/>
        </w:rPr>
      </w:pPr>
      <w:r w:rsidRPr="00B466CB">
        <w:rPr>
          <w:rFonts w:eastAsia="Times New Roman" w:cs="Arial"/>
          <w:color w:val="000000"/>
          <w:lang w:eastAsia="bg-BG"/>
        </w:rPr>
        <w:t xml:space="preserve">Тъй като сулфонилурейните производни като </w:t>
      </w:r>
      <w:r w:rsidRPr="00B466CB">
        <w:rPr>
          <w:rFonts w:eastAsia="Times New Roman" w:cs="Arial"/>
          <w:color w:val="000000"/>
          <w:lang w:val="en-US"/>
        </w:rPr>
        <w:t xml:space="preserve">glimepiride </w:t>
      </w:r>
      <w:r w:rsidRPr="00B466CB">
        <w:rPr>
          <w:rFonts w:eastAsia="Times New Roman" w:cs="Arial"/>
          <w:color w:val="000000"/>
          <w:lang w:eastAsia="bg-BG"/>
        </w:rPr>
        <w:t xml:space="preserve">преминават в кърмата, Неоглим® (1, 2, 3, 4 </w:t>
      </w:r>
      <w:r w:rsidRPr="00B466CB">
        <w:rPr>
          <w:rFonts w:eastAsia="Times New Roman" w:cs="Arial"/>
          <w:color w:val="000000"/>
          <w:lang w:val="en-US"/>
        </w:rPr>
        <w:t xml:space="preserve">mg) </w:t>
      </w:r>
      <w:r w:rsidRPr="00B466CB">
        <w:rPr>
          <w:rFonts w:eastAsia="Times New Roman" w:cs="Arial"/>
          <w:color w:val="000000"/>
          <w:lang w:eastAsia="bg-BG"/>
        </w:rPr>
        <w:t>не трябва да се приема от кърмещи майки поради риск от възникване на хипогликемия при кърмачето.</w:t>
      </w:r>
    </w:p>
    <w:p w14:paraId="3E8789C3" w14:textId="77777777" w:rsidR="0091385D" w:rsidRPr="0091385D" w:rsidRDefault="0091385D" w:rsidP="0091385D"/>
    <w:p w14:paraId="064DF1DE" w14:textId="70BCC16C" w:rsidR="00CF77F7" w:rsidRDefault="002C50EE" w:rsidP="004A448E">
      <w:pPr>
        <w:pStyle w:val="Heading2"/>
      </w:pPr>
      <w:r>
        <w:t>4.7. Ефекти върху способността за шофиране и работа с машини</w:t>
      </w:r>
    </w:p>
    <w:p w14:paraId="1455464C" w14:textId="2676810A" w:rsidR="0091385D" w:rsidRDefault="0091385D" w:rsidP="0091385D"/>
    <w:p w14:paraId="1A339904" w14:textId="77777777"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Способността на пациента да се концентрира и реагира може да бъде нарушена в резултат на хипогликемия или хипергликемия, или напр. в резултат на нарушено зрение. Това може да представлява риск в ситуации, когато тези способности са от особено важно значение (напр. шофиране или управление на машини).</w:t>
      </w:r>
    </w:p>
    <w:p w14:paraId="2B4135A6" w14:textId="4881F290" w:rsidR="0091385D" w:rsidRPr="008F587E" w:rsidRDefault="00B466CB" w:rsidP="00B466CB">
      <w:pPr>
        <w:rPr>
          <w:rFonts w:cs="Arial"/>
        </w:rPr>
      </w:pPr>
      <w:r w:rsidRPr="008F587E">
        <w:rPr>
          <w:rFonts w:eastAsia="Times New Roman" w:cs="Arial"/>
          <w:color w:val="000000"/>
          <w:lang w:eastAsia="bg-BG"/>
        </w:rPr>
        <w:t>Пациентите трябва да бъдат предупреждавани да вземат предпазни мерки, за да избягват хипогликемията по време на шофиране. Това е особено важно за онези пациенти, при които е намалена или липсва способността за оценка на предупредителните симптоми на хипогликемията или които имат чести такива епизоди. Трябва да се прецени дали въобще е удачно да се шофира или да се управляват машини при тези обстоятелства.</w:t>
      </w:r>
    </w:p>
    <w:p w14:paraId="35801A15" w14:textId="77777777" w:rsidR="0091385D" w:rsidRPr="0091385D" w:rsidRDefault="0091385D" w:rsidP="0091385D"/>
    <w:p w14:paraId="37A3FD9F" w14:textId="0E7561E3" w:rsidR="00CF77F7" w:rsidRDefault="002C50EE" w:rsidP="004A448E">
      <w:pPr>
        <w:pStyle w:val="Heading2"/>
      </w:pPr>
      <w:r>
        <w:t>4.8. Нежелани лекарствени реакции</w:t>
      </w:r>
    </w:p>
    <w:p w14:paraId="4838F52A" w14:textId="4C2232D6" w:rsidR="0091385D" w:rsidRDefault="0091385D" w:rsidP="0091385D"/>
    <w:p w14:paraId="3F745308" w14:textId="77777777" w:rsidR="008F587E" w:rsidRPr="008F587E" w:rsidRDefault="008F587E" w:rsidP="008F587E">
      <w:pPr>
        <w:spacing w:line="240" w:lineRule="auto"/>
        <w:rPr>
          <w:rFonts w:eastAsia="Times New Roman" w:cs="Arial"/>
          <w:sz w:val="24"/>
          <w:szCs w:val="24"/>
          <w:lang w:eastAsia="bg-BG"/>
        </w:rPr>
      </w:pPr>
      <w:r w:rsidRPr="008F587E">
        <w:rPr>
          <w:rFonts w:eastAsia="Times New Roman" w:cs="Arial"/>
          <w:color w:val="000000"/>
          <w:lang w:eastAsia="bg-BG"/>
        </w:rPr>
        <w:t xml:space="preserve">На базата на събрания клиничен опит с Неоглим® (1, 2, 3, 4 </w:t>
      </w:r>
      <w:r w:rsidRPr="008F587E">
        <w:rPr>
          <w:rFonts w:eastAsia="Times New Roman" w:cs="Arial"/>
          <w:color w:val="000000"/>
          <w:lang w:val="en-US"/>
        </w:rPr>
        <w:t xml:space="preserve">mg) </w:t>
      </w:r>
      <w:r w:rsidRPr="008F587E">
        <w:rPr>
          <w:rFonts w:eastAsia="Times New Roman" w:cs="Arial"/>
          <w:color w:val="000000"/>
          <w:lang w:eastAsia="bg-BG"/>
        </w:rPr>
        <w:t>и други сулфанилурейни препарати трябва да бъдат споменати следните нежелани лекарствени реакции, изредени по системо-органен клас и в ред на намаляваща честота (много чести</w:t>
      </w:r>
    </w:p>
    <w:p w14:paraId="6CA22F19" w14:textId="77777777" w:rsidR="008F587E" w:rsidRPr="008F587E" w:rsidRDefault="008F587E" w:rsidP="008F587E">
      <w:pPr>
        <w:spacing w:line="240" w:lineRule="auto"/>
        <w:rPr>
          <w:rFonts w:eastAsia="Times New Roman" w:cs="Arial"/>
          <w:sz w:val="24"/>
          <w:szCs w:val="24"/>
          <w:lang w:eastAsia="bg-BG"/>
        </w:rPr>
      </w:pPr>
      <w:r w:rsidRPr="008F587E">
        <w:rPr>
          <w:rFonts w:eastAsia="Times New Roman" w:cs="Arial"/>
          <w:color w:val="000000"/>
          <w:lang w:eastAsia="bg-BG"/>
        </w:rPr>
        <w:t>≥ 1/10; чести: ≥ 1/100 до &lt; 1/10; нечести: ≥ 1/1000 до &lt; 1/100; редки: ≥ 1/10000 до &lt; 1/1000; много редки &lt; 1/10000), с неизвестна чесота (от наличните данни не може да бъде направено оценка).</w:t>
      </w:r>
    </w:p>
    <w:p w14:paraId="2F9403A2" w14:textId="77777777" w:rsidR="008F587E" w:rsidRPr="008F587E" w:rsidRDefault="008F587E" w:rsidP="008F587E">
      <w:pPr>
        <w:spacing w:line="240" w:lineRule="auto"/>
        <w:rPr>
          <w:rFonts w:eastAsia="Times New Roman" w:cs="Arial"/>
          <w:b/>
          <w:bCs/>
          <w:color w:val="000000"/>
          <w:lang w:eastAsia="bg-BG"/>
        </w:rPr>
      </w:pPr>
    </w:p>
    <w:p w14:paraId="24F5C014" w14:textId="37FE3DC2" w:rsidR="008F587E" w:rsidRPr="008F587E" w:rsidRDefault="008F587E" w:rsidP="008F587E">
      <w:pPr>
        <w:spacing w:line="240" w:lineRule="auto"/>
        <w:rPr>
          <w:rFonts w:eastAsia="Times New Roman" w:cs="Arial"/>
          <w:sz w:val="24"/>
          <w:szCs w:val="24"/>
          <w:lang w:eastAsia="bg-BG"/>
        </w:rPr>
      </w:pPr>
      <w:r w:rsidRPr="008F587E">
        <w:rPr>
          <w:rFonts w:eastAsia="Times New Roman" w:cs="Arial"/>
          <w:b/>
          <w:bCs/>
          <w:color w:val="000000"/>
          <w:lang w:eastAsia="bg-BG"/>
        </w:rPr>
        <w:t>Нарушения на имунната система</w:t>
      </w:r>
    </w:p>
    <w:p w14:paraId="585B7846" w14:textId="77777777" w:rsidR="008F587E" w:rsidRPr="008F587E" w:rsidRDefault="008F587E" w:rsidP="008F587E">
      <w:pPr>
        <w:spacing w:line="240" w:lineRule="auto"/>
        <w:rPr>
          <w:rFonts w:eastAsia="Times New Roman" w:cs="Arial"/>
          <w:color w:val="000000"/>
          <w:lang w:eastAsia="bg-BG"/>
        </w:rPr>
      </w:pPr>
    </w:p>
    <w:p w14:paraId="02D68B9F" w14:textId="5C5C349E" w:rsidR="008F587E" w:rsidRPr="008F587E" w:rsidRDefault="008F587E" w:rsidP="008F587E">
      <w:pPr>
        <w:spacing w:line="240" w:lineRule="auto"/>
        <w:rPr>
          <w:rFonts w:eastAsia="Times New Roman" w:cs="Arial"/>
          <w:sz w:val="24"/>
          <w:szCs w:val="24"/>
          <w:lang w:eastAsia="bg-BG"/>
        </w:rPr>
      </w:pPr>
      <w:r w:rsidRPr="008F587E">
        <w:rPr>
          <w:rFonts w:eastAsia="Times New Roman" w:cs="Arial"/>
          <w:color w:val="000000"/>
          <w:lang w:eastAsia="bg-BG"/>
        </w:rPr>
        <w:t>Много редки: леки реакции на свръхчувствителност, които могат да се развият в сериозни реакции с диспнея, падане на кръвното налягане и понякога анафилактичен, шок; алергичен васкулит.</w:t>
      </w:r>
    </w:p>
    <w:p w14:paraId="5B26C1BE" w14:textId="77777777" w:rsidR="008F587E" w:rsidRPr="008F587E" w:rsidRDefault="008F587E" w:rsidP="008F587E">
      <w:pPr>
        <w:rPr>
          <w:rFonts w:eastAsia="Times New Roman" w:cs="Arial"/>
          <w:color w:val="000000"/>
          <w:lang w:eastAsia="bg-BG"/>
        </w:rPr>
      </w:pPr>
    </w:p>
    <w:p w14:paraId="570508C4" w14:textId="4821FE54" w:rsidR="0091385D" w:rsidRPr="008F587E" w:rsidRDefault="008F587E" w:rsidP="008F587E">
      <w:pPr>
        <w:rPr>
          <w:rFonts w:cs="Arial"/>
        </w:rPr>
      </w:pPr>
      <w:r w:rsidRPr="008F587E">
        <w:rPr>
          <w:rFonts w:eastAsia="Times New Roman" w:cs="Arial"/>
          <w:color w:val="000000"/>
          <w:lang w:eastAsia="bg-BG"/>
        </w:rPr>
        <w:t>Възможна е кръстосана алергия със сулфанилурейни, сулфонамидни и други подобни. лекарствени продукти.</w:t>
      </w:r>
    </w:p>
    <w:p w14:paraId="43E3C48F" w14:textId="62B68245" w:rsidR="0091385D" w:rsidRDefault="0091385D" w:rsidP="0091385D"/>
    <w:p w14:paraId="3B9729C1" w14:textId="77777777" w:rsidR="008F587E" w:rsidRPr="008F587E" w:rsidRDefault="008F587E" w:rsidP="008F587E">
      <w:pPr>
        <w:spacing w:line="240" w:lineRule="auto"/>
        <w:rPr>
          <w:rFonts w:eastAsia="Times New Roman" w:cs="Arial"/>
          <w:sz w:val="24"/>
          <w:szCs w:val="24"/>
          <w:lang w:eastAsia="bg-BG"/>
        </w:rPr>
      </w:pPr>
      <w:r w:rsidRPr="008F587E">
        <w:rPr>
          <w:rFonts w:eastAsia="Times New Roman" w:cs="Arial"/>
          <w:b/>
          <w:bCs/>
          <w:color w:val="000000"/>
          <w:lang w:eastAsia="bg-BG"/>
        </w:rPr>
        <w:t>Нарушения на кръвта и лимфната система</w:t>
      </w:r>
    </w:p>
    <w:p w14:paraId="3309EF0A" w14:textId="77777777" w:rsidR="008F587E" w:rsidRPr="008F587E" w:rsidRDefault="008F587E" w:rsidP="008F587E">
      <w:pPr>
        <w:spacing w:line="240" w:lineRule="auto"/>
        <w:rPr>
          <w:rFonts w:eastAsia="Times New Roman" w:cs="Arial"/>
          <w:color w:val="000000"/>
          <w:lang w:eastAsia="bg-BG"/>
        </w:rPr>
      </w:pPr>
    </w:p>
    <w:p w14:paraId="3129AF4D" w14:textId="1B9B61F7" w:rsidR="008F587E" w:rsidRPr="008F587E" w:rsidRDefault="008F587E" w:rsidP="008F587E">
      <w:pPr>
        <w:spacing w:line="240" w:lineRule="auto"/>
        <w:rPr>
          <w:rFonts w:eastAsia="Times New Roman" w:cs="Arial"/>
          <w:sz w:val="24"/>
          <w:szCs w:val="24"/>
          <w:lang w:eastAsia="bg-BG"/>
        </w:rPr>
      </w:pPr>
      <w:r w:rsidRPr="008F587E">
        <w:rPr>
          <w:rFonts w:eastAsia="Times New Roman" w:cs="Arial"/>
          <w:color w:val="000000"/>
          <w:lang w:eastAsia="bg-BG"/>
        </w:rPr>
        <w:t>Редки:</w:t>
      </w:r>
      <w:r w:rsidRPr="008F587E">
        <w:rPr>
          <w:rFonts w:eastAsia="Times New Roman" w:cs="Arial"/>
          <w:color w:val="000000"/>
          <w:lang w:eastAsia="bg-BG"/>
        </w:rPr>
        <w:tab/>
        <w:t>умерена до тежка тромбоцитопения, левкопения, еритроцитопения,</w:t>
      </w:r>
    </w:p>
    <w:p w14:paraId="2736DCD0" w14:textId="77777777" w:rsidR="008F587E" w:rsidRPr="008F587E" w:rsidRDefault="008F587E" w:rsidP="008F587E">
      <w:pPr>
        <w:spacing w:line="240" w:lineRule="auto"/>
        <w:rPr>
          <w:rFonts w:eastAsia="Times New Roman" w:cs="Arial"/>
          <w:sz w:val="24"/>
          <w:szCs w:val="24"/>
          <w:lang w:eastAsia="bg-BG"/>
        </w:rPr>
      </w:pPr>
      <w:r w:rsidRPr="008F587E">
        <w:rPr>
          <w:rFonts w:eastAsia="Times New Roman" w:cs="Arial"/>
          <w:color w:val="000000"/>
          <w:lang w:eastAsia="bg-BG"/>
        </w:rPr>
        <w:t>гранулоцитопения, агранулоцитоза, хемолитична анемия и панцитопения.</w:t>
      </w:r>
    </w:p>
    <w:p w14:paraId="4580E108" w14:textId="77777777" w:rsidR="008F587E" w:rsidRPr="008F587E" w:rsidRDefault="008F587E" w:rsidP="008F587E">
      <w:pPr>
        <w:spacing w:line="240" w:lineRule="auto"/>
        <w:rPr>
          <w:rFonts w:eastAsia="Times New Roman" w:cs="Arial"/>
          <w:color w:val="000000"/>
          <w:lang w:eastAsia="bg-BG"/>
        </w:rPr>
      </w:pPr>
    </w:p>
    <w:p w14:paraId="7EC1E81B" w14:textId="1F240FDA" w:rsidR="008F587E" w:rsidRPr="008F587E" w:rsidRDefault="008F587E" w:rsidP="008F587E">
      <w:pPr>
        <w:spacing w:line="240" w:lineRule="auto"/>
        <w:rPr>
          <w:rFonts w:eastAsia="Times New Roman" w:cs="Arial"/>
          <w:sz w:val="24"/>
          <w:szCs w:val="24"/>
          <w:lang w:eastAsia="bg-BG"/>
        </w:rPr>
      </w:pPr>
      <w:r w:rsidRPr="008F587E">
        <w:rPr>
          <w:rFonts w:eastAsia="Times New Roman" w:cs="Arial"/>
          <w:color w:val="000000"/>
          <w:lang w:eastAsia="bg-BG"/>
        </w:rPr>
        <w:t>В общия случай тези промени са обратими след прекъсване на лечението.</w:t>
      </w:r>
    </w:p>
    <w:p w14:paraId="1C7BF482" w14:textId="77777777" w:rsidR="008F587E" w:rsidRPr="008F587E" w:rsidRDefault="008F587E" w:rsidP="008F587E">
      <w:pPr>
        <w:spacing w:line="240" w:lineRule="auto"/>
        <w:rPr>
          <w:rFonts w:eastAsia="Times New Roman" w:cs="Arial"/>
          <w:b/>
          <w:bCs/>
          <w:color w:val="000000"/>
          <w:lang w:eastAsia="bg-BG"/>
        </w:rPr>
      </w:pPr>
    </w:p>
    <w:p w14:paraId="6FF25E20" w14:textId="7C45CAA4" w:rsidR="008F587E" w:rsidRPr="008F587E" w:rsidRDefault="008F587E" w:rsidP="008F587E">
      <w:pPr>
        <w:spacing w:line="240" w:lineRule="auto"/>
        <w:rPr>
          <w:rFonts w:eastAsia="Times New Roman" w:cs="Arial"/>
          <w:sz w:val="24"/>
          <w:szCs w:val="24"/>
          <w:lang w:eastAsia="bg-BG"/>
        </w:rPr>
      </w:pPr>
      <w:r w:rsidRPr="008F587E">
        <w:rPr>
          <w:rFonts w:eastAsia="Times New Roman" w:cs="Arial"/>
          <w:b/>
          <w:bCs/>
          <w:color w:val="000000"/>
          <w:lang w:eastAsia="bg-BG"/>
        </w:rPr>
        <w:t>Нарушения на метаболизма и храненето</w:t>
      </w:r>
    </w:p>
    <w:p w14:paraId="2D2DE682" w14:textId="77777777" w:rsidR="008F587E" w:rsidRPr="008F587E" w:rsidRDefault="008F587E" w:rsidP="008F587E">
      <w:pPr>
        <w:spacing w:line="240" w:lineRule="auto"/>
        <w:rPr>
          <w:rFonts w:eastAsia="Times New Roman" w:cs="Arial"/>
          <w:color w:val="000000"/>
          <w:lang w:eastAsia="bg-BG"/>
        </w:rPr>
      </w:pPr>
    </w:p>
    <w:p w14:paraId="4011D774" w14:textId="5A5FEDAD" w:rsidR="008F587E" w:rsidRPr="008F587E" w:rsidRDefault="008F587E" w:rsidP="008F587E">
      <w:pPr>
        <w:spacing w:line="240" w:lineRule="auto"/>
        <w:rPr>
          <w:rFonts w:eastAsia="Times New Roman" w:cs="Arial"/>
          <w:sz w:val="24"/>
          <w:szCs w:val="24"/>
          <w:lang w:eastAsia="bg-BG"/>
        </w:rPr>
      </w:pPr>
      <w:r w:rsidRPr="008F587E">
        <w:rPr>
          <w:rFonts w:eastAsia="Times New Roman" w:cs="Arial"/>
          <w:color w:val="000000"/>
          <w:lang w:eastAsia="bg-BG"/>
        </w:rPr>
        <w:t>Редки: хипогликемия.</w:t>
      </w:r>
    </w:p>
    <w:p w14:paraId="3455C21D" w14:textId="77777777" w:rsidR="008F587E" w:rsidRPr="008F587E" w:rsidRDefault="008F587E" w:rsidP="008F587E">
      <w:pPr>
        <w:spacing w:line="240" w:lineRule="auto"/>
        <w:rPr>
          <w:rFonts w:eastAsia="Times New Roman" w:cs="Arial"/>
          <w:color w:val="000000"/>
          <w:lang w:eastAsia="bg-BG"/>
        </w:rPr>
      </w:pPr>
    </w:p>
    <w:p w14:paraId="0783514A" w14:textId="54F0C8D7" w:rsidR="008F587E" w:rsidRPr="008F587E" w:rsidRDefault="008F587E" w:rsidP="008F587E">
      <w:pPr>
        <w:spacing w:line="240" w:lineRule="auto"/>
        <w:rPr>
          <w:rFonts w:eastAsia="Times New Roman" w:cs="Arial"/>
          <w:sz w:val="24"/>
          <w:szCs w:val="24"/>
          <w:lang w:eastAsia="bg-BG"/>
        </w:rPr>
      </w:pPr>
      <w:r w:rsidRPr="008F587E">
        <w:rPr>
          <w:rFonts w:eastAsia="Times New Roman" w:cs="Arial"/>
          <w:color w:val="000000"/>
          <w:lang w:eastAsia="bg-BG"/>
        </w:rPr>
        <w:t>Най-често тези реакции се проявяват внезапно, като могат да бъдат тежки и не винаги лесни за овладяване. Появата на такива реакции зависи, както и при други хипогликемични терапии, от индивидуални фактори, такива като хранителни навици и дозировка (вж. “Специални предупреждения и предпазни мерки при употреба”).</w:t>
      </w:r>
    </w:p>
    <w:p w14:paraId="20F44BF7" w14:textId="77777777" w:rsidR="008F587E" w:rsidRPr="008F587E" w:rsidRDefault="008F587E" w:rsidP="008F587E">
      <w:pPr>
        <w:spacing w:line="240" w:lineRule="auto"/>
        <w:rPr>
          <w:rFonts w:eastAsia="Times New Roman" w:cs="Arial"/>
          <w:b/>
          <w:bCs/>
          <w:color w:val="000000"/>
          <w:lang w:eastAsia="bg-BG"/>
        </w:rPr>
      </w:pPr>
    </w:p>
    <w:p w14:paraId="53D236AF" w14:textId="59049C7D" w:rsidR="008F587E" w:rsidRPr="008F587E" w:rsidRDefault="008F587E" w:rsidP="008F587E">
      <w:pPr>
        <w:spacing w:line="240" w:lineRule="auto"/>
        <w:rPr>
          <w:rFonts w:eastAsia="Times New Roman" w:cs="Arial"/>
          <w:sz w:val="24"/>
          <w:szCs w:val="24"/>
          <w:lang w:eastAsia="bg-BG"/>
        </w:rPr>
      </w:pPr>
      <w:r w:rsidRPr="008F587E">
        <w:rPr>
          <w:rFonts w:eastAsia="Times New Roman" w:cs="Arial"/>
          <w:b/>
          <w:bCs/>
          <w:color w:val="000000"/>
          <w:lang w:eastAsia="bg-BG"/>
        </w:rPr>
        <w:t>Нарушения на очите</w:t>
      </w:r>
    </w:p>
    <w:p w14:paraId="11DD2E7E" w14:textId="77777777" w:rsidR="008F587E" w:rsidRPr="008F587E" w:rsidRDefault="008F587E" w:rsidP="008F587E">
      <w:pPr>
        <w:spacing w:line="240" w:lineRule="auto"/>
        <w:rPr>
          <w:rFonts w:eastAsia="Times New Roman" w:cs="Arial"/>
          <w:color w:val="000000"/>
          <w:lang w:eastAsia="bg-BG"/>
        </w:rPr>
      </w:pPr>
    </w:p>
    <w:p w14:paraId="4288B742" w14:textId="5713136D" w:rsidR="008F587E" w:rsidRPr="008F587E" w:rsidRDefault="008F587E" w:rsidP="008F587E">
      <w:pPr>
        <w:spacing w:line="240" w:lineRule="auto"/>
        <w:rPr>
          <w:rFonts w:eastAsia="Times New Roman" w:cs="Arial"/>
          <w:sz w:val="24"/>
          <w:szCs w:val="24"/>
          <w:lang w:eastAsia="bg-BG"/>
        </w:rPr>
      </w:pPr>
      <w:r w:rsidRPr="008F587E">
        <w:rPr>
          <w:rFonts w:eastAsia="Times New Roman" w:cs="Arial"/>
          <w:color w:val="000000"/>
          <w:lang w:eastAsia="bg-BG"/>
        </w:rPr>
        <w:t>С неизвестна честота: Поради промени в кръвните нива на глюкозата са възможни временни зрителни нарушения, особено в началото на терапията.</w:t>
      </w:r>
    </w:p>
    <w:p w14:paraId="49D6A1B7" w14:textId="77777777" w:rsidR="008F587E" w:rsidRPr="008F587E" w:rsidRDefault="008F587E" w:rsidP="008F587E">
      <w:pPr>
        <w:spacing w:line="240" w:lineRule="auto"/>
        <w:rPr>
          <w:rFonts w:eastAsia="Times New Roman" w:cs="Arial"/>
          <w:b/>
          <w:bCs/>
          <w:color w:val="000000"/>
          <w:lang w:eastAsia="bg-BG"/>
        </w:rPr>
      </w:pPr>
      <w:bookmarkStart w:id="4" w:name="bookmark6"/>
    </w:p>
    <w:p w14:paraId="11EB3718" w14:textId="6D4D4ED8" w:rsidR="008F587E" w:rsidRPr="008F587E" w:rsidRDefault="008F587E" w:rsidP="008F587E">
      <w:pPr>
        <w:spacing w:line="240" w:lineRule="auto"/>
        <w:rPr>
          <w:rFonts w:eastAsia="Times New Roman" w:cs="Arial"/>
          <w:sz w:val="24"/>
          <w:szCs w:val="24"/>
          <w:lang w:eastAsia="bg-BG"/>
        </w:rPr>
      </w:pPr>
      <w:r w:rsidRPr="008F587E">
        <w:rPr>
          <w:rFonts w:eastAsia="Times New Roman" w:cs="Arial"/>
          <w:b/>
          <w:bCs/>
          <w:color w:val="000000"/>
          <w:lang w:eastAsia="bg-BG"/>
        </w:rPr>
        <w:t>Стомашно-чревни нарушения</w:t>
      </w:r>
      <w:bookmarkEnd w:id="4"/>
    </w:p>
    <w:p w14:paraId="7F8E7D52" w14:textId="77777777" w:rsidR="008F587E" w:rsidRPr="008F587E" w:rsidRDefault="008F587E" w:rsidP="008F587E">
      <w:pPr>
        <w:spacing w:line="240" w:lineRule="auto"/>
        <w:rPr>
          <w:rFonts w:eastAsia="Times New Roman" w:cs="Arial"/>
          <w:color w:val="000000"/>
          <w:lang w:eastAsia="bg-BG"/>
        </w:rPr>
      </w:pPr>
    </w:p>
    <w:p w14:paraId="07AD5E93" w14:textId="4A06BD06" w:rsidR="008F587E" w:rsidRPr="008F587E" w:rsidRDefault="008F587E" w:rsidP="008F587E">
      <w:pPr>
        <w:spacing w:line="240" w:lineRule="auto"/>
        <w:rPr>
          <w:rFonts w:eastAsia="Times New Roman" w:cs="Arial"/>
          <w:sz w:val="24"/>
          <w:szCs w:val="24"/>
          <w:lang w:eastAsia="bg-BG"/>
        </w:rPr>
      </w:pPr>
      <w:r w:rsidRPr="008F587E">
        <w:rPr>
          <w:rFonts w:eastAsia="Times New Roman" w:cs="Arial"/>
          <w:color w:val="000000"/>
          <w:lang w:eastAsia="bg-BG"/>
        </w:rPr>
        <w:t>Много редки: гадене, повръщане и диария, тежест или чувство на запълненост в стомаха, както и стомашни болки, коитоводят до прекъсване на терапията.</w:t>
      </w:r>
    </w:p>
    <w:p w14:paraId="5072CB3E" w14:textId="77777777" w:rsidR="008F587E" w:rsidRPr="008F587E" w:rsidRDefault="008F587E" w:rsidP="008F587E">
      <w:pPr>
        <w:spacing w:line="240" w:lineRule="auto"/>
        <w:rPr>
          <w:rFonts w:eastAsia="Times New Roman" w:cs="Arial"/>
          <w:b/>
          <w:bCs/>
          <w:color w:val="000000"/>
          <w:lang w:eastAsia="bg-BG"/>
        </w:rPr>
      </w:pPr>
      <w:bookmarkStart w:id="5" w:name="bookmark8"/>
    </w:p>
    <w:p w14:paraId="2111F27D" w14:textId="186AB372" w:rsidR="008F587E" w:rsidRPr="008F587E" w:rsidRDefault="008F587E" w:rsidP="008F587E">
      <w:pPr>
        <w:spacing w:line="240" w:lineRule="auto"/>
        <w:rPr>
          <w:rFonts w:eastAsia="Times New Roman" w:cs="Arial"/>
          <w:sz w:val="24"/>
          <w:szCs w:val="24"/>
          <w:lang w:eastAsia="bg-BG"/>
        </w:rPr>
      </w:pPr>
      <w:r w:rsidRPr="008F587E">
        <w:rPr>
          <w:rFonts w:eastAsia="Times New Roman" w:cs="Arial"/>
          <w:b/>
          <w:bCs/>
          <w:color w:val="000000"/>
          <w:lang w:eastAsia="bg-BG"/>
        </w:rPr>
        <w:t>Хенато-билиарни нарушения</w:t>
      </w:r>
      <w:bookmarkEnd w:id="5"/>
    </w:p>
    <w:p w14:paraId="1D8375AC" w14:textId="77777777" w:rsidR="008F587E" w:rsidRPr="008F587E" w:rsidRDefault="008F587E" w:rsidP="008F587E">
      <w:pPr>
        <w:spacing w:line="240" w:lineRule="auto"/>
        <w:rPr>
          <w:rFonts w:eastAsia="Times New Roman" w:cs="Arial"/>
          <w:color w:val="000000"/>
          <w:lang w:eastAsia="bg-BG"/>
        </w:rPr>
      </w:pPr>
    </w:p>
    <w:p w14:paraId="48906B05" w14:textId="5EEBF784" w:rsidR="008F587E" w:rsidRPr="008F587E" w:rsidRDefault="008F587E" w:rsidP="008F587E">
      <w:pPr>
        <w:spacing w:line="240" w:lineRule="auto"/>
        <w:rPr>
          <w:rFonts w:eastAsia="Times New Roman" w:cs="Arial"/>
          <w:sz w:val="24"/>
          <w:szCs w:val="24"/>
          <w:lang w:eastAsia="bg-BG"/>
        </w:rPr>
      </w:pPr>
      <w:r w:rsidRPr="008F587E">
        <w:rPr>
          <w:rFonts w:eastAsia="Times New Roman" w:cs="Arial"/>
          <w:color w:val="000000"/>
          <w:lang w:eastAsia="bg-BG"/>
        </w:rPr>
        <w:t>С неизвестна честота: Възможно е покачване нивото на чернодробните ензими.</w:t>
      </w:r>
    </w:p>
    <w:p w14:paraId="67666ED6" w14:textId="5E533962" w:rsidR="008F587E" w:rsidRPr="008F587E" w:rsidRDefault="008F587E" w:rsidP="008F587E">
      <w:pPr>
        <w:spacing w:line="240" w:lineRule="auto"/>
        <w:rPr>
          <w:rFonts w:eastAsia="Times New Roman" w:cs="Arial"/>
          <w:sz w:val="24"/>
          <w:szCs w:val="24"/>
          <w:lang w:eastAsia="bg-BG"/>
        </w:rPr>
      </w:pPr>
      <w:r w:rsidRPr="008F587E">
        <w:rPr>
          <w:rFonts w:eastAsia="Times New Roman" w:cs="Arial"/>
          <w:color w:val="000000"/>
          <w:lang w:eastAsia="bg-BG"/>
        </w:rPr>
        <w:t>Много редки: нарушение на чернодробната функция (напр. холестаза и жълтеница), както и хепатит, който може да прогресира в спиране функциите на черния дроб.</w:t>
      </w:r>
    </w:p>
    <w:p w14:paraId="32600BF0" w14:textId="77777777" w:rsidR="008F587E" w:rsidRPr="008F587E" w:rsidRDefault="008F587E" w:rsidP="008F587E">
      <w:pPr>
        <w:spacing w:line="240" w:lineRule="auto"/>
        <w:rPr>
          <w:rFonts w:eastAsia="Times New Roman" w:cs="Arial"/>
          <w:b/>
          <w:bCs/>
          <w:color w:val="000000"/>
          <w:lang w:eastAsia="bg-BG"/>
        </w:rPr>
      </w:pPr>
      <w:bookmarkStart w:id="6" w:name="bookmark10"/>
    </w:p>
    <w:p w14:paraId="5FB707A5" w14:textId="5085A6E2" w:rsidR="008F587E" w:rsidRPr="008F587E" w:rsidRDefault="008F587E" w:rsidP="008F587E">
      <w:pPr>
        <w:spacing w:line="240" w:lineRule="auto"/>
        <w:rPr>
          <w:rFonts w:eastAsia="Times New Roman" w:cs="Arial"/>
          <w:sz w:val="24"/>
          <w:szCs w:val="24"/>
          <w:lang w:eastAsia="bg-BG"/>
        </w:rPr>
      </w:pPr>
      <w:r w:rsidRPr="008F587E">
        <w:rPr>
          <w:rFonts w:eastAsia="Times New Roman" w:cs="Arial"/>
          <w:b/>
          <w:bCs/>
          <w:color w:val="000000"/>
          <w:lang w:eastAsia="bg-BG"/>
        </w:rPr>
        <w:t>Нарушения на кожата и подкожната тъкан</w:t>
      </w:r>
      <w:bookmarkEnd w:id="6"/>
    </w:p>
    <w:p w14:paraId="616C3B59" w14:textId="77777777" w:rsidR="008F587E" w:rsidRPr="008F587E" w:rsidRDefault="008F587E" w:rsidP="008F587E">
      <w:pPr>
        <w:spacing w:line="240" w:lineRule="auto"/>
        <w:rPr>
          <w:rFonts w:eastAsia="Times New Roman" w:cs="Arial"/>
          <w:color w:val="000000"/>
          <w:lang w:eastAsia="bg-BG"/>
        </w:rPr>
      </w:pPr>
    </w:p>
    <w:p w14:paraId="0BAD211B" w14:textId="29B6B5E1" w:rsidR="008F587E" w:rsidRPr="008F587E" w:rsidRDefault="008F587E" w:rsidP="008F587E">
      <w:pPr>
        <w:spacing w:line="240" w:lineRule="auto"/>
        <w:rPr>
          <w:rFonts w:eastAsia="Times New Roman" w:cs="Arial"/>
          <w:sz w:val="24"/>
          <w:szCs w:val="24"/>
          <w:lang w:eastAsia="bg-BG"/>
        </w:rPr>
      </w:pPr>
      <w:r w:rsidRPr="008F587E">
        <w:rPr>
          <w:rFonts w:eastAsia="Times New Roman" w:cs="Arial"/>
          <w:color w:val="000000"/>
          <w:lang w:eastAsia="bg-BG"/>
        </w:rPr>
        <w:t>С неизвестна честота реакции на свръхчувствителност, като дразнене, обрив и уртикария.</w:t>
      </w:r>
    </w:p>
    <w:p w14:paraId="44006CF9" w14:textId="77777777" w:rsidR="008F587E" w:rsidRPr="008F587E" w:rsidRDefault="008F587E" w:rsidP="008F587E">
      <w:pPr>
        <w:spacing w:line="240" w:lineRule="auto"/>
        <w:rPr>
          <w:rFonts w:eastAsia="Times New Roman" w:cs="Arial"/>
          <w:color w:val="000000"/>
          <w:lang w:eastAsia="bg-BG"/>
        </w:rPr>
      </w:pPr>
    </w:p>
    <w:p w14:paraId="0BDBCC53" w14:textId="102DB188" w:rsidR="008F587E" w:rsidRPr="008F587E" w:rsidRDefault="008F587E" w:rsidP="008F587E">
      <w:pPr>
        <w:spacing w:line="240" w:lineRule="auto"/>
        <w:rPr>
          <w:rFonts w:eastAsia="Times New Roman" w:cs="Arial"/>
          <w:sz w:val="24"/>
          <w:szCs w:val="24"/>
          <w:lang w:eastAsia="bg-BG"/>
        </w:rPr>
      </w:pPr>
      <w:r w:rsidRPr="008F587E">
        <w:rPr>
          <w:rFonts w:eastAsia="Times New Roman" w:cs="Arial"/>
          <w:color w:val="000000"/>
          <w:lang w:eastAsia="bg-BG"/>
        </w:rPr>
        <w:t>В редки случаи може да се наблюдава свръхчувствителност към светлина.</w:t>
      </w:r>
    </w:p>
    <w:p w14:paraId="34B87923" w14:textId="77777777" w:rsidR="008F587E" w:rsidRPr="008F587E" w:rsidRDefault="008F587E" w:rsidP="008F587E">
      <w:pPr>
        <w:spacing w:line="240" w:lineRule="auto"/>
        <w:rPr>
          <w:rFonts w:eastAsia="Times New Roman" w:cs="Arial"/>
          <w:b/>
          <w:bCs/>
          <w:color w:val="000000"/>
          <w:lang w:eastAsia="bg-BG"/>
        </w:rPr>
      </w:pPr>
      <w:bookmarkStart w:id="7" w:name="bookmark12"/>
    </w:p>
    <w:p w14:paraId="0A3A3285" w14:textId="5F6159A2" w:rsidR="008F587E" w:rsidRPr="008F587E" w:rsidRDefault="008F587E" w:rsidP="008F587E">
      <w:pPr>
        <w:spacing w:line="240" w:lineRule="auto"/>
        <w:rPr>
          <w:rFonts w:eastAsia="Times New Roman" w:cs="Arial"/>
          <w:sz w:val="24"/>
          <w:szCs w:val="24"/>
          <w:lang w:eastAsia="bg-BG"/>
        </w:rPr>
      </w:pPr>
      <w:r w:rsidRPr="008F587E">
        <w:rPr>
          <w:rFonts w:eastAsia="Times New Roman" w:cs="Arial"/>
          <w:b/>
          <w:bCs/>
          <w:color w:val="000000"/>
          <w:lang w:eastAsia="bg-BG"/>
        </w:rPr>
        <w:t>Изследвания</w:t>
      </w:r>
      <w:bookmarkEnd w:id="7"/>
    </w:p>
    <w:p w14:paraId="7E42A8D0" w14:textId="77777777" w:rsidR="008F587E" w:rsidRPr="008F587E" w:rsidRDefault="008F587E" w:rsidP="008F587E">
      <w:pPr>
        <w:rPr>
          <w:rFonts w:eastAsia="Times New Roman" w:cs="Arial"/>
          <w:color w:val="000000"/>
          <w:lang w:eastAsia="bg-BG"/>
        </w:rPr>
      </w:pPr>
    </w:p>
    <w:p w14:paraId="0EB08BF4" w14:textId="240C1307" w:rsidR="008F587E" w:rsidRPr="008F587E" w:rsidRDefault="008F587E" w:rsidP="008F587E">
      <w:pPr>
        <w:rPr>
          <w:rFonts w:cs="Arial"/>
        </w:rPr>
      </w:pPr>
      <w:r w:rsidRPr="008F587E">
        <w:rPr>
          <w:rFonts w:eastAsia="Times New Roman" w:cs="Arial"/>
          <w:color w:val="000000"/>
          <w:lang w:eastAsia="bg-BG"/>
        </w:rPr>
        <w:t>В редки случаи може да се наблюдава намаляване на натриевите серумни концентрации.</w:t>
      </w:r>
    </w:p>
    <w:p w14:paraId="5FAA2ED0" w14:textId="77777777" w:rsidR="008F587E" w:rsidRPr="0091385D" w:rsidRDefault="008F587E" w:rsidP="0091385D"/>
    <w:p w14:paraId="0A023CE0" w14:textId="24FAD394" w:rsidR="00CF77F7" w:rsidRDefault="002C50EE" w:rsidP="004A448E">
      <w:pPr>
        <w:pStyle w:val="Heading2"/>
      </w:pPr>
      <w:r>
        <w:t>4.9. Предозиране</w:t>
      </w:r>
    </w:p>
    <w:p w14:paraId="45938F36" w14:textId="77777777" w:rsidR="007D6885" w:rsidRPr="007D6885" w:rsidRDefault="007D6885" w:rsidP="007D6885"/>
    <w:p w14:paraId="4F986EE7" w14:textId="77777777"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При предозиране може да се наблюдава хипогликемия, която трае от 12 до 72 часа, и е възможно да се повтори след първоначално подобрение. Симптомите могат и да не се появят до 24 часа след приема. В общия случай се препоръчва болнично наблюдение. Могат да се появят гадене, повръщане и болки в епигастриума. Обикновено хипогликемията се съпровожда от неврологични симптоми, като безпокойство, тремор зрителни нарушения, проблеми с координацията, сънливост, кома и гърчове.</w:t>
      </w:r>
    </w:p>
    <w:p w14:paraId="25E37926" w14:textId="77777777" w:rsidR="007D6885" w:rsidRPr="007D6885" w:rsidRDefault="007D6885" w:rsidP="007D6885">
      <w:pPr>
        <w:spacing w:line="240" w:lineRule="auto"/>
        <w:rPr>
          <w:rFonts w:eastAsia="Times New Roman" w:cs="Arial"/>
          <w:sz w:val="24"/>
          <w:szCs w:val="24"/>
          <w:lang w:eastAsia="bg-BG"/>
        </w:rPr>
      </w:pPr>
    </w:p>
    <w:p w14:paraId="4041381C" w14:textId="2D4598CE" w:rsidR="007D6885" w:rsidRPr="007D6885" w:rsidRDefault="007D6885" w:rsidP="007D6885">
      <w:pPr>
        <w:rPr>
          <w:rFonts w:cs="Arial"/>
        </w:rPr>
      </w:pPr>
      <w:r w:rsidRPr="007D6885">
        <w:rPr>
          <w:rFonts w:eastAsia="Times New Roman" w:cs="Arial"/>
          <w:color w:val="000000"/>
          <w:lang w:eastAsia="bg-BG"/>
        </w:rPr>
        <w:t>Лечението се състои главно от предотвратяване на абсорбцията посредством предизвикване на повръщане и последващ прием на вода или лимонада с активен</w:t>
      </w:r>
      <w:r>
        <w:rPr>
          <w:rFonts w:cs="Arial"/>
          <w:lang w:val="en-US"/>
        </w:rPr>
        <w:t xml:space="preserve"> </w:t>
      </w:r>
      <w:r w:rsidRPr="007D6885">
        <w:rPr>
          <w:rFonts w:eastAsia="Times New Roman" w:cs="Arial"/>
          <w:color w:val="000000"/>
          <w:lang w:eastAsia="bg-BG"/>
        </w:rPr>
        <w:t xml:space="preserve">въглен (адсорбент), както и натриев сулфат (лаксатив). Ако са приети големи количества от медикамента, се налага стомашна промивка, последвана от поемане на активен въглен и натриев сулфат. В случай на тежко предозиране се налага хоспитализация в интензивно отделение. Незабавно трябва да се назначи глюкоза, ако е необходимо под формата на интравенозна инжекция 50 </w:t>
      </w:r>
      <w:r w:rsidRPr="007D6885">
        <w:rPr>
          <w:rFonts w:eastAsia="Times New Roman" w:cs="Arial"/>
          <w:color w:val="000000"/>
          <w:lang w:val="en-US"/>
        </w:rPr>
        <w:t xml:space="preserve">ml </w:t>
      </w:r>
      <w:r w:rsidRPr="007D6885">
        <w:rPr>
          <w:rFonts w:eastAsia="Times New Roman" w:cs="Arial"/>
          <w:color w:val="000000"/>
          <w:lang w:eastAsia="bg-BG"/>
        </w:rPr>
        <w:t xml:space="preserve">50%-ен разтвор, последвана от инфузия на 10%-ен разтвор </w:t>
      </w:r>
      <w:r w:rsidRPr="007D6885">
        <w:rPr>
          <w:rFonts w:eastAsia="Times New Roman" w:cs="Arial"/>
          <w:color w:val="000000"/>
          <w:lang w:eastAsia="bg-BG"/>
        </w:rPr>
        <w:lastRenderedPageBreak/>
        <w:t>при стриктно следене нивото на глюкозата в кръвта. По</w:t>
      </w:r>
      <w:r w:rsidRPr="007D6885">
        <w:rPr>
          <w:rFonts w:eastAsia="Times New Roman" w:cs="Arial"/>
          <w:color w:val="000000"/>
          <w:lang w:eastAsia="bg-BG"/>
        </w:rPr>
        <w:softHyphen/>
        <w:t>нататъшното лечение трябва да бъде симптоматично.</w:t>
      </w:r>
    </w:p>
    <w:p w14:paraId="62ADFC38" w14:textId="77777777" w:rsidR="007D6885" w:rsidRPr="007D6885" w:rsidRDefault="007D6885" w:rsidP="007D6885">
      <w:pPr>
        <w:rPr>
          <w:rFonts w:eastAsia="Times New Roman" w:cs="Arial"/>
          <w:color w:val="000000"/>
          <w:lang w:eastAsia="bg-BG"/>
        </w:rPr>
      </w:pPr>
    </w:p>
    <w:p w14:paraId="4448ECB4" w14:textId="5BA1A118" w:rsidR="007D6885" w:rsidRPr="007D6885" w:rsidRDefault="007D6885" w:rsidP="007D6885">
      <w:pPr>
        <w:rPr>
          <w:rFonts w:cs="Arial"/>
        </w:rPr>
      </w:pPr>
      <w:r w:rsidRPr="007D6885">
        <w:rPr>
          <w:rFonts w:eastAsia="Times New Roman" w:cs="Arial"/>
          <w:color w:val="000000"/>
          <w:lang w:eastAsia="bg-BG"/>
        </w:rPr>
        <w:t xml:space="preserve">В отделни случаи, когато се третира хипогликемия, получена поради случаен прием на Неоглим® (1, 2, 3, 4 </w:t>
      </w:r>
      <w:r w:rsidRPr="007D6885">
        <w:rPr>
          <w:rFonts w:eastAsia="Times New Roman" w:cs="Arial"/>
          <w:color w:val="000000"/>
          <w:lang w:val="en-US"/>
        </w:rPr>
        <w:t xml:space="preserve">mg) </w:t>
      </w:r>
      <w:r w:rsidRPr="007D6885">
        <w:rPr>
          <w:rFonts w:eastAsia="Times New Roman" w:cs="Arial"/>
          <w:color w:val="000000"/>
          <w:lang w:eastAsia="bg-BG"/>
        </w:rPr>
        <w:t>от малки деца, дозата на назначената глюкоза трябва да бъде внимателно контролирана, за да бъде избегната възможността от предизвикването на опасна хипергликемия. Кръвните нива на глюкозата трябва да бъдат стриктно проследявани.</w:t>
      </w:r>
    </w:p>
    <w:p w14:paraId="67C74E57" w14:textId="77777777" w:rsidR="007D6885" w:rsidRPr="0091385D" w:rsidRDefault="007D6885" w:rsidP="0091385D"/>
    <w:p w14:paraId="02081B24" w14:textId="7CE94171" w:rsidR="00395555" w:rsidRDefault="002C50EE" w:rsidP="008A6AF2">
      <w:pPr>
        <w:pStyle w:val="Heading1"/>
      </w:pPr>
      <w:r>
        <w:t>5. ФАРМАКОЛОГИЧНИ СВОЙСТВА</w:t>
      </w:r>
    </w:p>
    <w:p w14:paraId="1B8079C0" w14:textId="77777777" w:rsidR="0091385D" w:rsidRPr="0091385D" w:rsidRDefault="0091385D" w:rsidP="0091385D"/>
    <w:p w14:paraId="32B6DE66" w14:textId="2ACB6B3B" w:rsidR="00CF77F7" w:rsidRDefault="002C50EE" w:rsidP="004A448E">
      <w:pPr>
        <w:pStyle w:val="Heading2"/>
      </w:pPr>
      <w:r>
        <w:t>5.1. Фармакодинамични свойства</w:t>
      </w:r>
    </w:p>
    <w:p w14:paraId="58DD7DEA" w14:textId="44345EC9" w:rsidR="0091385D" w:rsidRDefault="0091385D" w:rsidP="0091385D"/>
    <w:p w14:paraId="5066A44B" w14:textId="77777777"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Фармакотерапевтична група: Перорални глюкозо-намаляващи лекарства: Сулфонамиди, производни на уреята. АТС код: А10ВВ12.</w:t>
      </w:r>
    </w:p>
    <w:p w14:paraId="11E05CF4" w14:textId="77777777" w:rsidR="007D6885" w:rsidRPr="007D6885" w:rsidRDefault="007D6885" w:rsidP="007D6885">
      <w:pPr>
        <w:spacing w:line="240" w:lineRule="auto"/>
        <w:rPr>
          <w:rFonts w:eastAsia="Times New Roman" w:cs="Arial"/>
          <w:color w:val="000000"/>
          <w:lang w:val="en-US"/>
        </w:rPr>
      </w:pPr>
    </w:p>
    <w:p w14:paraId="0CB99F7A" w14:textId="0279B34E"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val="en-US"/>
        </w:rPr>
        <w:t xml:space="preserve">Glimepiride </w:t>
      </w:r>
      <w:r w:rsidRPr="007D6885">
        <w:rPr>
          <w:rFonts w:eastAsia="Times New Roman" w:cs="Arial"/>
          <w:color w:val="000000"/>
          <w:lang w:eastAsia="bg-BG"/>
        </w:rPr>
        <w:t xml:space="preserve">е перорално активно хипогликемично вещество, принадлежащо към групата на сулфанилуреята. Може да бъде използвано за лечение на не- инсулинозависим </w:t>
      </w:r>
      <w:r w:rsidRPr="007D6885">
        <w:rPr>
          <w:rFonts w:eastAsia="Times New Roman" w:cs="Arial"/>
          <w:color w:val="000000"/>
          <w:lang w:val="en-US"/>
        </w:rPr>
        <w:t>diabetes mellitus.</w:t>
      </w:r>
    </w:p>
    <w:p w14:paraId="1E318B6B" w14:textId="77777777" w:rsidR="007D6885" w:rsidRPr="007D6885" w:rsidRDefault="007D6885" w:rsidP="007D6885">
      <w:pPr>
        <w:spacing w:line="240" w:lineRule="auto"/>
        <w:rPr>
          <w:rFonts w:eastAsia="Times New Roman" w:cs="Arial"/>
          <w:color w:val="000000"/>
          <w:lang w:val="en-US"/>
        </w:rPr>
      </w:pPr>
    </w:p>
    <w:p w14:paraId="4827B0B6" w14:textId="675AB729"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val="en-US"/>
        </w:rPr>
        <w:t xml:space="preserve">Glimepiride </w:t>
      </w:r>
      <w:r w:rsidRPr="007D6885">
        <w:rPr>
          <w:rFonts w:eastAsia="Times New Roman" w:cs="Arial"/>
          <w:color w:val="000000"/>
          <w:lang w:eastAsia="bg-BG"/>
        </w:rPr>
        <w:t>действа главно чрез стимулиране на инсулиновото освобождаване от бета- клетките на панкреаса.</w:t>
      </w:r>
    </w:p>
    <w:p w14:paraId="39BA8BAE" w14:textId="77777777" w:rsidR="007D6885" w:rsidRPr="007D6885" w:rsidRDefault="007D6885" w:rsidP="007D6885">
      <w:pPr>
        <w:spacing w:line="240" w:lineRule="auto"/>
        <w:rPr>
          <w:rFonts w:eastAsia="Times New Roman" w:cs="Arial"/>
          <w:color w:val="000000"/>
          <w:lang w:eastAsia="bg-BG"/>
        </w:rPr>
      </w:pPr>
    </w:p>
    <w:p w14:paraId="35B30218" w14:textId="6DBE5472"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Както и при други сулфанилурейни производни, този ефект се базира на увеличената способност за отговор на бета-клетките към физиологичния глюкозен стимул.</w:t>
      </w:r>
    </w:p>
    <w:p w14:paraId="007CC024" w14:textId="77777777" w:rsidR="007D6885" w:rsidRPr="007D6885" w:rsidRDefault="007D6885" w:rsidP="007D6885">
      <w:pPr>
        <w:spacing w:line="240" w:lineRule="auto"/>
        <w:rPr>
          <w:rFonts w:eastAsia="Times New Roman" w:cs="Arial"/>
          <w:b/>
          <w:bCs/>
          <w:color w:val="000000"/>
          <w:u w:val="single"/>
          <w:lang w:eastAsia="bg-BG"/>
        </w:rPr>
      </w:pPr>
    </w:p>
    <w:p w14:paraId="2F64339A" w14:textId="448D6C33" w:rsidR="007D6885" w:rsidRPr="007D6885" w:rsidRDefault="007D6885" w:rsidP="007D6885">
      <w:pPr>
        <w:spacing w:line="240" w:lineRule="auto"/>
        <w:rPr>
          <w:rFonts w:eastAsia="Times New Roman" w:cs="Arial"/>
          <w:sz w:val="24"/>
          <w:szCs w:val="24"/>
          <w:lang w:eastAsia="bg-BG"/>
        </w:rPr>
      </w:pPr>
      <w:r w:rsidRPr="007D6885">
        <w:rPr>
          <w:rFonts w:eastAsia="Times New Roman" w:cs="Arial"/>
          <w:b/>
          <w:bCs/>
          <w:color w:val="000000"/>
          <w:u w:val="single"/>
          <w:lang w:eastAsia="bg-BG"/>
        </w:rPr>
        <w:t>Инсулиново освобождаване:</w:t>
      </w:r>
    </w:p>
    <w:p w14:paraId="5AAA2042" w14:textId="77777777" w:rsidR="007D6885" w:rsidRPr="007D6885" w:rsidRDefault="007D6885" w:rsidP="007D6885">
      <w:pPr>
        <w:spacing w:line="240" w:lineRule="auto"/>
        <w:rPr>
          <w:rFonts w:eastAsia="Times New Roman" w:cs="Arial"/>
          <w:color w:val="000000"/>
          <w:lang w:eastAsia="bg-BG"/>
        </w:rPr>
      </w:pPr>
    </w:p>
    <w:p w14:paraId="321C6F77" w14:textId="4CE3CFDD"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Сулфанилурейните препарати регулират инсулиновата секреция посредством затваряне на АТФ-чувствителните калиеви канали в мемраната на бета-клетките. Това от своя страна предизвиква деполяризация на бета-клетките, в резултат на което - чрез отваряне на калциевите канали - се стига до увеличен инфлукс на калций в клетката.</w:t>
      </w:r>
    </w:p>
    <w:p w14:paraId="7FFCDB10" w14:textId="77777777" w:rsidR="007D6885" w:rsidRPr="007D6885" w:rsidRDefault="007D6885" w:rsidP="007D6885">
      <w:pPr>
        <w:spacing w:line="240" w:lineRule="auto"/>
        <w:rPr>
          <w:rFonts w:eastAsia="Times New Roman" w:cs="Arial"/>
          <w:color w:val="000000"/>
          <w:lang w:eastAsia="bg-BG"/>
        </w:rPr>
      </w:pPr>
    </w:p>
    <w:p w14:paraId="07ECFDE1" w14:textId="4BA47A83"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Това води до инсулиново освобождаване посредством екзоцитоза.</w:t>
      </w:r>
    </w:p>
    <w:p w14:paraId="481D5657" w14:textId="77777777" w:rsidR="007D6885" w:rsidRPr="007D6885" w:rsidRDefault="007D6885" w:rsidP="007D6885">
      <w:pPr>
        <w:spacing w:line="240" w:lineRule="auto"/>
        <w:rPr>
          <w:rFonts w:eastAsia="Times New Roman" w:cs="Arial"/>
          <w:color w:val="000000"/>
          <w:lang w:val="en-US"/>
        </w:rPr>
      </w:pPr>
    </w:p>
    <w:p w14:paraId="29D44574" w14:textId="226CEF19"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val="en-US"/>
        </w:rPr>
        <w:t xml:space="preserve">Glimepiride </w:t>
      </w:r>
      <w:r w:rsidRPr="007D6885">
        <w:rPr>
          <w:rFonts w:eastAsia="Times New Roman" w:cs="Arial"/>
          <w:color w:val="000000"/>
          <w:lang w:eastAsia="bg-BG"/>
        </w:rPr>
        <w:t>се свързва високообменно с мембранния протеин на бета-клетката, асоцииран с АТФ-чувствителния калиев канал, като трябва да се има предвид, че това място на свързване е различно от обичайното такова.</w:t>
      </w:r>
    </w:p>
    <w:p w14:paraId="3F7864A9" w14:textId="77777777" w:rsidR="007D6885" w:rsidRPr="007D6885" w:rsidRDefault="007D6885" w:rsidP="007D6885">
      <w:pPr>
        <w:spacing w:line="240" w:lineRule="auto"/>
        <w:rPr>
          <w:rFonts w:eastAsia="Times New Roman" w:cs="Arial"/>
          <w:b/>
          <w:bCs/>
          <w:color w:val="000000"/>
          <w:u w:val="single"/>
          <w:lang w:eastAsia="bg-BG"/>
        </w:rPr>
      </w:pPr>
    </w:p>
    <w:p w14:paraId="4F794D21" w14:textId="288633A7" w:rsidR="007D6885" w:rsidRPr="007D6885" w:rsidRDefault="007D6885" w:rsidP="007D6885">
      <w:pPr>
        <w:spacing w:line="240" w:lineRule="auto"/>
        <w:rPr>
          <w:rFonts w:eastAsia="Times New Roman" w:cs="Arial"/>
          <w:sz w:val="24"/>
          <w:szCs w:val="24"/>
          <w:lang w:eastAsia="bg-BG"/>
        </w:rPr>
      </w:pPr>
      <w:r w:rsidRPr="007D6885">
        <w:rPr>
          <w:rFonts w:eastAsia="Times New Roman" w:cs="Arial"/>
          <w:b/>
          <w:bCs/>
          <w:color w:val="000000"/>
          <w:u w:val="single"/>
          <w:lang w:eastAsia="bg-BG"/>
        </w:rPr>
        <w:t>Екстрапанкреатична активност:</w:t>
      </w:r>
    </w:p>
    <w:p w14:paraId="75531419" w14:textId="77777777" w:rsidR="007D6885" w:rsidRPr="007D6885" w:rsidRDefault="007D6885" w:rsidP="007D6885">
      <w:pPr>
        <w:spacing w:line="240" w:lineRule="auto"/>
        <w:rPr>
          <w:rFonts w:eastAsia="Times New Roman" w:cs="Arial"/>
          <w:color w:val="000000"/>
          <w:lang w:eastAsia="bg-BG"/>
        </w:rPr>
      </w:pPr>
    </w:p>
    <w:p w14:paraId="7B90CA98" w14:textId="08BA7CD1"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Екстрапанкреатични ефекти са например подобрението на чувствителността на периферната тъкан към инсулин и намаляването на инсулиновия ъптейк от черния Дроб.</w:t>
      </w:r>
    </w:p>
    <w:p w14:paraId="7CB920BA" w14:textId="77777777" w:rsidR="007D6885" w:rsidRPr="007D6885" w:rsidRDefault="007D6885" w:rsidP="007D6885">
      <w:pPr>
        <w:spacing w:line="240" w:lineRule="auto"/>
        <w:rPr>
          <w:rFonts w:eastAsia="Times New Roman" w:cs="Arial"/>
          <w:sz w:val="24"/>
          <w:szCs w:val="24"/>
          <w:lang w:eastAsia="bg-BG"/>
        </w:rPr>
      </w:pPr>
    </w:p>
    <w:p w14:paraId="4DF5E4FB" w14:textId="77777777" w:rsidR="007D6885" w:rsidRPr="007D6885" w:rsidRDefault="007D6885" w:rsidP="007D6885">
      <w:pPr>
        <w:rPr>
          <w:rFonts w:eastAsia="Times New Roman" w:cs="Arial"/>
          <w:sz w:val="24"/>
          <w:szCs w:val="24"/>
          <w:lang w:eastAsia="bg-BG"/>
        </w:rPr>
      </w:pPr>
      <w:r w:rsidRPr="007D6885">
        <w:rPr>
          <w:rFonts w:eastAsia="Times New Roman" w:cs="Arial"/>
          <w:color w:val="000000"/>
          <w:lang w:eastAsia="bg-BG"/>
        </w:rPr>
        <w:t xml:space="preserve">Захващането на глюкоза от кръвта в периферните мускули и мастната тъкан </w:t>
      </w:r>
      <w:r w:rsidRPr="007D6885">
        <w:rPr>
          <w:rFonts w:eastAsia="Times New Roman" w:cs="Arial"/>
          <w:color w:val="000000"/>
          <w:lang w:val="en-US"/>
        </w:rPr>
        <w:t>c</w:t>
      </w:r>
      <w:r w:rsidRPr="007D6885">
        <w:rPr>
          <w:rFonts w:eastAsia="Times New Roman" w:cs="Arial"/>
          <w:color w:val="000000"/>
          <w:lang w:eastAsia="bg-BG"/>
        </w:rPr>
        <w:t>тава посредством специални транспортни протеини, локализирани в клетъчната мембрана Транспортът на глюкоза в тези тъкани е скорост-лимитиращата стъпка в използването</w:t>
      </w:r>
      <w:r w:rsidRPr="007D6885">
        <w:rPr>
          <w:rFonts w:eastAsia="Times New Roman" w:cs="Arial"/>
          <w:smallCaps/>
          <w:color w:val="000000"/>
          <w:lang w:eastAsia="bg-BG"/>
        </w:rPr>
        <w:t xml:space="preserve"> </w:t>
      </w:r>
      <w:r w:rsidRPr="007D6885">
        <w:rPr>
          <w:rFonts w:eastAsia="Times New Roman" w:cs="Arial"/>
          <w:color w:val="000000"/>
          <w:lang w:eastAsia="bg-BG"/>
        </w:rPr>
        <w:t xml:space="preserve">на глюкозата. </w:t>
      </w:r>
      <w:r w:rsidRPr="007D6885">
        <w:rPr>
          <w:rFonts w:eastAsia="Times New Roman" w:cs="Arial"/>
          <w:color w:val="000000"/>
          <w:lang w:val="en-US"/>
        </w:rPr>
        <w:t xml:space="preserve">Glimepiride </w:t>
      </w:r>
      <w:r w:rsidRPr="007D6885">
        <w:rPr>
          <w:rFonts w:eastAsia="Times New Roman" w:cs="Arial"/>
          <w:color w:val="000000"/>
          <w:lang w:eastAsia="bg-BG"/>
        </w:rPr>
        <w:t>увеличава много бързо броя на активни глюкозни</w:t>
      </w:r>
      <w:r w:rsidRPr="007D6885">
        <w:rPr>
          <w:rFonts w:eastAsia="Times New Roman" w:cs="Arial"/>
          <w:color w:val="000000"/>
          <w:lang w:val="en-US" w:eastAsia="bg-BG"/>
        </w:rPr>
        <w:t xml:space="preserve"> </w:t>
      </w:r>
      <w:r w:rsidRPr="007D6885">
        <w:rPr>
          <w:rFonts w:eastAsia="Times New Roman" w:cs="Arial"/>
          <w:color w:val="000000"/>
          <w:lang w:eastAsia="bg-BG"/>
        </w:rPr>
        <w:t xml:space="preserve">транспортни </w:t>
      </w:r>
      <w:r w:rsidRPr="007D6885">
        <w:rPr>
          <w:rFonts w:eastAsia="Times New Roman" w:cs="Arial"/>
          <w:color w:val="000000"/>
          <w:lang w:eastAsia="bg-BG"/>
        </w:rPr>
        <w:lastRenderedPageBreak/>
        <w:t>молекули в плазмените мембрани на мускулните и мастните клетки, което води до стимулиране на глюкозния ъптейк.</w:t>
      </w:r>
    </w:p>
    <w:p w14:paraId="5BB0CB7F" w14:textId="77777777" w:rsidR="007D6885" w:rsidRPr="007D6885" w:rsidRDefault="007D6885" w:rsidP="007D6885">
      <w:pPr>
        <w:spacing w:line="240" w:lineRule="auto"/>
        <w:rPr>
          <w:rFonts w:eastAsia="Times New Roman" w:cs="Arial"/>
          <w:color w:val="000000"/>
          <w:lang w:val="en-US"/>
        </w:rPr>
      </w:pPr>
    </w:p>
    <w:p w14:paraId="6D5E4DF1" w14:textId="49945C96"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val="en-US"/>
        </w:rPr>
        <w:t xml:space="preserve">Glimepiride </w:t>
      </w:r>
      <w:r w:rsidRPr="007D6885">
        <w:rPr>
          <w:rFonts w:eastAsia="Times New Roman" w:cs="Arial"/>
          <w:color w:val="000000"/>
          <w:lang w:eastAsia="bg-BG"/>
        </w:rPr>
        <w:t>увеличава активността на глюкозил-фосфатидилинозитол-специфичната фосфолипаза С, която може да бъде свързана с лекарствено-индуцираната липогенеза и гликогенеза в изолирани мастни и мускулни клетки.</w:t>
      </w:r>
    </w:p>
    <w:p w14:paraId="4AB2D4A3" w14:textId="77777777" w:rsidR="007D6885" w:rsidRPr="007D6885" w:rsidRDefault="007D6885" w:rsidP="007D6885">
      <w:pPr>
        <w:spacing w:line="240" w:lineRule="auto"/>
        <w:rPr>
          <w:rFonts w:eastAsia="Times New Roman" w:cs="Arial"/>
          <w:color w:val="000000"/>
          <w:lang w:val="en-US"/>
        </w:rPr>
      </w:pPr>
    </w:p>
    <w:p w14:paraId="55E111CF" w14:textId="11D8F16E"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val="en-US"/>
        </w:rPr>
        <w:t xml:space="preserve">Glimepiride </w:t>
      </w:r>
      <w:r w:rsidRPr="007D6885">
        <w:rPr>
          <w:rFonts w:eastAsia="Times New Roman" w:cs="Arial"/>
          <w:color w:val="000000"/>
          <w:lang w:eastAsia="bg-BG"/>
        </w:rPr>
        <w:t>инхибира произвеждането на глюкоза в черния дроб посредством увеличаване на вътреклетъчната концентрация на фруктозо-2</w:t>
      </w:r>
      <w:proofErr w:type="gramStart"/>
      <w:r w:rsidRPr="007D6885">
        <w:rPr>
          <w:rFonts w:eastAsia="Times New Roman" w:cs="Arial"/>
          <w:color w:val="000000"/>
          <w:lang w:eastAsia="bg-BG"/>
        </w:rPr>
        <w:t>,6</w:t>
      </w:r>
      <w:proofErr w:type="gramEnd"/>
      <w:r w:rsidRPr="007D6885">
        <w:rPr>
          <w:rFonts w:eastAsia="Times New Roman" w:cs="Arial"/>
          <w:color w:val="000000"/>
          <w:lang w:eastAsia="bg-BG"/>
        </w:rPr>
        <w:t>-бифосфат, който на свой ред инхибира глюконеогенезата.</w:t>
      </w:r>
    </w:p>
    <w:p w14:paraId="2900F253" w14:textId="77777777" w:rsidR="007D6885" w:rsidRPr="007D6885" w:rsidRDefault="007D6885" w:rsidP="007D6885">
      <w:pPr>
        <w:spacing w:line="240" w:lineRule="auto"/>
        <w:rPr>
          <w:rFonts w:eastAsia="Times New Roman" w:cs="Arial"/>
          <w:b/>
          <w:bCs/>
          <w:color w:val="000000"/>
          <w:u w:val="single"/>
          <w:lang w:eastAsia="bg-BG"/>
        </w:rPr>
      </w:pPr>
    </w:p>
    <w:p w14:paraId="36750465" w14:textId="287B9B48" w:rsidR="007D6885" w:rsidRPr="007D6885" w:rsidRDefault="007D6885" w:rsidP="007D6885">
      <w:pPr>
        <w:spacing w:line="240" w:lineRule="auto"/>
        <w:rPr>
          <w:rFonts w:eastAsia="Times New Roman" w:cs="Arial"/>
          <w:sz w:val="24"/>
          <w:szCs w:val="24"/>
          <w:lang w:eastAsia="bg-BG"/>
        </w:rPr>
      </w:pPr>
      <w:r w:rsidRPr="007D6885">
        <w:rPr>
          <w:rFonts w:eastAsia="Times New Roman" w:cs="Arial"/>
          <w:b/>
          <w:bCs/>
          <w:color w:val="000000"/>
          <w:u w:val="single"/>
          <w:lang w:eastAsia="bg-BG"/>
        </w:rPr>
        <w:t>Общо</w:t>
      </w:r>
    </w:p>
    <w:p w14:paraId="0797B790" w14:textId="77777777" w:rsidR="007D6885" w:rsidRPr="007D6885" w:rsidRDefault="007D6885" w:rsidP="007D6885">
      <w:pPr>
        <w:spacing w:line="240" w:lineRule="auto"/>
        <w:rPr>
          <w:rFonts w:eastAsia="Times New Roman" w:cs="Arial"/>
          <w:color w:val="000000"/>
          <w:lang w:eastAsia="bg-BG"/>
        </w:rPr>
      </w:pPr>
    </w:p>
    <w:p w14:paraId="42367A7F" w14:textId="7F8760C1"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 xml:space="preserve">При здрави хора минималната ефикасна перорална доза е около 0.6 </w:t>
      </w:r>
      <w:r w:rsidRPr="007D6885">
        <w:rPr>
          <w:rFonts w:eastAsia="Times New Roman" w:cs="Arial"/>
          <w:color w:val="000000"/>
          <w:lang w:val="en-US"/>
        </w:rPr>
        <w:t xml:space="preserve">mg. </w:t>
      </w:r>
      <w:r w:rsidRPr="007D6885">
        <w:rPr>
          <w:rFonts w:eastAsia="Times New Roman" w:cs="Arial"/>
          <w:color w:val="000000"/>
          <w:lang w:eastAsia="bg-BG"/>
        </w:rPr>
        <w:t xml:space="preserve">Ефектът на </w:t>
      </w:r>
      <w:r w:rsidRPr="007D6885">
        <w:rPr>
          <w:rFonts w:eastAsia="Times New Roman" w:cs="Arial"/>
          <w:color w:val="000000"/>
          <w:lang w:val="en-US"/>
        </w:rPr>
        <w:t xml:space="preserve">glimepiride </w:t>
      </w:r>
      <w:r w:rsidRPr="007D6885">
        <w:rPr>
          <w:rFonts w:eastAsia="Times New Roman" w:cs="Arial"/>
          <w:color w:val="000000"/>
          <w:lang w:eastAsia="bg-BG"/>
        </w:rPr>
        <w:t>е дозо-зависим и възпроизводим. Физиологичният отговор на интензивни физически упражнения, намаляването на инсулиновата секреция, все още присъства под действието на глимепирид.</w:t>
      </w:r>
    </w:p>
    <w:p w14:paraId="111FF181" w14:textId="77777777" w:rsidR="007D6885" w:rsidRPr="007D6885" w:rsidRDefault="007D6885" w:rsidP="007D6885">
      <w:pPr>
        <w:spacing w:line="240" w:lineRule="auto"/>
        <w:rPr>
          <w:rFonts w:eastAsia="Times New Roman" w:cs="Arial"/>
          <w:color w:val="000000"/>
          <w:lang w:eastAsia="bg-BG"/>
        </w:rPr>
      </w:pPr>
    </w:p>
    <w:p w14:paraId="3F0631E1" w14:textId="6269D512"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Не съществува значителна разлика в ефекта, независимо от това дали лекарството е прието 30 минути или непосредствено преди хранене. Добър метаболитен контрол в рамките на 24 часа може да бъде постигнат с една единствена дневна доза.</w:t>
      </w:r>
    </w:p>
    <w:p w14:paraId="21C0E113" w14:textId="77777777" w:rsidR="007D6885" w:rsidRPr="007D6885" w:rsidRDefault="007D6885" w:rsidP="007D6885">
      <w:pPr>
        <w:spacing w:line="240" w:lineRule="auto"/>
        <w:rPr>
          <w:rFonts w:eastAsia="Times New Roman" w:cs="Arial"/>
          <w:color w:val="000000"/>
          <w:lang w:eastAsia="bg-BG"/>
        </w:rPr>
      </w:pPr>
    </w:p>
    <w:p w14:paraId="6BB4531C" w14:textId="245D1379"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 xml:space="preserve">Въпреки че хидрокси-метаболитът на </w:t>
      </w:r>
      <w:r w:rsidRPr="007D6885">
        <w:rPr>
          <w:rFonts w:eastAsia="Times New Roman" w:cs="Arial"/>
          <w:color w:val="000000"/>
          <w:lang w:val="en-US"/>
        </w:rPr>
        <w:t xml:space="preserve">glimepiride </w:t>
      </w:r>
      <w:r w:rsidRPr="007D6885">
        <w:rPr>
          <w:rFonts w:eastAsia="Times New Roman" w:cs="Arial"/>
          <w:color w:val="000000"/>
          <w:lang w:eastAsia="bg-BG"/>
        </w:rPr>
        <w:t>причинява малко, но значително намаляване нивото на серумната глюкоза при здрави хора, той отговаря само за малка част от общия ефект на лекарствения продукт.</w:t>
      </w:r>
    </w:p>
    <w:p w14:paraId="0BA64B06" w14:textId="77777777" w:rsidR="007D6885" w:rsidRPr="007D6885" w:rsidRDefault="007D6885" w:rsidP="007D6885">
      <w:pPr>
        <w:spacing w:line="240" w:lineRule="auto"/>
        <w:rPr>
          <w:rFonts w:eastAsia="Times New Roman" w:cs="Arial"/>
          <w:b/>
          <w:bCs/>
          <w:color w:val="000000"/>
          <w:u w:val="single"/>
          <w:lang w:eastAsia="bg-BG"/>
        </w:rPr>
      </w:pPr>
    </w:p>
    <w:p w14:paraId="7FE55939" w14:textId="11808CCD" w:rsidR="007D6885" w:rsidRPr="007D6885" w:rsidRDefault="007D6885" w:rsidP="007D6885">
      <w:pPr>
        <w:spacing w:line="240" w:lineRule="auto"/>
        <w:rPr>
          <w:rFonts w:eastAsia="Times New Roman" w:cs="Arial"/>
          <w:sz w:val="24"/>
          <w:szCs w:val="24"/>
          <w:lang w:eastAsia="bg-BG"/>
        </w:rPr>
      </w:pPr>
      <w:r w:rsidRPr="007D6885">
        <w:rPr>
          <w:rFonts w:eastAsia="Times New Roman" w:cs="Arial"/>
          <w:b/>
          <w:bCs/>
          <w:color w:val="000000"/>
          <w:u w:val="single"/>
          <w:lang w:eastAsia="bg-BG"/>
        </w:rPr>
        <w:t xml:space="preserve">Комбинирана терапия с </w:t>
      </w:r>
      <w:r w:rsidRPr="007D6885">
        <w:rPr>
          <w:rFonts w:eastAsia="Times New Roman" w:cs="Arial"/>
          <w:b/>
          <w:bCs/>
          <w:color w:val="000000"/>
          <w:u w:val="single"/>
          <w:lang w:val="en-US"/>
        </w:rPr>
        <w:t>metformin</w:t>
      </w:r>
    </w:p>
    <w:p w14:paraId="65B499B3" w14:textId="77777777" w:rsidR="007D6885" w:rsidRPr="007D6885" w:rsidRDefault="007D6885" w:rsidP="007D6885">
      <w:pPr>
        <w:spacing w:line="240" w:lineRule="auto"/>
        <w:rPr>
          <w:rFonts w:eastAsia="Times New Roman" w:cs="Arial"/>
          <w:color w:val="000000"/>
          <w:lang w:eastAsia="bg-BG"/>
        </w:rPr>
      </w:pPr>
    </w:p>
    <w:p w14:paraId="1C9CC9E2" w14:textId="08CAC357"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 xml:space="preserve">Както показва едно проучване, при пациенти, неадекватно контролирани с максимална дневна доза </w:t>
      </w:r>
      <w:r w:rsidRPr="007D6885">
        <w:rPr>
          <w:rFonts w:eastAsia="Times New Roman" w:cs="Arial"/>
          <w:color w:val="000000"/>
          <w:lang w:val="en-US"/>
        </w:rPr>
        <w:t xml:space="preserve">metformin, </w:t>
      </w:r>
      <w:r w:rsidRPr="007D6885">
        <w:rPr>
          <w:rFonts w:eastAsia="Times New Roman" w:cs="Arial"/>
          <w:color w:val="000000"/>
          <w:lang w:eastAsia="bg-BG"/>
        </w:rPr>
        <w:t xml:space="preserve">се наблюдава подобрен метаболитен контрол при съвместна терапия с </w:t>
      </w:r>
      <w:r w:rsidRPr="007D6885">
        <w:rPr>
          <w:rFonts w:eastAsia="Times New Roman" w:cs="Arial"/>
          <w:color w:val="000000"/>
          <w:lang w:val="en-US"/>
        </w:rPr>
        <w:t>glimepiride.</w:t>
      </w:r>
    </w:p>
    <w:p w14:paraId="5515672F" w14:textId="77777777" w:rsidR="007D6885" w:rsidRPr="007D6885" w:rsidRDefault="007D6885" w:rsidP="007D6885">
      <w:pPr>
        <w:spacing w:line="240" w:lineRule="auto"/>
        <w:rPr>
          <w:rFonts w:eastAsia="Times New Roman" w:cs="Arial"/>
          <w:b/>
          <w:bCs/>
          <w:color w:val="000000"/>
          <w:u w:val="single"/>
          <w:lang w:eastAsia="bg-BG"/>
        </w:rPr>
      </w:pPr>
    </w:p>
    <w:p w14:paraId="45F9A56A" w14:textId="0598E1A7" w:rsidR="007D6885" w:rsidRPr="007D6885" w:rsidRDefault="007D6885" w:rsidP="007D6885">
      <w:pPr>
        <w:spacing w:line="240" w:lineRule="auto"/>
        <w:rPr>
          <w:rFonts w:eastAsia="Times New Roman" w:cs="Arial"/>
          <w:sz w:val="24"/>
          <w:szCs w:val="24"/>
          <w:lang w:eastAsia="bg-BG"/>
        </w:rPr>
      </w:pPr>
      <w:r w:rsidRPr="007D6885">
        <w:rPr>
          <w:rFonts w:eastAsia="Times New Roman" w:cs="Arial"/>
          <w:b/>
          <w:bCs/>
          <w:color w:val="000000"/>
          <w:u w:val="single"/>
          <w:lang w:eastAsia="bg-BG"/>
        </w:rPr>
        <w:t>Комбинирана терапия с инсулин</w:t>
      </w:r>
    </w:p>
    <w:p w14:paraId="59AA4F36" w14:textId="77777777" w:rsidR="007D6885" w:rsidRPr="007D6885" w:rsidRDefault="007D6885" w:rsidP="007D6885">
      <w:pPr>
        <w:rPr>
          <w:rFonts w:eastAsia="Times New Roman" w:cs="Arial"/>
          <w:color w:val="000000"/>
          <w:lang w:eastAsia="bg-BG"/>
        </w:rPr>
      </w:pPr>
    </w:p>
    <w:p w14:paraId="28252AA0" w14:textId="25174550" w:rsidR="0091385D" w:rsidRPr="007D6885" w:rsidRDefault="007D6885" w:rsidP="007D6885">
      <w:pPr>
        <w:rPr>
          <w:rFonts w:cs="Arial"/>
          <w:lang w:val="en-US"/>
        </w:rPr>
      </w:pPr>
      <w:r w:rsidRPr="007D6885">
        <w:rPr>
          <w:rFonts w:eastAsia="Times New Roman" w:cs="Arial"/>
          <w:color w:val="000000"/>
          <w:lang w:eastAsia="bg-BG"/>
        </w:rPr>
        <w:t xml:space="preserve">Данните за комбинирана терапия с инсулин са ограничени. При пациенти, неадекватно контролирани с максимална доза </w:t>
      </w:r>
      <w:r w:rsidRPr="007D6885">
        <w:rPr>
          <w:rFonts w:eastAsia="Times New Roman" w:cs="Arial"/>
          <w:color w:val="000000"/>
          <w:lang w:val="en-US"/>
        </w:rPr>
        <w:t xml:space="preserve">glimepiride, </w:t>
      </w:r>
      <w:r w:rsidRPr="007D6885">
        <w:rPr>
          <w:rFonts w:eastAsia="Times New Roman" w:cs="Arial"/>
          <w:color w:val="000000"/>
          <w:lang w:eastAsia="bg-BG"/>
        </w:rPr>
        <w:t>може да се започне съвместна терапия с инсулин. В две отделни проучвания с комбинацията се постига същото подобрение в метаболитния контрол, както при самостоятелното приложение на инсулин.При комбинираната терапия обаче се изисква по-ниска средна доза инсулин.</w:t>
      </w:r>
    </w:p>
    <w:p w14:paraId="36152471" w14:textId="77777777" w:rsidR="0091385D" w:rsidRPr="0091385D" w:rsidRDefault="0091385D" w:rsidP="0091385D"/>
    <w:p w14:paraId="35F84B81" w14:textId="6423E5BB" w:rsidR="00CF77F7" w:rsidRDefault="002C50EE" w:rsidP="004A448E">
      <w:pPr>
        <w:pStyle w:val="Heading2"/>
      </w:pPr>
      <w:r>
        <w:t>5.2. Фармакокинетични свойства</w:t>
      </w:r>
    </w:p>
    <w:p w14:paraId="5031193D" w14:textId="06A21EFE" w:rsidR="0091385D" w:rsidRDefault="0091385D" w:rsidP="0091385D"/>
    <w:p w14:paraId="284E9C81" w14:textId="77777777" w:rsidR="007D6885" w:rsidRDefault="007D6885" w:rsidP="007D6885">
      <w:r w:rsidRPr="007D6885">
        <w:rPr>
          <w:rStyle w:val="Heading3Char"/>
          <w:u w:val="single"/>
        </w:rPr>
        <w:t>Абсорбция:</w:t>
      </w:r>
      <w:r>
        <w:rPr>
          <w:b/>
          <w:bCs/>
        </w:rPr>
        <w:t xml:space="preserve"> </w:t>
      </w:r>
      <w:r>
        <w:t xml:space="preserve">Бионаличността на </w:t>
      </w:r>
      <w:r>
        <w:rPr>
          <w:lang w:val="en-US"/>
        </w:rPr>
        <w:t xml:space="preserve">glimepiride </w:t>
      </w:r>
      <w:r>
        <w:t xml:space="preserve">след орално приложение е пълна. Приемът на храна има съществено влияние върху нивото на абсорбцията. Максимални серумни концентрации (С </w:t>
      </w:r>
      <w:r>
        <w:rPr>
          <w:lang w:val="en-US"/>
        </w:rPr>
        <w:t xml:space="preserve">max) </w:t>
      </w:r>
      <w:r>
        <w:t xml:space="preserve">се достигат приблизително 2,5 часа след оралния прием (или 0.3 </w:t>
      </w:r>
      <w:r>
        <w:rPr>
          <w:lang w:val="en-US"/>
        </w:rPr>
        <w:t xml:space="preserve">mcg/ml </w:t>
      </w:r>
      <w:r>
        <w:t xml:space="preserve">по време на многократно дозиране на 4 </w:t>
      </w:r>
      <w:r>
        <w:rPr>
          <w:lang w:val="en-US"/>
        </w:rPr>
        <w:t xml:space="preserve">mg </w:t>
      </w:r>
      <w:r>
        <w:t xml:space="preserve">дневно) и е налице линейна зависимост както между дозата и С </w:t>
      </w:r>
      <w:r>
        <w:rPr>
          <w:lang w:val="en-US"/>
        </w:rPr>
        <w:t xml:space="preserve">max, </w:t>
      </w:r>
      <w:r>
        <w:t xml:space="preserve">така и между дозата и </w:t>
      </w:r>
      <w:r>
        <w:rPr>
          <w:lang w:val="en-US"/>
        </w:rPr>
        <w:t xml:space="preserve">AUC </w:t>
      </w:r>
      <w:r>
        <w:t>(площта под кривата време/концентрация).</w:t>
      </w:r>
    </w:p>
    <w:p w14:paraId="7CE75130" w14:textId="77777777" w:rsidR="007D6885" w:rsidRDefault="007D6885" w:rsidP="007D6885">
      <w:pPr>
        <w:rPr>
          <w:b/>
          <w:bCs/>
        </w:rPr>
      </w:pPr>
    </w:p>
    <w:p w14:paraId="6AD6DAC6" w14:textId="768F922A" w:rsidR="007D6885" w:rsidRDefault="007D6885" w:rsidP="007D6885">
      <w:r w:rsidRPr="007D6885">
        <w:rPr>
          <w:rStyle w:val="Heading3Char"/>
          <w:u w:val="single"/>
        </w:rPr>
        <w:lastRenderedPageBreak/>
        <w:t>Разпределение:</w:t>
      </w:r>
      <w:r>
        <w:rPr>
          <w:b/>
          <w:bCs/>
        </w:rPr>
        <w:t xml:space="preserve"> </w:t>
      </w:r>
      <w:r>
        <w:rPr>
          <w:lang w:val="en-US"/>
        </w:rPr>
        <w:t xml:space="preserve">Glimepiride </w:t>
      </w:r>
      <w:r>
        <w:t xml:space="preserve">има много нисък обем на разпределение (приблизително 8.8 литра), който е горе-долу равен на албуминовия разпределителен обем, високо протеиново свързване (&gt; 99%) и нисък клирънс (прибл. 48 </w:t>
      </w:r>
      <w:r>
        <w:rPr>
          <w:lang w:val="en-US"/>
        </w:rPr>
        <w:t>ml/min).</w:t>
      </w:r>
    </w:p>
    <w:p w14:paraId="34F0F092" w14:textId="77777777" w:rsidR="007D6885" w:rsidRDefault="007D6885" w:rsidP="007D6885"/>
    <w:p w14:paraId="148BA3FC" w14:textId="5122890F" w:rsidR="0091385D" w:rsidRDefault="007D6885" w:rsidP="007D6885">
      <w:r>
        <w:t xml:space="preserve">При животните </w:t>
      </w:r>
      <w:r>
        <w:rPr>
          <w:lang w:val="en-US"/>
        </w:rPr>
        <w:t xml:space="preserve">glimepiride </w:t>
      </w:r>
      <w:r>
        <w:t>се екскретира с млякото. Той преминава плацентарната бариера. Преминаването на кръвно-мозъчната бариера е в по-ниска степен.</w:t>
      </w:r>
    </w:p>
    <w:p w14:paraId="4EE1BB0B" w14:textId="1A49EF00" w:rsidR="0091385D" w:rsidRDefault="0091385D" w:rsidP="0091385D"/>
    <w:p w14:paraId="70BAA681" w14:textId="3270EBBA" w:rsidR="007D6885" w:rsidRPr="007D6885" w:rsidRDefault="007D6885" w:rsidP="007D6885">
      <w:pPr>
        <w:spacing w:line="240" w:lineRule="auto"/>
        <w:rPr>
          <w:rFonts w:eastAsia="Times New Roman" w:cs="Arial"/>
          <w:color w:val="000000"/>
          <w:lang w:eastAsia="bg-BG"/>
        </w:rPr>
      </w:pPr>
      <w:bookmarkStart w:id="8" w:name="_GoBack"/>
      <w:r w:rsidRPr="007D6885">
        <w:rPr>
          <w:rStyle w:val="Heading3Char"/>
          <w:u w:val="single"/>
          <w:lang w:eastAsia="bg-BG"/>
        </w:rPr>
        <w:t>Биотрансформация и елиминиране:</w:t>
      </w:r>
      <w:r w:rsidRPr="007D6885">
        <w:rPr>
          <w:rFonts w:eastAsia="Times New Roman" w:cs="Arial"/>
          <w:b/>
          <w:bCs/>
          <w:color w:val="000000"/>
          <w:lang w:eastAsia="bg-BG"/>
        </w:rPr>
        <w:t xml:space="preserve"> </w:t>
      </w:r>
      <w:bookmarkEnd w:id="8"/>
      <w:r w:rsidRPr="007D6885">
        <w:rPr>
          <w:rFonts w:eastAsia="Times New Roman" w:cs="Arial"/>
          <w:color w:val="000000"/>
          <w:lang w:eastAsia="bg-BG"/>
        </w:rPr>
        <w:t>Средният доминантен серумен полуживот, който е от значение за серумните концентрации при условия на многократно дозиране, е около 5 до 8 часа. След приемането на високи дози се наблюдава малко по-дълъг полуживот.</w:t>
      </w:r>
    </w:p>
    <w:p w14:paraId="4F717DBE" w14:textId="77777777" w:rsidR="007D6885" w:rsidRPr="007D6885" w:rsidRDefault="007D6885" w:rsidP="007D6885">
      <w:pPr>
        <w:spacing w:line="240" w:lineRule="auto"/>
        <w:rPr>
          <w:rFonts w:eastAsia="Times New Roman" w:cs="Arial"/>
          <w:color w:val="000000"/>
          <w:lang w:eastAsia="bg-BG"/>
        </w:rPr>
      </w:pPr>
    </w:p>
    <w:p w14:paraId="4392A636" w14:textId="31100A8D"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 xml:space="preserve">След приемането на единична доза радиоактивно белязан </w:t>
      </w:r>
      <w:r w:rsidRPr="007D6885">
        <w:rPr>
          <w:rFonts w:eastAsia="Times New Roman" w:cs="Arial"/>
          <w:color w:val="000000"/>
          <w:lang w:val="en-US"/>
        </w:rPr>
        <w:t xml:space="preserve">glimepiride, </w:t>
      </w:r>
      <w:r w:rsidRPr="007D6885">
        <w:rPr>
          <w:rFonts w:eastAsia="Times New Roman" w:cs="Arial"/>
          <w:color w:val="000000"/>
          <w:lang w:eastAsia="bg-BG"/>
        </w:rPr>
        <w:t xml:space="preserve">58% се откриват в урината и 35% - във фекалиите. В урината не се открива непроменено количество от лекарственото вещество. В урината и фекалиите са идентифицирани два метаболита - най-вероятно резултат на чернодробния метаболизъм - хидроксилно и карбоксилно производно. След орално приложение на </w:t>
      </w:r>
      <w:r w:rsidRPr="007D6885">
        <w:rPr>
          <w:rFonts w:eastAsia="Times New Roman" w:cs="Arial"/>
          <w:color w:val="000000"/>
          <w:lang w:val="en-US"/>
        </w:rPr>
        <w:t xml:space="preserve">glimepiride </w:t>
      </w:r>
      <w:r w:rsidRPr="007D6885">
        <w:rPr>
          <w:rFonts w:eastAsia="Times New Roman" w:cs="Arial"/>
          <w:color w:val="000000"/>
          <w:lang w:eastAsia="bg-BG"/>
        </w:rPr>
        <w:t>поруживотите на тези метаболити са съответно от 3 до 6 и от 5 до 6 часа.</w:t>
      </w:r>
    </w:p>
    <w:p w14:paraId="06F4C825" w14:textId="77777777" w:rsidR="007D6885" w:rsidRPr="007D6885" w:rsidRDefault="007D6885" w:rsidP="007D6885">
      <w:pPr>
        <w:spacing w:line="240" w:lineRule="auto"/>
        <w:rPr>
          <w:rFonts w:eastAsia="Times New Roman" w:cs="Arial"/>
          <w:color w:val="000000"/>
          <w:lang w:eastAsia="bg-BG"/>
        </w:rPr>
      </w:pPr>
    </w:p>
    <w:p w14:paraId="6BFF4F7D" w14:textId="4FF1B68B"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Сравнението между еднократното и многократното дозиране не показва съществени разлики във фармакокинетиката и интраиндивидуалната вариабилност е много ниска. Не се наблюдава натрупване.</w:t>
      </w:r>
    </w:p>
    <w:p w14:paraId="09A75086" w14:textId="77777777" w:rsidR="007D6885" w:rsidRPr="007D6885" w:rsidRDefault="007D6885" w:rsidP="007D6885">
      <w:pPr>
        <w:spacing w:line="240" w:lineRule="auto"/>
        <w:rPr>
          <w:rFonts w:eastAsia="Times New Roman" w:cs="Arial"/>
          <w:color w:val="000000"/>
          <w:lang w:eastAsia="bg-BG"/>
        </w:rPr>
      </w:pPr>
    </w:p>
    <w:p w14:paraId="3C996180" w14:textId="77AED827"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 xml:space="preserve">Фармакокинетичните параметри са подобни както и при мъже и жени, така и при млади и възрастни (над 65 години) пациенти. При пациенти с нисък креатининов клирънс има тенденция към увеличаване на клирънса на </w:t>
      </w:r>
      <w:r w:rsidRPr="007D6885">
        <w:rPr>
          <w:rFonts w:eastAsia="Times New Roman" w:cs="Arial"/>
          <w:color w:val="000000"/>
          <w:lang w:val="en-US"/>
        </w:rPr>
        <w:t xml:space="preserve">glimepiride </w:t>
      </w:r>
      <w:r w:rsidRPr="007D6885">
        <w:rPr>
          <w:rFonts w:eastAsia="Times New Roman" w:cs="Arial"/>
          <w:color w:val="000000"/>
          <w:lang w:eastAsia="bg-BG"/>
        </w:rPr>
        <w:t>и намаление на средните серумни концентрации вероятно в резултат на по-бързото елиминиране поради ниска степен на протеинно свързване. Бъбречното елиминиране на двата метаболита е намалено. При такива пациенти като цяло се счита, че няма допълнителен риск от акумулиране.</w:t>
      </w:r>
    </w:p>
    <w:p w14:paraId="1EF97E1E" w14:textId="77777777" w:rsidR="007D6885" w:rsidRPr="007D6885" w:rsidRDefault="007D6885" w:rsidP="007D6885">
      <w:pPr>
        <w:rPr>
          <w:rFonts w:eastAsia="Times New Roman" w:cs="Arial"/>
          <w:color w:val="000000"/>
          <w:lang w:eastAsia="bg-BG"/>
        </w:rPr>
      </w:pPr>
    </w:p>
    <w:p w14:paraId="2162A44D" w14:textId="72C8DDFF" w:rsidR="007D6885" w:rsidRPr="007D6885" w:rsidRDefault="007D6885" w:rsidP="007D6885">
      <w:pPr>
        <w:rPr>
          <w:rFonts w:cs="Arial"/>
        </w:rPr>
      </w:pPr>
      <w:r w:rsidRPr="007D6885">
        <w:rPr>
          <w:rFonts w:eastAsia="Times New Roman" w:cs="Arial"/>
          <w:color w:val="000000"/>
          <w:lang w:eastAsia="bg-BG"/>
        </w:rPr>
        <w:t>Фармакокинетиката при петима не-диабетни пациенти след операция на жлъчния канал е подобна на тази при здрави пациенти</w:t>
      </w:r>
    </w:p>
    <w:p w14:paraId="71F6D525" w14:textId="77777777" w:rsidR="007D6885" w:rsidRPr="0091385D" w:rsidRDefault="007D6885" w:rsidP="0091385D"/>
    <w:p w14:paraId="648E39DA" w14:textId="44D16CBD" w:rsidR="00CF77F7" w:rsidRDefault="002C50EE" w:rsidP="004A448E">
      <w:pPr>
        <w:pStyle w:val="Heading2"/>
      </w:pPr>
      <w:r>
        <w:t>5.3. Предклинични данни за безопасност</w:t>
      </w:r>
    </w:p>
    <w:p w14:paraId="31455D09" w14:textId="4D0EFBF5" w:rsidR="0091385D" w:rsidRDefault="0091385D" w:rsidP="0091385D"/>
    <w:p w14:paraId="52E4D01A" w14:textId="68CA9BBD" w:rsidR="0091385D" w:rsidRDefault="007D6885" w:rsidP="0091385D">
      <w:r>
        <w:t>Наблюдаваните предклинични ефекти са се появявали при дози, значително превишаващи максималните човешки дози, без съществено клинично приложение, или са се дължали на фармакодинамичното действие (хипогликемия) на съединението. Това откритие се базира на конвенционалната фармакология, токсичността на повтарящите се дози, генотоксичността, канцерогенността и репродукционната токсичност. При последната (включваща ембриотоксичностга, тератогенността и растежната токсичност) наблюдаваните странични действия се считат за вторични на хипогликемичните ефекти, индуцирани от съединението при майки и подрастващи.</w:t>
      </w:r>
    </w:p>
    <w:p w14:paraId="20E967BE" w14:textId="77777777" w:rsidR="0091385D" w:rsidRPr="0091385D" w:rsidRDefault="0091385D" w:rsidP="0091385D"/>
    <w:p w14:paraId="6A7820AB" w14:textId="353DB6D2" w:rsidR="008A6AF2" w:rsidRDefault="002C50EE" w:rsidP="00395555">
      <w:pPr>
        <w:pStyle w:val="Heading1"/>
      </w:pPr>
      <w:r>
        <w:t>7. ПРИТЕЖАТЕЛ НА РАЗРЕШЕНИЕТО ЗА УПОТРЕБА</w:t>
      </w:r>
    </w:p>
    <w:p w14:paraId="1B9B651E" w14:textId="3382E6AC" w:rsidR="0091385D" w:rsidRDefault="0091385D" w:rsidP="0091385D"/>
    <w:p w14:paraId="3746A2E4" w14:textId="77777777"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Нео Балканика ЕООД</w:t>
      </w:r>
    </w:p>
    <w:p w14:paraId="2BE3DFA5" w14:textId="77777777"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Ул. “Земляне” 35</w:t>
      </w:r>
    </w:p>
    <w:p w14:paraId="3FD825DB" w14:textId="6007761C" w:rsidR="0091385D" w:rsidRPr="007D6885" w:rsidRDefault="007D6885" w:rsidP="007D6885">
      <w:pPr>
        <w:rPr>
          <w:rFonts w:cs="Arial"/>
        </w:rPr>
      </w:pPr>
      <w:r w:rsidRPr="007D6885">
        <w:rPr>
          <w:rFonts w:eastAsia="Times New Roman" w:cs="Arial"/>
          <w:color w:val="000000"/>
          <w:lang w:eastAsia="bg-BG"/>
        </w:rPr>
        <w:lastRenderedPageBreak/>
        <w:t>София, България</w:t>
      </w:r>
    </w:p>
    <w:p w14:paraId="129C7566" w14:textId="77777777" w:rsidR="0091385D" w:rsidRPr="0091385D" w:rsidRDefault="0091385D" w:rsidP="0091385D"/>
    <w:p w14:paraId="7BA1BA64" w14:textId="17509450" w:rsidR="00CF77F7" w:rsidRDefault="002C50EE" w:rsidP="004A448E">
      <w:pPr>
        <w:pStyle w:val="Heading1"/>
      </w:pPr>
      <w:r>
        <w:t>8. НОМЕР НА РАЗРЕШЕНИЕТО ЗА УПОТРЕБА</w:t>
      </w:r>
    </w:p>
    <w:p w14:paraId="095674C4" w14:textId="54CA436A" w:rsidR="0091385D" w:rsidRDefault="0091385D" w:rsidP="0091385D"/>
    <w:p w14:paraId="39B84D6E" w14:textId="77777777"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 xml:space="preserve">Неоглим® 1 </w:t>
      </w:r>
      <w:r w:rsidRPr="007D6885">
        <w:rPr>
          <w:rFonts w:eastAsia="Times New Roman" w:cs="Arial"/>
          <w:color w:val="000000"/>
          <w:lang w:val="en-US"/>
        </w:rPr>
        <w:t xml:space="preserve">mg-II-11251/27.07.2005r.- </w:t>
      </w:r>
      <w:r w:rsidRPr="007D6885">
        <w:rPr>
          <w:rFonts w:eastAsia="Times New Roman" w:cs="Arial"/>
          <w:color w:val="000000"/>
          <w:lang w:eastAsia="bg-BG"/>
        </w:rPr>
        <w:t>20050408</w:t>
      </w:r>
    </w:p>
    <w:p w14:paraId="6E7F45F5" w14:textId="77777777"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 xml:space="preserve">Неоглим® 2 </w:t>
      </w:r>
      <w:r w:rsidRPr="007D6885">
        <w:rPr>
          <w:rFonts w:eastAsia="Times New Roman" w:cs="Arial"/>
          <w:color w:val="000000"/>
          <w:lang w:val="en-US"/>
        </w:rPr>
        <w:t xml:space="preserve">mg - </w:t>
      </w:r>
      <w:r w:rsidRPr="007D6885">
        <w:rPr>
          <w:rFonts w:eastAsia="Times New Roman" w:cs="Arial"/>
          <w:color w:val="000000"/>
          <w:lang w:eastAsia="bg-BG"/>
        </w:rPr>
        <w:t>II-11252/27.07.2005г.- 20050409</w:t>
      </w:r>
    </w:p>
    <w:p w14:paraId="23ABAF68" w14:textId="77777777"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 xml:space="preserve">Неоглим® 3 </w:t>
      </w:r>
      <w:r w:rsidRPr="007D6885">
        <w:rPr>
          <w:rFonts w:eastAsia="Times New Roman" w:cs="Arial"/>
          <w:color w:val="000000"/>
          <w:lang w:val="en-US"/>
        </w:rPr>
        <w:t xml:space="preserve">mg </w:t>
      </w:r>
      <w:r w:rsidRPr="007D6885">
        <w:rPr>
          <w:rFonts w:eastAsia="Times New Roman" w:cs="Arial"/>
          <w:color w:val="000000"/>
          <w:lang w:eastAsia="bg-BG"/>
        </w:rPr>
        <w:t>- II-11253/27.07.2005г.- 20050410</w:t>
      </w:r>
    </w:p>
    <w:p w14:paraId="6E892CE5" w14:textId="0C74F5BC" w:rsidR="0091385D" w:rsidRPr="007D6885" w:rsidRDefault="007D6885" w:rsidP="007D6885">
      <w:pPr>
        <w:rPr>
          <w:rFonts w:cs="Arial"/>
        </w:rPr>
      </w:pPr>
      <w:r w:rsidRPr="007D6885">
        <w:rPr>
          <w:rFonts w:eastAsia="Times New Roman" w:cs="Arial"/>
          <w:color w:val="000000"/>
          <w:lang w:eastAsia="bg-BG"/>
        </w:rPr>
        <w:t xml:space="preserve">Неоглим® 4 </w:t>
      </w:r>
      <w:r w:rsidRPr="007D6885">
        <w:rPr>
          <w:rFonts w:eastAsia="Times New Roman" w:cs="Arial"/>
          <w:color w:val="000000"/>
          <w:lang w:val="en-US"/>
        </w:rPr>
        <w:t xml:space="preserve">mg </w:t>
      </w:r>
      <w:r w:rsidRPr="007D6885">
        <w:rPr>
          <w:rFonts w:eastAsia="Times New Roman" w:cs="Arial"/>
          <w:color w:val="000000"/>
          <w:lang w:eastAsia="bg-BG"/>
        </w:rPr>
        <w:t>- II-11254/27.07.2005г.- 20050411</w:t>
      </w:r>
    </w:p>
    <w:p w14:paraId="62EF7F8B" w14:textId="77777777" w:rsidR="0091385D" w:rsidRPr="0091385D" w:rsidRDefault="0091385D" w:rsidP="0091385D"/>
    <w:p w14:paraId="2CCB5832" w14:textId="18FCD95B" w:rsidR="007C605B" w:rsidRDefault="002C50EE" w:rsidP="007C605B">
      <w:pPr>
        <w:pStyle w:val="Heading1"/>
      </w:pPr>
      <w:r>
        <w:t>9. ДАТА НА ПЪРВО РАЗРЕШАВАНЕ/ПОДНОВЯВАНЕ НА РАЗРЕШЕНИЕТО ЗА УПОТРЕБА</w:t>
      </w:r>
    </w:p>
    <w:p w14:paraId="372B3414" w14:textId="0F79A9B4" w:rsidR="0091385D" w:rsidRDefault="0091385D" w:rsidP="0091385D"/>
    <w:p w14:paraId="497007FA" w14:textId="69EED464" w:rsidR="0091385D" w:rsidRDefault="0091385D" w:rsidP="0091385D"/>
    <w:p w14:paraId="0A56E09D" w14:textId="77777777" w:rsidR="0091385D" w:rsidRPr="0091385D" w:rsidRDefault="0091385D" w:rsidP="0091385D"/>
    <w:p w14:paraId="0E9D0119" w14:textId="1FEC128A" w:rsidR="002C50EE" w:rsidRDefault="002C50EE" w:rsidP="002C50EE">
      <w:pPr>
        <w:pStyle w:val="Heading1"/>
      </w:pPr>
      <w:r>
        <w:t>10. ДАТА НА АКТУАЛИЗИРАНЕ НА ТЕКСТА</w:t>
      </w:r>
    </w:p>
    <w:p w14:paraId="3E8FFCC4" w14:textId="34E0D3BB" w:rsidR="0091385D" w:rsidRDefault="0091385D" w:rsidP="0091385D"/>
    <w:p w14:paraId="30276F52" w14:textId="258FFE56" w:rsidR="0091385D" w:rsidRPr="007D6885" w:rsidRDefault="007D6885" w:rsidP="0091385D">
      <w:pPr>
        <w:rPr>
          <w:rFonts w:cs="Arial"/>
        </w:rPr>
      </w:pPr>
      <w:r w:rsidRPr="007D6885">
        <w:rPr>
          <w:rFonts w:cs="Arial"/>
        </w:rPr>
        <w:t>Януари 2010 г.</w:t>
      </w:r>
    </w:p>
    <w:p w14:paraId="6B00148E" w14:textId="77777777" w:rsidR="0091385D" w:rsidRPr="0091385D" w:rsidRDefault="0091385D" w:rsidP="0091385D"/>
    <w:bookmarkEnd w:id="0"/>
    <w:p w14:paraId="43FB38A2" w14:textId="5500C507" w:rsidR="007C605B" w:rsidRPr="003E3126" w:rsidRDefault="007C605B" w:rsidP="00CF77F7"/>
    <w:sectPr w:rsidR="007C605B" w:rsidRPr="003E31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F57313"/>
    <w:multiLevelType w:val="hybridMultilevel"/>
    <w:tmpl w:val="DB12BFE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1F6C249F"/>
    <w:multiLevelType w:val="hybridMultilevel"/>
    <w:tmpl w:val="4D6A7390"/>
    <w:lvl w:ilvl="0" w:tplc="E20A4DDC">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2"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26456C5E"/>
    <w:multiLevelType w:val="hybridMultilevel"/>
    <w:tmpl w:val="369A0BA0"/>
    <w:lvl w:ilvl="0" w:tplc="E20A4DDC">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91A46B0"/>
    <w:multiLevelType w:val="hybridMultilevel"/>
    <w:tmpl w:val="3D2C1B3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9"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0"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4"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D80A9A"/>
    <w:multiLevelType w:val="hybridMultilevel"/>
    <w:tmpl w:val="CEA88CB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CD23415"/>
    <w:multiLevelType w:val="hybridMultilevel"/>
    <w:tmpl w:val="A7F4EC2E"/>
    <w:lvl w:ilvl="0" w:tplc="E20A4DDC">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31"/>
  </w:num>
  <w:num w:numId="2">
    <w:abstractNumId w:val="0"/>
  </w:num>
  <w:num w:numId="3">
    <w:abstractNumId w:val="15"/>
  </w:num>
  <w:num w:numId="4">
    <w:abstractNumId w:val="3"/>
  </w:num>
  <w:num w:numId="5">
    <w:abstractNumId w:val="1"/>
  </w:num>
  <w:num w:numId="6">
    <w:abstractNumId w:val="19"/>
  </w:num>
  <w:num w:numId="7">
    <w:abstractNumId w:val="12"/>
  </w:num>
  <w:num w:numId="8">
    <w:abstractNumId w:val="18"/>
  </w:num>
  <w:num w:numId="9">
    <w:abstractNumId w:val="2"/>
  </w:num>
  <w:num w:numId="10">
    <w:abstractNumId w:val="4"/>
  </w:num>
  <w:num w:numId="11">
    <w:abstractNumId w:val="35"/>
  </w:num>
  <w:num w:numId="12">
    <w:abstractNumId w:val="16"/>
  </w:num>
  <w:num w:numId="13">
    <w:abstractNumId w:val="22"/>
  </w:num>
  <w:num w:numId="14">
    <w:abstractNumId w:val="14"/>
  </w:num>
  <w:num w:numId="15">
    <w:abstractNumId w:val="34"/>
  </w:num>
  <w:num w:numId="16">
    <w:abstractNumId w:val="11"/>
  </w:num>
  <w:num w:numId="17">
    <w:abstractNumId w:val="27"/>
  </w:num>
  <w:num w:numId="18">
    <w:abstractNumId w:val="7"/>
  </w:num>
  <w:num w:numId="19">
    <w:abstractNumId w:val="30"/>
  </w:num>
  <w:num w:numId="20">
    <w:abstractNumId w:val="26"/>
  </w:num>
  <w:num w:numId="21">
    <w:abstractNumId w:val="20"/>
  </w:num>
  <w:num w:numId="22">
    <w:abstractNumId w:val="28"/>
  </w:num>
  <w:num w:numId="23">
    <w:abstractNumId w:val="21"/>
  </w:num>
  <w:num w:numId="24">
    <w:abstractNumId w:val="8"/>
  </w:num>
  <w:num w:numId="25">
    <w:abstractNumId w:val="25"/>
  </w:num>
  <w:num w:numId="26">
    <w:abstractNumId w:val="24"/>
  </w:num>
  <w:num w:numId="27">
    <w:abstractNumId w:val="36"/>
  </w:num>
  <w:num w:numId="28">
    <w:abstractNumId w:val="6"/>
  </w:num>
  <w:num w:numId="29">
    <w:abstractNumId w:val="23"/>
  </w:num>
  <w:num w:numId="30">
    <w:abstractNumId w:val="39"/>
  </w:num>
  <w:num w:numId="31">
    <w:abstractNumId w:val="5"/>
  </w:num>
  <w:num w:numId="32">
    <w:abstractNumId w:val="38"/>
  </w:num>
  <w:num w:numId="33">
    <w:abstractNumId w:val="33"/>
  </w:num>
  <w:num w:numId="34">
    <w:abstractNumId w:val="37"/>
  </w:num>
  <w:num w:numId="35">
    <w:abstractNumId w:val="9"/>
  </w:num>
  <w:num w:numId="36">
    <w:abstractNumId w:val="10"/>
  </w:num>
  <w:num w:numId="37">
    <w:abstractNumId w:val="29"/>
  </w:num>
  <w:num w:numId="38">
    <w:abstractNumId w:val="17"/>
  </w:num>
  <w:num w:numId="39">
    <w:abstractNumId w:val="13"/>
  </w:num>
  <w:num w:numId="4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012661"/>
    <w:rsid w:val="00185A46"/>
    <w:rsid w:val="001915B6"/>
    <w:rsid w:val="001D1B23"/>
    <w:rsid w:val="002B3C38"/>
    <w:rsid w:val="002B4DBB"/>
    <w:rsid w:val="002C50EE"/>
    <w:rsid w:val="00340A0A"/>
    <w:rsid w:val="003765DC"/>
    <w:rsid w:val="00395555"/>
    <w:rsid w:val="003E3126"/>
    <w:rsid w:val="00426E5F"/>
    <w:rsid w:val="004A448E"/>
    <w:rsid w:val="004D4D6B"/>
    <w:rsid w:val="004F1CE7"/>
    <w:rsid w:val="004F498A"/>
    <w:rsid w:val="00517A5B"/>
    <w:rsid w:val="00593A00"/>
    <w:rsid w:val="005A66D9"/>
    <w:rsid w:val="00605BCA"/>
    <w:rsid w:val="006158A1"/>
    <w:rsid w:val="00617B1F"/>
    <w:rsid w:val="00672487"/>
    <w:rsid w:val="00672600"/>
    <w:rsid w:val="00681D4A"/>
    <w:rsid w:val="00685882"/>
    <w:rsid w:val="0075649D"/>
    <w:rsid w:val="007C605B"/>
    <w:rsid w:val="007D6885"/>
    <w:rsid w:val="008134C8"/>
    <w:rsid w:val="00814073"/>
    <w:rsid w:val="00826F0D"/>
    <w:rsid w:val="008535A9"/>
    <w:rsid w:val="00893B92"/>
    <w:rsid w:val="008A6AF2"/>
    <w:rsid w:val="008C70A2"/>
    <w:rsid w:val="008F1AF3"/>
    <w:rsid w:val="008F587E"/>
    <w:rsid w:val="0091385D"/>
    <w:rsid w:val="009773E4"/>
    <w:rsid w:val="009B171C"/>
    <w:rsid w:val="009F1313"/>
    <w:rsid w:val="00A20351"/>
    <w:rsid w:val="00A23834"/>
    <w:rsid w:val="00A65A81"/>
    <w:rsid w:val="00A73575"/>
    <w:rsid w:val="00AA23EC"/>
    <w:rsid w:val="00AC63CE"/>
    <w:rsid w:val="00AE2107"/>
    <w:rsid w:val="00B275A8"/>
    <w:rsid w:val="00B466CB"/>
    <w:rsid w:val="00BF2600"/>
    <w:rsid w:val="00C0049F"/>
    <w:rsid w:val="00C07B84"/>
    <w:rsid w:val="00C33464"/>
    <w:rsid w:val="00C40420"/>
    <w:rsid w:val="00C809A7"/>
    <w:rsid w:val="00C83063"/>
    <w:rsid w:val="00C87E90"/>
    <w:rsid w:val="00CA1B57"/>
    <w:rsid w:val="00CF77F7"/>
    <w:rsid w:val="00D86297"/>
    <w:rsid w:val="00DD466D"/>
    <w:rsid w:val="00EB6364"/>
    <w:rsid w:val="00F37B64"/>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3575</Words>
  <Characters>20384</Characters>
  <Application>Microsoft Office Word</Application>
  <DocSecurity>0</DocSecurity>
  <Lines>169</Lines>
  <Paragraphs>47</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Потребител на Windows</cp:lastModifiedBy>
  <cp:revision>2</cp:revision>
  <dcterms:created xsi:type="dcterms:W3CDTF">2022-09-06T11:39:00Z</dcterms:created>
  <dcterms:modified xsi:type="dcterms:W3CDTF">2022-09-06T11:39:00Z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