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0A9EBC20" w14:textId="40813A5A" w:rsidR="009F77A4" w:rsidRDefault="00DD466D" w:rsidP="00387A66">
      <w:pPr>
        <w:pStyle w:val="Heading1"/>
      </w:pPr>
      <w:r>
        <w:t>1.ИМЕ НА ЛЕКАРСТВЕНИЯ ПРОДУКТ</w:t>
      </w:r>
    </w:p>
    <w:p w14:paraId="38A854AE" w14:textId="2CC563B7" w:rsidR="00786F5C" w:rsidRDefault="00786F5C" w:rsidP="00786F5C"/>
    <w:p w14:paraId="2B500245" w14:textId="77777777" w:rsidR="00786F5C" w:rsidRPr="00786F5C" w:rsidRDefault="00786F5C" w:rsidP="00786F5C">
      <w:pPr>
        <w:rPr>
          <w:sz w:val="24"/>
          <w:szCs w:val="24"/>
          <w:lang w:eastAsia="bg-BG"/>
        </w:rPr>
      </w:pPr>
      <w:r w:rsidRPr="00786F5C">
        <w:rPr>
          <w:lang w:eastAsia="bg-BG"/>
        </w:rPr>
        <w:t xml:space="preserve">НЕОМИЦИНУМ ТС 11,72 </w:t>
      </w:r>
      <w:r w:rsidRPr="00786F5C">
        <w:rPr>
          <w:lang w:val="en-US"/>
        </w:rPr>
        <w:t xml:space="preserve">mg/g </w:t>
      </w:r>
      <w:r w:rsidRPr="00786F5C">
        <w:rPr>
          <w:lang w:eastAsia="bg-BG"/>
        </w:rPr>
        <w:t>дермален спрей, суспензия</w:t>
      </w:r>
    </w:p>
    <w:p w14:paraId="3773D208" w14:textId="77777777" w:rsidR="00786F5C" w:rsidRPr="00786F5C" w:rsidRDefault="00786F5C" w:rsidP="00786F5C">
      <w:pPr>
        <w:rPr>
          <w:sz w:val="24"/>
          <w:szCs w:val="24"/>
          <w:lang w:eastAsia="bg-BG"/>
        </w:rPr>
      </w:pPr>
      <w:r w:rsidRPr="00786F5C">
        <w:rPr>
          <w:lang w:val="en-US"/>
        </w:rPr>
        <w:t xml:space="preserve">NEOMYCINUM </w:t>
      </w:r>
      <w:r w:rsidRPr="00786F5C">
        <w:rPr>
          <w:lang w:eastAsia="bg-BG"/>
        </w:rPr>
        <w:t xml:space="preserve">ТС 11,72 </w:t>
      </w:r>
      <w:r w:rsidRPr="00786F5C">
        <w:rPr>
          <w:lang w:val="en-US"/>
        </w:rPr>
        <w:t>mg/g cutaneous spray, suspension</w:t>
      </w:r>
    </w:p>
    <w:p w14:paraId="2B8F286B" w14:textId="77777777" w:rsidR="00786F5C" w:rsidRPr="00786F5C" w:rsidRDefault="00786F5C" w:rsidP="00786F5C"/>
    <w:p w14:paraId="0DF202EC" w14:textId="212C69D6" w:rsidR="00F53FB7" w:rsidRDefault="00DD466D" w:rsidP="00A93499">
      <w:pPr>
        <w:pStyle w:val="Heading1"/>
      </w:pPr>
      <w:r>
        <w:t>2. КАЧЕСТВЕН И КОЛИЧЕСТВЕН СЪСТАВ</w:t>
      </w:r>
    </w:p>
    <w:p w14:paraId="3FE4FFB9" w14:textId="4F3332E6" w:rsidR="00786F5C" w:rsidRDefault="00786F5C" w:rsidP="00786F5C"/>
    <w:p w14:paraId="7A348176" w14:textId="1837C869" w:rsidR="00786F5C" w:rsidRPr="00786F5C" w:rsidRDefault="00786F5C" w:rsidP="00786F5C">
      <w:pPr>
        <w:rPr>
          <w:sz w:val="24"/>
          <w:szCs w:val="24"/>
          <w:lang w:eastAsia="bg-BG"/>
        </w:rPr>
      </w:pPr>
      <w:r w:rsidRPr="00786F5C">
        <w:rPr>
          <w:lang w:eastAsia="bg-BG"/>
        </w:rPr>
        <w:t xml:space="preserve">1 </w:t>
      </w:r>
      <w:r w:rsidRPr="00786F5C">
        <w:rPr>
          <w:lang w:val="en-US"/>
        </w:rPr>
        <w:t xml:space="preserve">g </w:t>
      </w:r>
      <w:r w:rsidRPr="00786F5C">
        <w:rPr>
          <w:lang w:eastAsia="bg-BG"/>
        </w:rPr>
        <w:t xml:space="preserve">от суспензията съдържа 11,72 </w:t>
      </w:r>
      <w:r w:rsidRPr="00786F5C">
        <w:rPr>
          <w:lang w:val="en-US"/>
        </w:rPr>
        <w:t xml:space="preserve">mg/g </w:t>
      </w:r>
      <w:r w:rsidRPr="00786F5C">
        <w:rPr>
          <w:lang w:eastAsia="bg-BG"/>
        </w:rPr>
        <w:t>неомицин (като неомицинов сулфат)</w:t>
      </w:r>
    </w:p>
    <w:p w14:paraId="4CABB9ED" w14:textId="5FB37419" w:rsidR="00F53FB7" w:rsidRDefault="00DD466D" w:rsidP="00A93499">
      <w:pPr>
        <w:pStyle w:val="Heading1"/>
      </w:pPr>
      <w:r>
        <w:t>3. ЛЕКАРСТВЕНА ФОРМА</w:t>
      </w:r>
    </w:p>
    <w:p w14:paraId="0279D3AA" w14:textId="16B9E432" w:rsidR="00786F5C" w:rsidRDefault="00786F5C" w:rsidP="00786F5C"/>
    <w:p w14:paraId="747417EC" w14:textId="52712568" w:rsidR="00786F5C" w:rsidRDefault="00786F5C" w:rsidP="00786F5C">
      <w:pPr>
        <w:rPr>
          <w:lang w:eastAsia="bg-BG"/>
        </w:rPr>
      </w:pPr>
      <w:r w:rsidRPr="00786F5C">
        <w:rPr>
          <w:lang w:eastAsia="bg-BG"/>
        </w:rPr>
        <w:t>Дермален спрей, суспензия</w:t>
      </w:r>
    </w:p>
    <w:p w14:paraId="59B4F9CC" w14:textId="77777777" w:rsidR="00786F5C" w:rsidRPr="00786F5C" w:rsidRDefault="00786F5C" w:rsidP="00786F5C">
      <w:pPr>
        <w:rPr>
          <w:sz w:val="24"/>
          <w:szCs w:val="24"/>
          <w:lang w:eastAsia="bg-BG"/>
        </w:rPr>
      </w:pPr>
    </w:p>
    <w:p w14:paraId="490FC2C4" w14:textId="6899DE43" w:rsidR="002C50EE" w:rsidRDefault="002C50EE" w:rsidP="002C50EE">
      <w:pPr>
        <w:pStyle w:val="Heading1"/>
      </w:pPr>
      <w:r>
        <w:t>4. КЛИНИЧНИ ДАННИ</w:t>
      </w:r>
    </w:p>
    <w:p w14:paraId="461901E4" w14:textId="0EDFD9FC" w:rsidR="009F77A4" w:rsidRDefault="002C50EE" w:rsidP="00387A66">
      <w:pPr>
        <w:pStyle w:val="Heading2"/>
      </w:pPr>
      <w:r>
        <w:t>4.1. Терапевтични показания</w:t>
      </w:r>
    </w:p>
    <w:p w14:paraId="3CBA47FA" w14:textId="51681AD6" w:rsidR="00786F5C" w:rsidRDefault="00786F5C" w:rsidP="00786F5C"/>
    <w:p w14:paraId="79750EAA" w14:textId="77777777" w:rsidR="00786F5C" w:rsidRDefault="00786F5C" w:rsidP="00786F5C">
      <w:pPr>
        <w:pStyle w:val="ListParagraph"/>
        <w:numPr>
          <w:ilvl w:val="0"/>
          <w:numId w:val="40"/>
        </w:numPr>
        <w:rPr>
          <w:lang w:eastAsia="bg-BG"/>
        </w:rPr>
      </w:pPr>
      <w:r w:rsidRPr="00786F5C">
        <w:rPr>
          <w:lang w:eastAsia="bg-BG"/>
        </w:rPr>
        <w:t>Бактериални кожни инфекции, особено причинени от стафилококи (напр. фурункули, импетиго контагиоза).</w:t>
      </w:r>
    </w:p>
    <w:p w14:paraId="0D0EEBAC" w14:textId="77777777" w:rsidR="00786F5C" w:rsidRDefault="00786F5C" w:rsidP="00786F5C">
      <w:pPr>
        <w:pStyle w:val="ListParagraph"/>
        <w:numPr>
          <w:ilvl w:val="0"/>
          <w:numId w:val="40"/>
        </w:numPr>
        <w:rPr>
          <w:lang w:eastAsia="bg-BG"/>
        </w:rPr>
      </w:pPr>
      <w:r w:rsidRPr="00786F5C">
        <w:rPr>
          <w:lang w:eastAsia="bg-BG"/>
        </w:rPr>
        <w:t>Бактериални усложнения при алергични заболявания на кожата ( в комбинация с кортикостероид и).</w:t>
      </w:r>
    </w:p>
    <w:p w14:paraId="6A93B529" w14:textId="1479506C" w:rsidR="00786F5C" w:rsidRPr="00786F5C" w:rsidRDefault="00786F5C" w:rsidP="00786F5C">
      <w:pPr>
        <w:pStyle w:val="ListParagraph"/>
        <w:numPr>
          <w:ilvl w:val="0"/>
          <w:numId w:val="40"/>
        </w:numPr>
        <w:rPr>
          <w:lang w:eastAsia="bg-BG"/>
        </w:rPr>
      </w:pPr>
      <w:r w:rsidRPr="00786F5C">
        <w:rPr>
          <w:lang w:eastAsia="bg-BG"/>
        </w:rPr>
        <w:t>Неголеми инфектирани изгаряния или измръзвания.</w:t>
      </w:r>
    </w:p>
    <w:p w14:paraId="21DA557E" w14:textId="77777777" w:rsidR="00786F5C" w:rsidRPr="00786F5C" w:rsidRDefault="00786F5C" w:rsidP="00786F5C"/>
    <w:p w14:paraId="31744E5A" w14:textId="1073CDF3" w:rsidR="009F77A4" w:rsidRDefault="002C50EE" w:rsidP="00387A66">
      <w:pPr>
        <w:pStyle w:val="Heading2"/>
      </w:pPr>
      <w:r>
        <w:t>4.2. Дозировка и начин на приложение</w:t>
      </w:r>
    </w:p>
    <w:p w14:paraId="45B09A0D" w14:textId="2312B619" w:rsidR="00786F5C" w:rsidRDefault="00786F5C" w:rsidP="00786F5C"/>
    <w:p w14:paraId="0126F0C2" w14:textId="77777777" w:rsidR="00786F5C" w:rsidRPr="00786F5C" w:rsidRDefault="00786F5C" w:rsidP="00786F5C">
      <w:pPr>
        <w:spacing w:line="240" w:lineRule="auto"/>
        <w:rPr>
          <w:rFonts w:eastAsia="Times New Roman" w:cs="Arial"/>
          <w:lang w:eastAsia="bg-BG"/>
        </w:rPr>
      </w:pPr>
      <w:r w:rsidRPr="00786F5C">
        <w:rPr>
          <w:rFonts w:eastAsia="Times New Roman" w:cs="Arial"/>
          <w:color w:val="000000"/>
          <w:lang w:eastAsia="bg-BG"/>
        </w:rPr>
        <w:t>Поразените участъци се напръскват със суспензията, като флаконът се държи вертикално на разстояние 15-20 см. в продължение на 1 до 3 секунди. Да се прилага 2 - 3 пъти в денонощието, на равни интервали.</w:t>
      </w:r>
    </w:p>
    <w:p w14:paraId="4DEEF859" w14:textId="77777777" w:rsidR="00786F5C" w:rsidRPr="00786F5C" w:rsidRDefault="00786F5C" w:rsidP="00786F5C">
      <w:pPr>
        <w:spacing w:line="240" w:lineRule="auto"/>
        <w:rPr>
          <w:rFonts w:eastAsia="Times New Roman" w:cs="Arial"/>
          <w:lang w:eastAsia="bg-BG"/>
        </w:rPr>
      </w:pPr>
      <w:r w:rsidRPr="00786F5C">
        <w:rPr>
          <w:rFonts w:eastAsia="Times New Roman" w:cs="Arial"/>
          <w:b/>
          <w:bCs/>
          <w:color w:val="000000"/>
          <w:lang w:eastAsia="bg-BG"/>
        </w:rPr>
        <w:t xml:space="preserve">Внимание: </w:t>
      </w:r>
      <w:r w:rsidRPr="00786F5C">
        <w:rPr>
          <w:rFonts w:eastAsia="Times New Roman" w:cs="Arial"/>
          <w:color w:val="000000"/>
          <w:lang w:eastAsia="bg-BG"/>
        </w:rPr>
        <w:t>Да се пазят очите от действието на пулверизираното вещество, да не се вдишва.</w:t>
      </w:r>
    </w:p>
    <w:p w14:paraId="63BA5F2C" w14:textId="77777777" w:rsidR="00786F5C" w:rsidRPr="00786F5C" w:rsidRDefault="00786F5C" w:rsidP="00786F5C">
      <w:pPr>
        <w:spacing w:line="240" w:lineRule="auto"/>
        <w:rPr>
          <w:rFonts w:eastAsia="Times New Roman" w:cs="Arial"/>
          <w:lang w:eastAsia="bg-BG"/>
        </w:rPr>
      </w:pPr>
      <w:r w:rsidRPr="00786F5C">
        <w:rPr>
          <w:rFonts w:eastAsia="Times New Roman" w:cs="Arial"/>
          <w:color w:val="000000"/>
          <w:lang w:eastAsia="bg-BG"/>
        </w:rPr>
        <w:t>Преди всяка употреба флаконът трябва да се разтърси няколко пъти.</w:t>
      </w:r>
    </w:p>
    <w:p w14:paraId="1FE09A9A" w14:textId="36A7309E" w:rsidR="00786F5C" w:rsidRDefault="00786F5C" w:rsidP="00786F5C">
      <w:pPr>
        <w:rPr>
          <w:rFonts w:eastAsia="Times New Roman" w:cs="Arial"/>
          <w:color w:val="000000"/>
          <w:lang w:eastAsia="bg-BG"/>
        </w:rPr>
      </w:pPr>
      <w:r w:rsidRPr="00786F5C">
        <w:rPr>
          <w:rFonts w:eastAsia="Times New Roman" w:cs="Arial"/>
          <w:color w:val="000000"/>
          <w:lang w:eastAsia="bg-BG"/>
        </w:rPr>
        <w:t>Ръцете трябва да се измиват старателно със сапун и вода след всяко приложение.</w:t>
      </w:r>
    </w:p>
    <w:p w14:paraId="47010061" w14:textId="77777777" w:rsidR="00786F5C" w:rsidRPr="00786F5C" w:rsidRDefault="00786F5C" w:rsidP="00786F5C">
      <w:pPr>
        <w:rPr>
          <w:rFonts w:cs="Arial"/>
        </w:rPr>
      </w:pPr>
    </w:p>
    <w:p w14:paraId="5D9E65DA" w14:textId="2E35162A" w:rsidR="009F77A4" w:rsidRDefault="002C50EE" w:rsidP="00387A66">
      <w:pPr>
        <w:pStyle w:val="Heading2"/>
      </w:pPr>
      <w:r>
        <w:t>4.3. Противопоказания</w:t>
      </w:r>
    </w:p>
    <w:p w14:paraId="45A0165C" w14:textId="29869DBE" w:rsidR="00786F5C" w:rsidRDefault="00786F5C" w:rsidP="00786F5C"/>
    <w:p w14:paraId="67831115" w14:textId="77777777" w:rsidR="00786F5C" w:rsidRPr="00786F5C" w:rsidRDefault="00786F5C" w:rsidP="00786F5C">
      <w:pPr>
        <w:rPr>
          <w:sz w:val="24"/>
          <w:szCs w:val="24"/>
          <w:lang w:eastAsia="bg-BG"/>
        </w:rPr>
      </w:pPr>
      <w:r w:rsidRPr="00786F5C">
        <w:rPr>
          <w:lang w:eastAsia="bg-BG"/>
        </w:rPr>
        <w:t>Свръхчувствителност към неомицин, или към някое от помощните вещества на продукта.</w:t>
      </w:r>
    </w:p>
    <w:p w14:paraId="2A333922" w14:textId="77777777" w:rsidR="00786F5C" w:rsidRPr="00786F5C" w:rsidRDefault="00786F5C" w:rsidP="00786F5C">
      <w:pPr>
        <w:rPr>
          <w:sz w:val="24"/>
          <w:szCs w:val="24"/>
          <w:lang w:eastAsia="bg-BG"/>
        </w:rPr>
      </w:pPr>
      <w:r w:rsidRPr="00786F5C">
        <w:rPr>
          <w:lang w:eastAsia="bg-BG"/>
        </w:rPr>
        <w:t>Да не се прилага върху големи или увредени повърхности на кожата, мокрещи лезии и венозни разязвявания.</w:t>
      </w:r>
    </w:p>
    <w:p w14:paraId="2C5E3F17" w14:textId="51F0D0EF" w:rsidR="00786F5C" w:rsidRDefault="00786F5C" w:rsidP="00786F5C">
      <w:pPr>
        <w:rPr>
          <w:lang w:eastAsia="bg-BG"/>
        </w:rPr>
      </w:pPr>
      <w:r w:rsidRPr="00786F5C">
        <w:rPr>
          <w:lang w:eastAsia="bg-BG"/>
        </w:rPr>
        <w:t>Да не се прилага едновременно с други ото- и нефротоксични лекарствени продукти.</w:t>
      </w:r>
    </w:p>
    <w:p w14:paraId="1E8C4169" w14:textId="77777777" w:rsidR="00786F5C" w:rsidRPr="00786F5C" w:rsidRDefault="00786F5C" w:rsidP="00786F5C"/>
    <w:p w14:paraId="1C27CE53" w14:textId="0CEF782A" w:rsidR="009F77A4" w:rsidRDefault="002C50EE" w:rsidP="00387A66">
      <w:pPr>
        <w:pStyle w:val="Heading2"/>
      </w:pPr>
      <w:r>
        <w:lastRenderedPageBreak/>
        <w:t>4.4. Специални предупреждения и предпазни мерки при употреба</w:t>
      </w:r>
    </w:p>
    <w:p w14:paraId="59E1A006" w14:textId="3FC4EBEF" w:rsidR="00786F5C" w:rsidRDefault="00786F5C" w:rsidP="00786F5C"/>
    <w:p w14:paraId="547BD90D" w14:textId="77777777" w:rsidR="00786F5C" w:rsidRDefault="00786F5C" w:rsidP="00786F5C">
      <w:pPr>
        <w:pStyle w:val="ListParagraph"/>
        <w:numPr>
          <w:ilvl w:val="0"/>
          <w:numId w:val="2"/>
        </w:numPr>
        <w:spacing w:line="240" w:lineRule="auto"/>
        <w:rPr>
          <w:rFonts w:eastAsia="Times New Roman" w:cs="Arial"/>
          <w:color w:val="000000"/>
          <w:lang w:eastAsia="bg-BG"/>
        </w:rPr>
      </w:pPr>
      <w:r w:rsidRPr="00786F5C">
        <w:rPr>
          <w:rFonts w:eastAsia="Times New Roman" w:cs="Arial"/>
          <w:color w:val="000000"/>
          <w:lang w:eastAsia="bg-BG"/>
        </w:rPr>
        <w:t>Лекарственият продукт е предназначен само за локално приложение.</w:t>
      </w:r>
    </w:p>
    <w:p w14:paraId="68C60E39" w14:textId="77777777" w:rsidR="00786F5C" w:rsidRDefault="00786F5C" w:rsidP="00786F5C">
      <w:pPr>
        <w:pStyle w:val="ListParagraph"/>
        <w:numPr>
          <w:ilvl w:val="0"/>
          <w:numId w:val="2"/>
        </w:numPr>
        <w:spacing w:line="240" w:lineRule="auto"/>
        <w:rPr>
          <w:rFonts w:eastAsia="Times New Roman" w:cs="Arial"/>
          <w:color w:val="000000"/>
          <w:lang w:eastAsia="bg-BG"/>
        </w:rPr>
      </w:pPr>
      <w:r w:rsidRPr="00786F5C">
        <w:rPr>
          <w:rFonts w:eastAsia="Times New Roman" w:cs="Arial"/>
          <w:color w:val="000000"/>
          <w:lang w:eastAsia="bg-BG"/>
        </w:rPr>
        <w:t>Да се пазят очите от действието на лекарствения продукт.</w:t>
      </w:r>
    </w:p>
    <w:p w14:paraId="6734E654" w14:textId="77777777" w:rsidR="00786F5C" w:rsidRDefault="00786F5C" w:rsidP="00786F5C">
      <w:pPr>
        <w:pStyle w:val="ListParagraph"/>
        <w:numPr>
          <w:ilvl w:val="0"/>
          <w:numId w:val="2"/>
        </w:numPr>
        <w:spacing w:line="240" w:lineRule="auto"/>
        <w:rPr>
          <w:rFonts w:eastAsia="Times New Roman" w:cs="Arial"/>
          <w:color w:val="000000"/>
          <w:lang w:eastAsia="bg-BG"/>
        </w:rPr>
      </w:pPr>
      <w:r w:rsidRPr="00786F5C">
        <w:rPr>
          <w:rFonts w:eastAsia="Times New Roman" w:cs="Arial"/>
          <w:color w:val="000000"/>
          <w:lang w:eastAsia="bg-BG"/>
        </w:rPr>
        <w:t>Да не се вдишва пулверизираното вещество.</w:t>
      </w:r>
    </w:p>
    <w:p w14:paraId="005A99B1" w14:textId="77777777" w:rsidR="00786F5C" w:rsidRDefault="00786F5C" w:rsidP="00786F5C">
      <w:pPr>
        <w:pStyle w:val="ListParagraph"/>
        <w:numPr>
          <w:ilvl w:val="0"/>
          <w:numId w:val="2"/>
        </w:numPr>
        <w:spacing w:line="240" w:lineRule="auto"/>
        <w:rPr>
          <w:rFonts w:eastAsia="Times New Roman" w:cs="Arial"/>
          <w:color w:val="000000"/>
          <w:lang w:eastAsia="bg-BG"/>
        </w:rPr>
      </w:pPr>
      <w:r w:rsidRPr="00786F5C">
        <w:rPr>
          <w:rFonts w:eastAsia="Times New Roman" w:cs="Arial"/>
          <w:color w:val="000000"/>
          <w:lang w:eastAsia="bg-BG"/>
        </w:rPr>
        <w:t>Да се преустанови прилагането на лекарствения продукт при прояви</w:t>
      </w:r>
      <w:r w:rsidRPr="00786F5C">
        <w:rPr>
          <w:rFonts w:eastAsia="Times New Roman" w:cs="Arial"/>
          <w:color w:val="000000"/>
          <w:lang w:val="en-US"/>
        </w:rPr>
        <w:t xml:space="preserve"> </w:t>
      </w:r>
      <w:r w:rsidRPr="00786F5C">
        <w:rPr>
          <w:rFonts w:eastAsia="Times New Roman" w:cs="Arial"/>
          <w:color w:val="000000"/>
          <w:lang w:eastAsia="bg-BG"/>
        </w:rPr>
        <w:t>на дразнене на кожата.</w:t>
      </w:r>
    </w:p>
    <w:p w14:paraId="0BBE6DDA" w14:textId="77777777" w:rsidR="00786F5C" w:rsidRDefault="00786F5C" w:rsidP="00786F5C">
      <w:pPr>
        <w:pStyle w:val="ListParagraph"/>
        <w:numPr>
          <w:ilvl w:val="0"/>
          <w:numId w:val="2"/>
        </w:numPr>
        <w:spacing w:line="240" w:lineRule="auto"/>
        <w:rPr>
          <w:rFonts w:eastAsia="Times New Roman" w:cs="Arial"/>
          <w:color w:val="000000"/>
          <w:lang w:eastAsia="bg-BG"/>
        </w:rPr>
      </w:pPr>
      <w:r w:rsidRPr="00786F5C">
        <w:rPr>
          <w:rFonts w:eastAsia="Times New Roman" w:cs="Arial"/>
          <w:color w:val="000000"/>
          <w:lang w:eastAsia="bg-BG"/>
        </w:rPr>
        <w:t>Да не се покрива третираната кожна повърхност с превръзка и да не се прилага под оклузивни превръзки. Употребата на оклузивни превръзки повишава трансдермалното проникване в кръвообращението.</w:t>
      </w:r>
    </w:p>
    <w:p w14:paraId="4BC99949" w14:textId="77777777" w:rsidR="00786F5C" w:rsidRDefault="00786F5C" w:rsidP="00786F5C">
      <w:pPr>
        <w:pStyle w:val="ListParagraph"/>
        <w:numPr>
          <w:ilvl w:val="0"/>
          <w:numId w:val="2"/>
        </w:numPr>
        <w:spacing w:line="240" w:lineRule="auto"/>
        <w:rPr>
          <w:rFonts w:eastAsia="Times New Roman" w:cs="Arial"/>
          <w:color w:val="000000"/>
          <w:lang w:eastAsia="bg-BG"/>
        </w:rPr>
      </w:pPr>
      <w:r w:rsidRPr="00786F5C">
        <w:rPr>
          <w:rFonts w:eastAsia="Times New Roman" w:cs="Arial"/>
          <w:color w:val="000000"/>
          <w:lang w:eastAsia="bg-BG"/>
        </w:rPr>
        <w:t>Лекарственият продукт на трябва да се нанася върху големи кожни повърхности, особено ако са увредени, поради риска от проникване в кръвообращението и евентуална поява на нежелани лекарствени реакции като увреждане на слуха и бъбреците. При възникване на посочените нежелани реакции трябва веднага да се преустанови употребата на лекарствения продукт.</w:t>
      </w:r>
    </w:p>
    <w:p w14:paraId="5C05D96F" w14:textId="77777777" w:rsidR="00786F5C" w:rsidRDefault="00786F5C" w:rsidP="00786F5C">
      <w:pPr>
        <w:pStyle w:val="ListParagraph"/>
        <w:numPr>
          <w:ilvl w:val="0"/>
          <w:numId w:val="2"/>
        </w:numPr>
        <w:spacing w:line="240" w:lineRule="auto"/>
        <w:rPr>
          <w:rFonts w:eastAsia="Times New Roman" w:cs="Arial"/>
          <w:color w:val="000000"/>
          <w:lang w:eastAsia="bg-BG"/>
        </w:rPr>
      </w:pPr>
      <w:r w:rsidRPr="00786F5C">
        <w:rPr>
          <w:rFonts w:eastAsia="Times New Roman" w:cs="Arial"/>
          <w:color w:val="000000"/>
          <w:lang w:eastAsia="bg-BG"/>
        </w:rPr>
        <w:t>Продължителното приложение на Неомицинум ТС би могло да доведе до развитие на резистентни към неомицин бактериални щамове, както и към поява на алергия към неомицин.</w:t>
      </w:r>
    </w:p>
    <w:p w14:paraId="0F1773F5" w14:textId="77777777" w:rsidR="00786F5C" w:rsidRDefault="00786F5C" w:rsidP="00786F5C">
      <w:pPr>
        <w:pStyle w:val="ListParagraph"/>
        <w:numPr>
          <w:ilvl w:val="0"/>
          <w:numId w:val="2"/>
        </w:numPr>
        <w:spacing w:line="240" w:lineRule="auto"/>
        <w:rPr>
          <w:rFonts w:eastAsia="Times New Roman" w:cs="Arial"/>
          <w:color w:val="000000"/>
          <w:lang w:eastAsia="bg-BG"/>
        </w:rPr>
      </w:pPr>
      <w:r w:rsidRPr="00786F5C">
        <w:rPr>
          <w:rFonts w:eastAsia="Times New Roman" w:cs="Arial"/>
          <w:color w:val="000000"/>
          <w:lang w:eastAsia="bg-BG"/>
        </w:rPr>
        <w:t>При поява на инфекции, които са причинени от резистентни към неомицин микроорганизми или дрожди, трябва да се приложи адекватно антибактериално или противогъбично лечение.</w:t>
      </w:r>
    </w:p>
    <w:p w14:paraId="0815D5EC" w14:textId="11C82CEA" w:rsidR="00786F5C" w:rsidRDefault="00786F5C" w:rsidP="00786F5C">
      <w:pPr>
        <w:pStyle w:val="ListParagraph"/>
        <w:numPr>
          <w:ilvl w:val="0"/>
          <w:numId w:val="2"/>
        </w:numPr>
        <w:spacing w:line="240" w:lineRule="auto"/>
        <w:rPr>
          <w:rFonts w:eastAsia="Times New Roman" w:cs="Arial"/>
          <w:color w:val="000000"/>
          <w:lang w:eastAsia="bg-BG"/>
        </w:rPr>
      </w:pPr>
      <w:r w:rsidRPr="00786F5C">
        <w:rPr>
          <w:rFonts w:eastAsia="Times New Roman" w:cs="Arial"/>
          <w:color w:val="000000"/>
          <w:lang w:eastAsia="bg-BG"/>
        </w:rPr>
        <w:t>Безопасността от използване на лекарствения продукт при деца не е установена.</w:t>
      </w:r>
    </w:p>
    <w:p w14:paraId="476FB53F" w14:textId="77777777" w:rsidR="00786F5C" w:rsidRPr="00786F5C" w:rsidRDefault="00786F5C" w:rsidP="00786F5C">
      <w:pPr>
        <w:spacing w:line="240" w:lineRule="auto"/>
        <w:rPr>
          <w:rFonts w:eastAsia="Times New Roman" w:cs="Arial"/>
          <w:color w:val="000000"/>
          <w:lang w:eastAsia="bg-BG"/>
        </w:rPr>
      </w:pPr>
    </w:p>
    <w:p w14:paraId="1DA47448" w14:textId="2464FD30" w:rsidR="009F77A4" w:rsidRDefault="002C50EE" w:rsidP="00387A66">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5151E930" w14:textId="4E6BAC9B" w:rsidR="00786F5C" w:rsidRDefault="00786F5C" w:rsidP="00786F5C"/>
    <w:p w14:paraId="49605A1D" w14:textId="77777777" w:rsidR="00786F5C" w:rsidRPr="00786F5C" w:rsidRDefault="00786F5C" w:rsidP="00786F5C">
      <w:pPr>
        <w:rPr>
          <w:sz w:val="24"/>
          <w:szCs w:val="24"/>
          <w:lang w:eastAsia="bg-BG"/>
        </w:rPr>
      </w:pPr>
      <w:r w:rsidRPr="00786F5C">
        <w:rPr>
          <w:lang w:eastAsia="bg-BG"/>
        </w:rPr>
        <w:t>При прилагане на лекарствения продукт в съответствие с препоръчаните показания и начин на приложение не са отбелязани взаимодействия.</w:t>
      </w:r>
    </w:p>
    <w:p w14:paraId="106DF2B0" w14:textId="77777777" w:rsidR="00786F5C" w:rsidRPr="00786F5C" w:rsidRDefault="00786F5C" w:rsidP="00786F5C">
      <w:pPr>
        <w:rPr>
          <w:sz w:val="24"/>
          <w:szCs w:val="24"/>
          <w:lang w:eastAsia="bg-BG"/>
        </w:rPr>
      </w:pPr>
      <w:r w:rsidRPr="00786F5C">
        <w:rPr>
          <w:lang w:eastAsia="bg-BG"/>
        </w:rPr>
        <w:t>Не се препоръчва едновременна локална употреба на два или повече лекарствени продукта за локално приложение, тъй като това може да окаже влияние на концентрацията на техните активни вещества върху контактната повърхност и да предизвика дразнене на кожата.</w:t>
      </w:r>
    </w:p>
    <w:p w14:paraId="65040FD8" w14:textId="77777777" w:rsidR="00786F5C" w:rsidRPr="00786F5C" w:rsidRDefault="00786F5C" w:rsidP="00786F5C">
      <w:pPr>
        <w:rPr>
          <w:sz w:val="24"/>
          <w:szCs w:val="24"/>
          <w:lang w:eastAsia="bg-BG"/>
        </w:rPr>
      </w:pPr>
      <w:r w:rsidRPr="00786F5C">
        <w:rPr>
          <w:lang w:eastAsia="bg-BG"/>
        </w:rPr>
        <w:t>Продължителната употреба в комбинация с нефротоксични и ототоксични продукти (като гентамицин, етакринова киселина, колистин) може да повиши токсичността на неомицин.</w:t>
      </w:r>
    </w:p>
    <w:p w14:paraId="13C98BCE" w14:textId="77777777" w:rsidR="00786F5C" w:rsidRPr="00786F5C" w:rsidRDefault="00786F5C" w:rsidP="00786F5C"/>
    <w:p w14:paraId="48846BBA" w14:textId="6BF3DACB" w:rsidR="009F77A4" w:rsidRDefault="002C50EE" w:rsidP="00387A66">
      <w:pPr>
        <w:pStyle w:val="Heading2"/>
      </w:pPr>
      <w:r>
        <w:t>4.6. Фертилитет, бременност и кърмене</w:t>
      </w:r>
    </w:p>
    <w:p w14:paraId="051D9E7A" w14:textId="5C556431" w:rsidR="00786F5C" w:rsidRDefault="00786F5C" w:rsidP="00786F5C"/>
    <w:p w14:paraId="31727E76" w14:textId="77777777" w:rsidR="00786F5C" w:rsidRPr="00786F5C" w:rsidRDefault="00786F5C" w:rsidP="00786F5C">
      <w:pPr>
        <w:rPr>
          <w:sz w:val="24"/>
          <w:szCs w:val="24"/>
          <w:lang w:eastAsia="bg-BG"/>
        </w:rPr>
      </w:pPr>
      <w:r w:rsidRPr="00786F5C">
        <w:rPr>
          <w:lang w:eastAsia="bg-BG"/>
        </w:rPr>
        <w:t>Безопасното използване на лекарствения продукт по време на бременност не е доказано. Лекарственият продукт може да се прилага по време на бременност само ако ползата за майката превишава потенциалните рискове за плода. При необходимост от употреба при бременни жени трябва да се избягва прилагането върху обширни повърхности на тялото, във високи дози, или за продължителен период от време.</w:t>
      </w:r>
    </w:p>
    <w:p w14:paraId="106A3CCD" w14:textId="77777777" w:rsidR="00786F5C" w:rsidRPr="00786F5C" w:rsidRDefault="00786F5C" w:rsidP="00786F5C">
      <w:pPr>
        <w:rPr>
          <w:sz w:val="24"/>
          <w:szCs w:val="24"/>
          <w:lang w:eastAsia="bg-BG"/>
        </w:rPr>
      </w:pPr>
      <w:r w:rsidRPr="00786F5C">
        <w:rPr>
          <w:lang w:eastAsia="bg-BG"/>
        </w:rPr>
        <w:t>Във връзка с опасността от поява на системни ефекти при употреба на лекарствени продукти, съдържащи неомицин трябва стриктно да се спазват препоръките, описани в т.4.2 и т.4.4.</w:t>
      </w:r>
    </w:p>
    <w:p w14:paraId="56AB4655" w14:textId="77777777" w:rsidR="00786F5C" w:rsidRPr="00786F5C" w:rsidRDefault="00786F5C" w:rsidP="00786F5C">
      <w:pPr>
        <w:rPr>
          <w:sz w:val="24"/>
          <w:szCs w:val="24"/>
          <w:lang w:eastAsia="bg-BG"/>
        </w:rPr>
      </w:pPr>
      <w:r w:rsidRPr="00786F5C">
        <w:rPr>
          <w:lang w:eastAsia="bg-BG"/>
        </w:rPr>
        <w:lastRenderedPageBreak/>
        <w:t>Безопасността на продукта по време на кърмене не е установена. Малко вероятно е неомицин да се секретира в кърмата в значителни количества след приложение върху кожата. Въпреки това лекарственият продукт трябва да се използва с повишено внимание по време на кърмене и само ако ползата за майката надхвърля възможния риск за кърмачето. Ако се използва от кърмещи жени не трябва да се прилага върху обширни кожни повърхности и върху кожата на гърдите.</w:t>
      </w:r>
    </w:p>
    <w:p w14:paraId="52F19CA4" w14:textId="77777777" w:rsidR="00786F5C" w:rsidRPr="00786F5C" w:rsidRDefault="00786F5C" w:rsidP="00786F5C"/>
    <w:p w14:paraId="321AAB00" w14:textId="3710A03E" w:rsidR="009F77A4" w:rsidRDefault="002C50EE" w:rsidP="00387A66">
      <w:pPr>
        <w:pStyle w:val="Heading2"/>
      </w:pPr>
      <w:r>
        <w:t>4.7. Ефекти върху способността за шофиране и работа с машини</w:t>
      </w:r>
    </w:p>
    <w:p w14:paraId="13E04E8E" w14:textId="1F3263DF" w:rsidR="00786F5C" w:rsidRDefault="00786F5C" w:rsidP="00786F5C"/>
    <w:p w14:paraId="59BA0651" w14:textId="77777777" w:rsidR="00786F5C" w:rsidRPr="00786F5C" w:rsidRDefault="00786F5C" w:rsidP="00786F5C">
      <w:pPr>
        <w:rPr>
          <w:sz w:val="24"/>
          <w:szCs w:val="24"/>
          <w:lang w:eastAsia="bg-BG"/>
        </w:rPr>
      </w:pPr>
      <w:r w:rsidRPr="00786F5C">
        <w:rPr>
          <w:lang w:eastAsia="bg-BG"/>
        </w:rPr>
        <w:t>Няма данни относно ефекта на лекарствения продукт върху способността за шофиране и работа с машини.</w:t>
      </w:r>
    </w:p>
    <w:p w14:paraId="6B2E2405" w14:textId="77777777" w:rsidR="00786F5C" w:rsidRPr="00786F5C" w:rsidRDefault="00786F5C" w:rsidP="00786F5C"/>
    <w:p w14:paraId="136C86B8" w14:textId="5292E296" w:rsidR="009F77A4" w:rsidRDefault="002C50EE" w:rsidP="00387A66">
      <w:pPr>
        <w:pStyle w:val="Heading2"/>
      </w:pPr>
      <w:r>
        <w:t>4.8. Нежелани лекарствени реакции</w:t>
      </w:r>
    </w:p>
    <w:p w14:paraId="680B6D21" w14:textId="1966869F" w:rsidR="00786F5C" w:rsidRDefault="00786F5C" w:rsidP="00786F5C"/>
    <w:p w14:paraId="062C1FD5" w14:textId="77777777" w:rsidR="00786F5C" w:rsidRPr="00786F5C" w:rsidRDefault="00786F5C" w:rsidP="00786F5C">
      <w:pPr>
        <w:spacing w:line="240" w:lineRule="auto"/>
        <w:rPr>
          <w:rFonts w:eastAsia="Times New Roman" w:cs="Arial"/>
          <w:lang w:eastAsia="bg-BG"/>
        </w:rPr>
      </w:pPr>
      <w:r w:rsidRPr="00786F5C">
        <w:rPr>
          <w:rFonts w:eastAsia="Times New Roman" w:cs="Arial"/>
          <w:color w:val="000000"/>
          <w:lang w:eastAsia="bg-BG"/>
        </w:rPr>
        <w:t>Нежеланите лекарствени реакции са с неизвестна честота ( от наличните данни не може да бъде направена оценка).</w:t>
      </w:r>
    </w:p>
    <w:p w14:paraId="4E5EA42D" w14:textId="77777777" w:rsidR="00786F5C" w:rsidRDefault="00786F5C" w:rsidP="00786F5C">
      <w:pPr>
        <w:spacing w:line="240" w:lineRule="auto"/>
        <w:rPr>
          <w:rFonts w:eastAsia="Times New Roman" w:cs="Arial"/>
          <w:b/>
          <w:bCs/>
          <w:color w:val="000000"/>
          <w:lang w:eastAsia="bg-BG"/>
        </w:rPr>
      </w:pPr>
    </w:p>
    <w:p w14:paraId="65CDD1F8" w14:textId="5B61B4B6" w:rsidR="00786F5C" w:rsidRPr="00786F5C" w:rsidRDefault="00786F5C" w:rsidP="00786F5C">
      <w:pPr>
        <w:spacing w:line="240" w:lineRule="auto"/>
        <w:rPr>
          <w:rFonts w:eastAsia="Times New Roman" w:cs="Arial"/>
          <w:lang w:eastAsia="bg-BG"/>
        </w:rPr>
      </w:pPr>
      <w:r w:rsidRPr="00786F5C">
        <w:rPr>
          <w:rFonts w:eastAsia="Times New Roman" w:cs="Arial"/>
          <w:b/>
          <w:bCs/>
          <w:color w:val="000000"/>
          <w:lang w:eastAsia="bg-BG"/>
        </w:rPr>
        <w:t>Нарушения на бъбреците и пикочните пътища</w:t>
      </w:r>
    </w:p>
    <w:p w14:paraId="23FCFBA6" w14:textId="77777777" w:rsidR="00786F5C" w:rsidRPr="00786F5C" w:rsidRDefault="00786F5C" w:rsidP="00786F5C">
      <w:pPr>
        <w:spacing w:line="240" w:lineRule="auto"/>
        <w:rPr>
          <w:rFonts w:eastAsia="Times New Roman" w:cs="Arial"/>
          <w:lang w:eastAsia="bg-BG"/>
        </w:rPr>
      </w:pPr>
      <w:r w:rsidRPr="00786F5C">
        <w:rPr>
          <w:rFonts w:eastAsia="Times New Roman" w:cs="Arial"/>
          <w:color w:val="000000"/>
          <w:lang w:eastAsia="bg-BG"/>
        </w:rPr>
        <w:t>Прилагането на Неомицинум ТС за продължителен период от време върху обширни, особено върху увредени кожни повърхности може да доведе до проникване на лекарствения продукт в кръвообращението и възникване на нежелани лекарствени реакции характерни за системните ефекти на неомицин-нефротоксичност.</w:t>
      </w:r>
    </w:p>
    <w:p w14:paraId="06754195" w14:textId="77777777" w:rsidR="00786F5C" w:rsidRDefault="00786F5C" w:rsidP="00786F5C">
      <w:pPr>
        <w:spacing w:line="240" w:lineRule="auto"/>
        <w:rPr>
          <w:rFonts w:eastAsia="Times New Roman" w:cs="Arial"/>
          <w:b/>
          <w:bCs/>
          <w:color w:val="000000"/>
          <w:lang w:eastAsia="bg-BG"/>
        </w:rPr>
      </w:pPr>
    </w:p>
    <w:p w14:paraId="3B4EE001" w14:textId="61AB5F56" w:rsidR="00786F5C" w:rsidRPr="00786F5C" w:rsidRDefault="00786F5C" w:rsidP="00786F5C">
      <w:pPr>
        <w:spacing w:line="240" w:lineRule="auto"/>
        <w:rPr>
          <w:rFonts w:eastAsia="Times New Roman" w:cs="Arial"/>
          <w:lang w:eastAsia="bg-BG"/>
        </w:rPr>
      </w:pPr>
      <w:r w:rsidRPr="00786F5C">
        <w:rPr>
          <w:rFonts w:eastAsia="Times New Roman" w:cs="Arial"/>
          <w:b/>
          <w:bCs/>
          <w:color w:val="000000"/>
          <w:lang w:eastAsia="bg-BG"/>
        </w:rPr>
        <w:t>Нарушения на ухото и лабиринта</w:t>
      </w:r>
    </w:p>
    <w:p w14:paraId="5BF451E4" w14:textId="77777777" w:rsidR="00786F5C" w:rsidRPr="00786F5C" w:rsidRDefault="00786F5C" w:rsidP="00786F5C">
      <w:pPr>
        <w:spacing w:line="240" w:lineRule="auto"/>
        <w:rPr>
          <w:rFonts w:eastAsia="Times New Roman" w:cs="Arial"/>
          <w:lang w:eastAsia="bg-BG"/>
        </w:rPr>
      </w:pPr>
      <w:r w:rsidRPr="00786F5C">
        <w:rPr>
          <w:rFonts w:eastAsia="Times New Roman" w:cs="Arial"/>
          <w:color w:val="000000"/>
          <w:lang w:eastAsia="bg-BG"/>
        </w:rPr>
        <w:t>Прилагането на Неомицинум ТС за продължителен период от време върху обширни, особено върху увредени кожни повърхности може да доведе до проникване на лекарствения продукт в кръвообращението и възникване на нежелани лекарствени реакции характерни за системните ефекти на неомицин-ототоксичност.</w:t>
      </w:r>
    </w:p>
    <w:p w14:paraId="28B5CDF8" w14:textId="77777777" w:rsidR="00786F5C" w:rsidRDefault="00786F5C" w:rsidP="00786F5C">
      <w:pPr>
        <w:spacing w:line="240" w:lineRule="auto"/>
        <w:rPr>
          <w:rFonts w:eastAsia="Times New Roman" w:cs="Arial"/>
          <w:b/>
          <w:bCs/>
          <w:color w:val="000000"/>
          <w:lang w:eastAsia="bg-BG"/>
        </w:rPr>
      </w:pPr>
    </w:p>
    <w:p w14:paraId="46F67543" w14:textId="6897F599" w:rsidR="00786F5C" w:rsidRPr="00786F5C" w:rsidRDefault="00786F5C" w:rsidP="00786F5C">
      <w:pPr>
        <w:spacing w:line="240" w:lineRule="auto"/>
        <w:rPr>
          <w:rFonts w:eastAsia="Times New Roman" w:cs="Arial"/>
          <w:lang w:eastAsia="bg-BG"/>
        </w:rPr>
      </w:pPr>
      <w:r w:rsidRPr="00786F5C">
        <w:rPr>
          <w:rFonts w:eastAsia="Times New Roman" w:cs="Arial"/>
          <w:b/>
          <w:bCs/>
          <w:color w:val="000000"/>
          <w:lang w:eastAsia="bg-BG"/>
        </w:rPr>
        <w:t>Нарушения на кожата и подкожната тъкан</w:t>
      </w:r>
    </w:p>
    <w:p w14:paraId="77FD7895" w14:textId="77777777" w:rsidR="00786F5C" w:rsidRPr="00786F5C" w:rsidRDefault="00786F5C" w:rsidP="00786F5C">
      <w:pPr>
        <w:spacing w:line="240" w:lineRule="auto"/>
        <w:rPr>
          <w:rFonts w:eastAsia="Times New Roman" w:cs="Arial"/>
          <w:lang w:eastAsia="bg-BG"/>
        </w:rPr>
      </w:pPr>
      <w:r w:rsidRPr="00786F5C">
        <w:rPr>
          <w:rFonts w:eastAsia="Times New Roman" w:cs="Arial"/>
          <w:color w:val="000000"/>
          <w:lang w:eastAsia="bg-BG"/>
        </w:rPr>
        <w:t>Локалното прилагане на неомицин може да причини дразнене на кожата (като сърбеж, обрив, зачервяване).</w:t>
      </w:r>
    </w:p>
    <w:p w14:paraId="3B95457F" w14:textId="77777777" w:rsidR="00786F5C" w:rsidRDefault="00786F5C" w:rsidP="00786F5C">
      <w:pPr>
        <w:spacing w:line="240" w:lineRule="auto"/>
        <w:rPr>
          <w:rFonts w:eastAsia="Times New Roman" w:cs="Arial"/>
          <w:b/>
          <w:bCs/>
          <w:color w:val="000000"/>
          <w:lang w:eastAsia="bg-BG"/>
        </w:rPr>
      </w:pPr>
    </w:p>
    <w:p w14:paraId="5207E5E3" w14:textId="45BE9635" w:rsidR="00786F5C" w:rsidRPr="00786F5C" w:rsidRDefault="00786F5C" w:rsidP="00786F5C">
      <w:pPr>
        <w:spacing w:line="240" w:lineRule="auto"/>
        <w:rPr>
          <w:rFonts w:eastAsia="Times New Roman" w:cs="Arial"/>
          <w:lang w:eastAsia="bg-BG"/>
        </w:rPr>
      </w:pPr>
      <w:r w:rsidRPr="00786F5C">
        <w:rPr>
          <w:rFonts w:eastAsia="Times New Roman" w:cs="Arial"/>
          <w:b/>
          <w:bCs/>
          <w:color w:val="000000"/>
          <w:lang w:eastAsia="bg-BG"/>
        </w:rPr>
        <w:t>Нарушения на имунната система</w:t>
      </w:r>
    </w:p>
    <w:p w14:paraId="140B15C0" w14:textId="77777777" w:rsidR="00786F5C" w:rsidRPr="00786F5C" w:rsidRDefault="00786F5C" w:rsidP="00786F5C">
      <w:pPr>
        <w:spacing w:line="240" w:lineRule="auto"/>
        <w:rPr>
          <w:rFonts w:eastAsia="Times New Roman" w:cs="Arial"/>
          <w:lang w:eastAsia="bg-BG"/>
        </w:rPr>
      </w:pPr>
      <w:r w:rsidRPr="00786F5C">
        <w:rPr>
          <w:rFonts w:eastAsia="Times New Roman" w:cs="Arial"/>
          <w:color w:val="000000"/>
          <w:lang w:eastAsia="bg-BG"/>
        </w:rPr>
        <w:t>Прилагането на неомицин, особено за продължителен период от време може да доведе до контактна алергия.</w:t>
      </w:r>
    </w:p>
    <w:p w14:paraId="0D47505D" w14:textId="77777777" w:rsidR="00786F5C" w:rsidRPr="00786F5C" w:rsidRDefault="00786F5C" w:rsidP="00786F5C"/>
    <w:p w14:paraId="378A0F20" w14:textId="4DF3CD87" w:rsidR="001D095A" w:rsidRDefault="002C50EE" w:rsidP="00340E8D">
      <w:pPr>
        <w:pStyle w:val="Heading2"/>
      </w:pPr>
      <w:r>
        <w:t>4.9. Предозиране</w:t>
      </w:r>
    </w:p>
    <w:p w14:paraId="1D20960D" w14:textId="06293AAE" w:rsidR="00786F5C" w:rsidRDefault="00786F5C" w:rsidP="00786F5C"/>
    <w:p w14:paraId="4A77DA1F" w14:textId="77777777" w:rsidR="00786F5C" w:rsidRPr="00786F5C" w:rsidRDefault="00786F5C" w:rsidP="00786F5C">
      <w:pPr>
        <w:spacing w:line="240" w:lineRule="auto"/>
        <w:rPr>
          <w:rFonts w:eastAsia="Times New Roman" w:cs="Arial"/>
          <w:lang w:eastAsia="bg-BG"/>
        </w:rPr>
      </w:pPr>
      <w:r w:rsidRPr="00786F5C">
        <w:rPr>
          <w:rFonts w:eastAsia="Times New Roman" w:cs="Arial"/>
          <w:color w:val="000000"/>
          <w:lang w:eastAsia="bg-BG"/>
        </w:rPr>
        <w:t>При употреба на лекарствения продукт върху обширни кожни повърхности, във високи дози, под оклузивни превръзки или увредена кожа е възможно проникване на неомицин в кръвта и изявяване на неговия системен ефект (виж т.4.4). Симптомите на предозиране включват както изразени нежелани лекарствени реакции свързани с локалната апликация, така и нежелани реакции, характерни за общото приложение на лекарствения продукт (ототоксичност, нефротоксичност). В този случай трябва незабавно и безусловно да се преустанови употребата на продукта и възможно най - бързо да се проведат мероприятия за отстраняване на продукта от организма. Лечението е симптоматично.</w:t>
      </w:r>
    </w:p>
    <w:p w14:paraId="76BCE366" w14:textId="77777777" w:rsidR="00786F5C" w:rsidRPr="00786F5C" w:rsidRDefault="00786F5C" w:rsidP="00786F5C"/>
    <w:p w14:paraId="02081B24" w14:textId="46CD52F1" w:rsidR="00395555" w:rsidRPr="00395555" w:rsidRDefault="002C50EE" w:rsidP="008A6AF2">
      <w:pPr>
        <w:pStyle w:val="Heading1"/>
      </w:pPr>
      <w:r>
        <w:lastRenderedPageBreak/>
        <w:t>5. ФАРМАКОЛОГИЧНИ СВОЙСТВА</w:t>
      </w:r>
    </w:p>
    <w:p w14:paraId="7F6CC5E1" w14:textId="40CBE467" w:rsidR="00F62E44" w:rsidRDefault="002C50EE" w:rsidP="00387A66">
      <w:pPr>
        <w:pStyle w:val="Heading2"/>
      </w:pPr>
      <w:r>
        <w:t>5.1. Фармакодинамични свойства</w:t>
      </w:r>
    </w:p>
    <w:p w14:paraId="690617B6" w14:textId="29C88838" w:rsidR="00786F5C" w:rsidRDefault="00786F5C" w:rsidP="00786F5C"/>
    <w:p w14:paraId="4703B644" w14:textId="77777777" w:rsidR="00786F5C" w:rsidRPr="00786F5C" w:rsidRDefault="00786F5C" w:rsidP="00786F5C">
      <w:pPr>
        <w:spacing w:line="240" w:lineRule="auto"/>
        <w:rPr>
          <w:rFonts w:eastAsia="Times New Roman" w:cs="Arial"/>
          <w:lang w:eastAsia="bg-BG"/>
        </w:rPr>
      </w:pPr>
      <w:r w:rsidRPr="00786F5C">
        <w:rPr>
          <w:rFonts w:eastAsia="Times New Roman" w:cs="Arial"/>
          <w:color w:val="000000"/>
          <w:lang w:eastAsia="bg-BG"/>
        </w:rPr>
        <w:t>Фармакотерапевтична група: аминогликозидни антибиотици</w:t>
      </w:r>
    </w:p>
    <w:p w14:paraId="74742398" w14:textId="77777777" w:rsidR="00786F5C" w:rsidRPr="00786F5C" w:rsidRDefault="00786F5C" w:rsidP="00786F5C">
      <w:pPr>
        <w:spacing w:line="240" w:lineRule="auto"/>
        <w:rPr>
          <w:rFonts w:eastAsia="Times New Roman" w:cs="Arial"/>
          <w:lang w:eastAsia="bg-BG"/>
        </w:rPr>
      </w:pPr>
      <w:r w:rsidRPr="00786F5C">
        <w:rPr>
          <w:rFonts w:eastAsia="Times New Roman" w:cs="Arial"/>
          <w:color w:val="000000"/>
          <w:lang w:eastAsia="bg-BG"/>
        </w:rPr>
        <w:t xml:space="preserve">АТС код: </w:t>
      </w:r>
      <w:r w:rsidRPr="00786F5C">
        <w:rPr>
          <w:rFonts w:eastAsia="Times New Roman" w:cs="Arial"/>
          <w:color w:val="000000"/>
          <w:lang w:val="en-US"/>
        </w:rPr>
        <w:t xml:space="preserve">D06AX </w:t>
      </w:r>
      <w:r w:rsidRPr="00786F5C">
        <w:rPr>
          <w:rFonts w:eastAsia="Times New Roman" w:cs="Arial"/>
          <w:color w:val="000000"/>
          <w:lang w:eastAsia="bg-BG"/>
        </w:rPr>
        <w:t>04</w:t>
      </w:r>
    </w:p>
    <w:p w14:paraId="268676B5" w14:textId="77777777" w:rsidR="00786F5C" w:rsidRPr="00786F5C" w:rsidRDefault="00786F5C" w:rsidP="00786F5C">
      <w:pPr>
        <w:spacing w:line="240" w:lineRule="auto"/>
        <w:rPr>
          <w:rFonts w:eastAsia="Times New Roman" w:cs="Arial"/>
          <w:lang w:eastAsia="bg-BG"/>
        </w:rPr>
      </w:pPr>
      <w:r w:rsidRPr="00786F5C">
        <w:rPr>
          <w:rFonts w:eastAsia="Times New Roman" w:cs="Arial"/>
          <w:color w:val="000000"/>
          <w:lang w:eastAsia="bg-BG"/>
        </w:rPr>
        <w:t xml:space="preserve">Неомицин е амииогликозиден антибиотик с широк спектър на антибактериална активност. Неомицин действа бактерицидно върху редица Грам (+) и Грам (-) бактерии. Най - вече чувствителни към действието на неомицин са Грам (-) микроорганизми: Е. </w:t>
      </w:r>
      <w:r w:rsidRPr="00786F5C">
        <w:rPr>
          <w:rFonts w:eastAsia="Times New Roman" w:cs="Arial"/>
          <w:color w:val="000000"/>
          <w:lang w:val="en-US"/>
        </w:rPr>
        <w:t xml:space="preserve">Coli, Enterobacter aerogenes, Klebsiella pneumoniae, Proteus vulgaris. </w:t>
      </w:r>
      <w:r w:rsidRPr="00786F5C">
        <w:rPr>
          <w:rFonts w:eastAsia="Times New Roman" w:cs="Arial"/>
          <w:color w:val="000000"/>
          <w:lang w:eastAsia="bg-BG"/>
        </w:rPr>
        <w:t xml:space="preserve">Сред Грам </w:t>
      </w:r>
      <w:r w:rsidRPr="00786F5C">
        <w:rPr>
          <w:rFonts w:eastAsia="Times New Roman" w:cs="Arial"/>
          <w:color w:val="000000"/>
          <w:lang w:val="en-US"/>
        </w:rPr>
        <w:t xml:space="preserve">(+) </w:t>
      </w:r>
      <w:r w:rsidRPr="00786F5C">
        <w:rPr>
          <w:rFonts w:eastAsia="Times New Roman" w:cs="Arial"/>
          <w:color w:val="000000"/>
          <w:lang w:eastAsia="bg-BG"/>
        </w:rPr>
        <w:t xml:space="preserve">микроорганизми чувствителни към действието на неомицин са: </w:t>
      </w:r>
      <w:r w:rsidRPr="00786F5C">
        <w:rPr>
          <w:rFonts w:eastAsia="Times New Roman" w:cs="Arial"/>
          <w:color w:val="000000"/>
          <w:lang w:val="en-US"/>
        </w:rPr>
        <w:t xml:space="preserve">Staphylococcus aureus, Strep. faecalis, M. tuberculosis. </w:t>
      </w:r>
      <w:r w:rsidRPr="00786F5C">
        <w:rPr>
          <w:rFonts w:eastAsia="Times New Roman" w:cs="Arial"/>
          <w:color w:val="000000"/>
          <w:lang w:eastAsia="bg-BG"/>
        </w:rPr>
        <w:t xml:space="preserve">Бактерицидният механизъм на действие се основава на свързване на субединица </w:t>
      </w:r>
      <w:r w:rsidRPr="00786F5C">
        <w:rPr>
          <w:rFonts w:eastAsia="Times New Roman" w:cs="Arial"/>
          <w:color w:val="000000"/>
          <w:lang w:val="en-US"/>
        </w:rPr>
        <w:t xml:space="preserve">30S </w:t>
      </w:r>
      <w:r w:rsidRPr="00786F5C">
        <w:rPr>
          <w:rFonts w:eastAsia="Times New Roman" w:cs="Arial"/>
          <w:color w:val="000000"/>
          <w:lang w:eastAsia="bg-BG"/>
        </w:rPr>
        <w:t>на бактериалните рибозоми, което води до грешка в разчитане на информацията, която се съдържа в тРНК, както и до потискане на белтъчния синтез, вследствие на което бактериалната клетка загива.</w:t>
      </w:r>
    </w:p>
    <w:p w14:paraId="0D1EA3CA" w14:textId="77777777" w:rsidR="00786F5C" w:rsidRPr="00786F5C" w:rsidRDefault="00786F5C" w:rsidP="00786F5C"/>
    <w:p w14:paraId="544FFDAF" w14:textId="223AAE32" w:rsidR="00F62E44" w:rsidRDefault="002C50EE" w:rsidP="00387A66">
      <w:pPr>
        <w:pStyle w:val="Heading2"/>
      </w:pPr>
      <w:r>
        <w:t>5.2. Фармакокинетични свойства</w:t>
      </w:r>
    </w:p>
    <w:p w14:paraId="40398264" w14:textId="794C0214" w:rsidR="00786F5C" w:rsidRDefault="00786F5C" w:rsidP="00786F5C"/>
    <w:p w14:paraId="2A58609B" w14:textId="10BF7FBC" w:rsidR="00786F5C" w:rsidRPr="00786F5C" w:rsidRDefault="00786F5C" w:rsidP="00786F5C">
      <w:pPr>
        <w:rPr>
          <w:lang w:eastAsia="bg-BG"/>
        </w:rPr>
      </w:pPr>
      <w:r w:rsidRPr="00786F5C">
        <w:rPr>
          <w:lang w:eastAsia="bg-BG"/>
        </w:rPr>
        <w:t>Неомицин приложен върху неувредена и ненаранена кожна повърхност притежава локално действие и практически не прониква в кръвообращението. При прилагане</w:t>
      </w:r>
      <w:r w:rsidRPr="00786F5C">
        <w:rPr>
          <w:lang w:eastAsia="bg-BG"/>
        </w:rPr>
        <w:t xml:space="preserve"> </w:t>
      </w:r>
      <w:r w:rsidRPr="00786F5C">
        <w:t>върху увредена кожна повърхност лекарственият продукт може да проникне в кръвообращението и да има системен ефект.</w:t>
      </w:r>
    </w:p>
    <w:p w14:paraId="73F8AB9A" w14:textId="77777777" w:rsidR="00786F5C" w:rsidRPr="00786F5C" w:rsidRDefault="00786F5C" w:rsidP="00786F5C"/>
    <w:p w14:paraId="6925FEB0" w14:textId="7218BFFE" w:rsidR="00F62E44" w:rsidRDefault="002C50EE" w:rsidP="00387A66">
      <w:pPr>
        <w:pStyle w:val="Heading2"/>
      </w:pPr>
      <w:r>
        <w:t>5.3. Предклинични данни за безопасност</w:t>
      </w:r>
    </w:p>
    <w:p w14:paraId="3A8A6E62" w14:textId="6BB969DC" w:rsidR="00786F5C" w:rsidRDefault="00786F5C" w:rsidP="00786F5C"/>
    <w:p w14:paraId="362787AB" w14:textId="77777777" w:rsidR="00786F5C" w:rsidRPr="00786F5C" w:rsidRDefault="00786F5C" w:rsidP="00786F5C">
      <w:pPr>
        <w:rPr>
          <w:sz w:val="24"/>
          <w:szCs w:val="24"/>
          <w:lang w:eastAsia="bg-BG"/>
        </w:rPr>
      </w:pPr>
      <w:r w:rsidRPr="00786F5C">
        <w:rPr>
          <w:lang w:eastAsia="bg-BG"/>
        </w:rPr>
        <w:t>Няма налични предклинични данни по отношение на токсичността на лекарствения продукт при локално приложение.</w:t>
      </w:r>
    </w:p>
    <w:p w14:paraId="431F08F8" w14:textId="77777777" w:rsidR="00786F5C" w:rsidRPr="00786F5C" w:rsidRDefault="00786F5C" w:rsidP="00786F5C"/>
    <w:p w14:paraId="42A07F26" w14:textId="77777777" w:rsidR="00786F5C" w:rsidRPr="00786F5C" w:rsidRDefault="00786F5C" w:rsidP="00786F5C"/>
    <w:p w14:paraId="357049A8" w14:textId="74C3A66C" w:rsidR="00BB22B4" w:rsidRDefault="002C50EE" w:rsidP="00471F10">
      <w:pPr>
        <w:pStyle w:val="Heading1"/>
      </w:pPr>
      <w:r>
        <w:t>7. ПРИТЕЖАТЕЛ НА РАЗРЕШЕНИЕТО ЗА УПОТРЕБА</w:t>
      </w:r>
    </w:p>
    <w:p w14:paraId="10D468FC" w14:textId="3FCC46D1" w:rsidR="00786F5C" w:rsidRDefault="00786F5C" w:rsidP="00786F5C"/>
    <w:p w14:paraId="103FDFE4" w14:textId="77777777" w:rsidR="00786F5C" w:rsidRPr="00786F5C" w:rsidRDefault="00786F5C" w:rsidP="00786F5C">
      <w:pPr>
        <w:rPr>
          <w:sz w:val="24"/>
          <w:szCs w:val="24"/>
          <w:lang w:val="en-US" w:eastAsia="bg-BG"/>
        </w:rPr>
      </w:pPr>
      <w:proofErr w:type="spellStart"/>
      <w:r w:rsidRPr="00786F5C">
        <w:rPr>
          <w:lang w:val="en-US"/>
        </w:rPr>
        <w:t>Tarchom</w:t>
      </w:r>
      <w:proofErr w:type="spellEnd"/>
      <w:r w:rsidRPr="00786F5C">
        <w:rPr>
          <w:lang w:val="en-US"/>
        </w:rPr>
        <w:t xml:space="preserve"> in Pharmaceutical Works „</w:t>
      </w:r>
      <w:proofErr w:type="spellStart"/>
      <w:r w:rsidRPr="00786F5C">
        <w:rPr>
          <w:lang w:val="en-US"/>
        </w:rPr>
        <w:t>Polfa</w:t>
      </w:r>
      <w:proofErr w:type="spellEnd"/>
      <w:r w:rsidRPr="00786F5C">
        <w:rPr>
          <w:lang w:val="en-US"/>
        </w:rPr>
        <w:t>” S.A.</w:t>
      </w:r>
    </w:p>
    <w:p w14:paraId="7D7CD8AF" w14:textId="77777777" w:rsidR="00786F5C" w:rsidRPr="00786F5C" w:rsidRDefault="00786F5C" w:rsidP="00786F5C">
      <w:pPr>
        <w:rPr>
          <w:sz w:val="24"/>
          <w:szCs w:val="24"/>
          <w:lang w:val="en-US" w:eastAsia="bg-BG"/>
        </w:rPr>
      </w:pPr>
      <w:r w:rsidRPr="00786F5C">
        <w:rPr>
          <w:lang w:val="en-US"/>
        </w:rPr>
        <w:t xml:space="preserve">2, </w:t>
      </w:r>
      <w:proofErr w:type="spellStart"/>
      <w:r w:rsidRPr="00786F5C">
        <w:rPr>
          <w:lang w:val="en-US"/>
        </w:rPr>
        <w:t>Fleminga</w:t>
      </w:r>
      <w:proofErr w:type="spellEnd"/>
      <w:r w:rsidRPr="00786F5C">
        <w:rPr>
          <w:lang w:val="en-US"/>
        </w:rPr>
        <w:t xml:space="preserve"> Str.</w:t>
      </w:r>
    </w:p>
    <w:p w14:paraId="3991ADE2" w14:textId="77777777" w:rsidR="00786F5C" w:rsidRPr="00786F5C" w:rsidRDefault="00786F5C" w:rsidP="00786F5C">
      <w:pPr>
        <w:rPr>
          <w:sz w:val="24"/>
          <w:szCs w:val="24"/>
          <w:lang w:val="en-US" w:eastAsia="bg-BG"/>
        </w:rPr>
      </w:pPr>
      <w:r w:rsidRPr="00786F5C">
        <w:rPr>
          <w:lang w:val="en-US"/>
        </w:rPr>
        <w:t>03-176 Warsaw</w:t>
      </w:r>
    </w:p>
    <w:p w14:paraId="1AC58D67" w14:textId="24C877C4" w:rsidR="00786F5C" w:rsidRPr="00786F5C" w:rsidRDefault="00786F5C" w:rsidP="00786F5C">
      <w:r w:rsidRPr="00786F5C">
        <w:rPr>
          <w:lang w:eastAsia="bg-BG"/>
        </w:rPr>
        <w:t>Полша</w:t>
      </w:r>
    </w:p>
    <w:p w14:paraId="0A53321D" w14:textId="74FBD4FB" w:rsidR="00EE6C97" w:rsidRDefault="00936AD0" w:rsidP="00A93499">
      <w:pPr>
        <w:pStyle w:val="Heading1"/>
      </w:pPr>
      <w:r>
        <w:t>8.</w:t>
      </w:r>
      <w:r w:rsidR="002C50EE">
        <w:t>НОМЕР НА РАЗРЕШЕНИЕТО ЗА УПОТРЕБА</w:t>
      </w:r>
    </w:p>
    <w:p w14:paraId="7C2688F5" w14:textId="1984F4F5" w:rsidR="00F62E44" w:rsidRDefault="00F62E44" w:rsidP="00F62E44"/>
    <w:p w14:paraId="1CB61261" w14:textId="0222E793" w:rsidR="00786F5C" w:rsidRDefault="00786F5C" w:rsidP="00786F5C">
      <w:r>
        <w:t>20030373</w:t>
      </w:r>
    </w:p>
    <w:p w14:paraId="00481C21" w14:textId="697788DB" w:rsidR="00F62E44" w:rsidRDefault="002C50EE" w:rsidP="00387A66">
      <w:pPr>
        <w:pStyle w:val="Heading1"/>
      </w:pPr>
      <w:r>
        <w:t>9. ДАТА НА ПЪРВО РАЗРЕШАВАНЕ/ПОДНОВЯВАНЕ НА РАЗРЕШЕНИЕТО ЗА УПОТРЕБА</w:t>
      </w:r>
    </w:p>
    <w:p w14:paraId="29CA3A10" w14:textId="4E223EFE" w:rsidR="00786F5C" w:rsidRDefault="00786F5C" w:rsidP="00786F5C"/>
    <w:p w14:paraId="12D7858C" w14:textId="2E4EF49B" w:rsidR="00786F5C" w:rsidRPr="00786F5C" w:rsidRDefault="00786F5C" w:rsidP="00786F5C">
      <w:r>
        <w:t>23.05.2003</w:t>
      </w:r>
    </w:p>
    <w:p w14:paraId="43FB38A2" w14:textId="0C18A683" w:rsidR="007C605B" w:rsidRDefault="002C50EE" w:rsidP="005726E3">
      <w:pPr>
        <w:pStyle w:val="Heading1"/>
      </w:pPr>
      <w:r>
        <w:lastRenderedPageBreak/>
        <w:t>10. ДАТА НА АКТУАЛИЗИРАНЕ НА ТЕКСТА</w:t>
      </w:r>
      <w:bookmarkEnd w:id="0"/>
    </w:p>
    <w:p w14:paraId="472617BD" w14:textId="4E52188C" w:rsidR="00BB22B4" w:rsidRPr="00BB22B4" w:rsidRDefault="00BB22B4" w:rsidP="008F7F23"/>
    <w:sectPr w:rsidR="00BB22B4" w:rsidRPr="00BB22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343CB"/>
    <w:multiLevelType w:val="hybridMultilevel"/>
    <w:tmpl w:val="5AC6EB92"/>
    <w:lvl w:ilvl="0" w:tplc="8A08BA8E">
      <w:start w:val="4"/>
      <w:numFmt w:val="bullet"/>
      <w:lvlText w:val="-"/>
      <w:lvlJc w:val="left"/>
      <w:pPr>
        <w:ind w:left="720" w:hanging="360"/>
      </w:pPr>
      <w:rPr>
        <w:rFonts w:ascii="Arial" w:eastAsiaTheme="minorHAnsi"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1"/>
  </w:num>
  <w:num w:numId="2" w16cid:durableId="1612932146">
    <w:abstractNumId w:val="0"/>
  </w:num>
  <w:num w:numId="3" w16cid:durableId="1810323821">
    <w:abstractNumId w:val="15"/>
  </w:num>
  <w:num w:numId="4" w16cid:durableId="2135319613">
    <w:abstractNumId w:val="3"/>
  </w:num>
  <w:num w:numId="5" w16cid:durableId="740105516">
    <w:abstractNumId w:val="1"/>
  </w:num>
  <w:num w:numId="6" w16cid:durableId="1668363208">
    <w:abstractNumId w:val="19"/>
  </w:num>
  <w:num w:numId="7" w16cid:durableId="1241988161">
    <w:abstractNumId w:val="12"/>
  </w:num>
  <w:num w:numId="8" w16cid:durableId="2102022361">
    <w:abstractNumId w:val="18"/>
  </w:num>
  <w:num w:numId="9" w16cid:durableId="1154613663">
    <w:abstractNumId w:val="2"/>
  </w:num>
  <w:num w:numId="10" w16cid:durableId="1733848127">
    <w:abstractNumId w:val="4"/>
  </w:num>
  <w:num w:numId="11" w16cid:durableId="1861704680">
    <w:abstractNumId w:val="34"/>
  </w:num>
  <w:num w:numId="12" w16cid:durableId="1434934028">
    <w:abstractNumId w:val="16"/>
  </w:num>
  <w:num w:numId="13" w16cid:durableId="479157895">
    <w:abstractNumId w:val="22"/>
  </w:num>
  <w:num w:numId="14" w16cid:durableId="1670476636">
    <w:abstractNumId w:val="14"/>
  </w:num>
  <w:num w:numId="15" w16cid:durableId="1000155783">
    <w:abstractNumId w:val="33"/>
  </w:num>
  <w:num w:numId="16" w16cid:durableId="2056420707">
    <w:abstractNumId w:val="11"/>
  </w:num>
  <w:num w:numId="17" w16cid:durableId="1787119182">
    <w:abstractNumId w:val="27"/>
  </w:num>
  <w:num w:numId="18" w16cid:durableId="722945139">
    <w:abstractNumId w:val="8"/>
  </w:num>
  <w:num w:numId="19" w16cid:durableId="1678728408">
    <w:abstractNumId w:val="29"/>
  </w:num>
  <w:num w:numId="20" w16cid:durableId="1970816657">
    <w:abstractNumId w:val="26"/>
  </w:num>
  <w:num w:numId="21" w16cid:durableId="1531146514">
    <w:abstractNumId w:val="20"/>
  </w:num>
  <w:num w:numId="22" w16cid:durableId="1276465">
    <w:abstractNumId w:val="28"/>
  </w:num>
  <w:num w:numId="23" w16cid:durableId="1624310558">
    <w:abstractNumId w:val="21"/>
  </w:num>
  <w:num w:numId="24" w16cid:durableId="1692877547">
    <w:abstractNumId w:val="9"/>
  </w:num>
  <w:num w:numId="25" w16cid:durableId="50930855">
    <w:abstractNumId w:val="25"/>
  </w:num>
  <w:num w:numId="26" w16cid:durableId="176701536">
    <w:abstractNumId w:val="24"/>
  </w:num>
  <w:num w:numId="27" w16cid:durableId="2050564750">
    <w:abstractNumId w:val="35"/>
  </w:num>
  <w:num w:numId="28" w16cid:durableId="1820733422">
    <w:abstractNumId w:val="6"/>
  </w:num>
  <w:num w:numId="29" w16cid:durableId="973678124">
    <w:abstractNumId w:val="23"/>
  </w:num>
  <w:num w:numId="30" w16cid:durableId="154884452">
    <w:abstractNumId w:val="39"/>
  </w:num>
  <w:num w:numId="31" w16cid:durableId="1053964910">
    <w:abstractNumId w:val="5"/>
  </w:num>
  <w:num w:numId="32" w16cid:durableId="2073575793">
    <w:abstractNumId w:val="37"/>
  </w:num>
  <w:num w:numId="33" w16cid:durableId="1566643170">
    <w:abstractNumId w:val="32"/>
  </w:num>
  <w:num w:numId="34" w16cid:durableId="2060787732">
    <w:abstractNumId w:val="36"/>
  </w:num>
  <w:num w:numId="35" w16cid:durableId="34161354">
    <w:abstractNumId w:val="7"/>
  </w:num>
  <w:num w:numId="36" w16cid:durableId="1976908676">
    <w:abstractNumId w:val="10"/>
  </w:num>
  <w:num w:numId="37" w16cid:durableId="758528303">
    <w:abstractNumId w:val="17"/>
  </w:num>
  <w:num w:numId="38" w16cid:durableId="178396561">
    <w:abstractNumId w:val="38"/>
  </w:num>
  <w:num w:numId="39" w16cid:durableId="934825996">
    <w:abstractNumId w:val="13"/>
  </w:num>
  <w:num w:numId="40" w16cid:durableId="2695509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095A"/>
    <w:rsid w:val="001D1B23"/>
    <w:rsid w:val="002B3C38"/>
    <w:rsid w:val="002B4DBB"/>
    <w:rsid w:val="002C50EE"/>
    <w:rsid w:val="00340A0A"/>
    <w:rsid w:val="00340E8D"/>
    <w:rsid w:val="003765DC"/>
    <w:rsid w:val="00387A66"/>
    <w:rsid w:val="00395555"/>
    <w:rsid w:val="003E3126"/>
    <w:rsid w:val="00426E5F"/>
    <w:rsid w:val="00471F10"/>
    <w:rsid w:val="004A448E"/>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86F5C"/>
    <w:rsid w:val="007C605B"/>
    <w:rsid w:val="008134C8"/>
    <w:rsid w:val="00814073"/>
    <w:rsid w:val="00826F0D"/>
    <w:rsid w:val="00875EEC"/>
    <w:rsid w:val="00893B92"/>
    <w:rsid w:val="008A6AF2"/>
    <w:rsid w:val="008C70A2"/>
    <w:rsid w:val="008F7F23"/>
    <w:rsid w:val="00936AD0"/>
    <w:rsid w:val="00954129"/>
    <w:rsid w:val="009773E4"/>
    <w:rsid w:val="009B171C"/>
    <w:rsid w:val="009F1313"/>
    <w:rsid w:val="009F77A4"/>
    <w:rsid w:val="00A20351"/>
    <w:rsid w:val="00A428B7"/>
    <w:rsid w:val="00A65A81"/>
    <w:rsid w:val="00A71DCF"/>
    <w:rsid w:val="00A93499"/>
    <w:rsid w:val="00AA23EC"/>
    <w:rsid w:val="00AC63CE"/>
    <w:rsid w:val="00AE2107"/>
    <w:rsid w:val="00B275A8"/>
    <w:rsid w:val="00B6672E"/>
    <w:rsid w:val="00BA5B74"/>
    <w:rsid w:val="00BB22B4"/>
    <w:rsid w:val="00BF2600"/>
    <w:rsid w:val="00C0049F"/>
    <w:rsid w:val="00C07B84"/>
    <w:rsid w:val="00C33464"/>
    <w:rsid w:val="00C40420"/>
    <w:rsid w:val="00C809A7"/>
    <w:rsid w:val="00C83063"/>
    <w:rsid w:val="00C87E90"/>
    <w:rsid w:val="00CA1B57"/>
    <w:rsid w:val="00CF77F7"/>
    <w:rsid w:val="00D86297"/>
    <w:rsid w:val="00DB32D3"/>
    <w:rsid w:val="00DD466D"/>
    <w:rsid w:val="00E9184E"/>
    <w:rsid w:val="00EB6364"/>
    <w:rsid w:val="00EE6C97"/>
    <w:rsid w:val="00F37B64"/>
    <w:rsid w:val="00F53FB7"/>
    <w:rsid w:val="00F62E4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1173</Words>
  <Characters>6692</Characters>
  <Application>Microsoft Office Word</Application>
  <DocSecurity>0</DocSecurity>
  <Lines>55</Lines>
  <Paragraphs>15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2023-04-05T15:54:00Z</dcterms:created>
  <dcterms:modified xsi:type="dcterms:W3CDTF">2023-04-05T15:54:00Z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