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29238AAA" w:rsidR="007122AD" w:rsidRDefault="00DD466D" w:rsidP="00936AD0">
      <w:pPr>
        <w:pStyle w:val="Heading1"/>
      </w:pPr>
      <w:r>
        <w:t>1.ИМЕ НА ЛЕКАРСТВЕНИЯ ПРОДУКТ</w:t>
      </w:r>
    </w:p>
    <w:p w14:paraId="538B6CFB" w14:textId="26E0AF21" w:rsidR="00813FBC" w:rsidRDefault="00813FBC" w:rsidP="00813FBC"/>
    <w:p w14:paraId="5F0CDF35"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Неоросо 10 </w:t>
      </w:r>
      <w:r w:rsidRPr="00813FBC">
        <w:rPr>
          <w:rFonts w:eastAsia="Times New Roman" w:cs="Arial"/>
          <w:color w:val="000000"/>
          <w:lang w:val="en-US"/>
        </w:rPr>
        <w:t>mg</w:t>
      </w:r>
      <w:r w:rsidRPr="00813FBC">
        <w:rPr>
          <w:rFonts w:eastAsia="Times New Roman" w:cs="Arial"/>
          <w:color w:val="000000"/>
        </w:rPr>
        <w:t xml:space="preserve"> </w:t>
      </w:r>
      <w:r w:rsidRPr="00813FBC">
        <w:rPr>
          <w:rFonts w:eastAsia="Times New Roman" w:cs="Arial"/>
          <w:color w:val="000000"/>
          <w:lang w:eastAsia="bg-BG"/>
        </w:rPr>
        <w:t>филмирани таблетки</w:t>
      </w:r>
    </w:p>
    <w:p w14:paraId="0BDBCD92" w14:textId="77777777" w:rsidR="00813FBC" w:rsidRPr="00813FBC" w:rsidRDefault="00813FBC" w:rsidP="00813FBC">
      <w:pPr>
        <w:spacing w:line="240" w:lineRule="auto"/>
        <w:rPr>
          <w:rFonts w:ascii="Times New Roman" w:eastAsia="Times New Roman" w:hAnsi="Times New Roman" w:cs="Times New Roman"/>
          <w:sz w:val="24"/>
          <w:szCs w:val="24"/>
        </w:rPr>
      </w:pPr>
      <w:proofErr w:type="spellStart"/>
      <w:r w:rsidRPr="00813FBC">
        <w:rPr>
          <w:rFonts w:eastAsia="Times New Roman" w:cs="Arial"/>
          <w:color w:val="000000"/>
          <w:lang w:val="en-US"/>
        </w:rPr>
        <w:t>Neoroso</w:t>
      </w:r>
      <w:proofErr w:type="spellEnd"/>
      <w:r w:rsidRPr="00813FBC">
        <w:rPr>
          <w:rFonts w:eastAsia="Times New Roman" w:cs="Arial"/>
          <w:color w:val="000000"/>
        </w:rPr>
        <w:t xml:space="preserve"> </w:t>
      </w:r>
      <w:r w:rsidRPr="00813FBC">
        <w:rPr>
          <w:rFonts w:eastAsia="Times New Roman" w:cs="Arial"/>
          <w:color w:val="000000"/>
          <w:lang w:eastAsia="bg-BG"/>
        </w:rPr>
        <w:t xml:space="preserve">10 </w:t>
      </w:r>
      <w:r w:rsidRPr="00813FBC">
        <w:rPr>
          <w:rFonts w:eastAsia="Times New Roman" w:cs="Arial"/>
          <w:color w:val="000000"/>
          <w:lang w:val="en-US"/>
        </w:rPr>
        <w:t>mg</w:t>
      </w:r>
      <w:r w:rsidRPr="00813FBC">
        <w:rPr>
          <w:rFonts w:eastAsia="Times New Roman" w:cs="Arial"/>
          <w:color w:val="000000"/>
        </w:rPr>
        <w:t xml:space="preserve"> </w:t>
      </w:r>
      <w:r w:rsidRPr="00813FBC">
        <w:rPr>
          <w:rFonts w:eastAsia="Times New Roman" w:cs="Arial"/>
          <w:color w:val="000000"/>
          <w:lang w:val="en-US"/>
        </w:rPr>
        <w:t>film</w:t>
      </w:r>
      <w:r w:rsidRPr="00813FBC">
        <w:rPr>
          <w:rFonts w:eastAsia="Times New Roman" w:cs="Arial"/>
          <w:color w:val="000000"/>
        </w:rPr>
        <w:t>-</w:t>
      </w:r>
      <w:r w:rsidRPr="00813FBC">
        <w:rPr>
          <w:rFonts w:eastAsia="Times New Roman" w:cs="Arial"/>
          <w:color w:val="000000"/>
          <w:lang w:val="en-US"/>
        </w:rPr>
        <w:t>coated</w:t>
      </w:r>
      <w:r w:rsidRPr="00813FBC">
        <w:rPr>
          <w:rFonts w:eastAsia="Times New Roman" w:cs="Arial"/>
          <w:color w:val="000000"/>
        </w:rPr>
        <w:t xml:space="preserve"> </w:t>
      </w:r>
      <w:r w:rsidRPr="00813FBC">
        <w:rPr>
          <w:rFonts w:eastAsia="Times New Roman" w:cs="Arial"/>
          <w:color w:val="000000"/>
          <w:lang w:val="en-US"/>
        </w:rPr>
        <w:t>tablets</w:t>
      </w:r>
    </w:p>
    <w:p w14:paraId="1F4D54B6" w14:textId="77777777" w:rsidR="00813FBC" w:rsidRDefault="00813FBC" w:rsidP="00813FBC">
      <w:pPr>
        <w:spacing w:line="240" w:lineRule="auto"/>
        <w:rPr>
          <w:rFonts w:eastAsia="Times New Roman" w:cs="Arial"/>
          <w:color w:val="000000"/>
          <w:lang w:eastAsia="bg-BG"/>
        </w:rPr>
      </w:pPr>
    </w:p>
    <w:p w14:paraId="0A6A214D" w14:textId="312CD0A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Неоросо </w:t>
      </w:r>
      <w:r w:rsidRPr="00813FBC">
        <w:rPr>
          <w:rFonts w:eastAsia="Times New Roman" w:cs="Arial"/>
          <w:color w:val="000000"/>
        </w:rPr>
        <w:t xml:space="preserve">20 </w:t>
      </w:r>
      <w:r w:rsidRPr="00813FBC">
        <w:rPr>
          <w:rFonts w:eastAsia="Times New Roman" w:cs="Arial"/>
          <w:color w:val="000000"/>
          <w:lang w:val="en-US"/>
        </w:rPr>
        <w:t>mg</w:t>
      </w:r>
      <w:r w:rsidRPr="00813FBC">
        <w:rPr>
          <w:rFonts w:eastAsia="Times New Roman" w:cs="Arial"/>
          <w:color w:val="000000"/>
        </w:rPr>
        <w:t xml:space="preserve"> </w:t>
      </w:r>
      <w:r w:rsidRPr="00813FBC">
        <w:rPr>
          <w:rFonts w:eastAsia="Times New Roman" w:cs="Arial"/>
          <w:color w:val="000000"/>
          <w:lang w:eastAsia="bg-BG"/>
        </w:rPr>
        <w:t>филмирани таблетки</w:t>
      </w:r>
    </w:p>
    <w:p w14:paraId="14AB4594" w14:textId="248C307C" w:rsidR="00813FBC" w:rsidRPr="00813FBC" w:rsidRDefault="00813FBC" w:rsidP="00813FBC">
      <w:proofErr w:type="spellStart"/>
      <w:r w:rsidRPr="00813FBC">
        <w:rPr>
          <w:rFonts w:eastAsia="Times New Roman" w:cs="Arial"/>
          <w:color w:val="000000"/>
          <w:lang w:val="en-US"/>
        </w:rPr>
        <w:t>Neoroso</w:t>
      </w:r>
      <w:proofErr w:type="spellEnd"/>
      <w:r w:rsidRPr="00813FBC">
        <w:rPr>
          <w:rFonts w:eastAsia="Times New Roman" w:cs="Arial"/>
          <w:color w:val="000000"/>
        </w:rPr>
        <w:t xml:space="preserve"> </w:t>
      </w:r>
      <w:r w:rsidRPr="00813FBC">
        <w:rPr>
          <w:rFonts w:eastAsia="Times New Roman" w:cs="Arial"/>
          <w:color w:val="000000"/>
          <w:lang w:eastAsia="bg-BG"/>
        </w:rPr>
        <w:t xml:space="preserve">20 </w:t>
      </w:r>
      <w:r w:rsidRPr="00813FBC">
        <w:rPr>
          <w:rFonts w:eastAsia="Times New Roman" w:cs="Arial"/>
          <w:color w:val="000000"/>
          <w:lang w:val="en-US"/>
        </w:rPr>
        <w:t>mg</w:t>
      </w:r>
      <w:r w:rsidRPr="00813FBC">
        <w:rPr>
          <w:rFonts w:eastAsia="Times New Roman" w:cs="Arial"/>
          <w:color w:val="000000"/>
        </w:rPr>
        <w:t xml:space="preserve"> </w:t>
      </w:r>
      <w:r w:rsidRPr="00813FBC">
        <w:rPr>
          <w:rFonts w:eastAsia="Times New Roman" w:cs="Arial"/>
          <w:color w:val="000000"/>
          <w:lang w:val="en-US"/>
        </w:rPr>
        <w:t>film</w:t>
      </w:r>
      <w:r w:rsidRPr="00813FBC">
        <w:rPr>
          <w:rFonts w:eastAsia="Times New Roman" w:cs="Arial"/>
          <w:color w:val="000000"/>
        </w:rPr>
        <w:t>-</w:t>
      </w:r>
      <w:r w:rsidRPr="00813FBC">
        <w:rPr>
          <w:rFonts w:eastAsia="Times New Roman" w:cs="Arial"/>
          <w:color w:val="000000"/>
          <w:lang w:val="en-US"/>
        </w:rPr>
        <w:t>coated</w:t>
      </w:r>
      <w:r w:rsidRPr="00813FBC">
        <w:rPr>
          <w:rFonts w:eastAsia="Times New Roman" w:cs="Arial"/>
          <w:color w:val="000000"/>
        </w:rPr>
        <w:t xml:space="preserve"> </w:t>
      </w:r>
      <w:r w:rsidRPr="00813FBC">
        <w:rPr>
          <w:rFonts w:eastAsia="Times New Roman" w:cs="Arial"/>
          <w:color w:val="000000"/>
          <w:lang w:val="en-US"/>
        </w:rPr>
        <w:t>tablets</w:t>
      </w:r>
    </w:p>
    <w:p w14:paraId="6920A680" w14:textId="74B78CE0" w:rsidR="00C40420" w:rsidRDefault="00DD466D" w:rsidP="004A448E">
      <w:pPr>
        <w:pStyle w:val="Heading1"/>
      </w:pPr>
      <w:r>
        <w:t>2. КАЧЕСТВЕН И КОЛИЧЕСТВЕН СЪСТАВ</w:t>
      </w:r>
    </w:p>
    <w:p w14:paraId="40A46782" w14:textId="7E23C30F" w:rsidR="00813FBC" w:rsidRDefault="00813FBC" w:rsidP="00813FBC"/>
    <w:p w14:paraId="04798A62"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Всяка таблетка Неоросо 10 </w:t>
      </w:r>
      <w:r w:rsidRPr="00813FBC">
        <w:rPr>
          <w:rFonts w:eastAsia="Times New Roman" w:cs="Arial"/>
          <w:color w:val="000000"/>
          <w:lang w:val="en-US"/>
        </w:rPr>
        <w:t>mg</w:t>
      </w:r>
      <w:r w:rsidRPr="00813FBC">
        <w:rPr>
          <w:rFonts w:eastAsia="Times New Roman" w:cs="Arial"/>
          <w:color w:val="000000"/>
        </w:rPr>
        <w:t xml:space="preserve"> </w:t>
      </w:r>
      <w:r w:rsidRPr="00813FBC">
        <w:rPr>
          <w:rFonts w:eastAsia="Times New Roman" w:cs="Arial"/>
          <w:color w:val="000000"/>
          <w:lang w:eastAsia="bg-BG"/>
        </w:rPr>
        <w:t xml:space="preserve">филмирани таблетки съдържа 10 </w:t>
      </w:r>
      <w:r w:rsidRPr="00813FBC">
        <w:rPr>
          <w:rFonts w:eastAsia="Times New Roman" w:cs="Arial"/>
          <w:color w:val="000000"/>
          <w:lang w:val="en-US"/>
        </w:rPr>
        <w:t>mg</w:t>
      </w:r>
      <w:r w:rsidRPr="00813FBC">
        <w:rPr>
          <w:rFonts w:eastAsia="Times New Roman" w:cs="Arial"/>
          <w:color w:val="000000"/>
        </w:rPr>
        <w:t xml:space="preserve"> </w:t>
      </w:r>
      <w:r w:rsidRPr="00813FBC">
        <w:rPr>
          <w:rFonts w:eastAsia="Times New Roman" w:cs="Arial"/>
          <w:color w:val="000000"/>
          <w:lang w:eastAsia="bg-BG"/>
        </w:rPr>
        <w:t xml:space="preserve">розувастатин </w:t>
      </w:r>
      <w:r w:rsidRPr="00813FBC">
        <w:rPr>
          <w:rFonts w:eastAsia="Times New Roman" w:cs="Arial"/>
          <w:color w:val="000000"/>
        </w:rPr>
        <w:t>(</w:t>
      </w:r>
      <w:proofErr w:type="spellStart"/>
      <w:r w:rsidRPr="00813FBC">
        <w:rPr>
          <w:rFonts w:eastAsia="Times New Roman" w:cs="Arial"/>
          <w:color w:val="000000"/>
          <w:lang w:val="en-US"/>
        </w:rPr>
        <w:t>rosuvastatin</w:t>
      </w:r>
      <w:proofErr w:type="spellEnd"/>
      <w:r w:rsidRPr="00813FBC">
        <w:rPr>
          <w:rFonts w:eastAsia="Times New Roman" w:cs="Arial"/>
          <w:color w:val="000000"/>
        </w:rPr>
        <w:t xml:space="preserve">) </w:t>
      </w:r>
      <w:r w:rsidRPr="00813FBC">
        <w:rPr>
          <w:rFonts w:eastAsia="Times New Roman" w:cs="Arial"/>
          <w:color w:val="000000"/>
          <w:lang w:eastAsia="bg-BG"/>
        </w:rPr>
        <w:t xml:space="preserve">като розувастатин калций </w:t>
      </w:r>
      <w:r w:rsidRPr="00813FBC">
        <w:rPr>
          <w:rFonts w:eastAsia="Times New Roman" w:cs="Arial"/>
          <w:color w:val="000000"/>
        </w:rPr>
        <w:t>(</w:t>
      </w:r>
      <w:proofErr w:type="spellStart"/>
      <w:r w:rsidRPr="00813FBC">
        <w:rPr>
          <w:rFonts w:eastAsia="Times New Roman" w:cs="Arial"/>
          <w:color w:val="000000"/>
          <w:lang w:val="en-US"/>
        </w:rPr>
        <w:t>rosuvastatin</w:t>
      </w:r>
      <w:proofErr w:type="spellEnd"/>
      <w:r w:rsidRPr="00813FBC">
        <w:rPr>
          <w:rFonts w:eastAsia="Times New Roman" w:cs="Arial"/>
          <w:color w:val="000000"/>
        </w:rPr>
        <w:t xml:space="preserve"> </w:t>
      </w:r>
      <w:r w:rsidRPr="00813FBC">
        <w:rPr>
          <w:rFonts w:eastAsia="Times New Roman" w:cs="Arial"/>
          <w:color w:val="000000"/>
          <w:lang w:val="en-US"/>
        </w:rPr>
        <w:t>calcium</w:t>
      </w:r>
      <w:r w:rsidRPr="00813FBC">
        <w:rPr>
          <w:rFonts w:eastAsia="Times New Roman" w:cs="Arial"/>
          <w:color w:val="000000"/>
        </w:rPr>
        <w:t>).</w:t>
      </w:r>
    </w:p>
    <w:p w14:paraId="45BE847B"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Всяка таблетка Неоросо 20 </w:t>
      </w:r>
      <w:r w:rsidRPr="00813FBC">
        <w:rPr>
          <w:rFonts w:eastAsia="Times New Roman" w:cs="Arial"/>
          <w:color w:val="000000"/>
          <w:lang w:val="en-US"/>
        </w:rPr>
        <w:t>mg</w:t>
      </w:r>
      <w:r w:rsidRPr="00813FBC">
        <w:rPr>
          <w:rFonts w:eastAsia="Times New Roman" w:cs="Arial"/>
          <w:color w:val="000000"/>
        </w:rPr>
        <w:t xml:space="preserve"> </w:t>
      </w:r>
      <w:r w:rsidRPr="00813FBC">
        <w:rPr>
          <w:rFonts w:eastAsia="Times New Roman" w:cs="Arial"/>
          <w:color w:val="000000"/>
          <w:lang w:eastAsia="bg-BG"/>
        </w:rPr>
        <w:t xml:space="preserve">филмирани таблетки съдържа 20 </w:t>
      </w:r>
      <w:r w:rsidRPr="00813FBC">
        <w:rPr>
          <w:rFonts w:eastAsia="Times New Roman" w:cs="Arial"/>
          <w:color w:val="000000"/>
          <w:lang w:val="en-US"/>
        </w:rPr>
        <w:t>mg</w:t>
      </w:r>
      <w:r w:rsidRPr="00813FBC">
        <w:rPr>
          <w:rFonts w:eastAsia="Times New Roman" w:cs="Arial"/>
          <w:color w:val="000000"/>
        </w:rPr>
        <w:t xml:space="preserve"> </w:t>
      </w:r>
      <w:r w:rsidRPr="00813FBC">
        <w:rPr>
          <w:rFonts w:eastAsia="Times New Roman" w:cs="Arial"/>
          <w:color w:val="000000"/>
          <w:lang w:eastAsia="bg-BG"/>
        </w:rPr>
        <w:t xml:space="preserve">розувастатин </w:t>
      </w:r>
      <w:r w:rsidRPr="00813FBC">
        <w:rPr>
          <w:rFonts w:eastAsia="Times New Roman" w:cs="Arial"/>
          <w:color w:val="000000"/>
        </w:rPr>
        <w:t>(</w:t>
      </w:r>
      <w:proofErr w:type="spellStart"/>
      <w:r w:rsidRPr="00813FBC">
        <w:rPr>
          <w:rFonts w:eastAsia="Times New Roman" w:cs="Arial"/>
          <w:color w:val="000000"/>
          <w:lang w:val="en-US"/>
        </w:rPr>
        <w:t>rosuvastatin</w:t>
      </w:r>
      <w:proofErr w:type="spellEnd"/>
      <w:r w:rsidRPr="00813FBC">
        <w:rPr>
          <w:rFonts w:eastAsia="Times New Roman" w:cs="Arial"/>
          <w:color w:val="000000"/>
        </w:rPr>
        <w:t xml:space="preserve">) </w:t>
      </w:r>
      <w:r w:rsidRPr="00813FBC">
        <w:rPr>
          <w:rFonts w:eastAsia="Times New Roman" w:cs="Arial"/>
          <w:color w:val="000000"/>
          <w:lang w:eastAsia="bg-BG"/>
        </w:rPr>
        <w:t xml:space="preserve">като розувастатин калций </w:t>
      </w:r>
      <w:r w:rsidRPr="00813FBC">
        <w:rPr>
          <w:rFonts w:eastAsia="Times New Roman" w:cs="Arial"/>
          <w:color w:val="000000"/>
        </w:rPr>
        <w:t>(</w:t>
      </w:r>
      <w:proofErr w:type="spellStart"/>
      <w:r w:rsidRPr="00813FBC">
        <w:rPr>
          <w:rFonts w:eastAsia="Times New Roman" w:cs="Arial"/>
          <w:color w:val="000000"/>
          <w:lang w:val="en-US"/>
        </w:rPr>
        <w:t>rosuvastatin</w:t>
      </w:r>
      <w:proofErr w:type="spellEnd"/>
      <w:r w:rsidRPr="00813FBC">
        <w:rPr>
          <w:rFonts w:eastAsia="Times New Roman" w:cs="Arial"/>
          <w:color w:val="000000"/>
        </w:rPr>
        <w:t xml:space="preserve"> </w:t>
      </w:r>
      <w:r w:rsidRPr="00813FBC">
        <w:rPr>
          <w:rFonts w:eastAsia="Times New Roman" w:cs="Arial"/>
          <w:color w:val="000000"/>
          <w:lang w:val="en-US"/>
        </w:rPr>
        <w:t>calcium</w:t>
      </w:r>
      <w:r w:rsidRPr="00813FBC">
        <w:rPr>
          <w:rFonts w:eastAsia="Times New Roman" w:cs="Arial"/>
          <w:color w:val="000000"/>
        </w:rPr>
        <w:t>).</w:t>
      </w:r>
    </w:p>
    <w:p w14:paraId="61942190" w14:textId="77777777" w:rsidR="00813FBC" w:rsidRDefault="00813FBC" w:rsidP="00813FBC">
      <w:pPr>
        <w:spacing w:line="240" w:lineRule="auto"/>
        <w:rPr>
          <w:rFonts w:eastAsia="Times New Roman" w:cs="Arial"/>
          <w:color w:val="000000"/>
          <w:u w:val="single"/>
          <w:lang w:eastAsia="bg-BG"/>
        </w:rPr>
      </w:pPr>
    </w:p>
    <w:p w14:paraId="38ED3158" w14:textId="2C12A015"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Помощно вещество с известно действие</w:t>
      </w:r>
      <w:r w:rsidRPr="00813FBC">
        <w:rPr>
          <w:rFonts w:eastAsia="Times New Roman" w:cs="Arial"/>
          <w:color w:val="000000"/>
          <w:lang w:eastAsia="bg-BG"/>
        </w:rPr>
        <w:t>:</w:t>
      </w:r>
    </w:p>
    <w:p w14:paraId="7E8ADBAD"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Всяка таблетка от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съдържа 95.7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лактоза монохидрат.</w:t>
      </w:r>
    </w:p>
    <w:p w14:paraId="301A6C77"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Всяка таблетка от 20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съдържа 191.4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лактоза монохидрат.</w:t>
      </w:r>
    </w:p>
    <w:p w14:paraId="3CFF18AD" w14:textId="77777777" w:rsidR="00813FBC" w:rsidRPr="00813FBC" w:rsidRDefault="00813FBC" w:rsidP="00813FBC"/>
    <w:p w14:paraId="614984C4" w14:textId="0AD88CA6" w:rsidR="008A6AF2" w:rsidRDefault="00DD466D" w:rsidP="002C50EE">
      <w:pPr>
        <w:pStyle w:val="Heading1"/>
      </w:pPr>
      <w:r>
        <w:t>3. ЛЕКАРСТВЕНА ФОРМА</w:t>
      </w:r>
    </w:p>
    <w:p w14:paraId="30986F08" w14:textId="62E85E9F" w:rsidR="00813FBC" w:rsidRDefault="00813FBC" w:rsidP="00813FBC"/>
    <w:p w14:paraId="047E2CDE"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Филмирана таблетка.</w:t>
      </w:r>
    </w:p>
    <w:p w14:paraId="784C2BFC" w14:textId="77777777" w:rsidR="00813FBC" w:rsidRDefault="00813FBC" w:rsidP="00813FBC">
      <w:pPr>
        <w:spacing w:line="240" w:lineRule="auto"/>
        <w:rPr>
          <w:rFonts w:eastAsia="Times New Roman" w:cs="Arial"/>
          <w:color w:val="000000"/>
          <w:lang w:eastAsia="bg-BG"/>
        </w:rPr>
      </w:pPr>
    </w:p>
    <w:p w14:paraId="778BF878" w14:textId="45C6D7A8"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Неоросо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филмирани таблетки са розови, кръгли, двойноизпъкнали, филмирани таблетки, с обозначение </w:t>
      </w:r>
      <w:r w:rsidRPr="00813FBC">
        <w:rPr>
          <w:rFonts w:eastAsia="Times New Roman" w:cs="Arial"/>
          <w:color w:val="000000"/>
          <w:lang w:val="ru-RU"/>
        </w:rPr>
        <w:t>„</w:t>
      </w:r>
      <w:r w:rsidRPr="00813FBC">
        <w:rPr>
          <w:rFonts w:eastAsia="Times New Roman" w:cs="Arial"/>
          <w:color w:val="000000"/>
          <w:lang w:val="en-US"/>
        </w:rPr>
        <w:t>ROS</w:t>
      </w:r>
      <w:r w:rsidRPr="00813FBC">
        <w:rPr>
          <w:rFonts w:eastAsia="Times New Roman" w:cs="Arial"/>
          <w:color w:val="000000"/>
          <w:lang w:val="ru-RU"/>
        </w:rPr>
        <w:t xml:space="preserve">” </w:t>
      </w:r>
      <w:r w:rsidRPr="00813FBC">
        <w:rPr>
          <w:rFonts w:eastAsia="Times New Roman" w:cs="Arial"/>
          <w:color w:val="000000"/>
          <w:lang w:eastAsia="bg-BG"/>
        </w:rPr>
        <w:t xml:space="preserve">над „10” от едната страна и гладки от другата, с диаметър 7 </w:t>
      </w:r>
      <w:r w:rsidRPr="00813FBC">
        <w:rPr>
          <w:rFonts w:eastAsia="Times New Roman" w:cs="Arial"/>
          <w:color w:val="000000"/>
          <w:lang w:val="en-US"/>
        </w:rPr>
        <w:t>mm</w:t>
      </w:r>
      <w:r w:rsidRPr="00813FBC">
        <w:rPr>
          <w:rFonts w:eastAsia="Times New Roman" w:cs="Arial"/>
          <w:color w:val="000000"/>
          <w:lang w:val="ru-RU"/>
        </w:rPr>
        <w:t>.</w:t>
      </w:r>
    </w:p>
    <w:p w14:paraId="4FC7F9CC"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Неоросо 20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филмирани таблетки са розови, кръгли, двойноизпъкнали, филмирани таблетки, с обозначение </w:t>
      </w:r>
      <w:r w:rsidRPr="00813FBC">
        <w:rPr>
          <w:rFonts w:eastAsia="Times New Roman" w:cs="Arial"/>
          <w:color w:val="000000"/>
          <w:lang w:val="ru-RU"/>
        </w:rPr>
        <w:t>„</w:t>
      </w:r>
      <w:r w:rsidRPr="00813FBC">
        <w:rPr>
          <w:rFonts w:eastAsia="Times New Roman" w:cs="Arial"/>
          <w:color w:val="000000"/>
          <w:lang w:val="en-US"/>
        </w:rPr>
        <w:t>ROS</w:t>
      </w:r>
      <w:r w:rsidRPr="00813FBC">
        <w:rPr>
          <w:rFonts w:eastAsia="Times New Roman" w:cs="Arial"/>
          <w:color w:val="000000"/>
          <w:lang w:val="ru-RU"/>
        </w:rPr>
        <w:t xml:space="preserve">” </w:t>
      </w:r>
      <w:r w:rsidRPr="00813FBC">
        <w:rPr>
          <w:rFonts w:eastAsia="Times New Roman" w:cs="Arial"/>
          <w:color w:val="000000"/>
          <w:lang w:eastAsia="bg-BG"/>
        </w:rPr>
        <w:t xml:space="preserve">над „20” от едната страна и гладки от другата, с диаметър 9 </w:t>
      </w:r>
      <w:r w:rsidRPr="00813FBC">
        <w:rPr>
          <w:rFonts w:eastAsia="Times New Roman" w:cs="Arial"/>
          <w:color w:val="000000"/>
          <w:lang w:val="en-US"/>
        </w:rPr>
        <w:t>mm</w:t>
      </w:r>
      <w:r w:rsidRPr="00813FBC">
        <w:rPr>
          <w:rFonts w:eastAsia="Times New Roman" w:cs="Arial"/>
          <w:color w:val="000000"/>
          <w:lang w:val="ru-RU"/>
        </w:rPr>
        <w:t>.</w:t>
      </w:r>
    </w:p>
    <w:p w14:paraId="0782D601" w14:textId="77777777" w:rsidR="00813FBC" w:rsidRPr="00813FBC" w:rsidRDefault="00813FBC" w:rsidP="00813FBC"/>
    <w:p w14:paraId="490FC2C4" w14:textId="0F4A4A75" w:rsidR="002C50EE" w:rsidRDefault="002C50EE" w:rsidP="002C50EE">
      <w:pPr>
        <w:pStyle w:val="Heading1"/>
      </w:pPr>
      <w:r>
        <w:t>4. КЛИНИЧНИ ДАННИ</w:t>
      </w:r>
    </w:p>
    <w:p w14:paraId="74330405" w14:textId="1D40483A" w:rsidR="007122AD" w:rsidRDefault="002C50EE" w:rsidP="00936AD0">
      <w:pPr>
        <w:pStyle w:val="Heading2"/>
      </w:pPr>
      <w:r>
        <w:t>4.1. Терапевтични показания</w:t>
      </w:r>
    </w:p>
    <w:p w14:paraId="461F9F47" w14:textId="462E4833" w:rsidR="00813FBC" w:rsidRDefault="00813FBC" w:rsidP="00813FBC"/>
    <w:p w14:paraId="192668BC" w14:textId="77777777" w:rsidR="00813FBC" w:rsidRPr="00813FBC" w:rsidRDefault="00813FBC" w:rsidP="00813FBC">
      <w:pPr>
        <w:spacing w:line="240" w:lineRule="auto"/>
        <w:rPr>
          <w:rFonts w:eastAsia="Times New Roman" w:cs="Arial"/>
        </w:rPr>
      </w:pPr>
      <w:bookmarkStart w:id="1" w:name="bookmark0"/>
      <w:r w:rsidRPr="00813FBC">
        <w:rPr>
          <w:rFonts w:eastAsia="Times New Roman" w:cs="Arial"/>
          <w:b/>
          <w:bCs/>
          <w:color w:val="000000"/>
          <w:lang w:eastAsia="bg-BG"/>
        </w:rPr>
        <w:t>Лечение на хиперхолестеролемня</w:t>
      </w:r>
      <w:bookmarkEnd w:id="1"/>
    </w:p>
    <w:p w14:paraId="718CA48C"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Възрастни, юноши и деца на или над 6-годишна възраст с първична хиперхолестеролемня (тип </w:t>
      </w:r>
      <w:r w:rsidRPr="00813FBC">
        <w:rPr>
          <w:rFonts w:eastAsia="Times New Roman" w:cs="Arial"/>
          <w:color w:val="000000"/>
          <w:lang w:val="en-US"/>
        </w:rPr>
        <w:t>II</w:t>
      </w:r>
      <w:r w:rsidRPr="00813FBC">
        <w:rPr>
          <w:rFonts w:eastAsia="Times New Roman" w:cs="Arial"/>
          <w:color w:val="000000"/>
          <w:lang w:eastAsia="bg-BG"/>
        </w:rPr>
        <w:t xml:space="preserve">а, включително хетерозиготна фамилна хиперхолестеролемня) или смесена дислипидемия (тип </w:t>
      </w:r>
      <w:proofErr w:type="spellStart"/>
      <w:r w:rsidRPr="00813FBC">
        <w:rPr>
          <w:rFonts w:eastAsia="Times New Roman" w:cs="Arial"/>
          <w:color w:val="000000"/>
          <w:lang w:val="en-US"/>
        </w:rPr>
        <w:t>IIb</w:t>
      </w:r>
      <w:proofErr w:type="spellEnd"/>
      <w:r w:rsidRPr="00813FBC">
        <w:rPr>
          <w:rFonts w:eastAsia="Times New Roman" w:cs="Arial"/>
          <w:color w:val="000000"/>
          <w:lang w:eastAsia="bg-BG"/>
        </w:rPr>
        <w:t>), като добавка към диетата, когато резултатът от диетата и други нефармакологични мерки (напр. физически упражнения, намаляване на теглото) е незадоволителен.</w:t>
      </w:r>
    </w:p>
    <w:p w14:paraId="0F30FC35" w14:textId="77777777" w:rsidR="00813FBC" w:rsidRPr="00813FBC" w:rsidRDefault="00813FBC" w:rsidP="00813FBC">
      <w:pPr>
        <w:spacing w:line="240" w:lineRule="auto"/>
        <w:rPr>
          <w:rFonts w:eastAsia="Times New Roman" w:cs="Arial"/>
          <w:color w:val="000000"/>
          <w:lang w:eastAsia="bg-BG"/>
        </w:rPr>
      </w:pPr>
    </w:p>
    <w:p w14:paraId="3B918E2A" w14:textId="39ABCF00" w:rsidR="00813FBC" w:rsidRPr="00813FBC" w:rsidRDefault="00813FBC" w:rsidP="00813FBC">
      <w:pPr>
        <w:spacing w:line="240" w:lineRule="auto"/>
        <w:rPr>
          <w:rFonts w:eastAsia="Times New Roman" w:cs="Arial"/>
        </w:rPr>
      </w:pPr>
      <w:r w:rsidRPr="00813FBC">
        <w:rPr>
          <w:rFonts w:eastAsia="Times New Roman" w:cs="Arial"/>
          <w:color w:val="000000"/>
          <w:lang w:eastAsia="bg-BG"/>
        </w:rPr>
        <w:lastRenderedPageBreak/>
        <w:t xml:space="preserve">Хомозиготна фамилна хиперхолестеролемня, като добавка към диетата, какго и с друго липидопонижаващо лечение (напр. </w:t>
      </w:r>
      <w:r w:rsidRPr="00813FBC">
        <w:rPr>
          <w:rFonts w:eastAsia="Times New Roman" w:cs="Arial"/>
          <w:color w:val="000000"/>
          <w:lang w:val="en-US"/>
        </w:rPr>
        <w:t>LDL</w:t>
      </w:r>
      <w:r w:rsidRPr="00813FBC">
        <w:rPr>
          <w:rFonts w:eastAsia="Times New Roman" w:cs="Arial"/>
          <w:color w:val="000000"/>
          <w:lang w:val="ru-RU"/>
        </w:rPr>
        <w:t xml:space="preserve"> </w:t>
      </w:r>
      <w:r w:rsidRPr="00813FBC">
        <w:rPr>
          <w:rFonts w:eastAsia="Times New Roman" w:cs="Arial"/>
          <w:color w:val="000000"/>
          <w:lang w:eastAsia="bg-BG"/>
        </w:rPr>
        <w:t>афереза) или когато това лечение не е подходящо.</w:t>
      </w:r>
    </w:p>
    <w:p w14:paraId="202B88F5" w14:textId="77777777" w:rsidR="00813FBC" w:rsidRPr="00813FBC" w:rsidRDefault="00813FBC" w:rsidP="00813FBC">
      <w:pPr>
        <w:spacing w:line="240" w:lineRule="auto"/>
        <w:rPr>
          <w:rFonts w:eastAsia="Times New Roman" w:cs="Arial"/>
          <w:b/>
          <w:bCs/>
          <w:color w:val="000000"/>
          <w:lang w:eastAsia="bg-BG"/>
        </w:rPr>
      </w:pPr>
      <w:bookmarkStart w:id="2" w:name="bookmark2"/>
    </w:p>
    <w:p w14:paraId="5A07AC1C" w14:textId="6548427C"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Превенция на сърдечно-съдови събития</w:t>
      </w:r>
      <w:bookmarkEnd w:id="2"/>
    </w:p>
    <w:p w14:paraId="7894AB75" w14:textId="7C648499" w:rsidR="00813FBC" w:rsidRDefault="00813FBC" w:rsidP="00813FBC">
      <w:pPr>
        <w:rPr>
          <w:rFonts w:eastAsia="Times New Roman" w:cs="Arial"/>
          <w:color w:val="000000"/>
          <w:lang w:eastAsia="bg-BG"/>
        </w:rPr>
      </w:pPr>
      <w:r w:rsidRPr="00813FBC">
        <w:rPr>
          <w:rFonts w:eastAsia="Times New Roman" w:cs="Arial"/>
          <w:color w:val="000000"/>
          <w:lang w:eastAsia="bg-BG"/>
        </w:rPr>
        <w:t>Предотвратяване на големи сърдечно-съдови събития при пациенти, оценени с висок</w:t>
      </w:r>
      <w:r w:rsidRPr="00813FBC">
        <w:rPr>
          <w:rFonts w:eastAsia="Times New Roman" w:cs="Arial"/>
          <w:color w:val="000000"/>
          <w:lang w:val="ru-RU"/>
        </w:rPr>
        <w:t xml:space="preserve"> </w:t>
      </w:r>
      <w:r w:rsidRPr="00813FBC">
        <w:rPr>
          <w:rFonts w:eastAsia="Times New Roman" w:cs="Arial"/>
          <w:color w:val="000000"/>
          <w:lang w:eastAsia="bg-BG"/>
        </w:rPr>
        <w:t>риск за първо сърдечно-съдово събитие (вж. точка 5.1), като допълнение към коригирането на други рискови фактори.</w:t>
      </w:r>
    </w:p>
    <w:p w14:paraId="373FDA24" w14:textId="77777777" w:rsidR="00813FBC" w:rsidRPr="00813FBC" w:rsidRDefault="00813FBC" w:rsidP="00813FBC">
      <w:pPr>
        <w:rPr>
          <w:rFonts w:eastAsia="Times New Roman" w:cs="Arial"/>
          <w:color w:val="000000"/>
          <w:lang w:eastAsia="bg-BG"/>
        </w:rPr>
      </w:pPr>
    </w:p>
    <w:p w14:paraId="53F5B866" w14:textId="1DBD67AD" w:rsidR="007122AD" w:rsidRDefault="002C50EE" w:rsidP="00936AD0">
      <w:pPr>
        <w:pStyle w:val="Heading2"/>
      </w:pPr>
      <w:r>
        <w:t>4.2. Дозировка и начин на приложение</w:t>
      </w:r>
    </w:p>
    <w:p w14:paraId="063F19CA" w14:textId="3DCD07DD" w:rsidR="00813FBC" w:rsidRDefault="00813FBC" w:rsidP="00813FBC"/>
    <w:p w14:paraId="47C70D21"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Преди започване на терапията, пациентът трябва да бъде поставен на стандартна диета за понижаване нивото на холестерола, която да продължи и по време на лечението. Изборът на дозировка се определя от индивидуалните терапевтични цели, които се определят от препоръките на съвременните консенсусни ръководства за контрол на холестеролемията.</w:t>
      </w:r>
    </w:p>
    <w:p w14:paraId="76BE7DEB" w14:textId="77777777" w:rsidR="00813FBC" w:rsidRPr="00813FBC" w:rsidRDefault="00813FBC" w:rsidP="00813FBC">
      <w:pPr>
        <w:spacing w:line="240" w:lineRule="auto"/>
        <w:rPr>
          <w:rFonts w:eastAsia="Times New Roman" w:cs="Arial"/>
          <w:color w:val="000000"/>
          <w:u w:val="single"/>
          <w:lang w:eastAsia="bg-BG"/>
        </w:rPr>
      </w:pPr>
    </w:p>
    <w:p w14:paraId="3A4F90AB" w14:textId="037691A8" w:rsidR="00813FBC" w:rsidRPr="00813FBC" w:rsidRDefault="00813FBC" w:rsidP="00813FBC">
      <w:pPr>
        <w:pStyle w:val="Heading3"/>
        <w:rPr>
          <w:u w:val="single"/>
        </w:rPr>
      </w:pPr>
      <w:r w:rsidRPr="00813FBC">
        <w:rPr>
          <w:u w:val="single"/>
        </w:rPr>
        <w:t>Дозировка</w:t>
      </w:r>
    </w:p>
    <w:p w14:paraId="44B298D6" w14:textId="77777777" w:rsidR="00813FBC" w:rsidRPr="00813FBC" w:rsidRDefault="00813FBC" w:rsidP="00813FBC">
      <w:pPr>
        <w:spacing w:line="240" w:lineRule="auto"/>
        <w:rPr>
          <w:rFonts w:eastAsia="Times New Roman" w:cs="Arial"/>
          <w:b/>
          <w:bCs/>
          <w:color w:val="000000"/>
          <w:lang w:eastAsia="bg-BG"/>
        </w:rPr>
      </w:pPr>
    </w:p>
    <w:p w14:paraId="196DB642" w14:textId="04F1A0CD"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Лечение на хиперхолестеролемия</w:t>
      </w:r>
    </w:p>
    <w:p w14:paraId="20F5B60E"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Препоръчваната начална доза е 5 </w:t>
      </w:r>
      <w:r w:rsidRPr="00813FBC">
        <w:rPr>
          <w:rFonts w:eastAsia="Times New Roman" w:cs="Arial"/>
          <w:color w:val="000000"/>
          <w:lang w:val="en-US"/>
        </w:rPr>
        <w:t>mg</w:t>
      </w:r>
      <w:r w:rsidRPr="00813FBC">
        <w:rPr>
          <w:rFonts w:eastAsia="Times New Roman" w:cs="Arial"/>
          <w:color w:val="000000"/>
          <w:lang w:eastAsia="bg-BG"/>
        </w:rPr>
        <w:t xml:space="preserve"> или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веднъж дневно, както при пациенти, които не са приемали статини, така и при преминаване от друг инхибитор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 xml:space="preserve">редуктазата. При избора на началната доза трябва да се имат предвид нивото на серумния холестерол на отделния пациент, бъдещия сърдечно-съдов риск и риска от поява на нежелани реакции към лечението (виж по- долу). При необходимост, дозата може да се коригира, като се премине на следващото дозово ниво след 4 седмици (вж. точка 5.1). В сравнение с по-ниските дози и предвид повишената честота на съобщаване на нежелани реакции при доза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в сравнение с по-ниските дози (вж. точка 4.8), последно титриране до максималната доза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трябва да се предприема само при пациенти с тежка хиперхолестеролемия с висок сърдечно-съдов риск (особено тези с фамилна хиперхолестеролемия), които не достигат желаното ниво на холестерол при лечение с 20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и при които ще се прави рутинно проследяване в хода на лечението (вж. точка 4.4). При започване на лечение с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се препоръчва постоянно наблюдение от специалист.</w:t>
      </w:r>
    </w:p>
    <w:p w14:paraId="7E283D8A" w14:textId="77777777" w:rsidR="00813FBC" w:rsidRPr="00813FBC" w:rsidRDefault="00813FBC" w:rsidP="00813FBC">
      <w:pPr>
        <w:spacing w:line="240" w:lineRule="auto"/>
        <w:rPr>
          <w:rFonts w:eastAsia="Times New Roman" w:cs="Arial"/>
          <w:b/>
          <w:bCs/>
          <w:color w:val="000000"/>
          <w:lang w:eastAsia="bg-BG"/>
        </w:rPr>
      </w:pPr>
    </w:p>
    <w:p w14:paraId="0D55F3C8" w14:textId="0C4CECE1" w:rsidR="00813FBC" w:rsidRPr="00813FBC" w:rsidRDefault="00813FBC" w:rsidP="00813FBC">
      <w:pPr>
        <w:spacing w:line="240" w:lineRule="auto"/>
        <w:rPr>
          <w:rFonts w:eastAsia="Times New Roman" w:cs="Arial"/>
          <w:b/>
          <w:bCs/>
          <w:color w:val="000000"/>
          <w:lang w:eastAsia="bg-BG"/>
        </w:rPr>
      </w:pPr>
      <w:r w:rsidRPr="00813FBC">
        <w:rPr>
          <w:rFonts w:eastAsia="Times New Roman" w:cs="Arial"/>
          <w:b/>
          <w:bCs/>
          <w:color w:val="000000"/>
          <w:lang w:eastAsia="bg-BG"/>
        </w:rPr>
        <w:t>Превенция на сърдечно-съдови събития</w:t>
      </w:r>
    </w:p>
    <w:p w14:paraId="3575F814"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В проучването за понижаване на риска от сърдечно-съдови събития е използвана доза от 20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дневно (вж. точка 5.1).</w:t>
      </w:r>
    </w:p>
    <w:p w14:paraId="3B4F357A" w14:textId="77777777" w:rsidR="00813FBC" w:rsidRPr="00813FBC" w:rsidRDefault="00813FBC" w:rsidP="00813FBC">
      <w:pPr>
        <w:spacing w:line="240" w:lineRule="auto"/>
        <w:rPr>
          <w:rFonts w:eastAsia="Times New Roman" w:cs="Arial"/>
          <w:b/>
          <w:bCs/>
          <w:color w:val="000000"/>
          <w:lang w:eastAsia="bg-BG"/>
        </w:rPr>
      </w:pPr>
      <w:bookmarkStart w:id="3" w:name="bookmark4"/>
    </w:p>
    <w:p w14:paraId="09BAE87E" w14:textId="68CDD41C"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Педиатрична популация</w:t>
      </w:r>
      <w:bookmarkEnd w:id="3"/>
    </w:p>
    <w:p w14:paraId="6275D95A"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Употребата при деца трябва да се провежда само от специалисти.</w:t>
      </w:r>
    </w:p>
    <w:p w14:paraId="287E2790" w14:textId="77777777" w:rsidR="00813FBC" w:rsidRPr="00813FBC" w:rsidRDefault="00813FBC" w:rsidP="00813FBC">
      <w:pPr>
        <w:spacing w:line="240" w:lineRule="auto"/>
        <w:rPr>
          <w:rFonts w:eastAsia="Times New Roman" w:cs="Arial"/>
          <w:color w:val="000000"/>
          <w:u w:val="single"/>
          <w:lang w:eastAsia="bg-BG"/>
        </w:rPr>
      </w:pPr>
    </w:p>
    <w:p w14:paraId="5E2038A5" w14:textId="68C35419" w:rsidR="00813FBC" w:rsidRPr="00813FBC" w:rsidRDefault="00813FBC" w:rsidP="00813FBC">
      <w:pPr>
        <w:spacing w:line="240" w:lineRule="auto"/>
        <w:rPr>
          <w:rFonts w:eastAsia="Times New Roman" w:cs="Arial"/>
        </w:rPr>
      </w:pPr>
      <w:r w:rsidRPr="00813FBC">
        <w:rPr>
          <w:rFonts w:eastAsia="Times New Roman" w:cs="Arial"/>
          <w:color w:val="000000"/>
          <w:u w:val="single"/>
          <w:lang w:eastAsia="bg-BG"/>
        </w:rPr>
        <w:t xml:space="preserve">Деца и младежи на възраст 6 до 17 години (стадий &lt; </w:t>
      </w:r>
      <w:r w:rsidRPr="00813FBC">
        <w:rPr>
          <w:rFonts w:eastAsia="Times New Roman" w:cs="Arial"/>
          <w:color w:val="000000"/>
          <w:u w:val="single"/>
          <w:lang w:val="en-US"/>
        </w:rPr>
        <w:t>II</w:t>
      </w:r>
      <w:r w:rsidRPr="00813FBC">
        <w:rPr>
          <w:rFonts w:eastAsia="Times New Roman" w:cs="Arial"/>
          <w:color w:val="000000"/>
          <w:u w:val="single"/>
          <w:lang w:val="ru-RU"/>
        </w:rPr>
        <w:t>-</w:t>
      </w:r>
      <w:r w:rsidRPr="00813FBC">
        <w:rPr>
          <w:rFonts w:eastAsia="Times New Roman" w:cs="Arial"/>
          <w:color w:val="000000"/>
          <w:u w:val="single"/>
          <w:lang w:val="en-US"/>
        </w:rPr>
        <w:t>V</w:t>
      </w:r>
      <w:r w:rsidRPr="00813FBC">
        <w:rPr>
          <w:rFonts w:eastAsia="Times New Roman" w:cs="Arial"/>
          <w:color w:val="000000"/>
          <w:u w:val="single"/>
          <w:lang w:val="ru-RU"/>
        </w:rPr>
        <w:t xml:space="preserve"> </w:t>
      </w:r>
      <w:r w:rsidRPr="00813FBC">
        <w:rPr>
          <w:rFonts w:eastAsia="Times New Roman" w:cs="Arial"/>
          <w:color w:val="000000"/>
          <w:u w:val="single"/>
          <w:lang w:eastAsia="bg-BG"/>
        </w:rPr>
        <w:t>по Танер)</w:t>
      </w:r>
    </w:p>
    <w:p w14:paraId="152A01D0"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При деца и младежи с хетерозиготна фамилна хиперхолестеролемия обичайната начална доза е 5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розувастатин дневно.</w:t>
      </w:r>
    </w:p>
    <w:p w14:paraId="7FA18622" w14:textId="77777777" w:rsidR="00813FBC" w:rsidRPr="00813FBC" w:rsidRDefault="00813FBC" w:rsidP="00813FBC">
      <w:pPr>
        <w:pStyle w:val="ListParagraph"/>
        <w:numPr>
          <w:ilvl w:val="0"/>
          <w:numId w:val="37"/>
        </w:numPr>
        <w:spacing w:line="240" w:lineRule="auto"/>
        <w:rPr>
          <w:rFonts w:eastAsia="Times New Roman" w:cs="Arial"/>
          <w:color w:val="000000"/>
          <w:lang w:eastAsia="bg-BG"/>
        </w:rPr>
      </w:pPr>
      <w:r w:rsidRPr="00813FBC">
        <w:rPr>
          <w:rFonts w:eastAsia="Times New Roman" w:cs="Arial"/>
          <w:color w:val="000000"/>
          <w:lang w:eastAsia="bg-BG"/>
        </w:rPr>
        <w:t xml:space="preserve">При деца на възраст 6 до 9 години с хетерозиготна фамилна хиперхолестеролемия обичайният дозов диапазон е 5-10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перорално веднъж дневно. Безопасността и ефикасността на дози по-високи от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не са проучвани при тази популация.</w:t>
      </w:r>
    </w:p>
    <w:p w14:paraId="5DE6F0C2" w14:textId="12CA8D75" w:rsidR="00813FBC" w:rsidRPr="00813FBC" w:rsidRDefault="00813FBC" w:rsidP="00813FBC">
      <w:pPr>
        <w:pStyle w:val="ListParagraph"/>
        <w:numPr>
          <w:ilvl w:val="0"/>
          <w:numId w:val="37"/>
        </w:numPr>
        <w:spacing w:line="240" w:lineRule="auto"/>
        <w:rPr>
          <w:rFonts w:eastAsia="Times New Roman" w:cs="Arial"/>
          <w:color w:val="000000"/>
          <w:lang w:eastAsia="bg-BG"/>
        </w:rPr>
      </w:pPr>
      <w:r w:rsidRPr="00813FBC">
        <w:rPr>
          <w:rFonts w:eastAsia="Times New Roman" w:cs="Arial"/>
          <w:color w:val="000000"/>
          <w:lang w:eastAsia="bg-BG"/>
        </w:rPr>
        <w:lastRenderedPageBreak/>
        <w:t>При деца на възраст 10 до 17 години с хетерозиготна фамилна хиперхолестеролемия обичайният</w:t>
      </w:r>
    </w:p>
    <w:p w14:paraId="7FAF321E"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дозов диапазон е 5-20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перорално веднъж дневно. Безопасността и ефикасността на дози по-високи от 20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не са проучвани при тази популация.</w:t>
      </w:r>
    </w:p>
    <w:p w14:paraId="12386DFD" w14:textId="77777777" w:rsidR="00813FBC" w:rsidRPr="00813FBC" w:rsidRDefault="00813FBC" w:rsidP="00813FBC">
      <w:pPr>
        <w:spacing w:line="240" w:lineRule="auto"/>
        <w:rPr>
          <w:rFonts w:eastAsia="Times New Roman" w:cs="Arial"/>
          <w:color w:val="000000"/>
          <w:lang w:eastAsia="bg-BG"/>
        </w:rPr>
      </w:pPr>
    </w:p>
    <w:p w14:paraId="7F229B76" w14:textId="72A3D53D" w:rsidR="00813FBC" w:rsidRPr="00813FBC" w:rsidRDefault="00813FBC" w:rsidP="00813FBC">
      <w:pPr>
        <w:spacing w:line="240" w:lineRule="auto"/>
        <w:rPr>
          <w:rFonts w:eastAsia="Times New Roman" w:cs="Arial"/>
        </w:rPr>
      </w:pPr>
      <w:r w:rsidRPr="00813FBC">
        <w:rPr>
          <w:rFonts w:eastAsia="Times New Roman" w:cs="Arial"/>
          <w:color w:val="000000"/>
          <w:lang w:eastAsia="bg-BG"/>
        </w:rPr>
        <w:t>Титрирането трябва да се провежда съгласно индивидуалния отговор и поносимост на педиатричните пациенти, както се препоръчва в препоръките за лечение на деца (вж. точка 4.4) Децата и младежите трябва да се подложат на стандартна холестероло-понижаваща диета преди да се започне лечение с розувастатин; диетата трябва да се продължи по време на лечението с розувастатин.</w:t>
      </w:r>
    </w:p>
    <w:p w14:paraId="4A3FBDE0" w14:textId="77777777" w:rsidR="00813FBC" w:rsidRPr="00813FBC" w:rsidRDefault="00813FBC" w:rsidP="00813FBC">
      <w:pPr>
        <w:spacing w:line="240" w:lineRule="auto"/>
        <w:rPr>
          <w:rFonts w:eastAsia="Times New Roman" w:cs="Arial"/>
          <w:color w:val="000000"/>
          <w:lang w:eastAsia="bg-BG"/>
        </w:rPr>
      </w:pPr>
    </w:p>
    <w:p w14:paraId="6DB2F3BA" w14:textId="19E03AE2" w:rsidR="00813FBC" w:rsidRPr="00813FBC" w:rsidRDefault="00813FBC" w:rsidP="00813FBC">
      <w:pPr>
        <w:spacing w:line="240" w:lineRule="auto"/>
        <w:rPr>
          <w:rFonts w:eastAsia="Times New Roman" w:cs="Arial"/>
        </w:rPr>
      </w:pPr>
      <w:r w:rsidRPr="00813FBC">
        <w:rPr>
          <w:rFonts w:eastAsia="Times New Roman" w:cs="Arial"/>
          <w:color w:val="000000"/>
          <w:lang w:eastAsia="bg-BG"/>
        </w:rPr>
        <w:t>Опитът при деца с хомозиготна фамилна хиперхолестеролемия е ограничен до малък брой деца на възраст между 8 и 17 години.</w:t>
      </w:r>
    </w:p>
    <w:p w14:paraId="053D1C23"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Таблетката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не е подходяща за употреба при педиатрични пациенти.</w:t>
      </w:r>
    </w:p>
    <w:p w14:paraId="3F876FB3" w14:textId="77777777" w:rsidR="00813FBC" w:rsidRPr="00813FBC" w:rsidRDefault="00813FBC" w:rsidP="00813FBC">
      <w:pPr>
        <w:spacing w:line="240" w:lineRule="auto"/>
        <w:rPr>
          <w:rFonts w:eastAsia="Times New Roman" w:cs="Arial"/>
          <w:color w:val="000000"/>
          <w:u w:val="single"/>
          <w:lang w:eastAsia="bg-BG"/>
        </w:rPr>
      </w:pPr>
    </w:p>
    <w:p w14:paraId="146D1E0B" w14:textId="0A64290C" w:rsidR="00813FBC" w:rsidRPr="00813FBC" w:rsidRDefault="00813FBC" w:rsidP="00813FBC">
      <w:pPr>
        <w:spacing w:line="240" w:lineRule="auto"/>
        <w:rPr>
          <w:rFonts w:eastAsia="Times New Roman" w:cs="Arial"/>
        </w:rPr>
      </w:pPr>
      <w:r w:rsidRPr="00813FBC">
        <w:rPr>
          <w:rFonts w:eastAsia="Times New Roman" w:cs="Arial"/>
          <w:color w:val="000000"/>
          <w:u w:val="single"/>
          <w:lang w:eastAsia="bg-BG"/>
        </w:rPr>
        <w:t>Деца по-малки от 6 години</w:t>
      </w:r>
    </w:p>
    <w:p w14:paraId="39264FBB"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Безопасността и ефикасността на употребата при деца по-малки от 6 години не </w:t>
      </w:r>
      <w:r w:rsidRPr="00813FBC">
        <w:rPr>
          <w:rFonts w:eastAsia="Times New Roman" w:cs="Arial"/>
          <w:color w:val="000000"/>
          <w:u w:val="single"/>
          <w:lang w:eastAsia="bg-BG"/>
        </w:rPr>
        <w:t>са про</w:t>
      </w:r>
      <w:r w:rsidRPr="00813FBC">
        <w:rPr>
          <w:rFonts w:eastAsia="Times New Roman" w:cs="Arial"/>
          <w:color w:val="000000"/>
          <w:lang w:eastAsia="bg-BG"/>
        </w:rPr>
        <w:t>учвани. Следователно Неоросо не се препоръчва за употреба при деца по-малки от 6</w:t>
      </w:r>
    </w:p>
    <w:p w14:paraId="0C20B10C" w14:textId="77777777" w:rsidR="00813FBC" w:rsidRPr="00813FBC" w:rsidRDefault="00813FBC" w:rsidP="00813FBC">
      <w:pPr>
        <w:spacing w:line="240" w:lineRule="auto"/>
        <w:rPr>
          <w:rFonts w:eastAsia="Times New Roman" w:cs="Arial"/>
          <w:b/>
          <w:bCs/>
          <w:color w:val="000000"/>
          <w:lang w:eastAsia="bg-BG"/>
        </w:rPr>
      </w:pPr>
      <w:bookmarkStart w:id="4" w:name="bookmark6"/>
    </w:p>
    <w:p w14:paraId="0DCD9A92" w14:textId="49D504A9"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Старческа възраст</w:t>
      </w:r>
      <w:bookmarkEnd w:id="4"/>
    </w:p>
    <w:p w14:paraId="7DB38CF0" w14:textId="03A0D2E9" w:rsidR="00813FBC" w:rsidRPr="00813FBC" w:rsidRDefault="00813FBC" w:rsidP="00813FBC">
      <w:pPr>
        <w:spacing w:line="240" w:lineRule="auto"/>
        <w:rPr>
          <w:rFonts w:eastAsia="Times New Roman" w:cs="Arial"/>
          <w:color w:val="000000"/>
          <w:lang w:eastAsia="bg-BG"/>
        </w:rPr>
      </w:pPr>
      <w:r w:rsidRPr="00813FBC">
        <w:rPr>
          <w:rFonts w:eastAsia="Times New Roman" w:cs="Arial"/>
          <w:color w:val="000000"/>
          <w:lang w:eastAsia="bg-BG"/>
        </w:rPr>
        <w:t>Препоръчваната първоначална доза при пациенти над 70-годишна възраст е</w:t>
      </w:r>
      <w:r w:rsidRPr="00813FBC">
        <w:rPr>
          <w:rFonts w:eastAsia="Times New Roman" w:cs="Arial"/>
          <w:color w:val="000000"/>
          <w:lang w:val="ru-RU"/>
        </w:rPr>
        <w:t xml:space="preserve"> 5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розувастатин (вж.</w:t>
      </w:r>
      <w:r w:rsidRPr="00813FBC">
        <w:rPr>
          <w:rFonts w:eastAsia="Times New Roman" w:cs="Arial"/>
          <w:lang w:val="ru-RU"/>
        </w:rPr>
        <w:t xml:space="preserve"> </w:t>
      </w:r>
      <w:r w:rsidRPr="00813FBC">
        <w:rPr>
          <w:rFonts w:eastAsia="Times New Roman" w:cs="Arial"/>
          <w:color w:val="000000"/>
          <w:lang w:eastAsia="bg-BG"/>
        </w:rPr>
        <w:t>точка 4.4). Друго коригиране на дозировката в зависимост от възрастта не е необходимo.</w:t>
      </w:r>
    </w:p>
    <w:p w14:paraId="4BC7E606" w14:textId="4ED0428E" w:rsidR="00813FBC" w:rsidRPr="00813FBC" w:rsidRDefault="00813FBC" w:rsidP="00813FBC">
      <w:pPr>
        <w:spacing w:line="240" w:lineRule="auto"/>
        <w:rPr>
          <w:rFonts w:eastAsia="Times New Roman" w:cs="Arial"/>
          <w:color w:val="000000"/>
          <w:lang w:eastAsia="bg-BG"/>
        </w:rPr>
      </w:pPr>
    </w:p>
    <w:p w14:paraId="6B42F2BB" w14:textId="77777777"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Дозиране при пациенти с бъбречна недостатъчност</w:t>
      </w:r>
    </w:p>
    <w:p w14:paraId="0266EB0B"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При пациенти с леко до умерено бъбречно увреждане се прилагат обичайните дози. При пациенти с умерено бъбречно увреждане препоръчваната първоначална доза е 5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(креатининов клирънс под 60 </w:t>
      </w:r>
      <w:r w:rsidRPr="00813FBC">
        <w:rPr>
          <w:rFonts w:eastAsia="Times New Roman" w:cs="Arial"/>
          <w:color w:val="000000"/>
          <w:lang w:val="en-US"/>
        </w:rPr>
        <w:t>ml</w:t>
      </w:r>
      <w:r w:rsidRPr="00813FBC">
        <w:rPr>
          <w:rFonts w:eastAsia="Times New Roman" w:cs="Arial"/>
          <w:color w:val="000000"/>
          <w:lang w:val="ru-RU"/>
        </w:rPr>
        <w:t>/</w:t>
      </w:r>
      <w:r w:rsidRPr="00813FBC">
        <w:rPr>
          <w:rFonts w:eastAsia="Times New Roman" w:cs="Arial"/>
          <w:color w:val="000000"/>
          <w:lang w:val="en-US"/>
        </w:rPr>
        <w:t>min</w:t>
      </w:r>
      <w:r w:rsidRPr="00813FBC">
        <w:rPr>
          <w:rFonts w:eastAsia="Times New Roman" w:cs="Arial"/>
          <w:color w:val="000000"/>
          <w:lang w:val="ru-RU"/>
        </w:rPr>
        <w:t xml:space="preserve">). </w:t>
      </w:r>
      <w:r w:rsidRPr="00813FBC">
        <w:rPr>
          <w:rFonts w:eastAsia="Times New Roman" w:cs="Arial"/>
          <w:color w:val="000000"/>
          <w:lang w:eastAsia="bg-BG"/>
        </w:rPr>
        <w:t xml:space="preserve">Дозировката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е противопоказана при пациенти с умерено бъбречно увреждане. При пациенти с тежко бъбречно увреждане употребата на Неоросо е противопоказана (вж. точка 4.3 и точка 5.2).</w:t>
      </w:r>
    </w:p>
    <w:p w14:paraId="47E446B1" w14:textId="77777777" w:rsidR="00813FBC" w:rsidRPr="00813FBC" w:rsidRDefault="00813FBC" w:rsidP="00813FBC">
      <w:pPr>
        <w:spacing w:line="240" w:lineRule="auto"/>
        <w:rPr>
          <w:rFonts w:eastAsia="Times New Roman" w:cs="Arial"/>
          <w:b/>
          <w:bCs/>
          <w:color w:val="000000"/>
          <w:lang w:eastAsia="bg-BG"/>
        </w:rPr>
      </w:pPr>
    </w:p>
    <w:p w14:paraId="4153C942" w14:textId="61424F2C"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Дозиране при пациенти с чернодробно увреждане</w:t>
      </w:r>
    </w:p>
    <w:p w14:paraId="465CAEAA"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Не е наблюдавана повишена системна експозиция на розувастатин при пациенти с оценка &lt; 7 по скалата на </w:t>
      </w:r>
      <w:r w:rsidRPr="00813FBC">
        <w:rPr>
          <w:rFonts w:eastAsia="Times New Roman" w:cs="Arial"/>
          <w:color w:val="000000"/>
          <w:lang w:val="en-US"/>
        </w:rPr>
        <w:t>Child</w:t>
      </w:r>
      <w:r w:rsidRPr="00813FBC">
        <w:rPr>
          <w:rFonts w:eastAsia="Times New Roman" w:cs="Arial"/>
          <w:color w:val="000000"/>
          <w:lang w:val="ru-RU"/>
        </w:rPr>
        <w:t>-</w:t>
      </w:r>
      <w:r w:rsidRPr="00813FBC">
        <w:rPr>
          <w:rFonts w:eastAsia="Times New Roman" w:cs="Arial"/>
          <w:color w:val="000000"/>
          <w:lang w:val="en-US"/>
        </w:rPr>
        <w:t>Pugh</w:t>
      </w:r>
      <w:r w:rsidRPr="00813FBC">
        <w:rPr>
          <w:rFonts w:eastAsia="Times New Roman" w:cs="Arial"/>
          <w:color w:val="000000"/>
          <w:lang w:val="ru-RU"/>
        </w:rPr>
        <w:t xml:space="preserve">. </w:t>
      </w:r>
      <w:r w:rsidRPr="00813FBC">
        <w:rPr>
          <w:rFonts w:eastAsia="Times New Roman" w:cs="Arial"/>
          <w:color w:val="000000"/>
          <w:lang w:eastAsia="bg-BG"/>
        </w:rPr>
        <w:t xml:space="preserve">Въпреки това, повишена системна експозиция е наблюдавана при пациенти с оценка 8 и 9 по скалата на </w:t>
      </w:r>
      <w:r w:rsidRPr="00813FBC">
        <w:rPr>
          <w:rFonts w:eastAsia="Times New Roman" w:cs="Arial"/>
          <w:color w:val="000000"/>
          <w:lang w:val="en-US"/>
        </w:rPr>
        <w:t>Child</w:t>
      </w:r>
      <w:r w:rsidRPr="00813FBC">
        <w:rPr>
          <w:rFonts w:eastAsia="Times New Roman" w:cs="Arial"/>
          <w:color w:val="000000"/>
          <w:lang w:val="ru-RU"/>
        </w:rPr>
        <w:t>-</w:t>
      </w:r>
      <w:r w:rsidRPr="00813FBC">
        <w:rPr>
          <w:rFonts w:eastAsia="Times New Roman" w:cs="Arial"/>
          <w:color w:val="000000"/>
          <w:lang w:val="en-US"/>
        </w:rPr>
        <w:t>Pugh</w:t>
      </w:r>
      <w:r w:rsidRPr="00813FBC">
        <w:rPr>
          <w:rFonts w:eastAsia="Times New Roman" w:cs="Arial"/>
          <w:color w:val="000000"/>
          <w:lang w:val="ru-RU"/>
        </w:rPr>
        <w:t xml:space="preserve"> </w:t>
      </w:r>
      <w:r w:rsidRPr="00813FBC">
        <w:rPr>
          <w:rFonts w:eastAsia="Times New Roman" w:cs="Arial"/>
          <w:color w:val="000000"/>
          <w:lang w:eastAsia="bg-BG"/>
        </w:rPr>
        <w:t xml:space="preserve">(вж. точка 5.2). При тези пациенти е необходимо да се има предвид оценка на бъбречната функция (вж. точка 4.4). Няма опит при пациенти с оценка над 9 по скалата на </w:t>
      </w:r>
      <w:r w:rsidRPr="00813FBC">
        <w:rPr>
          <w:rFonts w:eastAsia="Times New Roman" w:cs="Arial"/>
          <w:color w:val="000000"/>
          <w:lang w:val="en-US"/>
        </w:rPr>
        <w:t>Child</w:t>
      </w:r>
      <w:r w:rsidRPr="00813FBC">
        <w:rPr>
          <w:rFonts w:eastAsia="Times New Roman" w:cs="Arial"/>
          <w:color w:val="000000"/>
          <w:lang w:val="ru-RU"/>
        </w:rPr>
        <w:t>-</w:t>
      </w:r>
      <w:proofErr w:type="spellStart"/>
      <w:r w:rsidRPr="00813FBC">
        <w:rPr>
          <w:rFonts w:eastAsia="Times New Roman" w:cs="Arial"/>
          <w:color w:val="000000"/>
          <w:lang w:val="en-US"/>
        </w:rPr>
        <w:t>Plugh</w:t>
      </w:r>
      <w:proofErr w:type="spellEnd"/>
      <w:r w:rsidRPr="00813FBC">
        <w:rPr>
          <w:rFonts w:eastAsia="Times New Roman" w:cs="Arial"/>
          <w:color w:val="000000"/>
          <w:lang w:val="ru-RU"/>
        </w:rPr>
        <w:t xml:space="preserve">. </w:t>
      </w:r>
      <w:r w:rsidRPr="00813FBC">
        <w:rPr>
          <w:rFonts w:eastAsia="Times New Roman" w:cs="Arial"/>
          <w:color w:val="000000"/>
          <w:lang w:eastAsia="bg-BG"/>
        </w:rPr>
        <w:t>Неоросо е противопоказан при пациенти с активно чернодробно увреждане (вж. точка 4.3).</w:t>
      </w:r>
    </w:p>
    <w:p w14:paraId="03E53420" w14:textId="77777777" w:rsidR="00813FBC" w:rsidRPr="00813FBC" w:rsidRDefault="00813FBC" w:rsidP="00813FBC">
      <w:pPr>
        <w:spacing w:line="240" w:lineRule="auto"/>
        <w:rPr>
          <w:rFonts w:eastAsia="Times New Roman" w:cs="Arial"/>
          <w:b/>
          <w:bCs/>
          <w:color w:val="000000"/>
          <w:lang w:eastAsia="bg-BG"/>
        </w:rPr>
      </w:pPr>
    </w:p>
    <w:p w14:paraId="6CA57763" w14:textId="1B78C9DF"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Раса</w:t>
      </w:r>
    </w:p>
    <w:p w14:paraId="22E203AF"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При пациенти от азиатската раса</w:t>
      </w:r>
      <w:r w:rsidRPr="00813FBC">
        <w:rPr>
          <w:rFonts w:eastAsia="Times New Roman" w:cs="Arial"/>
          <w:color w:val="000000"/>
          <w:lang w:val="ru-RU"/>
        </w:rPr>
        <w:t xml:space="preserve"> </w:t>
      </w:r>
      <w:r w:rsidRPr="00813FBC">
        <w:rPr>
          <w:rFonts w:eastAsia="Times New Roman" w:cs="Arial"/>
          <w:color w:val="000000"/>
          <w:lang w:eastAsia="bg-BG"/>
        </w:rPr>
        <w:t xml:space="preserve">се наблюдава повишена системна експозиция (вж. точка 4.3, точка 4.4 и точка 5.2). Препоръчваната първоначална доза при пациенти от азиатски произход е 5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При тези пациенти е противопоказано приложение на доза от 40 </w:t>
      </w:r>
      <w:r w:rsidRPr="00813FBC">
        <w:rPr>
          <w:rFonts w:eastAsia="Times New Roman" w:cs="Arial"/>
          <w:color w:val="000000"/>
          <w:lang w:val="en-US"/>
        </w:rPr>
        <w:t>mg</w:t>
      </w:r>
      <w:r w:rsidRPr="00813FBC">
        <w:rPr>
          <w:rFonts w:eastAsia="Times New Roman" w:cs="Arial"/>
          <w:color w:val="000000"/>
          <w:lang w:val="ru-RU"/>
        </w:rPr>
        <w:t>.</w:t>
      </w:r>
    </w:p>
    <w:p w14:paraId="1C4386C0" w14:textId="77777777" w:rsidR="00813FBC" w:rsidRPr="00813FBC" w:rsidRDefault="00813FBC" w:rsidP="00813FBC">
      <w:pPr>
        <w:spacing w:line="240" w:lineRule="auto"/>
        <w:rPr>
          <w:rFonts w:eastAsia="Times New Roman" w:cs="Arial"/>
          <w:b/>
          <w:bCs/>
          <w:color w:val="000000"/>
          <w:lang w:eastAsia="bg-BG"/>
        </w:rPr>
      </w:pPr>
    </w:p>
    <w:p w14:paraId="53B407A5" w14:textId="0B0D6760"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Генетичен полиморфизъм</w:t>
      </w:r>
    </w:p>
    <w:p w14:paraId="3C963230"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Показано е, че генотиповете </w:t>
      </w:r>
      <w:r w:rsidRPr="00813FBC">
        <w:rPr>
          <w:rFonts w:eastAsia="Times New Roman" w:cs="Arial"/>
          <w:color w:val="000000"/>
          <w:lang w:val="en-US"/>
        </w:rPr>
        <w:t>SLCOIBI</w:t>
      </w:r>
      <w:r w:rsidRPr="00813FBC">
        <w:rPr>
          <w:rFonts w:eastAsia="Times New Roman" w:cs="Arial"/>
          <w:color w:val="000000"/>
          <w:lang w:val="ru-RU"/>
        </w:rPr>
        <w:t xml:space="preserve"> </w:t>
      </w:r>
      <w:r w:rsidRPr="00813FBC">
        <w:rPr>
          <w:rFonts w:eastAsia="Times New Roman" w:cs="Arial"/>
          <w:color w:val="000000"/>
          <w:lang w:eastAsia="bg-BG"/>
        </w:rPr>
        <w:t xml:space="preserve">(ОАТР1В1) С.521СС и </w:t>
      </w:r>
      <w:r w:rsidRPr="00813FBC">
        <w:rPr>
          <w:rFonts w:eastAsia="Times New Roman" w:cs="Arial"/>
          <w:color w:val="000000"/>
          <w:lang w:val="en-US"/>
        </w:rPr>
        <w:t>ABCG</w:t>
      </w:r>
      <w:r w:rsidRPr="00813FBC">
        <w:rPr>
          <w:rFonts w:eastAsia="Times New Roman" w:cs="Arial"/>
          <w:color w:val="000000"/>
          <w:lang w:val="ru-RU"/>
        </w:rPr>
        <w:t>2 (</w:t>
      </w:r>
      <w:r w:rsidRPr="00813FBC">
        <w:rPr>
          <w:rFonts w:eastAsia="Times New Roman" w:cs="Arial"/>
          <w:color w:val="000000"/>
          <w:lang w:val="en-US"/>
        </w:rPr>
        <w:t>BCRP</w:t>
      </w:r>
      <w:r w:rsidRPr="00813FBC">
        <w:rPr>
          <w:rFonts w:eastAsia="Times New Roman" w:cs="Arial"/>
          <w:color w:val="000000"/>
          <w:lang w:val="ru-RU"/>
        </w:rPr>
        <w:t xml:space="preserve">) </w:t>
      </w:r>
      <w:r w:rsidRPr="00813FBC">
        <w:rPr>
          <w:rFonts w:eastAsia="Times New Roman" w:cs="Arial"/>
          <w:color w:val="000000"/>
          <w:lang w:eastAsia="bg-BG"/>
        </w:rPr>
        <w:t xml:space="preserve">С.421АА са свързани с повишаване на експозицията </w:t>
      </w:r>
      <w:r w:rsidRPr="00813FBC">
        <w:rPr>
          <w:rFonts w:eastAsia="Times New Roman" w:cs="Arial"/>
          <w:color w:val="000000"/>
          <w:lang w:val="ru-RU"/>
        </w:rPr>
        <w:t>(</w:t>
      </w:r>
      <w:r w:rsidRPr="00813FBC">
        <w:rPr>
          <w:rFonts w:eastAsia="Times New Roman" w:cs="Arial"/>
          <w:color w:val="000000"/>
          <w:lang w:val="en-US"/>
        </w:rPr>
        <w:t>AUC</w:t>
      </w:r>
      <w:r w:rsidRPr="00813FBC">
        <w:rPr>
          <w:rFonts w:eastAsia="Times New Roman" w:cs="Arial"/>
          <w:color w:val="000000"/>
          <w:lang w:val="ru-RU"/>
        </w:rPr>
        <w:t xml:space="preserve">) </w:t>
      </w:r>
      <w:r w:rsidRPr="00813FBC">
        <w:rPr>
          <w:rFonts w:eastAsia="Times New Roman" w:cs="Arial"/>
          <w:color w:val="000000"/>
          <w:lang w:eastAsia="bg-BG"/>
        </w:rPr>
        <w:t xml:space="preserve">на розувастатин в сравнение </w:t>
      </w:r>
      <w:r w:rsidRPr="00813FBC">
        <w:rPr>
          <w:rFonts w:eastAsia="Times New Roman" w:cs="Arial"/>
          <w:color w:val="000000"/>
          <w:lang w:val="en-US"/>
        </w:rPr>
        <w:t>c</w:t>
      </w:r>
      <w:r w:rsidRPr="00813FBC">
        <w:rPr>
          <w:rFonts w:eastAsia="Times New Roman" w:cs="Arial"/>
          <w:color w:val="000000"/>
          <w:lang w:val="ru-RU"/>
        </w:rPr>
        <w:t xml:space="preserve"> </w:t>
      </w:r>
      <w:r w:rsidRPr="00813FBC">
        <w:rPr>
          <w:rFonts w:eastAsia="Times New Roman" w:cs="Arial"/>
          <w:color w:val="000000"/>
          <w:lang w:val="en-US"/>
        </w:rPr>
        <w:t>SLCOIBI</w:t>
      </w:r>
      <w:r w:rsidRPr="00813FBC">
        <w:rPr>
          <w:rFonts w:eastAsia="Times New Roman" w:cs="Arial"/>
          <w:color w:val="000000"/>
          <w:lang w:val="ru-RU"/>
        </w:rPr>
        <w:t xml:space="preserve"> </w:t>
      </w:r>
      <w:r w:rsidRPr="00813FBC">
        <w:rPr>
          <w:rFonts w:eastAsia="Times New Roman" w:cs="Arial"/>
          <w:color w:val="000000"/>
          <w:lang w:eastAsia="bg-BG"/>
        </w:rPr>
        <w:t xml:space="preserve">С.521ТТ и </w:t>
      </w:r>
      <w:r w:rsidRPr="00813FBC">
        <w:rPr>
          <w:rFonts w:eastAsia="Times New Roman" w:cs="Arial"/>
          <w:color w:val="000000"/>
          <w:lang w:val="en-US"/>
        </w:rPr>
        <w:t>ABCG</w:t>
      </w:r>
      <w:r w:rsidRPr="00813FBC">
        <w:rPr>
          <w:rFonts w:eastAsia="Times New Roman" w:cs="Arial"/>
          <w:color w:val="000000"/>
          <w:lang w:val="ru-RU"/>
        </w:rPr>
        <w:t xml:space="preserve">2 </w:t>
      </w:r>
      <w:r w:rsidRPr="00813FBC">
        <w:rPr>
          <w:rFonts w:eastAsia="Times New Roman" w:cs="Arial"/>
          <w:color w:val="000000"/>
          <w:lang w:eastAsia="bg-BG"/>
        </w:rPr>
        <w:t xml:space="preserve">С.421СС. За пациентите, за които е известно, че имат генотип с.521СС </w:t>
      </w:r>
      <w:r w:rsidRPr="00813FBC">
        <w:rPr>
          <w:rFonts w:eastAsia="Times New Roman" w:cs="Arial"/>
          <w:color w:val="000000"/>
          <w:lang w:eastAsia="bg-BG"/>
        </w:rPr>
        <w:lastRenderedPageBreak/>
        <w:t xml:space="preserve">или С.421АА, се препоръчва максимална еднократна дневна доза от 20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Неоросо (вж. точки 4.4,</w:t>
      </w:r>
      <w:r w:rsidRPr="00813FBC">
        <w:rPr>
          <w:rFonts w:eastAsia="Times New Roman" w:cs="Arial"/>
          <w:color w:val="000000"/>
          <w:lang w:val="ru-RU"/>
        </w:rPr>
        <w:t xml:space="preserve"> </w:t>
      </w:r>
      <w:r w:rsidRPr="00813FBC">
        <w:rPr>
          <w:rFonts w:eastAsia="Times New Roman" w:cs="Arial"/>
          <w:color w:val="000000"/>
          <w:lang w:eastAsia="bg-BG"/>
        </w:rPr>
        <w:t>4.5 и 5.2).</w:t>
      </w:r>
    </w:p>
    <w:p w14:paraId="254856AB" w14:textId="77777777" w:rsidR="00813FBC" w:rsidRPr="00813FBC" w:rsidRDefault="00813FBC" w:rsidP="00813FBC">
      <w:pPr>
        <w:spacing w:line="240" w:lineRule="auto"/>
        <w:rPr>
          <w:rFonts w:eastAsia="Times New Roman" w:cs="Arial"/>
          <w:b/>
          <w:bCs/>
          <w:color w:val="000000"/>
          <w:lang w:eastAsia="bg-BG"/>
        </w:rPr>
      </w:pPr>
      <w:bookmarkStart w:id="5" w:name="bookmark8"/>
    </w:p>
    <w:p w14:paraId="69102ED5" w14:textId="6595220E"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Дозиране при пациенти, предразположени към развитие на миопатни</w:t>
      </w:r>
      <w:bookmarkEnd w:id="5"/>
    </w:p>
    <w:p w14:paraId="2CE18197"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При пациенти с предразполагащи фактори за развитите на миопатия препоръчваната начална доза е 5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(вж. точка 4.4).</w:t>
      </w:r>
    </w:p>
    <w:p w14:paraId="01F8B1BF" w14:textId="77777777" w:rsidR="00813FBC" w:rsidRPr="00813FBC" w:rsidRDefault="00813FBC" w:rsidP="00813FBC">
      <w:pPr>
        <w:spacing w:line="240" w:lineRule="auto"/>
        <w:rPr>
          <w:rFonts w:eastAsia="Times New Roman" w:cs="Arial"/>
          <w:color w:val="000000"/>
          <w:lang w:eastAsia="bg-BG"/>
        </w:rPr>
      </w:pPr>
    </w:p>
    <w:p w14:paraId="62353A05" w14:textId="6331A0F5"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При някои от тези пациенти е противопоказано приложението на доза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(вж. точка 4.3).</w:t>
      </w:r>
    </w:p>
    <w:p w14:paraId="511BD528" w14:textId="77777777" w:rsidR="00813FBC" w:rsidRPr="00813FBC" w:rsidRDefault="00813FBC" w:rsidP="00813FBC">
      <w:pPr>
        <w:spacing w:line="240" w:lineRule="auto"/>
        <w:rPr>
          <w:rFonts w:eastAsia="Times New Roman" w:cs="Arial"/>
          <w:b/>
          <w:bCs/>
          <w:color w:val="000000"/>
          <w:lang w:eastAsia="bg-BG"/>
        </w:rPr>
      </w:pPr>
      <w:bookmarkStart w:id="6" w:name="bookmark10"/>
    </w:p>
    <w:p w14:paraId="2EFFCC8D" w14:textId="3CC79E97"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Съпътстваща терапия</w:t>
      </w:r>
      <w:bookmarkEnd w:id="6"/>
    </w:p>
    <w:p w14:paraId="265704EE"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Розувастатин е субстрат на различни транспортерни протеини (напр. ОАТР1В1 и </w:t>
      </w:r>
      <w:r w:rsidRPr="00813FBC">
        <w:rPr>
          <w:rFonts w:eastAsia="Times New Roman" w:cs="Arial"/>
          <w:color w:val="000000"/>
          <w:lang w:val="en-US"/>
        </w:rPr>
        <w:t>BCRP</w:t>
      </w:r>
      <w:r w:rsidRPr="00813FBC">
        <w:rPr>
          <w:rFonts w:eastAsia="Times New Roman" w:cs="Arial"/>
          <w:color w:val="000000"/>
          <w:lang w:val="ru-RU"/>
        </w:rPr>
        <w:t xml:space="preserve">). </w:t>
      </w:r>
      <w:r w:rsidRPr="00813FBC">
        <w:rPr>
          <w:rFonts w:eastAsia="Times New Roman" w:cs="Arial"/>
          <w:color w:val="000000"/>
          <w:lang w:eastAsia="bg-BG"/>
        </w:rPr>
        <w:t>Рискът от миопатия (включително рабдомиолиза) се повишава, когато Неоросо се прилага едновременно с определени лекарствени продукти, които могат да повишат плазмената концентрация на розувастатин поради взаимодействие с тези транспортерни протеини (напр. циклоспорин и някои протеазни инхибитори, включително комб</w:t>
      </w:r>
      <w:r w:rsidRPr="00813FBC">
        <w:rPr>
          <w:rFonts w:eastAsia="Times New Roman" w:cs="Arial"/>
          <w:color w:val="000000"/>
          <w:u w:val="single"/>
          <w:lang w:eastAsia="bg-BG"/>
        </w:rPr>
        <w:t>инации</w:t>
      </w:r>
      <w:r w:rsidRPr="00813FBC">
        <w:rPr>
          <w:rFonts w:eastAsia="Times New Roman" w:cs="Arial"/>
          <w:color w:val="000000"/>
          <w:lang w:eastAsia="bg-BG"/>
        </w:rPr>
        <w:t xml:space="preserve"> на ритонавир с атазанавир, лопинавир и/или типранавир; вж. точки 4.4 и 4.5). Когато е възможно, трябва да се имат предвид алтернативни лекарства и, ако е необходимо, да се има предвид временно прекъсване на терапията с Неоросо. В ситуации, когато едновременното приложение на тези лекарствени продукти с Неоросо е неизбежно, ползата и рискът от съпътстващата терапия и корекции на дозата на Неоросо трябва внимателно да се обмислят (вж. точка 4.5).</w:t>
      </w:r>
    </w:p>
    <w:p w14:paraId="658027C4" w14:textId="77777777" w:rsidR="00813FBC" w:rsidRPr="00813FBC" w:rsidRDefault="00813FBC" w:rsidP="00813FBC">
      <w:pPr>
        <w:spacing w:line="240" w:lineRule="auto"/>
        <w:rPr>
          <w:rFonts w:eastAsia="Times New Roman" w:cs="Arial"/>
          <w:color w:val="000000"/>
          <w:u w:val="single"/>
          <w:lang w:eastAsia="bg-BG"/>
        </w:rPr>
      </w:pPr>
    </w:p>
    <w:p w14:paraId="7364F1C7" w14:textId="33CD4942" w:rsidR="00813FBC" w:rsidRPr="00813FBC" w:rsidRDefault="00813FBC" w:rsidP="00813FBC">
      <w:pPr>
        <w:pStyle w:val="Heading3"/>
        <w:rPr>
          <w:u w:val="single"/>
        </w:rPr>
      </w:pPr>
      <w:r w:rsidRPr="00813FBC">
        <w:rPr>
          <w:u w:val="single"/>
        </w:rPr>
        <w:t>Начин на приложение</w:t>
      </w:r>
    </w:p>
    <w:p w14:paraId="029C5EE6"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Неоросо може да се приема по всяко време на деня, със или без храна.</w:t>
      </w:r>
    </w:p>
    <w:p w14:paraId="62890FE3" w14:textId="3F33678F" w:rsidR="00813FBC" w:rsidRPr="00813FBC" w:rsidRDefault="00813FBC" w:rsidP="00813FBC">
      <w:pPr>
        <w:spacing w:line="240" w:lineRule="auto"/>
        <w:rPr>
          <w:rFonts w:ascii="Times New Roman" w:eastAsia="Times New Roman" w:hAnsi="Times New Roman" w:cs="Times New Roman"/>
          <w:sz w:val="24"/>
          <w:szCs w:val="24"/>
        </w:rPr>
      </w:pPr>
    </w:p>
    <w:p w14:paraId="0F253247" w14:textId="6ABE2F60" w:rsidR="007122AD" w:rsidRDefault="002C50EE" w:rsidP="00936AD0">
      <w:pPr>
        <w:pStyle w:val="Heading2"/>
      </w:pPr>
      <w:r>
        <w:t>4.3. Противопоказания</w:t>
      </w:r>
    </w:p>
    <w:p w14:paraId="1D2C752E" w14:textId="3218A899" w:rsidR="00813FBC" w:rsidRDefault="00813FBC" w:rsidP="00813FBC"/>
    <w:p w14:paraId="3E3C8363"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Неоросо е противопоказан:</w:t>
      </w:r>
    </w:p>
    <w:p w14:paraId="68EAA3B8" w14:textId="77777777" w:rsidR="00813FBC" w:rsidRDefault="00813FBC" w:rsidP="00813FBC">
      <w:pPr>
        <w:pStyle w:val="ListParagraph"/>
        <w:numPr>
          <w:ilvl w:val="0"/>
          <w:numId w:val="38"/>
        </w:numPr>
        <w:spacing w:line="240" w:lineRule="auto"/>
        <w:rPr>
          <w:rFonts w:eastAsia="Times New Roman" w:cs="Arial"/>
          <w:color w:val="000000"/>
          <w:lang w:eastAsia="bg-BG"/>
        </w:rPr>
      </w:pPr>
      <w:r w:rsidRPr="00813FBC">
        <w:rPr>
          <w:rFonts w:eastAsia="Times New Roman" w:cs="Arial"/>
          <w:color w:val="000000"/>
          <w:lang w:eastAsia="bg-BG"/>
        </w:rPr>
        <w:t>При пациенти със свръхчувствителност към активното вещество към или някое от помощните вещества, изброени в точка 6.1;</w:t>
      </w:r>
    </w:p>
    <w:p w14:paraId="59FF35C5" w14:textId="77777777" w:rsidR="00813FBC" w:rsidRDefault="00813FBC" w:rsidP="00813FBC">
      <w:pPr>
        <w:pStyle w:val="ListParagraph"/>
        <w:numPr>
          <w:ilvl w:val="0"/>
          <w:numId w:val="38"/>
        </w:numPr>
        <w:spacing w:line="240" w:lineRule="auto"/>
        <w:rPr>
          <w:rFonts w:eastAsia="Times New Roman" w:cs="Arial"/>
          <w:color w:val="000000"/>
          <w:lang w:eastAsia="bg-BG"/>
        </w:rPr>
      </w:pPr>
      <w:r w:rsidRPr="00813FBC">
        <w:rPr>
          <w:rFonts w:eastAsia="Times New Roman" w:cs="Arial"/>
          <w:color w:val="000000"/>
          <w:lang w:eastAsia="bg-BG"/>
        </w:rPr>
        <w:t>При пациенти с активно чернодробно заболяване, включително неуточнено, продължително покачване на серумните трансаминази и всяко покачване на серумните трансаминази надвишаващо три пъти горната граница на нормата;</w:t>
      </w:r>
    </w:p>
    <w:p w14:paraId="5A9C37C5" w14:textId="77777777" w:rsidR="00813FBC" w:rsidRPr="00813FBC" w:rsidRDefault="00813FBC" w:rsidP="00813FBC">
      <w:pPr>
        <w:pStyle w:val="ListParagraph"/>
        <w:numPr>
          <w:ilvl w:val="0"/>
          <w:numId w:val="38"/>
        </w:numPr>
        <w:spacing w:line="240" w:lineRule="auto"/>
        <w:rPr>
          <w:rFonts w:eastAsia="Times New Roman" w:cs="Arial"/>
          <w:color w:val="000000"/>
          <w:lang w:eastAsia="bg-BG"/>
        </w:rPr>
      </w:pPr>
      <w:r w:rsidRPr="00813FBC">
        <w:rPr>
          <w:rFonts w:eastAsia="Times New Roman" w:cs="Arial"/>
          <w:color w:val="000000"/>
          <w:lang w:eastAsia="bg-BG"/>
        </w:rPr>
        <w:t xml:space="preserve">При пациенти с тежко бъбречно увреждане (креатининов клирънс &lt;30 </w:t>
      </w:r>
      <w:r w:rsidRPr="00813FBC">
        <w:rPr>
          <w:rFonts w:eastAsia="Times New Roman" w:cs="Arial"/>
          <w:color w:val="000000"/>
          <w:lang w:val="en-US"/>
        </w:rPr>
        <w:t>ml</w:t>
      </w:r>
      <w:r w:rsidRPr="00813FBC">
        <w:rPr>
          <w:rFonts w:eastAsia="Times New Roman" w:cs="Arial"/>
          <w:color w:val="000000"/>
          <w:lang w:val="ru-RU"/>
        </w:rPr>
        <w:t>/</w:t>
      </w:r>
      <w:r w:rsidRPr="00813FBC">
        <w:rPr>
          <w:rFonts w:eastAsia="Times New Roman" w:cs="Arial"/>
          <w:color w:val="000000"/>
          <w:lang w:val="en-US"/>
        </w:rPr>
        <w:t>min</w:t>
      </w:r>
      <w:r w:rsidRPr="00813FBC">
        <w:rPr>
          <w:rFonts w:eastAsia="Times New Roman" w:cs="Arial"/>
          <w:color w:val="000000"/>
          <w:lang w:val="ru-RU"/>
        </w:rPr>
        <w:t>);</w:t>
      </w:r>
    </w:p>
    <w:p w14:paraId="25D5C0B9" w14:textId="77777777" w:rsidR="00813FBC" w:rsidRDefault="00813FBC" w:rsidP="00813FBC">
      <w:pPr>
        <w:pStyle w:val="ListParagraph"/>
        <w:numPr>
          <w:ilvl w:val="0"/>
          <w:numId w:val="38"/>
        </w:numPr>
        <w:spacing w:line="240" w:lineRule="auto"/>
        <w:rPr>
          <w:rFonts w:eastAsia="Times New Roman" w:cs="Arial"/>
          <w:color w:val="000000"/>
          <w:lang w:eastAsia="bg-BG"/>
        </w:rPr>
      </w:pPr>
      <w:r w:rsidRPr="00813FBC">
        <w:rPr>
          <w:rFonts w:eastAsia="Times New Roman" w:cs="Arial"/>
          <w:color w:val="000000"/>
          <w:lang w:eastAsia="bg-BG"/>
        </w:rPr>
        <w:t>При пациенти с миопатия;</w:t>
      </w:r>
    </w:p>
    <w:p w14:paraId="6D49C8AA" w14:textId="77777777" w:rsidR="00813FBC" w:rsidRDefault="00813FBC" w:rsidP="00813FBC">
      <w:pPr>
        <w:pStyle w:val="ListParagraph"/>
        <w:numPr>
          <w:ilvl w:val="0"/>
          <w:numId w:val="38"/>
        </w:numPr>
        <w:spacing w:line="240" w:lineRule="auto"/>
        <w:rPr>
          <w:rFonts w:eastAsia="Times New Roman" w:cs="Arial"/>
          <w:color w:val="000000"/>
          <w:lang w:eastAsia="bg-BG"/>
        </w:rPr>
      </w:pPr>
      <w:r w:rsidRPr="00813FBC">
        <w:rPr>
          <w:rFonts w:eastAsia="Times New Roman" w:cs="Arial"/>
          <w:color w:val="000000"/>
          <w:lang w:eastAsia="bg-BG"/>
        </w:rPr>
        <w:t>При пациенти, приемащи едновременно циклоспорин;</w:t>
      </w:r>
    </w:p>
    <w:p w14:paraId="71098FDC" w14:textId="742C947F" w:rsidR="00813FBC" w:rsidRPr="00813FBC" w:rsidRDefault="00813FBC" w:rsidP="00813FBC">
      <w:pPr>
        <w:pStyle w:val="ListParagraph"/>
        <w:numPr>
          <w:ilvl w:val="0"/>
          <w:numId w:val="38"/>
        </w:numPr>
        <w:spacing w:line="240" w:lineRule="auto"/>
        <w:rPr>
          <w:rFonts w:eastAsia="Times New Roman" w:cs="Arial"/>
          <w:color w:val="000000"/>
          <w:lang w:eastAsia="bg-BG"/>
        </w:rPr>
      </w:pPr>
      <w:r w:rsidRPr="00813FBC">
        <w:rPr>
          <w:rFonts w:eastAsia="Times New Roman" w:cs="Arial"/>
          <w:color w:val="000000"/>
          <w:lang w:eastAsia="bg-BG"/>
        </w:rPr>
        <w:t>По време на бременност, кърмене и при жени в детеродна възраст, които не използват подходящи контрацептивни мерки.</w:t>
      </w:r>
    </w:p>
    <w:p w14:paraId="2D16B35C" w14:textId="77777777" w:rsidR="00813FBC" w:rsidRDefault="00813FBC" w:rsidP="00813FBC">
      <w:pPr>
        <w:spacing w:line="240" w:lineRule="auto"/>
        <w:rPr>
          <w:rFonts w:eastAsia="Times New Roman" w:cs="Arial"/>
          <w:color w:val="000000"/>
          <w:lang w:eastAsia="bg-BG"/>
        </w:rPr>
      </w:pPr>
    </w:p>
    <w:p w14:paraId="16E0D8D8" w14:textId="42A41DC4"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Дозата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е противопоказана при пациенти с предразполагащи фактори за развитие на миопатия/рабдомиолиза. Такива фактори са:</w:t>
      </w:r>
    </w:p>
    <w:p w14:paraId="5BEAECDB" w14:textId="77777777" w:rsidR="00813FBC" w:rsidRPr="00813FBC" w:rsidRDefault="00813FBC" w:rsidP="00813FBC">
      <w:pPr>
        <w:pStyle w:val="ListParagraph"/>
        <w:numPr>
          <w:ilvl w:val="0"/>
          <w:numId w:val="39"/>
        </w:numPr>
        <w:spacing w:line="240" w:lineRule="auto"/>
        <w:rPr>
          <w:rFonts w:eastAsia="Times New Roman" w:cs="Arial"/>
          <w:color w:val="000000"/>
          <w:lang w:eastAsia="bg-BG"/>
        </w:rPr>
      </w:pPr>
      <w:r w:rsidRPr="00813FBC">
        <w:rPr>
          <w:rFonts w:eastAsia="Times New Roman" w:cs="Arial"/>
          <w:color w:val="000000"/>
          <w:lang w:eastAsia="bg-BG"/>
        </w:rPr>
        <w:t xml:space="preserve">Умерено бъбречно увреждане (креатининов клирънс &lt; 60 </w:t>
      </w:r>
      <w:r w:rsidRPr="00813FBC">
        <w:rPr>
          <w:rFonts w:eastAsia="Times New Roman" w:cs="Arial"/>
          <w:color w:val="000000"/>
          <w:lang w:val="en-US"/>
        </w:rPr>
        <w:t>ml</w:t>
      </w:r>
      <w:r w:rsidRPr="00813FBC">
        <w:rPr>
          <w:rFonts w:eastAsia="Times New Roman" w:cs="Arial"/>
          <w:color w:val="000000"/>
          <w:lang w:val="ru-RU"/>
        </w:rPr>
        <w:t>/</w:t>
      </w:r>
      <w:r w:rsidRPr="00813FBC">
        <w:rPr>
          <w:rFonts w:eastAsia="Times New Roman" w:cs="Arial"/>
          <w:color w:val="000000"/>
          <w:lang w:val="en-US"/>
        </w:rPr>
        <w:t>min</w:t>
      </w:r>
      <w:r w:rsidRPr="00813FBC">
        <w:rPr>
          <w:rFonts w:eastAsia="Times New Roman" w:cs="Arial"/>
          <w:color w:val="000000"/>
          <w:lang w:val="ru-RU"/>
        </w:rPr>
        <w:t>);</w:t>
      </w:r>
    </w:p>
    <w:p w14:paraId="2D41F99E" w14:textId="77777777" w:rsidR="00813FBC" w:rsidRDefault="00813FBC" w:rsidP="00813FBC">
      <w:pPr>
        <w:pStyle w:val="ListParagraph"/>
        <w:numPr>
          <w:ilvl w:val="0"/>
          <w:numId w:val="39"/>
        </w:numPr>
        <w:spacing w:line="240" w:lineRule="auto"/>
        <w:rPr>
          <w:rFonts w:eastAsia="Times New Roman" w:cs="Arial"/>
          <w:color w:val="000000"/>
          <w:lang w:eastAsia="bg-BG"/>
        </w:rPr>
      </w:pPr>
      <w:r w:rsidRPr="00813FBC">
        <w:rPr>
          <w:rFonts w:eastAsia="Times New Roman" w:cs="Arial"/>
          <w:color w:val="000000"/>
          <w:lang w:eastAsia="bg-BG"/>
        </w:rPr>
        <w:t>Хипотиреоидизъм;</w:t>
      </w:r>
    </w:p>
    <w:p w14:paraId="12FB596F" w14:textId="77777777" w:rsidR="00813FBC" w:rsidRDefault="00813FBC" w:rsidP="00813FBC">
      <w:pPr>
        <w:pStyle w:val="ListParagraph"/>
        <w:numPr>
          <w:ilvl w:val="0"/>
          <w:numId w:val="39"/>
        </w:numPr>
        <w:spacing w:line="240" w:lineRule="auto"/>
        <w:rPr>
          <w:rFonts w:eastAsia="Times New Roman" w:cs="Arial"/>
          <w:color w:val="000000"/>
          <w:lang w:eastAsia="bg-BG"/>
        </w:rPr>
      </w:pPr>
      <w:r w:rsidRPr="00813FBC">
        <w:rPr>
          <w:rFonts w:eastAsia="Times New Roman" w:cs="Arial"/>
          <w:color w:val="000000"/>
          <w:lang w:eastAsia="bg-BG"/>
        </w:rPr>
        <w:t>Лична или фамилна анамнеза за наследствени мускулни заболявалия.</w:t>
      </w:r>
    </w:p>
    <w:p w14:paraId="706E983B" w14:textId="77777777" w:rsidR="00813FBC" w:rsidRDefault="00813FBC" w:rsidP="00813FBC">
      <w:pPr>
        <w:pStyle w:val="ListParagraph"/>
        <w:numPr>
          <w:ilvl w:val="0"/>
          <w:numId w:val="39"/>
        </w:numPr>
        <w:spacing w:line="240" w:lineRule="auto"/>
        <w:rPr>
          <w:rFonts w:eastAsia="Times New Roman" w:cs="Arial"/>
          <w:color w:val="000000"/>
          <w:lang w:eastAsia="bg-BG"/>
        </w:rPr>
      </w:pPr>
      <w:r w:rsidRPr="00813FBC">
        <w:rPr>
          <w:rFonts w:eastAsia="Times New Roman" w:cs="Arial"/>
          <w:color w:val="000000"/>
          <w:lang w:eastAsia="bg-BG"/>
        </w:rPr>
        <w:t>Анамнеза за поява на мускулно увреждане по време на лечение с друг медикамент от групата</w:t>
      </w:r>
      <w:r w:rsidRPr="00813FBC">
        <w:rPr>
          <w:rFonts w:eastAsia="Times New Roman" w:cs="Arial"/>
          <w:color w:val="000000"/>
          <w:lang w:val="ru-RU" w:eastAsia="bg-BG"/>
        </w:rPr>
        <w:t xml:space="preserve"> </w:t>
      </w:r>
      <w:r w:rsidRPr="00813FBC">
        <w:rPr>
          <w:rFonts w:eastAsia="Times New Roman" w:cs="Arial"/>
          <w:color w:val="000000"/>
          <w:lang w:eastAsia="bg-BG"/>
        </w:rPr>
        <w:t xml:space="preserve">на инхибиторите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редуктазата;</w:t>
      </w:r>
    </w:p>
    <w:p w14:paraId="0595405F" w14:textId="77777777" w:rsidR="00813FBC" w:rsidRDefault="00813FBC" w:rsidP="00813FBC">
      <w:pPr>
        <w:pStyle w:val="ListParagraph"/>
        <w:numPr>
          <w:ilvl w:val="0"/>
          <w:numId w:val="39"/>
        </w:numPr>
        <w:spacing w:line="240" w:lineRule="auto"/>
        <w:rPr>
          <w:rFonts w:eastAsia="Times New Roman" w:cs="Arial"/>
          <w:color w:val="000000"/>
          <w:lang w:eastAsia="bg-BG"/>
        </w:rPr>
      </w:pPr>
      <w:r w:rsidRPr="00813FBC">
        <w:rPr>
          <w:rFonts w:eastAsia="Times New Roman" w:cs="Arial"/>
          <w:color w:val="000000"/>
          <w:lang w:eastAsia="bg-BG"/>
        </w:rPr>
        <w:t>Злоупотреба алкохол;</w:t>
      </w:r>
    </w:p>
    <w:p w14:paraId="0B3CB7AE" w14:textId="77777777" w:rsidR="00813FBC" w:rsidRDefault="00813FBC" w:rsidP="00813FBC">
      <w:pPr>
        <w:pStyle w:val="ListParagraph"/>
        <w:numPr>
          <w:ilvl w:val="0"/>
          <w:numId w:val="39"/>
        </w:numPr>
        <w:spacing w:line="240" w:lineRule="auto"/>
        <w:rPr>
          <w:rFonts w:eastAsia="Times New Roman" w:cs="Arial"/>
          <w:color w:val="000000"/>
          <w:lang w:eastAsia="bg-BG"/>
        </w:rPr>
      </w:pPr>
      <w:r w:rsidRPr="00813FBC">
        <w:rPr>
          <w:rFonts w:eastAsia="Times New Roman" w:cs="Arial"/>
          <w:color w:val="000000"/>
          <w:lang w:eastAsia="bg-BG"/>
        </w:rPr>
        <w:t>Състояния, при които може да се повиши плазменото ниво на розувастатин;</w:t>
      </w:r>
    </w:p>
    <w:p w14:paraId="6FDF077F" w14:textId="77777777" w:rsidR="00813FBC" w:rsidRDefault="00813FBC" w:rsidP="00813FBC">
      <w:pPr>
        <w:pStyle w:val="ListParagraph"/>
        <w:numPr>
          <w:ilvl w:val="0"/>
          <w:numId w:val="39"/>
        </w:numPr>
        <w:spacing w:line="240" w:lineRule="auto"/>
        <w:rPr>
          <w:rFonts w:eastAsia="Times New Roman" w:cs="Arial"/>
          <w:color w:val="000000"/>
          <w:lang w:eastAsia="bg-BG"/>
        </w:rPr>
      </w:pPr>
      <w:r w:rsidRPr="00813FBC">
        <w:rPr>
          <w:rFonts w:eastAsia="Times New Roman" w:cs="Arial"/>
          <w:color w:val="000000"/>
          <w:lang w:eastAsia="bg-BG"/>
        </w:rPr>
        <w:lastRenderedPageBreak/>
        <w:t>Лица от азиатската раса;</w:t>
      </w:r>
    </w:p>
    <w:p w14:paraId="6616754D" w14:textId="7EB7E527" w:rsidR="00813FBC" w:rsidRPr="00813FBC" w:rsidRDefault="00813FBC" w:rsidP="00813FBC">
      <w:pPr>
        <w:pStyle w:val="ListParagraph"/>
        <w:numPr>
          <w:ilvl w:val="0"/>
          <w:numId w:val="39"/>
        </w:numPr>
        <w:spacing w:line="240" w:lineRule="auto"/>
        <w:rPr>
          <w:rFonts w:eastAsia="Times New Roman" w:cs="Arial"/>
          <w:color w:val="000000"/>
          <w:lang w:eastAsia="bg-BG"/>
        </w:rPr>
      </w:pPr>
      <w:r w:rsidRPr="00813FBC">
        <w:rPr>
          <w:rFonts w:eastAsia="Times New Roman" w:cs="Arial"/>
          <w:color w:val="000000"/>
          <w:lang w:eastAsia="bg-BG"/>
        </w:rPr>
        <w:t>Съпътстващо лечение с фибрати.</w:t>
      </w:r>
    </w:p>
    <w:p w14:paraId="069EE950"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(Вж. точка 4.4, точка 4.5 и точка 5.2).</w:t>
      </w:r>
    </w:p>
    <w:p w14:paraId="2F653E8F" w14:textId="77777777" w:rsidR="00813FBC" w:rsidRPr="00813FBC" w:rsidRDefault="00813FBC" w:rsidP="00813FBC">
      <w:pPr>
        <w:spacing w:line="240" w:lineRule="auto"/>
        <w:rPr>
          <w:rFonts w:eastAsia="Times New Roman" w:cs="Arial"/>
          <w:color w:val="000000"/>
          <w:lang w:eastAsia="bg-BG"/>
        </w:rPr>
      </w:pPr>
    </w:p>
    <w:p w14:paraId="0E0BDCC7" w14:textId="5A2F7691" w:rsidR="007122AD" w:rsidRDefault="002C50EE" w:rsidP="00936AD0">
      <w:pPr>
        <w:pStyle w:val="Heading2"/>
      </w:pPr>
      <w:r>
        <w:t>4.4. Специални предупреждения и предпазни мерки при употреба</w:t>
      </w:r>
    </w:p>
    <w:p w14:paraId="69E47403" w14:textId="7C438109" w:rsidR="00813FBC" w:rsidRDefault="00813FBC" w:rsidP="00813FBC"/>
    <w:p w14:paraId="7651BB06"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Ефекти върху бъбреците</w:t>
      </w:r>
    </w:p>
    <w:p w14:paraId="3880D3E2"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При пациенти, лекувани с по-високи дози розувастатин, по-конкретно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е наблюдавана протеинурия, която е установена при изследване с тест-ленти, с предимно тубулен произход и в повечето случаи с преходен или интермитентен характер. Не е доказано протеинурията да предшества остро или прогресивно бъбречно заболяване (вж. точка 4.8). Докладваната честота на сериозни бъбречни увреди при постмаркетинговата употреба е по-висока при дозировка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Оценка на бъбречната функция трябва да се направи по време на рутинно проследяване при пациенти, обичайно лекувани с 40 </w:t>
      </w:r>
      <w:r w:rsidRPr="00813FBC">
        <w:rPr>
          <w:rFonts w:eastAsia="Times New Roman" w:cs="Arial"/>
          <w:color w:val="000000"/>
          <w:lang w:val="en-US"/>
        </w:rPr>
        <w:t>mg</w:t>
      </w:r>
      <w:r w:rsidRPr="00813FBC">
        <w:rPr>
          <w:rFonts w:eastAsia="Times New Roman" w:cs="Arial"/>
          <w:color w:val="000000"/>
          <w:lang w:val="ru-RU"/>
        </w:rPr>
        <w:t>.</w:t>
      </w:r>
    </w:p>
    <w:p w14:paraId="57DF0DCF" w14:textId="77777777" w:rsidR="00813FBC" w:rsidRDefault="00813FBC" w:rsidP="00813FBC">
      <w:pPr>
        <w:spacing w:line="240" w:lineRule="auto"/>
        <w:rPr>
          <w:rFonts w:eastAsia="Times New Roman" w:cs="Arial"/>
          <w:color w:val="000000"/>
          <w:u w:val="single"/>
          <w:lang w:eastAsia="bg-BG"/>
        </w:rPr>
      </w:pPr>
    </w:p>
    <w:p w14:paraId="414D64EF" w14:textId="69AE1EC3"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Ефекти върху скелетната мускулатура</w:t>
      </w:r>
    </w:p>
    <w:p w14:paraId="51260AE0"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Ефекти върху скелетната мускулатура (миалгия, миопатия и по-рядко рабдомиолиза) са съобщавани при приложение на всички дозови режими, особено при дози над 20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Много редки случаи на рабдомиолиза са докладвани при използването на езетимиб в комбинация с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редуктазни инхибитори. Не може да бъде изключено фармакодинамично взаимодействие (вж. точка 4.5) и е необходимо внимание при комбинираното им използване.</w:t>
      </w:r>
    </w:p>
    <w:p w14:paraId="3B7C1C5A"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Както при другите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 xml:space="preserve">редуктазни инхибитори, докладваната честота на рабдомиолиза, асоциирана с розувастатин при постмаркетинговата употреба, е по-висока при дозировка от 40 </w:t>
      </w:r>
      <w:r w:rsidRPr="00813FBC">
        <w:rPr>
          <w:rFonts w:eastAsia="Times New Roman" w:cs="Arial"/>
          <w:color w:val="000000"/>
          <w:lang w:val="en-US"/>
        </w:rPr>
        <w:t>mg</w:t>
      </w:r>
      <w:r w:rsidRPr="00813FBC">
        <w:rPr>
          <w:rFonts w:eastAsia="Times New Roman" w:cs="Arial"/>
          <w:color w:val="000000"/>
          <w:lang w:val="ru-RU"/>
        </w:rPr>
        <w:t>.</w:t>
      </w:r>
    </w:p>
    <w:p w14:paraId="5AE0E8A8" w14:textId="77777777" w:rsidR="00813FBC" w:rsidRDefault="00813FBC" w:rsidP="00813FBC">
      <w:pPr>
        <w:spacing w:line="240" w:lineRule="auto"/>
        <w:rPr>
          <w:rFonts w:eastAsia="Times New Roman" w:cs="Arial"/>
          <w:b/>
          <w:bCs/>
          <w:i/>
          <w:iCs/>
          <w:color w:val="000000"/>
          <w:lang w:eastAsia="bg-BG"/>
        </w:rPr>
      </w:pPr>
    </w:p>
    <w:p w14:paraId="23586E88" w14:textId="2321986A"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i/>
          <w:iCs/>
          <w:color w:val="000000"/>
          <w:lang w:eastAsia="bg-BG"/>
        </w:rPr>
        <w:t>Измерване на креатинкиназата</w:t>
      </w:r>
    </w:p>
    <w:p w14:paraId="129515F9"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Креатинкиназата (СК) не трябва да се измерва след усилени упражнения или при наличието на друг причинител на увеличение на СК, което може да затрудни тълкуването на резултата. Ако нивото на СК е значително повишено в изходното ниво (&gt;5 пъти горната допустима граница), в рамките на 5-7 дни трябва да бъде направен тест за потвърждаване на резултата. Ако повторното изследване потвърди изходно ниво на СК &gt;5 пъти горната допустима граница, не трябва да се започва лечение.</w:t>
      </w:r>
    </w:p>
    <w:p w14:paraId="1D5894D0" w14:textId="77777777" w:rsidR="00813FBC" w:rsidRDefault="00813FBC" w:rsidP="00813FBC">
      <w:pPr>
        <w:spacing w:line="240" w:lineRule="auto"/>
        <w:rPr>
          <w:rFonts w:eastAsia="Times New Roman" w:cs="Arial"/>
          <w:b/>
          <w:bCs/>
          <w:i/>
          <w:iCs/>
          <w:color w:val="000000"/>
          <w:lang w:eastAsia="bg-BG"/>
        </w:rPr>
      </w:pPr>
    </w:p>
    <w:p w14:paraId="7C78BEA1" w14:textId="014A602F"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i/>
          <w:iCs/>
          <w:color w:val="000000"/>
          <w:lang w:eastAsia="bg-BG"/>
        </w:rPr>
        <w:t>Преди лечението</w:t>
      </w:r>
    </w:p>
    <w:p w14:paraId="3F362A23"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Както и други инхибитори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редуктазата, розувастатин трябва да бъде предписван с особено внимание при пациенти, за които са налице фактори, предразполагащи развитие на миопатия/рабдомиолиза. Такива фактори са:</w:t>
      </w:r>
    </w:p>
    <w:p w14:paraId="319C4699" w14:textId="77777777" w:rsidR="00813FBC" w:rsidRDefault="00813FBC" w:rsidP="00813FBC">
      <w:pPr>
        <w:pStyle w:val="ListParagraph"/>
        <w:numPr>
          <w:ilvl w:val="0"/>
          <w:numId w:val="40"/>
        </w:numPr>
        <w:spacing w:line="240" w:lineRule="auto"/>
        <w:rPr>
          <w:rFonts w:eastAsia="Times New Roman" w:cs="Arial"/>
          <w:color w:val="000000"/>
          <w:lang w:eastAsia="bg-BG"/>
        </w:rPr>
      </w:pPr>
      <w:r w:rsidRPr="00813FBC">
        <w:rPr>
          <w:rFonts w:eastAsia="Times New Roman" w:cs="Arial"/>
          <w:color w:val="000000"/>
          <w:lang w:eastAsia="bg-BG"/>
        </w:rPr>
        <w:t>Бъбречно увреждане;</w:t>
      </w:r>
    </w:p>
    <w:p w14:paraId="5B74C1B3" w14:textId="77777777" w:rsidR="00813FBC" w:rsidRDefault="00813FBC" w:rsidP="00813FBC">
      <w:pPr>
        <w:pStyle w:val="ListParagraph"/>
        <w:numPr>
          <w:ilvl w:val="0"/>
          <w:numId w:val="40"/>
        </w:numPr>
        <w:spacing w:line="240" w:lineRule="auto"/>
        <w:rPr>
          <w:rFonts w:eastAsia="Times New Roman" w:cs="Arial"/>
          <w:color w:val="000000"/>
          <w:lang w:eastAsia="bg-BG"/>
        </w:rPr>
      </w:pPr>
      <w:r w:rsidRPr="00813FBC">
        <w:rPr>
          <w:rFonts w:eastAsia="Times New Roman" w:cs="Arial"/>
          <w:color w:val="000000"/>
          <w:lang w:eastAsia="bg-BG"/>
        </w:rPr>
        <w:t>Хипотиреоидизъм;</w:t>
      </w:r>
    </w:p>
    <w:p w14:paraId="0D701FB7" w14:textId="77777777" w:rsidR="00813FBC" w:rsidRDefault="00813FBC" w:rsidP="00813FBC">
      <w:pPr>
        <w:pStyle w:val="ListParagraph"/>
        <w:numPr>
          <w:ilvl w:val="0"/>
          <w:numId w:val="40"/>
        </w:numPr>
        <w:spacing w:line="240" w:lineRule="auto"/>
        <w:rPr>
          <w:rFonts w:eastAsia="Times New Roman" w:cs="Arial"/>
          <w:color w:val="000000"/>
          <w:lang w:eastAsia="bg-BG"/>
        </w:rPr>
      </w:pPr>
      <w:r w:rsidRPr="00813FBC">
        <w:rPr>
          <w:rFonts w:eastAsia="Times New Roman" w:cs="Arial"/>
          <w:color w:val="000000"/>
          <w:lang w:eastAsia="bg-BG"/>
        </w:rPr>
        <w:t>Лична или фамилна анамнеза за наследствено мускулно заболяване;</w:t>
      </w:r>
    </w:p>
    <w:p w14:paraId="300AC0AF" w14:textId="77777777" w:rsidR="00813FBC" w:rsidRDefault="00813FBC" w:rsidP="00813FBC">
      <w:pPr>
        <w:pStyle w:val="ListParagraph"/>
        <w:numPr>
          <w:ilvl w:val="0"/>
          <w:numId w:val="40"/>
        </w:numPr>
        <w:spacing w:line="240" w:lineRule="auto"/>
        <w:rPr>
          <w:rFonts w:eastAsia="Times New Roman" w:cs="Arial"/>
          <w:color w:val="000000"/>
          <w:lang w:eastAsia="bg-BG"/>
        </w:rPr>
      </w:pPr>
      <w:r w:rsidRPr="00813FBC">
        <w:rPr>
          <w:rFonts w:eastAsia="Times New Roman" w:cs="Arial"/>
          <w:color w:val="000000"/>
          <w:lang w:eastAsia="bg-BG"/>
        </w:rPr>
        <w:t xml:space="preserve">Установена мускулна токсичност към други инхибитори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редуктазата или</w:t>
      </w:r>
      <w:r w:rsidRPr="00813FBC">
        <w:rPr>
          <w:rFonts w:eastAsia="Times New Roman" w:cs="Arial"/>
          <w:color w:val="000000"/>
          <w:lang w:val="ru-RU" w:eastAsia="bg-BG"/>
        </w:rPr>
        <w:t xml:space="preserve"> </w:t>
      </w:r>
      <w:r w:rsidRPr="00813FBC">
        <w:rPr>
          <w:rFonts w:eastAsia="Times New Roman" w:cs="Arial"/>
          <w:color w:val="000000"/>
          <w:lang w:eastAsia="bg-BG"/>
        </w:rPr>
        <w:t>фибрати;</w:t>
      </w:r>
    </w:p>
    <w:p w14:paraId="63F6D49D" w14:textId="77777777" w:rsidR="00813FBC" w:rsidRDefault="00813FBC" w:rsidP="00813FBC">
      <w:pPr>
        <w:pStyle w:val="ListParagraph"/>
        <w:numPr>
          <w:ilvl w:val="0"/>
          <w:numId w:val="40"/>
        </w:numPr>
        <w:spacing w:line="240" w:lineRule="auto"/>
        <w:rPr>
          <w:rFonts w:eastAsia="Times New Roman" w:cs="Arial"/>
          <w:color w:val="000000"/>
          <w:lang w:eastAsia="bg-BG"/>
        </w:rPr>
      </w:pPr>
      <w:r w:rsidRPr="00813FBC">
        <w:rPr>
          <w:rFonts w:eastAsia="Times New Roman" w:cs="Arial"/>
          <w:color w:val="000000"/>
          <w:lang w:eastAsia="bg-BG"/>
        </w:rPr>
        <w:t>Злоупотреба с алкохол;</w:t>
      </w:r>
    </w:p>
    <w:p w14:paraId="2F05E855" w14:textId="77777777" w:rsidR="00813FBC" w:rsidRDefault="00813FBC" w:rsidP="00813FBC">
      <w:pPr>
        <w:pStyle w:val="ListParagraph"/>
        <w:numPr>
          <w:ilvl w:val="0"/>
          <w:numId w:val="40"/>
        </w:numPr>
        <w:spacing w:line="240" w:lineRule="auto"/>
        <w:rPr>
          <w:rFonts w:eastAsia="Times New Roman" w:cs="Arial"/>
          <w:color w:val="000000"/>
          <w:lang w:eastAsia="bg-BG"/>
        </w:rPr>
      </w:pPr>
      <w:r w:rsidRPr="00813FBC">
        <w:rPr>
          <w:rFonts w:eastAsia="Times New Roman" w:cs="Arial"/>
          <w:color w:val="000000"/>
          <w:lang w:eastAsia="bg-BG"/>
        </w:rPr>
        <w:t>Пациенти на възраст над 70 години;</w:t>
      </w:r>
    </w:p>
    <w:p w14:paraId="3F97339A" w14:textId="77777777" w:rsidR="00813FBC" w:rsidRDefault="00813FBC" w:rsidP="00813FBC">
      <w:pPr>
        <w:pStyle w:val="ListParagraph"/>
        <w:numPr>
          <w:ilvl w:val="0"/>
          <w:numId w:val="40"/>
        </w:numPr>
        <w:spacing w:line="240" w:lineRule="auto"/>
        <w:rPr>
          <w:rFonts w:eastAsia="Times New Roman" w:cs="Arial"/>
          <w:color w:val="000000"/>
          <w:lang w:eastAsia="bg-BG"/>
        </w:rPr>
      </w:pPr>
      <w:r w:rsidRPr="00813FBC">
        <w:rPr>
          <w:rFonts w:eastAsia="Times New Roman" w:cs="Arial"/>
          <w:color w:val="000000"/>
          <w:lang w:eastAsia="bg-BG"/>
        </w:rPr>
        <w:t>Състояния, при които може да се наблюдава покачване на плазмените нива (вж. точка 5.2);</w:t>
      </w:r>
    </w:p>
    <w:p w14:paraId="44BA3054" w14:textId="26A383FF" w:rsidR="00813FBC" w:rsidRDefault="00813FBC" w:rsidP="00813FBC">
      <w:pPr>
        <w:pStyle w:val="ListParagraph"/>
        <w:numPr>
          <w:ilvl w:val="0"/>
          <w:numId w:val="40"/>
        </w:numPr>
        <w:spacing w:line="240" w:lineRule="auto"/>
        <w:rPr>
          <w:rFonts w:eastAsia="Times New Roman" w:cs="Arial"/>
          <w:color w:val="000000"/>
          <w:lang w:eastAsia="bg-BG"/>
        </w:rPr>
      </w:pPr>
      <w:r w:rsidRPr="00813FBC">
        <w:rPr>
          <w:rFonts w:eastAsia="Times New Roman" w:cs="Arial"/>
          <w:color w:val="000000"/>
          <w:lang w:eastAsia="bg-BG"/>
        </w:rPr>
        <w:t>Едновременно приложение на фибрати.</w:t>
      </w:r>
    </w:p>
    <w:p w14:paraId="6A0B9A70" w14:textId="1150E84A" w:rsidR="00813FBC" w:rsidRDefault="00813FBC" w:rsidP="00813FBC">
      <w:pPr>
        <w:spacing w:line="240" w:lineRule="auto"/>
        <w:rPr>
          <w:rFonts w:eastAsia="Times New Roman" w:cs="Arial"/>
          <w:color w:val="000000"/>
          <w:lang w:eastAsia="bg-BG"/>
        </w:rPr>
      </w:pPr>
    </w:p>
    <w:p w14:paraId="4C63B34D"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lastRenderedPageBreak/>
        <w:t>При подобни пациенти трябва да се предвиди отношението риск/полза и да бъдат поставени под клинично наблюдение. Ако изходното ниво на СК е значително повишено (&gt;5 пъти горната граница на нормата), не трябва да се започва лечение.</w:t>
      </w:r>
    </w:p>
    <w:p w14:paraId="677BF154" w14:textId="77777777" w:rsidR="00813FBC" w:rsidRDefault="00813FBC" w:rsidP="00813FBC">
      <w:pPr>
        <w:spacing w:line="240" w:lineRule="auto"/>
        <w:rPr>
          <w:rFonts w:eastAsia="Times New Roman" w:cs="Arial"/>
          <w:b/>
          <w:bCs/>
          <w:i/>
          <w:iCs/>
          <w:color w:val="000000"/>
          <w:lang w:eastAsia="bg-BG"/>
        </w:rPr>
      </w:pPr>
    </w:p>
    <w:p w14:paraId="27E264AB" w14:textId="63204174"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i/>
          <w:iCs/>
          <w:color w:val="000000"/>
          <w:lang w:eastAsia="bg-BG"/>
        </w:rPr>
        <w:t>По време на лечението</w:t>
      </w:r>
    </w:p>
    <w:p w14:paraId="333CC9D7"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От пациентите трябва да бъде изисквано незабавно да докладват необясними мускулни болки, усещане за слабост или схващане, най-вече ако свързани с неразположение или фебрилитет. При тези пациенти трябва да се измерят нивата на СК Терапията трябве да се прекрати, ако нивото на СК е значително повишено (&gt;5 пъти горната граница на нормата) или мускулните симптоми са тежки и причиняват ежедневно неразположение (дори нивото на СК да е ≤ 5 пъти горната допустима граница). Ако симптомите изчезнат и нивото на СК се нормализира, може да се помисли за повторна лечение с розувастатин или алтернативен инхибитор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редуктазата в най-ниска доза под наблюдение. Рутинното наблюдение на нивото на СК при пациенти без симптоми не е оправдано.</w:t>
      </w:r>
    </w:p>
    <w:p w14:paraId="4EECA76A" w14:textId="77777777" w:rsidR="00813FBC" w:rsidRDefault="00813FBC" w:rsidP="00813FBC">
      <w:pPr>
        <w:spacing w:line="240" w:lineRule="auto"/>
        <w:rPr>
          <w:rFonts w:eastAsia="Times New Roman" w:cs="Arial"/>
          <w:color w:val="000000"/>
          <w:lang w:eastAsia="bg-BG"/>
        </w:rPr>
      </w:pPr>
    </w:p>
    <w:p w14:paraId="3E180F27" w14:textId="18E61CD4"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Има много редки съобщения за имуномедиирана некротизираща миопатия </w:t>
      </w:r>
      <w:r w:rsidRPr="00813FBC">
        <w:rPr>
          <w:rFonts w:eastAsia="Times New Roman" w:cs="Arial"/>
          <w:color w:val="000000"/>
          <w:lang w:val="ru-RU"/>
        </w:rPr>
        <w:t>(</w:t>
      </w:r>
      <w:r w:rsidRPr="00813FBC">
        <w:rPr>
          <w:rFonts w:eastAsia="Times New Roman" w:cs="Arial"/>
          <w:color w:val="000000"/>
          <w:lang w:val="en-US"/>
        </w:rPr>
        <w:t>IMNM</w:t>
      </w:r>
      <w:r w:rsidRPr="00813FBC">
        <w:rPr>
          <w:rFonts w:eastAsia="Times New Roman" w:cs="Arial"/>
          <w:color w:val="000000"/>
          <w:lang w:val="ru-RU"/>
        </w:rPr>
        <w:t xml:space="preserve">) </w:t>
      </w:r>
      <w:r w:rsidRPr="00813FBC">
        <w:rPr>
          <w:rFonts w:eastAsia="Times New Roman" w:cs="Arial"/>
          <w:color w:val="000000"/>
          <w:lang w:eastAsia="bg-BG"/>
        </w:rPr>
        <w:t xml:space="preserve">по време на лечението или след спиране на статините, включително розувастатин. </w:t>
      </w:r>
      <w:r w:rsidRPr="00813FBC">
        <w:rPr>
          <w:rFonts w:eastAsia="Times New Roman" w:cs="Arial"/>
          <w:color w:val="000000"/>
          <w:lang w:val="en-US"/>
        </w:rPr>
        <w:t>IMNM</w:t>
      </w:r>
      <w:r w:rsidRPr="00813FBC">
        <w:rPr>
          <w:rFonts w:eastAsia="Times New Roman" w:cs="Arial"/>
          <w:color w:val="000000"/>
          <w:lang w:val="ru-RU"/>
        </w:rPr>
        <w:t xml:space="preserve"> </w:t>
      </w:r>
      <w:r w:rsidRPr="00813FBC">
        <w:rPr>
          <w:rFonts w:eastAsia="Times New Roman" w:cs="Arial"/>
          <w:color w:val="000000"/>
          <w:lang w:eastAsia="bg-BG"/>
        </w:rPr>
        <w:t>клинично се характеризира с проксимална мускулна слабост и повишена креатинкиназа, които персистират независимо от прекратяване на лечението със статини.</w:t>
      </w:r>
    </w:p>
    <w:p w14:paraId="7FCEDB89" w14:textId="77777777" w:rsidR="00813FBC" w:rsidRDefault="00813FBC" w:rsidP="00813FBC">
      <w:pPr>
        <w:spacing w:line="240" w:lineRule="auto"/>
        <w:rPr>
          <w:rFonts w:eastAsia="Times New Roman" w:cs="Arial"/>
          <w:color w:val="000000"/>
          <w:lang w:eastAsia="bg-BG"/>
        </w:rPr>
      </w:pPr>
    </w:p>
    <w:p w14:paraId="3C0A2109" w14:textId="67DF6266"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В клинични изпитвания на розувастатин няма доказателства за повишени ефекти върху скелетната мускулатура в малката група пациенти, при които розувастатин е прилаган с друго съпътстващо лечение. Увеличение на честотата на миозит и миопатия е наблюдавано обаче при пациенти, получаващи други инхибитори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 xml:space="preserve">редуктазата заедно с циклоспорин, производни на фибриновата киселина, включително гемфиброзил, никотинова киселина, азолови антимикотици, протеазни инхибитори и макролидни антибиотици. Гемфиброзил повишава риска от миопатия, ако се приема едновременно с някои инхибитори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 xml:space="preserve">редуктазата. Поради това, комбинацията между гемфиброзил и розувастатин не е препоръчителна. Ползата от допълнително снижаване в липидните нива в резултат от комбинираното приемане на розувастатин и фибрати или ниацин трябва да бъде внимателно изчислена спрямо потенциалния риск от подобни комбинации. При едновременно приложение на фибрати, лечението с дози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е противопоказано (вж. точка 4.5 и точка 4.8).</w:t>
      </w:r>
    </w:p>
    <w:p w14:paraId="66F61B07" w14:textId="77777777" w:rsidR="00813FBC" w:rsidRDefault="00813FBC" w:rsidP="00813FBC">
      <w:pPr>
        <w:spacing w:line="240" w:lineRule="auto"/>
        <w:rPr>
          <w:rFonts w:eastAsia="Times New Roman" w:cs="Arial"/>
          <w:color w:val="000000"/>
          <w:lang w:eastAsia="bg-BG"/>
        </w:rPr>
      </w:pPr>
    </w:p>
    <w:p w14:paraId="6BA23640" w14:textId="3DC919F8"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Неоросо не трябва да се употребява при пациенти с остри и сериозни състояния, предполагащи миопатия или предразполагащи към развитие на бъбречна недостатъчност, вследствие рабдомиолиза (напр, сепсис, хипотония, голяма операция, травма, тежки метаболитни, ендокринни и електролитни нарушения или неконтролирани гърчове).</w:t>
      </w:r>
    </w:p>
    <w:p w14:paraId="327B2877" w14:textId="77777777" w:rsidR="00813FBC" w:rsidRDefault="00813FBC" w:rsidP="00813FBC">
      <w:pPr>
        <w:spacing w:line="240" w:lineRule="auto"/>
        <w:rPr>
          <w:rFonts w:eastAsia="Times New Roman" w:cs="Arial"/>
          <w:color w:val="000000"/>
          <w:u w:val="single"/>
          <w:lang w:eastAsia="bg-BG"/>
        </w:rPr>
      </w:pPr>
    </w:p>
    <w:p w14:paraId="4908293D" w14:textId="0A77D6E1"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Ефекти върху черния дроб</w:t>
      </w:r>
    </w:p>
    <w:p w14:paraId="5922E9E4"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Както другите инхибитори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 xml:space="preserve">редуктазата, Неоросо трябва да се прилага внимателно при пациенти, които приемат голямо количество алкохол и/или са имали заболяване на черния дроб. Препоръчително е да се направят изследвания на черния дроб преди и 3 месеца след започване на лечението. Приемът на Неоросо трябва да бъде спрян или дозата трябва да се намали, ако нивото на серумните трансаминази надвишава три пъти горната граница на нормата. Докладваната честота на сериозни чернодробни събития (заключващи се главно в увеличени чернодробни трансаминази) при постмаркетинговата употреба е по-висока при дозировка от 40 </w:t>
      </w:r>
      <w:r w:rsidRPr="00813FBC">
        <w:rPr>
          <w:rFonts w:eastAsia="Times New Roman" w:cs="Arial"/>
          <w:color w:val="000000"/>
          <w:lang w:val="en-US"/>
        </w:rPr>
        <w:t>mg</w:t>
      </w:r>
      <w:r w:rsidRPr="00813FBC">
        <w:rPr>
          <w:rFonts w:eastAsia="Times New Roman" w:cs="Arial"/>
          <w:color w:val="000000"/>
          <w:lang w:val="ru-RU"/>
        </w:rPr>
        <w:t>.</w:t>
      </w:r>
    </w:p>
    <w:p w14:paraId="6A3E6126" w14:textId="77777777" w:rsidR="00813FBC" w:rsidRDefault="00813FBC" w:rsidP="00813FBC">
      <w:pPr>
        <w:spacing w:line="240" w:lineRule="auto"/>
        <w:rPr>
          <w:rFonts w:eastAsia="Times New Roman" w:cs="Arial"/>
          <w:color w:val="000000"/>
          <w:lang w:eastAsia="bg-BG"/>
        </w:rPr>
      </w:pPr>
    </w:p>
    <w:p w14:paraId="2B73BCC7" w14:textId="39CC35F2"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lastRenderedPageBreak/>
        <w:t>При пациенти с вторична хиперхолестеролемия, причинена от хипотиреоидизъм или нефротичен синдром, основното заболяване трябва да се лекува преди започване на лечение с Неоросо.</w:t>
      </w:r>
    </w:p>
    <w:p w14:paraId="0C8DABEA" w14:textId="77777777" w:rsidR="00813FBC" w:rsidRDefault="00813FBC" w:rsidP="00813FBC">
      <w:pPr>
        <w:spacing w:line="240" w:lineRule="auto"/>
        <w:rPr>
          <w:rFonts w:eastAsia="Times New Roman" w:cs="Arial"/>
          <w:color w:val="000000"/>
          <w:u w:val="single"/>
          <w:lang w:eastAsia="bg-BG"/>
        </w:rPr>
      </w:pPr>
    </w:p>
    <w:p w14:paraId="121DD5D1" w14:textId="7621DFA5"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Раса</w:t>
      </w:r>
    </w:p>
    <w:p w14:paraId="1DA07D42"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Фармакокинетичните проучвания показват, че при пациентите от азиатската раса е налице по-висока експозиция в сравнение с тези от кавказката (бялата) раса (вж. точка 4.2, точка 4.3 и точка 5.2).</w:t>
      </w:r>
    </w:p>
    <w:p w14:paraId="1A1D1CF2" w14:textId="77777777" w:rsidR="00813FBC" w:rsidRDefault="00813FBC" w:rsidP="00813FBC">
      <w:pPr>
        <w:spacing w:line="240" w:lineRule="auto"/>
        <w:rPr>
          <w:rFonts w:eastAsia="Times New Roman" w:cs="Arial"/>
          <w:color w:val="000000"/>
          <w:u w:val="single"/>
          <w:lang w:eastAsia="bg-BG"/>
        </w:rPr>
      </w:pPr>
    </w:p>
    <w:p w14:paraId="30F207A6" w14:textId="3208E3EF"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Протеазни инхибитори</w:t>
      </w:r>
    </w:p>
    <w:p w14:paraId="577264DE" w14:textId="77777777" w:rsidR="00813FBC" w:rsidRPr="00813FBC" w:rsidRDefault="00813FBC" w:rsidP="00813FBC">
      <w:pPr>
        <w:rPr>
          <w:rFonts w:ascii="Times New Roman" w:eastAsia="Times New Roman" w:hAnsi="Times New Roman" w:cs="Times New Roman"/>
          <w:sz w:val="24"/>
          <w:szCs w:val="24"/>
        </w:rPr>
      </w:pPr>
      <w:r w:rsidRPr="00813FBC">
        <w:rPr>
          <w:rFonts w:eastAsia="Times New Roman" w:cs="Arial"/>
          <w:color w:val="000000"/>
          <w:lang w:eastAsia="bg-BG"/>
        </w:rPr>
        <w:t>Повишена системна експозиция на розувастатин е наблюдавана при пациенти, приемащи розувастатин едновременно с различни протеазни инхибитори в комбинация с ритонавир. Трябва да се обмисли както ползата от липидопонижаване чрез прием на розувастатин при пациенти с</w:t>
      </w:r>
      <w:r w:rsidRPr="00813FBC">
        <w:rPr>
          <w:rFonts w:eastAsia="Times New Roman" w:cs="Arial"/>
          <w:color w:val="000000"/>
          <w:lang w:val="ru-RU"/>
        </w:rPr>
        <w:t xml:space="preserve"> </w:t>
      </w:r>
      <w:r w:rsidRPr="00813FBC">
        <w:rPr>
          <w:rFonts w:eastAsia="Times New Roman" w:cs="Arial"/>
          <w:color w:val="000000"/>
          <w:lang w:val="en-US"/>
        </w:rPr>
        <w:t>HIV</w:t>
      </w:r>
      <w:r w:rsidRPr="00813FBC">
        <w:rPr>
          <w:rFonts w:eastAsia="Times New Roman" w:cs="Arial"/>
          <w:color w:val="000000"/>
          <w:lang w:val="ru-RU"/>
        </w:rPr>
        <w:t xml:space="preserve">, </w:t>
      </w:r>
      <w:r w:rsidRPr="00813FBC">
        <w:rPr>
          <w:rFonts w:eastAsia="Times New Roman" w:cs="Arial"/>
          <w:color w:val="000000"/>
          <w:lang w:eastAsia="bg-BG"/>
        </w:rPr>
        <w:t>които примеат</w:t>
      </w:r>
      <w:r w:rsidRPr="00813FBC">
        <w:rPr>
          <w:rFonts w:eastAsia="Times New Roman" w:cs="Arial"/>
          <w:color w:val="000000"/>
          <w:lang w:val="ru-RU" w:eastAsia="bg-BG"/>
        </w:rPr>
        <w:t xml:space="preserve"> </w:t>
      </w:r>
      <w:r w:rsidRPr="00813FBC">
        <w:rPr>
          <w:rFonts w:eastAsia="Times New Roman" w:cs="Arial"/>
          <w:color w:val="000000"/>
          <w:lang w:eastAsia="bg-BG"/>
        </w:rPr>
        <w:t>протеазни инхибитори, така и потенциала за повишена плазмена конценрация на розувастатин при започване терапията и титриране на дозата на Неоросо при пациенти, лекувани с протеазни инхибитори. Едновременното приложение с определени протеазни инхибитори не се препоръчва, освен ако дозата на Неоросо не се коригира (вж. точки 4.2 и 4.5).</w:t>
      </w:r>
    </w:p>
    <w:p w14:paraId="475AEBCB" w14:textId="77777777" w:rsidR="00813FBC" w:rsidRDefault="00813FBC" w:rsidP="00813FBC">
      <w:pPr>
        <w:spacing w:line="240" w:lineRule="auto"/>
        <w:rPr>
          <w:rFonts w:eastAsia="Times New Roman" w:cs="Arial"/>
          <w:color w:val="000000"/>
          <w:u w:val="single"/>
          <w:lang w:eastAsia="bg-BG"/>
        </w:rPr>
      </w:pPr>
    </w:p>
    <w:p w14:paraId="5A947E66" w14:textId="1A54EED4"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Непоносимост към лактоза</w:t>
      </w:r>
    </w:p>
    <w:p w14:paraId="0DC20286"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Пациенти с редки наследствени проблеми като галактозна непоносимост, </w:t>
      </w:r>
      <w:r w:rsidRPr="00813FBC">
        <w:rPr>
          <w:rFonts w:eastAsia="Times New Roman" w:cs="Arial"/>
          <w:color w:val="000000"/>
          <w:lang w:val="en-US"/>
        </w:rPr>
        <w:t>Lapp</w:t>
      </w:r>
      <w:r w:rsidRPr="00813FBC">
        <w:rPr>
          <w:rFonts w:eastAsia="Times New Roman" w:cs="Arial"/>
          <w:color w:val="000000"/>
          <w:lang w:val="ru-RU"/>
        </w:rPr>
        <w:t xml:space="preserve"> </w:t>
      </w:r>
      <w:r w:rsidRPr="00813FBC">
        <w:rPr>
          <w:rFonts w:eastAsia="Times New Roman" w:cs="Arial"/>
          <w:color w:val="000000"/>
          <w:lang w:eastAsia="bg-BG"/>
        </w:rPr>
        <w:t>лактазен дефицит или глюкозо-галактозна малабсорбция не трябва да приемат това лекарство.</w:t>
      </w:r>
    </w:p>
    <w:p w14:paraId="6267EFBD" w14:textId="77777777" w:rsidR="00813FBC" w:rsidRDefault="00813FBC" w:rsidP="00813FBC">
      <w:pPr>
        <w:spacing w:line="240" w:lineRule="auto"/>
        <w:rPr>
          <w:rFonts w:eastAsia="Times New Roman" w:cs="Arial"/>
          <w:color w:val="000000"/>
          <w:u w:val="single"/>
          <w:lang w:eastAsia="bg-BG"/>
        </w:rPr>
      </w:pPr>
    </w:p>
    <w:p w14:paraId="66E77EA2" w14:textId="0614AE1B"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Интерстициална белодробна болест</w:t>
      </w:r>
    </w:p>
    <w:p w14:paraId="59F1F048"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Докладвани са изолирани случаи на интерстициална белодробна болест при приложение на някои статини, особено при продължителна терапия (вж. точка 4.8). Клиничните прояви могат да включват диспнея, непродуктивна кашлица и влошаване на общото състояние (умора, загуба на тегло и треска). Ако има подозрение, че пациентът е развил интерстициална белодробна болест, терапията със статии трябва да бъде преустановена.</w:t>
      </w:r>
    </w:p>
    <w:p w14:paraId="4632C0F2" w14:textId="77777777" w:rsidR="00813FBC" w:rsidRDefault="00813FBC" w:rsidP="00813FBC">
      <w:pPr>
        <w:spacing w:line="240" w:lineRule="auto"/>
        <w:rPr>
          <w:rFonts w:eastAsia="Times New Roman" w:cs="Arial"/>
          <w:color w:val="000000"/>
          <w:u w:val="single"/>
          <w:lang w:eastAsia="bg-BG"/>
        </w:rPr>
      </w:pPr>
    </w:p>
    <w:p w14:paraId="319BD56C" w14:textId="22CA4E83"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Захарен диабет</w:t>
      </w:r>
    </w:p>
    <w:p w14:paraId="42574CDA"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Някои доказателства дават основание да се предполага, че статините като клас повишават кръвната глюкоза и при някои пациенти, високорискови за развитие на диабет, могат да доведат до такова ниво на хипергликемия, при което е подходящо прилагането на стандартно лечение, провеждано при диабет. Този риск обаче се навишава от намаляването на васкуларния риск със статини и следователно не трябва да бъде причина за спиране на статиновата терапия. Рисковите пациенти (глюкоза на гладно 5,6 до 6,9 </w:t>
      </w:r>
      <w:proofErr w:type="spellStart"/>
      <w:r w:rsidRPr="00813FBC">
        <w:rPr>
          <w:rFonts w:eastAsia="Times New Roman" w:cs="Arial"/>
          <w:color w:val="000000"/>
          <w:lang w:val="en-US"/>
        </w:rPr>
        <w:t>mmol</w:t>
      </w:r>
      <w:proofErr w:type="spellEnd"/>
      <w:r w:rsidRPr="00813FBC">
        <w:rPr>
          <w:rFonts w:eastAsia="Times New Roman" w:cs="Arial"/>
          <w:color w:val="000000"/>
          <w:lang w:val="ru-RU"/>
        </w:rPr>
        <w:t xml:space="preserve">/1, </w:t>
      </w:r>
      <w:r w:rsidRPr="00813FBC">
        <w:rPr>
          <w:rFonts w:eastAsia="Times New Roman" w:cs="Arial"/>
          <w:color w:val="000000"/>
          <w:lang w:eastAsia="bg-BG"/>
        </w:rPr>
        <w:t xml:space="preserve">индекс на телесна маса &gt;30 </w:t>
      </w:r>
      <w:r w:rsidRPr="00813FBC">
        <w:rPr>
          <w:rFonts w:eastAsia="Times New Roman" w:cs="Arial"/>
          <w:color w:val="000000"/>
          <w:lang w:val="en-US"/>
        </w:rPr>
        <w:t>kg</w:t>
      </w:r>
      <w:r w:rsidRPr="00813FBC">
        <w:rPr>
          <w:rFonts w:eastAsia="Times New Roman" w:cs="Arial"/>
          <w:color w:val="000000"/>
          <w:lang w:val="ru-RU"/>
        </w:rPr>
        <w:t>/</w:t>
      </w:r>
      <w:r w:rsidRPr="00813FBC">
        <w:rPr>
          <w:rFonts w:eastAsia="Times New Roman" w:cs="Arial"/>
          <w:color w:val="000000"/>
          <w:lang w:val="en-US"/>
        </w:rPr>
        <w:t>m</w:t>
      </w:r>
      <w:r w:rsidRPr="00813FBC">
        <w:rPr>
          <w:rFonts w:eastAsia="Times New Roman" w:cs="Arial"/>
          <w:color w:val="000000"/>
          <w:vertAlign w:val="superscript"/>
          <w:lang w:val="ru-RU"/>
        </w:rPr>
        <w:t>2</w:t>
      </w:r>
      <w:r w:rsidRPr="00813FBC">
        <w:rPr>
          <w:rFonts w:eastAsia="Times New Roman" w:cs="Arial"/>
          <w:color w:val="000000"/>
          <w:lang w:val="ru-RU"/>
        </w:rPr>
        <w:t xml:space="preserve">, </w:t>
      </w:r>
      <w:r w:rsidRPr="00813FBC">
        <w:rPr>
          <w:rFonts w:eastAsia="Times New Roman" w:cs="Arial"/>
          <w:color w:val="000000"/>
          <w:lang w:eastAsia="bg-BG"/>
        </w:rPr>
        <w:t>повишени стойности на триглицеридите, хипертония) трябва да се проследяват както клинично, така и биохимично, съгласно националните ръководства.</w:t>
      </w:r>
    </w:p>
    <w:p w14:paraId="0605ACFE" w14:textId="77777777" w:rsidR="00813FBC" w:rsidRDefault="00813FBC" w:rsidP="00813FBC">
      <w:pPr>
        <w:spacing w:line="240" w:lineRule="auto"/>
        <w:rPr>
          <w:rFonts w:eastAsia="Times New Roman" w:cs="Arial"/>
          <w:color w:val="000000"/>
          <w:lang w:eastAsia="bg-BG"/>
        </w:rPr>
      </w:pPr>
    </w:p>
    <w:p w14:paraId="2A2C1F03" w14:textId="1CF1DF06"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В проучването </w:t>
      </w:r>
      <w:r w:rsidRPr="00813FBC">
        <w:rPr>
          <w:rFonts w:eastAsia="Times New Roman" w:cs="Arial"/>
          <w:color w:val="000000"/>
          <w:lang w:val="en-US"/>
        </w:rPr>
        <w:t>JUPITER</w:t>
      </w:r>
      <w:r w:rsidRPr="00813FBC">
        <w:rPr>
          <w:rFonts w:eastAsia="Times New Roman" w:cs="Arial"/>
          <w:color w:val="000000"/>
          <w:lang w:val="ru-RU"/>
        </w:rPr>
        <w:t xml:space="preserve">, </w:t>
      </w:r>
      <w:r w:rsidRPr="00813FBC">
        <w:rPr>
          <w:rFonts w:eastAsia="Times New Roman" w:cs="Arial"/>
          <w:color w:val="000000"/>
          <w:lang w:eastAsia="bg-BG"/>
        </w:rPr>
        <w:t xml:space="preserve">съобщената обща честота на захарен диабет е 2,8% за розувастатин и 2,3% за плацебо, главно при пациенти с глюкоза на гладно 5,6 до 6,9 </w:t>
      </w:r>
      <w:proofErr w:type="spellStart"/>
      <w:r w:rsidRPr="00813FBC">
        <w:rPr>
          <w:rFonts w:eastAsia="Times New Roman" w:cs="Arial"/>
          <w:color w:val="000000"/>
          <w:lang w:val="en-US"/>
        </w:rPr>
        <w:t>mmol</w:t>
      </w:r>
      <w:proofErr w:type="spellEnd"/>
      <w:r w:rsidRPr="00813FBC">
        <w:rPr>
          <w:rFonts w:eastAsia="Times New Roman" w:cs="Arial"/>
          <w:color w:val="000000"/>
          <w:lang w:val="ru-RU"/>
        </w:rPr>
        <w:t>/1.</w:t>
      </w:r>
    </w:p>
    <w:p w14:paraId="67A76C47" w14:textId="77777777" w:rsidR="00813FBC" w:rsidRDefault="00813FBC" w:rsidP="00813FBC">
      <w:pPr>
        <w:spacing w:line="240" w:lineRule="auto"/>
        <w:rPr>
          <w:rFonts w:eastAsia="Times New Roman" w:cs="Arial"/>
          <w:color w:val="000000"/>
          <w:u w:val="single"/>
          <w:lang w:eastAsia="bg-BG"/>
        </w:rPr>
      </w:pPr>
    </w:p>
    <w:p w14:paraId="79AE8B6E" w14:textId="48650CC3"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Педиатрична популация</w:t>
      </w:r>
    </w:p>
    <w:p w14:paraId="3827F6E5"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Оценяването на линейното израстване (височина), тегло, </w:t>
      </w:r>
      <w:r w:rsidRPr="00813FBC">
        <w:rPr>
          <w:rFonts w:eastAsia="Times New Roman" w:cs="Arial"/>
          <w:color w:val="000000"/>
          <w:lang w:val="en-US"/>
        </w:rPr>
        <w:t>BMI</w:t>
      </w:r>
      <w:r w:rsidRPr="00813FBC">
        <w:rPr>
          <w:rFonts w:eastAsia="Times New Roman" w:cs="Arial"/>
          <w:color w:val="000000"/>
          <w:lang w:val="ru-RU"/>
        </w:rPr>
        <w:t xml:space="preserve"> </w:t>
      </w:r>
      <w:r w:rsidRPr="00813FBC">
        <w:rPr>
          <w:rFonts w:eastAsia="Times New Roman" w:cs="Arial"/>
          <w:color w:val="000000"/>
          <w:lang w:eastAsia="bg-BG"/>
        </w:rPr>
        <w:t xml:space="preserve">(индекс на телесната маса), и вторичните полови белези на половото съзряване по скалата на </w:t>
      </w:r>
      <w:r w:rsidRPr="00813FBC">
        <w:rPr>
          <w:rFonts w:eastAsia="Times New Roman" w:cs="Arial"/>
          <w:color w:val="000000"/>
          <w:lang w:val="en-US"/>
        </w:rPr>
        <w:t>Tanner</w:t>
      </w:r>
      <w:r w:rsidRPr="00813FBC">
        <w:rPr>
          <w:rFonts w:eastAsia="Times New Roman" w:cs="Arial"/>
          <w:color w:val="000000"/>
          <w:lang w:val="ru-RU"/>
        </w:rPr>
        <w:t xml:space="preserve"> </w:t>
      </w:r>
      <w:r w:rsidRPr="00813FBC">
        <w:rPr>
          <w:rFonts w:eastAsia="Times New Roman" w:cs="Arial"/>
          <w:color w:val="000000"/>
          <w:lang w:eastAsia="bg-BG"/>
        </w:rPr>
        <w:t xml:space="preserve">при педиатрични пациенти на възраст 6 до 17 години приемащи розувастатин е ограничено </w:t>
      </w:r>
      <w:r w:rsidRPr="00813FBC">
        <w:rPr>
          <w:rFonts w:eastAsia="Times New Roman" w:cs="Arial"/>
          <w:color w:val="000000"/>
          <w:lang w:eastAsia="bg-BG"/>
        </w:rPr>
        <w:lastRenderedPageBreak/>
        <w:t xml:space="preserve">до двугодишен период. След две години на третиране по време на проучването, не е забелязан никакъв ефект върху растежа, теглото, </w:t>
      </w:r>
      <w:r w:rsidRPr="00813FBC">
        <w:rPr>
          <w:rFonts w:eastAsia="Times New Roman" w:cs="Arial"/>
          <w:color w:val="000000"/>
          <w:lang w:val="en-US"/>
        </w:rPr>
        <w:t>BMI</w:t>
      </w:r>
      <w:r w:rsidRPr="00813FBC">
        <w:rPr>
          <w:rFonts w:eastAsia="Times New Roman" w:cs="Arial"/>
          <w:color w:val="000000"/>
          <w:lang w:val="ru-RU"/>
        </w:rPr>
        <w:t xml:space="preserve"> </w:t>
      </w:r>
      <w:r w:rsidRPr="00813FBC">
        <w:rPr>
          <w:rFonts w:eastAsia="Times New Roman" w:cs="Arial"/>
          <w:color w:val="000000"/>
          <w:lang w:eastAsia="bg-BG"/>
        </w:rPr>
        <w:t>или половото съзряване (вж. точка 5.1).</w:t>
      </w:r>
    </w:p>
    <w:p w14:paraId="70377373"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В клинично проучване на деца и юноши, приемащи розувастатин за 52 седмици, повишаване на СК </w:t>
      </w:r>
      <w:r w:rsidRPr="00813FBC">
        <w:rPr>
          <w:rFonts w:eastAsia="Times New Roman" w:cs="Arial"/>
          <w:color w:val="000000"/>
          <w:lang w:val="ru-RU"/>
        </w:rPr>
        <w:t>&gt;10</w:t>
      </w:r>
      <w:proofErr w:type="spellStart"/>
      <w:r w:rsidRPr="00813FBC">
        <w:rPr>
          <w:rFonts w:eastAsia="Times New Roman" w:cs="Arial"/>
          <w:color w:val="000000"/>
          <w:lang w:val="en-US"/>
        </w:rPr>
        <w:t>xULN</w:t>
      </w:r>
      <w:proofErr w:type="spellEnd"/>
      <w:r w:rsidRPr="00813FBC">
        <w:rPr>
          <w:rFonts w:eastAsia="Times New Roman" w:cs="Arial"/>
          <w:color w:val="000000"/>
          <w:lang w:val="ru-RU"/>
        </w:rPr>
        <w:t xml:space="preserve"> </w:t>
      </w:r>
      <w:r w:rsidRPr="00813FBC">
        <w:rPr>
          <w:rFonts w:eastAsia="Times New Roman" w:cs="Arial"/>
          <w:color w:val="000000"/>
          <w:lang w:eastAsia="bg-BG"/>
        </w:rPr>
        <w:t>и мускулните симптоми след упражнение или повишена физическа активност са наблюдавани по-често в сравнение с наблюдения от клинични проучвания при възрастни (вж. точка 4.8).</w:t>
      </w:r>
    </w:p>
    <w:p w14:paraId="67EC07CB" w14:textId="69EC3093" w:rsidR="00813FBC" w:rsidRPr="00813FBC" w:rsidRDefault="00813FBC" w:rsidP="00813FBC">
      <w:pPr>
        <w:spacing w:line="240" w:lineRule="auto"/>
        <w:rPr>
          <w:rFonts w:eastAsia="Times New Roman" w:cs="Arial"/>
          <w:color w:val="000000"/>
          <w:lang w:eastAsia="bg-BG"/>
        </w:rPr>
      </w:pPr>
    </w:p>
    <w:p w14:paraId="0734264C" w14:textId="2420D716"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AE8324C" w14:textId="58DE5624" w:rsidR="00813FBC" w:rsidRDefault="00813FBC" w:rsidP="00813FBC"/>
    <w:p w14:paraId="047BF115"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Влияние на едновременно приложени лекарствени продукти върху розувастатин</w:t>
      </w:r>
    </w:p>
    <w:p w14:paraId="48830815" w14:textId="77777777" w:rsidR="00813FBC" w:rsidRDefault="00813FBC" w:rsidP="00813FBC">
      <w:pPr>
        <w:spacing w:line="240" w:lineRule="auto"/>
        <w:rPr>
          <w:rFonts w:eastAsia="Times New Roman" w:cs="Arial"/>
          <w:b/>
          <w:bCs/>
          <w:color w:val="000000"/>
          <w:lang w:eastAsia="bg-BG"/>
        </w:rPr>
      </w:pPr>
    </w:p>
    <w:p w14:paraId="21DC6A4E" w14:textId="7074B650"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color w:val="000000"/>
          <w:lang w:eastAsia="bg-BG"/>
        </w:rPr>
        <w:t xml:space="preserve">Инхибитори на транспортерннте протеини: </w:t>
      </w:r>
      <w:r w:rsidRPr="00813FBC">
        <w:rPr>
          <w:rFonts w:eastAsia="Times New Roman" w:cs="Arial"/>
          <w:color w:val="000000"/>
          <w:lang w:eastAsia="bg-BG"/>
        </w:rPr>
        <w:t xml:space="preserve">Розувастатин е субстрат на определени транспортерни протеини, включително чернодробния ъптейк транспортер ОАТР1В1 и ефлукс транспортера </w:t>
      </w:r>
      <w:r w:rsidRPr="00813FBC">
        <w:rPr>
          <w:rFonts w:eastAsia="Times New Roman" w:cs="Arial"/>
          <w:color w:val="000000"/>
          <w:lang w:val="en-US"/>
        </w:rPr>
        <w:t>BCRP</w:t>
      </w:r>
      <w:r w:rsidRPr="00813FBC">
        <w:rPr>
          <w:rFonts w:eastAsia="Times New Roman" w:cs="Arial"/>
          <w:color w:val="000000"/>
          <w:lang w:val="ru-RU"/>
        </w:rPr>
        <w:t xml:space="preserve">. </w:t>
      </w:r>
      <w:r w:rsidRPr="00813FBC">
        <w:rPr>
          <w:rFonts w:eastAsia="Times New Roman" w:cs="Arial"/>
          <w:color w:val="000000"/>
          <w:lang w:eastAsia="bg-BG"/>
        </w:rPr>
        <w:t>Едновременното приложение на розувастатин с лекарствени продукти, които са инхибитори на тези транспортерни протеини, може да доведе до повишаване на плазмената концентрация на розувастатин и повишен риск от миопатия (вж. таблица 1 и точки 4.2, 4.4 и 4.5).</w:t>
      </w:r>
    </w:p>
    <w:p w14:paraId="3E67A468" w14:textId="77777777" w:rsidR="00813FBC" w:rsidRDefault="00813FBC" w:rsidP="00813FBC">
      <w:pPr>
        <w:spacing w:line="240" w:lineRule="auto"/>
        <w:rPr>
          <w:rFonts w:eastAsia="Times New Roman" w:cs="Arial"/>
          <w:b/>
          <w:bCs/>
          <w:i/>
          <w:iCs/>
          <w:color w:val="000000"/>
          <w:lang w:eastAsia="bg-BG"/>
        </w:rPr>
      </w:pPr>
    </w:p>
    <w:p w14:paraId="1FE6E43E" w14:textId="5432DD7B"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i/>
          <w:iCs/>
          <w:color w:val="000000"/>
          <w:lang w:eastAsia="bg-BG"/>
        </w:rPr>
        <w:t>Циклоспорин:</w:t>
      </w:r>
      <w:r w:rsidRPr="00813FBC">
        <w:rPr>
          <w:rFonts w:eastAsia="Times New Roman" w:cs="Arial"/>
          <w:color w:val="000000"/>
          <w:lang w:eastAsia="bg-BG"/>
        </w:rPr>
        <w:t xml:space="preserve"> При едновременното приложение на розувастатин с циклоспорин, средните стойности на </w:t>
      </w:r>
      <w:r w:rsidRPr="00813FBC">
        <w:rPr>
          <w:rFonts w:eastAsia="Times New Roman" w:cs="Arial"/>
          <w:color w:val="000000"/>
          <w:lang w:val="en-US"/>
        </w:rPr>
        <w:t>AUC</w:t>
      </w:r>
      <w:r w:rsidRPr="00813FBC">
        <w:rPr>
          <w:rFonts w:eastAsia="Times New Roman" w:cs="Arial"/>
          <w:color w:val="000000"/>
          <w:lang w:val="ru-RU"/>
        </w:rPr>
        <w:t xml:space="preserve"> </w:t>
      </w:r>
      <w:r w:rsidRPr="00813FBC">
        <w:rPr>
          <w:rFonts w:eastAsia="Times New Roman" w:cs="Arial"/>
          <w:color w:val="000000"/>
          <w:lang w:eastAsia="bg-BG"/>
        </w:rPr>
        <w:t>на розувастатин са били средно 7 пъти по-високи от тези, наблюдавани при з</w:t>
      </w:r>
      <w:r w:rsidRPr="00813FBC">
        <w:rPr>
          <w:rFonts w:eastAsia="Times New Roman" w:cs="Arial"/>
          <w:color w:val="000000"/>
          <w:u w:val="single"/>
          <w:lang w:eastAsia="bg-BG"/>
        </w:rPr>
        <w:t>драви д</w:t>
      </w:r>
      <w:r w:rsidRPr="00813FBC">
        <w:rPr>
          <w:rFonts w:eastAsia="Times New Roman" w:cs="Arial"/>
          <w:color w:val="000000"/>
          <w:lang w:eastAsia="bg-BG"/>
        </w:rPr>
        <w:t>оброволци, на които е приложена същата доза (вж. таблица 1). Неоросо е противопоказан при пациенти, които едновременно приемат циклоспорин (вжлочка 4,3).</w:t>
      </w:r>
    </w:p>
    <w:p w14:paraId="09DFF989" w14:textId="77777777" w:rsidR="00813FBC" w:rsidRDefault="00813FBC" w:rsidP="00813FBC">
      <w:pPr>
        <w:rPr>
          <w:rFonts w:eastAsia="Times New Roman" w:cs="Arial"/>
          <w:color w:val="000000"/>
          <w:lang w:eastAsia="bg-BG"/>
        </w:rPr>
      </w:pPr>
    </w:p>
    <w:p w14:paraId="649B7652" w14:textId="65D9F28E" w:rsidR="00813FBC" w:rsidRDefault="00813FBC" w:rsidP="00813FBC">
      <w:pPr>
        <w:rPr>
          <w:rFonts w:eastAsia="Times New Roman" w:cs="Arial"/>
          <w:color w:val="000000"/>
          <w:lang w:eastAsia="bg-BG"/>
        </w:rPr>
      </w:pPr>
      <w:r w:rsidRPr="00813FBC">
        <w:rPr>
          <w:rFonts w:eastAsia="Times New Roman" w:cs="Arial"/>
          <w:color w:val="000000"/>
          <w:lang w:eastAsia="bg-BG"/>
        </w:rPr>
        <w:t>Едновременното приложение не е повлияло плазмените концентрации на циклоспорин</w:t>
      </w:r>
    </w:p>
    <w:p w14:paraId="753B251F" w14:textId="790C19E8" w:rsidR="00813FBC" w:rsidRDefault="00813FBC" w:rsidP="00813FBC">
      <w:pPr>
        <w:rPr>
          <w:rFonts w:eastAsia="Times New Roman" w:cs="Arial"/>
          <w:color w:val="000000"/>
          <w:lang w:eastAsia="bg-BG"/>
        </w:rPr>
      </w:pPr>
    </w:p>
    <w:p w14:paraId="50FCD395"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i/>
          <w:iCs/>
          <w:color w:val="000000"/>
          <w:lang w:eastAsia="bg-BG"/>
        </w:rPr>
        <w:t>Протеазни инхибитори:</w:t>
      </w:r>
      <w:r w:rsidRPr="00813FBC">
        <w:rPr>
          <w:rFonts w:eastAsia="Times New Roman" w:cs="Arial"/>
          <w:color w:val="000000"/>
          <w:lang w:eastAsia="bg-BG"/>
        </w:rPr>
        <w:t xml:space="preserve"> Въпреки че точният механизъм на взаимодействие не е известен, едновременното приложение с протеазни инхибитори може рязко да повиши експозицията на розувастатин (вж. таблица 1). Например, едновременното приложение на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и комбиниран продукт, състоящ се от два протеазни инхибигора (300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атазанавир/100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ритонавир) по време на едно фармакокинетично проучване при здрави доброволци, се асоциира с приблизително трикратно нарастване на </w:t>
      </w:r>
      <w:r w:rsidRPr="00813FBC">
        <w:rPr>
          <w:rFonts w:eastAsia="Times New Roman" w:cs="Arial"/>
          <w:color w:val="000000"/>
          <w:lang w:val="en-US"/>
        </w:rPr>
        <w:t>AUC</w:t>
      </w:r>
      <w:r w:rsidRPr="00813FBC">
        <w:rPr>
          <w:rFonts w:eastAsia="Times New Roman" w:cs="Arial"/>
          <w:color w:val="000000"/>
          <w:lang w:val="ru-RU"/>
        </w:rPr>
        <w:t xml:space="preserve"> </w:t>
      </w:r>
      <w:r w:rsidRPr="00813FBC">
        <w:rPr>
          <w:rFonts w:eastAsia="Times New Roman" w:cs="Arial"/>
          <w:color w:val="000000"/>
          <w:lang w:eastAsia="bg-BG"/>
        </w:rPr>
        <w:t>на розувастатин. Едновременното приложение на Неоросо и някои комбинации от протеазни инхибитори може да се има предвид след внимателно преценяване на корекциите на дозата на Неоросо на база очакваното повишение на експозицията на розувастатин (таблица 1 и точки 4.2 и 4.4).</w:t>
      </w:r>
    </w:p>
    <w:p w14:paraId="5AE69395" w14:textId="77777777" w:rsidR="00813FBC" w:rsidRDefault="00813FBC" w:rsidP="00813FBC">
      <w:pPr>
        <w:spacing w:line="240" w:lineRule="auto"/>
        <w:rPr>
          <w:rFonts w:eastAsia="Times New Roman" w:cs="Arial"/>
          <w:b/>
          <w:bCs/>
          <w:color w:val="000000"/>
          <w:lang w:eastAsia="bg-BG"/>
        </w:rPr>
      </w:pPr>
    </w:p>
    <w:p w14:paraId="0E4DE66E" w14:textId="104FA7D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color w:val="000000"/>
          <w:lang w:eastAsia="bg-BG"/>
        </w:rPr>
        <w:t xml:space="preserve">Гемфиброзил и други липидопонижаващи продукти: </w:t>
      </w:r>
      <w:r w:rsidRPr="00813FBC">
        <w:rPr>
          <w:rFonts w:eastAsia="Times New Roman" w:cs="Arial"/>
          <w:color w:val="000000"/>
          <w:lang w:eastAsia="bg-BG"/>
        </w:rPr>
        <w:t xml:space="preserve">Едновременното приложение на Неоросо и гемфиброзил е довело до двукратно повишение на Стах и </w:t>
      </w:r>
      <w:r w:rsidRPr="00813FBC">
        <w:rPr>
          <w:rFonts w:eastAsia="Times New Roman" w:cs="Arial"/>
          <w:color w:val="000000"/>
          <w:lang w:val="en-US"/>
        </w:rPr>
        <w:t>AUC</w:t>
      </w:r>
      <w:r w:rsidRPr="00813FBC">
        <w:rPr>
          <w:rFonts w:eastAsia="Times New Roman" w:cs="Arial"/>
          <w:color w:val="000000"/>
          <w:lang w:val="ru-RU"/>
        </w:rPr>
        <w:t xml:space="preserve"> </w:t>
      </w:r>
      <w:r w:rsidRPr="00813FBC">
        <w:rPr>
          <w:rFonts w:eastAsia="Times New Roman" w:cs="Arial"/>
          <w:color w:val="000000"/>
          <w:lang w:eastAsia="bg-BG"/>
        </w:rPr>
        <w:t>на розувастатин (вж. точка 4.4).</w:t>
      </w:r>
    </w:p>
    <w:p w14:paraId="79373D3B" w14:textId="77777777" w:rsidR="00813FBC" w:rsidRDefault="00813FBC" w:rsidP="00813FBC">
      <w:pPr>
        <w:spacing w:line="240" w:lineRule="auto"/>
        <w:rPr>
          <w:rFonts w:eastAsia="Times New Roman" w:cs="Arial"/>
          <w:color w:val="000000"/>
          <w:lang w:eastAsia="bg-BG"/>
        </w:rPr>
      </w:pPr>
    </w:p>
    <w:p w14:paraId="5D8DC1A2" w14:textId="5AB8A8F9"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Данните от фармакокинетичните проучвания, изследващи лекарствените взаимодействия, показват, че не се очаква значимо взаимодействие с фенофибрат, но е възможна поява на фармакодинамични взаимодействия. Гемфиброзил, фенофибрат и други фибрати и липидопонижаващите дози (в дози ≥1 </w:t>
      </w:r>
      <w:r w:rsidRPr="00813FBC">
        <w:rPr>
          <w:rFonts w:eastAsia="Times New Roman" w:cs="Arial"/>
          <w:color w:val="000000"/>
          <w:lang w:val="en-US"/>
        </w:rPr>
        <w:t>g</w:t>
      </w:r>
      <w:r w:rsidRPr="00813FBC">
        <w:rPr>
          <w:rFonts w:eastAsia="Times New Roman" w:cs="Arial"/>
          <w:color w:val="000000"/>
          <w:lang w:val="ru-RU"/>
        </w:rPr>
        <w:t xml:space="preserve"> </w:t>
      </w:r>
      <w:r w:rsidRPr="00813FBC">
        <w:rPr>
          <w:rFonts w:eastAsia="Times New Roman" w:cs="Arial"/>
          <w:color w:val="000000"/>
          <w:lang w:eastAsia="bg-BG"/>
        </w:rPr>
        <w:t xml:space="preserve">на ден) ниацин (никотинова киселина), повишават риска от поява на миопатия при комбиниране с инхибитори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 xml:space="preserve">редуктазата, най-вероятно поради факта, че последните могат да предизвикат появата на миопатия и при монотерапия. Дозата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е противопоказана при </w:t>
      </w:r>
      <w:r w:rsidRPr="00813FBC">
        <w:rPr>
          <w:rFonts w:eastAsia="Times New Roman" w:cs="Arial"/>
          <w:color w:val="000000"/>
          <w:lang w:eastAsia="bg-BG"/>
        </w:rPr>
        <w:lastRenderedPageBreak/>
        <w:t xml:space="preserve">едновременен прием на фибрати (вж. точки 4.3 и точка 4.4). При тези пациенти лечението също трябва да започне с 5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розувастатин.</w:t>
      </w:r>
    </w:p>
    <w:p w14:paraId="29298A96" w14:textId="77777777" w:rsidR="00813FBC" w:rsidRDefault="00813FBC" w:rsidP="00813FBC">
      <w:pPr>
        <w:spacing w:line="240" w:lineRule="auto"/>
        <w:rPr>
          <w:rFonts w:eastAsia="Times New Roman" w:cs="Arial"/>
          <w:b/>
          <w:bCs/>
          <w:color w:val="000000"/>
          <w:lang w:eastAsia="bg-BG"/>
        </w:rPr>
      </w:pPr>
    </w:p>
    <w:p w14:paraId="224A3C1F" w14:textId="57350C66"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color w:val="000000"/>
          <w:lang w:eastAsia="bg-BG"/>
        </w:rPr>
        <w:t xml:space="preserve">Езетимиб: </w:t>
      </w:r>
      <w:r w:rsidRPr="00813FBC">
        <w:rPr>
          <w:rFonts w:eastAsia="Times New Roman" w:cs="Arial"/>
          <w:color w:val="000000"/>
          <w:lang w:eastAsia="bg-BG"/>
        </w:rPr>
        <w:t xml:space="preserve">Едновременното приложение на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и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езетимиб не води до промени в </w:t>
      </w:r>
      <w:r w:rsidRPr="00813FBC">
        <w:rPr>
          <w:rFonts w:eastAsia="Times New Roman" w:cs="Arial"/>
          <w:color w:val="000000"/>
          <w:lang w:val="en-US"/>
        </w:rPr>
        <w:t>AUC</w:t>
      </w:r>
      <w:r w:rsidRPr="00813FBC">
        <w:rPr>
          <w:rFonts w:eastAsia="Times New Roman" w:cs="Arial"/>
          <w:color w:val="000000"/>
          <w:lang w:val="ru-RU"/>
        </w:rPr>
        <w:t xml:space="preserve"> </w:t>
      </w:r>
      <w:r w:rsidRPr="00813FBC">
        <w:rPr>
          <w:rFonts w:eastAsia="Times New Roman" w:cs="Arial"/>
          <w:color w:val="000000"/>
          <w:lang w:eastAsia="bg-BG"/>
        </w:rPr>
        <w:t xml:space="preserve">и на двата продукта, когато се прилагат при здрави доброволци. Има 1,2 пъти повишение на </w:t>
      </w:r>
      <w:r w:rsidRPr="00813FBC">
        <w:rPr>
          <w:rFonts w:eastAsia="Times New Roman" w:cs="Arial"/>
          <w:color w:val="000000"/>
          <w:lang w:val="en-US"/>
        </w:rPr>
        <w:t>AUC</w:t>
      </w:r>
      <w:r w:rsidRPr="00813FBC">
        <w:rPr>
          <w:rFonts w:eastAsia="Times New Roman" w:cs="Arial"/>
          <w:color w:val="000000"/>
          <w:lang w:val="ru-RU"/>
        </w:rPr>
        <w:t xml:space="preserve"> </w:t>
      </w:r>
      <w:r w:rsidRPr="00813FBC">
        <w:rPr>
          <w:rFonts w:eastAsia="Times New Roman" w:cs="Arial"/>
          <w:color w:val="000000"/>
          <w:lang w:eastAsia="bg-BG"/>
        </w:rPr>
        <w:t xml:space="preserve">на розувастатин, когато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и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езетимиб са приложени при пациенти с хиперхолестеролемия (таблица 1). Не може да се изключи фармакодинамично взаимодействие между тях, което да има за резултат нежелани реакции (вж. точка 4.4).</w:t>
      </w:r>
    </w:p>
    <w:p w14:paraId="3E664838" w14:textId="77777777" w:rsidR="00813FBC" w:rsidRDefault="00813FBC" w:rsidP="00813FBC">
      <w:pPr>
        <w:spacing w:line="240" w:lineRule="auto"/>
        <w:rPr>
          <w:rFonts w:eastAsia="Times New Roman" w:cs="Arial"/>
          <w:b/>
          <w:bCs/>
          <w:color w:val="000000"/>
          <w:lang w:eastAsia="bg-BG"/>
        </w:rPr>
      </w:pPr>
    </w:p>
    <w:p w14:paraId="14F123B1" w14:textId="645F7DB4"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color w:val="000000"/>
          <w:lang w:eastAsia="bg-BG"/>
        </w:rPr>
        <w:t xml:space="preserve">Антнациди: </w:t>
      </w:r>
      <w:r w:rsidRPr="00813FBC">
        <w:rPr>
          <w:rFonts w:eastAsia="Times New Roman" w:cs="Arial"/>
          <w:color w:val="000000"/>
          <w:lang w:eastAsia="bg-BG"/>
        </w:rPr>
        <w:t>Едновременното приложение на розувастатин с антиацидна суспензия, съдържаща алуминиев и магнезиев хидроксид, е довело до намаляване на плазмената концентрация на розувастатин с приблизително 50%. Този ефект е бил отслабен, когато антиациците са давани 2 часа след приема на розувастатин. Клиничното значение на това взаимодействие не е изследвано.</w:t>
      </w:r>
    </w:p>
    <w:p w14:paraId="22DBC69F" w14:textId="77777777" w:rsidR="00813FBC" w:rsidRDefault="00813FBC" w:rsidP="00813FBC">
      <w:pPr>
        <w:spacing w:line="240" w:lineRule="auto"/>
        <w:rPr>
          <w:rFonts w:eastAsia="Times New Roman" w:cs="Arial"/>
          <w:b/>
          <w:bCs/>
          <w:color w:val="000000"/>
          <w:lang w:eastAsia="bg-BG"/>
        </w:rPr>
      </w:pPr>
    </w:p>
    <w:p w14:paraId="01F2FA26" w14:textId="39B654B0"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color w:val="000000"/>
          <w:lang w:eastAsia="bg-BG"/>
        </w:rPr>
        <w:t xml:space="preserve">Еритромицнн: </w:t>
      </w:r>
      <w:r w:rsidRPr="00813FBC">
        <w:rPr>
          <w:rFonts w:eastAsia="Times New Roman" w:cs="Arial"/>
          <w:color w:val="000000"/>
          <w:lang w:eastAsia="bg-BG"/>
        </w:rPr>
        <w:t xml:space="preserve">Едновременният прием на розувастатин и еритромицин е довел до 20% намаление на </w:t>
      </w:r>
      <w:r w:rsidRPr="00813FBC">
        <w:rPr>
          <w:rFonts w:eastAsia="Times New Roman" w:cs="Arial"/>
          <w:color w:val="000000"/>
          <w:lang w:val="en-US"/>
        </w:rPr>
        <w:t>AUC</w:t>
      </w:r>
      <w:r w:rsidRPr="00813FBC">
        <w:rPr>
          <w:rFonts w:eastAsia="Times New Roman" w:cs="Arial"/>
          <w:color w:val="000000"/>
          <w:lang w:val="ru-RU"/>
        </w:rPr>
        <w:t>(</w:t>
      </w:r>
      <w:r w:rsidRPr="00813FBC">
        <w:rPr>
          <w:rFonts w:eastAsia="Times New Roman" w:cs="Arial"/>
          <w:color w:val="000000"/>
          <w:lang w:val="en-US"/>
        </w:rPr>
        <w:t>o</w:t>
      </w:r>
      <w:r w:rsidRPr="00813FBC">
        <w:rPr>
          <w:rFonts w:eastAsia="Times New Roman" w:cs="Arial"/>
          <w:color w:val="000000"/>
          <w:lang w:val="ru-RU"/>
        </w:rPr>
        <w:t>-</w:t>
      </w:r>
      <w:r w:rsidRPr="00813FBC">
        <w:rPr>
          <w:rFonts w:eastAsia="Times New Roman" w:cs="Arial"/>
          <w:color w:val="000000"/>
          <w:lang w:val="en-US"/>
        </w:rPr>
        <w:t>t</w:t>
      </w:r>
      <w:r w:rsidRPr="00813FBC">
        <w:rPr>
          <w:rFonts w:eastAsia="Times New Roman" w:cs="Arial"/>
          <w:color w:val="000000"/>
          <w:lang w:val="ru-RU"/>
        </w:rPr>
        <w:t xml:space="preserve">) </w:t>
      </w:r>
      <w:r w:rsidRPr="00813FBC">
        <w:rPr>
          <w:rFonts w:eastAsia="Times New Roman" w:cs="Arial"/>
          <w:color w:val="000000"/>
          <w:lang w:eastAsia="bg-BG"/>
        </w:rPr>
        <w:t>и 30% намаление на Стах на розувастатин. Взаимодействието може да е предизвикано от повишения чревен мотилитет, вследствие на приема на еритромицин.</w:t>
      </w:r>
    </w:p>
    <w:p w14:paraId="519894B4" w14:textId="77777777" w:rsidR="00813FBC" w:rsidRDefault="00813FBC" w:rsidP="00813FBC">
      <w:pPr>
        <w:spacing w:line="240" w:lineRule="auto"/>
        <w:rPr>
          <w:rFonts w:eastAsia="Times New Roman" w:cs="Arial"/>
          <w:b/>
          <w:bCs/>
          <w:color w:val="000000"/>
          <w:lang w:eastAsia="bg-BG"/>
        </w:rPr>
      </w:pPr>
    </w:p>
    <w:p w14:paraId="617323CC" w14:textId="74ED6069"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color w:val="000000"/>
          <w:lang w:eastAsia="bg-BG"/>
        </w:rPr>
        <w:t xml:space="preserve">Ензими от системата на цитохром Р450: </w:t>
      </w:r>
      <w:r w:rsidRPr="00813FBC">
        <w:rPr>
          <w:rFonts w:eastAsia="Times New Roman" w:cs="Arial"/>
          <w:color w:val="000000"/>
          <w:lang w:eastAsia="bg-BG"/>
        </w:rPr>
        <w:t xml:space="preserve">Данните от </w:t>
      </w:r>
      <w:r w:rsidRPr="00813FBC">
        <w:rPr>
          <w:rFonts w:eastAsia="Times New Roman" w:cs="Arial"/>
          <w:b/>
          <w:bCs/>
          <w:i/>
          <w:iCs/>
          <w:color w:val="000000"/>
          <w:lang w:val="en-US"/>
        </w:rPr>
        <w:t>in</w:t>
      </w:r>
      <w:r w:rsidRPr="00813FBC">
        <w:rPr>
          <w:rFonts w:eastAsia="Times New Roman" w:cs="Arial"/>
          <w:b/>
          <w:bCs/>
          <w:i/>
          <w:iCs/>
          <w:color w:val="000000"/>
          <w:lang w:val="ru-RU"/>
        </w:rPr>
        <w:t xml:space="preserve"> </w:t>
      </w:r>
      <w:r w:rsidRPr="00813FBC">
        <w:rPr>
          <w:rFonts w:eastAsia="Times New Roman" w:cs="Arial"/>
          <w:b/>
          <w:bCs/>
          <w:i/>
          <w:iCs/>
          <w:color w:val="000000"/>
          <w:lang w:val="en-US"/>
        </w:rPr>
        <w:t>vitro</w:t>
      </w:r>
      <w:r w:rsidRPr="00813FBC">
        <w:rPr>
          <w:rFonts w:eastAsia="Times New Roman" w:cs="Arial"/>
          <w:color w:val="000000"/>
          <w:lang w:val="ru-RU"/>
        </w:rPr>
        <w:t xml:space="preserve"> </w:t>
      </w:r>
      <w:r w:rsidRPr="00813FBC">
        <w:rPr>
          <w:rFonts w:eastAsia="Times New Roman" w:cs="Arial"/>
          <w:color w:val="000000"/>
          <w:lang w:eastAsia="bg-BG"/>
        </w:rPr>
        <w:t xml:space="preserve">и </w:t>
      </w:r>
      <w:r w:rsidRPr="00813FBC">
        <w:rPr>
          <w:rFonts w:eastAsia="Times New Roman" w:cs="Arial"/>
          <w:b/>
          <w:bCs/>
          <w:i/>
          <w:iCs/>
          <w:color w:val="000000"/>
          <w:lang w:val="en-US"/>
        </w:rPr>
        <w:t>in</w:t>
      </w:r>
      <w:r w:rsidRPr="00813FBC">
        <w:rPr>
          <w:rFonts w:eastAsia="Times New Roman" w:cs="Arial"/>
          <w:b/>
          <w:bCs/>
          <w:i/>
          <w:iCs/>
          <w:color w:val="000000"/>
          <w:lang w:val="ru-RU"/>
        </w:rPr>
        <w:t xml:space="preserve"> </w:t>
      </w:r>
      <w:r w:rsidRPr="00813FBC">
        <w:rPr>
          <w:rFonts w:eastAsia="Times New Roman" w:cs="Arial"/>
          <w:b/>
          <w:bCs/>
          <w:i/>
          <w:iCs/>
          <w:color w:val="000000"/>
          <w:lang w:val="en-US"/>
        </w:rPr>
        <w:t>vivo</w:t>
      </w:r>
      <w:r w:rsidRPr="00813FBC">
        <w:rPr>
          <w:rFonts w:eastAsia="Times New Roman" w:cs="Arial"/>
          <w:color w:val="000000"/>
          <w:lang w:val="ru-RU"/>
        </w:rPr>
        <w:t xml:space="preserve"> </w:t>
      </w:r>
      <w:r w:rsidRPr="00813FBC">
        <w:rPr>
          <w:rFonts w:eastAsia="Times New Roman" w:cs="Arial"/>
          <w:color w:val="000000"/>
          <w:lang w:eastAsia="bg-BG"/>
        </w:rPr>
        <w:t xml:space="preserve">проучвания показват, че розувастатин не е нито инхибитор, нито индуктор на цитохром Р450 изоензимите. Розувастатин е слаб субстрат за тези изоензими. Следователно, лекарствени взаимодействия резултат от цитохром Р450- медиирания метаболизъм не се очакват. Не са наблюдавани клинично значими взаимодействия между розувастатин и флуконазол (инхибитор на </w:t>
      </w:r>
      <w:r w:rsidRPr="00813FBC">
        <w:rPr>
          <w:rFonts w:eastAsia="Times New Roman" w:cs="Arial"/>
          <w:color w:val="000000"/>
          <w:lang w:val="en-US"/>
        </w:rPr>
        <w:t>CYP</w:t>
      </w:r>
      <w:r w:rsidRPr="00813FBC">
        <w:rPr>
          <w:rFonts w:eastAsia="Times New Roman" w:cs="Arial"/>
          <w:color w:val="000000"/>
          <w:lang w:val="ru-RU"/>
        </w:rPr>
        <w:t>2</w:t>
      </w:r>
      <w:r w:rsidRPr="00813FBC">
        <w:rPr>
          <w:rFonts w:eastAsia="Times New Roman" w:cs="Arial"/>
          <w:color w:val="000000"/>
          <w:lang w:val="en-US"/>
        </w:rPr>
        <w:t>C</w:t>
      </w:r>
      <w:r w:rsidRPr="00813FBC">
        <w:rPr>
          <w:rFonts w:eastAsia="Times New Roman" w:cs="Arial"/>
          <w:color w:val="000000"/>
          <w:lang w:val="ru-RU"/>
        </w:rPr>
        <w:t xml:space="preserve">9 </w:t>
      </w:r>
      <w:r w:rsidRPr="00813FBC">
        <w:rPr>
          <w:rFonts w:eastAsia="Times New Roman" w:cs="Arial"/>
          <w:color w:val="000000"/>
          <w:lang w:eastAsia="bg-BG"/>
        </w:rPr>
        <w:t xml:space="preserve">и </w:t>
      </w:r>
      <w:r w:rsidRPr="00813FBC">
        <w:rPr>
          <w:rFonts w:eastAsia="Times New Roman" w:cs="Arial"/>
          <w:color w:val="000000"/>
          <w:lang w:val="en-US"/>
        </w:rPr>
        <w:t>CYP</w:t>
      </w:r>
      <w:r w:rsidRPr="00813FBC">
        <w:rPr>
          <w:rFonts w:eastAsia="Times New Roman" w:cs="Arial"/>
          <w:color w:val="000000"/>
          <w:lang w:val="ru-RU"/>
        </w:rPr>
        <w:t>3</w:t>
      </w:r>
      <w:r w:rsidRPr="00813FBC">
        <w:rPr>
          <w:rFonts w:eastAsia="Times New Roman" w:cs="Arial"/>
          <w:color w:val="000000"/>
          <w:lang w:val="en-US"/>
        </w:rPr>
        <w:t>A</w:t>
      </w:r>
      <w:r w:rsidRPr="00813FBC">
        <w:rPr>
          <w:rFonts w:eastAsia="Times New Roman" w:cs="Arial"/>
          <w:color w:val="000000"/>
          <w:lang w:val="ru-RU"/>
        </w:rPr>
        <w:t xml:space="preserve">4) </w:t>
      </w:r>
      <w:r w:rsidRPr="00813FBC">
        <w:rPr>
          <w:rFonts w:eastAsia="Times New Roman" w:cs="Arial"/>
          <w:color w:val="000000"/>
          <w:lang w:eastAsia="bg-BG"/>
        </w:rPr>
        <w:t xml:space="preserve">или кетоконазол (инхибитор на </w:t>
      </w:r>
      <w:r w:rsidRPr="00813FBC">
        <w:rPr>
          <w:rFonts w:eastAsia="Times New Roman" w:cs="Arial"/>
          <w:color w:val="000000"/>
          <w:lang w:val="en-US"/>
        </w:rPr>
        <w:t>CYP</w:t>
      </w:r>
      <w:r w:rsidRPr="00813FBC">
        <w:rPr>
          <w:rFonts w:eastAsia="Times New Roman" w:cs="Arial"/>
          <w:color w:val="000000"/>
          <w:lang w:val="ru-RU"/>
        </w:rPr>
        <w:t>2</w:t>
      </w:r>
      <w:r w:rsidRPr="00813FBC">
        <w:rPr>
          <w:rFonts w:eastAsia="Times New Roman" w:cs="Arial"/>
          <w:color w:val="000000"/>
          <w:lang w:val="en-US"/>
        </w:rPr>
        <w:t>A</w:t>
      </w:r>
      <w:r w:rsidRPr="00813FBC">
        <w:rPr>
          <w:rFonts w:eastAsia="Times New Roman" w:cs="Arial"/>
          <w:color w:val="000000"/>
          <w:lang w:val="ru-RU"/>
        </w:rPr>
        <w:t xml:space="preserve">6 </w:t>
      </w:r>
      <w:r w:rsidRPr="00813FBC">
        <w:rPr>
          <w:rFonts w:eastAsia="Times New Roman" w:cs="Arial"/>
          <w:color w:val="000000"/>
          <w:lang w:eastAsia="bg-BG"/>
        </w:rPr>
        <w:t xml:space="preserve">и </w:t>
      </w:r>
      <w:r w:rsidRPr="00813FBC">
        <w:rPr>
          <w:rFonts w:eastAsia="Times New Roman" w:cs="Arial"/>
          <w:color w:val="000000"/>
          <w:lang w:val="en-US"/>
        </w:rPr>
        <w:t>CYP</w:t>
      </w:r>
      <w:r w:rsidRPr="00813FBC">
        <w:rPr>
          <w:rFonts w:eastAsia="Times New Roman" w:cs="Arial"/>
          <w:color w:val="000000"/>
          <w:lang w:val="ru-RU"/>
        </w:rPr>
        <w:t>3</w:t>
      </w:r>
      <w:r w:rsidRPr="00813FBC">
        <w:rPr>
          <w:rFonts w:eastAsia="Times New Roman" w:cs="Arial"/>
          <w:color w:val="000000"/>
          <w:lang w:val="en-US"/>
        </w:rPr>
        <w:t>A</w:t>
      </w:r>
      <w:r w:rsidRPr="00813FBC">
        <w:rPr>
          <w:rFonts w:eastAsia="Times New Roman" w:cs="Arial"/>
          <w:color w:val="000000"/>
          <w:lang w:val="ru-RU"/>
        </w:rPr>
        <w:t xml:space="preserve">4). </w:t>
      </w:r>
      <w:r w:rsidRPr="00813FBC">
        <w:rPr>
          <w:rFonts w:eastAsia="Times New Roman" w:cs="Arial"/>
          <w:color w:val="000000"/>
          <w:lang w:eastAsia="bg-BG"/>
        </w:rPr>
        <w:t xml:space="preserve">Едновременният прием на итраконазол (инхибитор на </w:t>
      </w:r>
      <w:r w:rsidRPr="00813FBC">
        <w:rPr>
          <w:rFonts w:eastAsia="Times New Roman" w:cs="Arial"/>
          <w:color w:val="000000"/>
          <w:lang w:val="en-US"/>
        </w:rPr>
        <w:t>CYP</w:t>
      </w:r>
      <w:r w:rsidRPr="00813FBC">
        <w:rPr>
          <w:rFonts w:eastAsia="Times New Roman" w:cs="Arial"/>
          <w:color w:val="000000"/>
          <w:lang w:val="ru-RU"/>
        </w:rPr>
        <w:t>3</w:t>
      </w:r>
      <w:r w:rsidRPr="00813FBC">
        <w:rPr>
          <w:rFonts w:eastAsia="Times New Roman" w:cs="Arial"/>
          <w:color w:val="000000"/>
          <w:lang w:val="en-US"/>
        </w:rPr>
        <w:t>A</w:t>
      </w:r>
      <w:r w:rsidRPr="00813FBC">
        <w:rPr>
          <w:rFonts w:eastAsia="Times New Roman" w:cs="Arial"/>
          <w:color w:val="000000"/>
          <w:lang w:val="ru-RU"/>
        </w:rPr>
        <w:t xml:space="preserve">4) </w:t>
      </w:r>
      <w:r w:rsidRPr="00813FBC">
        <w:rPr>
          <w:rFonts w:eastAsia="Times New Roman" w:cs="Arial"/>
          <w:color w:val="000000"/>
          <w:lang w:eastAsia="bg-BG"/>
        </w:rPr>
        <w:t xml:space="preserve">и розувастатин води до 28% увеличение на </w:t>
      </w:r>
      <w:r w:rsidRPr="00813FBC">
        <w:rPr>
          <w:rFonts w:eastAsia="Times New Roman" w:cs="Arial"/>
          <w:color w:val="000000"/>
          <w:lang w:val="en-US"/>
        </w:rPr>
        <w:t>AUC</w:t>
      </w:r>
      <w:r w:rsidRPr="00813FBC">
        <w:rPr>
          <w:rFonts w:eastAsia="Times New Roman" w:cs="Arial"/>
          <w:color w:val="000000"/>
          <w:lang w:val="ru-RU"/>
        </w:rPr>
        <w:t xml:space="preserve"> </w:t>
      </w:r>
      <w:r w:rsidRPr="00813FBC">
        <w:rPr>
          <w:rFonts w:eastAsia="Times New Roman" w:cs="Arial"/>
          <w:color w:val="000000"/>
          <w:lang w:eastAsia="bg-BG"/>
        </w:rPr>
        <w:t>на розувастатин. Това малко увеличение не е клинично значимо. По тази причина лекарствени взаимодействия в следствие на метаболизъм, медииран от цитохром Р450, не се очакват.</w:t>
      </w:r>
    </w:p>
    <w:p w14:paraId="0570B2C8" w14:textId="77777777" w:rsidR="00813FBC" w:rsidRDefault="00813FBC" w:rsidP="00813FBC">
      <w:pPr>
        <w:spacing w:line="240" w:lineRule="auto"/>
        <w:rPr>
          <w:rFonts w:eastAsia="Times New Roman" w:cs="Arial"/>
          <w:b/>
          <w:bCs/>
          <w:color w:val="000000"/>
          <w:lang w:eastAsia="bg-BG"/>
        </w:rPr>
      </w:pPr>
    </w:p>
    <w:p w14:paraId="19313875" w14:textId="658DA145"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color w:val="000000"/>
          <w:lang w:eastAsia="bg-BG"/>
        </w:rPr>
        <w:t xml:space="preserve">Взаимодействия, които изискват корекция на дозата на розувастатин (вж. също таблица 1): </w:t>
      </w:r>
      <w:r w:rsidRPr="00813FBC">
        <w:rPr>
          <w:rFonts w:eastAsia="Times New Roman" w:cs="Arial"/>
          <w:color w:val="000000"/>
          <w:lang w:eastAsia="bg-BG"/>
        </w:rPr>
        <w:t xml:space="preserve">Когато е необходимо да се прилага розувастатин едновременно с други лекарствени продукти, за които е известно, че повишават експозицията на розувастатин, дозите на розувастатин трябва да се коригират. Започва се с доза от 5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веднъж дневно, ако очакваното повишение </w:t>
      </w:r>
      <w:r w:rsidRPr="00813FBC">
        <w:rPr>
          <w:rFonts w:eastAsia="Times New Roman" w:cs="Arial"/>
          <w:color w:val="000000"/>
          <w:u w:val="single"/>
          <w:lang w:eastAsia="bg-BG"/>
        </w:rPr>
        <w:t>на експ</w:t>
      </w:r>
      <w:r w:rsidRPr="00813FBC">
        <w:rPr>
          <w:rFonts w:eastAsia="Times New Roman" w:cs="Arial"/>
          <w:color w:val="000000"/>
          <w:lang w:eastAsia="bg-BG"/>
        </w:rPr>
        <w:t xml:space="preserve">озицията </w:t>
      </w:r>
      <w:r w:rsidRPr="00813FBC">
        <w:rPr>
          <w:rFonts w:eastAsia="Times New Roman" w:cs="Arial"/>
          <w:color w:val="000000"/>
          <w:lang w:val="ru-RU"/>
        </w:rPr>
        <w:t>(</w:t>
      </w:r>
      <w:r w:rsidRPr="00813FBC">
        <w:rPr>
          <w:rFonts w:eastAsia="Times New Roman" w:cs="Arial"/>
          <w:color w:val="000000"/>
          <w:lang w:val="en-US"/>
        </w:rPr>
        <w:t>AUC</w:t>
      </w:r>
      <w:r w:rsidRPr="00813FBC">
        <w:rPr>
          <w:rFonts w:eastAsia="Times New Roman" w:cs="Arial"/>
          <w:color w:val="000000"/>
          <w:lang w:val="ru-RU"/>
        </w:rPr>
        <w:t xml:space="preserve">) </w:t>
      </w:r>
      <w:r w:rsidRPr="00813FBC">
        <w:rPr>
          <w:rFonts w:eastAsia="Times New Roman" w:cs="Arial"/>
          <w:color w:val="000000"/>
          <w:lang w:eastAsia="bg-BG"/>
        </w:rPr>
        <w:t xml:space="preserve">е приблизително двукратно или по-голямо. Максималната дневна доза на розувастатин трябва да се коригира така, че очакваната експозиция да не надвиши тази на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дневна доза розувастатин, приет без взаимодействащи лекарствени прдукти, напр. доза от 20 </w:t>
      </w:r>
      <w:r w:rsidRPr="00813FBC">
        <w:rPr>
          <w:rFonts w:eastAsia="Times New Roman" w:cs="Arial"/>
          <w:color w:val="000000"/>
          <w:lang w:val="en-US"/>
        </w:rPr>
        <w:t>mg</w:t>
      </w:r>
      <w:r w:rsidRPr="00813FBC">
        <w:rPr>
          <w:rFonts w:eastAsia="Times New Roman" w:cs="Arial"/>
          <w:color w:val="000000"/>
          <w:lang w:eastAsia="bg-BG"/>
        </w:rPr>
        <w:t xml:space="preserve"> розувастатин с</w:t>
      </w:r>
      <w:r w:rsidRPr="00813FBC">
        <w:rPr>
          <w:rFonts w:eastAsia="Times New Roman" w:cs="Arial"/>
          <w:color w:val="000000"/>
          <w:lang w:val="ru-RU"/>
        </w:rPr>
        <w:t xml:space="preserve"> </w:t>
      </w:r>
      <w:r w:rsidRPr="00813FBC">
        <w:rPr>
          <w:rFonts w:eastAsia="Times New Roman" w:cs="Arial"/>
          <w:color w:val="000000"/>
          <w:lang w:eastAsia="bg-BG"/>
        </w:rPr>
        <w:t xml:space="preserve">гемфиброзил (1,9 пъти), и доза от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розувастатин с комбинация с ритонавир/атазанавир (повишение от 3,1 пъти)</w:t>
      </w:r>
    </w:p>
    <w:p w14:paraId="604ADF07" w14:textId="4F87468C" w:rsidR="00813FBC" w:rsidRDefault="00813FBC" w:rsidP="00813FBC"/>
    <w:tbl>
      <w:tblPr>
        <w:tblStyle w:val="TableGrid"/>
        <w:tblW w:w="0" w:type="auto"/>
        <w:tblLook w:val="04A0" w:firstRow="1" w:lastRow="0" w:firstColumn="1" w:lastColumn="0" w:noHBand="0" w:noVBand="1"/>
      </w:tblPr>
      <w:tblGrid>
        <w:gridCol w:w="3148"/>
        <w:gridCol w:w="3101"/>
        <w:gridCol w:w="3101"/>
      </w:tblGrid>
      <w:tr w:rsidR="000A3AEC" w14:paraId="2E330E1B" w14:textId="77777777" w:rsidTr="002C5320">
        <w:tc>
          <w:tcPr>
            <w:tcW w:w="9576" w:type="dxa"/>
            <w:gridSpan w:val="3"/>
          </w:tcPr>
          <w:p w14:paraId="2E3E7C4B" w14:textId="6B3AA084"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Таблица 1. Влияние на едновременно прилагани лекарствени продукти върху експозицията на розувастатин </w:t>
            </w:r>
            <w:r w:rsidRPr="000A3AEC">
              <w:rPr>
                <w:rFonts w:eastAsia="Times New Roman" w:cs="Arial"/>
                <w:b/>
                <w:bCs/>
                <w:color w:val="000000"/>
                <w:lang w:val="ru-RU"/>
              </w:rPr>
              <w:t>(</w:t>
            </w:r>
            <w:r w:rsidRPr="000A3AEC">
              <w:rPr>
                <w:rFonts w:eastAsia="Times New Roman" w:cs="Arial"/>
                <w:b/>
                <w:bCs/>
                <w:color w:val="000000"/>
                <w:lang w:val="en-US"/>
              </w:rPr>
              <w:t>AUC</w:t>
            </w:r>
            <w:r w:rsidRPr="000A3AEC">
              <w:rPr>
                <w:rFonts w:eastAsia="Times New Roman" w:cs="Arial"/>
                <w:b/>
                <w:bCs/>
                <w:color w:val="000000"/>
                <w:lang w:val="ru-RU"/>
              </w:rPr>
              <w:t xml:space="preserve">, </w:t>
            </w:r>
            <w:r w:rsidRPr="000A3AEC">
              <w:rPr>
                <w:rFonts w:eastAsia="Times New Roman" w:cs="Arial"/>
                <w:b/>
                <w:bCs/>
                <w:color w:val="000000"/>
                <w:lang w:eastAsia="bg-BG"/>
              </w:rPr>
              <w:t>в низходящ ред) от публикувани клинични проучвания</w:t>
            </w:r>
          </w:p>
        </w:tc>
      </w:tr>
      <w:tr w:rsidR="000A3AEC" w14:paraId="29091E36" w14:textId="77777777" w:rsidTr="00F25297">
        <w:tc>
          <w:tcPr>
            <w:tcW w:w="3192" w:type="dxa"/>
            <w:vAlign w:val="bottom"/>
          </w:tcPr>
          <w:p w14:paraId="77B0F8DF" w14:textId="23679FB6" w:rsidR="000A3AEC" w:rsidRDefault="000A3AEC" w:rsidP="000A3AEC">
            <w:r>
              <w:rPr>
                <w:rFonts w:cs="Arial"/>
                <w:b/>
                <w:bCs/>
              </w:rPr>
              <w:t>Дозов режим на взаимодействащото лекарство</w:t>
            </w:r>
          </w:p>
        </w:tc>
        <w:tc>
          <w:tcPr>
            <w:tcW w:w="3192" w:type="dxa"/>
            <w:vAlign w:val="bottom"/>
          </w:tcPr>
          <w:p w14:paraId="5B4885C3" w14:textId="5966CBA7" w:rsidR="000A3AEC" w:rsidRDefault="000A3AEC" w:rsidP="000A3AEC">
            <w:r>
              <w:rPr>
                <w:rFonts w:cs="Arial"/>
                <w:b/>
                <w:bCs/>
              </w:rPr>
              <w:t>Дозов режин на розувастатии</w:t>
            </w:r>
          </w:p>
        </w:tc>
        <w:tc>
          <w:tcPr>
            <w:tcW w:w="3192" w:type="dxa"/>
            <w:vAlign w:val="bottom"/>
          </w:tcPr>
          <w:p w14:paraId="08406255" w14:textId="579FAAE5" w:rsidR="000A3AEC" w:rsidRDefault="000A3AEC" w:rsidP="000A3AEC">
            <w:r>
              <w:rPr>
                <w:rFonts w:cs="Arial"/>
                <w:b/>
                <w:bCs/>
              </w:rPr>
              <w:t xml:space="preserve">Промяна в </w:t>
            </w:r>
            <w:r>
              <w:rPr>
                <w:rFonts w:cs="Arial"/>
                <w:b/>
                <w:bCs/>
                <w:lang w:val="en-US"/>
              </w:rPr>
              <w:t>AUC</w:t>
            </w:r>
            <w:r w:rsidRPr="000A3AEC">
              <w:rPr>
                <w:rFonts w:cs="Arial"/>
                <w:b/>
                <w:bCs/>
                <w:lang w:val="ru-RU"/>
              </w:rPr>
              <w:t xml:space="preserve">* </w:t>
            </w:r>
            <w:r>
              <w:rPr>
                <w:rFonts w:cs="Arial"/>
                <w:b/>
                <w:bCs/>
              </w:rPr>
              <w:t>на розувастатин</w:t>
            </w:r>
          </w:p>
        </w:tc>
      </w:tr>
      <w:tr w:rsidR="000A3AEC" w14:paraId="213F50C7" w14:textId="77777777" w:rsidTr="000A3AEC">
        <w:tc>
          <w:tcPr>
            <w:tcW w:w="3192" w:type="dxa"/>
          </w:tcPr>
          <w:p w14:paraId="5DD8D475" w14:textId="236BFC3E" w:rsidR="000A3AEC" w:rsidRDefault="000A3AEC" w:rsidP="000A3AEC">
            <w:r>
              <w:rPr>
                <w:rFonts w:cs="Arial"/>
              </w:rPr>
              <w:lastRenderedPageBreak/>
              <w:t xml:space="preserve">Циклоспорин 75 </w:t>
            </w:r>
            <w:r>
              <w:rPr>
                <w:rFonts w:cs="Arial"/>
                <w:lang w:val="en-US"/>
              </w:rPr>
              <w:t>mg</w:t>
            </w:r>
            <w:r w:rsidRPr="000A3AEC">
              <w:rPr>
                <w:rFonts w:cs="Arial"/>
                <w:lang w:val="ru-RU"/>
              </w:rPr>
              <w:t xml:space="preserve"> </w:t>
            </w:r>
            <w:r>
              <w:rPr>
                <w:rFonts w:cs="Arial"/>
              </w:rPr>
              <w:t xml:space="preserve">два пъти дневно до 200 </w:t>
            </w:r>
            <w:r>
              <w:rPr>
                <w:rFonts w:cs="Arial"/>
                <w:lang w:val="en-US"/>
              </w:rPr>
              <w:t>mg</w:t>
            </w:r>
            <w:r w:rsidRPr="000A3AEC">
              <w:rPr>
                <w:rFonts w:cs="Arial"/>
                <w:lang w:val="ru-RU"/>
              </w:rPr>
              <w:t xml:space="preserve"> </w:t>
            </w:r>
            <w:r>
              <w:rPr>
                <w:rFonts w:cs="Arial"/>
              </w:rPr>
              <w:t>два пъти вневно, 6 месеца</w:t>
            </w:r>
          </w:p>
        </w:tc>
        <w:tc>
          <w:tcPr>
            <w:tcW w:w="3192" w:type="dxa"/>
          </w:tcPr>
          <w:p w14:paraId="625B7A59" w14:textId="00B8A354" w:rsidR="000A3AEC" w:rsidRDefault="000A3AEC" w:rsidP="000A3AEC">
            <w:r>
              <w:rPr>
                <w:rFonts w:cs="Arial"/>
              </w:rPr>
              <w:t xml:space="preserve">10 </w:t>
            </w:r>
            <w:r>
              <w:rPr>
                <w:rFonts w:cs="Arial"/>
                <w:lang w:val="en-US"/>
              </w:rPr>
              <w:t xml:space="preserve">mg </w:t>
            </w:r>
            <w:r>
              <w:rPr>
                <w:rFonts w:cs="Arial"/>
              </w:rPr>
              <w:t>веднъж дневно, 10 дни</w:t>
            </w:r>
          </w:p>
        </w:tc>
        <w:tc>
          <w:tcPr>
            <w:tcW w:w="3192" w:type="dxa"/>
          </w:tcPr>
          <w:p w14:paraId="6A718D1C" w14:textId="465E87F6" w:rsidR="000A3AEC" w:rsidRDefault="000A3AEC" w:rsidP="000A3AEC">
            <w:r>
              <w:rPr>
                <w:rFonts w:cs="Arial"/>
              </w:rPr>
              <w:t>7,1 пъти ↑</w:t>
            </w:r>
          </w:p>
        </w:tc>
      </w:tr>
      <w:tr w:rsidR="000A3AEC" w14:paraId="3443F015" w14:textId="77777777" w:rsidTr="000A3AEC">
        <w:tc>
          <w:tcPr>
            <w:tcW w:w="3192" w:type="dxa"/>
          </w:tcPr>
          <w:p w14:paraId="150AA176" w14:textId="3392B5EC" w:rsidR="000A3AEC" w:rsidRDefault="000A3AEC" w:rsidP="000A3AEC">
            <w:r>
              <w:rPr>
                <w:rFonts w:cs="Arial"/>
              </w:rPr>
              <w:t xml:space="preserve">Атазанавир 300 </w:t>
            </w:r>
            <w:r>
              <w:rPr>
                <w:rFonts w:cs="Arial"/>
                <w:lang w:val="en-US"/>
              </w:rPr>
              <w:t>mg</w:t>
            </w:r>
            <w:r>
              <w:rPr>
                <w:rFonts w:cs="Arial"/>
              </w:rPr>
              <w:t xml:space="preserve">/ритонавир 100 </w:t>
            </w:r>
            <w:r>
              <w:rPr>
                <w:rFonts w:cs="Arial"/>
                <w:lang w:val="en-US"/>
              </w:rPr>
              <w:t>mg</w:t>
            </w:r>
            <w:r w:rsidRPr="000A3AEC">
              <w:rPr>
                <w:rFonts w:cs="Arial"/>
                <w:lang w:val="ru-RU"/>
              </w:rPr>
              <w:t xml:space="preserve"> </w:t>
            </w:r>
            <w:r>
              <w:rPr>
                <w:rFonts w:cs="Arial"/>
              </w:rPr>
              <w:t>веднъж дневно, 8 дни</w:t>
            </w:r>
          </w:p>
        </w:tc>
        <w:tc>
          <w:tcPr>
            <w:tcW w:w="3192" w:type="dxa"/>
          </w:tcPr>
          <w:p w14:paraId="53E0E410" w14:textId="1E59DD9A" w:rsidR="000A3AEC" w:rsidRDefault="000A3AEC" w:rsidP="000A3AEC">
            <w:r>
              <w:rPr>
                <w:rFonts w:cs="Arial"/>
              </w:rPr>
              <w:t xml:space="preserve">10 </w:t>
            </w:r>
            <w:r>
              <w:rPr>
                <w:rFonts w:cs="Arial"/>
                <w:lang w:val="en-US"/>
              </w:rPr>
              <w:t xml:space="preserve">mg, </w:t>
            </w:r>
            <w:r>
              <w:rPr>
                <w:rFonts w:cs="Arial"/>
              </w:rPr>
              <w:t>единична доза</w:t>
            </w:r>
          </w:p>
        </w:tc>
        <w:tc>
          <w:tcPr>
            <w:tcW w:w="3192" w:type="dxa"/>
          </w:tcPr>
          <w:p w14:paraId="759A1C7D" w14:textId="78971FA1" w:rsidR="000A3AEC" w:rsidRDefault="000A3AEC" w:rsidP="000A3AEC">
            <w:r>
              <w:rPr>
                <w:rFonts w:cs="Arial"/>
              </w:rPr>
              <w:t>3,1 пъти ↑</w:t>
            </w:r>
          </w:p>
        </w:tc>
      </w:tr>
      <w:tr w:rsidR="000A3AEC" w14:paraId="0513A193" w14:textId="77777777" w:rsidTr="000A3AEC">
        <w:tc>
          <w:tcPr>
            <w:tcW w:w="3192" w:type="dxa"/>
          </w:tcPr>
          <w:p w14:paraId="2D5E1518" w14:textId="58A556A7" w:rsidR="000A3AEC" w:rsidRDefault="000A3AEC" w:rsidP="000A3AEC">
            <w:r>
              <w:rPr>
                <w:rFonts w:cs="Arial"/>
              </w:rPr>
              <w:t xml:space="preserve">Лопинавир 400 </w:t>
            </w:r>
            <w:r>
              <w:rPr>
                <w:rFonts w:cs="Arial"/>
                <w:lang w:val="en-US"/>
              </w:rPr>
              <w:t>mg</w:t>
            </w:r>
            <w:r>
              <w:rPr>
                <w:rFonts w:cs="Arial"/>
              </w:rPr>
              <w:t xml:space="preserve">/ритонавир 100 </w:t>
            </w:r>
            <w:r>
              <w:rPr>
                <w:rFonts w:cs="Arial"/>
                <w:lang w:val="en-US"/>
              </w:rPr>
              <w:t>mg</w:t>
            </w:r>
            <w:r w:rsidRPr="000A3AEC">
              <w:rPr>
                <w:rFonts w:cs="Arial"/>
                <w:lang w:val="ru-RU"/>
              </w:rPr>
              <w:t xml:space="preserve"> </w:t>
            </w:r>
            <w:r>
              <w:rPr>
                <w:rFonts w:cs="Arial"/>
              </w:rPr>
              <w:t>два пъти дневно, 17 дни</w:t>
            </w:r>
          </w:p>
        </w:tc>
        <w:tc>
          <w:tcPr>
            <w:tcW w:w="3192" w:type="dxa"/>
          </w:tcPr>
          <w:p w14:paraId="0D5C0DCB" w14:textId="59FA258D" w:rsidR="000A3AEC" w:rsidRDefault="000A3AEC" w:rsidP="000A3AEC">
            <w:r>
              <w:rPr>
                <w:rFonts w:cs="Arial"/>
              </w:rPr>
              <w:t xml:space="preserve">20 </w:t>
            </w:r>
            <w:r>
              <w:rPr>
                <w:rFonts w:cs="Arial"/>
                <w:lang w:val="en-US"/>
              </w:rPr>
              <w:t xml:space="preserve">mg </w:t>
            </w:r>
            <w:r>
              <w:rPr>
                <w:rFonts w:cs="Arial"/>
              </w:rPr>
              <w:t>веднъж дневно, 7 дни</w:t>
            </w:r>
          </w:p>
        </w:tc>
        <w:tc>
          <w:tcPr>
            <w:tcW w:w="3192" w:type="dxa"/>
          </w:tcPr>
          <w:p w14:paraId="1F89D095" w14:textId="6C7F66BD" w:rsidR="000A3AEC" w:rsidRDefault="000A3AEC" w:rsidP="000A3AEC">
            <w:r>
              <w:rPr>
                <w:rFonts w:cs="Arial"/>
              </w:rPr>
              <w:t>2,1 пъти ↑</w:t>
            </w:r>
          </w:p>
        </w:tc>
      </w:tr>
      <w:tr w:rsidR="000A3AEC" w14:paraId="61C25551" w14:textId="77777777" w:rsidTr="000A3AEC">
        <w:tc>
          <w:tcPr>
            <w:tcW w:w="3192" w:type="dxa"/>
          </w:tcPr>
          <w:p w14:paraId="5D2A35C7" w14:textId="6E955CAA" w:rsidR="000A3AEC" w:rsidRDefault="000A3AEC" w:rsidP="000A3AEC">
            <w:r>
              <w:rPr>
                <w:rFonts w:cs="Arial"/>
              </w:rPr>
              <w:t xml:space="preserve">Гемфиброзил 600 </w:t>
            </w:r>
            <w:r>
              <w:rPr>
                <w:rFonts w:cs="Arial"/>
                <w:lang w:val="en-US"/>
              </w:rPr>
              <w:t>mg</w:t>
            </w:r>
            <w:r w:rsidRPr="000A3AEC">
              <w:rPr>
                <w:rFonts w:cs="Arial"/>
                <w:lang w:val="ru-RU"/>
              </w:rPr>
              <w:t xml:space="preserve"> </w:t>
            </w:r>
            <w:r>
              <w:rPr>
                <w:rFonts w:cs="Arial"/>
              </w:rPr>
              <w:t>два пъти дневно, 7 дни</w:t>
            </w:r>
          </w:p>
        </w:tc>
        <w:tc>
          <w:tcPr>
            <w:tcW w:w="3192" w:type="dxa"/>
          </w:tcPr>
          <w:p w14:paraId="375E0808" w14:textId="7310D745" w:rsidR="000A3AEC" w:rsidRDefault="000A3AEC" w:rsidP="000A3AEC">
            <w:r>
              <w:rPr>
                <w:rFonts w:cs="Arial"/>
              </w:rPr>
              <w:t xml:space="preserve">80 </w:t>
            </w:r>
            <w:r>
              <w:rPr>
                <w:rFonts w:cs="Arial"/>
                <w:lang w:val="en-US"/>
              </w:rPr>
              <w:t xml:space="preserve">mg, </w:t>
            </w:r>
            <w:r>
              <w:rPr>
                <w:rFonts w:cs="Arial"/>
              </w:rPr>
              <w:t>единична доза</w:t>
            </w:r>
          </w:p>
        </w:tc>
        <w:tc>
          <w:tcPr>
            <w:tcW w:w="3192" w:type="dxa"/>
          </w:tcPr>
          <w:p w14:paraId="2D66F499" w14:textId="681F7976" w:rsidR="000A3AEC" w:rsidRDefault="000A3AEC" w:rsidP="000A3AEC">
            <w:r>
              <w:rPr>
                <w:rFonts w:cs="Arial"/>
              </w:rPr>
              <w:t>1,9 пъти ↑</w:t>
            </w:r>
          </w:p>
        </w:tc>
      </w:tr>
      <w:tr w:rsidR="000A3AEC" w14:paraId="497407C2" w14:textId="77777777" w:rsidTr="000A3AEC">
        <w:tc>
          <w:tcPr>
            <w:tcW w:w="3192" w:type="dxa"/>
          </w:tcPr>
          <w:p w14:paraId="774FE60E" w14:textId="1A838667" w:rsidR="000A3AEC" w:rsidRDefault="000A3AEC" w:rsidP="000A3AEC">
            <w:r>
              <w:rPr>
                <w:rFonts w:cs="Arial"/>
              </w:rPr>
              <w:t xml:space="preserve">Елтромбопаг 75 </w:t>
            </w:r>
            <w:r>
              <w:rPr>
                <w:rFonts w:cs="Arial"/>
                <w:lang w:val="en-US"/>
              </w:rPr>
              <w:t>mg</w:t>
            </w:r>
            <w:r w:rsidRPr="000A3AEC">
              <w:rPr>
                <w:rFonts w:cs="Arial"/>
                <w:lang w:val="ru-RU"/>
              </w:rPr>
              <w:t xml:space="preserve"> </w:t>
            </w:r>
            <w:r>
              <w:rPr>
                <w:rFonts w:cs="Arial"/>
              </w:rPr>
              <w:t>веднъж дневно, 10 дни</w:t>
            </w:r>
          </w:p>
        </w:tc>
        <w:tc>
          <w:tcPr>
            <w:tcW w:w="3192" w:type="dxa"/>
          </w:tcPr>
          <w:p w14:paraId="4F399AED" w14:textId="42C7CB6D" w:rsidR="000A3AEC" w:rsidRDefault="000A3AEC" w:rsidP="000A3AEC">
            <w:r>
              <w:rPr>
                <w:rFonts w:cs="Arial"/>
              </w:rPr>
              <w:t xml:space="preserve">10 </w:t>
            </w:r>
            <w:r>
              <w:rPr>
                <w:rFonts w:cs="Arial"/>
                <w:lang w:val="en-US"/>
              </w:rPr>
              <w:t xml:space="preserve">mg, </w:t>
            </w:r>
            <w:r>
              <w:rPr>
                <w:rFonts w:cs="Arial"/>
              </w:rPr>
              <w:t>единична доза</w:t>
            </w:r>
          </w:p>
        </w:tc>
        <w:tc>
          <w:tcPr>
            <w:tcW w:w="3192" w:type="dxa"/>
          </w:tcPr>
          <w:p w14:paraId="6FF9490A" w14:textId="05D3DC4F" w:rsidR="000A3AEC" w:rsidRDefault="000A3AEC" w:rsidP="000A3AEC">
            <w:r>
              <w:rPr>
                <w:rFonts w:cs="Arial"/>
              </w:rPr>
              <w:t>1,6 пъти ↑</w:t>
            </w:r>
          </w:p>
        </w:tc>
      </w:tr>
      <w:tr w:rsidR="000A3AEC" w14:paraId="64D7CB34" w14:textId="77777777" w:rsidTr="000A3AEC">
        <w:tc>
          <w:tcPr>
            <w:tcW w:w="3192" w:type="dxa"/>
          </w:tcPr>
          <w:p w14:paraId="035A7286" w14:textId="2BB76FA8" w:rsidR="000A3AEC" w:rsidRDefault="000A3AEC" w:rsidP="000A3AEC">
            <w:r>
              <w:rPr>
                <w:rFonts w:cs="Arial"/>
              </w:rPr>
              <w:t xml:space="preserve">Дарунавир 600 </w:t>
            </w:r>
            <w:r>
              <w:rPr>
                <w:rFonts w:cs="Arial"/>
                <w:lang w:val="en-US"/>
              </w:rPr>
              <w:t>mg</w:t>
            </w:r>
            <w:r>
              <w:rPr>
                <w:rFonts w:cs="Arial"/>
              </w:rPr>
              <w:t xml:space="preserve">/ритонавир 100 </w:t>
            </w:r>
            <w:r>
              <w:rPr>
                <w:rFonts w:cs="Arial"/>
                <w:lang w:val="en-US"/>
              </w:rPr>
              <w:t>mg</w:t>
            </w:r>
            <w:r w:rsidRPr="000A3AEC">
              <w:rPr>
                <w:rFonts w:cs="Arial"/>
                <w:lang w:val="ru-RU"/>
              </w:rPr>
              <w:t xml:space="preserve"> </w:t>
            </w:r>
            <w:r>
              <w:rPr>
                <w:rFonts w:cs="Arial"/>
              </w:rPr>
              <w:t>два пъти дневно, 7 дни</w:t>
            </w:r>
          </w:p>
        </w:tc>
        <w:tc>
          <w:tcPr>
            <w:tcW w:w="3192" w:type="dxa"/>
          </w:tcPr>
          <w:p w14:paraId="3FE83860" w14:textId="37435946" w:rsidR="000A3AEC" w:rsidRDefault="000A3AEC" w:rsidP="000A3AEC">
            <w:r>
              <w:rPr>
                <w:rFonts w:cs="Arial"/>
              </w:rPr>
              <w:t xml:space="preserve">10 </w:t>
            </w:r>
            <w:r>
              <w:rPr>
                <w:rFonts w:cs="Arial"/>
                <w:lang w:val="en-US"/>
              </w:rPr>
              <w:t xml:space="preserve">mg </w:t>
            </w:r>
            <w:r>
              <w:rPr>
                <w:rFonts w:cs="Arial"/>
              </w:rPr>
              <w:t>веднъж дневно, 7 дни</w:t>
            </w:r>
          </w:p>
        </w:tc>
        <w:tc>
          <w:tcPr>
            <w:tcW w:w="3192" w:type="dxa"/>
          </w:tcPr>
          <w:p w14:paraId="4AC78F78" w14:textId="2DC492B8" w:rsidR="000A3AEC" w:rsidRDefault="000A3AEC" w:rsidP="000A3AEC">
            <w:r>
              <w:rPr>
                <w:rFonts w:cs="Arial"/>
              </w:rPr>
              <w:t>1,5 пъти ↑</w:t>
            </w:r>
          </w:p>
        </w:tc>
      </w:tr>
      <w:tr w:rsidR="000A3AEC" w14:paraId="68C2BB0B" w14:textId="77777777" w:rsidTr="000A3AEC">
        <w:trPr>
          <w:trHeight w:val="133"/>
        </w:trPr>
        <w:tc>
          <w:tcPr>
            <w:tcW w:w="3192" w:type="dxa"/>
          </w:tcPr>
          <w:p w14:paraId="459B7736" w14:textId="63584339" w:rsidR="000A3AEC" w:rsidRDefault="000A3AEC" w:rsidP="000A3AEC">
            <w:r>
              <w:rPr>
                <w:rFonts w:cs="Arial"/>
              </w:rPr>
              <w:t xml:space="preserve">Типранавир 500 </w:t>
            </w:r>
            <w:r>
              <w:rPr>
                <w:rFonts w:cs="Arial"/>
                <w:lang w:val="en-US"/>
              </w:rPr>
              <w:t>mg</w:t>
            </w:r>
            <w:r>
              <w:rPr>
                <w:rFonts w:cs="Arial"/>
              </w:rPr>
              <w:t xml:space="preserve">/ритонавир 200 </w:t>
            </w:r>
            <w:r>
              <w:rPr>
                <w:rFonts w:cs="Arial"/>
                <w:lang w:val="en-US"/>
              </w:rPr>
              <w:t>mg</w:t>
            </w:r>
            <w:r w:rsidRPr="000A3AEC">
              <w:rPr>
                <w:rFonts w:cs="Arial"/>
                <w:lang w:val="ru-RU"/>
              </w:rPr>
              <w:t xml:space="preserve"> </w:t>
            </w:r>
            <w:r>
              <w:rPr>
                <w:rFonts w:cs="Arial"/>
              </w:rPr>
              <w:t>два пъти дневно, 11 дни</w:t>
            </w:r>
          </w:p>
        </w:tc>
        <w:tc>
          <w:tcPr>
            <w:tcW w:w="3192" w:type="dxa"/>
          </w:tcPr>
          <w:p w14:paraId="78392CFA" w14:textId="4C17DE8A" w:rsidR="000A3AEC" w:rsidRDefault="000A3AEC" w:rsidP="000A3AEC">
            <w:r>
              <w:rPr>
                <w:rFonts w:cs="Arial"/>
              </w:rPr>
              <w:t xml:space="preserve">10 </w:t>
            </w:r>
            <w:r>
              <w:rPr>
                <w:rFonts w:cs="Arial"/>
                <w:lang w:val="en-US"/>
              </w:rPr>
              <w:t xml:space="preserve">mg, </w:t>
            </w:r>
            <w:r>
              <w:rPr>
                <w:rFonts w:cs="Arial"/>
              </w:rPr>
              <w:t>единична доза</w:t>
            </w:r>
          </w:p>
        </w:tc>
        <w:tc>
          <w:tcPr>
            <w:tcW w:w="3192" w:type="dxa"/>
          </w:tcPr>
          <w:p w14:paraId="447F7545" w14:textId="4AC11F23" w:rsidR="000A3AEC" w:rsidRDefault="000A3AEC" w:rsidP="000A3AEC">
            <w:r>
              <w:rPr>
                <w:rFonts w:cs="Arial"/>
              </w:rPr>
              <w:t>1,4 пъти ↑</w:t>
            </w:r>
          </w:p>
        </w:tc>
      </w:tr>
      <w:tr w:rsidR="000A3AEC" w14:paraId="16828820" w14:textId="77777777" w:rsidTr="000A3AEC">
        <w:tc>
          <w:tcPr>
            <w:tcW w:w="3192" w:type="dxa"/>
          </w:tcPr>
          <w:p w14:paraId="118E932E" w14:textId="6DD454BC" w:rsidR="000A3AEC" w:rsidRDefault="000A3AEC" w:rsidP="000A3AEC">
            <w:r>
              <w:rPr>
                <w:rFonts w:cs="Arial"/>
              </w:rPr>
              <w:t xml:space="preserve">Дронедарон 400 </w:t>
            </w:r>
            <w:r>
              <w:rPr>
                <w:rFonts w:cs="Arial"/>
                <w:lang w:val="en-US"/>
              </w:rPr>
              <w:t>mg</w:t>
            </w:r>
            <w:r w:rsidRPr="000A3AEC">
              <w:rPr>
                <w:rFonts w:cs="Arial"/>
                <w:lang w:val="ru-RU"/>
              </w:rPr>
              <w:t xml:space="preserve"> </w:t>
            </w:r>
            <w:r>
              <w:rPr>
                <w:rFonts w:cs="Arial"/>
              </w:rPr>
              <w:t>два пъти дневно</w:t>
            </w:r>
          </w:p>
        </w:tc>
        <w:tc>
          <w:tcPr>
            <w:tcW w:w="3192" w:type="dxa"/>
          </w:tcPr>
          <w:p w14:paraId="25B0FAB1" w14:textId="05C39408" w:rsidR="000A3AEC" w:rsidRDefault="000A3AEC" w:rsidP="000A3AEC">
            <w:r>
              <w:rPr>
                <w:rFonts w:cs="Arial"/>
              </w:rPr>
              <w:t>Не е наличен</w:t>
            </w:r>
          </w:p>
        </w:tc>
        <w:tc>
          <w:tcPr>
            <w:tcW w:w="3192" w:type="dxa"/>
          </w:tcPr>
          <w:p w14:paraId="118E2DDF" w14:textId="3B12A164" w:rsidR="000A3AEC" w:rsidRDefault="000A3AEC" w:rsidP="000A3AEC">
            <w:r>
              <w:rPr>
                <w:rFonts w:cs="Arial"/>
              </w:rPr>
              <w:t>1,4 пъти ↑</w:t>
            </w:r>
          </w:p>
        </w:tc>
      </w:tr>
      <w:tr w:rsidR="000A3AEC" w14:paraId="2485EAAB" w14:textId="77777777" w:rsidTr="000A3AEC">
        <w:tc>
          <w:tcPr>
            <w:tcW w:w="3192" w:type="dxa"/>
          </w:tcPr>
          <w:p w14:paraId="28ACEB60" w14:textId="54C652CB" w:rsidR="000A3AEC" w:rsidRDefault="000A3AEC" w:rsidP="000A3AEC">
            <w:r>
              <w:rPr>
                <w:rFonts w:cs="Arial"/>
              </w:rPr>
              <w:t xml:space="preserve">Итраконазол 200 </w:t>
            </w:r>
            <w:r>
              <w:rPr>
                <w:rFonts w:cs="Arial"/>
                <w:lang w:val="en-US"/>
              </w:rPr>
              <w:t>mg</w:t>
            </w:r>
            <w:r w:rsidRPr="000A3AEC">
              <w:rPr>
                <w:rFonts w:cs="Arial"/>
                <w:lang w:val="ru-RU"/>
              </w:rPr>
              <w:t xml:space="preserve"> </w:t>
            </w:r>
            <w:r>
              <w:rPr>
                <w:rFonts w:cs="Arial"/>
              </w:rPr>
              <w:t>веднъж дневно, 5 дни</w:t>
            </w:r>
          </w:p>
        </w:tc>
        <w:tc>
          <w:tcPr>
            <w:tcW w:w="3192" w:type="dxa"/>
          </w:tcPr>
          <w:p w14:paraId="0CCE7AC0" w14:textId="57630AF0" w:rsidR="000A3AEC" w:rsidRDefault="000A3AEC" w:rsidP="000A3AEC">
            <w:r>
              <w:rPr>
                <w:rFonts w:cs="Arial"/>
              </w:rPr>
              <w:t xml:space="preserve">10 </w:t>
            </w:r>
            <w:r>
              <w:rPr>
                <w:rFonts w:cs="Arial"/>
                <w:lang w:val="en-US"/>
              </w:rPr>
              <w:t xml:space="preserve">mg, </w:t>
            </w:r>
            <w:r>
              <w:rPr>
                <w:rFonts w:cs="Arial"/>
              </w:rPr>
              <w:t>единична доза</w:t>
            </w:r>
          </w:p>
        </w:tc>
        <w:tc>
          <w:tcPr>
            <w:tcW w:w="3192" w:type="dxa"/>
          </w:tcPr>
          <w:p w14:paraId="6847C60E" w14:textId="0DA78730" w:rsidR="000A3AEC" w:rsidRDefault="000A3AEC" w:rsidP="000A3AEC">
            <w:r>
              <w:rPr>
                <w:rFonts w:cs="Arial"/>
              </w:rPr>
              <w:t>**1,4 пъти ↑</w:t>
            </w:r>
          </w:p>
        </w:tc>
      </w:tr>
      <w:tr w:rsidR="000A3AEC" w14:paraId="78EDA927" w14:textId="77777777" w:rsidTr="000A3AEC">
        <w:tc>
          <w:tcPr>
            <w:tcW w:w="3192" w:type="dxa"/>
          </w:tcPr>
          <w:p w14:paraId="408864F5" w14:textId="6EF9E26C" w:rsidR="000A3AEC" w:rsidRDefault="000A3AEC" w:rsidP="000A3AEC">
            <w:r>
              <w:rPr>
                <w:rFonts w:cs="Arial"/>
              </w:rPr>
              <w:t xml:space="preserve">Езетимиб 10 </w:t>
            </w:r>
            <w:r>
              <w:rPr>
                <w:rFonts w:cs="Arial"/>
                <w:lang w:val="en-US"/>
              </w:rPr>
              <w:t>mg</w:t>
            </w:r>
            <w:r w:rsidRPr="000A3AEC">
              <w:rPr>
                <w:rFonts w:cs="Arial"/>
                <w:lang w:val="ru-RU"/>
              </w:rPr>
              <w:t xml:space="preserve"> </w:t>
            </w:r>
            <w:r>
              <w:rPr>
                <w:rFonts w:cs="Arial"/>
              </w:rPr>
              <w:t>веднъж дневно, 14 дни</w:t>
            </w:r>
          </w:p>
        </w:tc>
        <w:tc>
          <w:tcPr>
            <w:tcW w:w="3192" w:type="dxa"/>
          </w:tcPr>
          <w:p w14:paraId="4B95E5BE" w14:textId="03704CF6" w:rsidR="000A3AEC" w:rsidRDefault="000A3AEC" w:rsidP="000A3AEC">
            <w:r>
              <w:rPr>
                <w:rFonts w:cs="Arial"/>
              </w:rPr>
              <w:t xml:space="preserve">10 </w:t>
            </w:r>
            <w:r>
              <w:rPr>
                <w:rFonts w:cs="Arial"/>
                <w:lang w:val="en-US"/>
              </w:rPr>
              <w:t xml:space="preserve">mg </w:t>
            </w:r>
            <w:r>
              <w:rPr>
                <w:rFonts w:cs="Arial"/>
              </w:rPr>
              <w:t>веднъж дневно, 14 дни</w:t>
            </w:r>
          </w:p>
        </w:tc>
        <w:tc>
          <w:tcPr>
            <w:tcW w:w="3192" w:type="dxa"/>
          </w:tcPr>
          <w:p w14:paraId="509B8297" w14:textId="0645396F" w:rsidR="000A3AEC" w:rsidRDefault="000A3AEC" w:rsidP="000A3AEC">
            <w:r>
              <w:rPr>
                <w:rFonts w:cs="Arial"/>
              </w:rPr>
              <w:t>**1,2 пъти ↑</w:t>
            </w:r>
          </w:p>
        </w:tc>
      </w:tr>
      <w:tr w:rsidR="000A3AEC" w14:paraId="2096E332" w14:textId="77777777" w:rsidTr="00E14DA4">
        <w:tc>
          <w:tcPr>
            <w:tcW w:w="3192" w:type="dxa"/>
            <w:vAlign w:val="bottom"/>
          </w:tcPr>
          <w:p w14:paraId="507F3640" w14:textId="28B9166A" w:rsidR="000A3AEC" w:rsidRDefault="000A3AEC" w:rsidP="000A3AEC">
            <w:r>
              <w:rPr>
                <w:rFonts w:cs="Arial"/>
              </w:rPr>
              <w:t xml:space="preserve">Фозампренавир 700 </w:t>
            </w:r>
            <w:r>
              <w:rPr>
                <w:rFonts w:cs="Arial"/>
                <w:lang w:val="en-US"/>
              </w:rPr>
              <w:t>mg</w:t>
            </w:r>
            <w:r>
              <w:rPr>
                <w:rFonts w:cs="Arial"/>
              </w:rPr>
              <w:t xml:space="preserve">/ритонавир 100 </w:t>
            </w:r>
            <w:r>
              <w:rPr>
                <w:rFonts w:cs="Arial"/>
                <w:lang w:val="en-US"/>
              </w:rPr>
              <w:t>mg</w:t>
            </w:r>
            <w:r w:rsidRPr="000A3AEC">
              <w:rPr>
                <w:rFonts w:cs="Arial"/>
                <w:lang w:val="ru-RU"/>
              </w:rPr>
              <w:t xml:space="preserve"> </w:t>
            </w:r>
            <w:r>
              <w:rPr>
                <w:rFonts w:cs="Arial"/>
              </w:rPr>
              <w:t>два пъти дневно, 8 дни</w:t>
            </w:r>
          </w:p>
        </w:tc>
        <w:tc>
          <w:tcPr>
            <w:tcW w:w="3192" w:type="dxa"/>
          </w:tcPr>
          <w:p w14:paraId="3B512378" w14:textId="5F9DB819" w:rsidR="000A3AEC" w:rsidRDefault="000A3AEC" w:rsidP="000A3AEC">
            <w:r>
              <w:rPr>
                <w:rFonts w:cs="Arial"/>
              </w:rPr>
              <w:t xml:space="preserve">10 </w:t>
            </w:r>
            <w:r>
              <w:rPr>
                <w:rFonts w:cs="Arial"/>
                <w:lang w:val="en-US"/>
              </w:rPr>
              <w:t xml:space="preserve">mg, </w:t>
            </w:r>
            <w:r>
              <w:rPr>
                <w:rFonts w:cs="Arial"/>
              </w:rPr>
              <w:t>единична доза</w:t>
            </w:r>
          </w:p>
        </w:tc>
        <w:tc>
          <w:tcPr>
            <w:tcW w:w="3192" w:type="dxa"/>
          </w:tcPr>
          <w:p w14:paraId="32CA93DA" w14:textId="40AC7DE2" w:rsidR="000A3AEC" w:rsidRDefault="000A3AEC" w:rsidP="000A3AEC">
            <w:r>
              <w:rPr>
                <w:rFonts w:cs="Arial"/>
              </w:rPr>
              <w:t>↔</w:t>
            </w:r>
          </w:p>
        </w:tc>
      </w:tr>
      <w:tr w:rsidR="000A3AEC" w14:paraId="43FF5B81" w14:textId="77777777" w:rsidTr="000A3AEC">
        <w:tc>
          <w:tcPr>
            <w:tcW w:w="3192" w:type="dxa"/>
          </w:tcPr>
          <w:p w14:paraId="5796B633" w14:textId="34662909" w:rsidR="000A3AEC" w:rsidRDefault="000A3AEC" w:rsidP="000A3AEC">
            <w:r>
              <w:rPr>
                <w:rFonts w:cs="Arial"/>
              </w:rPr>
              <w:t xml:space="preserve">Алеглитазар 0,3 </w:t>
            </w:r>
            <w:r>
              <w:rPr>
                <w:rFonts w:cs="Arial"/>
                <w:lang w:val="en-US"/>
              </w:rPr>
              <w:t xml:space="preserve">mg, </w:t>
            </w:r>
            <w:r>
              <w:rPr>
                <w:rFonts w:cs="Arial"/>
              </w:rPr>
              <w:t>7 дни</w:t>
            </w:r>
          </w:p>
        </w:tc>
        <w:tc>
          <w:tcPr>
            <w:tcW w:w="3192" w:type="dxa"/>
          </w:tcPr>
          <w:p w14:paraId="4BD8B5D7" w14:textId="4E410141" w:rsidR="000A3AEC" w:rsidRDefault="000A3AEC" w:rsidP="000A3AEC">
            <w:r>
              <w:rPr>
                <w:rFonts w:cs="Arial"/>
              </w:rPr>
              <w:t xml:space="preserve">40 </w:t>
            </w:r>
            <w:r>
              <w:rPr>
                <w:rFonts w:cs="Arial"/>
                <w:lang w:val="en-US"/>
              </w:rPr>
              <w:t xml:space="preserve">mg, </w:t>
            </w:r>
            <w:r>
              <w:rPr>
                <w:rFonts w:cs="Arial"/>
              </w:rPr>
              <w:t>7 дни</w:t>
            </w:r>
          </w:p>
        </w:tc>
        <w:tc>
          <w:tcPr>
            <w:tcW w:w="3192" w:type="dxa"/>
          </w:tcPr>
          <w:p w14:paraId="53C4E7D9" w14:textId="2EDA034A" w:rsidR="000A3AEC" w:rsidRDefault="000A3AEC" w:rsidP="000A3AEC">
            <w:r>
              <w:rPr>
                <w:rFonts w:cs="Arial"/>
              </w:rPr>
              <w:t>↔</w:t>
            </w:r>
          </w:p>
        </w:tc>
      </w:tr>
      <w:tr w:rsidR="000A3AEC" w14:paraId="2F6BE1F1" w14:textId="77777777" w:rsidTr="000A3AEC">
        <w:tc>
          <w:tcPr>
            <w:tcW w:w="3192" w:type="dxa"/>
          </w:tcPr>
          <w:p w14:paraId="36663E61" w14:textId="7CBCFE34" w:rsidR="000A3AEC" w:rsidRDefault="000A3AEC" w:rsidP="000A3AEC">
            <w:r>
              <w:rPr>
                <w:rFonts w:cs="Arial"/>
              </w:rPr>
              <w:t xml:space="preserve">Силимарин 140 </w:t>
            </w:r>
            <w:r>
              <w:rPr>
                <w:rFonts w:cs="Arial"/>
                <w:lang w:val="en-US"/>
              </w:rPr>
              <w:t>mg</w:t>
            </w:r>
            <w:r w:rsidRPr="000A3AEC">
              <w:rPr>
                <w:rFonts w:cs="Arial"/>
                <w:lang w:val="ru-RU"/>
              </w:rPr>
              <w:t xml:space="preserve"> </w:t>
            </w:r>
            <w:r>
              <w:rPr>
                <w:rFonts w:cs="Arial"/>
              </w:rPr>
              <w:t>три пъти дневно, 5 дни</w:t>
            </w:r>
          </w:p>
        </w:tc>
        <w:tc>
          <w:tcPr>
            <w:tcW w:w="3192" w:type="dxa"/>
          </w:tcPr>
          <w:p w14:paraId="0B73D2E7" w14:textId="7971064D" w:rsidR="000A3AEC" w:rsidRDefault="000A3AEC" w:rsidP="000A3AEC">
            <w:r>
              <w:rPr>
                <w:rFonts w:cs="Arial"/>
              </w:rPr>
              <w:t xml:space="preserve">10 </w:t>
            </w:r>
            <w:r>
              <w:rPr>
                <w:rFonts w:cs="Arial"/>
                <w:lang w:val="en-US"/>
              </w:rPr>
              <w:t xml:space="preserve">mg, </w:t>
            </w:r>
            <w:r>
              <w:rPr>
                <w:rFonts w:cs="Arial"/>
              </w:rPr>
              <w:t>единична доза</w:t>
            </w:r>
          </w:p>
        </w:tc>
        <w:tc>
          <w:tcPr>
            <w:tcW w:w="3192" w:type="dxa"/>
          </w:tcPr>
          <w:p w14:paraId="756E9C37" w14:textId="000BAA18" w:rsidR="000A3AEC" w:rsidRDefault="000A3AEC" w:rsidP="000A3AEC">
            <w:r>
              <w:rPr>
                <w:rFonts w:cs="Arial"/>
                <w:b/>
                <w:bCs/>
                <w:sz w:val="12"/>
                <w:szCs w:val="12"/>
              </w:rPr>
              <w:t>↔</w:t>
            </w:r>
          </w:p>
        </w:tc>
      </w:tr>
      <w:tr w:rsidR="000A3AEC" w14:paraId="32372DC2" w14:textId="77777777" w:rsidTr="00E14DA4">
        <w:tc>
          <w:tcPr>
            <w:tcW w:w="3192" w:type="dxa"/>
            <w:vAlign w:val="bottom"/>
          </w:tcPr>
          <w:p w14:paraId="58C7AD0C" w14:textId="5A890068" w:rsidR="000A3AEC" w:rsidRDefault="000A3AEC" w:rsidP="000A3AEC">
            <w:r>
              <w:rPr>
                <w:rFonts w:cs="Arial"/>
              </w:rPr>
              <w:t xml:space="preserve">Фенофибрат 67 </w:t>
            </w:r>
            <w:r>
              <w:rPr>
                <w:rFonts w:cs="Arial"/>
                <w:lang w:val="en-US"/>
              </w:rPr>
              <w:t>mg</w:t>
            </w:r>
            <w:r w:rsidRPr="000A3AEC">
              <w:rPr>
                <w:rFonts w:cs="Arial"/>
                <w:lang w:val="ru-RU"/>
              </w:rPr>
              <w:t xml:space="preserve"> </w:t>
            </w:r>
            <w:r>
              <w:rPr>
                <w:rFonts w:cs="Arial"/>
              </w:rPr>
              <w:t>три пъти дневно, 7 дни</w:t>
            </w:r>
          </w:p>
        </w:tc>
        <w:tc>
          <w:tcPr>
            <w:tcW w:w="3192" w:type="dxa"/>
          </w:tcPr>
          <w:p w14:paraId="7F467EAC" w14:textId="54E17DA2" w:rsidR="000A3AEC" w:rsidRDefault="000A3AEC" w:rsidP="000A3AEC">
            <w:r>
              <w:rPr>
                <w:rFonts w:cs="Arial"/>
              </w:rPr>
              <w:t xml:space="preserve">10 </w:t>
            </w:r>
            <w:r>
              <w:rPr>
                <w:rFonts w:cs="Arial"/>
                <w:lang w:val="en-US"/>
              </w:rPr>
              <w:t xml:space="preserve">mg, </w:t>
            </w:r>
            <w:r>
              <w:rPr>
                <w:rFonts w:cs="Arial"/>
              </w:rPr>
              <w:t>7 дни</w:t>
            </w:r>
          </w:p>
        </w:tc>
        <w:tc>
          <w:tcPr>
            <w:tcW w:w="3192" w:type="dxa"/>
          </w:tcPr>
          <w:p w14:paraId="4E767A1B" w14:textId="699D8DE2" w:rsidR="000A3AEC" w:rsidRDefault="000A3AEC" w:rsidP="000A3AEC">
            <w:r>
              <w:rPr>
                <w:rFonts w:cs="Arial"/>
              </w:rPr>
              <w:t>↔</w:t>
            </w:r>
          </w:p>
        </w:tc>
      </w:tr>
      <w:tr w:rsidR="000A3AEC" w14:paraId="439D7A84" w14:textId="77777777" w:rsidTr="00E14DA4">
        <w:tc>
          <w:tcPr>
            <w:tcW w:w="3192" w:type="dxa"/>
            <w:vAlign w:val="bottom"/>
          </w:tcPr>
          <w:p w14:paraId="09E33E0D" w14:textId="5C5915BB" w:rsidR="000A3AEC" w:rsidRDefault="000A3AEC" w:rsidP="000A3AEC">
            <w:r>
              <w:rPr>
                <w:rFonts w:cs="Arial"/>
              </w:rPr>
              <w:t xml:space="preserve">Рифампин 450 </w:t>
            </w:r>
            <w:r>
              <w:rPr>
                <w:rFonts w:cs="Arial"/>
                <w:lang w:val="en-US"/>
              </w:rPr>
              <w:t>mg</w:t>
            </w:r>
            <w:r w:rsidRPr="000A3AEC">
              <w:rPr>
                <w:rFonts w:cs="Arial"/>
                <w:lang w:val="ru-RU"/>
              </w:rPr>
              <w:t xml:space="preserve"> </w:t>
            </w:r>
            <w:r>
              <w:rPr>
                <w:rFonts w:cs="Arial"/>
              </w:rPr>
              <w:t>веднъж дневно, 7 дни</w:t>
            </w:r>
          </w:p>
        </w:tc>
        <w:tc>
          <w:tcPr>
            <w:tcW w:w="3192" w:type="dxa"/>
          </w:tcPr>
          <w:p w14:paraId="6DD032A4" w14:textId="60A37FB9" w:rsidR="000A3AEC" w:rsidRDefault="000A3AEC" w:rsidP="000A3AEC">
            <w:r>
              <w:rPr>
                <w:rFonts w:cs="Arial"/>
              </w:rPr>
              <w:t xml:space="preserve">20 </w:t>
            </w:r>
            <w:r>
              <w:rPr>
                <w:rFonts w:cs="Arial"/>
                <w:lang w:val="en-US"/>
              </w:rPr>
              <w:t xml:space="preserve">mg, </w:t>
            </w:r>
            <w:r>
              <w:rPr>
                <w:rFonts w:cs="Arial"/>
              </w:rPr>
              <w:t>единична доза</w:t>
            </w:r>
          </w:p>
        </w:tc>
        <w:tc>
          <w:tcPr>
            <w:tcW w:w="3192" w:type="dxa"/>
          </w:tcPr>
          <w:p w14:paraId="6733A713" w14:textId="7B67BF69" w:rsidR="000A3AEC" w:rsidRDefault="000A3AEC" w:rsidP="000A3AEC">
            <w:r>
              <w:rPr>
                <w:rFonts w:cs="Arial"/>
              </w:rPr>
              <w:t>↔</w:t>
            </w:r>
          </w:p>
        </w:tc>
      </w:tr>
      <w:tr w:rsidR="000A3AEC" w14:paraId="7C885682" w14:textId="77777777" w:rsidTr="000A3AEC">
        <w:tc>
          <w:tcPr>
            <w:tcW w:w="3192" w:type="dxa"/>
          </w:tcPr>
          <w:p w14:paraId="0B71E20A" w14:textId="56270BDD" w:rsidR="000A3AEC" w:rsidRDefault="000A3AEC" w:rsidP="000A3AEC">
            <w:r>
              <w:rPr>
                <w:rFonts w:cs="Arial"/>
              </w:rPr>
              <w:t xml:space="preserve">Кетоконазол 200 </w:t>
            </w:r>
            <w:r>
              <w:rPr>
                <w:rFonts w:cs="Arial"/>
                <w:lang w:val="en-US"/>
              </w:rPr>
              <w:t>mg</w:t>
            </w:r>
            <w:r w:rsidRPr="000A3AEC">
              <w:rPr>
                <w:rFonts w:cs="Arial"/>
                <w:lang w:val="ru-RU"/>
              </w:rPr>
              <w:t xml:space="preserve"> </w:t>
            </w:r>
            <w:r>
              <w:rPr>
                <w:rFonts w:cs="Arial"/>
              </w:rPr>
              <w:t>два пъти на ден, 7 дни</w:t>
            </w:r>
          </w:p>
        </w:tc>
        <w:tc>
          <w:tcPr>
            <w:tcW w:w="3192" w:type="dxa"/>
          </w:tcPr>
          <w:p w14:paraId="2AF94312" w14:textId="32FF0CB4" w:rsidR="000A3AEC" w:rsidRDefault="000A3AEC" w:rsidP="000A3AEC">
            <w:r>
              <w:rPr>
                <w:rFonts w:cs="Arial"/>
              </w:rPr>
              <w:t xml:space="preserve">80 </w:t>
            </w:r>
            <w:r>
              <w:rPr>
                <w:rFonts w:cs="Arial"/>
                <w:lang w:val="en-US"/>
              </w:rPr>
              <w:t xml:space="preserve">mg, </w:t>
            </w:r>
            <w:r>
              <w:rPr>
                <w:rFonts w:cs="Arial"/>
              </w:rPr>
              <w:t>единична доза</w:t>
            </w:r>
          </w:p>
        </w:tc>
        <w:tc>
          <w:tcPr>
            <w:tcW w:w="3192" w:type="dxa"/>
          </w:tcPr>
          <w:p w14:paraId="378ECE2D" w14:textId="7D97330C" w:rsidR="000A3AEC" w:rsidRDefault="000A3AEC" w:rsidP="000A3AEC">
            <w:r>
              <w:rPr>
                <w:rFonts w:cs="Arial"/>
              </w:rPr>
              <w:t>↔</w:t>
            </w:r>
          </w:p>
        </w:tc>
      </w:tr>
      <w:tr w:rsidR="000A3AEC" w14:paraId="3C0E8F11" w14:textId="77777777" w:rsidTr="000A3AEC">
        <w:tc>
          <w:tcPr>
            <w:tcW w:w="3192" w:type="dxa"/>
          </w:tcPr>
          <w:p w14:paraId="156BA1FB" w14:textId="2C8E5583" w:rsidR="000A3AEC" w:rsidRDefault="000A3AEC" w:rsidP="000A3AEC">
            <w:r>
              <w:rPr>
                <w:rFonts w:cs="Arial"/>
              </w:rPr>
              <w:t xml:space="preserve">Флуконазол 200 </w:t>
            </w:r>
            <w:r>
              <w:rPr>
                <w:rFonts w:cs="Arial"/>
                <w:lang w:val="en-US"/>
              </w:rPr>
              <w:t>mg</w:t>
            </w:r>
            <w:r w:rsidRPr="000A3AEC">
              <w:rPr>
                <w:rFonts w:cs="Arial"/>
                <w:lang w:val="ru-RU"/>
              </w:rPr>
              <w:t xml:space="preserve"> </w:t>
            </w:r>
            <w:r>
              <w:rPr>
                <w:rFonts w:cs="Arial"/>
              </w:rPr>
              <w:t>веднъж дневно, 11 дни</w:t>
            </w:r>
          </w:p>
        </w:tc>
        <w:tc>
          <w:tcPr>
            <w:tcW w:w="3192" w:type="dxa"/>
          </w:tcPr>
          <w:p w14:paraId="5D31CB43" w14:textId="6B7349B2" w:rsidR="000A3AEC" w:rsidRDefault="000A3AEC" w:rsidP="000A3AEC">
            <w:r>
              <w:rPr>
                <w:rFonts w:cs="Arial"/>
              </w:rPr>
              <w:t xml:space="preserve">80 </w:t>
            </w:r>
            <w:r>
              <w:rPr>
                <w:rFonts w:cs="Arial"/>
                <w:lang w:val="en-US"/>
              </w:rPr>
              <w:t xml:space="preserve">mg, </w:t>
            </w:r>
            <w:r>
              <w:rPr>
                <w:rFonts w:cs="Arial"/>
              </w:rPr>
              <w:t>единична доза</w:t>
            </w:r>
          </w:p>
        </w:tc>
        <w:tc>
          <w:tcPr>
            <w:tcW w:w="3192" w:type="dxa"/>
          </w:tcPr>
          <w:p w14:paraId="5A4FA234" w14:textId="40DF19F7" w:rsidR="000A3AEC" w:rsidRDefault="000A3AEC" w:rsidP="000A3AEC">
            <w:r>
              <w:rPr>
                <w:rFonts w:cs="Arial"/>
              </w:rPr>
              <w:t>↔</w:t>
            </w:r>
          </w:p>
        </w:tc>
      </w:tr>
      <w:tr w:rsidR="000A3AEC" w14:paraId="5EFE68CE" w14:textId="77777777" w:rsidTr="00E14DA4">
        <w:tc>
          <w:tcPr>
            <w:tcW w:w="3192" w:type="dxa"/>
          </w:tcPr>
          <w:p w14:paraId="1593416A" w14:textId="49F3EC93" w:rsidR="000A3AEC" w:rsidRDefault="000A3AEC" w:rsidP="000A3AEC">
            <w:r>
              <w:rPr>
                <w:rFonts w:cs="Arial"/>
              </w:rPr>
              <w:t xml:space="preserve">Еритромицин 500 </w:t>
            </w:r>
            <w:r>
              <w:rPr>
                <w:rFonts w:cs="Arial"/>
                <w:lang w:val="en-US"/>
              </w:rPr>
              <w:t>mg</w:t>
            </w:r>
            <w:r w:rsidRPr="000A3AEC">
              <w:rPr>
                <w:rFonts w:cs="Arial"/>
                <w:lang w:val="ru-RU"/>
              </w:rPr>
              <w:t xml:space="preserve"> </w:t>
            </w:r>
            <w:r>
              <w:rPr>
                <w:rFonts w:cs="Arial"/>
              </w:rPr>
              <w:t>четири пъти дневно, 7 дни</w:t>
            </w:r>
          </w:p>
        </w:tc>
        <w:tc>
          <w:tcPr>
            <w:tcW w:w="3192" w:type="dxa"/>
          </w:tcPr>
          <w:p w14:paraId="4D4148DD" w14:textId="2DC7A70F" w:rsidR="000A3AEC" w:rsidRDefault="000A3AEC" w:rsidP="000A3AEC">
            <w:r>
              <w:rPr>
                <w:rFonts w:cs="Arial"/>
              </w:rPr>
              <w:t xml:space="preserve">80 </w:t>
            </w:r>
            <w:r>
              <w:rPr>
                <w:rFonts w:cs="Arial"/>
                <w:lang w:val="en-US"/>
              </w:rPr>
              <w:t xml:space="preserve">mg, </w:t>
            </w:r>
            <w:r>
              <w:rPr>
                <w:rFonts w:cs="Arial"/>
              </w:rPr>
              <w:t>единична доза</w:t>
            </w:r>
          </w:p>
        </w:tc>
        <w:tc>
          <w:tcPr>
            <w:tcW w:w="3192" w:type="dxa"/>
            <w:vAlign w:val="bottom"/>
          </w:tcPr>
          <w:p w14:paraId="5C951974" w14:textId="5F60B441" w:rsidR="000A3AEC" w:rsidRPr="000A3AEC" w:rsidRDefault="000A3AEC" w:rsidP="000A3AEC">
            <w:r w:rsidRPr="000A3AEC">
              <w:rPr>
                <w:rFonts w:cs="Arial"/>
              </w:rPr>
              <w:t>28% ↓</w:t>
            </w:r>
          </w:p>
        </w:tc>
      </w:tr>
      <w:tr w:rsidR="000A3AEC" w14:paraId="6134F01B" w14:textId="77777777" w:rsidTr="000A3AEC">
        <w:tc>
          <w:tcPr>
            <w:tcW w:w="3192" w:type="dxa"/>
          </w:tcPr>
          <w:p w14:paraId="610795BA" w14:textId="0DD03AAB" w:rsidR="000A3AEC" w:rsidRDefault="000A3AEC" w:rsidP="000A3AEC">
            <w:r>
              <w:rPr>
                <w:rFonts w:cs="Arial"/>
              </w:rPr>
              <w:t xml:space="preserve">Баикаин 50 </w:t>
            </w:r>
            <w:r>
              <w:rPr>
                <w:rFonts w:cs="Arial"/>
                <w:lang w:val="en-US"/>
              </w:rPr>
              <w:t>mg</w:t>
            </w:r>
            <w:r w:rsidRPr="000A3AEC">
              <w:rPr>
                <w:rFonts w:cs="Arial"/>
                <w:lang w:val="ru-RU"/>
              </w:rPr>
              <w:t xml:space="preserve"> </w:t>
            </w:r>
            <w:r>
              <w:rPr>
                <w:rFonts w:cs="Arial"/>
              </w:rPr>
              <w:t>три пъти дневно, 14 дни</w:t>
            </w:r>
          </w:p>
        </w:tc>
        <w:tc>
          <w:tcPr>
            <w:tcW w:w="3192" w:type="dxa"/>
          </w:tcPr>
          <w:p w14:paraId="7B07FA2D" w14:textId="086770B1" w:rsidR="000A3AEC" w:rsidRDefault="000A3AEC" w:rsidP="000A3AEC">
            <w:r>
              <w:rPr>
                <w:rFonts w:cs="Arial"/>
              </w:rPr>
              <w:t xml:space="preserve">20 </w:t>
            </w:r>
            <w:r>
              <w:rPr>
                <w:rFonts w:cs="Arial"/>
                <w:lang w:val="en-US"/>
              </w:rPr>
              <w:t xml:space="preserve">mg, </w:t>
            </w:r>
            <w:r>
              <w:rPr>
                <w:rFonts w:cs="Arial"/>
              </w:rPr>
              <w:t>единична доза</w:t>
            </w:r>
          </w:p>
        </w:tc>
        <w:tc>
          <w:tcPr>
            <w:tcW w:w="3192" w:type="dxa"/>
          </w:tcPr>
          <w:p w14:paraId="7C1588FB" w14:textId="035ADD1E" w:rsidR="000A3AEC" w:rsidRDefault="000A3AEC" w:rsidP="000A3AEC">
            <w:r>
              <w:rPr>
                <w:rFonts w:cs="Arial"/>
              </w:rPr>
              <w:t>47% ↓</w:t>
            </w:r>
          </w:p>
        </w:tc>
      </w:tr>
    </w:tbl>
    <w:p w14:paraId="7966DF50" w14:textId="6C4F740A" w:rsidR="000A3AEC" w:rsidRPr="000A3AEC" w:rsidRDefault="000A3AEC" w:rsidP="000A3AEC">
      <w:pPr>
        <w:spacing w:line="240" w:lineRule="auto"/>
        <w:rPr>
          <w:rFonts w:eastAsia="Times New Roman" w:cs="Arial"/>
          <w:color w:val="000000"/>
          <w:lang w:eastAsia="bg-BG"/>
        </w:rPr>
      </w:pPr>
      <w:r w:rsidRPr="000A3AEC">
        <w:rPr>
          <w:rFonts w:eastAsia="Times New Roman" w:cs="Arial"/>
          <w:color w:val="000000"/>
          <w:lang w:val="ru-RU" w:eastAsia="bg-BG"/>
        </w:rPr>
        <w:t>*</w:t>
      </w:r>
      <w:r w:rsidRPr="000A3AEC">
        <w:rPr>
          <w:rFonts w:eastAsia="Times New Roman" w:cs="Arial"/>
          <w:color w:val="000000"/>
          <w:lang w:eastAsia="bg-BG"/>
        </w:rPr>
        <w:t>Данните, посочени като х пъти промяна представят просто съотношение между едновременно приложение и приложение на розувастатин самостоятелно. Данните, посочени като % представят процента разлика отнесен към самостоятелното приложение на розувастатин.</w:t>
      </w:r>
    </w:p>
    <w:p w14:paraId="53477B39" w14:textId="77777777" w:rsidR="000A3AEC" w:rsidRDefault="000A3AEC" w:rsidP="000A3AEC">
      <w:pPr>
        <w:spacing w:line="240" w:lineRule="auto"/>
        <w:rPr>
          <w:rFonts w:eastAsia="Times New Roman" w:cs="Arial"/>
          <w:color w:val="000000"/>
          <w:lang w:eastAsia="bg-BG"/>
        </w:rPr>
      </w:pPr>
    </w:p>
    <w:p w14:paraId="7A91F759" w14:textId="51E18210"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Повишението е представено като „Т" без промяна като понижението като ,Д".</w:t>
      </w:r>
    </w:p>
    <w:p w14:paraId="10230BB4" w14:textId="77777777" w:rsidR="000A3AEC" w:rsidRDefault="000A3AEC" w:rsidP="000A3AEC">
      <w:pPr>
        <w:spacing w:line="240" w:lineRule="auto"/>
        <w:rPr>
          <w:rFonts w:eastAsia="Times New Roman" w:cs="Arial"/>
          <w:color w:val="000000"/>
          <w:lang w:val="ru-RU" w:eastAsia="bg-BG"/>
        </w:rPr>
      </w:pPr>
    </w:p>
    <w:p w14:paraId="1B383B88" w14:textId="77777777" w:rsidR="000A3AEC" w:rsidRDefault="000A3AEC" w:rsidP="000A3AEC">
      <w:pPr>
        <w:spacing w:line="240" w:lineRule="auto"/>
        <w:rPr>
          <w:rFonts w:eastAsia="Times New Roman" w:cs="Arial"/>
          <w:color w:val="000000"/>
          <w:lang w:eastAsia="bg-BG"/>
        </w:rPr>
      </w:pPr>
      <w:r w:rsidRPr="000A3AEC">
        <w:rPr>
          <w:rFonts w:eastAsia="Times New Roman" w:cs="Arial"/>
          <w:color w:val="000000"/>
          <w:lang w:val="ru-RU" w:eastAsia="bg-BG"/>
        </w:rPr>
        <w:t>*</w:t>
      </w:r>
      <w:r w:rsidRPr="000A3AEC">
        <w:rPr>
          <w:rFonts w:eastAsia="Times New Roman" w:cs="Arial"/>
          <w:color w:val="000000"/>
          <w:lang w:eastAsia="bg-BG"/>
        </w:rPr>
        <w:t xml:space="preserve">*Няколко проучвания за взаимодействие са проведени с различни дози розувастатин, </w:t>
      </w:r>
    </w:p>
    <w:p w14:paraId="4CCAFD4E" w14:textId="2B84A845" w:rsidR="000A3AEC" w:rsidRPr="000A3AEC" w:rsidRDefault="000A3AEC" w:rsidP="000A3AEC">
      <w:pPr>
        <w:spacing w:line="240" w:lineRule="auto"/>
        <w:rPr>
          <w:rFonts w:eastAsia="Times New Roman" w:cs="Arial"/>
          <w:color w:val="000000"/>
          <w:lang w:eastAsia="bg-BG"/>
        </w:rPr>
      </w:pPr>
      <w:r w:rsidRPr="000A3AEC">
        <w:rPr>
          <w:rFonts w:eastAsia="Times New Roman" w:cs="Arial"/>
          <w:color w:val="000000"/>
          <w:lang w:eastAsia="bg-BG"/>
        </w:rPr>
        <w:t>таблицата представя най-значимото съотношение</w:t>
      </w:r>
    </w:p>
    <w:p w14:paraId="47B4FD34" w14:textId="77777777" w:rsidR="000A3AEC" w:rsidRDefault="000A3AEC" w:rsidP="000A3AEC">
      <w:pPr>
        <w:spacing w:line="240" w:lineRule="auto"/>
        <w:rPr>
          <w:rFonts w:eastAsia="Times New Roman" w:cs="Arial"/>
          <w:color w:val="000000"/>
          <w:u w:val="single"/>
          <w:lang w:eastAsia="bg-BG"/>
        </w:rPr>
      </w:pPr>
    </w:p>
    <w:p w14:paraId="22646970" w14:textId="5750896D"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u w:val="single"/>
          <w:lang w:eastAsia="bg-BG"/>
        </w:rPr>
        <w:t>Влияние на розувастатин върху едновременно приемани лекарствени продукти</w:t>
      </w:r>
    </w:p>
    <w:p w14:paraId="311D8E05" w14:textId="77777777" w:rsidR="000A3AEC" w:rsidRDefault="000A3AEC" w:rsidP="000A3AEC">
      <w:pPr>
        <w:spacing w:line="240" w:lineRule="auto"/>
        <w:rPr>
          <w:rFonts w:eastAsia="Times New Roman" w:cs="Arial"/>
          <w:b/>
          <w:bCs/>
          <w:color w:val="000000"/>
          <w:lang w:eastAsia="bg-BG"/>
        </w:rPr>
      </w:pPr>
    </w:p>
    <w:p w14:paraId="012DA7D6" w14:textId="05628F3B"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Антагонисти на витамин К: </w:t>
      </w:r>
      <w:r w:rsidRPr="000A3AEC">
        <w:rPr>
          <w:rFonts w:eastAsia="Times New Roman" w:cs="Arial"/>
          <w:color w:val="000000"/>
          <w:lang w:eastAsia="bg-BG"/>
        </w:rPr>
        <w:t xml:space="preserve">Подобно на други инхибитори на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 xml:space="preserve">редуктазата, започването на лечение с розувастатин или титрирането на дозата му при пациенти, приемащи антагонисти на витамин К (като варфарин или други кумаринови антикоагулантн), може да доведе до повишаване на Международното нормализирано съотношение </w:t>
      </w:r>
      <w:r w:rsidRPr="000A3AEC">
        <w:rPr>
          <w:rFonts w:eastAsia="Times New Roman" w:cs="Arial"/>
          <w:color w:val="000000"/>
          <w:lang w:val="ru-RU"/>
        </w:rPr>
        <w:t>(</w:t>
      </w:r>
      <w:r w:rsidRPr="000A3AEC">
        <w:rPr>
          <w:rFonts w:eastAsia="Times New Roman" w:cs="Arial"/>
          <w:color w:val="000000"/>
          <w:lang w:val="en-US"/>
        </w:rPr>
        <w:t>INR</w:t>
      </w:r>
      <w:r w:rsidRPr="000A3AEC">
        <w:rPr>
          <w:rFonts w:eastAsia="Times New Roman" w:cs="Arial"/>
          <w:color w:val="000000"/>
          <w:lang w:val="ru-RU"/>
        </w:rPr>
        <w:t xml:space="preserve">). </w:t>
      </w:r>
      <w:r w:rsidRPr="000A3AEC">
        <w:rPr>
          <w:rFonts w:eastAsia="Times New Roman" w:cs="Arial"/>
          <w:color w:val="000000"/>
          <w:lang w:eastAsia="bg-BG"/>
        </w:rPr>
        <w:t xml:space="preserve">Прекъсването на лечението или намаляване на дозата на титриране с розувастатин може да доведе до намаление на </w:t>
      </w:r>
      <w:r w:rsidRPr="000A3AEC">
        <w:rPr>
          <w:rFonts w:eastAsia="Times New Roman" w:cs="Arial"/>
          <w:color w:val="000000"/>
          <w:lang w:val="en-US"/>
        </w:rPr>
        <w:t>INR</w:t>
      </w:r>
      <w:r w:rsidRPr="000A3AEC">
        <w:rPr>
          <w:rFonts w:eastAsia="Times New Roman" w:cs="Arial"/>
          <w:color w:val="000000"/>
          <w:lang w:val="ru-RU"/>
        </w:rPr>
        <w:t xml:space="preserve">. </w:t>
      </w:r>
      <w:r w:rsidRPr="000A3AEC">
        <w:rPr>
          <w:rFonts w:eastAsia="Times New Roman" w:cs="Arial"/>
          <w:color w:val="000000"/>
          <w:lang w:eastAsia="bg-BG"/>
        </w:rPr>
        <w:t xml:space="preserve">При подобни ситуации се препоръчва подходящо мониториране на </w:t>
      </w:r>
      <w:r w:rsidRPr="000A3AEC">
        <w:rPr>
          <w:rFonts w:eastAsia="Times New Roman" w:cs="Arial"/>
          <w:color w:val="000000"/>
          <w:lang w:val="en-US"/>
        </w:rPr>
        <w:t>INR</w:t>
      </w:r>
      <w:r w:rsidRPr="000A3AEC">
        <w:rPr>
          <w:rFonts w:eastAsia="Times New Roman" w:cs="Arial"/>
          <w:color w:val="000000"/>
          <w:lang w:val="ru-RU"/>
        </w:rPr>
        <w:t>.</w:t>
      </w:r>
    </w:p>
    <w:p w14:paraId="46EB5C4F" w14:textId="77777777" w:rsidR="000A3AEC" w:rsidRDefault="000A3AEC" w:rsidP="000A3AEC">
      <w:pPr>
        <w:spacing w:line="240" w:lineRule="auto"/>
        <w:rPr>
          <w:rFonts w:eastAsia="Times New Roman" w:cs="Arial"/>
          <w:b/>
          <w:bCs/>
          <w:color w:val="000000"/>
          <w:lang w:eastAsia="bg-BG"/>
        </w:rPr>
      </w:pPr>
    </w:p>
    <w:p w14:paraId="4F8C6E6B" w14:textId="55DE2983"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Перорални контрацептиви/хормонозаместителна терапия: </w:t>
      </w:r>
      <w:r w:rsidRPr="000A3AEC">
        <w:rPr>
          <w:rFonts w:eastAsia="Times New Roman" w:cs="Arial"/>
          <w:color w:val="000000"/>
          <w:lang w:eastAsia="bg-BG"/>
        </w:rPr>
        <w:t xml:space="preserve">Едновременният прием на розувастатин и пероралнн контрацептиви е довел до повишаване на </w:t>
      </w:r>
      <w:r w:rsidRPr="000A3AEC">
        <w:rPr>
          <w:rFonts w:eastAsia="Times New Roman" w:cs="Arial"/>
          <w:color w:val="000000"/>
          <w:lang w:val="en-US"/>
        </w:rPr>
        <w:t>AUC</w:t>
      </w:r>
      <w:r w:rsidRPr="000A3AEC">
        <w:rPr>
          <w:rFonts w:eastAsia="Times New Roman" w:cs="Arial"/>
          <w:color w:val="000000"/>
          <w:lang w:val="ru-RU"/>
        </w:rPr>
        <w:t xml:space="preserve"> </w:t>
      </w:r>
      <w:r w:rsidRPr="000A3AEC">
        <w:rPr>
          <w:rFonts w:eastAsia="Times New Roman" w:cs="Arial"/>
          <w:color w:val="000000"/>
          <w:lang w:eastAsia="bg-BG"/>
        </w:rPr>
        <w:t>на етинил естрадиол и норгестрел, съответно с 26% и 34%. Тези повишени плазмени концентрации трябва да се вземат под внимание, когато се определя дозировката на пероралните контрацептиви. Няма фармакокинетични данни за пациенти, които приемащи едновременно розувастатин и хормонозаместителна терапия. Ето защо, взаимодействието описано по-горе не трябва да бъде изключено. Въпреки това, тази комбинация е била широко прилагана при жени в клинични изпитвания и е била толерирана добре.</w:t>
      </w:r>
    </w:p>
    <w:p w14:paraId="31C5B941" w14:textId="77777777" w:rsidR="000A3AEC" w:rsidRDefault="000A3AEC" w:rsidP="000A3AEC">
      <w:pPr>
        <w:spacing w:line="240" w:lineRule="auto"/>
        <w:rPr>
          <w:rFonts w:eastAsia="Times New Roman" w:cs="Arial"/>
          <w:b/>
          <w:bCs/>
          <w:color w:val="000000"/>
          <w:lang w:eastAsia="bg-BG"/>
        </w:rPr>
      </w:pPr>
    </w:p>
    <w:p w14:paraId="5974E91F" w14:textId="4E4114BF"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Други лекарствени продукти: </w:t>
      </w:r>
      <w:r w:rsidRPr="000A3AEC">
        <w:rPr>
          <w:rFonts w:eastAsia="Times New Roman" w:cs="Arial"/>
          <w:color w:val="000000"/>
          <w:lang w:eastAsia="bg-BG"/>
        </w:rPr>
        <w:t>Въз основа на данните от специфични проучвания за изследване на лекарствени взаимодействия, не се очаква клинично значимо взаимодействие с дигоксин.</w:t>
      </w:r>
    </w:p>
    <w:p w14:paraId="627C0535" w14:textId="77777777" w:rsidR="000A3AEC" w:rsidRDefault="000A3AEC" w:rsidP="000A3AEC">
      <w:pPr>
        <w:spacing w:line="240" w:lineRule="auto"/>
        <w:rPr>
          <w:rFonts w:eastAsia="Times New Roman" w:cs="Arial"/>
          <w:b/>
          <w:bCs/>
          <w:color w:val="000000"/>
          <w:lang w:eastAsia="bg-BG"/>
        </w:rPr>
      </w:pPr>
    </w:p>
    <w:p w14:paraId="75201EEE" w14:textId="0960D29A"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Педиатрична популация: </w:t>
      </w:r>
      <w:r w:rsidRPr="000A3AEC">
        <w:rPr>
          <w:rFonts w:eastAsia="Times New Roman" w:cs="Arial"/>
          <w:color w:val="000000"/>
          <w:lang w:eastAsia="bg-BG"/>
        </w:rPr>
        <w:t>Проучвания за взаимодействия са провеждани само при възрастни. Степента на взаимодействията в педиатричната популация не е известна.</w:t>
      </w:r>
    </w:p>
    <w:p w14:paraId="13AA42ED" w14:textId="77777777" w:rsidR="00813FBC" w:rsidRPr="00813FBC" w:rsidRDefault="00813FBC" w:rsidP="00813FBC"/>
    <w:p w14:paraId="5D9F40EA" w14:textId="4AE0A2FC" w:rsidR="007122AD" w:rsidRDefault="002C50EE" w:rsidP="00936AD0">
      <w:pPr>
        <w:pStyle w:val="Heading2"/>
      </w:pPr>
      <w:r>
        <w:t>4.6. Фертилитет, бременност и кърмене</w:t>
      </w:r>
    </w:p>
    <w:p w14:paraId="26D98A7F" w14:textId="02A2E1AA" w:rsidR="000A3AEC" w:rsidRDefault="000A3AEC" w:rsidP="000A3AEC"/>
    <w:p w14:paraId="503CADAB"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Неоросо е противопоказан по време на бременност и кърмене.</w:t>
      </w:r>
    </w:p>
    <w:p w14:paraId="3CE3A2EF" w14:textId="77777777" w:rsidR="000A3AEC" w:rsidRDefault="000A3AEC" w:rsidP="000A3AEC">
      <w:pPr>
        <w:spacing w:line="240" w:lineRule="auto"/>
        <w:rPr>
          <w:rFonts w:eastAsia="Times New Roman" w:cs="Arial"/>
          <w:color w:val="000000"/>
          <w:u w:val="single"/>
          <w:lang w:eastAsia="bg-BG"/>
        </w:rPr>
      </w:pPr>
    </w:p>
    <w:p w14:paraId="42DF477F" w14:textId="5B1E8510" w:rsidR="000A3AEC" w:rsidRPr="000A3AEC" w:rsidRDefault="000A3AEC" w:rsidP="000A3AEC">
      <w:pPr>
        <w:pStyle w:val="Heading3"/>
        <w:rPr>
          <w:u w:val="single"/>
        </w:rPr>
      </w:pPr>
      <w:r w:rsidRPr="000A3AEC">
        <w:rPr>
          <w:u w:val="single"/>
        </w:rPr>
        <w:t>Бременност</w:t>
      </w:r>
    </w:p>
    <w:p w14:paraId="0AC6ACD4"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Жените в детеродна възраст трябва да прилагат подходящи контрацептивни мерки.</w:t>
      </w:r>
    </w:p>
    <w:p w14:paraId="71025850" w14:textId="77777777" w:rsidR="000A3AEC" w:rsidRDefault="000A3AEC" w:rsidP="000A3AEC">
      <w:pPr>
        <w:spacing w:line="240" w:lineRule="auto"/>
        <w:rPr>
          <w:rFonts w:eastAsia="Times New Roman" w:cs="Arial"/>
          <w:color w:val="000000"/>
          <w:lang w:eastAsia="bg-BG"/>
        </w:rPr>
      </w:pPr>
    </w:p>
    <w:p w14:paraId="02E104C1" w14:textId="03EE88CA"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Холестеролът и други продукти на холестероловия биосинтез са важни за развитието на плода. Ето защо потенциалният риск от инхибираяе на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редуктазата е по-голям в сравнение с ползата от лечението по време на бременност. Изследванията върху животни осигуряват ограничени данни за репродуктивна токсичност (вж. точка 5.3). Ако пациентка забременее по време на лечение с това лекарство, приемът трябва да бъде незабавно преустановен.</w:t>
      </w:r>
    </w:p>
    <w:p w14:paraId="46FDDE13" w14:textId="77777777" w:rsidR="000A3AEC" w:rsidRDefault="000A3AEC" w:rsidP="000A3AEC">
      <w:pPr>
        <w:spacing w:line="240" w:lineRule="auto"/>
        <w:rPr>
          <w:rFonts w:eastAsia="Times New Roman" w:cs="Arial"/>
          <w:color w:val="000000"/>
          <w:u w:val="single"/>
          <w:lang w:eastAsia="bg-BG"/>
        </w:rPr>
      </w:pPr>
    </w:p>
    <w:p w14:paraId="0D801B63" w14:textId="0202F857" w:rsidR="000A3AEC" w:rsidRPr="000A3AEC" w:rsidRDefault="000A3AEC" w:rsidP="000A3AEC">
      <w:pPr>
        <w:pStyle w:val="Heading3"/>
        <w:rPr>
          <w:u w:val="single"/>
        </w:rPr>
      </w:pPr>
      <w:r w:rsidRPr="000A3AEC">
        <w:rPr>
          <w:u w:val="single"/>
        </w:rPr>
        <w:lastRenderedPageBreak/>
        <w:t>Кърмене</w:t>
      </w:r>
    </w:p>
    <w:p w14:paraId="3DB7DAB9" w14:textId="06A74C15" w:rsidR="000A3AEC" w:rsidRPr="000A3AEC" w:rsidRDefault="000A3AEC" w:rsidP="000A3AEC">
      <w:r w:rsidRPr="000A3AEC">
        <w:rPr>
          <w:rFonts w:eastAsia="Times New Roman" w:cs="Arial"/>
          <w:color w:val="000000"/>
          <w:lang w:eastAsia="bg-BG"/>
        </w:rPr>
        <w:t>Розувастатин се екскретира в млякото на плъхове. Няма установени данни за екрскреция в млякото при хора (вж. точка 4.3).</w:t>
      </w:r>
    </w:p>
    <w:p w14:paraId="5DD7A76D" w14:textId="143D48C9" w:rsidR="007122AD" w:rsidRDefault="002C50EE" w:rsidP="00936AD0">
      <w:pPr>
        <w:pStyle w:val="Heading2"/>
      </w:pPr>
      <w:r>
        <w:t>4.7. Ефекти върху способността за шофиране и работа с машини</w:t>
      </w:r>
    </w:p>
    <w:p w14:paraId="0E1E153F" w14:textId="3321DDA4" w:rsidR="000A3AEC" w:rsidRDefault="000A3AEC" w:rsidP="000A3AEC"/>
    <w:p w14:paraId="5286575B" w14:textId="2C2A545E" w:rsidR="000A3AEC" w:rsidRPr="000A3AEC" w:rsidRDefault="000A3AEC" w:rsidP="000A3AEC">
      <w:pPr>
        <w:rPr>
          <w:rFonts w:ascii="Times New Roman" w:hAnsi="Times New Roman" w:cs="Times New Roman"/>
          <w:sz w:val="24"/>
          <w:szCs w:val="24"/>
        </w:rPr>
      </w:pPr>
      <w:r w:rsidRPr="000A3AEC">
        <w:rPr>
          <w:lang w:eastAsia="bg-BG"/>
        </w:rPr>
        <w:t>Не са провеждани проучвания за установяване на влиянието на розувастатин върху способи шофиране и работа с машини. Въз основа на фармакодинамичните свойства, е малко вроятно розувастатин да</w:t>
      </w:r>
      <w:r w:rsidRPr="000A3AEC">
        <w:rPr>
          <w:lang w:val="ru-RU" w:eastAsia="bg-BG"/>
        </w:rPr>
        <w:t xml:space="preserve"> </w:t>
      </w:r>
      <w:r w:rsidRPr="000A3AEC">
        <w:rPr>
          <w:lang w:eastAsia="bg-BG"/>
        </w:rPr>
        <w:t>повлияе неблагоприятно тези способности. При шофиране или работа с машини трябва да се има предвид, че по време на лечението може да се появи замаяност.</w:t>
      </w:r>
    </w:p>
    <w:p w14:paraId="3540A88E" w14:textId="77777777" w:rsidR="000A3AEC" w:rsidRPr="000A3AEC" w:rsidRDefault="000A3AEC" w:rsidP="000A3AEC"/>
    <w:p w14:paraId="44CE30A3" w14:textId="6EF35ACF" w:rsidR="007122AD" w:rsidRDefault="002C50EE" w:rsidP="00936AD0">
      <w:pPr>
        <w:pStyle w:val="Heading2"/>
      </w:pPr>
      <w:r>
        <w:t>4.8. Нежелани лекарствени реакции</w:t>
      </w:r>
    </w:p>
    <w:p w14:paraId="08EFAE0A" w14:textId="6DF46C67" w:rsidR="000A3AEC" w:rsidRDefault="000A3AEC" w:rsidP="000A3AEC"/>
    <w:p w14:paraId="5442E6D0"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Нежеланите лекарствени реакции, наблюдавани при употребата на розувастатин, обикновено са леки и преходни. При контролираните клинични изпитвания под 4% от пациентите, лекувани с розувастатин, са прекъснали лечението поради нежелани реакции.</w:t>
      </w:r>
    </w:p>
    <w:p w14:paraId="1C41E0B4" w14:textId="77777777" w:rsidR="000A3AEC" w:rsidRDefault="000A3AEC" w:rsidP="000A3AEC">
      <w:pPr>
        <w:spacing w:line="240" w:lineRule="auto"/>
        <w:rPr>
          <w:rFonts w:eastAsia="Times New Roman" w:cs="Arial"/>
          <w:color w:val="000000"/>
          <w:u w:val="single"/>
          <w:lang w:eastAsia="bg-BG"/>
        </w:rPr>
      </w:pPr>
    </w:p>
    <w:p w14:paraId="259D98CC" w14:textId="61E4A95B"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u w:val="single"/>
          <w:lang w:eastAsia="bg-BG"/>
        </w:rPr>
        <w:t>Табличен списък на нежеланите реакции</w:t>
      </w:r>
    </w:p>
    <w:p w14:paraId="29FB9EC8"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Въз основа на данни от клинични проучвания и обширен постмаркетингов опит, следната таблица представя профилът на розувастатин по отношение на нежелани лекарствени реакции. Нежеланите реакции, изброени по-долу са класифицирани по честота и системо-органен клас (СОК).</w:t>
      </w:r>
    </w:p>
    <w:p w14:paraId="4D891A35" w14:textId="77777777" w:rsidR="000A3AEC" w:rsidRDefault="000A3AEC" w:rsidP="000A3AEC">
      <w:pPr>
        <w:spacing w:line="240" w:lineRule="auto"/>
        <w:rPr>
          <w:rFonts w:eastAsia="Times New Roman" w:cs="Arial"/>
          <w:color w:val="000000"/>
          <w:lang w:eastAsia="bg-BG"/>
        </w:rPr>
      </w:pPr>
    </w:p>
    <w:p w14:paraId="35071BE0" w14:textId="2656084C"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Честотите на нежеланите реакции са разпределени при използване на следната конвенция: чести (≥1/100 до &lt;1/10); нечести(≥1/1 000 до &lt;1/100); редки (≥1/10 000 до &lt;1/1 000); много редки (≥1/10 000), неизвестна честота (не може да бъде оценена от наличните данни).</w:t>
      </w:r>
    </w:p>
    <w:p w14:paraId="09B3CF92" w14:textId="77777777" w:rsidR="000A3AEC" w:rsidRDefault="000A3AEC" w:rsidP="000A3AEC">
      <w:pPr>
        <w:spacing w:line="240" w:lineRule="auto"/>
        <w:rPr>
          <w:rFonts w:eastAsia="Times New Roman" w:cs="Arial"/>
          <w:b/>
          <w:bCs/>
          <w:color w:val="000000"/>
          <w:lang w:eastAsia="bg-BG"/>
        </w:rPr>
      </w:pPr>
    </w:p>
    <w:p w14:paraId="6CC52335" w14:textId="522ED06E" w:rsidR="000A3AEC" w:rsidRDefault="000A3AEC" w:rsidP="000A3AEC">
      <w:pPr>
        <w:spacing w:line="240" w:lineRule="auto"/>
        <w:rPr>
          <w:rFonts w:eastAsia="Times New Roman" w:cs="Arial"/>
          <w:b/>
          <w:bCs/>
          <w:color w:val="000000"/>
          <w:lang w:eastAsia="bg-BG"/>
        </w:rPr>
      </w:pPr>
      <w:r w:rsidRPr="000A3AEC">
        <w:rPr>
          <w:rFonts w:eastAsia="Times New Roman" w:cs="Arial"/>
          <w:b/>
          <w:bCs/>
          <w:color w:val="000000"/>
          <w:lang w:eastAsia="bg-BG"/>
        </w:rPr>
        <w:t>Таблица 2. Нежелани лекарствени реакции базирани на данни от клинични проучвания и постмаркетингов опит</w:t>
      </w:r>
    </w:p>
    <w:p w14:paraId="68FEF53C" w14:textId="1812E082" w:rsidR="000A3AEC" w:rsidRDefault="000A3AEC" w:rsidP="000A3AEC">
      <w:pPr>
        <w:spacing w:line="240" w:lineRule="auto"/>
        <w:rPr>
          <w:rFonts w:eastAsia="Times New Roman" w:cs="Arial"/>
          <w:b/>
          <w:bCs/>
          <w:color w:val="000000"/>
          <w:lang w:eastAsia="bg-BG"/>
        </w:rPr>
      </w:pPr>
    </w:p>
    <w:tbl>
      <w:tblPr>
        <w:tblStyle w:val="TableGrid"/>
        <w:tblW w:w="0" w:type="auto"/>
        <w:tblLook w:val="04A0" w:firstRow="1" w:lastRow="0" w:firstColumn="1" w:lastColumn="0" w:noHBand="0" w:noVBand="1"/>
      </w:tblPr>
      <w:tblGrid>
        <w:gridCol w:w="1883"/>
        <w:gridCol w:w="1260"/>
        <w:gridCol w:w="1122"/>
        <w:gridCol w:w="2077"/>
        <w:gridCol w:w="1676"/>
        <w:gridCol w:w="1332"/>
      </w:tblGrid>
      <w:tr w:rsidR="000A3AEC" w14:paraId="4859EDBF" w14:textId="77777777" w:rsidTr="000A3AEC">
        <w:tc>
          <w:tcPr>
            <w:tcW w:w="1929" w:type="dxa"/>
            <w:vAlign w:val="bottom"/>
          </w:tcPr>
          <w:p w14:paraId="0473CBB6" w14:textId="34E4F937" w:rsidR="000A3AEC" w:rsidRPr="000A3AEC" w:rsidRDefault="000A3AEC" w:rsidP="000A3AEC">
            <w:pPr>
              <w:spacing w:line="240" w:lineRule="auto"/>
              <w:rPr>
                <w:rFonts w:eastAsia="Times New Roman" w:cs="Arial"/>
              </w:rPr>
            </w:pPr>
            <w:r w:rsidRPr="000A3AEC">
              <w:rPr>
                <w:rFonts w:cs="Arial"/>
                <w:b/>
                <w:bCs/>
              </w:rPr>
              <w:t>Ситемо-органен клас</w:t>
            </w:r>
          </w:p>
        </w:tc>
        <w:tc>
          <w:tcPr>
            <w:tcW w:w="1290" w:type="dxa"/>
          </w:tcPr>
          <w:p w14:paraId="695AC22E" w14:textId="4F399489" w:rsidR="000A3AEC" w:rsidRPr="000A3AEC" w:rsidRDefault="000A3AEC" w:rsidP="000A3AEC">
            <w:pPr>
              <w:spacing w:line="240" w:lineRule="auto"/>
              <w:rPr>
                <w:rFonts w:eastAsia="Times New Roman" w:cs="Arial"/>
              </w:rPr>
            </w:pPr>
            <w:r w:rsidRPr="000A3AEC">
              <w:rPr>
                <w:rFonts w:cs="Arial"/>
                <w:b/>
                <w:bCs/>
              </w:rPr>
              <w:t>Чести</w:t>
            </w:r>
          </w:p>
        </w:tc>
        <w:tc>
          <w:tcPr>
            <w:tcW w:w="1148" w:type="dxa"/>
          </w:tcPr>
          <w:p w14:paraId="59D86056" w14:textId="6F0438A3" w:rsidR="000A3AEC" w:rsidRPr="000A3AEC" w:rsidRDefault="000A3AEC" w:rsidP="000A3AEC">
            <w:pPr>
              <w:spacing w:line="240" w:lineRule="auto"/>
              <w:rPr>
                <w:rFonts w:eastAsia="Times New Roman" w:cs="Arial"/>
              </w:rPr>
            </w:pPr>
            <w:r w:rsidRPr="000A3AEC">
              <w:rPr>
                <w:rFonts w:cs="Arial"/>
                <w:b/>
                <w:bCs/>
              </w:rPr>
              <w:t>Нечести</w:t>
            </w:r>
          </w:p>
        </w:tc>
        <w:tc>
          <w:tcPr>
            <w:tcW w:w="2129" w:type="dxa"/>
          </w:tcPr>
          <w:p w14:paraId="5CF4A639" w14:textId="0FFDC280" w:rsidR="000A3AEC" w:rsidRPr="000A3AEC" w:rsidRDefault="000A3AEC" w:rsidP="000A3AEC">
            <w:pPr>
              <w:spacing w:line="240" w:lineRule="auto"/>
              <w:rPr>
                <w:rFonts w:eastAsia="Times New Roman" w:cs="Arial"/>
              </w:rPr>
            </w:pPr>
            <w:r w:rsidRPr="000A3AEC">
              <w:rPr>
                <w:rFonts w:cs="Arial"/>
                <w:b/>
                <w:bCs/>
              </w:rPr>
              <w:t>Редки</w:t>
            </w:r>
          </w:p>
        </w:tc>
        <w:tc>
          <w:tcPr>
            <w:tcW w:w="1717" w:type="dxa"/>
          </w:tcPr>
          <w:p w14:paraId="3099B086" w14:textId="151B5097" w:rsidR="000A3AEC" w:rsidRPr="000A3AEC" w:rsidRDefault="000A3AEC" w:rsidP="000A3AEC">
            <w:pPr>
              <w:spacing w:line="240" w:lineRule="auto"/>
              <w:rPr>
                <w:rFonts w:eastAsia="Times New Roman" w:cs="Arial"/>
              </w:rPr>
            </w:pPr>
            <w:r w:rsidRPr="000A3AEC">
              <w:rPr>
                <w:rFonts w:cs="Arial"/>
                <w:b/>
                <w:bCs/>
              </w:rPr>
              <w:t>Много редки</w:t>
            </w:r>
          </w:p>
        </w:tc>
        <w:tc>
          <w:tcPr>
            <w:tcW w:w="1363" w:type="dxa"/>
            <w:vAlign w:val="bottom"/>
          </w:tcPr>
          <w:p w14:paraId="1315DA07" w14:textId="53EF6B26" w:rsidR="000A3AEC" w:rsidRPr="000A3AEC" w:rsidRDefault="000A3AEC" w:rsidP="000A3AEC">
            <w:pPr>
              <w:spacing w:line="240" w:lineRule="auto"/>
              <w:rPr>
                <w:rFonts w:eastAsia="Times New Roman" w:cs="Arial"/>
              </w:rPr>
            </w:pPr>
            <w:r w:rsidRPr="000A3AEC">
              <w:rPr>
                <w:rFonts w:cs="Arial"/>
                <w:b/>
                <w:bCs/>
              </w:rPr>
              <w:t>С неизвестн: честота</w:t>
            </w:r>
          </w:p>
        </w:tc>
      </w:tr>
      <w:tr w:rsidR="000A3AEC" w14:paraId="008FE5FC" w14:textId="77777777" w:rsidTr="000A3AEC">
        <w:tc>
          <w:tcPr>
            <w:tcW w:w="1929" w:type="dxa"/>
            <w:vAlign w:val="bottom"/>
          </w:tcPr>
          <w:p w14:paraId="3D02A2DC" w14:textId="22EE76C9" w:rsidR="000A3AEC" w:rsidRPr="000A3AEC" w:rsidRDefault="000A3AEC" w:rsidP="000A3AEC">
            <w:pPr>
              <w:spacing w:line="240" w:lineRule="auto"/>
              <w:rPr>
                <w:rFonts w:eastAsia="Times New Roman" w:cs="Arial"/>
              </w:rPr>
            </w:pPr>
            <w:r w:rsidRPr="000A3AEC">
              <w:rPr>
                <w:rFonts w:cs="Arial"/>
                <w:b/>
                <w:bCs/>
                <w:i/>
                <w:iCs/>
              </w:rPr>
              <w:t>Нарушения на кръвта и лимфната система</w:t>
            </w:r>
          </w:p>
        </w:tc>
        <w:tc>
          <w:tcPr>
            <w:tcW w:w="1290" w:type="dxa"/>
          </w:tcPr>
          <w:p w14:paraId="292EB009" w14:textId="77777777" w:rsidR="000A3AEC" w:rsidRPr="000A3AEC" w:rsidRDefault="000A3AEC" w:rsidP="000A3AEC">
            <w:pPr>
              <w:spacing w:line="240" w:lineRule="auto"/>
              <w:rPr>
                <w:rFonts w:eastAsia="Times New Roman" w:cs="Arial"/>
              </w:rPr>
            </w:pPr>
          </w:p>
        </w:tc>
        <w:tc>
          <w:tcPr>
            <w:tcW w:w="1148" w:type="dxa"/>
          </w:tcPr>
          <w:p w14:paraId="7F240223" w14:textId="77777777" w:rsidR="000A3AEC" w:rsidRPr="000A3AEC" w:rsidRDefault="000A3AEC" w:rsidP="000A3AEC">
            <w:pPr>
              <w:spacing w:line="240" w:lineRule="auto"/>
              <w:rPr>
                <w:rFonts w:eastAsia="Times New Roman" w:cs="Arial"/>
              </w:rPr>
            </w:pPr>
          </w:p>
        </w:tc>
        <w:tc>
          <w:tcPr>
            <w:tcW w:w="2129" w:type="dxa"/>
          </w:tcPr>
          <w:p w14:paraId="2372F3C0" w14:textId="314FB8AA" w:rsidR="000A3AEC" w:rsidRPr="000A3AEC" w:rsidRDefault="000A3AEC" w:rsidP="000A3AEC">
            <w:pPr>
              <w:spacing w:line="240" w:lineRule="auto"/>
              <w:rPr>
                <w:rFonts w:eastAsia="Times New Roman" w:cs="Arial"/>
              </w:rPr>
            </w:pPr>
            <w:r w:rsidRPr="000A3AEC">
              <w:rPr>
                <w:rFonts w:cs="Arial"/>
              </w:rPr>
              <w:t>Тромбоцитопения</w:t>
            </w:r>
          </w:p>
        </w:tc>
        <w:tc>
          <w:tcPr>
            <w:tcW w:w="1717" w:type="dxa"/>
          </w:tcPr>
          <w:p w14:paraId="0BFDCA1F" w14:textId="77777777" w:rsidR="000A3AEC" w:rsidRPr="000A3AEC" w:rsidRDefault="000A3AEC" w:rsidP="000A3AEC">
            <w:pPr>
              <w:spacing w:line="240" w:lineRule="auto"/>
              <w:rPr>
                <w:rFonts w:eastAsia="Times New Roman" w:cs="Arial"/>
              </w:rPr>
            </w:pPr>
          </w:p>
        </w:tc>
        <w:tc>
          <w:tcPr>
            <w:tcW w:w="1363" w:type="dxa"/>
          </w:tcPr>
          <w:p w14:paraId="223FB1AC" w14:textId="77777777" w:rsidR="000A3AEC" w:rsidRPr="000A3AEC" w:rsidRDefault="000A3AEC" w:rsidP="000A3AEC">
            <w:pPr>
              <w:spacing w:line="240" w:lineRule="auto"/>
              <w:rPr>
                <w:rFonts w:eastAsia="Times New Roman" w:cs="Arial"/>
              </w:rPr>
            </w:pPr>
          </w:p>
        </w:tc>
      </w:tr>
      <w:tr w:rsidR="000A3AEC" w14:paraId="3294BE13" w14:textId="77777777" w:rsidTr="000A3AEC">
        <w:tc>
          <w:tcPr>
            <w:tcW w:w="1929" w:type="dxa"/>
          </w:tcPr>
          <w:p w14:paraId="2B76A780" w14:textId="5A6C1BB6" w:rsidR="000A3AEC" w:rsidRPr="000A3AEC" w:rsidRDefault="000A3AEC" w:rsidP="000A3AEC">
            <w:pPr>
              <w:spacing w:line="240" w:lineRule="auto"/>
              <w:rPr>
                <w:rFonts w:eastAsia="Times New Roman" w:cs="Arial"/>
              </w:rPr>
            </w:pPr>
            <w:r w:rsidRPr="000A3AEC">
              <w:rPr>
                <w:rFonts w:cs="Arial"/>
                <w:b/>
                <w:bCs/>
                <w:i/>
                <w:iCs/>
              </w:rPr>
              <w:t>Нарушения на имунната система</w:t>
            </w:r>
          </w:p>
        </w:tc>
        <w:tc>
          <w:tcPr>
            <w:tcW w:w="1290" w:type="dxa"/>
          </w:tcPr>
          <w:p w14:paraId="0204A0C3" w14:textId="77777777" w:rsidR="000A3AEC" w:rsidRPr="000A3AEC" w:rsidRDefault="000A3AEC" w:rsidP="000A3AEC">
            <w:pPr>
              <w:spacing w:line="240" w:lineRule="auto"/>
              <w:rPr>
                <w:rFonts w:eastAsia="Times New Roman" w:cs="Arial"/>
              </w:rPr>
            </w:pPr>
          </w:p>
        </w:tc>
        <w:tc>
          <w:tcPr>
            <w:tcW w:w="1148" w:type="dxa"/>
          </w:tcPr>
          <w:p w14:paraId="06980DDB" w14:textId="77777777" w:rsidR="000A3AEC" w:rsidRPr="000A3AEC" w:rsidRDefault="000A3AEC" w:rsidP="000A3AEC">
            <w:pPr>
              <w:spacing w:line="240" w:lineRule="auto"/>
              <w:rPr>
                <w:rFonts w:eastAsia="Times New Roman" w:cs="Arial"/>
              </w:rPr>
            </w:pPr>
          </w:p>
        </w:tc>
        <w:tc>
          <w:tcPr>
            <w:tcW w:w="2129" w:type="dxa"/>
            <w:vAlign w:val="bottom"/>
          </w:tcPr>
          <w:p w14:paraId="12583E74" w14:textId="006FF9AD" w:rsidR="000A3AEC" w:rsidRPr="000A3AEC" w:rsidRDefault="000A3AEC" w:rsidP="000A3AEC">
            <w:pPr>
              <w:spacing w:line="240" w:lineRule="auto"/>
              <w:rPr>
                <w:rFonts w:eastAsia="Times New Roman" w:cs="Arial"/>
              </w:rPr>
            </w:pPr>
            <w:r w:rsidRPr="000A3AEC">
              <w:rPr>
                <w:rFonts w:cs="Arial"/>
              </w:rPr>
              <w:t>Реакции на свръхчувствителност включително ангиоедем</w:t>
            </w:r>
          </w:p>
        </w:tc>
        <w:tc>
          <w:tcPr>
            <w:tcW w:w="1717" w:type="dxa"/>
          </w:tcPr>
          <w:p w14:paraId="5E609739" w14:textId="77777777" w:rsidR="000A3AEC" w:rsidRPr="000A3AEC" w:rsidRDefault="000A3AEC" w:rsidP="000A3AEC">
            <w:pPr>
              <w:spacing w:line="240" w:lineRule="auto"/>
              <w:rPr>
                <w:rFonts w:eastAsia="Times New Roman" w:cs="Arial"/>
              </w:rPr>
            </w:pPr>
          </w:p>
        </w:tc>
        <w:tc>
          <w:tcPr>
            <w:tcW w:w="1363" w:type="dxa"/>
          </w:tcPr>
          <w:p w14:paraId="3A9649A9" w14:textId="77777777" w:rsidR="000A3AEC" w:rsidRPr="000A3AEC" w:rsidRDefault="000A3AEC" w:rsidP="000A3AEC">
            <w:pPr>
              <w:spacing w:line="240" w:lineRule="auto"/>
              <w:rPr>
                <w:rFonts w:eastAsia="Times New Roman" w:cs="Arial"/>
              </w:rPr>
            </w:pPr>
          </w:p>
        </w:tc>
      </w:tr>
      <w:tr w:rsidR="000A3AEC" w14:paraId="70D00A40" w14:textId="77777777" w:rsidTr="000A3AEC">
        <w:tc>
          <w:tcPr>
            <w:tcW w:w="1929" w:type="dxa"/>
            <w:vAlign w:val="bottom"/>
          </w:tcPr>
          <w:p w14:paraId="0F4CA50A" w14:textId="62CA0C2E" w:rsidR="000A3AEC" w:rsidRPr="000A3AEC" w:rsidRDefault="000A3AEC" w:rsidP="000A3AEC">
            <w:pPr>
              <w:spacing w:line="240" w:lineRule="auto"/>
              <w:rPr>
                <w:rFonts w:eastAsia="Times New Roman" w:cs="Arial"/>
              </w:rPr>
            </w:pPr>
            <w:r w:rsidRPr="000A3AEC">
              <w:rPr>
                <w:rFonts w:cs="Arial"/>
                <w:b/>
                <w:bCs/>
                <w:i/>
                <w:iCs/>
              </w:rPr>
              <w:t>Нарушения на ендокринната система</w:t>
            </w:r>
          </w:p>
        </w:tc>
        <w:tc>
          <w:tcPr>
            <w:tcW w:w="1290" w:type="dxa"/>
          </w:tcPr>
          <w:p w14:paraId="0A6424B6" w14:textId="7C42329A" w:rsidR="000A3AEC" w:rsidRPr="000A3AEC" w:rsidRDefault="000A3AEC" w:rsidP="000A3AEC">
            <w:pPr>
              <w:spacing w:line="240" w:lineRule="auto"/>
              <w:rPr>
                <w:rFonts w:eastAsia="Times New Roman" w:cs="Arial"/>
              </w:rPr>
            </w:pPr>
            <w:r w:rsidRPr="000A3AEC">
              <w:rPr>
                <w:rFonts w:cs="Arial"/>
              </w:rPr>
              <w:t>Захарен диабет</w:t>
            </w:r>
            <w:r w:rsidRPr="000A3AEC">
              <w:rPr>
                <w:rFonts w:cs="Arial"/>
                <w:vertAlign w:val="superscript"/>
              </w:rPr>
              <w:t>1</w:t>
            </w:r>
          </w:p>
        </w:tc>
        <w:tc>
          <w:tcPr>
            <w:tcW w:w="1148" w:type="dxa"/>
          </w:tcPr>
          <w:p w14:paraId="3EE116CF" w14:textId="77777777" w:rsidR="000A3AEC" w:rsidRPr="000A3AEC" w:rsidRDefault="000A3AEC" w:rsidP="000A3AEC">
            <w:pPr>
              <w:spacing w:line="240" w:lineRule="auto"/>
              <w:rPr>
                <w:rFonts w:eastAsia="Times New Roman" w:cs="Arial"/>
              </w:rPr>
            </w:pPr>
          </w:p>
        </w:tc>
        <w:tc>
          <w:tcPr>
            <w:tcW w:w="2129" w:type="dxa"/>
          </w:tcPr>
          <w:p w14:paraId="5C34E1FB" w14:textId="77777777" w:rsidR="000A3AEC" w:rsidRPr="000A3AEC" w:rsidRDefault="000A3AEC" w:rsidP="000A3AEC">
            <w:pPr>
              <w:spacing w:line="240" w:lineRule="auto"/>
              <w:rPr>
                <w:rFonts w:eastAsia="Times New Roman" w:cs="Arial"/>
              </w:rPr>
            </w:pPr>
          </w:p>
        </w:tc>
        <w:tc>
          <w:tcPr>
            <w:tcW w:w="1717" w:type="dxa"/>
          </w:tcPr>
          <w:p w14:paraId="73CE51C4" w14:textId="77777777" w:rsidR="000A3AEC" w:rsidRPr="000A3AEC" w:rsidRDefault="000A3AEC" w:rsidP="000A3AEC">
            <w:pPr>
              <w:spacing w:line="240" w:lineRule="auto"/>
              <w:rPr>
                <w:rFonts w:eastAsia="Times New Roman" w:cs="Arial"/>
              </w:rPr>
            </w:pPr>
          </w:p>
        </w:tc>
        <w:tc>
          <w:tcPr>
            <w:tcW w:w="1363" w:type="dxa"/>
          </w:tcPr>
          <w:p w14:paraId="4D23C882" w14:textId="77777777" w:rsidR="000A3AEC" w:rsidRPr="000A3AEC" w:rsidRDefault="000A3AEC" w:rsidP="000A3AEC">
            <w:pPr>
              <w:spacing w:line="240" w:lineRule="auto"/>
              <w:rPr>
                <w:rFonts w:eastAsia="Times New Roman" w:cs="Arial"/>
              </w:rPr>
            </w:pPr>
          </w:p>
        </w:tc>
      </w:tr>
      <w:tr w:rsidR="000A3AEC" w14:paraId="4118BEA7" w14:textId="77777777" w:rsidTr="000A3AEC">
        <w:tc>
          <w:tcPr>
            <w:tcW w:w="1929" w:type="dxa"/>
            <w:vAlign w:val="bottom"/>
          </w:tcPr>
          <w:p w14:paraId="78263015" w14:textId="129C26D9" w:rsidR="000A3AEC" w:rsidRPr="000A3AEC" w:rsidRDefault="000A3AEC" w:rsidP="000A3AEC">
            <w:pPr>
              <w:spacing w:line="240" w:lineRule="auto"/>
              <w:rPr>
                <w:rFonts w:eastAsia="Times New Roman" w:cs="Arial"/>
              </w:rPr>
            </w:pPr>
            <w:r w:rsidRPr="000A3AEC">
              <w:rPr>
                <w:rFonts w:cs="Arial"/>
                <w:b/>
                <w:bCs/>
                <w:i/>
                <w:iCs/>
              </w:rPr>
              <w:t>Психични нарушения</w:t>
            </w:r>
          </w:p>
        </w:tc>
        <w:tc>
          <w:tcPr>
            <w:tcW w:w="1290" w:type="dxa"/>
          </w:tcPr>
          <w:p w14:paraId="6C0F9920" w14:textId="77777777" w:rsidR="000A3AEC" w:rsidRPr="000A3AEC" w:rsidRDefault="000A3AEC" w:rsidP="000A3AEC">
            <w:pPr>
              <w:spacing w:line="240" w:lineRule="auto"/>
              <w:rPr>
                <w:rFonts w:eastAsia="Times New Roman" w:cs="Arial"/>
              </w:rPr>
            </w:pPr>
          </w:p>
        </w:tc>
        <w:tc>
          <w:tcPr>
            <w:tcW w:w="1148" w:type="dxa"/>
          </w:tcPr>
          <w:p w14:paraId="2D725870" w14:textId="77777777" w:rsidR="000A3AEC" w:rsidRPr="000A3AEC" w:rsidRDefault="000A3AEC" w:rsidP="000A3AEC">
            <w:pPr>
              <w:spacing w:line="240" w:lineRule="auto"/>
              <w:rPr>
                <w:rFonts w:eastAsia="Times New Roman" w:cs="Arial"/>
              </w:rPr>
            </w:pPr>
          </w:p>
        </w:tc>
        <w:tc>
          <w:tcPr>
            <w:tcW w:w="2129" w:type="dxa"/>
          </w:tcPr>
          <w:p w14:paraId="16B78540" w14:textId="77777777" w:rsidR="000A3AEC" w:rsidRPr="000A3AEC" w:rsidRDefault="000A3AEC" w:rsidP="000A3AEC">
            <w:pPr>
              <w:spacing w:line="240" w:lineRule="auto"/>
              <w:rPr>
                <w:rFonts w:eastAsia="Times New Roman" w:cs="Arial"/>
              </w:rPr>
            </w:pPr>
          </w:p>
        </w:tc>
        <w:tc>
          <w:tcPr>
            <w:tcW w:w="1717" w:type="dxa"/>
          </w:tcPr>
          <w:p w14:paraId="197FA372" w14:textId="77777777" w:rsidR="000A3AEC" w:rsidRPr="000A3AEC" w:rsidRDefault="000A3AEC" w:rsidP="000A3AEC">
            <w:pPr>
              <w:spacing w:line="240" w:lineRule="auto"/>
              <w:rPr>
                <w:rFonts w:eastAsia="Times New Roman" w:cs="Arial"/>
              </w:rPr>
            </w:pPr>
          </w:p>
        </w:tc>
        <w:tc>
          <w:tcPr>
            <w:tcW w:w="1363" w:type="dxa"/>
          </w:tcPr>
          <w:p w14:paraId="50AE12EC" w14:textId="77777777" w:rsidR="000A3AEC" w:rsidRPr="000A3AEC" w:rsidRDefault="000A3AEC" w:rsidP="000A3AEC">
            <w:pPr>
              <w:spacing w:line="240" w:lineRule="auto"/>
              <w:rPr>
                <w:rFonts w:eastAsia="Times New Roman" w:cs="Arial"/>
              </w:rPr>
            </w:pPr>
          </w:p>
        </w:tc>
      </w:tr>
      <w:tr w:rsidR="000A3AEC" w14:paraId="4715A212" w14:textId="77777777" w:rsidTr="000A3AEC">
        <w:tc>
          <w:tcPr>
            <w:tcW w:w="1929" w:type="dxa"/>
          </w:tcPr>
          <w:p w14:paraId="6D56DB1E" w14:textId="0B8B11B3" w:rsidR="000A3AEC" w:rsidRPr="000A3AEC" w:rsidRDefault="000A3AEC" w:rsidP="000A3AEC">
            <w:pPr>
              <w:spacing w:line="240" w:lineRule="auto"/>
              <w:rPr>
                <w:rFonts w:eastAsia="Times New Roman" w:cs="Arial"/>
              </w:rPr>
            </w:pPr>
            <w:r w:rsidRPr="000A3AEC">
              <w:rPr>
                <w:rFonts w:cs="Arial"/>
                <w:b/>
                <w:bCs/>
                <w:i/>
                <w:iCs/>
              </w:rPr>
              <w:lastRenderedPageBreak/>
              <w:t>Нарушения на нервната система</w:t>
            </w:r>
          </w:p>
        </w:tc>
        <w:tc>
          <w:tcPr>
            <w:tcW w:w="1290" w:type="dxa"/>
          </w:tcPr>
          <w:p w14:paraId="3820EE8F" w14:textId="7132C2B6" w:rsidR="000A3AEC" w:rsidRPr="000A3AEC" w:rsidRDefault="000A3AEC" w:rsidP="000A3AEC">
            <w:pPr>
              <w:spacing w:line="240" w:lineRule="auto"/>
              <w:rPr>
                <w:rFonts w:eastAsia="Times New Roman" w:cs="Arial"/>
              </w:rPr>
            </w:pPr>
            <w:r w:rsidRPr="000A3AEC">
              <w:rPr>
                <w:rFonts w:cs="Arial"/>
              </w:rPr>
              <w:t>Главоболие Замайване</w:t>
            </w:r>
          </w:p>
        </w:tc>
        <w:tc>
          <w:tcPr>
            <w:tcW w:w="1148" w:type="dxa"/>
          </w:tcPr>
          <w:p w14:paraId="626CA3B6" w14:textId="77777777" w:rsidR="000A3AEC" w:rsidRPr="000A3AEC" w:rsidRDefault="000A3AEC" w:rsidP="000A3AEC">
            <w:pPr>
              <w:spacing w:line="240" w:lineRule="auto"/>
              <w:rPr>
                <w:rFonts w:eastAsia="Times New Roman" w:cs="Arial"/>
              </w:rPr>
            </w:pPr>
          </w:p>
        </w:tc>
        <w:tc>
          <w:tcPr>
            <w:tcW w:w="2129" w:type="dxa"/>
          </w:tcPr>
          <w:p w14:paraId="7CD16D0F" w14:textId="77777777" w:rsidR="000A3AEC" w:rsidRPr="000A3AEC" w:rsidRDefault="000A3AEC" w:rsidP="000A3AEC">
            <w:pPr>
              <w:spacing w:line="240" w:lineRule="auto"/>
              <w:rPr>
                <w:rFonts w:eastAsia="Times New Roman" w:cs="Arial"/>
              </w:rPr>
            </w:pPr>
          </w:p>
        </w:tc>
        <w:tc>
          <w:tcPr>
            <w:tcW w:w="1717" w:type="dxa"/>
          </w:tcPr>
          <w:p w14:paraId="0951C087" w14:textId="4364B348" w:rsidR="000A3AEC" w:rsidRPr="000A3AEC" w:rsidRDefault="000A3AEC" w:rsidP="000A3AEC">
            <w:pPr>
              <w:spacing w:line="240" w:lineRule="auto"/>
              <w:rPr>
                <w:rFonts w:eastAsia="Times New Roman" w:cs="Arial"/>
              </w:rPr>
            </w:pPr>
            <w:r w:rsidRPr="000A3AEC">
              <w:rPr>
                <w:rFonts w:cs="Arial"/>
              </w:rPr>
              <w:t>Полиневропатия Загуба на памет</w:t>
            </w:r>
          </w:p>
        </w:tc>
        <w:tc>
          <w:tcPr>
            <w:tcW w:w="1363" w:type="dxa"/>
            <w:vAlign w:val="bottom"/>
          </w:tcPr>
          <w:p w14:paraId="2053BA0F" w14:textId="093EB20B" w:rsidR="000A3AEC" w:rsidRPr="000A3AEC" w:rsidRDefault="000A3AEC" w:rsidP="000A3AEC">
            <w:pPr>
              <w:spacing w:line="240" w:lineRule="auto"/>
              <w:rPr>
                <w:rFonts w:eastAsia="Times New Roman" w:cs="Arial"/>
              </w:rPr>
            </w:pPr>
            <w:r w:rsidRPr="000A3AEC">
              <w:rPr>
                <w:rFonts w:cs="Arial"/>
              </w:rPr>
              <w:t>Периферна невропатия Нарушения на съня (вкл. безсъние и кошмари)</w:t>
            </w:r>
          </w:p>
        </w:tc>
      </w:tr>
      <w:tr w:rsidR="000A3AEC" w14:paraId="4D0AFAEF" w14:textId="77777777" w:rsidTr="000A3AEC">
        <w:tc>
          <w:tcPr>
            <w:tcW w:w="1929" w:type="dxa"/>
            <w:vAlign w:val="bottom"/>
          </w:tcPr>
          <w:p w14:paraId="23F77777" w14:textId="4540FE27" w:rsidR="000A3AEC" w:rsidRPr="000A3AEC" w:rsidRDefault="000A3AEC" w:rsidP="000A3AEC">
            <w:pPr>
              <w:spacing w:line="240" w:lineRule="auto"/>
              <w:rPr>
                <w:rFonts w:eastAsia="Times New Roman" w:cs="Arial"/>
              </w:rPr>
            </w:pPr>
            <w:r w:rsidRPr="000A3AEC">
              <w:rPr>
                <w:rFonts w:cs="Arial"/>
                <w:b/>
                <w:bCs/>
                <w:i/>
                <w:iCs/>
              </w:rPr>
              <w:t>Респираторни, гръдни и медиастинални нарушения</w:t>
            </w:r>
          </w:p>
        </w:tc>
        <w:tc>
          <w:tcPr>
            <w:tcW w:w="1290" w:type="dxa"/>
          </w:tcPr>
          <w:p w14:paraId="67AECB6C" w14:textId="77777777" w:rsidR="000A3AEC" w:rsidRPr="000A3AEC" w:rsidRDefault="000A3AEC" w:rsidP="000A3AEC">
            <w:pPr>
              <w:spacing w:line="240" w:lineRule="auto"/>
              <w:rPr>
                <w:rFonts w:eastAsia="Times New Roman" w:cs="Arial"/>
              </w:rPr>
            </w:pPr>
          </w:p>
        </w:tc>
        <w:tc>
          <w:tcPr>
            <w:tcW w:w="1148" w:type="dxa"/>
          </w:tcPr>
          <w:p w14:paraId="37BEDB1B" w14:textId="77777777" w:rsidR="000A3AEC" w:rsidRPr="000A3AEC" w:rsidRDefault="000A3AEC" w:rsidP="000A3AEC">
            <w:pPr>
              <w:spacing w:line="240" w:lineRule="auto"/>
              <w:rPr>
                <w:rFonts w:eastAsia="Times New Roman" w:cs="Arial"/>
              </w:rPr>
            </w:pPr>
          </w:p>
        </w:tc>
        <w:tc>
          <w:tcPr>
            <w:tcW w:w="2129" w:type="dxa"/>
          </w:tcPr>
          <w:p w14:paraId="2FE871BA" w14:textId="77777777" w:rsidR="000A3AEC" w:rsidRPr="000A3AEC" w:rsidRDefault="000A3AEC" w:rsidP="000A3AEC">
            <w:pPr>
              <w:spacing w:line="240" w:lineRule="auto"/>
              <w:rPr>
                <w:rFonts w:eastAsia="Times New Roman" w:cs="Arial"/>
              </w:rPr>
            </w:pPr>
          </w:p>
        </w:tc>
        <w:tc>
          <w:tcPr>
            <w:tcW w:w="1717" w:type="dxa"/>
          </w:tcPr>
          <w:p w14:paraId="035FBB06" w14:textId="77777777" w:rsidR="000A3AEC" w:rsidRPr="000A3AEC" w:rsidRDefault="000A3AEC" w:rsidP="000A3AEC">
            <w:pPr>
              <w:spacing w:line="240" w:lineRule="auto"/>
              <w:rPr>
                <w:rFonts w:eastAsia="Times New Roman" w:cs="Arial"/>
              </w:rPr>
            </w:pPr>
          </w:p>
        </w:tc>
        <w:tc>
          <w:tcPr>
            <w:tcW w:w="1363" w:type="dxa"/>
          </w:tcPr>
          <w:p w14:paraId="6962F3CF" w14:textId="77777777" w:rsidR="000A3AEC" w:rsidRPr="000A3AEC" w:rsidRDefault="000A3AEC" w:rsidP="000A3AEC">
            <w:pPr>
              <w:rPr>
                <w:rFonts w:cs="Arial"/>
              </w:rPr>
            </w:pPr>
            <w:r w:rsidRPr="000A3AEC">
              <w:rPr>
                <w:rFonts w:cs="Arial"/>
              </w:rPr>
              <w:t>Кашлица</w:t>
            </w:r>
          </w:p>
          <w:p w14:paraId="0A968F7A" w14:textId="14303DA5" w:rsidR="000A3AEC" w:rsidRPr="000A3AEC" w:rsidRDefault="000A3AEC" w:rsidP="000A3AEC">
            <w:pPr>
              <w:spacing w:line="240" w:lineRule="auto"/>
              <w:rPr>
                <w:rFonts w:eastAsia="Times New Roman" w:cs="Arial"/>
              </w:rPr>
            </w:pPr>
            <w:r w:rsidRPr="000A3AEC">
              <w:rPr>
                <w:rFonts w:cs="Arial"/>
              </w:rPr>
              <w:t>Диспнея</w:t>
            </w:r>
          </w:p>
        </w:tc>
      </w:tr>
      <w:tr w:rsidR="000A3AEC" w14:paraId="1D7225AF" w14:textId="77777777" w:rsidTr="000A3AEC">
        <w:tc>
          <w:tcPr>
            <w:tcW w:w="1929" w:type="dxa"/>
            <w:vAlign w:val="bottom"/>
          </w:tcPr>
          <w:p w14:paraId="394984D5" w14:textId="19B99692" w:rsidR="000A3AEC" w:rsidRPr="000A3AEC" w:rsidRDefault="000A3AEC" w:rsidP="000A3AEC">
            <w:pPr>
              <w:spacing w:line="240" w:lineRule="auto"/>
              <w:rPr>
                <w:rFonts w:eastAsia="Times New Roman" w:cs="Arial"/>
              </w:rPr>
            </w:pPr>
            <w:r w:rsidRPr="000A3AEC">
              <w:rPr>
                <w:rFonts w:cs="Arial"/>
                <w:b/>
                <w:bCs/>
                <w:i/>
                <w:iCs/>
              </w:rPr>
              <w:t>Стомашно- чревни нарушения</w:t>
            </w:r>
          </w:p>
        </w:tc>
        <w:tc>
          <w:tcPr>
            <w:tcW w:w="1290" w:type="dxa"/>
            <w:vAlign w:val="bottom"/>
          </w:tcPr>
          <w:p w14:paraId="7FD21848" w14:textId="77777777" w:rsidR="000A3AEC" w:rsidRPr="000A3AEC" w:rsidRDefault="000A3AEC" w:rsidP="000A3AEC">
            <w:pPr>
              <w:rPr>
                <w:rFonts w:cs="Arial"/>
              </w:rPr>
            </w:pPr>
            <w:r w:rsidRPr="000A3AEC">
              <w:rPr>
                <w:rFonts w:cs="Arial"/>
              </w:rPr>
              <w:t>Запек</w:t>
            </w:r>
          </w:p>
          <w:p w14:paraId="39FA79AB" w14:textId="77777777" w:rsidR="000A3AEC" w:rsidRPr="000A3AEC" w:rsidRDefault="000A3AEC" w:rsidP="000A3AEC">
            <w:pPr>
              <w:rPr>
                <w:rFonts w:cs="Arial"/>
              </w:rPr>
            </w:pPr>
            <w:r w:rsidRPr="000A3AEC">
              <w:rPr>
                <w:rFonts w:cs="Arial"/>
              </w:rPr>
              <w:t>Гадене</w:t>
            </w:r>
          </w:p>
          <w:p w14:paraId="5479A955" w14:textId="591A642B" w:rsidR="000A3AEC" w:rsidRPr="000A3AEC" w:rsidRDefault="000A3AEC" w:rsidP="000A3AEC">
            <w:pPr>
              <w:spacing w:line="240" w:lineRule="auto"/>
              <w:rPr>
                <w:rFonts w:eastAsia="Times New Roman" w:cs="Arial"/>
              </w:rPr>
            </w:pPr>
            <w:r w:rsidRPr="000A3AEC">
              <w:rPr>
                <w:rFonts w:cs="Arial"/>
              </w:rPr>
              <w:t>Коремна болка</w:t>
            </w:r>
          </w:p>
        </w:tc>
        <w:tc>
          <w:tcPr>
            <w:tcW w:w="1148" w:type="dxa"/>
          </w:tcPr>
          <w:p w14:paraId="5A62066E" w14:textId="77777777" w:rsidR="000A3AEC" w:rsidRPr="000A3AEC" w:rsidRDefault="000A3AEC" w:rsidP="000A3AEC">
            <w:pPr>
              <w:spacing w:line="240" w:lineRule="auto"/>
              <w:rPr>
                <w:rFonts w:eastAsia="Times New Roman" w:cs="Arial"/>
              </w:rPr>
            </w:pPr>
          </w:p>
        </w:tc>
        <w:tc>
          <w:tcPr>
            <w:tcW w:w="2129" w:type="dxa"/>
          </w:tcPr>
          <w:p w14:paraId="7D9DA105" w14:textId="6481B7A9" w:rsidR="000A3AEC" w:rsidRPr="000A3AEC" w:rsidRDefault="000A3AEC" w:rsidP="000A3AEC">
            <w:pPr>
              <w:spacing w:line="240" w:lineRule="auto"/>
              <w:rPr>
                <w:rFonts w:eastAsia="Times New Roman" w:cs="Arial"/>
              </w:rPr>
            </w:pPr>
            <w:r w:rsidRPr="000A3AEC">
              <w:rPr>
                <w:rFonts w:cs="Arial"/>
              </w:rPr>
              <w:t>Панкреатит</w:t>
            </w:r>
          </w:p>
        </w:tc>
        <w:tc>
          <w:tcPr>
            <w:tcW w:w="1717" w:type="dxa"/>
          </w:tcPr>
          <w:p w14:paraId="23372EB6" w14:textId="77777777" w:rsidR="000A3AEC" w:rsidRPr="000A3AEC" w:rsidRDefault="000A3AEC" w:rsidP="000A3AEC">
            <w:pPr>
              <w:spacing w:line="240" w:lineRule="auto"/>
              <w:rPr>
                <w:rFonts w:eastAsia="Times New Roman" w:cs="Arial"/>
              </w:rPr>
            </w:pPr>
          </w:p>
        </w:tc>
        <w:tc>
          <w:tcPr>
            <w:tcW w:w="1363" w:type="dxa"/>
          </w:tcPr>
          <w:p w14:paraId="1707B331" w14:textId="5F6FB9C4" w:rsidR="000A3AEC" w:rsidRPr="000A3AEC" w:rsidRDefault="000A3AEC" w:rsidP="000A3AEC">
            <w:pPr>
              <w:spacing w:line="240" w:lineRule="auto"/>
              <w:rPr>
                <w:rFonts w:eastAsia="Times New Roman" w:cs="Arial"/>
              </w:rPr>
            </w:pPr>
            <w:r w:rsidRPr="000A3AEC">
              <w:rPr>
                <w:rFonts w:cs="Arial"/>
              </w:rPr>
              <w:t>Диария</w:t>
            </w:r>
          </w:p>
        </w:tc>
      </w:tr>
      <w:tr w:rsidR="000A3AEC" w14:paraId="6B4B8950" w14:textId="77777777" w:rsidTr="000A3AEC">
        <w:tc>
          <w:tcPr>
            <w:tcW w:w="1929" w:type="dxa"/>
          </w:tcPr>
          <w:p w14:paraId="3F1C7DF8" w14:textId="5C367934" w:rsidR="000A3AEC" w:rsidRPr="000A3AEC" w:rsidRDefault="000A3AEC" w:rsidP="000A3AEC">
            <w:pPr>
              <w:spacing w:line="240" w:lineRule="auto"/>
              <w:rPr>
                <w:rFonts w:eastAsia="Times New Roman" w:cs="Arial"/>
              </w:rPr>
            </w:pPr>
            <w:r w:rsidRPr="000A3AEC">
              <w:rPr>
                <w:rFonts w:cs="Arial"/>
                <w:b/>
                <w:bCs/>
                <w:i/>
                <w:iCs/>
              </w:rPr>
              <w:t>Хепатобилиарни нарушения</w:t>
            </w:r>
          </w:p>
        </w:tc>
        <w:tc>
          <w:tcPr>
            <w:tcW w:w="1290" w:type="dxa"/>
          </w:tcPr>
          <w:p w14:paraId="4319734D" w14:textId="77777777" w:rsidR="000A3AEC" w:rsidRPr="000A3AEC" w:rsidRDefault="000A3AEC" w:rsidP="000A3AEC">
            <w:pPr>
              <w:spacing w:line="240" w:lineRule="auto"/>
              <w:rPr>
                <w:rFonts w:eastAsia="Times New Roman" w:cs="Arial"/>
              </w:rPr>
            </w:pPr>
          </w:p>
        </w:tc>
        <w:tc>
          <w:tcPr>
            <w:tcW w:w="1148" w:type="dxa"/>
          </w:tcPr>
          <w:p w14:paraId="42693381" w14:textId="77777777" w:rsidR="000A3AEC" w:rsidRPr="000A3AEC" w:rsidRDefault="000A3AEC" w:rsidP="000A3AEC">
            <w:pPr>
              <w:spacing w:line="240" w:lineRule="auto"/>
              <w:rPr>
                <w:rFonts w:eastAsia="Times New Roman" w:cs="Arial"/>
              </w:rPr>
            </w:pPr>
          </w:p>
        </w:tc>
        <w:tc>
          <w:tcPr>
            <w:tcW w:w="2129" w:type="dxa"/>
            <w:vAlign w:val="bottom"/>
          </w:tcPr>
          <w:p w14:paraId="58E9B03B" w14:textId="30D4BA66" w:rsidR="000A3AEC" w:rsidRPr="000A3AEC" w:rsidRDefault="000A3AEC" w:rsidP="000A3AEC">
            <w:pPr>
              <w:spacing w:line="240" w:lineRule="auto"/>
              <w:rPr>
                <w:rFonts w:eastAsia="Times New Roman" w:cs="Arial"/>
              </w:rPr>
            </w:pPr>
            <w:r w:rsidRPr="000A3AEC">
              <w:rPr>
                <w:rFonts w:cs="Arial"/>
              </w:rPr>
              <w:t>Повишени чернодробни трансаминази</w:t>
            </w:r>
          </w:p>
        </w:tc>
        <w:tc>
          <w:tcPr>
            <w:tcW w:w="1717" w:type="dxa"/>
          </w:tcPr>
          <w:p w14:paraId="6BFFB438" w14:textId="77777777" w:rsidR="000A3AEC" w:rsidRPr="000A3AEC" w:rsidRDefault="000A3AEC" w:rsidP="000A3AEC">
            <w:pPr>
              <w:rPr>
                <w:rFonts w:cs="Arial"/>
              </w:rPr>
            </w:pPr>
            <w:r w:rsidRPr="000A3AEC">
              <w:rPr>
                <w:rFonts w:cs="Arial"/>
              </w:rPr>
              <w:t>Жълтеница</w:t>
            </w:r>
          </w:p>
          <w:p w14:paraId="181AB582" w14:textId="4BB1A807" w:rsidR="000A3AEC" w:rsidRPr="000A3AEC" w:rsidRDefault="000A3AEC" w:rsidP="000A3AEC">
            <w:pPr>
              <w:spacing w:line="240" w:lineRule="auto"/>
              <w:rPr>
                <w:rFonts w:eastAsia="Times New Roman" w:cs="Arial"/>
              </w:rPr>
            </w:pPr>
            <w:r w:rsidRPr="000A3AEC">
              <w:rPr>
                <w:rFonts w:cs="Arial"/>
              </w:rPr>
              <w:t>Хепатит</w:t>
            </w:r>
          </w:p>
        </w:tc>
        <w:tc>
          <w:tcPr>
            <w:tcW w:w="1363" w:type="dxa"/>
            <w:vAlign w:val="bottom"/>
          </w:tcPr>
          <w:p w14:paraId="53B1E92F" w14:textId="77777777" w:rsidR="000A3AEC" w:rsidRPr="000A3AEC" w:rsidRDefault="000A3AEC" w:rsidP="000A3AEC">
            <w:pPr>
              <w:spacing w:line="240" w:lineRule="auto"/>
              <w:rPr>
                <w:rFonts w:eastAsia="Times New Roman" w:cs="Arial"/>
              </w:rPr>
            </w:pPr>
          </w:p>
        </w:tc>
      </w:tr>
      <w:tr w:rsidR="000A3AEC" w14:paraId="0C473BEC" w14:textId="77777777" w:rsidTr="000A3AEC">
        <w:tc>
          <w:tcPr>
            <w:tcW w:w="1929" w:type="dxa"/>
          </w:tcPr>
          <w:p w14:paraId="4BDFA8B7" w14:textId="7987ECBB" w:rsidR="000A3AEC" w:rsidRPr="000A3AEC" w:rsidRDefault="000A3AEC" w:rsidP="000A3AEC">
            <w:pPr>
              <w:spacing w:line="240" w:lineRule="auto"/>
              <w:rPr>
                <w:rFonts w:eastAsia="Times New Roman" w:cs="Arial"/>
              </w:rPr>
            </w:pPr>
            <w:r w:rsidRPr="000A3AEC">
              <w:rPr>
                <w:rFonts w:cs="Arial"/>
                <w:b/>
                <w:bCs/>
                <w:i/>
                <w:iCs/>
              </w:rPr>
              <w:t>Нарушения на кожата и подкожната тъкан</w:t>
            </w:r>
          </w:p>
        </w:tc>
        <w:tc>
          <w:tcPr>
            <w:tcW w:w="1290" w:type="dxa"/>
          </w:tcPr>
          <w:p w14:paraId="5E5848A0" w14:textId="77777777" w:rsidR="000A3AEC" w:rsidRPr="000A3AEC" w:rsidRDefault="000A3AEC" w:rsidP="000A3AEC">
            <w:pPr>
              <w:spacing w:line="240" w:lineRule="auto"/>
              <w:rPr>
                <w:rFonts w:eastAsia="Times New Roman" w:cs="Arial"/>
              </w:rPr>
            </w:pPr>
          </w:p>
        </w:tc>
        <w:tc>
          <w:tcPr>
            <w:tcW w:w="1148" w:type="dxa"/>
          </w:tcPr>
          <w:p w14:paraId="7BE6FB49" w14:textId="6E91BA1E" w:rsidR="000A3AEC" w:rsidRPr="000A3AEC" w:rsidRDefault="000A3AEC" w:rsidP="000A3AEC">
            <w:pPr>
              <w:spacing w:line="240" w:lineRule="auto"/>
              <w:rPr>
                <w:rFonts w:eastAsia="Times New Roman" w:cs="Arial"/>
              </w:rPr>
            </w:pPr>
            <w:r w:rsidRPr="000A3AEC">
              <w:rPr>
                <w:rFonts w:cs="Arial"/>
              </w:rPr>
              <w:t>Сърбеж Обрив Уртикария</w:t>
            </w:r>
          </w:p>
        </w:tc>
        <w:tc>
          <w:tcPr>
            <w:tcW w:w="2129" w:type="dxa"/>
          </w:tcPr>
          <w:p w14:paraId="67432590" w14:textId="77777777" w:rsidR="000A3AEC" w:rsidRPr="000A3AEC" w:rsidRDefault="000A3AEC" w:rsidP="000A3AEC">
            <w:pPr>
              <w:spacing w:line="240" w:lineRule="auto"/>
              <w:rPr>
                <w:rFonts w:eastAsia="Times New Roman" w:cs="Arial"/>
              </w:rPr>
            </w:pPr>
          </w:p>
        </w:tc>
        <w:tc>
          <w:tcPr>
            <w:tcW w:w="1717" w:type="dxa"/>
          </w:tcPr>
          <w:p w14:paraId="160503DF" w14:textId="77777777" w:rsidR="000A3AEC" w:rsidRPr="000A3AEC" w:rsidRDefault="000A3AEC" w:rsidP="000A3AEC">
            <w:pPr>
              <w:spacing w:line="240" w:lineRule="auto"/>
              <w:rPr>
                <w:rFonts w:eastAsia="Times New Roman" w:cs="Arial"/>
              </w:rPr>
            </w:pPr>
          </w:p>
        </w:tc>
        <w:tc>
          <w:tcPr>
            <w:tcW w:w="1363" w:type="dxa"/>
            <w:vAlign w:val="bottom"/>
          </w:tcPr>
          <w:p w14:paraId="679DF839" w14:textId="77777777" w:rsidR="000A3AEC" w:rsidRPr="000A3AEC" w:rsidRDefault="000A3AEC" w:rsidP="000A3AEC">
            <w:pPr>
              <w:rPr>
                <w:rFonts w:cs="Arial"/>
              </w:rPr>
            </w:pPr>
            <w:r w:rsidRPr="000A3AEC">
              <w:rPr>
                <w:rFonts w:cs="Arial"/>
              </w:rPr>
              <w:t>Синдром на</w:t>
            </w:r>
          </w:p>
          <w:p w14:paraId="32488F21" w14:textId="77777777" w:rsidR="000A3AEC" w:rsidRPr="000A3AEC" w:rsidRDefault="000A3AEC" w:rsidP="000A3AEC">
            <w:pPr>
              <w:rPr>
                <w:rFonts w:cs="Arial"/>
              </w:rPr>
            </w:pPr>
            <w:r w:rsidRPr="000A3AEC">
              <w:rPr>
                <w:rFonts w:cs="Arial"/>
              </w:rPr>
              <w:t>Стивънс-</w:t>
            </w:r>
          </w:p>
          <w:p w14:paraId="59722D78" w14:textId="24A7B876" w:rsidR="000A3AEC" w:rsidRPr="000A3AEC" w:rsidRDefault="000A3AEC" w:rsidP="000A3AEC">
            <w:pPr>
              <w:spacing w:line="240" w:lineRule="auto"/>
              <w:rPr>
                <w:rFonts w:eastAsia="Times New Roman" w:cs="Arial"/>
              </w:rPr>
            </w:pPr>
            <w:r w:rsidRPr="000A3AEC">
              <w:rPr>
                <w:rFonts w:cs="Arial"/>
              </w:rPr>
              <w:t>Джонсън</w:t>
            </w:r>
          </w:p>
        </w:tc>
      </w:tr>
      <w:tr w:rsidR="000A3AEC" w14:paraId="06E73D90" w14:textId="77777777" w:rsidTr="000A3AEC">
        <w:tc>
          <w:tcPr>
            <w:tcW w:w="1929" w:type="dxa"/>
          </w:tcPr>
          <w:p w14:paraId="23D292B8" w14:textId="0C016A16" w:rsidR="000A3AEC" w:rsidRDefault="000A3AEC" w:rsidP="000A3AEC">
            <w:pPr>
              <w:spacing w:line="240" w:lineRule="auto"/>
              <w:rPr>
                <w:rFonts w:ascii="Times New Roman" w:eastAsia="Times New Roman" w:hAnsi="Times New Roman" w:cs="Times New Roman"/>
                <w:sz w:val="24"/>
                <w:szCs w:val="24"/>
              </w:rPr>
            </w:pPr>
            <w:r>
              <w:rPr>
                <w:rFonts w:cs="Arial"/>
                <w:b/>
                <w:bCs/>
                <w:i/>
                <w:iCs/>
              </w:rPr>
              <w:t>Нарушения на мускулно- скелетната система и съединителната тъкан</w:t>
            </w:r>
          </w:p>
        </w:tc>
        <w:tc>
          <w:tcPr>
            <w:tcW w:w="1290" w:type="dxa"/>
          </w:tcPr>
          <w:p w14:paraId="60536958" w14:textId="2D4F757B" w:rsidR="000A3AEC" w:rsidRDefault="000A3AEC" w:rsidP="000A3AEC">
            <w:pPr>
              <w:spacing w:line="240" w:lineRule="auto"/>
              <w:rPr>
                <w:rFonts w:ascii="Times New Roman" w:eastAsia="Times New Roman" w:hAnsi="Times New Roman" w:cs="Times New Roman"/>
                <w:sz w:val="24"/>
                <w:szCs w:val="24"/>
              </w:rPr>
            </w:pPr>
            <w:r>
              <w:rPr>
                <w:rFonts w:cs="Arial"/>
              </w:rPr>
              <w:t>Миалгия</w:t>
            </w:r>
          </w:p>
        </w:tc>
        <w:tc>
          <w:tcPr>
            <w:tcW w:w="1148" w:type="dxa"/>
          </w:tcPr>
          <w:p w14:paraId="7AFD4043" w14:textId="77777777" w:rsidR="000A3AEC" w:rsidRDefault="000A3AEC" w:rsidP="000A3AEC">
            <w:pPr>
              <w:spacing w:line="240" w:lineRule="auto"/>
              <w:rPr>
                <w:rFonts w:ascii="Times New Roman" w:eastAsia="Times New Roman" w:hAnsi="Times New Roman" w:cs="Times New Roman"/>
                <w:sz w:val="24"/>
                <w:szCs w:val="24"/>
              </w:rPr>
            </w:pPr>
          </w:p>
        </w:tc>
        <w:tc>
          <w:tcPr>
            <w:tcW w:w="2129" w:type="dxa"/>
          </w:tcPr>
          <w:p w14:paraId="60974EBD" w14:textId="5C5ABEF5" w:rsidR="000A3AEC" w:rsidRDefault="000A3AEC" w:rsidP="000A3AEC">
            <w:pPr>
              <w:spacing w:line="240" w:lineRule="auto"/>
              <w:rPr>
                <w:rFonts w:ascii="Times New Roman" w:eastAsia="Times New Roman" w:hAnsi="Times New Roman" w:cs="Times New Roman"/>
                <w:sz w:val="24"/>
                <w:szCs w:val="24"/>
              </w:rPr>
            </w:pPr>
            <w:r>
              <w:rPr>
                <w:rFonts w:cs="Arial"/>
              </w:rPr>
              <w:t>Миопатия (включително миозит) Рабдомиолиза</w:t>
            </w:r>
          </w:p>
        </w:tc>
        <w:tc>
          <w:tcPr>
            <w:tcW w:w="1717" w:type="dxa"/>
          </w:tcPr>
          <w:p w14:paraId="27B48101" w14:textId="205C9D97" w:rsidR="000A3AEC" w:rsidRDefault="000A3AEC" w:rsidP="000A3AEC">
            <w:pPr>
              <w:spacing w:line="240" w:lineRule="auto"/>
              <w:rPr>
                <w:rFonts w:ascii="Times New Roman" w:eastAsia="Times New Roman" w:hAnsi="Times New Roman" w:cs="Times New Roman"/>
                <w:sz w:val="24"/>
                <w:szCs w:val="24"/>
              </w:rPr>
            </w:pPr>
            <w:r>
              <w:rPr>
                <w:rFonts w:cs="Arial"/>
              </w:rPr>
              <w:t>Артралгия</w:t>
            </w:r>
          </w:p>
        </w:tc>
        <w:tc>
          <w:tcPr>
            <w:tcW w:w="1363" w:type="dxa"/>
          </w:tcPr>
          <w:p w14:paraId="52C5BCC2" w14:textId="1C166281" w:rsidR="000A3AEC" w:rsidRDefault="000A3AEC" w:rsidP="000A3AEC">
            <w:pPr>
              <w:spacing w:line="240" w:lineRule="auto"/>
              <w:rPr>
                <w:rFonts w:ascii="Times New Roman" w:eastAsia="Times New Roman" w:hAnsi="Times New Roman" w:cs="Times New Roman"/>
                <w:sz w:val="24"/>
                <w:szCs w:val="24"/>
              </w:rPr>
            </w:pPr>
            <w:r>
              <w:rPr>
                <w:rFonts w:cs="Arial"/>
              </w:rPr>
              <w:t>Увреждания на сухожилията понякога усложнени о руптура Имуно- медиирана некротична миопатия</w:t>
            </w:r>
          </w:p>
        </w:tc>
      </w:tr>
      <w:tr w:rsidR="000A3AEC" w14:paraId="73B2EB09" w14:textId="77777777" w:rsidTr="000A3AEC">
        <w:tc>
          <w:tcPr>
            <w:tcW w:w="1929" w:type="dxa"/>
          </w:tcPr>
          <w:p w14:paraId="7031840B" w14:textId="21CDAEA1" w:rsidR="000A3AEC" w:rsidRDefault="000A3AEC" w:rsidP="000A3AEC">
            <w:pPr>
              <w:spacing w:line="240" w:lineRule="auto"/>
              <w:rPr>
                <w:rFonts w:ascii="Times New Roman" w:eastAsia="Times New Roman" w:hAnsi="Times New Roman" w:cs="Times New Roman"/>
                <w:sz w:val="24"/>
                <w:szCs w:val="24"/>
              </w:rPr>
            </w:pPr>
            <w:r>
              <w:rPr>
                <w:rFonts w:cs="Arial"/>
                <w:b/>
                <w:bCs/>
                <w:i/>
                <w:iCs/>
              </w:rPr>
              <w:t>Нарушения на бъбреците и пикочните пътище</w:t>
            </w:r>
          </w:p>
        </w:tc>
        <w:tc>
          <w:tcPr>
            <w:tcW w:w="1290" w:type="dxa"/>
          </w:tcPr>
          <w:p w14:paraId="36A385D2" w14:textId="77777777" w:rsidR="000A3AEC" w:rsidRDefault="000A3AEC" w:rsidP="000A3AEC">
            <w:pPr>
              <w:spacing w:line="240" w:lineRule="auto"/>
              <w:rPr>
                <w:rFonts w:ascii="Times New Roman" w:eastAsia="Times New Roman" w:hAnsi="Times New Roman" w:cs="Times New Roman"/>
                <w:sz w:val="24"/>
                <w:szCs w:val="24"/>
              </w:rPr>
            </w:pPr>
          </w:p>
        </w:tc>
        <w:tc>
          <w:tcPr>
            <w:tcW w:w="1148" w:type="dxa"/>
          </w:tcPr>
          <w:p w14:paraId="3A518B74" w14:textId="77777777" w:rsidR="000A3AEC" w:rsidRDefault="000A3AEC" w:rsidP="000A3AEC">
            <w:pPr>
              <w:spacing w:line="240" w:lineRule="auto"/>
              <w:rPr>
                <w:rFonts w:ascii="Times New Roman" w:eastAsia="Times New Roman" w:hAnsi="Times New Roman" w:cs="Times New Roman"/>
                <w:sz w:val="24"/>
                <w:szCs w:val="24"/>
              </w:rPr>
            </w:pPr>
          </w:p>
        </w:tc>
        <w:tc>
          <w:tcPr>
            <w:tcW w:w="2129" w:type="dxa"/>
          </w:tcPr>
          <w:p w14:paraId="655FA386" w14:textId="77777777" w:rsidR="000A3AEC" w:rsidRDefault="000A3AEC" w:rsidP="000A3AEC">
            <w:pPr>
              <w:spacing w:line="240" w:lineRule="auto"/>
              <w:rPr>
                <w:rFonts w:ascii="Times New Roman" w:eastAsia="Times New Roman" w:hAnsi="Times New Roman" w:cs="Times New Roman"/>
                <w:sz w:val="24"/>
                <w:szCs w:val="24"/>
              </w:rPr>
            </w:pPr>
          </w:p>
        </w:tc>
        <w:tc>
          <w:tcPr>
            <w:tcW w:w="1717" w:type="dxa"/>
          </w:tcPr>
          <w:p w14:paraId="21114956" w14:textId="6AB12011" w:rsidR="000A3AEC" w:rsidRDefault="000A3AEC" w:rsidP="000A3AEC">
            <w:pPr>
              <w:spacing w:line="240" w:lineRule="auto"/>
              <w:rPr>
                <w:rFonts w:ascii="Times New Roman" w:eastAsia="Times New Roman" w:hAnsi="Times New Roman" w:cs="Times New Roman"/>
                <w:sz w:val="24"/>
                <w:szCs w:val="24"/>
              </w:rPr>
            </w:pPr>
            <w:r>
              <w:rPr>
                <w:rFonts w:cs="Arial"/>
              </w:rPr>
              <w:t>Хематурия</w:t>
            </w:r>
          </w:p>
        </w:tc>
        <w:tc>
          <w:tcPr>
            <w:tcW w:w="1363" w:type="dxa"/>
          </w:tcPr>
          <w:p w14:paraId="2F37332C" w14:textId="77777777" w:rsidR="000A3AEC" w:rsidRDefault="000A3AEC" w:rsidP="000A3AEC">
            <w:pPr>
              <w:spacing w:line="240" w:lineRule="auto"/>
              <w:rPr>
                <w:rFonts w:ascii="Times New Roman" w:eastAsia="Times New Roman" w:hAnsi="Times New Roman" w:cs="Times New Roman"/>
                <w:sz w:val="24"/>
                <w:szCs w:val="24"/>
              </w:rPr>
            </w:pPr>
          </w:p>
        </w:tc>
      </w:tr>
      <w:tr w:rsidR="000A3AEC" w14:paraId="646FEFAD" w14:textId="77777777" w:rsidTr="000A3AEC">
        <w:tc>
          <w:tcPr>
            <w:tcW w:w="1929" w:type="dxa"/>
          </w:tcPr>
          <w:p w14:paraId="31EFA01F" w14:textId="28281441" w:rsidR="000A3AEC" w:rsidRDefault="000A3AEC" w:rsidP="000A3AEC">
            <w:pPr>
              <w:spacing w:line="240" w:lineRule="auto"/>
              <w:rPr>
                <w:rFonts w:ascii="Times New Roman" w:eastAsia="Times New Roman" w:hAnsi="Times New Roman" w:cs="Times New Roman"/>
                <w:sz w:val="24"/>
                <w:szCs w:val="24"/>
              </w:rPr>
            </w:pPr>
            <w:r>
              <w:rPr>
                <w:rFonts w:cs="Arial"/>
                <w:b/>
                <w:bCs/>
                <w:i/>
                <w:iCs/>
              </w:rPr>
              <w:t>Нарушения на репродуктивнат а система и гърдата</w:t>
            </w:r>
          </w:p>
        </w:tc>
        <w:tc>
          <w:tcPr>
            <w:tcW w:w="1290" w:type="dxa"/>
          </w:tcPr>
          <w:p w14:paraId="50DE95CF" w14:textId="77777777" w:rsidR="000A3AEC" w:rsidRDefault="000A3AEC" w:rsidP="000A3AEC">
            <w:pPr>
              <w:spacing w:line="240" w:lineRule="auto"/>
              <w:rPr>
                <w:rFonts w:ascii="Times New Roman" w:eastAsia="Times New Roman" w:hAnsi="Times New Roman" w:cs="Times New Roman"/>
                <w:sz w:val="24"/>
                <w:szCs w:val="24"/>
              </w:rPr>
            </w:pPr>
          </w:p>
        </w:tc>
        <w:tc>
          <w:tcPr>
            <w:tcW w:w="1148" w:type="dxa"/>
          </w:tcPr>
          <w:p w14:paraId="06260A28" w14:textId="77777777" w:rsidR="000A3AEC" w:rsidRDefault="000A3AEC" w:rsidP="000A3AEC">
            <w:pPr>
              <w:spacing w:line="240" w:lineRule="auto"/>
              <w:rPr>
                <w:rFonts w:ascii="Times New Roman" w:eastAsia="Times New Roman" w:hAnsi="Times New Roman" w:cs="Times New Roman"/>
                <w:sz w:val="24"/>
                <w:szCs w:val="24"/>
              </w:rPr>
            </w:pPr>
          </w:p>
        </w:tc>
        <w:tc>
          <w:tcPr>
            <w:tcW w:w="2129" w:type="dxa"/>
          </w:tcPr>
          <w:p w14:paraId="7C605FD8" w14:textId="77777777" w:rsidR="000A3AEC" w:rsidRDefault="000A3AEC" w:rsidP="000A3AEC">
            <w:pPr>
              <w:spacing w:line="240" w:lineRule="auto"/>
              <w:rPr>
                <w:rFonts w:ascii="Times New Roman" w:eastAsia="Times New Roman" w:hAnsi="Times New Roman" w:cs="Times New Roman"/>
                <w:sz w:val="24"/>
                <w:szCs w:val="24"/>
              </w:rPr>
            </w:pPr>
          </w:p>
        </w:tc>
        <w:tc>
          <w:tcPr>
            <w:tcW w:w="1717" w:type="dxa"/>
          </w:tcPr>
          <w:p w14:paraId="1849CDF8" w14:textId="249DC08E" w:rsidR="000A3AEC" w:rsidRDefault="000A3AEC" w:rsidP="000A3AEC">
            <w:pPr>
              <w:spacing w:line="240" w:lineRule="auto"/>
              <w:rPr>
                <w:rFonts w:ascii="Times New Roman" w:eastAsia="Times New Roman" w:hAnsi="Times New Roman" w:cs="Times New Roman"/>
                <w:sz w:val="24"/>
                <w:szCs w:val="24"/>
              </w:rPr>
            </w:pPr>
            <w:r>
              <w:rPr>
                <w:rFonts w:cs="Arial"/>
              </w:rPr>
              <w:t>Гинекомастия</w:t>
            </w:r>
          </w:p>
        </w:tc>
        <w:tc>
          <w:tcPr>
            <w:tcW w:w="1363" w:type="dxa"/>
          </w:tcPr>
          <w:p w14:paraId="626F572B" w14:textId="77777777" w:rsidR="000A3AEC" w:rsidRDefault="000A3AEC" w:rsidP="000A3AEC">
            <w:pPr>
              <w:spacing w:line="240" w:lineRule="auto"/>
              <w:rPr>
                <w:rFonts w:ascii="Times New Roman" w:eastAsia="Times New Roman" w:hAnsi="Times New Roman" w:cs="Times New Roman"/>
                <w:sz w:val="24"/>
                <w:szCs w:val="24"/>
              </w:rPr>
            </w:pPr>
          </w:p>
        </w:tc>
      </w:tr>
      <w:tr w:rsidR="000A3AEC" w14:paraId="50C7747F" w14:textId="77777777" w:rsidTr="000A3AEC">
        <w:tc>
          <w:tcPr>
            <w:tcW w:w="1929" w:type="dxa"/>
          </w:tcPr>
          <w:p w14:paraId="354A9EA2" w14:textId="52F0D13D" w:rsidR="000A3AEC" w:rsidRDefault="000A3AEC" w:rsidP="000A3AEC">
            <w:pPr>
              <w:spacing w:line="240" w:lineRule="auto"/>
              <w:rPr>
                <w:rFonts w:ascii="Times New Roman" w:eastAsia="Times New Roman" w:hAnsi="Times New Roman" w:cs="Times New Roman"/>
                <w:sz w:val="24"/>
                <w:szCs w:val="24"/>
              </w:rPr>
            </w:pPr>
            <w:r>
              <w:rPr>
                <w:rFonts w:cs="Arial"/>
                <w:b/>
                <w:bCs/>
                <w:i/>
                <w:iCs/>
              </w:rPr>
              <w:t xml:space="preserve">Общи нарушения и ефекти на </w:t>
            </w:r>
            <w:r>
              <w:rPr>
                <w:rFonts w:cs="Arial"/>
                <w:b/>
                <w:bCs/>
                <w:i/>
                <w:iCs/>
              </w:rPr>
              <w:lastRenderedPageBreak/>
              <w:t>мястото на приложение</w:t>
            </w:r>
          </w:p>
        </w:tc>
        <w:tc>
          <w:tcPr>
            <w:tcW w:w="1290" w:type="dxa"/>
          </w:tcPr>
          <w:p w14:paraId="0AB47E14" w14:textId="7B980033" w:rsidR="000A3AEC" w:rsidRDefault="000A3AEC" w:rsidP="000A3AEC">
            <w:pPr>
              <w:spacing w:line="240" w:lineRule="auto"/>
              <w:rPr>
                <w:rFonts w:ascii="Times New Roman" w:eastAsia="Times New Roman" w:hAnsi="Times New Roman" w:cs="Times New Roman"/>
                <w:sz w:val="24"/>
                <w:szCs w:val="24"/>
              </w:rPr>
            </w:pPr>
            <w:r>
              <w:rPr>
                <w:rFonts w:cs="Arial"/>
              </w:rPr>
              <w:lastRenderedPageBreak/>
              <w:t>Астения</w:t>
            </w:r>
          </w:p>
        </w:tc>
        <w:tc>
          <w:tcPr>
            <w:tcW w:w="1148" w:type="dxa"/>
          </w:tcPr>
          <w:p w14:paraId="495574D8" w14:textId="77777777" w:rsidR="000A3AEC" w:rsidRDefault="000A3AEC" w:rsidP="000A3AEC">
            <w:pPr>
              <w:spacing w:line="240" w:lineRule="auto"/>
              <w:rPr>
                <w:rFonts w:ascii="Times New Roman" w:eastAsia="Times New Roman" w:hAnsi="Times New Roman" w:cs="Times New Roman"/>
                <w:sz w:val="24"/>
                <w:szCs w:val="24"/>
              </w:rPr>
            </w:pPr>
          </w:p>
        </w:tc>
        <w:tc>
          <w:tcPr>
            <w:tcW w:w="2129" w:type="dxa"/>
          </w:tcPr>
          <w:p w14:paraId="6E70696B" w14:textId="77777777" w:rsidR="000A3AEC" w:rsidRDefault="000A3AEC" w:rsidP="000A3AEC">
            <w:pPr>
              <w:spacing w:line="240" w:lineRule="auto"/>
              <w:rPr>
                <w:rFonts w:ascii="Times New Roman" w:eastAsia="Times New Roman" w:hAnsi="Times New Roman" w:cs="Times New Roman"/>
                <w:sz w:val="24"/>
                <w:szCs w:val="24"/>
              </w:rPr>
            </w:pPr>
          </w:p>
        </w:tc>
        <w:tc>
          <w:tcPr>
            <w:tcW w:w="1717" w:type="dxa"/>
          </w:tcPr>
          <w:p w14:paraId="69891DBD" w14:textId="77777777" w:rsidR="000A3AEC" w:rsidRDefault="000A3AEC" w:rsidP="000A3AEC">
            <w:pPr>
              <w:spacing w:line="240" w:lineRule="auto"/>
              <w:rPr>
                <w:rFonts w:ascii="Times New Roman" w:eastAsia="Times New Roman" w:hAnsi="Times New Roman" w:cs="Times New Roman"/>
                <w:sz w:val="24"/>
                <w:szCs w:val="24"/>
              </w:rPr>
            </w:pPr>
          </w:p>
        </w:tc>
        <w:tc>
          <w:tcPr>
            <w:tcW w:w="1363" w:type="dxa"/>
          </w:tcPr>
          <w:p w14:paraId="4C46BCD7" w14:textId="114CAC13" w:rsidR="000A3AEC" w:rsidRDefault="000A3AEC" w:rsidP="000A3AEC">
            <w:pPr>
              <w:spacing w:line="240" w:lineRule="auto"/>
              <w:rPr>
                <w:rFonts w:ascii="Times New Roman" w:eastAsia="Times New Roman" w:hAnsi="Times New Roman" w:cs="Times New Roman"/>
                <w:sz w:val="24"/>
                <w:szCs w:val="24"/>
              </w:rPr>
            </w:pPr>
            <w:r>
              <w:rPr>
                <w:rFonts w:cs="Arial"/>
              </w:rPr>
              <w:t>Едем</w:t>
            </w:r>
          </w:p>
        </w:tc>
      </w:tr>
      <w:tr w:rsidR="000A3AEC" w14:paraId="00033265" w14:textId="77777777" w:rsidTr="0030761F">
        <w:tc>
          <w:tcPr>
            <w:tcW w:w="9576" w:type="dxa"/>
            <w:gridSpan w:val="6"/>
          </w:tcPr>
          <w:p w14:paraId="58062D42" w14:textId="55419A32" w:rsid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vertAlign w:val="superscript"/>
                <w:lang w:eastAsia="bg-BG"/>
              </w:rPr>
              <w:t>1</w:t>
            </w:r>
            <w:r w:rsidRPr="000A3AEC">
              <w:rPr>
                <w:rFonts w:eastAsia="Times New Roman" w:cs="Arial"/>
                <w:color w:val="000000"/>
                <w:lang w:eastAsia="bg-BG"/>
              </w:rPr>
              <w:t xml:space="preserve"> Честотата ще зависи от наличието или отсъствието на рискови фактори (глюкоза на гладно &gt;5,6 </w:t>
            </w:r>
            <w:proofErr w:type="spellStart"/>
            <w:r w:rsidRPr="000A3AEC">
              <w:rPr>
                <w:rFonts w:eastAsia="Times New Roman" w:cs="Arial"/>
                <w:color w:val="000000"/>
                <w:lang w:val="en-US"/>
              </w:rPr>
              <w:t>mmol</w:t>
            </w:r>
            <w:proofErr w:type="spellEnd"/>
            <w:r w:rsidRPr="000A3AEC">
              <w:rPr>
                <w:rFonts w:eastAsia="Times New Roman" w:cs="Arial"/>
                <w:color w:val="000000"/>
                <w:lang w:val="ru-RU"/>
              </w:rPr>
              <w:t xml:space="preserve">/1, </w:t>
            </w:r>
            <w:r w:rsidRPr="000A3AEC">
              <w:rPr>
                <w:rFonts w:eastAsia="Times New Roman" w:cs="Arial"/>
                <w:color w:val="000000"/>
                <w:lang w:eastAsia="bg-BG"/>
              </w:rPr>
              <w:t xml:space="preserve">индекс на телесна маса &gt;30 </w:t>
            </w:r>
            <w:r w:rsidRPr="000A3AEC">
              <w:rPr>
                <w:rFonts w:eastAsia="Times New Roman" w:cs="Arial"/>
                <w:color w:val="000000"/>
                <w:lang w:val="en-US"/>
              </w:rPr>
              <w:t>kg</w:t>
            </w:r>
            <w:r w:rsidRPr="000A3AEC">
              <w:rPr>
                <w:rFonts w:eastAsia="Times New Roman" w:cs="Arial"/>
                <w:color w:val="000000"/>
                <w:lang w:val="ru-RU"/>
              </w:rPr>
              <w:t>/</w:t>
            </w:r>
            <w:r w:rsidRPr="000A3AEC">
              <w:rPr>
                <w:rFonts w:eastAsia="Times New Roman" w:cs="Arial"/>
                <w:color w:val="000000"/>
                <w:lang w:val="en-US"/>
              </w:rPr>
              <w:t>m</w:t>
            </w:r>
            <w:r w:rsidRPr="000A3AEC">
              <w:rPr>
                <w:rFonts w:eastAsia="Times New Roman" w:cs="Arial"/>
                <w:color w:val="000000"/>
                <w:vertAlign w:val="superscript"/>
                <w:lang w:val="ru-RU"/>
              </w:rPr>
              <w:t>2</w:t>
            </w:r>
            <w:r w:rsidRPr="000A3AEC">
              <w:rPr>
                <w:rFonts w:eastAsia="Times New Roman" w:cs="Arial"/>
                <w:color w:val="000000"/>
                <w:lang w:val="ru-RU"/>
              </w:rPr>
              <w:t xml:space="preserve">, </w:t>
            </w:r>
            <w:r w:rsidRPr="000A3AEC">
              <w:rPr>
                <w:rFonts w:eastAsia="Times New Roman" w:cs="Arial"/>
                <w:color w:val="000000"/>
                <w:lang w:eastAsia="bg-BG"/>
              </w:rPr>
              <w:t>повишени стойности на триглицеридите, анамнеза за хипертония)</w:t>
            </w:r>
          </w:p>
        </w:tc>
      </w:tr>
    </w:tbl>
    <w:p w14:paraId="273B894F" w14:textId="50C555B1" w:rsidR="000A3AEC" w:rsidRDefault="000A3AEC" w:rsidP="000A3AEC">
      <w:pPr>
        <w:spacing w:line="240" w:lineRule="auto"/>
        <w:rPr>
          <w:rFonts w:ascii="Times New Roman" w:eastAsia="Times New Roman" w:hAnsi="Times New Roman" w:cs="Times New Roman"/>
          <w:sz w:val="24"/>
          <w:szCs w:val="24"/>
        </w:rPr>
      </w:pPr>
    </w:p>
    <w:p w14:paraId="6850EA2E"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Както при други инхибитори на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редуктазата, честотата на нежеланите лекарствени реакции е дозо-зависима.</w:t>
      </w:r>
    </w:p>
    <w:p w14:paraId="5B465F2E" w14:textId="77777777" w:rsidR="000A3AEC" w:rsidRDefault="000A3AEC" w:rsidP="000A3AEC">
      <w:pPr>
        <w:spacing w:line="240" w:lineRule="auto"/>
        <w:rPr>
          <w:rFonts w:eastAsia="Times New Roman" w:cs="Arial"/>
          <w:b/>
          <w:bCs/>
          <w:color w:val="000000"/>
          <w:lang w:eastAsia="bg-BG"/>
        </w:rPr>
      </w:pPr>
    </w:p>
    <w:p w14:paraId="0334CE44" w14:textId="2E06F088"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Ефекти върху бъбреците: </w:t>
      </w:r>
      <w:r w:rsidRPr="000A3AEC">
        <w:rPr>
          <w:rFonts w:eastAsia="Times New Roman" w:cs="Arial"/>
          <w:color w:val="000000"/>
          <w:lang w:eastAsia="bg-BG"/>
        </w:rPr>
        <w:t xml:space="preserve">При пациенти, лекувани с розувастатин, е наблюдавана протеинурия, установена при изследване с тест-лентички и която е с предимно тубулен произход. В определен момент от лечението при &lt;1% от пациентите на 10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и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и при приблизително 3% от пациентите, лекувани с 40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са наблюдавани промени в изследванията за протеини в урината от отрицателен резултат или следи до ++. Незначително отклонение в посока от отрицателен резултат или следи към + е наблюдавано при доза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В повечето случаи протеинурията намалява или изчезва спонтанно в процеса на лечението и не е доказано да предшества остро и прогресивно бъбречно заболяване. От прегледа на данните при клиничните опити и постмаркетинговите проучвания, до сега не е установена причинна връзка между протеинурията и остро или прогресивно бъбречно заболяване.</w:t>
      </w:r>
    </w:p>
    <w:p w14:paraId="6204ABF1" w14:textId="77777777" w:rsidR="000A3AEC" w:rsidRDefault="000A3AEC" w:rsidP="000A3AEC">
      <w:pPr>
        <w:spacing w:line="240" w:lineRule="auto"/>
        <w:rPr>
          <w:rFonts w:eastAsia="Times New Roman" w:cs="Arial"/>
          <w:color w:val="000000"/>
          <w:lang w:eastAsia="bg-BG"/>
        </w:rPr>
      </w:pPr>
    </w:p>
    <w:p w14:paraId="1BD9BB3B" w14:textId="35BE5662"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При пациенти, лекувани с розувастатин, е наблюдавана хематурия, но клиничните данни сочат, че честотата й е ниска.</w:t>
      </w:r>
    </w:p>
    <w:p w14:paraId="3E30C3B9" w14:textId="77777777" w:rsidR="000A3AEC" w:rsidRDefault="000A3AEC" w:rsidP="000A3AEC">
      <w:pPr>
        <w:spacing w:line="240" w:lineRule="auto"/>
        <w:rPr>
          <w:rFonts w:eastAsia="Times New Roman" w:cs="Arial"/>
          <w:b/>
          <w:bCs/>
          <w:color w:val="000000"/>
          <w:lang w:eastAsia="bg-BG"/>
        </w:rPr>
      </w:pPr>
    </w:p>
    <w:p w14:paraId="0AF08694" w14:textId="68451B2F"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Ефекти върху скелетната мускулатура: </w:t>
      </w:r>
      <w:r w:rsidRPr="000A3AEC">
        <w:rPr>
          <w:rFonts w:eastAsia="Times New Roman" w:cs="Arial"/>
          <w:color w:val="000000"/>
          <w:lang w:eastAsia="bg-BG"/>
        </w:rPr>
        <w:t xml:space="preserve">Както при други инхибитори на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 xml:space="preserve">редуктазата, са съобщавани ефекти върху скелетната мускулатура, като неусложнена миалгия, миопатия (включително миозит) и рабдомиолиза, при пациенти лекувани с розувастатин във всички терапевтични дози, особено в дози над 20 </w:t>
      </w:r>
      <w:r w:rsidRPr="000A3AEC">
        <w:rPr>
          <w:rFonts w:eastAsia="Times New Roman" w:cs="Arial"/>
          <w:color w:val="000000"/>
          <w:lang w:val="en-US"/>
        </w:rPr>
        <w:t>mg</w:t>
      </w:r>
      <w:r w:rsidRPr="000A3AEC">
        <w:rPr>
          <w:rFonts w:eastAsia="Times New Roman" w:cs="Arial"/>
          <w:color w:val="000000"/>
          <w:lang w:val="ru-RU"/>
        </w:rPr>
        <w:t>.</w:t>
      </w:r>
    </w:p>
    <w:p w14:paraId="5084D888" w14:textId="77777777" w:rsidR="000A3AEC" w:rsidRDefault="000A3AEC" w:rsidP="000A3AEC">
      <w:pPr>
        <w:spacing w:line="240" w:lineRule="auto"/>
        <w:rPr>
          <w:rFonts w:eastAsia="Times New Roman" w:cs="Arial"/>
          <w:color w:val="000000"/>
          <w:lang w:eastAsia="bg-BG"/>
        </w:rPr>
      </w:pPr>
    </w:p>
    <w:p w14:paraId="574BD998" w14:textId="77777777" w:rsidR="000A3AEC" w:rsidRDefault="000A3AEC" w:rsidP="000A3AEC">
      <w:pPr>
        <w:spacing w:line="240" w:lineRule="auto"/>
        <w:rPr>
          <w:rFonts w:eastAsia="Times New Roman" w:cs="Arial"/>
          <w:color w:val="000000"/>
          <w:lang w:eastAsia="bg-BG"/>
        </w:rPr>
      </w:pPr>
      <w:r w:rsidRPr="000A3AEC">
        <w:rPr>
          <w:rFonts w:eastAsia="Times New Roman" w:cs="Arial"/>
          <w:color w:val="000000"/>
          <w:lang w:eastAsia="bg-BG"/>
        </w:rPr>
        <w:t xml:space="preserve">Увеличение на нивото на СК вследствие на увеличение на дозата е наблюдавано при малък брой пациенти на розувастатин; множеството от случаите са леки, преходни и асимптоматичпи. Ако нивото на СК се повиши (&gt;5 пъти горната граница на нормата), </w:t>
      </w:r>
    </w:p>
    <w:p w14:paraId="48679277" w14:textId="1373A9F5"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лечението трябва временно да се преустанови (вж. точка 4.4).</w:t>
      </w:r>
    </w:p>
    <w:p w14:paraId="336F1AB0" w14:textId="77777777" w:rsidR="000A3AEC" w:rsidRDefault="000A3AEC" w:rsidP="000A3AEC">
      <w:pPr>
        <w:spacing w:line="240" w:lineRule="auto"/>
        <w:rPr>
          <w:rFonts w:eastAsia="Times New Roman" w:cs="Arial"/>
          <w:b/>
          <w:bCs/>
          <w:color w:val="000000"/>
          <w:lang w:eastAsia="bg-BG"/>
        </w:rPr>
      </w:pPr>
    </w:p>
    <w:p w14:paraId="486AA9A2" w14:textId="13E781E6"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Ефекти върху черния дроб: </w:t>
      </w:r>
      <w:r w:rsidRPr="000A3AEC">
        <w:rPr>
          <w:rFonts w:eastAsia="Times New Roman" w:cs="Arial"/>
          <w:color w:val="000000"/>
          <w:lang w:eastAsia="bg-BG"/>
        </w:rPr>
        <w:t xml:space="preserve">Както при други инхибитори на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редуктазата, при малък брой пациенти, приемащи розувастатин е било наблюдавано увеличение на трансаминазите свързано с дозировката; по-голяма част от случаите са били леки, асимптоматични и преходни.</w:t>
      </w:r>
    </w:p>
    <w:p w14:paraId="1964C1EF" w14:textId="77777777" w:rsidR="000A3AEC" w:rsidRDefault="000A3AEC" w:rsidP="000A3AEC">
      <w:pPr>
        <w:spacing w:line="240" w:lineRule="auto"/>
        <w:rPr>
          <w:rFonts w:eastAsia="Times New Roman" w:cs="Arial"/>
          <w:color w:val="000000"/>
          <w:lang w:eastAsia="bg-BG"/>
        </w:rPr>
      </w:pPr>
    </w:p>
    <w:p w14:paraId="3D7545DC" w14:textId="4970A63F" w:rsidR="000A3AEC" w:rsidRDefault="000A3AEC" w:rsidP="000A3AEC">
      <w:pPr>
        <w:spacing w:line="240" w:lineRule="auto"/>
        <w:rPr>
          <w:rFonts w:eastAsia="Times New Roman" w:cs="Arial"/>
          <w:color w:val="000000"/>
          <w:lang w:eastAsia="bg-BG"/>
        </w:rPr>
      </w:pPr>
      <w:r w:rsidRPr="000A3AEC">
        <w:rPr>
          <w:rFonts w:eastAsia="Times New Roman" w:cs="Arial"/>
          <w:color w:val="000000"/>
          <w:lang w:eastAsia="bg-BG"/>
        </w:rPr>
        <w:t>При някои статини са докладвани следните нежелани реакции:</w:t>
      </w:r>
    </w:p>
    <w:p w14:paraId="50B2F88B" w14:textId="77777777" w:rsidR="000A3AEC" w:rsidRDefault="000A3AEC" w:rsidP="000A3AEC">
      <w:pPr>
        <w:pStyle w:val="ListParagraph"/>
        <w:numPr>
          <w:ilvl w:val="0"/>
          <w:numId w:val="41"/>
        </w:numPr>
        <w:spacing w:line="240" w:lineRule="auto"/>
        <w:rPr>
          <w:rFonts w:eastAsia="Times New Roman" w:cs="Arial"/>
          <w:color w:val="000000"/>
          <w:lang w:eastAsia="bg-BG"/>
        </w:rPr>
      </w:pPr>
      <w:r w:rsidRPr="000A3AEC">
        <w:rPr>
          <w:rFonts w:eastAsia="Times New Roman" w:cs="Arial"/>
          <w:color w:val="000000"/>
          <w:lang w:eastAsia="bg-BG"/>
        </w:rPr>
        <w:t>Сексуална дисфункция;</w:t>
      </w:r>
    </w:p>
    <w:p w14:paraId="68048F09" w14:textId="77777777" w:rsidR="000A3AEC" w:rsidRDefault="000A3AEC" w:rsidP="000A3AEC">
      <w:pPr>
        <w:pStyle w:val="ListParagraph"/>
        <w:numPr>
          <w:ilvl w:val="0"/>
          <w:numId w:val="41"/>
        </w:numPr>
        <w:spacing w:line="240" w:lineRule="auto"/>
        <w:rPr>
          <w:rFonts w:eastAsia="Times New Roman" w:cs="Arial"/>
          <w:color w:val="000000"/>
          <w:lang w:eastAsia="bg-BG"/>
        </w:rPr>
      </w:pPr>
      <w:r w:rsidRPr="000A3AEC">
        <w:rPr>
          <w:rFonts w:eastAsia="Times New Roman" w:cs="Arial"/>
          <w:color w:val="000000"/>
          <w:lang w:eastAsia="bg-BG"/>
        </w:rPr>
        <w:t>Изолирани случаи на интерстициална белодробна болест, особено при продължителна терапия</w:t>
      </w:r>
      <w:r w:rsidRPr="000A3AEC">
        <w:rPr>
          <w:rFonts w:eastAsia="Times New Roman" w:cs="Arial"/>
          <w:color w:val="000000"/>
          <w:lang w:val="ru-RU" w:eastAsia="bg-BG"/>
        </w:rPr>
        <w:t xml:space="preserve"> </w:t>
      </w:r>
      <w:r w:rsidRPr="000A3AEC">
        <w:rPr>
          <w:rFonts w:eastAsia="Times New Roman" w:cs="Arial"/>
          <w:color w:val="000000"/>
          <w:lang w:eastAsia="bg-BG"/>
        </w:rPr>
        <w:t>(вж. точка 4.4);</w:t>
      </w:r>
    </w:p>
    <w:p w14:paraId="19CAB23B" w14:textId="64FD647A" w:rsidR="000A3AEC" w:rsidRPr="000A3AEC" w:rsidRDefault="000A3AEC" w:rsidP="000A3AEC">
      <w:pPr>
        <w:pStyle w:val="ListParagraph"/>
        <w:numPr>
          <w:ilvl w:val="0"/>
          <w:numId w:val="41"/>
        </w:numPr>
        <w:spacing w:line="240" w:lineRule="auto"/>
        <w:rPr>
          <w:rFonts w:eastAsia="Times New Roman" w:cs="Arial"/>
          <w:color w:val="000000"/>
          <w:lang w:eastAsia="bg-BG"/>
        </w:rPr>
      </w:pPr>
      <w:r w:rsidRPr="000A3AEC">
        <w:rPr>
          <w:rFonts w:eastAsia="Times New Roman" w:cs="Arial"/>
          <w:color w:val="000000"/>
          <w:lang w:eastAsia="bg-BG"/>
        </w:rPr>
        <w:t>Увреждания на сухожилията, понякога усложнени от руптура.</w:t>
      </w:r>
    </w:p>
    <w:p w14:paraId="4579EBC4" w14:textId="77777777" w:rsidR="000A3AEC" w:rsidRDefault="000A3AEC" w:rsidP="000A3AEC">
      <w:pPr>
        <w:spacing w:line="240" w:lineRule="auto"/>
        <w:rPr>
          <w:rFonts w:eastAsia="Times New Roman" w:cs="Arial"/>
          <w:color w:val="000000"/>
          <w:lang w:eastAsia="bg-BG"/>
        </w:rPr>
      </w:pPr>
    </w:p>
    <w:p w14:paraId="1024391C" w14:textId="11F029A2"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Докладваната честота на рабдомиолиза, сериозни бъбречни и сериозни чернодробни събития (основно проявяващи се като увеличени чернодробни трансаминази) е по-висока при дозировка от 40 </w:t>
      </w:r>
      <w:r w:rsidRPr="000A3AEC">
        <w:rPr>
          <w:rFonts w:eastAsia="Times New Roman" w:cs="Arial"/>
          <w:color w:val="000000"/>
          <w:lang w:val="en-US"/>
        </w:rPr>
        <w:t>mg</w:t>
      </w:r>
      <w:r w:rsidRPr="000A3AEC">
        <w:rPr>
          <w:rFonts w:eastAsia="Times New Roman" w:cs="Arial"/>
          <w:color w:val="000000"/>
          <w:lang w:val="ru-RU"/>
        </w:rPr>
        <w:t>.</w:t>
      </w:r>
    </w:p>
    <w:p w14:paraId="21BA93AE" w14:textId="77777777" w:rsidR="000A3AEC" w:rsidRDefault="000A3AEC" w:rsidP="000A3AEC">
      <w:pPr>
        <w:spacing w:line="240" w:lineRule="auto"/>
        <w:rPr>
          <w:rFonts w:eastAsia="Times New Roman" w:cs="Arial"/>
          <w:b/>
          <w:bCs/>
          <w:color w:val="000000"/>
          <w:lang w:eastAsia="bg-BG"/>
        </w:rPr>
      </w:pPr>
    </w:p>
    <w:p w14:paraId="58AF9913" w14:textId="715695B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lastRenderedPageBreak/>
        <w:t xml:space="preserve">Педиатрична популация: </w:t>
      </w:r>
      <w:r w:rsidRPr="000A3AEC">
        <w:rPr>
          <w:rFonts w:eastAsia="Times New Roman" w:cs="Arial"/>
          <w:color w:val="000000"/>
          <w:lang w:eastAsia="bg-BG"/>
        </w:rPr>
        <w:t xml:space="preserve">Повишаване на креатинкиназата </w:t>
      </w:r>
      <w:r w:rsidRPr="000A3AEC">
        <w:rPr>
          <w:rFonts w:eastAsia="Times New Roman" w:cs="Arial"/>
          <w:color w:val="000000"/>
          <w:lang w:val="ru-RU"/>
        </w:rPr>
        <w:t>&gt;10</w:t>
      </w:r>
      <w:proofErr w:type="spellStart"/>
      <w:r w:rsidRPr="000A3AEC">
        <w:rPr>
          <w:rFonts w:eastAsia="Times New Roman" w:cs="Arial"/>
          <w:color w:val="000000"/>
          <w:lang w:val="en-US"/>
        </w:rPr>
        <w:t>xULN</w:t>
      </w:r>
      <w:proofErr w:type="spellEnd"/>
      <w:r w:rsidRPr="000A3AEC">
        <w:rPr>
          <w:rFonts w:eastAsia="Times New Roman" w:cs="Arial"/>
          <w:color w:val="000000"/>
          <w:lang w:val="ru-RU"/>
        </w:rPr>
        <w:t xml:space="preserve"> </w:t>
      </w:r>
      <w:r w:rsidRPr="000A3AEC">
        <w:rPr>
          <w:rFonts w:eastAsia="Times New Roman" w:cs="Arial"/>
          <w:color w:val="000000"/>
          <w:lang w:eastAsia="bg-BG"/>
        </w:rPr>
        <w:t>и мускулни симптоми след упражнения или повишена физическа активност са наблюдавани по-често в едно 52-седмично клинично проучване на деца и младежи в сравнение с възрастни (вж. точка 4.4). В други аспекти, профилът на безопасност на розувастатин е сходен при деца и юноши в сравнение с възрастните.</w:t>
      </w:r>
    </w:p>
    <w:p w14:paraId="227CF567" w14:textId="77777777" w:rsidR="000A3AEC" w:rsidRDefault="000A3AEC" w:rsidP="000A3AEC">
      <w:pPr>
        <w:spacing w:line="240" w:lineRule="auto"/>
        <w:rPr>
          <w:rFonts w:eastAsia="Times New Roman" w:cs="Arial"/>
          <w:color w:val="000000"/>
          <w:u w:val="single"/>
          <w:lang w:eastAsia="bg-BG"/>
        </w:rPr>
      </w:pPr>
    </w:p>
    <w:p w14:paraId="639046B1" w14:textId="0DC039FA"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u w:val="single"/>
          <w:lang w:eastAsia="bg-BG"/>
        </w:rPr>
        <w:t>Съобщаване на нежелани реакпии</w:t>
      </w:r>
    </w:p>
    <w:p w14:paraId="30F4D782"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3BFC5C96"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Изпълнителна агенция по лекарствата</w:t>
      </w:r>
    </w:p>
    <w:p w14:paraId="5B78AF79"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ул.,Дамян Груев” № 8</w:t>
      </w:r>
    </w:p>
    <w:p w14:paraId="3FF08BA6"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1303 София</w:t>
      </w:r>
    </w:p>
    <w:p w14:paraId="0A2A3F37"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тел.:+359 2 8903417</w:t>
      </w:r>
    </w:p>
    <w:p w14:paraId="11C7E7A4"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уебсайт: </w:t>
      </w:r>
      <w:r w:rsidRPr="000A3AEC">
        <w:rPr>
          <w:rFonts w:ascii="Times New Roman" w:eastAsia="Times New Roman" w:hAnsi="Times New Roman" w:cs="Times New Roman"/>
          <w:sz w:val="24"/>
          <w:szCs w:val="24"/>
        </w:rPr>
        <w:fldChar w:fldCharType="begin"/>
      </w:r>
      <w:r w:rsidRPr="000A3AEC">
        <w:rPr>
          <w:rFonts w:ascii="Times New Roman" w:eastAsia="Times New Roman" w:hAnsi="Times New Roman" w:cs="Times New Roman"/>
          <w:sz w:val="24"/>
          <w:szCs w:val="24"/>
        </w:rPr>
        <w:instrText xml:space="preserve"> HYPERLINK "http://www.bda.bg" </w:instrText>
      </w:r>
      <w:r w:rsidRPr="000A3AEC">
        <w:rPr>
          <w:rFonts w:ascii="Times New Roman" w:eastAsia="Times New Roman" w:hAnsi="Times New Roman" w:cs="Times New Roman"/>
          <w:sz w:val="24"/>
          <w:szCs w:val="24"/>
        </w:rPr>
      </w:r>
      <w:r w:rsidRPr="000A3AEC">
        <w:rPr>
          <w:rFonts w:ascii="Times New Roman" w:eastAsia="Times New Roman" w:hAnsi="Times New Roman" w:cs="Times New Roman"/>
          <w:sz w:val="24"/>
          <w:szCs w:val="24"/>
        </w:rPr>
        <w:fldChar w:fldCharType="separate"/>
      </w:r>
      <w:r w:rsidRPr="000A3AEC">
        <w:rPr>
          <w:rFonts w:eastAsia="Times New Roman" w:cs="Arial"/>
          <w:color w:val="000000"/>
          <w:lang w:val="en-US"/>
        </w:rPr>
        <w:t>www</w:t>
      </w:r>
      <w:r w:rsidRPr="000A3AEC">
        <w:rPr>
          <w:rFonts w:eastAsia="Times New Roman" w:cs="Arial"/>
          <w:color w:val="000000"/>
          <w:lang w:val="ru-RU"/>
        </w:rPr>
        <w:t>.</w:t>
      </w:r>
      <w:proofErr w:type="spellStart"/>
      <w:r w:rsidRPr="000A3AEC">
        <w:rPr>
          <w:rFonts w:eastAsia="Times New Roman" w:cs="Arial"/>
          <w:color w:val="000000"/>
          <w:lang w:val="en-US"/>
        </w:rPr>
        <w:t>bda</w:t>
      </w:r>
      <w:proofErr w:type="spellEnd"/>
      <w:r w:rsidRPr="000A3AEC">
        <w:rPr>
          <w:rFonts w:eastAsia="Times New Roman" w:cs="Arial"/>
          <w:color w:val="000000"/>
          <w:lang w:val="ru-RU"/>
        </w:rPr>
        <w:t>.</w:t>
      </w:r>
      <w:proofErr w:type="spellStart"/>
      <w:r w:rsidRPr="000A3AEC">
        <w:rPr>
          <w:rFonts w:eastAsia="Times New Roman" w:cs="Arial"/>
          <w:color w:val="000000"/>
          <w:lang w:val="en-US"/>
        </w:rPr>
        <w:t>bg</w:t>
      </w:r>
      <w:proofErr w:type="spellEnd"/>
      <w:r w:rsidRPr="000A3AEC">
        <w:rPr>
          <w:rFonts w:ascii="Times New Roman" w:eastAsia="Times New Roman" w:hAnsi="Times New Roman" w:cs="Times New Roman"/>
          <w:sz w:val="24"/>
          <w:szCs w:val="24"/>
        </w:rPr>
        <w:fldChar w:fldCharType="end"/>
      </w:r>
    </w:p>
    <w:p w14:paraId="54EFA327" w14:textId="2EDF3222" w:rsidR="000A3AEC" w:rsidRPr="000A3AEC" w:rsidRDefault="000A3AEC" w:rsidP="000A3AEC"/>
    <w:p w14:paraId="5A87DBA3" w14:textId="4393014B" w:rsidR="007122AD" w:rsidRDefault="002C50EE" w:rsidP="00936AD0">
      <w:pPr>
        <w:pStyle w:val="Heading2"/>
      </w:pPr>
      <w:r>
        <w:t>4.9. Предозиране</w:t>
      </w:r>
    </w:p>
    <w:p w14:paraId="79A563E6" w14:textId="58F65D99" w:rsidR="000A3AEC" w:rsidRDefault="000A3AEC" w:rsidP="000A3AEC"/>
    <w:p w14:paraId="6F028656" w14:textId="77777777" w:rsidR="000A3AEC" w:rsidRPr="000A3AEC" w:rsidRDefault="000A3AEC" w:rsidP="000A3AEC">
      <w:pPr>
        <w:rPr>
          <w:rFonts w:ascii="Times New Roman" w:hAnsi="Times New Roman" w:cs="Times New Roman"/>
          <w:sz w:val="24"/>
          <w:szCs w:val="24"/>
        </w:rPr>
      </w:pPr>
      <w:r w:rsidRPr="000A3AEC">
        <w:rPr>
          <w:lang w:eastAsia="bg-BG"/>
        </w:rPr>
        <w:t>Няма специфично лечение в случай на предозиране. При предозиране пациентът трябва да се лекува симптоматично и да се предприемат необходимите поддържащи мерки. Чернодробната функция и нивата на СК трябва да се следят. Малко е вероятно хемодиализата да бъде от полза.</w:t>
      </w:r>
    </w:p>
    <w:p w14:paraId="7E7197E9" w14:textId="77777777" w:rsidR="000A3AEC" w:rsidRPr="000A3AEC" w:rsidRDefault="000A3AEC" w:rsidP="000A3AEC"/>
    <w:p w14:paraId="02081B24" w14:textId="1F46E296" w:rsidR="00395555" w:rsidRPr="00395555" w:rsidRDefault="002C50EE" w:rsidP="008A6AF2">
      <w:pPr>
        <w:pStyle w:val="Heading1"/>
      </w:pPr>
      <w:r>
        <w:t>5. ФАРМАКОЛОГИЧНИ СВОЙСТВА</w:t>
      </w:r>
    </w:p>
    <w:p w14:paraId="7DE36AC8" w14:textId="4EE87C04" w:rsidR="00B6672E" w:rsidRDefault="002C50EE" w:rsidP="00936AD0">
      <w:pPr>
        <w:pStyle w:val="Heading2"/>
      </w:pPr>
      <w:r>
        <w:t>5.1. Фармакодинамични свойства</w:t>
      </w:r>
    </w:p>
    <w:p w14:paraId="47EA7926" w14:textId="09367C87" w:rsidR="000A3AEC" w:rsidRDefault="000A3AEC" w:rsidP="000A3AEC"/>
    <w:p w14:paraId="53DD99E2"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Фармакотерапевтична група: инхибитори на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редуктазата</w:t>
      </w:r>
    </w:p>
    <w:p w14:paraId="77654645"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АТС код: С10АА07</w:t>
      </w:r>
    </w:p>
    <w:p w14:paraId="621FA26B" w14:textId="77777777" w:rsidR="000A3AEC" w:rsidRDefault="000A3AEC" w:rsidP="000A3AEC">
      <w:pPr>
        <w:spacing w:line="240" w:lineRule="auto"/>
        <w:rPr>
          <w:rFonts w:eastAsia="Times New Roman" w:cs="Arial"/>
          <w:color w:val="000000"/>
          <w:u w:val="single"/>
          <w:lang w:eastAsia="bg-BG"/>
        </w:rPr>
      </w:pPr>
    </w:p>
    <w:p w14:paraId="0345B6BD" w14:textId="1DF52F2D"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u w:val="single"/>
          <w:lang w:eastAsia="bg-BG"/>
        </w:rPr>
        <w:t>Механизъм на действие</w:t>
      </w:r>
    </w:p>
    <w:p w14:paraId="248012E8"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Розувастатин е селективен и конкурентен инхибитор на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редуктазата, скоростограничаващият ензим, който превръща З-хидрокси-З-метилглутарил коензим А в мевалонат, прекурсор на холестерола. Основното въздействие на розувастатин е върху черния дроб, органът, в който се извършва намаляване нивото на холестерол.</w:t>
      </w:r>
    </w:p>
    <w:p w14:paraId="04B6005C" w14:textId="77777777" w:rsidR="000A3AEC" w:rsidRDefault="000A3AEC" w:rsidP="000A3AEC">
      <w:pPr>
        <w:spacing w:line="240" w:lineRule="auto"/>
        <w:rPr>
          <w:rFonts w:eastAsia="Times New Roman" w:cs="Arial"/>
          <w:color w:val="000000"/>
          <w:lang w:eastAsia="bg-BG"/>
        </w:rPr>
      </w:pPr>
    </w:p>
    <w:p w14:paraId="60620222" w14:textId="72A6D13D"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Розувастатин увеличава броя на чернодробните </w:t>
      </w:r>
      <w:r w:rsidRPr="000A3AEC">
        <w:rPr>
          <w:rFonts w:eastAsia="Times New Roman" w:cs="Arial"/>
          <w:color w:val="000000"/>
          <w:lang w:val="en-US"/>
        </w:rPr>
        <w:t>LDL</w:t>
      </w:r>
      <w:r w:rsidRPr="000A3AEC">
        <w:rPr>
          <w:rFonts w:eastAsia="Times New Roman" w:cs="Arial"/>
          <w:color w:val="000000"/>
          <w:lang w:val="ru-RU"/>
        </w:rPr>
        <w:t xml:space="preserve"> </w:t>
      </w:r>
      <w:r w:rsidRPr="000A3AEC">
        <w:rPr>
          <w:rFonts w:eastAsia="Times New Roman" w:cs="Arial"/>
          <w:color w:val="000000"/>
          <w:lang w:eastAsia="bg-BG"/>
        </w:rPr>
        <w:t xml:space="preserve">рецептори върху клетъчната повърхност, като засилва поемането и катаболизма на </w:t>
      </w:r>
      <w:r w:rsidRPr="000A3AEC">
        <w:rPr>
          <w:rFonts w:eastAsia="Times New Roman" w:cs="Arial"/>
          <w:color w:val="000000"/>
          <w:lang w:val="en-US"/>
        </w:rPr>
        <w:t>LDL</w:t>
      </w:r>
      <w:r w:rsidRPr="000A3AEC">
        <w:rPr>
          <w:rFonts w:eastAsia="Times New Roman" w:cs="Arial"/>
          <w:color w:val="000000"/>
          <w:lang w:val="ru-RU"/>
        </w:rPr>
        <w:t xml:space="preserve"> </w:t>
      </w:r>
      <w:r w:rsidRPr="000A3AEC">
        <w:rPr>
          <w:rFonts w:eastAsia="Times New Roman" w:cs="Arial"/>
          <w:color w:val="000000"/>
          <w:lang w:eastAsia="bg-BG"/>
        </w:rPr>
        <w:t xml:space="preserve">и инхибира чернодробната синтеза на </w:t>
      </w:r>
      <w:r w:rsidRPr="000A3AEC">
        <w:rPr>
          <w:rFonts w:eastAsia="Times New Roman" w:cs="Arial"/>
          <w:color w:val="000000"/>
          <w:lang w:val="en-US"/>
        </w:rPr>
        <w:t>VLDL</w:t>
      </w:r>
      <w:r w:rsidRPr="000A3AEC">
        <w:rPr>
          <w:rFonts w:eastAsia="Times New Roman" w:cs="Arial"/>
          <w:color w:val="000000"/>
          <w:lang w:val="ru-RU"/>
        </w:rPr>
        <w:t xml:space="preserve">. </w:t>
      </w:r>
      <w:r w:rsidRPr="000A3AEC">
        <w:rPr>
          <w:rFonts w:eastAsia="Times New Roman" w:cs="Arial"/>
          <w:color w:val="000000"/>
          <w:lang w:eastAsia="bg-BG"/>
        </w:rPr>
        <w:t xml:space="preserve">По този начин розувастатин намалява общия брой на </w:t>
      </w:r>
      <w:r w:rsidRPr="000A3AEC">
        <w:rPr>
          <w:rFonts w:eastAsia="Times New Roman" w:cs="Arial"/>
          <w:color w:val="000000"/>
          <w:lang w:val="en-US"/>
        </w:rPr>
        <w:t>VLDL</w:t>
      </w:r>
      <w:r w:rsidRPr="000A3AEC">
        <w:rPr>
          <w:rFonts w:eastAsia="Times New Roman" w:cs="Arial"/>
          <w:color w:val="000000"/>
          <w:lang w:val="ru-RU"/>
        </w:rPr>
        <w:t xml:space="preserve"> </w:t>
      </w:r>
      <w:r w:rsidRPr="000A3AEC">
        <w:rPr>
          <w:rFonts w:eastAsia="Times New Roman" w:cs="Arial"/>
          <w:color w:val="000000"/>
          <w:lang w:eastAsia="bg-BG"/>
        </w:rPr>
        <w:t xml:space="preserve">и </w:t>
      </w:r>
      <w:r w:rsidRPr="000A3AEC">
        <w:rPr>
          <w:rFonts w:eastAsia="Times New Roman" w:cs="Arial"/>
          <w:color w:val="000000"/>
          <w:lang w:val="en-US"/>
        </w:rPr>
        <w:t>LDL</w:t>
      </w:r>
      <w:r w:rsidRPr="000A3AEC">
        <w:rPr>
          <w:rFonts w:eastAsia="Times New Roman" w:cs="Arial"/>
          <w:color w:val="000000"/>
          <w:lang w:val="ru-RU"/>
        </w:rPr>
        <w:t xml:space="preserve"> </w:t>
      </w:r>
      <w:r w:rsidRPr="000A3AEC">
        <w:rPr>
          <w:rFonts w:eastAsia="Times New Roman" w:cs="Arial"/>
          <w:color w:val="000000"/>
          <w:lang w:eastAsia="bg-BG"/>
        </w:rPr>
        <w:t>частици.</w:t>
      </w:r>
    </w:p>
    <w:p w14:paraId="708CF2B6" w14:textId="77777777" w:rsidR="000A3AEC" w:rsidRDefault="000A3AEC" w:rsidP="000A3AEC">
      <w:pPr>
        <w:spacing w:line="240" w:lineRule="auto"/>
        <w:rPr>
          <w:rFonts w:eastAsia="Times New Roman" w:cs="Arial"/>
          <w:color w:val="000000"/>
          <w:u w:val="single"/>
          <w:lang w:eastAsia="bg-BG"/>
        </w:rPr>
      </w:pPr>
    </w:p>
    <w:p w14:paraId="2AF8B782" w14:textId="55386BD0"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u w:val="single"/>
          <w:lang w:eastAsia="bg-BG"/>
        </w:rPr>
        <w:t>Фармакодинамнчни ефекти</w:t>
      </w:r>
    </w:p>
    <w:p w14:paraId="22A4B1F2"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Розувастатин понижава повишения </w:t>
      </w:r>
      <w:r w:rsidRPr="000A3AEC">
        <w:rPr>
          <w:rFonts w:eastAsia="Times New Roman" w:cs="Arial"/>
          <w:color w:val="000000"/>
          <w:lang w:val="en-US"/>
        </w:rPr>
        <w:t>LDL</w:t>
      </w:r>
      <w:r w:rsidRPr="000A3AEC">
        <w:rPr>
          <w:rFonts w:eastAsia="Times New Roman" w:cs="Arial"/>
          <w:color w:val="000000"/>
          <w:lang w:eastAsia="bg-BG"/>
        </w:rPr>
        <w:t xml:space="preserve">-холестерол, общия холестерол и триглициридите и повишава </w:t>
      </w:r>
      <w:r w:rsidRPr="000A3AEC">
        <w:rPr>
          <w:rFonts w:eastAsia="Times New Roman" w:cs="Arial"/>
          <w:color w:val="000000"/>
          <w:lang w:val="en-US"/>
        </w:rPr>
        <w:t>HDL</w:t>
      </w:r>
      <w:r w:rsidRPr="000A3AEC">
        <w:rPr>
          <w:rFonts w:eastAsia="Times New Roman" w:cs="Arial"/>
          <w:color w:val="000000"/>
          <w:lang w:eastAsia="bg-BG"/>
        </w:rPr>
        <w:t xml:space="preserve">-холестерола. Също така понижава АроВ, не- </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val="en-US"/>
        </w:rPr>
        <w:t>VLDL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val="en-US"/>
        </w:rPr>
        <w:t>VLDL</w:t>
      </w:r>
      <w:r w:rsidRPr="000A3AEC">
        <w:rPr>
          <w:rFonts w:eastAsia="Times New Roman" w:cs="Arial"/>
          <w:color w:val="000000"/>
          <w:lang w:val="ru-RU"/>
        </w:rPr>
        <w:t>-</w:t>
      </w:r>
      <w:r w:rsidRPr="000A3AEC">
        <w:rPr>
          <w:rFonts w:eastAsia="Times New Roman" w:cs="Arial"/>
          <w:color w:val="000000"/>
          <w:lang w:val="en-US"/>
        </w:rPr>
        <w:t>TG</w:t>
      </w:r>
      <w:r w:rsidRPr="000A3AEC">
        <w:rPr>
          <w:rFonts w:eastAsia="Times New Roman" w:cs="Arial"/>
          <w:color w:val="000000"/>
          <w:lang w:val="ru-RU"/>
        </w:rPr>
        <w:t xml:space="preserve"> </w:t>
      </w:r>
      <w:r w:rsidRPr="000A3AEC">
        <w:rPr>
          <w:rFonts w:eastAsia="Times New Roman" w:cs="Arial"/>
          <w:color w:val="000000"/>
          <w:lang w:eastAsia="bg-BG"/>
        </w:rPr>
        <w:t>и повишава АроА-</w:t>
      </w:r>
      <w:r w:rsidRPr="000A3AEC">
        <w:rPr>
          <w:rFonts w:eastAsia="Times New Roman" w:cs="Arial"/>
          <w:color w:val="000000"/>
          <w:lang w:val="en-US"/>
        </w:rPr>
        <w:t>I</w:t>
      </w:r>
      <w:r w:rsidRPr="000A3AEC">
        <w:rPr>
          <w:rFonts w:eastAsia="Times New Roman" w:cs="Arial"/>
          <w:color w:val="000000"/>
          <w:lang w:eastAsia="bg-BG"/>
        </w:rPr>
        <w:t xml:space="preserve"> (вижте таблица 1). Розувастатин също понижава съотношенията </w:t>
      </w:r>
      <w:r w:rsidRPr="000A3AEC">
        <w:rPr>
          <w:rFonts w:eastAsia="Times New Roman" w:cs="Arial"/>
          <w:color w:val="000000"/>
          <w:lang w:val="en-US"/>
        </w:rPr>
        <w:t>LDL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w:t>
      </w:r>
      <w:r w:rsidRPr="000A3AEC">
        <w:rPr>
          <w:rFonts w:eastAsia="Times New Roman" w:cs="Arial"/>
          <w:color w:val="000000"/>
          <w:lang w:eastAsia="bg-BG"/>
        </w:rPr>
        <w:t xml:space="preserve"> общо </w:t>
      </w:r>
      <w:r w:rsidRPr="000A3AEC">
        <w:rPr>
          <w:rFonts w:eastAsia="Times New Roman" w:cs="Arial"/>
          <w:color w:val="000000"/>
          <w:lang w:val="en-US"/>
        </w:rPr>
        <w:t>C</w:t>
      </w:r>
      <w:r w:rsidRPr="000A3AEC">
        <w:rPr>
          <w:rFonts w:eastAsia="Times New Roman" w:cs="Arial"/>
          <w:color w:val="000000"/>
          <w:lang w:val="ru-RU"/>
        </w:rPr>
        <w:t>/</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eastAsia="bg-BG"/>
        </w:rPr>
        <w:t xml:space="preserve">и не- </w:t>
      </w:r>
      <w:r w:rsidRPr="000A3AEC">
        <w:rPr>
          <w:rFonts w:eastAsia="Times New Roman" w:cs="Arial"/>
          <w:color w:val="000000"/>
          <w:lang w:val="en-US"/>
        </w:rPr>
        <w:t>HDL</w:t>
      </w:r>
      <w:r w:rsidRPr="000A3AEC">
        <w:rPr>
          <w:rFonts w:eastAsia="Times New Roman" w:cs="Arial"/>
          <w:color w:val="000000"/>
          <w:lang w:eastAsia="bg-BG"/>
        </w:rPr>
        <w:t xml:space="preserve">-С/ </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eastAsia="bg-BG"/>
        </w:rPr>
        <w:t>и АроВ/АроА-</w:t>
      </w:r>
      <w:r w:rsidRPr="000A3AEC">
        <w:rPr>
          <w:rFonts w:eastAsia="Times New Roman" w:cs="Arial"/>
          <w:color w:val="000000"/>
          <w:lang w:val="en-US"/>
        </w:rPr>
        <w:t>I</w:t>
      </w:r>
      <w:r w:rsidRPr="000A3AEC">
        <w:rPr>
          <w:rFonts w:eastAsia="Times New Roman" w:cs="Arial"/>
          <w:color w:val="000000"/>
          <w:lang w:eastAsia="bg-BG"/>
        </w:rPr>
        <w:t>.</w:t>
      </w:r>
    </w:p>
    <w:p w14:paraId="6B75EDEF" w14:textId="77777777" w:rsidR="000A3AEC" w:rsidRDefault="000A3AEC" w:rsidP="000A3AEC">
      <w:pPr>
        <w:rPr>
          <w:rFonts w:eastAsia="Times New Roman" w:cs="Arial"/>
          <w:b/>
          <w:bCs/>
          <w:color w:val="000000"/>
          <w:lang w:eastAsia="bg-BG"/>
        </w:rPr>
      </w:pPr>
    </w:p>
    <w:p w14:paraId="0A53F2BB" w14:textId="582048FE" w:rsidR="000A3AEC" w:rsidRDefault="000A3AEC" w:rsidP="000A3AEC">
      <w:pPr>
        <w:rPr>
          <w:rFonts w:eastAsia="Times New Roman" w:cs="Arial"/>
          <w:b/>
          <w:bCs/>
          <w:color w:val="000000"/>
          <w:lang w:eastAsia="bg-BG"/>
        </w:rPr>
      </w:pPr>
      <w:r w:rsidRPr="000A3AEC">
        <w:rPr>
          <w:rFonts w:eastAsia="Times New Roman" w:cs="Arial"/>
          <w:b/>
          <w:bCs/>
          <w:color w:val="000000"/>
          <w:lang w:eastAsia="bg-BG"/>
        </w:rPr>
        <w:lastRenderedPageBreak/>
        <w:t xml:space="preserve">Таблица 3 Отговор на дозиране при пациенти с първична хнперхолестеролемия (тип </w:t>
      </w:r>
      <w:r w:rsidRPr="000A3AEC">
        <w:rPr>
          <w:rFonts w:eastAsia="Times New Roman" w:cs="Arial"/>
          <w:b/>
          <w:bCs/>
          <w:color w:val="000000"/>
          <w:lang w:val="en-US"/>
        </w:rPr>
        <w:t>II</w:t>
      </w:r>
      <w:r>
        <w:rPr>
          <w:rFonts w:eastAsia="Times New Roman" w:cs="Arial"/>
          <w:b/>
          <w:bCs/>
          <w:color w:val="000000"/>
          <w:lang w:eastAsia="bg-BG"/>
        </w:rPr>
        <w:t xml:space="preserve">а и </w:t>
      </w:r>
      <w:proofErr w:type="spellStart"/>
      <w:r>
        <w:rPr>
          <w:rFonts w:eastAsia="Times New Roman" w:cs="Arial"/>
          <w:b/>
          <w:bCs/>
          <w:color w:val="000000"/>
          <w:lang w:val="en-US" w:eastAsia="bg-BG"/>
        </w:rPr>
        <w:t>IIb</w:t>
      </w:r>
      <w:proofErr w:type="spellEnd"/>
      <w:r w:rsidRPr="000A3AEC">
        <w:rPr>
          <w:rFonts w:eastAsia="Times New Roman" w:cs="Arial"/>
          <w:b/>
          <w:bCs/>
          <w:color w:val="000000"/>
          <w:lang w:eastAsia="bg-BG"/>
        </w:rPr>
        <w:t>)(коригиран среден процент на промяна от изходното ниво)</w:t>
      </w:r>
    </w:p>
    <w:p w14:paraId="699D0B11" w14:textId="48BE805D" w:rsidR="000A3AEC" w:rsidRDefault="000A3AEC" w:rsidP="000A3AEC">
      <w:pPr>
        <w:rPr>
          <w:rFonts w:eastAsia="Times New Roman" w:cs="Arial"/>
          <w:b/>
          <w:bCs/>
          <w:color w:val="000000"/>
          <w:lang w:eastAsia="bg-BG"/>
        </w:rPr>
      </w:pPr>
    </w:p>
    <w:tbl>
      <w:tblPr>
        <w:tblStyle w:val="TableGrid"/>
        <w:tblW w:w="0" w:type="auto"/>
        <w:tblLook w:val="04A0" w:firstRow="1" w:lastRow="0" w:firstColumn="1" w:lastColumn="0" w:noHBand="0" w:noVBand="1"/>
      </w:tblPr>
      <w:tblGrid>
        <w:gridCol w:w="1123"/>
        <w:gridCol w:w="1007"/>
        <w:gridCol w:w="1031"/>
        <w:gridCol w:w="1037"/>
        <w:gridCol w:w="1034"/>
        <w:gridCol w:w="1013"/>
        <w:gridCol w:w="1027"/>
        <w:gridCol w:w="1039"/>
        <w:gridCol w:w="1039"/>
      </w:tblGrid>
      <w:tr w:rsidR="000A3AEC" w14:paraId="7D432108" w14:textId="77777777" w:rsidTr="000A3AEC">
        <w:tc>
          <w:tcPr>
            <w:tcW w:w="1064" w:type="dxa"/>
          </w:tcPr>
          <w:p w14:paraId="62A3A319" w14:textId="61139130" w:rsidR="000A3AEC" w:rsidRDefault="000A3AEC" w:rsidP="000A3AEC">
            <w:r>
              <w:rPr>
                <w:rFonts w:cs="Arial"/>
                <w:b/>
                <w:bCs/>
              </w:rPr>
              <w:t>Доза</w:t>
            </w:r>
          </w:p>
        </w:tc>
        <w:tc>
          <w:tcPr>
            <w:tcW w:w="1064" w:type="dxa"/>
          </w:tcPr>
          <w:p w14:paraId="3AB4E880" w14:textId="46B5C0F8" w:rsidR="000A3AEC" w:rsidRDefault="000A3AEC" w:rsidP="000A3AEC">
            <w:r>
              <w:rPr>
                <w:rFonts w:cs="Arial"/>
                <w:b/>
                <w:bCs/>
                <w:lang w:val="en-US"/>
              </w:rPr>
              <w:t>N</w:t>
            </w:r>
          </w:p>
        </w:tc>
        <w:tc>
          <w:tcPr>
            <w:tcW w:w="1064" w:type="dxa"/>
          </w:tcPr>
          <w:p w14:paraId="494837FD" w14:textId="45B8BE77" w:rsidR="000A3AEC" w:rsidRDefault="000A3AEC" w:rsidP="000A3AEC">
            <w:r>
              <w:rPr>
                <w:rFonts w:cs="Arial"/>
                <w:b/>
                <w:bCs/>
                <w:lang w:val="en-US"/>
              </w:rPr>
              <w:t>LDL-C</w:t>
            </w:r>
          </w:p>
        </w:tc>
        <w:tc>
          <w:tcPr>
            <w:tcW w:w="1064" w:type="dxa"/>
          </w:tcPr>
          <w:p w14:paraId="7298B54E" w14:textId="5B6FA2EF" w:rsidR="000A3AEC" w:rsidRDefault="000A3AEC" w:rsidP="000A3AEC">
            <w:r>
              <w:rPr>
                <w:rFonts w:cs="Arial"/>
                <w:b/>
                <w:bCs/>
              </w:rPr>
              <w:t>Общ-С</w:t>
            </w:r>
          </w:p>
        </w:tc>
        <w:tc>
          <w:tcPr>
            <w:tcW w:w="1064" w:type="dxa"/>
          </w:tcPr>
          <w:p w14:paraId="67706DB7" w14:textId="64CAA481" w:rsidR="000A3AEC" w:rsidRDefault="000A3AEC" w:rsidP="000A3AEC">
            <w:r>
              <w:rPr>
                <w:rFonts w:cs="Arial"/>
                <w:b/>
                <w:bCs/>
                <w:lang w:val="en-US"/>
              </w:rPr>
              <w:t>HDL-C</w:t>
            </w:r>
          </w:p>
        </w:tc>
        <w:tc>
          <w:tcPr>
            <w:tcW w:w="1064" w:type="dxa"/>
          </w:tcPr>
          <w:p w14:paraId="5F2DF366" w14:textId="4D15E877" w:rsidR="000A3AEC" w:rsidRDefault="000A3AEC" w:rsidP="000A3AEC">
            <w:r>
              <w:rPr>
                <w:rFonts w:cs="Arial"/>
                <w:b/>
                <w:bCs/>
                <w:lang w:val="en-US"/>
              </w:rPr>
              <w:t>TG</w:t>
            </w:r>
          </w:p>
        </w:tc>
        <w:tc>
          <w:tcPr>
            <w:tcW w:w="1064" w:type="dxa"/>
          </w:tcPr>
          <w:p w14:paraId="00DF7BCE" w14:textId="5C8403E1" w:rsidR="000A3AEC" w:rsidRDefault="000A3AEC" w:rsidP="000A3AEC">
            <w:r>
              <w:rPr>
                <w:rFonts w:cs="Arial"/>
                <w:b/>
                <w:bCs/>
              </w:rPr>
              <w:t>не</w:t>
            </w:r>
            <w:r>
              <w:rPr>
                <w:rFonts w:cs="Arial"/>
                <w:b/>
                <w:bCs/>
                <w:lang w:val="en-US"/>
              </w:rPr>
              <w:t>-HDL</w:t>
            </w:r>
          </w:p>
        </w:tc>
        <w:tc>
          <w:tcPr>
            <w:tcW w:w="1064" w:type="dxa"/>
          </w:tcPr>
          <w:p w14:paraId="189D48F5" w14:textId="4F95C918" w:rsidR="000A3AEC" w:rsidRDefault="000A3AEC" w:rsidP="000A3AEC">
            <w:r>
              <w:rPr>
                <w:rFonts w:cs="Arial"/>
                <w:b/>
                <w:bCs/>
              </w:rPr>
              <w:t>АроВ</w:t>
            </w:r>
          </w:p>
        </w:tc>
        <w:tc>
          <w:tcPr>
            <w:tcW w:w="1064" w:type="dxa"/>
          </w:tcPr>
          <w:p w14:paraId="65049E8B" w14:textId="40508F4F" w:rsidR="000A3AEC" w:rsidRDefault="000A3AEC" w:rsidP="000A3AEC">
            <w:r>
              <w:rPr>
                <w:rFonts w:cs="Arial"/>
                <w:b/>
                <w:bCs/>
              </w:rPr>
              <w:t>АроА</w:t>
            </w:r>
          </w:p>
        </w:tc>
      </w:tr>
      <w:tr w:rsidR="000A3AEC" w14:paraId="6DAB647B" w14:textId="77777777" w:rsidTr="000A3AEC">
        <w:tc>
          <w:tcPr>
            <w:tcW w:w="1064" w:type="dxa"/>
          </w:tcPr>
          <w:p w14:paraId="13573309" w14:textId="6D96B19F" w:rsidR="000A3AEC" w:rsidRDefault="000A3AEC" w:rsidP="000A3AEC">
            <w:r>
              <w:rPr>
                <w:rFonts w:cs="Arial"/>
              </w:rPr>
              <w:t>Плацебо</w:t>
            </w:r>
          </w:p>
        </w:tc>
        <w:tc>
          <w:tcPr>
            <w:tcW w:w="1064" w:type="dxa"/>
          </w:tcPr>
          <w:p w14:paraId="134D8EF4" w14:textId="49291E7E" w:rsidR="000A3AEC" w:rsidRDefault="000A3AEC" w:rsidP="000A3AEC">
            <w:r>
              <w:rPr>
                <w:rFonts w:cs="Arial"/>
              </w:rPr>
              <w:t>13</w:t>
            </w:r>
          </w:p>
        </w:tc>
        <w:tc>
          <w:tcPr>
            <w:tcW w:w="1064" w:type="dxa"/>
          </w:tcPr>
          <w:p w14:paraId="2171E056" w14:textId="498399D2" w:rsidR="000A3AEC" w:rsidRDefault="000A3AEC" w:rsidP="000A3AEC">
            <w:r>
              <w:rPr>
                <w:rFonts w:cs="Arial"/>
              </w:rPr>
              <w:t>-7</w:t>
            </w:r>
          </w:p>
        </w:tc>
        <w:tc>
          <w:tcPr>
            <w:tcW w:w="1064" w:type="dxa"/>
          </w:tcPr>
          <w:p w14:paraId="28B817D7" w14:textId="58B0E328" w:rsidR="000A3AEC" w:rsidRDefault="000A3AEC" w:rsidP="000A3AEC">
            <w:r>
              <w:rPr>
                <w:rFonts w:cs="Arial"/>
              </w:rPr>
              <w:t>-5</w:t>
            </w:r>
          </w:p>
        </w:tc>
        <w:tc>
          <w:tcPr>
            <w:tcW w:w="1064" w:type="dxa"/>
          </w:tcPr>
          <w:p w14:paraId="3977495B" w14:textId="15075584" w:rsidR="000A3AEC" w:rsidRDefault="000A3AEC" w:rsidP="000A3AEC">
            <w:r>
              <w:rPr>
                <w:rFonts w:cs="Arial"/>
              </w:rPr>
              <w:t>3</w:t>
            </w:r>
          </w:p>
        </w:tc>
        <w:tc>
          <w:tcPr>
            <w:tcW w:w="1064" w:type="dxa"/>
          </w:tcPr>
          <w:p w14:paraId="3045EF04" w14:textId="55687694" w:rsidR="000A3AEC" w:rsidRDefault="000A3AEC" w:rsidP="000A3AEC">
            <w:r>
              <w:rPr>
                <w:rFonts w:cs="Arial"/>
              </w:rPr>
              <w:t>-3</w:t>
            </w:r>
          </w:p>
        </w:tc>
        <w:tc>
          <w:tcPr>
            <w:tcW w:w="1064" w:type="dxa"/>
          </w:tcPr>
          <w:p w14:paraId="05EF46D2" w14:textId="2399EC80" w:rsidR="000A3AEC" w:rsidRDefault="000A3AEC" w:rsidP="000A3AEC">
            <w:r>
              <w:rPr>
                <w:rFonts w:cs="Arial"/>
              </w:rPr>
              <w:t>-7</w:t>
            </w:r>
          </w:p>
        </w:tc>
        <w:tc>
          <w:tcPr>
            <w:tcW w:w="1064" w:type="dxa"/>
          </w:tcPr>
          <w:p w14:paraId="477C9C03" w14:textId="6312B115" w:rsidR="000A3AEC" w:rsidRDefault="000A3AEC" w:rsidP="000A3AEC">
            <w:r>
              <w:rPr>
                <w:rFonts w:cs="Arial"/>
              </w:rPr>
              <w:t>-3</w:t>
            </w:r>
          </w:p>
        </w:tc>
        <w:tc>
          <w:tcPr>
            <w:tcW w:w="1064" w:type="dxa"/>
          </w:tcPr>
          <w:p w14:paraId="127A0200" w14:textId="5F205083" w:rsidR="000A3AEC" w:rsidRDefault="000A3AEC" w:rsidP="000A3AEC">
            <w:r>
              <w:rPr>
                <w:rFonts w:cs="Arial"/>
              </w:rPr>
              <w:t>0</w:t>
            </w:r>
          </w:p>
        </w:tc>
      </w:tr>
      <w:tr w:rsidR="000A3AEC" w14:paraId="17F612BD" w14:textId="77777777" w:rsidTr="000A3AEC">
        <w:tc>
          <w:tcPr>
            <w:tcW w:w="1064" w:type="dxa"/>
          </w:tcPr>
          <w:p w14:paraId="633AC282" w14:textId="75BDA247" w:rsidR="000A3AEC" w:rsidRDefault="000A3AEC" w:rsidP="000A3AEC">
            <w:r>
              <w:rPr>
                <w:rFonts w:cs="Arial"/>
              </w:rPr>
              <w:t>5</w:t>
            </w:r>
          </w:p>
        </w:tc>
        <w:tc>
          <w:tcPr>
            <w:tcW w:w="1064" w:type="dxa"/>
          </w:tcPr>
          <w:p w14:paraId="6044F0EE" w14:textId="07078531" w:rsidR="000A3AEC" w:rsidRDefault="000A3AEC" w:rsidP="000A3AEC">
            <w:r>
              <w:rPr>
                <w:rFonts w:cs="Arial"/>
              </w:rPr>
              <w:t>17</w:t>
            </w:r>
          </w:p>
        </w:tc>
        <w:tc>
          <w:tcPr>
            <w:tcW w:w="1064" w:type="dxa"/>
          </w:tcPr>
          <w:p w14:paraId="4FDBD664" w14:textId="468D64F8" w:rsidR="000A3AEC" w:rsidRDefault="000A3AEC" w:rsidP="000A3AEC">
            <w:r>
              <w:rPr>
                <w:rFonts w:cs="Arial"/>
              </w:rPr>
              <w:t>-45</w:t>
            </w:r>
          </w:p>
        </w:tc>
        <w:tc>
          <w:tcPr>
            <w:tcW w:w="1064" w:type="dxa"/>
          </w:tcPr>
          <w:p w14:paraId="3FBCA4CD" w14:textId="39675277" w:rsidR="000A3AEC" w:rsidRDefault="000A3AEC" w:rsidP="000A3AEC">
            <w:r>
              <w:rPr>
                <w:rFonts w:cs="Arial"/>
              </w:rPr>
              <w:t>-33</w:t>
            </w:r>
          </w:p>
        </w:tc>
        <w:tc>
          <w:tcPr>
            <w:tcW w:w="1064" w:type="dxa"/>
          </w:tcPr>
          <w:p w14:paraId="430B2A95" w14:textId="4BD366F0" w:rsidR="000A3AEC" w:rsidRDefault="000A3AEC" w:rsidP="000A3AEC">
            <w:r>
              <w:rPr>
                <w:rFonts w:cs="Arial"/>
              </w:rPr>
              <w:t>13</w:t>
            </w:r>
          </w:p>
        </w:tc>
        <w:tc>
          <w:tcPr>
            <w:tcW w:w="1064" w:type="dxa"/>
          </w:tcPr>
          <w:p w14:paraId="1E6D755D" w14:textId="0820D883" w:rsidR="000A3AEC" w:rsidRDefault="000A3AEC" w:rsidP="000A3AEC">
            <w:r>
              <w:rPr>
                <w:rFonts w:cs="Arial"/>
              </w:rPr>
              <w:t>-35</w:t>
            </w:r>
          </w:p>
        </w:tc>
        <w:tc>
          <w:tcPr>
            <w:tcW w:w="1064" w:type="dxa"/>
          </w:tcPr>
          <w:p w14:paraId="683C4574" w14:textId="6F1ECC77" w:rsidR="000A3AEC" w:rsidRDefault="000A3AEC" w:rsidP="000A3AEC">
            <w:r>
              <w:rPr>
                <w:rFonts w:cs="Arial"/>
              </w:rPr>
              <w:t>-44</w:t>
            </w:r>
          </w:p>
        </w:tc>
        <w:tc>
          <w:tcPr>
            <w:tcW w:w="1064" w:type="dxa"/>
          </w:tcPr>
          <w:p w14:paraId="6B4156B8" w14:textId="0B96D7E3" w:rsidR="000A3AEC" w:rsidRDefault="000A3AEC" w:rsidP="000A3AEC">
            <w:r>
              <w:rPr>
                <w:rFonts w:cs="Arial"/>
              </w:rPr>
              <w:t>-38</w:t>
            </w:r>
          </w:p>
        </w:tc>
        <w:tc>
          <w:tcPr>
            <w:tcW w:w="1064" w:type="dxa"/>
          </w:tcPr>
          <w:p w14:paraId="44A8BA0B" w14:textId="34E4CD3F" w:rsidR="000A3AEC" w:rsidRDefault="000A3AEC" w:rsidP="000A3AEC">
            <w:r>
              <w:rPr>
                <w:rFonts w:cs="Arial"/>
              </w:rPr>
              <w:t>4</w:t>
            </w:r>
          </w:p>
        </w:tc>
      </w:tr>
      <w:tr w:rsidR="000A3AEC" w14:paraId="76CFA4E2" w14:textId="77777777" w:rsidTr="000A3AEC">
        <w:tc>
          <w:tcPr>
            <w:tcW w:w="1064" w:type="dxa"/>
          </w:tcPr>
          <w:p w14:paraId="56398EDC" w14:textId="48A2C30D" w:rsidR="000A3AEC" w:rsidRDefault="000A3AEC" w:rsidP="000A3AEC">
            <w:r>
              <w:rPr>
                <w:rFonts w:cs="Arial"/>
              </w:rPr>
              <w:t>10</w:t>
            </w:r>
          </w:p>
        </w:tc>
        <w:tc>
          <w:tcPr>
            <w:tcW w:w="1064" w:type="dxa"/>
          </w:tcPr>
          <w:p w14:paraId="792A8295" w14:textId="2721A968" w:rsidR="000A3AEC" w:rsidRDefault="000A3AEC" w:rsidP="000A3AEC">
            <w:r>
              <w:rPr>
                <w:rFonts w:cs="Arial"/>
              </w:rPr>
              <w:t>17</w:t>
            </w:r>
          </w:p>
        </w:tc>
        <w:tc>
          <w:tcPr>
            <w:tcW w:w="1064" w:type="dxa"/>
          </w:tcPr>
          <w:p w14:paraId="6EE08736" w14:textId="516CD2E5" w:rsidR="000A3AEC" w:rsidRDefault="000A3AEC" w:rsidP="000A3AEC">
            <w:r>
              <w:rPr>
                <w:rFonts w:cs="Arial"/>
              </w:rPr>
              <w:t>-52</w:t>
            </w:r>
          </w:p>
        </w:tc>
        <w:tc>
          <w:tcPr>
            <w:tcW w:w="1064" w:type="dxa"/>
          </w:tcPr>
          <w:p w14:paraId="36B010D6" w14:textId="56E38C68" w:rsidR="000A3AEC" w:rsidRDefault="000A3AEC" w:rsidP="000A3AEC">
            <w:r>
              <w:rPr>
                <w:rFonts w:cs="Arial"/>
              </w:rPr>
              <w:t>-36</w:t>
            </w:r>
          </w:p>
        </w:tc>
        <w:tc>
          <w:tcPr>
            <w:tcW w:w="1064" w:type="dxa"/>
          </w:tcPr>
          <w:p w14:paraId="1B82C314" w14:textId="728E5D3A" w:rsidR="000A3AEC" w:rsidRDefault="000A3AEC" w:rsidP="000A3AEC">
            <w:r>
              <w:rPr>
                <w:rFonts w:cs="Arial"/>
              </w:rPr>
              <w:t>14</w:t>
            </w:r>
          </w:p>
        </w:tc>
        <w:tc>
          <w:tcPr>
            <w:tcW w:w="1064" w:type="dxa"/>
          </w:tcPr>
          <w:p w14:paraId="028287DF" w14:textId="5A9B660A" w:rsidR="000A3AEC" w:rsidRDefault="000A3AEC" w:rsidP="000A3AEC">
            <w:r>
              <w:rPr>
                <w:rFonts w:cs="Arial"/>
              </w:rPr>
              <w:t>-10</w:t>
            </w:r>
          </w:p>
        </w:tc>
        <w:tc>
          <w:tcPr>
            <w:tcW w:w="1064" w:type="dxa"/>
          </w:tcPr>
          <w:p w14:paraId="64A332ED" w14:textId="16A68419" w:rsidR="000A3AEC" w:rsidRDefault="000A3AEC" w:rsidP="000A3AEC">
            <w:r>
              <w:rPr>
                <w:rFonts w:cs="Arial"/>
              </w:rPr>
              <w:t>-48</w:t>
            </w:r>
          </w:p>
        </w:tc>
        <w:tc>
          <w:tcPr>
            <w:tcW w:w="1064" w:type="dxa"/>
          </w:tcPr>
          <w:p w14:paraId="63E5A1CA" w14:textId="0D266D3B" w:rsidR="000A3AEC" w:rsidRDefault="000A3AEC" w:rsidP="000A3AEC">
            <w:r>
              <w:rPr>
                <w:rFonts w:cs="Arial"/>
              </w:rPr>
              <w:t>-42</w:t>
            </w:r>
          </w:p>
        </w:tc>
        <w:tc>
          <w:tcPr>
            <w:tcW w:w="1064" w:type="dxa"/>
          </w:tcPr>
          <w:p w14:paraId="7B7C9E3E" w14:textId="1639221D" w:rsidR="000A3AEC" w:rsidRDefault="000A3AEC" w:rsidP="000A3AEC">
            <w:r>
              <w:rPr>
                <w:rFonts w:cs="Arial"/>
              </w:rPr>
              <w:t>4</w:t>
            </w:r>
          </w:p>
        </w:tc>
      </w:tr>
      <w:tr w:rsidR="000A3AEC" w14:paraId="38CCC72B" w14:textId="77777777" w:rsidTr="000A3AEC">
        <w:tc>
          <w:tcPr>
            <w:tcW w:w="1064" w:type="dxa"/>
          </w:tcPr>
          <w:p w14:paraId="16F575C1" w14:textId="28DE766C" w:rsidR="000A3AEC" w:rsidRDefault="000A3AEC" w:rsidP="000A3AEC">
            <w:r>
              <w:rPr>
                <w:rFonts w:cs="Arial"/>
              </w:rPr>
              <w:t>20</w:t>
            </w:r>
          </w:p>
        </w:tc>
        <w:tc>
          <w:tcPr>
            <w:tcW w:w="1064" w:type="dxa"/>
          </w:tcPr>
          <w:p w14:paraId="61B32622" w14:textId="7971D670" w:rsidR="000A3AEC" w:rsidRDefault="000A3AEC" w:rsidP="000A3AEC">
            <w:r>
              <w:rPr>
                <w:rFonts w:cs="Arial"/>
              </w:rPr>
              <w:t>17</w:t>
            </w:r>
          </w:p>
        </w:tc>
        <w:tc>
          <w:tcPr>
            <w:tcW w:w="1064" w:type="dxa"/>
          </w:tcPr>
          <w:p w14:paraId="30CAC8F5" w14:textId="1F3C7249" w:rsidR="000A3AEC" w:rsidRDefault="000A3AEC" w:rsidP="000A3AEC">
            <w:r>
              <w:rPr>
                <w:rFonts w:cs="Arial"/>
              </w:rPr>
              <w:t>-55</w:t>
            </w:r>
          </w:p>
        </w:tc>
        <w:tc>
          <w:tcPr>
            <w:tcW w:w="1064" w:type="dxa"/>
          </w:tcPr>
          <w:p w14:paraId="6E8C3A57" w14:textId="6CF92E10" w:rsidR="000A3AEC" w:rsidRDefault="000A3AEC" w:rsidP="000A3AEC">
            <w:r>
              <w:rPr>
                <w:rFonts w:cs="Arial"/>
              </w:rPr>
              <w:t>-40</w:t>
            </w:r>
          </w:p>
        </w:tc>
        <w:tc>
          <w:tcPr>
            <w:tcW w:w="1064" w:type="dxa"/>
          </w:tcPr>
          <w:p w14:paraId="14A7058F" w14:textId="2E6909F5" w:rsidR="000A3AEC" w:rsidRDefault="000A3AEC" w:rsidP="000A3AEC">
            <w:r>
              <w:rPr>
                <w:rFonts w:cs="Arial"/>
              </w:rPr>
              <w:t>8</w:t>
            </w:r>
          </w:p>
        </w:tc>
        <w:tc>
          <w:tcPr>
            <w:tcW w:w="1064" w:type="dxa"/>
          </w:tcPr>
          <w:p w14:paraId="668CEC6E" w14:textId="0EAFD672" w:rsidR="000A3AEC" w:rsidRDefault="000A3AEC" w:rsidP="000A3AEC">
            <w:r>
              <w:rPr>
                <w:rFonts w:cs="Arial"/>
              </w:rPr>
              <w:t>-23</w:t>
            </w:r>
          </w:p>
        </w:tc>
        <w:tc>
          <w:tcPr>
            <w:tcW w:w="1064" w:type="dxa"/>
          </w:tcPr>
          <w:p w14:paraId="47571B9E" w14:textId="0AC2901C" w:rsidR="000A3AEC" w:rsidRDefault="000A3AEC" w:rsidP="000A3AEC">
            <w:r>
              <w:rPr>
                <w:rFonts w:cs="Arial"/>
              </w:rPr>
              <w:t>-51</w:t>
            </w:r>
          </w:p>
        </w:tc>
        <w:tc>
          <w:tcPr>
            <w:tcW w:w="1064" w:type="dxa"/>
          </w:tcPr>
          <w:p w14:paraId="73CB4633" w14:textId="651F3A97" w:rsidR="000A3AEC" w:rsidRDefault="000A3AEC" w:rsidP="000A3AEC">
            <w:r>
              <w:rPr>
                <w:rFonts w:cs="Arial"/>
              </w:rPr>
              <w:t>-46</w:t>
            </w:r>
          </w:p>
        </w:tc>
        <w:tc>
          <w:tcPr>
            <w:tcW w:w="1064" w:type="dxa"/>
          </w:tcPr>
          <w:p w14:paraId="58510F82" w14:textId="7A17AA70" w:rsidR="000A3AEC" w:rsidRDefault="000A3AEC" w:rsidP="000A3AEC">
            <w:r>
              <w:rPr>
                <w:rFonts w:cs="Arial"/>
              </w:rPr>
              <w:t>5</w:t>
            </w:r>
          </w:p>
        </w:tc>
      </w:tr>
      <w:tr w:rsidR="000A3AEC" w14:paraId="6D9F93B7" w14:textId="77777777" w:rsidTr="000A3AEC">
        <w:tc>
          <w:tcPr>
            <w:tcW w:w="1064" w:type="dxa"/>
          </w:tcPr>
          <w:p w14:paraId="23018767" w14:textId="78F286FE" w:rsidR="000A3AEC" w:rsidRDefault="000A3AEC" w:rsidP="000A3AEC">
            <w:r>
              <w:rPr>
                <w:rFonts w:cs="Arial"/>
              </w:rPr>
              <w:t>40</w:t>
            </w:r>
          </w:p>
        </w:tc>
        <w:tc>
          <w:tcPr>
            <w:tcW w:w="1064" w:type="dxa"/>
          </w:tcPr>
          <w:p w14:paraId="0CB43889" w14:textId="0B31A54E" w:rsidR="000A3AEC" w:rsidRDefault="000A3AEC" w:rsidP="000A3AEC">
            <w:r>
              <w:rPr>
                <w:rFonts w:cs="Arial"/>
              </w:rPr>
              <w:t>18</w:t>
            </w:r>
          </w:p>
        </w:tc>
        <w:tc>
          <w:tcPr>
            <w:tcW w:w="1064" w:type="dxa"/>
          </w:tcPr>
          <w:p w14:paraId="78E9A97F" w14:textId="0A9F4B86" w:rsidR="000A3AEC" w:rsidRDefault="000A3AEC" w:rsidP="000A3AEC">
            <w:r>
              <w:rPr>
                <w:rFonts w:cs="Arial"/>
              </w:rPr>
              <w:t>-63</w:t>
            </w:r>
          </w:p>
        </w:tc>
        <w:tc>
          <w:tcPr>
            <w:tcW w:w="1064" w:type="dxa"/>
          </w:tcPr>
          <w:p w14:paraId="37186326" w14:textId="1C211146" w:rsidR="000A3AEC" w:rsidRDefault="000A3AEC" w:rsidP="000A3AEC">
            <w:r>
              <w:rPr>
                <w:rFonts w:cs="Arial"/>
              </w:rPr>
              <w:t>-46</w:t>
            </w:r>
          </w:p>
        </w:tc>
        <w:tc>
          <w:tcPr>
            <w:tcW w:w="1064" w:type="dxa"/>
          </w:tcPr>
          <w:p w14:paraId="3DA085F1" w14:textId="3BA069BF" w:rsidR="000A3AEC" w:rsidRDefault="000A3AEC" w:rsidP="000A3AEC">
            <w:r>
              <w:rPr>
                <w:rFonts w:cs="Arial"/>
              </w:rPr>
              <w:t>10</w:t>
            </w:r>
          </w:p>
        </w:tc>
        <w:tc>
          <w:tcPr>
            <w:tcW w:w="1064" w:type="dxa"/>
          </w:tcPr>
          <w:p w14:paraId="523F3FEC" w14:textId="14058A86" w:rsidR="000A3AEC" w:rsidRDefault="000A3AEC" w:rsidP="000A3AEC">
            <w:r>
              <w:rPr>
                <w:rFonts w:cs="Arial"/>
              </w:rPr>
              <w:t>-28</w:t>
            </w:r>
          </w:p>
        </w:tc>
        <w:tc>
          <w:tcPr>
            <w:tcW w:w="1064" w:type="dxa"/>
          </w:tcPr>
          <w:p w14:paraId="5F84249D" w14:textId="339FEAC2" w:rsidR="000A3AEC" w:rsidRDefault="000A3AEC" w:rsidP="000A3AEC">
            <w:r>
              <w:rPr>
                <w:rFonts w:cs="Arial"/>
              </w:rPr>
              <w:t>-60</w:t>
            </w:r>
          </w:p>
        </w:tc>
        <w:tc>
          <w:tcPr>
            <w:tcW w:w="1064" w:type="dxa"/>
          </w:tcPr>
          <w:p w14:paraId="6B7D79BE" w14:textId="18FDD12C" w:rsidR="000A3AEC" w:rsidRDefault="000A3AEC" w:rsidP="000A3AEC">
            <w:r>
              <w:rPr>
                <w:rFonts w:cs="Arial"/>
              </w:rPr>
              <w:t>-54</w:t>
            </w:r>
          </w:p>
        </w:tc>
        <w:tc>
          <w:tcPr>
            <w:tcW w:w="1064" w:type="dxa"/>
          </w:tcPr>
          <w:p w14:paraId="47B45EA4" w14:textId="5C4E3D67" w:rsidR="000A3AEC" w:rsidRDefault="000A3AEC" w:rsidP="000A3AEC">
            <w:r>
              <w:rPr>
                <w:rFonts w:cs="Arial"/>
              </w:rPr>
              <w:t>0</w:t>
            </w:r>
          </w:p>
        </w:tc>
      </w:tr>
    </w:tbl>
    <w:p w14:paraId="4F4F4CEC" w14:textId="40969001" w:rsidR="000A3AEC" w:rsidRDefault="000A3AEC" w:rsidP="000A3AEC"/>
    <w:p w14:paraId="3B3960C7"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Терапевтичният отговор към лечението с розувастатин се забелязва до 1 седмица от началото на терапията и 90% от максималния отговор се постига до 2 седмици. Максималният отговор обикновено се постига към 4-та седмица и се поддържа след това.</w:t>
      </w:r>
    </w:p>
    <w:p w14:paraId="5ABF85D0" w14:textId="77777777" w:rsidR="000A3AEC" w:rsidRDefault="000A3AEC" w:rsidP="000A3AEC">
      <w:pPr>
        <w:spacing w:line="240" w:lineRule="auto"/>
        <w:rPr>
          <w:rFonts w:eastAsia="Times New Roman" w:cs="Arial"/>
          <w:color w:val="000000"/>
          <w:u w:val="single"/>
          <w:lang w:eastAsia="bg-BG"/>
        </w:rPr>
      </w:pPr>
    </w:p>
    <w:p w14:paraId="2342768E" w14:textId="5F9B0FF1"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u w:val="single"/>
          <w:lang w:eastAsia="bg-BG"/>
        </w:rPr>
        <w:t>Клинична ефикасност и безопасност</w:t>
      </w:r>
    </w:p>
    <w:p w14:paraId="47CAEB45"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Розувастатин е ефективен при възрастни, страдащи от хиперхолестеролемня, със или без хипертриглицеридемия, независимо от расова принадлежност, пол или възраст, и при специални групи като диабетици или пациенти с фамилна хиперхолестеролемия.</w:t>
      </w:r>
    </w:p>
    <w:p w14:paraId="64F24D5F" w14:textId="77777777" w:rsidR="000A3AEC" w:rsidRDefault="000A3AEC" w:rsidP="000A3AEC">
      <w:pPr>
        <w:spacing w:line="240" w:lineRule="auto"/>
        <w:rPr>
          <w:rFonts w:eastAsia="Times New Roman" w:cs="Arial"/>
          <w:color w:val="000000"/>
          <w:lang w:eastAsia="bg-BG"/>
        </w:rPr>
      </w:pPr>
    </w:p>
    <w:p w14:paraId="4EB08D0F" w14:textId="007D60AC"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Обобщените данни от фаза </w:t>
      </w:r>
      <w:r w:rsidRPr="000A3AEC">
        <w:rPr>
          <w:rFonts w:eastAsia="Times New Roman" w:cs="Arial"/>
          <w:color w:val="000000"/>
          <w:lang w:val="en-US"/>
        </w:rPr>
        <w:t>III</w:t>
      </w:r>
      <w:r w:rsidRPr="000A3AEC">
        <w:rPr>
          <w:rFonts w:eastAsia="Times New Roman" w:cs="Arial"/>
          <w:color w:val="000000"/>
          <w:lang w:eastAsia="bg-BG"/>
        </w:rPr>
        <w:t xml:space="preserve"> показват, че розувастатин е ефективен при лечение на голяма част от пациентите с тип </w:t>
      </w:r>
      <w:r w:rsidRPr="000A3AEC">
        <w:rPr>
          <w:rFonts w:eastAsia="Times New Roman" w:cs="Arial"/>
          <w:color w:val="000000"/>
          <w:lang w:val="en-US"/>
        </w:rPr>
        <w:t>II</w:t>
      </w:r>
      <w:r w:rsidRPr="000A3AEC">
        <w:rPr>
          <w:rFonts w:eastAsia="Times New Roman" w:cs="Arial"/>
          <w:color w:val="000000"/>
          <w:lang w:eastAsia="bg-BG"/>
        </w:rPr>
        <w:t xml:space="preserve">а и </w:t>
      </w:r>
      <w:proofErr w:type="spellStart"/>
      <w:r w:rsidRPr="000A3AEC">
        <w:rPr>
          <w:rFonts w:eastAsia="Times New Roman" w:cs="Arial"/>
          <w:color w:val="000000"/>
          <w:lang w:val="en-US"/>
        </w:rPr>
        <w:t>IIb</w:t>
      </w:r>
      <w:proofErr w:type="spellEnd"/>
      <w:r w:rsidRPr="000A3AEC">
        <w:rPr>
          <w:rFonts w:eastAsia="Times New Roman" w:cs="Arial"/>
          <w:color w:val="000000"/>
          <w:lang w:eastAsia="bg-BG"/>
        </w:rPr>
        <w:t xml:space="preserve"> хиперхолестеролемия (средна изходна стойност на </w:t>
      </w:r>
      <w:r w:rsidRPr="000A3AEC">
        <w:rPr>
          <w:rFonts w:eastAsia="Times New Roman" w:cs="Arial"/>
          <w:color w:val="000000"/>
          <w:lang w:val="en-US"/>
        </w:rPr>
        <w:t>LDL</w:t>
      </w:r>
      <w:r w:rsidRPr="000A3AEC">
        <w:rPr>
          <w:rFonts w:eastAsia="Times New Roman" w:cs="Arial"/>
          <w:color w:val="000000"/>
          <w:lang w:eastAsia="bg-BG"/>
        </w:rPr>
        <w:t xml:space="preserve">-С около 4,8 </w:t>
      </w:r>
      <w:proofErr w:type="spellStart"/>
      <w:r w:rsidRPr="000A3AEC">
        <w:rPr>
          <w:rFonts w:eastAsia="Times New Roman" w:cs="Arial"/>
          <w:color w:val="000000"/>
          <w:lang w:val="en-US"/>
        </w:rPr>
        <w:t>mmol</w:t>
      </w:r>
      <w:proofErr w:type="spellEnd"/>
      <w:r w:rsidRPr="000A3AEC">
        <w:rPr>
          <w:rFonts w:eastAsia="Times New Roman" w:cs="Arial"/>
          <w:color w:val="000000"/>
          <w:lang w:val="ru-RU"/>
        </w:rPr>
        <w:t xml:space="preserve">/1), </w:t>
      </w:r>
      <w:r w:rsidRPr="000A3AEC">
        <w:rPr>
          <w:rFonts w:eastAsia="Times New Roman" w:cs="Arial"/>
          <w:color w:val="000000"/>
          <w:lang w:eastAsia="bg-BG"/>
        </w:rPr>
        <w:t xml:space="preserve">според определените от Европейската асоциация по атеросклероза прицелни стойности </w:t>
      </w:r>
      <w:r w:rsidRPr="000A3AEC">
        <w:rPr>
          <w:rFonts w:eastAsia="Times New Roman" w:cs="Arial"/>
          <w:color w:val="000000"/>
          <w:lang w:val="ru-RU"/>
        </w:rPr>
        <w:t>(</w:t>
      </w:r>
      <w:r w:rsidRPr="000A3AEC">
        <w:rPr>
          <w:rFonts w:eastAsia="Times New Roman" w:cs="Arial"/>
          <w:color w:val="000000"/>
          <w:lang w:val="en-US"/>
        </w:rPr>
        <w:t>EAS</w:t>
      </w:r>
      <w:r w:rsidRPr="000A3AEC">
        <w:rPr>
          <w:rFonts w:eastAsia="Times New Roman" w:cs="Arial"/>
          <w:color w:val="000000"/>
          <w:lang w:val="ru-RU"/>
        </w:rPr>
        <w:t>; 19</w:t>
      </w:r>
      <w:r w:rsidRPr="000A3AEC">
        <w:rPr>
          <w:rFonts w:eastAsia="Times New Roman" w:cs="Arial"/>
          <w:color w:val="000000"/>
          <w:lang w:eastAsia="bg-BG"/>
        </w:rPr>
        <w:t xml:space="preserve">98). Около 80% от пациентите на 10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са достигнали желаните стойности на </w:t>
      </w:r>
      <w:r w:rsidRPr="000A3AEC">
        <w:rPr>
          <w:rFonts w:eastAsia="Times New Roman" w:cs="Arial"/>
          <w:color w:val="000000"/>
          <w:lang w:val="en-US"/>
        </w:rPr>
        <w:t>LDL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eastAsia="bg-BG"/>
        </w:rPr>
        <w:t xml:space="preserve">(&lt;3 </w:t>
      </w:r>
      <w:proofErr w:type="spellStart"/>
      <w:r w:rsidRPr="000A3AEC">
        <w:rPr>
          <w:rFonts w:eastAsia="Times New Roman" w:cs="Arial"/>
          <w:color w:val="000000"/>
          <w:lang w:val="en-US"/>
        </w:rPr>
        <w:t>mmol</w:t>
      </w:r>
      <w:proofErr w:type="spellEnd"/>
      <w:r w:rsidRPr="000A3AEC">
        <w:rPr>
          <w:rFonts w:eastAsia="Times New Roman" w:cs="Arial"/>
          <w:color w:val="000000"/>
          <w:lang w:val="ru-RU"/>
        </w:rPr>
        <w:t xml:space="preserve">/1) </w:t>
      </w:r>
      <w:r w:rsidRPr="000A3AEC">
        <w:rPr>
          <w:rFonts w:eastAsia="Times New Roman" w:cs="Arial"/>
          <w:color w:val="000000"/>
          <w:lang w:eastAsia="bg-BG"/>
        </w:rPr>
        <w:t xml:space="preserve">според </w:t>
      </w:r>
      <w:r w:rsidRPr="000A3AEC">
        <w:rPr>
          <w:rFonts w:eastAsia="Times New Roman" w:cs="Arial"/>
          <w:color w:val="000000"/>
          <w:lang w:val="en-US"/>
        </w:rPr>
        <w:t>EAS</w:t>
      </w:r>
      <w:r w:rsidRPr="000A3AEC">
        <w:rPr>
          <w:rFonts w:eastAsia="Times New Roman" w:cs="Arial"/>
          <w:color w:val="000000"/>
          <w:lang w:val="ru-RU"/>
        </w:rPr>
        <w:t>.</w:t>
      </w:r>
    </w:p>
    <w:p w14:paraId="12DC5ADC" w14:textId="77777777" w:rsidR="000A3AEC" w:rsidRDefault="000A3AEC" w:rsidP="000A3AEC">
      <w:pPr>
        <w:spacing w:line="240" w:lineRule="auto"/>
        <w:rPr>
          <w:rFonts w:eastAsia="Times New Roman" w:cs="Arial"/>
          <w:color w:val="000000"/>
          <w:lang w:eastAsia="bg-BG"/>
        </w:rPr>
      </w:pPr>
    </w:p>
    <w:p w14:paraId="66204DDE" w14:textId="3E8F19C4"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В едно мащабно проучване с форсирано титриране на дозата, 435 пациенти с хетерозиготна фамилна хиперхолестеролемия са лекувани с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до 80</w:t>
      </w:r>
      <w:r w:rsidRPr="000A3AEC">
        <w:rPr>
          <w:rFonts w:eastAsia="Times New Roman" w:cs="Arial"/>
          <w:color w:val="000000"/>
          <w:lang w:val="ru-RU"/>
        </w:rPr>
        <w:t xml:space="preserve">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Всички дозировки показват положителен резултат върху липидните показатели. След достигане на дневна доза от 40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(12-седмично лечение), </w:t>
      </w:r>
      <w:r w:rsidRPr="000A3AEC">
        <w:rPr>
          <w:rFonts w:eastAsia="Times New Roman" w:cs="Arial"/>
          <w:color w:val="000000"/>
          <w:lang w:val="en-US"/>
        </w:rPr>
        <w:t>LDL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eastAsia="bg-BG"/>
        </w:rPr>
        <w:t xml:space="preserve">намалява с 53%. 33% от пациентите достигат стойностите на </w:t>
      </w:r>
      <w:r w:rsidRPr="000A3AEC">
        <w:rPr>
          <w:rFonts w:eastAsia="Times New Roman" w:cs="Arial"/>
          <w:color w:val="000000"/>
          <w:lang w:val="en-US"/>
        </w:rPr>
        <w:t>LDL</w:t>
      </w:r>
      <w:r w:rsidRPr="000A3AEC">
        <w:rPr>
          <w:rFonts w:eastAsia="Times New Roman" w:cs="Arial"/>
          <w:color w:val="000000"/>
          <w:lang w:eastAsia="bg-BG"/>
        </w:rPr>
        <w:t xml:space="preserve">-С според </w:t>
      </w:r>
      <w:r w:rsidRPr="000A3AEC">
        <w:rPr>
          <w:rFonts w:eastAsia="Times New Roman" w:cs="Arial"/>
          <w:color w:val="000000"/>
          <w:lang w:val="en-US"/>
        </w:rPr>
        <w:t>EAS</w:t>
      </w:r>
      <w:r w:rsidRPr="000A3AEC">
        <w:rPr>
          <w:rFonts w:eastAsia="Times New Roman" w:cs="Arial"/>
          <w:color w:val="000000"/>
          <w:lang w:val="ru-RU"/>
        </w:rPr>
        <w:t xml:space="preserve"> </w:t>
      </w:r>
      <w:r w:rsidRPr="000A3AEC">
        <w:rPr>
          <w:rFonts w:eastAsia="Times New Roman" w:cs="Arial"/>
          <w:color w:val="000000"/>
          <w:lang w:eastAsia="bg-BG"/>
        </w:rPr>
        <w:t xml:space="preserve">(&lt;3 </w:t>
      </w:r>
      <w:proofErr w:type="spellStart"/>
      <w:r w:rsidRPr="000A3AEC">
        <w:rPr>
          <w:rFonts w:eastAsia="Times New Roman" w:cs="Arial"/>
          <w:color w:val="000000"/>
          <w:lang w:val="en-US"/>
        </w:rPr>
        <w:t>mmol</w:t>
      </w:r>
      <w:proofErr w:type="spellEnd"/>
      <w:r w:rsidRPr="000A3AEC">
        <w:rPr>
          <w:rFonts w:eastAsia="Times New Roman" w:cs="Arial"/>
          <w:color w:val="000000"/>
          <w:lang w:val="ru-RU"/>
        </w:rPr>
        <w:t>/</w:t>
      </w:r>
      <w:r w:rsidRPr="000A3AEC">
        <w:rPr>
          <w:rFonts w:eastAsia="Times New Roman" w:cs="Arial"/>
          <w:color w:val="000000"/>
          <w:lang w:val="en-US"/>
        </w:rPr>
        <w:t>I</w:t>
      </w:r>
      <w:r w:rsidRPr="000A3AEC">
        <w:rPr>
          <w:rFonts w:eastAsia="Times New Roman" w:cs="Arial"/>
          <w:color w:val="000000"/>
          <w:lang w:val="ru-RU"/>
        </w:rPr>
        <w:t>).</w:t>
      </w:r>
    </w:p>
    <w:p w14:paraId="64A9ADD0" w14:textId="77777777" w:rsidR="000A3AEC" w:rsidRDefault="000A3AEC" w:rsidP="000A3AEC">
      <w:pPr>
        <w:spacing w:line="240" w:lineRule="auto"/>
        <w:rPr>
          <w:rFonts w:eastAsia="Times New Roman" w:cs="Arial"/>
          <w:color w:val="000000"/>
          <w:lang w:eastAsia="bg-BG"/>
        </w:rPr>
      </w:pPr>
    </w:p>
    <w:p w14:paraId="00581A30" w14:textId="2A96578E"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В едно отворено проучване с форсирано титриране на дозата, 42 пациенти с хомозиготна фамилна хиперхолестеролемия са били оценявани за отговор на прием от 20-40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розувастатин. В общата популация средното понижение на </w:t>
      </w:r>
      <w:r w:rsidRPr="000A3AEC">
        <w:rPr>
          <w:rFonts w:eastAsia="Times New Roman" w:cs="Arial"/>
          <w:color w:val="000000"/>
          <w:lang w:val="en-US"/>
        </w:rPr>
        <w:t>LDL</w:t>
      </w:r>
      <w:r w:rsidRPr="000A3AEC">
        <w:rPr>
          <w:rFonts w:eastAsia="Times New Roman" w:cs="Arial"/>
          <w:color w:val="000000"/>
          <w:lang w:eastAsia="bg-BG"/>
        </w:rPr>
        <w:t>-С е било 22%.</w:t>
      </w:r>
    </w:p>
    <w:p w14:paraId="65E64EC6" w14:textId="77777777" w:rsidR="000A3AEC" w:rsidRDefault="000A3AEC" w:rsidP="000A3AEC">
      <w:pPr>
        <w:spacing w:line="240" w:lineRule="auto"/>
        <w:rPr>
          <w:rFonts w:eastAsia="Times New Roman" w:cs="Arial"/>
          <w:color w:val="000000"/>
          <w:lang w:eastAsia="bg-BG"/>
        </w:rPr>
      </w:pPr>
    </w:p>
    <w:p w14:paraId="4EF1636D" w14:textId="5C7DEC7D"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При клинични изпитвания с ограничен брой пациенти, розувастатин показва адитивна ефективност при намаляване на триглицеридите, когато е приеман в комбинация с фенофибрат и увеличение на нивото на </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eastAsia="bg-BG"/>
        </w:rPr>
        <w:t>в комбинация с ниацин (вж. точка 4.4).</w:t>
      </w:r>
    </w:p>
    <w:p w14:paraId="0952F1BC" w14:textId="77777777" w:rsidR="000A3AEC" w:rsidRDefault="000A3AEC" w:rsidP="000A3AEC">
      <w:pPr>
        <w:spacing w:line="240" w:lineRule="auto"/>
        <w:rPr>
          <w:rFonts w:eastAsia="Times New Roman" w:cs="Arial"/>
          <w:color w:val="000000"/>
          <w:lang w:eastAsia="bg-BG"/>
        </w:rPr>
      </w:pPr>
    </w:p>
    <w:p w14:paraId="1D802B16" w14:textId="4F68FA30"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В едно мултацентрово, двойно сляпо, плацебо-контролирано клинично проучване </w:t>
      </w:r>
      <w:r w:rsidRPr="000A3AEC">
        <w:rPr>
          <w:rFonts w:eastAsia="Times New Roman" w:cs="Arial"/>
          <w:color w:val="000000"/>
        </w:rPr>
        <w:t>(</w:t>
      </w:r>
      <w:r w:rsidRPr="000A3AEC">
        <w:rPr>
          <w:rFonts w:eastAsia="Times New Roman" w:cs="Arial"/>
          <w:color w:val="000000"/>
          <w:lang w:val="en-US"/>
        </w:rPr>
        <w:t>METEOR</w:t>
      </w:r>
      <w:r w:rsidRPr="000A3AEC">
        <w:rPr>
          <w:rFonts w:eastAsia="Times New Roman" w:cs="Arial"/>
          <w:color w:val="000000"/>
        </w:rPr>
        <w:t xml:space="preserve">), </w:t>
      </w:r>
      <w:r w:rsidRPr="000A3AEC">
        <w:rPr>
          <w:rFonts w:eastAsia="Times New Roman" w:cs="Arial"/>
          <w:color w:val="000000"/>
          <w:lang w:eastAsia="bg-BG"/>
        </w:rPr>
        <w:t xml:space="preserve">984 пациенти между 45 и 70 години с нисък риск за исхемична болест на сърцето (дефинирано като </w:t>
      </w:r>
      <w:r w:rsidRPr="000A3AEC">
        <w:rPr>
          <w:rFonts w:eastAsia="Times New Roman" w:cs="Arial"/>
          <w:color w:val="000000"/>
          <w:lang w:val="en-US"/>
        </w:rPr>
        <w:t>Framingham</w:t>
      </w:r>
      <w:r w:rsidRPr="000A3AEC">
        <w:rPr>
          <w:rFonts w:eastAsia="Times New Roman" w:cs="Arial"/>
          <w:color w:val="000000"/>
        </w:rPr>
        <w:t xml:space="preserve"> </w:t>
      </w:r>
      <w:r w:rsidRPr="000A3AEC">
        <w:rPr>
          <w:rFonts w:eastAsia="Times New Roman" w:cs="Arial"/>
          <w:color w:val="000000"/>
          <w:lang w:eastAsia="bg-BG"/>
        </w:rPr>
        <w:t xml:space="preserve">риск &lt;10% за 10 г.) и със среден </w:t>
      </w:r>
      <w:r w:rsidRPr="000A3AEC">
        <w:rPr>
          <w:rFonts w:eastAsia="Times New Roman" w:cs="Arial"/>
          <w:color w:val="000000"/>
          <w:lang w:val="en-US"/>
        </w:rPr>
        <w:t>LDL</w:t>
      </w:r>
      <w:r w:rsidRPr="000A3AEC">
        <w:rPr>
          <w:rFonts w:eastAsia="Times New Roman" w:cs="Arial"/>
          <w:color w:val="000000"/>
        </w:rPr>
        <w:t>-</w:t>
      </w:r>
      <w:r w:rsidRPr="000A3AEC">
        <w:rPr>
          <w:rFonts w:eastAsia="Times New Roman" w:cs="Arial"/>
          <w:color w:val="000000"/>
          <w:lang w:val="en-US"/>
        </w:rPr>
        <w:t>C</w:t>
      </w:r>
      <w:r w:rsidRPr="000A3AEC">
        <w:rPr>
          <w:rFonts w:eastAsia="Times New Roman" w:cs="Arial"/>
          <w:color w:val="000000"/>
        </w:rPr>
        <w:t xml:space="preserve"> </w:t>
      </w:r>
      <w:r w:rsidRPr="000A3AEC">
        <w:rPr>
          <w:rFonts w:eastAsia="Times New Roman" w:cs="Arial"/>
          <w:color w:val="000000"/>
          <w:lang w:eastAsia="bg-BG"/>
        </w:rPr>
        <w:t xml:space="preserve">4,0 </w:t>
      </w:r>
      <w:proofErr w:type="spellStart"/>
      <w:r w:rsidRPr="000A3AEC">
        <w:rPr>
          <w:rFonts w:eastAsia="Times New Roman" w:cs="Arial"/>
          <w:color w:val="000000"/>
          <w:lang w:val="en-US"/>
        </w:rPr>
        <w:t>mmol</w:t>
      </w:r>
      <w:proofErr w:type="spellEnd"/>
      <w:r w:rsidRPr="000A3AEC">
        <w:rPr>
          <w:rFonts w:eastAsia="Times New Roman" w:cs="Arial"/>
          <w:color w:val="000000"/>
        </w:rPr>
        <w:t xml:space="preserve">/1 </w:t>
      </w:r>
      <w:r w:rsidRPr="000A3AEC">
        <w:rPr>
          <w:rFonts w:eastAsia="Times New Roman" w:cs="Arial"/>
          <w:color w:val="000000"/>
          <w:lang w:eastAsia="bg-BG"/>
        </w:rPr>
        <w:t xml:space="preserve">(154,5 </w:t>
      </w:r>
      <w:r w:rsidRPr="000A3AEC">
        <w:rPr>
          <w:rFonts w:eastAsia="Times New Roman" w:cs="Arial"/>
          <w:color w:val="000000"/>
          <w:lang w:val="en-US"/>
        </w:rPr>
        <w:t>mg</w:t>
      </w:r>
      <w:r w:rsidRPr="000A3AEC">
        <w:rPr>
          <w:rFonts w:eastAsia="Times New Roman" w:cs="Arial"/>
          <w:color w:val="000000"/>
        </w:rPr>
        <w:t>/</w:t>
      </w:r>
      <w:r w:rsidRPr="000A3AEC">
        <w:rPr>
          <w:rFonts w:eastAsia="Times New Roman" w:cs="Arial"/>
          <w:color w:val="000000"/>
          <w:lang w:val="en-US"/>
        </w:rPr>
        <w:t>dl</w:t>
      </w:r>
      <w:r w:rsidRPr="000A3AEC">
        <w:rPr>
          <w:rFonts w:eastAsia="Times New Roman" w:cs="Arial"/>
          <w:color w:val="000000"/>
        </w:rPr>
        <w:t xml:space="preserve">), </w:t>
      </w:r>
      <w:r w:rsidRPr="000A3AEC">
        <w:rPr>
          <w:rFonts w:eastAsia="Times New Roman" w:cs="Arial"/>
          <w:color w:val="000000"/>
          <w:lang w:eastAsia="bg-BG"/>
        </w:rPr>
        <w:t xml:space="preserve">но със субклинична атеросклероза, установена чрез измерване на </w:t>
      </w:r>
      <w:r w:rsidRPr="000A3AEC">
        <w:rPr>
          <w:rFonts w:eastAsia="Times New Roman" w:cs="Arial"/>
          <w:color w:val="000000"/>
          <w:lang w:val="en-US"/>
        </w:rPr>
        <w:t>CIMT</w:t>
      </w:r>
      <w:r w:rsidRPr="000A3AEC">
        <w:rPr>
          <w:rFonts w:eastAsia="Times New Roman" w:cs="Arial"/>
          <w:color w:val="000000"/>
        </w:rPr>
        <w:t xml:space="preserve"> (</w:t>
      </w:r>
      <w:r w:rsidRPr="000A3AEC">
        <w:rPr>
          <w:rFonts w:eastAsia="Times New Roman" w:cs="Arial"/>
          <w:color w:val="000000"/>
          <w:lang w:val="en-US"/>
        </w:rPr>
        <w:t>Carotid</w:t>
      </w:r>
      <w:r w:rsidRPr="000A3AEC">
        <w:rPr>
          <w:rFonts w:eastAsia="Times New Roman" w:cs="Arial"/>
          <w:color w:val="000000"/>
        </w:rPr>
        <w:t xml:space="preserve"> </w:t>
      </w:r>
      <w:r w:rsidRPr="000A3AEC">
        <w:rPr>
          <w:rFonts w:eastAsia="Times New Roman" w:cs="Arial"/>
          <w:color w:val="000000"/>
          <w:lang w:val="en-US"/>
        </w:rPr>
        <w:t>Intima</w:t>
      </w:r>
      <w:r w:rsidRPr="000A3AEC">
        <w:rPr>
          <w:rFonts w:eastAsia="Times New Roman" w:cs="Arial"/>
          <w:color w:val="000000"/>
        </w:rPr>
        <w:t xml:space="preserve"> </w:t>
      </w:r>
      <w:r w:rsidRPr="000A3AEC">
        <w:rPr>
          <w:rFonts w:eastAsia="Times New Roman" w:cs="Arial"/>
          <w:color w:val="000000"/>
          <w:lang w:val="en-US"/>
        </w:rPr>
        <w:t>Media</w:t>
      </w:r>
      <w:r w:rsidRPr="000A3AEC">
        <w:rPr>
          <w:rFonts w:eastAsia="Times New Roman" w:cs="Arial"/>
          <w:color w:val="000000"/>
        </w:rPr>
        <w:t xml:space="preserve"> </w:t>
      </w:r>
      <w:r w:rsidRPr="000A3AEC">
        <w:rPr>
          <w:rFonts w:eastAsia="Times New Roman" w:cs="Arial"/>
          <w:color w:val="000000"/>
          <w:lang w:val="en-US"/>
        </w:rPr>
        <w:t>Thickness</w:t>
      </w:r>
      <w:r w:rsidRPr="000A3AEC">
        <w:rPr>
          <w:rFonts w:eastAsia="Times New Roman" w:cs="Arial"/>
          <w:color w:val="000000"/>
        </w:rPr>
        <w:t xml:space="preserve">), </w:t>
      </w:r>
      <w:r w:rsidRPr="000A3AEC">
        <w:rPr>
          <w:rFonts w:eastAsia="Times New Roman" w:cs="Arial"/>
          <w:color w:val="000000"/>
          <w:lang w:eastAsia="bg-BG"/>
        </w:rPr>
        <w:t xml:space="preserve">са били рандомизирани на 40 </w:t>
      </w:r>
      <w:r w:rsidRPr="000A3AEC">
        <w:rPr>
          <w:rFonts w:eastAsia="Times New Roman" w:cs="Arial"/>
          <w:color w:val="000000"/>
          <w:lang w:val="en-US"/>
        </w:rPr>
        <w:t>mg</w:t>
      </w:r>
      <w:r w:rsidRPr="000A3AEC">
        <w:rPr>
          <w:rFonts w:eastAsia="Times New Roman" w:cs="Arial"/>
          <w:color w:val="000000"/>
        </w:rPr>
        <w:t xml:space="preserve"> </w:t>
      </w:r>
      <w:r w:rsidRPr="000A3AEC">
        <w:rPr>
          <w:rFonts w:eastAsia="Times New Roman" w:cs="Arial"/>
          <w:color w:val="000000"/>
          <w:lang w:eastAsia="bg-BG"/>
        </w:rPr>
        <w:t xml:space="preserve">розувастатин веднъж дневно или плацебо за 2 години. Розувастатин значително е забавил прогресията на максималното </w:t>
      </w:r>
      <w:r w:rsidRPr="000A3AEC">
        <w:rPr>
          <w:rFonts w:eastAsia="Times New Roman" w:cs="Arial"/>
          <w:color w:val="000000"/>
          <w:lang w:val="en-US"/>
        </w:rPr>
        <w:t>CIMT</w:t>
      </w:r>
      <w:r w:rsidRPr="000A3AEC">
        <w:rPr>
          <w:rFonts w:eastAsia="Times New Roman" w:cs="Arial"/>
          <w:color w:val="000000"/>
          <w:lang w:val="ru-RU"/>
        </w:rPr>
        <w:t xml:space="preserve"> </w:t>
      </w:r>
      <w:r w:rsidRPr="000A3AEC">
        <w:rPr>
          <w:rFonts w:eastAsia="Times New Roman" w:cs="Arial"/>
          <w:color w:val="000000"/>
          <w:lang w:eastAsia="bg-BG"/>
        </w:rPr>
        <w:t xml:space="preserve">на всички 12 места на каротидните артерии в сравнение с плацебо с -0,0145 </w:t>
      </w:r>
      <w:r w:rsidRPr="000A3AEC">
        <w:rPr>
          <w:rFonts w:eastAsia="Times New Roman" w:cs="Arial"/>
          <w:color w:val="000000"/>
          <w:lang w:val="en-US"/>
        </w:rPr>
        <w:t>mm</w:t>
      </w:r>
      <w:r w:rsidRPr="000A3AEC">
        <w:rPr>
          <w:rFonts w:eastAsia="Times New Roman" w:cs="Arial"/>
          <w:color w:val="000000"/>
          <w:lang w:eastAsia="bg-BG"/>
        </w:rPr>
        <w:t xml:space="preserve">/година (95% </w:t>
      </w:r>
      <w:r w:rsidRPr="000A3AEC">
        <w:rPr>
          <w:rFonts w:eastAsia="Times New Roman" w:cs="Arial"/>
          <w:color w:val="000000"/>
          <w:lang w:val="en-US"/>
        </w:rPr>
        <w:t>CI</w:t>
      </w:r>
      <w:r w:rsidRPr="000A3AEC">
        <w:rPr>
          <w:rFonts w:eastAsia="Times New Roman" w:cs="Arial"/>
          <w:color w:val="000000"/>
          <w:lang w:val="ru-RU"/>
        </w:rPr>
        <w:t xml:space="preserve"> </w:t>
      </w:r>
      <w:r w:rsidRPr="000A3AEC">
        <w:rPr>
          <w:rFonts w:eastAsia="Times New Roman" w:cs="Arial"/>
          <w:color w:val="000000"/>
          <w:lang w:eastAsia="bg-BG"/>
        </w:rPr>
        <w:t xml:space="preserve">-0,0196, -0,0093; р&lt;0,0001). Промяната спрямо изходните стойности за групата на розувастатин е -0,0014 </w:t>
      </w:r>
      <w:r w:rsidRPr="000A3AEC">
        <w:rPr>
          <w:rFonts w:eastAsia="Times New Roman" w:cs="Arial"/>
          <w:color w:val="000000"/>
          <w:lang w:val="en-US"/>
        </w:rPr>
        <w:t>mm</w:t>
      </w:r>
      <w:r w:rsidRPr="000A3AEC">
        <w:rPr>
          <w:rFonts w:eastAsia="Times New Roman" w:cs="Arial"/>
          <w:color w:val="000000"/>
          <w:lang w:eastAsia="bg-BG"/>
        </w:rPr>
        <w:t xml:space="preserve">/година (-12%/година (несигнификангно)), в сравнение с плацебо групата с прогресия от +0,0131 </w:t>
      </w:r>
      <w:r w:rsidRPr="000A3AEC">
        <w:rPr>
          <w:rFonts w:eastAsia="Times New Roman" w:cs="Arial"/>
          <w:color w:val="000000"/>
          <w:lang w:val="en-US"/>
        </w:rPr>
        <w:t>mm</w:t>
      </w:r>
      <w:r w:rsidRPr="000A3AEC">
        <w:rPr>
          <w:rFonts w:eastAsia="Times New Roman" w:cs="Arial"/>
          <w:color w:val="000000"/>
          <w:lang w:eastAsia="bg-BG"/>
        </w:rPr>
        <w:t xml:space="preserve">/година (1,12/година (р&lt;0,0001)). Не е демонстрирана директна взаимовръзка между понижението </w:t>
      </w:r>
      <w:r w:rsidRPr="000A3AEC">
        <w:rPr>
          <w:rFonts w:eastAsia="Times New Roman" w:cs="Arial"/>
          <w:color w:val="000000"/>
          <w:lang w:eastAsia="bg-BG"/>
        </w:rPr>
        <w:lastRenderedPageBreak/>
        <w:t xml:space="preserve">на нивата на </w:t>
      </w:r>
      <w:r w:rsidRPr="000A3AEC">
        <w:rPr>
          <w:rFonts w:eastAsia="Times New Roman" w:cs="Arial"/>
          <w:color w:val="000000"/>
          <w:lang w:val="en-US"/>
        </w:rPr>
        <w:t>CIMT</w:t>
      </w:r>
      <w:r w:rsidRPr="000A3AEC">
        <w:rPr>
          <w:rFonts w:eastAsia="Times New Roman" w:cs="Arial"/>
          <w:color w:val="000000"/>
          <w:lang w:val="ru-RU"/>
        </w:rPr>
        <w:t xml:space="preserve"> </w:t>
      </w:r>
      <w:r w:rsidRPr="000A3AEC">
        <w:rPr>
          <w:rFonts w:eastAsia="Times New Roman" w:cs="Arial"/>
          <w:color w:val="000000"/>
          <w:lang w:eastAsia="bg-BG"/>
        </w:rPr>
        <w:t xml:space="preserve">и понижения риск от сърдечно-съдови събития. Популацията в проучването </w:t>
      </w:r>
      <w:r w:rsidRPr="000A3AEC">
        <w:rPr>
          <w:rFonts w:eastAsia="Times New Roman" w:cs="Arial"/>
          <w:color w:val="000000"/>
          <w:lang w:val="en-US"/>
        </w:rPr>
        <w:t>METEOR</w:t>
      </w:r>
      <w:r w:rsidRPr="000A3AEC">
        <w:rPr>
          <w:rFonts w:eastAsia="Times New Roman" w:cs="Arial"/>
          <w:color w:val="000000"/>
          <w:lang w:val="ru-RU"/>
        </w:rPr>
        <w:t xml:space="preserve"> </w:t>
      </w:r>
      <w:r w:rsidRPr="000A3AEC">
        <w:rPr>
          <w:rFonts w:eastAsia="Times New Roman" w:cs="Arial"/>
          <w:color w:val="000000"/>
          <w:lang w:eastAsia="bg-BG"/>
        </w:rPr>
        <w:t xml:space="preserve">е с нисък риск от исхемична болест на сърцето и не е представителна за таргетната популация на розувастатин 40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Дозировката от</w:t>
      </w:r>
      <w:r w:rsidRPr="000A3AEC">
        <w:rPr>
          <w:rFonts w:eastAsia="Times New Roman" w:cs="Arial"/>
          <w:color w:val="000000"/>
          <w:lang w:val="ru-RU"/>
        </w:rPr>
        <w:t xml:space="preserve"> </w:t>
      </w:r>
      <w:r w:rsidRPr="000A3AEC">
        <w:rPr>
          <w:rFonts w:eastAsia="Times New Roman" w:cs="Arial"/>
          <w:color w:val="000000"/>
          <w:lang w:eastAsia="bg-BG"/>
        </w:rPr>
        <w:t xml:space="preserve">40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трябва да</w:t>
      </w:r>
      <w:r w:rsidRPr="000A3AEC">
        <w:rPr>
          <w:rFonts w:eastAsia="Times New Roman" w:cs="Arial"/>
          <w:color w:val="000000"/>
          <w:lang w:val="ru-RU"/>
        </w:rPr>
        <w:t xml:space="preserve"> </w:t>
      </w:r>
      <w:r w:rsidRPr="000A3AEC">
        <w:rPr>
          <w:rFonts w:eastAsia="Times New Roman" w:cs="Arial"/>
          <w:color w:val="000000"/>
          <w:lang w:eastAsia="bg-BG"/>
        </w:rPr>
        <w:t>се предписва само при пациенти с тежка хиперхолестеролемия с висок сърдечно-съдов риск (вж.точка4.2).</w:t>
      </w:r>
    </w:p>
    <w:p w14:paraId="6951A0C5" w14:textId="77777777" w:rsidR="000A3AEC" w:rsidRDefault="000A3AEC" w:rsidP="000A3AEC">
      <w:pPr>
        <w:spacing w:line="240" w:lineRule="auto"/>
        <w:rPr>
          <w:rFonts w:eastAsia="Times New Roman" w:cs="Arial"/>
          <w:color w:val="000000"/>
          <w:lang w:eastAsia="bg-BG"/>
        </w:rPr>
      </w:pPr>
    </w:p>
    <w:p w14:paraId="5901AEBA" w14:textId="4E107B29"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Проучването </w:t>
      </w:r>
      <w:r w:rsidRPr="000A3AEC">
        <w:rPr>
          <w:rFonts w:eastAsia="Times New Roman" w:cs="Arial"/>
          <w:color w:val="000000"/>
          <w:lang w:val="en-US"/>
        </w:rPr>
        <w:t>JUPITER</w:t>
      </w:r>
      <w:r w:rsidRPr="000A3AEC">
        <w:rPr>
          <w:rFonts w:eastAsia="Times New Roman" w:cs="Arial"/>
          <w:color w:val="000000"/>
        </w:rPr>
        <w:t xml:space="preserve"> (</w:t>
      </w:r>
      <w:r w:rsidRPr="000A3AEC">
        <w:rPr>
          <w:rFonts w:eastAsia="Times New Roman" w:cs="Arial"/>
          <w:color w:val="000000"/>
          <w:lang w:val="en-US"/>
        </w:rPr>
        <w:t>Justification</w:t>
      </w:r>
      <w:r w:rsidRPr="000A3AEC">
        <w:rPr>
          <w:rFonts w:eastAsia="Times New Roman" w:cs="Arial"/>
          <w:color w:val="000000"/>
        </w:rPr>
        <w:t xml:space="preserve"> </w:t>
      </w:r>
      <w:r w:rsidRPr="000A3AEC">
        <w:rPr>
          <w:rFonts w:eastAsia="Times New Roman" w:cs="Arial"/>
          <w:color w:val="000000"/>
          <w:lang w:val="en-US"/>
        </w:rPr>
        <w:t>for</w:t>
      </w:r>
      <w:r w:rsidRPr="000A3AEC">
        <w:rPr>
          <w:rFonts w:eastAsia="Times New Roman" w:cs="Arial"/>
          <w:color w:val="000000"/>
        </w:rPr>
        <w:t xml:space="preserve"> </w:t>
      </w:r>
      <w:r w:rsidRPr="000A3AEC">
        <w:rPr>
          <w:rFonts w:eastAsia="Times New Roman" w:cs="Arial"/>
          <w:color w:val="000000"/>
          <w:lang w:val="en-US"/>
        </w:rPr>
        <w:t>the</w:t>
      </w:r>
      <w:r w:rsidRPr="000A3AEC">
        <w:rPr>
          <w:rFonts w:eastAsia="Times New Roman" w:cs="Arial"/>
          <w:color w:val="000000"/>
        </w:rPr>
        <w:t xml:space="preserve"> </w:t>
      </w:r>
      <w:r w:rsidRPr="000A3AEC">
        <w:rPr>
          <w:rFonts w:eastAsia="Times New Roman" w:cs="Arial"/>
          <w:color w:val="000000"/>
          <w:lang w:val="en-US"/>
        </w:rPr>
        <w:t>Use</w:t>
      </w:r>
      <w:r w:rsidRPr="000A3AEC">
        <w:rPr>
          <w:rFonts w:eastAsia="Times New Roman" w:cs="Arial"/>
          <w:color w:val="000000"/>
        </w:rPr>
        <w:t xml:space="preserve"> </w:t>
      </w:r>
      <w:r w:rsidRPr="000A3AEC">
        <w:rPr>
          <w:rFonts w:eastAsia="Times New Roman" w:cs="Arial"/>
          <w:color w:val="000000"/>
          <w:lang w:val="en-US"/>
        </w:rPr>
        <w:t>of</w:t>
      </w:r>
      <w:r w:rsidRPr="000A3AEC">
        <w:rPr>
          <w:rFonts w:eastAsia="Times New Roman" w:cs="Arial"/>
          <w:color w:val="000000"/>
        </w:rPr>
        <w:t xml:space="preserve"> </w:t>
      </w:r>
      <w:r w:rsidRPr="000A3AEC">
        <w:rPr>
          <w:rFonts w:eastAsia="Times New Roman" w:cs="Arial"/>
          <w:color w:val="000000"/>
          <w:lang w:val="en-US"/>
        </w:rPr>
        <w:t>Statins</w:t>
      </w:r>
      <w:r w:rsidRPr="000A3AEC">
        <w:rPr>
          <w:rFonts w:eastAsia="Times New Roman" w:cs="Arial"/>
          <w:color w:val="000000"/>
        </w:rPr>
        <w:t xml:space="preserve"> </w:t>
      </w:r>
      <w:r w:rsidRPr="000A3AEC">
        <w:rPr>
          <w:rFonts w:eastAsia="Times New Roman" w:cs="Arial"/>
          <w:color w:val="000000"/>
          <w:lang w:val="en-US"/>
        </w:rPr>
        <w:t>in</w:t>
      </w:r>
      <w:r w:rsidRPr="000A3AEC">
        <w:rPr>
          <w:rFonts w:eastAsia="Times New Roman" w:cs="Arial"/>
          <w:color w:val="000000"/>
        </w:rPr>
        <w:t xml:space="preserve"> </w:t>
      </w:r>
      <w:r w:rsidRPr="000A3AEC">
        <w:rPr>
          <w:rFonts w:eastAsia="Times New Roman" w:cs="Arial"/>
          <w:color w:val="000000"/>
          <w:lang w:val="en-US"/>
        </w:rPr>
        <w:t>Primary</w:t>
      </w:r>
      <w:r w:rsidRPr="000A3AEC">
        <w:rPr>
          <w:rFonts w:eastAsia="Times New Roman" w:cs="Arial"/>
          <w:color w:val="000000"/>
        </w:rPr>
        <w:t xml:space="preserve"> </w:t>
      </w:r>
      <w:r w:rsidRPr="000A3AEC">
        <w:rPr>
          <w:rFonts w:eastAsia="Times New Roman" w:cs="Arial"/>
          <w:color w:val="000000"/>
          <w:lang w:val="en-US"/>
        </w:rPr>
        <w:t>Prevention</w:t>
      </w:r>
      <w:r w:rsidRPr="000A3AEC">
        <w:rPr>
          <w:rFonts w:eastAsia="Times New Roman" w:cs="Arial"/>
          <w:color w:val="000000"/>
        </w:rPr>
        <w:t xml:space="preserve">: </w:t>
      </w:r>
      <w:r w:rsidRPr="000A3AEC">
        <w:rPr>
          <w:rFonts w:eastAsia="Times New Roman" w:cs="Arial"/>
          <w:color w:val="000000"/>
          <w:lang w:val="en-US"/>
        </w:rPr>
        <w:t>An</w:t>
      </w:r>
      <w:r w:rsidRPr="000A3AEC">
        <w:rPr>
          <w:rFonts w:eastAsia="Times New Roman" w:cs="Arial"/>
          <w:color w:val="000000"/>
        </w:rPr>
        <w:t xml:space="preserve"> </w:t>
      </w:r>
      <w:r w:rsidRPr="000A3AEC">
        <w:rPr>
          <w:rFonts w:eastAsia="Times New Roman" w:cs="Arial"/>
          <w:color w:val="000000"/>
          <w:lang w:val="en-US"/>
        </w:rPr>
        <w:t>Intervention</w:t>
      </w:r>
      <w:r w:rsidRPr="000A3AEC">
        <w:rPr>
          <w:rFonts w:eastAsia="Times New Roman" w:cs="Arial"/>
          <w:color w:val="000000"/>
        </w:rPr>
        <w:t xml:space="preserve"> </w:t>
      </w:r>
      <w:r w:rsidRPr="000A3AEC">
        <w:rPr>
          <w:rFonts w:eastAsia="Times New Roman" w:cs="Arial"/>
          <w:color w:val="000000"/>
          <w:lang w:val="en-US"/>
        </w:rPr>
        <w:t>Trial</w:t>
      </w:r>
      <w:r w:rsidRPr="000A3AEC">
        <w:rPr>
          <w:rFonts w:eastAsia="Times New Roman" w:cs="Arial"/>
          <w:color w:val="000000"/>
        </w:rPr>
        <w:t xml:space="preserve"> </w:t>
      </w:r>
      <w:r w:rsidRPr="000A3AEC">
        <w:rPr>
          <w:rFonts w:eastAsia="Times New Roman" w:cs="Arial"/>
          <w:color w:val="000000"/>
          <w:lang w:val="en-US"/>
        </w:rPr>
        <w:t>Evaluating</w:t>
      </w:r>
      <w:r w:rsidRPr="000A3AEC">
        <w:rPr>
          <w:rFonts w:eastAsia="Times New Roman" w:cs="Arial"/>
          <w:color w:val="000000"/>
        </w:rPr>
        <w:t xml:space="preserve"> </w:t>
      </w:r>
      <w:proofErr w:type="spellStart"/>
      <w:r w:rsidRPr="000A3AEC">
        <w:rPr>
          <w:rFonts w:eastAsia="Times New Roman" w:cs="Arial"/>
          <w:color w:val="000000"/>
          <w:lang w:val="en-US"/>
        </w:rPr>
        <w:t>Rosuvastatin</w:t>
      </w:r>
      <w:proofErr w:type="spellEnd"/>
      <w:r w:rsidRPr="000A3AEC">
        <w:rPr>
          <w:rFonts w:eastAsia="Times New Roman" w:cs="Arial"/>
          <w:color w:val="000000"/>
        </w:rPr>
        <w:t xml:space="preserve">) </w:t>
      </w:r>
      <w:r w:rsidRPr="000A3AEC">
        <w:rPr>
          <w:rFonts w:eastAsia="Times New Roman" w:cs="Arial"/>
          <w:color w:val="000000"/>
          <w:lang w:eastAsia="bg-BG"/>
        </w:rPr>
        <w:t>изследва ефекта на розувастатин върху появата на големи атеросклеротични сърдечно-съдови събития при 17 802 мъже ≥50 години) и жени (≥60 години).</w:t>
      </w:r>
    </w:p>
    <w:p w14:paraId="3098F734"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Участниците в проучването са рандомизирани на плацебо (п=8901) или розувастатин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веднъж дневно (</w:t>
      </w:r>
      <w:r w:rsidRPr="000A3AEC">
        <w:rPr>
          <w:rFonts w:eastAsia="Times New Roman" w:cs="Arial"/>
          <w:color w:val="000000"/>
          <w:lang w:val="en-US"/>
        </w:rPr>
        <w:t>n</w:t>
      </w:r>
      <w:r w:rsidRPr="000A3AEC">
        <w:rPr>
          <w:rFonts w:eastAsia="Times New Roman" w:cs="Arial"/>
          <w:color w:val="000000"/>
          <w:lang w:eastAsia="bg-BG"/>
        </w:rPr>
        <w:t>=8901) и са проследени за среден период от 2 години.</w:t>
      </w:r>
    </w:p>
    <w:p w14:paraId="6B1F4C4E" w14:textId="7B918D57" w:rsidR="000A3AEC" w:rsidRDefault="000A3AEC" w:rsidP="000A3AEC">
      <w:pPr>
        <w:rPr>
          <w:rFonts w:eastAsia="Times New Roman" w:cs="Arial"/>
          <w:color w:val="000000"/>
          <w:lang w:eastAsia="bg-BG"/>
        </w:rPr>
      </w:pPr>
      <w:r w:rsidRPr="000A3AEC">
        <w:rPr>
          <w:rFonts w:eastAsia="Times New Roman" w:cs="Arial"/>
          <w:color w:val="000000"/>
          <w:lang w:eastAsia="bg-BG"/>
        </w:rPr>
        <w:t xml:space="preserve">Конценрациите на </w:t>
      </w:r>
      <w:r w:rsidRPr="000A3AEC">
        <w:rPr>
          <w:rFonts w:eastAsia="Times New Roman" w:cs="Arial"/>
          <w:color w:val="000000"/>
          <w:lang w:val="en-US"/>
        </w:rPr>
        <w:t>LDL</w:t>
      </w:r>
      <w:r w:rsidRPr="000A3AEC">
        <w:rPr>
          <w:rFonts w:eastAsia="Times New Roman" w:cs="Arial"/>
          <w:color w:val="000000"/>
          <w:lang w:eastAsia="bg-BG"/>
        </w:rPr>
        <w:t>-холестрола са били понижени с 45% (р&lt;0,001) в групата на розувастатин в сравнение с плацебо групата.</w:t>
      </w:r>
    </w:p>
    <w:p w14:paraId="19E83267" w14:textId="7BE24D31" w:rsidR="000A3AEC" w:rsidRDefault="000A3AEC" w:rsidP="000A3AEC">
      <w:pPr>
        <w:rPr>
          <w:rFonts w:eastAsia="Times New Roman" w:cs="Arial"/>
          <w:color w:val="000000"/>
          <w:lang w:eastAsia="bg-BG"/>
        </w:rPr>
      </w:pPr>
    </w:p>
    <w:p w14:paraId="0A4B7479"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При </w:t>
      </w:r>
      <w:r w:rsidRPr="000A3AEC">
        <w:rPr>
          <w:rFonts w:eastAsia="Times New Roman" w:cs="Arial"/>
          <w:color w:val="000000"/>
          <w:lang w:val="en-US"/>
        </w:rPr>
        <w:t>post</w:t>
      </w:r>
      <w:r w:rsidRPr="000A3AEC">
        <w:rPr>
          <w:rFonts w:eastAsia="Times New Roman" w:cs="Arial"/>
          <w:color w:val="000000"/>
          <w:lang w:val="ru-RU"/>
        </w:rPr>
        <w:t>-</w:t>
      </w:r>
      <w:r w:rsidRPr="000A3AEC">
        <w:rPr>
          <w:rFonts w:eastAsia="Times New Roman" w:cs="Arial"/>
          <w:color w:val="000000"/>
          <w:lang w:val="en-US"/>
        </w:rPr>
        <w:t>hoc</w:t>
      </w:r>
      <w:r w:rsidRPr="000A3AEC">
        <w:rPr>
          <w:rFonts w:eastAsia="Times New Roman" w:cs="Arial"/>
          <w:color w:val="000000"/>
          <w:lang w:val="ru-RU"/>
        </w:rPr>
        <w:t xml:space="preserve"> </w:t>
      </w:r>
      <w:r w:rsidRPr="000A3AEC">
        <w:rPr>
          <w:rFonts w:eastAsia="Times New Roman" w:cs="Arial"/>
          <w:color w:val="000000"/>
          <w:lang w:eastAsia="bg-BG"/>
        </w:rPr>
        <w:t xml:space="preserve">анализ на високо-рискова група от лица с базичен риск по </w:t>
      </w:r>
      <w:r w:rsidRPr="000A3AEC">
        <w:rPr>
          <w:rFonts w:eastAsia="Times New Roman" w:cs="Arial"/>
          <w:color w:val="000000"/>
          <w:lang w:val="en-US"/>
        </w:rPr>
        <w:t>Framingham</w:t>
      </w:r>
      <w:r w:rsidRPr="000A3AEC">
        <w:rPr>
          <w:rFonts w:eastAsia="Times New Roman" w:cs="Arial"/>
          <w:color w:val="000000"/>
          <w:lang w:val="ru-RU"/>
        </w:rPr>
        <w:t xml:space="preserve"> </w:t>
      </w:r>
      <w:r w:rsidRPr="000A3AEC">
        <w:rPr>
          <w:rFonts w:eastAsia="Times New Roman" w:cs="Arial"/>
          <w:color w:val="000000"/>
          <w:lang w:eastAsia="bg-BG"/>
        </w:rPr>
        <w:t xml:space="preserve">&gt;20% (1558 лица) има значителна редукция в комбинираната крайна точка от сърдечно-съдова смърт, инсулт и миокарден инфаркт (р=0,028) при лечение с розувастатин спрямо плацебо. Абсолютната редукция на риска в нивото на събитията за 1000 пациентогодини е 8,8. Тоталната смъртност е непроменена в тази високорискова група (р=0,193). При </w:t>
      </w:r>
      <w:r w:rsidRPr="000A3AEC">
        <w:rPr>
          <w:rFonts w:eastAsia="Times New Roman" w:cs="Arial"/>
          <w:color w:val="000000"/>
          <w:lang w:val="en-US"/>
        </w:rPr>
        <w:t>post</w:t>
      </w:r>
      <w:r w:rsidRPr="000A3AEC">
        <w:rPr>
          <w:rFonts w:eastAsia="Times New Roman" w:cs="Arial"/>
          <w:color w:val="000000"/>
          <w:lang w:val="ru-RU"/>
        </w:rPr>
        <w:t>-</w:t>
      </w:r>
      <w:r w:rsidRPr="000A3AEC">
        <w:rPr>
          <w:rFonts w:eastAsia="Times New Roman" w:cs="Arial"/>
          <w:color w:val="000000"/>
          <w:lang w:val="en-US"/>
        </w:rPr>
        <w:t>hoc</w:t>
      </w:r>
      <w:r w:rsidRPr="000A3AEC">
        <w:rPr>
          <w:rFonts w:eastAsia="Times New Roman" w:cs="Arial"/>
          <w:color w:val="000000"/>
          <w:lang w:val="ru-RU"/>
        </w:rPr>
        <w:t xml:space="preserve"> </w:t>
      </w:r>
      <w:r w:rsidRPr="000A3AEC">
        <w:rPr>
          <w:rFonts w:eastAsia="Times New Roman" w:cs="Arial"/>
          <w:color w:val="000000"/>
          <w:lang w:eastAsia="bg-BG"/>
        </w:rPr>
        <w:t>анализ на високорискова подгрупа от лица (9302 лица общо) с изходна оценка на риска &gt;5% (екстраполиран да включи лица над 65 години) има значителна редукция в комбинираната крайна точка от сърдечно-съдова смърт, инсулт и миокарден инфаркт (р=0,0003) при лечението с розувастатин спрямо плацебо. Абсолютната редукция на риска в нивото на събитията е била 5,1 за 1000 пациентогодини. Тоталната смъртност е била непроменена в тази високо</w:t>
      </w:r>
      <w:r w:rsidRPr="000A3AEC">
        <w:rPr>
          <w:rFonts w:eastAsia="Times New Roman" w:cs="Arial"/>
          <w:color w:val="000000"/>
          <w:lang w:eastAsia="bg-BG"/>
        </w:rPr>
        <w:softHyphen/>
        <w:t>рискова група (р=0,076).</w:t>
      </w:r>
    </w:p>
    <w:p w14:paraId="550FEE44" w14:textId="77777777" w:rsidR="000A3AEC" w:rsidRDefault="000A3AEC" w:rsidP="000A3AEC">
      <w:pPr>
        <w:spacing w:line="240" w:lineRule="auto"/>
        <w:rPr>
          <w:rFonts w:eastAsia="Times New Roman" w:cs="Arial"/>
          <w:color w:val="000000"/>
          <w:lang w:eastAsia="bg-BG"/>
        </w:rPr>
      </w:pPr>
    </w:p>
    <w:p w14:paraId="0BBFEE6C" w14:textId="65C1C0D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В проучването </w:t>
      </w:r>
      <w:r w:rsidRPr="000A3AEC">
        <w:rPr>
          <w:rFonts w:eastAsia="Times New Roman" w:cs="Arial"/>
          <w:color w:val="000000"/>
          <w:lang w:val="en-US"/>
        </w:rPr>
        <w:t>JUPITER</w:t>
      </w:r>
      <w:r w:rsidRPr="000A3AEC">
        <w:rPr>
          <w:rFonts w:eastAsia="Times New Roman" w:cs="Arial"/>
          <w:color w:val="000000"/>
          <w:lang w:val="ru-RU"/>
        </w:rPr>
        <w:t xml:space="preserve"> </w:t>
      </w:r>
      <w:r w:rsidRPr="000A3AEC">
        <w:rPr>
          <w:rFonts w:eastAsia="Times New Roman" w:cs="Arial"/>
          <w:color w:val="000000"/>
          <w:lang w:eastAsia="bg-BG"/>
        </w:rPr>
        <w:t>6,6% от лицата с розувастатин и 6,2% от лицата с плацебо са прекратили приема на изследваното лекарство поради нежелано събитие. Най-честите нежелани събития, които са довели до прекратяване на лечението са били: миалгия (0,3% розувастатин, 0,2% плацебо), коремна болка (0,03% розувастатин, 0,02% плацебо) и обрив (0,02% розувастатин, 0,03% плацебо). Най-честите нежелани събития с ниво по-голямо и равно на плацебо са били инфекции на пикочните пътища (8,7% розувастатин, 8,6% плацебо), назофарингит (7,6% розувастатин, 7,2% плацебо), болка в гърба (7,6% розувастатин, 6,9% плацебо) и миалгия (7,6% розувастатин, 6,6% плацебо).</w:t>
      </w:r>
    </w:p>
    <w:p w14:paraId="7EC6688C" w14:textId="77777777" w:rsidR="000A3AEC" w:rsidRDefault="000A3AEC" w:rsidP="000A3AEC">
      <w:pPr>
        <w:spacing w:line="240" w:lineRule="auto"/>
        <w:rPr>
          <w:rFonts w:ascii="Times New Roman" w:eastAsia="Times New Roman" w:hAnsi="Times New Roman" w:cs="Times New Roman"/>
          <w:b/>
          <w:bCs/>
          <w:color w:val="000000"/>
          <w:sz w:val="20"/>
          <w:szCs w:val="20"/>
          <w:lang w:eastAsia="bg-BG"/>
        </w:rPr>
      </w:pPr>
    </w:p>
    <w:p w14:paraId="5D2A5C01" w14:textId="5F3491B3" w:rsidR="000A3AEC" w:rsidRPr="000A3AEC" w:rsidRDefault="000A3AEC" w:rsidP="000A3AEC">
      <w:pPr>
        <w:spacing w:line="240" w:lineRule="auto"/>
        <w:rPr>
          <w:rFonts w:ascii="Times New Roman" w:eastAsia="Times New Roman" w:hAnsi="Times New Roman" w:cs="Times New Roman"/>
          <w:sz w:val="24"/>
          <w:szCs w:val="24"/>
        </w:rPr>
      </w:pPr>
      <w:r w:rsidRPr="000A3AEC">
        <w:rPr>
          <w:rFonts w:ascii="Times New Roman" w:eastAsia="Times New Roman" w:hAnsi="Times New Roman" w:cs="Times New Roman"/>
          <w:b/>
          <w:bCs/>
          <w:color w:val="000000"/>
          <w:sz w:val="20"/>
          <w:szCs w:val="20"/>
          <w:lang w:eastAsia="bg-BG"/>
        </w:rPr>
        <w:t>Педиатрична популация</w:t>
      </w:r>
    </w:p>
    <w:p w14:paraId="207514E7" w14:textId="77777777" w:rsidR="000A3AEC" w:rsidRDefault="000A3AEC" w:rsidP="000A3AEC">
      <w:pPr>
        <w:spacing w:line="240" w:lineRule="auto"/>
        <w:rPr>
          <w:rFonts w:eastAsia="Times New Roman" w:cs="Arial"/>
          <w:color w:val="000000"/>
          <w:lang w:eastAsia="bg-BG"/>
        </w:rPr>
      </w:pPr>
    </w:p>
    <w:p w14:paraId="3D188A19" w14:textId="1CA5D1FA"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В едно двойно-сляпо, рандомизирано, мултицентрово, плацебо-контролирано, 12-седмично проучване (</w:t>
      </w:r>
      <w:r w:rsidRPr="000A3AEC">
        <w:rPr>
          <w:rFonts w:eastAsia="Times New Roman" w:cs="Arial"/>
          <w:color w:val="000000"/>
          <w:lang w:val="en-US"/>
        </w:rPr>
        <w:t>n</w:t>
      </w:r>
      <w:r w:rsidRPr="000A3AEC">
        <w:rPr>
          <w:rFonts w:eastAsia="Times New Roman" w:cs="Arial"/>
          <w:color w:val="000000"/>
          <w:lang w:eastAsia="bg-BG"/>
        </w:rPr>
        <w:t>=176, 97 от мъжки пол и 79 от женски пол), последвано от 40-седмично (</w:t>
      </w:r>
      <w:r w:rsidRPr="000A3AEC">
        <w:rPr>
          <w:rFonts w:eastAsia="Times New Roman" w:cs="Arial"/>
          <w:color w:val="000000"/>
          <w:lang w:val="en-US"/>
        </w:rPr>
        <w:t>n</w:t>
      </w:r>
      <w:r w:rsidRPr="000A3AEC">
        <w:rPr>
          <w:rFonts w:eastAsia="Times New Roman" w:cs="Arial"/>
          <w:color w:val="000000"/>
          <w:lang w:eastAsia="bg-BG"/>
        </w:rPr>
        <w:t xml:space="preserve">=173, 96 от мъжки пол и 77 от женски пол), открито, фаза титриране на дозата на розувастатин, пациенти на възраст 10-17 години (стадий </w:t>
      </w:r>
      <w:r w:rsidRPr="000A3AEC">
        <w:rPr>
          <w:rFonts w:eastAsia="Times New Roman" w:cs="Arial"/>
          <w:color w:val="000000"/>
          <w:lang w:val="en-US"/>
        </w:rPr>
        <w:t>II</w:t>
      </w:r>
      <w:r w:rsidRPr="000A3AEC">
        <w:rPr>
          <w:rFonts w:eastAsia="Times New Roman" w:cs="Arial"/>
          <w:color w:val="000000"/>
          <w:lang w:val="ru-RU"/>
        </w:rPr>
        <w:t>-</w:t>
      </w:r>
      <w:r w:rsidRPr="000A3AEC">
        <w:rPr>
          <w:rFonts w:eastAsia="Times New Roman" w:cs="Arial"/>
          <w:color w:val="000000"/>
          <w:lang w:val="en-US"/>
        </w:rPr>
        <w:t>IV</w:t>
      </w:r>
      <w:r w:rsidRPr="000A3AEC">
        <w:rPr>
          <w:rFonts w:eastAsia="Times New Roman" w:cs="Arial"/>
          <w:color w:val="000000"/>
          <w:lang w:val="ru-RU"/>
        </w:rPr>
        <w:t xml:space="preserve"> </w:t>
      </w:r>
      <w:r w:rsidRPr="000A3AEC">
        <w:rPr>
          <w:rFonts w:eastAsia="Times New Roman" w:cs="Arial"/>
          <w:color w:val="000000"/>
          <w:lang w:eastAsia="bg-BG"/>
        </w:rPr>
        <w:t xml:space="preserve">по Танер, момичета поне 1 година след началото на менструацията) с хетерозиготна фамилна хиперхолестеролемия са получавали розувастатин 5,10 или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или плацебо дневно за 12 седмици и след това всички са получавали розувастатин дневно за 40 седмици. В началото на проучването приблизително 30% от пациентите са били 10-13 годишни и приблизително 17%, 18%, 40% и 25% са били в стадии </w:t>
      </w:r>
      <w:r w:rsidRPr="000A3AEC">
        <w:rPr>
          <w:rFonts w:eastAsia="Times New Roman" w:cs="Arial"/>
          <w:color w:val="000000"/>
          <w:lang w:val="en-US"/>
        </w:rPr>
        <w:t>II</w:t>
      </w:r>
      <w:r w:rsidRPr="000A3AEC">
        <w:rPr>
          <w:rFonts w:eastAsia="Times New Roman" w:cs="Arial"/>
          <w:color w:val="000000"/>
          <w:lang w:eastAsia="bg-BG"/>
        </w:rPr>
        <w:t xml:space="preserve">, </w:t>
      </w:r>
      <w:r w:rsidRPr="000A3AEC">
        <w:rPr>
          <w:rFonts w:eastAsia="Times New Roman" w:cs="Arial"/>
          <w:color w:val="000000"/>
          <w:lang w:val="en-US"/>
        </w:rPr>
        <w:t>III</w:t>
      </w:r>
      <w:r w:rsidRPr="000A3AEC">
        <w:rPr>
          <w:rFonts w:eastAsia="Times New Roman" w:cs="Arial"/>
          <w:color w:val="000000"/>
          <w:lang w:eastAsia="bg-BG"/>
        </w:rPr>
        <w:t>, IV и V по Танер, съответно.</w:t>
      </w:r>
    </w:p>
    <w:p w14:paraId="58DDB70B" w14:textId="77777777" w:rsidR="000A3AEC" w:rsidRDefault="000A3AEC" w:rsidP="000A3AEC">
      <w:pPr>
        <w:spacing w:line="240" w:lineRule="auto"/>
        <w:rPr>
          <w:rFonts w:eastAsia="Times New Roman" w:cs="Arial"/>
          <w:color w:val="000000"/>
          <w:lang w:val="en-US"/>
        </w:rPr>
      </w:pPr>
    </w:p>
    <w:p w14:paraId="7176C4F5" w14:textId="46AF946B"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val="en-US"/>
        </w:rPr>
        <w:t>LDL</w:t>
      </w:r>
      <w:r w:rsidRPr="000A3AEC">
        <w:rPr>
          <w:rFonts w:eastAsia="Times New Roman" w:cs="Arial"/>
          <w:color w:val="000000"/>
          <w:lang w:eastAsia="bg-BG"/>
        </w:rPr>
        <w:t xml:space="preserve">-холестеролът е бил понижен 38,3%, 44,6% и 50,0% от розувастатин 5, 10 и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съответно, в сравнение с 0,7% за плацебо.</w:t>
      </w:r>
    </w:p>
    <w:p w14:paraId="17B0FBF1" w14:textId="77777777" w:rsidR="000A3AEC" w:rsidRDefault="000A3AEC" w:rsidP="000A3AEC">
      <w:pPr>
        <w:spacing w:line="240" w:lineRule="auto"/>
        <w:rPr>
          <w:rFonts w:eastAsia="Times New Roman" w:cs="Arial"/>
          <w:color w:val="000000"/>
          <w:lang w:eastAsia="bg-BG"/>
        </w:rPr>
      </w:pPr>
    </w:p>
    <w:p w14:paraId="746EF013" w14:textId="4CC40998"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lastRenderedPageBreak/>
        <w:t xml:space="preserve">В края на 40-седмичното, открито, целящо титруване проучване, дозиране до максимум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веднъж дневно, 70 от 173 пациенти (40,5)% са постигнали постигнали целта за </w:t>
      </w:r>
      <w:r w:rsidRPr="000A3AEC">
        <w:rPr>
          <w:rFonts w:eastAsia="Times New Roman" w:cs="Arial"/>
          <w:color w:val="000000"/>
          <w:lang w:val="en-US"/>
        </w:rPr>
        <w:t>LDL</w:t>
      </w:r>
      <w:r w:rsidRPr="000A3AEC">
        <w:rPr>
          <w:rFonts w:eastAsia="Times New Roman" w:cs="Arial"/>
          <w:color w:val="000000"/>
          <w:lang w:eastAsia="bg-BG"/>
        </w:rPr>
        <w:t xml:space="preserve">-холестерол от по-малко от 2,8 </w:t>
      </w:r>
      <w:proofErr w:type="spellStart"/>
      <w:r w:rsidRPr="000A3AEC">
        <w:rPr>
          <w:rFonts w:eastAsia="Times New Roman" w:cs="Arial"/>
          <w:color w:val="000000"/>
          <w:lang w:val="en-US"/>
        </w:rPr>
        <w:t>mmol</w:t>
      </w:r>
      <w:proofErr w:type="spellEnd"/>
      <w:r w:rsidRPr="000A3AEC">
        <w:rPr>
          <w:rFonts w:eastAsia="Times New Roman" w:cs="Arial"/>
          <w:color w:val="000000"/>
          <w:lang w:val="ru-RU"/>
        </w:rPr>
        <w:t>/1.</w:t>
      </w:r>
    </w:p>
    <w:p w14:paraId="421409BA" w14:textId="77777777" w:rsidR="000A3AEC" w:rsidRDefault="000A3AEC" w:rsidP="000A3AEC">
      <w:pPr>
        <w:spacing w:line="240" w:lineRule="auto"/>
        <w:rPr>
          <w:rFonts w:eastAsia="Times New Roman" w:cs="Arial"/>
          <w:color w:val="000000"/>
          <w:lang w:eastAsia="bg-BG"/>
        </w:rPr>
      </w:pPr>
    </w:p>
    <w:p w14:paraId="5EFCF985" w14:textId="7BBDF95B"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След 52 седмици на изследваното лечение, не беше установен никакъв ефект върху растежа, теглото, </w:t>
      </w:r>
      <w:r w:rsidRPr="000A3AEC">
        <w:rPr>
          <w:rFonts w:eastAsia="Times New Roman" w:cs="Arial"/>
          <w:color w:val="000000"/>
          <w:lang w:val="en-US"/>
        </w:rPr>
        <w:t>BMI</w:t>
      </w:r>
      <w:r w:rsidRPr="000A3AEC">
        <w:rPr>
          <w:rFonts w:eastAsia="Times New Roman" w:cs="Arial"/>
          <w:color w:val="000000"/>
          <w:lang w:val="ru-RU"/>
        </w:rPr>
        <w:t xml:space="preserve"> </w:t>
      </w:r>
      <w:r w:rsidRPr="000A3AEC">
        <w:rPr>
          <w:rFonts w:eastAsia="Times New Roman" w:cs="Arial"/>
          <w:color w:val="000000"/>
          <w:lang w:eastAsia="bg-BG"/>
        </w:rPr>
        <w:t>или половото съзряване (вж. точка 4.4). Това проучване (</w:t>
      </w:r>
      <w:r w:rsidRPr="000A3AEC">
        <w:rPr>
          <w:rFonts w:eastAsia="Times New Roman" w:cs="Arial"/>
          <w:color w:val="000000"/>
          <w:lang w:val="en-US"/>
        </w:rPr>
        <w:t>n</w:t>
      </w:r>
      <w:r w:rsidRPr="000A3AEC">
        <w:rPr>
          <w:rFonts w:eastAsia="Times New Roman" w:cs="Arial"/>
          <w:color w:val="000000"/>
          <w:lang w:eastAsia="bg-BG"/>
        </w:rPr>
        <w:t>=176) не беше предназначено за сравняване на редки нежелани лекарствени реакции.</w:t>
      </w:r>
    </w:p>
    <w:p w14:paraId="6528B18F" w14:textId="77777777" w:rsidR="000A3AEC" w:rsidRDefault="000A3AEC" w:rsidP="000A3AEC">
      <w:pPr>
        <w:spacing w:line="240" w:lineRule="auto"/>
        <w:rPr>
          <w:rFonts w:eastAsia="Times New Roman" w:cs="Arial"/>
          <w:color w:val="000000"/>
          <w:lang w:eastAsia="bg-BG"/>
        </w:rPr>
      </w:pPr>
    </w:p>
    <w:p w14:paraId="29FD3D75" w14:textId="15C5ED2E"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Розувастатин е проучван също в едно 2-годишно открито клинично проучване с титриране на дозата до желаната доза при 198 деца с хетерозиготна фамилна хиперхолестеролемия на възраст 6 до 17 години (88 момчета и 110 момичета, стадий по Танер &lt;</w:t>
      </w:r>
      <w:r w:rsidRPr="000A3AEC">
        <w:rPr>
          <w:rFonts w:eastAsia="Times New Roman" w:cs="Arial"/>
          <w:color w:val="000000"/>
          <w:lang w:val="en-US"/>
        </w:rPr>
        <w:t>II</w:t>
      </w:r>
      <w:r w:rsidRPr="000A3AEC">
        <w:rPr>
          <w:rFonts w:eastAsia="Times New Roman" w:cs="Arial"/>
          <w:color w:val="000000"/>
          <w:lang w:eastAsia="bg-BG"/>
        </w:rPr>
        <w:t>-</w:t>
      </w:r>
      <w:r w:rsidRPr="000A3AEC">
        <w:rPr>
          <w:rFonts w:eastAsia="Times New Roman" w:cs="Arial"/>
          <w:color w:val="000000"/>
          <w:lang w:val="en-US"/>
        </w:rPr>
        <w:t>V</w:t>
      </w:r>
      <w:r w:rsidRPr="000A3AEC">
        <w:rPr>
          <w:rFonts w:eastAsia="Times New Roman" w:cs="Arial"/>
          <w:color w:val="000000"/>
          <w:lang w:eastAsia="bg-BG"/>
        </w:rPr>
        <w:t xml:space="preserve">). Началната доза при всички пациенти е 5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розувастатин веднъж дневно. При пациентите на възраст 6 до 9 години (</w:t>
      </w:r>
      <w:r w:rsidRPr="000A3AEC">
        <w:rPr>
          <w:rFonts w:eastAsia="Times New Roman" w:cs="Arial"/>
          <w:color w:val="000000"/>
          <w:lang w:val="en-US"/>
        </w:rPr>
        <w:t>n</w:t>
      </w:r>
      <w:r w:rsidRPr="000A3AEC">
        <w:rPr>
          <w:rFonts w:eastAsia="Times New Roman" w:cs="Arial"/>
          <w:color w:val="000000"/>
          <w:lang w:eastAsia="bg-BG"/>
        </w:rPr>
        <w:t xml:space="preserve">=64) дозата може да се титрира до максимална доза 10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веднъж дневно, а при пациенти на възраст 10 до 17 години (</w:t>
      </w:r>
      <w:r w:rsidRPr="000A3AEC">
        <w:rPr>
          <w:rFonts w:eastAsia="Times New Roman" w:cs="Arial"/>
          <w:color w:val="000000"/>
          <w:lang w:val="en-US"/>
        </w:rPr>
        <w:t>n</w:t>
      </w:r>
      <w:r w:rsidRPr="000A3AEC">
        <w:rPr>
          <w:rFonts w:eastAsia="Times New Roman" w:cs="Arial"/>
          <w:color w:val="000000"/>
          <w:lang w:eastAsia="bg-BG"/>
        </w:rPr>
        <w:t xml:space="preserve">=134) до максимална доза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веднъж дневно.</w:t>
      </w:r>
    </w:p>
    <w:p w14:paraId="732B78AF" w14:textId="521B16C8" w:rsidR="000A3AEC" w:rsidRPr="000A3AEC" w:rsidRDefault="000A3AEC" w:rsidP="000A3AEC">
      <w:pPr>
        <w:spacing w:line="240" w:lineRule="auto"/>
        <w:rPr>
          <w:rFonts w:eastAsia="Times New Roman" w:cs="Arial"/>
          <w:color w:val="000000"/>
          <w:lang w:val="ru-RU" w:eastAsia="bg-BG"/>
        </w:rPr>
      </w:pPr>
      <w:r w:rsidRPr="000A3AEC">
        <w:rPr>
          <w:rFonts w:eastAsia="Times New Roman" w:cs="Arial"/>
          <w:color w:val="000000"/>
          <w:lang w:eastAsia="bg-BG"/>
        </w:rPr>
        <w:t xml:space="preserve">След 24 месеца на лечение с розувастатин, </w:t>
      </w:r>
      <w:r w:rsidRPr="000A3AEC">
        <w:rPr>
          <w:rFonts w:eastAsia="Times New Roman" w:cs="Arial"/>
          <w:color w:val="000000"/>
          <w:lang w:val="en-US"/>
        </w:rPr>
        <w:t>LS</w:t>
      </w:r>
      <w:r w:rsidRPr="000A3AEC">
        <w:rPr>
          <w:rFonts w:eastAsia="Times New Roman" w:cs="Arial"/>
          <w:color w:val="000000"/>
          <w:lang w:val="ru-RU"/>
        </w:rPr>
        <w:t xml:space="preserve"> </w:t>
      </w:r>
      <w:r w:rsidRPr="000A3AEC">
        <w:rPr>
          <w:rFonts w:eastAsia="Times New Roman" w:cs="Arial"/>
          <w:color w:val="000000"/>
          <w:lang w:eastAsia="bg-BG"/>
        </w:rPr>
        <w:t xml:space="preserve">на средния процент на намаление на </w:t>
      </w:r>
      <w:r w:rsidRPr="000A3AEC">
        <w:rPr>
          <w:rFonts w:eastAsia="Times New Roman" w:cs="Arial"/>
          <w:color w:val="000000"/>
          <w:lang w:val="en-US"/>
        </w:rPr>
        <w:t>LDL</w:t>
      </w:r>
      <w:r w:rsidRPr="000A3AEC">
        <w:rPr>
          <w:rFonts w:eastAsia="Times New Roman" w:cs="Arial"/>
          <w:color w:val="000000"/>
          <w:lang w:eastAsia="bg-BG"/>
        </w:rPr>
        <w:t xml:space="preserve">-С спрямо изходната стойност е -43% (изходно ниво: 236 </w:t>
      </w:r>
      <w:r w:rsidRPr="000A3AEC">
        <w:rPr>
          <w:rFonts w:eastAsia="Times New Roman" w:cs="Arial"/>
          <w:color w:val="000000"/>
          <w:lang w:val="en-US"/>
        </w:rPr>
        <w:t>mg</w:t>
      </w:r>
      <w:r w:rsidRPr="000A3AEC">
        <w:rPr>
          <w:rFonts w:eastAsia="Times New Roman" w:cs="Arial"/>
          <w:color w:val="000000"/>
          <w:lang w:val="ru-RU"/>
        </w:rPr>
        <w:t>/</w:t>
      </w:r>
      <w:r w:rsidRPr="000A3AEC">
        <w:rPr>
          <w:rFonts w:eastAsia="Times New Roman" w:cs="Arial"/>
          <w:color w:val="000000"/>
          <w:lang w:val="en-US"/>
        </w:rPr>
        <w:t>dl</w:t>
      </w:r>
      <w:r w:rsidRPr="000A3AEC">
        <w:rPr>
          <w:rFonts w:eastAsia="Times New Roman" w:cs="Arial"/>
          <w:color w:val="000000"/>
          <w:lang w:val="ru-RU"/>
        </w:rPr>
        <w:t xml:space="preserve">, </w:t>
      </w:r>
      <w:r w:rsidRPr="000A3AEC">
        <w:rPr>
          <w:rFonts w:eastAsia="Times New Roman" w:cs="Arial"/>
          <w:color w:val="000000"/>
          <w:lang w:eastAsia="bg-BG"/>
        </w:rPr>
        <w:t xml:space="preserve">месец 24: 133 </w:t>
      </w:r>
      <w:r w:rsidRPr="000A3AEC">
        <w:rPr>
          <w:rFonts w:eastAsia="Times New Roman" w:cs="Arial"/>
          <w:color w:val="000000"/>
          <w:lang w:val="en-US"/>
        </w:rPr>
        <w:t>mg</w:t>
      </w:r>
      <w:r w:rsidRPr="000A3AEC">
        <w:rPr>
          <w:rFonts w:eastAsia="Times New Roman" w:cs="Arial"/>
          <w:color w:val="000000"/>
          <w:lang w:val="ru-RU"/>
        </w:rPr>
        <w:t>/</w:t>
      </w:r>
      <w:r w:rsidRPr="000A3AEC">
        <w:rPr>
          <w:rFonts w:eastAsia="Times New Roman" w:cs="Arial"/>
          <w:color w:val="000000"/>
          <w:lang w:val="en-US"/>
        </w:rPr>
        <w:t>dl</w:t>
      </w:r>
      <w:r w:rsidRPr="000A3AEC">
        <w:rPr>
          <w:rFonts w:eastAsia="Times New Roman" w:cs="Arial"/>
          <w:color w:val="000000"/>
          <w:lang w:val="ru-RU"/>
        </w:rPr>
        <w:t xml:space="preserve">). </w:t>
      </w:r>
      <w:r w:rsidRPr="000A3AEC">
        <w:rPr>
          <w:rFonts w:eastAsia="Times New Roman" w:cs="Arial"/>
          <w:color w:val="000000"/>
          <w:lang w:eastAsia="bg-BG"/>
        </w:rPr>
        <w:t xml:space="preserve">За всяка възрастова група, </w:t>
      </w:r>
      <w:r w:rsidRPr="000A3AEC">
        <w:rPr>
          <w:rFonts w:eastAsia="Times New Roman" w:cs="Arial"/>
          <w:color w:val="000000"/>
          <w:lang w:val="en-US"/>
        </w:rPr>
        <w:t>LS</w:t>
      </w:r>
      <w:r w:rsidRPr="000A3AEC">
        <w:rPr>
          <w:rFonts w:eastAsia="Times New Roman" w:cs="Arial"/>
          <w:color w:val="000000"/>
          <w:lang w:val="ru-RU"/>
        </w:rPr>
        <w:t xml:space="preserve"> </w:t>
      </w:r>
      <w:r w:rsidRPr="000A3AEC">
        <w:rPr>
          <w:rFonts w:eastAsia="Times New Roman" w:cs="Arial"/>
          <w:color w:val="000000"/>
          <w:lang w:eastAsia="bg-BG"/>
        </w:rPr>
        <w:t xml:space="preserve">на средния процент на намаление на </w:t>
      </w:r>
      <w:r w:rsidRPr="000A3AEC">
        <w:rPr>
          <w:rFonts w:eastAsia="Times New Roman" w:cs="Arial"/>
          <w:color w:val="000000"/>
          <w:lang w:val="en-US"/>
        </w:rPr>
        <w:t>LDL</w:t>
      </w:r>
      <w:r w:rsidRPr="000A3AEC">
        <w:rPr>
          <w:rFonts w:eastAsia="Times New Roman" w:cs="Arial"/>
          <w:color w:val="000000"/>
          <w:lang w:eastAsia="bg-BG"/>
        </w:rPr>
        <w:t xml:space="preserve">-С спрямо изходната стойност е -43% (изходно ниво: 234 </w:t>
      </w:r>
      <w:r w:rsidRPr="000A3AEC">
        <w:rPr>
          <w:rFonts w:eastAsia="Times New Roman" w:cs="Arial"/>
          <w:color w:val="000000"/>
          <w:lang w:val="en-US"/>
        </w:rPr>
        <w:t>mg</w:t>
      </w:r>
      <w:r w:rsidRPr="000A3AEC">
        <w:rPr>
          <w:rFonts w:eastAsia="Times New Roman" w:cs="Arial"/>
          <w:color w:val="000000"/>
          <w:lang w:val="ru-RU"/>
        </w:rPr>
        <w:t>/</w:t>
      </w:r>
      <w:r w:rsidRPr="000A3AEC">
        <w:rPr>
          <w:rFonts w:eastAsia="Times New Roman" w:cs="Arial"/>
          <w:color w:val="000000"/>
          <w:lang w:val="en-US"/>
        </w:rPr>
        <w:t>dl</w:t>
      </w:r>
      <w:r w:rsidRPr="000A3AEC">
        <w:rPr>
          <w:rFonts w:eastAsia="Times New Roman" w:cs="Arial"/>
          <w:color w:val="000000"/>
          <w:lang w:val="ru-RU"/>
        </w:rPr>
        <w:t xml:space="preserve">, </w:t>
      </w:r>
      <w:r w:rsidRPr="000A3AEC">
        <w:rPr>
          <w:rFonts w:eastAsia="Times New Roman" w:cs="Arial"/>
          <w:color w:val="000000"/>
          <w:lang w:eastAsia="bg-BG"/>
        </w:rPr>
        <w:t>месец</w:t>
      </w:r>
      <w:r w:rsidRPr="000A3AEC">
        <w:rPr>
          <w:rFonts w:eastAsia="Times New Roman" w:cs="Arial"/>
          <w:color w:val="000000"/>
          <w:lang w:val="ru-RU"/>
        </w:rPr>
        <w:t xml:space="preserve"> </w:t>
      </w:r>
      <w:r w:rsidRPr="000A3AEC">
        <w:rPr>
          <w:rFonts w:eastAsia="Times New Roman" w:cs="Arial"/>
          <w:color w:val="000000"/>
          <w:lang w:eastAsia="bg-BG"/>
        </w:rPr>
        <w:t>24:124</w:t>
      </w:r>
      <w:r w:rsidRPr="000A3AEC">
        <w:rPr>
          <w:rFonts w:eastAsia="Times New Roman" w:cs="Arial"/>
          <w:color w:val="000000"/>
          <w:lang w:val="en-US"/>
        </w:rPr>
        <w:t>mg</w:t>
      </w:r>
      <w:r w:rsidRPr="000A3AEC">
        <w:rPr>
          <w:rFonts w:eastAsia="Times New Roman" w:cs="Arial"/>
          <w:color w:val="000000"/>
          <w:lang w:val="ru-RU"/>
        </w:rPr>
        <w:t>/</w:t>
      </w:r>
      <w:r w:rsidRPr="000A3AEC">
        <w:rPr>
          <w:rFonts w:eastAsia="Times New Roman" w:cs="Arial"/>
          <w:color w:val="000000"/>
          <w:lang w:val="en-US"/>
        </w:rPr>
        <w:t>dl</w:t>
      </w:r>
      <w:r w:rsidRPr="000A3AEC">
        <w:rPr>
          <w:rFonts w:eastAsia="Times New Roman" w:cs="Arial"/>
          <w:color w:val="000000"/>
          <w:lang w:val="ru-RU"/>
        </w:rPr>
        <w:t xml:space="preserve">), </w:t>
      </w:r>
      <w:r w:rsidRPr="000A3AEC">
        <w:rPr>
          <w:rFonts w:eastAsia="Times New Roman" w:cs="Arial"/>
          <w:color w:val="000000"/>
          <w:lang w:eastAsia="bg-BG"/>
        </w:rPr>
        <w:t>-45% (изходно ниво: 234</w:t>
      </w:r>
      <w:r w:rsidRPr="000A3AEC">
        <w:rPr>
          <w:rFonts w:eastAsia="Times New Roman" w:cs="Arial"/>
          <w:color w:val="000000"/>
          <w:lang w:val="en-US"/>
        </w:rPr>
        <w:t>mg</w:t>
      </w:r>
      <w:r w:rsidRPr="000A3AEC">
        <w:rPr>
          <w:rFonts w:eastAsia="Times New Roman" w:cs="Arial"/>
          <w:color w:val="000000"/>
          <w:lang w:val="ru-RU"/>
        </w:rPr>
        <w:t>/</w:t>
      </w:r>
      <w:r w:rsidRPr="000A3AEC">
        <w:rPr>
          <w:rFonts w:eastAsia="Times New Roman" w:cs="Arial"/>
          <w:color w:val="000000"/>
          <w:lang w:val="en-US"/>
        </w:rPr>
        <w:t>dl</w:t>
      </w:r>
      <w:r w:rsidRPr="000A3AEC">
        <w:rPr>
          <w:rFonts w:eastAsia="Times New Roman" w:cs="Arial"/>
          <w:color w:val="000000"/>
          <w:lang w:val="ru-RU"/>
        </w:rPr>
        <w:t xml:space="preserve">, </w:t>
      </w:r>
      <w:r w:rsidRPr="000A3AEC">
        <w:rPr>
          <w:rFonts w:eastAsia="Times New Roman" w:cs="Arial"/>
          <w:color w:val="000000"/>
          <w:lang w:eastAsia="bg-BG"/>
        </w:rPr>
        <w:t>124</w:t>
      </w:r>
      <w:r w:rsidRPr="000A3AEC">
        <w:rPr>
          <w:rFonts w:eastAsia="Times New Roman" w:cs="Arial"/>
          <w:color w:val="000000"/>
          <w:lang w:val="en-US"/>
        </w:rPr>
        <w:t>mg</w:t>
      </w:r>
      <w:r w:rsidRPr="000A3AEC">
        <w:rPr>
          <w:rFonts w:eastAsia="Times New Roman" w:cs="Arial"/>
          <w:color w:val="000000"/>
          <w:lang w:val="ru-RU"/>
        </w:rPr>
        <w:t>/</w:t>
      </w:r>
      <w:r w:rsidRPr="000A3AEC">
        <w:rPr>
          <w:rFonts w:eastAsia="Times New Roman" w:cs="Arial"/>
          <w:color w:val="000000"/>
          <w:lang w:val="en-US"/>
        </w:rPr>
        <w:t>dl</w:t>
      </w:r>
      <w:r w:rsidRPr="000A3AEC">
        <w:rPr>
          <w:rFonts w:eastAsia="Times New Roman" w:cs="Arial"/>
          <w:color w:val="000000"/>
          <w:lang w:val="ru-RU"/>
        </w:rPr>
        <w:t xml:space="preserve">), </w:t>
      </w:r>
      <w:r w:rsidRPr="000A3AEC">
        <w:rPr>
          <w:rFonts w:eastAsia="Times New Roman" w:cs="Arial"/>
          <w:color w:val="000000"/>
          <w:lang w:eastAsia="bg-BG"/>
        </w:rPr>
        <w:t xml:space="preserve">и -35% (изходо ниво: 241 </w:t>
      </w:r>
      <w:r w:rsidRPr="000A3AEC">
        <w:rPr>
          <w:rFonts w:eastAsia="Times New Roman" w:cs="Arial"/>
          <w:color w:val="000000"/>
          <w:lang w:val="en-US"/>
        </w:rPr>
        <w:t>mg</w:t>
      </w:r>
      <w:r w:rsidRPr="000A3AEC">
        <w:rPr>
          <w:rFonts w:eastAsia="Times New Roman" w:cs="Arial"/>
          <w:color w:val="000000"/>
          <w:lang w:val="ru-RU"/>
        </w:rPr>
        <w:t>/</w:t>
      </w:r>
      <w:r w:rsidRPr="000A3AEC">
        <w:rPr>
          <w:rFonts w:eastAsia="Times New Roman" w:cs="Arial"/>
          <w:color w:val="000000"/>
          <w:lang w:val="en-US"/>
        </w:rPr>
        <w:t>dl</w:t>
      </w:r>
      <w:r w:rsidRPr="000A3AEC">
        <w:rPr>
          <w:rFonts w:eastAsia="Times New Roman" w:cs="Arial"/>
          <w:color w:val="000000"/>
          <w:lang w:val="ru-RU"/>
        </w:rPr>
        <w:t xml:space="preserve">, </w:t>
      </w:r>
      <w:r w:rsidRPr="000A3AEC">
        <w:rPr>
          <w:rFonts w:eastAsia="Times New Roman" w:cs="Arial"/>
          <w:color w:val="000000"/>
          <w:lang w:eastAsia="bg-BG"/>
        </w:rPr>
        <w:t xml:space="preserve">месец 24: 153 </w:t>
      </w:r>
      <w:r w:rsidRPr="000A3AEC">
        <w:rPr>
          <w:rFonts w:eastAsia="Times New Roman" w:cs="Arial"/>
          <w:color w:val="000000"/>
          <w:lang w:val="en-US"/>
        </w:rPr>
        <w:t>mg</w:t>
      </w:r>
      <w:r w:rsidRPr="000A3AEC">
        <w:rPr>
          <w:rFonts w:eastAsia="Times New Roman" w:cs="Arial"/>
          <w:color w:val="000000"/>
          <w:lang w:val="ru-RU"/>
        </w:rPr>
        <w:t>/</w:t>
      </w:r>
      <w:r w:rsidRPr="000A3AEC">
        <w:rPr>
          <w:rFonts w:eastAsia="Times New Roman" w:cs="Arial"/>
          <w:color w:val="000000"/>
          <w:lang w:val="en-US"/>
        </w:rPr>
        <w:t>dl</w:t>
      </w:r>
      <w:r w:rsidRPr="000A3AEC">
        <w:rPr>
          <w:rFonts w:eastAsia="Times New Roman" w:cs="Arial"/>
          <w:color w:val="000000"/>
          <w:lang w:val="ru-RU"/>
        </w:rPr>
        <w:t xml:space="preserve">) </w:t>
      </w:r>
      <w:r w:rsidRPr="000A3AEC">
        <w:rPr>
          <w:rFonts w:eastAsia="Times New Roman" w:cs="Arial"/>
          <w:color w:val="000000"/>
          <w:lang w:eastAsia="bg-BG"/>
        </w:rPr>
        <w:t xml:space="preserve">във възрастовите групи 6 до &lt;10,10 до &lt;14 и 14 до &lt;18 съответно Розувастатин 5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10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и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достигат също статистически значими средни промени спрямо изходно ниво за следните вторични показатели на липидите и липопротеините </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val="en-US"/>
        </w:rPr>
        <w:t>TC</w:t>
      </w:r>
      <w:r w:rsidRPr="000A3AEC">
        <w:rPr>
          <w:rFonts w:eastAsia="Times New Roman" w:cs="Arial"/>
          <w:color w:val="000000"/>
          <w:lang w:val="ru-RU"/>
        </w:rPr>
        <w:t>,</w:t>
      </w:r>
      <w:r w:rsidRPr="000A3AEC">
        <w:rPr>
          <w:rFonts w:eastAsia="Times New Roman" w:cs="Arial"/>
          <w:color w:val="000000"/>
          <w:lang w:eastAsia="bg-BG"/>
        </w:rPr>
        <w:t xml:space="preserve"> не </w:t>
      </w:r>
      <w:r w:rsidRPr="000A3AEC">
        <w:rPr>
          <w:rFonts w:eastAsia="Times New Roman" w:cs="Arial"/>
          <w:color w:val="000000"/>
          <w:lang w:val="en-US"/>
        </w:rPr>
        <w:t>HDL</w:t>
      </w:r>
      <w:r w:rsidRPr="000A3AEC">
        <w:rPr>
          <w:rFonts w:eastAsia="Times New Roman" w:cs="Arial"/>
          <w:color w:val="000000"/>
          <w:lang w:val="ru-RU"/>
        </w:rPr>
        <w:t xml:space="preserve">- </w:t>
      </w:r>
      <w:r w:rsidRPr="000A3AEC">
        <w:rPr>
          <w:rFonts w:eastAsia="Times New Roman" w:cs="Arial"/>
          <w:color w:val="000000"/>
          <w:lang w:val="en-US"/>
        </w:rPr>
        <w:t>C</w:t>
      </w:r>
      <w:r w:rsidRPr="000A3AEC">
        <w:rPr>
          <w:rFonts w:eastAsia="Times New Roman" w:cs="Arial"/>
          <w:color w:val="000000"/>
          <w:lang w:val="ru-RU"/>
        </w:rPr>
        <w:t>,</w:t>
      </w:r>
      <w:r w:rsidRPr="000A3AEC">
        <w:rPr>
          <w:rFonts w:eastAsia="Times New Roman" w:cs="Arial"/>
          <w:color w:val="000000"/>
          <w:lang w:val="en-US"/>
        </w:rPr>
        <w:t>LDL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val="en-US"/>
        </w:rPr>
        <w:t>TC</w:t>
      </w:r>
      <w:r w:rsidRPr="000A3AEC">
        <w:rPr>
          <w:rFonts w:eastAsia="Times New Roman" w:cs="Arial"/>
          <w:color w:val="000000"/>
          <w:lang w:val="ru-RU"/>
        </w:rPr>
        <w:t>/</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val="en-US"/>
        </w:rPr>
        <w:t>TG</w:t>
      </w:r>
      <w:r w:rsidRPr="000A3AEC">
        <w:rPr>
          <w:rFonts w:eastAsia="Times New Roman" w:cs="Arial"/>
          <w:color w:val="000000"/>
          <w:lang w:val="ru-RU"/>
        </w:rPr>
        <w:t>/</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eastAsia="bg-BG"/>
        </w:rPr>
        <w:t xml:space="preserve">не </w:t>
      </w:r>
      <w:r w:rsidRPr="000A3AEC">
        <w:rPr>
          <w:rFonts w:eastAsia="Times New Roman" w:cs="Arial"/>
          <w:color w:val="000000"/>
          <w:lang w:val="en-US"/>
        </w:rPr>
        <w:t>HDL</w:t>
      </w:r>
      <w:r w:rsidRPr="000A3AEC">
        <w:rPr>
          <w:rFonts w:eastAsia="Times New Roman" w:cs="Arial"/>
          <w:color w:val="000000"/>
          <w:lang w:val="ru-RU"/>
        </w:rPr>
        <w:t xml:space="preserve"> </w:t>
      </w:r>
      <w:r w:rsidRPr="000A3AEC">
        <w:rPr>
          <w:rFonts w:eastAsia="Times New Roman" w:cs="Arial"/>
          <w:color w:val="000000"/>
          <w:lang w:val="en-US"/>
        </w:rPr>
        <w:t>C</w:t>
      </w:r>
      <w:r w:rsidRPr="000A3AEC">
        <w:rPr>
          <w:rFonts w:eastAsia="Times New Roman" w:cs="Arial"/>
          <w:color w:val="000000"/>
          <w:lang w:val="ru-RU"/>
        </w:rPr>
        <w:t>/</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eastAsia="bg-BG"/>
        </w:rPr>
        <w:t>АроВ, АроВ/</w:t>
      </w:r>
      <w:proofErr w:type="spellStart"/>
      <w:r w:rsidRPr="000A3AEC">
        <w:rPr>
          <w:rFonts w:eastAsia="Times New Roman" w:cs="Arial"/>
          <w:color w:val="000000"/>
          <w:lang w:val="en-US"/>
        </w:rPr>
        <w:t>ApoA</w:t>
      </w:r>
      <w:proofErr w:type="spellEnd"/>
      <w:r w:rsidRPr="000A3AEC">
        <w:rPr>
          <w:rFonts w:eastAsia="Times New Roman" w:cs="Arial"/>
          <w:color w:val="000000"/>
          <w:lang w:val="ru-RU"/>
        </w:rPr>
        <w:t>-</w:t>
      </w:r>
      <w:r w:rsidRPr="000A3AEC">
        <w:rPr>
          <w:rFonts w:eastAsia="Times New Roman" w:cs="Arial"/>
          <w:color w:val="000000"/>
          <w:lang w:val="en-US"/>
        </w:rPr>
        <w:t>I</w:t>
      </w:r>
      <w:r w:rsidRPr="000A3AEC">
        <w:rPr>
          <w:rFonts w:eastAsia="Times New Roman" w:cs="Arial"/>
          <w:color w:val="000000"/>
          <w:lang w:val="ru-RU"/>
        </w:rPr>
        <w:t xml:space="preserve">. </w:t>
      </w:r>
      <w:r w:rsidRPr="000A3AEC">
        <w:rPr>
          <w:rFonts w:eastAsia="Times New Roman" w:cs="Arial"/>
          <w:color w:val="000000"/>
          <w:lang w:eastAsia="bg-BG"/>
        </w:rPr>
        <w:t>Всяка от тези промени е в посока на подобрен липиден отговор и се поддържа в продължение на 2 години</w:t>
      </w:r>
      <w:r w:rsidRPr="000A3AEC">
        <w:rPr>
          <w:rFonts w:eastAsia="Times New Roman" w:cs="Arial"/>
          <w:color w:val="000000"/>
          <w:lang w:val="ru-RU" w:eastAsia="bg-BG"/>
        </w:rPr>
        <w:t>.</w:t>
      </w:r>
    </w:p>
    <w:p w14:paraId="7445C6E7" w14:textId="33EC7A5D" w:rsidR="000A3AEC" w:rsidRDefault="000A3AEC" w:rsidP="000A3AEC">
      <w:pPr>
        <w:spacing w:line="240" w:lineRule="auto"/>
        <w:rPr>
          <w:rFonts w:eastAsia="Times New Roman" w:cs="Arial"/>
          <w:color w:val="000000"/>
          <w:lang w:val="ru-RU" w:eastAsia="bg-BG"/>
        </w:rPr>
      </w:pPr>
    </w:p>
    <w:p w14:paraId="593B3794"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Не се установява ефект върху растежа, теглото, ИТМ или половото съзряване след 24 месеца на лечение (вж точка 4.4).</w:t>
      </w:r>
    </w:p>
    <w:p w14:paraId="1E96BBF6" w14:textId="77777777" w:rsidR="000A3AEC" w:rsidRDefault="000A3AEC" w:rsidP="000A3AEC">
      <w:pPr>
        <w:spacing w:line="240" w:lineRule="auto"/>
        <w:rPr>
          <w:rFonts w:eastAsia="Times New Roman" w:cs="Arial"/>
          <w:color w:val="000000"/>
          <w:lang w:eastAsia="bg-BG"/>
        </w:rPr>
      </w:pPr>
    </w:p>
    <w:p w14:paraId="4FCFFB7C" w14:textId="78EFB243"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розувастатин при всички подгрупи от педиатричната популация за лечение на хомозиготна фамилна хиперхолестеролемия, първично комбинирана (смесена) дислипидемия и за профилактика на сърдечно-съдовите събития (вж. точка 4.2 за информация относно употреба в педиатрията).</w:t>
      </w:r>
    </w:p>
    <w:p w14:paraId="33B83E59" w14:textId="21CC322C" w:rsidR="000A3AEC" w:rsidRPr="000A3AEC" w:rsidRDefault="000A3AEC" w:rsidP="000A3AEC"/>
    <w:p w14:paraId="78DD93AA" w14:textId="31AD8B1E" w:rsidR="00B6672E" w:rsidRDefault="002C50EE" w:rsidP="00936AD0">
      <w:pPr>
        <w:pStyle w:val="Heading2"/>
      </w:pPr>
      <w:r>
        <w:t>5.2. Фармакокинетични свойства</w:t>
      </w:r>
    </w:p>
    <w:p w14:paraId="69BEBC29" w14:textId="55456EEC" w:rsidR="000A3AEC" w:rsidRDefault="000A3AEC" w:rsidP="000A3AEC"/>
    <w:p w14:paraId="4222912B"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Абсорбция: </w:t>
      </w:r>
      <w:r w:rsidRPr="000A3AEC">
        <w:rPr>
          <w:rFonts w:eastAsia="Times New Roman" w:cs="Arial"/>
          <w:color w:val="000000"/>
          <w:lang w:eastAsia="bg-BG"/>
        </w:rPr>
        <w:t>Максимални плазмени нива се достигат 5 часа след перорално приемане. Абсолютната бионаличност е приблизително 20%.</w:t>
      </w:r>
    </w:p>
    <w:p w14:paraId="3AA7AB1A" w14:textId="77777777" w:rsidR="000A3AEC" w:rsidRDefault="000A3AEC" w:rsidP="000A3AEC">
      <w:pPr>
        <w:spacing w:line="240" w:lineRule="auto"/>
        <w:rPr>
          <w:rFonts w:eastAsia="Times New Roman" w:cs="Arial"/>
          <w:b/>
          <w:bCs/>
          <w:color w:val="000000"/>
          <w:lang w:eastAsia="bg-BG"/>
        </w:rPr>
      </w:pPr>
    </w:p>
    <w:p w14:paraId="4327F11E" w14:textId="2814A26B"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Разпределение: </w:t>
      </w:r>
      <w:r w:rsidRPr="000A3AEC">
        <w:rPr>
          <w:rFonts w:eastAsia="Times New Roman" w:cs="Arial"/>
          <w:color w:val="000000"/>
          <w:lang w:eastAsia="bg-BG"/>
        </w:rPr>
        <w:t xml:space="preserve">Розувастатин се поема основно от черния дроб, който е основното място на синтезиране на холестерола и отделяне на </w:t>
      </w:r>
      <w:r w:rsidRPr="000A3AEC">
        <w:rPr>
          <w:rFonts w:eastAsia="Times New Roman" w:cs="Arial"/>
          <w:color w:val="000000"/>
          <w:lang w:val="en-US"/>
        </w:rPr>
        <w:t>LDL</w:t>
      </w:r>
      <w:r w:rsidRPr="000A3AEC">
        <w:rPr>
          <w:rFonts w:eastAsia="Times New Roman" w:cs="Arial"/>
          <w:color w:val="000000"/>
          <w:lang w:eastAsia="bg-BG"/>
        </w:rPr>
        <w:t>-С. Обемът на разпределение на розувастатин е приблизително 1341. Розувастатин е свързан с плазмените протеини, предимно албумина, приблизително в 90%.</w:t>
      </w:r>
    </w:p>
    <w:p w14:paraId="280A2405" w14:textId="77777777" w:rsidR="000A3AEC" w:rsidRDefault="000A3AEC" w:rsidP="000A3AEC">
      <w:pPr>
        <w:spacing w:line="240" w:lineRule="auto"/>
        <w:rPr>
          <w:rFonts w:eastAsia="Times New Roman" w:cs="Arial"/>
          <w:b/>
          <w:bCs/>
          <w:color w:val="000000"/>
          <w:lang w:eastAsia="bg-BG"/>
        </w:rPr>
      </w:pPr>
    </w:p>
    <w:p w14:paraId="6E59E536" w14:textId="12281DC1"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Биотравсформация: </w:t>
      </w:r>
      <w:r w:rsidRPr="000A3AEC">
        <w:rPr>
          <w:rFonts w:eastAsia="Times New Roman" w:cs="Arial"/>
          <w:color w:val="000000"/>
          <w:lang w:eastAsia="bg-BG"/>
        </w:rPr>
        <w:t xml:space="preserve">Метаболизмът на розувастатин е ограничен (около 10%). </w:t>
      </w:r>
      <w:r w:rsidRPr="000A3AEC">
        <w:rPr>
          <w:rFonts w:eastAsia="Times New Roman" w:cs="Arial"/>
          <w:b/>
          <w:bCs/>
          <w:i/>
          <w:iCs/>
          <w:color w:val="000000"/>
          <w:lang w:val="en-US"/>
        </w:rPr>
        <w:t>In</w:t>
      </w:r>
      <w:r w:rsidRPr="000A3AEC">
        <w:rPr>
          <w:rFonts w:eastAsia="Times New Roman" w:cs="Arial"/>
          <w:b/>
          <w:bCs/>
          <w:i/>
          <w:iCs/>
          <w:color w:val="000000"/>
          <w:lang w:val="ru-RU"/>
        </w:rPr>
        <w:t xml:space="preserve"> </w:t>
      </w:r>
      <w:r w:rsidRPr="000A3AEC">
        <w:rPr>
          <w:rFonts w:eastAsia="Times New Roman" w:cs="Arial"/>
          <w:b/>
          <w:bCs/>
          <w:i/>
          <w:iCs/>
          <w:color w:val="000000"/>
          <w:lang w:val="en-US"/>
        </w:rPr>
        <w:t>vitro</w:t>
      </w:r>
      <w:r w:rsidRPr="000A3AEC">
        <w:rPr>
          <w:rFonts w:eastAsia="Times New Roman" w:cs="Arial"/>
          <w:color w:val="000000"/>
          <w:lang w:val="ru-RU"/>
        </w:rPr>
        <w:t xml:space="preserve"> </w:t>
      </w:r>
      <w:r w:rsidRPr="000A3AEC">
        <w:rPr>
          <w:rFonts w:eastAsia="Times New Roman" w:cs="Arial"/>
          <w:color w:val="000000"/>
          <w:lang w:eastAsia="bg-BG"/>
        </w:rPr>
        <w:t xml:space="preserve">проучвания на метаболизма с използване на човешки хепатоцити показват, че розувастатин е слаб субстрат за цитохром Р450 обусловения метаболизъм. </w:t>
      </w:r>
      <w:r w:rsidRPr="000A3AEC">
        <w:rPr>
          <w:rFonts w:eastAsia="Times New Roman" w:cs="Arial"/>
          <w:color w:val="000000"/>
          <w:lang w:val="en-US"/>
        </w:rPr>
        <w:t>CYP</w:t>
      </w:r>
      <w:r w:rsidRPr="000A3AEC">
        <w:rPr>
          <w:rFonts w:eastAsia="Times New Roman" w:cs="Arial"/>
          <w:color w:val="000000"/>
          <w:lang w:val="ru-RU"/>
        </w:rPr>
        <w:t>2</w:t>
      </w:r>
      <w:r w:rsidRPr="000A3AEC">
        <w:rPr>
          <w:rFonts w:eastAsia="Times New Roman" w:cs="Arial"/>
          <w:color w:val="000000"/>
          <w:lang w:val="en-US"/>
        </w:rPr>
        <w:t>C</w:t>
      </w:r>
      <w:r w:rsidRPr="000A3AEC">
        <w:rPr>
          <w:rFonts w:eastAsia="Times New Roman" w:cs="Arial"/>
          <w:color w:val="000000"/>
          <w:lang w:val="ru-RU"/>
        </w:rPr>
        <w:t xml:space="preserve">9 </w:t>
      </w:r>
      <w:r w:rsidRPr="000A3AEC">
        <w:rPr>
          <w:rFonts w:eastAsia="Times New Roman" w:cs="Arial"/>
          <w:color w:val="000000"/>
          <w:lang w:eastAsia="bg-BG"/>
        </w:rPr>
        <w:t xml:space="preserve">е основният изоензим, който участва в метаболизма на розувастатин, </w:t>
      </w:r>
      <w:r w:rsidRPr="000A3AEC">
        <w:rPr>
          <w:rFonts w:eastAsia="Times New Roman" w:cs="Arial"/>
          <w:color w:val="000000"/>
          <w:lang w:val="en-US"/>
        </w:rPr>
        <w:t>a</w:t>
      </w:r>
      <w:r w:rsidRPr="000A3AEC">
        <w:rPr>
          <w:rFonts w:eastAsia="Times New Roman" w:cs="Arial"/>
          <w:color w:val="000000"/>
          <w:lang w:val="ru-RU"/>
        </w:rPr>
        <w:t xml:space="preserve"> </w:t>
      </w:r>
      <w:r w:rsidRPr="000A3AEC">
        <w:rPr>
          <w:rFonts w:eastAsia="Times New Roman" w:cs="Arial"/>
          <w:color w:val="000000"/>
          <w:lang w:eastAsia="bg-BG"/>
        </w:rPr>
        <w:t xml:space="preserve">2С19, ЗА4 и </w:t>
      </w:r>
      <w:r w:rsidRPr="000A3AEC">
        <w:rPr>
          <w:rFonts w:eastAsia="Times New Roman" w:cs="Arial"/>
          <w:color w:val="000000"/>
          <w:lang w:val="ru-RU"/>
        </w:rPr>
        <w:t>2</w:t>
      </w:r>
      <w:r w:rsidRPr="000A3AEC">
        <w:rPr>
          <w:rFonts w:eastAsia="Times New Roman" w:cs="Arial"/>
          <w:color w:val="000000"/>
          <w:lang w:val="en-US"/>
        </w:rPr>
        <w:t>D</w:t>
      </w:r>
      <w:r w:rsidRPr="000A3AEC">
        <w:rPr>
          <w:rFonts w:eastAsia="Times New Roman" w:cs="Arial"/>
          <w:color w:val="000000"/>
          <w:lang w:val="ru-RU"/>
        </w:rPr>
        <w:t xml:space="preserve">6 </w:t>
      </w:r>
      <w:r w:rsidRPr="000A3AEC">
        <w:rPr>
          <w:rFonts w:eastAsia="Times New Roman" w:cs="Arial"/>
          <w:color w:val="000000"/>
          <w:lang w:eastAsia="bg-BG"/>
        </w:rPr>
        <w:lastRenderedPageBreak/>
        <w:t xml:space="preserve">участват в по-малка степен. Основните метаболити са </w:t>
      </w:r>
      <w:r w:rsidRPr="000A3AEC">
        <w:rPr>
          <w:rFonts w:eastAsia="Times New Roman" w:cs="Arial"/>
          <w:color w:val="000000"/>
          <w:lang w:val="en-US"/>
        </w:rPr>
        <w:t>N</w:t>
      </w:r>
      <w:r w:rsidRPr="000A3AEC">
        <w:rPr>
          <w:rFonts w:eastAsia="Times New Roman" w:cs="Arial"/>
          <w:color w:val="000000"/>
          <w:lang w:eastAsia="bg-BG"/>
        </w:rPr>
        <w:t xml:space="preserve">-десметил и лактон. </w:t>
      </w:r>
      <w:r w:rsidRPr="000A3AEC">
        <w:rPr>
          <w:rFonts w:eastAsia="Times New Roman" w:cs="Arial"/>
          <w:color w:val="000000"/>
          <w:lang w:val="en-US"/>
        </w:rPr>
        <w:t>N</w:t>
      </w:r>
      <w:r w:rsidRPr="000A3AEC">
        <w:rPr>
          <w:rFonts w:eastAsia="Times New Roman" w:cs="Arial"/>
          <w:color w:val="000000"/>
          <w:lang w:eastAsia="bg-BG"/>
        </w:rPr>
        <w:t xml:space="preserve">-десметил е около 50% по-малко активен в сравнение с розувастатин, докато лакгон се счита за клинично неактивен. Розувастатин определя повече от 90% от активността на циркулиращия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инхибитор на редуктазата.</w:t>
      </w:r>
    </w:p>
    <w:p w14:paraId="47C95754" w14:textId="77777777" w:rsidR="000A3AEC" w:rsidRDefault="000A3AEC" w:rsidP="000A3AEC">
      <w:pPr>
        <w:spacing w:line="240" w:lineRule="auto"/>
        <w:rPr>
          <w:rFonts w:eastAsia="Times New Roman" w:cs="Arial"/>
          <w:b/>
          <w:bCs/>
          <w:color w:val="000000"/>
          <w:lang w:eastAsia="bg-BG"/>
        </w:rPr>
      </w:pPr>
    </w:p>
    <w:p w14:paraId="09BB363E" w14:textId="0C2A2490"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Елиминиране: </w:t>
      </w:r>
      <w:r w:rsidRPr="000A3AEC">
        <w:rPr>
          <w:rFonts w:eastAsia="Times New Roman" w:cs="Arial"/>
          <w:color w:val="000000"/>
          <w:lang w:eastAsia="bg-BG"/>
        </w:rPr>
        <w:t>Приблизително 90% от розувастатин се елиминират като непроменено лекарство с фекалиите (абсорбирано и неабсорбирано лекарствено вещество), като останалата част се екскретира с урината. Около 5% се екскретира непроменен в урината. Плазменият полуживот е около 19 часа. Плазменият полуживот не се увеличава с увеличаване на дозата. Средният плазмен клирънс е приблизително 50 литра на час (коефициент на вариабилност 21,7%). Както при други инхибитори на редуктазата, чернодробното поемане на розувастатин включва мембранния преносител ОАТР-С. Този преносител е важен за чернодробното елиминиране на розувастатин.</w:t>
      </w:r>
    </w:p>
    <w:p w14:paraId="15377903" w14:textId="77777777" w:rsidR="000A3AEC" w:rsidRDefault="000A3AEC" w:rsidP="000A3AEC">
      <w:pPr>
        <w:spacing w:line="240" w:lineRule="auto"/>
        <w:rPr>
          <w:rFonts w:eastAsia="Times New Roman" w:cs="Arial"/>
          <w:b/>
          <w:bCs/>
          <w:color w:val="000000"/>
          <w:lang w:eastAsia="bg-BG"/>
        </w:rPr>
      </w:pPr>
    </w:p>
    <w:p w14:paraId="6E1C921B" w14:textId="0081F8EE"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Линейност: </w:t>
      </w:r>
      <w:r w:rsidRPr="000A3AEC">
        <w:rPr>
          <w:rFonts w:eastAsia="Times New Roman" w:cs="Arial"/>
          <w:color w:val="000000"/>
          <w:lang w:eastAsia="bg-BG"/>
        </w:rPr>
        <w:t>Системната експозиция на розувастатин се увеличава пропорционално на приеманата доза. Няма промяна във фармакокинетичните параметри при многократно дозиране.</w:t>
      </w:r>
    </w:p>
    <w:p w14:paraId="43D5EA15" w14:textId="77777777" w:rsidR="000A3AEC" w:rsidRDefault="000A3AEC" w:rsidP="000A3AEC">
      <w:pPr>
        <w:spacing w:line="240" w:lineRule="auto"/>
        <w:rPr>
          <w:rFonts w:ascii="Times New Roman" w:eastAsia="Times New Roman" w:hAnsi="Times New Roman" w:cs="Times New Roman"/>
          <w:b/>
          <w:bCs/>
          <w:color w:val="000000"/>
          <w:sz w:val="20"/>
          <w:szCs w:val="20"/>
          <w:lang w:eastAsia="bg-BG"/>
        </w:rPr>
      </w:pPr>
    </w:p>
    <w:p w14:paraId="591E0EBE" w14:textId="4C1E5CAB" w:rsidR="000A3AEC" w:rsidRPr="000A3AEC" w:rsidRDefault="000A3AEC" w:rsidP="000A3AEC">
      <w:pPr>
        <w:spacing w:line="240" w:lineRule="auto"/>
        <w:rPr>
          <w:rFonts w:eastAsia="Times New Roman" w:cs="Arial"/>
          <w:sz w:val="28"/>
          <w:szCs w:val="24"/>
        </w:rPr>
      </w:pPr>
      <w:r w:rsidRPr="000A3AEC">
        <w:rPr>
          <w:rFonts w:eastAsia="Times New Roman" w:cs="Arial"/>
          <w:b/>
          <w:bCs/>
          <w:color w:val="000000"/>
          <w:szCs w:val="20"/>
          <w:lang w:eastAsia="bg-BG"/>
        </w:rPr>
        <w:t>Специфични популации:</w:t>
      </w:r>
    </w:p>
    <w:p w14:paraId="52E591FC" w14:textId="77777777" w:rsidR="000A3AEC" w:rsidRDefault="000A3AEC" w:rsidP="000A3AEC">
      <w:pPr>
        <w:spacing w:line="240" w:lineRule="auto"/>
        <w:rPr>
          <w:rFonts w:eastAsia="Times New Roman" w:cs="Arial"/>
          <w:b/>
          <w:bCs/>
          <w:color w:val="000000"/>
          <w:lang w:eastAsia="bg-BG"/>
        </w:rPr>
      </w:pPr>
    </w:p>
    <w:p w14:paraId="71286F74" w14:textId="5DBA65F0"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Възраст и пол: </w:t>
      </w:r>
      <w:r w:rsidRPr="000A3AEC">
        <w:rPr>
          <w:rFonts w:eastAsia="Times New Roman" w:cs="Arial"/>
          <w:color w:val="000000"/>
          <w:lang w:eastAsia="bg-BG"/>
        </w:rPr>
        <w:t>Възрастта или полът нямат клинично значим ефект върху фармакокинетиката на розувастатин при възрастни. Фармакокинетиката на розувастатин при деца и юноши с хетерозиготна фамилна хиперхолестеролемия е била сходна с тази на възрастните доброволци (вж. „Педиатрична популация" по-долу).</w:t>
      </w:r>
    </w:p>
    <w:p w14:paraId="19C2B585" w14:textId="77777777" w:rsidR="000A3AEC" w:rsidRDefault="000A3AEC" w:rsidP="000A3AEC">
      <w:pPr>
        <w:spacing w:line="240" w:lineRule="auto"/>
        <w:rPr>
          <w:rFonts w:eastAsia="Times New Roman" w:cs="Arial"/>
          <w:b/>
          <w:bCs/>
          <w:color w:val="000000"/>
          <w:lang w:eastAsia="bg-BG"/>
        </w:rPr>
      </w:pPr>
    </w:p>
    <w:p w14:paraId="3748AC94" w14:textId="2A79B28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Раса: </w:t>
      </w:r>
      <w:r w:rsidRPr="000A3AEC">
        <w:rPr>
          <w:rFonts w:eastAsia="Times New Roman" w:cs="Arial"/>
          <w:color w:val="000000"/>
          <w:lang w:eastAsia="bg-BG"/>
        </w:rPr>
        <w:t xml:space="preserve">Фармакокинетичните проучвания показват, че при индивиди от азиатската раса (японци, китайци, филипинци, виетнамци и корейци) се наблюдава двукратно повишаване в средната </w:t>
      </w:r>
      <w:r w:rsidRPr="000A3AEC">
        <w:rPr>
          <w:rFonts w:eastAsia="Times New Roman" w:cs="Arial"/>
          <w:color w:val="000000"/>
          <w:lang w:val="en-US"/>
        </w:rPr>
        <w:t>AUC</w:t>
      </w:r>
      <w:r w:rsidRPr="000A3AEC">
        <w:rPr>
          <w:rFonts w:eastAsia="Times New Roman" w:cs="Arial"/>
          <w:color w:val="000000"/>
          <w:lang w:val="ru-RU"/>
        </w:rPr>
        <w:t xml:space="preserve"> </w:t>
      </w:r>
      <w:r w:rsidRPr="000A3AEC">
        <w:rPr>
          <w:rFonts w:eastAsia="Times New Roman" w:cs="Arial"/>
          <w:color w:val="000000"/>
          <w:lang w:eastAsia="bg-BG"/>
        </w:rPr>
        <w:t xml:space="preserve">и Стах, в сравнение с индивиди от кавказката раса. При индийци е налице повишаване на </w:t>
      </w:r>
      <w:r w:rsidRPr="000A3AEC">
        <w:rPr>
          <w:rFonts w:eastAsia="Times New Roman" w:cs="Arial"/>
          <w:color w:val="000000"/>
          <w:lang w:val="en-US"/>
        </w:rPr>
        <w:t>AUC</w:t>
      </w:r>
      <w:r w:rsidRPr="000A3AEC">
        <w:rPr>
          <w:rFonts w:eastAsia="Times New Roman" w:cs="Arial"/>
          <w:color w:val="000000"/>
          <w:lang w:val="ru-RU"/>
        </w:rPr>
        <w:t xml:space="preserve"> </w:t>
      </w:r>
      <w:r w:rsidRPr="000A3AEC">
        <w:rPr>
          <w:rFonts w:eastAsia="Times New Roman" w:cs="Arial"/>
          <w:color w:val="000000"/>
          <w:lang w:eastAsia="bg-BG"/>
        </w:rPr>
        <w:t>и Стах 1,3 пъти. Не е известно какво е значението на факторите на околната среда и на генет</w:t>
      </w:r>
      <w:r w:rsidRPr="000A3AEC">
        <w:rPr>
          <w:rFonts w:eastAsia="Times New Roman" w:cs="Arial"/>
          <w:color w:val="000000"/>
          <w:u w:val="single"/>
          <w:lang w:eastAsia="bg-BG"/>
        </w:rPr>
        <w:t>ичнит</w:t>
      </w:r>
      <w:r w:rsidRPr="000A3AEC">
        <w:rPr>
          <w:rFonts w:eastAsia="Times New Roman" w:cs="Arial"/>
          <w:color w:val="000000"/>
          <w:lang w:eastAsia="bg-BG"/>
        </w:rPr>
        <w:t>е фактори за появата на тези разлики. Един популационен фармакокинетичен анализ показва, че между индивидите от кавказката и от черната раса няма клинично значими различия.</w:t>
      </w:r>
    </w:p>
    <w:p w14:paraId="7A1171EB" w14:textId="77777777" w:rsidR="000A3AEC" w:rsidRPr="000A3AEC" w:rsidRDefault="000A3AEC" w:rsidP="000A3AEC">
      <w:pPr>
        <w:spacing w:line="240" w:lineRule="auto"/>
        <w:rPr>
          <w:rFonts w:ascii="Times New Roman" w:eastAsia="Times New Roman" w:hAnsi="Times New Roman" w:cs="Times New Roman"/>
          <w:sz w:val="24"/>
          <w:szCs w:val="24"/>
        </w:rPr>
      </w:pPr>
    </w:p>
    <w:p w14:paraId="3D855F09" w14:textId="77777777" w:rsidR="000A3AEC" w:rsidRPr="000A3AEC" w:rsidRDefault="000A3AEC" w:rsidP="000A3AEC">
      <w:pPr>
        <w:rPr>
          <w:rFonts w:ascii="Times New Roman" w:eastAsia="Times New Roman" w:hAnsi="Times New Roman" w:cs="Times New Roman"/>
          <w:sz w:val="24"/>
          <w:szCs w:val="24"/>
        </w:rPr>
      </w:pPr>
      <w:r w:rsidRPr="000A3AEC">
        <w:rPr>
          <w:rFonts w:eastAsia="Times New Roman" w:cs="Arial"/>
          <w:b/>
          <w:bCs/>
          <w:color w:val="000000"/>
          <w:lang w:eastAsia="bg-BG"/>
        </w:rPr>
        <w:t xml:space="preserve">Бъбречна недостатъчност: </w:t>
      </w:r>
      <w:r w:rsidRPr="000A3AEC">
        <w:rPr>
          <w:rFonts w:eastAsia="Times New Roman" w:cs="Arial"/>
          <w:color w:val="000000"/>
          <w:lang w:eastAsia="bg-BG"/>
        </w:rPr>
        <w:t xml:space="preserve">В едно проучване на лица с различна степен бъбречно увреждане лекото до умерено бъбречно заболяване не е повлияло плазмените концентрации на розувастатин или на неговия </w:t>
      </w:r>
      <w:r w:rsidRPr="000A3AEC">
        <w:rPr>
          <w:rFonts w:eastAsia="Times New Roman" w:cs="Arial"/>
          <w:color w:val="000000"/>
          <w:lang w:val="en-US"/>
        </w:rPr>
        <w:t>N</w:t>
      </w:r>
      <w:r w:rsidRPr="000A3AEC">
        <w:rPr>
          <w:rFonts w:eastAsia="Times New Roman" w:cs="Arial"/>
          <w:color w:val="000000"/>
          <w:lang w:eastAsia="bg-BG"/>
        </w:rPr>
        <w:t xml:space="preserve">-десметил метаболит. Лица с тежко увреждане, обаче (креатининов клирънс &lt;30 </w:t>
      </w:r>
      <w:r w:rsidRPr="000A3AEC">
        <w:rPr>
          <w:rFonts w:eastAsia="Times New Roman" w:cs="Arial"/>
          <w:color w:val="000000"/>
          <w:lang w:val="en-US"/>
        </w:rPr>
        <w:t>ml</w:t>
      </w:r>
      <w:r w:rsidRPr="000A3AEC">
        <w:rPr>
          <w:rFonts w:eastAsia="Times New Roman" w:cs="Arial"/>
          <w:color w:val="000000"/>
          <w:lang w:val="ru-RU"/>
        </w:rPr>
        <w:t>/</w:t>
      </w:r>
      <w:r w:rsidRPr="000A3AEC">
        <w:rPr>
          <w:rFonts w:eastAsia="Times New Roman" w:cs="Arial"/>
          <w:color w:val="000000"/>
          <w:lang w:val="en-US"/>
        </w:rPr>
        <w:t>min</w:t>
      </w:r>
      <w:r w:rsidRPr="000A3AEC">
        <w:rPr>
          <w:rFonts w:eastAsia="Times New Roman" w:cs="Arial"/>
          <w:color w:val="000000"/>
          <w:lang w:val="ru-RU"/>
        </w:rPr>
        <w:t xml:space="preserve">) </w:t>
      </w:r>
      <w:r w:rsidRPr="000A3AEC">
        <w:rPr>
          <w:rFonts w:eastAsia="Times New Roman" w:cs="Arial"/>
          <w:color w:val="000000"/>
          <w:lang w:eastAsia="bg-BG"/>
        </w:rPr>
        <w:t>са имали трикратно увеличение на плазмената концентрация в сравнение със здрави доброволци и девет пъти по-висока концентрация на</w:t>
      </w:r>
      <w:r w:rsidRPr="000A3AEC">
        <w:rPr>
          <w:rFonts w:eastAsia="Times New Roman" w:cs="Arial"/>
          <w:color w:val="000000"/>
          <w:lang w:val="ru-RU"/>
        </w:rPr>
        <w:t xml:space="preserve"> </w:t>
      </w:r>
      <w:r w:rsidRPr="000A3AEC">
        <w:rPr>
          <w:rFonts w:eastAsia="Times New Roman" w:cs="Arial"/>
          <w:color w:val="000000"/>
          <w:lang w:val="en-US"/>
        </w:rPr>
        <w:t>N</w:t>
      </w:r>
      <w:r w:rsidRPr="000A3AEC">
        <w:rPr>
          <w:rFonts w:eastAsia="Times New Roman" w:cs="Arial"/>
          <w:color w:val="000000"/>
          <w:lang w:eastAsia="bg-BG"/>
        </w:rPr>
        <w:t>-десметил метаболита. Равновесните плазмени концентрации на розувастатин при пациенти на хемодиализа са приблизително 50% по-високи в сравнение със здрави доброволци.</w:t>
      </w:r>
    </w:p>
    <w:p w14:paraId="4570F5C8" w14:textId="77777777" w:rsidR="000A3AEC" w:rsidRDefault="000A3AEC" w:rsidP="000A3AEC">
      <w:pPr>
        <w:spacing w:line="240" w:lineRule="auto"/>
        <w:rPr>
          <w:rFonts w:eastAsia="Times New Roman" w:cs="Arial"/>
          <w:b/>
          <w:bCs/>
          <w:color w:val="000000"/>
          <w:lang w:eastAsia="bg-BG"/>
        </w:rPr>
      </w:pPr>
    </w:p>
    <w:p w14:paraId="409BA9F8" w14:textId="1246E94D"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Чернодробна недостатъчност: </w:t>
      </w:r>
      <w:r w:rsidRPr="000A3AEC">
        <w:rPr>
          <w:rFonts w:eastAsia="Times New Roman" w:cs="Arial"/>
          <w:color w:val="000000"/>
          <w:lang w:eastAsia="bg-BG"/>
        </w:rPr>
        <w:t xml:space="preserve">В едно проучване на лица с различна степен на чернодробно увреждане не са получени данни за повишена експозиция на розувастатин при пациенти с резултат по </w:t>
      </w:r>
      <w:r w:rsidRPr="000A3AEC">
        <w:rPr>
          <w:rFonts w:eastAsia="Times New Roman" w:cs="Arial"/>
          <w:color w:val="000000"/>
          <w:lang w:val="en-US"/>
        </w:rPr>
        <w:t>Child</w:t>
      </w:r>
      <w:r w:rsidRPr="000A3AEC">
        <w:rPr>
          <w:rFonts w:eastAsia="Times New Roman" w:cs="Arial"/>
          <w:color w:val="000000"/>
          <w:lang w:val="ru-RU"/>
        </w:rPr>
        <w:t>-</w:t>
      </w:r>
      <w:r w:rsidRPr="000A3AEC">
        <w:rPr>
          <w:rFonts w:eastAsia="Times New Roman" w:cs="Arial"/>
          <w:color w:val="000000"/>
          <w:lang w:val="en-US"/>
        </w:rPr>
        <w:t>Pugh</w:t>
      </w:r>
      <w:r w:rsidRPr="000A3AEC">
        <w:rPr>
          <w:rFonts w:eastAsia="Times New Roman" w:cs="Arial"/>
          <w:color w:val="000000"/>
          <w:lang w:val="ru-RU"/>
        </w:rPr>
        <w:t xml:space="preserve"> </w:t>
      </w:r>
      <w:r w:rsidRPr="000A3AEC">
        <w:rPr>
          <w:rFonts w:eastAsia="Times New Roman" w:cs="Arial"/>
          <w:color w:val="000000"/>
          <w:lang w:eastAsia="bg-BG"/>
        </w:rPr>
        <w:t xml:space="preserve">7 или по-нисък. При двама пациенти с тежко чернодробно увреждане (резултат по </w:t>
      </w:r>
      <w:r w:rsidRPr="000A3AEC">
        <w:rPr>
          <w:rFonts w:eastAsia="Times New Roman" w:cs="Arial"/>
          <w:color w:val="000000"/>
          <w:lang w:val="en-US"/>
        </w:rPr>
        <w:t>Child</w:t>
      </w:r>
      <w:r w:rsidRPr="000A3AEC">
        <w:rPr>
          <w:rFonts w:eastAsia="Times New Roman" w:cs="Arial"/>
          <w:color w:val="000000"/>
          <w:lang w:val="ru-RU"/>
        </w:rPr>
        <w:t xml:space="preserve">- </w:t>
      </w:r>
      <w:r w:rsidRPr="000A3AEC">
        <w:rPr>
          <w:rFonts w:eastAsia="Times New Roman" w:cs="Arial"/>
          <w:color w:val="000000"/>
          <w:lang w:val="en-US"/>
        </w:rPr>
        <w:t>Pugh</w:t>
      </w:r>
      <w:r w:rsidRPr="000A3AEC">
        <w:rPr>
          <w:rFonts w:eastAsia="Times New Roman" w:cs="Arial"/>
          <w:color w:val="000000"/>
          <w:lang w:val="ru-RU"/>
        </w:rPr>
        <w:t xml:space="preserve"> </w:t>
      </w:r>
      <w:r w:rsidRPr="000A3AEC">
        <w:rPr>
          <w:rFonts w:eastAsia="Times New Roman" w:cs="Arial"/>
          <w:color w:val="000000"/>
          <w:lang w:eastAsia="bg-BG"/>
        </w:rPr>
        <w:t xml:space="preserve">8 и 9) системната експозиция е била увеличена най-малко два пъти в сравнение с лица с по-нисък резултат по </w:t>
      </w:r>
      <w:r w:rsidRPr="000A3AEC">
        <w:rPr>
          <w:rFonts w:eastAsia="Times New Roman" w:cs="Arial"/>
          <w:color w:val="000000"/>
          <w:lang w:val="en-US"/>
        </w:rPr>
        <w:t>Child</w:t>
      </w:r>
      <w:r w:rsidRPr="000A3AEC">
        <w:rPr>
          <w:rFonts w:eastAsia="Times New Roman" w:cs="Arial"/>
          <w:color w:val="000000"/>
          <w:lang w:val="ru-RU"/>
        </w:rPr>
        <w:t>-</w:t>
      </w:r>
      <w:r w:rsidRPr="000A3AEC">
        <w:rPr>
          <w:rFonts w:eastAsia="Times New Roman" w:cs="Arial"/>
          <w:color w:val="000000"/>
          <w:lang w:val="en-US"/>
        </w:rPr>
        <w:t>Pugh</w:t>
      </w:r>
      <w:r w:rsidRPr="000A3AEC">
        <w:rPr>
          <w:rFonts w:eastAsia="Times New Roman" w:cs="Arial"/>
          <w:color w:val="000000"/>
          <w:lang w:val="ru-RU"/>
        </w:rPr>
        <w:t xml:space="preserve">. </w:t>
      </w:r>
      <w:r w:rsidRPr="000A3AEC">
        <w:rPr>
          <w:rFonts w:eastAsia="Times New Roman" w:cs="Arial"/>
          <w:color w:val="000000"/>
          <w:lang w:eastAsia="bg-BG"/>
        </w:rPr>
        <w:t xml:space="preserve">Няма данни за пациенти с резултат по </w:t>
      </w:r>
      <w:r w:rsidRPr="000A3AEC">
        <w:rPr>
          <w:rFonts w:eastAsia="Times New Roman" w:cs="Arial"/>
          <w:color w:val="000000"/>
          <w:lang w:val="en-US"/>
        </w:rPr>
        <w:t>Child</w:t>
      </w:r>
      <w:r w:rsidRPr="000A3AEC">
        <w:rPr>
          <w:rFonts w:eastAsia="Times New Roman" w:cs="Arial"/>
          <w:color w:val="000000"/>
          <w:lang w:val="ru-RU"/>
        </w:rPr>
        <w:t>-</w:t>
      </w:r>
      <w:r w:rsidRPr="000A3AEC">
        <w:rPr>
          <w:rFonts w:eastAsia="Times New Roman" w:cs="Arial"/>
          <w:color w:val="000000"/>
          <w:lang w:val="en-US"/>
        </w:rPr>
        <w:t>Pugh</w:t>
      </w:r>
      <w:r w:rsidRPr="000A3AEC">
        <w:rPr>
          <w:rFonts w:eastAsia="Times New Roman" w:cs="Arial"/>
          <w:color w:val="000000"/>
          <w:lang w:val="ru-RU"/>
        </w:rPr>
        <w:t xml:space="preserve"> </w:t>
      </w:r>
      <w:r w:rsidRPr="000A3AEC">
        <w:rPr>
          <w:rFonts w:eastAsia="Times New Roman" w:cs="Arial"/>
          <w:color w:val="000000"/>
          <w:lang w:eastAsia="bg-BG"/>
        </w:rPr>
        <w:t>над 9.</w:t>
      </w:r>
    </w:p>
    <w:p w14:paraId="0868F7F6" w14:textId="77777777" w:rsidR="000A3AEC" w:rsidRDefault="000A3AEC" w:rsidP="000A3AEC">
      <w:pPr>
        <w:spacing w:line="240" w:lineRule="auto"/>
        <w:rPr>
          <w:rFonts w:eastAsia="Times New Roman" w:cs="Arial"/>
          <w:b/>
          <w:bCs/>
          <w:color w:val="000000"/>
          <w:lang w:eastAsia="bg-BG"/>
        </w:rPr>
      </w:pPr>
    </w:p>
    <w:p w14:paraId="2ED476CC" w14:textId="1991C616"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lastRenderedPageBreak/>
        <w:t xml:space="preserve">Генетичен полиморфизъм: </w:t>
      </w:r>
      <w:r w:rsidRPr="000A3AEC">
        <w:rPr>
          <w:rFonts w:eastAsia="Times New Roman" w:cs="Arial"/>
          <w:color w:val="000000"/>
          <w:lang w:eastAsia="bg-BG"/>
        </w:rPr>
        <w:t xml:space="preserve">Диспозицията на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 xml:space="preserve">редуктазните инхибитори, включително розувастатин, е свързана с транспортерните протеини ОАТР1В1 и </w:t>
      </w:r>
      <w:r w:rsidRPr="000A3AEC">
        <w:rPr>
          <w:rFonts w:eastAsia="Times New Roman" w:cs="Arial"/>
          <w:color w:val="000000"/>
          <w:lang w:val="en-US"/>
        </w:rPr>
        <w:t>BCRP</w:t>
      </w:r>
      <w:r w:rsidRPr="000A3AEC">
        <w:rPr>
          <w:rFonts w:eastAsia="Times New Roman" w:cs="Arial"/>
          <w:color w:val="000000"/>
          <w:lang w:val="ru-RU"/>
        </w:rPr>
        <w:t xml:space="preserve">. </w:t>
      </w:r>
      <w:r w:rsidRPr="000A3AEC">
        <w:rPr>
          <w:rFonts w:eastAsia="Times New Roman" w:cs="Arial"/>
          <w:color w:val="000000"/>
          <w:lang w:eastAsia="bg-BG"/>
        </w:rPr>
        <w:t xml:space="preserve">При пациенти с генетичен полиморфизъм на </w:t>
      </w:r>
      <w:r w:rsidRPr="000A3AEC">
        <w:rPr>
          <w:rFonts w:eastAsia="Times New Roman" w:cs="Arial"/>
          <w:color w:val="000000"/>
          <w:lang w:val="en-US"/>
        </w:rPr>
        <w:t>SLCOIBI</w:t>
      </w:r>
      <w:r w:rsidRPr="000A3AEC">
        <w:rPr>
          <w:rFonts w:eastAsia="Times New Roman" w:cs="Arial"/>
          <w:color w:val="000000"/>
          <w:lang w:val="ru-RU"/>
        </w:rPr>
        <w:t xml:space="preserve"> </w:t>
      </w:r>
      <w:r w:rsidRPr="000A3AEC">
        <w:rPr>
          <w:rFonts w:eastAsia="Times New Roman" w:cs="Arial"/>
          <w:color w:val="000000"/>
          <w:lang w:eastAsia="bg-BG"/>
        </w:rPr>
        <w:t xml:space="preserve">(ОАТР1В1) и/или </w:t>
      </w:r>
      <w:r w:rsidRPr="000A3AEC">
        <w:rPr>
          <w:rFonts w:eastAsia="Times New Roman" w:cs="Arial"/>
          <w:color w:val="000000"/>
          <w:lang w:val="en-US"/>
        </w:rPr>
        <w:t>ABCG</w:t>
      </w:r>
      <w:r w:rsidRPr="000A3AEC">
        <w:rPr>
          <w:rFonts w:eastAsia="Times New Roman" w:cs="Arial"/>
          <w:color w:val="000000"/>
          <w:lang w:val="ru-RU"/>
        </w:rPr>
        <w:t>2 (</w:t>
      </w:r>
      <w:r w:rsidRPr="000A3AEC">
        <w:rPr>
          <w:rFonts w:eastAsia="Times New Roman" w:cs="Arial"/>
          <w:color w:val="000000"/>
          <w:lang w:val="en-US"/>
        </w:rPr>
        <w:t>BCRP</w:t>
      </w:r>
      <w:r w:rsidRPr="000A3AEC">
        <w:rPr>
          <w:rFonts w:eastAsia="Times New Roman" w:cs="Arial"/>
          <w:color w:val="000000"/>
          <w:lang w:val="ru-RU"/>
        </w:rPr>
        <w:t xml:space="preserve">) </w:t>
      </w:r>
      <w:r w:rsidRPr="000A3AEC">
        <w:rPr>
          <w:rFonts w:eastAsia="Times New Roman" w:cs="Arial"/>
          <w:color w:val="000000"/>
          <w:lang w:eastAsia="bg-BG"/>
        </w:rPr>
        <w:t xml:space="preserve">има риск от повишаване на експозицията на розувастатин. Индивидуален полиморфизъм на </w:t>
      </w:r>
      <w:r w:rsidRPr="000A3AEC">
        <w:rPr>
          <w:rFonts w:eastAsia="Times New Roman" w:cs="Arial"/>
          <w:color w:val="000000"/>
          <w:lang w:val="en-US"/>
        </w:rPr>
        <w:t>SLCOIBI</w:t>
      </w:r>
      <w:r w:rsidRPr="000A3AEC">
        <w:rPr>
          <w:rFonts w:eastAsia="Times New Roman" w:cs="Arial"/>
          <w:color w:val="000000"/>
          <w:lang w:val="ru-RU"/>
        </w:rPr>
        <w:t xml:space="preserve"> </w:t>
      </w:r>
      <w:r w:rsidRPr="000A3AEC">
        <w:rPr>
          <w:rFonts w:eastAsia="Times New Roman" w:cs="Arial"/>
          <w:color w:val="000000"/>
          <w:lang w:eastAsia="bg-BG"/>
        </w:rPr>
        <w:t xml:space="preserve">С.521СС и </w:t>
      </w:r>
      <w:r w:rsidRPr="000A3AEC">
        <w:rPr>
          <w:rFonts w:eastAsia="Times New Roman" w:cs="Arial"/>
          <w:color w:val="000000"/>
          <w:lang w:val="en-US"/>
        </w:rPr>
        <w:t>ABCG</w:t>
      </w:r>
      <w:r w:rsidRPr="000A3AEC">
        <w:rPr>
          <w:rFonts w:eastAsia="Times New Roman" w:cs="Arial"/>
          <w:color w:val="000000"/>
          <w:lang w:val="ru-RU"/>
        </w:rPr>
        <w:t xml:space="preserve">2 </w:t>
      </w:r>
      <w:r w:rsidRPr="000A3AEC">
        <w:rPr>
          <w:rFonts w:eastAsia="Times New Roman" w:cs="Arial"/>
          <w:color w:val="000000"/>
          <w:lang w:eastAsia="bg-BG"/>
        </w:rPr>
        <w:t xml:space="preserve">С.421АА е свързан с приблизително 1,7 пъти по-висока експозиция </w:t>
      </w:r>
      <w:r w:rsidRPr="000A3AEC">
        <w:rPr>
          <w:rFonts w:eastAsia="Times New Roman" w:cs="Arial"/>
          <w:color w:val="000000"/>
          <w:lang w:val="ru-RU"/>
        </w:rPr>
        <w:t>(</w:t>
      </w:r>
      <w:r w:rsidRPr="000A3AEC">
        <w:rPr>
          <w:rFonts w:eastAsia="Times New Roman" w:cs="Arial"/>
          <w:color w:val="000000"/>
          <w:lang w:val="en-US"/>
        </w:rPr>
        <w:t>AUC</w:t>
      </w:r>
      <w:r w:rsidRPr="000A3AEC">
        <w:rPr>
          <w:rFonts w:eastAsia="Times New Roman" w:cs="Arial"/>
          <w:color w:val="000000"/>
          <w:lang w:val="ru-RU"/>
        </w:rPr>
        <w:t xml:space="preserve">) </w:t>
      </w:r>
      <w:r w:rsidRPr="000A3AEC">
        <w:rPr>
          <w:rFonts w:eastAsia="Times New Roman" w:cs="Arial"/>
          <w:color w:val="000000"/>
          <w:lang w:eastAsia="bg-BG"/>
        </w:rPr>
        <w:t xml:space="preserve">на розувастатин или 2,4 пъти по-висока експозиция, съответно, в сравнение с генотиповете </w:t>
      </w:r>
      <w:r w:rsidRPr="000A3AEC">
        <w:rPr>
          <w:rFonts w:eastAsia="Times New Roman" w:cs="Arial"/>
          <w:color w:val="000000"/>
          <w:lang w:val="en-US"/>
        </w:rPr>
        <w:t>SLCOIBI</w:t>
      </w:r>
      <w:r w:rsidRPr="000A3AEC">
        <w:rPr>
          <w:rFonts w:eastAsia="Times New Roman" w:cs="Arial"/>
          <w:color w:val="000000"/>
          <w:lang w:val="ru-RU"/>
        </w:rPr>
        <w:t xml:space="preserve"> </w:t>
      </w:r>
      <w:r w:rsidRPr="000A3AEC">
        <w:rPr>
          <w:rFonts w:eastAsia="Times New Roman" w:cs="Arial"/>
          <w:color w:val="000000"/>
          <w:lang w:eastAsia="bg-BG"/>
        </w:rPr>
        <w:t xml:space="preserve">С.521ТТ или </w:t>
      </w:r>
      <w:r w:rsidRPr="000A3AEC">
        <w:rPr>
          <w:rFonts w:eastAsia="Times New Roman" w:cs="Arial"/>
          <w:color w:val="000000"/>
          <w:lang w:val="en-US"/>
        </w:rPr>
        <w:t>ABCG</w:t>
      </w:r>
      <w:r w:rsidRPr="000A3AEC">
        <w:rPr>
          <w:rFonts w:eastAsia="Times New Roman" w:cs="Arial"/>
          <w:color w:val="000000"/>
          <w:lang w:val="ru-RU"/>
        </w:rPr>
        <w:t xml:space="preserve">2 </w:t>
      </w:r>
      <w:r w:rsidRPr="000A3AEC">
        <w:rPr>
          <w:rFonts w:eastAsia="Times New Roman" w:cs="Arial"/>
          <w:color w:val="000000"/>
          <w:lang w:eastAsia="bg-BG"/>
        </w:rPr>
        <w:t>С.421СС.</w:t>
      </w:r>
    </w:p>
    <w:p w14:paraId="3A9280C9" w14:textId="77777777" w:rsidR="000A3AEC" w:rsidRDefault="000A3AEC" w:rsidP="000A3AEC">
      <w:pPr>
        <w:spacing w:line="240" w:lineRule="auto"/>
        <w:rPr>
          <w:rFonts w:eastAsia="Times New Roman" w:cs="Arial"/>
          <w:b/>
          <w:bCs/>
          <w:color w:val="000000"/>
          <w:lang w:eastAsia="bg-BG"/>
        </w:rPr>
      </w:pPr>
    </w:p>
    <w:p w14:paraId="27DE3293" w14:textId="3DFD5429"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Педиатрична популация: </w:t>
      </w:r>
      <w:r w:rsidRPr="000A3AEC">
        <w:rPr>
          <w:rFonts w:eastAsia="Times New Roman" w:cs="Arial"/>
          <w:color w:val="000000"/>
          <w:lang w:eastAsia="bg-BG"/>
        </w:rPr>
        <w:t>Две фармакокинетични проучвания с розувастатин (прилаган под формата на таблетки) при педиатрични пациенти с хетерозиготна фамилна хиперхолестеролемия на възраст 10- 17 или 6-17 години (общо 214 пациенти) показват, че експозицията при педиатричните пациенти изглежда сравнима или по-ниска от тази при възрастните пациенти. Експозицията на розувастатин е била предвидима по отношение на дозата и времето в продължение на 2-годишен период.</w:t>
      </w:r>
    </w:p>
    <w:p w14:paraId="63BD4181" w14:textId="21637B55" w:rsidR="000A3AEC" w:rsidRPr="000A3AEC" w:rsidRDefault="000A3AEC" w:rsidP="000A3AEC"/>
    <w:p w14:paraId="4FB791BE" w14:textId="007F3D55" w:rsidR="00B6672E" w:rsidRDefault="002C50EE" w:rsidP="00936AD0">
      <w:pPr>
        <w:pStyle w:val="Heading2"/>
      </w:pPr>
      <w:r>
        <w:t>5.3. Предклинични данни за безопасност</w:t>
      </w:r>
    </w:p>
    <w:p w14:paraId="2C608400" w14:textId="0DB4CE98" w:rsidR="000A3AEC" w:rsidRDefault="000A3AEC" w:rsidP="000A3AEC"/>
    <w:p w14:paraId="1B8D63EB"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карциногенен потенциал. Не са провеждани специфични изследвания, оценяващи ефектите върху </w:t>
      </w:r>
      <w:proofErr w:type="spellStart"/>
      <w:r w:rsidRPr="000A3AEC">
        <w:rPr>
          <w:rFonts w:eastAsia="Times New Roman" w:cs="Arial"/>
          <w:color w:val="000000"/>
          <w:lang w:val="en-US"/>
        </w:rPr>
        <w:t>hERG</w:t>
      </w:r>
      <w:proofErr w:type="spellEnd"/>
      <w:r w:rsidRPr="000A3AEC">
        <w:rPr>
          <w:rFonts w:eastAsia="Times New Roman" w:cs="Arial"/>
          <w:color w:val="000000"/>
          <w:lang w:val="ru-RU"/>
        </w:rPr>
        <w:t xml:space="preserve">. </w:t>
      </w:r>
      <w:r w:rsidRPr="000A3AEC">
        <w:rPr>
          <w:rFonts w:eastAsia="Times New Roman" w:cs="Arial"/>
          <w:color w:val="000000"/>
          <w:lang w:eastAsia="bg-BG"/>
        </w:rPr>
        <w:t>Нежеланите реакции, които не са наблюдавани в клинични проучвания, но са наблюдавани при животни при нива на експозиция близки до клиничните са следните: в изпитвания за токсичност след многократно приложение се наблюдават хистопатологични чернодробни изменения, вследствие на фармакологичното действие на розувастатин при мишки, плъхове и в по-ниска степен в жлъчния мехур при кучета, но не и при маймуни. В допълнение се наблюдава тестикуларна токсичност при маймуни и кучета при по-високи дози. При плъхове се наблюдава репродуктивна токсичност, която води до намаляване на големината, теглото и преживяемостта на малките в матернотоксични дози, при които системната експозиция е надвишавала в пъти нивото на терапевтичната експозиция.</w:t>
      </w:r>
    </w:p>
    <w:p w14:paraId="6C664CFC" w14:textId="77777777" w:rsidR="000A3AEC" w:rsidRPr="000A3AEC" w:rsidRDefault="000A3AEC" w:rsidP="000A3AEC"/>
    <w:p w14:paraId="1BA6531D" w14:textId="1A3EE479" w:rsidR="00B6672E" w:rsidRDefault="002C50EE" w:rsidP="00936AD0">
      <w:pPr>
        <w:pStyle w:val="Heading1"/>
      </w:pPr>
      <w:r>
        <w:t>7. ПРИТЕЖАТЕЛ НА РАЗРЕШЕНИЕТО ЗА УПОТРЕБА</w:t>
      </w:r>
    </w:p>
    <w:p w14:paraId="79CFAEF9" w14:textId="2F788F6D" w:rsidR="000A3AEC" w:rsidRDefault="000A3AEC" w:rsidP="000A3AEC"/>
    <w:p w14:paraId="5829BF48" w14:textId="77777777" w:rsidR="000A3AEC" w:rsidRPr="000A3AEC" w:rsidRDefault="000A3AEC" w:rsidP="000A3AEC">
      <w:pPr>
        <w:rPr>
          <w:rFonts w:ascii="Times New Roman" w:hAnsi="Times New Roman" w:cs="Times New Roman"/>
          <w:sz w:val="24"/>
          <w:szCs w:val="24"/>
        </w:rPr>
      </w:pPr>
      <w:r w:rsidRPr="000A3AEC">
        <w:rPr>
          <w:lang w:eastAsia="bg-BG"/>
        </w:rPr>
        <w:t>НЕО БАЛКАНИКА ЕООД</w:t>
      </w:r>
    </w:p>
    <w:p w14:paraId="549C20FF" w14:textId="77777777" w:rsidR="000A3AEC" w:rsidRPr="000A3AEC" w:rsidRDefault="000A3AEC" w:rsidP="000A3AEC">
      <w:pPr>
        <w:rPr>
          <w:rFonts w:ascii="Times New Roman" w:hAnsi="Times New Roman" w:cs="Times New Roman"/>
          <w:sz w:val="24"/>
          <w:szCs w:val="24"/>
        </w:rPr>
      </w:pPr>
      <w:r w:rsidRPr="000A3AEC">
        <w:rPr>
          <w:lang w:eastAsia="bg-BG"/>
        </w:rPr>
        <w:t>ул. „Земляне” 35</w:t>
      </w:r>
    </w:p>
    <w:p w14:paraId="04AAA970" w14:textId="77777777" w:rsidR="000A3AEC" w:rsidRPr="000A3AEC" w:rsidRDefault="000A3AEC" w:rsidP="000A3AEC">
      <w:pPr>
        <w:rPr>
          <w:rFonts w:ascii="Times New Roman" w:hAnsi="Times New Roman" w:cs="Times New Roman"/>
          <w:sz w:val="24"/>
          <w:szCs w:val="24"/>
        </w:rPr>
      </w:pPr>
      <w:r w:rsidRPr="000A3AEC">
        <w:rPr>
          <w:lang w:eastAsia="bg-BG"/>
        </w:rPr>
        <w:t>София 1618</w:t>
      </w:r>
    </w:p>
    <w:p w14:paraId="3F2323F0" w14:textId="2232D627" w:rsidR="000A3AEC" w:rsidRPr="000A3AEC" w:rsidRDefault="000A3AEC" w:rsidP="000A3AEC">
      <w:r w:rsidRPr="000A3AEC">
        <w:rPr>
          <w:lang w:eastAsia="bg-BG"/>
        </w:rPr>
        <w:t>България</w:t>
      </w:r>
    </w:p>
    <w:p w14:paraId="508F3A54" w14:textId="134E4CF2" w:rsidR="00B6672E" w:rsidRDefault="00936AD0" w:rsidP="00936AD0">
      <w:pPr>
        <w:pStyle w:val="Heading1"/>
      </w:pPr>
      <w:r>
        <w:t>8.</w:t>
      </w:r>
      <w:r w:rsidR="002C50EE">
        <w:t>НОМЕР НА РАЗРЕШЕНИЕТО ЗА УПОТРЕБА</w:t>
      </w:r>
    </w:p>
    <w:p w14:paraId="3DEA8AEC" w14:textId="69E0639D" w:rsidR="000A3AEC" w:rsidRDefault="000A3AEC" w:rsidP="000A3AEC"/>
    <w:p w14:paraId="2033FF21"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Неоросо 10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филмирани таблетки </w:t>
      </w:r>
      <w:r w:rsidRPr="000A3AEC">
        <w:rPr>
          <w:rFonts w:eastAsia="Times New Roman" w:cs="Arial"/>
          <w:color w:val="000000"/>
          <w:lang w:val="en-US"/>
        </w:rPr>
        <w:t>Per</w:t>
      </w:r>
      <w:r w:rsidRPr="000A3AEC">
        <w:rPr>
          <w:rFonts w:eastAsia="Times New Roman" w:cs="Arial"/>
          <w:color w:val="000000"/>
          <w:lang w:val="ru-RU"/>
        </w:rPr>
        <w:t xml:space="preserve">. </w:t>
      </w:r>
      <w:r w:rsidRPr="000A3AEC">
        <w:rPr>
          <w:rFonts w:eastAsia="Times New Roman" w:cs="Arial"/>
          <w:color w:val="000000"/>
          <w:lang w:eastAsia="bg-BG"/>
        </w:rPr>
        <w:t>№ 20160340</w:t>
      </w:r>
    </w:p>
    <w:p w14:paraId="05CF69BC"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Неоросо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филмирани таблетки </w:t>
      </w:r>
      <w:r w:rsidRPr="000A3AEC">
        <w:rPr>
          <w:rFonts w:eastAsia="Times New Roman" w:cs="Arial"/>
          <w:color w:val="000000"/>
          <w:lang w:val="en-US"/>
        </w:rPr>
        <w:t>Per</w:t>
      </w:r>
      <w:r w:rsidRPr="000A3AEC">
        <w:rPr>
          <w:rFonts w:eastAsia="Times New Roman" w:cs="Arial"/>
          <w:color w:val="000000"/>
          <w:lang w:val="ru-RU"/>
        </w:rPr>
        <w:t xml:space="preserve">. </w:t>
      </w:r>
      <w:r w:rsidRPr="000A3AEC">
        <w:rPr>
          <w:rFonts w:eastAsia="Times New Roman" w:cs="Arial"/>
          <w:color w:val="000000"/>
          <w:lang w:eastAsia="bg-BG"/>
        </w:rPr>
        <w:t>№ 20160341</w:t>
      </w:r>
    </w:p>
    <w:p w14:paraId="605A5CBE" w14:textId="77777777" w:rsidR="000A3AEC" w:rsidRPr="000A3AEC" w:rsidRDefault="000A3AEC" w:rsidP="000A3AEC"/>
    <w:p w14:paraId="2CCB5832" w14:textId="0118157C" w:rsidR="007C605B" w:rsidRDefault="002C50EE" w:rsidP="007C605B">
      <w:pPr>
        <w:pStyle w:val="Heading1"/>
      </w:pPr>
      <w:r>
        <w:t>9. ДАТА НА ПЪРВО РАЗРЕШАВАНЕ/ПОДНОВЯВАНЕ НА РАЗРЕШЕНИЕТО ЗА УПОТРЕБА</w:t>
      </w:r>
    </w:p>
    <w:p w14:paraId="13FCF4C4" w14:textId="6A46B7F4" w:rsidR="000A3AEC" w:rsidRDefault="000A3AEC" w:rsidP="000A3AEC"/>
    <w:p w14:paraId="093A397B" w14:textId="77777777" w:rsidR="000A3AEC" w:rsidRPr="000A3AEC" w:rsidRDefault="000A3AEC" w:rsidP="000A3AEC">
      <w:pPr>
        <w:rPr>
          <w:rFonts w:ascii="Times New Roman" w:hAnsi="Times New Roman" w:cs="Times New Roman"/>
          <w:sz w:val="24"/>
          <w:szCs w:val="24"/>
        </w:rPr>
      </w:pPr>
      <w:r w:rsidRPr="000A3AEC">
        <w:rPr>
          <w:lang w:eastAsia="bg-BG"/>
        </w:rPr>
        <w:lastRenderedPageBreak/>
        <w:t>Дата на първо разрешаване: 04.11.2016</w:t>
      </w:r>
    </w:p>
    <w:p w14:paraId="360BEC30" w14:textId="22865985" w:rsidR="000A3AEC" w:rsidRPr="000A3AEC" w:rsidRDefault="000A3AEC" w:rsidP="000A3AEC">
      <w:pPr>
        <w:rPr>
          <w:rFonts w:ascii="Times New Roman" w:hAnsi="Times New Roman" w:cs="Times New Roman"/>
          <w:sz w:val="24"/>
          <w:szCs w:val="24"/>
        </w:rPr>
      </w:pPr>
      <w:r w:rsidRPr="000A3AEC">
        <w:rPr>
          <w:lang w:eastAsia="bg-BG"/>
        </w:rPr>
        <w:t>Дата на последно подновяване:</w:t>
      </w:r>
    </w:p>
    <w:p w14:paraId="0E9D0119" w14:textId="0245C6D7" w:rsidR="002C50EE" w:rsidRDefault="002C50EE" w:rsidP="002C50EE">
      <w:pPr>
        <w:pStyle w:val="Heading1"/>
      </w:pPr>
      <w:r>
        <w:t>10. ДАТА НА АКТУАЛИЗИРАНЕ НА ТЕКСТА</w:t>
      </w:r>
    </w:p>
    <w:bookmarkEnd w:id="0"/>
    <w:p w14:paraId="43FB38A2" w14:textId="44CFD13C" w:rsidR="007C605B" w:rsidRPr="003E3126" w:rsidRDefault="000A3AEC" w:rsidP="000A3AEC">
      <w:r>
        <w:t>Ноември 2021</w:t>
      </w:r>
      <w:bookmarkStart w:id="7" w:name="_GoBack"/>
      <w:bookmarkEnd w:id="7"/>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01756"/>
    <w:multiLevelType w:val="hybridMultilevel"/>
    <w:tmpl w:val="C426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D6648"/>
    <w:multiLevelType w:val="hybridMultilevel"/>
    <w:tmpl w:val="639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1330827"/>
    <w:multiLevelType w:val="hybridMultilevel"/>
    <w:tmpl w:val="BDD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A1940"/>
    <w:multiLevelType w:val="hybridMultilevel"/>
    <w:tmpl w:val="D7B4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059E7"/>
    <w:multiLevelType w:val="hybridMultilevel"/>
    <w:tmpl w:val="87EA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5"/>
  </w:num>
  <w:num w:numId="4">
    <w:abstractNumId w:val="3"/>
  </w:num>
  <w:num w:numId="5">
    <w:abstractNumId w:val="1"/>
  </w:num>
  <w:num w:numId="6">
    <w:abstractNumId w:val="19"/>
  </w:num>
  <w:num w:numId="7">
    <w:abstractNumId w:val="13"/>
  </w:num>
  <w:num w:numId="8">
    <w:abstractNumId w:val="18"/>
  </w:num>
  <w:num w:numId="9">
    <w:abstractNumId w:val="2"/>
  </w:num>
  <w:num w:numId="10">
    <w:abstractNumId w:val="4"/>
  </w:num>
  <w:num w:numId="11">
    <w:abstractNumId w:val="35"/>
  </w:num>
  <w:num w:numId="12">
    <w:abstractNumId w:val="16"/>
  </w:num>
  <w:num w:numId="13">
    <w:abstractNumId w:val="23"/>
  </w:num>
  <w:num w:numId="14">
    <w:abstractNumId w:val="14"/>
  </w:num>
  <w:num w:numId="15">
    <w:abstractNumId w:val="34"/>
  </w:num>
  <w:num w:numId="16">
    <w:abstractNumId w:val="12"/>
  </w:num>
  <w:num w:numId="17">
    <w:abstractNumId w:val="28"/>
  </w:num>
  <w:num w:numId="18">
    <w:abstractNumId w:val="9"/>
  </w:num>
  <w:num w:numId="19">
    <w:abstractNumId w:val="30"/>
  </w:num>
  <w:num w:numId="20">
    <w:abstractNumId w:val="27"/>
  </w:num>
  <w:num w:numId="21">
    <w:abstractNumId w:val="21"/>
  </w:num>
  <w:num w:numId="22">
    <w:abstractNumId w:val="29"/>
  </w:num>
  <w:num w:numId="23">
    <w:abstractNumId w:val="22"/>
  </w:num>
  <w:num w:numId="24">
    <w:abstractNumId w:val="10"/>
  </w:num>
  <w:num w:numId="25">
    <w:abstractNumId w:val="26"/>
  </w:num>
  <w:num w:numId="26">
    <w:abstractNumId w:val="25"/>
  </w:num>
  <w:num w:numId="27">
    <w:abstractNumId w:val="37"/>
  </w:num>
  <w:num w:numId="28">
    <w:abstractNumId w:val="7"/>
  </w:num>
  <w:num w:numId="29">
    <w:abstractNumId w:val="24"/>
  </w:num>
  <w:num w:numId="30">
    <w:abstractNumId w:val="40"/>
  </w:num>
  <w:num w:numId="31">
    <w:abstractNumId w:val="5"/>
  </w:num>
  <w:num w:numId="32">
    <w:abstractNumId w:val="39"/>
  </w:num>
  <w:num w:numId="33">
    <w:abstractNumId w:val="33"/>
  </w:num>
  <w:num w:numId="34">
    <w:abstractNumId w:val="38"/>
  </w:num>
  <w:num w:numId="35">
    <w:abstractNumId w:val="8"/>
  </w:num>
  <w:num w:numId="36">
    <w:abstractNumId w:val="11"/>
  </w:num>
  <w:num w:numId="37">
    <w:abstractNumId w:val="6"/>
  </w:num>
  <w:num w:numId="38">
    <w:abstractNumId w:val="20"/>
  </w:num>
  <w:num w:numId="39">
    <w:abstractNumId w:val="31"/>
  </w:num>
  <w:num w:numId="40">
    <w:abstractNumId w:val="3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A3AEC"/>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3FBC"/>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74ECB"/>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7477</Words>
  <Characters>42620</Characters>
  <Application>Microsoft Office Word</Application>
  <DocSecurity>0</DocSecurity>
  <Lines>355</Lines>
  <Paragraphs>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2022-09-09T22:38:00Z</dcterms:created>
  <dcterms:modified xsi:type="dcterms:W3CDTF">2022-09-09T22:38:00Z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