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2E9CBF65" w:rsidR="00AA23EC" w:rsidRDefault="00DD466D" w:rsidP="00DD466D">
      <w:pPr>
        <w:pStyle w:val="1"/>
      </w:pPr>
      <w:r>
        <w:t>1.ИМЕ НА ЛЕКАРСТВЕНИЯ ПРОДУКТ</w:t>
      </w:r>
    </w:p>
    <w:p w14:paraId="4E675D48" w14:textId="6E7279F5" w:rsidR="00FB3BC5" w:rsidRDefault="00FB3BC5" w:rsidP="00FB3BC5"/>
    <w:p w14:paraId="6E11E3DB" w14:textId="77777777" w:rsidR="00FB3BC5" w:rsidRPr="00FB3BC5" w:rsidRDefault="00FB3BC5" w:rsidP="00FB3BC5">
      <w:pPr>
        <w:rPr>
          <w:sz w:val="24"/>
          <w:szCs w:val="24"/>
        </w:rPr>
      </w:pPr>
      <w:proofErr w:type="spellStart"/>
      <w:r w:rsidRPr="00FB3BC5">
        <w:rPr>
          <w:lang w:eastAsia="bg-BG"/>
        </w:rPr>
        <w:t>Нерголин</w:t>
      </w:r>
      <w:proofErr w:type="spellEnd"/>
      <w:r w:rsidRPr="00FB3BC5">
        <w:rPr>
          <w:lang w:eastAsia="bg-BG"/>
        </w:rPr>
        <w:t xml:space="preserve"> 10 </w:t>
      </w:r>
      <w:r w:rsidRPr="00FB3BC5">
        <w:rPr>
          <w:lang w:val="en-US"/>
        </w:rPr>
        <w:t xml:space="preserve">mg </w:t>
      </w:r>
      <w:r w:rsidRPr="00FB3BC5">
        <w:rPr>
          <w:lang w:eastAsia="bg-BG"/>
        </w:rPr>
        <w:t>обвити таблетки</w:t>
      </w:r>
    </w:p>
    <w:p w14:paraId="38BD8DF0" w14:textId="3F5F3F3F" w:rsidR="00FB3BC5" w:rsidRPr="00FB3BC5" w:rsidRDefault="00FB3BC5" w:rsidP="00FB3BC5">
      <w:proofErr w:type="spellStart"/>
      <w:r w:rsidRPr="00FB3BC5">
        <w:rPr>
          <w:lang w:val="en-US"/>
        </w:rPr>
        <w:t>Nergolin</w:t>
      </w:r>
      <w:proofErr w:type="spellEnd"/>
      <w:r w:rsidRPr="00FB3BC5">
        <w:rPr>
          <w:lang w:val="en-US"/>
        </w:rPr>
        <w:t xml:space="preserve"> </w:t>
      </w:r>
      <w:r w:rsidRPr="00FB3BC5">
        <w:rPr>
          <w:lang w:eastAsia="bg-BG"/>
        </w:rPr>
        <w:t xml:space="preserve">10 </w:t>
      </w:r>
      <w:r w:rsidRPr="00FB3BC5">
        <w:rPr>
          <w:lang w:val="en-US"/>
        </w:rPr>
        <w:t>mg coated tablets</w:t>
      </w:r>
    </w:p>
    <w:p w14:paraId="4D88B710" w14:textId="440A22F0" w:rsidR="00D86297" w:rsidRDefault="00DD466D" w:rsidP="00AA23EC">
      <w:pPr>
        <w:pStyle w:val="1"/>
      </w:pPr>
      <w:r>
        <w:t>2. КАЧЕСТВЕН И КОЛИЧЕСТВЕН СЪСТАВ</w:t>
      </w:r>
    </w:p>
    <w:p w14:paraId="53EB1CDD" w14:textId="7DBF35A7" w:rsidR="00FB3BC5" w:rsidRDefault="00FB3BC5" w:rsidP="00FB3BC5"/>
    <w:p w14:paraId="08D81304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Една обвита таблетка съдържа 10 </w:t>
      </w:r>
      <w:r w:rsidRPr="00FB3BC5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</w:t>
      </w:r>
      <w:r w:rsidRPr="00FB3BC5">
        <w:rPr>
          <w:rFonts w:eastAsia="Times New Roman" w:cs="Arial"/>
          <w:i/>
          <w:iCs/>
          <w:color w:val="000000"/>
          <w:lang w:val="en-US"/>
        </w:rPr>
        <w:t>(nicergoline).</w:t>
      </w:r>
    </w:p>
    <w:p w14:paraId="5155F961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45E2B16" w14:textId="2EBE3076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действие:</w:t>
      </w:r>
    </w:p>
    <w:p w14:paraId="54933752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A7D266" w14:textId="403F39A5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Всяка обвита таблетка съдържа 60 </w:t>
      </w:r>
      <w:r w:rsidRPr="00FB3BC5">
        <w:rPr>
          <w:rFonts w:eastAsia="Times New Roman" w:cs="Arial"/>
          <w:color w:val="000000"/>
          <w:lang w:val="en-US"/>
        </w:rPr>
        <w:t xml:space="preserve">mg </w:t>
      </w:r>
      <w:r w:rsidRPr="00FB3BC5">
        <w:rPr>
          <w:rFonts w:eastAsia="Times New Roman" w:cs="Arial"/>
          <w:color w:val="000000"/>
          <w:lang w:eastAsia="bg-BG"/>
        </w:rPr>
        <w:t xml:space="preserve">лактоза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, 0,1 </w:t>
      </w:r>
      <w:r w:rsidRPr="00FB3BC5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глицерол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(Е422) и 0,5 </w:t>
      </w:r>
      <w:r w:rsidRPr="00FB3BC5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пропиленгликол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(Е1520).</w:t>
      </w:r>
    </w:p>
    <w:p w14:paraId="2B7A5309" w14:textId="77777777" w:rsidR="00FB3BC5" w:rsidRPr="00FB3BC5" w:rsidRDefault="00FB3BC5" w:rsidP="00FB3BC5"/>
    <w:p w14:paraId="5E332777" w14:textId="2E0650F6" w:rsidR="005A66D9" w:rsidRDefault="00DD466D" w:rsidP="00CA1B57">
      <w:pPr>
        <w:pStyle w:val="1"/>
      </w:pPr>
      <w:r>
        <w:t>3. ЛЕКАРСТВЕНА ФОРМА</w:t>
      </w:r>
    </w:p>
    <w:p w14:paraId="435CBFCA" w14:textId="58367ABA" w:rsidR="00FB3BC5" w:rsidRDefault="00FB3BC5" w:rsidP="00FB3BC5"/>
    <w:p w14:paraId="4C7F4064" w14:textId="77777777" w:rsidR="00FB3BC5" w:rsidRPr="00FB3BC5" w:rsidRDefault="00FB3BC5" w:rsidP="00FB3BC5">
      <w:pPr>
        <w:rPr>
          <w:sz w:val="24"/>
          <w:szCs w:val="24"/>
        </w:rPr>
      </w:pPr>
      <w:r w:rsidRPr="00FB3BC5">
        <w:rPr>
          <w:lang w:eastAsia="bg-BG"/>
        </w:rPr>
        <w:t>Обвита таблетка</w:t>
      </w:r>
    </w:p>
    <w:p w14:paraId="48D613EB" w14:textId="77777777" w:rsidR="00FB3BC5" w:rsidRPr="00FB3BC5" w:rsidRDefault="00FB3BC5" w:rsidP="00FB3BC5">
      <w:pPr>
        <w:rPr>
          <w:sz w:val="24"/>
          <w:szCs w:val="24"/>
        </w:rPr>
      </w:pPr>
      <w:r w:rsidRPr="00FB3BC5">
        <w:rPr>
          <w:lang w:eastAsia="bg-BG"/>
        </w:rPr>
        <w:t>Кръгли, двойноизпъкнали обвити таблетки с бял или почти бял цвят.</w:t>
      </w:r>
    </w:p>
    <w:p w14:paraId="3D0F2350" w14:textId="77777777" w:rsidR="00FB3BC5" w:rsidRPr="00FB3BC5" w:rsidRDefault="00FB3BC5" w:rsidP="00FB3BC5"/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1512A286" w14:textId="2888A462" w:rsidR="00FD69E8" w:rsidRDefault="002C50EE" w:rsidP="00AA23EC">
      <w:pPr>
        <w:pStyle w:val="2"/>
      </w:pPr>
      <w:r>
        <w:t>4.1. Терапевтични показания</w:t>
      </w:r>
    </w:p>
    <w:p w14:paraId="1D171A12" w14:textId="57C7052C" w:rsidR="003765DC" w:rsidRDefault="003765DC" w:rsidP="003765DC"/>
    <w:p w14:paraId="438F6A31" w14:textId="77777777" w:rsidR="00FB3BC5" w:rsidRPr="00FB3BC5" w:rsidRDefault="00FB3BC5" w:rsidP="00FB3BC5">
      <w:pPr>
        <w:pStyle w:val="a3"/>
        <w:numPr>
          <w:ilvl w:val="0"/>
          <w:numId w:val="26"/>
        </w:numPr>
        <w:rPr>
          <w:lang w:eastAsia="bg-BG"/>
        </w:rPr>
      </w:pPr>
      <w:r w:rsidRPr="00FB3BC5">
        <w:rPr>
          <w:lang w:eastAsia="bg-BG"/>
        </w:rPr>
        <w:t xml:space="preserve">Остри и хронични мозъчни метаболитно-съдови нарушения, в резултат на атеросклероза, тромбоза и </w:t>
      </w:r>
      <w:proofErr w:type="spellStart"/>
      <w:r w:rsidRPr="00FB3BC5">
        <w:rPr>
          <w:lang w:eastAsia="bg-BG"/>
        </w:rPr>
        <w:t>емболизъм</w:t>
      </w:r>
      <w:proofErr w:type="spellEnd"/>
      <w:r w:rsidRPr="00FB3BC5">
        <w:rPr>
          <w:lang w:eastAsia="bg-BG"/>
        </w:rPr>
        <w:t xml:space="preserve"> на мозъчните съдове, преходни нарушения на мозъчното кръвообращение (</w:t>
      </w:r>
      <w:proofErr w:type="spellStart"/>
      <w:r w:rsidRPr="00FB3BC5">
        <w:rPr>
          <w:lang w:eastAsia="bg-BG"/>
        </w:rPr>
        <w:t>транзиторни</w:t>
      </w:r>
      <w:proofErr w:type="spellEnd"/>
      <w:r w:rsidRPr="00FB3BC5">
        <w:rPr>
          <w:lang w:eastAsia="bg-BG"/>
        </w:rPr>
        <w:t xml:space="preserve"> исхемични атаки)</w:t>
      </w:r>
    </w:p>
    <w:p w14:paraId="6FE9C47F" w14:textId="77777777" w:rsidR="00FB3BC5" w:rsidRPr="00FB3BC5" w:rsidRDefault="00FB3BC5" w:rsidP="00FB3BC5">
      <w:pPr>
        <w:pStyle w:val="a3"/>
        <w:numPr>
          <w:ilvl w:val="0"/>
          <w:numId w:val="26"/>
        </w:numPr>
        <w:rPr>
          <w:lang w:eastAsia="bg-BG"/>
        </w:rPr>
      </w:pPr>
      <w:r w:rsidRPr="00FB3BC5">
        <w:rPr>
          <w:lang w:eastAsia="bg-BG"/>
        </w:rPr>
        <w:t>Главоболие</w:t>
      </w:r>
    </w:p>
    <w:p w14:paraId="76242F26" w14:textId="77777777" w:rsidR="00FB3BC5" w:rsidRPr="00FB3BC5" w:rsidRDefault="00FB3BC5" w:rsidP="00FB3BC5">
      <w:pPr>
        <w:pStyle w:val="a3"/>
        <w:numPr>
          <w:ilvl w:val="0"/>
          <w:numId w:val="26"/>
        </w:numPr>
        <w:rPr>
          <w:lang w:eastAsia="bg-BG"/>
        </w:rPr>
      </w:pPr>
      <w:r w:rsidRPr="00FB3BC5">
        <w:rPr>
          <w:lang w:eastAsia="bg-BG"/>
        </w:rPr>
        <w:t>Добавъчна терапия при артериална хипертония</w:t>
      </w:r>
    </w:p>
    <w:p w14:paraId="091E4AEB" w14:textId="77777777" w:rsidR="00FB3BC5" w:rsidRPr="003765DC" w:rsidRDefault="00FB3BC5" w:rsidP="003765DC"/>
    <w:p w14:paraId="66024DB0" w14:textId="7514A810" w:rsidR="003765DC" w:rsidRDefault="002C50EE" w:rsidP="002B3C38">
      <w:pPr>
        <w:pStyle w:val="2"/>
      </w:pPr>
      <w:r>
        <w:t>4.2. Дозировка и начин на приложение</w:t>
      </w:r>
    </w:p>
    <w:p w14:paraId="53E7EF8B" w14:textId="77777777" w:rsidR="00FB3BC5" w:rsidRDefault="00FB3BC5" w:rsidP="00FB3BC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bg-BG"/>
        </w:rPr>
      </w:pPr>
    </w:p>
    <w:p w14:paraId="21902FAA" w14:textId="1DAEBF27" w:rsidR="00FB3BC5" w:rsidRPr="00FB3BC5" w:rsidRDefault="00FB3BC5" w:rsidP="00FB3BC5">
      <w:pPr>
        <w:pStyle w:val="3"/>
        <w:rPr>
          <w:rFonts w:eastAsia="Times New Roman"/>
          <w:u w:val="single"/>
        </w:rPr>
      </w:pPr>
      <w:r w:rsidRPr="00FB3BC5">
        <w:rPr>
          <w:rFonts w:eastAsia="Times New Roman"/>
          <w:u w:val="single"/>
          <w:lang w:eastAsia="bg-BG"/>
        </w:rPr>
        <w:t>Дозировка</w:t>
      </w:r>
    </w:p>
    <w:p w14:paraId="0E278890" w14:textId="77777777" w:rsidR="00FB3BC5" w:rsidRPr="00FB3BC5" w:rsidRDefault="00FB3BC5" w:rsidP="00FB3BC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381458E" w14:textId="0A879338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0156264A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Препоръчителната доза е 5-10 </w:t>
      </w:r>
      <w:r w:rsidRPr="00FB3BC5">
        <w:rPr>
          <w:rFonts w:eastAsia="Times New Roman" w:cs="Arial"/>
          <w:color w:val="000000"/>
          <w:lang w:val="en-US"/>
        </w:rPr>
        <w:t xml:space="preserve">mg, </w:t>
      </w:r>
      <w:r w:rsidRPr="00FB3BC5">
        <w:rPr>
          <w:rFonts w:eastAsia="Times New Roman" w:cs="Arial"/>
          <w:color w:val="000000"/>
          <w:lang w:eastAsia="bg-BG"/>
        </w:rPr>
        <w:t>3 пъти дневно, на равни интервали от време.</w:t>
      </w:r>
    </w:p>
    <w:p w14:paraId="040337FD" w14:textId="77777777" w:rsidR="00FB3BC5" w:rsidRPr="00FB3BC5" w:rsidRDefault="00FB3BC5" w:rsidP="00FB3BC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107A638" w14:textId="5F20AFC0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i/>
          <w:iCs/>
          <w:color w:val="000000"/>
          <w:u w:val="single"/>
          <w:lang w:eastAsia="bg-BG"/>
        </w:rPr>
        <w:t>Пациенти с бъбречно увреждане</w:t>
      </w:r>
    </w:p>
    <w:p w14:paraId="7D809B2B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Данните от изследвания върху пациенти с бъбречно увреждане показват, че при пациенти с бъбречна недостатъчност дозата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трябва да бъде редуцирана. Тъй като лечението е продължително лекарят трябва да проследява пациентите поне на 6 месеца и да прецени дали да продължи лечението.</w:t>
      </w:r>
    </w:p>
    <w:p w14:paraId="301635F4" w14:textId="77777777" w:rsidR="00FB3BC5" w:rsidRPr="00FB3BC5" w:rsidRDefault="00FB3BC5" w:rsidP="00FB3BC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9CDAA58" w14:textId="60296BB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i/>
          <w:iCs/>
          <w:color w:val="000000"/>
          <w:u w:val="single"/>
          <w:lang w:eastAsia="bg-BG"/>
        </w:rPr>
        <w:lastRenderedPageBreak/>
        <w:t>Педиатрична популация</w:t>
      </w:r>
    </w:p>
    <w:p w14:paraId="720CD732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>Този продукт не се препоръчва за употреба при деца. При тях безопасността</w:t>
      </w:r>
      <w:r w:rsidRPr="00FB3BC5">
        <w:rPr>
          <w:rFonts w:eastAsia="Times New Roman" w:cs="Arial"/>
          <w:color w:val="000000"/>
          <w:lang w:val="en-US"/>
        </w:rPr>
        <w:t xml:space="preserve"> </w:t>
      </w:r>
      <w:r w:rsidRPr="00FB3BC5">
        <w:rPr>
          <w:rFonts w:eastAsia="Times New Roman" w:cs="Arial"/>
          <w:color w:val="000000"/>
          <w:lang w:eastAsia="bg-BG"/>
        </w:rPr>
        <w:t>и ефективността не е доказана.</w:t>
      </w:r>
    </w:p>
    <w:p w14:paraId="78368F6E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1A88236" w14:textId="34994D48" w:rsidR="00FB3BC5" w:rsidRPr="00FB3BC5" w:rsidRDefault="00FB3BC5" w:rsidP="00FB3BC5">
      <w:pPr>
        <w:pStyle w:val="3"/>
        <w:rPr>
          <w:rFonts w:eastAsia="Times New Roman"/>
          <w:u w:val="single"/>
        </w:rPr>
      </w:pPr>
      <w:r w:rsidRPr="00FB3BC5">
        <w:rPr>
          <w:rFonts w:eastAsia="Times New Roman"/>
          <w:u w:val="single"/>
          <w:lang w:eastAsia="bg-BG"/>
        </w:rPr>
        <w:t>Начин на приложение</w:t>
      </w:r>
    </w:p>
    <w:p w14:paraId="689844EE" w14:textId="12D7C705" w:rsidR="00FB3BC5" w:rsidRDefault="00FB3BC5" w:rsidP="00FB3BC5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B3BC5">
        <w:rPr>
          <w:rFonts w:eastAsia="Times New Roman" w:cs="Arial"/>
          <w:color w:val="000000"/>
          <w:lang w:eastAsia="bg-BG"/>
        </w:rPr>
        <w:t>Перорално приложение</w:t>
      </w:r>
    </w:p>
    <w:p w14:paraId="7AFAD7C4" w14:textId="043468F3" w:rsidR="00FB3BC5" w:rsidRDefault="00FB3BC5" w:rsidP="00FB3B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BAADC8" w14:textId="77777777" w:rsidR="00FB3BC5" w:rsidRPr="00FB3BC5" w:rsidRDefault="00FB3BC5" w:rsidP="00FB3BC5">
      <w:pPr>
        <w:rPr>
          <w:sz w:val="24"/>
          <w:szCs w:val="24"/>
        </w:rPr>
      </w:pPr>
      <w:r w:rsidRPr="00FB3BC5">
        <w:rPr>
          <w:lang w:eastAsia="bg-BG"/>
        </w:rPr>
        <w:t>За предпочитане е да се приема между храненията. Дозировката и продължителността на лечението се определят индивидуално.</w:t>
      </w:r>
    </w:p>
    <w:p w14:paraId="69AAF7BC" w14:textId="38A9C93E" w:rsidR="00FB3BC5" w:rsidRPr="00FB3BC5" w:rsidRDefault="00FB3BC5" w:rsidP="00FB3BC5">
      <w:pPr>
        <w:rPr>
          <w:rFonts w:cs="Arial"/>
        </w:rPr>
      </w:pPr>
      <w:r w:rsidRPr="00FB3BC5">
        <w:rPr>
          <w:lang w:eastAsia="bg-BG"/>
        </w:rPr>
        <w:t xml:space="preserve">Ефектът от лечението настъпва постепенно. Лечението с </w:t>
      </w:r>
      <w:proofErr w:type="spellStart"/>
      <w:r w:rsidRPr="00FB3BC5">
        <w:rPr>
          <w:lang w:eastAsia="bg-BG"/>
        </w:rPr>
        <w:t>ницерголин</w:t>
      </w:r>
      <w:proofErr w:type="spellEnd"/>
      <w:r w:rsidRPr="00FB3BC5">
        <w:rPr>
          <w:lang w:eastAsia="bg-BG"/>
        </w:rPr>
        <w:t xml:space="preserve"> обикновено е продължително.</w:t>
      </w:r>
    </w:p>
    <w:p w14:paraId="3480645A" w14:textId="77777777" w:rsidR="00FB3BC5" w:rsidRPr="00FB3BC5" w:rsidRDefault="00FB3BC5" w:rsidP="00FB3BC5"/>
    <w:p w14:paraId="1A261012" w14:textId="649A2577" w:rsidR="003765DC" w:rsidRDefault="002C50EE" w:rsidP="002B3C38">
      <w:pPr>
        <w:pStyle w:val="2"/>
      </w:pPr>
      <w:r>
        <w:t>4.3. Противопоказания</w:t>
      </w:r>
    </w:p>
    <w:p w14:paraId="089C2D30" w14:textId="6A7E2D94" w:rsidR="00FB3BC5" w:rsidRDefault="00FB3BC5" w:rsidP="00FB3BC5"/>
    <w:p w14:paraId="29E1F9B0" w14:textId="77777777" w:rsidR="00FB3BC5" w:rsidRPr="00FB3BC5" w:rsidRDefault="00FB3BC5" w:rsidP="00FB3BC5">
      <w:pPr>
        <w:pStyle w:val="a3"/>
        <w:numPr>
          <w:ilvl w:val="0"/>
          <w:numId w:val="27"/>
        </w:numPr>
        <w:rPr>
          <w:lang w:eastAsia="bg-BG"/>
        </w:rPr>
      </w:pPr>
      <w:r w:rsidRPr="00FB3BC5">
        <w:rPr>
          <w:lang w:eastAsia="bg-BG"/>
        </w:rPr>
        <w:t xml:space="preserve">Свръхчувствителност към </w:t>
      </w:r>
      <w:proofErr w:type="spellStart"/>
      <w:r w:rsidRPr="00FB3BC5">
        <w:rPr>
          <w:lang w:eastAsia="bg-BG"/>
        </w:rPr>
        <w:t>ницерголин</w:t>
      </w:r>
      <w:proofErr w:type="spellEnd"/>
      <w:r w:rsidRPr="00FB3BC5">
        <w:rPr>
          <w:lang w:eastAsia="bg-BG"/>
        </w:rPr>
        <w:t xml:space="preserve">, към </w:t>
      </w:r>
      <w:proofErr w:type="spellStart"/>
      <w:r w:rsidRPr="00FB3BC5">
        <w:rPr>
          <w:lang w:eastAsia="bg-BG"/>
        </w:rPr>
        <w:t>ергоалкалоиди</w:t>
      </w:r>
      <w:proofErr w:type="spellEnd"/>
      <w:r w:rsidRPr="00FB3BC5">
        <w:rPr>
          <w:lang w:eastAsia="bg-BG"/>
        </w:rPr>
        <w:t xml:space="preserve"> или към някое от помощните вещества, изброени в точка 6.1;</w:t>
      </w:r>
    </w:p>
    <w:p w14:paraId="5D34AEED" w14:textId="77777777" w:rsidR="00FB3BC5" w:rsidRPr="00FB3BC5" w:rsidRDefault="00FB3BC5" w:rsidP="00FB3BC5">
      <w:pPr>
        <w:pStyle w:val="a3"/>
        <w:numPr>
          <w:ilvl w:val="0"/>
          <w:numId w:val="27"/>
        </w:numPr>
        <w:rPr>
          <w:lang w:eastAsia="bg-BG"/>
        </w:rPr>
      </w:pPr>
      <w:r w:rsidRPr="00FB3BC5">
        <w:rPr>
          <w:lang w:eastAsia="bg-BG"/>
        </w:rPr>
        <w:t>Остър миокарден инфаркт;</w:t>
      </w:r>
    </w:p>
    <w:p w14:paraId="492799B5" w14:textId="77777777" w:rsidR="00FB3BC5" w:rsidRPr="00FB3BC5" w:rsidRDefault="00FB3BC5" w:rsidP="00FB3BC5">
      <w:pPr>
        <w:pStyle w:val="a3"/>
        <w:numPr>
          <w:ilvl w:val="0"/>
          <w:numId w:val="27"/>
        </w:numPr>
        <w:rPr>
          <w:lang w:eastAsia="bg-BG"/>
        </w:rPr>
      </w:pPr>
      <w:r w:rsidRPr="00FB3BC5">
        <w:rPr>
          <w:lang w:eastAsia="bg-BG"/>
        </w:rPr>
        <w:t>Остри хеморагии;</w:t>
      </w:r>
    </w:p>
    <w:p w14:paraId="0F4085E8" w14:textId="77777777" w:rsidR="00FB3BC5" w:rsidRPr="00FB3BC5" w:rsidRDefault="00FB3BC5" w:rsidP="00FB3BC5">
      <w:pPr>
        <w:pStyle w:val="a3"/>
        <w:numPr>
          <w:ilvl w:val="0"/>
          <w:numId w:val="27"/>
        </w:numPr>
        <w:rPr>
          <w:lang w:eastAsia="bg-BG"/>
        </w:rPr>
      </w:pPr>
      <w:r w:rsidRPr="00FB3BC5">
        <w:rPr>
          <w:lang w:eastAsia="bg-BG"/>
        </w:rPr>
        <w:t>Тежка хипотония и брадикардия.</w:t>
      </w:r>
    </w:p>
    <w:p w14:paraId="05A767E0" w14:textId="77777777" w:rsidR="00FB3BC5" w:rsidRPr="00FB3BC5" w:rsidRDefault="00FB3BC5" w:rsidP="00FB3BC5"/>
    <w:p w14:paraId="5EF6E7D6" w14:textId="36F227C2" w:rsidR="003765DC" w:rsidRDefault="002C50EE" w:rsidP="002B3C38">
      <w:pPr>
        <w:pStyle w:val="2"/>
      </w:pPr>
      <w:r>
        <w:t>4.4. Специални предупреждения и предпазни мерки при употреба</w:t>
      </w:r>
    </w:p>
    <w:p w14:paraId="02EC0D81" w14:textId="34CEC10A" w:rsidR="00FB3BC5" w:rsidRDefault="00FB3BC5" w:rsidP="00FB3BC5"/>
    <w:p w14:paraId="7DA2EFD7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Обикновено, когато се приема в препоръчителните дози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не оказва влияние върху артериалното налягане. При болни с артериална хипертония, обаче може да предизвика постепенно понижаване на стойностите на артериалното налягане.</w:t>
      </w:r>
    </w:p>
    <w:p w14:paraId="5E89CD83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D817F8" w14:textId="0BB29EFB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При прием на някои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ергоалкалоиди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и техните производни се съобщава за симптоми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ерготизъм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(включително гадене, повръщане, диария, абдоминална болка и периферна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вазоконстрикция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). Преди да предпишат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ерго</w:t>
      </w:r>
      <w:proofErr w:type="spellEnd"/>
      <w:r w:rsidRPr="00FB3BC5">
        <w:rPr>
          <w:rFonts w:eastAsia="Times New Roman" w:cs="Arial"/>
          <w:color w:val="000000"/>
          <w:lang w:eastAsia="bg-BG"/>
        </w:rPr>
        <w:t>-производни лекарите трябва да са наясно с признаците и симптомите при предозирането им.</w:t>
      </w:r>
    </w:p>
    <w:p w14:paraId="646B83F8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1C7183" w14:textId="6B02C5CF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Приложението на някои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ергоалкалоиди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агонистично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действие към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серотониновите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5НТ 2</w:t>
      </w:r>
      <w:r w:rsidRPr="00FB3BC5">
        <w:rPr>
          <w:rFonts w:eastAsia="Times New Roman" w:cs="Arial"/>
          <w:color w:val="000000"/>
          <w:lang w:val="en-US"/>
        </w:rPr>
        <w:t>β</w:t>
      </w:r>
      <w:r w:rsidRPr="00FB3BC5">
        <w:rPr>
          <w:rFonts w:eastAsia="Times New Roman" w:cs="Arial"/>
          <w:color w:val="000000"/>
          <w:lang w:eastAsia="bg-BG"/>
        </w:rPr>
        <w:t xml:space="preserve"> рецептори е свързано с поява на фиброза (напр. белодробна, сърдечна, засягаща сърдечните клапи или ретроперитонеална). Фиброзата е сериозно и потенциално животозастрашаващо състояние, което е трудно за диагностициране, поради отложеното начало на симптомите.</w:t>
      </w:r>
    </w:p>
    <w:p w14:paraId="2277DA69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3BA880" w14:textId="4C52E068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Продуктът трябва да се прилага внимателно при пациенти с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хиперурикемия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анамнестични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данни за подагра и/или провеждащи лечение с лекарствени продукти, които имат ефект върху метаболизма и екскрецията на пикочната киселина.</w:t>
      </w:r>
    </w:p>
    <w:p w14:paraId="249391F3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BBFE5A" w14:textId="26CD1461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>Помощни вещества:</w:t>
      </w:r>
    </w:p>
    <w:p w14:paraId="5319CA51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i/>
          <w:iCs/>
          <w:color w:val="000000"/>
          <w:lang w:eastAsia="bg-BG"/>
        </w:rPr>
        <w:t>Лактоза</w:t>
      </w:r>
    </w:p>
    <w:p w14:paraId="1F735693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Пациенти с редки наследствени проблеми на непоносимост към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галактоза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, пълен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лактазен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дефицит или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малабсорбция не трябва да приемат това лекарство.</w:t>
      </w:r>
    </w:p>
    <w:p w14:paraId="7AD078CB" w14:textId="77777777" w:rsidR="00FB3BC5" w:rsidRPr="00FB3BC5" w:rsidRDefault="00FB3BC5" w:rsidP="00FB3BC5"/>
    <w:p w14:paraId="297352C8" w14:textId="56B1E1ED" w:rsidR="003765DC" w:rsidRDefault="002C50EE" w:rsidP="002B3C38">
      <w:pPr>
        <w:pStyle w:val="2"/>
      </w:pPr>
      <w:r>
        <w:lastRenderedPageBreak/>
        <w:t>4.5. Взаимодействие с други лекарствени продукти и други форми на взаимодействие</w:t>
      </w:r>
    </w:p>
    <w:p w14:paraId="22080095" w14:textId="77777777" w:rsidR="00FB3BC5" w:rsidRDefault="00FB3BC5" w:rsidP="00FB3BC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14:paraId="0F1E7108" w14:textId="3B21FD87" w:rsidR="00FB3BC5" w:rsidRPr="00FB3BC5" w:rsidRDefault="00FB3BC5" w:rsidP="00FB3BC5">
      <w:pPr>
        <w:rPr>
          <w:sz w:val="24"/>
          <w:szCs w:val="24"/>
        </w:rPr>
      </w:pPr>
      <w:r w:rsidRPr="00FB3BC5">
        <w:rPr>
          <w:lang w:eastAsia="bg-BG"/>
        </w:rPr>
        <w:t xml:space="preserve">Известно е, че </w:t>
      </w:r>
      <w:proofErr w:type="spellStart"/>
      <w:r w:rsidRPr="00FB3BC5">
        <w:rPr>
          <w:lang w:eastAsia="bg-BG"/>
        </w:rPr>
        <w:t>ницерголин</w:t>
      </w:r>
      <w:proofErr w:type="spellEnd"/>
      <w:r w:rsidRPr="00FB3BC5">
        <w:rPr>
          <w:lang w:eastAsia="bg-BG"/>
        </w:rPr>
        <w:t xml:space="preserve"> се </w:t>
      </w:r>
      <w:proofErr w:type="spellStart"/>
      <w:r w:rsidRPr="00FB3BC5">
        <w:rPr>
          <w:lang w:eastAsia="bg-BG"/>
        </w:rPr>
        <w:t>метаболизира</w:t>
      </w:r>
      <w:proofErr w:type="spellEnd"/>
      <w:r w:rsidRPr="00FB3BC5">
        <w:rPr>
          <w:lang w:eastAsia="bg-BG"/>
        </w:rPr>
        <w:t xml:space="preserve"> от </w:t>
      </w:r>
      <w:r w:rsidRPr="00FB3BC5">
        <w:rPr>
          <w:lang w:val="en-US"/>
        </w:rPr>
        <w:t xml:space="preserve">CYP 2D6, </w:t>
      </w:r>
      <w:r w:rsidRPr="00FB3BC5">
        <w:rPr>
          <w:lang w:eastAsia="bg-BG"/>
        </w:rPr>
        <w:t xml:space="preserve">поради което не може да се изключи възможността за взаимодействие с лекарства, които се </w:t>
      </w:r>
      <w:proofErr w:type="spellStart"/>
      <w:r w:rsidRPr="00FB3BC5">
        <w:rPr>
          <w:lang w:eastAsia="bg-BG"/>
        </w:rPr>
        <w:t>метаболизират</w:t>
      </w:r>
      <w:proofErr w:type="spellEnd"/>
      <w:r w:rsidRPr="00FB3BC5">
        <w:rPr>
          <w:lang w:eastAsia="bg-BG"/>
        </w:rPr>
        <w:t xml:space="preserve"> от същата ензимна система.</w:t>
      </w:r>
    </w:p>
    <w:p w14:paraId="1DE303DE" w14:textId="77777777" w:rsidR="00FB3BC5" w:rsidRPr="00FB3BC5" w:rsidRDefault="00FB3BC5" w:rsidP="00FB3BC5">
      <w:pPr>
        <w:rPr>
          <w:sz w:val="24"/>
          <w:szCs w:val="24"/>
        </w:rPr>
      </w:pPr>
      <w:r w:rsidRPr="00FB3BC5">
        <w:rPr>
          <w:lang w:eastAsia="bg-BG"/>
        </w:rPr>
        <w:t xml:space="preserve">При едновременна употреба </w:t>
      </w:r>
      <w:proofErr w:type="spellStart"/>
      <w:r w:rsidRPr="00FB3BC5">
        <w:rPr>
          <w:lang w:eastAsia="bg-BG"/>
        </w:rPr>
        <w:t>ницерголин</w:t>
      </w:r>
      <w:proofErr w:type="spellEnd"/>
      <w:r w:rsidRPr="00FB3BC5">
        <w:rPr>
          <w:lang w:eastAsia="bg-BG"/>
        </w:rPr>
        <w:t xml:space="preserve"> усилва ефекта на </w:t>
      </w:r>
      <w:proofErr w:type="spellStart"/>
      <w:r w:rsidRPr="00FB3BC5">
        <w:rPr>
          <w:lang w:eastAsia="bg-BG"/>
        </w:rPr>
        <w:t>антихипертензивниге</w:t>
      </w:r>
      <w:proofErr w:type="spellEnd"/>
      <w:r w:rsidRPr="00FB3BC5">
        <w:rPr>
          <w:lang w:eastAsia="bg-BG"/>
        </w:rPr>
        <w:t xml:space="preserve"> лекарствени продукти, </w:t>
      </w:r>
      <w:proofErr w:type="spellStart"/>
      <w:r w:rsidRPr="00FB3BC5">
        <w:rPr>
          <w:lang w:eastAsia="bg-BG"/>
        </w:rPr>
        <w:t>анксиолитиците</w:t>
      </w:r>
      <w:proofErr w:type="spellEnd"/>
      <w:r w:rsidRPr="00FB3BC5">
        <w:rPr>
          <w:lang w:eastAsia="bg-BG"/>
        </w:rPr>
        <w:t xml:space="preserve"> и антипсихотичните средства.</w:t>
      </w:r>
    </w:p>
    <w:p w14:paraId="29182BD3" w14:textId="77777777" w:rsidR="00FB3BC5" w:rsidRPr="00FB3BC5" w:rsidRDefault="00FB3BC5" w:rsidP="00FB3BC5">
      <w:pPr>
        <w:rPr>
          <w:sz w:val="24"/>
          <w:szCs w:val="24"/>
        </w:rPr>
      </w:pPr>
      <w:proofErr w:type="spellStart"/>
      <w:r w:rsidRPr="00FB3BC5">
        <w:rPr>
          <w:lang w:eastAsia="bg-BG"/>
        </w:rPr>
        <w:t>Антиацидните</w:t>
      </w:r>
      <w:proofErr w:type="spellEnd"/>
      <w:r w:rsidRPr="00FB3BC5">
        <w:rPr>
          <w:lang w:eastAsia="bg-BG"/>
        </w:rPr>
        <w:t xml:space="preserve"> средства и </w:t>
      </w:r>
      <w:proofErr w:type="spellStart"/>
      <w:r w:rsidRPr="00FB3BC5">
        <w:rPr>
          <w:lang w:eastAsia="bg-BG"/>
        </w:rPr>
        <w:t>холестирамин</w:t>
      </w:r>
      <w:proofErr w:type="spellEnd"/>
      <w:r w:rsidRPr="00FB3BC5">
        <w:rPr>
          <w:lang w:eastAsia="bg-BG"/>
        </w:rPr>
        <w:t xml:space="preserve"> забавят резорбцията му.</w:t>
      </w:r>
    </w:p>
    <w:p w14:paraId="1F55FEC4" w14:textId="77777777" w:rsidR="00FB3BC5" w:rsidRPr="00FB3BC5" w:rsidRDefault="00FB3BC5" w:rsidP="00FB3BC5">
      <w:pPr>
        <w:rPr>
          <w:sz w:val="24"/>
          <w:szCs w:val="24"/>
        </w:rPr>
      </w:pPr>
      <w:r w:rsidRPr="00FB3BC5">
        <w:rPr>
          <w:lang w:eastAsia="bg-BG"/>
        </w:rPr>
        <w:t xml:space="preserve">Трябва да се избягва съвместното приложение с продукти възбуждащи ЦНС, алфа- и бета- </w:t>
      </w:r>
      <w:proofErr w:type="spellStart"/>
      <w:r w:rsidRPr="00FB3BC5">
        <w:rPr>
          <w:lang w:eastAsia="bg-BG"/>
        </w:rPr>
        <w:t>адреномиметици</w:t>
      </w:r>
      <w:proofErr w:type="spellEnd"/>
      <w:r w:rsidRPr="00FB3BC5">
        <w:rPr>
          <w:lang w:eastAsia="bg-BG"/>
        </w:rPr>
        <w:t>.</w:t>
      </w:r>
    </w:p>
    <w:p w14:paraId="411B7920" w14:textId="77777777" w:rsidR="00FB3BC5" w:rsidRPr="00FB3BC5" w:rsidRDefault="00FB3BC5" w:rsidP="00FB3BC5">
      <w:pPr>
        <w:rPr>
          <w:sz w:val="24"/>
          <w:szCs w:val="24"/>
        </w:rPr>
      </w:pPr>
      <w:r w:rsidRPr="00FB3BC5">
        <w:rPr>
          <w:lang w:eastAsia="bg-BG"/>
        </w:rPr>
        <w:t xml:space="preserve">При едновременно приложение с </w:t>
      </w:r>
      <w:proofErr w:type="spellStart"/>
      <w:r w:rsidRPr="00FB3BC5">
        <w:rPr>
          <w:lang w:eastAsia="bg-BG"/>
        </w:rPr>
        <w:t>ангикоагуланти</w:t>
      </w:r>
      <w:proofErr w:type="spellEnd"/>
      <w:r w:rsidRPr="00FB3BC5">
        <w:rPr>
          <w:lang w:eastAsia="bg-BG"/>
        </w:rPr>
        <w:t xml:space="preserve"> и </w:t>
      </w:r>
      <w:proofErr w:type="spellStart"/>
      <w:r w:rsidRPr="00FB3BC5">
        <w:rPr>
          <w:lang w:eastAsia="bg-BG"/>
        </w:rPr>
        <w:t>антиагреганти</w:t>
      </w:r>
      <w:proofErr w:type="spellEnd"/>
      <w:r w:rsidRPr="00FB3BC5">
        <w:rPr>
          <w:lang w:eastAsia="bg-BG"/>
        </w:rPr>
        <w:t xml:space="preserve"> е необходим контрол на показателите за съсирване на кръвта.</w:t>
      </w:r>
    </w:p>
    <w:p w14:paraId="01351DDD" w14:textId="39B0BE26" w:rsidR="00FB3BC5" w:rsidRDefault="00FB3BC5" w:rsidP="00FB3BC5">
      <w:pPr>
        <w:rPr>
          <w:lang w:eastAsia="bg-BG"/>
        </w:rPr>
      </w:pPr>
      <w:proofErr w:type="spellStart"/>
      <w:r w:rsidRPr="00FB3BC5">
        <w:rPr>
          <w:lang w:eastAsia="bg-BG"/>
        </w:rPr>
        <w:t>Ницерголин</w:t>
      </w:r>
      <w:proofErr w:type="spellEnd"/>
      <w:r w:rsidRPr="00FB3BC5">
        <w:rPr>
          <w:lang w:eastAsia="bg-BG"/>
        </w:rPr>
        <w:t xml:space="preserve"> може да доведе до </w:t>
      </w:r>
      <w:proofErr w:type="spellStart"/>
      <w:r w:rsidRPr="00FB3BC5">
        <w:rPr>
          <w:lang w:eastAsia="bg-BG"/>
        </w:rPr>
        <w:t>асимптоматично</w:t>
      </w:r>
      <w:proofErr w:type="spellEnd"/>
      <w:r w:rsidRPr="00FB3BC5">
        <w:rPr>
          <w:lang w:eastAsia="bg-BG"/>
        </w:rPr>
        <w:t xml:space="preserve"> повишаване на стойностите на пикочната киселина, поради което се препоръчва повишено внимание при едновременна употреба с</w:t>
      </w:r>
      <w:r w:rsidRPr="00FB3BC5">
        <w:rPr>
          <w:vertAlign w:val="subscript"/>
          <w:lang w:eastAsia="bg-BG"/>
        </w:rPr>
        <w:t xml:space="preserve"> </w:t>
      </w:r>
      <w:r w:rsidRPr="00FB3BC5">
        <w:rPr>
          <w:lang w:eastAsia="bg-BG"/>
        </w:rPr>
        <w:t>лекарства, които оказват влияние върху метаболизма на пикочната киселина.</w:t>
      </w:r>
    </w:p>
    <w:p w14:paraId="4C7B8ECC" w14:textId="77777777" w:rsidR="00FB3BC5" w:rsidRPr="00FB3BC5" w:rsidRDefault="00FB3BC5" w:rsidP="00FB3BC5"/>
    <w:p w14:paraId="20B09708" w14:textId="280B141F" w:rsidR="003765DC" w:rsidRDefault="002C50EE" w:rsidP="002B3C38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4C0FA162" w14:textId="0EAF0851" w:rsidR="00FB3BC5" w:rsidRDefault="00FB3BC5" w:rsidP="00FB3BC5"/>
    <w:p w14:paraId="6BDECB7D" w14:textId="5900E9E1" w:rsidR="00FB3BC5" w:rsidRPr="00FB3BC5" w:rsidRDefault="00FB3BC5" w:rsidP="00FB3BC5">
      <w:pPr>
        <w:pStyle w:val="3"/>
        <w:rPr>
          <w:u w:val="single"/>
        </w:rPr>
      </w:pPr>
      <w:r w:rsidRPr="00FB3BC5">
        <w:rPr>
          <w:u w:val="single"/>
        </w:rPr>
        <w:t>Бременност</w:t>
      </w:r>
    </w:p>
    <w:p w14:paraId="08245377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Въпреки, че няма данни за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тератогенност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от токсикологичните проучвания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трябва да се използва при бременни само в случай на крайна необходимост, след преценка на съотношението полза/риск и под непосредствено медицинско наблюдение.</w:t>
      </w:r>
    </w:p>
    <w:p w14:paraId="7E676A22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A2A104" w14:textId="386B1091" w:rsidR="00FB3BC5" w:rsidRPr="00FB3BC5" w:rsidRDefault="00FB3BC5" w:rsidP="00FB3BC5">
      <w:pPr>
        <w:pStyle w:val="3"/>
        <w:rPr>
          <w:rFonts w:eastAsia="Times New Roman"/>
          <w:u w:val="single"/>
        </w:rPr>
      </w:pPr>
      <w:r w:rsidRPr="00FB3BC5">
        <w:rPr>
          <w:rFonts w:eastAsia="Times New Roman"/>
          <w:u w:val="single"/>
          <w:lang w:eastAsia="bg-BG"/>
        </w:rPr>
        <w:t>Кърмене</w:t>
      </w:r>
    </w:p>
    <w:p w14:paraId="1E081DC7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Не е известно дали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в кърмата при хора, поради което не трябва да се прилага по време на кърмене.</w:t>
      </w:r>
    </w:p>
    <w:p w14:paraId="131936BB" w14:textId="77777777" w:rsidR="00FB3BC5" w:rsidRPr="00FB3BC5" w:rsidRDefault="00FB3BC5" w:rsidP="00FB3BC5"/>
    <w:p w14:paraId="13465597" w14:textId="5FDEDD64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03E03C3E" w14:textId="4C73D41D" w:rsidR="00FB3BC5" w:rsidRDefault="00FB3BC5" w:rsidP="00FB3BC5"/>
    <w:p w14:paraId="3A40ECF1" w14:textId="77777777" w:rsidR="00FB3BC5" w:rsidRPr="00FB3BC5" w:rsidRDefault="00FB3BC5" w:rsidP="00FB3BC5">
      <w:pPr>
        <w:rPr>
          <w:sz w:val="24"/>
          <w:szCs w:val="24"/>
        </w:rPr>
      </w:pPr>
      <w:r w:rsidRPr="00FB3BC5">
        <w:rPr>
          <w:lang w:eastAsia="bg-BG"/>
        </w:rPr>
        <w:t xml:space="preserve">В таблицата е представен списък на нежеланите лекарствени реакции, групирани по </w:t>
      </w:r>
      <w:proofErr w:type="spellStart"/>
      <w:r w:rsidRPr="00FB3BC5">
        <w:rPr>
          <w:lang w:eastAsia="bg-BG"/>
        </w:rPr>
        <w:t>системо</w:t>
      </w:r>
      <w:proofErr w:type="spellEnd"/>
      <w:r w:rsidRPr="00FB3BC5">
        <w:rPr>
          <w:lang w:eastAsia="bg-BG"/>
        </w:rPr>
        <w:t>- органни класове и подредени по честота с намаляваща сериозност от медицинска гледна точка.</w:t>
      </w:r>
    </w:p>
    <w:p w14:paraId="129D4237" w14:textId="77777777" w:rsidR="00FB3BC5" w:rsidRPr="00FB3BC5" w:rsidRDefault="00FB3BC5" w:rsidP="00FB3BC5"/>
    <w:p w14:paraId="5D66F04B" w14:textId="67CE9D95" w:rsidR="003765DC" w:rsidRDefault="002C50EE" w:rsidP="002B3C38">
      <w:pPr>
        <w:pStyle w:val="2"/>
      </w:pPr>
      <w:r>
        <w:t>4.8. Нежелани лекарствени реакции</w:t>
      </w:r>
    </w:p>
    <w:p w14:paraId="2509B1B3" w14:textId="7FF2EEB3" w:rsidR="00FB3BC5" w:rsidRDefault="00FB3BC5" w:rsidP="00FB3BC5"/>
    <w:p w14:paraId="3744D8CC" w14:textId="49B85178" w:rsidR="00FB3BC5" w:rsidRDefault="00FB3BC5" w:rsidP="00FB3BC5">
      <w:r>
        <w:t xml:space="preserve">В таблицата е представен списък на нежеланите лекарствени реакции, групирани по </w:t>
      </w:r>
      <w:proofErr w:type="spellStart"/>
      <w:r>
        <w:t>системо</w:t>
      </w:r>
      <w:proofErr w:type="spellEnd"/>
      <w:r>
        <w:t>- органни класове и подредени по честота с намаляваща сериозност от медицинска гледна точка.</w:t>
      </w:r>
    </w:p>
    <w:p w14:paraId="3F1A4F78" w14:textId="6F67977E" w:rsidR="00FB3BC5" w:rsidRDefault="00FB3BC5" w:rsidP="00FB3B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41"/>
        <w:gridCol w:w="2342"/>
        <w:gridCol w:w="2330"/>
      </w:tblGrid>
      <w:tr w:rsidR="00FB3BC5" w14:paraId="1DC0BF8F" w14:textId="77777777" w:rsidTr="001C2431">
        <w:tc>
          <w:tcPr>
            <w:tcW w:w="2394" w:type="dxa"/>
          </w:tcPr>
          <w:p w14:paraId="54B43C74" w14:textId="1A3F4E9A" w:rsidR="00FB3BC5" w:rsidRPr="00FB3BC5" w:rsidRDefault="00FB3BC5" w:rsidP="00FB3BC5">
            <w:pPr>
              <w:rPr>
                <w:b/>
                <w:bCs/>
              </w:rPr>
            </w:pPr>
            <w:proofErr w:type="spellStart"/>
            <w:r w:rsidRPr="00FB3BC5">
              <w:rPr>
                <w:b/>
                <w:bCs/>
              </w:rPr>
              <w:t>Системо</w:t>
            </w:r>
            <w:proofErr w:type="spellEnd"/>
            <w:r w:rsidRPr="00FB3BC5">
              <w:rPr>
                <w:b/>
                <w:bCs/>
              </w:rPr>
              <w:t>-органен клас</w:t>
            </w:r>
          </w:p>
        </w:tc>
        <w:tc>
          <w:tcPr>
            <w:tcW w:w="2394" w:type="dxa"/>
          </w:tcPr>
          <w:p w14:paraId="09B7242B" w14:textId="77777777" w:rsidR="00FB3BC5" w:rsidRPr="00FB3BC5" w:rsidRDefault="00FB3BC5" w:rsidP="00FB3BC5">
            <w:pPr>
              <w:rPr>
                <w:b/>
                <w:bCs/>
              </w:rPr>
            </w:pPr>
            <w:r w:rsidRPr="00FB3BC5">
              <w:rPr>
                <w:b/>
                <w:bCs/>
              </w:rPr>
              <w:t>Чести</w:t>
            </w:r>
          </w:p>
          <w:p w14:paraId="2180097B" w14:textId="6BB4739E" w:rsidR="00FB3BC5" w:rsidRPr="00FB3BC5" w:rsidRDefault="00FB3BC5" w:rsidP="00FB3BC5">
            <w:pPr>
              <w:rPr>
                <w:b/>
                <w:bCs/>
              </w:rPr>
            </w:pPr>
            <w:r w:rsidRPr="00FB3BC5">
              <w:rPr>
                <w:b/>
                <w:bCs/>
              </w:rPr>
              <w:t>≥</w:t>
            </w:r>
            <w:r w:rsidRPr="00FB3BC5">
              <w:rPr>
                <w:b/>
                <w:bCs/>
              </w:rPr>
              <w:t>1/100 до &lt;1/10</w:t>
            </w:r>
          </w:p>
        </w:tc>
        <w:tc>
          <w:tcPr>
            <w:tcW w:w="2394" w:type="dxa"/>
          </w:tcPr>
          <w:p w14:paraId="7BA89CD4" w14:textId="77777777" w:rsidR="00FB3BC5" w:rsidRPr="00FB3BC5" w:rsidRDefault="00FB3BC5" w:rsidP="00FB3BC5">
            <w:pPr>
              <w:rPr>
                <w:b/>
                <w:bCs/>
              </w:rPr>
            </w:pPr>
            <w:r w:rsidRPr="00FB3BC5">
              <w:rPr>
                <w:b/>
                <w:bCs/>
              </w:rPr>
              <w:t>Нечести</w:t>
            </w:r>
          </w:p>
          <w:p w14:paraId="47F87745" w14:textId="327FBE33" w:rsidR="00FB3BC5" w:rsidRPr="00FB3BC5" w:rsidRDefault="00FB3BC5" w:rsidP="00FB3BC5">
            <w:pPr>
              <w:rPr>
                <w:b/>
                <w:bCs/>
              </w:rPr>
            </w:pPr>
            <w:r w:rsidRPr="00FB3BC5">
              <w:rPr>
                <w:b/>
                <w:bCs/>
              </w:rPr>
              <w:t>≥</w:t>
            </w:r>
            <w:r w:rsidRPr="00FB3BC5">
              <w:rPr>
                <w:b/>
                <w:bCs/>
              </w:rPr>
              <w:t>1/1 000 до &lt;1/100</w:t>
            </w:r>
          </w:p>
        </w:tc>
        <w:tc>
          <w:tcPr>
            <w:tcW w:w="2394" w:type="dxa"/>
            <w:vAlign w:val="bottom"/>
          </w:tcPr>
          <w:p w14:paraId="220465C3" w14:textId="13B57F3B" w:rsidR="00FB3BC5" w:rsidRPr="00FB3BC5" w:rsidRDefault="00FB3BC5" w:rsidP="00FB3BC5">
            <w:pPr>
              <w:rPr>
                <w:b/>
                <w:bCs/>
              </w:rPr>
            </w:pPr>
            <w:r w:rsidRPr="00FB3BC5">
              <w:rPr>
                <w:b/>
                <w:bCs/>
              </w:rPr>
              <w:t>С неизвестна честота (от наличните данни не може да бъде направена оценка)</w:t>
            </w:r>
          </w:p>
        </w:tc>
      </w:tr>
      <w:tr w:rsidR="00FB3BC5" w14:paraId="18D0853D" w14:textId="77777777" w:rsidTr="001C2431">
        <w:tc>
          <w:tcPr>
            <w:tcW w:w="2394" w:type="dxa"/>
          </w:tcPr>
          <w:p w14:paraId="0681A300" w14:textId="34DEC750" w:rsidR="00FB3BC5" w:rsidRPr="00FB3BC5" w:rsidRDefault="00FB3BC5" w:rsidP="00FB3BC5">
            <w:r w:rsidRPr="00FB3BC5">
              <w:t xml:space="preserve">Психични </w:t>
            </w:r>
            <w:r w:rsidRPr="00FB3BC5">
              <w:lastRenderedPageBreak/>
              <w:t>нарушения</w:t>
            </w:r>
          </w:p>
        </w:tc>
        <w:tc>
          <w:tcPr>
            <w:tcW w:w="2394" w:type="dxa"/>
          </w:tcPr>
          <w:p w14:paraId="3656E681" w14:textId="77777777" w:rsidR="00FB3BC5" w:rsidRPr="00FB3BC5" w:rsidRDefault="00FB3BC5" w:rsidP="00FB3BC5"/>
        </w:tc>
        <w:tc>
          <w:tcPr>
            <w:tcW w:w="2394" w:type="dxa"/>
            <w:vAlign w:val="bottom"/>
          </w:tcPr>
          <w:p w14:paraId="3ED5C2D9" w14:textId="61910979" w:rsidR="00FB3BC5" w:rsidRPr="00FB3BC5" w:rsidRDefault="00FB3BC5" w:rsidP="00FB3BC5">
            <w:r w:rsidRPr="00FB3BC5">
              <w:t xml:space="preserve">Възбуда, </w:t>
            </w:r>
            <w:r w:rsidRPr="00FB3BC5">
              <w:lastRenderedPageBreak/>
              <w:t>обърканост, безсъние</w:t>
            </w:r>
          </w:p>
        </w:tc>
        <w:tc>
          <w:tcPr>
            <w:tcW w:w="2394" w:type="dxa"/>
          </w:tcPr>
          <w:p w14:paraId="29A0CC76" w14:textId="77777777" w:rsidR="00FB3BC5" w:rsidRPr="00FB3BC5" w:rsidRDefault="00FB3BC5" w:rsidP="00FB3BC5"/>
        </w:tc>
      </w:tr>
      <w:tr w:rsidR="00FB3BC5" w14:paraId="2FB997DE" w14:textId="77777777" w:rsidTr="001C2431">
        <w:tc>
          <w:tcPr>
            <w:tcW w:w="2394" w:type="dxa"/>
          </w:tcPr>
          <w:p w14:paraId="12943BBF" w14:textId="142556C1" w:rsidR="00FB3BC5" w:rsidRPr="00FB3BC5" w:rsidRDefault="00FB3BC5" w:rsidP="00FB3BC5">
            <w:r w:rsidRPr="00FB3BC5">
              <w:t>Нарушения на нервната система</w:t>
            </w:r>
          </w:p>
        </w:tc>
        <w:tc>
          <w:tcPr>
            <w:tcW w:w="2394" w:type="dxa"/>
          </w:tcPr>
          <w:p w14:paraId="5BC4C5E8" w14:textId="77777777" w:rsidR="00FB3BC5" w:rsidRPr="00FB3BC5" w:rsidRDefault="00FB3BC5" w:rsidP="00FB3BC5"/>
        </w:tc>
        <w:tc>
          <w:tcPr>
            <w:tcW w:w="2394" w:type="dxa"/>
            <w:vAlign w:val="bottom"/>
          </w:tcPr>
          <w:p w14:paraId="26E945FA" w14:textId="777DDDE3" w:rsidR="00FB3BC5" w:rsidRPr="00FB3BC5" w:rsidRDefault="00FB3BC5" w:rsidP="00FB3BC5">
            <w:r w:rsidRPr="00FB3BC5">
              <w:t>Сънливост, замаяност, главоболие</w:t>
            </w:r>
          </w:p>
        </w:tc>
        <w:tc>
          <w:tcPr>
            <w:tcW w:w="2394" w:type="dxa"/>
          </w:tcPr>
          <w:p w14:paraId="5E2E427D" w14:textId="32B63B03" w:rsidR="00FB3BC5" w:rsidRPr="00FB3BC5" w:rsidRDefault="00FB3BC5" w:rsidP="00FB3BC5">
            <w:r w:rsidRPr="00FB3BC5">
              <w:t>Усещане за горещина</w:t>
            </w:r>
            <w:r w:rsidRPr="00FB3BC5">
              <w:rPr>
                <w:vertAlign w:val="superscript"/>
              </w:rPr>
              <w:t>8</w:t>
            </w:r>
          </w:p>
        </w:tc>
      </w:tr>
      <w:tr w:rsidR="00FB3BC5" w14:paraId="74CB815D" w14:textId="77777777" w:rsidTr="001C2431">
        <w:tc>
          <w:tcPr>
            <w:tcW w:w="2394" w:type="dxa"/>
          </w:tcPr>
          <w:p w14:paraId="7E03ED0C" w14:textId="1402AB26" w:rsidR="00FB3BC5" w:rsidRPr="00FB3BC5" w:rsidRDefault="00FB3BC5" w:rsidP="00FB3BC5">
            <w:r w:rsidRPr="00FB3BC5">
              <w:t>Съдови нарушения</w:t>
            </w:r>
          </w:p>
        </w:tc>
        <w:tc>
          <w:tcPr>
            <w:tcW w:w="2394" w:type="dxa"/>
          </w:tcPr>
          <w:p w14:paraId="77A9D78C" w14:textId="77777777" w:rsidR="00FB3BC5" w:rsidRPr="00FB3BC5" w:rsidRDefault="00FB3BC5" w:rsidP="00FB3BC5"/>
        </w:tc>
        <w:tc>
          <w:tcPr>
            <w:tcW w:w="2394" w:type="dxa"/>
            <w:vAlign w:val="bottom"/>
          </w:tcPr>
          <w:p w14:paraId="49BF0F2B" w14:textId="456C881A" w:rsidR="00FB3BC5" w:rsidRPr="00FB3BC5" w:rsidRDefault="00FB3BC5" w:rsidP="00FB3BC5">
            <w:r w:rsidRPr="00FB3BC5">
              <w:t>Хипотония, зачервяване</w:t>
            </w:r>
          </w:p>
        </w:tc>
        <w:tc>
          <w:tcPr>
            <w:tcW w:w="2394" w:type="dxa"/>
          </w:tcPr>
          <w:p w14:paraId="41B5C175" w14:textId="77777777" w:rsidR="00FB3BC5" w:rsidRPr="00FB3BC5" w:rsidRDefault="00FB3BC5" w:rsidP="00FB3BC5"/>
        </w:tc>
      </w:tr>
      <w:tr w:rsidR="00FB3BC5" w14:paraId="7B2AD826" w14:textId="77777777" w:rsidTr="001C2431">
        <w:tc>
          <w:tcPr>
            <w:tcW w:w="2394" w:type="dxa"/>
            <w:vAlign w:val="bottom"/>
          </w:tcPr>
          <w:p w14:paraId="3E2EC126" w14:textId="6FAE293B" w:rsidR="00FB3BC5" w:rsidRPr="00FB3BC5" w:rsidRDefault="00FB3BC5" w:rsidP="00FB3BC5">
            <w:r w:rsidRPr="00FB3BC5">
              <w:t>Стомашно-чревни нарушения</w:t>
            </w:r>
          </w:p>
        </w:tc>
        <w:tc>
          <w:tcPr>
            <w:tcW w:w="2394" w:type="dxa"/>
            <w:vAlign w:val="bottom"/>
          </w:tcPr>
          <w:p w14:paraId="22B4AC18" w14:textId="0770A9D5" w:rsidR="00FB3BC5" w:rsidRPr="00FB3BC5" w:rsidRDefault="00FB3BC5" w:rsidP="00FB3BC5">
            <w:r w:rsidRPr="00FB3BC5">
              <w:t>Абдоминален дискомфорт</w:t>
            </w:r>
          </w:p>
        </w:tc>
        <w:tc>
          <w:tcPr>
            <w:tcW w:w="2394" w:type="dxa"/>
          </w:tcPr>
          <w:p w14:paraId="083ACDAB" w14:textId="08300B5A" w:rsidR="00FB3BC5" w:rsidRPr="00FB3BC5" w:rsidRDefault="00FB3BC5" w:rsidP="00FB3BC5">
            <w:r w:rsidRPr="00FB3BC5">
              <w:t>Диария, гадене, запек</w:t>
            </w:r>
          </w:p>
        </w:tc>
        <w:tc>
          <w:tcPr>
            <w:tcW w:w="2394" w:type="dxa"/>
          </w:tcPr>
          <w:p w14:paraId="52F0CE65" w14:textId="77777777" w:rsidR="00FB3BC5" w:rsidRPr="00FB3BC5" w:rsidRDefault="00FB3BC5" w:rsidP="00FB3BC5"/>
        </w:tc>
      </w:tr>
      <w:tr w:rsidR="00FB3BC5" w14:paraId="304EA719" w14:textId="77777777" w:rsidTr="001C2431">
        <w:tc>
          <w:tcPr>
            <w:tcW w:w="2394" w:type="dxa"/>
            <w:vAlign w:val="bottom"/>
          </w:tcPr>
          <w:p w14:paraId="35B31361" w14:textId="36302D4C" w:rsidR="00FB3BC5" w:rsidRPr="00FB3BC5" w:rsidRDefault="00FB3BC5" w:rsidP="00FB3BC5">
            <w:r w:rsidRPr="00FB3BC5">
              <w:t>Нарушения на кожата и подкожната тъкан</w:t>
            </w:r>
          </w:p>
        </w:tc>
        <w:tc>
          <w:tcPr>
            <w:tcW w:w="2394" w:type="dxa"/>
          </w:tcPr>
          <w:p w14:paraId="31FB4788" w14:textId="77777777" w:rsidR="00FB3BC5" w:rsidRPr="00FB3BC5" w:rsidRDefault="00FB3BC5" w:rsidP="00FB3BC5"/>
        </w:tc>
        <w:tc>
          <w:tcPr>
            <w:tcW w:w="2394" w:type="dxa"/>
          </w:tcPr>
          <w:p w14:paraId="0FF3F756" w14:textId="71469FE3" w:rsidR="00FB3BC5" w:rsidRPr="00FB3BC5" w:rsidRDefault="00FB3BC5" w:rsidP="00FB3BC5">
            <w:proofErr w:type="spellStart"/>
            <w:r w:rsidRPr="00FB3BC5">
              <w:t>Пруритус</w:t>
            </w:r>
            <w:proofErr w:type="spellEnd"/>
          </w:p>
        </w:tc>
        <w:tc>
          <w:tcPr>
            <w:tcW w:w="2394" w:type="dxa"/>
          </w:tcPr>
          <w:p w14:paraId="1D646A4C" w14:textId="3D70BB28" w:rsidR="00FB3BC5" w:rsidRPr="00FB3BC5" w:rsidRDefault="00FB3BC5" w:rsidP="00FB3BC5">
            <w:r w:rsidRPr="00FB3BC5">
              <w:t>Обрив</w:t>
            </w:r>
          </w:p>
        </w:tc>
      </w:tr>
      <w:tr w:rsidR="00FB3BC5" w14:paraId="543595BF" w14:textId="77777777" w:rsidTr="001C2431">
        <w:tc>
          <w:tcPr>
            <w:tcW w:w="2394" w:type="dxa"/>
            <w:vAlign w:val="bottom"/>
          </w:tcPr>
          <w:p w14:paraId="546D3A7B" w14:textId="28C8B264" w:rsidR="00FB3BC5" w:rsidRPr="00FB3BC5" w:rsidRDefault="00FB3BC5" w:rsidP="00FB3BC5">
            <w:r w:rsidRPr="00FB3BC5">
              <w:t>Общи нарушения и ефекти на мястото на приложение</w:t>
            </w:r>
          </w:p>
        </w:tc>
        <w:tc>
          <w:tcPr>
            <w:tcW w:w="2394" w:type="dxa"/>
          </w:tcPr>
          <w:p w14:paraId="7D6956B3" w14:textId="77777777" w:rsidR="00FB3BC5" w:rsidRPr="00FB3BC5" w:rsidRDefault="00FB3BC5" w:rsidP="00FB3BC5"/>
        </w:tc>
        <w:tc>
          <w:tcPr>
            <w:tcW w:w="2394" w:type="dxa"/>
          </w:tcPr>
          <w:p w14:paraId="4D2FFEF2" w14:textId="77777777" w:rsidR="00FB3BC5" w:rsidRPr="00FB3BC5" w:rsidRDefault="00FB3BC5" w:rsidP="00FB3BC5"/>
        </w:tc>
        <w:tc>
          <w:tcPr>
            <w:tcW w:w="2394" w:type="dxa"/>
          </w:tcPr>
          <w:p w14:paraId="455475BC" w14:textId="36707D65" w:rsidR="00FB3BC5" w:rsidRPr="00FB3BC5" w:rsidRDefault="00FB3BC5" w:rsidP="00FB3BC5">
            <w:r w:rsidRPr="00FB3BC5">
              <w:t>Фиброза</w:t>
            </w:r>
          </w:p>
        </w:tc>
      </w:tr>
      <w:tr w:rsidR="00FB3BC5" w14:paraId="04D99B0A" w14:textId="77777777" w:rsidTr="001C2431">
        <w:tc>
          <w:tcPr>
            <w:tcW w:w="2394" w:type="dxa"/>
          </w:tcPr>
          <w:p w14:paraId="26BEA22C" w14:textId="14876815" w:rsidR="00FB3BC5" w:rsidRPr="00FB3BC5" w:rsidRDefault="00FB3BC5" w:rsidP="00FB3BC5">
            <w:r w:rsidRPr="00FB3BC5">
              <w:t>Изследвания</w:t>
            </w:r>
          </w:p>
        </w:tc>
        <w:tc>
          <w:tcPr>
            <w:tcW w:w="2394" w:type="dxa"/>
          </w:tcPr>
          <w:p w14:paraId="7A602708" w14:textId="77777777" w:rsidR="00FB3BC5" w:rsidRPr="00FB3BC5" w:rsidRDefault="00FB3BC5" w:rsidP="00FB3BC5"/>
        </w:tc>
        <w:tc>
          <w:tcPr>
            <w:tcW w:w="2394" w:type="dxa"/>
            <w:vAlign w:val="bottom"/>
          </w:tcPr>
          <w:p w14:paraId="55C64ED2" w14:textId="29B09FAF" w:rsidR="00FB3BC5" w:rsidRPr="00FB3BC5" w:rsidRDefault="00FB3BC5" w:rsidP="00FB3BC5">
            <w:r w:rsidRPr="00FB3BC5">
              <w:t>Повишена концентрация на пикочна киселина в кръвта</w:t>
            </w:r>
          </w:p>
        </w:tc>
        <w:tc>
          <w:tcPr>
            <w:tcW w:w="2394" w:type="dxa"/>
          </w:tcPr>
          <w:p w14:paraId="33CAC44D" w14:textId="77777777" w:rsidR="00FB3BC5" w:rsidRPr="00FB3BC5" w:rsidRDefault="00FB3BC5" w:rsidP="00FB3BC5"/>
        </w:tc>
      </w:tr>
    </w:tbl>
    <w:p w14:paraId="586A56BB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vertAlign w:val="superscript"/>
          <w:lang w:eastAsia="bg-BG"/>
        </w:rPr>
        <w:t>а</w:t>
      </w:r>
      <w:r w:rsidRPr="00FB3BC5">
        <w:rPr>
          <w:rFonts w:eastAsia="Times New Roman" w:cs="Arial"/>
          <w:color w:val="000000"/>
          <w:lang w:eastAsia="bg-BG"/>
        </w:rPr>
        <w:t xml:space="preserve"> В Интегрираното резюме на безопасността оценката за честотата на НЛР (появили се по време на лечение, по всякаква причина) е основана на изпитвания.</w:t>
      </w:r>
    </w:p>
    <w:p w14:paraId="028E244C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Съдържанието на интегрирания анализ на безопасността включва данни от 8 двойно-слепи, контролирани проучвания при пациенти с лека до умерена деменция, при които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са изложени 1 246 пациенти. Правилото на трите не е приложено, тъй като наборът от данни към Интегрираното резюме на безопасността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има знаменател по-малък от 3 000 участници.</w:t>
      </w:r>
    </w:p>
    <w:p w14:paraId="5430F0BF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2131B5A" w14:textId="5B57D91C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742BA200" w14:textId="5EF1FAF7" w:rsidR="00FB3BC5" w:rsidRDefault="00FB3BC5" w:rsidP="00FB3BC5">
      <w:pPr>
        <w:rPr>
          <w:rFonts w:eastAsia="Times New Roman" w:cs="Arial"/>
          <w:color w:val="000000"/>
          <w:lang w:val="en-US"/>
        </w:rPr>
      </w:pPr>
      <w:r w:rsidRPr="00FB3BC5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ул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.,,Дамян Груев" № 8,1303 София, тел.: 02 8903417, уебсайт: </w:t>
      </w:r>
      <w:hyperlink r:id="rId5" w:history="1">
        <w:r w:rsidRPr="00FB3BC5">
          <w:rPr>
            <w:rFonts w:eastAsia="Times New Roman" w:cs="Arial"/>
            <w:color w:val="000000"/>
            <w:lang w:val="en-US"/>
          </w:rPr>
          <w:t>www.bda.bg</w:t>
        </w:r>
      </w:hyperlink>
      <w:r w:rsidRPr="00FB3BC5">
        <w:rPr>
          <w:rFonts w:eastAsia="Times New Roman" w:cs="Arial"/>
          <w:color w:val="000000"/>
          <w:lang w:val="en-US"/>
        </w:rPr>
        <w:t>.</w:t>
      </w:r>
    </w:p>
    <w:p w14:paraId="0435BB56" w14:textId="77777777" w:rsidR="00FB3BC5" w:rsidRPr="00FB3BC5" w:rsidRDefault="00FB3BC5" w:rsidP="00FB3BC5">
      <w:pPr>
        <w:rPr>
          <w:rFonts w:cs="Arial"/>
        </w:rPr>
      </w:pPr>
    </w:p>
    <w:p w14:paraId="42DF9851" w14:textId="3910A4F9" w:rsidR="003765DC" w:rsidRDefault="002C50EE" w:rsidP="002B3C38">
      <w:pPr>
        <w:pStyle w:val="2"/>
      </w:pPr>
      <w:r>
        <w:t>4.9. Предозиране</w:t>
      </w:r>
    </w:p>
    <w:p w14:paraId="4E95ABF0" w14:textId="1C609169" w:rsidR="00FB3BC5" w:rsidRDefault="00FB3BC5" w:rsidP="00FB3BC5"/>
    <w:p w14:paraId="3FB72157" w14:textId="792429EC" w:rsidR="00FB3BC5" w:rsidRPr="00FB3BC5" w:rsidRDefault="00FB3BC5" w:rsidP="00FB3BC5">
      <w:r>
        <w:t xml:space="preserve">При предозиране могат да се наблюдават описаните по-горе нежелани лекарствени реакции. При предозиране е необходимо да се прекрати приемът на продукта, да се направи стомашен </w:t>
      </w:r>
      <w:proofErr w:type="spellStart"/>
      <w:r>
        <w:t>лаваж</w:t>
      </w:r>
      <w:proofErr w:type="spellEnd"/>
      <w:r>
        <w:t xml:space="preserve"> и да се назначат активен въглен и симптоматични средства.</w:t>
      </w:r>
    </w:p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7635AD51" w14:textId="7B694C26" w:rsidR="003765DC" w:rsidRDefault="002C50EE" w:rsidP="002B3C38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119B531B" w14:textId="0ECFEBAF" w:rsidR="00FB3BC5" w:rsidRDefault="00FB3BC5" w:rsidP="00FB3BC5"/>
    <w:p w14:paraId="5260F868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proofErr w:type="spellStart"/>
      <w:r w:rsidRPr="00FB3BC5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група: Периферни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вазодилататори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ергоалкалоиди</w:t>
      </w:r>
      <w:proofErr w:type="spellEnd"/>
      <w:r w:rsidRPr="00FB3BC5">
        <w:rPr>
          <w:rFonts w:eastAsia="Times New Roman" w:cs="Arial"/>
          <w:color w:val="000000"/>
          <w:lang w:eastAsia="bg-BG"/>
        </w:rPr>
        <w:t>; АТС код С04АЕ02</w:t>
      </w:r>
    </w:p>
    <w:p w14:paraId="043A269F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D269EB2" w14:textId="4A9654A5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u w:val="single"/>
          <w:lang w:eastAsia="bg-BG"/>
        </w:rPr>
        <w:lastRenderedPageBreak/>
        <w:t>Механизъм на действие</w:t>
      </w:r>
    </w:p>
    <w:p w14:paraId="7DA30899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е полусинтетичен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ерголинов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дериват. Той притежава както </w:t>
      </w:r>
      <w:r w:rsidRPr="00FB3BC5">
        <w:rPr>
          <w:rFonts w:eastAsia="Times New Roman" w:cs="Arial"/>
          <w:color w:val="000000"/>
          <w:lang w:val="en-US"/>
        </w:rPr>
        <w:t>α</w:t>
      </w:r>
      <w:r w:rsidRPr="00FB3BC5">
        <w:rPr>
          <w:rFonts w:eastAsia="Times New Roman" w:cs="Arial"/>
          <w:color w:val="000000"/>
          <w:lang w:eastAsia="bg-BG"/>
        </w:rPr>
        <w:t xml:space="preserve">-блокиращо, така и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миотропно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спазмолитично действие, като намалява съдовата резистентност (особено по отношение на съдовете на главния мозък) и повишава тяхната проницаемост като подобрява глюкозната и кислородна утилизация. Инхибира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агрегация. Подобрява мозъчния, белодробния и бъбречния кръвоток.</w:t>
      </w:r>
    </w:p>
    <w:p w14:paraId="11F04BBD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28DD22F" w14:textId="62091826" w:rsidR="00FB3BC5" w:rsidRPr="00FB3BC5" w:rsidRDefault="00FB3BC5" w:rsidP="00FB3BC5">
      <w:pPr>
        <w:spacing w:line="240" w:lineRule="auto"/>
        <w:rPr>
          <w:rFonts w:eastAsia="Times New Roman" w:cs="Arial"/>
        </w:rPr>
      </w:pPr>
      <w:proofErr w:type="spellStart"/>
      <w:r w:rsidRPr="00FB3BC5">
        <w:rPr>
          <w:rFonts w:eastAsia="Times New Roman" w:cs="Arial"/>
          <w:color w:val="000000"/>
          <w:u w:val="single"/>
          <w:lang w:eastAsia="bg-BG"/>
        </w:rPr>
        <w:t>Фармакодинамични</w:t>
      </w:r>
      <w:proofErr w:type="spellEnd"/>
      <w:r w:rsidRPr="00FB3BC5">
        <w:rPr>
          <w:rFonts w:eastAsia="Times New Roman" w:cs="Arial"/>
          <w:color w:val="000000"/>
          <w:u w:val="single"/>
          <w:lang w:eastAsia="bg-BG"/>
        </w:rPr>
        <w:t xml:space="preserve"> ефекти</w:t>
      </w:r>
    </w:p>
    <w:p w14:paraId="45C557F9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повлиява също така и редица клетъчни и молекулярни механизми, участващи в патофизиологията на деменцията.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засилва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холинергичната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катехоламинергична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невротрансмитерна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функция и подобрява свързаните с това когнитивни дефицити; стимулира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фосфоинозитидния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обмен; модулира протеин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киназната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С (РКС) транслокация и РКС-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медиирания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процес на секреция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амилоидния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прекурсорен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протеин; активира протеиновата синтеза;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протектира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невронната смърт, предизвикана от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оксидативен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стрес и апоптоза; повишава невронния растежен фактор, осигуряващ подобряване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трофиката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холинергичните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неврони.</w:t>
      </w:r>
    </w:p>
    <w:p w14:paraId="3ECCD1E2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значително намалява влошаването на мозъчните функции в резултат на хипоксия, като активира биосинтезата на протеини и повишава регионалния обратен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захват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норадреналин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допамин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в мозъка. Ефектът му върху допаминовия обратен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захват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е уникален и може да се обясни с антагонистичното действие на допаминовите рецептори.</w:t>
      </w:r>
    </w:p>
    <w:p w14:paraId="529CB08E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В терапевтични дози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>, като правило, не повлиява артериалното налягане, но при пациенти с артериална хипертония може да предизвика постепенно снижаване на артериалното налягане.</w:t>
      </w:r>
    </w:p>
    <w:p w14:paraId="602E0F2D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Двата основни метаболита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</w:t>
      </w:r>
      <w:r w:rsidRPr="00FB3BC5">
        <w:rPr>
          <w:rFonts w:eastAsia="Times New Roman" w:cs="Arial"/>
          <w:color w:val="000000"/>
          <w:lang w:val="en-US"/>
        </w:rPr>
        <w:t xml:space="preserve">MDL </w:t>
      </w:r>
      <w:r w:rsidRPr="00FB3BC5">
        <w:rPr>
          <w:rFonts w:eastAsia="Times New Roman" w:cs="Arial"/>
          <w:color w:val="000000"/>
          <w:lang w:eastAsia="bg-BG"/>
        </w:rPr>
        <w:t xml:space="preserve">и </w:t>
      </w:r>
      <w:r w:rsidRPr="00FB3BC5">
        <w:rPr>
          <w:rFonts w:eastAsia="Times New Roman" w:cs="Arial"/>
          <w:color w:val="000000"/>
          <w:lang w:val="en-US"/>
        </w:rPr>
        <w:t xml:space="preserve">MMDL </w:t>
      </w:r>
      <w:r w:rsidRPr="00FB3BC5">
        <w:rPr>
          <w:rFonts w:eastAsia="Times New Roman" w:cs="Arial"/>
          <w:color w:val="000000"/>
          <w:lang w:eastAsia="bg-BG"/>
        </w:rPr>
        <w:t xml:space="preserve">допринасят за цялостната фармакологична активност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при хора, като основният метаболит </w:t>
      </w:r>
      <w:r w:rsidRPr="00FB3BC5">
        <w:rPr>
          <w:rFonts w:eastAsia="Times New Roman" w:cs="Arial"/>
          <w:color w:val="000000"/>
          <w:lang w:val="en-US"/>
        </w:rPr>
        <w:t xml:space="preserve">MDL </w:t>
      </w:r>
      <w:r w:rsidRPr="00FB3BC5">
        <w:rPr>
          <w:rFonts w:eastAsia="Times New Roman" w:cs="Arial"/>
          <w:color w:val="000000"/>
          <w:lang w:eastAsia="bg-BG"/>
        </w:rPr>
        <w:t>наследява около 80% от неговата активност.</w:t>
      </w:r>
    </w:p>
    <w:p w14:paraId="599146E1" w14:textId="77777777" w:rsidR="00FB3BC5" w:rsidRPr="00FB3BC5" w:rsidRDefault="00FB3BC5" w:rsidP="00FB3BC5"/>
    <w:p w14:paraId="4D7DA0E3" w14:textId="54C1FAA7" w:rsidR="004D4D6B" w:rsidRDefault="002C50EE" w:rsidP="002B3C38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30B9C431" w14:textId="61A85860" w:rsidR="00FB3BC5" w:rsidRDefault="00FB3BC5" w:rsidP="00FB3BC5"/>
    <w:p w14:paraId="48E3C6F1" w14:textId="77777777" w:rsidR="00FB3BC5" w:rsidRPr="00FB3BC5" w:rsidRDefault="00FB3BC5" w:rsidP="00FB3BC5">
      <w:pPr>
        <w:pStyle w:val="3"/>
        <w:rPr>
          <w:rFonts w:eastAsia="Times New Roman"/>
          <w:u w:val="single"/>
        </w:rPr>
      </w:pPr>
      <w:r w:rsidRPr="00FB3BC5">
        <w:rPr>
          <w:rFonts w:eastAsia="Times New Roman"/>
          <w:u w:val="single"/>
          <w:lang w:eastAsia="bg-BG"/>
        </w:rPr>
        <w:t>Абсорбция</w:t>
      </w:r>
    </w:p>
    <w:p w14:paraId="6553E04B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При перорално приложение се наблюдава почти пълна абсорбция, а абсолютната бионаличност е по-малко от 5%. И след перорално приложение се образуват същите метаболити, като най- вероятно това се дължи на </w:t>
      </w:r>
      <w:r w:rsidRPr="00FB3BC5">
        <w:rPr>
          <w:rFonts w:eastAsia="Times New Roman" w:cs="Arial"/>
          <w:i/>
          <w:iCs/>
          <w:color w:val="000000"/>
          <w:lang w:val="en-US"/>
        </w:rPr>
        <w:t>first pass”</w:t>
      </w:r>
      <w:r w:rsidRPr="00FB3BC5">
        <w:rPr>
          <w:rFonts w:eastAsia="Times New Roman" w:cs="Arial"/>
          <w:color w:val="000000"/>
          <w:lang w:val="en-US"/>
        </w:rPr>
        <w:t xml:space="preserve"> </w:t>
      </w:r>
      <w:r w:rsidRPr="00FB3BC5">
        <w:rPr>
          <w:rFonts w:eastAsia="Times New Roman" w:cs="Arial"/>
          <w:color w:val="000000"/>
          <w:lang w:eastAsia="bg-BG"/>
        </w:rPr>
        <w:t xml:space="preserve">ефект. Степента и скоростта на абсорбция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, описани чрез </w:t>
      </w:r>
      <w:r w:rsidRPr="00FB3BC5">
        <w:rPr>
          <w:rFonts w:eastAsia="Times New Roman" w:cs="Arial"/>
          <w:color w:val="000000"/>
          <w:lang w:val="en-US"/>
        </w:rPr>
        <w:t xml:space="preserve">MMDL </w:t>
      </w:r>
      <w:r w:rsidRPr="00FB3BC5">
        <w:rPr>
          <w:rFonts w:eastAsia="Times New Roman" w:cs="Arial"/>
          <w:color w:val="000000"/>
          <w:lang w:eastAsia="bg-BG"/>
        </w:rPr>
        <w:t xml:space="preserve">и </w:t>
      </w:r>
      <w:r w:rsidRPr="00FB3BC5">
        <w:rPr>
          <w:rFonts w:eastAsia="Times New Roman" w:cs="Arial"/>
          <w:color w:val="000000"/>
          <w:lang w:val="en-US"/>
        </w:rPr>
        <w:t xml:space="preserve">MDL, </w:t>
      </w:r>
      <w:r w:rsidRPr="00FB3BC5">
        <w:rPr>
          <w:rFonts w:eastAsia="Times New Roman" w:cs="Arial"/>
          <w:color w:val="000000"/>
          <w:lang w:eastAsia="bg-BG"/>
        </w:rPr>
        <w:t>изглежда не се повлияват съществено от приема на храна.</w:t>
      </w:r>
    </w:p>
    <w:p w14:paraId="54715E10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DD087CB" w14:textId="5371EBD6" w:rsidR="00FB3BC5" w:rsidRPr="00FB3BC5" w:rsidRDefault="00FB3BC5" w:rsidP="00FB3BC5">
      <w:pPr>
        <w:pStyle w:val="3"/>
        <w:rPr>
          <w:rFonts w:eastAsia="Times New Roman"/>
          <w:u w:val="single"/>
        </w:rPr>
      </w:pPr>
      <w:r w:rsidRPr="00FB3BC5">
        <w:rPr>
          <w:rFonts w:eastAsia="Times New Roman"/>
          <w:u w:val="single"/>
          <w:lang w:eastAsia="bg-BG"/>
        </w:rPr>
        <w:t>Разпределение</w:t>
      </w:r>
    </w:p>
    <w:p w14:paraId="23F65BD4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>Обемът на разпределение е повече от 105 1.</w:t>
      </w:r>
    </w:p>
    <w:p w14:paraId="5486A86F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2D88C4" w14:textId="1C32662E" w:rsidR="00FB3BC5" w:rsidRPr="00FB3BC5" w:rsidRDefault="00FB3BC5" w:rsidP="00FB3BC5">
      <w:pPr>
        <w:pStyle w:val="3"/>
        <w:rPr>
          <w:rFonts w:eastAsia="Times New Roman"/>
          <w:u w:val="single"/>
        </w:rPr>
      </w:pPr>
      <w:proofErr w:type="spellStart"/>
      <w:r w:rsidRPr="00FB3BC5">
        <w:rPr>
          <w:rFonts w:eastAsia="Times New Roman"/>
          <w:u w:val="single"/>
          <w:lang w:eastAsia="bg-BG"/>
        </w:rPr>
        <w:t>БиотрансФормания</w:t>
      </w:r>
      <w:proofErr w:type="spellEnd"/>
    </w:p>
    <w:p w14:paraId="16E49C40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След венозно приложение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се подлага на бърза хидролиза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естерната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връзка и се образува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метаболитьт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1 -метил- 10</w:t>
      </w:r>
      <w:r w:rsidRPr="00FB3BC5">
        <w:rPr>
          <w:rFonts w:eastAsia="Times New Roman" w:cs="Arial"/>
          <w:color w:val="000000"/>
          <w:lang w:val="en-US"/>
        </w:rPr>
        <w:t>α</w:t>
      </w:r>
      <w:r w:rsidRPr="00FB3BC5">
        <w:rPr>
          <w:rFonts w:eastAsia="Times New Roman" w:cs="Arial"/>
          <w:color w:val="000000"/>
          <w:lang w:eastAsia="bg-BG"/>
        </w:rPr>
        <w:t xml:space="preserve">-метокси-9,10-дихидролизергол </w:t>
      </w:r>
      <w:r w:rsidRPr="00FB3BC5">
        <w:rPr>
          <w:rFonts w:eastAsia="Times New Roman" w:cs="Arial"/>
          <w:color w:val="000000"/>
          <w:lang w:val="en-US"/>
        </w:rPr>
        <w:t>(MMDL).</w:t>
      </w:r>
      <w:r w:rsidRPr="00FB3BC5">
        <w:rPr>
          <w:rFonts w:eastAsia="Times New Roman" w:cs="Arial"/>
          <w:color w:val="000000"/>
          <w:lang w:eastAsia="bg-BG"/>
        </w:rPr>
        <w:t xml:space="preserve"> Последващата</w:t>
      </w:r>
    </w:p>
    <w:p w14:paraId="5B4AFCF2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>биотрансформация води до образуването на метаболита 10</w:t>
      </w:r>
      <w:r w:rsidRPr="00FB3BC5">
        <w:rPr>
          <w:rFonts w:eastAsia="Times New Roman" w:cs="Arial"/>
          <w:color w:val="000000"/>
          <w:lang w:val="en-US"/>
        </w:rPr>
        <w:t>α</w:t>
      </w:r>
      <w:r w:rsidRPr="00FB3BC5">
        <w:rPr>
          <w:rFonts w:eastAsia="Times New Roman" w:cs="Arial"/>
          <w:color w:val="000000"/>
          <w:lang w:eastAsia="bg-BG"/>
        </w:rPr>
        <w:t>-метокси-9,10-дихидролизергол</w:t>
      </w:r>
      <w:r w:rsidRPr="00FB3BC5">
        <w:rPr>
          <w:rFonts w:eastAsia="Times New Roman" w:cs="Arial"/>
          <w:color w:val="000000"/>
          <w:lang w:val="en-US"/>
        </w:rPr>
        <w:t xml:space="preserve"> (MDL).</w:t>
      </w:r>
    </w:p>
    <w:p w14:paraId="66D6A482" w14:textId="33EB9B80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B3BC5">
        <w:rPr>
          <w:rFonts w:eastAsia="Times New Roman" w:cs="Arial"/>
          <w:color w:val="000000"/>
          <w:lang w:eastAsia="bg-BG"/>
        </w:rPr>
        <w:t xml:space="preserve">Приблизително 51% от приложената доза се елиминира с урината, а само 10% с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фецеса</w:t>
      </w:r>
      <w:proofErr w:type="spellEnd"/>
      <w:r w:rsidRPr="00FB3BC5">
        <w:rPr>
          <w:rFonts w:eastAsia="Times New Roman" w:cs="Arial"/>
          <w:color w:val="000000"/>
          <w:lang w:eastAsia="bg-BG"/>
        </w:rPr>
        <w:t>.</w:t>
      </w:r>
    </w:p>
    <w:p w14:paraId="70B9432E" w14:textId="0E533912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436C9E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lastRenderedPageBreak/>
        <w:t xml:space="preserve">Метаболитният профил след перорално приложение не се различава съществено от този след венозно приложение. В резултат на изразен </w:t>
      </w:r>
      <w:r w:rsidRPr="00FB3BC5">
        <w:rPr>
          <w:rFonts w:eastAsia="Times New Roman" w:cs="Arial"/>
          <w:i/>
          <w:iCs/>
          <w:color w:val="000000"/>
          <w:lang w:val="en-US"/>
        </w:rPr>
        <w:t>''first pass”</w:t>
      </w:r>
      <w:r w:rsidRPr="00FB3BC5">
        <w:rPr>
          <w:rFonts w:eastAsia="Times New Roman" w:cs="Arial"/>
          <w:color w:val="000000"/>
          <w:lang w:val="en-US"/>
        </w:rPr>
        <w:t xml:space="preserve"> </w:t>
      </w:r>
      <w:r w:rsidRPr="00FB3BC5">
        <w:rPr>
          <w:rFonts w:eastAsia="Times New Roman" w:cs="Arial"/>
          <w:color w:val="000000"/>
          <w:lang w:eastAsia="bg-BG"/>
        </w:rPr>
        <w:t xml:space="preserve">метаболизъм се образуват </w:t>
      </w:r>
      <w:r w:rsidRPr="00FB3BC5">
        <w:rPr>
          <w:rFonts w:eastAsia="Times New Roman" w:cs="Arial"/>
          <w:color w:val="000000"/>
          <w:lang w:val="en-US"/>
        </w:rPr>
        <w:t xml:space="preserve">MMDL </w:t>
      </w:r>
      <w:r w:rsidRPr="00FB3BC5">
        <w:rPr>
          <w:rFonts w:eastAsia="Times New Roman" w:cs="Arial"/>
          <w:color w:val="000000"/>
          <w:lang w:eastAsia="bg-BG"/>
        </w:rPr>
        <w:t xml:space="preserve">и </w:t>
      </w:r>
      <w:r w:rsidRPr="00FB3BC5">
        <w:rPr>
          <w:rFonts w:eastAsia="Times New Roman" w:cs="Arial"/>
          <w:color w:val="000000"/>
          <w:lang w:val="en-US"/>
        </w:rPr>
        <w:t>MDL.</w:t>
      </w:r>
    </w:p>
    <w:p w14:paraId="1E2C9CDB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FAADB49" w14:textId="1B4416D5" w:rsidR="00FB3BC5" w:rsidRPr="00FB3BC5" w:rsidRDefault="00FB3BC5" w:rsidP="00FB3BC5">
      <w:pPr>
        <w:pStyle w:val="3"/>
        <w:rPr>
          <w:rFonts w:eastAsia="Times New Roman"/>
          <w:u w:val="single"/>
        </w:rPr>
      </w:pPr>
      <w:r w:rsidRPr="00FB3BC5">
        <w:rPr>
          <w:rFonts w:eastAsia="Times New Roman"/>
          <w:u w:val="single"/>
          <w:lang w:eastAsia="bg-BG"/>
        </w:rPr>
        <w:t>Елиминиране</w:t>
      </w:r>
    </w:p>
    <w:p w14:paraId="58AB8351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Основният път на елиминиране и при пероралното приложение остава бъбречния.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се елиминира слабо във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фецеса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чрез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билиарна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екскреция. Поради тази причина трябва да се има предвид понижаване на дозата при пациенти с тежко увреждане на бъбречната функция. Има данни, че процесът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деметилиране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на </w:t>
      </w:r>
      <w:r w:rsidRPr="00FB3BC5">
        <w:rPr>
          <w:rFonts w:eastAsia="Times New Roman" w:cs="Arial"/>
          <w:color w:val="000000"/>
          <w:lang w:val="en-US"/>
        </w:rPr>
        <w:t xml:space="preserve">MMDL </w:t>
      </w:r>
      <w:r w:rsidRPr="00FB3BC5">
        <w:rPr>
          <w:rFonts w:eastAsia="Times New Roman" w:cs="Arial"/>
          <w:color w:val="000000"/>
          <w:lang w:eastAsia="bg-BG"/>
        </w:rPr>
        <w:t xml:space="preserve">се осъществява чрез каталитичното действие на </w:t>
      </w:r>
      <w:r w:rsidRPr="00FB3BC5">
        <w:rPr>
          <w:rFonts w:eastAsia="Times New Roman" w:cs="Arial"/>
          <w:color w:val="000000"/>
          <w:lang w:val="en-US"/>
        </w:rPr>
        <w:t xml:space="preserve">CYP 2D6. </w:t>
      </w:r>
      <w:r w:rsidRPr="00FB3BC5">
        <w:rPr>
          <w:rFonts w:eastAsia="Times New Roman" w:cs="Arial"/>
          <w:color w:val="000000"/>
          <w:lang w:eastAsia="bg-BG"/>
        </w:rPr>
        <w:t xml:space="preserve">Поради това трябва да се има предвид възможността за взаимодействие с лекарствени продукти, които също се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метаболизират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от тази ензимна система.</w:t>
      </w:r>
    </w:p>
    <w:p w14:paraId="4FC01BB5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6D9A7BF" w14:textId="48787227" w:rsidR="00FB3BC5" w:rsidRPr="00FB3BC5" w:rsidRDefault="00FB3BC5" w:rsidP="00FB3BC5">
      <w:pPr>
        <w:pStyle w:val="3"/>
        <w:rPr>
          <w:rFonts w:eastAsia="Times New Roman" w:cs="Arial"/>
          <w:sz w:val="22"/>
          <w:szCs w:val="22"/>
          <w:u w:val="single"/>
        </w:rPr>
      </w:pPr>
      <w:r w:rsidRPr="00FB3BC5">
        <w:rPr>
          <w:rFonts w:eastAsia="Times New Roman" w:cs="Arial"/>
          <w:color w:val="000000"/>
          <w:sz w:val="22"/>
          <w:szCs w:val="22"/>
          <w:u w:val="single"/>
          <w:lang w:eastAsia="bg-BG"/>
        </w:rPr>
        <w:t>Линейно</w:t>
      </w:r>
      <w:r w:rsidRPr="00FB3BC5">
        <w:rPr>
          <w:rStyle w:val="30"/>
          <w:u w:val="single"/>
          <w:lang w:eastAsia="bg-BG"/>
        </w:rPr>
        <w:t>ст/нелинейност</w:t>
      </w:r>
    </w:p>
    <w:p w14:paraId="270524C1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има линейна фармакокинетика както при млади, така и при възрастни пациенти.</w:t>
      </w:r>
    </w:p>
    <w:p w14:paraId="7EBC5CE1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5FB5D7" w14:textId="17F3CAEB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>Старческа възраст</w:t>
      </w:r>
    </w:p>
    <w:p w14:paraId="12534D25" w14:textId="541863E0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>Тъй като фармакокинетиката при пациенти в старческа възраст е сходна с тази при млади, не е необходимо коригиране на дозите. Това е особено важно, имайки предвид че този лекарствен продукт се използва при такива пациенти.</w:t>
      </w:r>
    </w:p>
    <w:p w14:paraId="5F6749A1" w14:textId="77777777" w:rsidR="00FB3BC5" w:rsidRPr="00FB3BC5" w:rsidRDefault="00FB3BC5" w:rsidP="00FB3B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BE06B" w14:textId="0BB1F39D" w:rsidR="004D4D6B" w:rsidRDefault="002C50EE" w:rsidP="002B3C38">
      <w:pPr>
        <w:pStyle w:val="2"/>
      </w:pPr>
      <w:r>
        <w:t>5.3. Предклинични данни за безопасност</w:t>
      </w:r>
    </w:p>
    <w:p w14:paraId="44DB81A9" w14:textId="340A1001" w:rsidR="00FB3BC5" w:rsidRDefault="00FB3BC5" w:rsidP="00FB3BC5"/>
    <w:p w14:paraId="07598D93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u w:val="single"/>
          <w:lang w:eastAsia="bg-BG"/>
        </w:rPr>
        <w:t>Токсичност</w:t>
      </w:r>
    </w:p>
    <w:p w14:paraId="1198E951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Токсикологичните тестове върху различни животински видове показват, че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ницерголин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притежава отлична поносимост</w:t>
      </w:r>
    </w:p>
    <w:p w14:paraId="323B82A5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Установени са следните стойности за </w:t>
      </w:r>
      <w:r w:rsidRPr="00FB3BC5">
        <w:rPr>
          <w:rFonts w:eastAsia="Times New Roman" w:cs="Arial"/>
          <w:color w:val="000000"/>
          <w:lang w:val="en-US"/>
        </w:rPr>
        <w:t>LD</w:t>
      </w:r>
      <w:r w:rsidRPr="00FB3BC5">
        <w:rPr>
          <w:rFonts w:eastAsia="Times New Roman" w:cs="Arial"/>
          <w:color w:val="000000"/>
          <w:vertAlign w:val="subscript"/>
          <w:lang w:val="en-US"/>
        </w:rPr>
        <w:t>50</w:t>
      </w:r>
      <w:r w:rsidRPr="00FB3BC5">
        <w:rPr>
          <w:rFonts w:eastAsia="Times New Roman" w:cs="Arial"/>
          <w:color w:val="000000"/>
          <w:lang w:val="en-US"/>
        </w:rPr>
        <w:t>:</w:t>
      </w:r>
    </w:p>
    <w:p w14:paraId="300FD2F4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При мишки от мъжки пол след перорално приложение - 860 </w:t>
      </w:r>
      <w:r w:rsidRPr="00FB3BC5">
        <w:rPr>
          <w:rFonts w:eastAsia="Times New Roman" w:cs="Arial"/>
          <w:color w:val="000000"/>
          <w:lang w:val="en-US"/>
        </w:rPr>
        <w:t>mg/kg.</w:t>
      </w:r>
    </w:p>
    <w:p w14:paraId="6A1C9A67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При мишки от мъжки пол след венозно приложение - 46 </w:t>
      </w:r>
      <w:r w:rsidRPr="00FB3BC5">
        <w:rPr>
          <w:rFonts w:eastAsia="Times New Roman" w:cs="Arial"/>
          <w:color w:val="000000"/>
          <w:lang w:val="en-US"/>
        </w:rPr>
        <w:t>mg/kg.</w:t>
      </w:r>
    </w:p>
    <w:p w14:paraId="665C515C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При плъхове от мъжки пол след перорално приложение - 2800 </w:t>
      </w:r>
      <w:r w:rsidRPr="00FB3BC5">
        <w:rPr>
          <w:rFonts w:eastAsia="Times New Roman" w:cs="Arial"/>
          <w:color w:val="000000"/>
          <w:lang w:val="en-US"/>
        </w:rPr>
        <w:t>mg/kg.</w:t>
      </w:r>
    </w:p>
    <w:p w14:paraId="7EAA1E7E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При плъхове от мъжки пол след венозно приложение - 43 </w:t>
      </w:r>
      <w:r w:rsidRPr="00FB3BC5">
        <w:rPr>
          <w:rFonts w:eastAsia="Times New Roman" w:cs="Arial"/>
          <w:color w:val="000000"/>
          <w:lang w:val="en-US"/>
        </w:rPr>
        <w:t>mg/kg.</w:t>
      </w:r>
    </w:p>
    <w:p w14:paraId="67DAAC22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F60D370" w14:textId="512DDF41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u w:val="single"/>
          <w:lang w:eastAsia="bg-BG"/>
        </w:rPr>
        <w:t>Канцерогенност/</w:t>
      </w:r>
      <w:proofErr w:type="spellStart"/>
      <w:r w:rsidRPr="00FB3BC5">
        <w:rPr>
          <w:rFonts w:eastAsia="Times New Roman" w:cs="Arial"/>
          <w:color w:val="000000"/>
          <w:u w:val="single"/>
          <w:lang w:eastAsia="bg-BG"/>
        </w:rPr>
        <w:t>туморогенност</w:t>
      </w:r>
      <w:proofErr w:type="spellEnd"/>
      <w:r w:rsidRPr="00FB3BC5">
        <w:rPr>
          <w:rFonts w:eastAsia="Times New Roman" w:cs="Arial"/>
          <w:color w:val="000000"/>
          <w:u w:val="single"/>
          <w:lang w:eastAsia="bg-BG"/>
        </w:rPr>
        <w:t xml:space="preserve">. </w:t>
      </w:r>
      <w:proofErr w:type="spellStart"/>
      <w:r w:rsidRPr="00FB3BC5">
        <w:rPr>
          <w:rFonts w:eastAsia="Times New Roman" w:cs="Arial"/>
          <w:color w:val="000000"/>
          <w:u w:val="single"/>
          <w:lang w:eastAsia="bg-BG"/>
        </w:rPr>
        <w:t>мутагенност</w:t>
      </w:r>
      <w:proofErr w:type="spellEnd"/>
    </w:p>
    <w:p w14:paraId="209C5FB5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Няма данни за канцерогенност и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туморогенност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. Проучванията за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мутагенност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са негативни.</w:t>
      </w:r>
    </w:p>
    <w:p w14:paraId="6DF51425" w14:textId="77777777" w:rsidR="00FB3BC5" w:rsidRPr="00FB3BC5" w:rsidRDefault="00FB3BC5" w:rsidP="00FB3B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A106B70" w14:textId="4B0A874B" w:rsidR="00FB3BC5" w:rsidRPr="00FB3BC5" w:rsidRDefault="00FB3BC5" w:rsidP="00FB3BC5">
      <w:pPr>
        <w:spacing w:line="240" w:lineRule="auto"/>
        <w:rPr>
          <w:rFonts w:eastAsia="Times New Roman" w:cs="Arial"/>
        </w:rPr>
      </w:pPr>
      <w:proofErr w:type="spellStart"/>
      <w:r w:rsidRPr="00FB3BC5">
        <w:rPr>
          <w:rFonts w:eastAsia="Times New Roman" w:cs="Arial"/>
          <w:color w:val="000000"/>
          <w:u w:val="single"/>
          <w:lang w:eastAsia="bg-BG"/>
        </w:rPr>
        <w:t>Репоодуктивност</w:t>
      </w:r>
      <w:proofErr w:type="spellEnd"/>
      <w:r w:rsidRPr="00FB3BC5">
        <w:rPr>
          <w:rFonts w:eastAsia="Times New Roman" w:cs="Arial"/>
          <w:color w:val="000000"/>
          <w:u w:val="single"/>
          <w:lang w:eastAsia="bg-BG"/>
        </w:rPr>
        <w:t xml:space="preserve"> и бременност:</w:t>
      </w:r>
    </w:p>
    <w:p w14:paraId="52F66281" w14:textId="77777777" w:rsidR="00FB3BC5" w:rsidRPr="00FB3BC5" w:rsidRDefault="00FB3BC5" w:rsidP="00FB3BC5">
      <w:pPr>
        <w:spacing w:line="240" w:lineRule="auto"/>
        <w:rPr>
          <w:rFonts w:eastAsia="Times New Roman" w:cs="Arial"/>
        </w:rPr>
      </w:pPr>
      <w:r w:rsidRPr="00FB3BC5">
        <w:rPr>
          <w:rFonts w:eastAsia="Times New Roman" w:cs="Arial"/>
          <w:color w:val="000000"/>
          <w:lang w:eastAsia="bg-BG"/>
        </w:rPr>
        <w:t xml:space="preserve">Не се установява нарушение на </w:t>
      </w:r>
      <w:proofErr w:type="spellStart"/>
      <w:r w:rsidRPr="00FB3BC5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FB3BC5">
        <w:rPr>
          <w:rFonts w:eastAsia="Times New Roman" w:cs="Arial"/>
          <w:color w:val="000000"/>
          <w:lang w:eastAsia="bg-BG"/>
        </w:rPr>
        <w:t xml:space="preserve"> при мишки от мъжки и женски пол третирани с дози надвишаващи максималните терапевтични дози при хора.</w:t>
      </w:r>
    </w:p>
    <w:p w14:paraId="0114C784" w14:textId="77777777" w:rsidR="00FB3BC5" w:rsidRPr="00FB3BC5" w:rsidRDefault="00FB3BC5" w:rsidP="00FB3BC5"/>
    <w:p w14:paraId="6940F72E" w14:textId="434278AA" w:rsidR="009B171C" w:rsidRDefault="002C50EE" w:rsidP="00CA1B57">
      <w:pPr>
        <w:pStyle w:val="1"/>
      </w:pPr>
      <w:r>
        <w:t>7. ПРИТЕЖАТЕЛ НА РАЗРЕШЕНИЕТО ЗА УПОТРЕБА</w:t>
      </w:r>
    </w:p>
    <w:p w14:paraId="7A201D05" w14:textId="77777777" w:rsidR="00FB3BC5" w:rsidRDefault="00FB3BC5" w:rsidP="00FB3BC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0855F00D" w14:textId="320B64A0" w:rsidR="00FB3BC5" w:rsidRPr="00FB3BC5" w:rsidRDefault="00FB3BC5" w:rsidP="00FB3BC5">
      <w:pPr>
        <w:rPr>
          <w:sz w:val="24"/>
          <w:szCs w:val="24"/>
          <w:lang w:val="en-US"/>
        </w:rPr>
      </w:pPr>
      <w:r w:rsidRPr="00FB3BC5">
        <w:rPr>
          <w:lang w:val="en-US"/>
        </w:rPr>
        <w:t xml:space="preserve">Actavis Group PTC </w:t>
      </w:r>
      <w:proofErr w:type="spellStart"/>
      <w:r w:rsidRPr="00FB3BC5">
        <w:rPr>
          <w:lang w:val="en-US"/>
        </w:rPr>
        <w:t>ehf</w:t>
      </w:r>
      <w:proofErr w:type="spellEnd"/>
      <w:r w:rsidRPr="00FB3BC5">
        <w:rPr>
          <w:lang w:val="en-US"/>
        </w:rPr>
        <w:t>.,</w:t>
      </w:r>
    </w:p>
    <w:p w14:paraId="63E6D6F2" w14:textId="77777777" w:rsidR="00FB3BC5" w:rsidRPr="00FB3BC5" w:rsidRDefault="00FB3BC5" w:rsidP="00FB3BC5">
      <w:pPr>
        <w:rPr>
          <w:sz w:val="24"/>
          <w:szCs w:val="24"/>
          <w:lang w:val="en-US"/>
        </w:rPr>
      </w:pPr>
      <w:proofErr w:type="spellStart"/>
      <w:r w:rsidRPr="00FB3BC5">
        <w:rPr>
          <w:lang w:val="en-US"/>
        </w:rPr>
        <w:t>Reykjavikurvegur</w:t>
      </w:r>
      <w:proofErr w:type="spellEnd"/>
      <w:r w:rsidRPr="00FB3BC5">
        <w:rPr>
          <w:lang w:val="en-US"/>
        </w:rPr>
        <w:t xml:space="preserve"> 76-78,</w:t>
      </w:r>
    </w:p>
    <w:p w14:paraId="29D0F2E8" w14:textId="77777777" w:rsidR="00FB3BC5" w:rsidRPr="00FB3BC5" w:rsidRDefault="00FB3BC5" w:rsidP="00FB3BC5">
      <w:pPr>
        <w:rPr>
          <w:sz w:val="24"/>
          <w:szCs w:val="24"/>
          <w:lang w:val="en-US"/>
        </w:rPr>
      </w:pPr>
      <w:r w:rsidRPr="00FB3BC5">
        <w:rPr>
          <w:lang w:val="en-US"/>
        </w:rPr>
        <w:t xml:space="preserve">220 </w:t>
      </w:r>
      <w:proofErr w:type="spellStart"/>
      <w:r w:rsidRPr="00FB3BC5">
        <w:rPr>
          <w:lang w:val="en-US"/>
        </w:rPr>
        <w:t>Hafharfjordur</w:t>
      </w:r>
      <w:proofErr w:type="spellEnd"/>
      <w:r w:rsidRPr="00FB3BC5">
        <w:rPr>
          <w:lang w:val="en-US"/>
        </w:rPr>
        <w:t>,</w:t>
      </w:r>
    </w:p>
    <w:p w14:paraId="681BEFDE" w14:textId="500384D3" w:rsidR="00FB3BC5" w:rsidRPr="00FB3BC5" w:rsidRDefault="00FB3BC5" w:rsidP="00FB3BC5">
      <w:r w:rsidRPr="00FB3BC5">
        <w:rPr>
          <w:lang w:eastAsia="bg-BG"/>
        </w:rPr>
        <w:t>Исландия</w:t>
      </w:r>
    </w:p>
    <w:p w14:paraId="04840D59" w14:textId="3D065349" w:rsidR="002C50EE" w:rsidRDefault="002C50EE" w:rsidP="002C50EE">
      <w:pPr>
        <w:pStyle w:val="1"/>
      </w:pPr>
      <w:r>
        <w:lastRenderedPageBreak/>
        <w:t>8. НОМЕР НА РАЗРЕШЕНИЕТО ЗА УПОТРЕБА</w:t>
      </w:r>
    </w:p>
    <w:p w14:paraId="36B5E4C6" w14:textId="7B163DD1" w:rsidR="00FB3BC5" w:rsidRDefault="00FB3BC5" w:rsidP="00FB3BC5"/>
    <w:p w14:paraId="1F4E7C7B" w14:textId="34160FCC" w:rsidR="00FB3BC5" w:rsidRPr="00FB3BC5" w:rsidRDefault="00FB3BC5" w:rsidP="00FB3BC5">
      <w:r>
        <w:rPr>
          <w:lang w:val="en-US"/>
        </w:rPr>
        <w:t xml:space="preserve">Per. </w:t>
      </w:r>
      <w:r>
        <w:t>№20090366</w:t>
      </w:r>
    </w:p>
    <w:p w14:paraId="5900CBF3" w14:textId="4D68DFB2" w:rsidR="002C50EE" w:rsidRDefault="002C50EE" w:rsidP="002C50EE">
      <w:pPr>
        <w:pStyle w:val="1"/>
      </w:pPr>
      <w:r>
        <w:t>9. ДАТА НА ПЪРВО РАЗРЕШАВАНЕ/ПОДНОВЯВАНЕ НА РАЗРЕШЕНИЕТО ЗА УПОТРЕБА</w:t>
      </w:r>
    </w:p>
    <w:p w14:paraId="4B5AA0A8" w14:textId="6ED22392" w:rsidR="00FB3BC5" w:rsidRDefault="00FB3BC5" w:rsidP="00FB3BC5"/>
    <w:p w14:paraId="52ED9EC7" w14:textId="77777777" w:rsidR="00FB3BC5" w:rsidRPr="00FB3BC5" w:rsidRDefault="00FB3BC5" w:rsidP="00FB3BC5">
      <w:pPr>
        <w:rPr>
          <w:sz w:val="24"/>
          <w:szCs w:val="24"/>
        </w:rPr>
      </w:pPr>
      <w:r w:rsidRPr="00FB3BC5">
        <w:rPr>
          <w:lang w:eastAsia="bg-BG"/>
        </w:rPr>
        <w:t>Дата на първо разрешаване: 14.08.2009 г.</w:t>
      </w:r>
    </w:p>
    <w:p w14:paraId="0EAB9061" w14:textId="00F124A5" w:rsidR="00FB3BC5" w:rsidRPr="00FB3BC5" w:rsidRDefault="00FB3BC5" w:rsidP="00FB3BC5">
      <w:r w:rsidRPr="00FB3BC5">
        <w:rPr>
          <w:lang w:eastAsia="bg-BG"/>
        </w:rPr>
        <w:t>Дата на последно подновяване: 19.09.2014 г.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23F4C2A" w14:textId="6016D10B" w:rsidR="00C87E90" w:rsidRPr="003E3126" w:rsidRDefault="00C87E90" w:rsidP="004D4D6B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50A0F"/>
    <w:multiLevelType w:val="hybridMultilevel"/>
    <w:tmpl w:val="0416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104B7"/>
    <w:multiLevelType w:val="hybridMultilevel"/>
    <w:tmpl w:val="3A00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26"/>
  </w:num>
  <w:num w:numId="12">
    <w:abstractNumId w:val="12"/>
  </w:num>
  <w:num w:numId="13">
    <w:abstractNumId w:val="17"/>
  </w:num>
  <w:num w:numId="14">
    <w:abstractNumId w:val="9"/>
  </w:num>
  <w:num w:numId="15">
    <w:abstractNumId w:val="24"/>
  </w:num>
  <w:num w:numId="16">
    <w:abstractNumId w:val="7"/>
  </w:num>
  <w:num w:numId="17">
    <w:abstractNumId w:val="20"/>
  </w:num>
  <w:num w:numId="18">
    <w:abstractNumId w:val="5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16"/>
  </w:num>
  <w:num w:numId="24">
    <w:abstractNumId w:val="6"/>
  </w:num>
  <w:num w:numId="25">
    <w:abstractNumId w:val="18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B3BC5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2021-10-14T21:13:00Z</dcterms:created>
  <dcterms:modified xsi:type="dcterms:W3CDTF">2021-10-14T21:13:00Z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