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6A0AB6BF" w:rsidR="00C40420" w:rsidRDefault="00DD466D" w:rsidP="004A448E">
      <w:pPr>
        <w:pStyle w:val="Heading1"/>
      </w:pPr>
      <w:r>
        <w:t>1.ИМЕ НА ЛЕКАРСТВЕНИЯ ПРОДУКТ</w:t>
      </w:r>
    </w:p>
    <w:p w14:paraId="3811B127" w14:textId="19C5F100" w:rsidR="00053BD2" w:rsidRDefault="00053BD2" w:rsidP="00053BD2"/>
    <w:p w14:paraId="338BE0BF" w14:textId="77777777"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Неуронтин 300 </w:t>
      </w:r>
      <w:r w:rsidRPr="00053BD2">
        <w:rPr>
          <w:rFonts w:eastAsia="Times New Roman" w:cs="Arial"/>
          <w:color w:val="000000"/>
          <w:lang w:val="en-US"/>
        </w:rPr>
        <w:t xml:space="preserve">mg </w:t>
      </w:r>
      <w:r w:rsidRPr="00053BD2">
        <w:rPr>
          <w:rFonts w:eastAsia="Times New Roman" w:cs="Arial"/>
          <w:color w:val="000000"/>
          <w:lang w:eastAsia="bg-BG"/>
        </w:rPr>
        <w:t>твърди капсули</w:t>
      </w:r>
    </w:p>
    <w:p w14:paraId="1839C526" w14:textId="77777777" w:rsidR="00053BD2" w:rsidRPr="00053BD2" w:rsidRDefault="00053BD2" w:rsidP="00053BD2">
      <w:pPr>
        <w:spacing w:line="240" w:lineRule="auto"/>
        <w:rPr>
          <w:rFonts w:eastAsia="Times New Roman" w:cs="Arial"/>
          <w:lang w:eastAsia="bg-BG"/>
        </w:rPr>
      </w:pPr>
      <w:r w:rsidRPr="00053BD2">
        <w:rPr>
          <w:rFonts w:eastAsia="Times New Roman" w:cs="Arial"/>
          <w:color w:val="000000"/>
          <w:lang w:val="en-US"/>
        </w:rPr>
        <w:t xml:space="preserve">Neurontin </w:t>
      </w:r>
      <w:r w:rsidRPr="00053BD2">
        <w:rPr>
          <w:rFonts w:eastAsia="Times New Roman" w:cs="Arial"/>
          <w:color w:val="000000"/>
          <w:lang w:eastAsia="bg-BG"/>
        </w:rPr>
        <w:t xml:space="preserve">300 </w:t>
      </w:r>
      <w:r w:rsidRPr="00053BD2">
        <w:rPr>
          <w:rFonts w:eastAsia="Times New Roman" w:cs="Arial"/>
          <w:color w:val="000000"/>
          <w:lang w:val="en-US"/>
        </w:rPr>
        <w:t>mg hard capsules</w:t>
      </w:r>
      <w:r w:rsidRPr="00053BD2">
        <w:rPr>
          <w:rFonts w:eastAsia="Times New Roman" w:cs="Arial"/>
          <w:color w:val="000000"/>
          <w:lang w:val="en-US"/>
        </w:rPr>
        <w:tab/>
      </w:r>
    </w:p>
    <w:p w14:paraId="71D66607" w14:textId="77777777" w:rsidR="00053BD2" w:rsidRPr="00053BD2" w:rsidRDefault="00053BD2" w:rsidP="00053BD2">
      <w:pPr>
        <w:spacing w:line="240" w:lineRule="auto"/>
        <w:rPr>
          <w:rFonts w:eastAsia="Times New Roman" w:cs="Arial"/>
          <w:color w:val="000000"/>
          <w:lang w:eastAsia="bg-BG"/>
        </w:rPr>
      </w:pPr>
    </w:p>
    <w:p w14:paraId="7B4CFA66" w14:textId="4FEDD377"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Неуронтин 400 </w:t>
      </w:r>
      <w:r w:rsidRPr="00053BD2">
        <w:rPr>
          <w:rFonts w:eastAsia="Times New Roman" w:cs="Arial"/>
          <w:color w:val="000000"/>
          <w:lang w:val="en-US"/>
        </w:rPr>
        <w:t xml:space="preserve">mg </w:t>
      </w:r>
      <w:r w:rsidRPr="00053BD2">
        <w:rPr>
          <w:rFonts w:eastAsia="Times New Roman" w:cs="Arial"/>
          <w:color w:val="000000"/>
          <w:lang w:eastAsia="bg-BG"/>
        </w:rPr>
        <w:t>твърди капсули</w:t>
      </w:r>
      <w:r w:rsidRPr="00053BD2">
        <w:rPr>
          <w:rFonts w:eastAsia="Times New Roman" w:cs="Arial"/>
          <w:color w:val="000000"/>
          <w:lang w:eastAsia="bg-BG"/>
        </w:rPr>
        <w:tab/>
      </w:r>
    </w:p>
    <w:p w14:paraId="59BB3995" w14:textId="532F12B7" w:rsidR="00053BD2" w:rsidRPr="00053BD2" w:rsidRDefault="00053BD2" w:rsidP="00053BD2">
      <w:pPr>
        <w:rPr>
          <w:rFonts w:cs="Arial"/>
        </w:rPr>
      </w:pPr>
      <w:r w:rsidRPr="00053BD2">
        <w:rPr>
          <w:rFonts w:eastAsia="Times New Roman" w:cs="Arial"/>
          <w:color w:val="000000"/>
          <w:lang w:val="en-US"/>
        </w:rPr>
        <w:t xml:space="preserve">Neurontin </w:t>
      </w:r>
      <w:r w:rsidRPr="00053BD2">
        <w:rPr>
          <w:rFonts w:eastAsia="Times New Roman" w:cs="Arial"/>
          <w:color w:val="000000"/>
          <w:lang w:eastAsia="bg-BG"/>
        </w:rPr>
        <w:t xml:space="preserve">400 </w:t>
      </w:r>
      <w:r w:rsidRPr="00053BD2">
        <w:rPr>
          <w:rFonts w:eastAsia="Times New Roman" w:cs="Arial"/>
          <w:color w:val="000000"/>
          <w:lang w:val="en-US"/>
        </w:rPr>
        <w:t>mg hard capsules</w:t>
      </w:r>
    </w:p>
    <w:p w14:paraId="6920A680" w14:textId="491506AA" w:rsidR="00C40420" w:rsidRDefault="00DD466D" w:rsidP="004A448E">
      <w:pPr>
        <w:pStyle w:val="Heading1"/>
      </w:pPr>
      <w:r>
        <w:t>2. КАЧЕСТВЕН И КОЛИЧЕСТВЕН СЪСТАВ</w:t>
      </w:r>
    </w:p>
    <w:p w14:paraId="46AD85CB" w14:textId="09F29504" w:rsidR="00053BD2" w:rsidRDefault="00053BD2" w:rsidP="00053BD2"/>
    <w:p w14:paraId="6E584A05" w14:textId="77777777"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Неуронтин 300 </w:t>
      </w:r>
      <w:r w:rsidRPr="00053BD2">
        <w:rPr>
          <w:rFonts w:eastAsia="Times New Roman" w:cs="Arial"/>
          <w:color w:val="000000"/>
          <w:lang w:val="en-US"/>
        </w:rPr>
        <w:t xml:space="preserve">mg </w:t>
      </w:r>
      <w:r w:rsidRPr="00053BD2">
        <w:rPr>
          <w:rFonts w:eastAsia="Times New Roman" w:cs="Arial"/>
          <w:color w:val="000000"/>
          <w:lang w:eastAsia="bg-BG"/>
        </w:rPr>
        <w:t>твърди капсули</w:t>
      </w:r>
    </w:p>
    <w:p w14:paraId="4C1C956E" w14:textId="77777777"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Всяка твърда капсула съдържа 300 </w:t>
      </w:r>
      <w:r w:rsidRPr="00053BD2">
        <w:rPr>
          <w:rFonts w:eastAsia="Times New Roman" w:cs="Arial"/>
          <w:color w:val="000000"/>
          <w:lang w:val="en-US"/>
        </w:rPr>
        <w:t xml:space="preserve">mg </w:t>
      </w:r>
      <w:r w:rsidRPr="00053BD2">
        <w:rPr>
          <w:rFonts w:eastAsia="Times New Roman" w:cs="Arial"/>
          <w:color w:val="000000"/>
          <w:lang w:eastAsia="bg-BG"/>
        </w:rPr>
        <w:t xml:space="preserve">габапентин </w:t>
      </w:r>
      <w:r w:rsidRPr="00053BD2">
        <w:rPr>
          <w:rFonts w:eastAsia="Times New Roman" w:cs="Arial"/>
          <w:i/>
          <w:iCs/>
          <w:color w:val="000000"/>
          <w:lang w:val="en-US"/>
        </w:rPr>
        <w:t>(gabapentin).</w:t>
      </w:r>
    </w:p>
    <w:p w14:paraId="42634645" w14:textId="77777777" w:rsidR="00053BD2" w:rsidRPr="00053BD2" w:rsidRDefault="00053BD2" w:rsidP="00053BD2">
      <w:pPr>
        <w:spacing w:line="240" w:lineRule="auto"/>
        <w:rPr>
          <w:rFonts w:eastAsia="Times New Roman" w:cs="Arial"/>
          <w:color w:val="000000"/>
          <w:lang w:eastAsia="bg-BG"/>
        </w:rPr>
      </w:pPr>
    </w:p>
    <w:p w14:paraId="7F9D8149" w14:textId="03D5F6A2"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Неуронтин 400 </w:t>
      </w:r>
      <w:r w:rsidRPr="00053BD2">
        <w:rPr>
          <w:rFonts w:eastAsia="Times New Roman" w:cs="Arial"/>
          <w:color w:val="000000"/>
          <w:lang w:val="en-US"/>
        </w:rPr>
        <w:t xml:space="preserve">mg </w:t>
      </w:r>
      <w:r w:rsidRPr="00053BD2">
        <w:rPr>
          <w:rFonts w:eastAsia="Times New Roman" w:cs="Arial"/>
          <w:color w:val="000000"/>
          <w:lang w:eastAsia="bg-BG"/>
        </w:rPr>
        <w:t>твърди капсули</w:t>
      </w:r>
    </w:p>
    <w:p w14:paraId="5875D60A" w14:textId="77777777"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Всяка твърда капсула съдържа 400 </w:t>
      </w:r>
      <w:r w:rsidRPr="00053BD2">
        <w:rPr>
          <w:rFonts w:eastAsia="Times New Roman" w:cs="Arial"/>
          <w:color w:val="000000"/>
          <w:lang w:val="en-US"/>
        </w:rPr>
        <w:t xml:space="preserve">mg </w:t>
      </w:r>
      <w:r w:rsidRPr="00053BD2">
        <w:rPr>
          <w:rFonts w:eastAsia="Times New Roman" w:cs="Arial"/>
          <w:color w:val="000000"/>
          <w:lang w:eastAsia="bg-BG"/>
        </w:rPr>
        <w:t xml:space="preserve">габапентин </w:t>
      </w:r>
      <w:r w:rsidRPr="00053BD2">
        <w:rPr>
          <w:rFonts w:eastAsia="Times New Roman" w:cs="Arial"/>
          <w:i/>
          <w:iCs/>
          <w:color w:val="000000"/>
          <w:lang w:val="en-US"/>
        </w:rPr>
        <w:t>(gabapentin).</w:t>
      </w:r>
    </w:p>
    <w:p w14:paraId="086D3B2E" w14:textId="77777777" w:rsidR="00053BD2" w:rsidRPr="00053BD2" w:rsidRDefault="00053BD2" w:rsidP="00053BD2">
      <w:pPr>
        <w:spacing w:line="240" w:lineRule="auto"/>
        <w:rPr>
          <w:rFonts w:eastAsia="Times New Roman" w:cs="Arial"/>
          <w:color w:val="000000"/>
          <w:u w:val="single"/>
          <w:lang w:eastAsia="bg-BG"/>
        </w:rPr>
      </w:pPr>
    </w:p>
    <w:p w14:paraId="3BA115AD" w14:textId="758B9F5A" w:rsidR="00053BD2" w:rsidRPr="00053BD2" w:rsidRDefault="00053BD2" w:rsidP="00053BD2">
      <w:pPr>
        <w:spacing w:line="240" w:lineRule="auto"/>
        <w:rPr>
          <w:rFonts w:eastAsia="Times New Roman" w:cs="Arial"/>
          <w:lang w:eastAsia="bg-BG"/>
        </w:rPr>
      </w:pPr>
      <w:r w:rsidRPr="00053BD2">
        <w:rPr>
          <w:rFonts w:eastAsia="Times New Roman" w:cs="Arial"/>
          <w:color w:val="000000"/>
          <w:u w:val="single"/>
          <w:lang w:eastAsia="bg-BG"/>
        </w:rPr>
        <w:t>Помощни вещества с известно действие</w:t>
      </w:r>
      <w:r w:rsidRPr="00053BD2">
        <w:rPr>
          <w:rFonts w:eastAsia="Times New Roman" w:cs="Arial"/>
          <w:color w:val="000000"/>
          <w:lang w:eastAsia="bg-BG"/>
        </w:rPr>
        <w:t>:</w:t>
      </w:r>
    </w:p>
    <w:p w14:paraId="230E775A" w14:textId="77777777" w:rsidR="00053BD2" w:rsidRPr="00053BD2" w:rsidRDefault="00053BD2" w:rsidP="00053BD2">
      <w:pPr>
        <w:spacing w:line="240" w:lineRule="auto"/>
        <w:rPr>
          <w:rFonts w:eastAsia="Times New Roman" w:cs="Arial"/>
          <w:color w:val="000000"/>
          <w:lang w:eastAsia="bg-BG"/>
        </w:rPr>
      </w:pPr>
    </w:p>
    <w:p w14:paraId="2DC951BC" w14:textId="6184145F"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Всяка твърда капсула от 300 </w:t>
      </w:r>
      <w:r w:rsidRPr="00053BD2">
        <w:rPr>
          <w:rFonts w:eastAsia="Times New Roman" w:cs="Arial"/>
          <w:color w:val="000000"/>
          <w:lang w:val="en-US"/>
        </w:rPr>
        <w:t xml:space="preserve">mg </w:t>
      </w:r>
      <w:r w:rsidRPr="00053BD2">
        <w:rPr>
          <w:rFonts w:eastAsia="Times New Roman" w:cs="Arial"/>
          <w:color w:val="000000"/>
          <w:lang w:eastAsia="bg-BG"/>
        </w:rPr>
        <w:t xml:space="preserve">съдържа 42,75 </w:t>
      </w:r>
      <w:r w:rsidRPr="00053BD2">
        <w:rPr>
          <w:rFonts w:eastAsia="Times New Roman" w:cs="Arial"/>
          <w:color w:val="000000"/>
          <w:lang w:val="en-US"/>
        </w:rPr>
        <w:t xml:space="preserve">mg </w:t>
      </w:r>
      <w:r w:rsidRPr="00053BD2">
        <w:rPr>
          <w:rFonts w:eastAsia="Times New Roman" w:cs="Arial"/>
          <w:color w:val="000000"/>
          <w:lang w:eastAsia="bg-BG"/>
        </w:rPr>
        <w:t>лактоза (като монохидрат).</w:t>
      </w:r>
    </w:p>
    <w:p w14:paraId="54660339" w14:textId="77777777" w:rsidR="00053BD2" w:rsidRPr="00053BD2" w:rsidRDefault="00053BD2" w:rsidP="00053BD2">
      <w:pPr>
        <w:spacing w:line="240" w:lineRule="auto"/>
        <w:rPr>
          <w:rFonts w:eastAsia="Times New Roman" w:cs="Arial"/>
          <w:color w:val="000000"/>
          <w:lang w:eastAsia="bg-BG"/>
        </w:rPr>
      </w:pPr>
    </w:p>
    <w:p w14:paraId="1F516281" w14:textId="7D056E51" w:rsidR="00053BD2" w:rsidRPr="00053BD2" w:rsidRDefault="00053BD2" w:rsidP="00053BD2">
      <w:pPr>
        <w:spacing w:line="240" w:lineRule="auto"/>
        <w:rPr>
          <w:rFonts w:eastAsia="Times New Roman" w:cs="Arial"/>
          <w:lang w:eastAsia="bg-BG"/>
        </w:rPr>
      </w:pPr>
      <w:r w:rsidRPr="00053BD2">
        <w:rPr>
          <w:rFonts w:eastAsia="Times New Roman" w:cs="Arial"/>
          <w:color w:val="000000"/>
          <w:lang w:eastAsia="bg-BG"/>
        </w:rPr>
        <w:t xml:space="preserve">Всяка твърда капсула от 400 </w:t>
      </w:r>
      <w:r w:rsidRPr="00053BD2">
        <w:rPr>
          <w:rFonts w:eastAsia="Times New Roman" w:cs="Arial"/>
          <w:color w:val="000000"/>
          <w:lang w:val="en-US"/>
        </w:rPr>
        <w:t xml:space="preserve">mg </w:t>
      </w:r>
      <w:r w:rsidRPr="00053BD2">
        <w:rPr>
          <w:rFonts w:eastAsia="Times New Roman" w:cs="Arial"/>
          <w:color w:val="000000"/>
          <w:lang w:eastAsia="bg-BG"/>
        </w:rPr>
        <w:t xml:space="preserve">съдържа 57 </w:t>
      </w:r>
      <w:r w:rsidRPr="00053BD2">
        <w:rPr>
          <w:rFonts w:eastAsia="Times New Roman" w:cs="Arial"/>
          <w:color w:val="000000"/>
          <w:lang w:val="en-US"/>
        </w:rPr>
        <w:t xml:space="preserve">mg </w:t>
      </w:r>
      <w:r w:rsidRPr="00053BD2">
        <w:rPr>
          <w:rFonts w:eastAsia="Times New Roman" w:cs="Arial"/>
          <w:color w:val="000000"/>
          <w:lang w:eastAsia="bg-BG"/>
        </w:rPr>
        <w:t>лактоза (като монохидрат).</w:t>
      </w:r>
    </w:p>
    <w:p w14:paraId="72CBDBF9" w14:textId="77777777" w:rsidR="00053BD2" w:rsidRPr="00053BD2" w:rsidRDefault="00053BD2" w:rsidP="00053BD2">
      <w:pPr>
        <w:rPr>
          <w:rFonts w:eastAsia="Times New Roman" w:cs="Arial"/>
          <w:color w:val="000000"/>
          <w:lang w:eastAsia="bg-BG"/>
        </w:rPr>
      </w:pPr>
    </w:p>
    <w:p w14:paraId="3A4B6CE1" w14:textId="68968DD4" w:rsidR="00053BD2" w:rsidRPr="00053BD2" w:rsidRDefault="00053BD2" w:rsidP="00053BD2">
      <w:pPr>
        <w:rPr>
          <w:rFonts w:cs="Arial"/>
        </w:rPr>
      </w:pPr>
      <w:r w:rsidRPr="00053BD2">
        <w:rPr>
          <w:rFonts w:eastAsia="Times New Roman" w:cs="Arial"/>
          <w:color w:val="000000"/>
          <w:lang w:eastAsia="bg-BG"/>
        </w:rPr>
        <w:t>За пълния списък на помощните вещества вижте точка 6.1.</w:t>
      </w:r>
    </w:p>
    <w:p w14:paraId="614984C4" w14:textId="1589E10D" w:rsidR="008A6AF2" w:rsidRDefault="00DD466D" w:rsidP="002C50EE">
      <w:pPr>
        <w:pStyle w:val="Heading1"/>
      </w:pPr>
      <w:r>
        <w:t>3. ЛЕКАРСТВЕНА ФОРМА</w:t>
      </w:r>
    </w:p>
    <w:p w14:paraId="658B6C30" w14:textId="30C25DAE" w:rsidR="00053BD2" w:rsidRDefault="00053BD2" w:rsidP="00053BD2"/>
    <w:p w14:paraId="51758012" w14:textId="4CFC7325"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Твърда капсула</w:t>
      </w:r>
    </w:p>
    <w:p w14:paraId="796978A5" w14:textId="77777777" w:rsidR="00053BD2" w:rsidRPr="00053BD2" w:rsidRDefault="00053BD2" w:rsidP="00053BD2">
      <w:pPr>
        <w:spacing w:line="240" w:lineRule="auto"/>
        <w:rPr>
          <w:rFonts w:eastAsia="Times New Roman" w:cs="Arial"/>
          <w:color w:val="000000"/>
          <w:szCs w:val="20"/>
          <w:lang w:eastAsia="bg-BG"/>
        </w:rPr>
      </w:pPr>
    </w:p>
    <w:p w14:paraId="23BF0915" w14:textId="203DAED9"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Неуронтин 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твърди капсули: жълта, непрозрачна, твърда желатинова капсула от две части с надписи </w:t>
      </w:r>
      <w:r w:rsidRPr="00053BD2">
        <w:rPr>
          <w:rFonts w:eastAsia="Times New Roman" w:cs="Arial"/>
          <w:color w:val="000000"/>
          <w:szCs w:val="20"/>
          <w:lang w:val="en-US"/>
        </w:rPr>
        <w:t xml:space="preserve">„Neurontin </w:t>
      </w:r>
      <w:r w:rsidRPr="00053BD2">
        <w:rPr>
          <w:rFonts w:eastAsia="Times New Roman" w:cs="Arial"/>
          <w:color w:val="000000"/>
          <w:szCs w:val="20"/>
          <w:lang w:eastAsia="bg-BG"/>
        </w:rPr>
        <w:t xml:space="preserve">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и </w:t>
      </w:r>
      <w:r w:rsidRPr="00053BD2">
        <w:rPr>
          <w:rFonts w:eastAsia="Times New Roman" w:cs="Arial"/>
          <w:color w:val="000000"/>
          <w:szCs w:val="20"/>
          <w:lang w:val="en-US"/>
        </w:rPr>
        <w:t xml:space="preserve">„PD“, </w:t>
      </w:r>
      <w:r w:rsidRPr="00053BD2">
        <w:rPr>
          <w:rFonts w:eastAsia="Times New Roman" w:cs="Arial"/>
          <w:color w:val="000000"/>
          <w:szCs w:val="20"/>
          <w:lang w:eastAsia="bg-BG"/>
        </w:rPr>
        <w:t>съдържаща бял до почти бял прах.</w:t>
      </w:r>
    </w:p>
    <w:p w14:paraId="49F290D0" w14:textId="77777777" w:rsidR="00053BD2" w:rsidRPr="00053BD2" w:rsidRDefault="00053BD2" w:rsidP="00053BD2">
      <w:pPr>
        <w:rPr>
          <w:rFonts w:eastAsia="Times New Roman" w:cs="Arial"/>
          <w:color w:val="000000"/>
          <w:szCs w:val="20"/>
          <w:lang w:eastAsia="bg-BG"/>
        </w:rPr>
      </w:pPr>
    </w:p>
    <w:p w14:paraId="2B90B9CC" w14:textId="5E464C86" w:rsidR="00053BD2" w:rsidRPr="00053BD2" w:rsidRDefault="00053BD2" w:rsidP="00053BD2">
      <w:pPr>
        <w:rPr>
          <w:rFonts w:cs="Arial"/>
          <w:sz w:val="24"/>
        </w:rPr>
      </w:pPr>
      <w:r w:rsidRPr="00053BD2">
        <w:rPr>
          <w:rFonts w:eastAsia="Times New Roman" w:cs="Arial"/>
          <w:color w:val="000000"/>
          <w:szCs w:val="20"/>
          <w:lang w:eastAsia="bg-BG"/>
        </w:rPr>
        <w:t xml:space="preserve">Неуронтин 400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твърди капсули: оранжева, непрозрачна, твърда желатинова капсула от две части с надписи </w:t>
      </w:r>
      <w:r w:rsidRPr="00053BD2">
        <w:rPr>
          <w:rFonts w:eastAsia="Times New Roman" w:cs="Arial"/>
          <w:color w:val="000000"/>
          <w:szCs w:val="20"/>
          <w:lang w:val="en-US"/>
        </w:rPr>
        <w:t xml:space="preserve">„Neurontin </w:t>
      </w:r>
      <w:r w:rsidRPr="00053BD2">
        <w:rPr>
          <w:rFonts w:eastAsia="Times New Roman" w:cs="Arial"/>
          <w:color w:val="000000"/>
          <w:szCs w:val="20"/>
          <w:lang w:eastAsia="bg-BG"/>
        </w:rPr>
        <w:t xml:space="preserve">400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и </w:t>
      </w:r>
      <w:r w:rsidRPr="00053BD2">
        <w:rPr>
          <w:rFonts w:eastAsia="Times New Roman" w:cs="Arial"/>
          <w:color w:val="000000"/>
          <w:szCs w:val="20"/>
          <w:lang w:val="en-US"/>
        </w:rPr>
        <w:t xml:space="preserve">„PD“, </w:t>
      </w:r>
      <w:r w:rsidRPr="00053BD2">
        <w:rPr>
          <w:rFonts w:eastAsia="Times New Roman" w:cs="Arial"/>
          <w:color w:val="000000"/>
          <w:szCs w:val="20"/>
          <w:lang w:eastAsia="bg-BG"/>
        </w:rPr>
        <w:t>съдържаща бял до почти бял прах.</w:t>
      </w:r>
    </w:p>
    <w:p w14:paraId="490FC2C4" w14:textId="32682B15" w:rsidR="002C50EE" w:rsidRDefault="002C50EE" w:rsidP="002C50EE">
      <w:pPr>
        <w:pStyle w:val="Heading1"/>
      </w:pPr>
      <w:r>
        <w:t>4. КЛИНИЧНИ ДАННИ</w:t>
      </w:r>
    </w:p>
    <w:p w14:paraId="0C8E6903" w14:textId="7ADA2A39" w:rsidR="008134C8" w:rsidRDefault="002C50EE" w:rsidP="004A448E">
      <w:pPr>
        <w:pStyle w:val="Heading2"/>
      </w:pPr>
      <w:r>
        <w:t>4.1. Терапевтични показания</w:t>
      </w:r>
    </w:p>
    <w:p w14:paraId="1E92C3FF" w14:textId="7F75C7B4" w:rsidR="00053BD2" w:rsidRDefault="00053BD2" w:rsidP="00053BD2"/>
    <w:p w14:paraId="23F0FE12" w14:textId="77777777" w:rsidR="00053BD2" w:rsidRDefault="00053BD2" w:rsidP="00053BD2">
      <w:pPr>
        <w:spacing w:line="240" w:lineRule="auto"/>
        <w:rPr>
          <w:rFonts w:ascii="Times New Roman" w:eastAsia="Times New Roman" w:hAnsi="Times New Roman" w:cs="Times New Roman"/>
          <w:color w:val="000000"/>
          <w:sz w:val="20"/>
          <w:szCs w:val="20"/>
          <w:u w:val="single"/>
          <w:lang w:eastAsia="bg-BG"/>
        </w:rPr>
      </w:pPr>
    </w:p>
    <w:p w14:paraId="7EF25DFB" w14:textId="11B9E774"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Епилепсия</w:t>
      </w:r>
    </w:p>
    <w:p w14:paraId="620A9EA5" w14:textId="77777777" w:rsidR="00053BD2" w:rsidRPr="00053BD2" w:rsidRDefault="00053BD2" w:rsidP="00053BD2">
      <w:pPr>
        <w:spacing w:line="240" w:lineRule="auto"/>
        <w:rPr>
          <w:rFonts w:eastAsia="Times New Roman" w:cs="Arial"/>
          <w:color w:val="000000"/>
          <w:szCs w:val="20"/>
          <w:lang w:eastAsia="bg-BG"/>
        </w:rPr>
      </w:pPr>
    </w:p>
    <w:p w14:paraId="330C5C46" w14:textId="6F4FC37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Неуронтин е показан за добавъчна терапия при лечение на парциални пристъпи със или без вторична генерализация при възрастни и деца на възраст 6 и повече години (вж. точка 5.1).</w:t>
      </w:r>
    </w:p>
    <w:p w14:paraId="40BBA704" w14:textId="77777777" w:rsidR="00053BD2" w:rsidRPr="00053BD2" w:rsidRDefault="00053BD2" w:rsidP="00053BD2">
      <w:pPr>
        <w:spacing w:line="240" w:lineRule="auto"/>
        <w:rPr>
          <w:rFonts w:eastAsia="Times New Roman" w:cs="Arial"/>
          <w:color w:val="000000"/>
          <w:szCs w:val="20"/>
          <w:lang w:eastAsia="bg-BG"/>
        </w:rPr>
      </w:pPr>
    </w:p>
    <w:p w14:paraId="7C3CA718" w14:textId="4C7507DE"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lastRenderedPageBreak/>
        <w:t>Неуронтин е показан за монотерапия за лечение на парциални пристъпи със или без вторична генерализация при възрастни и юноши на възраст 12 и повече години.</w:t>
      </w:r>
    </w:p>
    <w:p w14:paraId="637D42A0" w14:textId="77777777" w:rsidR="00053BD2" w:rsidRPr="00053BD2" w:rsidRDefault="00053BD2" w:rsidP="00053BD2">
      <w:pPr>
        <w:spacing w:line="240" w:lineRule="auto"/>
        <w:rPr>
          <w:rFonts w:eastAsia="Times New Roman" w:cs="Arial"/>
          <w:color w:val="000000"/>
          <w:szCs w:val="20"/>
          <w:u w:val="single"/>
          <w:lang w:eastAsia="bg-BG"/>
        </w:rPr>
      </w:pPr>
    </w:p>
    <w:p w14:paraId="3DE3305E" w14:textId="7A031659"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Лечение на периферна невропатна болка</w:t>
      </w:r>
    </w:p>
    <w:p w14:paraId="461F3592" w14:textId="77777777" w:rsidR="00053BD2" w:rsidRPr="00053BD2" w:rsidRDefault="00053BD2" w:rsidP="00053BD2">
      <w:pPr>
        <w:rPr>
          <w:rFonts w:eastAsia="Times New Roman" w:cs="Arial"/>
          <w:color w:val="000000"/>
          <w:szCs w:val="20"/>
          <w:lang w:eastAsia="bg-BG"/>
        </w:rPr>
      </w:pPr>
    </w:p>
    <w:p w14:paraId="647B3BD3" w14:textId="3BF10DF3" w:rsidR="00053BD2" w:rsidRDefault="00053BD2" w:rsidP="00053BD2">
      <w:pPr>
        <w:rPr>
          <w:rFonts w:eastAsia="Times New Roman" w:cs="Arial"/>
          <w:color w:val="000000"/>
          <w:szCs w:val="20"/>
          <w:lang w:eastAsia="bg-BG"/>
        </w:rPr>
      </w:pPr>
      <w:r w:rsidRPr="00053BD2">
        <w:rPr>
          <w:rFonts w:eastAsia="Times New Roman" w:cs="Arial"/>
          <w:color w:val="000000"/>
          <w:szCs w:val="20"/>
          <w:lang w:eastAsia="bg-BG"/>
        </w:rPr>
        <w:t>Неуронтин е показан за лечение на периферна невропатна болка, като болезнена диабетно невропатия и постхерпетична невралгия при възрастни.</w:t>
      </w:r>
    </w:p>
    <w:p w14:paraId="29B0E9A3" w14:textId="77777777" w:rsidR="00053BD2" w:rsidRPr="00053BD2" w:rsidRDefault="00053BD2" w:rsidP="00053BD2">
      <w:pPr>
        <w:rPr>
          <w:rFonts w:eastAsia="Times New Roman" w:cs="Arial"/>
          <w:color w:val="000000"/>
          <w:szCs w:val="20"/>
          <w:lang w:eastAsia="bg-BG"/>
        </w:rPr>
      </w:pPr>
    </w:p>
    <w:p w14:paraId="4420605B" w14:textId="77777777" w:rsidR="00053BD2" w:rsidRPr="00053BD2" w:rsidRDefault="00053BD2" w:rsidP="00053BD2"/>
    <w:p w14:paraId="30BE2C7B" w14:textId="1A9A2879" w:rsidR="008134C8" w:rsidRDefault="002C50EE" w:rsidP="004A448E">
      <w:pPr>
        <w:pStyle w:val="Heading2"/>
      </w:pPr>
      <w:r>
        <w:t>4.2. Дозировка и начин на приложение</w:t>
      </w:r>
    </w:p>
    <w:p w14:paraId="270F6142" w14:textId="1412D667" w:rsidR="00053BD2" w:rsidRPr="00053BD2" w:rsidRDefault="00053BD2" w:rsidP="00053BD2">
      <w:pPr>
        <w:rPr>
          <w:rFonts w:cs="Arial"/>
          <w:sz w:val="24"/>
        </w:rPr>
      </w:pPr>
    </w:p>
    <w:p w14:paraId="5DAF4DED" w14:textId="77777777" w:rsidR="00053BD2" w:rsidRPr="00BB12F0" w:rsidRDefault="00053BD2" w:rsidP="00BB12F0">
      <w:pPr>
        <w:pStyle w:val="Heading3"/>
        <w:rPr>
          <w:rFonts w:eastAsia="Times New Roman"/>
          <w:sz w:val="28"/>
          <w:u w:val="single"/>
          <w:lang w:eastAsia="bg-BG"/>
        </w:rPr>
      </w:pPr>
      <w:r w:rsidRPr="00BB12F0">
        <w:rPr>
          <w:rFonts w:eastAsia="Times New Roman"/>
          <w:u w:val="single"/>
          <w:lang w:eastAsia="bg-BG"/>
        </w:rPr>
        <w:t>Дозировка</w:t>
      </w:r>
    </w:p>
    <w:p w14:paraId="13E32711" w14:textId="77777777" w:rsidR="00053BD2" w:rsidRPr="00053BD2" w:rsidRDefault="00053BD2" w:rsidP="00053BD2">
      <w:pPr>
        <w:spacing w:line="240" w:lineRule="auto"/>
        <w:rPr>
          <w:rFonts w:eastAsia="Times New Roman" w:cs="Arial"/>
          <w:color w:val="000000"/>
          <w:szCs w:val="20"/>
          <w:lang w:eastAsia="bg-BG"/>
        </w:rPr>
      </w:pPr>
    </w:p>
    <w:p w14:paraId="294D6BEB" w14:textId="06D0D0B3"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В таблица 1 е описана схема на титриране за започване на терапията за всички показания, която се препоръчва при възрастни и юноши на възраст 12 и повече години.</w:t>
      </w:r>
    </w:p>
    <w:p w14:paraId="31B7F474" w14:textId="0C5E67F5" w:rsidR="00053BD2" w:rsidRPr="00053BD2" w:rsidRDefault="00053BD2" w:rsidP="00053BD2">
      <w:pPr>
        <w:rPr>
          <w:rFonts w:eastAsia="Times New Roman" w:cs="Arial"/>
          <w:color w:val="000000"/>
          <w:szCs w:val="20"/>
          <w:lang w:eastAsia="bg-BG"/>
        </w:rPr>
      </w:pPr>
      <w:r w:rsidRPr="00053BD2">
        <w:rPr>
          <w:rFonts w:eastAsia="Times New Roman" w:cs="Arial"/>
          <w:color w:val="000000"/>
          <w:szCs w:val="20"/>
          <w:lang w:eastAsia="bg-BG"/>
        </w:rPr>
        <w:t>При деца на възраст под 12 години указанията за дозиране са представени в отделно подзаглавие по-долу в тази точка.</w:t>
      </w:r>
    </w:p>
    <w:tbl>
      <w:tblPr>
        <w:tblStyle w:val="TableGrid"/>
        <w:tblW w:w="0" w:type="auto"/>
        <w:tblLook w:val="04A0" w:firstRow="1" w:lastRow="0" w:firstColumn="1" w:lastColumn="0" w:noHBand="0" w:noVBand="1"/>
      </w:tblPr>
      <w:tblGrid>
        <w:gridCol w:w="3116"/>
        <w:gridCol w:w="3117"/>
        <w:gridCol w:w="3117"/>
      </w:tblGrid>
      <w:tr w:rsidR="00053BD2" w14:paraId="7C9A733B" w14:textId="77777777" w:rsidTr="00967BE3">
        <w:tc>
          <w:tcPr>
            <w:tcW w:w="9500" w:type="dxa"/>
            <w:gridSpan w:val="3"/>
          </w:tcPr>
          <w:p w14:paraId="5E2120DE" w14:textId="77777777" w:rsidR="00053BD2" w:rsidRPr="00053BD2" w:rsidRDefault="00053BD2" w:rsidP="00053BD2">
            <w:pPr>
              <w:spacing w:line="240" w:lineRule="auto"/>
              <w:rPr>
                <w:rFonts w:eastAsia="Times New Roman" w:cs="Arial"/>
                <w:szCs w:val="24"/>
                <w:lang w:eastAsia="bg-BG"/>
              </w:rPr>
            </w:pPr>
            <w:r w:rsidRPr="00053BD2">
              <w:rPr>
                <w:rFonts w:eastAsia="Times New Roman" w:cs="Arial"/>
                <w:color w:val="000000"/>
                <w:szCs w:val="20"/>
                <w:lang w:eastAsia="bg-BG"/>
              </w:rPr>
              <w:t>Таблица 1</w:t>
            </w:r>
          </w:p>
          <w:p w14:paraId="1B3FE0A9" w14:textId="77777777" w:rsidR="00053BD2" w:rsidRPr="00053BD2" w:rsidRDefault="00053BD2" w:rsidP="00053BD2">
            <w:pPr>
              <w:rPr>
                <w:rFonts w:cs="Arial"/>
              </w:rPr>
            </w:pPr>
          </w:p>
        </w:tc>
      </w:tr>
      <w:tr w:rsidR="00053BD2" w14:paraId="61173D88" w14:textId="77777777" w:rsidTr="00BF6FDA">
        <w:tc>
          <w:tcPr>
            <w:tcW w:w="9500" w:type="dxa"/>
            <w:gridSpan w:val="3"/>
          </w:tcPr>
          <w:p w14:paraId="438F0748" w14:textId="3D5E71EE" w:rsidR="00053BD2" w:rsidRPr="00053BD2" w:rsidRDefault="00053BD2" w:rsidP="00053BD2">
            <w:pPr>
              <w:rPr>
                <w:rFonts w:cs="Arial"/>
              </w:rPr>
            </w:pPr>
            <w:r w:rsidRPr="00053BD2">
              <w:rPr>
                <w:rFonts w:cs="Arial"/>
                <w:szCs w:val="20"/>
              </w:rPr>
              <w:t>СХЕМА ЗА ДОЗИРАНЕ - НАЧАЛНО ТИТРИРАНЕ</w:t>
            </w:r>
          </w:p>
        </w:tc>
      </w:tr>
      <w:tr w:rsidR="00053BD2" w14:paraId="056D7B78" w14:textId="77777777" w:rsidTr="00177362">
        <w:tc>
          <w:tcPr>
            <w:tcW w:w="3166" w:type="dxa"/>
            <w:vAlign w:val="bottom"/>
          </w:tcPr>
          <w:p w14:paraId="53A06538" w14:textId="4F663893" w:rsidR="00053BD2" w:rsidRPr="00053BD2" w:rsidRDefault="00053BD2" w:rsidP="00053BD2">
            <w:pPr>
              <w:rPr>
                <w:rFonts w:cs="Arial"/>
              </w:rPr>
            </w:pPr>
            <w:r w:rsidRPr="00053BD2">
              <w:rPr>
                <w:rFonts w:cs="Arial"/>
                <w:szCs w:val="20"/>
              </w:rPr>
              <w:t>Ден 1</w:t>
            </w:r>
          </w:p>
        </w:tc>
        <w:tc>
          <w:tcPr>
            <w:tcW w:w="3167" w:type="dxa"/>
            <w:vAlign w:val="bottom"/>
          </w:tcPr>
          <w:p w14:paraId="4B57F4E1" w14:textId="1F952C82" w:rsidR="00053BD2" w:rsidRPr="00053BD2" w:rsidRDefault="00053BD2" w:rsidP="00053BD2">
            <w:pPr>
              <w:rPr>
                <w:rFonts w:cs="Arial"/>
              </w:rPr>
            </w:pPr>
            <w:r w:rsidRPr="00053BD2">
              <w:rPr>
                <w:rFonts w:cs="Arial"/>
                <w:szCs w:val="20"/>
              </w:rPr>
              <w:t>Ден 2</w:t>
            </w:r>
          </w:p>
        </w:tc>
        <w:tc>
          <w:tcPr>
            <w:tcW w:w="3167" w:type="dxa"/>
            <w:vAlign w:val="bottom"/>
          </w:tcPr>
          <w:p w14:paraId="085A25EC" w14:textId="38D9272E" w:rsidR="00053BD2" w:rsidRPr="00053BD2" w:rsidRDefault="00053BD2" w:rsidP="00053BD2">
            <w:pPr>
              <w:rPr>
                <w:rFonts w:cs="Arial"/>
              </w:rPr>
            </w:pPr>
            <w:r w:rsidRPr="00053BD2">
              <w:rPr>
                <w:rFonts w:cs="Arial"/>
                <w:szCs w:val="20"/>
              </w:rPr>
              <w:t>Ден З</w:t>
            </w:r>
          </w:p>
        </w:tc>
      </w:tr>
      <w:tr w:rsidR="00053BD2" w14:paraId="3B539F93" w14:textId="77777777" w:rsidTr="00053BD2">
        <w:tc>
          <w:tcPr>
            <w:tcW w:w="3166" w:type="dxa"/>
          </w:tcPr>
          <w:p w14:paraId="54266EED" w14:textId="7DC0F323" w:rsidR="00053BD2" w:rsidRPr="00053BD2" w:rsidRDefault="00053BD2" w:rsidP="00053BD2">
            <w:pPr>
              <w:rPr>
                <w:rFonts w:cs="Arial"/>
              </w:rPr>
            </w:pPr>
            <w:r w:rsidRPr="00053BD2">
              <w:rPr>
                <w:rFonts w:cs="Arial"/>
                <w:szCs w:val="20"/>
              </w:rPr>
              <w:t xml:space="preserve">300 </w:t>
            </w:r>
            <w:r w:rsidRPr="00053BD2">
              <w:rPr>
                <w:rFonts w:cs="Arial"/>
                <w:szCs w:val="20"/>
                <w:lang w:val="en-US"/>
              </w:rPr>
              <w:t xml:space="preserve">mg </w:t>
            </w:r>
            <w:r w:rsidRPr="00053BD2">
              <w:rPr>
                <w:rFonts w:cs="Arial"/>
                <w:szCs w:val="20"/>
              </w:rPr>
              <w:t>веднъж дневно</w:t>
            </w:r>
          </w:p>
        </w:tc>
        <w:tc>
          <w:tcPr>
            <w:tcW w:w="3167" w:type="dxa"/>
          </w:tcPr>
          <w:p w14:paraId="617A6D1C" w14:textId="6E3C8757" w:rsidR="00053BD2" w:rsidRPr="00053BD2" w:rsidRDefault="00053BD2" w:rsidP="00053BD2">
            <w:pPr>
              <w:rPr>
                <w:rFonts w:cs="Arial"/>
              </w:rPr>
            </w:pPr>
            <w:r w:rsidRPr="00053BD2">
              <w:rPr>
                <w:rFonts w:cs="Arial"/>
                <w:szCs w:val="20"/>
              </w:rPr>
              <w:t xml:space="preserve">300 </w:t>
            </w:r>
            <w:r w:rsidRPr="00053BD2">
              <w:rPr>
                <w:rFonts w:cs="Arial"/>
                <w:szCs w:val="20"/>
                <w:lang w:val="en-US"/>
              </w:rPr>
              <w:t xml:space="preserve">mg </w:t>
            </w:r>
            <w:r w:rsidRPr="00053BD2">
              <w:rPr>
                <w:rFonts w:cs="Arial"/>
                <w:szCs w:val="20"/>
              </w:rPr>
              <w:t>два пъти дневно</w:t>
            </w:r>
          </w:p>
        </w:tc>
        <w:tc>
          <w:tcPr>
            <w:tcW w:w="3167" w:type="dxa"/>
          </w:tcPr>
          <w:p w14:paraId="30B8C468" w14:textId="2320F7BD" w:rsidR="00053BD2" w:rsidRPr="00053BD2" w:rsidRDefault="00053BD2" w:rsidP="00053BD2">
            <w:pPr>
              <w:rPr>
                <w:rFonts w:cs="Arial"/>
              </w:rPr>
            </w:pPr>
            <w:r w:rsidRPr="00053BD2">
              <w:rPr>
                <w:rFonts w:cs="Arial"/>
                <w:szCs w:val="20"/>
              </w:rPr>
              <w:t xml:space="preserve">300 </w:t>
            </w:r>
            <w:r w:rsidRPr="00053BD2">
              <w:rPr>
                <w:rFonts w:cs="Arial"/>
                <w:szCs w:val="20"/>
                <w:lang w:val="en-US"/>
              </w:rPr>
              <w:t xml:space="preserve">mg </w:t>
            </w:r>
            <w:r w:rsidRPr="00053BD2">
              <w:rPr>
                <w:rFonts w:cs="Arial"/>
                <w:szCs w:val="20"/>
              </w:rPr>
              <w:t>три пъти дневно |</w:t>
            </w:r>
          </w:p>
        </w:tc>
      </w:tr>
    </w:tbl>
    <w:p w14:paraId="1CC6DEFF" w14:textId="181448C2" w:rsidR="00053BD2" w:rsidRDefault="00053BD2" w:rsidP="00053BD2"/>
    <w:p w14:paraId="3F62A8CA" w14:textId="7777777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Спиране на лечението с габапентин</w:t>
      </w:r>
    </w:p>
    <w:p w14:paraId="32F23CCA" w14:textId="77777777" w:rsidR="00053BD2" w:rsidRPr="00053BD2" w:rsidRDefault="00053BD2" w:rsidP="00053BD2">
      <w:pPr>
        <w:spacing w:line="240" w:lineRule="auto"/>
        <w:rPr>
          <w:rFonts w:eastAsia="Times New Roman" w:cs="Arial"/>
          <w:color w:val="000000"/>
          <w:szCs w:val="20"/>
          <w:lang w:eastAsia="bg-BG"/>
        </w:rPr>
      </w:pPr>
    </w:p>
    <w:p w14:paraId="46F22C77" w14:textId="10A55D20"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В съответствие с настоящата клинична практика, когато се налага прекратяване на терапията с габапентин, това трябва да се направи постепенно за период от най-малко 1 седмица, независимо от показанието.</w:t>
      </w:r>
    </w:p>
    <w:p w14:paraId="7727E5CB" w14:textId="77777777" w:rsidR="00053BD2" w:rsidRPr="00053BD2" w:rsidRDefault="00053BD2" w:rsidP="00053BD2">
      <w:pPr>
        <w:spacing w:line="240" w:lineRule="auto"/>
        <w:rPr>
          <w:rFonts w:eastAsia="Times New Roman" w:cs="Arial"/>
          <w:color w:val="000000"/>
          <w:szCs w:val="20"/>
          <w:u w:val="single"/>
          <w:lang w:eastAsia="bg-BG"/>
        </w:rPr>
      </w:pPr>
    </w:p>
    <w:p w14:paraId="53A0BE53" w14:textId="1212D2A6"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Епилепсия</w:t>
      </w:r>
    </w:p>
    <w:p w14:paraId="441F58AD" w14:textId="77777777" w:rsidR="00053BD2" w:rsidRPr="00053BD2" w:rsidRDefault="00053BD2" w:rsidP="00053BD2">
      <w:pPr>
        <w:spacing w:line="240" w:lineRule="auto"/>
        <w:rPr>
          <w:rFonts w:eastAsia="Times New Roman" w:cs="Arial"/>
          <w:color w:val="000000"/>
          <w:szCs w:val="20"/>
          <w:lang w:eastAsia="bg-BG"/>
        </w:rPr>
      </w:pPr>
    </w:p>
    <w:p w14:paraId="58B261F9" w14:textId="401D6E5A"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По принцип епилепсията изисква дългосрочно лечение. Дозировката се определя от лекуващия лекар в съответствие с индивидуалната поносимост и ефикасност.</w:t>
      </w:r>
    </w:p>
    <w:p w14:paraId="4A849948" w14:textId="77777777" w:rsidR="00053BD2" w:rsidRPr="00053BD2" w:rsidRDefault="00053BD2" w:rsidP="00053BD2">
      <w:pPr>
        <w:spacing w:line="240" w:lineRule="auto"/>
        <w:rPr>
          <w:rFonts w:eastAsia="Times New Roman" w:cs="Arial"/>
          <w:i/>
          <w:iCs/>
          <w:color w:val="000000"/>
          <w:szCs w:val="20"/>
          <w:lang w:eastAsia="bg-BG"/>
        </w:rPr>
      </w:pPr>
    </w:p>
    <w:p w14:paraId="4E6575E8" w14:textId="50A7A57D" w:rsidR="00053BD2" w:rsidRPr="00053BD2" w:rsidRDefault="00053BD2" w:rsidP="00053BD2">
      <w:pPr>
        <w:spacing w:line="240" w:lineRule="auto"/>
        <w:rPr>
          <w:rFonts w:eastAsia="Times New Roman" w:cs="Arial"/>
          <w:sz w:val="28"/>
          <w:szCs w:val="24"/>
          <w:lang w:eastAsia="bg-BG"/>
        </w:rPr>
      </w:pPr>
      <w:r w:rsidRPr="00053BD2">
        <w:rPr>
          <w:rFonts w:eastAsia="Times New Roman" w:cs="Arial"/>
          <w:i/>
          <w:iCs/>
          <w:color w:val="000000"/>
          <w:szCs w:val="20"/>
          <w:lang w:eastAsia="bg-BG"/>
        </w:rPr>
        <w:t>Възрастни и юноши</w:t>
      </w:r>
    </w:p>
    <w:p w14:paraId="01214407" w14:textId="77777777" w:rsidR="00053BD2" w:rsidRPr="00053BD2" w:rsidRDefault="00053BD2" w:rsidP="00053BD2">
      <w:pPr>
        <w:spacing w:line="240" w:lineRule="auto"/>
        <w:rPr>
          <w:rFonts w:eastAsia="Times New Roman" w:cs="Arial"/>
          <w:color w:val="000000"/>
          <w:szCs w:val="20"/>
          <w:lang w:eastAsia="bg-BG"/>
        </w:rPr>
      </w:pPr>
    </w:p>
    <w:p w14:paraId="25692711" w14:textId="0199B77F"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В клинични проучвания ефективният дозов интервал е от 900 до 3600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дневно. Терапията може да бъде започната с титриране на дозата, както е описано в таблица 1, или чрез прилагане на 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три пъти на ден (ТПД) в ден 1. След това въз основа на индивидуалния отговор и поносимостта на пациента дневната доза може да бъде допълнително увеличавана на стъпки по 300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през 2-3 дни до максимална доза от 3600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При индивидуални пациенти може да е подходящо по-бавно титриране на дозата на габапентин. Минималното време за достигане на доза от 1800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е една седмица, за достигане на 2400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е общо 2 седмици, а за достигане на 3600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е общо 3 седмици. Дози до 4800 </w:t>
      </w:r>
      <w:r w:rsidRPr="00053BD2">
        <w:rPr>
          <w:rFonts w:eastAsia="Times New Roman" w:cs="Arial"/>
          <w:color w:val="000000"/>
          <w:szCs w:val="20"/>
          <w:lang w:val="en-US"/>
        </w:rPr>
        <w:t>mg</w:t>
      </w:r>
      <w:r w:rsidRPr="00053BD2">
        <w:rPr>
          <w:rFonts w:eastAsia="Times New Roman" w:cs="Arial"/>
          <w:color w:val="000000"/>
          <w:szCs w:val="20"/>
          <w:lang w:eastAsia="bg-BG"/>
        </w:rPr>
        <w:t>/ден са се понасяли добре при дългосрочни отворени клинични проучвания. Общата дневна доза трябва да бъде разделена на три единични дози, като максималният интервал между дозите не трябва да надвишава 12 часа, за да се предотврати поява на конвулсии.</w:t>
      </w:r>
    </w:p>
    <w:p w14:paraId="029C455B" w14:textId="77777777" w:rsidR="00053BD2" w:rsidRPr="00053BD2" w:rsidRDefault="00053BD2" w:rsidP="00053BD2">
      <w:pPr>
        <w:spacing w:line="240" w:lineRule="auto"/>
        <w:rPr>
          <w:rFonts w:eastAsia="Times New Roman" w:cs="Arial"/>
          <w:i/>
          <w:iCs/>
          <w:color w:val="000000"/>
          <w:szCs w:val="20"/>
          <w:lang w:eastAsia="bg-BG"/>
        </w:rPr>
      </w:pPr>
    </w:p>
    <w:p w14:paraId="4E0C6C39" w14:textId="5BF93612" w:rsidR="00053BD2" w:rsidRPr="00053BD2" w:rsidRDefault="00053BD2" w:rsidP="00053BD2">
      <w:pPr>
        <w:spacing w:line="240" w:lineRule="auto"/>
        <w:rPr>
          <w:rFonts w:eastAsia="Times New Roman" w:cs="Arial"/>
          <w:sz w:val="28"/>
          <w:szCs w:val="24"/>
          <w:lang w:eastAsia="bg-BG"/>
        </w:rPr>
      </w:pPr>
      <w:r w:rsidRPr="00053BD2">
        <w:rPr>
          <w:rFonts w:eastAsia="Times New Roman" w:cs="Arial"/>
          <w:i/>
          <w:iCs/>
          <w:color w:val="000000"/>
          <w:szCs w:val="20"/>
          <w:lang w:eastAsia="bg-BG"/>
        </w:rPr>
        <w:lastRenderedPageBreak/>
        <w:t>Деца на възраст 6 и повече години</w:t>
      </w:r>
    </w:p>
    <w:p w14:paraId="29996D13" w14:textId="77777777" w:rsidR="00053BD2" w:rsidRPr="00053BD2" w:rsidRDefault="00053BD2" w:rsidP="00053BD2">
      <w:pPr>
        <w:spacing w:line="240" w:lineRule="auto"/>
        <w:rPr>
          <w:rFonts w:eastAsia="Times New Roman" w:cs="Arial"/>
          <w:color w:val="000000"/>
          <w:szCs w:val="20"/>
          <w:lang w:eastAsia="bg-BG"/>
        </w:rPr>
      </w:pPr>
    </w:p>
    <w:p w14:paraId="4DA0B7A0" w14:textId="743B7F8E"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Началната доза трябва да варира от 10 до 15 </w:t>
      </w:r>
      <w:r w:rsidRPr="00053BD2">
        <w:rPr>
          <w:rFonts w:eastAsia="Times New Roman" w:cs="Arial"/>
          <w:color w:val="000000"/>
          <w:szCs w:val="20"/>
          <w:lang w:val="en-US"/>
        </w:rPr>
        <w:t>mg/kg</w:t>
      </w:r>
      <w:r w:rsidRPr="00053BD2">
        <w:rPr>
          <w:rFonts w:eastAsia="Times New Roman" w:cs="Arial"/>
          <w:color w:val="000000"/>
          <w:szCs w:val="20"/>
          <w:lang w:eastAsia="bg-BG"/>
        </w:rPr>
        <w:t xml:space="preserve">/ден и ефективната доза се достига чрез възходящо титриране за период от приблизително 3 дни. Ефективната доза на габапентин при деца на 6 и повече години е от 25 до 35 </w:t>
      </w:r>
      <w:r w:rsidRPr="00053BD2">
        <w:rPr>
          <w:rFonts w:eastAsia="Times New Roman" w:cs="Arial"/>
          <w:color w:val="000000"/>
          <w:szCs w:val="20"/>
          <w:lang w:val="en-US"/>
        </w:rPr>
        <w:t>mg/kg</w:t>
      </w:r>
      <w:r w:rsidRPr="00053BD2">
        <w:rPr>
          <w:rFonts w:eastAsia="Times New Roman" w:cs="Arial"/>
          <w:color w:val="000000"/>
          <w:szCs w:val="20"/>
          <w:lang w:eastAsia="bg-BG"/>
        </w:rPr>
        <w:t xml:space="preserve">/ден. Дози до 50 </w:t>
      </w:r>
      <w:r w:rsidRPr="00053BD2">
        <w:rPr>
          <w:rFonts w:eastAsia="Times New Roman" w:cs="Arial"/>
          <w:color w:val="000000"/>
          <w:szCs w:val="20"/>
          <w:lang w:val="en-US"/>
        </w:rPr>
        <w:t>mg/kg</w:t>
      </w:r>
      <w:r w:rsidRPr="00053BD2">
        <w:rPr>
          <w:rFonts w:eastAsia="Times New Roman" w:cs="Arial"/>
          <w:color w:val="000000"/>
          <w:szCs w:val="20"/>
          <w:lang w:eastAsia="bg-BG"/>
        </w:rPr>
        <w:t>/ден са понасяни добре в дългосрочно клинично проучване. Общата дневна доза трябва да бъде разделена в три единични дози, максималният интервал от време между дозите не трябва да надвишава 12 часа.</w:t>
      </w:r>
    </w:p>
    <w:p w14:paraId="01CBFCA7" w14:textId="77777777" w:rsidR="00053BD2" w:rsidRPr="00053BD2" w:rsidRDefault="00053BD2" w:rsidP="00053BD2">
      <w:pPr>
        <w:rPr>
          <w:rFonts w:eastAsia="Times New Roman" w:cs="Arial"/>
          <w:color w:val="000000"/>
          <w:szCs w:val="20"/>
          <w:lang w:eastAsia="bg-BG"/>
        </w:rPr>
      </w:pPr>
    </w:p>
    <w:p w14:paraId="5D37ECFA" w14:textId="09A85223" w:rsidR="00053BD2" w:rsidRPr="00053BD2" w:rsidRDefault="00053BD2" w:rsidP="00053BD2">
      <w:pPr>
        <w:rPr>
          <w:rFonts w:eastAsia="Times New Roman" w:cs="Arial"/>
          <w:color w:val="000000"/>
          <w:szCs w:val="20"/>
          <w:lang w:eastAsia="bg-BG"/>
        </w:rPr>
      </w:pPr>
      <w:r w:rsidRPr="00053BD2">
        <w:rPr>
          <w:rFonts w:eastAsia="Times New Roman" w:cs="Arial"/>
          <w:color w:val="000000"/>
          <w:szCs w:val="20"/>
          <w:lang w:eastAsia="bg-BG"/>
        </w:rPr>
        <w:t>Не е необходимо мониториране на плазмените концентрации на габапентин, за да се оптимизира терапията с габапентин. Освен това габапентин може да се прилага в комбинация с други антиепилептични лекарствени продукти, без опасения относно промяна на плазмените концентрации на габапентин или на серумните концентрации на другите антиепилептични лекарствени продукти.</w:t>
      </w:r>
    </w:p>
    <w:p w14:paraId="1963B66D" w14:textId="5B3D9C20" w:rsidR="00053BD2" w:rsidRPr="00053BD2" w:rsidRDefault="00053BD2" w:rsidP="00053BD2">
      <w:pPr>
        <w:rPr>
          <w:rFonts w:eastAsia="Times New Roman" w:cs="Arial"/>
          <w:color w:val="000000"/>
          <w:szCs w:val="20"/>
          <w:lang w:eastAsia="bg-BG"/>
        </w:rPr>
      </w:pPr>
    </w:p>
    <w:p w14:paraId="273F9FDC" w14:textId="7777777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Периферна невропатна болка</w:t>
      </w:r>
    </w:p>
    <w:p w14:paraId="6E03758B" w14:textId="77777777" w:rsidR="00053BD2" w:rsidRPr="00053BD2" w:rsidRDefault="00053BD2" w:rsidP="00053BD2">
      <w:pPr>
        <w:spacing w:line="240" w:lineRule="auto"/>
        <w:rPr>
          <w:rFonts w:eastAsia="Times New Roman" w:cs="Arial"/>
          <w:i/>
          <w:iCs/>
          <w:color w:val="000000"/>
          <w:szCs w:val="20"/>
          <w:lang w:eastAsia="bg-BG"/>
        </w:rPr>
      </w:pPr>
    </w:p>
    <w:p w14:paraId="4EE48ADF" w14:textId="539AA046" w:rsidR="00053BD2" w:rsidRPr="00053BD2" w:rsidRDefault="00053BD2" w:rsidP="00053BD2">
      <w:pPr>
        <w:spacing w:line="240" w:lineRule="auto"/>
        <w:rPr>
          <w:rFonts w:eastAsia="Times New Roman" w:cs="Arial"/>
          <w:sz w:val="28"/>
          <w:szCs w:val="24"/>
          <w:lang w:eastAsia="bg-BG"/>
        </w:rPr>
      </w:pPr>
      <w:r w:rsidRPr="00053BD2">
        <w:rPr>
          <w:rFonts w:eastAsia="Times New Roman" w:cs="Arial"/>
          <w:i/>
          <w:iCs/>
          <w:color w:val="000000"/>
          <w:szCs w:val="20"/>
          <w:lang w:eastAsia="bg-BG"/>
        </w:rPr>
        <w:t>Възрастни</w:t>
      </w:r>
    </w:p>
    <w:p w14:paraId="32C29FA4" w14:textId="77777777" w:rsidR="00053BD2" w:rsidRPr="00053BD2" w:rsidRDefault="00053BD2" w:rsidP="00053BD2">
      <w:pPr>
        <w:spacing w:line="240" w:lineRule="auto"/>
        <w:rPr>
          <w:rFonts w:eastAsia="Times New Roman" w:cs="Arial"/>
          <w:color w:val="000000"/>
          <w:szCs w:val="20"/>
          <w:lang w:eastAsia="bg-BG"/>
        </w:rPr>
      </w:pPr>
    </w:p>
    <w:p w14:paraId="30B07696" w14:textId="15C146B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Терапията може да започне с титриране на дозата, както е описано в таблица 1. Друга възможност е началната доза да бъде 900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прилагана разделена на три равни дози. След това въз основа на индивидуалния отговор и поносимостта на пациента дозата може да бъде допълнително увеличавана на стъпки от 300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през 2-3 дни до максимална доза от 3600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При индивидуални пациенти може да е подходящо по-бавно титриране на дозата на габапентин. Минималното време за достигане на доза от 1800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е една седмица, за достигане на 2400 </w:t>
      </w:r>
      <w:r w:rsidRPr="00053BD2">
        <w:rPr>
          <w:rFonts w:eastAsia="Times New Roman" w:cs="Arial"/>
          <w:color w:val="000000"/>
          <w:szCs w:val="20"/>
          <w:lang w:val="en-US"/>
        </w:rPr>
        <w:t>mg</w:t>
      </w:r>
      <w:r w:rsidRPr="00053BD2">
        <w:rPr>
          <w:rFonts w:eastAsia="Times New Roman" w:cs="Arial"/>
          <w:color w:val="000000"/>
          <w:szCs w:val="20"/>
          <w:lang w:eastAsia="bg-BG"/>
        </w:rPr>
        <w:t xml:space="preserve">/ден е общо 2 седмици, а за достигане на 3600 </w:t>
      </w:r>
      <w:r w:rsidRPr="00053BD2">
        <w:rPr>
          <w:rFonts w:eastAsia="Times New Roman" w:cs="Arial"/>
          <w:color w:val="000000"/>
          <w:szCs w:val="20"/>
          <w:lang w:val="en-US"/>
        </w:rPr>
        <w:t>mg</w:t>
      </w:r>
      <w:r w:rsidRPr="00053BD2">
        <w:rPr>
          <w:rFonts w:eastAsia="Times New Roman" w:cs="Arial"/>
          <w:color w:val="000000"/>
          <w:szCs w:val="20"/>
          <w:lang w:eastAsia="bg-BG"/>
        </w:rPr>
        <w:t>/ден е общо 3 седмици.</w:t>
      </w:r>
    </w:p>
    <w:p w14:paraId="2F18816F" w14:textId="77777777" w:rsidR="00053BD2" w:rsidRPr="00053BD2" w:rsidRDefault="00053BD2" w:rsidP="00053BD2">
      <w:pPr>
        <w:spacing w:line="240" w:lineRule="auto"/>
        <w:rPr>
          <w:rFonts w:eastAsia="Times New Roman" w:cs="Arial"/>
          <w:color w:val="000000"/>
          <w:szCs w:val="20"/>
          <w:lang w:eastAsia="bg-BG"/>
        </w:rPr>
      </w:pPr>
    </w:p>
    <w:p w14:paraId="7CC22FB5" w14:textId="6F73232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Ефикасността и безопасността при лечение на периферна невропатна болка, като болка при диабетна невропатия и постхерпетична невралгия, не са изследвани в условията на клинични проучвания с продължителност на лечението над 5 месеца. Ако при пациента се налага приложение за срок над 5 месеца за лечение на периферна невропатна болка, лекуващият лекар трябва да направи оценка на клиничното състояние на пациента и да определи дали е необходима допълнителна терапия.</w:t>
      </w:r>
    </w:p>
    <w:p w14:paraId="25B131AC" w14:textId="77777777" w:rsidR="00053BD2" w:rsidRPr="00053BD2" w:rsidRDefault="00053BD2" w:rsidP="00053BD2">
      <w:pPr>
        <w:spacing w:line="240" w:lineRule="auto"/>
        <w:rPr>
          <w:rFonts w:eastAsia="Times New Roman" w:cs="Arial"/>
          <w:color w:val="000000"/>
          <w:szCs w:val="20"/>
          <w:u w:val="single"/>
          <w:lang w:eastAsia="bg-BG"/>
        </w:rPr>
      </w:pPr>
    </w:p>
    <w:p w14:paraId="40AD1D14" w14:textId="5A2A5950"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Инструкции за всички области на терапевтичните показания</w:t>
      </w:r>
    </w:p>
    <w:p w14:paraId="2AE069D4" w14:textId="77777777" w:rsidR="00053BD2" w:rsidRPr="00053BD2" w:rsidRDefault="00053BD2" w:rsidP="00053BD2">
      <w:pPr>
        <w:spacing w:line="240" w:lineRule="auto"/>
        <w:rPr>
          <w:rFonts w:eastAsia="Times New Roman" w:cs="Arial"/>
          <w:color w:val="000000"/>
          <w:szCs w:val="20"/>
          <w:lang w:eastAsia="bg-BG"/>
        </w:rPr>
      </w:pPr>
    </w:p>
    <w:p w14:paraId="4C415883" w14:textId="19CB64A2"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При пациенти с влошено общо здравословно състояние, т.е. ниско телесно тегло, след органна трансплантация и т.н., дозата трябва да се титрира по-бавно, като се използва по-ниската концентрация или по-дълги интервали между повишаванията на дозировката.</w:t>
      </w:r>
    </w:p>
    <w:p w14:paraId="4563DEB3" w14:textId="77777777" w:rsidR="00053BD2" w:rsidRPr="00053BD2" w:rsidRDefault="00053BD2" w:rsidP="00053BD2">
      <w:pPr>
        <w:spacing w:line="240" w:lineRule="auto"/>
        <w:rPr>
          <w:rFonts w:eastAsia="Times New Roman" w:cs="Arial"/>
          <w:color w:val="000000"/>
          <w:szCs w:val="20"/>
          <w:u w:val="single"/>
          <w:lang w:eastAsia="bg-BG"/>
        </w:rPr>
      </w:pPr>
    </w:p>
    <w:p w14:paraId="01ED880A" w14:textId="7E48AEB9"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Старческа възраст (над 65 години)</w:t>
      </w:r>
    </w:p>
    <w:p w14:paraId="360CCDB3" w14:textId="77777777" w:rsidR="00053BD2" w:rsidRPr="00053BD2" w:rsidRDefault="00053BD2" w:rsidP="00053BD2">
      <w:pPr>
        <w:spacing w:line="240" w:lineRule="auto"/>
        <w:rPr>
          <w:rFonts w:eastAsia="Times New Roman" w:cs="Arial"/>
          <w:color w:val="000000"/>
          <w:szCs w:val="20"/>
          <w:lang w:eastAsia="bg-BG"/>
        </w:rPr>
      </w:pPr>
    </w:p>
    <w:p w14:paraId="10889112" w14:textId="23635DA8"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При пациенти в старческа възраст може да се наложи корекция на дозата поради отслабване на бъбречната функция с възрастта (вж. таблица 2). При пациентите в старческа възраст е възможно по-често да се появяват сомнолентност, периферен оток и астения.</w:t>
      </w:r>
    </w:p>
    <w:p w14:paraId="2FC26723" w14:textId="77777777" w:rsidR="00053BD2" w:rsidRPr="00053BD2" w:rsidRDefault="00053BD2" w:rsidP="00053BD2">
      <w:pPr>
        <w:spacing w:line="240" w:lineRule="auto"/>
        <w:rPr>
          <w:rFonts w:eastAsia="Times New Roman" w:cs="Arial"/>
          <w:color w:val="000000"/>
          <w:szCs w:val="20"/>
          <w:u w:val="single"/>
          <w:lang w:eastAsia="bg-BG"/>
        </w:rPr>
      </w:pPr>
    </w:p>
    <w:p w14:paraId="6232242D" w14:textId="243C1370"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Бъбречно увреждане</w:t>
      </w:r>
    </w:p>
    <w:p w14:paraId="7B94570D" w14:textId="77777777" w:rsidR="00053BD2" w:rsidRPr="00053BD2" w:rsidRDefault="00053BD2" w:rsidP="00053BD2">
      <w:pPr>
        <w:rPr>
          <w:rFonts w:eastAsia="Times New Roman" w:cs="Arial"/>
          <w:color w:val="000000"/>
          <w:szCs w:val="20"/>
          <w:lang w:eastAsia="bg-BG"/>
        </w:rPr>
      </w:pPr>
    </w:p>
    <w:p w14:paraId="659B53BF" w14:textId="1C1F484A" w:rsidR="00053BD2" w:rsidRDefault="00053BD2" w:rsidP="00053BD2">
      <w:pPr>
        <w:rPr>
          <w:rFonts w:eastAsia="Times New Roman" w:cs="Arial"/>
          <w:color w:val="000000"/>
          <w:szCs w:val="20"/>
          <w:lang w:eastAsia="bg-BG"/>
        </w:rPr>
      </w:pPr>
      <w:r w:rsidRPr="00053BD2">
        <w:rPr>
          <w:rFonts w:eastAsia="Times New Roman" w:cs="Arial"/>
          <w:color w:val="000000"/>
          <w:szCs w:val="20"/>
          <w:lang w:eastAsia="bg-BG"/>
        </w:rPr>
        <w:lastRenderedPageBreak/>
        <w:t>Корекция на дозата се препоръчва при пациенти с компрометирана бъбречна функция, както е описано в таблица 2, и/или при пациенти на хемодиализа.</w:t>
      </w:r>
    </w:p>
    <w:tbl>
      <w:tblPr>
        <w:tblStyle w:val="TableGrid"/>
        <w:tblW w:w="0" w:type="auto"/>
        <w:tblLook w:val="04A0" w:firstRow="1" w:lastRow="0" w:firstColumn="1" w:lastColumn="0" w:noHBand="0" w:noVBand="1"/>
      </w:tblPr>
      <w:tblGrid>
        <w:gridCol w:w="4680"/>
        <w:gridCol w:w="4670"/>
      </w:tblGrid>
      <w:tr w:rsidR="00053BD2" w14:paraId="5B0F4C6D" w14:textId="77777777" w:rsidTr="00476090">
        <w:tc>
          <w:tcPr>
            <w:tcW w:w="9500" w:type="dxa"/>
            <w:gridSpan w:val="2"/>
          </w:tcPr>
          <w:p w14:paraId="2717E740" w14:textId="5E932C09" w:rsidR="00053BD2" w:rsidRPr="00053BD2" w:rsidRDefault="00053BD2" w:rsidP="00053BD2">
            <w:pPr>
              <w:rPr>
                <w:rFonts w:eastAsia="Times New Roman" w:cs="Arial"/>
                <w:color w:val="000000"/>
                <w:szCs w:val="20"/>
                <w:lang w:eastAsia="bg-BG"/>
              </w:rPr>
            </w:pPr>
            <w:r w:rsidRPr="00053BD2">
              <w:rPr>
                <w:szCs w:val="20"/>
              </w:rPr>
              <w:t>Таблица 2</w:t>
            </w:r>
          </w:p>
        </w:tc>
      </w:tr>
      <w:tr w:rsidR="00053BD2" w14:paraId="671385AB" w14:textId="77777777" w:rsidTr="00E40BA9">
        <w:tc>
          <w:tcPr>
            <w:tcW w:w="9500" w:type="dxa"/>
            <w:gridSpan w:val="2"/>
          </w:tcPr>
          <w:p w14:paraId="4C8D62C9" w14:textId="5582484D" w:rsidR="00053BD2" w:rsidRPr="00053BD2" w:rsidRDefault="00053BD2" w:rsidP="00053BD2">
            <w:pPr>
              <w:rPr>
                <w:rFonts w:eastAsia="Times New Roman" w:cs="Arial"/>
                <w:color w:val="000000"/>
                <w:szCs w:val="20"/>
                <w:lang w:eastAsia="bg-BG"/>
              </w:rPr>
            </w:pPr>
            <w:r w:rsidRPr="00053BD2">
              <w:rPr>
                <w:szCs w:val="20"/>
              </w:rPr>
              <w:t>ДОЗИРАНЕ НА ГАБАПЕНТИН ПРИ ВЪЗРАСТНИ СПОРЕД БЪБРЕЧНАТА ФУНКЦИЯ</w:t>
            </w:r>
          </w:p>
        </w:tc>
      </w:tr>
      <w:tr w:rsidR="00053BD2" w14:paraId="3B27D649" w14:textId="77777777" w:rsidTr="00053BD2">
        <w:tc>
          <w:tcPr>
            <w:tcW w:w="4750" w:type="dxa"/>
          </w:tcPr>
          <w:p w14:paraId="72FBEA5A" w14:textId="1CD0171B" w:rsidR="00053BD2" w:rsidRPr="00053BD2" w:rsidRDefault="00053BD2" w:rsidP="00053BD2">
            <w:pPr>
              <w:rPr>
                <w:rFonts w:eastAsia="Times New Roman" w:cs="Arial"/>
                <w:color w:val="000000"/>
                <w:szCs w:val="20"/>
                <w:lang w:eastAsia="bg-BG"/>
              </w:rPr>
            </w:pPr>
            <w:r w:rsidRPr="00053BD2">
              <w:rPr>
                <w:szCs w:val="20"/>
              </w:rPr>
              <w:t xml:space="preserve">Креатининов клирънс </w:t>
            </w:r>
            <w:r w:rsidRPr="00053BD2">
              <w:rPr>
                <w:szCs w:val="20"/>
                <w:lang w:val="en-US"/>
              </w:rPr>
              <w:t>(ml/min)</w:t>
            </w:r>
          </w:p>
        </w:tc>
        <w:tc>
          <w:tcPr>
            <w:tcW w:w="4750" w:type="dxa"/>
          </w:tcPr>
          <w:p w14:paraId="455A7ADA" w14:textId="761334A8" w:rsidR="00053BD2" w:rsidRPr="00053BD2" w:rsidRDefault="00053BD2" w:rsidP="00053BD2">
            <w:pPr>
              <w:rPr>
                <w:rFonts w:eastAsia="Times New Roman" w:cs="Arial"/>
                <w:color w:val="000000"/>
                <w:szCs w:val="20"/>
                <w:lang w:eastAsia="bg-BG"/>
              </w:rPr>
            </w:pPr>
            <w:r w:rsidRPr="00053BD2">
              <w:rPr>
                <w:szCs w:val="20"/>
              </w:rPr>
              <w:t>Обща дневна доза</w:t>
            </w:r>
            <w:r w:rsidRPr="00053BD2">
              <w:rPr>
                <w:szCs w:val="20"/>
                <w:vertAlign w:val="superscript"/>
              </w:rPr>
              <w:t>а</w:t>
            </w:r>
            <w:r w:rsidRPr="00053BD2">
              <w:rPr>
                <w:szCs w:val="20"/>
              </w:rPr>
              <w:t xml:space="preserve"> </w:t>
            </w:r>
            <w:r w:rsidRPr="00053BD2">
              <w:rPr>
                <w:szCs w:val="20"/>
                <w:lang w:val="en-US"/>
              </w:rPr>
              <w:t>(mg</w:t>
            </w:r>
            <w:r w:rsidRPr="00053BD2">
              <w:rPr>
                <w:szCs w:val="20"/>
              </w:rPr>
              <w:t>/ден)</w:t>
            </w:r>
          </w:p>
        </w:tc>
      </w:tr>
      <w:tr w:rsidR="00053BD2" w14:paraId="256354C1" w14:textId="77777777" w:rsidTr="00053BD2">
        <w:tc>
          <w:tcPr>
            <w:tcW w:w="4750" w:type="dxa"/>
          </w:tcPr>
          <w:p w14:paraId="0254873D" w14:textId="59D806AB" w:rsidR="00053BD2" w:rsidRPr="00053BD2" w:rsidRDefault="00053BD2" w:rsidP="00053BD2">
            <w:pPr>
              <w:rPr>
                <w:rFonts w:eastAsia="Times New Roman" w:cs="Arial"/>
                <w:color w:val="000000"/>
                <w:szCs w:val="20"/>
                <w:lang w:eastAsia="bg-BG"/>
              </w:rPr>
            </w:pPr>
            <w:r w:rsidRPr="00053BD2">
              <w:rPr>
                <w:szCs w:val="20"/>
              </w:rPr>
              <w:t>≥80</w:t>
            </w:r>
          </w:p>
        </w:tc>
        <w:tc>
          <w:tcPr>
            <w:tcW w:w="4750" w:type="dxa"/>
          </w:tcPr>
          <w:p w14:paraId="7FD4E508" w14:textId="4F84AEDA" w:rsidR="00053BD2" w:rsidRPr="00053BD2" w:rsidRDefault="00053BD2" w:rsidP="00053BD2">
            <w:pPr>
              <w:rPr>
                <w:rFonts w:eastAsia="Times New Roman" w:cs="Arial"/>
                <w:color w:val="000000"/>
                <w:szCs w:val="20"/>
                <w:lang w:eastAsia="bg-BG"/>
              </w:rPr>
            </w:pPr>
            <w:r w:rsidRPr="00053BD2">
              <w:rPr>
                <w:szCs w:val="20"/>
              </w:rPr>
              <w:t>900-3600</w:t>
            </w:r>
          </w:p>
        </w:tc>
      </w:tr>
      <w:tr w:rsidR="00053BD2" w14:paraId="13033CE8" w14:textId="77777777" w:rsidTr="00053BD2">
        <w:tc>
          <w:tcPr>
            <w:tcW w:w="4750" w:type="dxa"/>
          </w:tcPr>
          <w:p w14:paraId="6EB7296E" w14:textId="3034CE24" w:rsidR="00053BD2" w:rsidRPr="00053BD2" w:rsidRDefault="00053BD2" w:rsidP="00053BD2">
            <w:pPr>
              <w:rPr>
                <w:rFonts w:eastAsia="Times New Roman" w:cs="Arial"/>
                <w:color w:val="000000"/>
                <w:szCs w:val="20"/>
                <w:lang w:eastAsia="bg-BG"/>
              </w:rPr>
            </w:pPr>
            <w:r w:rsidRPr="00053BD2">
              <w:rPr>
                <w:szCs w:val="20"/>
              </w:rPr>
              <w:t>50-79</w:t>
            </w:r>
          </w:p>
        </w:tc>
        <w:tc>
          <w:tcPr>
            <w:tcW w:w="4750" w:type="dxa"/>
          </w:tcPr>
          <w:p w14:paraId="03BD5F72" w14:textId="74D518F6" w:rsidR="00053BD2" w:rsidRPr="00053BD2" w:rsidRDefault="00053BD2" w:rsidP="00053BD2">
            <w:pPr>
              <w:rPr>
                <w:rFonts w:eastAsia="Times New Roman" w:cs="Arial"/>
                <w:color w:val="000000"/>
                <w:szCs w:val="20"/>
                <w:lang w:eastAsia="bg-BG"/>
              </w:rPr>
            </w:pPr>
            <w:r w:rsidRPr="00053BD2">
              <w:rPr>
                <w:szCs w:val="20"/>
              </w:rPr>
              <w:t>600-1800</w:t>
            </w:r>
          </w:p>
        </w:tc>
      </w:tr>
      <w:tr w:rsidR="00053BD2" w14:paraId="71D52E92" w14:textId="77777777" w:rsidTr="00053BD2">
        <w:tc>
          <w:tcPr>
            <w:tcW w:w="4750" w:type="dxa"/>
          </w:tcPr>
          <w:p w14:paraId="7E44555D" w14:textId="2E2B8610" w:rsidR="00053BD2" w:rsidRPr="00053BD2" w:rsidRDefault="00053BD2" w:rsidP="00053BD2">
            <w:pPr>
              <w:rPr>
                <w:rFonts w:eastAsia="Times New Roman" w:cs="Arial"/>
                <w:color w:val="000000"/>
                <w:szCs w:val="20"/>
                <w:lang w:eastAsia="bg-BG"/>
              </w:rPr>
            </w:pPr>
            <w:r w:rsidRPr="00053BD2">
              <w:rPr>
                <w:szCs w:val="20"/>
              </w:rPr>
              <w:t>30-49</w:t>
            </w:r>
          </w:p>
        </w:tc>
        <w:tc>
          <w:tcPr>
            <w:tcW w:w="4750" w:type="dxa"/>
          </w:tcPr>
          <w:p w14:paraId="1E8BBCC2" w14:textId="56C2CE7B" w:rsidR="00053BD2" w:rsidRPr="00053BD2" w:rsidRDefault="00053BD2" w:rsidP="00053BD2">
            <w:pPr>
              <w:rPr>
                <w:rFonts w:eastAsia="Times New Roman" w:cs="Arial"/>
                <w:color w:val="000000"/>
                <w:szCs w:val="20"/>
                <w:lang w:eastAsia="bg-BG"/>
              </w:rPr>
            </w:pPr>
            <w:r w:rsidRPr="00053BD2">
              <w:rPr>
                <w:szCs w:val="20"/>
              </w:rPr>
              <w:t>300 - 900</w:t>
            </w:r>
          </w:p>
        </w:tc>
      </w:tr>
      <w:tr w:rsidR="00053BD2" w14:paraId="2D58E2D3" w14:textId="77777777" w:rsidTr="00053BD2">
        <w:tc>
          <w:tcPr>
            <w:tcW w:w="4750" w:type="dxa"/>
          </w:tcPr>
          <w:p w14:paraId="1A689DEA" w14:textId="0A782725" w:rsidR="00053BD2" w:rsidRPr="00053BD2" w:rsidRDefault="00053BD2" w:rsidP="00053BD2">
            <w:pPr>
              <w:rPr>
                <w:rFonts w:eastAsia="Times New Roman" w:cs="Arial"/>
                <w:color w:val="000000"/>
                <w:szCs w:val="20"/>
                <w:lang w:eastAsia="bg-BG"/>
              </w:rPr>
            </w:pPr>
            <w:r w:rsidRPr="00053BD2">
              <w:rPr>
                <w:szCs w:val="20"/>
              </w:rPr>
              <w:t>15-29</w:t>
            </w:r>
          </w:p>
        </w:tc>
        <w:tc>
          <w:tcPr>
            <w:tcW w:w="4750" w:type="dxa"/>
          </w:tcPr>
          <w:p w14:paraId="3A7ECBB0" w14:textId="3E825D7B" w:rsidR="00053BD2" w:rsidRPr="00053BD2" w:rsidRDefault="00053BD2" w:rsidP="00053BD2">
            <w:pPr>
              <w:rPr>
                <w:rFonts w:eastAsia="Times New Roman" w:cs="Arial"/>
                <w:color w:val="000000"/>
                <w:szCs w:val="20"/>
                <w:lang w:eastAsia="bg-BG"/>
              </w:rPr>
            </w:pPr>
            <w:r w:rsidRPr="00053BD2">
              <w:rPr>
                <w:szCs w:val="20"/>
              </w:rPr>
              <w:t>150</w:t>
            </w:r>
            <w:r w:rsidRPr="00053BD2">
              <w:rPr>
                <w:szCs w:val="20"/>
                <w:vertAlign w:val="superscript"/>
              </w:rPr>
              <w:t>б</w:t>
            </w:r>
            <w:r w:rsidRPr="00053BD2">
              <w:rPr>
                <w:szCs w:val="20"/>
              </w:rPr>
              <w:t>-600</w:t>
            </w:r>
          </w:p>
        </w:tc>
      </w:tr>
      <w:tr w:rsidR="00053BD2" w14:paraId="54F2C413" w14:textId="77777777" w:rsidTr="00053BD2">
        <w:tc>
          <w:tcPr>
            <w:tcW w:w="4750" w:type="dxa"/>
          </w:tcPr>
          <w:p w14:paraId="460281DB" w14:textId="2A490383" w:rsidR="00053BD2" w:rsidRPr="00053BD2" w:rsidRDefault="00053BD2" w:rsidP="00053BD2">
            <w:pPr>
              <w:rPr>
                <w:rFonts w:eastAsia="Times New Roman" w:cs="Arial"/>
                <w:color w:val="000000"/>
                <w:szCs w:val="20"/>
                <w:lang w:eastAsia="bg-BG"/>
              </w:rPr>
            </w:pPr>
            <w:r w:rsidRPr="00053BD2">
              <w:rPr>
                <w:szCs w:val="20"/>
              </w:rPr>
              <w:t>&lt;15</w:t>
            </w:r>
            <w:r w:rsidRPr="00053BD2">
              <w:rPr>
                <w:szCs w:val="20"/>
                <w:vertAlign w:val="superscript"/>
              </w:rPr>
              <w:t>в</w:t>
            </w:r>
          </w:p>
        </w:tc>
        <w:tc>
          <w:tcPr>
            <w:tcW w:w="4750" w:type="dxa"/>
          </w:tcPr>
          <w:p w14:paraId="693C9A27" w14:textId="4E188B89" w:rsidR="00053BD2" w:rsidRPr="00053BD2" w:rsidRDefault="00053BD2" w:rsidP="00053BD2">
            <w:pPr>
              <w:rPr>
                <w:rFonts w:eastAsia="Times New Roman" w:cs="Arial"/>
                <w:color w:val="000000"/>
                <w:szCs w:val="20"/>
                <w:lang w:eastAsia="bg-BG"/>
              </w:rPr>
            </w:pPr>
            <w:r w:rsidRPr="00053BD2">
              <w:rPr>
                <w:szCs w:val="20"/>
              </w:rPr>
              <w:t>150</w:t>
            </w:r>
            <w:r w:rsidRPr="00053BD2">
              <w:rPr>
                <w:szCs w:val="20"/>
                <w:vertAlign w:val="superscript"/>
              </w:rPr>
              <w:t>б</w:t>
            </w:r>
            <w:r w:rsidRPr="00053BD2">
              <w:rPr>
                <w:szCs w:val="20"/>
              </w:rPr>
              <w:t>-300</w:t>
            </w:r>
          </w:p>
        </w:tc>
      </w:tr>
    </w:tbl>
    <w:p w14:paraId="548EB155" w14:textId="77777777" w:rsidR="00053BD2" w:rsidRPr="00053BD2" w:rsidRDefault="00053BD2" w:rsidP="00053BD2">
      <w:pPr>
        <w:spacing w:line="240" w:lineRule="auto"/>
        <w:rPr>
          <w:rFonts w:eastAsia="Times New Roman" w:cs="Arial"/>
          <w:szCs w:val="20"/>
          <w:lang w:eastAsia="bg-BG"/>
        </w:rPr>
      </w:pPr>
      <w:r w:rsidRPr="00053BD2">
        <w:rPr>
          <w:rFonts w:eastAsia="Times New Roman" w:cs="Arial"/>
          <w:color w:val="000000"/>
          <w:szCs w:val="20"/>
          <w:vertAlign w:val="superscript"/>
          <w:lang w:eastAsia="bg-BG"/>
        </w:rPr>
        <w:t>а</w:t>
      </w:r>
      <w:r w:rsidRPr="00053BD2">
        <w:rPr>
          <w:rFonts w:eastAsia="Times New Roman" w:cs="Arial"/>
          <w:color w:val="000000"/>
          <w:szCs w:val="20"/>
          <w:lang w:eastAsia="bg-BG"/>
        </w:rPr>
        <w:t xml:space="preserve">Общата дневна доза трябва да се прилага разделена в три равни единични дози. Редуцираните дози се използват при пациенти с бъбречно увреждане (креатининов клирънс &lt;79 </w:t>
      </w:r>
      <w:r w:rsidRPr="00053BD2">
        <w:rPr>
          <w:rFonts w:eastAsia="Times New Roman" w:cs="Arial"/>
          <w:color w:val="000000"/>
          <w:szCs w:val="20"/>
          <w:lang w:val="en-US"/>
        </w:rPr>
        <w:t>ml/min).</w:t>
      </w:r>
    </w:p>
    <w:p w14:paraId="0135ECF0" w14:textId="77777777" w:rsidR="00053BD2" w:rsidRPr="00053BD2" w:rsidRDefault="00053BD2" w:rsidP="00053BD2">
      <w:pPr>
        <w:spacing w:line="240" w:lineRule="auto"/>
        <w:rPr>
          <w:rFonts w:eastAsia="Times New Roman" w:cs="Arial"/>
          <w:szCs w:val="20"/>
          <w:lang w:eastAsia="bg-BG"/>
        </w:rPr>
      </w:pPr>
      <w:r w:rsidRPr="00053BD2">
        <w:rPr>
          <w:rFonts w:eastAsia="Times New Roman" w:cs="Arial"/>
          <w:color w:val="000000"/>
          <w:szCs w:val="20"/>
          <w:vertAlign w:val="superscript"/>
          <w:lang w:eastAsia="bg-BG"/>
        </w:rPr>
        <w:t>б</w:t>
      </w:r>
      <w:r w:rsidRPr="00053BD2">
        <w:rPr>
          <w:rFonts w:eastAsia="Times New Roman" w:cs="Arial"/>
          <w:color w:val="000000"/>
          <w:szCs w:val="20"/>
          <w:lang w:eastAsia="bg-BG"/>
        </w:rPr>
        <w:t xml:space="preserve">Дневната доза от 150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да се прилага като 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през ден.</w:t>
      </w:r>
    </w:p>
    <w:p w14:paraId="0CCF6B9D" w14:textId="77777777" w:rsidR="00053BD2" w:rsidRPr="00053BD2" w:rsidRDefault="00053BD2" w:rsidP="00053BD2">
      <w:pPr>
        <w:spacing w:line="240" w:lineRule="auto"/>
        <w:rPr>
          <w:rFonts w:eastAsia="Times New Roman" w:cs="Arial"/>
          <w:szCs w:val="20"/>
          <w:lang w:eastAsia="bg-BG"/>
        </w:rPr>
      </w:pPr>
      <w:r w:rsidRPr="00053BD2">
        <w:rPr>
          <w:rFonts w:eastAsia="Times New Roman" w:cs="Arial"/>
          <w:color w:val="000000"/>
          <w:szCs w:val="20"/>
          <w:vertAlign w:val="superscript"/>
          <w:lang w:eastAsia="bg-BG"/>
        </w:rPr>
        <w:t>в</w:t>
      </w:r>
      <w:r w:rsidRPr="00053BD2">
        <w:rPr>
          <w:rFonts w:eastAsia="Times New Roman" w:cs="Arial"/>
          <w:color w:val="000000"/>
          <w:szCs w:val="20"/>
          <w:lang w:eastAsia="bg-BG"/>
        </w:rPr>
        <w:t xml:space="preserve">При пациенти с креатининов клирънс &lt;15 </w:t>
      </w:r>
      <w:r w:rsidRPr="00053BD2">
        <w:rPr>
          <w:rFonts w:eastAsia="Times New Roman" w:cs="Arial"/>
          <w:color w:val="000000"/>
          <w:szCs w:val="20"/>
          <w:lang w:val="en-US"/>
        </w:rPr>
        <w:t xml:space="preserve">ml/min </w:t>
      </w:r>
      <w:r w:rsidRPr="00053BD2">
        <w:rPr>
          <w:rFonts w:eastAsia="Times New Roman" w:cs="Arial"/>
          <w:color w:val="000000"/>
          <w:szCs w:val="20"/>
          <w:lang w:eastAsia="bg-BG"/>
        </w:rPr>
        <w:t xml:space="preserve">дневната доза трябва да се намали пропорционално на креатининовия клирънс (напр. пациенти с креатининов клирънс 7,5 </w:t>
      </w:r>
      <w:r w:rsidRPr="00053BD2">
        <w:rPr>
          <w:rFonts w:eastAsia="Times New Roman" w:cs="Arial"/>
          <w:color w:val="000000"/>
          <w:szCs w:val="20"/>
          <w:lang w:val="en-US"/>
        </w:rPr>
        <w:t xml:space="preserve">ml/min </w:t>
      </w:r>
      <w:r w:rsidRPr="00053BD2">
        <w:rPr>
          <w:rFonts w:eastAsia="Times New Roman" w:cs="Arial"/>
          <w:color w:val="000000"/>
          <w:szCs w:val="20"/>
          <w:lang w:eastAsia="bg-BG"/>
        </w:rPr>
        <w:t xml:space="preserve">трябва да получават половината от дневната доза, която получават пациентите с креатининов клирънс 15 </w:t>
      </w:r>
      <w:r w:rsidRPr="00053BD2">
        <w:rPr>
          <w:rFonts w:eastAsia="Times New Roman" w:cs="Arial"/>
          <w:color w:val="000000"/>
          <w:szCs w:val="20"/>
          <w:lang w:val="en-US"/>
        </w:rPr>
        <w:t>ml/min).</w:t>
      </w:r>
    </w:p>
    <w:p w14:paraId="76E58A04" w14:textId="77777777" w:rsidR="00053BD2" w:rsidRPr="00053BD2" w:rsidRDefault="00053BD2" w:rsidP="00053BD2">
      <w:pPr>
        <w:spacing w:line="240" w:lineRule="auto"/>
        <w:rPr>
          <w:rFonts w:eastAsia="Times New Roman" w:cs="Arial"/>
          <w:color w:val="000000"/>
          <w:szCs w:val="20"/>
          <w:u w:val="single"/>
          <w:lang w:eastAsia="bg-BG"/>
        </w:rPr>
      </w:pPr>
    </w:p>
    <w:p w14:paraId="0C6010E6" w14:textId="0FF2F674" w:rsidR="00053BD2" w:rsidRPr="00053BD2" w:rsidRDefault="00053BD2" w:rsidP="00053BD2">
      <w:pPr>
        <w:spacing w:line="240" w:lineRule="auto"/>
        <w:rPr>
          <w:rFonts w:eastAsia="Times New Roman" w:cs="Arial"/>
          <w:szCs w:val="20"/>
          <w:lang w:eastAsia="bg-BG"/>
        </w:rPr>
      </w:pPr>
      <w:r w:rsidRPr="00053BD2">
        <w:rPr>
          <w:rFonts w:eastAsia="Times New Roman" w:cs="Arial"/>
          <w:color w:val="000000"/>
          <w:szCs w:val="20"/>
          <w:u w:val="single"/>
          <w:lang w:eastAsia="bg-BG"/>
        </w:rPr>
        <w:t>Употреба при пациента на хемодиализа</w:t>
      </w:r>
    </w:p>
    <w:p w14:paraId="3B77A750" w14:textId="77777777" w:rsidR="00053BD2" w:rsidRPr="00053BD2" w:rsidRDefault="00053BD2" w:rsidP="00053BD2">
      <w:pPr>
        <w:rPr>
          <w:rFonts w:eastAsia="Times New Roman" w:cs="Arial"/>
          <w:color w:val="000000"/>
          <w:szCs w:val="20"/>
          <w:lang w:eastAsia="bg-BG"/>
        </w:rPr>
      </w:pPr>
    </w:p>
    <w:p w14:paraId="7725028A" w14:textId="686C102B" w:rsidR="00053BD2" w:rsidRDefault="00053BD2" w:rsidP="00053BD2">
      <w:pPr>
        <w:rPr>
          <w:rFonts w:eastAsia="Times New Roman" w:cs="Arial"/>
          <w:color w:val="000000"/>
          <w:szCs w:val="20"/>
          <w:lang w:eastAsia="bg-BG"/>
        </w:rPr>
      </w:pPr>
      <w:r w:rsidRPr="00053BD2">
        <w:rPr>
          <w:rFonts w:eastAsia="Times New Roman" w:cs="Arial"/>
          <w:color w:val="000000"/>
          <w:szCs w:val="20"/>
          <w:lang w:eastAsia="bg-BG"/>
        </w:rPr>
        <w:t xml:space="preserve">При анурични пациента на хемодиализа, които никога не са получавали габапентин, се препоръчва натоварваща доза от 300 до 400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 xml:space="preserve">след това се приемат от 200 до 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габапентин, след всеки 4 часа хемодиализа. В дните без хемодиализа не трябва да се прилага  лечение с габапентин.</w:t>
      </w:r>
    </w:p>
    <w:p w14:paraId="14B540C7" w14:textId="0882CF23" w:rsidR="00053BD2" w:rsidRDefault="00053BD2" w:rsidP="00053BD2">
      <w:pPr>
        <w:rPr>
          <w:rFonts w:eastAsia="Times New Roman" w:cs="Arial"/>
          <w:color w:val="000000"/>
          <w:szCs w:val="20"/>
          <w:lang w:eastAsia="bg-BG"/>
        </w:rPr>
      </w:pPr>
    </w:p>
    <w:p w14:paraId="5257FC76" w14:textId="7777777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При пациентите с увредена бъбречна функция на хемодиализа поддържащата доза на габапентин трябва да е съобразена с препоръките за дозиране, представени в таблица 2. В допълнение към поддържащата доза се препоръчва допълнително след всеки 4 часа хемодиализа да се приемат от 200 до 300 </w:t>
      </w:r>
      <w:r w:rsidRPr="00053BD2">
        <w:rPr>
          <w:rFonts w:eastAsia="Times New Roman" w:cs="Arial"/>
          <w:color w:val="000000"/>
          <w:szCs w:val="20"/>
          <w:lang w:val="en-US"/>
        </w:rPr>
        <w:t xml:space="preserve">mg </w:t>
      </w:r>
      <w:r w:rsidRPr="00053BD2">
        <w:rPr>
          <w:rFonts w:eastAsia="Times New Roman" w:cs="Arial"/>
          <w:color w:val="000000"/>
          <w:szCs w:val="20"/>
          <w:lang w:eastAsia="bg-BG"/>
        </w:rPr>
        <w:t>габапентин.</w:t>
      </w:r>
    </w:p>
    <w:p w14:paraId="15B89C49" w14:textId="77777777" w:rsidR="00053BD2" w:rsidRPr="00053BD2" w:rsidRDefault="00053BD2" w:rsidP="00053BD2">
      <w:pPr>
        <w:spacing w:line="240" w:lineRule="auto"/>
        <w:rPr>
          <w:rFonts w:eastAsia="Times New Roman" w:cs="Arial"/>
          <w:color w:val="000000"/>
          <w:szCs w:val="20"/>
          <w:u w:val="single"/>
          <w:lang w:eastAsia="bg-BG"/>
        </w:rPr>
      </w:pPr>
    </w:p>
    <w:p w14:paraId="147D1ED3" w14:textId="3F395682" w:rsidR="00053BD2" w:rsidRPr="00BB12F0" w:rsidRDefault="00053BD2" w:rsidP="00BB12F0">
      <w:pPr>
        <w:pStyle w:val="Heading3"/>
        <w:rPr>
          <w:rFonts w:eastAsia="Times New Roman"/>
          <w:sz w:val="28"/>
          <w:u w:val="single"/>
          <w:lang w:eastAsia="bg-BG"/>
        </w:rPr>
      </w:pPr>
      <w:r w:rsidRPr="00BB12F0">
        <w:rPr>
          <w:rFonts w:eastAsia="Times New Roman"/>
          <w:u w:val="single"/>
          <w:lang w:eastAsia="bg-BG"/>
        </w:rPr>
        <w:t>Начин на приложение</w:t>
      </w:r>
    </w:p>
    <w:p w14:paraId="32D772C6" w14:textId="77777777" w:rsidR="00053BD2" w:rsidRPr="00053BD2" w:rsidRDefault="00053BD2" w:rsidP="00053BD2">
      <w:pPr>
        <w:spacing w:line="240" w:lineRule="auto"/>
        <w:rPr>
          <w:rFonts w:eastAsia="Times New Roman" w:cs="Arial"/>
          <w:color w:val="000000"/>
          <w:szCs w:val="20"/>
          <w:lang w:eastAsia="bg-BG"/>
        </w:rPr>
      </w:pPr>
    </w:p>
    <w:p w14:paraId="1F1443F8" w14:textId="665054F0"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За перорално приложение.</w:t>
      </w:r>
    </w:p>
    <w:p w14:paraId="5117B0F6" w14:textId="77777777" w:rsidR="00053BD2" w:rsidRPr="00053BD2" w:rsidRDefault="00053BD2" w:rsidP="00053BD2">
      <w:pPr>
        <w:rPr>
          <w:rFonts w:eastAsia="Times New Roman" w:cs="Arial"/>
          <w:color w:val="000000"/>
          <w:szCs w:val="20"/>
          <w:lang w:eastAsia="bg-BG"/>
        </w:rPr>
      </w:pPr>
    </w:p>
    <w:p w14:paraId="1D513813" w14:textId="0E5AEBE0" w:rsidR="00053BD2" w:rsidRPr="00053BD2" w:rsidRDefault="00053BD2" w:rsidP="00053BD2">
      <w:pPr>
        <w:rPr>
          <w:rFonts w:eastAsia="Times New Roman" w:cs="Arial"/>
          <w:color w:val="000000"/>
          <w:sz w:val="24"/>
          <w:szCs w:val="20"/>
          <w:lang w:eastAsia="bg-BG"/>
        </w:rPr>
      </w:pPr>
      <w:r w:rsidRPr="00053BD2">
        <w:rPr>
          <w:rFonts w:eastAsia="Times New Roman" w:cs="Arial"/>
          <w:color w:val="000000"/>
          <w:szCs w:val="20"/>
          <w:lang w:eastAsia="bg-BG"/>
        </w:rPr>
        <w:t>Габапентин може да се прилага със или без храна и капсулата трябва да се поглъща цяла с достатъчно количество течност (напр. с чаша вода).</w:t>
      </w:r>
    </w:p>
    <w:p w14:paraId="0FFEAD4E" w14:textId="77777777" w:rsidR="00053BD2" w:rsidRPr="00053BD2" w:rsidRDefault="00053BD2" w:rsidP="00053BD2">
      <w:pPr>
        <w:rPr>
          <w:rFonts w:eastAsia="Times New Roman" w:cs="Arial"/>
          <w:color w:val="000000"/>
          <w:szCs w:val="20"/>
          <w:lang w:eastAsia="bg-BG"/>
        </w:rPr>
      </w:pPr>
    </w:p>
    <w:p w14:paraId="1CE6BF17" w14:textId="77777777" w:rsidR="00053BD2" w:rsidRPr="00053BD2" w:rsidRDefault="00053BD2" w:rsidP="00053BD2"/>
    <w:p w14:paraId="28C984E8" w14:textId="02A67A75" w:rsidR="008134C8" w:rsidRDefault="002C50EE" w:rsidP="004A448E">
      <w:pPr>
        <w:pStyle w:val="Heading2"/>
      </w:pPr>
      <w:r>
        <w:t>4.3. Противопоказания</w:t>
      </w:r>
    </w:p>
    <w:p w14:paraId="47B48391" w14:textId="732819D5" w:rsidR="00053BD2" w:rsidRPr="00053BD2" w:rsidRDefault="00053BD2" w:rsidP="00053BD2">
      <w:pPr>
        <w:rPr>
          <w:sz w:val="24"/>
        </w:rPr>
      </w:pPr>
    </w:p>
    <w:p w14:paraId="6473EE26" w14:textId="4B6A68AD" w:rsidR="00053BD2" w:rsidRPr="00053BD2" w:rsidRDefault="00053BD2" w:rsidP="00053BD2">
      <w:pPr>
        <w:rPr>
          <w:szCs w:val="20"/>
        </w:rPr>
      </w:pPr>
      <w:r w:rsidRPr="00053BD2">
        <w:rPr>
          <w:szCs w:val="20"/>
        </w:rPr>
        <w:t>Свръхчувствителност към активното вещество или към някое от помощните вещества, изброени в точка 6.1.</w:t>
      </w:r>
    </w:p>
    <w:p w14:paraId="4C3E7FA0" w14:textId="77777777" w:rsidR="00053BD2" w:rsidRPr="00053BD2" w:rsidRDefault="00053BD2" w:rsidP="00053BD2"/>
    <w:p w14:paraId="212F509C" w14:textId="14B3019B" w:rsidR="004F498A" w:rsidRDefault="002C50EE" w:rsidP="004A448E">
      <w:pPr>
        <w:pStyle w:val="Heading2"/>
      </w:pPr>
      <w:r>
        <w:t>4.4. Специални предупреждения и предпазни мерки при употреба</w:t>
      </w:r>
    </w:p>
    <w:p w14:paraId="3251610A" w14:textId="77048C47" w:rsidR="00053BD2" w:rsidRDefault="00053BD2" w:rsidP="00053BD2"/>
    <w:p w14:paraId="59A60B4F" w14:textId="77777777"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lastRenderedPageBreak/>
        <w:t xml:space="preserve">Лекарствен обрив с еозинофилия и системни симптоми </w:t>
      </w:r>
      <w:r w:rsidRPr="00053BD2">
        <w:rPr>
          <w:rFonts w:eastAsia="Times New Roman" w:cs="Arial"/>
          <w:color w:val="000000"/>
          <w:szCs w:val="20"/>
          <w:u w:val="single"/>
          <w:lang w:val="en-US"/>
        </w:rPr>
        <w:t>(Drug Rash with Eosinophilia and Systemic Symptoms. DRESS)</w:t>
      </w:r>
    </w:p>
    <w:p w14:paraId="75B50B35" w14:textId="77777777" w:rsidR="00053BD2" w:rsidRPr="00A811DB" w:rsidRDefault="00053BD2" w:rsidP="00053BD2">
      <w:pPr>
        <w:spacing w:line="240" w:lineRule="auto"/>
        <w:rPr>
          <w:rFonts w:eastAsia="Times New Roman" w:cs="Arial"/>
          <w:color w:val="000000"/>
          <w:szCs w:val="20"/>
          <w:lang w:eastAsia="bg-BG"/>
        </w:rPr>
      </w:pPr>
    </w:p>
    <w:p w14:paraId="520CB036" w14:textId="545FAE78"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При пациентите, приемащи антиепилептични лекарства, включително габапентин, се съобщава за тежки, живото застрашаващи системни реакции на свръхчувствителност, като лекарствен обрив с еозинофилия и системни симптоми </w:t>
      </w:r>
      <w:r w:rsidRPr="00053BD2">
        <w:rPr>
          <w:rFonts w:eastAsia="Times New Roman" w:cs="Arial"/>
          <w:color w:val="000000"/>
          <w:szCs w:val="20"/>
          <w:lang w:val="en-US"/>
        </w:rPr>
        <w:t xml:space="preserve">(Drug Rash with Eosinophilia and Systemic Symptoms, DRESS) </w:t>
      </w:r>
      <w:r w:rsidRPr="00053BD2">
        <w:rPr>
          <w:rFonts w:eastAsia="Times New Roman" w:cs="Arial"/>
          <w:color w:val="000000"/>
          <w:szCs w:val="20"/>
          <w:lang w:eastAsia="bg-BG"/>
        </w:rPr>
        <w:t xml:space="preserve">(вж. точка </w:t>
      </w:r>
      <w:r w:rsidRPr="00053BD2">
        <w:rPr>
          <w:rFonts w:eastAsia="Times New Roman" w:cs="Arial"/>
          <w:color w:val="000000"/>
          <w:szCs w:val="20"/>
          <w:lang w:val="en-US"/>
        </w:rPr>
        <w:t>4.8).</w:t>
      </w:r>
    </w:p>
    <w:p w14:paraId="55DBB4CD" w14:textId="77777777" w:rsidR="00053BD2" w:rsidRPr="00A811DB" w:rsidRDefault="00053BD2" w:rsidP="00053BD2">
      <w:pPr>
        <w:spacing w:line="240" w:lineRule="auto"/>
        <w:rPr>
          <w:rFonts w:eastAsia="Times New Roman" w:cs="Arial"/>
          <w:color w:val="000000"/>
          <w:szCs w:val="20"/>
          <w:lang w:eastAsia="bg-BG"/>
        </w:rPr>
      </w:pPr>
    </w:p>
    <w:p w14:paraId="4BD0F1A4" w14:textId="3D7BEA63"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Важно е да се отбележи, че ранните симптоми на свръхчувствителност, като треска или лимфаденопатия, могат да се наблюдават и без наличие на видим обрив. При поява на такива признаци и симптоми състоянието на пациента трябва да се оцени незабавно. Приемът на габапентин трябва да бъде прекратен, ако не може да се установи алтернативна етиология на посочените признаци или симптоми.</w:t>
      </w:r>
    </w:p>
    <w:p w14:paraId="5B4AC93E" w14:textId="77777777" w:rsidR="00053BD2" w:rsidRPr="00A811DB" w:rsidRDefault="00053BD2" w:rsidP="00053BD2">
      <w:pPr>
        <w:spacing w:line="240" w:lineRule="auto"/>
        <w:rPr>
          <w:rFonts w:eastAsia="Times New Roman" w:cs="Arial"/>
          <w:color w:val="000000"/>
          <w:szCs w:val="20"/>
          <w:u w:val="single"/>
          <w:lang w:eastAsia="bg-BG"/>
        </w:rPr>
      </w:pPr>
    </w:p>
    <w:p w14:paraId="29D2FB3E" w14:textId="68B3F855"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Анафилаксия</w:t>
      </w:r>
    </w:p>
    <w:p w14:paraId="171C00A4" w14:textId="77777777" w:rsidR="00053BD2" w:rsidRPr="00A811DB" w:rsidRDefault="00053BD2" w:rsidP="00053BD2">
      <w:pPr>
        <w:spacing w:line="240" w:lineRule="auto"/>
        <w:rPr>
          <w:rFonts w:eastAsia="Times New Roman" w:cs="Arial"/>
          <w:color w:val="000000"/>
          <w:szCs w:val="20"/>
          <w:lang w:eastAsia="bg-BG"/>
        </w:rPr>
      </w:pPr>
    </w:p>
    <w:p w14:paraId="1DFD4B1F" w14:textId="5F172CBC"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Габапентин може да предизвика анафилаксия. Признаците и симптомите в докладваните случаи включват затруднено дишане, подуване на устните, гърлото и езика и хипотония и изискват спешно лечение. Пациентите трябва да бъдат инструктирани да спрат приема на габапентин и незабавно да потърсят лекарска помощ, ако почувстват признаци или симптоми на анафилаксия (вж. точка 4.8).</w:t>
      </w:r>
    </w:p>
    <w:p w14:paraId="5202CB8A" w14:textId="77777777" w:rsidR="00053BD2" w:rsidRPr="00A811DB" w:rsidRDefault="00053BD2" w:rsidP="00053BD2">
      <w:pPr>
        <w:spacing w:line="240" w:lineRule="auto"/>
        <w:rPr>
          <w:rFonts w:eastAsia="Times New Roman" w:cs="Arial"/>
          <w:color w:val="000000"/>
          <w:szCs w:val="20"/>
          <w:u w:val="single"/>
          <w:lang w:eastAsia="bg-BG"/>
        </w:rPr>
      </w:pPr>
    </w:p>
    <w:p w14:paraId="1937B6AF" w14:textId="28514CFA"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u w:val="single"/>
          <w:lang w:eastAsia="bg-BG"/>
        </w:rPr>
        <w:t>Суицидна идеация и поведение</w:t>
      </w:r>
    </w:p>
    <w:p w14:paraId="2C5EC77C" w14:textId="77777777" w:rsidR="00A811DB" w:rsidRPr="00A811DB" w:rsidRDefault="00A811DB" w:rsidP="00053BD2">
      <w:pPr>
        <w:spacing w:line="240" w:lineRule="auto"/>
        <w:rPr>
          <w:rFonts w:eastAsia="Times New Roman" w:cs="Arial"/>
          <w:color w:val="000000"/>
          <w:szCs w:val="20"/>
          <w:lang w:eastAsia="bg-BG"/>
        </w:rPr>
      </w:pPr>
    </w:p>
    <w:p w14:paraId="096829ED" w14:textId="332BA4D1"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Съобщавани са суицидна идеация и поведение при пациенти, лекувани с антиепилептични средства за няколко показания. Мета-анализ на рандомизирани плацебо-контролирани проучвания на антиепилептични лекарствени средства също показва леко повишаване на риска от суицидна идеация и поведение. Механизмът на този риск е неизвестен. Случаи на суицидна идеация и поведение са наблюдавани по време на постмаркетинговия опит при пациенти, лекувани с габапентин (вж. точка 4.8).</w:t>
      </w:r>
    </w:p>
    <w:p w14:paraId="655D6C80" w14:textId="77777777" w:rsidR="00A811DB" w:rsidRPr="00A811DB" w:rsidRDefault="00A811DB" w:rsidP="00053BD2">
      <w:pPr>
        <w:spacing w:line="240" w:lineRule="auto"/>
        <w:rPr>
          <w:rFonts w:eastAsia="Times New Roman" w:cs="Arial"/>
          <w:color w:val="000000"/>
          <w:szCs w:val="20"/>
          <w:lang w:eastAsia="bg-BG"/>
        </w:rPr>
      </w:pPr>
    </w:p>
    <w:p w14:paraId="7C1D0E1C" w14:textId="4B17A68E" w:rsidR="00053BD2" w:rsidRPr="00053BD2" w:rsidRDefault="00053BD2" w:rsidP="00053BD2">
      <w:pPr>
        <w:spacing w:line="240" w:lineRule="auto"/>
        <w:rPr>
          <w:rFonts w:eastAsia="Times New Roman" w:cs="Arial"/>
          <w:sz w:val="28"/>
          <w:szCs w:val="24"/>
          <w:lang w:eastAsia="bg-BG"/>
        </w:rPr>
      </w:pPr>
      <w:r w:rsidRPr="00053BD2">
        <w:rPr>
          <w:rFonts w:eastAsia="Times New Roman" w:cs="Arial"/>
          <w:color w:val="000000"/>
          <w:szCs w:val="20"/>
          <w:lang w:eastAsia="bg-BG"/>
        </w:rPr>
        <w:t xml:space="preserve">Пациентите (и лицата, които се грижат за тях) трябва да бъдат посъветвани да потърсят </w:t>
      </w:r>
    </w:p>
    <w:p w14:paraId="04868339" w14:textId="424458D2" w:rsidR="00053BD2" w:rsidRDefault="00053BD2" w:rsidP="00053BD2">
      <w:pPr>
        <w:rPr>
          <w:rFonts w:eastAsia="Times New Roman" w:cs="Arial"/>
          <w:color w:val="000000"/>
          <w:szCs w:val="20"/>
          <w:lang w:eastAsia="bg-BG"/>
        </w:rPr>
      </w:pPr>
      <w:r w:rsidRPr="00A811DB">
        <w:rPr>
          <w:rFonts w:eastAsia="Times New Roman" w:cs="Arial"/>
          <w:color w:val="000000"/>
          <w:szCs w:val="20"/>
          <w:lang w:eastAsia="bg-BG"/>
        </w:rPr>
        <w:t>медицинска помощ при поява на признаци на суицидна идеация или поведение. Пациентите трябва да бъдат наблюдавани за признаци на суицидна идеация и поведения и да се обмисли подходящо лечение. В случай на суицидна идеация или поведение трябва да се обмисли спиране на лечението с габапентин.</w:t>
      </w:r>
    </w:p>
    <w:p w14:paraId="5310524B" w14:textId="3431F791" w:rsidR="00A811DB" w:rsidRDefault="00A811DB" w:rsidP="00053BD2">
      <w:pPr>
        <w:rPr>
          <w:rFonts w:eastAsia="Times New Roman" w:cs="Arial"/>
          <w:color w:val="000000"/>
          <w:szCs w:val="20"/>
          <w:lang w:eastAsia="bg-BG"/>
        </w:rPr>
      </w:pPr>
    </w:p>
    <w:p w14:paraId="2528A635"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Остър панкреатит</w:t>
      </w:r>
    </w:p>
    <w:p w14:paraId="42D2185C" w14:textId="77777777" w:rsidR="00A811DB" w:rsidRPr="00A811DB" w:rsidRDefault="00A811DB" w:rsidP="00A811DB">
      <w:pPr>
        <w:spacing w:line="240" w:lineRule="auto"/>
        <w:rPr>
          <w:rFonts w:eastAsia="Times New Roman" w:cs="Arial"/>
          <w:color w:val="000000"/>
          <w:szCs w:val="20"/>
          <w:lang w:eastAsia="bg-BG"/>
        </w:rPr>
      </w:pPr>
    </w:p>
    <w:p w14:paraId="237D02EB" w14:textId="77D1B322"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Ако пациентът развие остър панкреатит по време на лечение с габапентин, трябва да се обмисли спиране на лечението с габапентин (вж. точка 4.8).</w:t>
      </w:r>
    </w:p>
    <w:p w14:paraId="64A853BB" w14:textId="77777777" w:rsidR="00A811DB" w:rsidRPr="00A811DB" w:rsidRDefault="00A811DB" w:rsidP="00A811DB">
      <w:pPr>
        <w:spacing w:line="240" w:lineRule="auto"/>
        <w:rPr>
          <w:rFonts w:eastAsia="Times New Roman" w:cs="Arial"/>
          <w:color w:val="000000"/>
          <w:szCs w:val="20"/>
          <w:u w:val="single"/>
          <w:lang w:eastAsia="bg-BG"/>
        </w:rPr>
      </w:pPr>
    </w:p>
    <w:p w14:paraId="0DE5A5AD" w14:textId="10FD68C0"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Гърчове</w:t>
      </w:r>
    </w:p>
    <w:p w14:paraId="484DC068" w14:textId="77777777" w:rsidR="00A811DB" w:rsidRPr="00A811DB" w:rsidRDefault="00A811DB" w:rsidP="00A811DB">
      <w:pPr>
        <w:spacing w:line="240" w:lineRule="auto"/>
        <w:rPr>
          <w:rFonts w:eastAsia="Times New Roman" w:cs="Arial"/>
          <w:color w:val="000000"/>
          <w:szCs w:val="20"/>
          <w:lang w:eastAsia="bg-BG"/>
        </w:rPr>
      </w:pPr>
    </w:p>
    <w:p w14:paraId="3E118915" w14:textId="28A11FCD"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Въпреки че няма доказателства за нова поява на гърчове при терапия с габапентин, внезапното прекъсване на антиконвулсантите при пациенти с епилепсия може да отключи „статус епилептикус“ (вж. точка 4.2).</w:t>
      </w:r>
    </w:p>
    <w:p w14:paraId="7710E76B" w14:textId="77777777" w:rsidR="00A811DB" w:rsidRPr="00A811DB" w:rsidRDefault="00A811DB" w:rsidP="00A811DB">
      <w:pPr>
        <w:spacing w:line="240" w:lineRule="auto"/>
        <w:rPr>
          <w:rFonts w:eastAsia="Times New Roman" w:cs="Arial"/>
          <w:color w:val="000000"/>
          <w:szCs w:val="20"/>
          <w:lang w:eastAsia="bg-BG"/>
        </w:rPr>
      </w:pPr>
    </w:p>
    <w:p w14:paraId="41C4BD0D" w14:textId="67B071F6"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lastRenderedPageBreak/>
        <w:t>Както при други антиепилептични лекарствени продукти, при лечение с габапентин при някои пациенти може да се повиши честотата на гърчовете или да се появят нов тип гърчове.</w:t>
      </w:r>
    </w:p>
    <w:p w14:paraId="195FB132" w14:textId="77777777" w:rsidR="00A811DB" w:rsidRPr="00A811DB" w:rsidRDefault="00A811DB" w:rsidP="00A811DB">
      <w:pPr>
        <w:spacing w:line="240" w:lineRule="auto"/>
        <w:rPr>
          <w:rFonts w:eastAsia="Times New Roman" w:cs="Arial"/>
          <w:color w:val="000000"/>
          <w:szCs w:val="20"/>
          <w:lang w:eastAsia="bg-BG"/>
        </w:rPr>
      </w:pPr>
    </w:p>
    <w:p w14:paraId="58613865"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Както при други антиепилептични лекарствени продукти, опитите да се оттеглят едновременно прилагани антиепилептични лекарства при лечение на рефрактерни пациенти, приемащи повече от един антиепилептичен продукт, с цел да се постигне монотерапия с габапентин, са с ниска честота на успех.</w:t>
      </w:r>
    </w:p>
    <w:p w14:paraId="0F830A05" w14:textId="77777777" w:rsidR="00A811DB" w:rsidRPr="00A811DB" w:rsidRDefault="00A811DB" w:rsidP="00A811DB">
      <w:pPr>
        <w:spacing w:line="240" w:lineRule="auto"/>
        <w:rPr>
          <w:rFonts w:eastAsia="Times New Roman" w:cs="Arial"/>
          <w:sz w:val="28"/>
          <w:szCs w:val="24"/>
          <w:lang w:eastAsia="bg-BG"/>
        </w:rPr>
      </w:pPr>
    </w:p>
    <w:p w14:paraId="06AC73EC" w14:textId="24BD5C1A"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Смята се, че габапентин не е ефективен срещу първични генерализирани гърчове, като например абсанс, и при някои пациенти може да влоши тези гърчове. Поради това е необходимо повишено внимание при използване на габапентин при пациенти със смесени гърчове, включително абсанси.</w:t>
      </w:r>
    </w:p>
    <w:p w14:paraId="511DC6BC" w14:textId="77777777" w:rsidR="00A811DB" w:rsidRPr="00A811DB" w:rsidRDefault="00A811DB" w:rsidP="00A811DB">
      <w:pPr>
        <w:rPr>
          <w:rFonts w:eastAsia="Times New Roman" w:cs="Arial"/>
          <w:color w:val="000000"/>
          <w:szCs w:val="20"/>
          <w:lang w:eastAsia="bg-BG"/>
        </w:rPr>
      </w:pPr>
    </w:p>
    <w:p w14:paraId="7BF333DD" w14:textId="7E5E01FF" w:rsidR="00A811DB" w:rsidRPr="00A811DB" w:rsidRDefault="00A811DB" w:rsidP="00A811DB">
      <w:pPr>
        <w:rPr>
          <w:rFonts w:eastAsia="Times New Roman" w:cs="Arial"/>
          <w:color w:val="000000"/>
          <w:szCs w:val="20"/>
          <w:lang w:eastAsia="bg-BG"/>
        </w:rPr>
      </w:pPr>
      <w:r w:rsidRPr="00A811DB">
        <w:rPr>
          <w:rFonts w:eastAsia="Times New Roman" w:cs="Arial"/>
          <w:color w:val="000000"/>
          <w:szCs w:val="20"/>
          <w:lang w:eastAsia="bg-BG"/>
        </w:rPr>
        <w:t>Лечението с габапентин е свързано със замаяност и сомнолентност, които биха могли да увеличат появата на инцидентно нараняване (падане). Има също и постмаркетингови съобщения за объркване, загуба на съзнание и умствено увреждане. Затова пациентите трябва да бъдат посъветвани да подхождат с повишено внимание, докато не свикнат с потенциалните ефекти на лечението.</w:t>
      </w:r>
    </w:p>
    <w:p w14:paraId="777F7C75" w14:textId="32D9D17C" w:rsidR="00A811DB" w:rsidRDefault="00A811DB" w:rsidP="00A811DB">
      <w:pPr>
        <w:rPr>
          <w:rFonts w:cs="Arial"/>
          <w:sz w:val="24"/>
        </w:rPr>
      </w:pPr>
    </w:p>
    <w:p w14:paraId="7D9298BC"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Едновременна употреба с опиоиди и други депресанти на ПНС</w:t>
      </w:r>
    </w:p>
    <w:p w14:paraId="2F54DE48" w14:textId="77777777" w:rsidR="00A811DB" w:rsidRPr="00A811DB" w:rsidRDefault="00A811DB" w:rsidP="00A811DB">
      <w:pPr>
        <w:spacing w:line="240" w:lineRule="auto"/>
        <w:rPr>
          <w:rFonts w:eastAsia="Times New Roman" w:cs="Arial"/>
          <w:color w:val="000000"/>
          <w:szCs w:val="20"/>
          <w:lang w:eastAsia="bg-BG"/>
        </w:rPr>
      </w:pPr>
    </w:p>
    <w:p w14:paraId="7BFA6FE3" w14:textId="5BA3A098"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Пациентите, при които се изисква едновременно лечение с депресанти на централната нервна система (ЦНС), включително опиоиди, трябва да бъдат наблюдавани внимателно за признаци на потискане на ЦНС, като сомнолентност, седация и респираторна депресия. Пациентите, които приемат едновременно габапентин и морфин, може да развият повишени концентрации на габапентин. Дозата на габапентин или едновременното лечение с депресанти на ЦНС, включително опиоиди, трябва да бъде подходящо намалена (вж. точка 4.5).</w:t>
      </w:r>
    </w:p>
    <w:p w14:paraId="665E8602" w14:textId="77777777" w:rsidR="00A811DB" w:rsidRPr="00A811DB" w:rsidRDefault="00A811DB" w:rsidP="00A811DB">
      <w:pPr>
        <w:spacing w:line="240" w:lineRule="auto"/>
        <w:rPr>
          <w:rFonts w:eastAsia="Times New Roman" w:cs="Arial"/>
          <w:color w:val="000000"/>
          <w:szCs w:val="20"/>
          <w:lang w:eastAsia="bg-BG"/>
        </w:rPr>
      </w:pPr>
    </w:p>
    <w:p w14:paraId="51A34097" w14:textId="65E03BAF"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 xml:space="preserve">Препоръчва се повишено внимание при предписване на габапентин едновременно с опиоиди поради риск от потискане на ЦНС. В популационно-базирано, обсервационно проучване, тип случай-контрола при пациенти, използващи опиоиди, едновременното предписване на опиоиди и габапентин се свързва с повишен риск от смърт, свързана с опиоид, в сравнение с предписание на самостоятелна употреба на опиоид (коригирано съотношение на шансовете </w:t>
      </w:r>
      <w:r w:rsidRPr="00A811DB">
        <w:rPr>
          <w:rFonts w:eastAsia="Times New Roman" w:cs="Arial"/>
          <w:color w:val="000000"/>
          <w:szCs w:val="20"/>
          <w:lang w:val="en-US"/>
        </w:rPr>
        <w:t>[</w:t>
      </w:r>
      <w:proofErr w:type="spellStart"/>
      <w:r w:rsidRPr="00A811DB">
        <w:rPr>
          <w:rFonts w:eastAsia="Times New Roman" w:cs="Arial"/>
          <w:color w:val="000000"/>
          <w:szCs w:val="20"/>
          <w:lang w:val="en-US"/>
        </w:rPr>
        <w:t>aOR</w:t>
      </w:r>
      <w:proofErr w:type="spellEnd"/>
      <w:r w:rsidRPr="00A811DB">
        <w:rPr>
          <w:rFonts w:eastAsia="Times New Roman" w:cs="Arial"/>
          <w:color w:val="000000"/>
          <w:szCs w:val="20"/>
          <w:lang w:val="en-US"/>
        </w:rPr>
        <w:t xml:space="preserve">], </w:t>
      </w:r>
      <w:r w:rsidRPr="00A811DB">
        <w:rPr>
          <w:rFonts w:eastAsia="Times New Roman" w:cs="Arial"/>
          <w:color w:val="000000"/>
          <w:szCs w:val="20"/>
          <w:lang w:eastAsia="bg-BG"/>
        </w:rPr>
        <w:t xml:space="preserve">1,49 [95% </w:t>
      </w:r>
      <w:r w:rsidRPr="00A811DB">
        <w:rPr>
          <w:rFonts w:eastAsia="Times New Roman" w:cs="Arial"/>
          <w:color w:val="000000"/>
          <w:szCs w:val="20"/>
          <w:lang w:val="en-US"/>
        </w:rPr>
        <w:t xml:space="preserve">CI, </w:t>
      </w:r>
      <w:r w:rsidRPr="00A811DB">
        <w:rPr>
          <w:rFonts w:eastAsia="Times New Roman" w:cs="Arial"/>
          <w:color w:val="000000"/>
          <w:szCs w:val="20"/>
          <w:lang w:eastAsia="bg-BG"/>
        </w:rPr>
        <w:t>1,18 до 1,88, р&lt; 0,001]).</w:t>
      </w:r>
    </w:p>
    <w:p w14:paraId="089B0EDB" w14:textId="77777777" w:rsidR="00A811DB" w:rsidRPr="00A811DB" w:rsidRDefault="00A811DB" w:rsidP="00A811DB">
      <w:pPr>
        <w:spacing w:line="240" w:lineRule="auto"/>
        <w:rPr>
          <w:rFonts w:eastAsia="Times New Roman" w:cs="Arial"/>
          <w:color w:val="000000"/>
          <w:szCs w:val="20"/>
          <w:u w:val="single"/>
          <w:lang w:eastAsia="bg-BG"/>
        </w:rPr>
      </w:pPr>
    </w:p>
    <w:p w14:paraId="7EF1B4B2" w14:textId="5347E7F9"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Респираторна депресия</w:t>
      </w:r>
    </w:p>
    <w:p w14:paraId="41F9EC03" w14:textId="77777777" w:rsidR="00A811DB" w:rsidRPr="00A811DB" w:rsidRDefault="00A811DB" w:rsidP="00A811DB">
      <w:pPr>
        <w:spacing w:line="240" w:lineRule="auto"/>
        <w:rPr>
          <w:rFonts w:eastAsia="Times New Roman" w:cs="Arial"/>
          <w:color w:val="000000"/>
          <w:szCs w:val="20"/>
          <w:lang w:eastAsia="bg-BG"/>
        </w:rPr>
      </w:pPr>
    </w:p>
    <w:p w14:paraId="19AE1AAF" w14:textId="2BD914A6"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Габапентин е свързан с тежка респираторна депресия. Пациенти с нарушена респираторна функция, респираторно или неврологично заболяване, бъбречно увреждане, едновременна употреба на депресанти на ЦНС и пациенти в старческа възраст може да са изложени на по- голям риск от изпитване на тази тежка нежелана реакция. Възможно е да се наложи адаптиране на дозата при тези пациенти.</w:t>
      </w:r>
    </w:p>
    <w:p w14:paraId="6A5DCEF2" w14:textId="77777777" w:rsidR="00A811DB" w:rsidRPr="00A811DB" w:rsidRDefault="00A811DB" w:rsidP="00A811DB">
      <w:pPr>
        <w:rPr>
          <w:rFonts w:eastAsia="Times New Roman" w:cs="Arial"/>
          <w:color w:val="000000"/>
          <w:szCs w:val="20"/>
          <w:u w:val="single"/>
          <w:lang w:eastAsia="bg-BG"/>
        </w:rPr>
      </w:pPr>
    </w:p>
    <w:p w14:paraId="694650B8" w14:textId="2BE00269" w:rsidR="00A811DB" w:rsidRPr="00A811DB" w:rsidRDefault="00A811DB" w:rsidP="00A811DB">
      <w:pPr>
        <w:rPr>
          <w:rFonts w:eastAsia="Times New Roman" w:cs="Arial"/>
          <w:color w:val="000000"/>
          <w:szCs w:val="20"/>
          <w:u w:val="single"/>
          <w:lang w:eastAsia="bg-BG"/>
        </w:rPr>
      </w:pPr>
      <w:r w:rsidRPr="00A811DB">
        <w:rPr>
          <w:rFonts w:eastAsia="Times New Roman" w:cs="Arial"/>
          <w:color w:val="000000"/>
          <w:szCs w:val="20"/>
          <w:u w:val="single"/>
          <w:lang w:eastAsia="bg-BG"/>
        </w:rPr>
        <w:t>Старческа възраст (над 65 години)</w:t>
      </w:r>
    </w:p>
    <w:p w14:paraId="4BC94F62" w14:textId="04F74942" w:rsidR="00A811DB" w:rsidRPr="00A811DB" w:rsidRDefault="00A811DB" w:rsidP="00A811DB">
      <w:pPr>
        <w:rPr>
          <w:rFonts w:eastAsia="Times New Roman" w:cs="Arial"/>
          <w:color w:val="000000"/>
          <w:szCs w:val="20"/>
          <w:u w:val="single"/>
          <w:lang w:eastAsia="bg-BG"/>
        </w:rPr>
      </w:pPr>
    </w:p>
    <w:p w14:paraId="652CB507"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 xml:space="preserve">Не са провеждани системни проучвания с габапентин при пациенти на възраст 65 и повече години. В двойносляпо проучване с пациенти с невропатна болка се установява известно повишаване на процента на възникване на сомнолентност, периферен оток и </w:t>
      </w:r>
      <w:r w:rsidRPr="00A811DB">
        <w:rPr>
          <w:rFonts w:eastAsia="Times New Roman" w:cs="Arial"/>
          <w:color w:val="000000"/>
          <w:szCs w:val="20"/>
          <w:lang w:eastAsia="bg-BG"/>
        </w:rPr>
        <w:lastRenderedPageBreak/>
        <w:t>астения при пациенти на възраст 65 и повече години, в сравнение с по-младите пациенти. С изключение на тези резултати, клиничните изследвания в тази възрастова група не показват различен профил на нежеланите събития, в сравнение с наблюдавания при по-младите пациенти.</w:t>
      </w:r>
    </w:p>
    <w:p w14:paraId="7452AA25" w14:textId="77777777" w:rsidR="00A811DB" w:rsidRPr="00A811DB" w:rsidRDefault="00A811DB" w:rsidP="00A811DB">
      <w:pPr>
        <w:spacing w:line="240" w:lineRule="auto"/>
        <w:rPr>
          <w:rFonts w:eastAsia="Times New Roman" w:cs="Arial"/>
          <w:color w:val="000000"/>
          <w:szCs w:val="20"/>
          <w:u w:val="single"/>
          <w:lang w:eastAsia="bg-BG"/>
        </w:rPr>
      </w:pPr>
    </w:p>
    <w:p w14:paraId="7F29B9F6" w14:textId="5BAF6F6E"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Педиатрична популация</w:t>
      </w:r>
    </w:p>
    <w:p w14:paraId="38B07166" w14:textId="77777777" w:rsidR="00A811DB" w:rsidRPr="00A811DB" w:rsidRDefault="00A811DB" w:rsidP="00A811DB">
      <w:pPr>
        <w:spacing w:line="240" w:lineRule="auto"/>
        <w:rPr>
          <w:rFonts w:eastAsia="Times New Roman" w:cs="Arial"/>
          <w:color w:val="000000"/>
          <w:szCs w:val="20"/>
          <w:lang w:eastAsia="bg-BG"/>
        </w:rPr>
      </w:pPr>
    </w:p>
    <w:p w14:paraId="7ED00C32" w14:textId="5B85D7B0"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Ефектите от дългосрочната терапия (повече от 36 седмици) с габапентин върху ученето, интелигентността и развитието при деца и юноши не са добре проучени. Ползите от дългосрочна терапия трябва да се преценят внимателно спрямо потенциалните рискове.</w:t>
      </w:r>
    </w:p>
    <w:p w14:paraId="6440E0DC" w14:textId="77777777" w:rsidR="00A811DB" w:rsidRPr="00A811DB" w:rsidRDefault="00A811DB" w:rsidP="00A811DB">
      <w:pPr>
        <w:spacing w:line="240" w:lineRule="auto"/>
        <w:rPr>
          <w:rFonts w:eastAsia="Times New Roman" w:cs="Arial"/>
          <w:color w:val="000000"/>
          <w:szCs w:val="20"/>
          <w:u w:val="single"/>
          <w:lang w:eastAsia="bg-BG"/>
        </w:rPr>
      </w:pPr>
    </w:p>
    <w:p w14:paraId="6702970B"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Злоупотреба и зависимост</w:t>
      </w:r>
    </w:p>
    <w:p w14:paraId="0D410DB7" w14:textId="77777777" w:rsidR="00A811DB" w:rsidRPr="00A811DB" w:rsidRDefault="00A811DB" w:rsidP="00A811DB">
      <w:pPr>
        <w:spacing w:line="240" w:lineRule="auto"/>
        <w:rPr>
          <w:rFonts w:eastAsia="Times New Roman" w:cs="Arial"/>
          <w:sz w:val="28"/>
          <w:szCs w:val="24"/>
          <w:lang w:eastAsia="bg-BG"/>
        </w:rPr>
      </w:pPr>
    </w:p>
    <w:p w14:paraId="1C7B829E" w14:textId="696971D6"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В данните от постмаркетинговия период са докладвани случаи на злоупотреба и зависимост. Внимателно оценявайте пациентите с анамнеза за злоупотреба с лекарства и ги наблюдавайте за евентуални признаци на злоупотреба с габапентин, напр. поведение на търсене на лекарството, ескалация на дозата, развитие на поносимост.</w:t>
      </w:r>
    </w:p>
    <w:p w14:paraId="0F196008" w14:textId="77777777" w:rsidR="00A811DB" w:rsidRPr="00A811DB" w:rsidRDefault="00A811DB" w:rsidP="00A811DB">
      <w:pPr>
        <w:spacing w:line="240" w:lineRule="auto"/>
        <w:rPr>
          <w:rFonts w:eastAsia="Times New Roman" w:cs="Arial"/>
          <w:color w:val="000000"/>
          <w:szCs w:val="20"/>
          <w:u w:val="single"/>
          <w:lang w:eastAsia="bg-BG"/>
        </w:rPr>
      </w:pPr>
    </w:p>
    <w:p w14:paraId="494EBADE" w14:textId="13B7D955"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Лабораторни изследвания</w:t>
      </w:r>
    </w:p>
    <w:p w14:paraId="37690A5B" w14:textId="77777777" w:rsidR="00A811DB" w:rsidRPr="00A811DB" w:rsidRDefault="00A811DB" w:rsidP="00A811DB">
      <w:pPr>
        <w:spacing w:line="240" w:lineRule="auto"/>
        <w:rPr>
          <w:rFonts w:eastAsia="Times New Roman" w:cs="Arial"/>
          <w:color w:val="000000"/>
          <w:szCs w:val="20"/>
          <w:lang w:eastAsia="bg-BG"/>
        </w:rPr>
      </w:pPr>
    </w:p>
    <w:p w14:paraId="6C63BDD3" w14:textId="63FB368F"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Могат да бъдат отчетени фалшиво положителни резултати при полуколичествено определяне на общ белтък в урината е тест-лента. Поради това се препоръчва потвърждаване на положителния резултат с методи, основаващи се на друг аналитичен принцип, като например биуретова проба, турбидиметрични или оцветителни методи, или използване на алтернативните методи от самото начало.</w:t>
      </w:r>
    </w:p>
    <w:p w14:paraId="62C6F51E" w14:textId="77777777" w:rsidR="00A811DB" w:rsidRPr="00A811DB" w:rsidRDefault="00A811DB" w:rsidP="00A811DB">
      <w:pPr>
        <w:spacing w:line="240" w:lineRule="auto"/>
        <w:rPr>
          <w:rFonts w:eastAsia="Times New Roman" w:cs="Arial"/>
          <w:color w:val="000000"/>
          <w:szCs w:val="20"/>
          <w:u w:val="single"/>
          <w:lang w:eastAsia="bg-BG"/>
        </w:rPr>
      </w:pPr>
    </w:p>
    <w:p w14:paraId="49762610" w14:textId="53BF08F1"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u w:val="single"/>
          <w:lang w:eastAsia="bg-BG"/>
        </w:rPr>
        <w:t>Помощни вещества с известно действие</w:t>
      </w:r>
    </w:p>
    <w:p w14:paraId="4246BAAF" w14:textId="77777777" w:rsidR="00A811DB" w:rsidRPr="00A811DB" w:rsidRDefault="00A811DB" w:rsidP="00A811DB">
      <w:pPr>
        <w:spacing w:line="240" w:lineRule="auto"/>
        <w:rPr>
          <w:rFonts w:eastAsia="Times New Roman" w:cs="Arial"/>
          <w:color w:val="000000"/>
          <w:szCs w:val="20"/>
          <w:lang w:eastAsia="bg-BG"/>
        </w:rPr>
      </w:pPr>
    </w:p>
    <w:p w14:paraId="549F088E" w14:textId="05B66B80"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 xml:space="preserve">Неуронтин 300 </w:t>
      </w:r>
      <w:r w:rsidRPr="00A811DB">
        <w:rPr>
          <w:rFonts w:eastAsia="Times New Roman" w:cs="Arial"/>
          <w:color w:val="000000"/>
          <w:szCs w:val="20"/>
          <w:lang w:val="en-US"/>
        </w:rPr>
        <w:t xml:space="preserve">mg </w:t>
      </w:r>
      <w:r w:rsidRPr="00A811DB">
        <w:rPr>
          <w:rFonts w:eastAsia="Times New Roman" w:cs="Arial"/>
          <w:color w:val="000000"/>
          <w:szCs w:val="20"/>
          <w:lang w:eastAsia="bg-BG"/>
        </w:rPr>
        <w:t xml:space="preserve">и 400 </w:t>
      </w:r>
      <w:r w:rsidRPr="00A811DB">
        <w:rPr>
          <w:rFonts w:eastAsia="Times New Roman" w:cs="Arial"/>
          <w:color w:val="000000"/>
          <w:szCs w:val="20"/>
          <w:lang w:val="en-US"/>
        </w:rPr>
        <w:t xml:space="preserve">mg </w:t>
      </w:r>
      <w:r w:rsidRPr="00A811DB">
        <w:rPr>
          <w:rFonts w:eastAsia="Times New Roman" w:cs="Arial"/>
          <w:color w:val="000000"/>
          <w:szCs w:val="20"/>
          <w:lang w:eastAsia="bg-BG"/>
        </w:rPr>
        <w:t>твърди капсули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67680C14" w14:textId="77777777" w:rsidR="00A811DB" w:rsidRPr="00A811DB" w:rsidRDefault="00A811DB" w:rsidP="00A811DB">
      <w:pPr>
        <w:rPr>
          <w:rFonts w:eastAsia="Times New Roman" w:cs="Arial"/>
          <w:color w:val="000000"/>
          <w:szCs w:val="20"/>
          <w:lang w:eastAsia="bg-BG"/>
        </w:rPr>
      </w:pPr>
    </w:p>
    <w:p w14:paraId="1DC2169C" w14:textId="3917F6E9" w:rsidR="00A811DB" w:rsidRPr="00A811DB" w:rsidRDefault="00A811DB" w:rsidP="00A811DB">
      <w:pPr>
        <w:rPr>
          <w:rFonts w:cs="Arial"/>
          <w:sz w:val="28"/>
        </w:rPr>
      </w:pPr>
      <w:r w:rsidRPr="00A811DB">
        <w:rPr>
          <w:rFonts w:eastAsia="Times New Roman" w:cs="Arial"/>
          <w:color w:val="000000"/>
          <w:szCs w:val="20"/>
          <w:lang w:eastAsia="bg-BG"/>
        </w:rPr>
        <w:t xml:space="preserve">Неуронтин 300 </w:t>
      </w:r>
      <w:r w:rsidRPr="00A811DB">
        <w:rPr>
          <w:rFonts w:eastAsia="Times New Roman" w:cs="Arial"/>
          <w:color w:val="000000"/>
          <w:szCs w:val="20"/>
          <w:lang w:val="en-US"/>
        </w:rPr>
        <w:t xml:space="preserve">mg </w:t>
      </w:r>
      <w:r w:rsidRPr="00A811DB">
        <w:rPr>
          <w:rFonts w:eastAsia="Times New Roman" w:cs="Arial"/>
          <w:color w:val="000000"/>
          <w:szCs w:val="20"/>
          <w:lang w:eastAsia="bg-BG"/>
        </w:rPr>
        <w:t xml:space="preserve">и 400 </w:t>
      </w:r>
      <w:r w:rsidRPr="00A811DB">
        <w:rPr>
          <w:rFonts w:eastAsia="Times New Roman" w:cs="Arial"/>
          <w:color w:val="000000"/>
          <w:szCs w:val="20"/>
          <w:lang w:val="en-US"/>
        </w:rPr>
        <w:t xml:space="preserve">mg </w:t>
      </w:r>
      <w:r w:rsidRPr="00A811DB">
        <w:rPr>
          <w:rFonts w:eastAsia="Times New Roman" w:cs="Arial"/>
          <w:color w:val="000000"/>
          <w:szCs w:val="20"/>
          <w:lang w:eastAsia="bg-BG"/>
        </w:rPr>
        <w:t xml:space="preserve">твърди капсули съдържа по-малко от 1 </w:t>
      </w:r>
      <w:proofErr w:type="spellStart"/>
      <w:r w:rsidRPr="00A811DB">
        <w:rPr>
          <w:rFonts w:eastAsia="Times New Roman" w:cs="Arial"/>
          <w:color w:val="000000"/>
          <w:szCs w:val="20"/>
          <w:lang w:val="en-US"/>
        </w:rPr>
        <w:t>mmol</w:t>
      </w:r>
      <w:proofErr w:type="spellEnd"/>
      <w:r w:rsidRPr="00A811DB">
        <w:rPr>
          <w:rFonts w:eastAsia="Times New Roman" w:cs="Arial"/>
          <w:color w:val="000000"/>
          <w:szCs w:val="20"/>
          <w:lang w:val="en-US"/>
        </w:rPr>
        <w:t xml:space="preserve"> </w:t>
      </w:r>
      <w:r w:rsidRPr="00A811DB">
        <w:rPr>
          <w:rFonts w:eastAsia="Times New Roman" w:cs="Arial"/>
          <w:color w:val="000000"/>
          <w:szCs w:val="20"/>
          <w:lang w:eastAsia="bg-BG"/>
        </w:rPr>
        <w:t xml:space="preserve">натрий (23 </w:t>
      </w:r>
      <w:r w:rsidRPr="00A811DB">
        <w:rPr>
          <w:rFonts w:eastAsia="Times New Roman" w:cs="Arial"/>
          <w:color w:val="000000"/>
          <w:szCs w:val="20"/>
          <w:lang w:val="en-US"/>
        </w:rPr>
        <w:t xml:space="preserve">mg) </w:t>
      </w:r>
      <w:r w:rsidRPr="00A811DB">
        <w:rPr>
          <w:rFonts w:eastAsia="Times New Roman" w:cs="Arial"/>
          <w:color w:val="000000"/>
          <w:szCs w:val="20"/>
          <w:lang w:eastAsia="bg-BG"/>
        </w:rPr>
        <w:t>на капсула. Пациентите на диета с ниско съдържание на натрий могат да бъдат информирани, че този лекарствен продукт практически не съдържа натрий.</w:t>
      </w:r>
    </w:p>
    <w:p w14:paraId="6169CC91" w14:textId="77777777" w:rsidR="00A811DB" w:rsidRPr="00A811DB" w:rsidRDefault="00A811DB" w:rsidP="00A811DB">
      <w:pPr>
        <w:rPr>
          <w:rFonts w:cs="Arial"/>
          <w:sz w:val="24"/>
        </w:rPr>
      </w:pPr>
    </w:p>
    <w:p w14:paraId="619DED1E" w14:textId="66D04DB8"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60426E99" w14:textId="6F99CCDB" w:rsidR="00A811DB" w:rsidRDefault="00A811DB" w:rsidP="00A811DB"/>
    <w:p w14:paraId="6C38E017"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Има спонтанни и литературни съобщения за респираторна депресия, седация и смърт, свързани с габапентин, когато се прилага едновременно с депресанти на ЦНС, включително опиоиди. В някои от тези съобщения авторите обръщат специално внимание на комбинацията на габапентин с опиоиди при пациенти в недобро общо състояние, пациенти в старческа възраст, пациенти с тежко подлежащо респираторно заболяване, пациенти, приемащи множество лекарства, както и при пациенти със синдроми на злоупотреба с вещества.</w:t>
      </w:r>
    </w:p>
    <w:p w14:paraId="7897FA3E" w14:textId="77777777" w:rsidR="00A811DB" w:rsidRPr="00A811DB" w:rsidRDefault="00A811DB" w:rsidP="00A811DB">
      <w:pPr>
        <w:spacing w:line="240" w:lineRule="auto"/>
        <w:rPr>
          <w:rFonts w:eastAsia="Times New Roman" w:cs="Arial"/>
          <w:color w:val="000000"/>
          <w:szCs w:val="20"/>
          <w:lang w:eastAsia="bg-BG"/>
        </w:rPr>
      </w:pPr>
    </w:p>
    <w:p w14:paraId="5CF9C6B8" w14:textId="1AACF74D"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 xml:space="preserve">В проучване, включващо здрави доброволци </w:t>
      </w:r>
      <w:r w:rsidRPr="00A811DB">
        <w:rPr>
          <w:rFonts w:eastAsia="Times New Roman" w:cs="Arial"/>
          <w:color w:val="000000"/>
          <w:szCs w:val="20"/>
          <w:lang w:val="en-US"/>
        </w:rPr>
        <w:t xml:space="preserve">(N=12), </w:t>
      </w:r>
      <w:r w:rsidRPr="00A811DB">
        <w:rPr>
          <w:rFonts w:eastAsia="Times New Roman" w:cs="Arial"/>
          <w:color w:val="000000"/>
          <w:szCs w:val="20"/>
          <w:lang w:eastAsia="bg-BG"/>
        </w:rPr>
        <w:t xml:space="preserve">при прилагане на 60 </w:t>
      </w:r>
      <w:r w:rsidRPr="00A811DB">
        <w:rPr>
          <w:rFonts w:eastAsia="Times New Roman" w:cs="Arial"/>
          <w:color w:val="000000"/>
          <w:szCs w:val="20"/>
          <w:lang w:val="en-US"/>
        </w:rPr>
        <w:t xml:space="preserve">mg </w:t>
      </w:r>
      <w:r w:rsidRPr="00A811DB">
        <w:rPr>
          <w:rFonts w:eastAsia="Times New Roman" w:cs="Arial"/>
          <w:color w:val="000000"/>
          <w:szCs w:val="20"/>
          <w:lang w:eastAsia="bg-BG"/>
        </w:rPr>
        <w:t xml:space="preserve">морфин капсула с контролирано освобождаване 2 часа преди прилагането на 600 </w:t>
      </w:r>
      <w:r w:rsidRPr="00A811DB">
        <w:rPr>
          <w:rFonts w:eastAsia="Times New Roman" w:cs="Arial"/>
          <w:color w:val="000000"/>
          <w:szCs w:val="20"/>
          <w:lang w:val="en-US"/>
        </w:rPr>
        <w:t xml:space="preserve">mg </w:t>
      </w:r>
      <w:r w:rsidRPr="00A811DB">
        <w:rPr>
          <w:rFonts w:eastAsia="Times New Roman" w:cs="Arial"/>
          <w:color w:val="000000"/>
          <w:szCs w:val="20"/>
          <w:lang w:eastAsia="bg-BG"/>
        </w:rPr>
        <w:t xml:space="preserve">капсула </w:t>
      </w:r>
      <w:r w:rsidRPr="00A811DB">
        <w:rPr>
          <w:rFonts w:eastAsia="Times New Roman" w:cs="Arial"/>
          <w:color w:val="000000"/>
          <w:szCs w:val="20"/>
          <w:lang w:eastAsia="bg-BG"/>
        </w:rPr>
        <w:lastRenderedPageBreak/>
        <w:t xml:space="preserve">габапентин средната площ под кривата </w:t>
      </w:r>
      <w:r w:rsidRPr="00A811DB">
        <w:rPr>
          <w:rFonts w:eastAsia="Times New Roman" w:cs="Arial"/>
          <w:color w:val="000000"/>
          <w:szCs w:val="20"/>
          <w:lang w:val="en-US"/>
        </w:rPr>
        <w:t xml:space="preserve">(AUC) </w:t>
      </w:r>
      <w:r w:rsidRPr="00A811DB">
        <w:rPr>
          <w:rFonts w:eastAsia="Times New Roman" w:cs="Arial"/>
          <w:color w:val="000000"/>
          <w:szCs w:val="20"/>
          <w:lang w:eastAsia="bg-BG"/>
        </w:rPr>
        <w:t>на габапентин се е увеличила с 44% спрямо габапентин, приложен без морфин. Поради това пациентите, при които се налага едновременно лечение с опиоиди, трябва да бъдат внимателно наблюдавани за признаци на потискане на ЦНС, като сомнолентност, седация и респираторна депресия, като трябва съответно да се намали дозата на габапентин или наопиоидите.</w:t>
      </w:r>
      <w:r w:rsidRPr="00A811DB">
        <w:rPr>
          <w:rFonts w:eastAsia="Times New Roman" w:cs="Arial"/>
          <w:color w:val="000000"/>
          <w:szCs w:val="20"/>
          <w:lang w:eastAsia="bg-BG"/>
        </w:rPr>
        <w:tab/>
      </w:r>
    </w:p>
    <w:p w14:paraId="2AFA73B2" w14:textId="77777777" w:rsidR="00A811DB" w:rsidRPr="00A811DB" w:rsidRDefault="00A811DB" w:rsidP="00A811DB">
      <w:pPr>
        <w:rPr>
          <w:rFonts w:eastAsia="Times New Roman" w:cs="Arial"/>
          <w:color w:val="000000"/>
          <w:szCs w:val="20"/>
          <w:lang w:eastAsia="bg-BG"/>
        </w:rPr>
      </w:pPr>
    </w:p>
    <w:p w14:paraId="7A54CF43" w14:textId="6C20BB85" w:rsidR="00A811DB" w:rsidRDefault="00A811DB" w:rsidP="00A811DB">
      <w:pPr>
        <w:rPr>
          <w:rFonts w:eastAsia="Times New Roman" w:cs="Arial"/>
          <w:color w:val="000000"/>
          <w:szCs w:val="20"/>
          <w:lang w:eastAsia="bg-BG"/>
        </w:rPr>
      </w:pPr>
      <w:r w:rsidRPr="00A811DB">
        <w:rPr>
          <w:rFonts w:eastAsia="Times New Roman" w:cs="Arial"/>
          <w:color w:val="000000"/>
          <w:szCs w:val="20"/>
          <w:lang w:eastAsia="bg-BG"/>
        </w:rPr>
        <w:t>Не са установени взаимодействия между габапентин и фенобарбитал, фенитоин, валпроева киселина или карбамазепин.</w:t>
      </w:r>
    </w:p>
    <w:p w14:paraId="537F5B1C" w14:textId="75AF2BAB" w:rsidR="00A811DB" w:rsidRDefault="00A811DB" w:rsidP="00A811DB">
      <w:pPr>
        <w:rPr>
          <w:rFonts w:eastAsia="Times New Roman" w:cs="Arial"/>
          <w:color w:val="000000"/>
          <w:szCs w:val="20"/>
          <w:lang w:eastAsia="bg-BG"/>
        </w:rPr>
      </w:pPr>
    </w:p>
    <w:p w14:paraId="366308FE"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Фармакокинетиката на габапентин след достигане на стационарно състояние при здрави хора е подобна на тази при пациенти с епилепсия, получаващи тези антиепилептични продукти.</w:t>
      </w:r>
    </w:p>
    <w:p w14:paraId="5A7A23CA" w14:textId="77777777" w:rsidR="00A811DB" w:rsidRPr="00A811DB" w:rsidRDefault="00A811DB" w:rsidP="00A811DB">
      <w:pPr>
        <w:spacing w:line="240" w:lineRule="auto"/>
        <w:rPr>
          <w:rFonts w:eastAsia="Times New Roman" w:cs="Arial"/>
          <w:color w:val="000000"/>
          <w:szCs w:val="20"/>
          <w:lang w:eastAsia="bg-BG"/>
        </w:rPr>
      </w:pPr>
    </w:p>
    <w:p w14:paraId="105CBA23" w14:textId="15B84D4C"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Едновременният прием на габапентин с перорални контрацсптиви, съдържащи норетиндрон и/или етинил естрадиол, не повлиява фармакокинетиката в стационарно състояние на нито една от съставките.</w:t>
      </w:r>
    </w:p>
    <w:p w14:paraId="364C3565" w14:textId="77777777" w:rsidR="00A811DB" w:rsidRPr="00A811DB" w:rsidRDefault="00A811DB" w:rsidP="00A811DB">
      <w:pPr>
        <w:spacing w:line="240" w:lineRule="auto"/>
        <w:rPr>
          <w:rFonts w:eastAsia="Times New Roman" w:cs="Arial"/>
          <w:color w:val="000000"/>
          <w:szCs w:val="20"/>
          <w:lang w:eastAsia="bg-BG"/>
        </w:rPr>
      </w:pPr>
    </w:p>
    <w:p w14:paraId="505D9D97" w14:textId="1ABBEBA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Едновременният прием на габапентин с антиациди, съдържащи алуминий или магнезий, намалява бионаличността на габапентин до 24%. Препоръчва се габапентин да се приема най- рано два часа след приема на антиацид.</w:t>
      </w:r>
    </w:p>
    <w:p w14:paraId="07718CB5" w14:textId="77777777" w:rsidR="00A811DB" w:rsidRPr="00A811DB" w:rsidRDefault="00A811DB" w:rsidP="00A811DB">
      <w:pPr>
        <w:spacing w:line="240" w:lineRule="auto"/>
        <w:rPr>
          <w:rFonts w:eastAsia="Times New Roman" w:cs="Arial"/>
          <w:color w:val="000000"/>
          <w:szCs w:val="20"/>
          <w:lang w:eastAsia="bg-BG"/>
        </w:rPr>
      </w:pPr>
    </w:p>
    <w:p w14:paraId="327391A2" w14:textId="24A9215C"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Пробенецид не променя бъбречната екскреция на габапентин.</w:t>
      </w:r>
    </w:p>
    <w:p w14:paraId="048FE305" w14:textId="77777777" w:rsidR="00A811DB" w:rsidRPr="00A811DB" w:rsidRDefault="00A811DB" w:rsidP="00A811DB">
      <w:pPr>
        <w:rPr>
          <w:rFonts w:eastAsia="Times New Roman" w:cs="Arial"/>
          <w:color w:val="000000"/>
          <w:szCs w:val="20"/>
          <w:lang w:eastAsia="bg-BG"/>
        </w:rPr>
      </w:pPr>
    </w:p>
    <w:p w14:paraId="5C2B3355" w14:textId="2A2FBDC4" w:rsidR="00A811DB" w:rsidRPr="00A811DB" w:rsidRDefault="00A811DB" w:rsidP="00A811DB">
      <w:pPr>
        <w:rPr>
          <w:rFonts w:cs="Arial"/>
          <w:sz w:val="28"/>
        </w:rPr>
      </w:pPr>
      <w:r w:rsidRPr="00A811DB">
        <w:rPr>
          <w:rFonts w:eastAsia="Times New Roman" w:cs="Arial"/>
          <w:color w:val="000000"/>
          <w:szCs w:val="20"/>
          <w:lang w:eastAsia="bg-BG"/>
        </w:rPr>
        <w:t>При едновременен прием на габапентин и циметидин е наблюдавано слабо намаление на бъбречната екскреция на габапентин, което не се очаква да има клинично значение.</w:t>
      </w:r>
    </w:p>
    <w:p w14:paraId="7796D88D" w14:textId="77777777" w:rsidR="00A811DB" w:rsidRPr="00A811DB" w:rsidRDefault="00A811DB" w:rsidP="00A811DB"/>
    <w:p w14:paraId="394A7584" w14:textId="5C3BB2F8" w:rsidR="004F498A" w:rsidRDefault="002C50EE" w:rsidP="004A448E">
      <w:pPr>
        <w:pStyle w:val="Heading2"/>
      </w:pPr>
      <w:r>
        <w:t>4.6. Фертилитет, бременност и кърмене</w:t>
      </w:r>
    </w:p>
    <w:p w14:paraId="794DCD53" w14:textId="38CAE54F" w:rsidR="00A811DB" w:rsidRDefault="00A811DB" w:rsidP="00A811DB"/>
    <w:p w14:paraId="66B31BB6" w14:textId="77777777" w:rsidR="00A811DB" w:rsidRPr="00BB12F0" w:rsidRDefault="00A811DB" w:rsidP="00BB12F0">
      <w:pPr>
        <w:pStyle w:val="Heading3"/>
        <w:rPr>
          <w:rFonts w:eastAsia="Times New Roman"/>
          <w:sz w:val="28"/>
          <w:u w:val="single"/>
          <w:lang w:eastAsia="bg-BG"/>
        </w:rPr>
      </w:pPr>
      <w:r w:rsidRPr="00BB12F0">
        <w:rPr>
          <w:rFonts w:eastAsia="Times New Roman"/>
          <w:u w:val="single"/>
          <w:lang w:eastAsia="bg-BG"/>
        </w:rPr>
        <w:t>Бременност</w:t>
      </w:r>
    </w:p>
    <w:p w14:paraId="2108C3B7" w14:textId="77777777" w:rsidR="00A811DB" w:rsidRPr="00A811DB" w:rsidRDefault="00A811DB" w:rsidP="00A811DB">
      <w:pPr>
        <w:spacing w:line="240" w:lineRule="auto"/>
        <w:rPr>
          <w:rFonts w:eastAsia="Times New Roman" w:cs="Arial"/>
          <w:i/>
          <w:iCs/>
          <w:color w:val="000000"/>
          <w:szCs w:val="20"/>
          <w:lang w:eastAsia="bg-BG"/>
        </w:rPr>
      </w:pPr>
    </w:p>
    <w:p w14:paraId="003AFDF2" w14:textId="206A1733" w:rsidR="00A811DB" w:rsidRPr="00A811DB" w:rsidRDefault="00A811DB" w:rsidP="00A811DB">
      <w:pPr>
        <w:spacing w:line="240" w:lineRule="auto"/>
        <w:rPr>
          <w:rFonts w:eastAsia="Times New Roman" w:cs="Arial"/>
          <w:sz w:val="28"/>
          <w:szCs w:val="24"/>
          <w:lang w:eastAsia="bg-BG"/>
        </w:rPr>
      </w:pPr>
      <w:r w:rsidRPr="00A811DB">
        <w:rPr>
          <w:rFonts w:eastAsia="Times New Roman" w:cs="Arial"/>
          <w:i/>
          <w:iCs/>
          <w:color w:val="000000"/>
          <w:szCs w:val="20"/>
          <w:lang w:eastAsia="bg-BG"/>
        </w:rPr>
        <w:t>Риск, свързан с епилепсията и общо с антиепилептичните лекарствени продукти</w:t>
      </w:r>
    </w:p>
    <w:p w14:paraId="53E61347" w14:textId="77777777" w:rsidR="00A811DB" w:rsidRPr="00A811DB" w:rsidRDefault="00A811DB" w:rsidP="00A811DB">
      <w:pPr>
        <w:spacing w:line="240" w:lineRule="auto"/>
        <w:rPr>
          <w:rFonts w:eastAsia="Times New Roman" w:cs="Arial"/>
          <w:color w:val="000000"/>
          <w:szCs w:val="20"/>
          <w:lang w:eastAsia="bg-BG"/>
        </w:rPr>
      </w:pPr>
    </w:p>
    <w:p w14:paraId="722CE4CF" w14:textId="68490231"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Рискът от вродени дефекти е 2-3 пъти по-висок в поколението на майки, лекувани с антиепилептичен лекарствен продукт. Най-често съобщавани са заешка устна, сърдечно-съдови малформации и дефекти на нервната тръба. Възможно е политерапията с антиепилептични лекарствени продукти да е свързана с по-висок риск от вродени малформации, отколкото монотерапията, поради което е важно в практиката да се прилага монотерапия винаги, когато има такава възможност. Жените, за които има вероятност да забременеят или имат детероден потенциал, трябва да се посъветват от специалист и ако жената планира да забременее — да се преразгледа необходимостта от антиепилептична терапия. Не трябва да се предприема рязко прекратяване на антиепилептичната терапия, тъй като това може да доведе до поява на гърчове, поради ефект на отнемане на лечението, които биха могли да дадат сериозно отражение върху майката и детето. Рядко се наблюдава забавено развитие при деца на майки с епилепсия. Не е възможно да се разграничи дали забавеното развитие е причинено от генетични, социални фактори, епилепсията на майката или от антиепилептичното лечение.</w:t>
      </w:r>
    </w:p>
    <w:p w14:paraId="572F74CD" w14:textId="77777777" w:rsidR="00A811DB" w:rsidRPr="00A811DB" w:rsidRDefault="00A811DB" w:rsidP="00A811DB">
      <w:pPr>
        <w:spacing w:line="240" w:lineRule="auto"/>
        <w:rPr>
          <w:rFonts w:eastAsia="Times New Roman" w:cs="Arial"/>
          <w:i/>
          <w:iCs/>
          <w:color w:val="000000"/>
          <w:szCs w:val="20"/>
          <w:lang w:eastAsia="bg-BG"/>
        </w:rPr>
      </w:pPr>
    </w:p>
    <w:p w14:paraId="3F52C65F" w14:textId="3C7E5FD6" w:rsidR="00A811DB" w:rsidRPr="00A811DB" w:rsidRDefault="00A811DB" w:rsidP="00A811DB">
      <w:pPr>
        <w:spacing w:line="240" w:lineRule="auto"/>
        <w:rPr>
          <w:rFonts w:eastAsia="Times New Roman" w:cs="Arial"/>
          <w:sz w:val="28"/>
          <w:szCs w:val="24"/>
          <w:lang w:eastAsia="bg-BG"/>
        </w:rPr>
      </w:pPr>
      <w:r w:rsidRPr="00A811DB">
        <w:rPr>
          <w:rFonts w:eastAsia="Times New Roman" w:cs="Arial"/>
          <w:i/>
          <w:iCs/>
          <w:color w:val="000000"/>
          <w:szCs w:val="20"/>
          <w:lang w:eastAsia="bg-BG"/>
        </w:rPr>
        <w:t>Рискове, свързани с габапентин</w:t>
      </w:r>
    </w:p>
    <w:p w14:paraId="79B5B5C9" w14:textId="77777777" w:rsidR="00A811DB" w:rsidRPr="00A811DB" w:rsidRDefault="00A811DB" w:rsidP="00A811DB">
      <w:pPr>
        <w:spacing w:line="240" w:lineRule="auto"/>
        <w:rPr>
          <w:rFonts w:eastAsia="Times New Roman" w:cs="Arial"/>
          <w:color w:val="000000"/>
          <w:szCs w:val="20"/>
          <w:lang w:eastAsia="bg-BG"/>
        </w:rPr>
      </w:pPr>
    </w:p>
    <w:p w14:paraId="65910566" w14:textId="52A0B111"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Габапентин преминава в плацентата.</w:t>
      </w:r>
    </w:p>
    <w:p w14:paraId="5844FFDB" w14:textId="77777777" w:rsidR="00A811DB" w:rsidRPr="00A811DB" w:rsidRDefault="00A811DB" w:rsidP="00A811DB">
      <w:pPr>
        <w:spacing w:line="240" w:lineRule="auto"/>
        <w:rPr>
          <w:rFonts w:eastAsia="Times New Roman" w:cs="Arial"/>
          <w:color w:val="000000"/>
          <w:szCs w:val="20"/>
          <w:lang w:eastAsia="bg-BG"/>
        </w:rPr>
      </w:pPr>
    </w:p>
    <w:p w14:paraId="0789008F" w14:textId="5880979B"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Липсват или има ограничени данни от употребата на габапентин при бременни жени.</w:t>
      </w:r>
    </w:p>
    <w:p w14:paraId="1ED15D0C" w14:textId="77777777" w:rsidR="00A811DB" w:rsidRPr="00A811DB" w:rsidRDefault="00A811DB" w:rsidP="00A811DB">
      <w:pPr>
        <w:spacing w:line="240" w:lineRule="auto"/>
        <w:rPr>
          <w:rFonts w:eastAsia="Times New Roman" w:cs="Arial"/>
          <w:color w:val="000000"/>
          <w:szCs w:val="20"/>
          <w:lang w:eastAsia="bg-BG"/>
        </w:rPr>
      </w:pPr>
    </w:p>
    <w:p w14:paraId="2DE73402" w14:textId="4B0BCD5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Проучванията при животни показват репродуктивна токсичност (вж. точка 5.3). Потенциалният риск при хора е неизвестен. Габапентин не трябва да се прилага по време на бременност, освен ако потенциалната полза за майката категорично надвишава потенциалния риск за плода.</w:t>
      </w:r>
    </w:p>
    <w:p w14:paraId="3EB79B82" w14:textId="77777777" w:rsidR="00A811DB" w:rsidRPr="00A811DB" w:rsidRDefault="00A811DB" w:rsidP="00A811DB">
      <w:pPr>
        <w:spacing w:line="240" w:lineRule="auto"/>
        <w:rPr>
          <w:rFonts w:eastAsia="Times New Roman" w:cs="Arial"/>
          <w:color w:val="000000"/>
          <w:szCs w:val="20"/>
          <w:lang w:eastAsia="bg-BG"/>
        </w:rPr>
      </w:pPr>
    </w:p>
    <w:p w14:paraId="19C30433" w14:textId="60EB520D"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Не е възможно да се направи окончателно заключение дали лечението с габапентин е причина за повишаване на риска от вродени малформации, ако се приема по време на бременност, поради самото заболяване от епилепсия и едновременно прилаганите антиепилептични лекарствени продукти при всяка от съобщените бременности.</w:t>
      </w:r>
    </w:p>
    <w:p w14:paraId="31B960B9" w14:textId="77777777" w:rsidR="00A811DB" w:rsidRPr="00A811DB" w:rsidRDefault="00A811DB" w:rsidP="00A811DB">
      <w:pPr>
        <w:spacing w:line="240" w:lineRule="auto"/>
        <w:rPr>
          <w:rFonts w:eastAsia="Times New Roman" w:cs="Arial"/>
          <w:color w:val="000000"/>
          <w:szCs w:val="20"/>
          <w:u w:val="single"/>
          <w:lang w:eastAsia="bg-BG"/>
        </w:rPr>
      </w:pPr>
    </w:p>
    <w:p w14:paraId="6984D957" w14:textId="24D59B73" w:rsidR="00A811DB" w:rsidRPr="00BB12F0" w:rsidRDefault="00A811DB" w:rsidP="00BB12F0">
      <w:pPr>
        <w:pStyle w:val="Heading3"/>
        <w:rPr>
          <w:rFonts w:eastAsia="Times New Roman"/>
          <w:sz w:val="28"/>
          <w:u w:val="single"/>
          <w:lang w:eastAsia="bg-BG"/>
        </w:rPr>
      </w:pPr>
      <w:r w:rsidRPr="00BB12F0">
        <w:rPr>
          <w:rFonts w:eastAsia="Times New Roman"/>
          <w:u w:val="single"/>
          <w:lang w:eastAsia="bg-BG"/>
        </w:rPr>
        <w:t>Кърмене</w:t>
      </w:r>
    </w:p>
    <w:p w14:paraId="0141B09E" w14:textId="77777777" w:rsidR="00A811DB" w:rsidRPr="00A811DB" w:rsidRDefault="00A811DB" w:rsidP="00A811DB">
      <w:pPr>
        <w:rPr>
          <w:rFonts w:eastAsia="Times New Roman" w:cs="Arial"/>
          <w:color w:val="000000"/>
          <w:szCs w:val="20"/>
          <w:lang w:eastAsia="bg-BG"/>
        </w:rPr>
      </w:pPr>
    </w:p>
    <w:p w14:paraId="5ACBE0CA" w14:textId="77B58B51" w:rsidR="00A811DB" w:rsidRDefault="00A811DB" w:rsidP="00A811DB">
      <w:pPr>
        <w:rPr>
          <w:rFonts w:eastAsia="Times New Roman" w:cs="Arial"/>
          <w:color w:val="000000"/>
          <w:szCs w:val="20"/>
          <w:lang w:eastAsia="bg-BG"/>
        </w:rPr>
      </w:pPr>
      <w:r w:rsidRPr="00A811DB">
        <w:rPr>
          <w:rFonts w:eastAsia="Times New Roman" w:cs="Arial"/>
          <w:color w:val="000000"/>
          <w:szCs w:val="20"/>
          <w:lang w:eastAsia="bg-BG"/>
        </w:rPr>
        <w:t>Габапентин се екскретира в кърмата. Поради това, че ефектът върху кърмачето е неизвестен, трябва внимателно да се прецени прилагането на лекарствения продукт при кърмещи майки.</w:t>
      </w:r>
    </w:p>
    <w:p w14:paraId="0AAEA567" w14:textId="690C275F" w:rsidR="00A811DB" w:rsidRDefault="00A811DB" w:rsidP="00A811DB">
      <w:pPr>
        <w:rPr>
          <w:rFonts w:eastAsia="Times New Roman" w:cs="Arial"/>
          <w:color w:val="000000"/>
          <w:szCs w:val="20"/>
          <w:lang w:eastAsia="bg-BG"/>
        </w:rPr>
      </w:pPr>
    </w:p>
    <w:p w14:paraId="3141729D"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Габапентин трябва да се използва при кърмещи майки, само ако ползата категорично надвишава риска.</w:t>
      </w:r>
    </w:p>
    <w:p w14:paraId="13314CB0" w14:textId="77777777" w:rsidR="00A811DB" w:rsidRPr="00A811DB" w:rsidRDefault="00A811DB" w:rsidP="00A811DB">
      <w:pPr>
        <w:spacing w:line="240" w:lineRule="auto"/>
        <w:rPr>
          <w:rFonts w:eastAsia="Times New Roman" w:cs="Arial"/>
          <w:color w:val="000000"/>
          <w:szCs w:val="20"/>
          <w:u w:val="single"/>
          <w:lang w:eastAsia="bg-BG"/>
        </w:rPr>
      </w:pPr>
    </w:p>
    <w:p w14:paraId="36D6C302" w14:textId="7A7FC83A" w:rsidR="00A811DB" w:rsidRPr="00BB12F0" w:rsidRDefault="00A811DB" w:rsidP="00BB12F0">
      <w:pPr>
        <w:pStyle w:val="Heading3"/>
        <w:rPr>
          <w:rFonts w:eastAsia="Times New Roman"/>
          <w:sz w:val="28"/>
          <w:u w:val="single"/>
          <w:lang w:eastAsia="bg-BG"/>
        </w:rPr>
      </w:pPr>
      <w:r w:rsidRPr="00BB12F0">
        <w:rPr>
          <w:rFonts w:eastAsia="Times New Roman"/>
          <w:u w:val="single"/>
          <w:lang w:eastAsia="bg-BG"/>
        </w:rPr>
        <w:t>Фертилитет</w:t>
      </w:r>
    </w:p>
    <w:p w14:paraId="7183B512" w14:textId="77777777" w:rsidR="00A811DB" w:rsidRPr="00A811DB" w:rsidRDefault="00A811DB" w:rsidP="00A811DB">
      <w:pPr>
        <w:rPr>
          <w:rFonts w:eastAsia="Times New Roman" w:cs="Arial"/>
          <w:color w:val="000000"/>
          <w:szCs w:val="20"/>
          <w:lang w:eastAsia="bg-BG"/>
        </w:rPr>
      </w:pPr>
    </w:p>
    <w:p w14:paraId="124F683E" w14:textId="6557B9E7" w:rsidR="00A811DB" w:rsidRPr="00A811DB" w:rsidRDefault="00A811DB" w:rsidP="00A811DB">
      <w:pPr>
        <w:rPr>
          <w:rFonts w:eastAsia="Times New Roman" w:cs="Arial"/>
          <w:color w:val="000000"/>
          <w:sz w:val="24"/>
          <w:szCs w:val="20"/>
          <w:lang w:eastAsia="bg-BG"/>
        </w:rPr>
      </w:pPr>
      <w:r w:rsidRPr="00A811DB">
        <w:rPr>
          <w:rFonts w:eastAsia="Times New Roman" w:cs="Arial"/>
          <w:color w:val="000000"/>
          <w:szCs w:val="20"/>
          <w:lang w:eastAsia="bg-BG"/>
        </w:rPr>
        <w:t>Няма ефект върху фертилитета при проучванията върху животни (вж. точка 5.3).</w:t>
      </w:r>
    </w:p>
    <w:p w14:paraId="2A3F4681" w14:textId="77777777" w:rsidR="00A811DB" w:rsidRPr="00A811DB" w:rsidRDefault="00A811DB" w:rsidP="00A811DB"/>
    <w:p w14:paraId="064DF1DE" w14:textId="56B6D1C4" w:rsidR="00CF77F7" w:rsidRDefault="002C50EE" w:rsidP="004A448E">
      <w:pPr>
        <w:pStyle w:val="Heading2"/>
      </w:pPr>
      <w:r>
        <w:t>4.7. Ефекти върху способността за шофиране и работа с машини</w:t>
      </w:r>
    </w:p>
    <w:p w14:paraId="3E9A32EE" w14:textId="3CA0AF6D" w:rsidR="00A811DB" w:rsidRPr="00A811DB" w:rsidRDefault="00A811DB" w:rsidP="00A811DB">
      <w:pPr>
        <w:rPr>
          <w:rFonts w:cs="Arial"/>
          <w:sz w:val="24"/>
        </w:rPr>
      </w:pPr>
    </w:p>
    <w:p w14:paraId="7B76AFB4" w14:textId="0AB2E7E7" w:rsidR="00A811DB" w:rsidRPr="00A811DB" w:rsidRDefault="00A811DB" w:rsidP="00A811DB">
      <w:pPr>
        <w:rPr>
          <w:rFonts w:cs="Arial"/>
          <w:szCs w:val="20"/>
        </w:rPr>
      </w:pPr>
      <w:r w:rsidRPr="00A811DB">
        <w:rPr>
          <w:rFonts w:cs="Arial"/>
          <w:szCs w:val="20"/>
        </w:rPr>
        <w:t>Габапентин повлиява в лека или умерена степен способността за шофиране и работа с машини. Габапентин влияе върху централната нервна система и може да причини сънливост, замайване или други свързани симптоми. Дори да са само с лека или умерена степен, тези нежелани реакции може да са потенциално опасни за пациенти при шофиране или работа с машини. Това е валидно особено в началото на лечението или след повишаване на дозата.</w:t>
      </w:r>
    </w:p>
    <w:p w14:paraId="0C77338E" w14:textId="77777777" w:rsidR="00A811DB" w:rsidRPr="00A811DB" w:rsidRDefault="00A811DB" w:rsidP="00A811DB"/>
    <w:p w14:paraId="37A3FD9F" w14:textId="69F989F7" w:rsidR="00CF77F7" w:rsidRDefault="002C50EE" w:rsidP="004A448E">
      <w:pPr>
        <w:pStyle w:val="Heading2"/>
      </w:pPr>
      <w:r>
        <w:t>4.8. Нежелани лекарствени реакции</w:t>
      </w:r>
    </w:p>
    <w:p w14:paraId="252EC869" w14:textId="0ECB2B68" w:rsidR="00A811DB" w:rsidRDefault="00A811DB" w:rsidP="00A811DB"/>
    <w:p w14:paraId="6D7DF3AC" w14:textId="77777777"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Нежеланите лекарствени реакции, наблюдавани по време на клиничните проучвания, проведени при епилепсия (допълваща и монотерапия) и невропатна болка, са представени в общ списък по-долу, групирани по клас и честота: много чести (≥1/10), чести (≥1/100 до &lt;1/10), нечести (≥1/1000 до &lt;1/100), редки (≥1/10 000 до &lt;1/1000), много редки (&lt;1/10 000).</w:t>
      </w:r>
    </w:p>
    <w:p w14:paraId="13F9F5A4" w14:textId="30680D0A"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t>Когато е наблюдавана нежелана реакция с различна честота при различните клинични проучвания, тя е записана с най-високата отразена честота.</w:t>
      </w:r>
    </w:p>
    <w:p w14:paraId="4506C95F" w14:textId="77777777" w:rsidR="00D06CD0" w:rsidRPr="00D06CD0" w:rsidRDefault="00D06CD0" w:rsidP="00A811DB">
      <w:pPr>
        <w:spacing w:line="240" w:lineRule="auto"/>
        <w:rPr>
          <w:rFonts w:eastAsia="Times New Roman" w:cs="Arial"/>
          <w:color w:val="000000"/>
          <w:szCs w:val="20"/>
          <w:lang w:eastAsia="bg-BG"/>
        </w:rPr>
      </w:pPr>
    </w:p>
    <w:p w14:paraId="77514B33" w14:textId="4B13789C" w:rsidR="00A811DB" w:rsidRPr="00A811DB" w:rsidRDefault="00A811DB" w:rsidP="00A811DB">
      <w:pPr>
        <w:spacing w:line="240" w:lineRule="auto"/>
        <w:rPr>
          <w:rFonts w:eastAsia="Times New Roman" w:cs="Arial"/>
          <w:sz w:val="28"/>
          <w:szCs w:val="24"/>
          <w:lang w:eastAsia="bg-BG"/>
        </w:rPr>
      </w:pPr>
      <w:r w:rsidRPr="00A811DB">
        <w:rPr>
          <w:rFonts w:eastAsia="Times New Roman" w:cs="Arial"/>
          <w:color w:val="000000"/>
          <w:szCs w:val="20"/>
          <w:lang w:eastAsia="bg-BG"/>
        </w:rPr>
        <w:lastRenderedPageBreak/>
        <w:t>Допълнителни нежелани реакции, докладвани по време на постмаркетинговия опит, са включени с неизвестна честота (от наличните данни не може да бъде направена оценка), представени с курсив в списъка по-долу.</w:t>
      </w:r>
    </w:p>
    <w:p w14:paraId="1760776D" w14:textId="77777777" w:rsidR="00D06CD0" w:rsidRPr="00D06CD0" w:rsidRDefault="00D06CD0" w:rsidP="00A811DB">
      <w:pPr>
        <w:rPr>
          <w:rFonts w:eastAsia="Times New Roman" w:cs="Arial"/>
          <w:color w:val="000000"/>
          <w:szCs w:val="20"/>
          <w:lang w:eastAsia="bg-BG"/>
        </w:rPr>
      </w:pPr>
    </w:p>
    <w:p w14:paraId="234CDE4B" w14:textId="22C91612" w:rsidR="00A811DB" w:rsidRPr="00D06CD0" w:rsidRDefault="00A811DB" w:rsidP="00A811DB">
      <w:pPr>
        <w:rPr>
          <w:rFonts w:cs="Arial"/>
          <w:sz w:val="24"/>
        </w:rPr>
      </w:pPr>
      <w:r w:rsidRPr="00D06CD0">
        <w:rPr>
          <w:rFonts w:eastAsia="Times New Roman" w:cs="Arial"/>
          <w:color w:val="000000"/>
          <w:szCs w:val="20"/>
          <w:lang w:eastAsia="bg-BG"/>
        </w:rPr>
        <w:t>При всяко групиране в зависимост от честотата нежеланите лекарствени реакции се изброяват в низходящ ред по отношение на тяхната сериозност.</w:t>
      </w:r>
    </w:p>
    <w:tbl>
      <w:tblPr>
        <w:tblStyle w:val="TableGrid"/>
        <w:tblW w:w="0" w:type="auto"/>
        <w:tblLook w:val="04A0" w:firstRow="1" w:lastRow="0" w:firstColumn="1" w:lastColumn="0" w:noHBand="0" w:noVBand="1"/>
      </w:tblPr>
      <w:tblGrid>
        <w:gridCol w:w="4675"/>
        <w:gridCol w:w="4675"/>
      </w:tblGrid>
      <w:tr w:rsidR="00D06CD0" w14:paraId="4E2049A1" w14:textId="77777777" w:rsidTr="00D06CD0">
        <w:tc>
          <w:tcPr>
            <w:tcW w:w="4750" w:type="dxa"/>
          </w:tcPr>
          <w:p w14:paraId="1A9190D2" w14:textId="107721CA" w:rsidR="00D06CD0" w:rsidRPr="00D06CD0" w:rsidRDefault="00D06CD0" w:rsidP="00D06CD0">
            <w:r w:rsidRPr="00D06CD0">
              <w:rPr>
                <w:b/>
                <w:bCs/>
                <w:szCs w:val="20"/>
              </w:rPr>
              <w:t>Системо-органен клас</w:t>
            </w:r>
          </w:p>
        </w:tc>
        <w:tc>
          <w:tcPr>
            <w:tcW w:w="4750" w:type="dxa"/>
          </w:tcPr>
          <w:p w14:paraId="5D6D88A7" w14:textId="4557F842" w:rsidR="00D06CD0" w:rsidRPr="00D06CD0" w:rsidRDefault="00D06CD0" w:rsidP="00D06CD0">
            <w:r w:rsidRPr="00D06CD0">
              <w:rPr>
                <w:b/>
                <w:bCs/>
                <w:szCs w:val="20"/>
              </w:rPr>
              <w:t>Нежелана лекарствена реакция</w:t>
            </w:r>
          </w:p>
        </w:tc>
      </w:tr>
      <w:tr w:rsidR="00D06CD0" w14:paraId="2212E92F" w14:textId="77777777" w:rsidTr="00D06CD0">
        <w:tc>
          <w:tcPr>
            <w:tcW w:w="4750" w:type="dxa"/>
          </w:tcPr>
          <w:p w14:paraId="5ADBC674" w14:textId="77777777" w:rsidR="00D06CD0" w:rsidRPr="00D06CD0" w:rsidRDefault="00D06CD0" w:rsidP="00D06CD0">
            <w:r w:rsidRPr="00D06CD0">
              <w:rPr>
                <w:b/>
                <w:bCs/>
                <w:szCs w:val="20"/>
              </w:rPr>
              <w:t>Инфекции и инфестации</w:t>
            </w:r>
          </w:p>
          <w:p w14:paraId="3C593F1C" w14:textId="77777777" w:rsidR="00D06CD0" w:rsidRPr="00D06CD0" w:rsidRDefault="00D06CD0" w:rsidP="00D06CD0">
            <w:r w:rsidRPr="00D06CD0">
              <w:rPr>
                <w:szCs w:val="20"/>
              </w:rPr>
              <w:t>Много чести</w:t>
            </w:r>
          </w:p>
          <w:p w14:paraId="47B592F5" w14:textId="46D6EF63" w:rsidR="00D06CD0" w:rsidRPr="00D06CD0" w:rsidRDefault="00D06CD0" w:rsidP="00D06CD0">
            <w:r w:rsidRPr="00D06CD0">
              <w:rPr>
                <w:szCs w:val="20"/>
              </w:rPr>
              <w:t>Чести</w:t>
            </w:r>
          </w:p>
        </w:tc>
        <w:tc>
          <w:tcPr>
            <w:tcW w:w="4750" w:type="dxa"/>
          </w:tcPr>
          <w:p w14:paraId="3EAA771E" w14:textId="77777777" w:rsidR="00D06CD0" w:rsidRPr="00D06CD0" w:rsidRDefault="00D06CD0" w:rsidP="00D06CD0">
            <w:r w:rsidRPr="00D06CD0">
              <w:rPr>
                <w:szCs w:val="20"/>
              </w:rPr>
              <w:t>вирусна инфекция</w:t>
            </w:r>
          </w:p>
          <w:p w14:paraId="1BD3A94E" w14:textId="2CA87EAF" w:rsidR="00D06CD0" w:rsidRPr="00D06CD0" w:rsidRDefault="00D06CD0" w:rsidP="00D06CD0">
            <w:r w:rsidRPr="00D06CD0">
              <w:rPr>
                <w:szCs w:val="20"/>
              </w:rPr>
              <w:t>пневмония, респираторна инфекция, инфекция на пикочните пътища, отитис мсдиа</w:t>
            </w:r>
          </w:p>
        </w:tc>
      </w:tr>
      <w:tr w:rsidR="00D06CD0" w14:paraId="01A4FF43" w14:textId="77777777" w:rsidTr="00D06CD0">
        <w:tc>
          <w:tcPr>
            <w:tcW w:w="4750" w:type="dxa"/>
          </w:tcPr>
          <w:p w14:paraId="53E3E578" w14:textId="77777777" w:rsidR="00D06CD0" w:rsidRDefault="00D06CD0" w:rsidP="00D06CD0">
            <w:pPr>
              <w:rPr>
                <w:b/>
                <w:bCs/>
                <w:szCs w:val="20"/>
              </w:rPr>
            </w:pPr>
            <w:r w:rsidRPr="00D06CD0">
              <w:rPr>
                <w:b/>
                <w:bCs/>
                <w:szCs w:val="20"/>
              </w:rPr>
              <w:t xml:space="preserve">Нарушения на кръвта и лимфната система </w:t>
            </w:r>
          </w:p>
          <w:p w14:paraId="4A886D5E" w14:textId="2FEDE12A" w:rsidR="00D06CD0" w:rsidRPr="00D06CD0" w:rsidRDefault="00D06CD0" w:rsidP="00D06CD0">
            <w:r w:rsidRPr="00D06CD0">
              <w:rPr>
                <w:szCs w:val="20"/>
              </w:rPr>
              <w:t>Чести С неизвестна честота</w:t>
            </w:r>
          </w:p>
        </w:tc>
        <w:tc>
          <w:tcPr>
            <w:tcW w:w="4750" w:type="dxa"/>
          </w:tcPr>
          <w:p w14:paraId="6ED878F3" w14:textId="3AFBD9FE" w:rsidR="00D06CD0" w:rsidRPr="00D06CD0" w:rsidRDefault="00D06CD0" w:rsidP="00D06CD0">
            <w:r w:rsidRPr="00D06CD0">
              <w:rPr>
                <w:szCs w:val="20"/>
              </w:rPr>
              <w:t xml:space="preserve">левкопения </w:t>
            </w:r>
            <w:r w:rsidRPr="00D06CD0">
              <w:rPr>
                <w:i/>
                <w:iCs/>
                <w:szCs w:val="20"/>
              </w:rPr>
              <w:t>тромбоцитопения</w:t>
            </w:r>
          </w:p>
        </w:tc>
      </w:tr>
      <w:tr w:rsidR="00D06CD0" w14:paraId="09E5F2CA" w14:textId="77777777" w:rsidTr="00D06CD0">
        <w:tc>
          <w:tcPr>
            <w:tcW w:w="4750" w:type="dxa"/>
          </w:tcPr>
          <w:p w14:paraId="6AE6BD50" w14:textId="77777777" w:rsidR="00D06CD0" w:rsidRPr="00D06CD0" w:rsidRDefault="00D06CD0" w:rsidP="00D06CD0">
            <w:r w:rsidRPr="00D06CD0">
              <w:rPr>
                <w:b/>
                <w:bCs/>
                <w:szCs w:val="20"/>
              </w:rPr>
              <w:t>Нарушения на имунната система</w:t>
            </w:r>
          </w:p>
          <w:p w14:paraId="30F99050" w14:textId="77777777" w:rsidR="00D06CD0" w:rsidRPr="00D06CD0" w:rsidRDefault="00D06CD0" w:rsidP="00D06CD0">
            <w:r w:rsidRPr="00D06CD0">
              <w:rPr>
                <w:szCs w:val="20"/>
              </w:rPr>
              <w:t>Нечести</w:t>
            </w:r>
          </w:p>
          <w:p w14:paraId="31E15FEB" w14:textId="7122166A" w:rsidR="00D06CD0" w:rsidRPr="00D06CD0" w:rsidRDefault="00D06CD0" w:rsidP="00D06CD0">
            <w:r w:rsidRPr="00D06CD0">
              <w:rPr>
                <w:szCs w:val="20"/>
              </w:rPr>
              <w:t>С неизвестна честота</w:t>
            </w:r>
          </w:p>
        </w:tc>
        <w:tc>
          <w:tcPr>
            <w:tcW w:w="4750" w:type="dxa"/>
          </w:tcPr>
          <w:p w14:paraId="43C2DA0B" w14:textId="77777777" w:rsidR="00D06CD0" w:rsidRPr="00D06CD0" w:rsidRDefault="00D06CD0" w:rsidP="00D06CD0">
            <w:r w:rsidRPr="00D06CD0">
              <w:rPr>
                <w:szCs w:val="20"/>
              </w:rPr>
              <w:t>алергични реакции (напр. уртикария)</w:t>
            </w:r>
          </w:p>
          <w:p w14:paraId="2E298527" w14:textId="2533A373" w:rsidR="00D06CD0" w:rsidRPr="00D06CD0" w:rsidRDefault="00D06CD0" w:rsidP="00D06CD0">
            <w:r w:rsidRPr="00D06CD0">
              <w:rPr>
                <w:i/>
                <w:iCs/>
                <w:szCs w:val="20"/>
              </w:rPr>
              <w:t>синдром на свръхчувствителност (системна реакция с променливи симптоми, които могат да включват треска, обрив, хепатит, лимфаденопатия, еозинофилия, както понякога и други симптоми), анафилаксия (вж. точка 4.4)</w:t>
            </w:r>
          </w:p>
        </w:tc>
      </w:tr>
      <w:tr w:rsidR="00D06CD0" w14:paraId="42A106C7" w14:textId="77777777" w:rsidTr="00D06CD0">
        <w:tc>
          <w:tcPr>
            <w:tcW w:w="4750" w:type="dxa"/>
          </w:tcPr>
          <w:p w14:paraId="4912493F" w14:textId="77777777" w:rsidR="00D06CD0" w:rsidRPr="00D06CD0" w:rsidRDefault="00D06CD0" w:rsidP="00D06CD0">
            <w:r w:rsidRPr="00D06CD0">
              <w:rPr>
                <w:b/>
                <w:bCs/>
                <w:szCs w:val="20"/>
              </w:rPr>
              <w:t>Нарушения на метаболизма и храненето</w:t>
            </w:r>
          </w:p>
          <w:p w14:paraId="5D90C0E3" w14:textId="77777777" w:rsidR="00D06CD0" w:rsidRPr="00D06CD0" w:rsidRDefault="00D06CD0" w:rsidP="00D06CD0">
            <w:r w:rsidRPr="00D06CD0">
              <w:rPr>
                <w:szCs w:val="20"/>
              </w:rPr>
              <w:t>Чести</w:t>
            </w:r>
          </w:p>
          <w:p w14:paraId="1544BDDA" w14:textId="77777777" w:rsidR="00D06CD0" w:rsidRPr="00D06CD0" w:rsidRDefault="00D06CD0" w:rsidP="00D06CD0">
            <w:r w:rsidRPr="00D06CD0">
              <w:rPr>
                <w:szCs w:val="20"/>
              </w:rPr>
              <w:t>Нечести</w:t>
            </w:r>
          </w:p>
          <w:p w14:paraId="09341191" w14:textId="77777777" w:rsidR="00D06CD0" w:rsidRPr="00D06CD0" w:rsidRDefault="00D06CD0" w:rsidP="00D06CD0">
            <w:r w:rsidRPr="00D06CD0">
              <w:rPr>
                <w:szCs w:val="20"/>
              </w:rPr>
              <w:t>Редки</w:t>
            </w:r>
          </w:p>
          <w:p w14:paraId="559FE165" w14:textId="2D929216" w:rsidR="00D06CD0" w:rsidRPr="00D06CD0" w:rsidRDefault="00D06CD0" w:rsidP="00D06CD0">
            <w:r w:rsidRPr="00D06CD0">
              <w:rPr>
                <w:szCs w:val="20"/>
              </w:rPr>
              <w:t>С неизвестна честота</w:t>
            </w:r>
          </w:p>
        </w:tc>
        <w:tc>
          <w:tcPr>
            <w:tcW w:w="4750" w:type="dxa"/>
          </w:tcPr>
          <w:p w14:paraId="6AFB287C" w14:textId="77777777" w:rsidR="00D06CD0" w:rsidRPr="00D06CD0" w:rsidRDefault="00D06CD0" w:rsidP="00D06CD0">
            <w:r w:rsidRPr="00D06CD0">
              <w:rPr>
                <w:szCs w:val="20"/>
              </w:rPr>
              <w:t>анорексия, повишен апетит</w:t>
            </w:r>
          </w:p>
          <w:p w14:paraId="404D1CBA" w14:textId="77777777" w:rsidR="00D06CD0" w:rsidRPr="00D06CD0" w:rsidRDefault="00D06CD0" w:rsidP="00D06CD0">
            <w:r w:rsidRPr="00D06CD0">
              <w:rPr>
                <w:szCs w:val="20"/>
              </w:rPr>
              <w:t>хипергликемия (най-често наблюдавана при пациенти</w:t>
            </w:r>
          </w:p>
          <w:p w14:paraId="6953D2D3" w14:textId="77777777" w:rsidR="00D06CD0" w:rsidRPr="00D06CD0" w:rsidRDefault="00D06CD0" w:rsidP="00D06CD0">
            <w:r w:rsidRPr="00D06CD0">
              <w:rPr>
                <w:szCs w:val="20"/>
              </w:rPr>
              <w:t>с диабет)</w:t>
            </w:r>
          </w:p>
          <w:p w14:paraId="4FCBDEE3" w14:textId="77777777" w:rsidR="00D06CD0" w:rsidRPr="00D06CD0" w:rsidRDefault="00D06CD0" w:rsidP="00D06CD0">
            <w:r w:rsidRPr="00D06CD0">
              <w:rPr>
                <w:szCs w:val="20"/>
              </w:rPr>
              <w:t>хипогликемия (най-често наблюдавана при пациента с диабет)</w:t>
            </w:r>
          </w:p>
          <w:p w14:paraId="7196D61D" w14:textId="5B329C6E" w:rsidR="00D06CD0" w:rsidRPr="00D06CD0" w:rsidRDefault="00D06CD0" w:rsidP="00D06CD0">
            <w:r w:rsidRPr="00D06CD0">
              <w:rPr>
                <w:i/>
                <w:iCs/>
                <w:szCs w:val="20"/>
              </w:rPr>
              <w:t>хипонатриемия</w:t>
            </w:r>
            <w:r w:rsidRPr="00D06CD0">
              <w:rPr>
                <w:i/>
                <w:iCs/>
                <w:szCs w:val="20"/>
              </w:rPr>
              <w:tab/>
            </w:r>
          </w:p>
        </w:tc>
      </w:tr>
      <w:tr w:rsidR="00D06CD0" w14:paraId="34EB6DE2" w14:textId="77777777" w:rsidTr="00FA7B6C">
        <w:trPr>
          <w:trHeight w:val="1629"/>
        </w:trPr>
        <w:tc>
          <w:tcPr>
            <w:tcW w:w="4750" w:type="dxa"/>
          </w:tcPr>
          <w:p w14:paraId="3FA80C5D" w14:textId="77777777" w:rsidR="00D06CD0" w:rsidRPr="00D06CD0" w:rsidRDefault="00D06CD0" w:rsidP="00D06CD0">
            <w:r w:rsidRPr="00D06CD0">
              <w:rPr>
                <w:b/>
                <w:bCs/>
                <w:szCs w:val="20"/>
              </w:rPr>
              <w:t>Психични нарушения</w:t>
            </w:r>
          </w:p>
          <w:p w14:paraId="6A22FA6C" w14:textId="77777777" w:rsidR="00D06CD0" w:rsidRPr="00D06CD0" w:rsidRDefault="00D06CD0" w:rsidP="00D06CD0">
            <w:r w:rsidRPr="00D06CD0">
              <w:rPr>
                <w:szCs w:val="20"/>
              </w:rPr>
              <w:t>Чести</w:t>
            </w:r>
          </w:p>
          <w:p w14:paraId="3B66C789" w14:textId="77777777" w:rsidR="00D06CD0" w:rsidRDefault="00D06CD0" w:rsidP="00D06CD0">
            <w:pPr>
              <w:rPr>
                <w:szCs w:val="20"/>
              </w:rPr>
            </w:pPr>
          </w:p>
          <w:p w14:paraId="6E5DE4CA" w14:textId="77777777" w:rsidR="00D06CD0" w:rsidRDefault="00D06CD0" w:rsidP="00D06CD0">
            <w:pPr>
              <w:rPr>
                <w:szCs w:val="20"/>
              </w:rPr>
            </w:pPr>
          </w:p>
          <w:p w14:paraId="7D7317D6" w14:textId="5BF202AF" w:rsidR="00D06CD0" w:rsidRPr="00D06CD0" w:rsidRDefault="00D06CD0" w:rsidP="00D06CD0">
            <w:r w:rsidRPr="00D06CD0">
              <w:rPr>
                <w:szCs w:val="20"/>
              </w:rPr>
              <w:t>Нечести</w:t>
            </w:r>
          </w:p>
          <w:p w14:paraId="45DD9107" w14:textId="77777777" w:rsidR="00D06CD0" w:rsidRDefault="00D06CD0" w:rsidP="00D06CD0">
            <w:pPr>
              <w:rPr>
                <w:szCs w:val="20"/>
              </w:rPr>
            </w:pPr>
          </w:p>
          <w:p w14:paraId="6B0FE5DB" w14:textId="77777777" w:rsidR="00D06CD0" w:rsidRDefault="00D06CD0" w:rsidP="00D06CD0">
            <w:pPr>
              <w:rPr>
                <w:szCs w:val="20"/>
              </w:rPr>
            </w:pPr>
          </w:p>
          <w:p w14:paraId="368DDE07" w14:textId="3961769B" w:rsidR="00D06CD0" w:rsidRPr="00D06CD0" w:rsidRDefault="00D06CD0" w:rsidP="00D06CD0">
            <w:r w:rsidRPr="00D06CD0">
              <w:rPr>
                <w:szCs w:val="20"/>
              </w:rPr>
              <w:t>С неизвестна честота</w:t>
            </w:r>
          </w:p>
        </w:tc>
        <w:tc>
          <w:tcPr>
            <w:tcW w:w="4750" w:type="dxa"/>
          </w:tcPr>
          <w:p w14:paraId="5890783C" w14:textId="77777777" w:rsidR="00D06CD0" w:rsidRDefault="00D06CD0" w:rsidP="00D06CD0">
            <w:pPr>
              <w:rPr>
                <w:szCs w:val="20"/>
              </w:rPr>
            </w:pPr>
          </w:p>
          <w:p w14:paraId="223D39B3" w14:textId="3390E43B" w:rsidR="00D06CD0" w:rsidRDefault="00D06CD0" w:rsidP="00D06CD0">
            <w:pPr>
              <w:rPr>
                <w:szCs w:val="20"/>
              </w:rPr>
            </w:pPr>
            <w:r w:rsidRPr="00D06CD0">
              <w:rPr>
                <w:szCs w:val="20"/>
              </w:rPr>
              <w:t>враждебност, объркване и емоционална лабилност</w:t>
            </w:r>
            <w:r>
              <w:t>,</w:t>
            </w:r>
            <w:r w:rsidRPr="00D06CD0">
              <w:rPr>
                <w:szCs w:val="20"/>
              </w:rPr>
              <w:t>депресия, тревожност, нервност, абнормно мислене</w:t>
            </w:r>
          </w:p>
          <w:p w14:paraId="74F3A50B" w14:textId="2BD840DD" w:rsidR="00D06CD0" w:rsidRPr="00D06CD0" w:rsidRDefault="00D06CD0" w:rsidP="00D06CD0">
            <w:r w:rsidRPr="00D06CD0">
              <w:rPr>
                <w:szCs w:val="20"/>
              </w:rPr>
              <w:t xml:space="preserve"> възбуда</w:t>
            </w:r>
          </w:p>
          <w:p w14:paraId="48D08FDE" w14:textId="77777777" w:rsidR="00D06CD0" w:rsidRDefault="00D06CD0" w:rsidP="00D06CD0">
            <w:pPr>
              <w:rPr>
                <w:i/>
                <w:iCs/>
                <w:szCs w:val="20"/>
              </w:rPr>
            </w:pPr>
          </w:p>
          <w:p w14:paraId="7B8B954C" w14:textId="43665B7D" w:rsidR="00D06CD0" w:rsidRPr="00D06CD0" w:rsidRDefault="00D06CD0" w:rsidP="00D06CD0">
            <w:r w:rsidRPr="00D06CD0">
              <w:rPr>
                <w:i/>
                <w:iCs/>
                <w:szCs w:val="20"/>
              </w:rPr>
              <w:t>суицидна идеация, халюцинации</w:t>
            </w:r>
          </w:p>
        </w:tc>
      </w:tr>
      <w:tr w:rsidR="00D06CD0" w14:paraId="1C649434" w14:textId="77777777" w:rsidTr="00641B08">
        <w:tc>
          <w:tcPr>
            <w:tcW w:w="4750" w:type="dxa"/>
          </w:tcPr>
          <w:p w14:paraId="4333B43A" w14:textId="77777777" w:rsidR="00D06CD0" w:rsidRPr="00D06CD0" w:rsidRDefault="00D06CD0" w:rsidP="00D06CD0">
            <w:r w:rsidRPr="00D06CD0">
              <w:rPr>
                <w:b/>
                <w:bCs/>
                <w:szCs w:val="20"/>
              </w:rPr>
              <w:t>Нарушения на нервната система</w:t>
            </w:r>
          </w:p>
          <w:p w14:paraId="3195E758" w14:textId="77777777" w:rsidR="00D06CD0" w:rsidRPr="00D06CD0" w:rsidRDefault="00D06CD0" w:rsidP="00D06CD0">
            <w:r w:rsidRPr="00D06CD0">
              <w:rPr>
                <w:szCs w:val="20"/>
              </w:rPr>
              <w:t>Много чести</w:t>
            </w:r>
          </w:p>
          <w:p w14:paraId="5ED8DF60" w14:textId="77777777" w:rsidR="00D06CD0" w:rsidRPr="00D06CD0" w:rsidRDefault="00D06CD0" w:rsidP="00D06CD0">
            <w:r w:rsidRPr="00D06CD0">
              <w:rPr>
                <w:szCs w:val="20"/>
              </w:rPr>
              <w:t>Чести</w:t>
            </w:r>
          </w:p>
          <w:p w14:paraId="74CB54AB" w14:textId="77777777" w:rsidR="00D06CD0" w:rsidRDefault="00D06CD0" w:rsidP="00D06CD0">
            <w:pPr>
              <w:rPr>
                <w:szCs w:val="20"/>
              </w:rPr>
            </w:pPr>
          </w:p>
          <w:p w14:paraId="2D6E19CC" w14:textId="77777777" w:rsidR="00D06CD0" w:rsidRDefault="00D06CD0" w:rsidP="00D06CD0">
            <w:pPr>
              <w:rPr>
                <w:szCs w:val="20"/>
              </w:rPr>
            </w:pPr>
          </w:p>
          <w:p w14:paraId="075DD4D7" w14:textId="77777777" w:rsidR="00D06CD0" w:rsidRDefault="00D06CD0" w:rsidP="00D06CD0">
            <w:pPr>
              <w:rPr>
                <w:szCs w:val="20"/>
              </w:rPr>
            </w:pPr>
          </w:p>
          <w:p w14:paraId="5FFEB35E" w14:textId="77777777" w:rsidR="00D06CD0" w:rsidRDefault="00D06CD0" w:rsidP="00D06CD0">
            <w:pPr>
              <w:rPr>
                <w:szCs w:val="20"/>
              </w:rPr>
            </w:pPr>
          </w:p>
          <w:p w14:paraId="706A2817" w14:textId="77777777" w:rsidR="00D06CD0" w:rsidRDefault="00D06CD0" w:rsidP="00D06CD0">
            <w:pPr>
              <w:rPr>
                <w:szCs w:val="20"/>
              </w:rPr>
            </w:pPr>
          </w:p>
          <w:p w14:paraId="40FE5FDC" w14:textId="7FDA2FD6" w:rsidR="00D06CD0" w:rsidRPr="00D06CD0" w:rsidRDefault="00D06CD0" w:rsidP="00D06CD0">
            <w:r w:rsidRPr="00D06CD0">
              <w:rPr>
                <w:szCs w:val="20"/>
              </w:rPr>
              <w:t>Нечести</w:t>
            </w:r>
          </w:p>
          <w:p w14:paraId="79B049AB" w14:textId="77777777" w:rsidR="00D06CD0" w:rsidRPr="00D06CD0" w:rsidRDefault="00D06CD0" w:rsidP="00D06CD0">
            <w:r w:rsidRPr="00D06CD0">
              <w:rPr>
                <w:szCs w:val="20"/>
              </w:rPr>
              <w:t>Редки</w:t>
            </w:r>
          </w:p>
          <w:p w14:paraId="30164DCD" w14:textId="621B1513" w:rsidR="00D06CD0" w:rsidRPr="00D06CD0" w:rsidRDefault="00D06CD0" w:rsidP="00D06CD0">
            <w:r w:rsidRPr="00D06CD0">
              <w:rPr>
                <w:szCs w:val="20"/>
              </w:rPr>
              <w:lastRenderedPageBreak/>
              <w:t>С неизвестна честота</w:t>
            </w:r>
          </w:p>
        </w:tc>
        <w:tc>
          <w:tcPr>
            <w:tcW w:w="4750" w:type="dxa"/>
            <w:vAlign w:val="bottom"/>
          </w:tcPr>
          <w:p w14:paraId="6C547A06" w14:textId="77777777" w:rsidR="00D06CD0" w:rsidRDefault="00D06CD0" w:rsidP="00D06CD0">
            <w:pPr>
              <w:rPr>
                <w:szCs w:val="20"/>
              </w:rPr>
            </w:pPr>
          </w:p>
          <w:p w14:paraId="5BA2D94F" w14:textId="49340945" w:rsidR="00D06CD0" w:rsidRPr="00D06CD0" w:rsidRDefault="00D06CD0" w:rsidP="00D06CD0">
            <w:r w:rsidRPr="00D06CD0">
              <w:rPr>
                <w:szCs w:val="20"/>
              </w:rPr>
              <w:t>сомнолентност, замаяност, атаксия</w:t>
            </w:r>
          </w:p>
          <w:p w14:paraId="11779D38" w14:textId="77777777" w:rsidR="00D06CD0" w:rsidRPr="00D06CD0" w:rsidRDefault="00D06CD0" w:rsidP="00D06CD0">
            <w:r w:rsidRPr="00D06CD0">
              <w:rPr>
                <w:szCs w:val="20"/>
              </w:rPr>
              <w:t>конвулсии, хиперкинезии, дизартрия, амнезия, тремор, безсъние, главоболие, усещания като парестезия, хипестезия, нарушена координация, нистагъм, засилени, понижени или липсващи рефлекси</w:t>
            </w:r>
          </w:p>
          <w:p w14:paraId="34D727F0" w14:textId="77777777" w:rsidR="00D06CD0" w:rsidRPr="00D06CD0" w:rsidRDefault="00D06CD0" w:rsidP="00D06CD0">
            <w:r w:rsidRPr="00D06CD0">
              <w:rPr>
                <w:szCs w:val="20"/>
              </w:rPr>
              <w:t>хипокинезия, умствено увреждане</w:t>
            </w:r>
          </w:p>
          <w:p w14:paraId="3D23FDAD" w14:textId="77777777" w:rsidR="00D06CD0" w:rsidRPr="00D06CD0" w:rsidRDefault="00D06CD0" w:rsidP="00D06CD0">
            <w:r w:rsidRPr="00D06CD0">
              <w:rPr>
                <w:szCs w:val="20"/>
              </w:rPr>
              <w:t>загуба на съзнание</w:t>
            </w:r>
          </w:p>
          <w:p w14:paraId="62B38790" w14:textId="28C7A75F" w:rsidR="00D06CD0" w:rsidRPr="00D06CD0" w:rsidRDefault="00D06CD0" w:rsidP="00D06CD0">
            <w:r w:rsidRPr="00D06CD0">
              <w:rPr>
                <w:i/>
                <w:iCs/>
                <w:szCs w:val="20"/>
              </w:rPr>
              <w:lastRenderedPageBreak/>
              <w:t>други двигателни нарушения (напр. хореоатетоза, дискинезия, дистония)</w:t>
            </w:r>
          </w:p>
        </w:tc>
      </w:tr>
      <w:tr w:rsidR="00D06CD0" w14:paraId="388C2A90" w14:textId="77777777" w:rsidTr="00641B08">
        <w:tc>
          <w:tcPr>
            <w:tcW w:w="4750" w:type="dxa"/>
            <w:vAlign w:val="bottom"/>
          </w:tcPr>
          <w:p w14:paraId="0E6CB2F8" w14:textId="77777777" w:rsidR="00D06CD0" w:rsidRPr="00D06CD0" w:rsidRDefault="00D06CD0" w:rsidP="00D06CD0">
            <w:r w:rsidRPr="00D06CD0">
              <w:rPr>
                <w:b/>
                <w:bCs/>
                <w:szCs w:val="20"/>
              </w:rPr>
              <w:lastRenderedPageBreak/>
              <w:t>Нарушения на очите</w:t>
            </w:r>
          </w:p>
          <w:p w14:paraId="59965027" w14:textId="7B1A8432" w:rsidR="00D06CD0" w:rsidRPr="00D06CD0" w:rsidRDefault="00D06CD0" w:rsidP="00D06CD0">
            <w:r w:rsidRPr="00D06CD0">
              <w:rPr>
                <w:szCs w:val="20"/>
              </w:rPr>
              <w:t>Чести</w:t>
            </w:r>
          </w:p>
        </w:tc>
        <w:tc>
          <w:tcPr>
            <w:tcW w:w="4750" w:type="dxa"/>
            <w:vAlign w:val="bottom"/>
          </w:tcPr>
          <w:p w14:paraId="768DCA05" w14:textId="434E6388" w:rsidR="00D06CD0" w:rsidRPr="00D06CD0" w:rsidRDefault="00D06CD0" w:rsidP="00D06CD0">
            <w:r w:rsidRPr="00D06CD0">
              <w:rPr>
                <w:szCs w:val="20"/>
              </w:rPr>
              <w:t>зрителни нарушения като амблиопия, диплопия</w:t>
            </w:r>
          </w:p>
        </w:tc>
      </w:tr>
      <w:tr w:rsidR="00D06CD0" w14:paraId="17DEEEB5" w14:textId="77777777" w:rsidTr="00641B08">
        <w:tc>
          <w:tcPr>
            <w:tcW w:w="4750" w:type="dxa"/>
            <w:vAlign w:val="bottom"/>
          </w:tcPr>
          <w:p w14:paraId="314D2B81" w14:textId="77777777" w:rsidR="00D06CD0" w:rsidRPr="00D06CD0" w:rsidRDefault="00D06CD0" w:rsidP="00D06CD0">
            <w:r w:rsidRPr="00D06CD0">
              <w:rPr>
                <w:b/>
                <w:bCs/>
                <w:szCs w:val="20"/>
              </w:rPr>
              <w:t>Нарушения на ухото и лабиринта</w:t>
            </w:r>
          </w:p>
          <w:p w14:paraId="788AB832" w14:textId="77777777" w:rsidR="00D06CD0" w:rsidRPr="00D06CD0" w:rsidRDefault="00D06CD0" w:rsidP="00D06CD0">
            <w:r w:rsidRPr="00D06CD0">
              <w:rPr>
                <w:szCs w:val="20"/>
              </w:rPr>
              <w:t>Чести</w:t>
            </w:r>
          </w:p>
          <w:p w14:paraId="74499CD1" w14:textId="7CC9492D" w:rsidR="00D06CD0" w:rsidRPr="00D06CD0" w:rsidRDefault="00D06CD0" w:rsidP="00D06CD0">
            <w:r w:rsidRPr="00D06CD0">
              <w:rPr>
                <w:szCs w:val="20"/>
              </w:rPr>
              <w:t>С неизвестна честота</w:t>
            </w:r>
          </w:p>
        </w:tc>
        <w:tc>
          <w:tcPr>
            <w:tcW w:w="4750" w:type="dxa"/>
            <w:vAlign w:val="bottom"/>
          </w:tcPr>
          <w:p w14:paraId="4711FB35" w14:textId="51093CA8" w:rsidR="00D06CD0" w:rsidRPr="00D06CD0" w:rsidRDefault="00D06CD0" w:rsidP="00D06CD0">
            <w:r w:rsidRPr="00D06CD0">
              <w:rPr>
                <w:szCs w:val="20"/>
              </w:rPr>
              <w:t xml:space="preserve">световъртеж </w:t>
            </w:r>
            <w:r w:rsidRPr="00D06CD0">
              <w:rPr>
                <w:i/>
                <w:iCs/>
                <w:szCs w:val="20"/>
              </w:rPr>
              <w:t>тинитус</w:t>
            </w:r>
          </w:p>
        </w:tc>
      </w:tr>
      <w:tr w:rsidR="00D06CD0" w14:paraId="4D633F3F" w14:textId="77777777" w:rsidTr="00641B08">
        <w:tc>
          <w:tcPr>
            <w:tcW w:w="4750" w:type="dxa"/>
            <w:vAlign w:val="bottom"/>
          </w:tcPr>
          <w:p w14:paraId="6A68D5DD" w14:textId="77777777" w:rsidR="00D06CD0" w:rsidRPr="00D06CD0" w:rsidRDefault="00D06CD0" w:rsidP="00D06CD0">
            <w:r w:rsidRPr="00D06CD0">
              <w:rPr>
                <w:b/>
                <w:bCs/>
                <w:szCs w:val="20"/>
              </w:rPr>
              <w:t>Сърдечни нарушения</w:t>
            </w:r>
          </w:p>
          <w:p w14:paraId="5E78500C" w14:textId="52E18182" w:rsidR="00D06CD0" w:rsidRPr="00D06CD0" w:rsidRDefault="00D06CD0" w:rsidP="00D06CD0">
            <w:r w:rsidRPr="00D06CD0">
              <w:rPr>
                <w:szCs w:val="20"/>
              </w:rPr>
              <w:t>Нечести</w:t>
            </w:r>
          </w:p>
        </w:tc>
        <w:tc>
          <w:tcPr>
            <w:tcW w:w="4750" w:type="dxa"/>
            <w:vAlign w:val="bottom"/>
          </w:tcPr>
          <w:p w14:paraId="48A3C256" w14:textId="30324C97" w:rsidR="00D06CD0" w:rsidRPr="00D06CD0" w:rsidRDefault="00D06CD0" w:rsidP="00D06CD0">
            <w:r w:rsidRPr="00D06CD0">
              <w:rPr>
                <w:szCs w:val="20"/>
              </w:rPr>
              <w:t>палпитации</w:t>
            </w:r>
          </w:p>
        </w:tc>
      </w:tr>
      <w:tr w:rsidR="00D06CD0" w14:paraId="25F2DD43" w14:textId="77777777" w:rsidTr="00641B08">
        <w:tc>
          <w:tcPr>
            <w:tcW w:w="4750" w:type="dxa"/>
            <w:vAlign w:val="bottom"/>
          </w:tcPr>
          <w:p w14:paraId="14B11A12" w14:textId="77777777" w:rsidR="00D06CD0" w:rsidRPr="00D06CD0" w:rsidRDefault="00D06CD0" w:rsidP="00D06CD0">
            <w:r w:rsidRPr="00D06CD0">
              <w:rPr>
                <w:b/>
                <w:bCs/>
                <w:szCs w:val="20"/>
              </w:rPr>
              <w:t>Съдови нарушения</w:t>
            </w:r>
          </w:p>
          <w:p w14:paraId="737E4434" w14:textId="6941D684" w:rsidR="00D06CD0" w:rsidRPr="00D06CD0" w:rsidRDefault="00D06CD0" w:rsidP="00D06CD0">
            <w:r w:rsidRPr="00D06CD0">
              <w:rPr>
                <w:szCs w:val="20"/>
              </w:rPr>
              <w:t>Чести</w:t>
            </w:r>
          </w:p>
        </w:tc>
        <w:tc>
          <w:tcPr>
            <w:tcW w:w="4750" w:type="dxa"/>
            <w:vAlign w:val="bottom"/>
          </w:tcPr>
          <w:p w14:paraId="4E0B6372" w14:textId="1DCF65B7" w:rsidR="00D06CD0" w:rsidRPr="00D06CD0" w:rsidRDefault="00D06CD0" w:rsidP="00D06CD0">
            <w:r w:rsidRPr="00D06CD0">
              <w:rPr>
                <w:szCs w:val="20"/>
              </w:rPr>
              <w:t>хипертония, вазодилатация</w:t>
            </w:r>
          </w:p>
        </w:tc>
      </w:tr>
      <w:tr w:rsidR="00D06CD0" w14:paraId="1F9BEA9D" w14:textId="77777777" w:rsidTr="0040269E">
        <w:tc>
          <w:tcPr>
            <w:tcW w:w="4750" w:type="dxa"/>
            <w:vAlign w:val="bottom"/>
          </w:tcPr>
          <w:p w14:paraId="2E5F2D32" w14:textId="77777777" w:rsidR="00D06CD0" w:rsidRPr="00D06CD0" w:rsidRDefault="00D06CD0" w:rsidP="00D06CD0">
            <w:r w:rsidRPr="00D06CD0">
              <w:rPr>
                <w:b/>
                <w:bCs/>
              </w:rPr>
              <w:t>Респираторни, гръдни и медиастиналии нарушения</w:t>
            </w:r>
          </w:p>
          <w:p w14:paraId="1455B01B" w14:textId="77777777" w:rsidR="00D06CD0" w:rsidRPr="00D06CD0" w:rsidRDefault="00D06CD0" w:rsidP="00D06CD0">
            <w:r w:rsidRPr="00D06CD0">
              <w:t>Чести</w:t>
            </w:r>
          </w:p>
          <w:p w14:paraId="711F2CCD" w14:textId="3651C697" w:rsidR="00D06CD0" w:rsidRPr="00D06CD0" w:rsidRDefault="00D06CD0" w:rsidP="00D06CD0">
            <w:r w:rsidRPr="00D06CD0">
              <w:t>Редки</w:t>
            </w:r>
          </w:p>
        </w:tc>
        <w:tc>
          <w:tcPr>
            <w:tcW w:w="4750" w:type="dxa"/>
            <w:vAlign w:val="bottom"/>
          </w:tcPr>
          <w:p w14:paraId="5406B007" w14:textId="7A3C4CF8" w:rsidR="00D06CD0" w:rsidRPr="00D06CD0" w:rsidRDefault="00D06CD0" w:rsidP="00D06CD0">
            <w:r w:rsidRPr="00D06CD0">
              <w:t>диспнея, бронхит, фарингит, кашлица, ринит респираторна депресия</w:t>
            </w:r>
          </w:p>
        </w:tc>
      </w:tr>
      <w:tr w:rsidR="00D06CD0" w14:paraId="78F79242" w14:textId="77777777" w:rsidTr="00D06CD0">
        <w:trPr>
          <w:trHeight w:val="939"/>
        </w:trPr>
        <w:tc>
          <w:tcPr>
            <w:tcW w:w="4750" w:type="dxa"/>
            <w:vAlign w:val="bottom"/>
          </w:tcPr>
          <w:p w14:paraId="50A999D8" w14:textId="77777777" w:rsidR="00D06CD0" w:rsidRPr="00D06CD0" w:rsidRDefault="00D06CD0" w:rsidP="00D06CD0">
            <w:r w:rsidRPr="00D06CD0">
              <w:rPr>
                <w:b/>
                <w:bCs/>
              </w:rPr>
              <w:t>Стомашно-чревни нарушения</w:t>
            </w:r>
          </w:p>
          <w:p w14:paraId="1D971F17" w14:textId="2602FF38" w:rsidR="00D06CD0" w:rsidRPr="00D06CD0" w:rsidRDefault="00D06CD0" w:rsidP="00D06CD0">
            <w:r>
              <w:t>Чести</w:t>
            </w:r>
          </w:p>
          <w:p w14:paraId="49906C21" w14:textId="77777777" w:rsidR="00D06CD0" w:rsidRPr="00D06CD0" w:rsidRDefault="00D06CD0" w:rsidP="00D06CD0">
            <w:r w:rsidRPr="00D06CD0">
              <w:t>Нечести</w:t>
            </w:r>
          </w:p>
          <w:p w14:paraId="3B845C5B" w14:textId="4490FF5C" w:rsidR="00D06CD0" w:rsidRPr="00D06CD0" w:rsidRDefault="00D06CD0" w:rsidP="00D06CD0">
            <w:r w:rsidRPr="00D06CD0">
              <w:t>С неизвестна честота</w:t>
            </w:r>
          </w:p>
        </w:tc>
        <w:tc>
          <w:tcPr>
            <w:tcW w:w="4750" w:type="dxa"/>
            <w:vAlign w:val="bottom"/>
          </w:tcPr>
          <w:p w14:paraId="762EDC0F" w14:textId="77777777" w:rsidR="00D06CD0" w:rsidRDefault="00D06CD0" w:rsidP="00D06CD0"/>
          <w:p w14:paraId="3A8B340E" w14:textId="77777777" w:rsidR="00D06CD0" w:rsidRDefault="00D06CD0" w:rsidP="00D06CD0"/>
          <w:p w14:paraId="2CA7FCE6" w14:textId="77777777" w:rsidR="00D06CD0" w:rsidRDefault="00D06CD0" w:rsidP="00D06CD0"/>
          <w:p w14:paraId="09A1504E" w14:textId="0958BF1A" w:rsidR="00D06CD0" w:rsidRPr="00D06CD0" w:rsidRDefault="00D06CD0" w:rsidP="00D06CD0">
            <w:r w:rsidRPr="00D06CD0">
              <w:t>повръщане, гадене, зъбни аномалии, гингивит, диария, коремна болка, диспепсия, запек, сухота в устата или гърлото, флатуленция</w:t>
            </w:r>
          </w:p>
          <w:p w14:paraId="155DF5C1" w14:textId="77777777" w:rsidR="00D06CD0" w:rsidRDefault="00D06CD0" w:rsidP="00D06CD0"/>
          <w:p w14:paraId="0C9278AF" w14:textId="439DBCBA" w:rsidR="00D06CD0" w:rsidRPr="00D06CD0" w:rsidRDefault="00D06CD0" w:rsidP="00D06CD0">
            <w:r w:rsidRPr="00D06CD0">
              <w:t>дисфагия</w:t>
            </w:r>
          </w:p>
          <w:p w14:paraId="5FD7E84C" w14:textId="6A2C9BD3" w:rsidR="00D06CD0" w:rsidRPr="00D06CD0" w:rsidRDefault="00D06CD0" w:rsidP="00D06CD0">
            <w:r w:rsidRPr="00D06CD0">
              <w:rPr>
                <w:i/>
                <w:iCs/>
              </w:rPr>
              <w:t>панкреатит</w:t>
            </w:r>
          </w:p>
        </w:tc>
      </w:tr>
      <w:tr w:rsidR="00D06CD0" w14:paraId="290A2164" w14:textId="77777777" w:rsidTr="0040269E">
        <w:tc>
          <w:tcPr>
            <w:tcW w:w="4750" w:type="dxa"/>
            <w:vAlign w:val="bottom"/>
          </w:tcPr>
          <w:p w14:paraId="4C62EE14" w14:textId="77777777" w:rsidR="00D06CD0" w:rsidRPr="00D06CD0" w:rsidRDefault="00D06CD0" w:rsidP="00D06CD0">
            <w:r w:rsidRPr="00D06CD0">
              <w:rPr>
                <w:b/>
                <w:bCs/>
              </w:rPr>
              <w:t>Хепатобилиарни нарушения</w:t>
            </w:r>
          </w:p>
          <w:p w14:paraId="4CB2E856" w14:textId="0A545BD9" w:rsidR="00D06CD0" w:rsidRPr="00D06CD0" w:rsidRDefault="00D06CD0" w:rsidP="00D06CD0">
            <w:r w:rsidRPr="00D06CD0">
              <w:t>С неизвестна честота</w:t>
            </w:r>
          </w:p>
        </w:tc>
        <w:tc>
          <w:tcPr>
            <w:tcW w:w="4750" w:type="dxa"/>
            <w:vAlign w:val="bottom"/>
          </w:tcPr>
          <w:p w14:paraId="0687F68D" w14:textId="61543A7E" w:rsidR="00D06CD0" w:rsidRPr="00D06CD0" w:rsidRDefault="00D06CD0" w:rsidP="00D06CD0">
            <w:r w:rsidRPr="00D06CD0">
              <w:rPr>
                <w:i/>
                <w:iCs/>
              </w:rPr>
              <w:t>хепатит, жълтеница</w:t>
            </w:r>
          </w:p>
        </w:tc>
      </w:tr>
      <w:tr w:rsidR="00D06CD0" w14:paraId="4EA8B242" w14:textId="77777777" w:rsidTr="0040269E">
        <w:tc>
          <w:tcPr>
            <w:tcW w:w="4750" w:type="dxa"/>
          </w:tcPr>
          <w:p w14:paraId="7754E97C" w14:textId="77777777" w:rsidR="00D06CD0" w:rsidRPr="00D06CD0" w:rsidRDefault="00D06CD0" w:rsidP="00D06CD0">
            <w:r w:rsidRPr="00D06CD0">
              <w:rPr>
                <w:b/>
                <w:bCs/>
              </w:rPr>
              <w:t>Нарушения на кожата и подкожната тъкан</w:t>
            </w:r>
          </w:p>
          <w:p w14:paraId="0F8E219A" w14:textId="77777777" w:rsidR="00D06CD0" w:rsidRPr="00D06CD0" w:rsidRDefault="00D06CD0" w:rsidP="00D06CD0">
            <w:r w:rsidRPr="00D06CD0">
              <w:t>Чести</w:t>
            </w:r>
          </w:p>
          <w:p w14:paraId="6C194E2F" w14:textId="77777777" w:rsidR="00D06CD0" w:rsidRDefault="00D06CD0" w:rsidP="00D06CD0"/>
          <w:p w14:paraId="04AFCC94" w14:textId="740E8536" w:rsidR="00D06CD0" w:rsidRPr="00D06CD0" w:rsidRDefault="00D06CD0" w:rsidP="00D06CD0">
            <w:r w:rsidRPr="00D06CD0">
              <w:t>С неизвестна честота</w:t>
            </w:r>
          </w:p>
        </w:tc>
        <w:tc>
          <w:tcPr>
            <w:tcW w:w="4750" w:type="dxa"/>
            <w:vAlign w:val="bottom"/>
          </w:tcPr>
          <w:p w14:paraId="029EFC64" w14:textId="27879FCE" w:rsidR="00D06CD0" w:rsidRDefault="00D06CD0" w:rsidP="00D06CD0">
            <w:r w:rsidRPr="00D06CD0">
              <w:t xml:space="preserve">лицев едем, пурпура, често описвана като натъртване в резултат на физическа травма, обрив, пруритус, акне </w:t>
            </w:r>
          </w:p>
          <w:p w14:paraId="40E15CE9" w14:textId="77777777" w:rsidR="00D06CD0" w:rsidRDefault="00D06CD0" w:rsidP="00D06CD0">
            <w:pPr>
              <w:rPr>
                <w:i/>
                <w:iCs/>
              </w:rPr>
            </w:pPr>
          </w:p>
          <w:p w14:paraId="6747F5AC" w14:textId="190A72C3" w:rsidR="00D06CD0" w:rsidRPr="00D06CD0" w:rsidRDefault="00D06CD0" w:rsidP="00D06CD0">
            <w:r w:rsidRPr="00D06CD0">
              <w:rPr>
                <w:i/>
                <w:iCs/>
              </w:rPr>
              <w:t xml:space="preserve">синдром на </w:t>
            </w:r>
            <w:r w:rsidRPr="00D06CD0">
              <w:rPr>
                <w:i/>
                <w:iCs/>
                <w:lang w:val="en-US"/>
              </w:rPr>
              <w:t xml:space="preserve">Stevens-Johnson, </w:t>
            </w:r>
            <w:r w:rsidRPr="00D06CD0">
              <w:rPr>
                <w:i/>
                <w:iCs/>
              </w:rPr>
              <w:t>ангиоедем, еритема мултиформе, алопеция, лекарствен обрив с еозинофилия и системни симптоми (вж. точка 4.4)</w:t>
            </w:r>
          </w:p>
        </w:tc>
      </w:tr>
      <w:tr w:rsidR="00D06CD0" w14:paraId="6249080B" w14:textId="77777777" w:rsidTr="0040269E">
        <w:tc>
          <w:tcPr>
            <w:tcW w:w="4750" w:type="dxa"/>
            <w:vAlign w:val="bottom"/>
          </w:tcPr>
          <w:p w14:paraId="07EFC61C" w14:textId="77777777" w:rsidR="00D06CD0" w:rsidRDefault="00D06CD0" w:rsidP="00D06CD0">
            <w:pPr>
              <w:rPr>
                <w:b/>
                <w:bCs/>
              </w:rPr>
            </w:pPr>
            <w:r w:rsidRPr="00D06CD0">
              <w:rPr>
                <w:b/>
                <w:bCs/>
              </w:rPr>
              <w:t xml:space="preserve">Нарушения на мускулно- скелетната система и съединителната тъкан </w:t>
            </w:r>
          </w:p>
          <w:p w14:paraId="63B01FEB" w14:textId="653A482D" w:rsidR="00D06CD0" w:rsidRPr="00D06CD0" w:rsidRDefault="00D06CD0" w:rsidP="00D06CD0">
            <w:r w:rsidRPr="00D06CD0">
              <w:t>Чести</w:t>
            </w:r>
          </w:p>
          <w:p w14:paraId="3AC3B3BA" w14:textId="77777777" w:rsidR="00D06CD0" w:rsidRDefault="00D06CD0" w:rsidP="00D06CD0"/>
          <w:p w14:paraId="38CB6199" w14:textId="6548F3F4" w:rsidR="00D06CD0" w:rsidRPr="00D06CD0" w:rsidRDefault="00D06CD0" w:rsidP="00D06CD0">
            <w:r w:rsidRPr="00D06CD0">
              <w:t>С неизвестна честота</w:t>
            </w:r>
          </w:p>
        </w:tc>
        <w:tc>
          <w:tcPr>
            <w:tcW w:w="4750" w:type="dxa"/>
            <w:vAlign w:val="bottom"/>
          </w:tcPr>
          <w:p w14:paraId="6D808FEC" w14:textId="77777777" w:rsidR="00D06CD0" w:rsidRDefault="00D06CD0" w:rsidP="00D06CD0"/>
          <w:p w14:paraId="102494C7" w14:textId="6FA5A6FE" w:rsidR="00D06CD0" w:rsidRPr="00D06CD0" w:rsidRDefault="00D06CD0" w:rsidP="00D06CD0">
            <w:r w:rsidRPr="00D06CD0">
              <w:t>артралгия, миалгия, болка в гърба, мускулно потрепване</w:t>
            </w:r>
          </w:p>
          <w:p w14:paraId="6052D883" w14:textId="77777777" w:rsidR="00D06CD0" w:rsidRDefault="00D06CD0" w:rsidP="00D06CD0">
            <w:pPr>
              <w:rPr>
                <w:i/>
                <w:iCs/>
              </w:rPr>
            </w:pPr>
          </w:p>
          <w:p w14:paraId="6D6BF954" w14:textId="410462E6" w:rsidR="00D06CD0" w:rsidRPr="00D06CD0" w:rsidRDefault="00D06CD0" w:rsidP="00D06CD0">
            <w:r w:rsidRPr="00D06CD0">
              <w:rPr>
                <w:i/>
                <w:iCs/>
              </w:rPr>
              <w:t>рабдомиолиза, миоклонус</w:t>
            </w:r>
          </w:p>
        </w:tc>
      </w:tr>
      <w:tr w:rsidR="00D06CD0" w14:paraId="565BB00A" w14:textId="77777777" w:rsidTr="00D5518B">
        <w:tc>
          <w:tcPr>
            <w:tcW w:w="4750" w:type="dxa"/>
            <w:vAlign w:val="bottom"/>
          </w:tcPr>
          <w:p w14:paraId="1543FB08" w14:textId="77777777" w:rsidR="00D06CD0" w:rsidRPr="00D06CD0" w:rsidRDefault="00D06CD0" w:rsidP="00D06CD0">
            <w:r w:rsidRPr="00D06CD0">
              <w:rPr>
                <w:b/>
                <w:bCs/>
                <w:szCs w:val="20"/>
              </w:rPr>
              <w:t>Нарушения на бъбреците и пикочните пътища</w:t>
            </w:r>
          </w:p>
          <w:p w14:paraId="26C68A01" w14:textId="6C0231C7" w:rsidR="00D06CD0" w:rsidRPr="00D06CD0" w:rsidRDefault="00D06CD0" w:rsidP="00D06CD0">
            <w:r w:rsidRPr="00D06CD0">
              <w:rPr>
                <w:szCs w:val="20"/>
              </w:rPr>
              <w:t>С неизвестна честота</w:t>
            </w:r>
          </w:p>
        </w:tc>
        <w:tc>
          <w:tcPr>
            <w:tcW w:w="4750" w:type="dxa"/>
            <w:vAlign w:val="bottom"/>
          </w:tcPr>
          <w:p w14:paraId="29A91371" w14:textId="2B3C9143" w:rsidR="00D06CD0" w:rsidRPr="00D06CD0" w:rsidRDefault="00D06CD0" w:rsidP="00D06CD0">
            <w:r w:rsidRPr="00D06CD0">
              <w:rPr>
                <w:i/>
                <w:iCs/>
                <w:szCs w:val="20"/>
              </w:rPr>
              <w:t>остра бъбречна недостатъчност, инконтиненция</w:t>
            </w:r>
          </w:p>
        </w:tc>
      </w:tr>
      <w:tr w:rsidR="001A51FF" w14:paraId="56E66B75" w14:textId="77777777" w:rsidTr="00D04FB3">
        <w:trPr>
          <w:trHeight w:val="1825"/>
        </w:trPr>
        <w:tc>
          <w:tcPr>
            <w:tcW w:w="4750" w:type="dxa"/>
          </w:tcPr>
          <w:p w14:paraId="4D9D7574" w14:textId="77777777" w:rsidR="001A51FF" w:rsidRPr="00D06CD0" w:rsidRDefault="001A51FF" w:rsidP="00D06CD0">
            <w:r w:rsidRPr="00D06CD0">
              <w:rPr>
                <w:b/>
                <w:bCs/>
                <w:szCs w:val="20"/>
              </w:rPr>
              <w:lastRenderedPageBreak/>
              <w:t>Нарушения на възпроизводителната система и гърдата</w:t>
            </w:r>
          </w:p>
          <w:p w14:paraId="265630F4" w14:textId="77777777" w:rsidR="001A51FF" w:rsidRPr="00D06CD0" w:rsidRDefault="001A51FF" w:rsidP="00D06CD0">
            <w:pPr>
              <w:rPr>
                <w:szCs w:val="20"/>
              </w:rPr>
            </w:pPr>
            <w:r w:rsidRPr="00D06CD0">
              <w:rPr>
                <w:szCs w:val="20"/>
              </w:rPr>
              <w:t>Чести</w:t>
            </w:r>
          </w:p>
          <w:p w14:paraId="4D6620F3" w14:textId="77777777" w:rsidR="001A51FF" w:rsidRPr="00D06CD0" w:rsidRDefault="001A51FF" w:rsidP="00D06CD0">
            <w:pPr>
              <w:rPr>
                <w:szCs w:val="20"/>
              </w:rPr>
            </w:pPr>
          </w:p>
          <w:p w14:paraId="167D4F3F" w14:textId="29F5951C" w:rsidR="001A51FF" w:rsidRPr="00D06CD0" w:rsidRDefault="001A51FF" w:rsidP="00D06CD0">
            <w:r w:rsidRPr="00D06CD0">
              <w:rPr>
                <w:szCs w:val="20"/>
              </w:rPr>
              <w:t>С неизвестна честота</w:t>
            </w:r>
          </w:p>
        </w:tc>
        <w:tc>
          <w:tcPr>
            <w:tcW w:w="4750" w:type="dxa"/>
            <w:vAlign w:val="bottom"/>
          </w:tcPr>
          <w:p w14:paraId="70477471" w14:textId="77777777" w:rsidR="001A51FF" w:rsidRPr="00D06CD0" w:rsidRDefault="001A51FF" w:rsidP="00D06CD0"/>
          <w:p w14:paraId="3616ACFB" w14:textId="77777777" w:rsidR="001A51FF" w:rsidRPr="00D06CD0" w:rsidRDefault="001A51FF" w:rsidP="00D06CD0">
            <w:pPr>
              <w:rPr>
                <w:i/>
                <w:iCs/>
                <w:szCs w:val="20"/>
              </w:rPr>
            </w:pPr>
            <w:r w:rsidRPr="00D06CD0">
              <w:rPr>
                <w:szCs w:val="20"/>
              </w:rPr>
              <w:t xml:space="preserve">импотентност </w:t>
            </w:r>
            <w:r w:rsidRPr="00D06CD0">
              <w:rPr>
                <w:i/>
                <w:iCs/>
                <w:szCs w:val="20"/>
              </w:rPr>
              <w:t xml:space="preserve">хипертрофия на гърдата, </w:t>
            </w:r>
          </w:p>
          <w:p w14:paraId="0085D97F" w14:textId="77777777" w:rsidR="001A51FF" w:rsidRPr="00D06CD0" w:rsidRDefault="001A51FF" w:rsidP="00D06CD0">
            <w:pPr>
              <w:rPr>
                <w:i/>
                <w:iCs/>
                <w:szCs w:val="20"/>
              </w:rPr>
            </w:pPr>
          </w:p>
          <w:p w14:paraId="601138F7" w14:textId="77777777" w:rsidR="001A51FF" w:rsidRDefault="001A51FF" w:rsidP="00D06CD0">
            <w:pPr>
              <w:rPr>
                <w:i/>
                <w:iCs/>
                <w:szCs w:val="20"/>
              </w:rPr>
            </w:pPr>
          </w:p>
          <w:p w14:paraId="3BEE2434" w14:textId="6E6CD416" w:rsidR="001A51FF" w:rsidRPr="00D06CD0" w:rsidRDefault="001A51FF" w:rsidP="00D06CD0">
            <w:r w:rsidRPr="00D06CD0">
              <w:rPr>
                <w:i/>
                <w:iCs/>
                <w:szCs w:val="20"/>
              </w:rPr>
              <w:t xml:space="preserve">гинекомастия, сексуална </w:t>
            </w:r>
          </w:p>
          <w:p w14:paraId="6055CEAB" w14:textId="39EFB668" w:rsidR="001A51FF" w:rsidRPr="00D06CD0" w:rsidRDefault="001A51FF" w:rsidP="00D06CD0">
            <w:r w:rsidRPr="001A51FF">
              <w:rPr>
                <w:i/>
                <w:iCs/>
                <w:szCs w:val="20"/>
              </w:rPr>
              <w:t>дисфункция (включително промени в либидото, нарушения на еякулацията и аноргазмия)</w:t>
            </w:r>
          </w:p>
        </w:tc>
      </w:tr>
      <w:tr w:rsidR="001A51FF" w14:paraId="4ED62FF4" w14:textId="77777777" w:rsidTr="00D06CD0">
        <w:tc>
          <w:tcPr>
            <w:tcW w:w="4750" w:type="dxa"/>
          </w:tcPr>
          <w:p w14:paraId="79765D01" w14:textId="77777777" w:rsidR="001A51FF" w:rsidRPr="001A51FF" w:rsidRDefault="001A51FF" w:rsidP="001A51FF">
            <w:r w:rsidRPr="001A51FF">
              <w:rPr>
                <w:b/>
                <w:bCs/>
                <w:szCs w:val="20"/>
              </w:rPr>
              <w:t>Общи нарушения и ефекти на мястото на приложение</w:t>
            </w:r>
          </w:p>
          <w:p w14:paraId="4CDADC02" w14:textId="77777777" w:rsidR="001A51FF" w:rsidRPr="001A51FF" w:rsidRDefault="001A51FF" w:rsidP="001A51FF">
            <w:r w:rsidRPr="001A51FF">
              <w:rPr>
                <w:szCs w:val="20"/>
              </w:rPr>
              <w:t>Много чести</w:t>
            </w:r>
          </w:p>
          <w:p w14:paraId="03372141" w14:textId="77777777" w:rsidR="001A51FF" w:rsidRPr="001A51FF" w:rsidRDefault="001A51FF" w:rsidP="001A51FF">
            <w:r w:rsidRPr="001A51FF">
              <w:rPr>
                <w:szCs w:val="20"/>
              </w:rPr>
              <w:t>Чести</w:t>
            </w:r>
          </w:p>
          <w:p w14:paraId="46E3E941" w14:textId="77777777" w:rsidR="001A51FF" w:rsidRDefault="001A51FF" w:rsidP="001A51FF">
            <w:pPr>
              <w:rPr>
                <w:szCs w:val="20"/>
              </w:rPr>
            </w:pPr>
          </w:p>
          <w:p w14:paraId="0F3B453F" w14:textId="77777777" w:rsidR="001A51FF" w:rsidRDefault="001A51FF" w:rsidP="001A51FF">
            <w:pPr>
              <w:rPr>
                <w:szCs w:val="20"/>
              </w:rPr>
            </w:pPr>
          </w:p>
          <w:p w14:paraId="36EC5B75" w14:textId="77777777" w:rsidR="001A51FF" w:rsidRDefault="001A51FF" w:rsidP="001A51FF">
            <w:pPr>
              <w:rPr>
                <w:szCs w:val="20"/>
              </w:rPr>
            </w:pPr>
          </w:p>
          <w:p w14:paraId="75037CFF" w14:textId="00F7A11C" w:rsidR="001A51FF" w:rsidRPr="001A51FF" w:rsidRDefault="001A51FF" w:rsidP="001A51FF">
            <w:r w:rsidRPr="001A51FF">
              <w:rPr>
                <w:szCs w:val="20"/>
              </w:rPr>
              <w:t>Нечести</w:t>
            </w:r>
          </w:p>
          <w:p w14:paraId="36862825" w14:textId="77777777" w:rsidR="001A51FF" w:rsidRDefault="001A51FF" w:rsidP="001A51FF">
            <w:pPr>
              <w:rPr>
                <w:szCs w:val="20"/>
              </w:rPr>
            </w:pPr>
          </w:p>
          <w:p w14:paraId="46DC50F4" w14:textId="71C89196" w:rsidR="001A51FF" w:rsidRPr="001A51FF" w:rsidRDefault="001A51FF" w:rsidP="001A51FF">
            <w:r w:rsidRPr="001A51FF">
              <w:rPr>
                <w:szCs w:val="20"/>
              </w:rPr>
              <w:t>С неизвестна честота</w:t>
            </w:r>
          </w:p>
        </w:tc>
        <w:tc>
          <w:tcPr>
            <w:tcW w:w="4750" w:type="dxa"/>
          </w:tcPr>
          <w:p w14:paraId="06B7FC1A" w14:textId="77777777" w:rsidR="001A51FF" w:rsidRDefault="001A51FF" w:rsidP="001A51FF">
            <w:pPr>
              <w:rPr>
                <w:szCs w:val="20"/>
              </w:rPr>
            </w:pPr>
          </w:p>
          <w:p w14:paraId="2637870A" w14:textId="77777777" w:rsidR="001A51FF" w:rsidRDefault="001A51FF" w:rsidP="001A51FF">
            <w:pPr>
              <w:rPr>
                <w:szCs w:val="20"/>
              </w:rPr>
            </w:pPr>
          </w:p>
          <w:p w14:paraId="0CB25F2E" w14:textId="2CFDF89E" w:rsidR="001A51FF" w:rsidRPr="001A51FF" w:rsidRDefault="001A51FF" w:rsidP="001A51FF">
            <w:r w:rsidRPr="001A51FF">
              <w:rPr>
                <w:szCs w:val="20"/>
              </w:rPr>
              <w:t>умора, треска</w:t>
            </w:r>
          </w:p>
          <w:p w14:paraId="70D7E159" w14:textId="77777777" w:rsidR="001A51FF" w:rsidRDefault="001A51FF" w:rsidP="001A51FF">
            <w:pPr>
              <w:rPr>
                <w:szCs w:val="20"/>
              </w:rPr>
            </w:pPr>
            <w:r w:rsidRPr="001A51FF">
              <w:rPr>
                <w:szCs w:val="20"/>
              </w:rPr>
              <w:t xml:space="preserve">периферен едем, нарушена походка, астения, болка, общо неразположение, грипоподобен синдром </w:t>
            </w:r>
          </w:p>
          <w:p w14:paraId="2F9BA437" w14:textId="77777777" w:rsidR="001A51FF" w:rsidRDefault="001A51FF" w:rsidP="001A51FF">
            <w:pPr>
              <w:rPr>
                <w:szCs w:val="20"/>
              </w:rPr>
            </w:pPr>
          </w:p>
          <w:p w14:paraId="31FA2AB3" w14:textId="442A8E23" w:rsidR="001A51FF" w:rsidRPr="001A51FF" w:rsidRDefault="001A51FF" w:rsidP="001A51FF">
            <w:r w:rsidRPr="001A51FF">
              <w:rPr>
                <w:szCs w:val="20"/>
              </w:rPr>
              <w:t>генерализиран едем</w:t>
            </w:r>
          </w:p>
          <w:p w14:paraId="77B4E52B" w14:textId="77777777" w:rsidR="001A51FF" w:rsidRDefault="001A51FF" w:rsidP="001A51FF">
            <w:pPr>
              <w:rPr>
                <w:i/>
                <w:iCs/>
                <w:szCs w:val="20"/>
              </w:rPr>
            </w:pPr>
          </w:p>
          <w:p w14:paraId="0D1A8E6A" w14:textId="247D5865" w:rsidR="001A51FF" w:rsidRPr="001A51FF" w:rsidRDefault="001A51FF" w:rsidP="001A51FF">
            <w:r w:rsidRPr="001A51FF">
              <w:rPr>
                <w:i/>
                <w:iCs/>
                <w:szCs w:val="20"/>
              </w:rPr>
              <w:t>реакции на отнемане (най-често тревожност, безсъние, гадене, болка, изпотяване), гръдна болка. Съобщава се за случаи на внезапна, необяснима смърт, като причинно-следствената връзка от лечението с габапентин не е установена.</w:t>
            </w:r>
          </w:p>
        </w:tc>
      </w:tr>
      <w:tr w:rsidR="001A51FF" w14:paraId="72399244" w14:textId="77777777" w:rsidTr="00D06CD0">
        <w:tc>
          <w:tcPr>
            <w:tcW w:w="4750" w:type="dxa"/>
          </w:tcPr>
          <w:p w14:paraId="1D05F4EE" w14:textId="77777777" w:rsidR="001A51FF" w:rsidRPr="001A51FF" w:rsidRDefault="001A51FF" w:rsidP="001A51FF">
            <w:r w:rsidRPr="001A51FF">
              <w:rPr>
                <w:b/>
                <w:bCs/>
                <w:szCs w:val="20"/>
              </w:rPr>
              <w:t>Изследвания</w:t>
            </w:r>
          </w:p>
          <w:p w14:paraId="08921D84" w14:textId="77777777" w:rsidR="001A51FF" w:rsidRPr="001A51FF" w:rsidRDefault="001A51FF" w:rsidP="001A51FF">
            <w:r w:rsidRPr="001A51FF">
              <w:rPr>
                <w:szCs w:val="20"/>
              </w:rPr>
              <w:t>Чести</w:t>
            </w:r>
          </w:p>
          <w:p w14:paraId="60C19A72" w14:textId="77777777" w:rsidR="001A51FF" w:rsidRDefault="001A51FF" w:rsidP="001A51FF">
            <w:pPr>
              <w:rPr>
                <w:szCs w:val="20"/>
              </w:rPr>
            </w:pPr>
          </w:p>
          <w:p w14:paraId="79F4ECBA" w14:textId="77777777" w:rsidR="001A51FF" w:rsidRDefault="001A51FF" w:rsidP="001A51FF">
            <w:pPr>
              <w:rPr>
                <w:szCs w:val="20"/>
              </w:rPr>
            </w:pPr>
          </w:p>
          <w:p w14:paraId="6882F644" w14:textId="2BD7340F" w:rsidR="001A51FF" w:rsidRPr="001A51FF" w:rsidRDefault="001A51FF" w:rsidP="001A51FF">
            <w:r w:rsidRPr="001A51FF">
              <w:rPr>
                <w:szCs w:val="20"/>
              </w:rPr>
              <w:t>Нечести</w:t>
            </w:r>
          </w:p>
          <w:p w14:paraId="36128A88" w14:textId="77777777" w:rsidR="001A51FF" w:rsidRDefault="001A51FF" w:rsidP="001A51FF">
            <w:pPr>
              <w:rPr>
                <w:szCs w:val="20"/>
              </w:rPr>
            </w:pPr>
          </w:p>
          <w:p w14:paraId="7F160EA9" w14:textId="77777777" w:rsidR="001A51FF" w:rsidRDefault="001A51FF" w:rsidP="001A51FF">
            <w:pPr>
              <w:rPr>
                <w:szCs w:val="20"/>
              </w:rPr>
            </w:pPr>
          </w:p>
          <w:p w14:paraId="21584C82" w14:textId="77777777" w:rsidR="001A51FF" w:rsidRDefault="001A51FF" w:rsidP="001A51FF">
            <w:pPr>
              <w:rPr>
                <w:szCs w:val="20"/>
              </w:rPr>
            </w:pPr>
          </w:p>
          <w:p w14:paraId="09FA8D5E" w14:textId="68A1C6E6" w:rsidR="001A51FF" w:rsidRPr="001A51FF" w:rsidRDefault="001A51FF" w:rsidP="001A51FF">
            <w:r w:rsidRPr="001A51FF">
              <w:rPr>
                <w:szCs w:val="20"/>
              </w:rPr>
              <w:t>С неизвестна честота</w:t>
            </w:r>
          </w:p>
        </w:tc>
        <w:tc>
          <w:tcPr>
            <w:tcW w:w="4750" w:type="dxa"/>
          </w:tcPr>
          <w:p w14:paraId="3327E224" w14:textId="77777777" w:rsidR="001A51FF" w:rsidRDefault="001A51FF" w:rsidP="001A51FF">
            <w:pPr>
              <w:rPr>
                <w:szCs w:val="20"/>
              </w:rPr>
            </w:pPr>
          </w:p>
          <w:p w14:paraId="290E0FE8" w14:textId="24ED000E" w:rsidR="001A51FF" w:rsidRPr="001A51FF" w:rsidRDefault="001A51FF" w:rsidP="001A51FF">
            <w:r w:rsidRPr="001A51FF">
              <w:rPr>
                <w:szCs w:val="20"/>
              </w:rPr>
              <w:t>намален брой бели кръвни клетки (левкоцити), покачване на телесното тегло</w:t>
            </w:r>
          </w:p>
          <w:p w14:paraId="5269470A" w14:textId="77777777" w:rsidR="001A51FF" w:rsidRDefault="001A51FF" w:rsidP="001A51FF">
            <w:pPr>
              <w:rPr>
                <w:szCs w:val="20"/>
              </w:rPr>
            </w:pPr>
          </w:p>
          <w:p w14:paraId="288ACF6D" w14:textId="537BE0BB" w:rsidR="001A51FF" w:rsidRDefault="001A51FF" w:rsidP="001A51FF">
            <w:pPr>
              <w:rPr>
                <w:i/>
                <w:iCs/>
                <w:szCs w:val="20"/>
              </w:rPr>
            </w:pPr>
            <w:r w:rsidRPr="001A51FF">
              <w:rPr>
                <w:szCs w:val="20"/>
              </w:rPr>
              <w:t xml:space="preserve">повишени стойности на чернодробните функционални тестове СГОТ (АСАТ), СГПТ (АЛАТ) и билирубин </w:t>
            </w:r>
            <w:r w:rsidRPr="001A51FF">
              <w:rPr>
                <w:i/>
                <w:iCs/>
                <w:szCs w:val="20"/>
              </w:rPr>
              <w:t xml:space="preserve">повишена креатин </w:t>
            </w:r>
          </w:p>
          <w:p w14:paraId="09E31B7A" w14:textId="77777777" w:rsidR="001A51FF" w:rsidRDefault="001A51FF" w:rsidP="001A51FF">
            <w:pPr>
              <w:rPr>
                <w:i/>
                <w:iCs/>
                <w:szCs w:val="20"/>
              </w:rPr>
            </w:pPr>
          </w:p>
          <w:p w14:paraId="6C0E0DF0" w14:textId="70445E50" w:rsidR="001A51FF" w:rsidRPr="001A51FF" w:rsidRDefault="001A51FF" w:rsidP="001A51FF">
            <w:r w:rsidRPr="001A51FF">
              <w:rPr>
                <w:i/>
                <w:iCs/>
                <w:szCs w:val="20"/>
              </w:rPr>
              <w:t>фосфокиназа в кръвта</w:t>
            </w:r>
          </w:p>
        </w:tc>
      </w:tr>
      <w:tr w:rsidR="001A51FF" w14:paraId="75FB25CD" w14:textId="77777777" w:rsidTr="00D06CD0">
        <w:tc>
          <w:tcPr>
            <w:tcW w:w="4750" w:type="dxa"/>
          </w:tcPr>
          <w:p w14:paraId="5A1444C4" w14:textId="77777777" w:rsidR="001A51FF" w:rsidRPr="001A51FF" w:rsidRDefault="001A51FF" w:rsidP="001A51FF">
            <w:r w:rsidRPr="001A51FF">
              <w:rPr>
                <w:b/>
                <w:bCs/>
                <w:szCs w:val="20"/>
              </w:rPr>
              <w:t xml:space="preserve">Наранявания, отравяния и интервенции, възникнали в резултат на усложнения </w:t>
            </w:r>
            <w:r w:rsidRPr="001A51FF">
              <w:rPr>
                <w:szCs w:val="20"/>
              </w:rPr>
              <w:t>Чести</w:t>
            </w:r>
          </w:p>
          <w:p w14:paraId="2206FB15" w14:textId="77777777" w:rsidR="001A51FF" w:rsidRDefault="001A51FF" w:rsidP="001A51FF">
            <w:pPr>
              <w:rPr>
                <w:szCs w:val="20"/>
              </w:rPr>
            </w:pPr>
          </w:p>
          <w:p w14:paraId="25AD3211" w14:textId="51A42AB3" w:rsidR="001A51FF" w:rsidRPr="001A51FF" w:rsidRDefault="001A51FF" w:rsidP="001A51FF">
            <w:r w:rsidRPr="001A51FF">
              <w:rPr>
                <w:szCs w:val="20"/>
              </w:rPr>
              <w:t>Нечести</w:t>
            </w:r>
          </w:p>
        </w:tc>
        <w:tc>
          <w:tcPr>
            <w:tcW w:w="4750" w:type="dxa"/>
          </w:tcPr>
          <w:p w14:paraId="5DEF7CD8" w14:textId="77777777" w:rsidR="001A51FF" w:rsidRDefault="001A51FF" w:rsidP="001A51FF">
            <w:pPr>
              <w:rPr>
                <w:szCs w:val="20"/>
              </w:rPr>
            </w:pPr>
          </w:p>
          <w:p w14:paraId="4824B16F" w14:textId="77777777" w:rsidR="001A51FF" w:rsidRDefault="001A51FF" w:rsidP="001A51FF">
            <w:pPr>
              <w:rPr>
                <w:szCs w:val="20"/>
              </w:rPr>
            </w:pPr>
          </w:p>
          <w:p w14:paraId="218A4C77" w14:textId="77777777" w:rsidR="001A51FF" w:rsidRDefault="001A51FF" w:rsidP="001A51FF">
            <w:pPr>
              <w:rPr>
                <w:szCs w:val="20"/>
              </w:rPr>
            </w:pPr>
            <w:r w:rsidRPr="001A51FF">
              <w:rPr>
                <w:szCs w:val="20"/>
              </w:rPr>
              <w:t xml:space="preserve">инцидентно нараняване, фрактура, </w:t>
            </w:r>
          </w:p>
          <w:p w14:paraId="70176B5B" w14:textId="77777777" w:rsidR="001A51FF" w:rsidRDefault="001A51FF" w:rsidP="001A51FF">
            <w:pPr>
              <w:rPr>
                <w:szCs w:val="20"/>
              </w:rPr>
            </w:pPr>
          </w:p>
          <w:p w14:paraId="0066774B" w14:textId="00DB173F" w:rsidR="001A51FF" w:rsidRPr="001A51FF" w:rsidRDefault="001A51FF" w:rsidP="001A51FF">
            <w:r w:rsidRPr="001A51FF">
              <w:rPr>
                <w:szCs w:val="20"/>
              </w:rPr>
              <w:t>абразия падане</w:t>
            </w:r>
          </w:p>
        </w:tc>
      </w:tr>
    </w:tbl>
    <w:p w14:paraId="0F09D336" w14:textId="77777777" w:rsidR="001A51FF" w:rsidRPr="001A51FF" w:rsidRDefault="001A51FF" w:rsidP="001A51FF">
      <w:pPr>
        <w:spacing w:line="240" w:lineRule="auto"/>
        <w:rPr>
          <w:rFonts w:eastAsia="Times New Roman" w:cs="Arial"/>
          <w:lang w:eastAsia="bg-BG"/>
        </w:rPr>
      </w:pPr>
      <w:r w:rsidRPr="001A51FF">
        <w:rPr>
          <w:rFonts w:eastAsia="Times New Roman" w:cs="Arial"/>
          <w:color w:val="000000"/>
          <w:lang w:eastAsia="bg-BG"/>
        </w:rPr>
        <w:t>По време на лечението с габапентин се съобщава за случаи на остър панкреатит. Връзката с габапентин е неясна (вж. точка 4.4).</w:t>
      </w:r>
    </w:p>
    <w:p w14:paraId="43DA00CA" w14:textId="77777777" w:rsidR="001A51FF" w:rsidRPr="001A51FF" w:rsidRDefault="001A51FF" w:rsidP="001A51FF">
      <w:pPr>
        <w:spacing w:line="240" w:lineRule="auto"/>
        <w:rPr>
          <w:rFonts w:eastAsia="Times New Roman" w:cs="Arial"/>
          <w:color w:val="000000"/>
          <w:lang w:eastAsia="bg-BG"/>
        </w:rPr>
      </w:pPr>
    </w:p>
    <w:p w14:paraId="06F8740B" w14:textId="0266FBE4" w:rsidR="001A51FF" w:rsidRPr="001A51FF" w:rsidRDefault="001A51FF" w:rsidP="001A51FF">
      <w:pPr>
        <w:spacing w:line="240" w:lineRule="auto"/>
        <w:rPr>
          <w:rFonts w:eastAsia="Times New Roman" w:cs="Arial"/>
          <w:lang w:eastAsia="bg-BG"/>
        </w:rPr>
      </w:pPr>
      <w:r w:rsidRPr="001A51FF">
        <w:rPr>
          <w:rFonts w:eastAsia="Times New Roman" w:cs="Arial"/>
          <w:color w:val="000000"/>
          <w:lang w:eastAsia="bg-BG"/>
        </w:rPr>
        <w:t>При пациенти на хемодиализа, поради терминална бъбречна недостатъчност, се съобщава за миопатия с повишени нива на креатинкиназата.</w:t>
      </w:r>
    </w:p>
    <w:p w14:paraId="1B1E9861" w14:textId="77777777" w:rsidR="001A51FF" w:rsidRPr="001A51FF" w:rsidRDefault="001A51FF" w:rsidP="001A51FF">
      <w:pPr>
        <w:spacing w:line="240" w:lineRule="auto"/>
        <w:rPr>
          <w:rFonts w:eastAsia="Times New Roman" w:cs="Arial"/>
          <w:color w:val="000000"/>
          <w:lang w:eastAsia="bg-BG"/>
        </w:rPr>
      </w:pPr>
    </w:p>
    <w:p w14:paraId="04889108" w14:textId="1D5D309C" w:rsidR="001A51FF" w:rsidRPr="001A51FF" w:rsidRDefault="001A51FF" w:rsidP="001A51FF">
      <w:pPr>
        <w:spacing w:line="240" w:lineRule="auto"/>
        <w:rPr>
          <w:rFonts w:eastAsia="Times New Roman" w:cs="Arial"/>
          <w:lang w:eastAsia="bg-BG"/>
        </w:rPr>
      </w:pPr>
      <w:r w:rsidRPr="001A51FF">
        <w:rPr>
          <w:rFonts w:eastAsia="Times New Roman" w:cs="Arial"/>
          <w:color w:val="000000"/>
          <w:lang w:eastAsia="bg-BG"/>
        </w:rPr>
        <w:t>За инфекции на респираторните пътища, отитис медиа, гърчове и бронхит се съобщава само в клиничните проучвания при деца. В клиничните проучвания при деца допълнително се съобщава често за агресивно поведение и хиперкинезии.</w:t>
      </w:r>
    </w:p>
    <w:p w14:paraId="4CF80B30" w14:textId="77777777" w:rsidR="001A51FF" w:rsidRPr="001A51FF" w:rsidRDefault="001A51FF" w:rsidP="001A51FF">
      <w:pPr>
        <w:spacing w:line="240" w:lineRule="auto"/>
        <w:rPr>
          <w:rFonts w:eastAsia="Times New Roman" w:cs="Arial"/>
          <w:color w:val="000000"/>
          <w:u w:val="single"/>
          <w:lang w:eastAsia="bg-BG"/>
        </w:rPr>
      </w:pPr>
    </w:p>
    <w:p w14:paraId="06309AE1" w14:textId="7FC8948E" w:rsidR="001A51FF" w:rsidRPr="001A51FF" w:rsidRDefault="001A51FF" w:rsidP="001A51FF">
      <w:pPr>
        <w:spacing w:line="240" w:lineRule="auto"/>
        <w:rPr>
          <w:rFonts w:eastAsia="Times New Roman" w:cs="Arial"/>
          <w:lang w:eastAsia="bg-BG"/>
        </w:rPr>
      </w:pPr>
      <w:r w:rsidRPr="001A51FF">
        <w:rPr>
          <w:rFonts w:eastAsia="Times New Roman" w:cs="Arial"/>
          <w:color w:val="000000"/>
          <w:u w:val="single"/>
          <w:lang w:eastAsia="bg-BG"/>
        </w:rPr>
        <w:t>Съобщаване на подозирани нежелани реакции</w:t>
      </w:r>
    </w:p>
    <w:p w14:paraId="30CF8139" w14:textId="77777777" w:rsidR="001A51FF" w:rsidRPr="001A51FF" w:rsidRDefault="001A51FF" w:rsidP="001A51FF">
      <w:pPr>
        <w:rPr>
          <w:rFonts w:eastAsia="Times New Roman" w:cs="Arial"/>
          <w:color w:val="000000"/>
          <w:lang w:eastAsia="bg-BG"/>
        </w:rPr>
      </w:pPr>
    </w:p>
    <w:p w14:paraId="65726BE2" w14:textId="62D2172A" w:rsidR="00A811DB" w:rsidRPr="001A51FF" w:rsidRDefault="001A51FF" w:rsidP="001A51FF">
      <w:pPr>
        <w:rPr>
          <w:rFonts w:cs="Arial"/>
        </w:rPr>
      </w:pPr>
      <w:r w:rsidRPr="001A51FF">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 1303 София, тел.: +359 2 8903 417, уебсайт: </w:t>
      </w:r>
      <w:hyperlink r:id="rId5" w:history="1">
        <w:r w:rsidRPr="001A51FF">
          <w:rPr>
            <w:rFonts w:eastAsia="Times New Roman" w:cs="Arial"/>
            <w:color w:val="000000"/>
            <w:lang w:val="en-US"/>
          </w:rPr>
          <w:t>www.bda.bg</w:t>
        </w:r>
      </w:hyperlink>
      <w:r w:rsidRPr="001A51FF">
        <w:rPr>
          <w:rFonts w:eastAsia="Times New Roman" w:cs="Arial"/>
          <w:color w:val="000000"/>
          <w:lang w:val="en-US"/>
        </w:rPr>
        <w:t>.</w:t>
      </w:r>
    </w:p>
    <w:p w14:paraId="5F480BCC" w14:textId="77777777" w:rsidR="00A811DB" w:rsidRPr="00A811DB" w:rsidRDefault="00A811DB" w:rsidP="00A811DB"/>
    <w:p w14:paraId="0A023CE0" w14:textId="56E8884D" w:rsidR="00CF77F7" w:rsidRDefault="002C50EE" w:rsidP="004A448E">
      <w:pPr>
        <w:pStyle w:val="Heading2"/>
      </w:pPr>
      <w:r>
        <w:t>4.9. Предозиране</w:t>
      </w:r>
    </w:p>
    <w:p w14:paraId="31C1E31E" w14:textId="7632B403" w:rsidR="001A51FF" w:rsidRDefault="001A51FF" w:rsidP="001A51FF"/>
    <w:p w14:paraId="0A903F03" w14:textId="77777777"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 xml:space="preserve">Остра, животозастрашаваща токсичност при предозиране на габапентин в дози до 49 </w:t>
      </w:r>
      <w:r w:rsidRPr="001A51FF">
        <w:rPr>
          <w:rFonts w:eastAsia="Times New Roman" w:cs="Arial"/>
          <w:color w:val="000000"/>
          <w:szCs w:val="20"/>
          <w:lang w:val="en-US"/>
        </w:rPr>
        <w:t xml:space="preserve">g </w:t>
      </w:r>
      <w:r w:rsidRPr="001A51FF">
        <w:rPr>
          <w:rFonts w:eastAsia="Times New Roman" w:cs="Arial"/>
          <w:color w:val="000000"/>
          <w:szCs w:val="20"/>
          <w:lang w:eastAsia="bg-BG"/>
        </w:rPr>
        <w:t>не е наблюдавана. Симптомите на предозиране са били: замаяност, двойно виждане, неясна реч, сънливост, загуба на съзнание, летаргия и лека диария. Всички пациенти са се възстановили напълно след поддържаща терапия. Намалената абсорбция на габапентин при прием на по- високи дози може да ограничи абсорбцията при предозиране, като по такъв начин се намалява токсичността при предозиране.</w:t>
      </w:r>
    </w:p>
    <w:p w14:paraId="54787FA4" w14:textId="77777777" w:rsidR="001A51FF" w:rsidRPr="001A51FF" w:rsidRDefault="001A51FF" w:rsidP="001A51FF">
      <w:pPr>
        <w:rPr>
          <w:rFonts w:eastAsia="Times New Roman" w:cs="Arial"/>
          <w:color w:val="000000"/>
          <w:szCs w:val="20"/>
          <w:lang w:eastAsia="bg-BG"/>
        </w:rPr>
      </w:pPr>
    </w:p>
    <w:p w14:paraId="1230C730" w14:textId="54B58974" w:rsidR="001A51FF" w:rsidRDefault="001A51FF" w:rsidP="001A51FF">
      <w:pPr>
        <w:rPr>
          <w:rFonts w:eastAsia="Times New Roman" w:cs="Arial"/>
          <w:color w:val="000000"/>
          <w:szCs w:val="20"/>
          <w:lang w:eastAsia="bg-BG"/>
        </w:rPr>
      </w:pPr>
      <w:r w:rsidRPr="001A51FF">
        <w:rPr>
          <w:rFonts w:eastAsia="Times New Roman" w:cs="Arial"/>
          <w:color w:val="000000"/>
          <w:szCs w:val="20"/>
          <w:lang w:eastAsia="bg-BG"/>
        </w:rPr>
        <w:t>Предозирането на габапентин, особено в комбинация с други потискащи ЦНС лекарствени продукти, може да доведе до кома.</w:t>
      </w:r>
    </w:p>
    <w:p w14:paraId="53670074" w14:textId="31894FC3" w:rsidR="001A51FF" w:rsidRDefault="001A51FF" w:rsidP="001A51FF">
      <w:pPr>
        <w:rPr>
          <w:rFonts w:eastAsia="Times New Roman" w:cs="Arial"/>
          <w:color w:val="000000"/>
          <w:szCs w:val="20"/>
          <w:lang w:eastAsia="bg-BG"/>
        </w:rPr>
      </w:pPr>
    </w:p>
    <w:p w14:paraId="0B37FC67" w14:textId="77777777"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Въпреки че габапентин може да бъде отстранен от циркулацията с хемодиализа, наличният опит показва, че това обикновено не е необходимо. Въпреки това обаче при пациенти с тежко бъбречно увреждане хемодиализата може да бъде показана.</w:t>
      </w:r>
    </w:p>
    <w:p w14:paraId="7BC5BBB6" w14:textId="7DDAADB1" w:rsidR="001A51FF" w:rsidRPr="001A51FF" w:rsidRDefault="001A51FF" w:rsidP="001A51FF">
      <w:pPr>
        <w:rPr>
          <w:rFonts w:cs="Arial"/>
          <w:sz w:val="28"/>
        </w:rPr>
      </w:pPr>
      <w:r w:rsidRPr="001A51FF">
        <w:rPr>
          <w:rFonts w:eastAsia="Times New Roman" w:cs="Arial"/>
          <w:color w:val="000000"/>
          <w:szCs w:val="20"/>
          <w:lang w:eastAsia="bg-BG"/>
        </w:rPr>
        <w:t xml:space="preserve">Пероралната летална доза на габапентин не е била уточнена при мишки и плъхове, които са получили дози до 8000 </w:t>
      </w:r>
      <w:r w:rsidRPr="001A51FF">
        <w:rPr>
          <w:rFonts w:eastAsia="Times New Roman" w:cs="Arial"/>
          <w:color w:val="000000"/>
          <w:szCs w:val="20"/>
          <w:lang w:val="en-US"/>
        </w:rPr>
        <w:t xml:space="preserve">mg/kg. </w:t>
      </w:r>
      <w:r w:rsidRPr="001A51FF">
        <w:rPr>
          <w:rFonts w:eastAsia="Times New Roman" w:cs="Arial"/>
          <w:color w:val="000000"/>
          <w:szCs w:val="20"/>
          <w:lang w:eastAsia="bg-BG"/>
        </w:rPr>
        <w:t>Признаците на остра токсичност при животни са включвали: атаксия, затруднено дишане, птоза, намалена активност или възбуда.</w:t>
      </w:r>
    </w:p>
    <w:p w14:paraId="02081B24" w14:textId="1F46E296" w:rsidR="00395555" w:rsidRPr="00395555" w:rsidRDefault="002C50EE" w:rsidP="008A6AF2">
      <w:pPr>
        <w:pStyle w:val="Heading1"/>
      </w:pPr>
      <w:r>
        <w:t>5. ФАРМАКОЛОГИЧНИ СВОЙСТВА</w:t>
      </w:r>
    </w:p>
    <w:p w14:paraId="32B6DE66" w14:textId="7E1A7CE8" w:rsidR="00CF77F7" w:rsidRDefault="002C50EE" w:rsidP="004A448E">
      <w:pPr>
        <w:pStyle w:val="Heading2"/>
      </w:pPr>
      <w:r>
        <w:t>5.1. Фармакодинамични свойства</w:t>
      </w:r>
    </w:p>
    <w:p w14:paraId="5936D8E0" w14:textId="282AE850" w:rsidR="001A51FF" w:rsidRDefault="001A51FF" w:rsidP="001A51FF"/>
    <w:p w14:paraId="3259E465" w14:textId="77777777"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 xml:space="preserve">Фармакотерапевтична група: Антиепилептични лекарства, АТС код: </w:t>
      </w:r>
      <w:r w:rsidRPr="001A51FF">
        <w:rPr>
          <w:rFonts w:eastAsia="Times New Roman" w:cs="Arial"/>
          <w:color w:val="000000"/>
          <w:szCs w:val="20"/>
          <w:lang w:val="en-US"/>
        </w:rPr>
        <w:t>N03AX12</w:t>
      </w:r>
    </w:p>
    <w:p w14:paraId="2CC879CA" w14:textId="77777777" w:rsidR="001A51FF" w:rsidRPr="001A51FF" w:rsidRDefault="001A51FF" w:rsidP="001A51FF">
      <w:pPr>
        <w:spacing w:line="240" w:lineRule="auto"/>
        <w:rPr>
          <w:rFonts w:eastAsia="Times New Roman" w:cs="Arial"/>
          <w:color w:val="000000"/>
          <w:szCs w:val="20"/>
          <w:u w:val="single"/>
          <w:lang w:eastAsia="bg-BG"/>
        </w:rPr>
      </w:pPr>
    </w:p>
    <w:p w14:paraId="3D9BB8EE" w14:textId="0D9874E0"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u w:val="single"/>
          <w:lang w:eastAsia="bg-BG"/>
        </w:rPr>
        <w:t>Механизъм на действие</w:t>
      </w:r>
    </w:p>
    <w:p w14:paraId="4ED9C5A0" w14:textId="77777777" w:rsidR="001A51FF" w:rsidRPr="001A51FF" w:rsidRDefault="001A51FF" w:rsidP="001A51FF">
      <w:pPr>
        <w:spacing w:line="240" w:lineRule="auto"/>
        <w:rPr>
          <w:rFonts w:eastAsia="Times New Roman" w:cs="Arial"/>
          <w:color w:val="000000"/>
          <w:szCs w:val="20"/>
          <w:lang w:eastAsia="bg-BG"/>
        </w:rPr>
      </w:pPr>
    </w:p>
    <w:p w14:paraId="1A124BD2" w14:textId="21F4FEA5"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 xml:space="preserve">Габапентин лесно преминава в мозъка и предотвратява припадъци при редица животински модели на епилепсия, Габапентин не притежава афинитет към </w:t>
      </w:r>
      <w:r w:rsidRPr="001A51FF">
        <w:rPr>
          <w:rFonts w:eastAsia="Times New Roman" w:cs="Arial"/>
          <w:color w:val="000000"/>
          <w:szCs w:val="20"/>
          <w:lang w:val="en-US"/>
        </w:rPr>
        <w:t xml:space="preserve">GABAA </w:t>
      </w:r>
      <w:r w:rsidRPr="001A51FF">
        <w:rPr>
          <w:rFonts w:eastAsia="Times New Roman" w:cs="Arial"/>
          <w:color w:val="000000"/>
          <w:szCs w:val="20"/>
          <w:lang w:eastAsia="bg-BG"/>
        </w:rPr>
        <w:t xml:space="preserve">или </w:t>
      </w:r>
      <w:r w:rsidRPr="001A51FF">
        <w:rPr>
          <w:rFonts w:eastAsia="Times New Roman" w:cs="Arial"/>
          <w:color w:val="000000"/>
          <w:szCs w:val="20"/>
          <w:lang w:val="en-US"/>
        </w:rPr>
        <w:t xml:space="preserve">GABAB </w:t>
      </w:r>
      <w:r w:rsidRPr="001A51FF">
        <w:rPr>
          <w:rFonts w:eastAsia="Times New Roman" w:cs="Arial"/>
          <w:color w:val="000000"/>
          <w:szCs w:val="20"/>
          <w:lang w:eastAsia="bg-BG"/>
        </w:rPr>
        <w:t xml:space="preserve">рецепторите, нито променя метаболизма на </w:t>
      </w:r>
      <w:r w:rsidRPr="001A51FF">
        <w:rPr>
          <w:rFonts w:eastAsia="Times New Roman" w:cs="Arial"/>
          <w:color w:val="000000"/>
          <w:szCs w:val="20"/>
          <w:lang w:val="en-US"/>
        </w:rPr>
        <w:t xml:space="preserve">GABA. </w:t>
      </w:r>
      <w:r w:rsidRPr="001A51FF">
        <w:rPr>
          <w:rFonts w:eastAsia="Times New Roman" w:cs="Arial"/>
          <w:color w:val="000000"/>
          <w:szCs w:val="20"/>
          <w:lang w:eastAsia="bg-BG"/>
        </w:rPr>
        <w:t>Не се свързва с други невротрансмитерни рецептори в мозъка и не взаимодейства с натриевите канали. Габапентин се свързва с висок афинитет с α</w:t>
      </w:r>
      <w:r w:rsidRPr="001A51FF">
        <w:rPr>
          <w:rFonts w:eastAsia="Times New Roman" w:cs="Arial"/>
          <w:color w:val="000000"/>
          <w:szCs w:val="20"/>
          <w:lang w:val="en-US"/>
        </w:rPr>
        <w:t>2</w:t>
      </w:r>
      <w:r w:rsidRPr="001A51FF">
        <w:rPr>
          <w:rFonts w:eastAsia="Times New Roman" w:cs="Arial"/>
          <w:color w:val="000000"/>
          <w:szCs w:val="20"/>
          <w:lang w:eastAsia="bg-BG"/>
        </w:rPr>
        <w:t>δ</w:t>
      </w:r>
      <w:r w:rsidRPr="001A51FF">
        <w:rPr>
          <w:rFonts w:eastAsia="Times New Roman" w:cs="Arial"/>
          <w:color w:val="000000"/>
          <w:szCs w:val="20"/>
          <w:lang w:val="en-US"/>
        </w:rPr>
        <w:t xml:space="preserve"> </w:t>
      </w:r>
      <w:r w:rsidRPr="001A51FF">
        <w:rPr>
          <w:rFonts w:eastAsia="Times New Roman" w:cs="Arial"/>
          <w:color w:val="000000"/>
          <w:szCs w:val="20"/>
          <w:lang w:eastAsia="bg-BG"/>
        </w:rPr>
        <w:t>(алфа-2-делта) субединицата на волтаж-зависимите калциеви канали и се предполага, че свързването с α2δ субединицата може да играе роля в противогърчовите ефекти на габапентин при животни, Скринирането на голям обем данни не предполага друга прицелна за медикамента структура, различна от α2δ.</w:t>
      </w:r>
    </w:p>
    <w:p w14:paraId="18E3EE52" w14:textId="77777777" w:rsidR="001A51FF" w:rsidRPr="001A51FF" w:rsidRDefault="001A51FF" w:rsidP="001A51FF">
      <w:pPr>
        <w:spacing w:line="240" w:lineRule="auto"/>
        <w:rPr>
          <w:rFonts w:eastAsia="Times New Roman" w:cs="Arial"/>
          <w:color w:val="000000"/>
          <w:szCs w:val="20"/>
          <w:lang w:eastAsia="bg-BG"/>
        </w:rPr>
      </w:pPr>
    </w:p>
    <w:p w14:paraId="4AF36419" w14:textId="137F621F"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 xml:space="preserve">Данните от редица предклинични модели показват, че фармакологичната активност на габапентин може да се медиира посредством понижаване на освобождаването на </w:t>
      </w:r>
      <w:r w:rsidRPr="001A51FF">
        <w:rPr>
          <w:rFonts w:eastAsia="Times New Roman" w:cs="Arial"/>
          <w:color w:val="000000"/>
          <w:szCs w:val="20"/>
          <w:lang w:eastAsia="bg-BG"/>
        </w:rPr>
        <w:lastRenderedPageBreak/>
        <w:t>възбудни невротрансмитери в части от централната нервна система, чрез свързване с α2δ. Тази активност може да подкрепя противогьрчовото действие на габапентин. Предстои да се изясни значимостта на това действие на габапентин по отношение на противогърчовите ефекти при хора.</w:t>
      </w:r>
    </w:p>
    <w:p w14:paraId="0CCC44B9" w14:textId="77777777" w:rsidR="001A51FF" w:rsidRPr="001A51FF" w:rsidRDefault="001A51FF" w:rsidP="001A51FF">
      <w:pPr>
        <w:spacing w:line="240" w:lineRule="auto"/>
        <w:rPr>
          <w:rFonts w:eastAsia="Times New Roman" w:cs="Arial"/>
          <w:color w:val="000000"/>
          <w:szCs w:val="20"/>
          <w:lang w:eastAsia="bg-BG"/>
        </w:rPr>
      </w:pPr>
    </w:p>
    <w:p w14:paraId="7653DE62" w14:textId="7B3A75F5"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Габапентин показва ефикасност и при редица предклинични животински болкови модели. Предполага се, че специфичното свързване на габапентин с</w:t>
      </w:r>
      <w:r w:rsidRPr="001A51FF">
        <w:rPr>
          <w:rFonts w:eastAsia="Times New Roman" w:cs="Arial"/>
          <w:color w:val="000000"/>
          <w:szCs w:val="20"/>
          <w:lang w:val="en-US"/>
        </w:rPr>
        <w:t xml:space="preserve"> </w:t>
      </w:r>
      <w:r w:rsidRPr="001A51FF">
        <w:rPr>
          <w:rFonts w:eastAsia="Times New Roman" w:cs="Arial"/>
          <w:color w:val="000000"/>
          <w:szCs w:val="20"/>
          <w:lang w:eastAsia="bg-BG"/>
        </w:rPr>
        <w:t>α2δ субединицата води до няколко различни действия, които може да са отговорни за аналгетичното действие при животински модели. Аналгетичното действие на габапентин може да произхожда от гръбначния мозък, както и от по-висши мозъчни центрове, чрез взаимодействия с низходящите, инхибиращи болката пътища. Значението на тези предклинични свойства за клиничното действие при хора е неизвестно.</w:t>
      </w:r>
    </w:p>
    <w:p w14:paraId="102BA2F9" w14:textId="77777777" w:rsidR="001A51FF" w:rsidRPr="001A51FF" w:rsidRDefault="001A51FF" w:rsidP="001A51FF">
      <w:pPr>
        <w:spacing w:line="240" w:lineRule="auto"/>
        <w:rPr>
          <w:rFonts w:eastAsia="Times New Roman" w:cs="Arial"/>
          <w:color w:val="000000"/>
          <w:szCs w:val="20"/>
          <w:u w:val="single"/>
          <w:lang w:eastAsia="bg-BG"/>
        </w:rPr>
      </w:pPr>
    </w:p>
    <w:p w14:paraId="0A874480" w14:textId="1375257B"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u w:val="single"/>
          <w:lang w:eastAsia="bg-BG"/>
        </w:rPr>
        <w:t>Клинична ефикасност и безопасност</w:t>
      </w:r>
    </w:p>
    <w:p w14:paraId="3050A3FF" w14:textId="77777777" w:rsidR="001A51FF" w:rsidRPr="001A51FF" w:rsidRDefault="001A51FF" w:rsidP="001A51FF">
      <w:pPr>
        <w:rPr>
          <w:rFonts w:eastAsia="Times New Roman" w:cs="Arial"/>
          <w:color w:val="000000"/>
          <w:szCs w:val="20"/>
          <w:lang w:eastAsia="bg-BG"/>
        </w:rPr>
      </w:pPr>
    </w:p>
    <w:p w14:paraId="111EFDDD" w14:textId="0BA15939" w:rsidR="001A51FF" w:rsidRPr="001A51FF" w:rsidRDefault="001A51FF" w:rsidP="001A51FF">
      <w:pPr>
        <w:rPr>
          <w:rFonts w:eastAsia="Times New Roman" w:cs="Arial"/>
          <w:color w:val="000000"/>
          <w:szCs w:val="20"/>
          <w:lang w:eastAsia="bg-BG"/>
        </w:rPr>
      </w:pPr>
      <w:r w:rsidRPr="001A51FF">
        <w:rPr>
          <w:rFonts w:eastAsia="Times New Roman" w:cs="Arial"/>
          <w:color w:val="000000"/>
          <w:szCs w:val="20"/>
          <w:lang w:eastAsia="bg-BG"/>
        </w:rPr>
        <w:t>Клинично проучване като допълваща терапия за парциални пристъпи при педиатрични пациенти, чиято възраст варира от 3 до 12 години, е показало числена, но не статистически значима разлика в 50% честота на отговорилите в полза на групата на габапентин в сравнение с плацебо. Допълнителни анализи след завършване на проучването на честотите на отговорилите участници по възраст не показват статистически значим ефект на възрастта като непрекъсната и като дихотомна величина (възрастови групи 3-5 и 6-12 години). Данните от този допълнителен анализ след завършване на проучването са представени в следната таблица:</w:t>
      </w:r>
    </w:p>
    <w:tbl>
      <w:tblPr>
        <w:tblStyle w:val="TableGrid"/>
        <w:tblW w:w="0" w:type="auto"/>
        <w:tblLook w:val="04A0" w:firstRow="1" w:lastRow="0" w:firstColumn="1" w:lastColumn="0" w:noHBand="0" w:noVBand="1"/>
      </w:tblPr>
      <w:tblGrid>
        <w:gridCol w:w="2342"/>
        <w:gridCol w:w="2333"/>
        <w:gridCol w:w="2341"/>
        <w:gridCol w:w="2334"/>
      </w:tblGrid>
      <w:tr w:rsidR="001A51FF" w14:paraId="5878E268" w14:textId="77777777" w:rsidTr="00804A7B">
        <w:tc>
          <w:tcPr>
            <w:tcW w:w="9500" w:type="dxa"/>
            <w:gridSpan w:val="4"/>
          </w:tcPr>
          <w:p w14:paraId="0023484A" w14:textId="77777777" w:rsidR="001A51FF" w:rsidRDefault="001A51FF" w:rsidP="001A51FF">
            <w:pPr>
              <w:spacing w:line="240" w:lineRule="auto"/>
              <w:jc w:val="center"/>
              <w:rPr>
                <w:rFonts w:ascii="Times New Roman" w:eastAsia="Times New Roman" w:hAnsi="Times New Roman" w:cs="Times New Roman"/>
                <w:color w:val="000000"/>
                <w:sz w:val="20"/>
                <w:szCs w:val="20"/>
                <w:lang w:eastAsia="bg-BG"/>
              </w:rPr>
            </w:pPr>
            <w:r w:rsidRPr="001A51FF">
              <w:rPr>
                <w:rFonts w:ascii="Times New Roman" w:eastAsia="Times New Roman" w:hAnsi="Times New Roman" w:cs="Times New Roman"/>
                <w:color w:val="000000"/>
                <w:sz w:val="20"/>
                <w:szCs w:val="20"/>
                <w:lang w:eastAsia="bg-BG"/>
              </w:rPr>
              <w:t xml:space="preserve">Отговор (≥50% с подобрение) по лечение и възраст, </w:t>
            </w:r>
          </w:p>
          <w:p w14:paraId="37966454" w14:textId="1F93B213" w:rsidR="001A51FF" w:rsidRPr="001A51FF" w:rsidRDefault="001A51FF" w:rsidP="001A51FF">
            <w:pPr>
              <w:spacing w:line="240" w:lineRule="auto"/>
              <w:jc w:val="center"/>
              <w:rPr>
                <w:rFonts w:ascii="Times New Roman" w:eastAsia="Times New Roman" w:hAnsi="Times New Roman" w:cs="Times New Roman"/>
                <w:sz w:val="24"/>
                <w:szCs w:val="24"/>
                <w:lang w:eastAsia="bg-BG"/>
              </w:rPr>
            </w:pPr>
            <w:r w:rsidRPr="001A51FF">
              <w:rPr>
                <w:rFonts w:ascii="Times New Roman" w:eastAsia="Times New Roman" w:hAnsi="Times New Roman" w:cs="Times New Roman"/>
                <w:color w:val="000000"/>
                <w:sz w:val="20"/>
                <w:szCs w:val="20"/>
                <w:lang w:val="en-US"/>
              </w:rPr>
              <w:t xml:space="preserve">MITT* </w:t>
            </w:r>
            <w:r w:rsidRPr="001A51FF">
              <w:rPr>
                <w:rFonts w:ascii="Times New Roman" w:eastAsia="Times New Roman" w:hAnsi="Times New Roman" w:cs="Times New Roman"/>
                <w:color w:val="000000"/>
                <w:sz w:val="20"/>
                <w:szCs w:val="20"/>
                <w:lang w:eastAsia="bg-BG"/>
              </w:rPr>
              <w:t>популация</w:t>
            </w:r>
          </w:p>
          <w:p w14:paraId="45C60349" w14:textId="77777777" w:rsidR="001A51FF" w:rsidRDefault="001A51FF" w:rsidP="001A51FF"/>
        </w:tc>
      </w:tr>
      <w:tr w:rsidR="001A51FF" w14:paraId="08E3E6E0" w14:textId="77777777" w:rsidTr="001A51FF">
        <w:tc>
          <w:tcPr>
            <w:tcW w:w="2375" w:type="dxa"/>
          </w:tcPr>
          <w:p w14:paraId="30929649" w14:textId="51A19C17" w:rsidR="001A51FF" w:rsidRDefault="001A51FF" w:rsidP="001A51FF">
            <w:r>
              <w:rPr>
                <w:sz w:val="20"/>
                <w:szCs w:val="20"/>
              </w:rPr>
              <w:t>Възрастова категория</w:t>
            </w:r>
          </w:p>
        </w:tc>
        <w:tc>
          <w:tcPr>
            <w:tcW w:w="2375" w:type="dxa"/>
          </w:tcPr>
          <w:p w14:paraId="029C3495" w14:textId="3FEDF5DF" w:rsidR="001A51FF" w:rsidRDefault="001A51FF" w:rsidP="001A51FF">
            <w:r>
              <w:rPr>
                <w:sz w:val="20"/>
                <w:szCs w:val="20"/>
              </w:rPr>
              <w:t>Плацебо</w:t>
            </w:r>
          </w:p>
        </w:tc>
        <w:tc>
          <w:tcPr>
            <w:tcW w:w="2375" w:type="dxa"/>
          </w:tcPr>
          <w:p w14:paraId="3D99E53C" w14:textId="26FE4BD9" w:rsidR="001A51FF" w:rsidRDefault="001A51FF" w:rsidP="001A51FF">
            <w:r>
              <w:rPr>
                <w:sz w:val="20"/>
                <w:szCs w:val="20"/>
              </w:rPr>
              <w:t>Габапентин</w:t>
            </w:r>
          </w:p>
        </w:tc>
        <w:tc>
          <w:tcPr>
            <w:tcW w:w="2375" w:type="dxa"/>
          </w:tcPr>
          <w:p w14:paraId="53FC15F9" w14:textId="04B08386" w:rsidR="001A51FF" w:rsidRDefault="001A51FF" w:rsidP="001A51FF">
            <w:r>
              <w:rPr>
                <w:sz w:val="20"/>
                <w:szCs w:val="20"/>
              </w:rPr>
              <w:t>Р-Стойност</w:t>
            </w:r>
          </w:p>
        </w:tc>
      </w:tr>
      <w:tr w:rsidR="001A51FF" w14:paraId="6E3327EF" w14:textId="77777777" w:rsidTr="001A51FF">
        <w:tc>
          <w:tcPr>
            <w:tcW w:w="2375" w:type="dxa"/>
          </w:tcPr>
          <w:p w14:paraId="2A1CC4B1" w14:textId="02B26E4C" w:rsidR="001A51FF" w:rsidRDefault="001A51FF" w:rsidP="001A51FF">
            <w:r>
              <w:rPr>
                <w:sz w:val="20"/>
                <w:szCs w:val="20"/>
              </w:rPr>
              <w:t>&lt;6-годишна възраст</w:t>
            </w:r>
          </w:p>
        </w:tc>
        <w:tc>
          <w:tcPr>
            <w:tcW w:w="2375" w:type="dxa"/>
          </w:tcPr>
          <w:p w14:paraId="2CB27F50" w14:textId="123DF915" w:rsidR="001A51FF" w:rsidRDefault="001A51FF" w:rsidP="001A51FF">
            <w:r>
              <w:rPr>
                <w:sz w:val="20"/>
                <w:szCs w:val="20"/>
              </w:rPr>
              <w:t>4/21 (19,0%)</w:t>
            </w:r>
          </w:p>
        </w:tc>
        <w:tc>
          <w:tcPr>
            <w:tcW w:w="2375" w:type="dxa"/>
          </w:tcPr>
          <w:p w14:paraId="56CADEB4" w14:textId="6E895932" w:rsidR="001A51FF" w:rsidRDefault="001A51FF" w:rsidP="001A51FF">
            <w:r>
              <w:rPr>
                <w:sz w:val="20"/>
                <w:szCs w:val="20"/>
              </w:rPr>
              <w:t>4/17 (23,5%)</w:t>
            </w:r>
          </w:p>
        </w:tc>
        <w:tc>
          <w:tcPr>
            <w:tcW w:w="2375" w:type="dxa"/>
          </w:tcPr>
          <w:p w14:paraId="3FCE7389" w14:textId="262FB758" w:rsidR="001A51FF" w:rsidRDefault="001A51FF" w:rsidP="001A51FF">
            <w:r>
              <w:rPr>
                <w:sz w:val="20"/>
                <w:szCs w:val="20"/>
              </w:rPr>
              <w:t>0,7362</w:t>
            </w:r>
            <w:r>
              <w:rPr>
                <w:sz w:val="20"/>
                <w:szCs w:val="20"/>
              </w:rPr>
              <w:tab/>
            </w:r>
          </w:p>
        </w:tc>
      </w:tr>
      <w:tr w:rsidR="001A51FF" w14:paraId="22471379" w14:textId="77777777" w:rsidTr="001A51FF">
        <w:tc>
          <w:tcPr>
            <w:tcW w:w="2375" w:type="dxa"/>
          </w:tcPr>
          <w:p w14:paraId="3B8FDB82" w14:textId="49705E8F" w:rsidR="001A51FF" w:rsidRPr="001A51FF" w:rsidRDefault="001A51FF" w:rsidP="001A51FF">
            <w:r w:rsidRPr="001A51FF">
              <w:rPr>
                <w:szCs w:val="20"/>
              </w:rPr>
              <w:t>6 до 12-годишна възраст</w:t>
            </w:r>
          </w:p>
        </w:tc>
        <w:tc>
          <w:tcPr>
            <w:tcW w:w="2375" w:type="dxa"/>
          </w:tcPr>
          <w:p w14:paraId="18E4E26B" w14:textId="76E87CEC" w:rsidR="001A51FF" w:rsidRPr="001A51FF" w:rsidRDefault="001A51FF" w:rsidP="001A51FF">
            <w:r w:rsidRPr="001A51FF">
              <w:rPr>
                <w:szCs w:val="20"/>
              </w:rPr>
              <w:t>17/99 (17,2%)</w:t>
            </w:r>
          </w:p>
        </w:tc>
        <w:tc>
          <w:tcPr>
            <w:tcW w:w="2375" w:type="dxa"/>
          </w:tcPr>
          <w:p w14:paraId="1FCEF4B2" w14:textId="500D55EE" w:rsidR="001A51FF" w:rsidRPr="001A51FF" w:rsidRDefault="001A51FF" w:rsidP="001A51FF">
            <w:r w:rsidRPr="001A51FF">
              <w:rPr>
                <w:szCs w:val="20"/>
              </w:rPr>
              <w:t>20/96 (20,8%)</w:t>
            </w:r>
          </w:p>
        </w:tc>
        <w:tc>
          <w:tcPr>
            <w:tcW w:w="2375" w:type="dxa"/>
          </w:tcPr>
          <w:p w14:paraId="618E11A0" w14:textId="2AA67064" w:rsidR="001A51FF" w:rsidRPr="001A51FF" w:rsidRDefault="001A51FF" w:rsidP="001A51FF">
            <w:r w:rsidRPr="001A51FF">
              <w:rPr>
                <w:szCs w:val="20"/>
              </w:rPr>
              <w:t>0,5144</w:t>
            </w:r>
          </w:p>
        </w:tc>
      </w:tr>
    </w:tbl>
    <w:p w14:paraId="47E8A04C" w14:textId="40FECB79" w:rsidR="001A51FF" w:rsidRPr="001A51FF" w:rsidRDefault="001A51FF" w:rsidP="001A51FF">
      <w:pPr>
        <w:rPr>
          <w:sz w:val="28"/>
        </w:rPr>
      </w:pPr>
      <w:r w:rsidRPr="001A51FF">
        <w:rPr>
          <w:szCs w:val="18"/>
          <w:lang w:val="en-US"/>
        </w:rPr>
        <w:t xml:space="preserve">*Modified Intent to Treat Population - </w:t>
      </w:r>
      <w:r w:rsidRPr="001A51FF">
        <w:rPr>
          <w:szCs w:val="18"/>
        </w:rPr>
        <w:t xml:space="preserve">Модифицираната популация </w:t>
      </w:r>
      <w:r w:rsidRPr="001A51FF">
        <w:rPr>
          <w:szCs w:val="18"/>
          <w:lang w:val="en-US"/>
        </w:rPr>
        <w:t xml:space="preserve">c </w:t>
      </w:r>
      <w:r w:rsidRPr="001A51FF">
        <w:rPr>
          <w:szCs w:val="18"/>
        </w:rPr>
        <w:t>намерение за лечение е дефинирана като всички пациенти, рандомизирани на проучвания медикамент, които са имали годни за оценка дневници на пристъпите, предоставени за 28 дни, както на изходно ниво, така и в двойносляпата фаза.</w:t>
      </w:r>
    </w:p>
    <w:p w14:paraId="37B9F2DE" w14:textId="77777777" w:rsidR="001A51FF" w:rsidRPr="001A51FF" w:rsidRDefault="001A51FF" w:rsidP="001A51FF"/>
    <w:p w14:paraId="35F84B81" w14:textId="09D0BFE5" w:rsidR="00CF77F7" w:rsidRDefault="002C50EE" w:rsidP="004A448E">
      <w:pPr>
        <w:pStyle w:val="Heading2"/>
      </w:pPr>
      <w:r>
        <w:t>5.2. Фармакокинетични свойства</w:t>
      </w:r>
    </w:p>
    <w:p w14:paraId="285E6CFD" w14:textId="4987F39C" w:rsidR="001A51FF" w:rsidRDefault="001A51FF" w:rsidP="001A51FF"/>
    <w:p w14:paraId="5768A1E4" w14:textId="77777777" w:rsidR="001A51FF" w:rsidRPr="00837FCC" w:rsidRDefault="001A51FF" w:rsidP="00837FCC">
      <w:pPr>
        <w:pStyle w:val="Heading3"/>
        <w:rPr>
          <w:rFonts w:eastAsia="Times New Roman"/>
          <w:sz w:val="28"/>
          <w:u w:val="single"/>
          <w:lang w:eastAsia="bg-BG"/>
        </w:rPr>
      </w:pPr>
      <w:r w:rsidRPr="00837FCC">
        <w:rPr>
          <w:rFonts w:eastAsia="Times New Roman"/>
          <w:u w:val="single"/>
          <w:lang w:eastAsia="bg-BG"/>
        </w:rPr>
        <w:t>Абсорбция</w:t>
      </w:r>
    </w:p>
    <w:p w14:paraId="7A985A6D" w14:textId="77777777" w:rsidR="001A51FF" w:rsidRPr="001A51FF" w:rsidRDefault="001A51FF" w:rsidP="001A51FF">
      <w:pPr>
        <w:spacing w:line="240" w:lineRule="auto"/>
        <w:rPr>
          <w:rFonts w:eastAsia="Times New Roman" w:cs="Arial"/>
          <w:color w:val="000000"/>
          <w:szCs w:val="20"/>
          <w:lang w:eastAsia="bg-BG"/>
        </w:rPr>
      </w:pPr>
    </w:p>
    <w:p w14:paraId="64178CE8" w14:textId="79DBA6BB" w:rsidR="001A51FF" w:rsidRPr="001A51FF" w:rsidRDefault="001A51FF" w:rsidP="001A51FF">
      <w:pPr>
        <w:spacing w:line="240" w:lineRule="auto"/>
        <w:rPr>
          <w:rFonts w:eastAsia="Times New Roman" w:cs="Arial"/>
          <w:sz w:val="28"/>
          <w:szCs w:val="24"/>
          <w:lang w:eastAsia="bg-BG"/>
        </w:rPr>
      </w:pPr>
      <w:r w:rsidRPr="001A51FF">
        <w:rPr>
          <w:rFonts w:eastAsia="Times New Roman" w:cs="Arial"/>
          <w:color w:val="000000"/>
          <w:szCs w:val="20"/>
          <w:lang w:eastAsia="bg-BG"/>
        </w:rPr>
        <w:t xml:space="preserve">Върховите плазмени концентрации на габапентин се наблюдават в рамките на 2-3 часа след перорален прием. Бионаличността на габапентин (част от абсорбираната доза) показва тенденция към намаляване с повишаване на дозата. Абсолютната бионаличност на капсула от 300 </w:t>
      </w:r>
      <w:r w:rsidRPr="001A51FF">
        <w:rPr>
          <w:rFonts w:eastAsia="Times New Roman" w:cs="Arial"/>
          <w:color w:val="000000"/>
          <w:szCs w:val="20"/>
          <w:lang w:val="en-US"/>
        </w:rPr>
        <w:t xml:space="preserve">mg </w:t>
      </w:r>
      <w:r w:rsidRPr="001A51FF">
        <w:rPr>
          <w:rFonts w:eastAsia="Times New Roman" w:cs="Arial"/>
          <w:color w:val="000000"/>
          <w:szCs w:val="20"/>
          <w:lang w:eastAsia="bg-BG"/>
        </w:rPr>
        <w:t>е около 60%. Храната, вкл. с високо съдържание на мазнини, не оказва клинично значим ефект върху фармакокинетиката на габапентин.</w:t>
      </w:r>
    </w:p>
    <w:p w14:paraId="31C7121E" w14:textId="77777777" w:rsidR="001A51FF" w:rsidRPr="001A51FF" w:rsidRDefault="001A51FF" w:rsidP="001A51FF">
      <w:pPr>
        <w:rPr>
          <w:rFonts w:eastAsia="Times New Roman" w:cs="Arial"/>
          <w:color w:val="000000"/>
          <w:szCs w:val="20"/>
          <w:lang w:eastAsia="bg-BG"/>
        </w:rPr>
      </w:pPr>
    </w:p>
    <w:p w14:paraId="7F998F5E" w14:textId="67CD2CFB" w:rsidR="001A51FF" w:rsidRDefault="001A51FF" w:rsidP="001A51FF">
      <w:pPr>
        <w:rPr>
          <w:rFonts w:eastAsia="Times New Roman" w:cs="Arial"/>
          <w:color w:val="000000"/>
          <w:szCs w:val="20"/>
          <w:lang w:eastAsia="bg-BG"/>
        </w:rPr>
      </w:pPr>
      <w:r w:rsidRPr="001A51FF">
        <w:rPr>
          <w:rFonts w:eastAsia="Times New Roman" w:cs="Arial"/>
          <w:color w:val="000000"/>
          <w:szCs w:val="20"/>
          <w:lang w:eastAsia="bg-BG"/>
        </w:rPr>
        <w:t xml:space="preserve">Фармакокинетиката на габапентин не се повлиява от повтарящ се прием. Въпреки че плазмените концентрации на габапентин в клинични проучвания са били обикновено между 2 </w:t>
      </w:r>
      <w:proofErr w:type="spellStart"/>
      <w:r w:rsidRPr="001A51FF">
        <w:rPr>
          <w:rFonts w:eastAsia="Times New Roman" w:cs="Arial"/>
          <w:color w:val="000000"/>
          <w:szCs w:val="20"/>
          <w:lang w:val="en-US"/>
        </w:rPr>
        <w:t>pg</w:t>
      </w:r>
      <w:proofErr w:type="spellEnd"/>
      <w:r w:rsidRPr="001A51FF">
        <w:rPr>
          <w:rFonts w:eastAsia="Times New Roman" w:cs="Arial"/>
          <w:color w:val="000000"/>
          <w:szCs w:val="20"/>
          <w:lang w:val="en-US"/>
        </w:rPr>
        <w:t xml:space="preserve">/ml </w:t>
      </w:r>
      <w:r w:rsidRPr="001A51FF">
        <w:rPr>
          <w:rFonts w:eastAsia="Times New Roman" w:cs="Arial"/>
          <w:color w:val="000000"/>
          <w:szCs w:val="20"/>
          <w:lang w:eastAsia="bg-BG"/>
        </w:rPr>
        <w:t xml:space="preserve">и 20 </w:t>
      </w:r>
      <w:proofErr w:type="spellStart"/>
      <w:r w:rsidRPr="001A51FF">
        <w:rPr>
          <w:rFonts w:eastAsia="Times New Roman" w:cs="Arial"/>
          <w:color w:val="000000"/>
          <w:szCs w:val="20"/>
          <w:lang w:val="en-US"/>
        </w:rPr>
        <w:t>pg</w:t>
      </w:r>
      <w:proofErr w:type="spellEnd"/>
      <w:r w:rsidRPr="001A51FF">
        <w:rPr>
          <w:rFonts w:eastAsia="Times New Roman" w:cs="Arial"/>
          <w:color w:val="000000"/>
          <w:szCs w:val="20"/>
          <w:lang w:val="en-US"/>
        </w:rPr>
        <w:t xml:space="preserve">/ml, </w:t>
      </w:r>
      <w:r w:rsidRPr="001A51FF">
        <w:rPr>
          <w:rFonts w:eastAsia="Times New Roman" w:cs="Arial"/>
          <w:color w:val="000000"/>
          <w:szCs w:val="20"/>
          <w:lang w:eastAsia="bg-BG"/>
        </w:rPr>
        <w:t>такива концентрации не са показателни за безопасността или ефикасността. Фармакокинетичните параметри са дадени в таблица 3.</w:t>
      </w:r>
    </w:p>
    <w:p w14:paraId="45438169" w14:textId="77777777" w:rsidR="001A51FF" w:rsidRPr="001A51FF" w:rsidRDefault="001A51FF" w:rsidP="001A51FF">
      <w:pPr>
        <w:rPr>
          <w:rFonts w:eastAsia="Times New Roman" w:cs="Arial"/>
          <w:color w:val="000000"/>
          <w:szCs w:val="20"/>
          <w:lang w:eastAsia="bg-BG"/>
        </w:rPr>
      </w:pPr>
    </w:p>
    <w:tbl>
      <w:tblPr>
        <w:tblStyle w:val="TableGrid"/>
        <w:tblW w:w="0" w:type="auto"/>
        <w:tblLook w:val="04A0" w:firstRow="1" w:lastRow="0" w:firstColumn="1" w:lastColumn="0" w:noHBand="0" w:noVBand="1"/>
      </w:tblPr>
      <w:tblGrid>
        <w:gridCol w:w="1357"/>
        <w:gridCol w:w="1339"/>
        <w:gridCol w:w="1324"/>
        <w:gridCol w:w="1338"/>
        <w:gridCol w:w="1324"/>
        <w:gridCol w:w="1338"/>
        <w:gridCol w:w="1330"/>
      </w:tblGrid>
      <w:tr w:rsidR="001A51FF" w14:paraId="5B916502" w14:textId="77777777" w:rsidTr="002D2D5C">
        <w:tc>
          <w:tcPr>
            <w:tcW w:w="9505" w:type="dxa"/>
            <w:gridSpan w:val="7"/>
          </w:tcPr>
          <w:p w14:paraId="6DAE8782" w14:textId="3A65F9EC" w:rsidR="001A51FF" w:rsidRPr="001A51FF" w:rsidRDefault="001A51FF" w:rsidP="001A51FF">
            <w:r w:rsidRPr="001A51FF">
              <w:rPr>
                <w:szCs w:val="20"/>
                <w:u w:val="single"/>
              </w:rPr>
              <w:t>Таблица 3</w:t>
            </w:r>
          </w:p>
        </w:tc>
      </w:tr>
      <w:tr w:rsidR="001A51FF" w14:paraId="75077B34" w14:textId="77777777" w:rsidTr="002D2D5C">
        <w:tc>
          <w:tcPr>
            <w:tcW w:w="9505" w:type="dxa"/>
            <w:gridSpan w:val="7"/>
          </w:tcPr>
          <w:p w14:paraId="7EBEB3DF" w14:textId="10A241FC" w:rsidR="001A51FF" w:rsidRPr="001A51FF" w:rsidRDefault="001A51FF" w:rsidP="001A51FF">
            <w:r w:rsidRPr="001A51FF">
              <w:rPr>
                <w:szCs w:val="20"/>
              </w:rPr>
              <w:t xml:space="preserve">Обобщение на средните стойности </w:t>
            </w:r>
            <w:r w:rsidRPr="001A51FF">
              <w:rPr>
                <w:szCs w:val="20"/>
                <w:lang w:val="en-US"/>
              </w:rPr>
              <w:t xml:space="preserve">(%CV) </w:t>
            </w:r>
            <w:r w:rsidRPr="001A51FF">
              <w:rPr>
                <w:szCs w:val="20"/>
              </w:rPr>
              <w:t>на фармакокинетичните параметри на габапентин в стационарно състояние след прилагане на всеки 8 часа</w:t>
            </w:r>
          </w:p>
        </w:tc>
      </w:tr>
      <w:tr w:rsidR="002D2D5C" w14:paraId="667EA94D" w14:textId="77777777" w:rsidTr="00092270">
        <w:tc>
          <w:tcPr>
            <w:tcW w:w="2714" w:type="dxa"/>
            <w:gridSpan w:val="2"/>
          </w:tcPr>
          <w:p w14:paraId="004957CA" w14:textId="5ABBA1BD" w:rsidR="002D2D5C" w:rsidRPr="002D2D5C" w:rsidRDefault="002D2D5C" w:rsidP="002D2D5C">
            <w:pPr>
              <w:rPr>
                <w:rFonts w:cs="Arial"/>
              </w:rPr>
            </w:pPr>
            <w:r w:rsidRPr="002D2D5C">
              <w:rPr>
                <w:rFonts w:cs="Arial"/>
              </w:rPr>
              <w:t xml:space="preserve">Фармакокинетичен 300 </w:t>
            </w:r>
            <w:r w:rsidRPr="002D2D5C">
              <w:rPr>
                <w:rFonts w:cs="Arial"/>
                <w:lang w:val="en-US"/>
              </w:rPr>
              <w:t>mg</w:t>
            </w:r>
          </w:p>
        </w:tc>
        <w:tc>
          <w:tcPr>
            <w:tcW w:w="2714" w:type="dxa"/>
            <w:gridSpan w:val="2"/>
            <w:vMerge w:val="restart"/>
          </w:tcPr>
          <w:p w14:paraId="4C8BC645" w14:textId="77777777" w:rsidR="002D2D5C" w:rsidRPr="002D2D5C" w:rsidRDefault="002D2D5C" w:rsidP="002D2D5C">
            <w:pPr>
              <w:rPr>
                <w:rFonts w:cs="Arial"/>
              </w:rPr>
            </w:pPr>
            <w:r w:rsidRPr="002D2D5C">
              <w:rPr>
                <w:rFonts w:cs="Arial"/>
              </w:rPr>
              <w:t xml:space="preserve">400 mg </w:t>
            </w:r>
          </w:p>
          <w:p w14:paraId="21A99943" w14:textId="7ADEB327" w:rsidR="002D2D5C" w:rsidRPr="002D2D5C" w:rsidRDefault="002D2D5C" w:rsidP="002D2D5C">
            <w:pPr>
              <w:rPr>
                <w:rFonts w:cs="Arial"/>
              </w:rPr>
            </w:pPr>
            <w:r w:rsidRPr="002D2D5C">
              <w:rPr>
                <w:rFonts w:cs="Arial"/>
              </w:rPr>
              <w:t>(N = 14)</w:t>
            </w:r>
          </w:p>
        </w:tc>
        <w:tc>
          <w:tcPr>
            <w:tcW w:w="4077" w:type="dxa"/>
            <w:gridSpan w:val="3"/>
            <w:vMerge w:val="restart"/>
          </w:tcPr>
          <w:p w14:paraId="684C8017" w14:textId="77777777" w:rsidR="002D2D5C" w:rsidRPr="002D2D5C" w:rsidRDefault="002D2D5C" w:rsidP="002D2D5C">
            <w:pPr>
              <w:rPr>
                <w:rFonts w:cs="Arial"/>
              </w:rPr>
            </w:pPr>
            <w:r w:rsidRPr="002D2D5C">
              <w:rPr>
                <w:rFonts w:cs="Arial"/>
              </w:rPr>
              <w:t xml:space="preserve">800 mg </w:t>
            </w:r>
          </w:p>
          <w:p w14:paraId="60F9B416" w14:textId="29421C82" w:rsidR="002D2D5C" w:rsidRPr="002D2D5C" w:rsidRDefault="002D2D5C" w:rsidP="002D2D5C">
            <w:pPr>
              <w:rPr>
                <w:rFonts w:cs="Arial"/>
              </w:rPr>
            </w:pPr>
            <w:r w:rsidRPr="002D2D5C">
              <w:rPr>
                <w:rFonts w:cs="Arial"/>
              </w:rPr>
              <w:t>(N=14)</w:t>
            </w:r>
          </w:p>
        </w:tc>
      </w:tr>
      <w:tr w:rsidR="002D2D5C" w14:paraId="56612E78" w14:textId="77777777" w:rsidTr="007335DB">
        <w:tc>
          <w:tcPr>
            <w:tcW w:w="1357" w:type="dxa"/>
          </w:tcPr>
          <w:p w14:paraId="2431CBBC" w14:textId="6FA987E1" w:rsidR="002D2D5C" w:rsidRPr="002D2D5C" w:rsidRDefault="002D2D5C" w:rsidP="002D2D5C">
            <w:pPr>
              <w:rPr>
                <w:rFonts w:cs="Arial"/>
              </w:rPr>
            </w:pPr>
            <w:r w:rsidRPr="002D2D5C">
              <w:rPr>
                <w:rFonts w:cs="Arial"/>
              </w:rPr>
              <w:t>параметър</w:t>
            </w:r>
          </w:p>
        </w:tc>
        <w:tc>
          <w:tcPr>
            <w:tcW w:w="1357" w:type="dxa"/>
          </w:tcPr>
          <w:p w14:paraId="2561C031" w14:textId="55CEA498" w:rsidR="002D2D5C" w:rsidRPr="002D2D5C" w:rsidRDefault="002D2D5C" w:rsidP="002D2D5C">
            <w:pPr>
              <w:rPr>
                <w:rFonts w:cs="Arial"/>
              </w:rPr>
            </w:pPr>
            <w:r w:rsidRPr="002D2D5C">
              <w:rPr>
                <w:rFonts w:cs="Arial"/>
                <w:lang w:val="en-US"/>
              </w:rPr>
              <w:t>(N = 7)</w:t>
            </w:r>
          </w:p>
        </w:tc>
        <w:tc>
          <w:tcPr>
            <w:tcW w:w="2714" w:type="dxa"/>
            <w:gridSpan w:val="2"/>
            <w:vMerge/>
          </w:tcPr>
          <w:p w14:paraId="3418DF92" w14:textId="77777777" w:rsidR="002D2D5C" w:rsidRPr="002D2D5C" w:rsidRDefault="002D2D5C" w:rsidP="002D2D5C">
            <w:pPr>
              <w:rPr>
                <w:rFonts w:cs="Arial"/>
              </w:rPr>
            </w:pPr>
          </w:p>
        </w:tc>
        <w:tc>
          <w:tcPr>
            <w:tcW w:w="4077" w:type="dxa"/>
            <w:gridSpan w:val="3"/>
            <w:vMerge/>
          </w:tcPr>
          <w:p w14:paraId="7C11EA94" w14:textId="77777777" w:rsidR="002D2D5C" w:rsidRPr="002D2D5C" w:rsidRDefault="002D2D5C" w:rsidP="002D2D5C">
            <w:pPr>
              <w:rPr>
                <w:rFonts w:cs="Arial"/>
              </w:rPr>
            </w:pPr>
          </w:p>
        </w:tc>
      </w:tr>
      <w:tr w:rsidR="002D2D5C" w14:paraId="6149BFBA" w14:textId="77777777" w:rsidTr="002D2D5C">
        <w:tc>
          <w:tcPr>
            <w:tcW w:w="1357" w:type="dxa"/>
          </w:tcPr>
          <w:p w14:paraId="6940916D" w14:textId="77777777" w:rsidR="002D2D5C" w:rsidRPr="002D2D5C" w:rsidRDefault="002D2D5C" w:rsidP="002D2D5C">
            <w:pPr>
              <w:rPr>
                <w:rFonts w:cs="Arial"/>
              </w:rPr>
            </w:pPr>
          </w:p>
        </w:tc>
        <w:tc>
          <w:tcPr>
            <w:tcW w:w="1357" w:type="dxa"/>
          </w:tcPr>
          <w:p w14:paraId="6D17E8A6" w14:textId="5146AB32" w:rsidR="002D2D5C" w:rsidRPr="002D2D5C" w:rsidRDefault="002D2D5C" w:rsidP="002D2D5C">
            <w:pPr>
              <w:rPr>
                <w:rFonts w:cs="Arial"/>
              </w:rPr>
            </w:pPr>
            <w:r w:rsidRPr="002D2D5C">
              <w:rPr>
                <w:rFonts w:cs="Arial"/>
              </w:rPr>
              <w:t>Средна</w:t>
            </w:r>
          </w:p>
        </w:tc>
        <w:tc>
          <w:tcPr>
            <w:tcW w:w="1357" w:type="dxa"/>
          </w:tcPr>
          <w:p w14:paraId="49451147" w14:textId="1F228D09" w:rsidR="002D2D5C" w:rsidRPr="002D2D5C" w:rsidRDefault="002D2D5C" w:rsidP="002D2D5C">
            <w:pPr>
              <w:rPr>
                <w:rFonts w:cs="Arial"/>
              </w:rPr>
            </w:pPr>
            <w:r w:rsidRPr="002D2D5C">
              <w:rPr>
                <w:rFonts w:cs="Arial"/>
                <w:lang w:val="en-US"/>
              </w:rPr>
              <w:t>%CV</w:t>
            </w:r>
          </w:p>
        </w:tc>
        <w:tc>
          <w:tcPr>
            <w:tcW w:w="1357" w:type="dxa"/>
          </w:tcPr>
          <w:p w14:paraId="79B4BD10" w14:textId="0B894D04" w:rsidR="002D2D5C" w:rsidRPr="002D2D5C" w:rsidRDefault="002D2D5C" w:rsidP="002D2D5C">
            <w:pPr>
              <w:rPr>
                <w:rFonts w:cs="Arial"/>
              </w:rPr>
            </w:pPr>
            <w:r w:rsidRPr="002D2D5C">
              <w:rPr>
                <w:rFonts w:cs="Arial"/>
              </w:rPr>
              <w:t>Средна</w:t>
            </w:r>
          </w:p>
        </w:tc>
        <w:tc>
          <w:tcPr>
            <w:tcW w:w="1357" w:type="dxa"/>
          </w:tcPr>
          <w:p w14:paraId="25C5FAB6" w14:textId="2D5C5584" w:rsidR="002D2D5C" w:rsidRPr="002D2D5C" w:rsidRDefault="002D2D5C" w:rsidP="002D2D5C">
            <w:pPr>
              <w:rPr>
                <w:rFonts w:cs="Arial"/>
              </w:rPr>
            </w:pPr>
            <w:r w:rsidRPr="002D2D5C">
              <w:rPr>
                <w:rFonts w:cs="Arial"/>
                <w:lang w:val="en-US"/>
              </w:rPr>
              <w:t>%CV</w:t>
            </w:r>
          </w:p>
        </w:tc>
        <w:tc>
          <w:tcPr>
            <w:tcW w:w="1357" w:type="dxa"/>
          </w:tcPr>
          <w:p w14:paraId="372FE12C" w14:textId="4A49723C" w:rsidR="002D2D5C" w:rsidRPr="002D2D5C" w:rsidRDefault="002D2D5C" w:rsidP="002D2D5C">
            <w:pPr>
              <w:rPr>
                <w:rFonts w:cs="Arial"/>
              </w:rPr>
            </w:pPr>
            <w:r w:rsidRPr="002D2D5C">
              <w:rPr>
                <w:rFonts w:cs="Arial"/>
              </w:rPr>
              <w:t>Средна</w:t>
            </w:r>
          </w:p>
        </w:tc>
        <w:tc>
          <w:tcPr>
            <w:tcW w:w="1363" w:type="dxa"/>
          </w:tcPr>
          <w:p w14:paraId="42DE32A5" w14:textId="4082A893" w:rsidR="002D2D5C" w:rsidRPr="002D2D5C" w:rsidRDefault="002D2D5C" w:rsidP="002D2D5C">
            <w:pPr>
              <w:rPr>
                <w:rFonts w:cs="Arial"/>
                <w:lang w:val="en-US"/>
              </w:rPr>
            </w:pPr>
            <w:r w:rsidRPr="002D2D5C">
              <w:rPr>
                <w:rFonts w:cs="Arial"/>
                <w:lang w:val="en-US"/>
              </w:rPr>
              <w:t>%CV</w:t>
            </w:r>
          </w:p>
        </w:tc>
      </w:tr>
      <w:tr w:rsidR="002D2D5C" w14:paraId="04CF8628" w14:textId="77777777" w:rsidTr="002D2D5C">
        <w:tc>
          <w:tcPr>
            <w:tcW w:w="1357" w:type="dxa"/>
          </w:tcPr>
          <w:p w14:paraId="654D2FF7" w14:textId="65471FFB" w:rsidR="002D2D5C" w:rsidRPr="002D2D5C" w:rsidRDefault="002D2D5C" w:rsidP="002D2D5C">
            <w:pPr>
              <w:rPr>
                <w:rFonts w:cs="Arial"/>
              </w:rPr>
            </w:pPr>
            <w:r w:rsidRPr="002D2D5C">
              <w:rPr>
                <w:rFonts w:cs="Arial"/>
              </w:rPr>
              <w:t>Cmax (</w:t>
            </w:r>
            <w:r w:rsidRPr="002D2D5C">
              <w:rPr>
                <w:rFonts w:cs="Arial"/>
                <w:lang w:eastAsia="bg-BG"/>
              </w:rPr>
              <w:t>μ</w:t>
            </w:r>
            <w:r w:rsidRPr="002D2D5C">
              <w:rPr>
                <w:rFonts w:cs="Arial"/>
              </w:rPr>
              <w:t>g/ml)</w:t>
            </w:r>
          </w:p>
        </w:tc>
        <w:tc>
          <w:tcPr>
            <w:tcW w:w="1357" w:type="dxa"/>
          </w:tcPr>
          <w:p w14:paraId="5D35F810" w14:textId="74A2CB07" w:rsidR="002D2D5C" w:rsidRPr="002D2D5C" w:rsidRDefault="002D2D5C" w:rsidP="002D2D5C">
            <w:pPr>
              <w:rPr>
                <w:rFonts w:cs="Arial"/>
              </w:rPr>
            </w:pPr>
            <w:r w:rsidRPr="002D2D5C">
              <w:rPr>
                <w:rFonts w:cs="Arial"/>
              </w:rPr>
              <w:t>4,02</w:t>
            </w:r>
          </w:p>
        </w:tc>
        <w:tc>
          <w:tcPr>
            <w:tcW w:w="1357" w:type="dxa"/>
          </w:tcPr>
          <w:p w14:paraId="7A7A55C6" w14:textId="2453CC7F" w:rsidR="002D2D5C" w:rsidRPr="002D2D5C" w:rsidRDefault="002D2D5C" w:rsidP="002D2D5C">
            <w:pPr>
              <w:rPr>
                <w:rFonts w:cs="Arial"/>
              </w:rPr>
            </w:pPr>
            <w:r w:rsidRPr="002D2D5C">
              <w:rPr>
                <w:rFonts w:cs="Arial"/>
              </w:rPr>
              <w:t>(24)</w:t>
            </w:r>
          </w:p>
        </w:tc>
        <w:tc>
          <w:tcPr>
            <w:tcW w:w="1357" w:type="dxa"/>
          </w:tcPr>
          <w:p w14:paraId="42399693" w14:textId="3DD8EED7" w:rsidR="002D2D5C" w:rsidRPr="002D2D5C" w:rsidRDefault="002D2D5C" w:rsidP="002D2D5C">
            <w:pPr>
              <w:rPr>
                <w:rFonts w:cs="Arial"/>
              </w:rPr>
            </w:pPr>
            <w:r w:rsidRPr="002D2D5C">
              <w:rPr>
                <w:rFonts w:cs="Arial"/>
              </w:rPr>
              <w:t>5,74</w:t>
            </w:r>
          </w:p>
        </w:tc>
        <w:tc>
          <w:tcPr>
            <w:tcW w:w="1357" w:type="dxa"/>
          </w:tcPr>
          <w:p w14:paraId="365252CE" w14:textId="464F8B9E" w:rsidR="002D2D5C" w:rsidRPr="002D2D5C" w:rsidRDefault="002D2D5C" w:rsidP="002D2D5C">
            <w:pPr>
              <w:rPr>
                <w:rFonts w:cs="Arial"/>
              </w:rPr>
            </w:pPr>
            <w:r w:rsidRPr="002D2D5C">
              <w:rPr>
                <w:rFonts w:cs="Arial"/>
              </w:rPr>
              <w:t>(38)</w:t>
            </w:r>
          </w:p>
        </w:tc>
        <w:tc>
          <w:tcPr>
            <w:tcW w:w="1357" w:type="dxa"/>
          </w:tcPr>
          <w:p w14:paraId="0F3F74AB" w14:textId="74ABFA3F" w:rsidR="002D2D5C" w:rsidRPr="002D2D5C" w:rsidRDefault="002D2D5C" w:rsidP="002D2D5C">
            <w:pPr>
              <w:rPr>
                <w:rFonts w:cs="Arial"/>
              </w:rPr>
            </w:pPr>
            <w:r w:rsidRPr="002D2D5C">
              <w:rPr>
                <w:rFonts w:cs="Arial"/>
              </w:rPr>
              <w:t>8,71</w:t>
            </w:r>
          </w:p>
        </w:tc>
        <w:tc>
          <w:tcPr>
            <w:tcW w:w="1363" w:type="dxa"/>
          </w:tcPr>
          <w:p w14:paraId="106B70B5" w14:textId="04AC3887" w:rsidR="002D2D5C" w:rsidRPr="002D2D5C" w:rsidRDefault="002D2D5C" w:rsidP="002D2D5C">
            <w:pPr>
              <w:rPr>
                <w:rFonts w:cs="Arial"/>
              </w:rPr>
            </w:pPr>
            <w:r w:rsidRPr="002D2D5C">
              <w:rPr>
                <w:rFonts w:cs="Arial"/>
              </w:rPr>
              <w:t>(29)</w:t>
            </w:r>
          </w:p>
        </w:tc>
      </w:tr>
      <w:tr w:rsidR="002D2D5C" w14:paraId="0C88B70E" w14:textId="77777777" w:rsidTr="002D2D5C">
        <w:tc>
          <w:tcPr>
            <w:tcW w:w="1357" w:type="dxa"/>
          </w:tcPr>
          <w:p w14:paraId="285A5B10" w14:textId="5E014D69" w:rsidR="002D2D5C" w:rsidRPr="002D2D5C" w:rsidRDefault="002D2D5C" w:rsidP="002D2D5C">
            <w:pPr>
              <w:rPr>
                <w:rFonts w:cs="Arial"/>
              </w:rPr>
            </w:pPr>
            <w:r w:rsidRPr="002D2D5C">
              <w:rPr>
                <w:rFonts w:cs="Arial"/>
              </w:rPr>
              <w:t xml:space="preserve">tmax </w:t>
            </w:r>
            <w:r w:rsidRPr="002D2D5C">
              <w:rPr>
                <w:rFonts w:cs="Arial"/>
                <w:lang w:eastAsia="bg-BG"/>
              </w:rPr>
              <w:t>(</w:t>
            </w:r>
            <w:r w:rsidRPr="002D2D5C">
              <w:rPr>
                <w:rFonts w:cs="Arial"/>
              </w:rPr>
              <w:t>h</w:t>
            </w:r>
            <w:r w:rsidRPr="002D2D5C">
              <w:rPr>
                <w:rFonts w:cs="Arial"/>
                <w:lang w:eastAsia="bg-BG"/>
              </w:rPr>
              <w:t>)</w:t>
            </w:r>
          </w:p>
        </w:tc>
        <w:tc>
          <w:tcPr>
            <w:tcW w:w="1357" w:type="dxa"/>
          </w:tcPr>
          <w:p w14:paraId="2D6446EF" w14:textId="7303A216" w:rsidR="002D2D5C" w:rsidRPr="002D2D5C" w:rsidRDefault="002D2D5C" w:rsidP="002D2D5C">
            <w:pPr>
              <w:rPr>
                <w:rFonts w:cs="Arial"/>
              </w:rPr>
            </w:pPr>
            <w:r w:rsidRPr="002D2D5C">
              <w:rPr>
                <w:rFonts w:cs="Arial"/>
              </w:rPr>
              <w:t>2,7</w:t>
            </w:r>
          </w:p>
        </w:tc>
        <w:tc>
          <w:tcPr>
            <w:tcW w:w="1357" w:type="dxa"/>
          </w:tcPr>
          <w:p w14:paraId="7B021BA8" w14:textId="6D6E2A3D" w:rsidR="002D2D5C" w:rsidRPr="002D2D5C" w:rsidRDefault="002D2D5C" w:rsidP="002D2D5C">
            <w:pPr>
              <w:rPr>
                <w:rFonts w:cs="Arial"/>
              </w:rPr>
            </w:pPr>
            <w:r w:rsidRPr="002D2D5C">
              <w:rPr>
                <w:rFonts w:cs="Arial"/>
              </w:rPr>
              <w:t>(18)</w:t>
            </w:r>
          </w:p>
        </w:tc>
        <w:tc>
          <w:tcPr>
            <w:tcW w:w="1357" w:type="dxa"/>
          </w:tcPr>
          <w:p w14:paraId="1AEBFE42" w14:textId="365756EE" w:rsidR="002D2D5C" w:rsidRPr="002D2D5C" w:rsidRDefault="002D2D5C" w:rsidP="002D2D5C">
            <w:pPr>
              <w:rPr>
                <w:rFonts w:cs="Arial"/>
              </w:rPr>
            </w:pPr>
            <w:r w:rsidRPr="002D2D5C">
              <w:rPr>
                <w:rFonts w:cs="Arial"/>
                <w:lang w:eastAsia="bg-BG"/>
              </w:rPr>
              <w:t>2,1</w:t>
            </w:r>
          </w:p>
        </w:tc>
        <w:tc>
          <w:tcPr>
            <w:tcW w:w="1357" w:type="dxa"/>
          </w:tcPr>
          <w:p w14:paraId="6A85F820" w14:textId="4FAEAA2C" w:rsidR="002D2D5C" w:rsidRPr="002D2D5C" w:rsidRDefault="002D2D5C" w:rsidP="002D2D5C">
            <w:pPr>
              <w:rPr>
                <w:rFonts w:cs="Arial"/>
              </w:rPr>
            </w:pPr>
            <w:r w:rsidRPr="002D2D5C">
              <w:rPr>
                <w:rFonts w:cs="Arial"/>
              </w:rPr>
              <w:t>(54)</w:t>
            </w:r>
          </w:p>
        </w:tc>
        <w:tc>
          <w:tcPr>
            <w:tcW w:w="1357" w:type="dxa"/>
          </w:tcPr>
          <w:p w14:paraId="308CCEC6" w14:textId="7AC33F49" w:rsidR="002D2D5C" w:rsidRPr="002D2D5C" w:rsidRDefault="002D2D5C" w:rsidP="002D2D5C">
            <w:pPr>
              <w:rPr>
                <w:rFonts w:cs="Arial"/>
              </w:rPr>
            </w:pPr>
            <w:r w:rsidRPr="002D2D5C">
              <w:rPr>
                <w:rFonts w:cs="Arial"/>
              </w:rPr>
              <w:t>1,6</w:t>
            </w:r>
          </w:p>
        </w:tc>
        <w:tc>
          <w:tcPr>
            <w:tcW w:w="1363" w:type="dxa"/>
          </w:tcPr>
          <w:p w14:paraId="24E55208" w14:textId="2F5FC38A" w:rsidR="002D2D5C" w:rsidRPr="002D2D5C" w:rsidRDefault="002D2D5C" w:rsidP="002D2D5C">
            <w:pPr>
              <w:rPr>
                <w:rFonts w:cs="Arial"/>
              </w:rPr>
            </w:pPr>
            <w:r w:rsidRPr="002D2D5C">
              <w:rPr>
                <w:rFonts w:cs="Arial"/>
              </w:rPr>
              <w:t>(76)</w:t>
            </w:r>
          </w:p>
        </w:tc>
      </w:tr>
      <w:tr w:rsidR="002D2D5C" w14:paraId="67EBF385" w14:textId="77777777" w:rsidTr="002D2D5C">
        <w:tc>
          <w:tcPr>
            <w:tcW w:w="1357" w:type="dxa"/>
          </w:tcPr>
          <w:p w14:paraId="73E345C3" w14:textId="07DD4DE4" w:rsidR="002D2D5C" w:rsidRPr="002D2D5C" w:rsidRDefault="002D2D5C" w:rsidP="002D2D5C">
            <w:pPr>
              <w:rPr>
                <w:rFonts w:cs="Arial"/>
              </w:rPr>
            </w:pPr>
            <w:r w:rsidRPr="002D2D5C">
              <w:rPr>
                <w:rFonts w:cs="Arial"/>
              </w:rPr>
              <w:t>Tl/2(h)</w:t>
            </w:r>
          </w:p>
        </w:tc>
        <w:tc>
          <w:tcPr>
            <w:tcW w:w="1357" w:type="dxa"/>
          </w:tcPr>
          <w:p w14:paraId="70F83416" w14:textId="5001E59D" w:rsidR="002D2D5C" w:rsidRPr="002D2D5C" w:rsidRDefault="002D2D5C" w:rsidP="002D2D5C">
            <w:pPr>
              <w:rPr>
                <w:rFonts w:cs="Arial"/>
              </w:rPr>
            </w:pPr>
            <w:r w:rsidRPr="002D2D5C">
              <w:rPr>
                <w:rFonts w:cs="Arial"/>
              </w:rPr>
              <w:t>5,2</w:t>
            </w:r>
          </w:p>
        </w:tc>
        <w:tc>
          <w:tcPr>
            <w:tcW w:w="1357" w:type="dxa"/>
          </w:tcPr>
          <w:p w14:paraId="7CF31FB5" w14:textId="73D2A44E" w:rsidR="002D2D5C" w:rsidRPr="002D2D5C" w:rsidRDefault="002D2D5C" w:rsidP="002D2D5C">
            <w:pPr>
              <w:rPr>
                <w:rFonts w:cs="Arial"/>
              </w:rPr>
            </w:pPr>
            <w:r w:rsidRPr="002D2D5C">
              <w:rPr>
                <w:rFonts w:cs="Arial"/>
              </w:rPr>
              <w:t>(12)</w:t>
            </w:r>
          </w:p>
        </w:tc>
        <w:tc>
          <w:tcPr>
            <w:tcW w:w="1357" w:type="dxa"/>
          </w:tcPr>
          <w:p w14:paraId="16145C5E" w14:textId="72F6303B" w:rsidR="002D2D5C" w:rsidRPr="002D2D5C" w:rsidRDefault="002D2D5C" w:rsidP="002D2D5C">
            <w:pPr>
              <w:rPr>
                <w:rFonts w:cs="Arial"/>
              </w:rPr>
            </w:pPr>
            <w:r w:rsidRPr="002D2D5C">
              <w:rPr>
                <w:rFonts w:cs="Arial"/>
              </w:rPr>
              <w:t>10,8</w:t>
            </w:r>
          </w:p>
        </w:tc>
        <w:tc>
          <w:tcPr>
            <w:tcW w:w="1357" w:type="dxa"/>
          </w:tcPr>
          <w:p w14:paraId="26282E22" w14:textId="69A536DA" w:rsidR="002D2D5C" w:rsidRPr="002D2D5C" w:rsidRDefault="002D2D5C" w:rsidP="002D2D5C">
            <w:pPr>
              <w:rPr>
                <w:rFonts w:cs="Arial"/>
              </w:rPr>
            </w:pPr>
            <w:r w:rsidRPr="002D2D5C">
              <w:rPr>
                <w:rFonts w:cs="Arial"/>
              </w:rPr>
              <w:t>(89)</w:t>
            </w:r>
          </w:p>
        </w:tc>
        <w:tc>
          <w:tcPr>
            <w:tcW w:w="1357" w:type="dxa"/>
          </w:tcPr>
          <w:p w14:paraId="6E7E99BA" w14:textId="023626EF" w:rsidR="002D2D5C" w:rsidRPr="002D2D5C" w:rsidRDefault="002D2D5C" w:rsidP="002D2D5C">
            <w:pPr>
              <w:rPr>
                <w:rFonts w:cs="Arial"/>
              </w:rPr>
            </w:pPr>
            <w:r w:rsidRPr="002D2D5C">
              <w:rPr>
                <w:rFonts w:cs="Arial"/>
              </w:rPr>
              <w:t>10,6</w:t>
            </w:r>
          </w:p>
        </w:tc>
        <w:tc>
          <w:tcPr>
            <w:tcW w:w="1363" w:type="dxa"/>
          </w:tcPr>
          <w:p w14:paraId="09DC6A70" w14:textId="72805B37" w:rsidR="002D2D5C" w:rsidRPr="002D2D5C" w:rsidRDefault="002D2D5C" w:rsidP="002D2D5C">
            <w:pPr>
              <w:rPr>
                <w:rFonts w:cs="Arial"/>
              </w:rPr>
            </w:pPr>
            <w:r w:rsidRPr="002D2D5C">
              <w:rPr>
                <w:rFonts w:cs="Arial"/>
              </w:rPr>
              <w:t>(41)</w:t>
            </w:r>
          </w:p>
        </w:tc>
      </w:tr>
      <w:tr w:rsidR="002D2D5C" w14:paraId="643D4448" w14:textId="77777777" w:rsidTr="002D2D5C">
        <w:tc>
          <w:tcPr>
            <w:tcW w:w="1357" w:type="dxa"/>
          </w:tcPr>
          <w:p w14:paraId="61EA354B" w14:textId="41383642" w:rsidR="002D2D5C" w:rsidRPr="002D2D5C" w:rsidRDefault="002D2D5C" w:rsidP="002D2D5C">
            <w:pPr>
              <w:rPr>
                <w:rFonts w:cs="Arial"/>
              </w:rPr>
            </w:pPr>
            <w:r w:rsidRPr="002D2D5C">
              <w:rPr>
                <w:rFonts w:cs="Arial"/>
              </w:rPr>
              <w:t>AUC (0-8)</w:t>
            </w:r>
          </w:p>
        </w:tc>
        <w:tc>
          <w:tcPr>
            <w:tcW w:w="1357" w:type="dxa"/>
          </w:tcPr>
          <w:p w14:paraId="710B6160" w14:textId="24865453" w:rsidR="002D2D5C" w:rsidRPr="002D2D5C" w:rsidRDefault="002D2D5C" w:rsidP="002D2D5C">
            <w:pPr>
              <w:rPr>
                <w:rFonts w:cs="Arial"/>
              </w:rPr>
            </w:pPr>
            <w:r w:rsidRPr="002D2D5C">
              <w:rPr>
                <w:rFonts w:cs="Arial"/>
              </w:rPr>
              <w:t>24,8</w:t>
            </w:r>
          </w:p>
        </w:tc>
        <w:tc>
          <w:tcPr>
            <w:tcW w:w="1357" w:type="dxa"/>
          </w:tcPr>
          <w:p w14:paraId="5CA385A0" w14:textId="505DBF88" w:rsidR="002D2D5C" w:rsidRPr="002D2D5C" w:rsidRDefault="002D2D5C" w:rsidP="002D2D5C">
            <w:pPr>
              <w:rPr>
                <w:rFonts w:cs="Arial"/>
              </w:rPr>
            </w:pPr>
            <w:r w:rsidRPr="002D2D5C">
              <w:rPr>
                <w:rFonts w:cs="Arial"/>
              </w:rPr>
              <w:t>(24)</w:t>
            </w:r>
          </w:p>
        </w:tc>
        <w:tc>
          <w:tcPr>
            <w:tcW w:w="1357" w:type="dxa"/>
          </w:tcPr>
          <w:p w14:paraId="084A3EBE" w14:textId="378993E8" w:rsidR="002D2D5C" w:rsidRPr="002D2D5C" w:rsidRDefault="002D2D5C" w:rsidP="002D2D5C">
            <w:pPr>
              <w:rPr>
                <w:rFonts w:cs="Arial"/>
              </w:rPr>
            </w:pPr>
            <w:r w:rsidRPr="002D2D5C">
              <w:rPr>
                <w:rFonts w:cs="Arial"/>
              </w:rPr>
              <w:t>34,5</w:t>
            </w:r>
          </w:p>
        </w:tc>
        <w:tc>
          <w:tcPr>
            <w:tcW w:w="1357" w:type="dxa"/>
          </w:tcPr>
          <w:p w14:paraId="2355BCEB" w14:textId="33FBFA68" w:rsidR="002D2D5C" w:rsidRPr="002D2D5C" w:rsidRDefault="002D2D5C" w:rsidP="002D2D5C">
            <w:pPr>
              <w:rPr>
                <w:rFonts w:cs="Arial"/>
              </w:rPr>
            </w:pPr>
            <w:r w:rsidRPr="002D2D5C">
              <w:rPr>
                <w:rFonts w:cs="Arial"/>
              </w:rPr>
              <w:t>(34)</w:t>
            </w:r>
          </w:p>
        </w:tc>
        <w:tc>
          <w:tcPr>
            <w:tcW w:w="1357" w:type="dxa"/>
          </w:tcPr>
          <w:p w14:paraId="2B3D3832" w14:textId="64C23A6D" w:rsidR="002D2D5C" w:rsidRPr="002D2D5C" w:rsidRDefault="002D2D5C" w:rsidP="002D2D5C">
            <w:pPr>
              <w:rPr>
                <w:rFonts w:cs="Arial"/>
              </w:rPr>
            </w:pPr>
            <w:r w:rsidRPr="002D2D5C">
              <w:rPr>
                <w:rFonts w:cs="Arial"/>
              </w:rPr>
              <w:t>51,4</w:t>
            </w:r>
          </w:p>
        </w:tc>
        <w:tc>
          <w:tcPr>
            <w:tcW w:w="1363" w:type="dxa"/>
          </w:tcPr>
          <w:p w14:paraId="66A1B22D" w14:textId="0A484EDA" w:rsidR="002D2D5C" w:rsidRPr="002D2D5C" w:rsidRDefault="002D2D5C" w:rsidP="002D2D5C">
            <w:pPr>
              <w:rPr>
                <w:rFonts w:cs="Arial"/>
              </w:rPr>
            </w:pPr>
            <w:r w:rsidRPr="002D2D5C">
              <w:rPr>
                <w:rFonts w:cs="Arial"/>
              </w:rPr>
              <w:t>(27)</w:t>
            </w:r>
          </w:p>
        </w:tc>
      </w:tr>
      <w:tr w:rsidR="002D2D5C" w14:paraId="254306F4" w14:textId="77777777" w:rsidTr="002D2D5C">
        <w:tc>
          <w:tcPr>
            <w:tcW w:w="1357" w:type="dxa"/>
          </w:tcPr>
          <w:p w14:paraId="1D71797E" w14:textId="1305C037" w:rsidR="002D2D5C" w:rsidRPr="002D2D5C" w:rsidRDefault="002D2D5C" w:rsidP="002D2D5C">
            <w:pPr>
              <w:rPr>
                <w:rFonts w:cs="Arial"/>
              </w:rPr>
            </w:pPr>
            <w:r w:rsidRPr="002D2D5C">
              <w:rPr>
                <w:rFonts w:cs="Arial"/>
                <w:lang w:eastAsia="bg-BG"/>
              </w:rPr>
              <w:t>μ</w:t>
            </w:r>
            <w:r w:rsidRPr="002D2D5C">
              <w:rPr>
                <w:rFonts w:cs="Arial"/>
              </w:rPr>
              <w:t>g    ---     h/ml)</w:t>
            </w:r>
          </w:p>
        </w:tc>
        <w:tc>
          <w:tcPr>
            <w:tcW w:w="1357" w:type="dxa"/>
          </w:tcPr>
          <w:p w14:paraId="254E8980" w14:textId="77777777" w:rsidR="002D2D5C" w:rsidRPr="002D2D5C" w:rsidRDefault="002D2D5C" w:rsidP="002D2D5C">
            <w:pPr>
              <w:rPr>
                <w:rFonts w:cs="Arial"/>
              </w:rPr>
            </w:pPr>
          </w:p>
        </w:tc>
        <w:tc>
          <w:tcPr>
            <w:tcW w:w="1357" w:type="dxa"/>
          </w:tcPr>
          <w:p w14:paraId="50FDCC37" w14:textId="77777777" w:rsidR="002D2D5C" w:rsidRPr="002D2D5C" w:rsidRDefault="002D2D5C" w:rsidP="002D2D5C">
            <w:pPr>
              <w:rPr>
                <w:rFonts w:cs="Arial"/>
              </w:rPr>
            </w:pPr>
          </w:p>
        </w:tc>
        <w:tc>
          <w:tcPr>
            <w:tcW w:w="1357" w:type="dxa"/>
          </w:tcPr>
          <w:p w14:paraId="33903638" w14:textId="77777777" w:rsidR="002D2D5C" w:rsidRPr="002D2D5C" w:rsidRDefault="002D2D5C" w:rsidP="002D2D5C">
            <w:pPr>
              <w:rPr>
                <w:rFonts w:cs="Arial"/>
              </w:rPr>
            </w:pPr>
          </w:p>
        </w:tc>
        <w:tc>
          <w:tcPr>
            <w:tcW w:w="1357" w:type="dxa"/>
          </w:tcPr>
          <w:p w14:paraId="3E7CCCD3" w14:textId="77777777" w:rsidR="002D2D5C" w:rsidRPr="002D2D5C" w:rsidRDefault="002D2D5C" w:rsidP="002D2D5C">
            <w:pPr>
              <w:rPr>
                <w:rFonts w:cs="Arial"/>
              </w:rPr>
            </w:pPr>
          </w:p>
        </w:tc>
        <w:tc>
          <w:tcPr>
            <w:tcW w:w="1357" w:type="dxa"/>
          </w:tcPr>
          <w:p w14:paraId="54CA8342" w14:textId="77777777" w:rsidR="002D2D5C" w:rsidRPr="002D2D5C" w:rsidRDefault="002D2D5C" w:rsidP="002D2D5C">
            <w:pPr>
              <w:rPr>
                <w:rFonts w:cs="Arial"/>
              </w:rPr>
            </w:pPr>
          </w:p>
        </w:tc>
        <w:tc>
          <w:tcPr>
            <w:tcW w:w="1363" w:type="dxa"/>
          </w:tcPr>
          <w:p w14:paraId="781A5530" w14:textId="77777777" w:rsidR="002D2D5C" w:rsidRPr="002D2D5C" w:rsidRDefault="002D2D5C" w:rsidP="002D2D5C">
            <w:pPr>
              <w:rPr>
                <w:rFonts w:cs="Arial"/>
              </w:rPr>
            </w:pPr>
          </w:p>
        </w:tc>
      </w:tr>
      <w:tr w:rsidR="002D2D5C" w14:paraId="3E6B821A" w14:textId="77777777" w:rsidTr="002D2D5C">
        <w:tc>
          <w:tcPr>
            <w:tcW w:w="1357" w:type="dxa"/>
          </w:tcPr>
          <w:p w14:paraId="176E8381" w14:textId="5EABA83D" w:rsidR="002D2D5C" w:rsidRPr="002D2D5C" w:rsidRDefault="002D2D5C" w:rsidP="002D2D5C">
            <w:pPr>
              <w:rPr>
                <w:rFonts w:cs="Arial"/>
              </w:rPr>
            </w:pPr>
            <w:r w:rsidRPr="002D2D5C">
              <w:rPr>
                <w:rFonts w:cs="Arial"/>
              </w:rPr>
              <w:t>Ae%(%)</w:t>
            </w:r>
          </w:p>
        </w:tc>
        <w:tc>
          <w:tcPr>
            <w:tcW w:w="1357" w:type="dxa"/>
          </w:tcPr>
          <w:p w14:paraId="05B79C92" w14:textId="7A621714" w:rsidR="002D2D5C" w:rsidRPr="002D2D5C" w:rsidRDefault="002D2D5C" w:rsidP="002D2D5C">
            <w:pPr>
              <w:rPr>
                <w:rFonts w:cs="Arial"/>
              </w:rPr>
            </w:pPr>
            <w:r w:rsidRPr="002D2D5C">
              <w:rPr>
                <w:rFonts w:cs="Arial"/>
              </w:rPr>
              <w:t>HH</w:t>
            </w:r>
          </w:p>
        </w:tc>
        <w:tc>
          <w:tcPr>
            <w:tcW w:w="1357" w:type="dxa"/>
          </w:tcPr>
          <w:p w14:paraId="6FFE430F" w14:textId="201C6230" w:rsidR="002D2D5C" w:rsidRPr="002D2D5C" w:rsidRDefault="002D2D5C" w:rsidP="002D2D5C">
            <w:pPr>
              <w:rPr>
                <w:rFonts w:cs="Arial"/>
              </w:rPr>
            </w:pPr>
            <w:r w:rsidRPr="002D2D5C">
              <w:rPr>
                <w:rFonts w:cs="Arial"/>
              </w:rPr>
              <w:t>HH</w:t>
            </w:r>
          </w:p>
        </w:tc>
        <w:tc>
          <w:tcPr>
            <w:tcW w:w="1357" w:type="dxa"/>
          </w:tcPr>
          <w:p w14:paraId="085F953B" w14:textId="7BEF9217" w:rsidR="002D2D5C" w:rsidRPr="002D2D5C" w:rsidRDefault="002D2D5C" w:rsidP="002D2D5C">
            <w:pPr>
              <w:rPr>
                <w:rFonts w:cs="Arial"/>
              </w:rPr>
            </w:pPr>
            <w:r w:rsidRPr="002D2D5C">
              <w:rPr>
                <w:rFonts w:cs="Arial"/>
              </w:rPr>
              <w:t>47,2</w:t>
            </w:r>
          </w:p>
        </w:tc>
        <w:tc>
          <w:tcPr>
            <w:tcW w:w="1357" w:type="dxa"/>
          </w:tcPr>
          <w:p w14:paraId="55ECB8CC" w14:textId="30C48793" w:rsidR="002D2D5C" w:rsidRPr="002D2D5C" w:rsidRDefault="002D2D5C" w:rsidP="002D2D5C">
            <w:pPr>
              <w:rPr>
                <w:rFonts w:cs="Arial"/>
              </w:rPr>
            </w:pPr>
            <w:r w:rsidRPr="002D2D5C">
              <w:rPr>
                <w:rFonts w:cs="Arial"/>
                <w:u w:val="single"/>
              </w:rPr>
              <w:t>(25)</w:t>
            </w:r>
          </w:p>
        </w:tc>
        <w:tc>
          <w:tcPr>
            <w:tcW w:w="1357" w:type="dxa"/>
          </w:tcPr>
          <w:p w14:paraId="757A4512" w14:textId="7E91D8C2" w:rsidR="002D2D5C" w:rsidRPr="002D2D5C" w:rsidRDefault="002D2D5C" w:rsidP="002D2D5C">
            <w:pPr>
              <w:rPr>
                <w:rFonts w:cs="Arial"/>
              </w:rPr>
            </w:pPr>
            <w:r w:rsidRPr="002D2D5C">
              <w:rPr>
                <w:rFonts w:cs="Arial"/>
              </w:rPr>
              <w:t>34,4</w:t>
            </w:r>
          </w:p>
        </w:tc>
        <w:tc>
          <w:tcPr>
            <w:tcW w:w="1363" w:type="dxa"/>
          </w:tcPr>
          <w:p w14:paraId="6EB8B102" w14:textId="3C3579D2" w:rsidR="002D2D5C" w:rsidRPr="002D2D5C" w:rsidRDefault="002D2D5C" w:rsidP="002D2D5C">
            <w:pPr>
              <w:rPr>
                <w:rFonts w:cs="Arial"/>
              </w:rPr>
            </w:pPr>
            <w:r w:rsidRPr="002D2D5C">
              <w:rPr>
                <w:rFonts w:cs="Arial"/>
              </w:rPr>
              <w:t>(37)</w:t>
            </w:r>
          </w:p>
        </w:tc>
      </w:tr>
    </w:tbl>
    <w:p w14:paraId="58C91B6E" w14:textId="77777777" w:rsidR="002D2D5C" w:rsidRPr="002D2D5C" w:rsidRDefault="002D2D5C" w:rsidP="002D2D5C">
      <w:pPr>
        <w:spacing w:line="240" w:lineRule="auto"/>
        <w:rPr>
          <w:rFonts w:eastAsia="Times New Roman" w:cs="Arial"/>
          <w:sz w:val="32"/>
          <w:szCs w:val="24"/>
          <w:lang w:eastAsia="bg-BG"/>
        </w:rPr>
      </w:pPr>
      <w:r w:rsidRPr="002D2D5C">
        <w:rPr>
          <w:rFonts w:eastAsia="Times New Roman" w:cs="Arial"/>
          <w:color w:val="000000"/>
          <w:szCs w:val="18"/>
          <w:lang w:eastAsia="bg-BG"/>
        </w:rPr>
        <w:t>С</w:t>
      </w:r>
      <w:r w:rsidRPr="002D2D5C">
        <w:rPr>
          <w:rFonts w:eastAsia="Times New Roman" w:cs="Arial"/>
          <w:color w:val="000000"/>
          <w:szCs w:val="18"/>
          <w:lang w:val="en-US"/>
        </w:rPr>
        <w:t>max</w:t>
      </w:r>
      <w:r w:rsidRPr="002D2D5C">
        <w:rPr>
          <w:rFonts w:eastAsia="Times New Roman" w:cs="Arial"/>
          <w:color w:val="000000"/>
          <w:szCs w:val="18"/>
          <w:lang w:eastAsia="bg-BG"/>
        </w:rPr>
        <w:t xml:space="preserve"> = Максимална плазмена концентрация при стационарно състояние</w:t>
      </w:r>
    </w:p>
    <w:p w14:paraId="362E42EC" w14:textId="77777777" w:rsidR="002D2D5C" w:rsidRPr="002D2D5C" w:rsidRDefault="002D2D5C" w:rsidP="002D2D5C">
      <w:pPr>
        <w:spacing w:line="240" w:lineRule="auto"/>
        <w:rPr>
          <w:rFonts w:eastAsia="Times New Roman" w:cs="Arial"/>
          <w:sz w:val="32"/>
          <w:szCs w:val="24"/>
          <w:lang w:eastAsia="bg-BG"/>
        </w:rPr>
      </w:pPr>
      <w:proofErr w:type="spellStart"/>
      <w:proofErr w:type="gramStart"/>
      <w:r w:rsidRPr="002D2D5C">
        <w:rPr>
          <w:rFonts w:eastAsia="Times New Roman" w:cs="Arial"/>
          <w:color w:val="000000"/>
          <w:szCs w:val="18"/>
          <w:lang w:val="en-US"/>
        </w:rPr>
        <w:t>t</w:t>
      </w:r>
      <w:r w:rsidRPr="002D2D5C">
        <w:rPr>
          <w:rFonts w:eastAsia="Times New Roman" w:cs="Arial"/>
          <w:color w:val="000000"/>
          <w:szCs w:val="18"/>
          <w:vertAlign w:val="subscript"/>
          <w:lang w:val="en-US"/>
        </w:rPr>
        <w:t>max</w:t>
      </w:r>
      <w:proofErr w:type="spellEnd"/>
      <w:proofErr w:type="gramEnd"/>
      <w:r w:rsidRPr="002D2D5C">
        <w:rPr>
          <w:rFonts w:eastAsia="Times New Roman" w:cs="Arial"/>
          <w:color w:val="000000"/>
          <w:szCs w:val="18"/>
          <w:lang w:val="en-US"/>
        </w:rPr>
        <w:t xml:space="preserve"> </w:t>
      </w:r>
      <w:r w:rsidRPr="002D2D5C">
        <w:rPr>
          <w:rFonts w:eastAsia="Times New Roman" w:cs="Arial"/>
          <w:color w:val="000000"/>
          <w:szCs w:val="18"/>
          <w:lang w:eastAsia="bg-BG"/>
        </w:rPr>
        <w:t>= Време до достигане на С</w:t>
      </w:r>
      <w:r w:rsidRPr="002D2D5C">
        <w:rPr>
          <w:rFonts w:eastAsia="Times New Roman" w:cs="Arial"/>
          <w:color w:val="000000"/>
          <w:szCs w:val="18"/>
          <w:lang w:val="en-US"/>
        </w:rPr>
        <w:t>max</w:t>
      </w:r>
    </w:p>
    <w:p w14:paraId="27CA2A28" w14:textId="77777777" w:rsidR="002D2D5C" w:rsidRPr="002D2D5C" w:rsidRDefault="002D2D5C" w:rsidP="002D2D5C">
      <w:pPr>
        <w:spacing w:line="240" w:lineRule="auto"/>
        <w:rPr>
          <w:rFonts w:eastAsia="Times New Roman" w:cs="Arial"/>
          <w:sz w:val="32"/>
          <w:szCs w:val="24"/>
          <w:lang w:eastAsia="bg-BG"/>
        </w:rPr>
      </w:pPr>
      <w:r w:rsidRPr="002D2D5C">
        <w:rPr>
          <w:rFonts w:eastAsia="Times New Roman" w:cs="Arial"/>
          <w:color w:val="000000"/>
          <w:szCs w:val="18"/>
          <w:lang w:val="en-US"/>
        </w:rPr>
        <w:t xml:space="preserve">T1/2 </w:t>
      </w:r>
      <w:r w:rsidRPr="002D2D5C">
        <w:rPr>
          <w:rFonts w:eastAsia="Times New Roman" w:cs="Arial"/>
          <w:color w:val="000000"/>
          <w:szCs w:val="18"/>
          <w:lang w:eastAsia="bg-BG"/>
        </w:rPr>
        <w:t>= Полуживот на елиминиране</w:t>
      </w:r>
    </w:p>
    <w:p w14:paraId="11C012E1" w14:textId="77777777" w:rsidR="002D2D5C" w:rsidRPr="002D2D5C" w:rsidRDefault="002D2D5C" w:rsidP="002D2D5C">
      <w:pPr>
        <w:spacing w:line="240" w:lineRule="auto"/>
        <w:rPr>
          <w:rFonts w:eastAsia="Times New Roman" w:cs="Arial"/>
          <w:sz w:val="32"/>
          <w:szCs w:val="24"/>
          <w:lang w:eastAsia="bg-BG"/>
        </w:rPr>
      </w:pPr>
      <w:proofErr w:type="gramStart"/>
      <w:r w:rsidRPr="002D2D5C">
        <w:rPr>
          <w:rFonts w:eastAsia="Times New Roman" w:cs="Arial"/>
          <w:color w:val="000000"/>
          <w:szCs w:val="18"/>
          <w:lang w:val="en-US"/>
        </w:rPr>
        <w:t>AUC(</w:t>
      </w:r>
      <w:proofErr w:type="gramEnd"/>
      <w:r w:rsidRPr="002D2D5C">
        <w:rPr>
          <w:rFonts w:eastAsia="Times New Roman" w:cs="Arial"/>
          <w:color w:val="000000"/>
          <w:szCs w:val="18"/>
          <w:lang w:val="en-US"/>
        </w:rPr>
        <w:t xml:space="preserve">0-8) </w:t>
      </w:r>
      <w:r w:rsidRPr="002D2D5C">
        <w:rPr>
          <w:rFonts w:eastAsia="Times New Roman" w:cs="Arial"/>
          <w:color w:val="000000"/>
          <w:szCs w:val="18"/>
          <w:lang w:eastAsia="bg-BG"/>
        </w:rPr>
        <w:t>= Площ под кривата на плазмената концентрация и времето в стационарно състояние за време от 0 до 8 часа след дозата</w:t>
      </w:r>
    </w:p>
    <w:p w14:paraId="10A10D1F" w14:textId="77777777" w:rsidR="002D2D5C" w:rsidRPr="002D2D5C" w:rsidRDefault="002D2D5C" w:rsidP="002D2D5C">
      <w:pPr>
        <w:spacing w:line="240" w:lineRule="auto"/>
        <w:rPr>
          <w:rFonts w:eastAsia="Times New Roman" w:cs="Arial"/>
          <w:sz w:val="32"/>
          <w:szCs w:val="24"/>
          <w:lang w:eastAsia="bg-BG"/>
        </w:rPr>
      </w:pPr>
      <w:r w:rsidRPr="002D2D5C">
        <w:rPr>
          <w:rFonts w:eastAsia="Times New Roman" w:cs="Arial"/>
          <w:color w:val="000000"/>
          <w:szCs w:val="18"/>
          <w:lang w:eastAsia="bg-BG"/>
        </w:rPr>
        <w:t>Ае% = Процент от дозата, екскретирана в непроменен вид в урината за време от 0 до 8 часа след дозата</w:t>
      </w:r>
    </w:p>
    <w:p w14:paraId="5246BDA9" w14:textId="770CBD85" w:rsidR="001A51FF" w:rsidRDefault="002D2D5C" w:rsidP="002D2D5C">
      <w:pPr>
        <w:rPr>
          <w:rFonts w:eastAsia="Times New Roman" w:cs="Arial"/>
          <w:color w:val="000000"/>
          <w:szCs w:val="18"/>
          <w:lang w:eastAsia="bg-BG"/>
        </w:rPr>
      </w:pPr>
      <w:r w:rsidRPr="002D2D5C">
        <w:rPr>
          <w:rFonts w:eastAsia="Times New Roman" w:cs="Arial"/>
          <w:color w:val="000000"/>
          <w:szCs w:val="18"/>
          <w:lang w:eastAsia="bg-BG"/>
        </w:rPr>
        <w:t>НН = Не е налично</w:t>
      </w:r>
    </w:p>
    <w:p w14:paraId="3ECF8430" w14:textId="3A0EFC6E" w:rsidR="002D2D5C" w:rsidRDefault="002D2D5C" w:rsidP="002D2D5C">
      <w:pPr>
        <w:rPr>
          <w:rFonts w:eastAsia="Times New Roman" w:cs="Arial"/>
          <w:color w:val="000000"/>
          <w:szCs w:val="18"/>
          <w:lang w:eastAsia="bg-BG"/>
        </w:rPr>
      </w:pPr>
    </w:p>
    <w:p w14:paraId="04F10014" w14:textId="77777777" w:rsidR="002D2D5C" w:rsidRPr="00837FCC" w:rsidRDefault="002D2D5C" w:rsidP="00837FCC">
      <w:pPr>
        <w:pStyle w:val="Heading3"/>
        <w:rPr>
          <w:rFonts w:eastAsia="Times New Roman"/>
          <w:sz w:val="28"/>
          <w:u w:val="single"/>
          <w:lang w:eastAsia="bg-BG"/>
        </w:rPr>
      </w:pPr>
      <w:bookmarkStart w:id="1" w:name="_GoBack"/>
      <w:r w:rsidRPr="00837FCC">
        <w:rPr>
          <w:rFonts w:eastAsia="Times New Roman"/>
          <w:u w:val="single"/>
          <w:lang w:eastAsia="bg-BG"/>
        </w:rPr>
        <w:t>Разпределение</w:t>
      </w:r>
    </w:p>
    <w:bookmarkEnd w:id="1"/>
    <w:p w14:paraId="560EC84D" w14:textId="77777777" w:rsidR="002D2D5C" w:rsidRPr="002D2D5C" w:rsidRDefault="002D2D5C" w:rsidP="002D2D5C">
      <w:pPr>
        <w:spacing w:line="240" w:lineRule="auto"/>
        <w:rPr>
          <w:rFonts w:eastAsia="Times New Roman" w:cs="Arial"/>
          <w:color w:val="000000"/>
          <w:szCs w:val="20"/>
          <w:lang w:eastAsia="bg-BG"/>
        </w:rPr>
      </w:pPr>
    </w:p>
    <w:p w14:paraId="2C9CB0B8" w14:textId="6BF5F6ED"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Габапентин не се свързва с плазмените протеини и неговият обем на разпределение е</w:t>
      </w:r>
    </w:p>
    <w:p w14:paraId="12345831"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57,7 литра. При пациенти с епилепсия концентрациите на габапентин в грьбночно-мозъчната течност са приблизително 20% от съответните стационарни минимални плазмени концентрации. Габапентин се открива в кърмата на кърмещи жени.</w:t>
      </w:r>
    </w:p>
    <w:p w14:paraId="470DE470" w14:textId="77777777" w:rsidR="002D2D5C" w:rsidRPr="002D2D5C" w:rsidRDefault="002D2D5C" w:rsidP="002D2D5C">
      <w:pPr>
        <w:spacing w:line="240" w:lineRule="auto"/>
        <w:rPr>
          <w:rFonts w:eastAsia="Times New Roman" w:cs="Arial"/>
          <w:color w:val="000000"/>
          <w:szCs w:val="20"/>
          <w:u w:val="single"/>
          <w:lang w:eastAsia="bg-BG"/>
        </w:rPr>
      </w:pPr>
    </w:p>
    <w:p w14:paraId="7D27FF01" w14:textId="1027199A" w:rsidR="002D2D5C" w:rsidRPr="00837FCC" w:rsidRDefault="002D2D5C" w:rsidP="00837FCC">
      <w:pPr>
        <w:pStyle w:val="Heading3"/>
        <w:rPr>
          <w:rFonts w:eastAsia="Times New Roman"/>
          <w:sz w:val="28"/>
          <w:u w:val="single"/>
          <w:lang w:eastAsia="bg-BG"/>
        </w:rPr>
      </w:pPr>
      <w:r w:rsidRPr="00837FCC">
        <w:rPr>
          <w:rFonts w:eastAsia="Times New Roman"/>
          <w:u w:val="single"/>
          <w:lang w:eastAsia="bg-BG"/>
        </w:rPr>
        <w:t>Биотрансформация</w:t>
      </w:r>
    </w:p>
    <w:p w14:paraId="03749BFA" w14:textId="77777777" w:rsidR="002D2D5C" w:rsidRPr="002D2D5C" w:rsidRDefault="002D2D5C" w:rsidP="002D2D5C">
      <w:pPr>
        <w:rPr>
          <w:rFonts w:eastAsia="Times New Roman" w:cs="Arial"/>
          <w:color w:val="000000"/>
          <w:szCs w:val="20"/>
          <w:lang w:eastAsia="bg-BG"/>
        </w:rPr>
      </w:pPr>
    </w:p>
    <w:p w14:paraId="6BF6DD60" w14:textId="45F326D4" w:rsidR="002D2D5C" w:rsidRDefault="002D2D5C" w:rsidP="002D2D5C">
      <w:pPr>
        <w:rPr>
          <w:rFonts w:eastAsia="Times New Roman" w:cs="Arial"/>
          <w:color w:val="000000"/>
          <w:szCs w:val="20"/>
          <w:lang w:eastAsia="bg-BG"/>
        </w:rPr>
      </w:pPr>
      <w:r w:rsidRPr="002D2D5C">
        <w:rPr>
          <w:rFonts w:eastAsia="Times New Roman" w:cs="Arial"/>
          <w:color w:val="000000"/>
          <w:szCs w:val="20"/>
          <w:lang w:eastAsia="bg-BG"/>
        </w:rPr>
        <w:t>Няма данни за метаболизъм на габапентин при хора. Габапентин не индуцира чернодробни оксидазни ензими със смесена функция, отговорни за лекарствения метаболизъм.</w:t>
      </w:r>
    </w:p>
    <w:p w14:paraId="1C257ED7" w14:textId="657FCE94" w:rsidR="002D2D5C" w:rsidRDefault="002D2D5C" w:rsidP="002D2D5C">
      <w:pPr>
        <w:rPr>
          <w:rFonts w:eastAsia="Times New Roman" w:cs="Arial"/>
          <w:color w:val="000000"/>
          <w:szCs w:val="20"/>
          <w:lang w:eastAsia="bg-BG"/>
        </w:rPr>
      </w:pPr>
    </w:p>
    <w:p w14:paraId="68CF0F8C" w14:textId="77777777" w:rsidR="002D2D5C" w:rsidRPr="00837FCC" w:rsidRDefault="002D2D5C" w:rsidP="00837FCC">
      <w:pPr>
        <w:pStyle w:val="Heading3"/>
        <w:rPr>
          <w:rFonts w:eastAsia="Times New Roman"/>
          <w:sz w:val="28"/>
          <w:u w:val="single"/>
          <w:lang w:eastAsia="bg-BG"/>
        </w:rPr>
      </w:pPr>
      <w:r w:rsidRPr="00837FCC">
        <w:rPr>
          <w:rFonts w:eastAsia="Times New Roman"/>
          <w:u w:val="single"/>
          <w:lang w:eastAsia="bg-BG"/>
        </w:rPr>
        <w:t>Елиминиране</w:t>
      </w:r>
    </w:p>
    <w:p w14:paraId="6A9459FB" w14:textId="77777777" w:rsidR="002D2D5C" w:rsidRPr="002D2D5C" w:rsidRDefault="002D2D5C" w:rsidP="002D2D5C">
      <w:pPr>
        <w:spacing w:line="240" w:lineRule="auto"/>
        <w:rPr>
          <w:rFonts w:eastAsia="Times New Roman" w:cs="Arial"/>
          <w:color w:val="000000"/>
          <w:szCs w:val="20"/>
          <w:lang w:eastAsia="bg-BG"/>
        </w:rPr>
      </w:pPr>
    </w:p>
    <w:p w14:paraId="584CD024"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Габапентин се елиминира непроменен само чрез бъбречна екскреция.</w:t>
      </w:r>
    </w:p>
    <w:p w14:paraId="15D9ECBE"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Полуживотът на елиминиране на габапентин не зависи от дозата и е около 5 до 7 часа.</w:t>
      </w:r>
    </w:p>
    <w:p w14:paraId="645BEB92" w14:textId="77777777" w:rsidR="002D2D5C" w:rsidRPr="002D2D5C" w:rsidRDefault="002D2D5C" w:rsidP="002D2D5C">
      <w:pPr>
        <w:spacing w:line="240" w:lineRule="auto"/>
        <w:rPr>
          <w:rFonts w:eastAsia="Times New Roman" w:cs="Arial"/>
          <w:color w:val="000000"/>
          <w:szCs w:val="20"/>
          <w:lang w:eastAsia="bg-BG"/>
        </w:rPr>
      </w:pPr>
    </w:p>
    <w:p w14:paraId="356922DF"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При пациенти в старческа възраст и при пациенти с нарушена бъбречна функция плазменият клирънс на габапентин е намален. Константата на скоростта на елиминиране, плазменият клирънс и бъбречният клирънс на габапентин са правопропорционални на креатининовия клирънс.</w:t>
      </w:r>
    </w:p>
    <w:p w14:paraId="1D6B8EE5" w14:textId="77777777" w:rsidR="002D2D5C" w:rsidRPr="002D2D5C" w:rsidRDefault="002D2D5C" w:rsidP="002D2D5C">
      <w:pPr>
        <w:spacing w:line="240" w:lineRule="auto"/>
        <w:rPr>
          <w:rFonts w:eastAsia="Times New Roman" w:cs="Arial"/>
          <w:color w:val="000000"/>
          <w:szCs w:val="20"/>
          <w:lang w:eastAsia="bg-BG"/>
        </w:rPr>
      </w:pPr>
    </w:p>
    <w:p w14:paraId="42559E6A"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lastRenderedPageBreak/>
        <w:t>Габапентин може да бъде отстранен от плазмата с хемодиализа. Препоръчва се коригиране на дозата при пациенти с компрометирана бъбречна функция или пациенти на хемодиализа (вж. точка 4.2).</w:t>
      </w:r>
    </w:p>
    <w:p w14:paraId="69AB1D53" w14:textId="77777777" w:rsidR="002D2D5C" w:rsidRPr="002D2D5C" w:rsidRDefault="002D2D5C" w:rsidP="002D2D5C">
      <w:pPr>
        <w:spacing w:line="240" w:lineRule="auto"/>
        <w:rPr>
          <w:rFonts w:eastAsia="Times New Roman" w:cs="Arial"/>
          <w:color w:val="000000"/>
          <w:szCs w:val="20"/>
          <w:lang w:eastAsia="bg-BG"/>
        </w:rPr>
      </w:pPr>
    </w:p>
    <w:p w14:paraId="6490EAAB"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Фармакокинетиката на габапентин при деца е определена при 50 здрави индивиди на възраст от 1 месец до 12 години. Като цяло плазмените концентрации на габапентин при деца на възраст над 5 години са подобни на тези при възрастни при дозиране в </w:t>
      </w:r>
      <w:r w:rsidRPr="002D2D5C">
        <w:rPr>
          <w:rFonts w:eastAsia="Times New Roman" w:cs="Arial"/>
          <w:color w:val="000000"/>
          <w:szCs w:val="20"/>
          <w:lang w:val="en-US"/>
        </w:rPr>
        <w:t>mg/kg.</w:t>
      </w:r>
    </w:p>
    <w:p w14:paraId="26878315" w14:textId="77777777" w:rsidR="002D2D5C" w:rsidRPr="002D2D5C" w:rsidRDefault="002D2D5C" w:rsidP="002D2D5C">
      <w:pPr>
        <w:spacing w:line="240" w:lineRule="auto"/>
        <w:rPr>
          <w:rFonts w:eastAsia="Times New Roman" w:cs="Arial"/>
          <w:color w:val="000000"/>
          <w:szCs w:val="20"/>
          <w:lang w:eastAsia="bg-BG"/>
        </w:rPr>
      </w:pPr>
    </w:p>
    <w:p w14:paraId="37BC71C1"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Във фармакокинетично проучване при 24 здрави педиатрични индивиди на възраст между 1 месец и 48 месеца са установени приблизително 30% по-ниска експозиция </w:t>
      </w:r>
      <w:r w:rsidRPr="002D2D5C">
        <w:rPr>
          <w:rFonts w:eastAsia="Times New Roman" w:cs="Arial"/>
          <w:color w:val="000000"/>
          <w:szCs w:val="20"/>
          <w:lang w:val="en-US"/>
        </w:rPr>
        <w:t xml:space="preserve">(AUC), </w:t>
      </w:r>
      <w:r w:rsidRPr="002D2D5C">
        <w:rPr>
          <w:rFonts w:eastAsia="Times New Roman" w:cs="Arial"/>
          <w:color w:val="000000"/>
          <w:szCs w:val="20"/>
          <w:lang w:eastAsia="bg-BG"/>
        </w:rPr>
        <w:t>по-ниска С</w:t>
      </w:r>
      <w:r w:rsidRPr="002D2D5C">
        <w:rPr>
          <w:rFonts w:eastAsia="Times New Roman" w:cs="Arial"/>
          <w:color w:val="000000"/>
          <w:szCs w:val="20"/>
          <w:lang w:val="en-US"/>
        </w:rPr>
        <w:t>max</w:t>
      </w:r>
      <w:r w:rsidRPr="002D2D5C">
        <w:rPr>
          <w:rFonts w:eastAsia="Times New Roman" w:cs="Arial"/>
          <w:color w:val="000000"/>
          <w:szCs w:val="20"/>
          <w:lang w:eastAsia="bg-BG"/>
        </w:rPr>
        <w:t xml:space="preserve"> и по-висок клирънс за телесно тегло в сравнение с наличните съобщени данни за деца на повече от 5 години.</w:t>
      </w:r>
    </w:p>
    <w:p w14:paraId="5364CAA2" w14:textId="77777777" w:rsidR="002D2D5C" w:rsidRPr="002D2D5C" w:rsidRDefault="002D2D5C" w:rsidP="002D2D5C">
      <w:pPr>
        <w:spacing w:line="240" w:lineRule="auto"/>
        <w:rPr>
          <w:rFonts w:eastAsia="Times New Roman" w:cs="Arial"/>
          <w:color w:val="000000"/>
          <w:szCs w:val="20"/>
          <w:u w:val="single"/>
          <w:lang w:eastAsia="bg-BG"/>
        </w:rPr>
      </w:pPr>
    </w:p>
    <w:p w14:paraId="5CBE9AAB"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u w:val="single"/>
          <w:lang w:eastAsia="bg-BG"/>
        </w:rPr>
        <w:t>Линейност/Нелинейност</w:t>
      </w:r>
    </w:p>
    <w:p w14:paraId="17406897" w14:textId="77777777" w:rsidR="002D2D5C" w:rsidRPr="002D2D5C" w:rsidRDefault="002D2D5C" w:rsidP="002D2D5C">
      <w:pPr>
        <w:rPr>
          <w:rFonts w:eastAsia="Times New Roman" w:cs="Arial"/>
          <w:color w:val="000000"/>
          <w:szCs w:val="20"/>
          <w:lang w:eastAsia="bg-BG"/>
        </w:rPr>
      </w:pPr>
    </w:p>
    <w:p w14:paraId="1CF933DC" w14:textId="77777777" w:rsidR="002D2D5C" w:rsidRPr="002D2D5C" w:rsidRDefault="002D2D5C" w:rsidP="002D2D5C">
      <w:pPr>
        <w:rPr>
          <w:rFonts w:cs="Arial"/>
          <w:sz w:val="24"/>
        </w:rPr>
      </w:pPr>
      <w:r w:rsidRPr="002D2D5C">
        <w:rPr>
          <w:rFonts w:eastAsia="Times New Roman" w:cs="Arial"/>
          <w:color w:val="000000"/>
          <w:szCs w:val="20"/>
          <w:lang w:eastAsia="bg-BG"/>
        </w:rPr>
        <w:t xml:space="preserve">Бионаличността на габапентин (част от абсорбираната доза) намалява с увеличаване на дозата, което придава нелинеен характер на фармакокинетичните параметри, включващи параметъра бионаличност </w:t>
      </w:r>
      <w:r w:rsidRPr="002D2D5C">
        <w:rPr>
          <w:rFonts w:eastAsia="Times New Roman" w:cs="Arial"/>
          <w:color w:val="000000"/>
          <w:szCs w:val="20"/>
          <w:lang w:val="en-US"/>
        </w:rPr>
        <w:t xml:space="preserve">(F), </w:t>
      </w:r>
      <w:r w:rsidRPr="002D2D5C">
        <w:rPr>
          <w:rFonts w:eastAsia="Times New Roman" w:cs="Arial"/>
          <w:color w:val="000000"/>
          <w:szCs w:val="20"/>
          <w:lang w:eastAsia="bg-BG"/>
        </w:rPr>
        <w:t xml:space="preserve">напр. Ае%, </w:t>
      </w:r>
      <w:r w:rsidRPr="002D2D5C">
        <w:rPr>
          <w:rFonts w:eastAsia="Times New Roman" w:cs="Arial"/>
          <w:color w:val="000000"/>
          <w:szCs w:val="20"/>
          <w:lang w:val="en-US"/>
        </w:rPr>
        <w:t xml:space="preserve">CL/F, </w:t>
      </w:r>
      <w:proofErr w:type="spellStart"/>
      <w:r w:rsidRPr="002D2D5C">
        <w:rPr>
          <w:rFonts w:eastAsia="Times New Roman" w:cs="Arial"/>
          <w:color w:val="000000"/>
          <w:szCs w:val="20"/>
          <w:lang w:val="en-US"/>
        </w:rPr>
        <w:t>Vd</w:t>
      </w:r>
      <w:proofErr w:type="spellEnd"/>
      <w:r w:rsidRPr="002D2D5C">
        <w:rPr>
          <w:rFonts w:eastAsia="Times New Roman" w:cs="Arial"/>
          <w:color w:val="000000"/>
          <w:szCs w:val="20"/>
          <w:lang w:val="en-US"/>
        </w:rPr>
        <w:t xml:space="preserve">/F. </w:t>
      </w:r>
      <w:r w:rsidRPr="002D2D5C">
        <w:rPr>
          <w:rFonts w:eastAsia="Times New Roman" w:cs="Arial"/>
          <w:color w:val="000000"/>
          <w:szCs w:val="20"/>
          <w:lang w:eastAsia="bg-BG"/>
        </w:rPr>
        <w:t xml:space="preserve">Фармакокинетиката на елиминиране (фармакокинетични параметри, които не включват </w:t>
      </w:r>
      <w:r w:rsidRPr="002D2D5C">
        <w:rPr>
          <w:rFonts w:eastAsia="Times New Roman" w:cs="Arial"/>
          <w:color w:val="000000"/>
          <w:szCs w:val="20"/>
          <w:lang w:val="en-US"/>
        </w:rPr>
        <w:t xml:space="preserve">F, </w:t>
      </w:r>
      <w:r w:rsidRPr="002D2D5C">
        <w:rPr>
          <w:rFonts w:eastAsia="Times New Roman" w:cs="Arial"/>
          <w:color w:val="000000"/>
          <w:szCs w:val="20"/>
          <w:lang w:eastAsia="bg-BG"/>
        </w:rPr>
        <w:t xml:space="preserve">като </w:t>
      </w:r>
      <w:proofErr w:type="spellStart"/>
      <w:r w:rsidRPr="002D2D5C">
        <w:rPr>
          <w:rFonts w:eastAsia="Times New Roman" w:cs="Arial"/>
          <w:color w:val="000000"/>
          <w:szCs w:val="20"/>
          <w:lang w:val="en-US"/>
        </w:rPr>
        <w:t>CLr</w:t>
      </w:r>
      <w:proofErr w:type="spellEnd"/>
      <w:r w:rsidRPr="002D2D5C">
        <w:rPr>
          <w:rFonts w:eastAsia="Times New Roman" w:cs="Arial"/>
          <w:color w:val="000000"/>
          <w:szCs w:val="20"/>
          <w:lang w:val="en-US"/>
        </w:rPr>
        <w:t xml:space="preserve"> </w:t>
      </w:r>
      <w:r w:rsidRPr="002D2D5C">
        <w:rPr>
          <w:rFonts w:eastAsia="Times New Roman" w:cs="Arial"/>
          <w:color w:val="000000"/>
          <w:szCs w:val="20"/>
          <w:lang w:eastAsia="bg-BG"/>
        </w:rPr>
        <w:t>и Т1/2) най-добре се описва чрез линейна фармакокинетика. Стационарните плазмени концентрации на габапентин могат да се предвидят от данните след еднократна доза.</w:t>
      </w:r>
    </w:p>
    <w:p w14:paraId="7324E0C0" w14:textId="77777777" w:rsidR="002D2D5C" w:rsidRPr="002D2D5C" w:rsidRDefault="002D2D5C" w:rsidP="002D2D5C">
      <w:pPr>
        <w:rPr>
          <w:rFonts w:eastAsia="Times New Roman" w:cs="Arial"/>
          <w:color w:val="000000"/>
          <w:sz w:val="24"/>
          <w:szCs w:val="18"/>
          <w:lang w:eastAsia="bg-BG"/>
        </w:rPr>
      </w:pPr>
    </w:p>
    <w:p w14:paraId="3551EE5C" w14:textId="77777777" w:rsidR="002D2D5C" w:rsidRPr="001A51FF" w:rsidRDefault="002D2D5C" w:rsidP="002D2D5C"/>
    <w:p w14:paraId="648E39DA" w14:textId="1F4751F2" w:rsidR="00CF77F7" w:rsidRDefault="002C50EE" w:rsidP="004A448E">
      <w:pPr>
        <w:pStyle w:val="Heading2"/>
      </w:pPr>
      <w:r>
        <w:t>5.3. Предклинични данни за безопасност</w:t>
      </w:r>
    </w:p>
    <w:p w14:paraId="0E1F6E49" w14:textId="66D690ED" w:rsidR="002D2D5C" w:rsidRDefault="002D2D5C" w:rsidP="002D2D5C"/>
    <w:p w14:paraId="0D6CEAC2"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u w:val="single"/>
          <w:lang w:eastAsia="bg-BG"/>
        </w:rPr>
        <w:t>Карциногенност</w:t>
      </w:r>
    </w:p>
    <w:p w14:paraId="1614FE0B" w14:textId="77777777" w:rsidR="002D2D5C" w:rsidRPr="002D2D5C" w:rsidRDefault="002D2D5C" w:rsidP="002D2D5C">
      <w:pPr>
        <w:spacing w:line="240" w:lineRule="auto"/>
        <w:rPr>
          <w:rFonts w:eastAsia="Times New Roman" w:cs="Arial"/>
          <w:color w:val="000000"/>
          <w:szCs w:val="20"/>
          <w:lang w:eastAsia="bg-BG"/>
        </w:rPr>
      </w:pPr>
    </w:p>
    <w:p w14:paraId="2676D9F0" w14:textId="251AF425"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Габапентин е прилаган на мишки в дози от 200,600 и 2000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и на плъхове в дози от 250, 1000 и 2000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в продължение на 2 години. Статистически значимо повишаване на честотата на ацинарноклетьчни тумори на панкреаса е било установено само при мъжките плъхове при най-високата доза. Максималните плазмени концентрации на лекарството при плъхове за дозата от 2000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са били 10 пъти по-високи, отколкото плазмените концентрации в човешкия организъм при доза 3600 </w:t>
      </w:r>
      <w:r w:rsidRPr="002D2D5C">
        <w:rPr>
          <w:rFonts w:eastAsia="Times New Roman" w:cs="Arial"/>
          <w:color w:val="000000"/>
          <w:szCs w:val="20"/>
          <w:lang w:val="en-US"/>
        </w:rPr>
        <w:t>mg</w:t>
      </w:r>
      <w:r w:rsidRPr="002D2D5C">
        <w:rPr>
          <w:rFonts w:eastAsia="Times New Roman" w:cs="Arial"/>
          <w:color w:val="000000"/>
          <w:szCs w:val="20"/>
          <w:lang w:eastAsia="bg-BG"/>
        </w:rPr>
        <w:t>/ден. Ацинарноклетъчните тумори на панкреаса при мъжките плъхове са с ниска степен на малигненост, не повлияват преживяемостта, не метастазират или инвазират в околните тъкани и са подобни на тези, наблюдавани при контролните животни. Връзката на тези панкреасни ацинарноклетьчни тумори при мъжките плъхове с карциногенния риск за човека е неясна.</w:t>
      </w:r>
    </w:p>
    <w:p w14:paraId="6BA8F2CE" w14:textId="77777777" w:rsidR="002D2D5C" w:rsidRPr="002D2D5C" w:rsidRDefault="002D2D5C" w:rsidP="002D2D5C">
      <w:pPr>
        <w:spacing w:line="240" w:lineRule="auto"/>
        <w:rPr>
          <w:rFonts w:eastAsia="Times New Roman" w:cs="Arial"/>
          <w:color w:val="000000"/>
          <w:szCs w:val="20"/>
          <w:u w:val="single"/>
          <w:lang w:eastAsia="bg-BG"/>
        </w:rPr>
      </w:pPr>
    </w:p>
    <w:p w14:paraId="38938E46" w14:textId="3E62B43A"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u w:val="single"/>
          <w:lang w:eastAsia="bg-BG"/>
        </w:rPr>
        <w:t>Мутагенност</w:t>
      </w:r>
    </w:p>
    <w:p w14:paraId="48FEA948" w14:textId="77777777" w:rsidR="002D2D5C" w:rsidRPr="002D2D5C" w:rsidRDefault="002D2D5C" w:rsidP="002D2D5C">
      <w:pPr>
        <w:spacing w:line="240" w:lineRule="auto"/>
        <w:rPr>
          <w:rFonts w:eastAsia="Times New Roman" w:cs="Arial"/>
          <w:color w:val="000000"/>
          <w:szCs w:val="20"/>
          <w:lang w:eastAsia="bg-BG"/>
        </w:rPr>
      </w:pPr>
    </w:p>
    <w:p w14:paraId="0FC5F537" w14:textId="4B77AB9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Габапентин не показва генотоксичен потенциал. Габапентин не е мутагенен </w:t>
      </w:r>
      <w:r w:rsidRPr="002D2D5C">
        <w:rPr>
          <w:rFonts w:eastAsia="Times New Roman" w:cs="Arial"/>
          <w:i/>
          <w:iCs/>
          <w:color w:val="000000"/>
          <w:szCs w:val="20"/>
          <w:lang w:val="en-US"/>
        </w:rPr>
        <w:t>in vitro</w:t>
      </w:r>
      <w:r w:rsidRPr="002D2D5C">
        <w:rPr>
          <w:rFonts w:eastAsia="Times New Roman" w:cs="Arial"/>
          <w:color w:val="000000"/>
          <w:szCs w:val="20"/>
          <w:lang w:val="en-US"/>
        </w:rPr>
        <w:t xml:space="preserve"> </w:t>
      </w:r>
      <w:r w:rsidRPr="002D2D5C">
        <w:rPr>
          <w:rFonts w:eastAsia="Times New Roman" w:cs="Arial"/>
          <w:color w:val="000000"/>
          <w:szCs w:val="20"/>
          <w:lang w:eastAsia="bg-BG"/>
        </w:rPr>
        <w:t>при стандартните тестове с бактериални клетки или клетки от бозайници. Габапентин не</w:t>
      </w:r>
      <w:r w:rsidRPr="002D2D5C">
        <w:rPr>
          <w:rFonts w:eastAsia="Times New Roman" w:cs="Arial"/>
          <w:color w:val="000000"/>
          <w:szCs w:val="20"/>
          <w:lang w:eastAsia="bg-BG"/>
        </w:rPr>
        <w:tab/>
      </w:r>
    </w:p>
    <w:p w14:paraId="5082CCF5" w14:textId="5EF07653" w:rsidR="002D2D5C" w:rsidRDefault="002D2D5C" w:rsidP="002D2D5C">
      <w:pPr>
        <w:rPr>
          <w:rFonts w:eastAsia="Times New Roman" w:cs="Arial"/>
          <w:color w:val="000000"/>
          <w:szCs w:val="20"/>
          <w:lang w:eastAsia="bg-BG"/>
        </w:rPr>
      </w:pPr>
      <w:r w:rsidRPr="002D2D5C">
        <w:rPr>
          <w:rFonts w:eastAsia="Times New Roman" w:cs="Arial"/>
          <w:color w:val="000000"/>
          <w:szCs w:val="20"/>
          <w:lang w:eastAsia="bg-BG"/>
        </w:rPr>
        <w:t xml:space="preserve">предизвиква структурни хромозомни аберации в клетки от бозайници нито </w:t>
      </w:r>
      <w:r w:rsidRPr="002D2D5C">
        <w:rPr>
          <w:rFonts w:eastAsia="Times New Roman" w:cs="Arial"/>
          <w:i/>
          <w:iCs/>
          <w:color w:val="000000"/>
          <w:szCs w:val="20"/>
          <w:lang w:val="en-US"/>
        </w:rPr>
        <w:t>in vitro,</w:t>
      </w:r>
      <w:r w:rsidRPr="002D2D5C">
        <w:rPr>
          <w:rFonts w:eastAsia="Times New Roman" w:cs="Arial"/>
          <w:color w:val="000000"/>
          <w:szCs w:val="20"/>
          <w:lang w:val="en-US"/>
        </w:rPr>
        <w:t xml:space="preserve"> </w:t>
      </w:r>
      <w:r w:rsidRPr="002D2D5C">
        <w:rPr>
          <w:rFonts w:eastAsia="Times New Roman" w:cs="Arial"/>
          <w:color w:val="000000"/>
          <w:szCs w:val="20"/>
          <w:lang w:eastAsia="bg-BG"/>
        </w:rPr>
        <w:t>нито</w:t>
      </w:r>
      <w:r w:rsidRPr="002D2D5C">
        <w:rPr>
          <w:rFonts w:eastAsia="Times New Roman" w:cs="Arial"/>
          <w:color w:val="000000"/>
          <w:szCs w:val="20"/>
          <w:lang w:val="en-US"/>
        </w:rPr>
        <w:t xml:space="preserve"> </w:t>
      </w:r>
      <w:r w:rsidRPr="002D2D5C">
        <w:rPr>
          <w:rFonts w:eastAsia="Times New Roman" w:cs="Arial"/>
          <w:i/>
          <w:iCs/>
          <w:color w:val="000000"/>
          <w:szCs w:val="20"/>
          <w:lang w:val="en-US"/>
        </w:rPr>
        <w:t>in vivo</w:t>
      </w:r>
      <w:r w:rsidRPr="002D2D5C">
        <w:rPr>
          <w:rFonts w:eastAsia="Times New Roman" w:cs="Arial"/>
          <w:color w:val="000000"/>
          <w:szCs w:val="20"/>
          <w:lang w:eastAsia="bg-BG"/>
        </w:rPr>
        <w:t xml:space="preserve"> и не предизвиква формиране на микронуклеуси в костния мозък на хамстери.</w:t>
      </w:r>
    </w:p>
    <w:p w14:paraId="49F843A4" w14:textId="5447BD39" w:rsidR="002D2D5C" w:rsidRDefault="002D2D5C" w:rsidP="002D2D5C">
      <w:pPr>
        <w:rPr>
          <w:rFonts w:eastAsia="Times New Roman" w:cs="Arial"/>
          <w:color w:val="000000"/>
          <w:szCs w:val="20"/>
          <w:lang w:eastAsia="bg-BG"/>
        </w:rPr>
      </w:pPr>
    </w:p>
    <w:p w14:paraId="146FA48A"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u w:val="single"/>
          <w:lang w:eastAsia="bg-BG"/>
        </w:rPr>
        <w:t>Нарушения на фертилитета</w:t>
      </w:r>
    </w:p>
    <w:p w14:paraId="71C46055" w14:textId="77777777" w:rsidR="002D2D5C" w:rsidRPr="002D2D5C" w:rsidRDefault="002D2D5C" w:rsidP="002D2D5C">
      <w:pPr>
        <w:spacing w:line="240" w:lineRule="auto"/>
        <w:rPr>
          <w:rFonts w:eastAsia="Times New Roman" w:cs="Arial"/>
          <w:color w:val="000000"/>
          <w:szCs w:val="20"/>
          <w:lang w:eastAsia="bg-BG"/>
        </w:rPr>
      </w:pPr>
    </w:p>
    <w:p w14:paraId="1A07EEA5" w14:textId="76B0A55A"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lastRenderedPageBreak/>
        <w:t xml:space="preserve">Не са наблюдавани нежелани ефекти върху фертилитета или репродуктивната способност при плъхове в дози до 2000 </w:t>
      </w:r>
      <w:r w:rsidRPr="002D2D5C">
        <w:rPr>
          <w:rFonts w:eastAsia="Times New Roman" w:cs="Arial"/>
          <w:color w:val="000000"/>
          <w:szCs w:val="20"/>
          <w:lang w:val="en-US"/>
        </w:rPr>
        <w:t xml:space="preserve">mg/kg </w:t>
      </w:r>
      <w:r w:rsidRPr="002D2D5C">
        <w:rPr>
          <w:rFonts w:eastAsia="Times New Roman" w:cs="Arial"/>
          <w:color w:val="000000"/>
          <w:szCs w:val="20"/>
          <w:lang w:eastAsia="bg-BG"/>
        </w:rPr>
        <w:t xml:space="preserve">(приблизително пет пъти повече от максималната дневна доза за хора, определена за единица телесна повърхност 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w:t>
      </w:r>
    </w:p>
    <w:p w14:paraId="33088611" w14:textId="77777777" w:rsidR="002D2D5C" w:rsidRPr="002D2D5C" w:rsidRDefault="002D2D5C" w:rsidP="002D2D5C">
      <w:pPr>
        <w:spacing w:line="240" w:lineRule="auto"/>
        <w:rPr>
          <w:rFonts w:eastAsia="Times New Roman" w:cs="Arial"/>
          <w:color w:val="000000"/>
          <w:szCs w:val="20"/>
          <w:u w:val="single"/>
          <w:lang w:eastAsia="bg-BG"/>
        </w:rPr>
      </w:pPr>
    </w:p>
    <w:p w14:paraId="3D5ADF5F" w14:textId="15B099CA"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u w:val="single"/>
          <w:lang w:eastAsia="bg-BG"/>
        </w:rPr>
        <w:t>Тератогенност</w:t>
      </w:r>
    </w:p>
    <w:p w14:paraId="0ED055FC" w14:textId="77777777" w:rsidR="002D2D5C" w:rsidRPr="002D2D5C" w:rsidRDefault="002D2D5C" w:rsidP="002D2D5C">
      <w:pPr>
        <w:spacing w:line="240" w:lineRule="auto"/>
        <w:rPr>
          <w:rFonts w:eastAsia="Times New Roman" w:cs="Arial"/>
          <w:color w:val="000000"/>
          <w:szCs w:val="20"/>
          <w:lang w:eastAsia="bg-BG"/>
        </w:rPr>
      </w:pPr>
    </w:p>
    <w:p w14:paraId="62381886" w14:textId="690C100B"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Габапентин не увеличава честотата на малформациите, в сравнение с контролите в потомството на мишки, плъхове или зайци при дози съответно 50,30 и 25 пъти по-високи от дневната доза при човека от 3600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 xml:space="preserve">(съответно четири, пет или осем пъти повече от дневната доза при човек, измерена 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w:t>
      </w:r>
    </w:p>
    <w:p w14:paraId="538C24EE" w14:textId="77777777" w:rsidR="002D2D5C" w:rsidRPr="002D2D5C" w:rsidRDefault="002D2D5C" w:rsidP="002D2D5C">
      <w:pPr>
        <w:spacing w:line="240" w:lineRule="auto"/>
        <w:rPr>
          <w:rFonts w:eastAsia="Times New Roman" w:cs="Arial"/>
          <w:color w:val="000000"/>
          <w:szCs w:val="20"/>
          <w:lang w:eastAsia="bg-BG"/>
        </w:rPr>
      </w:pPr>
    </w:p>
    <w:p w14:paraId="1D11C4CB" w14:textId="697F4BCF"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Габапентин причинява забавяне на осификацията на черепа, прешлените, костите на предните и задните крайници при гризачи, което е показателно за ретардация на растежа на фетуса. Тези ефекти се появяват, когато бременни мишки получават перорално дози от 1000 или 3000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в периода на органогенезата и на плъхове - дози от 2000 </w:t>
      </w:r>
      <w:r w:rsidRPr="002D2D5C">
        <w:rPr>
          <w:rFonts w:eastAsia="Times New Roman" w:cs="Arial"/>
          <w:color w:val="000000"/>
          <w:szCs w:val="20"/>
          <w:lang w:val="en-US"/>
        </w:rPr>
        <w:t xml:space="preserve">mg/kg </w:t>
      </w:r>
      <w:r w:rsidRPr="002D2D5C">
        <w:rPr>
          <w:rFonts w:eastAsia="Times New Roman" w:cs="Arial"/>
          <w:color w:val="000000"/>
          <w:szCs w:val="20"/>
          <w:lang w:eastAsia="bg-BG"/>
        </w:rPr>
        <w:t xml:space="preserve">преди и по време на периода на чифтосване и през цялата бременност. Тези дози са приблизително 1 до 5 пъти по-високи от дозата при хора от 3600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 xml:space="preserve">измерена 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w:t>
      </w:r>
    </w:p>
    <w:p w14:paraId="1DC992AB" w14:textId="77777777" w:rsidR="002D2D5C" w:rsidRPr="002D2D5C" w:rsidRDefault="002D2D5C" w:rsidP="002D2D5C">
      <w:pPr>
        <w:spacing w:line="240" w:lineRule="auto"/>
        <w:rPr>
          <w:rFonts w:eastAsia="Times New Roman" w:cs="Arial"/>
          <w:color w:val="000000"/>
          <w:szCs w:val="20"/>
          <w:lang w:eastAsia="bg-BG"/>
        </w:rPr>
      </w:pPr>
    </w:p>
    <w:p w14:paraId="4DB759BD" w14:textId="4271AB68"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Не са забелязани увреждания при бременни мишки, на които е давана дозата от 500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(около 1/2 от дневната доза за хора 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w:t>
      </w:r>
    </w:p>
    <w:p w14:paraId="4DDC40CF" w14:textId="77777777" w:rsidR="002D2D5C" w:rsidRPr="002D2D5C" w:rsidRDefault="002D2D5C" w:rsidP="002D2D5C">
      <w:pPr>
        <w:spacing w:line="240" w:lineRule="auto"/>
        <w:rPr>
          <w:rFonts w:eastAsia="Times New Roman" w:cs="Arial"/>
          <w:color w:val="000000"/>
          <w:szCs w:val="20"/>
          <w:lang w:eastAsia="bg-BG"/>
        </w:rPr>
      </w:pPr>
    </w:p>
    <w:p w14:paraId="7B91256E" w14:textId="77777777" w:rsidR="002D2D5C" w:rsidRPr="002D2D5C" w:rsidRDefault="002D2D5C" w:rsidP="002D2D5C">
      <w:pPr>
        <w:spacing w:line="240" w:lineRule="auto"/>
        <w:rPr>
          <w:rFonts w:eastAsia="Times New Roman" w:cs="Arial"/>
          <w:color w:val="000000"/>
          <w:szCs w:val="20"/>
          <w:lang w:eastAsia="bg-BG"/>
        </w:rPr>
      </w:pPr>
      <w:r w:rsidRPr="002D2D5C">
        <w:rPr>
          <w:rFonts w:eastAsia="Times New Roman" w:cs="Arial"/>
          <w:color w:val="000000"/>
          <w:szCs w:val="20"/>
          <w:lang w:eastAsia="bg-BG"/>
        </w:rPr>
        <w:t xml:space="preserve">Увеличаване на честотата на хидроуретер и/или хидронефроза е наблюдавана при плъхове, на които е давана доза от 2000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в проучване върху фертилитета и общата репродукция, 1500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в проучване за тератогенност и 500,1000 и 2000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в перинатално и постнатално проучване. </w:t>
      </w:r>
    </w:p>
    <w:p w14:paraId="0DFA9822" w14:textId="1A4A6B4D"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Значението на тези резултати не е изяснено, но те са били свързани със забавено развитие. Тези дози също са приблизително от 1 до 5 пъти по-високи от човешката доза от 3600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 xml:space="preserve">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w:t>
      </w:r>
    </w:p>
    <w:p w14:paraId="75A981FB" w14:textId="77777777" w:rsidR="002D2D5C" w:rsidRPr="002D2D5C" w:rsidRDefault="002D2D5C" w:rsidP="002D2D5C">
      <w:pPr>
        <w:rPr>
          <w:rFonts w:eastAsia="Times New Roman" w:cs="Arial"/>
          <w:color w:val="000000"/>
          <w:szCs w:val="20"/>
          <w:lang w:eastAsia="bg-BG"/>
        </w:rPr>
      </w:pPr>
    </w:p>
    <w:p w14:paraId="4592F48A" w14:textId="77777777" w:rsidR="002D2D5C" w:rsidRPr="002D2D5C" w:rsidRDefault="002D2D5C" w:rsidP="002D2D5C">
      <w:pPr>
        <w:rPr>
          <w:rFonts w:eastAsia="Times New Roman" w:cs="Arial"/>
          <w:color w:val="000000"/>
          <w:szCs w:val="20"/>
          <w:lang w:eastAsia="bg-BG"/>
        </w:rPr>
      </w:pPr>
      <w:r w:rsidRPr="002D2D5C">
        <w:rPr>
          <w:rFonts w:eastAsia="Times New Roman" w:cs="Arial"/>
          <w:color w:val="000000"/>
          <w:szCs w:val="20"/>
          <w:lang w:eastAsia="bg-BG"/>
        </w:rPr>
        <w:t xml:space="preserve">В тератологично проучване при зайци увеличение на честотата на постимплантационната загуба на плода е настъпило при бременни женски, приемали дози от 60,300 и 1500 </w:t>
      </w:r>
      <w:r w:rsidRPr="002D2D5C">
        <w:rPr>
          <w:rFonts w:eastAsia="Times New Roman" w:cs="Arial"/>
          <w:color w:val="000000"/>
          <w:szCs w:val="20"/>
          <w:lang w:val="en-US"/>
        </w:rPr>
        <w:t>mg/kg</w:t>
      </w:r>
      <w:r w:rsidRPr="002D2D5C">
        <w:rPr>
          <w:rFonts w:eastAsia="Times New Roman" w:cs="Arial"/>
          <w:color w:val="000000"/>
          <w:szCs w:val="20"/>
          <w:lang w:eastAsia="bg-BG"/>
        </w:rPr>
        <w:t xml:space="preserve">/ден по време на органогенезата. </w:t>
      </w:r>
    </w:p>
    <w:p w14:paraId="5F331AF5" w14:textId="7E627DC7" w:rsidR="002D2D5C" w:rsidRPr="002D2D5C" w:rsidRDefault="002D2D5C" w:rsidP="002D2D5C">
      <w:pPr>
        <w:rPr>
          <w:rFonts w:cs="Arial"/>
          <w:sz w:val="28"/>
        </w:rPr>
      </w:pPr>
      <w:r w:rsidRPr="002D2D5C">
        <w:rPr>
          <w:rFonts w:eastAsia="Times New Roman" w:cs="Arial"/>
          <w:color w:val="000000"/>
          <w:szCs w:val="20"/>
          <w:lang w:eastAsia="bg-BG"/>
        </w:rPr>
        <w:t xml:space="preserve">Тези дози са около 0,3 до 8 пъти по-високи от дневната доза при хора от 3600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 xml:space="preserve">в </w:t>
      </w:r>
      <w:r w:rsidRPr="002D2D5C">
        <w:rPr>
          <w:rFonts w:eastAsia="Times New Roman" w:cs="Arial"/>
          <w:color w:val="000000"/>
          <w:szCs w:val="20"/>
          <w:lang w:val="en-US"/>
        </w:rPr>
        <w:t>mg/m</w:t>
      </w:r>
      <w:r w:rsidRPr="002D2D5C">
        <w:rPr>
          <w:rFonts w:eastAsia="Times New Roman" w:cs="Arial"/>
          <w:color w:val="000000"/>
          <w:szCs w:val="20"/>
          <w:vertAlign w:val="superscript"/>
          <w:lang w:val="en-US"/>
        </w:rPr>
        <w:t>2</w:t>
      </w:r>
      <w:r w:rsidRPr="002D2D5C">
        <w:rPr>
          <w:rFonts w:eastAsia="Times New Roman" w:cs="Arial"/>
          <w:color w:val="000000"/>
          <w:szCs w:val="20"/>
          <w:lang w:val="en-US"/>
        </w:rPr>
        <w:t xml:space="preserve"> </w:t>
      </w:r>
      <w:r w:rsidRPr="002D2D5C">
        <w:rPr>
          <w:rFonts w:eastAsia="Times New Roman" w:cs="Arial"/>
          <w:color w:val="000000"/>
          <w:szCs w:val="20"/>
          <w:lang w:eastAsia="bg-BG"/>
        </w:rPr>
        <w:t>Границите на безопасност са ограничени, за да се изключи риск от подобни ефекти при хора.</w:t>
      </w:r>
    </w:p>
    <w:p w14:paraId="650D9F51" w14:textId="56A5DD09" w:rsidR="002D2D5C" w:rsidRDefault="002D2D5C" w:rsidP="002D2D5C"/>
    <w:p w14:paraId="6A7820AB" w14:textId="2DF3D42E" w:rsidR="008A6AF2" w:rsidRDefault="002C50EE" w:rsidP="00395555">
      <w:pPr>
        <w:pStyle w:val="Heading1"/>
      </w:pPr>
      <w:r>
        <w:t>7. ПРИТЕЖАТЕЛ НА РАЗРЕШЕНИЕТО ЗА УПОТРЕБА</w:t>
      </w:r>
    </w:p>
    <w:p w14:paraId="7E1FABB2" w14:textId="200AB457" w:rsidR="002D2D5C" w:rsidRDefault="002D2D5C" w:rsidP="002D2D5C"/>
    <w:p w14:paraId="4F855C9A" w14:textId="77777777" w:rsidR="002D2D5C" w:rsidRPr="002D2D5C" w:rsidRDefault="002D2D5C" w:rsidP="002D2D5C">
      <w:pPr>
        <w:spacing w:line="240" w:lineRule="auto"/>
        <w:rPr>
          <w:rFonts w:eastAsia="Times New Roman" w:cs="Arial"/>
          <w:sz w:val="28"/>
          <w:szCs w:val="24"/>
          <w:lang w:val="en-US" w:eastAsia="bg-BG"/>
        </w:rPr>
      </w:pPr>
      <w:r w:rsidRPr="002D2D5C">
        <w:rPr>
          <w:rFonts w:eastAsia="Times New Roman" w:cs="Arial"/>
          <w:color w:val="000000"/>
          <w:szCs w:val="20"/>
          <w:lang w:val="en-US"/>
        </w:rPr>
        <w:t>Upjohn EESV</w:t>
      </w:r>
    </w:p>
    <w:p w14:paraId="4A3E4E8B" w14:textId="77777777" w:rsidR="002D2D5C" w:rsidRPr="002D2D5C" w:rsidRDefault="002D2D5C" w:rsidP="002D2D5C">
      <w:pPr>
        <w:spacing w:line="240" w:lineRule="auto"/>
        <w:rPr>
          <w:rFonts w:eastAsia="Times New Roman" w:cs="Arial"/>
          <w:sz w:val="28"/>
          <w:szCs w:val="24"/>
          <w:lang w:val="en-US" w:eastAsia="bg-BG"/>
        </w:rPr>
      </w:pPr>
      <w:proofErr w:type="spellStart"/>
      <w:r w:rsidRPr="002D2D5C">
        <w:rPr>
          <w:rFonts w:eastAsia="Times New Roman" w:cs="Arial"/>
          <w:color w:val="000000"/>
          <w:szCs w:val="20"/>
          <w:lang w:val="en-US"/>
        </w:rPr>
        <w:t>Rivium</w:t>
      </w:r>
      <w:proofErr w:type="spellEnd"/>
      <w:r w:rsidRPr="002D2D5C">
        <w:rPr>
          <w:rFonts w:eastAsia="Times New Roman" w:cs="Arial"/>
          <w:color w:val="000000"/>
          <w:szCs w:val="20"/>
          <w:lang w:val="en-US"/>
        </w:rPr>
        <w:t xml:space="preserve"> </w:t>
      </w:r>
      <w:proofErr w:type="spellStart"/>
      <w:r w:rsidRPr="002D2D5C">
        <w:rPr>
          <w:rFonts w:eastAsia="Times New Roman" w:cs="Arial"/>
          <w:color w:val="000000"/>
          <w:szCs w:val="20"/>
          <w:lang w:val="en-US"/>
        </w:rPr>
        <w:t>Westlaan</w:t>
      </w:r>
      <w:proofErr w:type="spellEnd"/>
      <w:r w:rsidRPr="002D2D5C">
        <w:rPr>
          <w:rFonts w:eastAsia="Times New Roman" w:cs="Arial"/>
          <w:color w:val="000000"/>
          <w:szCs w:val="20"/>
          <w:lang w:val="en-US"/>
        </w:rPr>
        <w:t xml:space="preserve"> </w:t>
      </w:r>
      <w:r w:rsidRPr="002D2D5C">
        <w:rPr>
          <w:rFonts w:eastAsia="Times New Roman" w:cs="Arial"/>
          <w:color w:val="000000"/>
          <w:szCs w:val="20"/>
          <w:lang w:eastAsia="bg-BG"/>
        </w:rPr>
        <w:t>142</w:t>
      </w:r>
    </w:p>
    <w:p w14:paraId="53581917" w14:textId="77777777" w:rsidR="002D2D5C" w:rsidRPr="002D2D5C" w:rsidRDefault="002D2D5C" w:rsidP="002D2D5C">
      <w:pPr>
        <w:spacing w:line="240" w:lineRule="auto"/>
        <w:rPr>
          <w:rFonts w:eastAsia="Times New Roman" w:cs="Arial"/>
          <w:sz w:val="28"/>
          <w:szCs w:val="24"/>
          <w:lang w:val="en-US" w:eastAsia="bg-BG"/>
        </w:rPr>
      </w:pPr>
      <w:r w:rsidRPr="002D2D5C">
        <w:rPr>
          <w:rFonts w:eastAsia="Times New Roman" w:cs="Arial"/>
          <w:color w:val="000000"/>
          <w:szCs w:val="20"/>
          <w:lang w:eastAsia="bg-BG"/>
        </w:rPr>
        <w:t xml:space="preserve">2909 </w:t>
      </w:r>
      <w:r w:rsidRPr="002D2D5C">
        <w:rPr>
          <w:rFonts w:eastAsia="Times New Roman" w:cs="Arial"/>
          <w:color w:val="000000"/>
          <w:szCs w:val="20"/>
          <w:lang w:val="en-US"/>
        </w:rPr>
        <w:t xml:space="preserve">LD </w:t>
      </w:r>
      <w:proofErr w:type="spellStart"/>
      <w:r w:rsidRPr="002D2D5C">
        <w:rPr>
          <w:rFonts w:eastAsia="Times New Roman" w:cs="Arial"/>
          <w:color w:val="000000"/>
          <w:szCs w:val="20"/>
          <w:lang w:val="en-US"/>
        </w:rPr>
        <w:t>Capelle</w:t>
      </w:r>
      <w:proofErr w:type="spellEnd"/>
      <w:r w:rsidRPr="002D2D5C">
        <w:rPr>
          <w:rFonts w:eastAsia="Times New Roman" w:cs="Arial"/>
          <w:color w:val="000000"/>
          <w:szCs w:val="20"/>
          <w:lang w:val="en-US"/>
        </w:rPr>
        <w:t xml:space="preserve"> </w:t>
      </w:r>
      <w:proofErr w:type="spellStart"/>
      <w:r w:rsidRPr="002D2D5C">
        <w:rPr>
          <w:rFonts w:eastAsia="Times New Roman" w:cs="Arial"/>
          <w:color w:val="000000"/>
          <w:szCs w:val="20"/>
          <w:lang w:val="en-US"/>
        </w:rPr>
        <w:t>aan</w:t>
      </w:r>
      <w:proofErr w:type="spellEnd"/>
      <w:r w:rsidRPr="002D2D5C">
        <w:rPr>
          <w:rFonts w:eastAsia="Times New Roman" w:cs="Arial"/>
          <w:color w:val="000000"/>
          <w:szCs w:val="20"/>
          <w:lang w:val="en-US"/>
        </w:rPr>
        <w:t xml:space="preserve"> den </w:t>
      </w:r>
      <w:proofErr w:type="spellStart"/>
      <w:r w:rsidRPr="002D2D5C">
        <w:rPr>
          <w:rFonts w:eastAsia="Times New Roman" w:cs="Arial"/>
          <w:color w:val="000000"/>
          <w:szCs w:val="20"/>
          <w:lang w:val="en-US"/>
        </w:rPr>
        <w:t>Ussel</w:t>
      </w:r>
      <w:proofErr w:type="spellEnd"/>
    </w:p>
    <w:p w14:paraId="55B53E01" w14:textId="75C76516" w:rsidR="002D2D5C" w:rsidRPr="002D2D5C" w:rsidRDefault="002D2D5C" w:rsidP="002D2D5C">
      <w:pPr>
        <w:rPr>
          <w:rFonts w:cs="Arial"/>
          <w:sz w:val="24"/>
        </w:rPr>
      </w:pPr>
      <w:r w:rsidRPr="002D2D5C">
        <w:rPr>
          <w:rFonts w:eastAsia="Times New Roman" w:cs="Arial"/>
          <w:color w:val="000000"/>
          <w:szCs w:val="20"/>
          <w:lang w:eastAsia="bg-BG"/>
        </w:rPr>
        <w:t>Нидерландия</w:t>
      </w:r>
    </w:p>
    <w:p w14:paraId="7BA1BA64" w14:textId="7D7E061C" w:rsidR="00CF77F7" w:rsidRDefault="002C50EE" w:rsidP="004A448E">
      <w:pPr>
        <w:pStyle w:val="Heading1"/>
      </w:pPr>
      <w:r>
        <w:t>8. НОМЕР НА РАЗРЕШЕНИЕТО ЗА УПОТРЕБА</w:t>
      </w:r>
    </w:p>
    <w:p w14:paraId="66BD4998" w14:textId="06BD3BF1" w:rsidR="002D2D5C" w:rsidRDefault="002D2D5C" w:rsidP="002D2D5C"/>
    <w:p w14:paraId="499C6A7B" w14:textId="77777777" w:rsidR="002D2D5C" w:rsidRPr="002D2D5C" w:rsidRDefault="002D2D5C" w:rsidP="002D2D5C">
      <w:pPr>
        <w:spacing w:line="240" w:lineRule="auto"/>
        <w:rPr>
          <w:rFonts w:eastAsia="Times New Roman" w:cs="Arial"/>
          <w:sz w:val="28"/>
          <w:szCs w:val="24"/>
          <w:lang w:eastAsia="bg-BG"/>
        </w:rPr>
      </w:pPr>
      <w:r w:rsidRPr="002D2D5C">
        <w:rPr>
          <w:rFonts w:eastAsia="Times New Roman" w:cs="Arial"/>
          <w:color w:val="000000"/>
          <w:szCs w:val="20"/>
          <w:lang w:eastAsia="bg-BG"/>
        </w:rPr>
        <w:t xml:space="preserve">Неуронтин 300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твърди капсули - 20000710</w:t>
      </w:r>
    </w:p>
    <w:p w14:paraId="24B1395C" w14:textId="10ADD34B" w:rsidR="002D2D5C" w:rsidRPr="002D2D5C" w:rsidRDefault="002D2D5C" w:rsidP="002D2D5C">
      <w:pPr>
        <w:rPr>
          <w:rFonts w:cs="Arial"/>
          <w:sz w:val="24"/>
        </w:rPr>
      </w:pPr>
      <w:r w:rsidRPr="002D2D5C">
        <w:rPr>
          <w:rFonts w:eastAsia="Times New Roman" w:cs="Arial"/>
          <w:color w:val="000000"/>
          <w:szCs w:val="20"/>
          <w:lang w:eastAsia="bg-BG"/>
        </w:rPr>
        <w:t xml:space="preserve">Неуронтин 400 </w:t>
      </w:r>
      <w:r w:rsidRPr="002D2D5C">
        <w:rPr>
          <w:rFonts w:eastAsia="Times New Roman" w:cs="Arial"/>
          <w:color w:val="000000"/>
          <w:szCs w:val="20"/>
          <w:lang w:val="en-US"/>
        </w:rPr>
        <w:t xml:space="preserve">mg </w:t>
      </w:r>
      <w:r w:rsidRPr="002D2D5C">
        <w:rPr>
          <w:rFonts w:eastAsia="Times New Roman" w:cs="Arial"/>
          <w:color w:val="000000"/>
          <w:szCs w:val="20"/>
          <w:lang w:eastAsia="bg-BG"/>
        </w:rPr>
        <w:t>твърди капсули - 20000711</w:t>
      </w:r>
    </w:p>
    <w:p w14:paraId="2CCB5832" w14:textId="778F9938" w:rsidR="007C605B" w:rsidRDefault="002C50EE" w:rsidP="007C605B">
      <w:pPr>
        <w:pStyle w:val="Heading1"/>
      </w:pPr>
      <w:r>
        <w:lastRenderedPageBreak/>
        <w:t>9. ДАТА НА ПЪРВО РАЗРЕШАВАНЕ/ПОДНОВЯВАНЕ НА РАЗРЕШЕНИЕТО ЗА УПОТРЕБА</w:t>
      </w:r>
    </w:p>
    <w:p w14:paraId="5AF5E34B" w14:textId="261D8818" w:rsidR="002D2D5C" w:rsidRDefault="002D2D5C" w:rsidP="002D2D5C"/>
    <w:p w14:paraId="7FDD99D8" w14:textId="77777777" w:rsidR="002D2D5C" w:rsidRPr="002D2D5C" w:rsidRDefault="002D2D5C" w:rsidP="002D2D5C">
      <w:pPr>
        <w:spacing w:line="240" w:lineRule="auto"/>
        <w:rPr>
          <w:rFonts w:eastAsia="Times New Roman" w:cs="Arial"/>
          <w:sz w:val="28"/>
          <w:szCs w:val="24"/>
          <w:lang w:val="en-US" w:eastAsia="bg-BG"/>
        </w:rPr>
      </w:pPr>
      <w:r w:rsidRPr="002D2D5C">
        <w:rPr>
          <w:rFonts w:eastAsia="Times New Roman" w:cs="Arial"/>
          <w:color w:val="000000"/>
          <w:szCs w:val="20"/>
          <w:lang w:eastAsia="bg-BG"/>
        </w:rPr>
        <w:t>Дата на първо разрешаване: 17 ноември 2000 г.</w:t>
      </w:r>
    </w:p>
    <w:p w14:paraId="55FABE02" w14:textId="7363E7C1" w:rsidR="002D2D5C" w:rsidRPr="002D2D5C" w:rsidRDefault="002D2D5C" w:rsidP="002D2D5C">
      <w:pPr>
        <w:rPr>
          <w:rFonts w:cs="Arial"/>
          <w:sz w:val="24"/>
        </w:rPr>
      </w:pPr>
      <w:r w:rsidRPr="002D2D5C">
        <w:rPr>
          <w:rFonts w:eastAsia="Times New Roman" w:cs="Arial"/>
          <w:color w:val="000000"/>
          <w:szCs w:val="20"/>
          <w:lang w:eastAsia="bg-BG"/>
        </w:rPr>
        <w:t>Дата на последно подновяване: 9 август 2011 г.</w:t>
      </w:r>
    </w:p>
    <w:p w14:paraId="0E9D0119" w14:textId="0245C6D7" w:rsidR="002C50EE" w:rsidRDefault="002C50EE" w:rsidP="002C50EE">
      <w:pPr>
        <w:pStyle w:val="Heading1"/>
      </w:pPr>
      <w:r>
        <w:t>10. ДАТА НА АКТУАЛИЗИРАНЕ НА ТЕКСТА</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9"/>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0"/>
  </w:num>
  <w:num w:numId="28">
    <w:abstractNumId w:val="6"/>
  </w:num>
  <w:num w:numId="29">
    <w:abstractNumId w:val="19"/>
  </w:num>
  <w:num w:numId="30">
    <w:abstractNumId w:val="33"/>
  </w:num>
  <w:num w:numId="31">
    <w:abstractNumId w:val="5"/>
  </w:num>
  <w:num w:numId="32">
    <w:abstractNumId w:val="32"/>
  </w:num>
  <w:num w:numId="33">
    <w:abstractNumId w:val="27"/>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53BD2"/>
    <w:rsid w:val="00185A46"/>
    <w:rsid w:val="001915B6"/>
    <w:rsid w:val="001A51FF"/>
    <w:rsid w:val="001D1B23"/>
    <w:rsid w:val="002B3C38"/>
    <w:rsid w:val="002B4DBB"/>
    <w:rsid w:val="002C50EE"/>
    <w:rsid w:val="002D2D5C"/>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37FCC"/>
    <w:rsid w:val="008663AA"/>
    <w:rsid w:val="00893B92"/>
    <w:rsid w:val="008A6AF2"/>
    <w:rsid w:val="008C70A2"/>
    <w:rsid w:val="009773E4"/>
    <w:rsid w:val="009B171C"/>
    <w:rsid w:val="009F1313"/>
    <w:rsid w:val="00A20351"/>
    <w:rsid w:val="00A65A81"/>
    <w:rsid w:val="00A811DB"/>
    <w:rsid w:val="00AA23EC"/>
    <w:rsid w:val="00AC63CE"/>
    <w:rsid w:val="00AE2107"/>
    <w:rsid w:val="00B275A8"/>
    <w:rsid w:val="00BB12F0"/>
    <w:rsid w:val="00BF2600"/>
    <w:rsid w:val="00C0049F"/>
    <w:rsid w:val="00C07B84"/>
    <w:rsid w:val="00C33464"/>
    <w:rsid w:val="00C40420"/>
    <w:rsid w:val="00C809A7"/>
    <w:rsid w:val="00C83063"/>
    <w:rsid w:val="00C87E90"/>
    <w:rsid w:val="00CA1B57"/>
    <w:rsid w:val="00CF77F7"/>
    <w:rsid w:val="00D06CD0"/>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5516</Words>
  <Characters>31446</Characters>
  <Application>Microsoft Office Word</Application>
  <DocSecurity>0</DocSecurity>
  <Lines>262</Lines>
  <Paragraphs>73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4</cp:revision>
  <dcterms:created xsi:type="dcterms:W3CDTF">2022-04-29T10:19:00Z</dcterms:created>
  <dcterms:modified xsi:type="dcterms:W3CDTF">2022-05-09T01:39:00Z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