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2BE34EF6" w14:textId="2864DE01" w:rsidR="007122AD" w:rsidRDefault="00DD466D" w:rsidP="00936AD0">
      <w:pPr>
        <w:pStyle w:val="Heading1"/>
      </w:pPr>
      <w:r>
        <w:t>1.ИМЕ НА ЛЕКАРСТВЕНИЯ ПРОДУКТ</w:t>
      </w:r>
    </w:p>
    <w:p w14:paraId="40A5A155" w14:textId="2D2B12F8" w:rsidR="007E3074" w:rsidRDefault="007E3074" w:rsidP="007E3074"/>
    <w:p w14:paraId="415633A3" w14:textId="77777777" w:rsidR="007E3074" w:rsidRPr="007E3074" w:rsidRDefault="007E3074" w:rsidP="007E3074">
      <w:pPr>
        <w:rPr>
          <w:sz w:val="24"/>
          <w:szCs w:val="24"/>
        </w:rPr>
      </w:pPr>
      <w:r w:rsidRPr="007E3074">
        <w:rPr>
          <w:lang w:eastAsia="bg-BG"/>
        </w:rPr>
        <w:t xml:space="preserve">Неволен 5 </w:t>
      </w:r>
      <w:r w:rsidRPr="007E3074">
        <w:rPr>
          <w:lang w:val="en-US"/>
        </w:rPr>
        <w:t>mg</w:t>
      </w:r>
      <w:r w:rsidRPr="007E3074">
        <w:t xml:space="preserve"> </w:t>
      </w:r>
      <w:r w:rsidRPr="007E3074">
        <w:rPr>
          <w:lang w:eastAsia="bg-BG"/>
        </w:rPr>
        <w:t>таблетки</w:t>
      </w:r>
    </w:p>
    <w:p w14:paraId="2307B927" w14:textId="77777777" w:rsidR="007E3074" w:rsidRPr="007E3074" w:rsidRDefault="007E3074" w:rsidP="007E3074">
      <w:pPr>
        <w:rPr>
          <w:sz w:val="24"/>
          <w:szCs w:val="24"/>
        </w:rPr>
      </w:pPr>
      <w:proofErr w:type="spellStart"/>
      <w:r w:rsidRPr="007E3074">
        <w:rPr>
          <w:lang w:val="en-US"/>
        </w:rPr>
        <w:t>Nevolen</w:t>
      </w:r>
      <w:proofErr w:type="spellEnd"/>
      <w:r w:rsidRPr="007E3074">
        <w:t xml:space="preserve"> </w:t>
      </w:r>
      <w:r w:rsidRPr="007E3074">
        <w:rPr>
          <w:lang w:eastAsia="bg-BG"/>
        </w:rPr>
        <w:t xml:space="preserve">5 </w:t>
      </w:r>
      <w:r w:rsidRPr="007E3074">
        <w:rPr>
          <w:lang w:val="en-US"/>
        </w:rPr>
        <w:t>mg</w:t>
      </w:r>
      <w:r w:rsidRPr="007E3074">
        <w:t xml:space="preserve"> </w:t>
      </w:r>
      <w:r w:rsidRPr="007E3074">
        <w:rPr>
          <w:lang w:val="en-US"/>
        </w:rPr>
        <w:t>tablets</w:t>
      </w:r>
    </w:p>
    <w:p w14:paraId="68838CCF" w14:textId="77777777" w:rsidR="007E3074" w:rsidRPr="007E3074" w:rsidRDefault="007E3074" w:rsidP="007E3074"/>
    <w:p w14:paraId="6920A680" w14:textId="7A56C4D6" w:rsidR="00C40420" w:rsidRDefault="00DD466D" w:rsidP="004A448E">
      <w:pPr>
        <w:pStyle w:val="Heading1"/>
      </w:pPr>
      <w:r>
        <w:t>2. КАЧЕСТВЕН И КОЛИЧЕСТВЕН СЪСТАВ</w:t>
      </w:r>
    </w:p>
    <w:p w14:paraId="6DCA445E" w14:textId="03ADC975" w:rsidR="007E3074" w:rsidRDefault="007E3074" w:rsidP="007E3074"/>
    <w:p w14:paraId="413F117F" w14:textId="77777777" w:rsidR="007E3074" w:rsidRPr="007E3074" w:rsidRDefault="007E3074" w:rsidP="007E3074">
      <w:pPr>
        <w:spacing w:line="240" w:lineRule="auto"/>
        <w:rPr>
          <w:rFonts w:eastAsia="Times New Roman" w:cs="Arial"/>
          <w:sz w:val="24"/>
          <w:szCs w:val="24"/>
        </w:rPr>
      </w:pPr>
      <w:r w:rsidRPr="007E3074">
        <w:rPr>
          <w:rFonts w:eastAsia="Times New Roman" w:cs="Arial"/>
          <w:color w:val="000000"/>
          <w:lang w:eastAsia="bg-BG"/>
        </w:rPr>
        <w:t xml:space="preserve">Всяка таблетка съдържа 5 </w:t>
      </w:r>
      <w:r w:rsidRPr="007E3074">
        <w:rPr>
          <w:rFonts w:eastAsia="Times New Roman" w:cs="Arial"/>
          <w:color w:val="000000"/>
          <w:lang w:val="en-US"/>
        </w:rPr>
        <w:t>mg</w:t>
      </w:r>
      <w:r w:rsidRPr="007E3074">
        <w:rPr>
          <w:rFonts w:eastAsia="Times New Roman" w:cs="Arial"/>
          <w:color w:val="000000"/>
        </w:rPr>
        <w:t xml:space="preserve"> </w:t>
      </w:r>
      <w:r w:rsidRPr="007E3074">
        <w:rPr>
          <w:rFonts w:eastAsia="Times New Roman" w:cs="Arial"/>
          <w:color w:val="000000"/>
          <w:lang w:eastAsia="bg-BG"/>
        </w:rPr>
        <w:t xml:space="preserve">небиволол </w:t>
      </w:r>
      <w:r w:rsidRPr="007E3074">
        <w:rPr>
          <w:rFonts w:eastAsia="Times New Roman" w:cs="Arial"/>
          <w:i/>
          <w:iCs/>
          <w:color w:val="000000"/>
        </w:rPr>
        <w:t>(</w:t>
      </w:r>
      <w:proofErr w:type="spellStart"/>
      <w:r w:rsidRPr="007E3074">
        <w:rPr>
          <w:rFonts w:eastAsia="Times New Roman" w:cs="Arial"/>
          <w:i/>
          <w:iCs/>
          <w:color w:val="000000"/>
          <w:lang w:val="en-US"/>
        </w:rPr>
        <w:t>nebivolol</w:t>
      </w:r>
      <w:proofErr w:type="spellEnd"/>
      <w:r w:rsidRPr="007E3074">
        <w:rPr>
          <w:rFonts w:eastAsia="Times New Roman" w:cs="Arial"/>
          <w:i/>
          <w:iCs/>
          <w:color w:val="000000"/>
        </w:rPr>
        <w:t>),</w:t>
      </w:r>
      <w:r w:rsidRPr="007E3074">
        <w:rPr>
          <w:rFonts w:eastAsia="Times New Roman" w:cs="Arial"/>
          <w:color w:val="000000"/>
        </w:rPr>
        <w:t xml:space="preserve"> </w:t>
      </w:r>
      <w:r w:rsidRPr="007E3074">
        <w:rPr>
          <w:rFonts w:eastAsia="Times New Roman" w:cs="Arial"/>
          <w:color w:val="000000"/>
          <w:lang w:eastAsia="bg-BG"/>
        </w:rPr>
        <w:t xml:space="preserve">еквивалентен на 5,45 </w:t>
      </w:r>
      <w:r w:rsidRPr="007E3074">
        <w:rPr>
          <w:rFonts w:eastAsia="Times New Roman" w:cs="Arial"/>
          <w:color w:val="000000"/>
          <w:lang w:val="en-US"/>
        </w:rPr>
        <w:t>mg</w:t>
      </w:r>
      <w:r w:rsidRPr="007E3074">
        <w:rPr>
          <w:rFonts w:eastAsia="Times New Roman" w:cs="Arial"/>
          <w:color w:val="000000"/>
        </w:rPr>
        <w:t xml:space="preserve"> </w:t>
      </w:r>
      <w:r w:rsidRPr="007E3074">
        <w:rPr>
          <w:rFonts w:eastAsia="Times New Roman" w:cs="Arial"/>
          <w:color w:val="000000"/>
          <w:lang w:eastAsia="bg-BG"/>
        </w:rPr>
        <w:t xml:space="preserve">небивололов хидрохлорид </w:t>
      </w:r>
      <w:r w:rsidRPr="007E3074">
        <w:rPr>
          <w:rFonts w:eastAsia="Times New Roman" w:cs="Arial"/>
          <w:i/>
          <w:iCs/>
          <w:color w:val="000000"/>
        </w:rPr>
        <w:t>(</w:t>
      </w:r>
      <w:proofErr w:type="spellStart"/>
      <w:r w:rsidRPr="007E3074">
        <w:rPr>
          <w:rFonts w:eastAsia="Times New Roman" w:cs="Arial"/>
          <w:i/>
          <w:iCs/>
          <w:color w:val="000000"/>
          <w:lang w:val="en-US"/>
        </w:rPr>
        <w:t>nebivolol</w:t>
      </w:r>
      <w:proofErr w:type="spellEnd"/>
      <w:r w:rsidRPr="007E3074">
        <w:rPr>
          <w:rFonts w:eastAsia="Times New Roman" w:cs="Arial"/>
          <w:i/>
          <w:iCs/>
          <w:color w:val="000000"/>
        </w:rPr>
        <w:t xml:space="preserve"> </w:t>
      </w:r>
      <w:r w:rsidRPr="007E3074">
        <w:rPr>
          <w:rFonts w:eastAsia="Times New Roman" w:cs="Arial"/>
          <w:i/>
          <w:iCs/>
          <w:color w:val="000000"/>
          <w:lang w:val="en-US"/>
        </w:rPr>
        <w:t>hydrochloride</w:t>
      </w:r>
      <w:r w:rsidRPr="007E3074">
        <w:rPr>
          <w:rFonts w:eastAsia="Times New Roman" w:cs="Arial"/>
          <w:i/>
          <w:iCs/>
          <w:color w:val="000000"/>
        </w:rPr>
        <w:t>).</w:t>
      </w:r>
    </w:p>
    <w:p w14:paraId="746B17CF" w14:textId="77777777" w:rsidR="007E3074" w:rsidRPr="007E3074" w:rsidRDefault="007E3074" w:rsidP="007E3074">
      <w:pPr>
        <w:spacing w:line="240" w:lineRule="auto"/>
        <w:rPr>
          <w:rFonts w:eastAsia="Times New Roman" w:cs="Arial"/>
          <w:color w:val="000000"/>
          <w:lang w:eastAsia="bg-BG"/>
        </w:rPr>
      </w:pPr>
    </w:p>
    <w:p w14:paraId="2B8F1C3D" w14:textId="2C3B279A" w:rsidR="007E3074" w:rsidRPr="007E3074" w:rsidRDefault="007E3074" w:rsidP="007E3074">
      <w:pPr>
        <w:spacing w:line="240" w:lineRule="auto"/>
        <w:rPr>
          <w:rFonts w:eastAsia="Times New Roman" w:cs="Arial"/>
          <w:sz w:val="24"/>
          <w:szCs w:val="24"/>
        </w:rPr>
      </w:pPr>
      <w:r w:rsidRPr="007E3074">
        <w:rPr>
          <w:rFonts w:eastAsia="Times New Roman" w:cs="Arial"/>
          <w:color w:val="000000"/>
          <w:lang w:eastAsia="bg-BG"/>
        </w:rPr>
        <w:t xml:space="preserve">Помощно вещество с известно действие: всяка таблетка съдържа 143,48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лактоза монохидрат.</w:t>
      </w:r>
    </w:p>
    <w:p w14:paraId="3D1631FF" w14:textId="77777777" w:rsidR="007E3074" w:rsidRPr="007E3074" w:rsidRDefault="007E3074" w:rsidP="007E3074"/>
    <w:p w14:paraId="614984C4" w14:textId="766F8CC2" w:rsidR="008A6AF2" w:rsidRDefault="00DD466D" w:rsidP="002C50EE">
      <w:pPr>
        <w:pStyle w:val="Heading1"/>
      </w:pPr>
      <w:r>
        <w:t>3. ЛЕКАРСТВЕНА ФОРМА</w:t>
      </w:r>
    </w:p>
    <w:p w14:paraId="3077E3E4" w14:textId="026E6D96" w:rsidR="007E3074" w:rsidRDefault="007E3074" w:rsidP="007E3074"/>
    <w:p w14:paraId="5BBEC713" w14:textId="77777777" w:rsidR="007E3074" w:rsidRPr="007E3074" w:rsidRDefault="007E3074" w:rsidP="007E3074">
      <w:pPr>
        <w:rPr>
          <w:sz w:val="24"/>
          <w:szCs w:val="24"/>
        </w:rPr>
      </w:pPr>
      <w:r w:rsidRPr="007E3074">
        <w:rPr>
          <w:lang w:eastAsia="bg-BG"/>
        </w:rPr>
        <w:t>Таблетка</w:t>
      </w:r>
    </w:p>
    <w:p w14:paraId="3608CC26" w14:textId="77777777" w:rsidR="007E3074" w:rsidRDefault="007E3074" w:rsidP="007E3074">
      <w:pPr>
        <w:rPr>
          <w:lang w:eastAsia="bg-BG"/>
        </w:rPr>
      </w:pPr>
    </w:p>
    <w:p w14:paraId="40E819C4" w14:textId="33F0C02A" w:rsidR="007E3074" w:rsidRPr="007E3074" w:rsidRDefault="007E3074" w:rsidP="007E3074">
      <w:pPr>
        <w:rPr>
          <w:sz w:val="24"/>
          <w:szCs w:val="24"/>
        </w:rPr>
      </w:pPr>
      <w:r w:rsidRPr="007E3074">
        <w:rPr>
          <w:lang w:eastAsia="bg-BG"/>
        </w:rPr>
        <w:t>Бели до почти бели, кръгли, двойноизпъкнали таблетки, с две перпендикулярно пресичащи се делителни черти от едната страна.</w:t>
      </w:r>
    </w:p>
    <w:p w14:paraId="23314354" w14:textId="77777777" w:rsidR="007E3074" w:rsidRPr="007E3074" w:rsidRDefault="007E3074" w:rsidP="007E3074">
      <w:pPr>
        <w:rPr>
          <w:sz w:val="24"/>
          <w:szCs w:val="24"/>
        </w:rPr>
      </w:pPr>
      <w:r w:rsidRPr="007E3074">
        <w:rPr>
          <w:lang w:eastAsia="bg-BG"/>
        </w:rPr>
        <w:t>Таблетката може да бъде разделена на четири равни дози.</w:t>
      </w:r>
    </w:p>
    <w:p w14:paraId="616EB91B" w14:textId="77777777" w:rsidR="007E3074" w:rsidRPr="007E3074" w:rsidRDefault="007E3074" w:rsidP="007E3074"/>
    <w:p w14:paraId="490FC2C4" w14:textId="0F4A4A75" w:rsidR="002C50EE" w:rsidRDefault="002C50EE" w:rsidP="002C50EE">
      <w:pPr>
        <w:pStyle w:val="Heading1"/>
      </w:pPr>
      <w:r>
        <w:t>4. КЛИНИЧНИ ДАННИ</w:t>
      </w:r>
    </w:p>
    <w:p w14:paraId="74330405" w14:textId="0A8C8CD3" w:rsidR="007122AD" w:rsidRDefault="002C50EE" w:rsidP="00936AD0">
      <w:pPr>
        <w:pStyle w:val="Heading2"/>
      </w:pPr>
      <w:r>
        <w:t>4.1. Терапевтични показания</w:t>
      </w:r>
    </w:p>
    <w:p w14:paraId="4D0324E9" w14:textId="0CABE992" w:rsidR="007E3074" w:rsidRDefault="007E3074" w:rsidP="007E3074"/>
    <w:p w14:paraId="275181C2" w14:textId="77777777" w:rsidR="007E3074" w:rsidRPr="007E3074" w:rsidRDefault="007E3074" w:rsidP="007E3074">
      <w:pPr>
        <w:spacing w:line="240" w:lineRule="auto"/>
        <w:rPr>
          <w:rFonts w:eastAsia="Times New Roman" w:cs="Arial"/>
          <w:sz w:val="24"/>
          <w:szCs w:val="24"/>
        </w:rPr>
      </w:pPr>
      <w:r w:rsidRPr="007E3074">
        <w:rPr>
          <w:rFonts w:eastAsia="Times New Roman" w:cs="Arial"/>
          <w:color w:val="000000"/>
          <w:lang w:eastAsia="bg-BG"/>
        </w:rPr>
        <w:t>Небиволол е показан при възрастни за лечение на:</w:t>
      </w:r>
    </w:p>
    <w:p w14:paraId="009B753E" w14:textId="77777777" w:rsidR="007E3074" w:rsidRPr="007E3074" w:rsidRDefault="007E3074" w:rsidP="007E3074">
      <w:pPr>
        <w:pStyle w:val="ListParagraph"/>
        <w:numPr>
          <w:ilvl w:val="0"/>
          <w:numId w:val="37"/>
        </w:numPr>
        <w:spacing w:line="240" w:lineRule="auto"/>
        <w:rPr>
          <w:rFonts w:eastAsia="Times New Roman" w:cs="Arial"/>
          <w:color w:val="000000"/>
          <w:lang w:eastAsia="bg-BG"/>
        </w:rPr>
      </w:pPr>
      <w:r w:rsidRPr="007E3074">
        <w:rPr>
          <w:rFonts w:eastAsia="Times New Roman" w:cs="Arial"/>
          <w:color w:val="000000"/>
          <w:lang w:eastAsia="bg-BG"/>
        </w:rPr>
        <w:t>есенциал на хипертония;</w:t>
      </w:r>
    </w:p>
    <w:p w14:paraId="7B71C749" w14:textId="5C2488A8" w:rsidR="007E3074" w:rsidRPr="007E3074" w:rsidRDefault="007E3074" w:rsidP="007E3074">
      <w:pPr>
        <w:pStyle w:val="ListParagraph"/>
        <w:numPr>
          <w:ilvl w:val="0"/>
          <w:numId w:val="37"/>
        </w:numPr>
        <w:spacing w:line="240" w:lineRule="auto"/>
        <w:rPr>
          <w:rFonts w:eastAsia="Times New Roman" w:cs="Arial"/>
          <w:color w:val="000000"/>
          <w:lang w:eastAsia="bg-BG"/>
        </w:rPr>
      </w:pPr>
      <w:r w:rsidRPr="007E3074">
        <w:rPr>
          <w:rFonts w:eastAsia="Times New Roman" w:cs="Arial"/>
          <w:color w:val="000000"/>
          <w:lang w:eastAsia="bg-BG"/>
        </w:rPr>
        <w:t>стабилна, лека до умерена хронична сърдечна недостатъчност, в допълнение към стандартната терапия при пациенти в старческа възраст (≥70 години).</w:t>
      </w:r>
    </w:p>
    <w:p w14:paraId="3A2C413C" w14:textId="77777777" w:rsidR="007E3074" w:rsidRPr="007E3074" w:rsidRDefault="007E3074" w:rsidP="007E3074"/>
    <w:p w14:paraId="53F5B866" w14:textId="35F84AA8" w:rsidR="007122AD" w:rsidRDefault="002C50EE" w:rsidP="00936AD0">
      <w:pPr>
        <w:pStyle w:val="Heading2"/>
      </w:pPr>
      <w:r>
        <w:t>4.2. Дозировка и начин на приложение</w:t>
      </w:r>
    </w:p>
    <w:p w14:paraId="1154DA56" w14:textId="7F48DDC5" w:rsidR="007E3074" w:rsidRDefault="007E3074" w:rsidP="007E3074"/>
    <w:p w14:paraId="7FE758EB" w14:textId="77777777" w:rsidR="007E3074" w:rsidRPr="002D222C" w:rsidRDefault="007E3074" w:rsidP="002D222C">
      <w:pPr>
        <w:pStyle w:val="Heading3"/>
        <w:rPr>
          <w:rFonts w:eastAsia="Times New Roman"/>
          <w:u w:val="single"/>
        </w:rPr>
      </w:pPr>
      <w:r w:rsidRPr="002D222C">
        <w:rPr>
          <w:rFonts w:eastAsia="Times New Roman"/>
          <w:u w:val="single"/>
          <w:lang w:eastAsia="bg-BG"/>
        </w:rPr>
        <w:t>Дозировка</w:t>
      </w:r>
    </w:p>
    <w:p w14:paraId="5E331C65" w14:textId="77777777" w:rsidR="007E3074" w:rsidRPr="002D222C" w:rsidRDefault="007E3074" w:rsidP="007E3074">
      <w:pPr>
        <w:spacing w:line="240" w:lineRule="auto"/>
        <w:rPr>
          <w:rFonts w:eastAsia="Times New Roman" w:cs="Arial"/>
          <w:i/>
          <w:iCs/>
          <w:color w:val="000000"/>
          <w:u w:val="single"/>
          <w:lang w:eastAsia="bg-BG"/>
        </w:rPr>
      </w:pPr>
    </w:p>
    <w:p w14:paraId="694B27EE" w14:textId="52108109" w:rsidR="007E3074" w:rsidRPr="007E3074" w:rsidRDefault="007E3074" w:rsidP="007E3074">
      <w:pPr>
        <w:spacing w:line="240" w:lineRule="auto"/>
        <w:rPr>
          <w:rFonts w:eastAsia="Times New Roman" w:cs="Arial"/>
        </w:rPr>
      </w:pPr>
      <w:r w:rsidRPr="007E3074">
        <w:rPr>
          <w:rFonts w:eastAsia="Times New Roman" w:cs="Arial"/>
          <w:i/>
          <w:iCs/>
          <w:color w:val="000000"/>
          <w:u w:val="single"/>
          <w:lang w:eastAsia="bg-BG"/>
        </w:rPr>
        <w:t>Хипертония</w:t>
      </w:r>
    </w:p>
    <w:p w14:paraId="34D0B4EE" w14:textId="77777777" w:rsidR="007E3074" w:rsidRPr="002D222C" w:rsidRDefault="007E3074" w:rsidP="007E3074">
      <w:pPr>
        <w:spacing w:line="240" w:lineRule="auto"/>
        <w:rPr>
          <w:rFonts w:eastAsia="Times New Roman" w:cs="Arial"/>
          <w:i/>
          <w:iCs/>
          <w:color w:val="000000"/>
          <w:lang w:eastAsia="bg-BG"/>
        </w:rPr>
      </w:pPr>
    </w:p>
    <w:p w14:paraId="0347B958" w14:textId="69D53EA2" w:rsidR="007E3074" w:rsidRPr="007E3074" w:rsidRDefault="007E3074" w:rsidP="007E3074">
      <w:pPr>
        <w:spacing w:line="240" w:lineRule="auto"/>
        <w:rPr>
          <w:rFonts w:eastAsia="Times New Roman" w:cs="Arial"/>
        </w:rPr>
      </w:pPr>
      <w:r w:rsidRPr="007E3074">
        <w:rPr>
          <w:rFonts w:eastAsia="Times New Roman" w:cs="Arial"/>
          <w:i/>
          <w:iCs/>
          <w:color w:val="000000"/>
          <w:lang w:eastAsia="bg-BG"/>
        </w:rPr>
        <w:t>Възрастни</w:t>
      </w:r>
    </w:p>
    <w:p w14:paraId="719E1D50"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 xml:space="preserve">Дозата е една таблетка (5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дневно, за предпочитане по едно и също време всеки ден. Таблетките могат да се приемат по време на хранене.</w:t>
      </w:r>
    </w:p>
    <w:p w14:paraId="59D776AE"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Антихипертензивният ефект се проявява до 1 -2 седмици след започване на лечението.</w:t>
      </w:r>
    </w:p>
    <w:p w14:paraId="39F0E247"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Оптималният ефект обикновено се постига само след 4 седмици.</w:t>
      </w:r>
    </w:p>
    <w:p w14:paraId="0409B214" w14:textId="77777777" w:rsidR="007E3074" w:rsidRPr="002D222C" w:rsidRDefault="007E3074" w:rsidP="007E3074">
      <w:pPr>
        <w:spacing w:line="240" w:lineRule="auto"/>
        <w:rPr>
          <w:rFonts w:eastAsia="Times New Roman" w:cs="Arial"/>
          <w:i/>
          <w:iCs/>
          <w:color w:val="000000"/>
          <w:lang w:eastAsia="bg-BG"/>
        </w:rPr>
      </w:pPr>
    </w:p>
    <w:p w14:paraId="69259B4D" w14:textId="45B9CD67" w:rsidR="007E3074" w:rsidRPr="007E3074" w:rsidRDefault="007E3074" w:rsidP="007E3074">
      <w:pPr>
        <w:spacing w:line="240" w:lineRule="auto"/>
        <w:rPr>
          <w:rFonts w:eastAsia="Times New Roman" w:cs="Arial"/>
        </w:rPr>
      </w:pPr>
      <w:r w:rsidRPr="007E3074">
        <w:rPr>
          <w:rFonts w:eastAsia="Times New Roman" w:cs="Arial"/>
          <w:i/>
          <w:iCs/>
          <w:color w:val="000000"/>
          <w:lang w:eastAsia="bg-BG"/>
        </w:rPr>
        <w:t>Комбинация с други антихипертензивни лекарства</w:t>
      </w:r>
    </w:p>
    <w:p w14:paraId="62C3CD2F"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 xml:space="preserve">Бета-блокерите могат да бъдат използвани самостоятелно или в комбинациите с други антихипертензивни лекарства. До момента, допълнителен антихипертензивен ефкет е наблюдаван само при комбинация на небиволол с хидрохлоротиазид 12,5-25 </w:t>
      </w:r>
      <w:r w:rsidRPr="007E3074">
        <w:rPr>
          <w:rFonts w:eastAsia="Times New Roman" w:cs="Arial"/>
          <w:color w:val="000000"/>
          <w:lang w:val="en-US"/>
        </w:rPr>
        <w:t>mg</w:t>
      </w:r>
      <w:r w:rsidRPr="007E3074">
        <w:rPr>
          <w:rFonts w:eastAsia="Times New Roman" w:cs="Arial"/>
          <w:color w:val="000000"/>
          <w:lang w:val="ru-RU"/>
        </w:rPr>
        <w:t>.</w:t>
      </w:r>
    </w:p>
    <w:p w14:paraId="0CA379B7" w14:textId="77777777" w:rsidR="007E3074" w:rsidRPr="007E3074" w:rsidRDefault="007E3074" w:rsidP="007E3074">
      <w:pPr>
        <w:spacing w:line="240" w:lineRule="auto"/>
        <w:rPr>
          <w:rFonts w:eastAsia="Times New Roman" w:cs="Arial"/>
        </w:rPr>
      </w:pPr>
    </w:p>
    <w:p w14:paraId="76811BB2" w14:textId="77777777" w:rsidR="007E3074" w:rsidRPr="007E3074" w:rsidRDefault="007E3074" w:rsidP="007E3074">
      <w:pPr>
        <w:spacing w:line="240" w:lineRule="auto"/>
        <w:rPr>
          <w:rFonts w:eastAsia="Times New Roman" w:cs="Arial"/>
        </w:rPr>
      </w:pPr>
      <w:r w:rsidRPr="007E3074">
        <w:rPr>
          <w:rFonts w:eastAsia="Times New Roman" w:cs="Arial"/>
          <w:i/>
          <w:iCs/>
          <w:color w:val="000000"/>
          <w:lang w:eastAsia="bg-BG"/>
        </w:rPr>
        <w:t>Пациенти с бъбречна недостатъчност</w:t>
      </w:r>
    </w:p>
    <w:p w14:paraId="64CB675F"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 xml:space="preserve">При пациенти с бъбречна недостатъчност, препоръчителната начална доза е 2,5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 xml:space="preserve">дневно. При необходимост, дневната доза може да се увеличи до 5 </w:t>
      </w:r>
      <w:r w:rsidRPr="007E3074">
        <w:rPr>
          <w:rFonts w:eastAsia="Times New Roman" w:cs="Arial"/>
          <w:color w:val="000000"/>
          <w:lang w:val="en-US"/>
        </w:rPr>
        <w:t>mg</w:t>
      </w:r>
      <w:r w:rsidRPr="007E3074">
        <w:rPr>
          <w:rFonts w:eastAsia="Times New Roman" w:cs="Arial"/>
          <w:color w:val="000000"/>
          <w:lang w:val="ru-RU"/>
        </w:rPr>
        <w:t>.</w:t>
      </w:r>
    </w:p>
    <w:p w14:paraId="5435B034" w14:textId="77777777" w:rsidR="007E3074" w:rsidRPr="002D222C" w:rsidRDefault="007E3074" w:rsidP="007E3074">
      <w:pPr>
        <w:spacing w:line="240" w:lineRule="auto"/>
        <w:rPr>
          <w:rFonts w:eastAsia="Times New Roman" w:cs="Arial"/>
          <w:i/>
          <w:iCs/>
          <w:color w:val="000000"/>
          <w:lang w:eastAsia="bg-BG"/>
        </w:rPr>
      </w:pPr>
    </w:p>
    <w:p w14:paraId="6A49A0BE" w14:textId="15F4322D" w:rsidR="007E3074" w:rsidRPr="007E3074" w:rsidRDefault="007E3074" w:rsidP="007E3074">
      <w:pPr>
        <w:spacing w:line="240" w:lineRule="auto"/>
        <w:rPr>
          <w:rFonts w:eastAsia="Times New Roman" w:cs="Arial"/>
        </w:rPr>
      </w:pPr>
      <w:r w:rsidRPr="007E3074">
        <w:rPr>
          <w:rFonts w:eastAsia="Times New Roman" w:cs="Arial"/>
          <w:i/>
          <w:iCs/>
          <w:color w:val="000000"/>
          <w:lang w:eastAsia="bg-BG"/>
        </w:rPr>
        <w:t>Пациенти с чернодробна недостатъчност</w:t>
      </w:r>
    </w:p>
    <w:p w14:paraId="25A8952E"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Данните за пациенти с чернодробна недостатъчност или нарушена чернодробна функция са ограничени. Поради това, употребата на небиволол от тези пациенти е противопоказана.</w:t>
      </w:r>
    </w:p>
    <w:p w14:paraId="14342ECE" w14:textId="77777777" w:rsidR="007E3074" w:rsidRPr="002D222C" w:rsidRDefault="007E3074" w:rsidP="007E3074">
      <w:pPr>
        <w:spacing w:line="240" w:lineRule="auto"/>
        <w:rPr>
          <w:rFonts w:eastAsia="Times New Roman" w:cs="Arial"/>
          <w:i/>
          <w:iCs/>
          <w:color w:val="000000"/>
          <w:lang w:eastAsia="bg-BG"/>
        </w:rPr>
      </w:pPr>
    </w:p>
    <w:p w14:paraId="4F6FDEBA" w14:textId="2AB59C26" w:rsidR="007E3074" w:rsidRPr="007E3074" w:rsidRDefault="007E3074" w:rsidP="007E3074">
      <w:pPr>
        <w:spacing w:line="240" w:lineRule="auto"/>
        <w:rPr>
          <w:rFonts w:eastAsia="Times New Roman" w:cs="Arial"/>
        </w:rPr>
      </w:pPr>
      <w:r w:rsidRPr="007E3074">
        <w:rPr>
          <w:rFonts w:eastAsia="Times New Roman" w:cs="Arial"/>
          <w:i/>
          <w:iCs/>
          <w:color w:val="000000"/>
          <w:lang w:eastAsia="bg-BG"/>
        </w:rPr>
        <w:t>Пациенти в старческа възраст</w:t>
      </w:r>
    </w:p>
    <w:p w14:paraId="11C05752"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 xml:space="preserve">Препоръчителната начална доза при пациенти над 65 годишна възраст е 2,5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 xml:space="preserve">дневно. Ако е необходимо, дневната доза може да бъде увеличена до 5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Поради ограничен опит, приложението при пациенти над 75 години трябва да бъде с повишено внимание, като пациентите трябва да се проследяват отблизо.</w:t>
      </w:r>
    </w:p>
    <w:p w14:paraId="288F3F54" w14:textId="77777777" w:rsidR="007E3074" w:rsidRPr="002D222C" w:rsidRDefault="007E3074" w:rsidP="007E3074">
      <w:pPr>
        <w:spacing w:line="240" w:lineRule="auto"/>
        <w:rPr>
          <w:rFonts w:eastAsia="Times New Roman" w:cs="Arial"/>
          <w:i/>
          <w:iCs/>
          <w:color w:val="000000"/>
          <w:lang w:eastAsia="bg-BG"/>
        </w:rPr>
      </w:pPr>
    </w:p>
    <w:p w14:paraId="1AE29EC9" w14:textId="30F455E0" w:rsidR="007E3074" w:rsidRPr="007E3074" w:rsidRDefault="007E3074" w:rsidP="007E3074">
      <w:pPr>
        <w:spacing w:line="240" w:lineRule="auto"/>
        <w:rPr>
          <w:rFonts w:eastAsia="Times New Roman" w:cs="Arial"/>
        </w:rPr>
      </w:pPr>
      <w:r w:rsidRPr="007E3074">
        <w:rPr>
          <w:rFonts w:eastAsia="Times New Roman" w:cs="Arial"/>
          <w:i/>
          <w:iCs/>
          <w:color w:val="000000"/>
          <w:lang w:eastAsia="bg-BG"/>
        </w:rPr>
        <w:t>Педиатрична популация</w:t>
      </w:r>
    </w:p>
    <w:p w14:paraId="02F24F21"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Употребата на небиволол при деца и юноши под 18 години не се препоръчва, поради недостатъчни данни за безопасността и ефикасността на лекарствения продукт.</w:t>
      </w:r>
    </w:p>
    <w:p w14:paraId="5255D9DD" w14:textId="77777777" w:rsidR="007E3074" w:rsidRPr="002D222C" w:rsidRDefault="007E3074" w:rsidP="007E3074">
      <w:pPr>
        <w:spacing w:line="240" w:lineRule="auto"/>
        <w:rPr>
          <w:rFonts w:eastAsia="Times New Roman" w:cs="Arial"/>
          <w:i/>
          <w:iCs/>
          <w:color w:val="000000"/>
          <w:u w:val="single"/>
          <w:lang w:eastAsia="bg-BG"/>
        </w:rPr>
      </w:pPr>
    </w:p>
    <w:p w14:paraId="24D24AC1" w14:textId="1A7D41E6" w:rsidR="007E3074" w:rsidRPr="007E3074" w:rsidRDefault="007E3074" w:rsidP="007E3074">
      <w:pPr>
        <w:spacing w:line="240" w:lineRule="auto"/>
        <w:rPr>
          <w:rFonts w:eastAsia="Times New Roman" w:cs="Arial"/>
        </w:rPr>
      </w:pPr>
      <w:r w:rsidRPr="007E3074">
        <w:rPr>
          <w:rFonts w:eastAsia="Times New Roman" w:cs="Arial"/>
          <w:i/>
          <w:iCs/>
          <w:color w:val="000000"/>
          <w:u w:val="single"/>
          <w:lang w:eastAsia="bg-BG"/>
        </w:rPr>
        <w:t>Хронична сърдечна недостатъчност (ХСН)</w:t>
      </w:r>
    </w:p>
    <w:p w14:paraId="3B4AF522" w14:textId="77777777" w:rsidR="007E3074" w:rsidRPr="002D222C" w:rsidRDefault="007E3074" w:rsidP="007E3074">
      <w:pPr>
        <w:spacing w:line="240" w:lineRule="auto"/>
        <w:rPr>
          <w:rFonts w:eastAsia="Times New Roman" w:cs="Arial"/>
          <w:color w:val="000000"/>
          <w:lang w:eastAsia="bg-BG"/>
        </w:rPr>
      </w:pPr>
    </w:p>
    <w:p w14:paraId="328A9693" w14:textId="4293CDCC" w:rsidR="007E3074" w:rsidRPr="007E3074" w:rsidRDefault="007E3074" w:rsidP="007E3074">
      <w:pPr>
        <w:spacing w:line="240" w:lineRule="auto"/>
        <w:rPr>
          <w:rFonts w:eastAsia="Times New Roman" w:cs="Arial"/>
        </w:rPr>
      </w:pPr>
      <w:r w:rsidRPr="007E3074">
        <w:rPr>
          <w:rFonts w:eastAsia="Times New Roman" w:cs="Arial"/>
          <w:color w:val="000000"/>
          <w:lang w:eastAsia="bg-BG"/>
        </w:rPr>
        <w:t>Лечението на стабилна хронична сърдечна недостатъчност трябва да започне с постепенно увеличаване на дозата до постигане на оптималната индивидуална поддържаща доза.</w:t>
      </w:r>
    </w:p>
    <w:p w14:paraId="09BF4253"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Пациентите трябва да са със стабилна хронична сърдечна недостатъчност, без епизоди на остра недостатъчност през предходните 6 седмици. Препоръчително е лекуващият лекар да има опит при лечението на хроничната сърдечна недостатъчност.</w:t>
      </w:r>
    </w:p>
    <w:p w14:paraId="0960111E"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При пациенти, които са на лечение със сърдечно-съдови лекарства като диуретици и/или дигоксин и/или АСЕ инхибитори и/или ангиотензин-</w:t>
      </w:r>
      <w:r w:rsidRPr="007E3074">
        <w:rPr>
          <w:rFonts w:eastAsia="Times New Roman" w:cs="Arial"/>
          <w:color w:val="000000"/>
          <w:lang w:val="en-US"/>
        </w:rPr>
        <w:t>II</w:t>
      </w:r>
      <w:r w:rsidRPr="007E3074">
        <w:rPr>
          <w:rFonts w:eastAsia="Times New Roman" w:cs="Arial"/>
          <w:color w:val="000000"/>
          <w:lang w:eastAsia="bg-BG"/>
        </w:rPr>
        <w:t>-антагонисти, дозирането на тези лекарства трябва да бъде стабилизирано през предходните две седмици, преди започване на лечението с небиволол.</w:t>
      </w:r>
    </w:p>
    <w:p w14:paraId="457D70C2" w14:textId="77777777" w:rsidR="007E3074" w:rsidRPr="007E3074" w:rsidRDefault="007E3074" w:rsidP="007E3074">
      <w:pPr>
        <w:spacing w:line="240" w:lineRule="auto"/>
        <w:rPr>
          <w:rFonts w:eastAsia="Times New Roman" w:cs="Arial"/>
        </w:rPr>
      </w:pPr>
      <w:r w:rsidRPr="007E3074">
        <w:rPr>
          <w:rFonts w:eastAsia="Times New Roman" w:cs="Arial"/>
          <w:color w:val="000000"/>
          <w:lang w:eastAsia="bg-BG"/>
        </w:rPr>
        <w:t xml:space="preserve">Титрирането на дозата трябва да се извършва на интервали от 1-2 седмици, в зависимост от толерантността на пациента, по следните стъпки: 1,25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 xml:space="preserve">небиволол да се увеличи до 2,5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 xml:space="preserve">небиволол веднъж дневно, а след това до 5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 xml:space="preserve">веднъж дневно и после до 10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 xml:space="preserve">веднъж дневно. Максималната препоръчителна доза е 10 </w:t>
      </w:r>
      <w:r w:rsidRPr="007E3074">
        <w:rPr>
          <w:rFonts w:eastAsia="Times New Roman" w:cs="Arial"/>
          <w:color w:val="000000"/>
          <w:lang w:val="en-US"/>
        </w:rPr>
        <w:t>mg</w:t>
      </w:r>
      <w:r w:rsidRPr="007E3074">
        <w:rPr>
          <w:rFonts w:eastAsia="Times New Roman" w:cs="Arial"/>
          <w:color w:val="000000"/>
          <w:lang w:val="ru-RU"/>
        </w:rPr>
        <w:t xml:space="preserve"> </w:t>
      </w:r>
      <w:r w:rsidRPr="007E3074">
        <w:rPr>
          <w:rFonts w:eastAsia="Times New Roman" w:cs="Arial"/>
          <w:color w:val="000000"/>
          <w:lang w:eastAsia="bg-BG"/>
        </w:rPr>
        <w:t>небиволол веднъж дневно.</w:t>
      </w:r>
    </w:p>
    <w:p w14:paraId="309DF651" w14:textId="77777777" w:rsidR="002D222C" w:rsidRPr="002D222C" w:rsidRDefault="002D222C" w:rsidP="007E3074">
      <w:pPr>
        <w:spacing w:line="240" w:lineRule="auto"/>
        <w:rPr>
          <w:rFonts w:eastAsia="Times New Roman" w:cs="Arial"/>
          <w:color w:val="000000"/>
          <w:lang w:eastAsia="bg-BG"/>
        </w:rPr>
      </w:pPr>
    </w:p>
    <w:p w14:paraId="785B998A" w14:textId="044A474D" w:rsidR="007E3074" w:rsidRPr="007E3074" w:rsidRDefault="007E3074" w:rsidP="007E3074">
      <w:pPr>
        <w:spacing w:line="240" w:lineRule="auto"/>
        <w:rPr>
          <w:rFonts w:eastAsia="Times New Roman" w:cs="Arial"/>
        </w:rPr>
      </w:pPr>
      <w:r w:rsidRPr="007E3074">
        <w:rPr>
          <w:rFonts w:eastAsia="Times New Roman" w:cs="Arial"/>
          <w:color w:val="000000"/>
          <w:lang w:eastAsia="bg-BG"/>
        </w:rPr>
        <w:t>Започване на лечението и всяко увеличение на дозата трябва да се извършва под наблюдение на лекар в продължение на поне 2 часа, за да е сигурно, че клиничното състояние (особено по отношение на кръвно налягане, сърдечна честота, проводни нарушения и симптоми на влошаване на сърдечната недостатъчност) остава стабилно.</w:t>
      </w:r>
    </w:p>
    <w:p w14:paraId="1D5295D1" w14:textId="77777777" w:rsidR="002D222C" w:rsidRPr="002D222C" w:rsidRDefault="002D222C" w:rsidP="007E3074">
      <w:pPr>
        <w:spacing w:line="240" w:lineRule="auto"/>
        <w:rPr>
          <w:rFonts w:eastAsia="Times New Roman" w:cs="Arial"/>
          <w:color w:val="000000"/>
          <w:lang w:eastAsia="bg-BG"/>
        </w:rPr>
      </w:pPr>
    </w:p>
    <w:p w14:paraId="6D1E45E1" w14:textId="16A399DE" w:rsidR="007E3074" w:rsidRPr="007E3074" w:rsidRDefault="007E3074" w:rsidP="007E3074">
      <w:pPr>
        <w:spacing w:line="240" w:lineRule="auto"/>
        <w:rPr>
          <w:rFonts w:eastAsia="Times New Roman" w:cs="Arial"/>
        </w:rPr>
      </w:pPr>
      <w:r w:rsidRPr="007E3074">
        <w:rPr>
          <w:rFonts w:eastAsia="Times New Roman" w:cs="Arial"/>
          <w:color w:val="000000"/>
          <w:lang w:eastAsia="bg-BG"/>
        </w:rPr>
        <w:t xml:space="preserve">Наличието на нежелани реакции може да ограничи приложението на максималната препоръчителна доза при всички пациенти. При необходимост, достигнатата доза може </w:t>
      </w:r>
      <w:r w:rsidRPr="007E3074">
        <w:rPr>
          <w:rFonts w:eastAsia="Times New Roman" w:cs="Arial"/>
          <w:color w:val="000000"/>
          <w:lang w:eastAsia="bg-BG"/>
        </w:rPr>
        <w:lastRenderedPageBreak/>
        <w:t>да се намали стъпка по стъпка и постепенно увеличаване да се започне отново, когато е възможно.</w:t>
      </w:r>
    </w:p>
    <w:p w14:paraId="0A2DB5C9" w14:textId="77777777" w:rsidR="002D222C" w:rsidRPr="002D222C" w:rsidRDefault="002D222C" w:rsidP="007E3074">
      <w:pPr>
        <w:spacing w:line="240" w:lineRule="auto"/>
        <w:rPr>
          <w:rFonts w:eastAsia="Times New Roman" w:cs="Arial"/>
          <w:color w:val="000000"/>
          <w:lang w:eastAsia="bg-BG"/>
        </w:rPr>
      </w:pPr>
    </w:p>
    <w:p w14:paraId="3D6BC798" w14:textId="4FEB1FBF" w:rsidR="007E3074" w:rsidRPr="007E3074" w:rsidRDefault="007E3074" w:rsidP="007E3074">
      <w:pPr>
        <w:spacing w:line="240" w:lineRule="auto"/>
        <w:rPr>
          <w:rFonts w:eastAsia="Times New Roman" w:cs="Arial"/>
        </w:rPr>
      </w:pPr>
      <w:r w:rsidRPr="007E3074">
        <w:rPr>
          <w:rFonts w:eastAsia="Times New Roman" w:cs="Arial"/>
          <w:color w:val="000000"/>
          <w:lang w:eastAsia="bg-BG"/>
        </w:rPr>
        <w:t xml:space="preserve">По време на фазата на титриране, в случай на влошаване на сърдечната недостатъчност или при непоносимост, се препоръчва първо да се намали дозата небиволол или при необходимост (при тежка хипотония, влошаване на сърдечната недостатъчност с остър белодробен оток, кардиогенен шок, симптоматична брадикардия или </w:t>
      </w:r>
      <w:r w:rsidRPr="007E3074">
        <w:rPr>
          <w:rFonts w:eastAsia="Times New Roman" w:cs="Arial"/>
          <w:color w:val="000000"/>
          <w:lang w:val="en-US"/>
        </w:rPr>
        <w:t>AV</w:t>
      </w:r>
      <w:r w:rsidRPr="007E3074">
        <w:rPr>
          <w:rFonts w:eastAsia="Times New Roman" w:cs="Arial"/>
          <w:color w:val="000000"/>
          <w:lang w:val="ru-RU"/>
        </w:rPr>
        <w:t xml:space="preserve"> </w:t>
      </w:r>
      <w:r w:rsidRPr="007E3074">
        <w:rPr>
          <w:rFonts w:eastAsia="Times New Roman" w:cs="Arial"/>
          <w:color w:val="000000"/>
          <w:lang w:eastAsia="bg-BG"/>
        </w:rPr>
        <w:t>блок) да се спре веднага.</w:t>
      </w:r>
    </w:p>
    <w:p w14:paraId="7D2EAD93" w14:textId="77777777" w:rsidR="002D222C" w:rsidRPr="002D222C" w:rsidRDefault="002D222C" w:rsidP="007E3074">
      <w:pPr>
        <w:spacing w:line="240" w:lineRule="auto"/>
        <w:rPr>
          <w:rFonts w:eastAsia="Times New Roman" w:cs="Arial"/>
          <w:color w:val="000000"/>
          <w:lang w:eastAsia="bg-BG"/>
        </w:rPr>
      </w:pPr>
    </w:p>
    <w:p w14:paraId="6AD4D9A0" w14:textId="0D75D9BC" w:rsidR="007E3074" w:rsidRPr="007E3074" w:rsidRDefault="007E3074" w:rsidP="007E3074">
      <w:pPr>
        <w:spacing w:line="240" w:lineRule="auto"/>
        <w:rPr>
          <w:rFonts w:eastAsia="Times New Roman" w:cs="Arial"/>
        </w:rPr>
      </w:pPr>
      <w:r w:rsidRPr="007E3074">
        <w:rPr>
          <w:rFonts w:eastAsia="Times New Roman" w:cs="Arial"/>
          <w:color w:val="000000"/>
          <w:lang w:eastAsia="bg-BG"/>
        </w:rPr>
        <w:t>Лечението на стабилна хронична сърдечна недостатъчност с небиволол обикновено е продължителен процес.</w:t>
      </w:r>
    </w:p>
    <w:p w14:paraId="7E48F4FA" w14:textId="77777777" w:rsidR="002D222C" w:rsidRPr="002D222C" w:rsidRDefault="002D222C" w:rsidP="007E3074">
      <w:pPr>
        <w:spacing w:line="240" w:lineRule="auto"/>
        <w:rPr>
          <w:rFonts w:eastAsia="Times New Roman" w:cs="Arial"/>
          <w:color w:val="000000"/>
          <w:lang w:eastAsia="bg-BG"/>
        </w:rPr>
      </w:pPr>
    </w:p>
    <w:p w14:paraId="02ADACF0" w14:textId="02C5EE05" w:rsidR="007E3074" w:rsidRPr="007E3074" w:rsidRDefault="007E3074" w:rsidP="007E3074">
      <w:pPr>
        <w:spacing w:line="240" w:lineRule="auto"/>
        <w:rPr>
          <w:rFonts w:eastAsia="Times New Roman" w:cs="Arial"/>
        </w:rPr>
      </w:pPr>
      <w:r w:rsidRPr="007E3074">
        <w:rPr>
          <w:rFonts w:eastAsia="Times New Roman" w:cs="Arial"/>
          <w:color w:val="000000"/>
          <w:lang w:eastAsia="bg-BG"/>
        </w:rPr>
        <w:t>Не е препоръчително лечението да бъде прекратявано внезапно, тъй като това може да</w:t>
      </w:r>
      <w:r w:rsidRPr="007E3074">
        <w:rPr>
          <w:rFonts w:eastAsia="Times New Roman" w:cs="Arial"/>
          <w:color w:val="000000"/>
          <w:lang w:val="ru-RU"/>
        </w:rPr>
        <w:t xml:space="preserve"> </w:t>
      </w:r>
      <w:r w:rsidRPr="007E3074">
        <w:rPr>
          <w:rFonts w:eastAsia="Times New Roman" w:cs="Arial"/>
          <w:color w:val="000000"/>
          <w:lang w:eastAsia="bg-BG"/>
        </w:rPr>
        <w:t>доведе до временно влошаване на сърдечната недостатъчност. Ако е необходимо преустановяване на лечението, дозата трябва да се понижава постепенно, като на седмица се намалява наполовина</w:t>
      </w:r>
    </w:p>
    <w:p w14:paraId="3FE9F557" w14:textId="77777777" w:rsidR="002D222C" w:rsidRPr="002D222C" w:rsidRDefault="002D222C" w:rsidP="007E3074">
      <w:pPr>
        <w:spacing w:line="240" w:lineRule="auto"/>
        <w:rPr>
          <w:rFonts w:eastAsia="Times New Roman" w:cs="Arial"/>
          <w:i/>
          <w:iCs/>
          <w:color w:val="000000"/>
          <w:lang w:eastAsia="bg-BG"/>
        </w:rPr>
      </w:pPr>
    </w:p>
    <w:p w14:paraId="5BD0368C" w14:textId="2846D1C3" w:rsidR="007E3074" w:rsidRPr="007E3074" w:rsidRDefault="007E3074" w:rsidP="007E3074">
      <w:pPr>
        <w:spacing w:line="240" w:lineRule="auto"/>
        <w:rPr>
          <w:rFonts w:eastAsia="Times New Roman" w:cs="Arial"/>
        </w:rPr>
      </w:pPr>
      <w:r w:rsidRPr="007E3074">
        <w:rPr>
          <w:rFonts w:eastAsia="Times New Roman" w:cs="Arial"/>
          <w:i/>
          <w:iCs/>
          <w:color w:val="000000"/>
          <w:lang w:eastAsia="bg-BG"/>
        </w:rPr>
        <w:t>Пациенти с бъбречна недостатъчност</w:t>
      </w:r>
    </w:p>
    <w:p w14:paraId="253FEBB9" w14:textId="77777777" w:rsidR="002D222C" w:rsidRPr="002D222C" w:rsidRDefault="007E3074" w:rsidP="002D222C">
      <w:pPr>
        <w:rPr>
          <w:rFonts w:eastAsia="Times New Roman" w:cs="Arial"/>
        </w:rPr>
      </w:pPr>
      <w:r w:rsidRPr="002D222C">
        <w:rPr>
          <w:rFonts w:eastAsia="Times New Roman" w:cs="Arial"/>
          <w:color w:val="000000"/>
          <w:lang w:eastAsia="bg-BG"/>
        </w:rPr>
        <w:t>Не е необходима корекция на дозата при пациенти с лека до умерена бъбречна недостатъчност, тъй като титрирането на дозата до максималната поносима доза е индивидуално. Няма опит при</w:t>
      </w:r>
      <w:r w:rsidR="002D222C" w:rsidRPr="002D222C">
        <w:rPr>
          <w:rFonts w:eastAsia="Times New Roman" w:cs="Arial"/>
          <w:color w:val="000000"/>
          <w:lang w:val="ru-RU" w:eastAsia="bg-BG"/>
        </w:rPr>
        <w:t xml:space="preserve"> </w:t>
      </w:r>
      <w:r w:rsidR="002D222C" w:rsidRPr="002D222C">
        <w:rPr>
          <w:rFonts w:eastAsia="Times New Roman" w:cs="Arial"/>
          <w:color w:val="000000"/>
          <w:lang w:eastAsia="bg-BG"/>
        </w:rPr>
        <w:t>пациенти с тежка бъбречна недостатъчност (серумен креатинин ≥250 μ</w:t>
      </w:r>
      <w:proofErr w:type="spellStart"/>
      <w:r w:rsidR="002D222C" w:rsidRPr="002D222C">
        <w:rPr>
          <w:rFonts w:eastAsia="Times New Roman" w:cs="Arial"/>
          <w:color w:val="000000"/>
          <w:lang w:val="en-US"/>
        </w:rPr>
        <w:t>mol</w:t>
      </w:r>
      <w:proofErr w:type="spellEnd"/>
      <w:r w:rsidR="002D222C" w:rsidRPr="002D222C">
        <w:rPr>
          <w:rFonts w:eastAsia="Times New Roman" w:cs="Arial"/>
          <w:color w:val="000000"/>
          <w:lang w:val="ru-RU"/>
        </w:rPr>
        <w:t>/</w:t>
      </w:r>
      <w:r w:rsidR="002D222C" w:rsidRPr="002D222C">
        <w:rPr>
          <w:rFonts w:eastAsia="Times New Roman" w:cs="Arial"/>
          <w:color w:val="000000"/>
          <w:lang w:val="en-US"/>
        </w:rPr>
        <w:t>l</w:t>
      </w:r>
      <w:r w:rsidR="002D222C" w:rsidRPr="002D222C">
        <w:rPr>
          <w:rFonts w:eastAsia="Times New Roman" w:cs="Arial"/>
          <w:color w:val="000000"/>
          <w:lang w:eastAsia="bg-BG"/>
        </w:rPr>
        <w:t>). Ето защо, употребата на небиволол при тези пациенти не се препоръчва.</w:t>
      </w:r>
    </w:p>
    <w:p w14:paraId="4C54A11D" w14:textId="77777777" w:rsidR="002D222C" w:rsidRPr="002D222C" w:rsidRDefault="002D222C" w:rsidP="002D222C">
      <w:pPr>
        <w:spacing w:line="240" w:lineRule="auto"/>
        <w:rPr>
          <w:rFonts w:eastAsia="Times New Roman" w:cs="Arial"/>
          <w:i/>
          <w:iCs/>
          <w:color w:val="000000"/>
          <w:lang w:eastAsia="bg-BG"/>
        </w:rPr>
      </w:pPr>
    </w:p>
    <w:p w14:paraId="2042E0E4" w14:textId="366E9B9D" w:rsidR="002D222C" w:rsidRPr="002D222C" w:rsidRDefault="002D222C" w:rsidP="002D222C">
      <w:pPr>
        <w:spacing w:line="240" w:lineRule="auto"/>
        <w:rPr>
          <w:rFonts w:eastAsia="Times New Roman" w:cs="Arial"/>
        </w:rPr>
      </w:pPr>
      <w:r w:rsidRPr="002D222C">
        <w:rPr>
          <w:rFonts w:eastAsia="Times New Roman" w:cs="Arial"/>
          <w:i/>
          <w:iCs/>
          <w:color w:val="000000"/>
          <w:lang w:eastAsia="bg-BG"/>
        </w:rPr>
        <w:t>Пациенти с чернодробна недостатъчност</w:t>
      </w:r>
    </w:p>
    <w:p w14:paraId="40BA45A6" w14:textId="77777777" w:rsidR="002D222C" w:rsidRPr="002D222C" w:rsidRDefault="002D222C" w:rsidP="002D222C">
      <w:pPr>
        <w:spacing w:line="240" w:lineRule="auto"/>
        <w:rPr>
          <w:rFonts w:eastAsia="Times New Roman" w:cs="Arial"/>
        </w:rPr>
      </w:pPr>
      <w:r w:rsidRPr="002D222C">
        <w:rPr>
          <w:rFonts w:eastAsia="Times New Roman" w:cs="Arial"/>
          <w:color w:val="000000"/>
          <w:lang w:eastAsia="bg-BG"/>
        </w:rPr>
        <w:t>Данните за пациенти с чернодробна недостатъчност са ограничени. Ето защо, приложението на небиволол е противопоказано.</w:t>
      </w:r>
    </w:p>
    <w:p w14:paraId="6C79CACF" w14:textId="77777777" w:rsidR="002D222C" w:rsidRPr="002D222C" w:rsidRDefault="002D222C" w:rsidP="002D222C">
      <w:pPr>
        <w:spacing w:line="240" w:lineRule="auto"/>
        <w:rPr>
          <w:rFonts w:eastAsia="Times New Roman" w:cs="Arial"/>
          <w:i/>
          <w:iCs/>
          <w:color w:val="000000"/>
          <w:lang w:eastAsia="bg-BG"/>
        </w:rPr>
      </w:pPr>
    </w:p>
    <w:p w14:paraId="450EBB55" w14:textId="567548E1" w:rsidR="002D222C" w:rsidRPr="002D222C" w:rsidRDefault="002D222C" w:rsidP="002D222C">
      <w:pPr>
        <w:spacing w:line="240" w:lineRule="auto"/>
        <w:rPr>
          <w:rFonts w:eastAsia="Times New Roman" w:cs="Arial"/>
        </w:rPr>
      </w:pPr>
      <w:r w:rsidRPr="002D222C">
        <w:rPr>
          <w:rFonts w:eastAsia="Times New Roman" w:cs="Arial"/>
          <w:i/>
          <w:iCs/>
          <w:color w:val="000000"/>
          <w:lang w:eastAsia="bg-BG"/>
        </w:rPr>
        <w:t>Пациенти в старческа възраст</w:t>
      </w:r>
    </w:p>
    <w:p w14:paraId="61359766" w14:textId="6921F307" w:rsidR="002D222C" w:rsidRPr="002D222C" w:rsidRDefault="002D222C" w:rsidP="002D222C">
      <w:pPr>
        <w:spacing w:line="240" w:lineRule="auto"/>
        <w:rPr>
          <w:rFonts w:eastAsia="Times New Roman" w:cs="Arial"/>
        </w:rPr>
      </w:pPr>
      <w:r w:rsidRPr="002D222C">
        <w:rPr>
          <w:rFonts w:eastAsia="Times New Roman" w:cs="Arial"/>
          <w:color w:val="000000"/>
          <w:lang w:eastAsia="bg-BG"/>
        </w:rPr>
        <w:t>Няма нужда да се коригира дозата, тъй като титрирането до максималната поносима доза е индивидуално.</w:t>
      </w:r>
    </w:p>
    <w:p w14:paraId="4C18A8EE" w14:textId="77777777" w:rsidR="002D222C" w:rsidRPr="002D222C" w:rsidRDefault="002D222C" w:rsidP="002D222C">
      <w:pPr>
        <w:spacing w:line="240" w:lineRule="auto"/>
        <w:rPr>
          <w:rFonts w:eastAsia="Times New Roman" w:cs="Arial"/>
          <w:i/>
          <w:iCs/>
          <w:color w:val="000000"/>
          <w:lang w:eastAsia="bg-BG"/>
        </w:rPr>
      </w:pPr>
    </w:p>
    <w:p w14:paraId="5FFE16FE" w14:textId="176656B2" w:rsidR="002D222C" w:rsidRPr="002D222C" w:rsidRDefault="002D222C" w:rsidP="002D222C">
      <w:pPr>
        <w:spacing w:line="240" w:lineRule="auto"/>
        <w:rPr>
          <w:rFonts w:eastAsia="Times New Roman" w:cs="Arial"/>
        </w:rPr>
      </w:pPr>
      <w:r w:rsidRPr="002D222C">
        <w:rPr>
          <w:rFonts w:eastAsia="Times New Roman" w:cs="Arial"/>
          <w:i/>
          <w:iCs/>
          <w:color w:val="000000"/>
          <w:lang w:eastAsia="bg-BG"/>
        </w:rPr>
        <w:t>Педиатрична популация</w:t>
      </w:r>
    </w:p>
    <w:p w14:paraId="31C5008A" w14:textId="77777777" w:rsidR="002D222C" w:rsidRPr="002D222C" w:rsidRDefault="002D222C" w:rsidP="002D222C">
      <w:pPr>
        <w:spacing w:line="240" w:lineRule="auto"/>
        <w:rPr>
          <w:rFonts w:eastAsia="Times New Roman" w:cs="Arial"/>
        </w:rPr>
      </w:pPr>
      <w:r w:rsidRPr="002D222C">
        <w:rPr>
          <w:rFonts w:eastAsia="Times New Roman" w:cs="Arial"/>
          <w:color w:val="000000"/>
          <w:lang w:eastAsia="bg-BG"/>
        </w:rPr>
        <w:t>Небиволол не се препоръчва за употреба при деца и юноши под 18 години, поради липсата на достатъчно данни за безопасността и ефикасността на продукта при тези пациенти.</w:t>
      </w:r>
    </w:p>
    <w:p w14:paraId="7A60DB64" w14:textId="77777777" w:rsidR="002D222C" w:rsidRPr="002D222C" w:rsidRDefault="002D222C" w:rsidP="002D222C">
      <w:pPr>
        <w:spacing w:line="240" w:lineRule="auto"/>
        <w:rPr>
          <w:rFonts w:eastAsia="Times New Roman" w:cs="Arial"/>
          <w:color w:val="000000"/>
          <w:u w:val="single"/>
          <w:lang w:eastAsia="bg-BG"/>
        </w:rPr>
      </w:pPr>
    </w:p>
    <w:p w14:paraId="19070B3A" w14:textId="77777777" w:rsidR="002D222C" w:rsidRPr="002D222C" w:rsidRDefault="002D222C" w:rsidP="002D222C">
      <w:pPr>
        <w:pStyle w:val="Heading3"/>
        <w:rPr>
          <w:rFonts w:eastAsia="Times New Roman"/>
          <w:u w:val="single"/>
          <w:lang w:eastAsia="bg-BG"/>
        </w:rPr>
      </w:pPr>
      <w:r w:rsidRPr="002D222C">
        <w:rPr>
          <w:rFonts w:eastAsia="Times New Roman"/>
          <w:u w:val="single"/>
          <w:lang w:eastAsia="bg-BG"/>
        </w:rPr>
        <w:t xml:space="preserve">Начин на приложение </w:t>
      </w:r>
    </w:p>
    <w:p w14:paraId="6DB2880B" w14:textId="70CD8F80" w:rsidR="002D222C" w:rsidRPr="002D222C" w:rsidRDefault="002D222C" w:rsidP="002D222C">
      <w:pPr>
        <w:spacing w:line="240" w:lineRule="auto"/>
        <w:rPr>
          <w:rFonts w:eastAsia="Times New Roman" w:cs="Arial"/>
        </w:rPr>
      </w:pPr>
      <w:r w:rsidRPr="002D222C">
        <w:rPr>
          <w:rFonts w:eastAsia="Times New Roman" w:cs="Arial"/>
          <w:color w:val="000000"/>
          <w:lang w:eastAsia="bg-BG"/>
        </w:rPr>
        <w:t>Перорално приложение.</w:t>
      </w:r>
    </w:p>
    <w:p w14:paraId="751A0CFF" w14:textId="77777777" w:rsidR="002D222C" w:rsidRPr="002D222C" w:rsidRDefault="002D222C" w:rsidP="002D222C">
      <w:pPr>
        <w:spacing w:line="240" w:lineRule="auto"/>
        <w:rPr>
          <w:rFonts w:eastAsia="Times New Roman" w:cs="Arial"/>
        </w:rPr>
      </w:pPr>
      <w:r w:rsidRPr="002D222C">
        <w:rPr>
          <w:rFonts w:eastAsia="Times New Roman" w:cs="Arial"/>
          <w:color w:val="000000"/>
          <w:lang w:eastAsia="bg-BG"/>
        </w:rPr>
        <w:t>Таблетките могат да бъдат приемани по време на хранене, както и независимо от приема на храна.</w:t>
      </w:r>
    </w:p>
    <w:p w14:paraId="03718E59" w14:textId="77777777" w:rsidR="002D222C" w:rsidRPr="002D222C" w:rsidRDefault="002D222C" w:rsidP="002D222C">
      <w:pPr>
        <w:spacing w:line="240" w:lineRule="auto"/>
        <w:rPr>
          <w:rFonts w:eastAsia="Times New Roman" w:cs="Arial"/>
        </w:rPr>
      </w:pPr>
      <w:r w:rsidRPr="002D222C">
        <w:rPr>
          <w:rFonts w:eastAsia="Times New Roman" w:cs="Arial"/>
          <w:color w:val="000000"/>
          <w:lang w:eastAsia="bg-BG"/>
        </w:rPr>
        <w:t>Таблетките трябва да се приемат с достатъчно количество течност (например чаша вода).</w:t>
      </w:r>
    </w:p>
    <w:p w14:paraId="2970C82D" w14:textId="36FF54BF" w:rsidR="007E3074" w:rsidRPr="002D222C" w:rsidRDefault="007E3074" w:rsidP="007E3074"/>
    <w:p w14:paraId="0F253247" w14:textId="4DA29865" w:rsidR="007122AD" w:rsidRDefault="002C50EE" w:rsidP="00936AD0">
      <w:pPr>
        <w:pStyle w:val="Heading2"/>
      </w:pPr>
      <w:r>
        <w:t>4.3. Противопоказания</w:t>
      </w:r>
    </w:p>
    <w:p w14:paraId="71BD3833" w14:textId="0321F0BF" w:rsidR="002D222C" w:rsidRDefault="002D222C" w:rsidP="002D222C"/>
    <w:p w14:paraId="2B2B3EB2" w14:textId="4F0AA104" w:rsidR="002D222C" w:rsidRPr="002D222C" w:rsidRDefault="002D222C" w:rsidP="002D222C">
      <w:pPr>
        <w:pStyle w:val="ListParagraph"/>
        <w:numPr>
          <w:ilvl w:val="0"/>
          <w:numId w:val="2"/>
        </w:numPr>
        <w:spacing w:line="240" w:lineRule="auto"/>
        <w:rPr>
          <w:rFonts w:eastAsia="Times New Roman" w:cs="Arial"/>
          <w:sz w:val="24"/>
          <w:szCs w:val="24"/>
        </w:rPr>
      </w:pPr>
      <w:r w:rsidRPr="002D222C">
        <w:rPr>
          <w:rFonts w:eastAsia="Times New Roman" w:cs="Arial"/>
          <w:color w:val="000000"/>
          <w:lang w:eastAsia="bg-BG"/>
        </w:rPr>
        <w:t>Свръхчувствителност към активното вещество или към някое от помощните вещества, изброени в точка 6.1;</w:t>
      </w:r>
    </w:p>
    <w:p w14:paraId="3510F979" w14:textId="092F4AB3"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t>чернодробна недостатъчност или нарушена чернодробна функция;</w:t>
      </w:r>
    </w:p>
    <w:p w14:paraId="673F6362" w14:textId="66BF1ED2"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lastRenderedPageBreak/>
        <w:t>остра сърдечна недостатъчност, кардиогенен шок или епизоди на декомпенсирана сърдечна недостатъчност, изискваща интравенозна инотропна терапия.</w:t>
      </w:r>
    </w:p>
    <w:p w14:paraId="279095D8" w14:textId="77777777" w:rsidR="002D222C" w:rsidRPr="002D222C" w:rsidRDefault="002D222C" w:rsidP="002D222C">
      <w:pPr>
        <w:spacing w:line="240" w:lineRule="auto"/>
        <w:rPr>
          <w:rFonts w:eastAsia="Times New Roman" w:cs="Arial"/>
          <w:color w:val="000000"/>
          <w:lang w:eastAsia="bg-BG"/>
        </w:rPr>
      </w:pPr>
    </w:p>
    <w:p w14:paraId="05D48AEF" w14:textId="5896ADA6"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В допълнение, подобно на останалите бета-блокери, небиволол е противопоказан при:</w:t>
      </w:r>
    </w:p>
    <w:p w14:paraId="12A4C0FB" w14:textId="77777777"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t>синдром на болния синусов възел, включително сино-атриален блок;</w:t>
      </w:r>
    </w:p>
    <w:p w14:paraId="42AD7C22" w14:textId="77777777"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t>втора или трета степен сърдечен блок (без пейсмейкър);</w:t>
      </w:r>
    </w:p>
    <w:p w14:paraId="7481B0A7" w14:textId="77777777"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t>анамнеза за бронхоспазъм и бронхиална астма;</w:t>
      </w:r>
    </w:p>
    <w:p w14:paraId="28BFC54D" w14:textId="77777777"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t>нелекуван феохромоцитом;</w:t>
      </w:r>
    </w:p>
    <w:p w14:paraId="537668B2" w14:textId="77777777"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t>метаболитна ацидоза;</w:t>
      </w:r>
    </w:p>
    <w:p w14:paraId="31D5DCFA" w14:textId="77777777"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t>брадикардия (сърдечна честота &lt; 60 удара/минута преди началото на лечението);</w:t>
      </w:r>
    </w:p>
    <w:p w14:paraId="373349E8" w14:textId="77777777" w:rsidR="002D222C" w:rsidRPr="002D222C" w:rsidRDefault="002D222C" w:rsidP="002D222C">
      <w:pPr>
        <w:pStyle w:val="ListParagraph"/>
        <w:numPr>
          <w:ilvl w:val="0"/>
          <w:numId w:val="2"/>
        </w:numPr>
        <w:spacing w:line="240" w:lineRule="auto"/>
        <w:rPr>
          <w:rFonts w:eastAsia="Times New Roman" w:cs="Arial"/>
          <w:color w:val="000000"/>
          <w:lang w:eastAsia="bg-BG"/>
        </w:rPr>
      </w:pPr>
      <w:r w:rsidRPr="002D222C">
        <w:rPr>
          <w:rFonts w:eastAsia="Times New Roman" w:cs="Arial"/>
          <w:color w:val="000000"/>
          <w:lang w:eastAsia="bg-BG"/>
        </w:rPr>
        <w:t xml:space="preserve">хипотония (систолично артериално налягане &lt; 90 </w:t>
      </w:r>
      <w:r w:rsidRPr="002D222C">
        <w:rPr>
          <w:rFonts w:eastAsia="Times New Roman" w:cs="Arial"/>
          <w:color w:val="000000"/>
          <w:lang w:val="en-US"/>
        </w:rPr>
        <w:t>mmHg</w:t>
      </w:r>
      <w:r w:rsidRPr="002D222C">
        <w:rPr>
          <w:rFonts w:eastAsia="Times New Roman" w:cs="Arial"/>
          <w:color w:val="000000"/>
          <w:lang w:val="ru-RU"/>
        </w:rPr>
        <w:t>);</w:t>
      </w:r>
    </w:p>
    <w:p w14:paraId="1171DF78" w14:textId="788591B2" w:rsidR="002D222C" w:rsidRPr="002D222C" w:rsidRDefault="002D222C" w:rsidP="002D222C">
      <w:pPr>
        <w:pStyle w:val="ListParagraph"/>
        <w:numPr>
          <w:ilvl w:val="0"/>
          <w:numId w:val="2"/>
        </w:numPr>
        <w:spacing w:line="240" w:lineRule="auto"/>
        <w:rPr>
          <w:rFonts w:ascii="Times New Roman" w:eastAsia="Times New Roman" w:hAnsi="Times New Roman" w:cs="Times New Roman"/>
          <w:color w:val="000000"/>
          <w:lang w:eastAsia="bg-BG"/>
        </w:rPr>
      </w:pPr>
      <w:r w:rsidRPr="002D222C">
        <w:rPr>
          <w:rFonts w:eastAsia="Times New Roman" w:cs="Arial"/>
          <w:color w:val="000000"/>
          <w:lang w:eastAsia="bg-BG"/>
        </w:rPr>
        <w:t>тежки нарушения в периферното кръвообращение.</w:t>
      </w:r>
    </w:p>
    <w:p w14:paraId="481D785F" w14:textId="77777777" w:rsidR="002D222C" w:rsidRPr="002D222C" w:rsidRDefault="002D222C" w:rsidP="002D222C"/>
    <w:p w14:paraId="0E0BDCC7" w14:textId="206B8588" w:rsidR="007122AD" w:rsidRDefault="002C50EE" w:rsidP="00936AD0">
      <w:pPr>
        <w:pStyle w:val="Heading2"/>
      </w:pPr>
      <w:r>
        <w:t>4.4. Специални предупреждения и предпазни мерки при употреба</w:t>
      </w:r>
    </w:p>
    <w:p w14:paraId="57EE6DC0" w14:textId="70F53331" w:rsidR="002D222C" w:rsidRDefault="002D222C" w:rsidP="002D222C"/>
    <w:p w14:paraId="252BDB2E"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Следните предупреждения и предпазни мерки важат за бета-адренергичните антагонисти като цяло (вж.също точка 4.8).</w:t>
      </w:r>
    </w:p>
    <w:p w14:paraId="06757DCB" w14:textId="77777777" w:rsidR="002D222C" w:rsidRPr="005F02B7" w:rsidRDefault="002D222C" w:rsidP="002D222C">
      <w:pPr>
        <w:spacing w:line="240" w:lineRule="auto"/>
        <w:rPr>
          <w:rFonts w:eastAsia="Times New Roman" w:cs="Arial"/>
          <w:color w:val="000000"/>
          <w:u w:val="single"/>
          <w:lang w:eastAsia="bg-BG"/>
        </w:rPr>
      </w:pPr>
    </w:p>
    <w:p w14:paraId="1E844622" w14:textId="2142459E" w:rsidR="002D222C" w:rsidRPr="002D222C" w:rsidRDefault="002D222C" w:rsidP="002D222C">
      <w:pPr>
        <w:spacing w:line="240" w:lineRule="auto"/>
        <w:rPr>
          <w:rFonts w:eastAsia="Times New Roman" w:cs="Arial"/>
          <w:sz w:val="24"/>
          <w:szCs w:val="24"/>
        </w:rPr>
      </w:pPr>
      <w:r w:rsidRPr="002D222C">
        <w:rPr>
          <w:rFonts w:eastAsia="Times New Roman" w:cs="Arial"/>
          <w:color w:val="000000"/>
          <w:u w:val="single"/>
          <w:lang w:eastAsia="bg-BG"/>
        </w:rPr>
        <w:t>Анестезия</w:t>
      </w:r>
    </w:p>
    <w:p w14:paraId="538358B2"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Продължаване на бета-блокадата намалява риска от аритмии по време на въвеждане в анестезия и интубиране. Ако бета-блокадата се прекъсне при подготовка за операция, приемането на бета-адренергичен антагонист трябва да бъде преустановено поне 24 часа преди това. Трябва да се внимава при приложението на някои анестетици, като например циклопропан, етер или трихлоретилен, които причиняват миокардна депресия. Интравенозно приложен атропин може да предотврати появата на вагусови реакции.</w:t>
      </w:r>
    </w:p>
    <w:p w14:paraId="4A184CAC" w14:textId="77777777" w:rsidR="002D222C" w:rsidRPr="005F02B7" w:rsidRDefault="002D222C" w:rsidP="002D222C">
      <w:pPr>
        <w:spacing w:line="240" w:lineRule="auto"/>
        <w:rPr>
          <w:rFonts w:eastAsia="Times New Roman" w:cs="Arial"/>
          <w:color w:val="000000"/>
          <w:u w:val="single"/>
          <w:lang w:eastAsia="bg-BG"/>
        </w:rPr>
      </w:pPr>
    </w:p>
    <w:p w14:paraId="70EE9667" w14:textId="6578105A" w:rsidR="002D222C" w:rsidRPr="002D222C" w:rsidRDefault="002D222C" w:rsidP="002D222C">
      <w:pPr>
        <w:spacing w:line="240" w:lineRule="auto"/>
        <w:rPr>
          <w:rFonts w:eastAsia="Times New Roman" w:cs="Arial"/>
          <w:sz w:val="24"/>
          <w:szCs w:val="24"/>
        </w:rPr>
      </w:pPr>
      <w:r w:rsidRPr="002D222C">
        <w:rPr>
          <w:rFonts w:eastAsia="Times New Roman" w:cs="Arial"/>
          <w:color w:val="000000"/>
          <w:u w:val="single"/>
          <w:lang w:eastAsia="bg-BG"/>
        </w:rPr>
        <w:t>Сърдечно-съдова система</w:t>
      </w:r>
    </w:p>
    <w:p w14:paraId="09B9D3D8" w14:textId="64677B7B" w:rsidR="002D222C" w:rsidRPr="005F02B7" w:rsidRDefault="002D222C" w:rsidP="002D222C">
      <w:pPr>
        <w:rPr>
          <w:rFonts w:eastAsia="Times New Roman" w:cs="Arial"/>
          <w:color w:val="000000"/>
          <w:lang w:eastAsia="bg-BG"/>
        </w:rPr>
      </w:pPr>
      <w:r w:rsidRPr="005F02B7">
        <w:rPr>
          <w:rFonts w:eastAsia="Times New Roman" w:cs="Arial"/>
          <w:color w:val="000000"/>
          <w:lang w:eastAsia="bg-BG"/>
        </w:rPr>
        <w:t>По принцип, бета-адренергични антагонисти не трябва да се използват при</w:t>
      </w:r>
      <w:r w:rsidRPr="005F02B7">
        <w:rPr>
          <w:rFonts w:eastAsia="Times New Roman" w:cs="Arial"/>
          <w:color w:val="000000"/>
          <w:lang w:val="ru-RU"/>
        </w:rPr>
        <w:t xml:space="preserve"> </w:t>
      </w:r>
      <w:r w:rsidRPr="005F02B7">
        <w:rPr>
          <w:rFonts w:eastAsia="Times New Roman" w:cs="Arial"/>
          <w:color w:val="000000"/>
          <w:lang w:eastAsia="bg-BG"/>
        </w:rPr>
        <w:t>пациенти с нелекувана застойна сърдечна недостатъчност, докато състоянието им не се стабилизира.</w:t>
      </w:r>
    </w:p>
    <w:p w14:paraId="70F91A5D" w14:textId="1F754538" w:rsidR="002D222C" w:rsidRPr="005F02B7" w:rsidRDefault="002D222C" w:rsidP="002D222C">
      <w:pPr>
        <w:rPr>
          <w:rFonts w:eastAsia="Times New Roman" w:cs="Arial"/>
          <w:color w:val="000000"/>
          <w:lang w:eastAsia="bg-BG"/>
        </w:rPr>
      </w:pPr>
    </w:p>
    <w:p w14:paraId="2648B74E"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При пациенти с исхемична болест на сърцето, лечението с бета-адренергични антагонисти трябва да бъде прекратено постепенно, т.с. в продължение на повече от 1-2 седмици. При необходимост, през този период се започва заместваща терапия, за да се избегне влошаване на ангина пекторис.</w:t>
      </w:r>
    </w:p>
    <w:p w14:paraId="4EACEA33"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Бета-адренергичните антагонисти могат да причинят брадикардия: ако честотата на пулса се понижи под 50-55 удара в минута в покой и/или пациентът прояви симптоми на брадикардия, дозата трябва да бъде намалена.</w:t>
      </w:r>
    </w:p>
    <w:p w14:paraId="522A12CB" w14:textId="77777777" w:rsidR="002D222C" w:rsidRPr="005F02B7" w:rsidRDefault="002D222C" w:rsidP="002D222C">
      <w:pPr>
        <w:spacing w:line="240" w:lineRule="auto"/>
        <w:rPr>
          <w:rFonts w:eastAsia="Times New Roman" w:cs="Arial"/>
          <w:color w:val="000000"/>
          <w:lang w:eastAsia="bg-BG"/>
        </w:rPr>
      </w:pPr>
    </w:p>
    <w:p w14:paraId="5AA18F93" w14:textId="13F2516A"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Бета-адренергичните антагонисти трябва да бъдат използвани внимателно при:</w:t>
      </w:r>
    </w:p>
    <w:p w14:paraId="6E95F703" w14:textId="77777777" w:rsidR="005F02B7" w:rsidRPr="005F02B7" w:rsidRDefault="002D222C" w:rsidP="002D222C">
      <w:pPr>
        <w:pStyle w:val="ListParagraph"/>
        <w:numPr>
          <w:ilvl w:val="0"/>
          <w:numId w:val="38"/>
        </w:numPr>
        <w:spacing w:line="240" w:lineRule="auto"/>
        <w:rPr>
          <w:rFonts w:eastAsia="Times New Roman" w:cs="Arial"/>
          <w:sz w:val="24"/>
          <w:szCs w:val="24"/>
        </w:rPr>
      </w:pPr>
      <w:r w:rsidRPr="005F02B7">
        <w:rPr>
          <w:rFonts w:eastAsia="Times New Roman" w:cs="Arial"/>
          <w:color w:val="000000"/>
          <w:lang w:eastAsia="bg-BG"/>
        </w:rPr>
        <w:t>пациенти с нарушено периферно кръвообращение (болест или синдром на Рейно, интермитентно накуцване), тъй като те могат да се усложнят;</w:t>
      </w:r>
    </w:p>
    <w:p w14:paraId="3DD01F9C" w14:textId="77777777" w:rsidR="005F02B7" w:rsidRPr="005F02B7" w:rsidRDefault="002D222C" w:rsidP="002D222C">
      <w:pPr>
        <w:pStyle w:val="ListParagraph"/>
        <w:numPr>
          <w:ilvl w:val="0"/>
          <w:numId w:val="38"/>
        </w:numPr>
        <w:spacing w:line="240" w:lineRule="auto"/>
        <w:rPr>
          <w:rFonts w:eastAsia="Times New Roman" w:cs="Arial"/>
          <w:sz w:val="24"/>
          <w:szCs w:val="24"/>
        </w:rPr>
      </w:pPr>
      <w:r w:rsidRPr="005F02B7">
        <w:rPr>
          <w:rFonts w:eastAsia="Times New Roman" w:cs="Arial"/>
          <w:color w:val="000000"/>
          <w:lang w:eastAsia="bg-BG"/>
        </w:rPr>
        <w:t xml:space="preserve">пациенти със сърдечен блок </w:t>
      </w:r>
      <w:r w:rsidRPr="005F02B7">
        <w:rPr>
          <w:rFonts w:eastAsia="Times New Roman" w:cs="Arial"/>
          <w:color w:val="000000"/>
          <w:lang w:val="en-US"/>
        </w:rPr>
        <w:t>I</w:t>
      </w:r>
      <w:r w:rsidRPr="005F02B7">
        <w:rPr>
          <w:rFonts w:eastAsia="Times New Roman" w:cs="Arial"/>
          <w:color w:val="000000"/>
          <w:lang w:eastAsia="bg-BG"/>
        </w:rPr>
        <w:t>-ва степен, поради негативния ефект на бета-блокерите върху времето на провеждане;</w:t>
      </w:r>
    </w:p>
    <w:p w14:paraId="1A9BC69A" w14:textId="50D95CF6" w:rsidR="002D222C" w:rsidRPr="005F02B7" w:rsidRDefault="002D222C" w:rsidP="002D222C">
      <w:pPr>
        <w:pStyle w:val="ListParagraph"/>
        <w:numPr>
          <w:ilvl w:val="0"/>
          <w:numId w:val="38"/>
        </w:numPr>
        <w:spacing w:line="240" w:lineRule="auto"/>
        <w:rPr>
          <w:rFonts w:eastAsia="Times New Roman" w:cs="Arial"/>
          <w:sz w:val="24"/>
          <w:szCs w:val="24"/>
        </w:rPr>
      </w:pPr>
      <w:r w:rsidRPr="005F02B7">
        <w:rPr>
          <w:rFonts w:eastAsia="Times New Roman" w:cs="Arial"/>
          <w:color w:val="000000"/>
          <w:lang w:eastAsia="bg-BG"/>
        </w:rPr>
        <w:lastRenderedPageBreak/>
        <w:t>пациенти с ангина на Принцметал, поради предизвиканата от алфа-рецепторите констрикция на коронарната артерия. Бета-адренергичните антагонисти могат да увеличат броя и продължителността на ангинозните пристъпи.</w:t>
      </w:r>
    </w:p>
    <w:p w14:paraId="289577BD" w14:textId="77777777" w:rsidR="005F02B7" w:rsidRPr="005F02B7" w:rsidRDefault="005F02B7" w:rsidP="002D222C">
      <w:pPr>
        <w:spacing w:line="240" w:lineRule="auto"/>
        <w:rPr>
          <w:rFonts w:eastAsia="Times New Roman" w:cs="Arial"/>
          <w:color w:val="000000"/>
          <w:u w:val="single"/>
          <w:lang w:eastAsia="bg-BG"/>
        </w:rPr>
      </w:pPr>
    </w:p>
    <w:p w14:paraId="651ECC59" w14:textId="74598021" w:rsidR="002D222C" w:rsidRPr="002D222C" w:rsidRDefault="002D222C" w:rsidP="002D222C">
      <w:pPr>
        <w:spacing w:line="240" w:lineRule="auto"/>
        <w:rPr>
          <w:rFonts w:eastAsia="Times New Roman" w:cs="Arial"/>
          <w:sz w:val="24"/>
          <w:szCs w:val="24"/>
        </w:rPr>
      </w:pPr>
      <w:r w:rsidRPr="002D222C">
        <w:rPr>
          <w:rFonts w:eastAsia="Times New Roman" w:cs="Arial"/>
          <w:color w:val="000000"/>
          <w:u w:val="single"/>
          <w:lang w:eastAsia="bg-BG"/>
        </w:rPr>
        <w:t>Метаболизъм/Ендокриниа система</w:t>
      </w:r>
    </w:p>
    <w:p w14:paraId="69925A55"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Небиволол не повлиява нивата на глюкоза в кръвта при пациенти със захарен диабет. Въпреки това, трябва да се внимава при диабетици, тъй като небиволол може да маскира някои от симптомите на хипогликемия (тахикардия, палпитации).</w:t>
      </w:r>
    </w:p>
    <w:p w14:paraId="2EA04D37"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Бета-адренергичните блокери могат да маскират симптоми на тахикардия при хипертиреоидизъм. Внезапното прекъсване на лечението може да засили симптомите.</w:t>
      </w:r>
    </w:p>
    <w:p w14:paraId="1065DE21" w14:textId="77777777" w:rsidR="005F02B7" w:rsidRPr="005F02B7" w:rsidRDefault="005F02B7" w:rsidP="002D222C">
      <w:pPr>
        <w:spacing w:line="240" w:lineRule="auto"/>
        <w:rPr>
          <w:rFonts w:eastAsia="Times New Roman" w:cs="Arial"/>
          <w:color w:val="000000"/>
          <w:u w:val="single"/>
          <w:lang w:eastAsia="bg-BG"/>
        </w:rPr>
      </w:pPr>
    </w:p>
    <w:p w14:paraId="56BF04C1" w14:textId="091F49FB" w:rsidR="002D222C" w:rsidRPr="002D222C" w:rsidRDefault="002D222C" w:rsidP="002D222C">
      <w:pPr>
        <w:spacing w:line="240" w:lineRule="auto"/>
        <w:rPr>
          <w:rFonts w:eastAsia="Times New Roman" w:cs="Arial"/>
          <w:sz w:val="24"/>
          <w:szCs w:val="24"/>
        </w:rPr>
      </w:pPr>
      <w:r w:rsidRPr="002D222C">
        <w:rPr>
          <w:rFonts w:eastAsia="Times New Roman" w:cs="Arial"/>
          <w:color w:val="000000"/>
          <w:u w:val="single"/>
          <w:lang w:eastAsia="bg-BG"/>
        </w:rPr>
        <w:t>Дихателна система</w:t>
      </w:r>
    </w:p>
    <w:p w14:paraId="79264EC7"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При пациенти с хронична обструктивна белодробна болест (ХОББ), бета-адренергични антагонисти трябва да се използват предпазливо, тъй като могат да засилят спазъма на дихателните пътища.</w:t>
      </w:r>
    </w:p>
    <w:p w14:paraId="47B2D136" w14:textId="77777777" w:rsidR="005F02B7" w:rsidRPr="005F02B7" w:rsidRDefault="005F02B7" w:rsidP="002D222C">
      <w:pPr>
        <w:spacing w:line="240" w:lineRule="auto"/>
        <w:rPr>
          <w:rFonts w:eastAsia="Times New Roman" w:cs="Arial"/>
          <w:color w:val="000000"/>
          <w:u w:val="single"/>
          <w:lang w:eastAsia="bg-BG"/>
        </w:rPr>
      </w:pPr>
    </w:p>
    <w:p w14:paraId="4DA9335C" w14:textId="2F075774" w:rsidR="002D222C" w:rsidRPr="002D222C" w:rsidRDefault="002D222C" w:rsidP="002D222C">
      <w:pPr>
        <w:spacing w:line="240" w:lineRule="auto"/>
        <w:rPr>
          <w:rFonts w:eastAsia="Times New Roman" w:cs="Arial"/>
          <w:sz w:val="24"/>
          <w:szCs w:val="24"/>
        </w:rPr>
      </w:pPr>
      <w:r w:rsidRPr="002D222C">
        <w:rPr>
          <w:rFonts w:eastAsia="Times New Roman" w:cs="Arial"/>
          <w:color w:val="000000"/>
          <w:u w:val="single"/>
          <w:lang w:eastAsia="bg-BG"/>
        </w:rPr>
        <w:t>Други</w:t>
      </w:r>
    </w:p>
    <w:p w14:paraId="6F242F0E"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Пациенти с анамнеза за псориазис трябва да приемат бета-адренергични антагонисти само след внимателна преценка.</w:t>
      </w:r>
    </w:p>
    <w:p w14:paraId="5A2E15BC"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Бета-адренергичните антагонисти могат да увеличат чувствителността към алергени и тежестта на анафилактичните реакции.</w:t>
      </w:r>
    </w:p>
    <w:p w14:paraId="4B0DCD5E" w14:textId="77777777" w:rsidR="005F02B7" w:rsidRPr="005F02B7" w:rsidRDefault="005F02B7" w:rsidP="002D222C">
      <w:pPr>
        <w:spacing w:line="240" w:lineRule="auto"/>
        <w:rPr>
          <w:rFonts w:eastAsia="Times New Roman" w:cs="Arial"/>
          <w:color w:val="000000"/>
          <w:lang w:eastAsia="bg-BG"/>
        </w:rPr>
      </w:pPr>
    </w:p>
    <w:p w14:paraId="3504ABA2" w14:textId="3210D6D1"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Започването на лечение на хронична сърдечна недостатъчност с небиволол изисква постоянно наблюдение. За дозировка и начин на приложение, вижте точка 4.2. Лечението не бива да се прекъсва внезапно, освен ако не е категорично показано (вж. точка 4.2).</w:t>
      </w:r>
    </w:p>
    <w:p w14:paraId="0F3933A1"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Комбинацията на небиволол с калциеви антагонисти от типа на верапамил или дилтиазем, с клас I антиаритмици и с централно действащи антихипертензивни лекарствени средства не е препоръчителна (вж. точка 4.5).</w:t>
      </w:r>
    </w:p>
    <w:p w14:paraId="04540735" w14:textId="77777777" w:rsidR="005F02B7" w:rsidRPr="005F02B7" w:rsidRDefault="005F02B7" w:rsidP="002D222C">
      <w:pPr>
        <w:spacing w:line="240" w:lineRule="auto"/>
        <w:rPr>
          <w:rFonts w:eastAsia="Times New Roman" w:cs="Arial"/>
          <w:color w:val="000000"/>
          <w:u w:val="single"/>
          <w:lang w:eastAsia="bg-BG"/>
        </w:rPr>
      </w:pPr>
    </w:p>
    <w:p w14:paraId="207E6FCC" w14:textId="6B8C66E3" w:rsidR="002D222C" w:rsidRPr="002D222C" w:rsidRDefault="002D222C" w:rsidP="002D222C">
      <w:pPr>
        <w:spacing w:line="240" w:lineRule="auto"/>
        <w:rPr>
          <w:rFonts w:eastAsia="Times New Roman" w:cs="Arial"/>
          <w:sz w:val="24"/>
          <w:szCs w:val="24"/>
        </w:rPr>
      </w:pPr>
      <w:r w:rsidRPr="002D222C">
        <w:rPr>
          <w:rFonts w:eastAsia="Times New Roman" w:cs="Arial"/>
          <w:color w:val="000000"/>
          <w:u w:val="single"/>
          <w:lang w:eastAsia="bg-BG"/>
        </w:rPr>
        <w:t>Помощни вещества</w:t>
      </w:r>
    </w:p>
    <w:p w14:paraId="2D93A373" w14:textId="77777777" w:rsidR="002D222C" w:rsidRPr="002D222C" w:rsidRDefault="002D222C" w:rsidP="002D222C">
      <w:pPr>
        <w:spacing w:line="240" w:lineRule="auto"/>
        <w:rPr>
          <w:rFonts w:eastAsia="Times New Roman" w:cs="Arial"/>
          <w:sz w:val="24"/>
          <w:szCs w:val="24"/>
        </w:rPr>
      </w:pPr>
      <w:r w:rsidRPr="002D222C">
        <w:rPr>
          <w:rFonts w:eastAsia="Times New Roman" w:cs="Arial"/>
          <w:color w:val="000000"/>
          <w:lang w:eastAsia="bg-BG"/>
        </w:rPr>
        <w:t xml:space="preserve">Този лекарствен продукт съдържа лактоза. Пациенти с редки наследствени проблеми на галактозна непоносимост, </w:t>
      </w:r>
      <w:r w:rsidRPr="002D222C">
        <w:rPr>
          <w:rFonts w:eastAsia="Times New Roman" w:cs="Arial"/>
          <w:i/>
          <w:iCs/>
          <w:color w:val="000000"/>
          <w:lang w:val="en-US"/>
        </w:rPr>
        <w:t>Lapp</w:t>
      </w:r>
      <w:r w:rsidRPr="002D222C">
        <w:rPr>
          <w:rFonts w:eastAsia="Times New Roman" w:cs="Arial"/>
          <w:i/>
          <w:iCs/>
          <w:color w:val="000000"/>
          <w:lang w:val="ru-RU"/>
        </w:rPr>
        <w:t xml:space="preserve"> </w:t>
      </w:r>
      <w:r w:rsidRPr="002D222C">
        <w:rPr>
          <w:rFonts w:eastAsia="Times New Roman" w:cs="Arial"/>
          <w:i/>
          <w:iCs/>
          <w:color w:val="000000"/>
          <w:lang w:eastAsia="bg-BG"/>
        </w:rPr>
        <w:t>-</w:t>
      </w:r>
      <w:r w:rsidRPr="002D222C">
        <w:rPr>
          <w:rFonts w:eastAsia="Times New Roman" w:cs="Arial"/>
          <w:color w:val="000000"/>
          <w:lang w:eastAsia="bg-BG"/>
        </w:rPr>
        <w:t xml:space="preserve"> лактазен дефицит или глюкозо-галактозна малабсорбция не трябва да приемат това лекарство.</w:t>
      </w:r>
    </w:p>
    <w:p w14:paraId="1E4E9726" w14:textId="48094CB8" w:rsidR="005F02B7" w:rsidRPr="002D222C" w:rsidRDefault="005F02B7" w:rsidP="002D222C"/>
    <w:p w14:paraId="0734264C" w14:textId="654915B2" w:rsidR="007122AD" w:rsidRDefault="002C50EE" w:rsidP="00936AD0">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FD24241" w14:textId="0044835F" w:rsidR="005F02B7" w:rsidRDefault="005F02B7" w:rsidP="005F02B7"/>
    <w:p w14:paraId="01454040"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u w:val="single"/>
          <w:lang w:eastAsia="bg-BG"/>
        </w:rPr>
        <w:t>Фармакодинамични взаимодействия</w:t>
      </w:r>
    </w:p>
    <w:p w14:paraId="58BE7E83"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По принцип за бета-адренергичните антагонисти са характерни следните взаимодействия:</w:t>
      </w:r>
    </w:p>
    <w:p w14:paraId="11A08EAD" w14:textId="77777777" w:rsidR="005F02B7" w:rsidRPr="005F02B7" w:rsidRDefault="005F02B7" w:rsidP="005F02B7">
      <w:pPr>
        <w:spacing w:line="240" w:lineRule="auto"/>
        <w:rPr>
          <w:rFonts w:eastAsia="Times New Roman" w:cs="Arial"/>
          <w:i/>
          <w:iCs/>
          <w:color w:val="000000"/>
          <w:u w:val="single"/>
          <w:lang w:eastAsia="bg-BG"/>
        </w:rPr>
      </w:pPr>
    </w:p>
    <w:p w14:paraId="1F084853" w14:textId="65B5FC65"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u w:val="single"/>
          <w:lang w:eastAsia="bg-BG"/>
        </w:rPr>
        <w:t>Непрепоръчителни комбинации</w:t>
      </w:r>
    </w:p>
    <w:p w14:paraId="09B212B1" w14:textId="77777777" w:rsidR="005F02B7" w:rsidRPr="005F02B7" w:rsidRDefault="005F02B7" w:rsidP="005F02B7">
      <w:pPr>
        <w:spacing w:line="240" w:lineRule="auto"/>
        <w:rPr>
          <w:rFonts w:eastAsia="Times New Roman" w:cs="Arial"/>
          <w:i/>
          <w:iCs/>
          <w:color w:val="000000"/>
          <w:lang w:eastAsia="bg-BG"/>
        </w:rPr>
      </w:pPr>
    </w:p>
    <w:p w14:paraId="1BCB6A34" w14:textId="0F83D6E3" w:rsidR="005F02B7" w:rsidRPr="005F02B7" w:rsidRDefault="005F02B7" w:rsidP="005F02B7">
      <w:pPr>
        <w:spacing w:line="240" w:lineRule="auto"/>
        <w:rPr>
          <w:rFonts w:eastAsia="Times New Roman" w:cs="Arial"/>
          <w:color w:val="000000"/>
          <w:lang w:eastAsia="bg-BG"/>
        </w:rPr>
      </w:pPr>
      <w:r w:rsidRPr="005F02B7">
        <w:rPr>
          <w:rFonts w:eastAsia="Times New Roman" w:cs="Arial"/>
          <w:i/>
          <w:iCs/>
          <w:color w:val="000000"/>
          <w:lang w:eastAsia="bg-BG"/>
        </w:rPr>
        <w:t>Клас I антиаритмици (хинидин, хидрохинидин, цибензолин, флекаинид, дизопирамид, лидокаин, мексилетин, пропафенон):</w:t>
      </w:r>
      <w:r w:rsidRPr="005F02B7">
        <w:rPr>
          <w:rFonts w:eastAsia="Times New Roman" w:cs="Arial"/>
          <w:color w:val="000000"/>
          <w:lang w:eastAsia="bg-BG"/>
        </w:rPr>
        <w:t xml:space="preserve"> може да се потенцира ефектът върху атрио-вентрикуларното време за провеждане и да се усили негативният инотропен ефект (вж. точка 4.4).</w:t>
      </w:r>
    </w:p>
    <w:p w14:paraId="4FD779FC" w14:textId="186FA93E" w:rsidR="005F02B7" w:rsidRPr="005F02B7" w:rsidRDefault="005F02B7" w:rsidP="005F02B7">
      <w:pPr>
        <w:spacing w:line="240" w:lineRule="auto"/>
        <w:rPr>
          <w:rFonts w:eastAsia="Times New Roman" w:cs="Arial"/>
          <w:color w:val="000000"/>
          <w:lang w:eastAsia="bg-BG"/>
        </w:rPr>
      </w:pPr>
    </w:p>
    <w:p w14:paraId="0CD4C244" w14:textId="77777777"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Калциеви антагонисти от типа на верапамил или дилтиазем:</w:t>
      </w:r>
      <w:r w:rsidRPr="005F02B7">
        <w:rPr>
          <w:rFonts w:eastAsia="Times New Roman" w:cs="Arial"/>
          <w:color w:val="000000"/>
          <w:lang w:eastAsia="bg-BG"/>
        </w:rPr>
        <w:t xml:space="preserve"> негативно влияние върху контрактилитета и атрио-вентрикуларната проводимост. Ингравенозното приложение на </w:t>
      </w:r>
      <w:r w:rsidRPr="005F02B7">
        <w:rPr>
          <w:rFonts w:eastAsia="Times New Roman" w:cs="Arial"/>
          <w:color w:val="000000"/>
          <w:lang w:eastAsia="bg-BG"/>
        </w:rPr>
        <w:lastRenderedPageBreak/>
        <w:t xml:space="preserve">верапамил при пациенти, приемащи бета-блокери, може да доведе до тежка хипотония и атрио- вентрикуларен блок </w:t>
      </w:r>
      <w:r w:rsidRPr="005F02B7">
        <w:rPr>
          <w:rFonts w:eastAsia="Times New Roman" w:cs="Arial"/>
          <w:color w:val="000000"/>
          <w:lang w:val="ru-RU"/>
        </w:rPr>
        <w:t>(</w:t>
      </w:r>
      <w:r w:rsidRPr="005F02B7">
        <w:rPr>
          <w:rFonts w:eastAsia="Times New Roman" w:cs="Arial"/>
          <w:color w:val="000000"/>
          <w:lang w:val="en-US"/>
        </w:rPr>
        <w:t>AV</w:t>
      </w:r>
      <w:r w:rsidRPr="005F02B7">
        <w:rPr>
          <w:rFonts w:eastAsia="Times New Roman" w:cs="Arial"/>
          <w:color w:val="000000"/>
          <w:lang w:eastAsia="bg-BG"/>
        </w:rPr>
        <w:t>-блок) (вж. точка 4.4).</w:t>
      </w:r>
    </w:p>
    <w:p w14:paraId="43FF0F88" w14:textId="77777777" w:rsidR="005F02B7" w:rsidRPr="005F02B7" w:rsidRDefault="005F02B7" w:rsidP="005F02B7">
      <w:pPr>
        <w:spacing w:line="240" w:lineRule="auto"/>
        <w:rPr>
          <w:rFonts w:eastAsia="Times New Roman" w:cs="Arial"/>
          <w:i/>
          <w:iCs/>
          <w:color w:val="000000"/>
          <w:lang w:eastAsia="bg-BG"/>
        </w:rPr>
      </w:pPr>
    </w:p>
    <w:p w14:paraId="592D6F69" w14:textId="659298DC"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Централно действащи антихипертензивни лекарства (клонидин, гуанфацин, моксонидин, метилдопа, рилменидин):</w:t>
      </w:r>
      <w:r w:rsidRPr="005F02B7">
        <w:rPr>
          <w:rFonts w:eastAsia="Times New Roman" w:cs="Arial"/>
          <w:color w:val="000000"/>
          <w:lang w:eastAsia="bg-BG"/>
        </w:rPr>
        <w:t xml:space="preserve"> едновременното приложение на централнодействащи антихипертензивни лекарства може да влоши сърдечната недостатъчност чрез понижаване на централния симпатиков тонус (понижаване на сърдечната честота и сърдечния дебит, вазодилатация) (вж. точка 4.4).</w:t>
      </w:r>
    </w:p>
    <w:p w14:paraId="3F17FEA3"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 xml:space="preserve">Внезапно спиране на лекарствата, особено преди преустановяване употребата на бета-блокери, може да увеличи риска от </w:t>
      </w:r>
      <w:r w:rsidRPr="005F02B7">
        <w:rPr>
          <w:rFonts w:eastAsia="Times New Roman" w:cs="Arial"/>
          <w:i/>
          <w:iCs/>
          <w:color w:val="000000"/>
          <w:lang w:val="ru-RU"/>
        </w:rPr>
        <w:t>“</w:t>
      </w:r>
      <w:r w:rsidRPr="005F02B7">
        <w:rPr>
          <w:rFonts w:eastAsia="Times New Roman" w:cs="Arial"/>
          <w:i/>
          <w:iCs/>
          <w:color w:val="000000"/>
          <w:lang w:val="en-US"/>
        </w:rPr>
        <w:t>rebound</w:t>
      </w:r>
      <w:r w:rsidRPr="005F02B7">
        <w:rPr>
          <w:rFonts w:eastAsia="Times New Roman" w:cs="Arial"/>
          <w:i/>
          <w:iCs/>
          <w:color w:val="000000"/>
          <w:lang w:val="ru-RU"/>
        </w:rPr>
        <w:t xml:space="preserve"> </w:t>
      </w:r>
      <w:r w:rsidRPr="005F02B7">
        <w:rPr>
          <w:rFonts w:eastAsia="Times New Roman" w:cs="Arial"/>
          <w:i/>
          <w:iCs/>
          <w:color w:val="000000"/>
          <w:lang w:eastAsia="bg-BG"/>
        </w:rPr>
        <w:t>-</w:t>
      </w:r>
      <w:r w:rsidRPr="005F02B7">
        <w:rPr>
          <w:rFonts w:eastAsia="Times New Roman" w:cs="Arial"/>
          <w:color w:val="000000"/>
          <w:lang w:eastAsia="bg-BG"/>
        </w:rPr>
        <w:t xml:space="preserve"> хипертония”.</w:t>
      </w:r>
    </w:p>
    <w:p w14:paraId="45F3078F" w14:textId="77777777" w:rsidR="005F02B7" w:rsidRPr="005F02B7" w:rsidRDefault="005F02B7" w:rsidP="005F02B7">
      <w:pPr>
        <w:spacing w:line="240" w:lineRule="auto"/>
        <w:rPr>
          <w:rFonts w:eastAsia="Times New Roman" w:cs="Arial"/>
          <w:i/>
          <w:iCs/>
          <w:color w:val="000000"/>
          <w:u w:val="single"/>
          <w:lang w:eastAsia="bg-BG"/>
        </w:rPr>
      </w:pPr>
    </w:p>
    <w:p w14:paraId="169097D9" w14:textId="2B03A58E"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u w:val="single"/>
          <w:lang w:eastAsia="bg-BG"/>
        </w:rPr>
        <w:t>Комбинации, при които трябва да се внимава</w:t>
      </w:r>
    </w:p>
    <w:p w14:paraId="20B98350" w14:textId="77777777" w:rsidR="005F02B7" w:rsidRPr="005F02B7" w:rsidRDefault="005F02B7" w:rsidP="005F02B7">
      <w:pPr>
        <w:spacing w:line="240" w:lineRule="auto"/>
        <w:rPr>
          <w:rFonts w:eastAsia="Times New Roman" w:cs="Arial"/>
          <w:i/>
          <w:iCs/>
          <w:color w:val="000000"/>
          <w:lang w:eastAsia="bg-BG"/>
        </w:rPr>
      </w:pPr>
    </w:p>
    <w:p w14:paraId="441E1123" w14:textId="1775E406"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Клас III антиаритмични средства (амиодарон):</w:t>
      </w:r>
      <w:r w:rsidRPr="005F02B7">
        <w:rPr>
          <w:rFonts w:eastAsia="Times New Roman" w:cs="Arial"/>
          <w:color w:val="000000"/>
          <w:lang w:eastAsia="bg-BG"/>
        </w:rPr>
        <w:t xml:space="preserve"> може да се потенцира ефектът върху атрио- вентрикуларното време за провеждане.</w:t>
      </w:r>
    </w:p>
    <w:p w14:paraId="05FCD7E0" w14:textId="77777777" w:rsidR="005F02B7" w:rsidRPr="005F02B7" w:rsidRDefault="005F02B7" w:rsidP="005F02B7">
      <w:pPr>
        <w:spacing w:line="240" w:lineRule="auto"/>
        <w:rPr>
          <w:rFonts w:eastAsia="Times New Roman" w:cs="Arial"/>
          <w:i/>
          <w:iCs/>
          <w:color w:val="000000"/>
          <w:lang w:eastAsia="bg-BG"/>
        </w:rPr>
      </w:pPr>
    </w:p>
    <w:p w14:paraId="5084331F" w14:textId="7F374271"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Анестетици - летливи халогенати:</w:t>
      </w:r>
      <w:r w:rsidRPr="005F02B7">
        <w:rPr>
          <w:rFonts w:eastAsia="Times New Roman" w:cs="Arial"/>
          <w:color w:val="000000"/>
          <w:lang w:eastAsia="bg-BG"/>
        </w:rPr>
        <w:t xml:space="preserve"> едновременната употреба на бета-адренергични антагонисти и анестетици може да намали проявата на рефлекторна тахикардия и да увеличи риска от хипотония (вж. точка 4.4). Като правило, избягвайте внезапното прекъсване на лечение с бета-блокери. Анестезиологът трябва да бъде уведомен, ако пациентът приема небиволол.</w:t>
      </w:r>
    </w:p>
    <w:p w14:paraId="03363830" w14:textId="77777777" w:rsidR="005F02B7" w:rsidRPr="005F02B7" w:rsidRDefault="005F02B7" w:rsidP="005F02B7">
      <w:pPr>
        <w:spacing w:line="240" w:lineRule="auto"/>
        <w:rPr>
          <w:rFonts w:eastAsia="Times New Roman" w:cs="Arial"/>
          <w:i/>
          <w:iCs/>
          <w:color w:val="000000"/>
          <w:lang w:eastAsia="bg-BG"/>
        </w:rPr>
      </w:pPr>
    </w:p>
    <w:p w14:paraId="7AAA0A12" w14:textId="07EF5255"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Инсулин и перорални антидиабетни лекарства:</w:t>
      </w:r>
      <w:r w:rsidRPr="005F02B7">
        <w:rPr>
          <w:rFonts w:eastAsia="Times New Roman" w:cs="Arial"/>
          <w:color w:val="000000"/>
          <w:lang w:eastAsia="bg-BG"/>
        </w:rPr>
        <w:t xml:space="preserve"> въпреки че небиволол не влияе върху нивата на кръвната глюкоза, при едновременна употреба могат да се маскират някои симптоми на хипогликемия (палпитации, тахикардия).</w:t>
      </w:r>
    </w:p>
    <w:p w14:paraId="37688E7F" w14:textId="77777777" w:rsidR="005F02B7" w:rsidRPr="005F02B7" w:rsidRDefault="005F02B7" w:rsidP="005F02B7">
      <w:pPr>
        <w:spacing w:line="240" w:lineRule="auto"/>
        <w:rPr>
          <w:rFonts w:eastAsia="Times New Roman" w:cs="Arial"/>
          <w:i/>
          <w:iCs/>
          <w:color w:val="000000"/>
          <w:lang w:eastAsia="bg-BG"/>
        </w:rPr>
      </w:pPr>
    </w:p>
    <w:p w14:paraId="68513E43" w14:textId="52162A7B"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 xml:space="preserve">Баклофен (антиспастично лекарство), антифостин (антинеопластично помощно средство): </w:t>
      </w:r>
      <w:r w:rsidRPr="005F02B7">
        <w:rPr>
          <w:rFonts w:eastAsia="Times New Roman" w:cs="Arial"/>
          <w:color w:val="000000"/>
          <w:lang w:eastAsia="bg-BG"/>
        </w:rPr>
        <w:t>едновременното приложение с антихипертензивни лекарства може да допринесе за по-бързо спадане на кръвното налягане, поради което се налага да се съобразява дозата на антихипертензивното лекарство.</w:t>
      </w:r>
    </w:p>
    <w:p w14:paraId="552EA296" w14:textId="77777777" w:rsidR="005F02B7" w:rsidRPr="005F02B7" w:rsidRDefault="005F02B7" w:rsidP="005F02B7">
      <w:pPr>
        <w:spacing w:line="240" w:lineRule="auto"/>
        <w:rPr>
          <w:rFonts w:eastAsia="Times New Roman" w:cs="Arial"/>
          <w:i/>
          <w:iCs/>
          <w:color w:val="000000"/>
          <w:u w:val="single"/>
          <w:lang w:eastAsia="bg-BG"/>
        </w:rPr>
      </w:pPr>
    </w:p>
    <w:p w14:paraId="0FCE7592" w14:textId="412F7880"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u w:val="single"/>
          <w:lang w:eastAsia="bg-BG"/>
        </w:rPr>
        <w:t>Комбинации, които трябва да се имат предвид</w:t>
      </w:r>
    </w:p>
    <w:p w14:paraId="63FA14E7" w14:textId="77777777" w:rsidR="005F02B7" w:rsidRPr="005F02B7" w:rsidRDefault="005F02B7" w:rsidP="005F02B7">
      <w:pPr>
        <w:spacing w:line="240" w:lineRule="auto"/>
        <w:rPr>
          <w:rFonts w:eastAsia="Times New Roman" w:cs="Arial"/>
          <w:i/>
          <w:iCs/>
          <w:color w:val="000000"/>
          <w:lang w:eastAsia="bg-BG"/>
        </w:rPr>
      </w:pPr>
    </w:p>
    <w:p w14:paraId="7E8124B9" w14:textId="79203765"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Дигиталисови гликозиди:</w:t>
      </w:r>
      <w:r w:rsidRPr="005F02B7">
        <w:rPr>
          <w:rFonts w:eastAsia="Times New Roman" w:cs="Arial"/>
          <w:color w:val="000000"/>
          <w:lang w:eastAsia="bg-BG"/>
        </w:rPr>
        <w:t xml:space="preserve"> едновременната употреба може да увеличи атрио-вентрикупарното време за провеждане. Клинични изпитвания с небиволол не показват клинично значими данни за взаимодействие.</w:t>
      </w:r>
    </w:p>
    <w:p w14:paraId="3B6AC05F"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Небиволол не повлиява кинетиката на дигоксин.</w:t>
      </w:r>
    </w:p>
    <w:p w14:paraId="44F82885" w14:textId="77777777" w:rsidR="005F02B7" w:rsidRPr="005F02B7" w:rsidRDefault="005F02B7" w:rsidP="005F02B7">
      <w:pPr>
        <w:spacing w:line="240" w:lineRule="auto"/>
        <w:rPr>
          <w:rFonts w:eastAsia="Times New Roman" w:cs="Arial"/>
          <w:i/>
          <w:iCs/>
          <w:color w:val="000000"/>
          <w:lang w:eastAsia="bg-BG"/>
        </w:rPr>
      </w:pPr>
    </w:p>
    <w:p w14:paraId="0962DD66" w14:textId="27ECDD72"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Калциеви антагонисти от дихидропиридинов тип (амлодипин, фелодипин, лацидипин, нифедипин, никардипин, нимодипин, нитрендипин):</w:t>
      </w:r>
      <w:r w:rsidRPr="005F02B7">
        <w:rPr>
          <w:rFonts w:eastAsia="Times New Roman" w:cs="Arial"/>
          <w:color w:val="000000"/>
          <w:lang w:eastAsia="bg-BG"/>
        </w:rPr>
        <w:t xml:space="preserve"> едновременната употреба може да увеличи риска от хипотония и не може да се изключи риск от допълнително влошаване на камерната помпена функция при пациенти със сърдечна недостатъчност.</w:t>
      </w:r>
    </w:p>
    <w:p w14:paraId="132453AB" w14:textId="77777777" w:rsidR="005F02B7" w:rsidRPr="005F02B7" w:rsidRDefault="005F02B7" w:rsidP="005F02B7">
      <w:pPr>
        <w:spacing w:line="240" w:lineRule="auto"/>
        <w:rPr>
          <w:rFonts w:eastAsia="Times New Roman" w:cs="Arial"/>
          <w:i/>
          <w:iCs/>
          <w:color w:val="000000"/>
          <w:lang w:eastAsia="bg-BG"/>
        </w:rPr>
      </w:pPr>
    </w:p>
    <w:p w14:paraId="30D44036" w14:textId="0C00BB76"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 xml:space="preserve">Антипсихотици, антидепресанти (трициклични, барбитурати и фенотиазини): </w:t>
      </w:r>
      <w:r w:rsidRPr="005F02B7">
        <w:rPr>
          <w:rFonts w:eastAsia="Times New Roman" w:cs="Arial"/>
          <w:color w:val="000000"/>
          <w:lang w:eastAsia="bg-BG"/>
        </w:rPr>
        <w:t>едновременната употреба може да засили хипотоничния ефект на бета- адренергичните антагонисти (адитивен ефект).</w:t>
      </w:r>
    </w:p>
    <w:p w14:paraId="70953593" w14:textId="77777777" w:rsidR="005F02B7" w:rsidRPr="005F02B7" w:rsidRDefault="005F02B7" w:rsidP="005F02B7">
      <w:pPr>
        <w:spacing w:line="240" w:lineRule="auto"/>
        <w:rPr>
          <w:rFonts w:eastAsia="Times New Roman" w:cs="Arial"/>
          <w:i/>
          <w:iCs/>
          <w:color w:val="000000"/>
          <w:lang w:eastAsia="bg-BG"/>
        </w:rPr>
      </w:pPr>
    </w:p>
    <w:p w14:paraId="59B02D42" w14:textId="73AA8AA1" w:rsidR="005F02B7" w:rsidRPr="005F02B7" w:rsidRDefault="005F02B7" w:rsidP="005F02B7">
      <w:pPr>
        <w:spacing w:line="240" w:lineRule="auto"/>
        <w:rPr>
          <w:rFonts w:eastAsia="Times New Roman" w:cs="Arial"/>
          <w:sz w:val="24"/>
          <w:szCs w:val="24"/>
        </w:rPr>
      </w:pPr>
      <w:r w:rsidRPr="005F02B7">
        <w:rPr>
          <w:rFonts w:eastAsia="Times New Roman" w:cs="Arial"/>
          <w:i/>
          <w:iCs/>
          <w:color w:val="000000"/>
          <w:lang w:eastAsia="bg-BG"/>
        </w:rPr>
        <w:t>Нестероидни противовъзпалителни средства (НСПВС):</w:t>
      </w:r>
      <w:r w:rsidRPr="005F02B7">
        <w:rPr>
          <w:rFonts w:eastAsia="Times New Roman" w:cs="Arial"/>
          <w:color w:val="000000"/>
          <w:lang w:eastAsia="bg-BG"/>
        </w:rPr>
        <w:t xml:space="preserve"> нямат влияние върху понижаващия кръвното налягане ефект на небиволол.</w:t>
      </w:r>
    </w:p>
    <w:p w14:paraId="422F340E" w14:textId="77777777" w:rsidR="005F02B7" w:rsidRPr="005F02B7" w:rsidRDefault="005F02B7" w:rsidP="005F02B7">
      <w:pPr>
        <w:spacing w:line="240" w:lineRule="auto"/>
        <w:rPr>
          <w:rFonts w:eastAsia="Times New Roman" w:cs="Arial"/>
          <w:i/>
          <w:iCs/>
          <w:color w:val="000000"/>
          <w:lang w:eastAsia="bg-BG"/>
        </w:rPr>
      </w:pPr>
    </w:p>
    <w:p w14:paraId="56C52E6B" w14:textId="27D1065D" w:rsidR="005F02B7" w:rsidRPr="005F02B7" w:rsidRDefault="005F02B7" w:rsidP="005F02B7">
      <w:pPr>
        <w:spacing w:line="240" w:lineRule="auto"/>
        <w:rPr>
          <w:rFonts w:eastAsia="Times New Roman" w:cs="Arial"/>
          <w:color w:val="000000"/>
          <w:lang w:eastAsia="bg-BG"/>
        </w:rPr>
      </w:pPr>
      <w:r w:rsidRPr="005F02B7">
        <w:rPr>
          <w:rFonts w:eastAsia="Times New Roman" w:cs="Arial"/>
          <w:i/>
          <w:iCs/>
          <w:color w:val="000000"/>
          <w:lang w:eastAsia="bg-BG"/>
        </w:rPr>
        <w:lastRenderedPageBreak/>
        <w:t>Симпатикомиметични лекарства:</w:t>
      </w:r>
      <w:r w:rsidRPr="005F02B7">
        <w:rPr>
          <w:rFonts w:eastAsia="Times New Roman" w:cs="Arial"/>
          <w:color w:val="000000"/>
          <w:lang w:eastAsia="bg-BG"/>
        </w:rPr>
        <w:t xml:space="preserve"> едновременното приложение може да намали ефекта на бета-адренергичните антагонисти. Бета-адренергичните лекарства могат да доведат до безпрепятствена алфа-адренергична активност на симпатикомиметиците с алфа- и с бета- адренергична активност (риск от хипертония, тежка брадикардия и сърдечен блок).</w:t>
      </w:r>
    </w:p>
    <w:p w14:paraId="18EDD742" w14:textId="7767BEAA" w:rsidR="005F02B7" w:rsidRPr="005F02B7" w:rsidRDefault="005F02B7" w:rsidP="005F02B7">
      <w:pPr>
        <w:spacing w:line="240" w:lineRule="auto"/>
        <w:rPr>
          <w:rFonts w:eastAsia="Times New Roman" w:cs="Arial"/>
          <w:color w:val="000000"/>
          <w:lang w:eastAsia="bg-BG"/>
        </w:rPr>
      </w:pPr>
    </w:p>
    <w:p w14:paraId="5D1CF9B4"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u w:val="single"/>
          <w:lang w:eastAsia="bg-BG"/>
        </w:rPr>
        <w:t>Фармакокинетични взаимодействия</w:t>
      </w:r>
    </w:p>
    <w:p w14:paraId="3BA46826"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 xml:space="preserve">Тъй като в метаболизма на небиволол участва изоензимът </w:t>
      </w:r>
      <w:r w:rsidRPr="005F02B7">
        <w:rPr>
          <w:rFonts w:eastAsia="Times New Roman" w:cs="Arial"/>
          <w:color w:val="000000"/>
          <w:lang w:val="en-US"/>
        </w:rPr>
        <w:t>CYP</w:t>
      </w:r>
      <w:r w:rsidRPr="005F02B7">
        <w:rPr>
          <w:rFonts w:eastAsia="Times New Roman" w:cs="Arial"/>
          <w:color w:val="000000"/>
          <w:lang w:val="ru-RU"/>
        </w:rPr>
        <w:t>2</w:t>
      </w:r>
      <w:r w:rsidRPr="005F02B7">
        <w:rPr>
          <w:rFonts w:eastAsia="Times New Roman" w:cs="Arial"/>
          <w:color w:val="000000"/>
          <w:lang w:val="en-US"/>
        </w:rPr>
        <w:t>D</w:t>
      </w:r>
      <w:r w:rsidRPr="005F02B7">
        <w:rPr>
          <w:rFonts w:eastAsia="Times New Roman" w:cs="Arial"/>
          <w:color w:val="000000"/>
          <w:lang w:val="ru-RU"/>
        </w:rPr>
        <w:t xml:space="preserve">6, </w:t>
      </w:r>
      <w:r w:rsidRPr="005F02B7">
        <w:rPr>
          <w:rFonts w:eastAsia="Times New Roman" w:cs="Arial"/>
          <w:color w:val="000000"/>
          <w:lang w:eastAsia="bg-BG"/>
        </w:rPr>
        <w:t>едновременната употреба на вещества, потискащи този ензим, особено пароксетин, флуоксетин, тиоридазин и хинидин, може да доведе до повишаване на плазмените нива на небиволол, което е свързано с увеличен риск от тежка брадикардия и нежелани реакции.</w:t>
      </w:r>
    </w:p>
    <w:p w14:paraId="2D3C5A04"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Едновременното приложение на циметидин увеличава плазмените нива на небиволол без да променя клиничния му ефект. Едновременното приемане на ранитидин не оказва влияние върху фармакокинетиката на небиволол. Лечение с небиволол и антиацидно лекарство може да се провежда едновременно, ако небиволол се приема по време на хранене, а антиацидът — между храненията.</w:t>
      </w:r>
    </w:p>
    <w:p w14:paraId="7F56079E"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Комбинацията на небиволол с никардипин незначително увеличава плазмените нива и на двете лекарства без да променя клиничните им ефекти. Едновременното приемане с алкохол, фуроземид или хидрохлоротиазид не оказва влияние върху фармакокинетиката на небиволол. Небиволол не повлиява фармакокинетиката и фармакодинамиката на варфарин.</w:t>
      </w:r>
    </w:p>
    <w:p w14:paraId="5F707920" w14:textId="31499B97" w:rsidR="005F02B7" w:rsidRPr="005F02B7" w:rsidRDefault="005F02B7" w:rsidP="005F02B7"/>
    <w:p w14:paraId="5D9F40EA" w14:textId="6FE2B0E4" w:rsidR="007122AD" w:rsidRDefault="002C50EE" w:rsidP="00936AD0">
      <w:pPr>
        <w:pStyle w:val="Heading2"/>
      </w:pPr>
      <w:r>
        <w:t>4.6. Фертилитет, бременност и кърмене</w:t>
      </w:r>
    </w:p>
    <w:p w14:paraId="66A90E24" w14:textId="7E9069E5" w:rsidR="005F02B7" w:rsidRDefault="005F02B7" w:rsidP="005F02B7"/>
    <w:p w14:paraId="113E011C" w14:textId="77777777" w:rsidR="005F02B7" w:rsidRPr="005F02B7" w:rsidRDefault="005F02B7" w:rsidP="005F02B7">
      <w:pPr>
        <w:pStyle w:val="Heading3"/>
        <w:rPr>
          <w:rFonts w:eastAsia="Times New Roman"/>
          <w:u w:val="single"/>
        </w:rPr>
      </w:pPr>
      <w:r w:rsidRPr="005F02B7">
        <w:rPr>
          <w:rFonts w:eastAsia="Times New Roman"/>
          <w:u w:val="single"/>
          <w:lang w:eastAsia="bg-BG"/>
        </w:rPr>
        <w:t>Бременност</w:t>
      </w:r>
    </w:p>
    <w:p w14:paraId="12BD5BD4"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Небиволол има фармакологични ефекти, които могат да причинят вредни ефекти по време на бременност и/или на плода или новороденото. По принцип бета-блокерите намаляват перфузията на плацентата, което се свързва със забавяне на растежа, вътреутробна смърт, аборт или преждевременно раждане. Нежелани ефекти (например хипогликемия и брадикардия) могат да се наблюдават при плода и новороденото. Ако е наложително лечение с бета- адренорецепторни блокери, препоръчително е те да са бета</w:t>
      </w:r>
      <w:r w:rsidRPr="005F02B7">
        <w:rPr>
          <w:rFonts w:eastAsia="Times New Roman" w:cs="Arial"/>
          <w:color w:val="000000"/>
          <w:vertAlign w:val="subscript"/>
          <w:lang w:eastAsia="bg-BG"/>
        </w:rPr>
        <w:t>1</w:t>
      </w:r>
      <w:r w:rsidRPr="005F02B7">
        <w:rPr>
          <w:rFonts w:eastAsia="Times New Roman" w:cs="Arial"/>
          <w:color w:val="000000"/>
          <w:lang w:eastAsia="bg-BG"/>
        </w:rPr>
        <w:t>-селективни адренорецепторни блокери.</w:t>
      </w:r>
    </w:p>
    <w:p w14:paraId="05788087"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Небиволол не бива да се приема по време на бременност, освен в случай на крайна необходимост. Утероплацентарното кръвообращение и растежът на плода трябва да се мониторират, в случай, че терапията с небиволол е необходима. В случай на увреждащо действие по време на бременността или върху плода, трябва да се приложи алтернативно лечение. Новороденото трябва да бъде под постоянно наблюдение. Симптоми на хипогликемия и брадикардия обикновено се очакват в първите 3 дни.</w:t>
      </w:r>
    </w:p>
    <w:p w14:paraId="2C906140" w14:textId="77777777" w:rsidR="005F02B7" w:rsidRPr="005F02B7" w:rsidRDefault="005F02B7" w:rsidP="005F02B7">
      <w:pPr>
        <w:spacing w:line="240" w:lineRule="auto"/>
        <w:rPr>
          <w:rFonts w:eastAsia="Times New Roman" w:cs="Arial"/>
          <w:color w:val="000000"/>
          <w:u w:val="single"/>
          <w:lang w:eastAsia="bg-BG"/>
        </w:rPr>
      </w:pPr>
    </w:p>
    <w:p w14:paraId="7AE76A78" w14:textId="7D832E33" w:rsidR="005F02B7" w:rsidRPr="005F02B7" w:rsidRDefault="005F02B7" w:rsidP="005F02B7">
      <w:pPr>
        <w:pStyle w:val="Heading3"/>
        <w:rPr>
          <w:rFonts w:eastAsia="Times New Roman"/>
          <w:u w:val="single"/>
        </w:rPr>
      </w:pPr>
      <w:r w:rsidRPr="005F02B7">
        <w:rPr>
          <w:rFonts w:eastAsia="Times New Roman"/>
          <w:u w:val="single"/>
          <w:lang w:eastAsia="bg-BG"/>
        </w:rPr>
        <w:t>Кърмене</w:t>
      </w:r>
    </w:p>
    <w:p w14:paraId="1AEC7CF9"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Опитите с животни показват, че небиволол се отделя в кърмата. Няма данни дали лекарството се отделя в човешката кърма. Повечето бета-блокери, особено липофилните съединения като небиволол и активните му метаболити, преминават в кърмата в различна степен. Поради това, кърменето по време на лечение с небиволол не се препоръчва.</w:t>
      </w:r>
    </w:p>
    <w:p w14:paraId="053B68D6" w14:textId="77777777" w:rsidR="005F02B7" w:rsidRPr="005F02B7" w:rsidRDefault="005F02B7" w:rsidP="005F02B7"/>
    <w:p w14:paraId="5DD7A76D" w14:textId="037E2EAE" w:rsidR="007122AD" w:rsidRDefault="002C50EE" w:rsidP="00936AD0">
      <w:pPr>
        <w:pStyle w:val="Heading2"/>
      </w:pPr>
      <w:r>
        <w:t>4.7. Ефекти върху способността за шофиране и работа с машини</w:t>
      </w:r>
    </w:p>
    <w:p w14:paraId="1AD16FE0" w14:textId="6FBDB3B9" w:rsidR="005F02B7" w:rsidRDefault="005F02B7" w:rsidP="005F02B7"/>
    <w:p w14:paraId="5D205109" w14:textId="77777777" w:rsidR="005F02B7" w:rsidRPr="005F02B7" w:rsidRDefault="005F02B7" w:rsidP="005F02B7">
      <w:pPr>
        <w:rPr>
          <w:sz w:val="24"/>
          <w:szCs w:val="24"/>
        </w:rPr>
      </w:pPr>
      <w:r w:rsidRPr="005F02B7">
        <w:rPr>
          <w:lang w:eastAsia="bg-BG"/>
        </w:rPr>
        <w:t xml:space="preserve">Не са провеждани изпитвания за влиянието на небиволол върху способността за шофиране и работа с машини. Фармакодинамичните проучвания показват, че небиволол </w:t>
      </w:r>
      <w:r w:rsidRPr="005F02B7">
        <w:rPr>
          <w:lang w:eastAsia="bg-BG"/>
        </w:rPr>
        <w:lastRenderedPageBreak/>
        <w:t>не засяга психомоторната функция. При шофиране и работа с машини трябва да се има предвид, че в редки случаи могат да възникнат световъртеж или отпадналост.</w:t>
      </w:r>
    </w:p>
    <w:p w14:paraId="5BA4A7C2" w14:textId="77777777" w:rsidR="005F02B7" w:rsidRPr="005F02B7" w:rsidRDefault="005F02B7" w:rsidP="005F02B7"/>
    <w:p w14:paraId="44CE30A3" w14:textId="3BD1ADAC" w:rsidR="007122AD" w:rsidRDefault="002C50EE" w:rsidP="00936AD0">
      <w:pPr>
        <w:pStyle w:val="Heading2"/>
      </w:pPr>
      <w:r>
        <w:t>4.8. Нежелани лекарствени реакции</w:t>
      </w:r>
    </w:p>
    <w:p w14:paraId="76006C6F" w14:textId="094CCD12" w:rsidR="005F02B7" w:rsidRDefault="005F02B7" w:rsidP="005F02B7"/>
    <w:p w14:paraId="13459BF7"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Нежелани лекарствени реакции са изброени отделно за хипертония и за хронична сърдечна недостатъчност, поради различия в съпътстващите заболявания.</w:t>
      </w:r>
    </w:p>
    <w:p w14:paraId="7FAE8C2E" w14:textId="77777777" w:rsidR="005F02B7" w:rsidRPr="005F02B7" w:rsidRDefault="005F02B7" w:rsidP="005F02B7">
      <w:pPr>
        <w:spacing w:line="240" w:lineRule="auto"/>
        <w:rPr>
          <w:rFonts w:eastAsia="Times New Roman" w:cs="Arial"/>
          <w:color w:val="000000"/>
          <w:lang w:eastAsia="bg-BG"/>
        </w:rPr>
      </w:pPr>
    </w:p>
    <w:p w14:paraId="707D217A" w14:textId="6C3D1DD6"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Честотата на нежеланите реакции е определена въз основа на следната конвенция: много чести (≥1/10), чести (≥1/100 до &lt; 1/10); нечести(≥1/1 000 до&lt; 1/100); редки (≥1/10 000 до&lt; 1/1 000); много редки (&lt;1/10 000), с неизвестна честота (от наличните данни не може да бъде направена</w:t>
      </w:r>
      <w:r w:rsidRPr="005F02B7">
        <w:rPr>
          <w:rFonts w:eastAsia="Times New Roman" w:cs="Arial"/>
          <w:color w:val="000000"/>
          <w:vertAlign w:val="superscript"/>
          <w:lang w:eastAsia="bg-BG"/>
        </w:rPr>
        <w:t xml:space="preserve"> </w:t>
      </w:r>
      <w:r w:rsidRPr="005F02B7">
        <w:rPr>
          <w:rFonts w:eastAsia="Times New Roman" w:cs="Arial"/>
          <w:color w:val="000000"/>
          <w:lang w:eastAsia="bg-BG"/>
        </w:rPr>
        <w:t>оценка).</w:t>
      </w:r>
    </w:p>
    <w:p w14:paraId="0B7A41DB" w14:textId="6644C136" w:rsidR="005F02B7" w:rsidRPr="005F02B7" w:rsidRDefault="005F02B7" w:rsidP="005F02B7">
      <w:pPr>
        <w:spacing w:line="240" w:lineRule="auto"/>
        <w:rPr>
          <w:rFonts w:eastAsia="Times New Roman" w:cs="Arial"/>
          <w:color w:val="000000"/>
          <w:lang w:eastAsia="bg-BG"/>
        </w:rPr>
      </w:pPr>
      <w:r w:rsidRPr="005F02B7">
        <w:rPr>
          <w:rFonts w:eastAsia="Times New Roman" w:cs="Arial"/>
          <w:color w:val="000000"/>
          <w:lang w:eastAsia="bg-BG"/>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76B5223C" w14:textId="1DEF4E09" w:rsidR="005F02B7" w:rsidRPr="005F02B7" w:rsidRDefault="005F02B7" w:rsidP="005F02B7">
      <w:pPr>
        <w:spacing w:line="240" w:lineRule="auto"/>
        <w:rPr>
          <w:rFonts w:eastAsia="Times New Roman" w:cs="Arial"/>
          <w:color w:val="000000"/>
          <w:lang w:eastAsia="bg-BG"/>
        </w:rPr>
      </w:pPr>
    </w:p>
    <w:p w14:paraId="07F8A14F"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u w:val="single"/>
          <w:lang w:eastAsia="bg-BG"/>
        </w:rPr>
        <w:t>Хипертония</w:t>
      </w:r>
    </w:p>
    <w:p w14:paraId="00917B07" w14:textId="786725D9"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Повечето нежелани лекарствени реакции са с лека до умерена проява. Те са изброени по-долу, класифицирани по системи и органи и подредени по честота на проява.</w:t>
      </w:r>
    </w:p>
    <w:p w14:paraId="6263F0FF" w14:textId="34610DF7" w:rsidR="005F02B7" w:rsidRDefault="005F02B7" w:rsidP="005F02B7"/>
    <w:tbl>
      <w:tblPr>
        <w:tblStyle w:val="TableGrid"/>
        <w:tblW w:w="0" w:type="auto"/>
        <w:tblLook w:val="04A0" w:firstRow="1" w:lastRow="0" w:firstColumn="1" w:lastColumn="0" w:noHBand="0" w:noVBand="1"/>
      </w:tblPr>
      <w:tblGrid>
        <w:gridCol w:w="2076"/>
        <w:gridCol w:w="1818"/>
        <w:gridCol w:w="1914"/>
        <w:gridCol w:w="1764"/>
        <w:gridCol w:w="1778"/>
      </w:tblGrid>
      <w:tr w:rsidR="005F02B7" w14:paraId="7C1DA47F" w14:textId="77777777" w:rsidTr="005F02B7">
        <w:tc>
          <w:tcPr>
            <w:tcW w:w="1915" w:type="dxa"/>
          </w:tcPr>
          <w:p w14:paraId="0AAF3C61" w14:textId="09FFC4E4" w:rsidR="005F02B7" w:rsidRPr="005F02B7" w:rsidRDefault="005F02B7" w:rsidP="005F02B7">
            <w:pPr>
              <w:rPr>
                <w:rFonts w:cs="Arial"/>
              </w:rPr>
            </w:pPr>
            <w:r w:rsidRPr="005F02B7">
              <w:rPr>
                <w:rFonts w:cs="Arial"/>
                <w:b/>
                <w:bCs/>
              </w:rPr>
              <w:t>Снстемо-органен клас</w:t>
            </w:r>
          </w:p>
        </w:tc>
        <w:tc>
          <w:tcPr>
            <w:tcW w:w="1915" w:type="dxa"/>
          </w:tcPr>
          <w:p w14:paraId="7FAC1560" w14:textId="34310A83" w:rsidR="005F02B7" w:rsidRPr="005F02B7" w:rsidRDefault="005F02B7" w:rsidP="005F02B7">
            <w:pPr>
              <w:rPr>
                <w:rFonts w:cs="Arial"/>
              </w:rPr>
            </w:pPr>
            <w:r w:rsidRPr="005F02B7">
              <w:rPr>
                <w:rFonts w:cs="Arial"/>
                <w:b/>
                <w:bCs/>
              </w:rPr>
              <w:t>Чести (≥1/100 до &lt;1/10)</w:t>
            </w:r>
          </w:p>
        </w:tc>
        <w:tc>
          <w:tcPr>
            <w:tcW w:w="1915" w:type="dxa"/>
          </w:tcPr>
          <w:p w14:paraId="07BCF04D" w14:textId="586D1975" w:rsidR="005F02B7" w:rsidRPr="005F02B7" w:rsidRDefault="005F02B7" w:rsidP="005F02B7">
            <w:pPr>
              <w:rPr>
                <w:rFonts w:cs="Arial"/>
              </w:rPr>
            </w:pPr>
            <w:r w:rsidRPr="005F02B7">
              <w:rPr>
                <w:rFonts w:cs="Arial"/>
                <w:b/>
                <w:bCs/>
              </w:rPr>
              <w:t>Нечести (≥1/1000 до &lt;1/100)</w:t>
            </w:r>
          </w:p>
        </w:tc>
        <w:tc>
          <w:tcPr>
            <w:tcW w:w="1915" w:type="dxa"/>
          </w:tcPr>
          <w:p w14:paraId="765B6727" w14:textId="6C767D7C" w:rsidR="005F02B7" w:rsidRPr="005F02B7" w:rsidRDefault="005F02B7" w:rsidP="005F02B7">
            <w:pPr>
              <w:rPr>
                <w:rFonts w:cs="Arial"/>
              </w:rPr>
            </w:pPr>
            <w:r w:rsidRPr="005F02B7">
              <w:rPr>
                <w:rFonts w:cs="Arial"/>
                <w:b/>
                <w:bCs/>
              </w:rPr>
              <w:t>Много редки (&lt;1/10000)</w:t>
            </w:r>
          </w:p>
        </w:tc>
        <w:tc>
          <w:tcPr>
            <w:tcW w:w="1916" w:type="dxa"/>
          </w:tcPr>
          <w:p w14:paraId="2B913150" w14:textId="18B8F20A" w:rsidR="005F02B7" w:rsidRPr="005F02B7" w:rsidRDefault="005F02B7" w:rsidP="005F02B7">
            <w:pPr>
              <w:rPr>
                <w:rFonts w:cs="Arial"/>
              </w:rPr>
            </w:pPr>
            <w:r w:rsidRPr="005F02B7">
              <w:rPr>
                <w:rFonts w:cs="Arial"/>
                <w:b/>
                <w:bCs/>
              </w:rPr>
              <w:t>С неизвестна честота</w:t>
            </w:r>
          </w:p>
        </w:tc>
      </w:tr>
      <w:tr w:rsidR="005F02B7" w14:paraId="00D149A7" w14:textId="77777777" w:rsidTr="005F02B7">
        <w:tc>
          <w:tcPr>
            <w:tcW w:w="1915" w:type="dxa"/>
          </w:tcPr>
          <w:p w14:paraId="183CA58F" w14:textId="0A2A2401" w:rsidR="005F02B7" w:rsidRPr="005F02B7" w:rsidRDefault="005F02B7" w:rsidP="005F02B7">
            <w:pPr>
              <w:rPr>
                <w:rFonts w:cs="Arial"/>
              </w:rPr>
            </w:pPr>
            <w:r w:rsidRPr="005F02B7">
              <w:rPr>
                <w:rFonts w:cs="Arial"/>
              </w:rPr>
              <w:t>Нарушения на имунната система</w:t>
            </w:r>
          </w:p>
        </w:tc>
        <w:tc>
          <w:tcPr>
            <w:tcW w:w="1915" w:type="dxa"/>
          </w:tcPr>
          <w:p w14:paraId="69A81785" w14:textId="77777777" w:rsidR="005F02B7" w:rsidRPr="005F02B7" w:rsidRDefault="005F02B7" w:rsidP="005F02B7">
            <w:pPr>
              <w:rPr>
                <w:rFonts w:cs="Arial"/>
              </w:rPr>
            </w:pPr>
          </w:p>
        </w:tc>
        <w:tc>
          <w:tcPr>
            <w:tcW w:w="1915" w:type="dxa"/>
          </w:tcPr>
          <w:p w14:paraId="709B2879" w14:textId="77777777" w:rsidR="005F02B7" w:rsidRPr="005F02B7" w:rsidRDefault="005F02B7" w:rsidP="005F02B7">
            <w:pPr>
              <w:rPr>
                <w:rFonts w:cs="Arial"/>
              </w:rPr>
            </w:pPr>
          </w:p>
        </w:tc>
        <w:tc>
          <w:tcPr>
            <w:tcW w:w="1915" w:type="dxa"/>
          </w:tcPr>
          <w:p w14:paraId="0B6C9E06" w14:textId="77777777" w:rsidR="005F02B7" w:rsidRPr="005F02B7" w:rsidRDefault="005F02B7" w:rsidP="005F02B7">
            <w:pPr>
              <w:rPr>
                <w:rFonts w:cs="Arial"/>
              </w:rPr>
            </w:pPr>
          </w:p>
        </w:tc>
        <w:tc>
          <w:tcPr>
            <w:tcW w:w="1916" w:type="dxa"/>
          </w:tcPr>
          <w:p w14:paraId="60F70D97" w14:textId="0DB400F3" w:rsidR="005F02B7" w:rsidRPr="005F02B7" w:rsidRDefault="005F02B7" w:rsidP="005F02B7">
            <w:pPr>
              <w:rPr>
                <w:rFonts w:cs="Arial"/>
              </w:rPr>
            </w:pPr>
            <w:r w:rsidRPr="005F02B7">
              <w:rPr>
                <w:rFonts w:cs="Arial"/>
              </w:rPr>
              <w:t>ангионевро- тичен оток, свръхчувс</w:t>
            </w:r>
            <w:r w:rsidRPr="005F02B7">
              <w:rPr>
                <w:rFonts w:cs="Arial"/>
              </w:rPr>
              <w:softHyphen/>
              <w:t>твителност</w:t>
            </w:r>
          </w:p>
        </w:tc>
      </w:tr>
      <w:tr w:rsidR="005F02B7" w14:paraId="4863E11C" w14:textId="77777777" w:rsidTr="005F02B7">
        <w:tc>
          <w:tcPr>
            <w:tcW w:w="1915" w:type="dxa"/>
          </w:tcPr>
          <w:p w14:paraId="78033F71" w14:textId="4D9521CC" w:rsidR="005F02B7" w:rsidRPr="005F02B7" w:rsidRDefault="005F02B7" w:rsidP="005F02B7">
            <w:pPr>
              <w:rPr>
                <w:rFonts w:cs="Arial"/>
              </w:rPr>
            </w:pPr>
            <w:r w:rsidRPr="005F02B7">
              <w:rPr>
                <w:rFonts w:cs="Arial"/>
              </w:rPr>
              <w:t>Психични нарушения</w:t>
            </w:r>
          </w:p>
        </w:tc>
        <w:tc>
          <w:tcPr>
            <w:tcW w:w="1915" w:type="dxa"/>
          </w:tcPr>
          <w:p w14:paraId="2FA5BF99" w14:textId="77777777" w:rsidR="005F02B7" w:rsidRPr="005F02B7" w:rsidRDefault="005F02B7" w:rsidP="005F02B7">
            <w:pPr>
              <w:rPr>
                <w:rFonts w:cs="Arial"/>
              </w:rPr>
            </w:pPr>
          </w:p>
        </w:tc>
        <w:tc>
          <w:tcPr>
            <w:tcW w:w="1915" w:type="dxa"/>
          </w:tcPr>
          <w:p w14:paraId="04B42508" w14:textId="6D3E7FCD" w:rsidR="005F02B7" w:rsidRPr="005F02B7" w:rsidRDefault="005F02B7" w:rsidP="005F02B7">
            <w:pPr>
              <w:rPr>
                <w:rFonts w:cs="Arial"/>
              </w:rPr>
            </w:pPr>
            <w:r w:rsidRPr="005F02B7">
              <w:rPr>
                <w:rFonts w:cs="Arial"/>
              </w:rPr>
              <w:t>кошмари, депресия</w:t>
            </w:r>
          </w:p>
        </w:tc>
        <w:tc>
          <w:tcPr>
            <w:tcW w:w="1915" w:type="dxa"/>
          </w:tcPr>
          <w:p w14:paraId="0DFD4C39" w14:textId="77777777" w:rsidR="005F02B7" w:rsidRPr="005F02B7" w:rsidRDefault="005F02B7" w:rsidP="005F02B7">
            <w:pPr>
              <w:rPr>
                <w:rFonts w:cs="Arial"/>
              </w:rPr>
            </w:pPr>
          </w:p>
        </w:tc>
        <w:tc>
          <w:tcPr>
            <w:tcW w:w="1916" w:type="dxa"/>
          </w:tcPr>
          <w:p w14:paraId="4961CF8B" w14:textId="77777777" w:rsidR="005F02B7" w:rsidRPr="005F02B7" w:rsidRDefault="005F02B7" w:rsidP="005F02B7">
            <w:pPr>
              <w:rPr>
                <w:rFonts w:cs="Arial"/>
              </w:rPr>
            </w:pPr>
          </w:p>
        </w:tc>
      </w:tr>
      <w:tr w:rsidR="005F02B7" w14:paraId="7B602174" w14:textId="77777777" w:rsidTr="005F02B7">
        <w:tc>
          <w:tcPr>
            <w:tcW w:w="1915" w:type="dxa"/>
          </w:tcPr>
          <w:p w14:paraId="3ABFD24D" w14:textId="11B9BC82" w:rsidR="005F02B7" w:rsidRPr="005F02B7" w:rsidRDefault="005F02B7" w:rsidP="005F02B7">
            <w:pPr>
              <w:rPr>
                <w:rFonts w:cs="Arial"/>
              </w:rPr>
            </w:pPr>
            <w:r w:rsidRPr="005F02B7">
              <w:rPr>
                <w:rFonts w:cs="Arial"/>
              </w:rPr>
              <w:t>Нарушения на нервната система</w:t>
            </w:r>
          </w:p>
        </w:tc>
        <w:tc>
          <w:tcPr>
            <w:tcW w:w="1915" w:type="dxa"/>
          </w:tcPr>
          <w:p w14:paraId="6BF3B9B9" w14:textId="1D818365" w:rsidR="005F02B7" w:rsidRPr="005F02B7" w:rsidRDefault="005F02B7" w:rsidP="005F02B7">
            <w:pPr>
              <w:rPr>
                <w:rFonts w:cs="Arial"/>
              </w:rPr>
            </w:pPr>
            <w:r w:rsidRPr="005F02B7">
              <w:rPr>
                <w:rFonts w:cs="Arial"/>
              </w:rPr>
              <w:t>главоболие, световъртеж, парестезия</w:t>
            </w:r>
          </w:p>
        </w:tc>
        <w:tc>
          <w:tcPr>
            <w:tcW w:w="1915" w:type="dxa"/>
          </w:tcPr>
          <w:p w14:paraId="0028E1AD" w14:textId="77777777" w:rsidR="005F02B7" w:rsidRPr="005F02B7" w:rsidRDefault="005F02B7" w:rsidP="005F02B7">
            <w:pPr>
              <w:rPr>
                <w:rFonts w:cs="Arial"/>
              </w:rPr>
            </w:pPr>
          </w:p>
        </w:tc>
        <w:tc>
          <w:tcPr>
            <w:tcW w:w="1915" w:type="dxa"/>
          </w:tcPr>
          <w:p w14:paraId="3B6659E1" w14:textId="0C9A8E10" w:rsidR="005F02B7" w:rsidRPr="005F02B7" w:rsidRDefault="005F02B7" w:rsidP="005F02B7">
            <w:pPr>
              <w:rPr>
                <w:rFonts w:cs="Arial"/>
              </w:rPr>
            </w:pPr>
            <w:r w:rsidRPr="005F02B7">
              <w:rPr>
                <w:rFonts w:cs="Arial"/>
              </w:rPr>
              <w:t>синкоп</w:t>
            </w:r>
          </w:p>
        </w:tc>
        <w:tc>
          <w:tcPr>
            <w:tcW w:w="1916" w:type="dxa"/>
          </w:tcPr>
          <w:p w14:paraId="6092D0C6" w14:textId="77777777" w:rsidR="005F02B7" w:rsidRPr="005F02B7" w:rsidRDefault="005F02B7" w:rsidP="005F02B7">
            <w:pPr>
              <w:rPr>
                <w:rFonts w:cs="Arial"/>
              </w:rPr>
            </w:pPr>
          </w:p>
        </w:tc>
      </w:tr>
      <w:tr w:rsidR="005F02B7" w14:paraId="7FB4B30A" w14:textId="77777777" w:rsidTr="005F02B7">
        <w:tc>
          <w:tcPr>
            <w:tcW w:w="1915" w:type="dxa"/>
          </w:tcPr>
          <w:p w14:paraId="31F06411" w14:textId="2048C385" w:rsidR="005F02B7" w:rsidRPr="005F02B7" w:rsidRDefault="005F02B7" w:rsidP="005F02B7">
            <w:pPr>
              <w:rPr>
                <w:rFonts w:cs="Arial"/>
              </w:rPr>
            </w:pPr>
            <w:r w:rsidRPr="005F02B7">
              <w:rPr>
                <w:rFonts w:cs="Arial"/>
              </w:rPr>
              <w:t>Нарушения на очите</w:t>
            </w:r>
          </w:p>
        </w:tc>
        <w:tc>
          <w:tcPr>
            <w:tcW w:w="1915" w:type="dxa"/>
          </w:tcPr>
          <w:p w14:paraId="6E3B9CA4" w14:textId="77777777" w:rsidR="005F02B7" w:rsidRPr="005F02B7" w:rsidRDefault="005F02B7" w:rsidP="005F02B7">
            <w:pPr>
              <w:rPr>
                <w:rFonts w:cs="Arial"/>
              </w:rPr>
            </w:pPr>
          </w:p>
        </w:tc>
        <w:tc>
          <w:tcPr>
            <w:tcW w:w="1915" w:type="dxa"/>
          </w:tcPr>
          <w:p w14:paraId="7FF52FD1" w14:textId="228198A4" w:rsidR="005F02B7" w:rsidRPr="005F02B7" w:rsidRDefault="005F02B7" w:rsidP="005F02B7">
            <w:pPr>
              <w:rPr>
                <w:rFonts w:cs="Arial"/>
              </w:rPr>
            </w:pPr>
            <w:r w:rsidRPr="005F02B7">
              <w:rPr>
                <w:rFonts w:cs="Arial"/>
              </w:rPr>
              <w:t>нарушено зрение</w:t>
            </w:r>
          </w:p>
        </w:tc>
        <w:tc>
          <w:tcPr>
            <w:tcW w:w="1915" w:type="dxa"/>
          </w:tcPr>
          <w:p w14:paraId="7C386905" w14:textId="77777777" w:rsidR="005F02B7" w:rsidRPr="005F02B7" w:rsidRDefault="005F02B7" w:rsidP="005F02B7">
            <w:pPr>
              <w:rPr>
                <w:rFonts w:cs="Arial"/>
              </w:rPr>
            </w:pPr>
          </w:p>
        </w:tc>
        <w:tc>
          <w:tcPr>
            <w:tcW w:w="1916" w:type="dxa"/>
          </w:tcPr>
          <w:p w14:paraId="1B21EE03" w14:textId="77777777" w:rsidR="005F02B7" w:rsidRPr="005F02B7" w:rsidRDefault="005F02B7" w:rsidP="005F02B7">
            <w:pPr>
              <w:rPr>
                <w:rFonts w:cs="Arial"/>
              </w:rPr>
            </w:pPr>
          </w:p>
        </w:tc>
      </w:tr>
      <w:tr w:rsidR="005F02B7" w14:paraId="1093FF7C" w14:textId="77777777" w:rsidTr="005F02B7">
        <w:tc>
          <w:tcPr>
            <w:tcW w:w="1915" w:type="dxa"/>
          </w:tcPr>
          <w:p w14:paraId="5245918D" w14:textId="60C97E74" w:rsidR="005F02B7" w:rsidRPr="005F02B7" w:rsidRDefault="005F02B7" w:rsidP="005F02B7">
            <w:pPr>
              <w:rPr>
                <w:rFonts w:cs="Arial"/>
              </w:rPr>
            </w:pPr>
            <w:r w:rsidRPr="005F02B7">
              <w:rPr>
                <w:rFonts w:cs="Arial"/>
              </w:rPr>
              <w:t>Сърдечни нарушения</w:t>
            </w:r>
          </w:p>
        </w:tc>
        <w:tc>
          <w:tcPr>
            <w:tcW w:w="1915" w:type="dxa"/>
          </w:tcPr>
          <w:p w14:paraId="51ED9F12" w14:textId="77777777" w:rsidR="005F02B7" w:rsidRPr="005F02B7" w:rsidRDefault="005F02B7" w:rsidP="005F02B7">
            <w:pPr>
              <w:rPr>
                <w:rFonts w:cs="Arial"/>
              </w:rPr>
            </w:pPr>
          </w:p>
        </w:tc>
        <w:tc>
          <w:tcPr>
            <w:tcW w:w="1915" w:type="dxa"/>
          </w:tcPr>
          <w:p w14:paraId="23FC4F01" w14:textId="2D050ECB" w:rsidR="005F02B7" w:rsidRPr="005F02B7" w:rsidRDefault="005F02B7" w:rsidP="005F02B7">
            <w:pPr>
              <w:rPr>
                <w:rFonts w:cs="Arial"/>
              </w:rPr>
            </w:pPr>
            <w:r w:rsidRPr="005F02B7">
              <w:rPr>
                <w:rFonts w:cs="Arial"/>
              </w:rPr>
              <w:t xml:space="preserve">брадикардия, сърдечна недостатъчност, намалена </w:t>
            </w:r>
            <w:r w:rsidRPr="005F02B7">
              <w:rPr>
                <w:rFonts w:cs="Arial"/>
                <w:lang w:val="en-US"/>
              </w:rPr>
              <w:t>AV</w:t>
            </w:r>
            <w:r w:rsidRPr="005F02B7">
              <w:rPr>
                <w:rFonts w:cs="Arial"/>
                <w:lang w:val="ru-RU"/>
              </w:rPr>
              <w:t xml:space="preserve"> </w:t>
            </w:r>
            <w:r w:rsidRPr="005F02B7">
              <w:rPr>
                <w:rFonts w:cs="Arial"/>
              </w:rPr>
              <w:t>проводимост</w:t>
            </w:r>
            <w:r w:rsidRPr="005F02B7">
              <w:rPr>
                <w:rFonts w:cs="Arial"/>
                <w:lang w:val="ru-RU"/>
              </w:rPr>
              <w:t>/</w:t>
            </w:r>
            <w:r w:rsidRPr="005F02B7">
              <w:rPr>
                <w:rFonts w:cs="Arial"/>
                <w:lang w:val="en-US"/>
              </w:rPr>
              <w:t>AV</w:t>
            </w:r>
            <w:r w:rsidRPr="005F02B7">
              <w:rPr>
                <w:rFonts w:cs="Arial"/>
                <w:lang w:val="ru-RU"/>
              </w:rPr>
              <w:t xml:space="preserve"> </w:t>
            </w:r>
            <w:r w:rsidRPr="005F02B7">
              <w:rPr>
                <w:rFonts w:cs="Arial"/>
              </w:rPr>
              <w:t>- блок</w:t>
            </w:r>
          </w:p>
        </w:tc>
        <w:tc>
          <w:tcPr>
            <w:tcW w:w="1915" w:type="dxa"/>
          </w:tcPr>
          <w:p w14:paraId="216FAE8F" w14:textId="77777777" w:rsidR="005F02B7" w:rsidRPr="005F02B7" w:rsidRDefault="005F02B7" w:rsidP="005F02B7">
            <w:pPr>
              <w:rPr>
                <w:rFonts w:cs="Arial"/>
              </w:rPr>
            </w:pPr>
          </w:p>
        </w:tc>
        <w:tc>
          <w:tcPr>
            <w:tcW w:w="1916" w:type="dxa"/>
          </w:tcPr>
          <w:p w14:paraId="54886B94" w14:textId="77777777" w:rsidR="005F02B7" w:rsidRPr="005F02B7" w:rsidRDefault="005F02B7" w:rsidP="005F02B7">
            <w:pPr>
              <w:rPr>
                <w:rFonts w:cs="Arial"/>
              </w:rPr>
            </w:pPr>
          </w:p>
        </w:tc>
      </w:tr>
      <w:tr w:rsidR="005F02B7" w14:paraId="6712B0CF" w14:textId="77777777" w:rsidTr="005F02B7">
        <w:tc>
          <w:tcPr>
            <w:tcW w:w="1915" w:type="dxa"/>
          </w:tcPr>
          <w:p w14:paraId="18BCEF0C" w14:textId="361555BE" w:rsidR="005F02B7" w:rsidRPr="005F02B7" w:rsidRDefault="005F02B7" w:rsidP="005F02B7">
            <w:pPr>
              <w:rPr>
                <w:rFonts w:cs="Arial"/>
              </w:rPr>
            </w:pPr>
            <w:r w:rsidRPr="005F02B7">
              <w:rPr>
                <w:rFonts w:cs="Arial"/>
              </w:rPr>
              <w:t>Съдови нарушения</w:t>
            </w:r>
          </w:p>
        </w:tc>
        <w:tc>
          <w:tcPr>
            <w:tcW w:w="1915" w:type="dxa"/>
          </w:tcPr>
          <w:p w14:paraId="232B5F46" w14:textId="77777777" w:rsidR="005F02B7" w:rsidRPr="005F02B7" w:rsidRDefault="005F02B7" w:rsidP="005F02B7">
            <w:pPr>
              <w:rPr>
                <w:rFonts w:cs="Arial"/>
              </w:rPr>
            </w:pPr>
          </w:p>
        </w:tc>
        <w:tc>
          <w:tcPr>
            <w:tcW w:w="1915" w:type="dxa"/>
          </w:tcPr>
          <w:p w14:paraId="51F2D7F2" w14:textId="6B872540" w:rsidR="005F02B7" w:rsidRPr="005F02B7" w:rsidRDefault="005F02B7" w:rsidP="005F02B7">
            <w:pPr>
              <w:rPr>
                <w:rFonts w:cs="Arial"/>
              </w:rPr>
            </w:pPr>
            <w:r w:rsidRPr="005F02B7">
              <w:rPr>
                <w:rFonts w:cs="Arial"/>
              </w:rPr>
              <w:t>хипотония, (влошаване на) интермитентно накуцване</w:t>
            </w:r>
          </w:p>
        </w:tc>
        <w:tc>
          <w:tcPr>
            <w:tcW w:w="1915" w:type="dxa"/>
          </w:tcPr>
          <w:p w14:paraId="6C533EBF" w14:textId="77777777" w:rsidR="005F02B7" w:rsidRPr="005F02B7" w:rsidRDefault="005F02B7" w:rsidP="005F02B7">
            <w:pPr>
              <w:rPr>
                <w:rFonts w:cs="Arial"/>
              </w:rPr>
            </w:pPr>
          </w:p>
        </w:tc>
        <w:tc>
          <w:tcPr>
            <w:tcW w:w="1916" w:type="dxa"/>
          </w:tcPr>
          <w:p w14:paraId="509B0B70" w14:textId="77777777" w:rsidR="005F02B7" w:rsidRPr="005F02B7" w:rsidRDefault="005F02B7" w:rsidP="005F02B7">
            <w:pPr>
              <w:rPr>
                <w:rFonts w:cs="Arial"/>
              </w:rPr>
            </w:pPr>
          </w:p>
        </w:tc>
      </w:tr>
      <w:tr w:rsidR="005F02B7" w14:paraId="73917DCE" w14:textId="77777777" w:rsidTr="005F02B7">
        <w:tc>
          <w:tcPr>
            <w:tcW w:w="1915" w:type="dxa"/>
          </w:tcPr>
          <w:p w14:paraId="5315EF55" w14:textId="3AACF02D" w:rsidR="005F02B7" w:rsidRPr="005F02B7" w:rsidRDefault="005F02B7" w:rsidP="005F02B7">
            <w:pPr>
              <w:rPr>
                <w:rFonts w:cs="Arial"/>
              </w:rPr>
            </w:pPr>
            <w:r w:rsidRPr="005F02B7">
              <w:rPr>
                <w:rFonts w:cs="Arial"/>
              </w:rPr>
              <w:t>Респираторни, гръдни и медиастинални нарушения</w:t>
            </w:r>
          </w:p>
        </w:tc>
        <w:tc>
          <w:tcPr>
            <w:tcW w:w="1915" w:type="dxa"/>
          </w:tcPr>
          <w:p w14:paraId="0B8B6C92" w14:textId="1786C5CB" w:rsidR="005F02B7" w:rsidRPr="005F02B7" w:rsidRDefault="005F02B7" w:rsidP="005F02B7">
            <w:pPr>
              <w:rPr>
                <w:rFonts w:cs="Arial"/>
              </w:rPr>
            </w:pPr>
            <w:r w:rsidRPr="005F02B7">
              <w:rPr>
                <w:rFonts w:cs="Arial"/>
              </w:rPr>
              <w:t>диспнея</w:t>
            </w:r>
          </w:p>
        </w:tc>
        <w:tc>
          <w:tcPr>
            <w:tcW w:w="1915" w:type="dxa"/>
          </w:tcPr>
          <w:p w14:paraId="7ED0C499" w14:textId="285EAF40" w:rsidR="005F02B7" w:rsidRPr="005F02B7" w:rsidRDefault="005F02B7" w:rsidP="005F02B7">
            <w:pPr>
              <w:rPr>
                <w:rFonts w:cs="Arial"/>
              </w:rPr>
            </w:pPr>
            <w:r w:rsidRPr="005F02B7">
              <w:rPr>
                <w:rFonts w:cs="Arial"/>
              </w:rPr>
              <w:t>бронхоспазъм</w:t>
            </w:r>
          </w:p>
        </w:tc>
        <w:tc>
          <w:tcPr>
            <w:tcW w:w="1915" w:type="dxa"/>
          </w:tcPr>
          <w:p w14:paraId="2A131E30" w14:textId="77777777" w:rsidR="005F02B7" w:rsidRPr="005F02B7" w:rsidRDefault="005F02B7" w:rsidP="005F02B7">
            <w:pPr>
              <w:rPr>
                <w:rFonts w:cs="Arial"/>
              </w:rPr>
            </w:pPr>
          </w:p>
        </w:tc>
        <w:tc>
          <w:tcPr>
            <w:tcW w:w="1916" w:type="dxa"/>
          </w:tcPr>
          <w:p w14:paraId="3A79F3F9" w14:textId="77777777" w:rsidR="005F02B7" w:rsidRPr="005F02B7" w:rsidRDefault="005F02B7" w:rsidP="005F02B7">
            <w:pPr>
              <w:rPr>
                <w:rFonts w:cs="Arial"/>
              </w:rPr>
            </w:pPr>
          </w:p>
        </w:tc>
      </w:tr>
      <w:tr w:rsidR="005F02B7" w14:paraId="5EBB09D4" w14:textId="77777777" w:rsidTr="005F02B7">
        <w:tc>
          <w:tcPr>
            <w:tcW w:w="1915" w:type="dxa"/>
          </w:tcPr>
          <w:p w14:paraId="2F944CAF" w14:textId="5375EE0F" w:rsidR="005F02B7" w:rsidRPr="005F02B7" w:rsidRDefault="005F02B7" w:rsidP="005F02B7">
            <w:pPr>
              <w:rPr>
                <w:rFonts w:cs="Arial"/>
              </w:rPr>
            </w:pPr>
            <w:r w:rsidRPr="005F02B7">
              <w:rPr>
                <w:rFonts w:cs="Arial"/>
              </w:rPr>
              <w:lastRenderedPageBreak/>
              <w:t>Стомашно-чревни нарушения</w:t>
            </w:r>
          </w:p>
        </w:tc>
        <w:tc>
          <w:tcPr>
            <w:tcW w:w="1915" w:type="dxa"/>
          </w:tcPr>
          <w:p w14:paraId="674EB15C" w14:textId="6E3A9E0C" w:rsidR="005F02B7" w:rsidRPr="005F02B7" w:rsidRDefault="005F02B7" w:rsidP="005F02B7">
            <w:pPr>
              <w:rPr>
                <w:rFonts w:cs="Arial"/>
              </w:rPr>
            </w:pPr>
            <w:r w:rsidRPr="005F02B7">
              <w:rPr>
                <w:rFonts w:cs="Arial"/>
              </w:rPr>
              <w:t>запек, гадене, диария</w:t>
            </w:r>
          </w:p>
        </w:tc>
        <w:tc>
          <w:tcPr>
            <w:tcW w:w="1915" w:type="dxa"/>
          </w:tcPr>
          <w:p w14:paraId="50F703D1" w14:textId="59CE2214" w:rsidR="005F02B7" w:rsidRPr="005F02B7" w:rsidRDefault="005F02B7" w:rsidP="005F02B7">
            <w:pPr>
              <w:rPr>
                <w:rFonts w:cs="Arial"/>
              </w:rPr>
            </w:pPr>
            <w:r w:rsidRPr="005F02B7">
              <w:rPr>
                <w:rFonts w:cs="Arial"/>
              </w:rPr>
              <w:t>диспепсия, метеоризъм, повръщане</w:t>
            </w:r>
          </w:p>
        </w:tc>
        <w:tc>
          <w:tcPr>
            <w:tcW w:w="1915" w:type="dxa"/>
          </w:tcPr>
          <w:p w14:paraId="2F5A4A42" w14:textId="77777777" w:rsidR="005F02B7" w:rsidRPr="005F02B7" w:rsidRDefault="005F02B7" w:rsidP="005F02B7">
            <w:pPr>
              <w:rPr>
                <w:rFonts w:cs="Arial"/>
              </w:rPr>
            </w:pPr>
          </w:p>
        </w:tc>
        <w:tc>
          <w:tcPr>
            <w:tcW w:w="1916" w:type="dxa"/>
          </w:tcPr>
          <w:p w14:paraId="35DF9DF1" w14:textId="77777777" w:rsidR="005F02B7" w:rsidRPr="005F02B7" w:rsidRDefault="005F02B7" w:rsidP="005F02B7">
            <w:pPr>
              <w:rPr>
                <w:rFonts w:cs="Arial"/>
              </w:rPr>
            </w:pPr>
          </w:p>
        </w:tc>
      </w:tr>
      <w:tr w:rsidR="005F02B7" w14:paraId="5491E579" w14:textId="77777777" w:rsidTr="005F02B7">
        <w:tc>
          <w:tcPr>
            <w:tcW w:w="1915" w:type="dxa"/>
          </w:tcPr>
          <w:p w14:paraId="4874FDB4" w14:textId="53FE2C83" w:rsidR="005F02B7" w:rsidRPr="005F02B7" w:rsidRDefault="005F02B7" w:rsidP="005F02B7">
            <w:pPr>
              <w:rPr>
                <w:rFonts w:cs="Arial"/>
              </w:rPr>
            </w:pPr>
            <w:r w:rsidRPr="005F02B7">
              <w:rPr>
                <w:rFonts w:cs="Arial"/>
              </w:rPr>
              <w:t>Нарушения на кожата и подкожната тъкан</w:t>
            </w:r>
          </w:p>
        </w:tc>
        <w:tc>
          <w:tcPr>
            <w:tcW w:w="1915" w:type="dxa"/>
          </w:tcPr>
          <w:p w14:paraId="4B35CD9D" w14:textId="77777777" w:rsidR="005F02B7" w:rsidRPr="005F02B7" w:rsidRDefault="005F02B7" w:rsidP="005F02B7">
            <w:pPr>
              <w:rPr>
                <w:rFonts w:cs="Arial"/>
              </w:rPr>
            </w:pPr>
          </w:p>
        </w:tc>
        <w:tc>
          <w:tcPr>
            <w:tcW w:w="1915" w:type="dxa"/>
          </w:tcPr>
          <w:p w14:paraId="6A1DD719" w14:textId="58FE6FDC" w:rsidR="005F02B7" w:rsidRPr="005F02B7" w:rsidRDefault="005F02B7" w:rsidP="005F02B7">
            <w:pPr>
              <w:rPr>
                <w:rFonts w:cs="Arial"/>
              </w:rPr>
            </w:pPr>
            <w:r w:rsidRPr="005F02B7">
              <w:rPr>
                <w:rFonts w:cs="Arial"/>
              </w:rPr>
              <w:t>пруритус, еритематозен обрив</w:t>
            </w:r>
          </w:p>
        </w:tc>
        <w:tc>
          <w:tcPr>
            <w:tcW w:w="1915" w:type="dxa"/>
          </w:tcPr>
          <w:p w14:paraId="15D1DCD6" w14:textId="341635B2" w:rsidR="005F02B7" w:rsidRPr="005F02B7" w:rsidRDefault="005F02B7" w:rsidP="005F02B7">
            <w:pPr>
              <w:rPr>
                <w:rFonts w:cs="Arial"/>
              </w:rPr>
            </w:pPr>
            <w:r w:rsidRPr="005F02B7">
              <w:rPr>
                <w:rFonts w:cs="Arial"/>
              </w:rPr>
              <w:t>утежняване на псориазис</w:t>
            </w:r>
          </w:p>
        </w:tc>
        <w:tc>
          <w:tcPr>
            <w:tcW w:w="1916" w:type="dxa"/>
          </w:tcPr>
          <w:p w14:paraId="2F11AFCC" w14:textId="5316C148" w:rsidR="005F02B7" w:rsidRPr="005F02B7" w:rsidRDefault="005F02B7" w:rsidP="005F02B7">
            <w:pPr>
              <w:rPr>
                <w:rFonts w:cs="Arial"/>
              </w:rPr>
            </w:pPr>
            <w:r w:rsidRPr="005F02B7">
              <w:rPr>
                <w:rFonts w:cs="Arial"/>
              </w:rPr>
              <w:t>уртикария</w:t>
            </w:r>
          </w:p>
        </w:tc>
      </w:tr>
      <w:tr w:rsidR="005F02B7" w14:paraId="313679AA" w14:textId="77777777" w:rsidTr="005F02B7">
        <w:tc>
          <w:tcPr>
            <w:tcW w:w="1915" w:type="dxa"/>
          </w:tcPr>
          <w:p w14:paraId="7C1D2DEB" w14:textId="2B01DC45" w:rsidR="005F02B7" w:rsidRPr="005F02B7" w:rsidRDefault="005F02B7" w:rsidP="005F02B7">
            <w:pPr>
              <w:rPr>
                <w:rFonts w:cs="Arial"/>
              </w:rPr>
            </w:pPr>
            <w:r w:rsidRPr="005F02B7">
              <w:rPr>
                <w:rFonts w:cs="Arial"/>
              </w:rPr>
              <w:t>Нарушения на възпроизводител</w:t>
            </w:r>
            <w:r w:rsidRPr="005F02B7">
              <w:rPr>
                <w:rFonts w:cs="Arial"/>
              </w:rPr>
              <w:softHyphen/>
              <w:t>ната система и гърдата</w:t>
            </w:r>
          </w:p>
        </w:tc>
        <w:tc>
          <w:tcPr>
            <w:tcW w:w="1915" w:type="dxa"/>
          </w:tcPr>
          <w:p w14:paraId="06777DD8" w14:textId="77777777" w:rsidR="005F02B7" w:rsidRPr="005F02B7" w:rsidRDefault="005F02B7" w:rsidP="005F02B7">
            <w:pPr>
              <w:rPr>
                <w:rFonts w:cs="Arial"/>
              </w:rPr>
            </w:pPr>
          </w:p>
        </w:tc>
        <w:tc>
          <w:tcPr>
            <w:tcW w:w="1915" w:type="dxa"/>
          </w:tcPr>
          <w:p w14:paraId="3123897B" w14:textId="016C193D" w:rsidR="005F02B7" w:rsidRPr="005F02B7" w:rsidRDefault="005F02B7" w:rsidP="005F02B7">
            <w:pPr>
              <w:rPr>
                <w:rFonts w:cs="Arial"/>
              </w:rPr>
            </w:pPr>
            <w:r w:rsidRPr="005F02B7">
              <w:rPr>
                <w:rFonts w:cs="Arial"/>
              </w:rPr>
              <w:t>импотентност</w:t>
            </w:r>
          </w:p>
        </w:tc>
        <w:tc>
          <w:tcPr>
            <w:tcW w:w="1915" w:type="dxa"/>
          </w:tcPr>
          <w:p w14:paraId="3B5E0E7F" w14:textId="77777777" w:rsidR="005F02B7" w:rsidRPr="005F02B7" w:rsidRDefault="005F02B7" w:rsidP="005F02B7">
            <w:pPr>
              <w:rPr>
                <w:rFonts w:cs="Arial"/>
              </w:rPr>
            </w:pPr>
          </w:p>
        </w:tc>
        <w:tc>
          <w:tcPr>
            <w:tcW w:w="1916" w:type="dxa"/>
          </w:tcPr>
          <w:p w14:paraId="225EFDAC" w14:textId="77777777" w:rsidR="005F02B7" w:rsidRPr="005F02B7" w:rsidRDefault="005F02B7" w:rsidP="005F02B7">
            <w:pPr>
              <w:rPr>
                <w:rFonts w:cs="Arial"/>
              </w:rPr>
            </w:pPr>
          </w:p>
        </w:tc>
      </w:tr>
      <w:tr w:rsidR="005F02B7" w14:paraId="49E80125" w14:textId="77777777" w:rsidTr="005F02B7">
        <w:tc>
          <w:tcPr>
            <w:tcW w:w="1915" w:type="dxa"/>
          </w:tcPr>
          <w:p w14:paraId="11E641DB" w14:textId="2B10E84B" w:rsidR="005F02B7" w:rsidRPr="005F02B7" w:rsidRDefault="005F02B7" w:rsidP="005F02B7">
            <w:pPr>
              <w:rPr>
                <w:rFonts w:cs="Arial"/>
              </w:rPr>
            </w:pPr>
            <w:r w:rsidRPr="005F02B7">
              <w:rPr>
                <w:rFonts w:cs="Arial"/>
              </w:rPr>
              <w:t>Общи нарушения и ефекти на мястото на приложение</w:t>
            </w:r>
          </w:p>
        </w:tc>
        <w:tc>
          <w:tcPr>
            <w:tcW w:w="1915" w:type="dxa"/>
          </w:tcPr>
          <w:p w14:paraId="497932E5" w14:textId="42AC4264" w:rsidR="005F02B7" w:rsidRPr="005F02B7" w:rsidRDefault="005F02B7" w:rsidP="005F02B7">
            <w:pPr>
              <w:rPr>
                <w:rFonts w:cs="Arial"/>
              </w:rPr>
            </w:pPr>
            <w:r w:rsidRPr="005F02B7">
              <w:rPr>
                <w:rFonts w:cs="Arial"/>
              </w:rPr>
              <w:t>отпадналост, оток</w:t>
            </w:r>
          </w:p>
        </w:tc>
        <w:tc>
          <w:tcPr>
            <w:tcW w:w="1915" w:type="dxa"/>
          </w:tcPr>
          <w:p w14:paraId="49A247D8" w14:textId="77777777" w:rsidR="005F02B7" w:rsidRPr="005F02B7" w:rsidRDefault="005F02B7" w:rsidP="005F02B7">
            <w:pPr>
              <w:rPr>
                <w:rFonts w:cs="Arial"/>
              </w:rPr>
            </w:pPr>
          </w:p>
        </w:tc>
        <w:tc>
          <w:tcPr>
            <w:tcW w:w="1915" w:type="dxa"/>
          </w:tcPr>
          <w:p w14:paraId="71AAFC56" w14:textId="77777777" w:rsidR="005F02B7" w:rsidRPr="005F02B7" w:rsidRDefault="005F02B7" w:rsidP="005F02B7">
            <w:pPr>
              <w:rPr>
                <w:rFonts w:cs="Arial"/>
              </w:rPr>
            </w:pPr>
          </w:p>
        </w:tc>
        <w:tc>
          <w:tcPr>
            <w:tcW w:w="1916" w:type="dxa"/>
          </w:tcPr>
          <w:p w14:paraId="479F6B66" w14:textId="77777777" w:rsidR="005F02B7" w:rsidRPr="005F02B7" w:rsidRDefault="005F02B7" w:rsidP="005F02B7">
            <w:pPr>
              <w:rPr>
                <w:rFonts w:cs="Arial"/>
              </w:rPr>
            </w:pPr>
          </w:p>
        </w:tc>
      </w:tr>
    </w:tbl>
    <w:p w14:paraId="0A6186FD" w14:textId="0DEACACF" w:rsidR="005F02B7" w:rsidRDefault="005F02B7" w:rsidP="005F02B7"/>
    <w:p w14:paraId="3160C6F4" w14:textId="77777777" w:rsidR="005F02B7" w:rsidRPr="005F02B7" w:rsidRDefault="005F02B7" w:rsidP="005F02B7">
      <w:pPr>
        <w:spacing w:line="240" w:lineRule="auto"/>
        <w:rPr>
          <w:rFonts w:eastAsia="Times New Roman" w:cs="Arial"/>
        </w:rPr>
      </w:pPr>
      <w:r w:rsidRPr="005F02B7">
        <w:rPr>
          <w:rFonts w:eastAsia="Times New Roman" w:cs="Arial"/>
          <w:color w:val="000000"/>
          <w:lang w:eastAsia="bg-BG"/>
        </w:rPr>
        <w:t>Освен това, при приложението на някои бета-блокери се съобщават и следните нежелани лекарствени реакции: халюцинации, психози, объркване, студени/цианотични крайници, феномен на Рейно, сухота в очите, окуло-мукокутанейна токсичност от практололов тип.</w:t>
      </w:r>
    </w:p>
    <w:p w14:paraId="68BD4E23" w14:textId="77777777" w:rsidR="005F02B7" w:rsidRPr="005F02B7" w:rsidRDefault="005F02B7" w:rsidP="005F02B7">
      <w:pPr>
        <w:spacing w:line="240" w:lineRule="auto"/>
        <w:rPr>
          <w:rFonts w:eastAsia="Times New Roman" w:cs="Arial"/>
        </w:rPr>
      </w:pPr>
    </w:p>
    <w:p w14:paraId="416B8A34" w14:textId="77777777" w:rsidR="005F02B7" w:rsidRPr="005F02B7" w:rsidRDefault="005F02B7" w:rsidP="005F02B7">
      <w:pPr>
        <w:spacing w:line="240" w:lineRule="auto"/>
        <w:rPr>
          <w:rFonts w:eastAsia="Times New Roman" w:cs="Arial"/>
        </w:rPr>
      </w:pPr>
      <w:r w:rsidRPr="005F02B7">
        <w:rPr>
          <w:rFonts w:eastAsia="Times New Roman" w:cs="Arial"/>
          <w:color w:val="000000"/>
          <w:u w:val="single"/>
          <w:lang w:eastAsia="bg-BG"/>
        </w:rPr>
        <w:t>Хронична сърдечна недостатъчност</w:t>
      </w:r>
    </w:p>
    <w:p w14:paraId="55A1BF89" w14:textId="77777777" w:rsidR="005F02B7" w:rsidRPr="005F02B7" w:rsidRDefault="005F02B7" w:rsidP="005F02B7">
      <w:pPr>
        <w:spacing w:line="240" w:lineRule="auto"/>
        <w:rPr>
          <w:rFonts w:eastAsia="Times New Roman" w:cs="Arial"/>
        </w:rPr>
      </w:pPr>
      <w:r w:rsidRPr="005F02B7">
        <w:rPr>
          <w:rFonts w:eastAsia="Times New Roman" w:cs="Arial"/>
          <w:color w:val="000000"/>
          <w:lang w:eastAsia="bg-BG"/>
        </w:rPr>
        <w:t>Данните за нежелани реакции при пациенти с ХСН са от плацебо-контролирано клинично проучване, включващо 1067 пациенти, приемащи небиволол и 1061 пациенти, приемащи</w:t>
      </w:r>
    </w:p>
    <w:p w14:paraId="393DD205" w14:textId="77777777" w:rsidR="005F02B7" w:rsidRPr="005F02B7" w:rsidRDefault="005F02B7" w:rsidP="005F02B7">
      <w:pPr>
        <w:spacing w:line="240" w:lineRule="auto"/>
        <w:rPr>
          <w:rFonts w:eastAsia="Times New Roman" w:cs="Arial"/>
        </w:rPr>
      </w:pPr>
      <w:r w:rsidRPr="005F02B7">
        <w:rPr>
          <w:rFonts w:eastAsia="Times New Roman" w:cs="Arial"/>
          <w:color w:val="000000"/>
          <w:lang w:eastAsia="bg-BG"/>
        </w:rPr>
        <w:t>плацебо. В това проучване 449 (42,1%) пациенти, приемащи небиволол, съобщават за</w:t>
      </w:r>
    </w:p>
    <w:p w14:paraId="3CDB5D90" w14:textId="77777777" w:rsidR="005F02B7" w:rsidRPr="005F02B7" w:rsidRDefault="005F02B7" w:rsidP="005F02B7">
      <w:pPr>
        <w:rPr>
          <w:rFonts w:eastAsia="Times New Roman" w:cs="Arial"/>
        </w:rPr>
      </w:pPr>
      <w:r w:rsidRPr="005F02B7">
        <w:rPr>
          <w:rFonts w:eastAsia="Times New Roman" w:cs="Arial"/>
          <w:color w:val="000000"/>
          <w:lang w:eastAsia="bg-BG"/>
        </w:rPr>
        <w:t>нежелани реакции, в сравнение с 334 (31,5%) пациенти, приемащи плацебо. Най-често</w:t>
      </w:r>
      <w:r w:rsidRPr="005F02B7">
        <w:rPr>
          <w:rFonts w:eastAsia="Times New Roman" w:cs="Arial"/>
          <w:color w:val="000000"/>
          <w:lang w:val="ru-RU" w:eastAsia="bg-BG"/>
        </w:rPr>
        <w:t xml:space="preserve"> </w:t>
      </w:r>
      <w:r w:rsidRPr="005F02B7">
        <w:rPr>
          <w:rFonts w:eastAsia="Times New Roman" w:cs="Arial"/>
          <w:color w:val="000000"/>
          <w:lang w:eastAsia="bg-BG"/>
        </w:rPr>
        <w:t>докладваните нежелани реакции при пациентите на небиволол са брадикардия и замаяност, като и двете се проявяват при около 11 % от пациентите. Честотата при плацебо е съответно 2 % и 7 %.</w:t>
      </w:r>
    </w:p>
    <w:p w14:paraId="70D62E2B" w14:textId="77777777" w:rsidR="005F02B7" w:rsidRPr="005F02B7" w:rsidRDefault="005F02B7" w:rsidP="005F02B7">
      <w:pPr>
        <w:spacing w:line="240" w:lineRule="auto"/>
        <w:rPr>
          <w:rFonts w:eastAsia="Times New Roman" w:cs="Arial"/>
          <w:color w:val="000000"/>
          <w:lang w:eastAsia="bg-BG"/>
        </w:rPr>
      </w:pPr>
    </w:p>
    <w:p w14:paraId="7817F841" w14:textId="77777777" w:rsidR="005F02B7" w:rsidRPr="005F02B7" w:rsidRDefault="005F02B7" w:rsidP="005F02B7">
      <w:pPr>
        <w:spacing w:line="240" w:lineRule="auto"/>
        <w:rPr>
          <w:rFonts w:eastAsia="Times New Roman" w:cs="Arial"/>
          <w:color w:val="000000"/>
          <w:lang w:eastAsia="bg-BG"/>
        </w:rPr>
      </w:pPr>
      <w:r w:rsidRPr="005F02B7">
        <w:rPr>
          <w:rFonts w:eastAsia="Times New Roman" w:cs="Arial"/>
          <w:color w:val="000000"/>
          <w:lang w:eastAsia="bg-BG"/>
        </w:rPr>
        <w:t xml:space="preserve">Следните случаи са докладвани като нежелани реакции (вероятно свързани с лечението), които се приемат за специфично значими при лечението на хронична сърдечна недостатъчност: </w:t>
      </w:r>
    </w:p>
    <w:p w14:paraId="7B67C0E6" w14:textId="77777777" w:rsidR="005F02B7" w:rsidRPr="005F02B7" w:rsidRDefault="005F02B7" w:rsidP="005F02B7">
      <w:pPr>
        <w:pStyle w:val="ListParagraph"/>
        <w:numPr>
          <w:ilvl w:val="0"/>
          <w:numId w:val="38"/>
        </w:numPr>
        <w:spacing w:line="240" w:lineRule="auto"/>
        <w:rPr>
          <w:rFonts w:eastAsia="Times New Roman" w:cs="Arial"/>
          <w:color w:val="000000"/>
          <w:lang w:eastAsia="bg-BG"/>
        </w:rPr>
      </w:pPr>
      <w:r w:rsidRPr="005F02B7">
        <w:rPr>
          <w:rFonts w:eastAsia="Times New Roman" w:cs="Arial"/>
          <w:color w:val="000000"/>
          <w:lang w:eastAsia="bg-BG"/>
        </w:rPr>
        <w:t>влошаване на сърдечната недостатъчност</w:t>
      </w:r>
      <w:r w:rsidRPr="005F02B7">
        <w:rPr>
          <w:rFonts w:eastAsia="Times New Roman" w:cs="Arial"/>
          <w:color w:val="000000"/>
          <w:lang w:val="ru-RU" w:eastAsia="bg-BG"/>
        </w:rPr>
        <w:t xml:space="preserve"> </w:t>
      </w:r>
      <w:r w:rsidRPr="005F02B7">
        <w:rPr>
          <w:rFonts w:eastAsia="Times New Roman" w:cs="Arial"/>
          <w:color w:val="000000"/>
          <w:lang w:eastAsia="bg-BG"/>
        </w:rPr>
        <w:t>проявява се при 5,8 % от пациентите на небиволол, в сравнение с 5,2 % от пациентите на плацебо;</w:t>
      </w:r>
    </w:p>
    <w:p w14:paraId="69E8E12C" w14:textId="77777777" w:rsidR="005F02B7" w:rsidRPr="005F02B7" w:rsidRDefault="005F02B7" w:rsidP="005F02B7">
      <w:pPr>
        <w:pStyle w:val="ListParagraph"/>
        <w:numPr>
          <w:ilvl w:val="0"/>
          <w:numId w:val="38"/>
        </w:numPr>
        <w:spacing w:line="240" w:lineRule="auto"/>
        <w:rPr>
          <w:rFonts w:eastAsia="Times New Roman" w:cs="Arial"/>
          <w:color w:val="000000"/>
          <w:lang w:eastAsia="bg-BG"/>
        </w:rPr>
      </w:pPr>
      <w:r w:rsidRPr="005F02B7">
        <w:rPr>
          <w:rFonts w:eastAsia="Times New Roman" w:cs="Arial"/>
          <w:color w:val="000000"/>
          <w:lang w:eastAsia="bg-BG"/>
        </w:rPr>
        <w:t>постурална хипотония - проявява се при 2,1 % от пациентите на небиволол, в сравнение с 1,0 % от пациентите на плацебо;</w:t>
      </w:r>
    </w:p>
    <w:p w14:paraId="331EDF0C" w14:textId="77777777" w:rsidR="005F02B7" w:rsidRPr="005F02B7" w:rsidRDefault="005F02B7" w:rsidP="005F02B7">
      <w:pPr>
        <w:pStyle w:val="ListParagraph"/>
        <w:numPr>
          <w:ilvl w:val="0"/>
          <w:numId w:val="38"/>
        </w:numPr>
        <w:spacing w:line="240" w:lineRule="auto"/>
        <w:rPr>
          <w:rFonts w:eastAsia="Times New Roman" w:cs="Arial"/>
          <w:color w:val="000000"/>
          <w:lang w:eastAsia="bg-BG"/>
        </w:rPr>
      </w:pPr>
      <w:r w:rsidRPr="005F02B7">
        <w:rPr>
          <w:rFonts w:eastAsia="Times New Roman" w:cs="Arial"/>
          <w:color w:val="000000"/>
          <w:lang w:eastAsia="bg-BG"/>
        </w:rPr>
        <w:t>непоносимост към лекарството - проявява се при 1,6 % от пациентите на небиволол, в сравнение с 0,8 % от пациентите на плацебо;</w:t>
      </w:r>
    </w:p>
    <w:p w14:paraId="730BB70F" w14:textId="59541F05" w:rsidR="005F02B7" w:rsidRPr="005F02B7" w:rsidRDefault="005F02B7" w:rsidP="005F02B7">
      <w:pPr>
        <w:pStyle w:val="ListParagraph"/>
        <w:numPr>
          <w:ilvl w:val="0"/>
          <w:numId w:val="38"/>
        </w:numPr>
        <w:spacing w:line="240" w:lineRule="auto"/>
        <w:rPr>
          <w:rFonts w:eastAsia="Times New Roman" w:cs="Arial"/>
          <w:color w:val="000000"/>
          <w:lang w:eastAsia="bg-BG"/>
        </w:rPr>
      </w:pPr>
      <w:r w:rsidRPr="005F02B7">
        <w:rPr>
          <w:rFonts w:eastAsia="Times New Roman" w:cs="Arial"/>
          <w:color w:val="000000"/>
          <w:lang w:eastAsia="bg-BG"/>
        </w:rPr>
        <w:t>атрио-вентрикуларен блок I степен - проявява се при 1,4 % от пациентите на небиволол, в сравнение с 0,9 % от пациентите на плацебо;</w:t>
      </w:r>
    </w:p>
    <w:p w14:paraId="263ADCD3" w14:textId="65EDF8E9" w:rsidR="005F02B7" w:rsidRPr="005F02B7" w:rsidRDefault="005F02B7" w:rsidP="005F02B7">
      <w:pPr>
        <w:pStyle w:val="ListParagraph"/>
        <w:numPr>
          <w:ilvl w:val="0"/>
          <w:numId w:val="38"/>
        </w:numPr>
        <w:spacing w:line="240" w:lineRule="auto"/>
        <w:rPr>
          <w:rFonts w:eastAsia="Times New Roman" w:cs="Arial"/>
          <w:color w:val="000000"/>
          <w:lang w:eastAsia="bg-BG"/>
        </w:rPr>
      </w:pPr>
      <w:r w:rsidRPr="005F02B7">
        <w:rPr>
          <w:rFonts w:eastAsia="Times New Roman" w:cs="Arial"/>
          <w:color w:val="000000"/>
          <w:lang w:eastAsia="bg-BG"/>
        </w:rPr>
        <w:t>оток на долните крайници - проявява се при 1,0 % от пациентите на небиволол, в сравнение с 0,2 % от пациентите на плацебо.</w:t>
      </w:r>
    </w:p>
    <w:p w14:paraId="351578E6" w14:textId="77777777" w:rsidR="005F02B7" w:rsidRPr="005F02B7" w:rsidRDefault="005F02B7" w:rsidP="005F02B7">
      <w:pPr>
        <w:spacing w:line="240" w:lineRule="auto"/>
        <w:rPr>
          <w:rFonts w:eastAsia="Times New Roman" w:cs="Arial"/>
          <w:color w:val="000000"/>
          <w:u w:val="single"/>
          <w:lang w:eastAsia="bg-BG"/>
        </w:rPr>
      </w:pPr>
    </w:p>
    <w:p w14:paraId="3B36573B" w14:textId="237AB243" w:rsidR="005F02B7" w:rsidRPr="005F02B7" w:rsidRDefault="005F02B7" w:rsidP="005F02B7">
      <w:pPr>
        <w:spacing w:line="240" w:lineRule="auto"/>
        <w:rPr>
          <w:rFonts w:eastAsia="Times New Roman" w:cs="Arial"/>
        </w:rPr>
      </w:pPr>
      <w:r w:rsidRPr="005F02B7">
        <w:rPr>
          <w:rFonts w:eastAsia="Times New Roman" w:cs="Arial"/>
          <w:color w:val="000000"/>
          <w:u w:val="single"/>
          <w:lang w:eastAsia="bg-BG"/>
        </w:rPr>
        <w:t>Съобщаване на подозирани нежелани реакции</w:t>
      </w:r>
    </w:p>
    <w:p w14:paraId="2EBD3E56" w14:textId="77777777" w:rsidR="005F02B7" w:rsidRPr="005F02B7" w:rsidRDefault="005F02B7" w:rsidP="005F02B7">
      <w:pPr>
        <w:spacing w:line="240" w:lineRule="auto"/>
        <w:rPr>
          <w:rFonts w:eastAsia="Times New Roman" w:cs="Arial"/>
        </w:rPr>
      </w:pPr>
      <w:r w:rsidRPr="005F02B7">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 „Дамян Груев” № 8, 1303 София, тел: +359 2 8903417, уебсайт: </w:t>
      </w:r>
      <w:r w:rsidRPr="005F02B7">
        <w:rPr>
          <w:rFonts w:eastAsia="Times New Roman" w:cs="Arial"/>
        </w:rPr>
        <w:fldChar w:fldCharType="begin"/>
      </w:r>
      <w:r w:rsidRPr="005F02B7">
        <w:rPr>
          <w:rFonts w:eastAsia="Times New Roman" w:cs="Arial"/>
        </w:rPr>
        <w:instrText xml:space="preserve"> HYPERLINK "http://www.bda.bg" </w:instrText>
      </w:r>
      <w:r w:rsidRPr="005F02B7">
        <w:rPr>
          <w:rFonts w:eastAsia="Times New Roman" w:cs="Arial"/>
        </w:rPr>
      </w:r>
      <w:r w:rsidRPr="005F02B7">
        <w:rPr>
          <w:rFonts w:eastAsia="Times New Roman" w:cs="Arial"/>
        </w:rPr>
        <w:fldChar w:fldCharType="separate"/>
      </w:r>
      <w:r w:rsidRPr="005F02B7">
        <w:rPr>
          <w:rFonts w:eastAsia="Times New Roman" w:cs="Arial"/>
          <w:color w:val="000000"/>
          <w:u w:val="single"/>
          <w:lang w:val="en-US"/>
        </w:rPr>
        <w:t>www.bda.bg</w:t>
      </w:r>
      <w:r w:rsidRPr="005F02B7">
        <w:rPr>
          <w:rFonts w:eastAsia="Times New Roman" w:cs="Arial"/>
        </w:rPr>
        <w:fldChar w:fldCharType="end"/>
      </w:r>
    </w:p>
    <w:p w14:paraId="13AEEF33" w14:textId="391B21CA" w:rsidR="005F02B7" w:rsidRPr="005F02B7" w:rsidRDefault="005F02B7" w:rsidP="005F02B7">
      <w:pPr>
        <w:spacing w:line="240" w:lineRule="auto"/>
        <w:rPr>
          <w:rFonts w:ascii="Times New Roman" w:eastAsia="Times New Roman" w:hAnsi="Times New Roman" w:cs="Times New Roman"/>
          <w:sz w:val="24"/>
          <w:szCs w:val="24"/>
          <w:lang w:val="en-US"/>
        </w:rPr>
      </w:pPr>
    </w:p>
    <w:p w14:paraId="03730CBE" w14:textId="77777777" w:rsidR="005F02B7" w:rsidRPr="005F02B7" w:rsidRDefault="005F02B7" w:rsidP="005F02B7"/>
    <w:p w14:paraId="5A87DBA3" w14:textId="273E39B6" w:rsidR="007122AD" w:rsidRDefault="002C50EE" w:rsidP="00936AD0">
      <w:pPr>
        <w:pStyle w:val="Heading2"/>
      </w:pPr>
      <w:r>
        <w:t>4.9. Предозиране</w:t>
      </w:r>
    </w:p>
    <w:p w14:paraId="1938B617" w14:textId="2FAE41F6" w:rsidR="005F02B7" w:rsidRDefault="005F02B7" w:rsidP="005F02B7"/>
    <w:p w14:paraId="0E0E34F1"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Няма данни за предозиране с небиволол.</w:t>
      </w:r>
    </w:p>
    <w:p w14:paraId="0A8D7EDE" w14:textId="77777777" w:rsidR="005F02B7" w:rsidRPr="005F02B7" w:rsidRDefault="005F02B7" w:rsidP="005F02B7">
      <w:pPr>
        <w:spacing w:line="240" w:lineRule="auto"/>
        <w:rPr>
          <w:rFonts w:eastAsia="Times New Roman" w:cs="Arial"/>
          <w:color w:val="000000"/>
          <w:u w:val="single"/>
          <w:lang w:eastAsia="bg-BG"/>
        </w:rPr>
      </w:pPr>
    </w:p>
    <w:p w14:paraId="42188510" w14:textId="7D3C3A17" w:rsidR="005F02B7" w:rsidRPr="005F02B7" w:rsidRDefault="005F02B7" w:rsidP="005F02B7">
      <w:pPr>
        <w:pStyle w:val="Heading3"/>
        <w:rPr>
          <w:rFonts w:eastAsia="Times New Roman"/>
          <w:color w:val="auto"/>
          <w:u w:val="single"/>
        </w:rPr>
      </w:pPr>
      <w:r w:rsidRPr="005F02B7">
        <w:rPr>
          <w:rFonts w:eastAsia="Times New Roman"/>
          <w:u w:val="single"/>
          <w:lang w:eastAsia="bg-BG"/>
        </w:rPr>
        <w:t>Симптоми</w:t>
      </w:r>
    </w:p>
    <w:p w14:paraId="0B71C9B2" w14:textId="741AC585"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Симптомите на предозиране с бета-блокери са: брадикардия, хипотония, бронхоспазъм и остра сърдечна недостатъчност.</w:t>
      </w:r>
    </w:p>
    <w:p w14:paraId="0E9BA456" w14:textId="77777777" w:rsidR="005F02B7" w:rsidRPr="005F02B7" w:rsidRDefault="005F02B7" w:rsidP="005F02B7">
      <w:pPr>
        <w:spacing w:line="240" w:lineRule="auto"/>
        <w:rPr>
          <w:rFonts w:eastAsia="Times New Roman" w:cs="Arial"/>
          <w:color w:val="000000"/>
          <w:u w:val="single"/>
          <w:lang w:eastAsia="bg-BG"/>
        </w:rPr>
      </w:pPr>
    </w:p>
    <w:p w14:paraId="2753593A" w14:textId="7148BD86" w:rsidR="005F02B7" w:rsidRPr="005F02B7" w:rsidRDefault="005F02B7" w:rsidP="005F02B7">
      <w:pPr>
        <w:pStyle w:val="Heading3"/>
        <w:rPr>
          <w:rFonts w:eastAsia="Times New Roman"/>
          <w:u w:val="single"/>
        </w:rPr>
      </w:pPr>
      <w:r w:rsidRPr="005F02B7">
        <w:rPr>
          <w:rFonts w:eastAsia="Times New Roman"/>
          <w:u w:val="single"/>
          <w:lang w:eastAsia="bg-BG"/>
        </w:rPr>
        <w:t>Лечение</w:t>
      </w:r>
    </w:p>
    <w:p w14:paraId="4B253749" w14:textId="386259EA" w:rsidR="005F02B7" w:rsidRDefault="005F02B7" w:rsidP="005F02B7">
      <w:pPr>
        <w:rPr>
          <w:rFonts w:eastAsia="Times New Roman" w:cs="Arial"/>
          <w:color w:val="000000"/>
          <w:lang w:eastAsia="bg-BG"/>
        </w:rPr>
      </w:pPr>
      <w:r w:rsidRPr="005F02B7">
        <w:rPr>
          <w:rFonts w:eastAsia="Times New Roman" w:cs="Arial"/>
          <w:color w:val="000000"/>
          <w:lang w:eastAsia="bg-BG"/>
        </w:rPr>
        <w:t xml:space="preserve">В случай на предозиране или при свръхчувствителност, пациентът трябва да бъде поставен под постоянно наблюдение и лекуван в интензивно отделение. Нивата на кръвната захар трябва да се следят. Абсорбцията на евентуално останало количество от лекарството в стомашно-чревния тракт може да бъде предотвратена чрез стомашна промивка и приемане на активен въглен и лаксативни средства. Може да се наложи изкуствено дишане. Брадикардия или силно изразени вагусови реакции се лекуват чрез приложение на атропин или метилатропин. При хипотония и шок се прилага плазма или плазмени заместители и при необходимост - катехоламини. Ефектът на бета-блокерите може да се намали с бавно интравенозно приложение на изопреналин хидрохлорид, като се започне с доза от приблизително 5 </w:t>
      </w:r>
      <w:proofErr w:type="spellStart"/>
      <w:r w:rsidRPr="005F02B7">
        <w:rPr>
          <w:rFonts w:eastAsia="Times New Roman" w:cs="Arial"/>
          <w:color w:val="000000"/>
          <w:lang w:val="en-US"/>
        </w:rPr>
        <w:t>pg</w:t>
      </w:r>
      <w:proofErr w:type="spellEnd"/>
      <w:r w:rsidRPr="005F02B7">
        <w:rPr>
          <w:rFonts w:eastAsia="Times New Roman" w:cs="Arial"/>
          <w:color w:val="000000"/>
          <w:lang w:eastAsia="bg-BG"/>
        </w:rPr>
        <w:t xml:space="preserve">/минута или добутамин, с начална доза от 2,5 </w:t>
      </w:r>
      <w:proofErr w:type="spellStart"/>
      <w:r w:rsidRPr="005F02B7">
        <w:rPr>
          <w:rFonts w:eastAsia="Times New Roman" w:cs="Arial"/>
          <w:color w:val="000000"/>
          <w:lang w:val="en-US"/>
        </w:rPr>
        <w:t>pg</w:t>
      </w:r>
      <w:proofErr w:type="spellEnd"/>
      <w:r w:rsidRPr="005F02B7">
        <w:rPr>
          <w:rFonts w:eastAsia="Times New Roman" w:cs="Arial"/>
          <w:color w:val="000000"/>
          <w:lang w:eastAsia="bg-BG"/>
        </w:rPr>
        <w:t>/минута, до постигане на желания ефект. При неподдаващи се на лечението случаи, изопреналинът може да се комбинира с допамин. Ако и това не доведе до подобрение, може да се помисли за интравенозно приложение на 50-100 μ</w:t>
      </w:r>
      <w:r w:rsidRPr="005F02B7">
        <w:rPr>
          <w:rFonts w:eastAsia="Times New Roman" w:cs="Arial"/>
          <w:color w:val="000000"/>
          <w:lang w:val="en-US"/>
        </w:rPr>
        <w:t>g</w:t>
      </w:r>
      <w:r w:rsidRPr="005F02B7">
        <w:rPr>
          <w:rFonts w:eastAsia="Times New Roman" w:cs="Arial"/>
          <w:color w:val="000000"/>
          <w:lang w:val="ru-RU"/>
        </w:rPr>
        <w:t>/</w:t>
      </w:r>
      <w:r w:rsidRPr="005F02B7">
        <w:rPr>
          <w:rFonts w:eastAsia="Times New Roman" w:cs="Arial"/>
          <w:color w:val="000000"/>
          <w:lang w:val="en-US"/>
        </w:rPr>
        <w:t>kg</w:t>
      </w:r>
      <w:r w:rsidRPr="005F02B7">
        <w:rPr>
          <w:rFonts w:eastAsia="Times New Roman" w:cs="Arial"/>
          <w:color w:val="000000"/>
          <w:lang w:val="ru-RU"/>
        </w:rPr>
        <w:t xml:space="preserve"> </w:t>
      </w:r>
      <w:r w:rsidRPr="005F02B7">
        <w:rPr>
          <w:rFonts w:eastAsia="Times New Roman" w:cs="Arial"/>
          <w:color w:val="000000"/>
          <w:lang w:eastAsia="bg-BG"/>
        </w:rPr>
        <w:t>глюкагон и при необходимост да се повтори в рамките на 1 час, последвано от интравенозна инфузия на глюкагон от 70 μ</w:t>
      </w:r>
      <w:r w:rsidRPr="005F02B7">
        <w:rPr>
          <w:rFonts w:eastAsia="Times New Roman" w:cs="Arial"/>
          <w:color w:val="000000"/>
          <w:lang w:val="en-US"/>
        </w:rPr>
        <w:t>g</w:t>
      </w:r>
      <w:r w:rsidRPr="005F02B7">
        <w:rPr>
          <w:rFonts w:eastAsia="Times New Roman" w:cs="Arial"/>
          <w:color w:val="000000"/>
          <w:lang w:val="ru-RU"/>
        </w:rPr>
        <w:t>/</w:t>
      </w:r>
      <w:r w:rsidRPr="005F02B7">
        <w:rPr>
          <w:rFonts w:eastAsia="Times New Roman" w:cs="Arial"/>
          <w:color w:val="000000"/>
          <w:lang w:val="en-US"/>
        </w:rPr>
        <w:t>kg</w:t>
      </w:r>
      <w:r w:rsidRPr="005F02B7">
        <w:rPr>
          <w:rFonts w:eastAsia="Times New Roman" w:cs="Arial"/>
          <w:color w:val="000000"/>
          <w:lang w:val="ru-RU"/>
        </w:rPr>
        <w:t>/</w:t>
      </w:r>
      <w:r w:rsidRPr="005F02B7">
        <w:rPr>
          <w:rFonts w:eastAsia="Times New Roman" w:cs="Arial"/>
          <w:color w:val="000000"/>
          <w:lang w:val="en-US"/>
        </w:rPr>
        <w:t>h</w:t>
      </w:r>
      <w:r w:rsidRPr="005F02B7">
        <w:rPr>
          <w:rFonts w:eastAsia="Times New Roman" w:cs="Arial"/>
          <w:color w:val="000000"/>
          <w:lang w:val="ru-RU"/>
        </w:rPr>
        <w:t xml:space="preserve">. </w:t>
      </w:r>
      <w:r w:rsidRPr="005F02B7">
        <w:rPr>
          <w:rFonts w:eastAsia="Times New Roman" w:cs="Arial"/>
          <w:color w:val="000000"/>
          <w:lang w:eastAsia="bg-BG"/>
        </w:rPr>
        <w:t>В екстремни случаи на резистентна на медикаментозно лечение брадикардия може да се постави пейсмейкър.</w:t>
      </w:r>
    </w:p>
    <w:p w14:paraId="302040F9" w14:textId="77777777" w:rsidR="005F02B7" w:rsidRPr="005F02B7" w:rsidRDefault="005F02B7" w:rsidP="005F02B7">
      <w:pPr>
        <w:rPr>
          <w:rFonts w:cs="Arial"/>
        </w:rPr>
      </w:pPr>
    </w:p>
    <w:p w14:paraId="02081B24" w14:textId="1F46E296" w:rsidR="00395555" w:rsidRPr="00395555" w:rsidRDefault="002C50EE" w:rsidP="008A6AF2">
      <w:pPr>
        <w:pStyle w:val="Heading1"/>
      </w:pPr>
      <w:r>
        <w:t>5. ФАРМАКОЛОГИЧНИ СВОЙСТВА</w:t>
      </w:r>
    </w:p>
    <w:p w14:paraId="7DE36AC8" w14:textId="5CBC7FA7" w:rsidR="00B6672E" w:rsidRDefault="002C50EE" w:rsidP="00936AD0">
      <w:pPr>
        <w:pStyle w:val="Heading2"/>
      </w:pPr>
      <w:r>
        <w:t>5.1. Фармакодинамични свойства</w:t>
      </w:r>
    </w:p>
    <w:p w14:paraId="467A01DC" w14:textId="51A626BE" w:rsidR="005F02B7" w:rsidRDefault="005F02B7" w:rsidP="005F02B7"/>
    <w:p w14:paraId="192B123F"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Фармакотерапевтична група: бета-блокери, селективни; АТС код: С07АВ 12</w:t>
      </w:r>
    </w:p>
    <w:p w14:paraId="569658A5" w14:textId="77777777" w:rsidR="005F02B7" w:rsidRPr="005F02B7" w:rsidRDefault="005F02B7" w:rsidP="005F02B7">
      <w:pPr>
        <w:spacing w:line="240" w:lineRule="auto"/>
        <w:rPr>
          <w:rFonts w:eastAsia="Times New Roman" w:cs="Arial"/>
          <w:color w:val="000000"/>
          <w:u w:val="single"/>
          <w:lang w:eastAsia="bg-BG"/>
        </w:rPr>
      </w:pPr>
    </w:p>
    <w:p w14:paraId="2467ACF1" w14:textId="07655C66" w:rsidR="005F02B7" w:rsidRPr="005F02B7" w:rsidRDefault="005F02B7" w:rsidP="005F02B7">
      <w:pPr>
        <w:spacing w:line="240" w:lineRule="auto"/>
        <w:rPr>
          <w:rFonts w:eastAsia="Times New Roman" w:cs="Arial"/>
          <w:sz w:val="24"/>
          <w:szCs w:val="24"/>
        </w:rPr>
      </w:pPr>
      <w:r w:rsidRPr="005F02B7">
        <w:rPr>
          <w:rFonts w:eastAsia="Times New Roman" w:cs="Arial"/>
          <w:color w:val="000000"/>
          <w:u w:val="single"/>
          <w:lang w:eastAsia="bg-BG"/>
        </w:rPr>
        <w:t>Механизъм на действие</w:t>
      </w:r>
    </w:p>
    <w:p w14:paraId="0DD81014"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 xml:space="preserve">Небиволол е рацемат от два енантиомера: </w:t>
      </w:r>
      <w:r w:rsidRPr="005F02B7">
        <w:rPr>
          <w:rFonts w:eastAsia="Times New Roman" w:cs="Arial"/>
          <w:color w:val="000000"/>
          <w:lang w:val="en-US"/>
        </w:rPr>
        <w:t>SRRR</w:t>
      </w:r>
      <w:r w:rsidRPr="005F02B7">
        <w:rPr>
          <w:rFonts w:eastAsia="Times New Roman" w:cs="Arial"/>
          <w:color w:val="000000"/>
          <w:lang w:eastAsia="bg-BG"/>
        </w:rPr>
        <w:t xml:space="preserve">-небиволол (или </w:t>
      </w:r>
      <w:r w:rsidRPr="005F02B7">
        <w:rPr>
          <w:rFonts w:eastAsia="Times New Roman" w:cs="Arial"/>
          <w:color w:val="000000"/>
          <w:lang w:val="en-US"/>
        </w:rPr>
        <w:t>d</w:t>
      </w:r>
      <w:r w:rsidRPr="005F02B7">
        <w:rPr>
          <w:rFonts w:eastAsia="Times New Roman" w:cs="Arial"/>
          <w:color w:val="000000"/>
          <w:lang w:eastAsia="bg-BG"/>
        </w:rPr>
        <w:t xml:space="preserve">-небиволол) и </w:t>
      </w:r>
      <w:r w:rsidRPr="005F02B7">
        <w:rPr>
          <w:rFonts w:eastAsia="Times New Roman" w:cs="Arial"/>
          <w:color w:val="000000"/>
          <w:lang w:val="en-US"/>
        </w:rPr>
        <w:t>RSSS</w:t>
      </w:r>
      <w:r w:rsidRPr="005F02B7">
        <w:rPr>
          <w:rFonts w:eastAsia="Times New Roman" w:cs="Arial"/>
          <w:color w:val="000000"/>
          <w:lang w:val="ru-RU"/>
        </w:rPr>
        <w:t xml:space="preserve">- </w:t>
      </w:r>
      <w:r w:rsidRPr="005F02B7">
        <w:rPr>
          <w:rFonts w:eastAsia="Times New Roman" w:cs="Arial"/>
          <w:color w:val="000000"/>
          <w:lang w:eastAsia="bg-BG"/>
        </w:rPr>
        <w:t>небиволол (или 1-небиволол). Той съчетава два фармакологични ефекта:</w:t>
      </w:r>
    </w:p>
    <w:p w14:paraId="7A90F5C1" w14:textId="77777777" w:rsidR="005F02B7" w:rsidRPr="005F02B7" w:rsidRDefault="005F02B7" w:rsidP="005F02B7">
      <w:pPr>
        <w:pStyle w:val="ListParagraph"/>
        <w:numPr>
          <w:ilvl w:val="0"/>
          <w:numId w:val="40"/>
        </w:numPr>
        <w:spacing w:line="240" w:lineRule="auto"/>
        <w:rPr>
          <w:rFonts w:eastAsia="Times New Roman" w:cs="Arial"/>
          <w:sz w:val="24"/>
          <w:szCs w:val="24"/>
        </w:rPr>
      </w:pPr>
      <w:r w:rsidRPr="005F02B7">
        <w:rPr>
          <w:rFonts w:eastAsia="Times New Roman" w:cs="Arial"/>
          <w:color w:val="000000"/>
          <w:lang w:eastAsia="bg-BG"/>
        </w:rPr>
        <w:t xml:space="preserve">Той е конкурентен и селективен бета-рецепторен антагонист: този ефект се дължи на </w:t>
      </w:r>
      <w:r w:rsidRPr="005F02B7">
        <w:rPr>
          <w:rFonts w:eastAsia="Times New Roman" w:cs="Arial"/>
          <w:color w:val="000000"/>
          <w:lang w:val="en-US"/>
        </w:rPr>
        <w:t>SRRR</w:t>
      </w:r>
      <w:r w:rsidRPr="005F02B7">
        <w:rPr>
          <w:rFonts w:eastAsia="Times New Roman" w:cs="Arial"/>
          <w:color w:val="000000"/>
          <w:lang w:eastAsia="bg-BG"/>
        </w:rPr>
        <w:t xml:space="preserve">-енантиомера </w:t>
      </w:r>
      <w:r w:rsidRPr="005F02B7">
        <w:rPr>
          <w:rFonts w:eastAsia="Times New Roman" w:cs="Arial"/>
          <w:color w:val="000000"/>
          <w:lang w:val="ru-RU"/>
        </w:rPr>
        <w:t>(</w:t>
      </w:r>
      <w:r w:rsidRPr="005F02B7">
        <w:rPr>
          <w:rFonts w:eastAsia="Times New Roman" w:cs="Arial"/>
          <w:color w:val="000000"/>
          <w:lang w:val="en-US"/>
        </w:rPr>
        <w:t>d</w:t>
      </w:r>
      <w:r w:rsidRPr="005F02B7">
        <w:rPr>
          <w:rFonts w:eastAsia="Times New Roman" w:cs="Arial"/>
          <w:color w:val="000000"/>
          <w:lang w:eastAsia="bg-BG"/>
        </w:rPr>
        <w:t>-енантиомер);</w:t>
      </w:r>
    </w:p>
    <w:p w14:paraId="16AF2558" w14:textId="4C5F2EBD" w:rsidR="005F02B7" w:rsidRPr="005F02B7" w:rsidRDefault="005F02B7" w:rsidP="005F02B7">
      <w:pPr>
        <w:pStyle w:val="ListParagraph"/>
        <w:numPr>
          <w:ilvl w:val="0"/>
          <w:numId w:val="40"/>
        </w:numPr>
        <w:spacing w:line="240" w:lineRule="auto"/>
        <w:rPr>
          <w:rFonts w:eastAsia="Times New Roman" w:cs="Arial"/>
          <w:sz w:val="24"/>
          <w:szCs w:val="24"/>
        </w:rPr>
      </w:pPr>
      <w:r w:rsidRPr="005F02B7">
        <w:rPr>
          <w:rFonts w:eastAsia="Times New Roman" w:cs="Arial"/>
          <w:color w:val="000000"/>
          <w:lang w:eastAsia="bg-BG"/>
        </w:rPr>
        <w:t xml:space="preserve">Има слаби вазодилататорни ефекти поради взаимодействие със системата </w:t>
      </w:r>
      <w:r w:rsidRPr="005F02B7">
        <w:rPr>
          <w:rFonts w:eastAsia="Times New Roman" w:cs="Arial"/>
          <w:color w:val="000000"/>
          <w:lang w:val="en-US"/>
        </w:rPr>
        <w:t>L</w:t>
      </w:r>
      <w:r w:rsidRPr="005F02B7">
        <w:rPr>
          <w:rFonts w:eastAsia="Times New Roman" w:cs="Arial"/>
          <w:color w:val="000000"/>
          <w:lang w:val="ru-RU"/>
        </w:rPr>
        <w:t xml:space="preserve">- </w:t>
      </w:r>
      <w:r w:rsidRPr="005F02B7">
        <w:rPr>
          <w:rFonts w:eastAsia="Times New Roman" w:cs="Arial"/>
          <w:color w:val="000000"/>
          <w:lang w:eastAsia="bg-BG"/>
        </w:rPr>
        <w:t>аргинин/азотен оксид.</w:t>
      </w:r>
    </w:p>
    <w:p w14:paraId="6F2187F0" w14:textId="77777777" w:rsidR="005F02B7" w:rsidRPr="005F02B7" w:rsidRDefault="005F02B7" w:rsidP="005F02B7">
      <w:pPr>
        <w:spacing w:line="240" w:lineRule="auto"/>
        <w:rPr>
          <w:rFonts w:eastAsia="Times New Roman" w:cs="Arial"/>
          <w:color w:val="000000"/>
          <w:lang w:eastAsia="bg-BG"/>
        </w:rPr>
      </w:pPr>
    </w:p>
    <w:p w14:paraId="58386899" w14:textId="1EF9C5AF"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Еднократното и многократно приложение на небиволол понижава сърдечната честота и кръвното налягане в покой и при усилие, както при нормотензивни, така и при хипертензивни пациенти. Антихипертензивният ефект се запазва и при продължително лечение.</w:t>
      </w:r>
    </w:p>
    <w:p w14:paraId="7A31B7CC" w14:textId="77777777" w:rsidR="005F02B7" w:rsidRPr="005F02B7" w:rsidRDefault="005F02B7" w:rsidP="005F02B7">
      <w:pPr>
        <w:spacing w:line="240" w:lineRule="auto"/>
        <w:rPr>
          <w:rFonts w:eastAsia="Times New Roman" w:cs="Arial"/>
          <w:color w:val="000000"/>
          <w:u w:val="single"/>
          <w:lang w:eastAsia="bg-BG"/>
        </w:rPr>
      </w:pPr>
    </w:p>
    <w:p w14:paraId="0711A84D" w14:textId="7468F952" w:rsidR="005F02B7" w:rsidRPr="005F02B7" w:rsidRDefault="005F02B7" w:rsidP="005F02B7">
      <w:pPr>
        <w:spacing w:line="240" w:lineRule="auto"/>
        <w:rPr>
          <w:rFonts w:eastAsia="Times New Roman" w:cs="Arial"/>
          <w:sz w:val="24"/>
          <w:szCs w:val="24"/>
        </w:rPr>
      </w:pPr>
      <w:r w:rsidRPr="005F02B7">
        <w:rPr>
          <w:rFonts w:eastAsia="Times New Roman" w:cs="Arial"/>
          <w:color w:val="000000"/>
          <w:u w:val="single"/>
          <w:lang w:eastAsia="bg-BG"/>
        </w:rPr>
        <w:lastRenderedPageBreak/>
        <w:t>Фармакодинамични ефекти</w:t>
      </w:r>
    </w:p>
    <w:p w14:paraId="4B7248F8"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В терапевтични дози небиволол е лишен от алфа-антагонистична активност.</w:t>
      </w:r>
    </w:p>
    <w:p w14:paraId="7A66385E"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При интензивно и продължително лечение на хипертоници с небиволол се понижава периферното системно съдово съпротивление. Независимо от понижението на пулса, благодарение на увеличение на ударния обем се ограничава намалението на минутния сърдечен обем в покой или при натоварване. Все още не е добре установено клиничното значение на тези хемодинамични параметри в сравнение с други селективни бета-блокери.</w:t>
      </w:r>
    </w:p>
    <w:p w14:paraId="3E8D6C07"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 xml:space="preserve">При хипертонични пациенти, небиволол увеличава </w:t>
      </w:r>
      <w:r w:rsidRPr="005F02B7">
        <w:rPr>
          <w:rFonts w:eastAsia="Times New Roman" w:cs="Arial"/>
          <w:color w:val="000000"/>
          <w:lang w:val="en-US"/>
        </w:rPr>
        <w:t>NO</w:t>
      </w:r>
      <w:r w:rsidRPr="005F02B7">
        <w:rPr>
          <w:rFonts w:eastAsia="Times New Roman" w:cs="Arial"/>
          <w:color w:val="000000"/>
          <w:lang w:eastAsia="bg-BG"/>
        </w:rPr>
        <w:t xml:space="preserve">-медиирания съдов отговор към ацетилхолин </w:t>
      </w:r>
      <w:r w:rsidRPr="005F02B7">
        <w:rPr>
          <w:rFonts w:eastAsia="Times New Roman" w:cs="Arial"/>
          <w:color w:val="000000"/>
          <w:lang w:val="ru-RU"/>
        </w:rPr>
        <w:t>(</w:t>
      </w:r>
      <w:proofErr w:type="spellStart"/>
      <w:r w:rsidRPr="005F02B7">
        <w:rPr>
          <w:rFonts w:eastAsia="Times New Roman" w:cs="Arial"/>
          <w:color w:val="000000"/>
          <w:lang w:val="en-US"/>
        </w:rPr>
        <w:t>ACh</w:t>
      </w:r>
      <w:proofErr w:type="spellEnd"/>
      <w:r w:rsidRPr="005F02B7">
        <w:rPr>
          <w:rFonts w:eastAsia="Times New Roman" w:cs="Arial"/>
          <w:color w:val="000000"/>
          <w:lang w:val="ru-RU"/>
        </w:rPr>
        <w:t xml:space="preserve">), </w:t>
      </w:r>
      <w:r w:rsidRPr="005F02B7">
        <w:rPr>
          <w:rFonts w:eastAsia="Times New Roman" w:cs="Arial"/>
          <w:color w:val="000000"/>
          <w:lang w:eastAsia="bg-BG"/>
        </w:rPr>
        <w:t>чийто нива са понижени при пациенти с ендотелна дисфункция.</w:t>
      </w:r>
    </w:p>
    <w:p w14:paraId="1C0232BF" w14:textId="77777777" w:rsidR="005F02B7" w:rsidRPr="005F02B7" w:rsidRDefault="005F02B7" w:rsidP="005F02B7">
      <w:pPr>
        <w:spacing w:line="240" w:lineRule="auto"/>
        <w:rPr>
          <w:rFonts w:eastAsia="Times New Roman" w:cs="Arial"/>
          <w:color w:val="000000"/>
          <w:u w:val="single"/>
          <w:lang w:eastAsia="bg-BG"/>
        </w:rPr>
      </w:pPr>
    </w:p>
    <w:p w14:paraId="52762860" w14:textId="6064F46F" w:rsidR="005F02B7" w:rsidRPr="005F02B7" w:rsidRDefault="005F02B7" w:rsidP="005F02B7">
      <w:pPr>
        <w:spacing w:line="240" w:lineRule="auto"/>
        <w:rPr>
          <w:rFonts w:eastAsia="Times New Roman" w:cs="Arial"/>
          <w:sz w:val="24"/>
          <w:szCs w:val="24"/>
        </w:rPr>
      </w:pPr>
      <w:r w:rsidRPr="005F02B7">
        <w:rPr>
          <w:rFonts w:eastAsia="Times New Roman" w:cs="Arial"/>
          <w:color w:val="000000"/>
          <w:u w:val="single"/>
          <w:lang w:eastAsia="bg-BG"/>
        </w:rPr>
        <w:t>Клинична ефикасност и безопасност</w:t>
      </w:r>
    </w:p>
    <w:p w14:paraId="19F7D0EE"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В плацебо-контролирано проучване за заболеваемост и смъртност с 2128 пациенти ≥70 години (средна възраст 75,2 години) със стабилна хронична сърдечна недостатъчност със или без нарушена левокамерна фракция на изтласкване (ЛКФИ: 36% ± 12,3%, при следното разпределение: ЛКФИ по-малко от 35% при 56% от пациентите, ЛКФИ между 35% и 45% при 25% от пациентите и ЛКФИ по-голяма от 45% при 19% от пациентите), проследени в продължение средно на 20 месеца, небиволол, добавен към стандартното лечение, значително удължава времето до смъртта или хоспитализацията, поради сърдечно-съдови проблеми (първичен краен изход за ефикасност), като релативният риск намалява с 14% (абсолютно намаление: 4,2%). Това намаление на риска е постигнато след 6 месеца лечение и се запазва по време на цялото лечение (средна продължителност 18 месеца). Ефектът на небиволол е независим от възрастта, пола и ЛКФИ на индивидите от проучваната група. Ползите по отношение на общата смъртност не достигат значима разлика в сравнение с плацебо (абсолютно намаление: 2,3%).</w:t>
      </w:r>
    </w:p>
    <w:p w14:paraId="5316FD12"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Наблюдава се понижение на честотата на внезапна смърт при пациенти, лекувани с небиволол (4,1% спрямо 6,6%, сравнителен спад от 38%).</w:t>
      </w:r>
    </w:p>
    <w:p w14:paraId="351D0CB3" w14:textId="77777777" w:rsidR="005F02B7" w:rsidRPr="005F02B7" w:rsidRDefault="005F02B7" w:rsidP="005F02B7">
      <w:pPr>
        <w:spacing w:line="240" w:lineRule="auto"/>
        <w:rPr>
          <w:rFonts w:eastAsia="Times New Roman" w:cs="Arial"/>
          <w:color w:val="000000"/>
          <w:lang w:eastAsia="bg-BG"/>
        </w:rPr>
      </w:pPr>
    </w:p>
    <w:p w14:paraId="33F787BD" w14:textId="54394BC8" w:rsidR="005F02B7" w:rsidRPr="005F02B7" w:rsidRDefault="005F02B7" w:rsidP="005F02B7">
      <w:pPr>
        <w:spacing w:line="240" w:lineRule="auto"/>
        <w:rPr>
          <w:rFonts w:eastAsia="Times New Roman" w:cs="Arial"/>
          <w:color w:val="000000"/>
          <w:lang w:val="ru-RU" w:eastAsia="bg-BG"/>
        </w:rPr>
      </w:pPr>
      <w:r w:rsidRPr="005F02B7">
        <w:rPr>
          <w:rFonts w:eastAsia="Times New Roman" w:cs="Arial"/>
          <w:color w:val="000000"/>
          <w:lang w:eastAsia="bg-BG"/>
        </w:rPr>
        <w:t xml:space="preserve">Проведените </w:t>
      </w:r>
      <w:r w:rsidRPr="005F02B7">
        <w:rPr>
          <w:rFonts w:eastAsia="Times New Roman" w:cs="Arial"/>
          <w:i/>
          <w:iCs/>
          <w:color w:val="000000"/>
          <w:lang w:val="en-US"/>
        </w:rPr>
        <w:t>in</w:t>
      </w:r>
      <w:r w:rsidRPr="005F02B7">
        <w:rPr>
          <w:rFonts w:eastAsia="Times New Roman" w:cs="Arial"/>
          <w:i/>
          <w:iCs/>
          <w:color w:val="000000"/>
          <w:lang w:val="ru-RU"/>
        </w:rPr>
        <w:t>-</w:t>
      </w:r>
      <w:r w:rsidRPr="005F02B7">
        <w:rPr>
          <w:rFonts w:eastAsia="Times New Roman" w:cs="Arial"/>
          <w:i/>
          <w:iCs/>
          <w:color w:val="000000"/>
          <w:lang w:val="en-US"/>
        </w:rPr>
        <w:t>vitro</w:t>
      </w:r>
      <w:r w:rsidRPr="005F02B7">
        <w:rPr>
          <w:rFonts w:eastAsia="Times New Roman" w:cs="Arial"/>
          <w:color w:val="000000"/>
          <w:lang w:val="ru-RU"/>
        </w:rPr>
        <w:t xml:space="preserve"> </w:t>
      </w:r>
      <w:r w:rsidRPr="005F02B7">
        <w:rPr>
          <w:rFonts w:eastAsia="Times New Roman" w:cs="Arial"/>
          <w:color w:val="000000"/>
          <w:lang w:eastAsia="bg-BG"/>
        </w:rPr>
        <w:t xml:space="preserve">и </w:t>
      </w:r>
      <w:r w:rsidRPr="005F02B7">
        <w:rPr>
          <w:rFonts w:eastAsia="Times New Roman" w:cs="Arial"/>
          <w:i/>
          <w:iCs/>
          <w:color w:val="000000"/>
          <w:lang w:val="en-US"/>
        </w:rPr>
        <w:t>in</w:t>
      </w:r>
      <w:r w:rsidRPr="005F02B7">
        <w:rPr>
          <w:rFonts w:eastAsia="Times New Roman" w:cs="Arial"/>
          <w:i/>
          <w:iCs/>
          <w:color w:val="000000"/>
          <w:lang w:val="ru-RU"/>
        </w:rPr>
        <w:t>-</w:t>
      </w:r>
      <w:r w:rsidRPr="005F02B7">
        <w:rPr>
          <w:rFonts w:eastAsia="Times New Roman" w:cs="Arial"/>
          <w:i/>
          <w:iCs/>
          <w:color w:val="000000"/>
          <w:lang w:val="en-US"/>
        </w:rPr>
        <w:t>vivo</w:t>
      </w:r>
      <w:r w:rsidRPr="005F02B7">
        <w:rPr>
          <w:rFonts w:eastAsia="Times New Roman" w:cs="Arial"/>
          <w:color w:val="000000"/>
          <w:lang w:val="ru-RU"/>
        </w:rPr>
        <w:t xml:space="preserve"> </w:t>
      </w:r>
      <w:r w:rsidRPr="005F02B7">
        <w:rPr>
          <w:rFonts w:eastAsia="Times New Roman" w:cs="Arial"/>
          <w:color w:val="000000"/>
          <w:lang w:eastAsia="bg-BG"/>
        </w:rPr>
        <w:t>изпитвания с животни показват, че при фармакологични дози небиволол няма мембрано-стабилизиращо действие.</w:t>
      </w:r>
    </w:p>
    <w:p w14:paraId="3A1F1C3A"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При здрави доброволци, небиволол не оказва влияние върху максималния физически капацитет и издръжливост.</w:t>
      </w:r>
    </w:p>
    <w:p w14:paraId="568AAA3F"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 xml:space="preserve">Проведените </w:t>
      </w:r>
      <w:r w:rsidRPr="005F02B7">
        <w:rPr>
          <w:rFonts w:eastAsia="Times New Roman" w:cs="Arial"/>
          <w:i/>
          <w:iCs/>
          <w:color w:val="000000"/>
          <w:lang w:val="en-US"/>
        </w:rPr>
        <w:t>in</w:t>
      </w:r>
      <w:r w:rsidRPr="005F02B7">
        <w:rPr>
          <w:rFonts w:eastAsia="Times New Roman" w:cs="Arial"/>
          <w:i/>
          <w:iCs/>
          <w:color w:val="000000"/>
          <w:lang w:val="ru-RU"/>
        </w:rPr>
        <w:t xml:space="preserve"> </w:t>
      </w:r>
      <w:r w:rsidRPr="005F02B7">
        <w:rPr>
          <w:rFonts w:eastAsia="Times New Roman" w:cs="Arial"/>
          <w:i/>
          <w:iCs/>
          <w:color w:val="000000"/>
          <w:lang w:val="en-US"/>
        </w:rPr>
        <w:t>vitro</w:t>
      </w:r>
      <w:r w:rsidRPr="005F02B7">
        <w:rPr>
          <w:rFonts w:eastAsia="Times New Roman" w:cs="Arial"/>
          <w:color w:val="000000"/>
          <w:lang w:val="ru-RU"/>
        </w:rPr>
        <w:t xml:space="preserve"> </w:t>
      </w:r>
      <w:r w:rsidRPr="005F02B7">
        <w:rPr>
          <w:rFonts w:eastAsia="Times New Roman" w:cs="Arial"/>
          <w:color w:val="000000"/>
          <w:lang w:eastAsia="bg-BG"/>
        </w:rPr>
        <w:t xml:space="preserve">и </w:t>
      </w:r>
      <w:r w:rsidRPr="005F02B7">
        <w:rPr>
          <w:rFonts w:eastAsia="Times New Roman" w:cs="Arial"/>
          <w:i/>
          <w:iCs/>
          <w:color w:val="000000"/>
          <w:lang w:val="en-US"/>
        </w:rPr>
        <w:t>in</w:t>
      </w:r>
      <w:r w:rsidRPr="005F02B7">
        <w:rPr>
          <w:rFonts w:eastAsia="Times New Roman" w:cs="Arial"/>
          <w:i/>
          <w:iCs/>
          <w:color w:val="000000"/>
          <w:lang w:val="ru-RU"/>
        </w:rPr>
        <w:t xml:space="preserve"> </w:t>
      </w:r>
      <w:r w:rsidRPr="005F02B7">
        <w:rPr>
          <w:rFonts w:eastAsia="Times New Roman" w:cs="Arial"/>
          <w:i/>
          <w:iCs/>
          <w:color w:val="000000"/>
          <w:lang w:val="en-US"/>
        </w:rPr>
        <w:t>vivo</w:t>
      </w:r>
      <w:r w:rsidRPr="005F02B7">
        <w:rPr>
          <w:rFonts w:eastAsia="Times New Roman" w:cs="Arial"/>
          <w:color w:val="000000"/>
          <w:lang w:val="ru-RU"/>
        </w:rPr>
        <w:t xml:space="preserve"> </w:t>
      </w:r>
      <w:r w:rsidRPr="005F02B7">
        <w:rPr>
          <w:rFonts w:eastAsia="Times New Roman" w:cs="Arial"/>
          <w:color w:val="000000"/>
          <w:lang w:eastAsia="bg-BG"/>
        </w:rPr>
        <w:t>изпитвания с животни показват, че небиволол няма симпатикомиметичен ефект.</w:t>
      </w:r>
    </w:p>
    <w:p w14:paraId="4451179D" w14:textId="7603B5E0" w:rsidR="005F02B7" w:rsidRPr="005F02B7" w:rsidRDefault="005F02B7" w:rsidP="005F02B7"/>
    <w:p w14:paraId="78DD93AA" w14:textId="2202BE1B" w:rsidR="00B6672E" w:rsidRDefault="002C50EE" w:rsidP="00936AD0">
      <w:pPr>
        <w:pStyle w:val="Heading2"/>
      </w:pPr>
      <w:r>
        <w:t>5.2. Фармакокинетични свойства</w:t>
      </w:r>
    </w:p>
    <w:p w14:paraId="5E43D8C4" w14:textId="6BDFB190" w:rsidR="005F02B7" w:rsidRDefault="005F02B7" w:rsidP="005F02B7"/>
    <w:p w14:paraId="2E3D0A4E" w14:textId="77777777" w:rsidR="005F02B7" w:rsidRPr="005F02B7" w:rsidRDefault="005F02B7" w:rsidP="005F02B7">
      <w:pPr>
        <w:pStyle w:val="Heading3"/>
        <w:rPr>
          <w:rFonts w:eastAsia="Times New Roman"/>
          <w:u w:val="single"/>
        </w:rPr>
      </w:pPr>
      <w:r w:rsidRPr="005F02B7">
        <w:rPr>
          <w:rFonts w:eastAsia="Times New Roman"/>
          <w:u w:val="single"/>
          <w:lang w:eastAsia="bg-BG"/>
        </w:rPr>
        <w:t>Абсорбция</w:t>
      </w:r>
    </w:p>
    <w:p w14:paraId="76C122A8"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И двата енантиомера на небиволол се абсорбират бързо след перорално приложение. Абсорбцията на небиволол не се влияе от храна - небиволол може да се приема по време на хранене или между храненията.</w:t>
      </w:r>
    </w:p>
    <w:p w14:paraId="456B0C77" w14:textId="77777777" w:rsidR="005F02B7" w:rsidRPr="005F02B7" w:rsidRDefault="005F02B7" w:rsidP="005F02B7">
      <w:pPr>
        <w:spacing w:line="240" w:lineRule="auto"/>
        <w:rPr>
          <w:rFonts w:eastAsia="Times New Roman" w:cs="Arial"/>
          <w:color w:val="000000"/>
          <w:u w:val="single"/>
          <w:lang w:eastAsia="bg-BG"/>
        </w:rPr>
      </w:pPr>
    </w:p>
    <w:p w14:paraId="6A5B7C71" w14:textId="74B45698" w:rsidR="005F02B7" w:rsidRPr="005F02B7" w:rsidRDefault="005F02B7" w:rsidP="005F02B7">
      <w:pPr>
        <w:pStyle w:val="Heading3"/>
        <w:rPr>
          <w:rFonts w:eastAsia="Times New Roman"/>
          <w:u w:val="single"/>
        </w:rPr>
      </w:pPr>
      <w:r w:rsidRPr="005F02B7">
        <w:rPr>
          <w:rFonts w:eastAsia="Times New Roman"/>
          <w:u w:val="single"/>
          <w:lang w:eastAsia="bg-BG"/>
        </w:rPr>
        <w:t>Биотрансформация</w:t>
      </w:r>
    </w:p>
    <w:p w14:paraId="7FABE3C2" w14:textId="36CA05D3" w:rsidR="005F02B7" w:rsidRPr="005F02B7" w:rsidRDefault="005F02B7" w:rsidP="005F02B7">
      <w:pPr>
        <w:rPr>
          <w:rFonts w:eastAsia="Times New Roman" w:cs="Arial"/>
          <w:color w:val="000000"/>
          <w:lang w:eastAsia="bg-BG"/>
        </w:rPr>
      </w:pPr>
      <w:r w:rsidRPr="005F02B7">
        <w:rPr>
          <w:rFonts w:eastAsia="Times New Roman" w:cs="Arial"/>
          <w:color w:val="000000"/>
          <w:lang w:eastAsia="bg-BG"/>
        </w:rPr>
        <w:t xml:space="preserve">Небиволол се метаболизира изцяло, отчасти в активни хидроксиметаболити. Той  се метаболизира чрез ациклично и ароматно хидроксилиране, </w:t>
      </w:r>
      <w:r w:rsidRPr="005F02B7">
        <w:rPr>
          <w:rFonts w:eastAsia="Times New Roman" w:cs="Arial"/>
          <w:color w:val="000000"/>
          <w:lang w:val="en-US"/>
        </w:rPr>
        <w:t>N</w:t>
      </w:r>
      <w:r w:rsidRPr="005F02B7">
        <w:rPr>
          <w:rFonts w:eastAsia="Times New Roman" w:cs="Arial"/>
          <w:color w:val="000000"/>
          <w:lang w:val="ru-RU"/>
        </w:rPr>
        <w:t xml:space="preserve">- </w:t>
      </w:r>
      <w:r w:rsidRPr="005F02B7">
        <w:rPr>
          <w:rFonts w:eastAsia="Times New Roman" w:cs="Arial"/>
          <w:color w:val="000000"/>
          <w:lang w:eastAsia="bg-BG"/>
        </w:rPr>
        <w:t>деалкилиране и глюкуронидизиране; в допълнение се формират глюкурониди на хидроксиметаболитите.</w:t>
      </w:r>
    </w:p>
    <w:p w14:paraId="7F4E4C43" w14:textId="79D093A8" w:rsidR="005F02B7" w:rsidRPr="005F02B7" w:rsidRDefault="005F02B7" w:rsidP="005F02B7">
      <w:pPr>
        <w:rPr>
          <w:rFonts w:eastAsia="Times New Roman" w:cs="Arial"/>
          <w:color w:val="000000"/>
          <w:lang w:eastAsia="bg-BG"/>
        </w:rPr>
      </w:pPr>
    </w:p>
    <w:p w14:paraId="474EB2BD"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Метаболизмът на небиволол чрез ароматно хидроксилиране е предмет на С</w:t>
      </w:r>
      <w:r w:rsidRPr="005F02B7">
        <w:rPr>
          <w:rFonts w:eastAsia="Times New Roman" w:cs="Arial"/>
          <w:color w:val="000000"/>
          <w:lang w:val="en-US"/>
        </w:rPr>
        <w:t>Y</w:t>
      </w:r>
      <w:r w:rsidRPr="005F02B7">
        <w:rPr>
          <w:rFonts w:eastAsia="Times New Roman" w:cs="Arial"/>
          <w:color w:val="000000"/>
          <w:lang w:eastAsia="bg-BG"/>
        </w:rPr>
        <w:t>Р2</w:t>
      </w:r>
      <w:r w:rsidRPr="005F02B7">
        <w:rPr>
          <w:rFonts w:eastAsia="Times New Roman" w:cs="Arial"/>
          <w:color w:val="000000"/>
          <w:lang w:val="en-US"/>
        </w:rPr>
        <w:t>D</w:t>
      </w:r>
      <w:r w:rsidRPr="005F02B7">
        <w:rPr>
          <w:rFonts w:eastAsia="Times New Roman" w:cs="Arial"/>
          <w:color w:val="000000"/>
          <w:lang w:eastAsia="bg-BG"/>
        </w:rPr>
        <w:t xml:space="preserve">6-зависим генетичен оксидативен полиморфизъм. Бионаличността на небиволол при </w:t>
      </w:r>
      <w:r w:rsidRPr="005F02B7">
        <w:rPr>
          <w:rFonts w:eastAsia="Times New Roman" w:cs="Arial"/>
          <w:color w:val="000000"/>
          <w:lang w:eastAsia="bg-BG"/>
        </w:rPr>
        <w:lastRenderedPageBreak/>
        <w:t xml:space="preserve">перорално приложение е средно 12% при пациентите с бърз метаболизъм и почти пълна при пациентите с бавен метаболизъм. При пациентите с бавен метаболизъм, пиковите плазмени концентрации на непроменения небиволол при стабилно състояние на пациента и едни и същи дози, са около 23 пъти по-високи в сравнение с пациентите с бърз метаболизъм. Ако се имат предвид количеството непроменено лекарство и активните метаболити, разликата в пиковите плазмени концентрации е 1,3 до 1,4 пъти. Поради разликите в скоростта на метаболизиране, дозата небиволол трябва винаги да бъде индивидуално съобразена, като пациентите с по-бавен метаболизъм имат нужда от по-ниски дози. При пациентите с бърз метаболизъм, елиминационният полуживот на енантиомерите на небиволол е средно 10 часа. При пациентите с бавен метаболизъм, това може да отнеме 3-5 пъти повече време. При пациентите с бърз метаболизъм, плазмените нива на </w:t>
      </w:r>
      <w:r w:rsidRPr="005F02B7">
        <w:rPr>
          <w:rFonts w:eastAsia="Times New Roman" w:cs="Arial"/>
          <w:color w:val="000000"/>
          <w:lang w:val="en-US"/>
        </w:rPr>
        <w:t>RSSS</w:t>
      </w:r>
      <w:r w:rsidRPr="005F02B7">
        <w:rPr>
          <w:rFonts w:eastAsia="Times New Roman" w:cs="Arial"/>
          <w:color w:val="000000"/>
          <w:lang w:eastAsia="bg-BG"/>
        </w:rPr>
        <w:t xml:space="preserve">-енантиомера са малко по-високи от тези на </w:t>
      </w:r>
      <w:r w:rsidRPr="005F02B7">
        <w:rPr>
          <w:rFonts w:eastAsia="Times New Roman" w:cs="Arial"/>
          <w:color w:val="000000"/>
          <w:lang w:val="en-US"/>
        </w:rPr>
        <w:t>SRRR</w:t>
      </w:r>
      <w:r w:rsidRPr="005F02B7">
        <w:rPr>
          <w:rFonts w:eastAsia="Times New Roman" w:cs="Arial"/>
          <w:color w:val="000000"/>
          <w:lang w:val="ru-RU"/>
        </w:rPr>
        <w:t xml:space="preserve"> </w:t>
      </w:r>
      <w:r w:rsidRPr="005F02B7">
        <w:rPr>
          <w:rFonts w:eastAsia="Times New Roman" w:cs="Arial"/>
          <w:color w:val="000000"/>
          <w:lang w:eastAsia="bg-BG"/>
        </w:rPr>
        <w:t>- енантиомера, докато при тези с бавен метаболизъм разликата е по-голяма. При пациентите с бърз метаболизъм, елиминационният полуживот на хидроксиметаболитите на двата енантиомера е около 24 часа и около два пъти по-дълъг при пациентите с бавен метаболизъм.</w:t>
      </w:r>
    </w:p>
    <w:p w14:paraId="72F1DE1E" w14:textId="77777777" w:rsidR="005F02B7" w:rsidRPr="005F02B7" w:rsidRDefault="005F02B7" w:rsidP="005F02B7">
      <w:pPr>
        <w:spacing w:line="240" w:lineRule="auto"/>
        <w:rPr>
          <w:rFonts w:eastAsia="Times New Roman" w:cs="Arial"/>
          <w:color w:val="000000"/>
          <w:u w:val="single"/>
          <w:lang w:eastAsia="bg-BG"/>
        </w:rPr>
      </w:pPr>
    </w:p>
    <w:p w14:paraId="312BEA35" w14:textId="46EC5125" w:rsidR="005F02B7" w:rsidRPr="005F02B7" w:rsidRDefault="005F02B7" w:rsidP="005F02B7">
      <w:pPr>
        <w:pStyle w:val="Heading3"/>
        <w:rPr>
          <w:rFonts w:eastAsia="Times New Roman"/>
          <w:u w:val="single"/>
        </w:rPr>
      </w:pPr>
      <w:r w:rsidRPr="005F02B7">
        <w:rPr>
          <w:rFonts w:eastAsia="Times New Roman"/>
          <w:u w:val="single"/>
          <w:lang w:eastAsia="bg-BG"/>
        </w:rPr>
        <w:t>Разпределение</w:t>
      </w:r>
    </w:p>
    <w:p w14:paraId="7CC4CA8B" w14:textId="77777777" w:rsidR="005F02B7" w:rsidRPr="005F02B7" w:rsidRDefault="005F02B7" w:rsidP="005F02B7">
      <w:pPr>
        <w:spacing w:line="240" w:lineRule="auto"/>
        <w:rPr>
          <w:rFonts w:eastAsia="Times New Roman" w:cs="Arial"/>
          <w:sz w:val="24"/>
          <w:szCs w:val="24"/>
        </w:rPr>
      </w:pPr>
      <w:proofErr w:type="spellStart"/>
      <w:r w:rsidRPr="005F02B7">
        <w:rPr>
          <w:rFonts w:eastAsia="Times New Roman" w:cs="Arial"/>
          <w:i/>
          <w:iCs/>
          <w:color w:val="000000"/>
          <w:lang w:val="en-US"/>
        </w:rPr>
        <w:t>Stedy</w:t>
      </w:r>
      <w:proofErr w:type="spellEnd"/>
      <w:r w:rsidRPr="005F02B7">
        <w:rPr>
          <w:rFonts w:eastAsia="Times New Roman" w:cs="Arial"/>
          <w:i/>
          <w:iCs/>
          <w:color w:val="000000"/>
          <w:lang w:val="ru-RU"/>
        </w:rPr>
        <w:t>-</w:t>
      </w:r>
      <w:r w:rsidRPr="005F02B7">
        <w:rPr>
          <w:rFonts w:eastAsia="Times New Roman" w:cs="Arial"/>
          <w:i/>
          <w:iCs/>
          <w:color w:val="000000"/>
          <w:lang w:val="en-US"/>
        </w:rPr>
        <w:t>state</w:t>
      </w:r>
      <w:r w:rsidRPr="005F02B7">
        <w:rPr>
          <w:rFonts w:eastAsia="Times New Roman" w:cs="Arial"/>
          <w:color w:val="000000"/>
          <w:lang w:val="ru-RU"/>
        </w:rPr>
        <w:t xml:space="preserve"> </w:t>
      </w:r>
      <w:r w:rsidRPr="005F02B7">
        <w:rPr>
          <w:rFonts w:eastAsia="Times New Roman" w:cs="Arial"/>
          <w:color w:val="000000"/>
          <w:lang w:eastAsia="bg-BG"/>
        </w:rPr>
        <w:t>плазмени нива при повечето пациенти (с бърз метаболизъм) се достигат за около 24 часа за небиволол, а за хидроксиметаболитите - до няколко дни.</w:t>
      </w:r>
    </w:p>
    <w:p w14:paraId="249B27CA"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 xml:space="preserve">Плазмените концентрации са пропорционални на дозата в рамките на 1-30 </w:t>
      </w:r>
      <w:r w:rsidRPr="005F02B7">
        <w:rPr>
          <w:rFonts w:eastAsia="Times New Roman" w:cs="Arial"/>
          <w:color w:val="000000"/>
          <w:lang w:val="en-US"/>
        </w:rPr>
        <w:t>mg</w:t>
      </w:r>
      <w:r w:rsidRPr="005F02B7">
        <w:rPr>
          <w:rFonts w:eastAsia="Times New Roman" w:cs="Arial"/>
          <w:color w:val="000000"/>
          <w:lang w:val="ru-RU"/>
        </w:rPr>
        <w:t xml:space="preserve">. </w:t>
      </w:r>
      <w:r w:rsidRPr="005F02B7">
        <w:rPr>
          <w:rFonts w:eastAsia="Times New Roman" w:cs="Arial"/>
          <w:color w:val="000000"/>
          <w:lang w:eastAsia="bg-BG"/>
        </w:rPr>
        <w:t>Фармакокинетиката на небиволол не зависи от възрастта.</w:t>
      </w:r>
    </w:p>
    <w:p w14:paraId="791F2A20" w14:textId="77777777" w:rsidR="005F02B7" w:rsidRPr="005F02B7" w:rsidRDefault="005F02B7" w:rsidP="005F02B7">
      <w:pPr>
        <w:spacing w:line="240" w:lineRule="auto"/>
        <w:rPr>
          <w:rFonts w:eastAsia="Times New Roman" w:cs="Arial"/>
          <w:color w:val="000000"/>
          <w:lang w:eastAsia="bg-BG"/>
        </w:rPr>
      </w:pPr>
    </w:p>
    <w:p w14:paraId="6F523C6F" w14:textId="43E31165"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 xml:space="preserve">В плазмата и двата енантиомера на небиволол се свързват главно с албумина. Свързването с плазмени протеини е 98,1% за </w:t>
      </w:r>
      <w:r w:rsidRPr="005F02B7">
        <w:rPr>
          <w:rFonts w:eastAsia="Times New Roman" w:cs="Arial"/>
          <w:color w:val="000000"/>
          <w:lang w:val="en-US"/>
        </w:rPr>
        <w:t>SRRR</w:t>
      </w:r>
      <w:r w:rsidRPr="005F02B7">
        <w:rPr>
          <w:rFonts w:eastAsia="Times New Roman" w:cs="Arial"/>
          <w:color w:val="000000"/>
          <w:lang w:eastAsia="bg-BG"/>
        </w:rPr>
        <w:t xml:space="preserve">-небиволол и 97,9% за </w:t>
      </w:r>
      <w:r w:rsidRPr="005F02B7">
        <w:rPr>
          <w:rFonts w:eastAsia="Times New Roman" w:cs="Arial"/>
          <w:color w:val="000000"/>
          <w:lang w:val="en-US"/>
        </w:rPr>
        <w:t>RSSS</w:t>
      </w:r>
      <w:r w:rsidRPr="005F02B7">
        <w:rPr>
          <w:rFonts w:eastAsia="Times New Roman" w:cs="Arial"/>
          <w:color w:val="000000"/>
          <w:lang w:eastAsia="bg-BG"/>
        </w:rPr>
        <w:t>-небиволол.</w:t>
      </w:r>
    </w:p>
    <w:p w14:paraId="07A0DFEF" w14:textId="77777777" w:rsidR="005F02B7" w:rsidRPr="005F02B7" w:rsidRDefault="005F02B7" w:rsidP="005F02B7">
      <w:pPr>
        <w:spacing w:line="240" w:lineRule="auto"/>
        <w:rPr>
          <w:rFonts w:eastAsia="Times New Roman" w:cs="Arial"/>
          <w:color w:val="000000"/>
          <w:u w:val="single"/>
          <w:lang w:eastAsia="bg-BG"/>
        </w:rPr>
      </w:pPr>
    </w:p>
    <w:p w14:paraId="40E5562D" w14:textId="3BA0170B" w:rsidR="005F02B7" w:rsidRPr="005F02B7" w:rsidRDefault="005F02B7" w:rsidP="005F02B7">
      <w:pPr>
        <w:pStyle w:val="Heading3"/>
        <w:rPr>
          <w:rFonts w:eastAsia="Times New Roman"/>
          <w:u w:val="single"/>
        </w:rPr>
      </w:pPr>
      <w:r w:rsidRPr="005F02B7">
        <w:rPr>
          <w:rFonts w:eastAsia="Times New Roman"/>
          <w:u w:val="single"/>
          <w:lang w:eastAsia="bg-BG"/>
        </w:rPr>
        <w:t>Елиминиране</w:t>
      </w:r>
    </w:p>
    <w:p w14:paraId="3927CCE5" w14:textId="77777777" w:rsidR="005F02B7" w:rsidRPr="005F02B7" w:rsidRDefault="005F02B7" w:rsidP="005F02B7">
      <w:pPr>
        <w:spacing w:line="240" w:lineRule="auto"/>
        <w:rPr>
          <w:rFonts w:eastAsia="Times New Roman" w:cs="Arial"/>
          <w:sz w:val="24"/>
          <w:szCs w:val="24"/>
        </w:rPr>
      </w:pPr>
      <w:r w:rsidRPr="005F02B7">
        <w:rPr>
          <w:rFonts w:eastAsia="Times New Roman" w:cs="Arial"/>
          <w:color w:val="000000"/>
          <w:lang w:eastAsia="bg-BG"/>
        </w:rPr>
        <w:t>Една седмица след приложението, 38% от дозата се екскретира с урината, а 48% - с фекалиите. Уринарната екскреция на непроменен небиволол е не повече от 0,5% от дозата.</w:t>
      </w:r>
    </w:p>
    <w:p w14:paraId="51BD94D5" w14:textId="77777777" w:rsidR="005F02B7" w:rsidRPr="005F02B7" w:rsidRDefault="005F02B7" w:rsidP="005F02B7"/>
    <w:p w14:paraId="4FB791BE" w14:textId="6DEFFF91" w:rsidR="00B6672E" w:rsidRDefault="002C50EE" w:rsidP="00936AD0">
      <w:pPr>
        <w:pStyle w:val="Heading2"/>
      </w:pPr>
      <w:r>
        <w:t>5.3. Предклинични данни за безопасност</w:t>
      </w:r>
    </w:p>
    <w:p w14:paraId="2B2C4681" w14:textId="5C997AD5" w:rsidR="005F02B7" w:rsidRDefault="005F02B7" w:rsidP="005F02B7"/>
    <w:p w14:paraId="1D71FA79" w14:textId="77777777" w:rsidR="005F02B7" w:rsidRPr="005F02B7" w:rsidRDefault="005F02B7" w:rsidP="005F02B7">
      <w:pPr>
        <w:spacing w:line="240" w:lineRule="auto"/>
        <w:rPr>
          <w:rFonts w:ascii="Times New Roman" w:eastAsia="Times New Roman" w:hAnsi="Times New Roman" w:cs="Times New Roman"/>
          <w:sz w:val="24"/>
          <w:szCs w:val="24"/>
        </w:rPr>
      </w:pPr>
      <w:r w:rsidRPr="005F02B7">
        <w:rPr>
          <w:lang w:eastAsia="bg-BG"/>
        </w:rPr>
        <w:t>Предклиничните данни, базирани на проучвания за генотоксичност и карциногенен потенциал, не показват специален риск за хора</w:t>
      </w:r>
      <w:r w:rsidRPr="005F02B7">
        <w:rPr>
          <w:rFonts w:ascii="Times New Roman" w:eastAsia="Times New Roman" w:hAnsi="Times New Roman" w:cs="Times New Roman"/>
          <w:color w:val="000000"/>
          <w:lang w:eastAsia="bg-BG"/>
        </w:rPr>
        <w:t>.</w:t>
      </w:r>
    </w:p>
    <w:p w14:paraId="070A3186" w14:textId="77777777" w:rsidR="005F02B7" w:rsidRPr="005F02B7" w:rsidRDefault="005F02B7" w:rsidP="005F02B7"/>
    <w:p w14:paraId="1BA6531D" w14:textId="38A2A975" w:rsidR="00B6672E" w:rsidRDefault="002C50EE" w:rsidP="00936AD0">
      <w:pPr>
        <w:pStyle w:val="Heading1"/>
      </w:pPr>
      <w:r>
        <w:t>7. ПРИТЕЖАТЕЛ НА РАЗРЕШЕНИЕТО ЗА УПОТРЕБА</w:t>
      </w:r>
    </w:p>
    <w:p w14:paraId="534BBB81" w14:textId="1B652114" w:rsidR="005F02B7" w:rsidRDefault="005F02B7" w:rsidP="005F02B7"/>
    <w:p w14:paraId="41A5B209" w14:textId="77777777" w:rsidR="005F02B7" w:rsidRPr="005F02B7" w:rsidRDefault="005F02B7" w:rsidP="005F02B7">
      <w:pPr>
        <w:rPr>
          <w:sz w:val="24"/>
          <w:szCs w:val="24"/>
        </w:rPr>
      </w:pPr>
      <w:r w:rsidRPr="005F02B7">
        <w:rPr>
          <w:lang w:eastAsia="bg-BG"/>
        </w:rPr>
        <w:t>ЕКОФАРМ ГРУП АД</w:t>
      </w:r>
    </w:p>
    <w:p w14:paraId="0CABDC83" w14:textId="77777777" w:rsidR="005F02B7" w:rsidRPr="005F02B7" w:rsidRDefault="005F02B7" w:rsidP="005F02B7">
      <w:pPr>
        <w:rPr>
          <w:sz w:val="24"/>
          <w:szCs w:val="24"/>
        </w:rPr>
      </w:pPr>
      <w:r w:rsidRPr="005F02B7">
        <w:rPr>
          <w:lang w:eastAsia="bg-BG"/>
        </w:rPr>
        <w:t>ул. Атанас Дуков №29, ет. 3,</w:t>
      </w:r>
    </w:p>
    <w:p w14:paraId="38374DE1" w14:textId="77777777" w:rsidR="005F02B7" w:rsidRPr="005F02B7" w:rsidRDefault="005F02B7" w:rsidP="005F02B7">
      <w:pPr>
        <w:rPr>
          <w:sz w:val="24"/>
          <w:szCs w:val="24"/>
        </w:rPr>
      </w:pPr>
      <w:r w:rsidRPr="005F02B7">
        <w:rPr>
          <w:lang w:eastAsia="bg-BG"/>
        </w:rPr>
        <w:t>1407 София, България</w:t>
      </w:r>
    </w:p>
    <w:p w14:paraId="3CB384BC" w14:textId="77777777" w:rsidR="005F02B7" w:rsidRPr="005F02B7" w:rsidRDefault="005F02B7" w:rsidP="005F02B7">
      <w:pPr>
        <w:rPr>
          <w:sz w:val="24"/>
          <w:szCs w:val="24"/>
        </w:rPr>
      </w:pPr>
      <w:r w:rsidRPr="005F02B7">
        <w:rPr>
          <w:lang w:eastAsia="bg-BG"/>
        </w:rPr>
        <w:t>тел.: (02) 906 90 70</w:t>
      </w:r>
    </w:p>
    <w:p w14:paraId="11B2AE3F" w14:textId="4DF7EB86" w:rsidR="005F02B7" w:rsidRPr="005F02B7" w:rsidRDefault="005F02B7" w:rsidP="005F02B7">
      <w:r w:rsidRPr="005F02B7">
        <w:rPr>
          <w:lang w:eastAsia="bg-BG"/>
        </w:rPr>
        <w:t>факс: (02) 906 90 71</w:t>
      </w:r>
    </w:p>
    <w:p w14:paraId="508F3A54" w14:textId="3B135B9B" w:rsidR="00B6672E" w:rsidRDefault="00936AD0" w:rsidP="00936AD0">
      <w:pPr>
        <w:pStyle w:val="Heading1"/>
      </w:pPr>
      <w:r>
        <w:t>8.</w:t>
      </w:r>
      <w:r w:rsidR="002C50EE">
        <w:t>НОМЕР НА РАЗРЕШЕНИЕТО ЗА УПОТРЕБА</w:t>
      </w:r>
    </w:p>
    <w:p w14:paraId="70AE20AC" w14:textId="63285EBE" w:rsidR="005F02B7" w:rsidRDefault="005F02B7" w:rsidP="005F02B7"/>
    <w:p w14:paraId="1EC78D65" w14:textId="749C703A" w:rsidR="005F02B7" w:rsidRPr="005F02B7" w:rsidRDefault="005F02B7" w:rsidP="005F02B7">
      <w:r>
        <w:rPr>
          <w:lang w:val="en-US"/>
        </w:rPr>
        <w:lastRenderedPageBreak/>
        <w:t>Per</w:t>
      </w:r>
      <w:r w:rsidRPr="005F02B7">
        <w:rPr>
          <w:lang w:val="ru-RU"/>
        </w:rPr>
        <w:t xml:space="preserve">. </w:t>
      </w:r>
      <w:r>
        <w:t>№20100835</w:t>
      </w:r>
    </w:p>
    <w:p w14:paraId="2CCB5832" w14:textId="308A695E" w:rsidR="007C605B" w:rsidRDefault="002C50EE" w:rsidP="007C605B">
      <w:pPr>
        <w:pStyle w:val="Heading1"/>
      </w:pPr>
      <w:r>
        <w:t>9. ДАТА НА ПЪРВО РАЗРЕШАВАНЕ/ПОДНОВЯВАНЕ НА РАЗРЕШЕНИЕТО ЗА УПОТРЕБА</w:t>
      </w:r>
    </w:p>
    <w:p w14:paraId="48F8FE36" w14:textId="133D26E6" w:rsidR="005F02B7" w:rsidRDefault="005F02B7" w:rsidP="005F02B7"/>
    <w:p w14:paraId="7EAE2DA1" w14:textId="77777777" w:rsidR="005F02B7" w:rsidRPr="005F02B7" w:rsidRDefault="005F02B7" w:rsidP="005F02B7">
      <w:pPr>
        <w:rPr>
          <w:sz w:val="24"/>
          <w:szCs w:val="24"/>
        </w:rPr>
      </w:pPr>
      <w:bookmarkStart w:id="1" w:name="_GoBack"/>
      <w:r w:rsidRPr="005F02B7">
        <w:rPr>
          <w:lang w:eastAsia="bg-BG"/>
        </w:rPr>
        <w:t>Дата на първо разрешаване: 17 декември 2010 г.</w:t>
      </w:r>
    </w:p>
    <w:p w14:paraId="7B198766" w14:textId="77777777" w:rsidR="005F02B7" w:rsidRPr="005F02B7" w:rsidRDefault="005F02B7" w:rsidP="005F02B7">
      <w:pPr>
        <w:rPr>
          <w:sz w:val="24"/>
          <w:szCs w:val="24"/>
        </w:rPr>
      </w:pPr>
      <w:r w:rsidRPr="005F02B7">
        <w:rPr>
          <w:lang w:eastAsia="bg-BG"/>
        </w:rPr>
        <w:t>Дата на последно подновяване: 09 декември 2015 г.</w:t>
      </w:r>
    </w:p>
    <w:bookmarkEnd w:id="1"/>
    <w:p w14:paraId="2C0A11C2" w14:textId="77777777" w:rsidR="005F02B7" w:rsidRPr="005F02B7" w:rsidRDefault="005F02B7" w:rsidP="005F02B7"/>
    <w:p w14:paraId="0E9D0119" w14:textId="0245C6D7" w:rsidR="002C50EE" w:rsidRDefault="002C50EE" w:rsidP="002C50EE">
      <w:pPr>
        <w:pStyle w:val="Heading1"/>
      </w:pPr>
      <w:r>
        <w:t>10. ДАТА НА АКТУАЛИЗИРАНЕ НА ТЕКСТА</w:t>
      </w:r>
    </w:p>
    <w:bookmarkEnd w:id="0"/>
    <w:p w14:paraId="43FB38A2" w14:textId="689F8F04" w:rsidR="007C605B" w:rsidRPr="003E3126" w:rsidRDefault="007C605B" w:rsidP="00B6672E"/>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A2A37"/>
    <w:multiLevelType w:val="hybridMultilevel"/>
    <w:tmpl w:val="84EA8ABE"/>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120A9"/>
    <w:multiLevelType w:val="hybridMultilevel"/>
    <w:tmpl w:val="392A6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66569"/>
    <w:multiLevelType w:val="hybridMultilevel"/>
    <w:tmpl w:val="82BE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C09F6"/>
    <w:multiLevelType w:val="hybridMultilevel"/>
    <w:tmpl w:val="8CAAF3D0"/>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5"/>
  </w:num>
  <w:num w:numId="12">
    <w:abstractNumId w:val="16"/>
  </w:num>
  <w:num w:numId="13">
    <w:abstractNumId w:val="21"/>
  </w:num>
  <w:num w:numId="14">
    <w:abstractNumId w:val="13"/>
  </w:num>
  <w:num w:numId="15">
    <w:abstractNumId w:val="34"/>
  </w:num>
  <w:num w:numId="16">
    <w:abstractNumId w:val="11"/>
  </w:num>
  <w:num w:numId="17">
    <w:abstractNumId w:val="27"/>
  </w:num>
  <w:num w:numId="18">
    <w:abstractNumId w:val="8"/>
  </w:num>
  <w:num w:numId="19">
    <w:abstractNumId w:val="29"/>
  </w:num>
  <w:num w:numId="20">
    <w:abstractNumId w:val="26"/>
  </w:num>
  <w:num w:numId="21">
    <w:abstractNumId w:val="19"/>
  </w:num>
  <w:num w:numId="22">
    <w:abstractNumId w:val="28"/>
  </w:num>
  <w:num w:numId="23">
    <w:abstractNumId w:val="20"/>
  </w:num>
  <w:num w:numId="24">
    <w:abstractNumId w:val="9"/>
  </w:num>
  <w:num w:numId="25">
    <w:abstractNumId w:val="25"/>
  </w:num>
  <w:num w:numId="26">
    <w:abstractNumId w:val="24"/>
  </w:num>
  <w:num w:numId="27">
    <w:abstractNumId w:val="36"/>
  </w:num>
  <w:num w:numId="28">
    <w:abstractNumId w:val="6"/>
  </w:num>
  <w:num w:numId="29">
    <w:abstractNumId w:val="23"/>
  </w:num>
  <w:num w:numId="30">
    <w:abstractNumId w:val="39"/>
  </w:num>
  <w:num w:numId="31">
    <w:abstractNumId w:val="5"/>
  </w:num>
  <w:num w:numId="32">
    <w:abstractNumId w:val="38"/>
  </w:num>
  <w:num w:numId="33">
    <w:abstractNumId w:val="32"/>
  </w:num>
  <w:num w:numId="34">
    <w:abstractNumId w:val="37"/>
  </w:num>
  <w:num w:numId="35">
    <w:abstractNumId w:val="7"/>
  </w:num>
  <w:num w:numId="36">
    <w:abstractNumId w:val="10"/>
  </w:num>
  <w:num w:numId="37">
    <w:abstractNumId w:val="30"/>
  </w:num>
  <w:num w:numId="38">
    <w:abstractNumId w:val="15"/>
  </w:num>
  <w:num w:numId="39">
    <w:abstractNumId w:val="33"/>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2D222C"/>
    <w:rsid w:val="00340A0A"/>
    <w:rsid w:val="003765DC"/>
    <w:rsid w:val="00395555"/>
    <w:rsid w:val="003E3126"/>
    <w:rsid w:val="00426E5F"/>
    <w:rsid w:val="004A448E"/>
    <w:rsid w:val="004D4D6B"/>
    <w:rsid w:val="004F1CE7"/>
    <w:rsid w:val="004F498A"/>
    <w:rsid w:val="00517A5B"/>
    <w:rsid w:val="00593A00"/>
    <w:rsid w:val="005A66D9"/>
    <w:rsid w:val="005F02B7"/>
    <w:rsid w:val="00605BCA"/>
    <w:rsid w:val="006158A1"/>
    <w:rsid w:val="00617B1F"/>
    <w:rsid w:val="00672487"/>
    <w:rsid w:val="00672600"/>
    <w:rsid w:val="00681D4A"/>
    <w:rsid w:val="00685882"/>
    <w:rsid w:val="007122AD"/>
    <w:rsid w:val="0075649D"/>
    <w:rsid w:val="007C605B"/>
    <w:rsid w:val="007E3074"/>
    <w:rsid w:val="008134C8"/>
    <w:rsid w:val="00814073"/>
    <w:rsid w:val="00826F0D"/>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4127</Words>
  <Characters>23526</Characters>
  <Application>Microsoft Office Word</Application>
  <DocSecurity>0</DocSecurity>
  <Lines>196</Lines>
  <Paragraphs>55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2022-10-02T15:33:00Z</dcterms:created>
  <dcterms:modified xsi:type="dcterms:W3CDTF">2022-10-02T15:33:00Z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