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66803229" w:rsidR="00DF4C8E" w:rsidRDefault="00DD466D" w:rsidP="00F44498">
      <w:pPr>
        <w:pStyle w:val="Heading1"/>
      </w:pPr>
      <w:r>
        <w:t>1.ИМЕ НА ЛЕКАРСТВЕНИЯ ПРОДУКТ</w:t>
      </w:r>
    </w:p>
    <w:p w14:paraId="5F113A6A" w14:textId="32FAE773" w:rsidR="001527EA" w:rsidRDefault="001527EA" w:rsidP="001527EA"/>
    <w:p w14:paraId="10C33583" w14:textId="77777777" w:rsidR="001527EA" w:rsidRPr="001527EA" w:rsidRDefault="001527EA" w:rsidP="001527EA">
      <w:pPr>
        <w:rPr>
          <w:sz w:val="24"/>
          <w:szCs w:val="24"/>
          <w:lang w:val="ru-RU"/>
        </w:rPr>
      </w:pPr>
      <w:r w:rsidRPr="001527EA">
        <w:rPr>
          <w:lang w:eastAsia="bg-BG"/>
        </w:rPr>
        <w:t xml:space="preserve">Невотенс Плюс 5 </w:t>
      </w:r>
      <w:r w:rsidRPr="001527EA">
        <w:rPr>
          <w:lang w:val="en-US"/>
        </w:rPr>
        <w:t>mg</w:t>
      </w:r>
      <w:r w:rsidRPr="001527EA">
        <w:rPr>
          <w:lang w:val="ru-RU"/>
        </w:rPr>
        <w:t xml:space="preserve">/12,5 </w:t>
      </w:r>
      <w:r w:rsidRPr="001527EA">
        <w:rPr>
          <w:lang w:val="en-US"/>
        </w:rPr>
        <w:t>mg</w:t>
      </w:r>
      <w:r w:rsidRPr="001527EA">
        <w:rPr>
          <w:lang w:val="ru-RU"/>
        </w:rPr>
        <w:t xml:space="preserve"> </w:t>
      </w:r>
      <w:r w:rsidRPr="001527EA">
        <w:rPr>
          <w:lang w:eastAsia="bg-BG"/>
        </w:rPr>
        <w:t>филмирани таблетки</w:t>
      </w:r>
    </w:p>
    <w:p w14:paraId="5E8DF2AE" w14:textId="2BE8A162" w:rsidR="001527EA" w:rsidRPr="001527EA" w:rsidRDefault="001527EA" w:rsidP="001527EA">
      <w:proofErr w:type="spellStart"/>
      <w:r w:rsidRPr="001527EA">
        <w:rPr>
          <w:lang w:val="en-US"/>
        </w:rPr>
        <w:t>Nevotens</w:t>
      </w:r>
      <w:proofErr w:type="spellEnd"/>
      <w:r w:rsidRPr="001527EA">
        <w:rPr>
          <w:lang w:val="en-US"/>
        </w:rPr>
        <w:t xml:space="preserve"> Plus </w:t>
      </w:r>
      <w:r w:rsidRPr="001527EA">
        <w:rPr>
          <w:i/>
          <w:iCs/>
          <w:lang w:eastAsia="bg-BG"/>
        </w:rPr>
        <w:t>5</w:t>
      </w:r>
      <w:r w:rsidRPr="001527EA">
        <w:rPr>
          <w:lang w:eastAsia="bg-BG"/>
        </w:rPr>
        <w:t xml:space="preserve"> </w:t>
      </w:r>
      <w:r w:rsidRPr="001527EA">
        <w:rPr>
          <w:lang w:val="en-US"/>
        </w:rPr>
        <w:t>mg/12</w:t>
      </w:r>
      <w:proofErr w:type="gramStart"/>
      <w:r w:rsidRPr="001527EA">
        <w:rPr>
          <w:lang w:val="en-US"/>
        </w:rPr>
        <w:t>,5</w:t>
      </w:r>
      <w:proofErr w:type="gramEnd"/>
      <w:r w:rsidRPr="001527EA">
        <w:rPr>
          <w:lang w:val="en-US"/>
        </w:rPr>
        <w:t xml:space="preserve"> mg film-coated tablets</w:t>
      </w:r>
    </w:p>
    <w:p w14:paraId="2BF7ACB1" w14:textId="1683E853" w:rsidR="00DF4C8E" w:rsidRDefault="00DD466D" w:rsidP="00F44498">
      <w:pPr>
        <w:pStyle w:val="Heading1"/>
      </w:pPr>
      <w:r>
        <w:t>2. КАЧЕСТВЕН И КОЛИЧЕСТВЕН СЪСТАВ</w:t>
      </w:r>
    </w:p>
    <w:p w14:paraId="5D7462B6" w14:textId="54FBC08D" w:rsidR="001527EA" w:rsidRDefault="001527EA" w:rsidP="001527EA"/>
    <w:p w14:paraId="772B0504"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 xml:space="preserve">Всяка филмирана таблетка съдържа 5 </w:t>
      </w:r>
      <w:r w:rsidRPr="001527EA">
        <w:rPr>
          <w:rFonts w:eastAsia="Times New Roman" w:cs="Arial"/>
          <w:color w:val="000000"/>
          <w:szCs w:val="20"/>
          <w:lang w:val="en-US"/>
        </w:rPr>
        <w:t>mg</w:t>
      </w:r>
      <w:r w:rsidRPr="001527EA">
        <w:rPr>
          <w:rFonts w:eastAsia="Times New Roman" w:cs="Arial"/>
          <w:color w:val="000000"/>
          <w:szCs w:val="20"/>
        </w:rPr>
        <w:t xml:space="preserve"> </w:t>
      </w:r>
      <w:r w:rsidRPr="001527EA">
        <w:rPr>
          <w:rFonts w:eastAsia="Times New Roman" w:cs="Arial"/>
          <w:color w:val="000000"/>
          <w:szCs w:val="20"/>
          <w:lang w:eastAsia="bg-BG"/>
        </w:rPr>
        <w:t xml:space="preserve">небиволол </w:t>
      </w:r>
      <w:r w:rsidRPr="001527EA">
        <w:rPr>
          <w:rFonts w:eastAsia="Times New Roman" w:cs="Arial"/>
          <w:i/>
          <w:iCs/>
          <w:color w:val="000000"/>
          <w:szCs w:val="20"/>
        </w:rPr>
        <w:t>(</w:t>
      </w:r>
      <w:proofErr w:type="spellStart"/>
      <w:r w:rsidRPr="001527EA">
        <w:rPr>
          <w:rFonts w:eastAsia="Times New Roman" w:cs="Arial"/>
          <w:i/>
          <w:iCs/>
          <w:color w:val="000000"/>
          <w:szCs w:val="20"/>
          <w:lang w:val="en-US"/>
        </w:rPr>
        <w:t>nebivolol</w:t>
      </w:r>
      <w:proofErr w:type="spellEnd"/>
      <w:r w:rsidRPr="001527EA">
        <w:rPr>
          <w:rFonts w:eastAsia="Times New Roman" w:cs="Arial"/>
          <w:i/>
          <w:iCs/>
          <w:color w:val="000000"/>
          <w:szCs w:val="20"/>
        </w:rPr>
        <w:t>),</w:t>
      </w:r>
      <w:r w:rsidRPr="001527EA">
        <w:rPr>
          <w:rFonts w:eastAsia="Times New Roman" w:cs="Arial"/>
          <w:color w:val="000000"/>
          <w:szCs w:val="20"/>
        </w:rPr>
        <w:t xml:space="preserve"> </w:t>
      </w:r>
      <w:r w:rsidRPr="001527EA">
        <w:rPr>
          <w:rFonts w:eastAsia="Times New Roman" w:cs="Arial"/>
          <w:color w:val="000000"/>
          <w:szCs w:val="20"/>
          <w:lang w:eastAsia="bg-BG"/>
        </w:rPr>
        <w:t xml:space="preserve">като небиволол хидрохлорид </w:t>
      </w:r>
      <w:r w:rsidRPr="001527EA">
        <w:rPr>
          <w:rFonts w:eastAsia="Times New Roman" w:cs="Arial"/>
          <w:i/>
          <w:iCs/>
          <w:color w:val="000000"/>
          <w:szCs w:val="20"/>
        </w:rPr>
        <w:t>(</w:t>
      </w:r>
      <w:proofErr w:type="spellStart"/>
      <w:r w:rsidRPr="001527EA">
        <w:rPr>
          <w:rFonts w:eastAsia="Times New Roman" w:cs="Arial"/>
          <w:i/>
          <w:iCs/>
          <w:color w:val="000000"/>
          <w:szCs w:val="20"/>
          <w:lang w:val="en-US"/>
        </w:rPr>
        <w:t>nebivolol</w:t>
      </w:r>
      <w:proofErr w:type="spellEnd"/>
      <w:r w:rsidRPr="001527EA">
        <w:rPr>
          <w:rFonts w:eastAsia="Times New Roman" w:cs="Arial"/>
          <w:i/>
          <w:iCs/>
          <w:color w:val="000000"/>
          <w:szCs w:val="20"/>
        </w:rPr>
        <w:t xml:space="preserve"> </w:t>
      </w:r>
      <w:r w:rsidRPr="001527EA">
        <w:rPr>
          <w:rFonts w:eastAsia="Times New Roman" w:cs="Arial"/>
          <w:i/>
          <w:iCs/>
          <w:color w:val="000000"/>
          <w:szCs w:val="20"/>
          <w:lang w:val="en-US"/>
        </w:rPr>
        <w:t>hydrochloride</w:t>
      </w:r>
      <w:r w:rsidRPr="001527EA">
        <w:rPr>
          <w:rFonts w:eastAsia="Times New Roman" w:cs="Arial"/>
          <w:i/>
          <w:iCs/>
          <w:color w:val="000000"/>
          <w:szCs w:val="20"/>
        </w:rPr>
        <w:t>)</w:t>
      </w:r>
      <w:r w:rsidRPr="001527EA">
        <w:rPr>
          <w:rFonts w:eastAsia="Times New Roman" w:cs="Arial"/>
          <w:color w:val="000000"/>
          <w:szCs w:val="20"/>
        </w:rPr>
        <w:t xml:space="preserve"> </w:t>
      </w:r>
      <w:r w:rsidRPr="001527EA">
        <w:rPr>
          <w:rFonts w:eastAsia="Times New Roman" w:cs="Arial"/>
          <w:color w:val="000000"/>
          <w:szCs w:val="20"/>
          <w:lang w:eastAsia="bg-BG"/>
        </w:rPr>
        <w:t xml:space="preserve">и 12,5 </w:t>
      </w:r>
      <w:r w:rsidRPr="001527EA">
        <w:rPr>
          <w:rFonts w:eastAsia="Times New Roman" w:cs="Arial"/>
          <w:color w:val="000000"/>
          <w:szCs w:val="20"/>
          <w:lang w:val="en-US"/>
        </w:rPr>
        <w:t>mg</w:t>
      </w:r>
      <w:r w:rsidRPr="001527EA">
        <w:rPr>
          <w:rFonts w:eastAsia="Times New Roman" w:cs="Arial"/>
          <w:color w:val="000000"/>
          <w:szCs w:val="20"/>
        </w:rPr>
        <w:t xml:space="preserve"> </w:t>
      </w:r>
      <w:r w:rsidRPr="001527EA">
        <w:rPr>
          <w:rFonts w:eastAsia="Times New Roman" w:cs="Arial"/>
          <w:color w:val="000000"/>
          <w:szCs w:val="20"/>
          <w:lang w:eastAsia="bg-BG"/>
        </w:rPr>
        <w:t xml:space="preserve">хидрохлоротиазид </w:t>
      </w:r>
      <w:r w:rsidRPr="001527EA">
        <w:rPr>
          <w:rFonts w:eastAsia="Times New Roman" w:cs="Arial"/>
          <w:i/>
          <w:iCs/>
          <w:color w:val="000000"/>
          <w:szCs w:val="20"/>
        </w:rPr>
        <w:t>(</w:t>
      </w:r>
      <w:r w:rsidRPr="001527EA">
        <w:rPr>
          <w:rFonts w:eastAsia="Times New Roman" w:cs="Arial"/>
          <w:i/>
          <w:iCs/>
          <w:color w:val="000000"/>
          <w:szCs w:val="20"/>
          <w:lang w:val="en-US"/>
        </w:rPr>
        <w:t>hydrochlorothiazide</w:t>
      </w:r>
      <w:r w:rsidRPr="001527EA">
        <w:rPr>
          <w:rFonts w:eastAsia="Times New Roman" w:cs="Arial"/>
          <w:i/>
          <w:iCs/>
          <w:color w:val="000000"/>
          <w:szCs w:val="20"/>
        </w:rPr>
        <w:t>).</w:t>
      </w:r>
    </w:p>
    <w:p w14:paraId="00739160" w14:textId="77777777" w:rsidR="001527EA" w:rsidRPr="001527EA" w:rsidRDefault="001527EA" w:rsidP="001527EA">
      <w:pPr>
        <w:spacing w:line="240" w:lineRule="auto"/>
        <w:rPr>
          <w:rFonts w:eastAsia="Times New Roman" w:cs="Arial"/>
          <w:color w:val="000000"/>
          <w:szCs w:val="20"/>
          <w:u w:val="single"/>
          <w:lang w:eastAsia="bg-BG"/>
        </w:rPr>
      </w:pPr>
    </w:p>
    <w:p w14:paraId="486C4F88" w14:textId="297B763B"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u w:val="single"/>
          <w:lang w:eastAsia="bg-BG"/>
        </w:rPr>
        <w:t>Помошно вещество с известно действие</w:t>
      </w:r>
      <w:r w:rsidRPr="001527EA">
        <w:rPr>
          <w:rFonts w:eastAsia="Times New Roman" w:cs="Arial"/>
          <w:color w:val="000000"/>
          <w:szCs w:val="20"/>
          <w:lang w:eastAsia="bg-BG"/>
        </w:rPr>
        <w:t>:</w:t>
      </w:r>
    </w:p>
    <w:p w14:paraId="7E33EF97"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 xml:space="preserve">Всяка таблетка съдържа 148,79 </w:t>
      </w:r>
      <w:r w:rsidRPr="001527EA">
        <w:rPr>
          <w:rFonts w:eastAsia="Times New Roman" w:cs="Arial"/>
          <w:color w:val="000000"/>
          <w:szCs w:val="20"/>
          <w:lang w:val="en-US"/>
        </w:rPr>
        <w:t>mg</w:t>
      </w:r>
      <w:r w:rsidRPr="001527EA">
        <w:rPr>
          <w:rFonts w:eastAsia="Times New Roman" w:cs="Arial"/>
          <w:color w:val="000000"/>
          <w:szCs w:val="20"/>
          <w:lang w:val="ru-RU"/>
        </w:rPr>
        <w:t xml:space="preserve"> </w:t>
      </w:r>
      <w:r w:rsidRPr="001527EA">
        <w:rPr>
          <w:rFonts w:eastAsia="Times New Roman" w:cs="Arial"/>
          <w:color w:val="000000"/>
          <w:szCs w:val="20"/>
          <w:lang w:eastAsia="bg-BG"/>
        </w:rPr>
        <w:t>лактоза (вж. точка 4.4).</w:t>
      </w:r>
    </w:p>
    <w:p w14:paraId="5916B24B" w14:textId="77777777" w:rsidR="001527EA" w:rsidRPr="001527EA" w:rsidRDefault="001527EA" w:rsidP="001527EA"/>
    <w:p w14:paraId="614984C4" w14:textId="7CF46F3D" w:rsidR="008A6AF2" w:rsidRDefault="00DD466D" w:rsidP="002C50EE">
      <w:pPr>
        <w:pStyle w:val="Heading1"/>
      </w:pPr>
      <w:r>
        <w:t>3. ЛЕКАРСТВЕНА ФОРМА</w:t>
      </w:r>
    </w:p>
    <w:p w14:paraId="485C79D6" w14:textId="1EBAD831" w:rsidR="001527EA" w:rsidRDefault="001527EA" w:rsidP="001527EA"/>
    <w:p w14:paraId="62618411" w14:textId="77777777" w:rsidR="001527EA" w:rsidRPr="001527EA" w:rsidRDefault="001527EA" w:rsidP="001527EA">
      <w:pPr>
        <w:rPr>
          <w:sz w:val="24"/>
          <w:szCs w:val="24"/>
        </w:rPr>
      </w:pPr>
      <w:r w:rsidRPr="001527EA">
        <w:rPr>
          <w:lang w:eastAsia="bg-BG"/>
        </w:rPr>
        <w:t>Филмирана таблетка</w:t>
      </w:r>
    </w:p>
    <w:p w14:paraId="58D6CE74" w14:textId="77777777" w:rsidR="001527EA" w:rsidRDefault="001527EA" w:rsidP="001527EA">
      <w:pPr>
        <w:rPr>
          <w:lang w:eastAsia="bg-BG"/>
        </w:rPr>
      </w:pPr>
    </w:p>
    <w:p w14:paraId="521477D6" w14:textId="7CB8CE7F" w:rsidR="001527EA" w:rsidRPr="001527EA" w:rsidRDefault="001527EA" w:rsidP="001527EA">
      <w:pPr>
        <w:rPr>
          <w:sz w:val="24"/>
          <w:szCs w:val="24"/>
        </w:rPr>
      </w:pPr>
      <w:r w:rsidRPr="001527EA">
        <w:rPr>
          <w:lang w:eastAsia="bg-BG"/>
        </w:rPr>
        <w:t xml:space="preserve">Бели до почти бели, с диаметър 9,2 </w:t>
      </w:r>
      <w:r w:rsidRPr="001527EA">
        <w:rPr>
          <w:lang w:val="en-US"/>
        </w:rPr>
        <w:t>mm</w:t>
      </w:r>
      <w:r w:rsidRPr="001527EA">
        <w:rPr>
          <w:lang w:val="ru-RU"/>
        </w:rPr>
        <w:t xml:space="preserve">, </w:t>
      </w:r>
      <w:r w:rsidRPr="001527EA">
        <w:rPr>
          <w:lang w:eastAsia="bg-BG"/>
        </w:rPr>
        <w:t>кръгли, двойноизпъкнали, филмирани таблетки с релефно изображение "515" от едната страна и делителна черта от другата.</w:t>
      </w:r>
    </w:p>
    <w:p w14:paraId="764629A6" w14:textId="77777777" w:rsidR="001527EA" w:rsidRPr="001527EA" w:rsidRDefault="001527EA" w:rsidP="001527EA">
      <w:pPr>
        <w:rPr>
          <w:sz w:val="24"/>
          <w:szCs w:val="24"/>
        </w:rPr>
      </w:pPr>
      <w:r w:rsidRPr="001527EA">
        <w:rPr>
          <w:lang w:eastAsia="bg-BG"/>
        </w:rPr>
        <w:t>Делителната черта е само за улесняване на счупването с цел по-лесно поглъщане, а не за разделяне на равни дози.</w:t>
      </w:r>
    </w:p>
    <w:p w14:paraId="0104944A" w14:textId="77777777" w:rsidR="001527EA" w:rsidRPr="001527EA" w:rsidRDefault="001527EA" w:rsidP="001527EA"/>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1774617A" w:rsidR="00DF4C8E" w:rsidRDefault="00DF4C8E" w:rsidP="00DF4C8E">
      <w:pPr>
        <w:rPr>
          <w:rFonts w:cs="Arial"/>
          <w:sz w:val="24"/>
        </w:rPr>
      </w:pPr>
    </w:p>
    <w:p w14:paraId="1A48721D" w14:textId="77777777" w:rsidR="001527EA" w:rsidRPr="001527EA" w:rsidRDefault="001527EA" w:rsidP="001527EA">
      <w:pPr>
        <w:rPr>
          <w:sz w:val="24"/>
          <w:szCs w:val="24"/>
        </w:rPr>
      </w:pPr>
      <w:r w:rsidRPr="001527EA">
        <w:rPr>
          <w:lang w:eastAsia="bg-BG"/>
        </w:rPr>
        <w:t>Лечение на есенциална хипертония.</w:t>
      </w:r>
    </w:p>
    <w:p w14:paraId="45B3504B" w14:textId="77777777" w:rsidR="001527EA" w:rsidRDefault="001527EA" w:rsidP="001527EA">
      <w:pPr>
        <w:rPr>
          <w:lang w:eastAsia="bg-BG"/>
        </w:rPr>
      </w:pPr>
    </w:p>
    <w:p w14:paraId="684E78B5" w14:textId="25799E1C" w:rsidR="001527EA" w:rsidRPr="001527EA" w:rsidRDefault="001527EA" w:rsidP="001527EA">
      <w:pPr>
        <w:rPr>
          <w:sz w:val="24"/>
          <w:szCs w:val="24"/>
        </w:rPr>
      </w:pPr>
      <w:r w:rsidRPr="001527EA">
        <w:rPr>
          <w:lang w:eastAsia="bg-BG"/>
        </w:rPr>
        <w:t xml:space="preserve">Невотенс Плюс 5 </w:t>
      </w:r>
      <w:r w:rsidRPr="001527EA">
        <w:rPr>
          <w:lang w:val="en-US"/>
        </w:rPr>
        <w:t>mg</w:t>
      </w:r>
      <w:r w:rsidRPr="001527EA">
        <w:rPr>
          <w:lang w:val="ru-RU"/>
        </w:rPr>
        <w:t xml:space="preserve">/12,5 </w:t>
      </w:r>
      <w:r w:rsidRPr="001527EA">
        <w:rPr>
          <w:lang w:val="en-US"/>
        </w:rPr>
        <w:t>mg</w:t>
      </w:r>
      <w:r w:rsidRPr="001527EA">
        <w:rPr>
          <w:lang w:val="ru-RU"/>
        </w:rPr>
        <w:t xml:space="preserve"> </w:t>
      </w:r>
      <w:r w:rsidRPr="001527EA">
        <w:rPr>
          <w:lang w:eastAsia="bg-BG"/>
        </w:rPr>
        <w:t xml:space="preserve">е комбинация от фиксирани дози и е показан при пациенти, чисто артериално налягане е адекватно контролирано от небиволол 5 </w:t>
      </w:r>
      <w:r w:rsidRPr="001527EA">
        <w:rPr>
          <w:lang w:val="en-US"/>
        </w:rPr>
        <w:t>mg</w:t>
      </w:r>
      <w:r w:rsidRPr="001527EA">
        <w:rPr>
          <w:lang w:val="ru-RU"/>
        </w:rPr>
        <w:t xml:space="preserve"> </w:t>
      </w:r>
      <w:r w:rsidRPr="001527EA">
        <w:rPr>
          <w:lang w:eastAsia="bg-BG"/>
        </w:rPr>
        <w:t xml:space="preserve">и хидрохлоротиазид 12,5 </w:t>
      </w:r>
      <w:r w:rsidRPr="001527EA">
        <w:rPr>
          <w:lang w:val="en-US"/>
        </w:rPr>
        <w:t>mg</w:t>
      </w:r>
      <w:r w:rsidRPr="001527EA">
        <w:rPr>
          <w:lang w:val="ru-RU"/>
        </w:rPr>
        <w:t xml:space="preserve">, </w:t>
      </w:r>
      <w:r w:rsidRPr="001527EA">
        <w:rPr>
          <w:lang w:eastAsia="bg-BG"/>
        </w:rPr>
        <w:t>приложени едновременно.</w:t>
      </w:r>
    </w:p>
    <w:p w14:paraId="1DD9041A" w14:textId="297F19E3" w:rsidR="001527EA" w:rsidRPr="00DF4C8E" w:rsidRDefault="001527EA" w:rsidP="00DF4C8E">
      <w:pPr>
        <w:rPr>
          <w:rFonts w:cs="Arial"/>
          <w:sz w:val="24"/>
        </w:rPr>
      </w:pPr>
    </w:p>
    <w:p w14:paraId="778B4979" w14:textId="0B1C28F6" w:rsidR="00DF4C8E" w:rsidRDefault="002C50EE" w:rsidP="00F44498">
      <w:pPr>
        <w:pStyle w:val="Heading2"/>
      </w:pPr>
      <w:r>
        <w:t>4.2. Дозировка и начин на приложение</w:t>
      </w:r>
    </w:p>
    <w:p w14:paraId="525C256E" w14:textId="0C10D509" w:rsidR="001527EA" w:rsidRDefault="001527EA" w:rsidP="001527EA"/>
    <w:p w14:paraId="580F7BB4" w14:textId="77777777" w:rsidR="001527EA" w:rsidRPr="001527EA" w:rsidRDefault="001527EA" w:rsidP="001527EA">
      <w:pPr>
        <w:pStyle w:val="Heading3"/>
        <w:rPr>
          <w:rFonts w:eastAsia="Times New Roman"/>
          <w:sz w:val="28"/>
          <w:u w:val="single"/>
        </w:rPr>
      </w:pPr>
      <w:r w:rsidRPr="001527EA">
        <w:rPr>
          <w:rFonts w:eastAsia="Times New Roman"/>
          <w:u w:val="single"/>
          <w:lang w:eastAsia="bg-BG"/>
        </w:rPr>
        <w:t>Дозировка</w:t>
      </w:r>
    </w:p>
    <w:p w14:paraId="4ABA97FC" w14:textId="77777777" w:rsidR="001527EA" w:rsidRPr="001527EA" w:rsidRDefault="001527EA" w:rsidP="001527EA">
      <w:pPr>
        <w:spacing w:line="240" w:lineRule="auto"/>
        <w:rPr>
          <w:rFonts w:eastAsia="Times New Roman" w:cs="Arial"/>
          <w:i/>
          <w:iCs/>
          <w:color w:val="000000"/>
          <w:szCs w:val="20"/>
          <w:lang w:eastAsia="bg-BG"/>
        </w:rPr>
      </w:pPr>
    </w:p>
    <w:p w14:paraId="6509873F" w14:textId="48825318" w:rsidR="001527EA" w:rsidRPr="001527EA" w:rsidRDefault="001527EA" w:rsidP="001527EA">
      <w:pPr>
        <w:spacing w:line="240" w:lineRule="auto"/>
        <w:rPr>
          <w:rFonts w:eastAsia="Times New Roman" w:cs="Arial"/>
          <w:sz w:val="28"/>
          <w:szCs w:val="24"/>
        </w:rPr>
      </w:pPr>
      <w:r w:rsidRPr="001527EA">
        <w:rPr>
          <w:rFonts w:eastAsia="Times New Roman" w:cs="Arial"/>
          <w:i/>
          <w:iCs/>
          <w:color w:val="000000"/>
          <w:szCs w:val="20"/>
          <w:lang w:eastAsia="bg-BG"/>
        </w:rPr>
        <w:t>Възрастни</w:t>
      </w:r>
    </w:p>
    <w:p w14:paraId="39967A71"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 xml:space="preserve">Невотенс Плюс 5 </w:t>
      </w:r>
      <w:r w:rsidRPr="001527EA">
        <w:rPr>
          <w:rFonts w:eastAsia="Times New Roman" w:cs="Arial"/>
          <w:color w:val="000000"/>
          <w:szCs w:val="20"/>
          <w:lang w:val="en-US"/>
        </w:rPr>
        <w:t>mg</w:t>
      </w:r>
      <w:r w:rsidRPr="001527EA">
        <w:rPr>
          <w:rFonts w:eastAsia="Times New Roman" w:cs="Arial"/>
          <w:color w:val="000000"/>
          <w:szCs w:val="20"/>
          <w:lang w:val="ru-RU"/>
        </w:rPr>
        <w:t xml:space="preserve">/12,5 </w:t>
      </w:r>
      <w:r w:rsidRPr="001527EA">
        <w:rPr>
          <w:rFonts w:eastAsia="Times New Roman" w:cs="Arial"/>
          <w:color w:val="000000"/>
          <w:szCs w:val="20"/>
          <w:lang w:val="en-US"/>
        </w:rPr>
        <w:t>mg</w:t>
      </w:r>
      <w:r w:rsidRPr="001527EA">
        <w:rPr>
          <w:rFonts w:eastAsia="Times New Roman" w:cs="Arial"/>
          <w:color w:val="000000"/>
          <w:szCs w:val="20"/>
          <w:lang w:val="ru-RU"/>
        </w:rPr>
        <w:t xml:space="preserve"> </w:t>
      </w:r>
      <w:r w:rsidRPr="001527EA">
        <w:rPr>
          <w:rFonts w:eastAsia="Times New Roman" w:cs="Arial"/>
          <w:color w:val="000000"/>
          <w:szCs w:val="20"/>
          <w:lang w:eastAsia="bg-BG"/>
        </w:rPr>
        <w:t xml:space="preserve">е показан при пациенти, при които е постигнат адекватен контрол на артериалното налягане при лечение с небиволол 5 </w:t>
      </w:r>
      <w:r w:rsidRPr="001527EA">
        <w:rPr>
          <w:rFonts w:eastAsia="Times New Roman" w:cs="Arial"/>
          <w:color w:val="000000"/>
          <w:szCs w:val="20"/>
          <w:lang w:val="en-US"/>
        </w:rPr>
        <w:t>mg</w:t>
      </w:r>
      <w:r w:rsidRPr="001527EA">
        <w:rPr>
          <w:rFonts w:eastAsia="Times New Roman" w:cs="Arial"/>
          <w:color w:val="000000"/>
          <w:szCs w:val="20"/>
          <w:lang w:val="ru-RU"/>
        </w:rPr>
        <w:t xml:space="preserve"> </w:t>
      </w:r>
      <w:r w:rsidRPr="001527EA">
        <w:rPr>
          <w:rFonts w:eastAsia="Times New Roman" w:cs="Arial"/>
          <w:color w:val="000000"/>
          <w:szCs w:val="20"/>
          <w:lang w:eastAsia="bg-BG"/>
        </w:rPr>
        <w:t xml:space="preserve">и хидрохлоротиазид 12,5 </w:t>
      </w:r>
      <w:r w:rsidRPr="001527EA">
        <w:rPr>
          <w:rFonts w:eastAsia="Times New Roman" w:cs="Arial"/>
          <w:color w:val="000000"/>
          <w:szCs w:val="20"/>
          <w:lang w:val="en-US"/>
        </w:rPr>
        <w:t>mg</w:t>
      </w:r>
      <w:r w:rsidRPr="001527EA">
        <w:rPr>
          <w:rFonts w:eastAsia="Times New Roman" w:cs="Arial"/>
          <w:color w:val="000000"/>
          <w:szCs w:val="20"/>
          <w:lang w:val="ru-RU"/>
        </w:rPr>
        <w:t xml:space="preserve">, </w:t>
      </w:r>
      <w:r w:rsidRPr="001527EA">
        <w:rPr>
          <w:rFonts w:eastAsia="Times New Roman" w:cs="Arial"/>
          <w:color w:val="000000"/>
          <w:szCs w:val="20"/>
          <w:lang w:eastAsia="bg-BG"/>
        </w:rPr>
        <w:t>приложени едновременно.</w:t>
      </w:r>
    </w:p>
    <w:p w14:paraId="16A00173" w14:textId="77777777" w:rsidR="001527EA" w:rsidRPr="001527EA" w:rsidRDefault="001527EA" w:rsidP="001527EA">
      <w:pPr>
        <w:spacing w:line="240" w:lineRule="auto"/>
        <w:rPr>
          <w:rFonts w:eastAsia="Times New Roman" w:cs="Arial"/>
          <w:color w:val="000000"/>
          <w:szCs w:val="20"/>
          <w:lang w:eastAsia="bg-BG"/>
        </w:rPr>
      </w:pPr>
    </w:p>
    <w:p w14:paraId="5CE412DF" w14:textId="73657756"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lastRenderedPageBreak/>
        <w:t xml:space="preserve">Дозата е една таблетка (5 </w:t>
      </w:r>
      <w:r w:rsidRPr="001527EA">
        <w:rPr>
          <w:rFonts w:eastAsia="Times New Roman" w:cs="Arial"/>
          <w:color w:val="000000"/>
          <w:szCs w:val="20"/>
          <w:lang w:val="en-US"/>
        </w:rPr>
        <w:t>mg</w:t>
      </w:r>
      <w:r w:rsidRPr="001527EA">
        <w:rPr>
          <w:rFonts w:eastAsia="Times New Roman" w:cs="Arial"/>
          <w:color w:val="000000"/>
          <w:szCs w:val="20"/>
          <w:lang w:val="ru-RU"/>
        </w:rPr>
        <w:t xml:space="preserve">/12,5 </w:t>
      </w:r>
      <w:r w:rsidRPr="001527EA">
        <w:rPr>
          <w:rFonts w:eastAsia="Times New Roman" w:cs="Arial"/>
          <w:color w:val="000000"/>
          <w:szCs w:val="20"/>
          <w:lang w:val="en-US"/>
        </w:rPr>
        <w:t>mg</w:t>
      </w:r>
      <w:r w:rsidRPr="001527EA">
        <w:rPr>
          <w:rFonts w:eastAsia="Times New Roman" w:cs="Arial"/>
          <w:color w:val="000000"/>
          <w:szCs w:val="20"/>
          <w:lang w:val="ru-RU"/>
        </w:rPr>
        <w:t xml:space="preserve">) </w:t>
      </w:r>
      <w:r w:rsidRPr="001527EA">
        <w:rPr>
          <w:rFonts w:eastAsia="Times New Roman" w:cs="Arial"/>
          <w:color w:val="000000"/>
          <w:szCs w:val="20"/>
          <w:lang w:eastAsia="bg-BG"/>
        </w:rPr>
        <w:t>дневно, за предпочитане по едно и също време на деня.</w:t>
      </w:r>
    </w:p>
    <w:p w14:paraId="34B4DC57"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Таблетките могат да се приемат по време на хранене.</w:t>
      </w:r>
    </w:p>
    <w:p w14:paraId="0CA28AB3" w14:textId="77777777" w:rsidR="001527EA" w:rsidRPr="001527EA" w:rsidRDefault="001527EA" w:rsidP="001527EA">
      <w:pPr>
        <w:spacing w:line="240" w:lineRule="auto"/>
        <w:rPr>
          <w:rFonts w:eastAsia="Times New Roman" w:cs="Arial"/>
          <w:color w:val="000000"/>
          <w:szCs w:val="20"/>
          <w:u w:val="single"/>
          <w:lang w:eastAsia="bg-BG"/>
        </w:rPr>
      </w:pPr>
    </w:p>
    <w:p w14:paraId="1975BB97" w14:textId="13645F23"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u w:val="single"/>
          <w:lang w:eastAsia="bg-BG"/>
        </w:rPr>
        <w:t>Специални популации</w:t>
      </w:r>
    </w:p>
    <w:p w14:paraId="54AA5C5B" w14:textId="77777777" w:rsidR="001527EA" w:rsidRPr="001527EA" w:rsidRDefault="001527EA" w:rsidP="001527EA">
      <w:pPr>
        <w:spacing w:line="240" w:lineRule="auto"/>
        <w:rPr>
          <w:rFonts w:eastAsia="Times New Roman" w:cs="Arial"/>
          <w:sz w:val="28"/>
          <w:szCs w:val="24"/>
        </w:rPr>
      </w:pPr>
      <w:r w:rsidRPr="001527EA">
        <w:rPr>
          <w:rFonts w:eastAsia="Times New Roman" w:cs="Arial"/>
          <w:i/>
          <w:iCs/>
          <w:color w:val="000000"/>
          <w:szCs w:val="20"/>
          <w:lang w:eastAsia="bg-BG"/>
        </w:rPr>
        <w:t>Бъбречна недостатъчност</w:t>
      </w:r>
    </w:p>
    <w:p w14:paraId="7CC97D41" w14:textId="52AFA55B" w:rsidR="001527EA" w:rsidRPr="001527EA" w:rsidRDefault="001527EA" w:rsidP="001527EA">
      <w:pPr>
        <w:rPr>
          <w:rFonts w:eastAsia="Times New Roman" w:cs="Arial"/>
          <w:color w:val="000000"/>
          <w:szCs w:val="20"/>
          <w:lang w:eastAsia="bg-BG"/>
        </w:rPr>
      </w:pPr>
      <w:r w:rsidRPr="001527EA">
        <w:rPr>
          <w:rFonts w:eastAsia="Times New Roman" w:cs="Arial"/>
          <w:color w:val="000000"/>
          <w:szCs w:val="20"/>
          <w:lang w:eastAsia="bg-BG"/>
        </w:rPr>
        <w:t>Невотенс Плюс е противопоказан за употреба при пациенти с тежка форма на бъбречна недостатъчност (вж. също точки 4.3 и 4.4).</w:t>
      </w:r>
    </w:p>
    <w:p w14:paraId="376773F8" w14:textId="16D8B7C1" w:rsidR="001527EA" w:rsidRPr="001527EA" w:rsidRDefault="001527EA" w:rsidP="001527EA">
      <w:pPr>
        <w:rPr>
          <w:rFonts w:eastAsia="Times New Roman" w:cs="Arial"/>
          <w:color w:val="000000"/>
          <w:szCs w:val="20"/>
          <w:lang w:eastAsia="bg-BG"/>
        </w:rPr>
      </w:pPr>
    </w:p>
    <w:p w14:paraId="36E0DB22" w14:textId="77777777" w:rsidR="001527EA" w:rsidRPr="001527EA" w:rsidRDefault="001527EA" w:rsidP="001527EA">
      <w:pPr>
        <w:spacing w:line="240" w:lineRule="auto"/>
        <w:rPr>
          <w:rFonts w:eastAsia="Times New Roman" w:cs="Arial"/>
          <w:sz w:val="28"/>
          <w:szCs w:val="24"/>
        </w:rPr>
      </w:pPr>
      <w:r w:rsidRPr="001527EA">
        <w:rPr>
          <w:rFonts w:eastAsia="Times New Roman" w:cs="Arial"/>
          <w:i/>
          <w:iCs/>
          <w:color w:val="000000"/>
          <w:szCs w:val="20"/>
          <w:lang w:eastAsia="bg-BG"/>
        </w:rPr>
        <w:t>Чернодробна недостатъчност</w:t>
      </w:r>
    </w:p>
    <w:p w14:paraId="6B436C35"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Данните за пациенти с чернодробна недостатъчност или нарушена чернодробна функция са ограничени. Поради това лечението с Невотенс Плюс е противопоказано при тази група пациенти (вж. точка 43).</w:t>
      </w:r>
    </w:p>
    <w:p w14:paraId="02178529" w14:textId="77777777" w:rsidR="001527EA" w:rsidRPr="001527EA" w:rsidRDefault="001527EA" w:rsidP="001527EA">
      <w:pPr>
        <w:spacing w:line="240" w:lineRule="auto"/>
        <w:rPr>
          <w:rFonts w:eastAsia="Times New Roman" w:cs="Arial"/>
          <w:i/>
          <w:iCs/>
          <w:color w:val="000000"/>
          <w:szCs w:val="20"/>
          <w:lang w:eastAsia="bg-BG"/>
        </w:rPr>
      </w:pPr>
    </w:p>
    <w:p w14:paraId="149B2AB0" w14:textId="647F48C4" w:rsidR="001527EA" w:rsidRPr="001527EA" w:rsidRDefault="001527EA" w:rsidP="001527EA">
      <w:pPr>
        <w:spacing w:line="240" w:lineRule="auto"/>
        <w:rPr>
          <w:rFonts w:eastAsia="Times New Roman" w:cs="Arial"/>
          <w:sz w:val="28"/>
          <w:szCs w:val="24"/>
        </w:rPr>
      </w:pPr>
      <w:r w:rsidRPr="001527EA">
        <w:rPr>
          <w:rFonts w:eastAsia="Times New Roman" w:cs="Arial"/>
          <w:i/>
          <w:iCs/>
          <w:color w:val="000000"/>
          <w:szCs w:val="20"/>
          <w:lang w:eastAsia="bg-BG"/>
        </w:rPr>
        <w:t>Пациенти е старческа възраст</w:t>
      </w:r>
    </w:p>
    <w:p w14:paraId="1FC1581D"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Поради ограничен опит при пациенти над 75 години, се изисква повишено внимание и стриктно проследяване при тези пациенти.</w:t>
      </w:r>
    </w:p>
    <w:p w14:paraId="1766F986" w14:textId="77777777" w:rsidR="001527EA" w:rsidRPr="001527EA" w:rsidRDefault="001527EA" w:rsidP="001527EA">
      <w:pPr>
        <w:spacing w:line="240" w:lineRule="auto"/>
        <w:rPr>
          <w:rFonts w:eastAsia="Times New Roman" w:cs="Arial"/>
          <w:i/>
          <w:iCs/>
          <w:color w:val="000000"/>
          <w:szCs w:val="20"/>
          <w:lang w:eastAsia="bg-BG"/>
        </w:rPr>
      </w:pPr>
    </w:p>
    <w:p w14:paraId="575E1086" w14:textId="54C7FDF8" w:rsidR="001527EA" w:rsidRPr="001527EA" w:rsidRDefault="001527EA" w:rsidP="001527EA">
      <w:pPr>
        <w:spacing w:line="240" w:lineRule="auto"/>
        <w:rPr>
          <w:rFonts w:eastAsia="Times New Roman" w:cs="Arial"/>
          <w:sz w:val="28"/>
          <w:szCs w:val="24"/>
        </w:rPr>
      </w:pPr>
      <w:r w:rsidRPr="001527EA">
        <w:rPr>
          <w:rFonts w:eastAsia="Times New Roman" w:cs="Arial"/>
          <w:i/>
          <w:iCs/>
          <w:color w:val="000000"/>
          <w:szCs w:val="20"/>
          <w:lang w:eastAsia="bg-BG"/>
        </w:rPr>
        <w:t>Педиатрична популация</w:t>
      </w:r>
    </w:p>
    <w:p w14:paraId="4EACC32A" w14:textId="77777777" w:rsidR="001527EA" w:rsidRPr="001527EA" w:rsidRDefault="001527EA" w:rsidP="001527EA">
      <w:pPr>
        <w:spacing w:line="240" w:lineRule="auto"/>
        <w:rPr>
          <w:rFonts w:eastAsia="Times New Roman" w:cs="Arial"/>
          <w:sz w:val="28"/>
          <w:szCs w:val="24"/>
        </w:rPr>
      </w:pPr>
      <w:r w:rsidRPr="001527EA">
        <w:rPr>
          <w:rFonts w:eastAsia="Times New Roman" w:cs="Arial"/>
          <w:color w:val="000000"/>
          <w:szCs w:val="20"/>
          <w:lang w:eastAsia="bg-BG"/>
        </w:rPr>
        <w:t>Безопасността и ефикасността на този лекарствен продукт не са установени при деца и юноши под 18-годишна възраст. Няма налични данни. Поради това употребата при деца и юноши не се препоръчва.</w:t>
      </w:r>
    </w:p>
    <w:p w14:paraId="429ED28B" w14:textId="61FFEE85" w:rsidR="001527EA" w:rsidRPr="001527EA" w:rsidRDefault="001527EA" w:rsidP="001527EA"/>
    <w:p w14:paraId="6A85390E" w14:textId="47BCB566" w:rsidR="00DF4C8E" w:rsidRDefault="002C50EE" w:rsidP="00F44498">
      <w:pPr>
        <w:pStyle w:val="Heading2"/>
      </w:pPr>
      <w:r>
        <w:t>4.3. Противопоказания</w:t>
      </w:r>
    </w:p>
    <w:p w14:paraId="2D87D4E9" w14:textId="326E3DDB" w:rsidR="001527EA" w:rsidRDefault="001527EA" w:rsidP="001527EA"/>
    <w:p w14:paraId="732233BB"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Свръхчувствителност към активните вещества или към някое от помощните вещества, изброени в точка 6.1;</w:t>
      </w:r>
    </w:p>
    <w:p w14:paraId="1F79B22B"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Свръхчувствителност към други вещества, производни на сулфонамидиге (хидрохлоротиазид е производен на сулфонамидиге);</w:t>
      </w:r>
    </w:p>
    <w:p w14:paraId="7F43B967"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Чернодробна недостатъчност или нарушена чернодробна функция;</w:t>
      </w:r>
    </w:p>
    <w:p w14:paraId="3E4CA3A7"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 xml:space="preserve">Анурия, тежка бъбречна недостатъчност (креатининов клирънс &lt;30 </w:t>
      </w:r>
      <w:r w:rsidRPr="001527EA">
        <w:rPr>
          <w:rFonts w:eastAsia="Times New Roman" w:cs="Arial"/>
          <w:color w:val="000000"/>
          <w:szCs w:val="20"/>
          <w:lang w:val="en-US"/>
        </w:rPr>
        <w:t>ml</w:t>
      </w:r>
      <w:r w:rsidRPr="001527EA">
        <w:rPr>
          <w:rFonts w:eastAsia="Times New Roman" w:cs="Arial"/>
          <w:color w:val="000000"/>
          <w:szCs w:val="20"/>
          <w:lang w:val="ru-RU"/>
        </w:rPr>
        <w:t>/</w:t>
      </w:r>
      <w:r w:rsidRPr="001527EA">
        <w:rPr>
          <w:rFonts w:eastAsia="Times New Roman" w:cs="Arial"/>
          <w:color w:val="000000"/>
          <w:szCs w:val="20"/>
          <w:lang w:val="en-US"/>
        </w:rPr>
        <w:t>min</w:t>
      </w:r>
      <w:r w:rsidRPr="001527EA">
        <w:rPr>
          <w:rFonts w:eastAsia="Times New Roman" w:cs="Arial"/>
          <w:color w:val="000000"/>
          <w:szCs w:val="20"/>
          <w:lang w:val="ru-RU"/>
        </w:rPr>
        <w:t>);</w:t>
      </w:r>
    </w:p>
    <w:p w14:paraId="344B97F9"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 xml:space="preserve">Остра сърдечна недостатъчност, кардиогенен шок или епизоди на декомпенсирана сърдечна недостатъчност, налагащи интравенозно приложение на инотропна терапия; </w:t>
      </w:r>
    </w:p>
    <w:p w14:paraId="4F7CE517" w14:textId="5A20B84F"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Синдром на болния синусов възел, включително синоатриален блок;</w:t>
      </w:r>
    </w:p>
    <w:p w14:paraId="65E6706B"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val="en-US"/>
        </w:rPr>
        <w:t>AV</w:t>
      </w:r>
      <w:r w:rsidRPr="001527EA">
        <w:rPr>
          <w:rFonts w:eastAsia="Times New Roman" w:cs="Arial"/>
          <w:color w:val="000000"/>
          <w:szCs w:val="20"/>
          <w:lang w:eastAsia="bg-BG"/>
        </w:rPr>
        <w:t>-блок</w:t>
      </w:r>
      <w:r w:rsidRPr="001527EA">
        <w:rPr>
          <w:rFonts w:eastAsia="Times New Roman" w:cs="Arial"/>
          <w:color w:val="000000"/>
          <w:szCs w:val="20"/>
          <w:lang w:val="ru-RU"/>
        </w:rPr>
        <w:t xml:space="preserve"> </w:t>
      </w:r>
      <w:r w:rsidRPr="001527EA">
        <w:rPr>
          <w:rFonts w:eastAsia="Times New Roman" w:cs="Arial"/>
          <w:color w:val="000000"/>
          <w:szCs w:val="20"/>
          <w:lang w:val="en-US"/>
        </w:rPr>
        <w:t>II</w:t>
      </w:r>
      <w:r w:rsidRPr="001527EA">
        <w:rPr>
          <w:rFonts w:eastAsia="Times New Roman" w:cs="Arial"/>
          <w:color w:val="000000"/>
          <w:szCs w:val="20"/>
          <w:lang w:eastAsia="bg-BG"/>
        </w:rPr>
        <w:t xml:space="preserve">-ра и </w:t>
      </w:r>
      <w:r w:rsidRPr="001527EA">
        <w:rPr>
          <w:rFonts w:eastAsia="Times New Roman" w:cs="Arial"/>
          <w:color w:val="000000"/>
          <w:szCs w:val="20"/>
          <w:lang w:val="en-US"/>
        </w:rPr>
        <w:t>III</w:t>
      </w:r>
      <w:r w:rsidRPr="001527EA">
        <w:rPr>
          <w:rFonts w:eastAsia="Times New Roman" w:cs="Arial"/>
          <w:color w:val="000000"/>
          <w:szCs w:val="20"/>
          <w:lang w:eastAsia="bg-BG"/>
        </w:rPr>
        <w:t>-та степен (без имплантиран пейсмейкьр);</w:t>
      </w:r>
    </w:p>
    <w:p w14:paraId="39D76E9A"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Брадикардия (сърдечна честота &lt; 60 удара/минута преди началото на лечението);</w:t>
      </w:r>
    </w:p>
    <w:p w14:paraId="71A4F809"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 xml:space="preserve">Хипотония (систолно артериално налягане &lt; 90 </w:t>
      </w:r>
      <w:r w:rsidRPr="001527EA">
        <w:rPr>
          <w:rFonts w:eastAsia="Times New Roman" w:cs="Arial"/>
          <w:color w:val="000000"/>
          <w:szCs w:val="20"/>
          <w:lang w:val="en-US"/>
        </w:rPr>
        <w:t>mmHg</w:t>
      </w:r>
      <w:r w:rsidRPr="001527EA">
        <w:rPr>
          <w:rFonts w:eastAsia="Times New Roman" w:cs="Arial"/>
          <w:color w:val="000000"/>
          <w:szCs w:val="20"/>
          <w:lang w:val="ru-RU"/>
        </w:rPr>
        <w:t>);</w:t>
      </w:r>
    </w:p>
    <w:p w14:paraId="64F8FE88"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Тежки нарушения на периферното кръвообращение;</w:t>
      </w:r>
    </w:p>
    <w:p w14:paraId="4196E258"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Анамнеза за бронхоспазъм и бронхиална астма;</w:t>
      </w:r>
    </w:p>
    <w:p w14:paraId="63256045"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Нелекуван феохромоцитом;</w:t>
      </w:r>
    </w:p>
    <w:p w14:paraId="3924F6E6" w14:textId="77777777"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Метаболитна ацидоза;</w:t>
      </w:r>
    </w:p>
    <w:p w14:paraId="3FEF4DC9" w14:textId="56B35732" w:rsidR="001527EA" w:rsidRPr="001527EA" w:rsidRDefault="001527EA" w:rsidP="001527EA">
      <w:pPr>
        <w:pStyle w:val="ListParagraph"/>
        <w:numPr>
          <w:ilvl w:val="0"/>
          <w:numId w:val="34"/>
        </w:numPr>
        <w:spacing w:line="240" w:lineRule="auto"/>
        <w:rPr>
          <w:rFonts w:eastAsia="Times New Roman" w:cs="Arial"/>
          <w:sz w:val="28"/>
          <w:szCs w:val="24"/>
        </w:rPr>
      </w:pPr>
      <w:r w:rsidRPr="001527EA">
        <w:rPr>
          <w:rFonts w:eastAsia="Times New Roman" w:cs="Arial"/>
          <w:color w:val="000000"/>
          <w:szCs w:val="20"/>
          <w:lang w:eastAsia="bg-BG"/>
        </w:rPr>
        <w:t>Рефракгерна хипокалиемия, хиперкалциемия, хипонатриемия и симптоматична хиперурикемия.</w:t>
      </w:r>
    </w:p>
    <w:p w14:paraId="4A47D6B8" w14:textId="77777777" w:rsidR="001527EA" w:rsidRPr="001527EA" w:rsidRDefault="001527EA" w:rsidP="001527EA"/>
    <w:p w14:paraId="115C9528" w14:textId="59AA4B3B" w:rsidR="00DF4C8E" w:rsidRDefault="002C50EE" w:rsidP="00F44498">
      <w:pPr>
        <w:pStyle w:val="Heading2"/>
      </w:pPr>
      <w:r>
        <w:t>4.4. Специални предупреждения и предпазни мерки при употреба</w:t>
      </w:r>
    </w:p>
    <w:p w14:paraId="7514F152" w14:textId="3F7ABD4B" w:rsidR="001527EA" w:rsidRDefault="001527EA" w:rsidP="001527EA"/>
    <w:p w14:paraId="37FC1ADB" w14:textId="77777777" w:rsidR="001527EA" w:rsidRPr="001527EA" w:rsidRDefault="001527EA" w:rsidP="001527EA">
      <w:pPr>
        <w:spacing w:line="240" w:lineRule="auto"/>
        <w:rPr>
          <w:rFonts w:eastAsia="Times New Roman" w:cs="Arial"/>
        </w:rPr>
      </w:pPr>
      <w:r w:rsidRPr="001527EA">
        <w:rPr>
          <w:rFonts w:eastAsia="Times New Roman" w:cs="Arial"/>
          <w:color w:val="000000"/>
          <w:lang w:eastAsia="bg-BG"/>
        </w:rPr>
        <w:t>Всички предупреждения, свързани с отделните компоненти, както е изброено по-долу, се отнасят също и за фиксираната комбинация Невотенс Плюс (вж. също точка 4.8).</w:t>
      </w:r>
    </w:p>
    <w:p w14:paraId="089EC445" w14:textId="77777777" w:rsidR="001527EA" w:rsidRPr="001B0424" w:rsidRDefault="001527EA" w:rsidP="001527EA">
      <w:pPr>
        <w:spacing w:line="240" w:lineRule="auto"/>
        <w:rPr>
          <w:rFonts w:eastAsia="Times New Roman" w:cs="Arial"/>
          <w:color w:val="000000"/>
          <w:u w:val="single"/>
          <w:lang w:eastAsia="bg-BG"/>
        </w:rPr>
      </w:pPr>
    </w:p>
    <w:p w14:paraId="5D9F1BE6" w14:textId="1C97DA4F" w:rsidR="001527EA" w:rsidRPr="001527EA" w:rsidRDefault="001527EA" w:rsidP="001527EA">
      <w:pPr>
        <w:spacing w:line="240" w:lineRule="auto"/>
        <w:rPr>
          <w:rFonts w:eastAsia="Times New Roman" w:cs="Arial"/>
        </w:rPr>
      </w:pPr>
      <w:r w:rsidRPr="001527EA">
        <w:rPr>
          <w:rFonts w:eastAsia="Times New Roman" w:cs="Arial"/>
          <w:color w:val="000000"/>
          <w:u w:val="single"/>
          <w:lang w:eastAsia="bg-BG"/>
        </w:rPr>
        <w:t>Небиволол</w:t>
      </w:r>
    </w:p>
    <w:p w14:paraId="17AB3166" w14:textId="77777777" w:rsidR="001527EA" w:rsidRPr="001B0424" w:rsidRDefault="001527EA" w:rsidP="001527EA">
      <w:pPr>
        <w:spacing w:line="240" w:lineRule="auto"/>
        <w:rPr>
          <w:rFonts w:eastAsia="Times New Roman" w:cs="Arial"/>
          <w:color w:val="000000"/>
          <w:lang w:eastAsia="bg-BG"/>
        </w:rPr>
      </w:pPr>
    </w:p>
    <w:p w14:paraId="3BFE2650" w14:textId="4DDC4E0D" w:rsidR="001527EA" w:rsidRPr="001527EA" w:rsidRDefault="001527EA" w:rsidP="001527EA">
      <w:pPr>
        <w:spacing w:line="240" w:lineRule="auto"/>
        <w:rPr>
          <w:rFonts w:eastAsia="Times New Roman" w:cs="Arial"/>
        </w:rPr>
      </w:pPr>
      <w:r w:rsidRPr="001527EA">
        <w:rPr>
          <w:rFonts w:eastAsia="Times New Roman" w:cs="Arial"/>
          <w:color w:val="000000"/>
          <w:lang w:eastAsia="bg-BG"/>
        </w:rPr>
        <w:t>Следните предупреждения и предпазни мерки при употреба се отнасят за бета-блокерите като цяло.</w:t>
      </w:r>
    </w:p>
    <w:p w14:paraId="012473CC" w14:textId="77777777" w:rsidR="001527EA" w:rsidRPr="001B0424" w:rsidRDefault="001527EA" w:rsidP="001527EA">
      <w:pPr>
        <w:spacing w:line="240" w:lineRule="auto"/>
        <w:rPr>
          <w:rFonts w:eastAsia="Times New Roman" w:cs="Arial"/>
          <w:i/>
          <w:iCs/>
          <w:color w:val="000000"/>
          <w:lang w:eastAsia="bg-BG"/>
        </w:rPr>
      </w:pPr>
    </w:p>
    <w:p w14:paraId="2010AA26" w14:textId="085A0953" w:rsidR="001527EA" w:rsidRPr="001527EA" w:rsidRDefault="001527EA" w:rsidP="001527EA">
      <w:pPr>
        <w:spacing w:line="240" w:lineRule="auto"/>
        <w:rPr>
          <w:rFonts w:eastAsia="Times New Roman" w:cs="Arial"/>
        </w:rPr>
      </w:pPr>
      <w:r w:rsidRPr="001527EA">
        <w:rPr>
          <w:rFonts w:eastAsia="Times New Roman" w:cs="Arial"/>
          <w:i/>
          <w:iCs/>
          <w:color w:val="000000"/>
          <w:lang w:eastAsia="bg-BG"/>
        </w:rPr>
        <w:t>Анестезия</w:t>
      </w:r>
    </w:p>
    <w:p w14:paraId="3A5C3A8A" w14:textId="493B708F" w:rsidR="001527EA" w:rsidRPr="001527EA" w:rsidRDefault="001527EA" w:rsidP="001527EA">
      <w:pPr>
        <w:spacing w:line="240" w:lineRule="auto"/>
        <w:rPr>
          <w:rFonts w:eastAsia="Times New Roman" w:cs="Arial"/>
        </w:rPr>
      </w:pPr>
      <w:r w:rsidRPr="001527EA">
        <w:rPr>
          <w:rFonts w:eastAsia="Times New Roman" w:cs="Arial"/>
          <w:color w:val="000000"/>
          <w:lang w:eastAsia="bg-BG"/>
        </w:rPr>
        <w:t>Продължаването на бета-блокадата намалява риска от появата на аритмии при въвеждане в анестезия и ингубиране. Ако в подготовката за оперативна намеса бета-блокадата се прекъсне, приложението на бета-блокера трябва да се преустанови поне 24 часа преди това.</w:t>
      </w:r>
    </w:p>
    <w:p w14:paraId="00C43200" w14:textId="77777777" w:rsidR="001527EA" w:rsidRPr="001B0424" w:rsidRDefault="001527EA" w:rsidP="001527EA">
      <w:pPr>
        <w:rPr>
          <w:rFonts w:eastAsia="Times New Roman" w:cs="Arial"/>
          <w:color w:val="000000"/>
          <w:lang w:eastAsia="bg-BG"/>
        </w:rPr>
      </w:pPr>
    </w:p>
    <w:p w14:paraId="62BCAC4D" w14:textId="0F1E8735" w:rsidR="001527EA" w:rsidRPr="001B0424" w:rsidRDefault="001527EA" w:rsidP="001527EA">
      <w:pPr>
        <w:rPr>
          <w:rFonts w:eastAsia="Times New Roman" w:cs="Arial"/>
          <w:color w:val="000000"/>
          <w:lang w:eastAsia="bg-BG"/>
        </w:rPr>
      </w:pPr>
      <w:r w:rsidRPr="001B0424">
        <w:rPr>
          <w:rFonts w:eastAsia="Times New Roman" w:cs="Arial"/>
          <w:color w:val="000000"/>
          <w:lang w:eastAsia="bg-BG"/>
        </w:rPr>
        <w:t>Необходимо е внимание при приложението на определени анестетици, които потискат миокардната функция. За да се предотврати появата на вагусови реакции при тези пациенти може да се приложи интравенозно атропин.</w:t>
      </w:r>
    </w:p>
    <w:p w14:paraId="2135BDC7" w14:textId="25BE4B5B" w:rsidR="001527EA" w:rsidRPr="001B0424" w:rsidRDefault="001527EA" w:rsidP="001527EA">
      <w:pPr>
        <w:rPr>
          <w:rFonts w:eastAsia="Times New Roman" w:cs="Arial"/>
          <w:color w:val="000000"/>
          <w:lang w:eastAsia="bg-BG"/>
        </w:rPr>
      </w:pPr>
    </w:p>
    <w:p w14:paraId="100DFA4F" w14:textId="77777777" w:rsidR="001527EA" w:rsidRPr="001527EA" w:rsidRDefault="001527EA" w:rsidP="001527EA">
      <w:pPr>
        <w:spacing w:line="240" w:lineRule="auto"/>
        <w:rPr>
          <w:rFonts w:eastAsia="Times New Roman" w:cs="Arial"/>
        </w:rPr>
      </w:pPr>
      <w:r w:rsidRPr="001527EA">
        <w:rPr>
          <w:rFonts w:eastAsia="Times New Roman" w:cs="Arial"/>
          <w:i/>
          <w:iCs/>
          <w:color w:val="000000"/>
          <w:lang w:eastAsia="bg-BG"/>
        </w:rPr>
        <w:t>Сърдечно-съдова система</w:t>
      </w:r>
    </w:p>
    <w:p w14:paraId="03485715" w14:textId="77777777" w:rsidR="001527EA" w:rsidRPr="001527EA" w:rsidRDefault="001527EA" w:rsidP="001527EA">
      <w:pPr>
        <w:spacing w:line="240" w:lineRule="auto"/>
        <w:rPr>
          <w:rFonts w:eastAsia="Times New Roman" w:cs="Arial"/>
        </w:rPr>
      </w:pPr>
      <w:r w:rsidRPr="001527EA">
        <w:rPr>
          <w:rFonts w:eastAsia="Times New Roman" w:cs="Arial"/>
          <w:color w:val="000000"/>
          <w:lang w:eastAsia="bg-BG"/>
        </w:rPr>
        <w:t xml:space="preserve">По принцип бета-блокерите не трябва да се използват при пациенти с нелекувана застойна сърдечна недостатъчност </w:t>
      </w:r>
      <w:r w:rsidRPr="001527EA">
        <w:rPr>
          <w:rFonts w:eastAsia="Times New Roman" w:cs="Arial"/>
          <w:color w:val="000000"/>
          <w:lang w:val="ru-RU"/>
        </w:rPr>
        <w:t>(</w:t>
      </w:r>
      <w:r w:rsidRPr="001527EA">
        <w:rPr>
          <w:rFonts w:eastAsia="Times New Roman" w:cs="Arial"/>
          <w:color w:val="000000"/>
          <w:lang w:val="en-US"/>
        </w:rPr>
        <w:t>CHF</w:t>
      </w:r>
      <w:r w:rsidRPr="001527EA">
        <w:rPr>
          <w:rFonts w:eastAsia="Times New Roman" w:cs="Arial"/>
          <w:color w:val="000000"/>
          <w:lang w:val="ru-RU"/>
        </w:rPr>
        <w:t xml:space="preserve">), </w:t>
      </w:r>
      <w:r w:rsidRPr="001527EA">
        <w:rPr>
          <w:rFonts w:eastAsia="Times New Roman" w:cs="Arial"/>
          <w:color w:val="000000"/>
          <w:lang w:eastAsia="bg-BG"/>
        </w:rPr>
        <w:t>с изключение на случаите, когато състоянието им е стабилизирано.</w:t>
      </w:r>
    </w:p>
    <w:p w14:paraId="039AB540" w14:textId="77777777" w:rsidR="001527EA" w:rsidRPr="001B0424" w:rsidRDefault="001527EA" w:rsidP="001527EA">
      <w:pPr>
        <w:spacing w:line="240" w:lineRule="auto"/>
        <w:rPr>
          <w:rFonts w:eastAsia="Times New Roman" w:cs="Arial"/>
          <w:color w:val="000000"/>
          <w:lang w:eastAsia="bg-BG"/>
        </w:rPr>
      </w:pPr>
    </w:p>
    <w:p w14:paraId="58AFCC3B" w14:textId="77777777" w:rsidR="001527EA" w:rsidRPr="001B0424" w:rsidRDefault="001527EA" w:rsidP="001527EA">
      <w:pPr>
        <w:spacing w:line="240" w:lineRule="auto"/>
        <w:rPr>
          <w:rFonts w:eastAsia="Times New Roman" w:cs="Arial"/>
          <w:color w:val="000000"/>
          <w:lang w:eastAsia="bg-BG"/>
        </w:rPr>
      </w:pPr>
      <w:r w:rsidRPr="001527EA">
        <w:rPr>
          <w:rFonts w:eastAsia="Times New Roman" w:cs="Arial"/>
          <w:color w:val="000000"/>
          <w:lang w:eastAsia="bg-BG"/>
        </w:rPr>
        <w:t xml:space="preserve">При пациенти с исхемична болест на сърцето, </w:t>
      </w:r>
      <w:r w:rsidRPr="001527EA">
        <w:rPr>
          <w:rFonts w:eastAsia="Times New Roman" w:cs="Arial"/>
          <w:i/>
          <w:iCs/>
          <w:color w:val="000000"/>
          <w:lang w:eastAsia="bg-BG"/>
        </w:rPr>
        <w:t>приложението на</w:t>
      </w:r>
      <w:r w:rsidRPr="001527EA">
        <w:rPr>
          <w:rFonts w:eastAsia="Times New Roman" w:cs="Arial"/>
          <w:color w:val="000000"/>
          <w:lang w:eastAsia="bg-BG"/>
        </w:rPr>
        <w:t xml:space="preserve"> бета-блокери трябва да се преустановява постепенно, напр. за 1-2 седмици. При необходимост през това време може да се започне заместителна </w:t>
      </w:r>
    </w:p>
    <w:p w14:paraId="094184D1" w14:textId="61280E0C" w:rsidR="001527EA" w:rsidRPr="001527EA" w:rsidRDefault="001527EA" w:rsidP="001527EA">
      <w:pPr>
        <w:spacing w:line="240" w:lineRule="auto"/>
        <w:rPr>
          <w:rFonts w:eastAsia="Times New Roman" w:cs="Arial"/>
        </w:rPr>
      </w:pPr>
      <w:r w:rsidRPr="001527EA">
        <w:rPr>
          <w:rFonts w:eastAsia="Times New Roman" w:cs="Arial"/>
          <w:color w:val="000000"/>
          <w:lang w:eastAsia="bg-BG"/>
        </w:rPr>
        <w:t>терапия, за да се избегне обостряне на стенокардията симптоматика.</w:t>
      </w:r>
    </w:p>
    <w:p w14:paraId="4DAA7C85" w14:textId="77777777" w:rsidR="001527EA" w:rsidRPr="001B0424" w:rsidRDefault="001527EA" w:rsidP="001527EA">
      <w:pPr>
        <w:spacing w:line="240" w:lineRule="auto"/>
        <w:rPr>
          <w:rFonts w:eastAsia="Times New Roman" w:cs="Arial"/>
          <w:color w:val="000000"/>
          <w:lang w:eastAsia="bg-BG"/>
        </w:rPr>
      </w:pPr>
    </w:p>
    <w:p w14:paraId="319104A5" w14:textId="6B3AE685" w:rsidR="001527EA" w:rsidRPr="001527EA" w:rsidRDefault="001527EA" w:rsidP="001527EA">
      <w:pPr>
        <w:spacing w:line="240" w:lineRule="auto"/>
        <w:rPr>
          <w:rFonts w:eastAsia="Times New Roman" w:cs="Arial"/>
        </w:rPr>
      </w:pPr>
      <w:r w:rsidRPr="001527EA">
        <w:rPr>
          <w:rFonts w:eastAsia="Times New Roman" w:cs="Arial"/>
          <w:color w:val="000000"/>
          <w:lang w:eastAsia="bg-BG"/>
        </w:rPr>
        <w:t>Бета-блокерите могат да предизвикат брадикардия: при понижаване на сърдечната честота под 50-55 удара/минута в покой и/или при симптоми, насочващи за брадикардия, дозата трябва да се понижи.</w:t>
      </w:r>
    </w:p>
    <w:p w14:paraId="2EDC622C" w14:textId="77777777" w:rsidR="001527EA" w:rsidRPr="001B0424" w:rsidRDefault="001527EA" w:rsidP="001527EA">
      <w:pPr>
        <w:spacing w:line="240" w:lineRule="auto"/>
        <w:rPr>
          <w:rFonts w:eastAsia="Times New Roman" w:cs="Arial"/>
          <w:color w:val="000000"/>
          <w:lang w:eastAsia="bg-BG"/>
        </w:rPr>
      </w:pPr>
    </w:p>
    <w:p w14:paraId="236BF9B0" w14:textId="2077CC11" w:rsidR="001527EA" w:rsidRPr="001527EA" w:rsidRDefault="001527EA" w:rsidP="001527EA">
      <w:pPr>
        <w:spacing w:line="240" w:lineRule="auto"/>
        <w:rPr>
          <w:rFonts w:eastAsia="Times New Roman" w:cs="Arial"/>
        </w:rPr>
      </w:pPr>
      <w:r w:rsidRPr="001527EA">
        <w:rPr>
          <w:rFonts w:eastAsia="Times New Roman" w:cs="Arial"/>
          <w:color w:val="000000"/>
          <w:lang w:eastAsia="bg-BG"/>
        </w:rPr>
        <w:t>Бета-блокерите трябва да се използват с повишено внимание:</w:t>
      </w:r>
    </w:p>
    <w:p w14:paraId="6DA60A10" w14:textId="77777777" w:rsidR="001527EA" w:rsidRPr="001B0424" w:rsidRDefault="001527EA" w:rsidP="001527EA">
      <w:pPr>
        <w:pStyle w:val="ListParagraph"/>
        <w:numPr>
          <w:ilvl w:val="0"/>
          <w:numId w:val="34"/>
        </w:numPr>
        <w:spacing w:line="240" w:lineRule="auto"/>
        <w:rPr>
          <w:rFonts w:eastAsia="Times New Roman" w:cs="Arial"/>
        </w:rPr>
      </w:pPr>
      <w:r w:rsidRPr="001B0424">
        <w:rPr>
          <w:rFonts w:eastAsia="Times New Roman" w:cs="Arial"/>
          <w:color w:val="000000"/>
          <w:lang w:eastAsia="bg-BG"/>
        </w:rPr>
        <w:t xml:space="preserve">при пациенти с периферни циркулаторни нарушения (болест или синдром на Рейно, клаудикацио интермитенс), тъй като може да настъпи влошаване на тези заболявания; при пациенти с </w:t>
      </w:r>
      <w:r w:rsidRPr="001B0424">
        <w:rPr>
          <w:rFonts w:eastAsia="Times New Roman" w:cs="Arial"/>
          <w:color w:val="000000"/>
          <w:lang w:val="en-US"/>
        </w:rPr>
        <w:t>AV</w:t>
      </w:r>
      <w:r w:rsidRPr="001B0424">
        <w:rPr>
          <w:rFonts w:eastAsia="Times New Roman" w:cs="Arial"/>
          <w:color w:val="000000"/>
          <w:lang w:val="ru-RU"/>
        </w:rPr>
        <w:t xml:space="preserve"> </w:t>
      </w:r>
      <w:r w:rsidRPr="001B0424">
        <w:rPr>
          <w:rFonts w:eastAsia="Times New Roman" w:cs="Arial"/>
          <w:color w:val="000000"/>
          <w:lang w:eastAsia="bg-BG"/>
        </w:rPr>
        <w:t xml:space="preserve">блок </w:t>
      </w:r>
      <w:r w:rsidRPr="001B0424">
        <w:rPr>
          <w:rFonts w:eastAsia="Times New Roman" w:cs="Arial"/>
          <w:color w:val="000000"/>
          <w:lang w:val="en-US"/>
        </w:rPr>
        <w:t>I</w:t>
      </w:r>
      <w:r w:rsidRPr="001B0424">
        <w:rPr>
          <w:rFonts w:eastAsia="Times New Roman" w:cs="Arial"/>
          <w:color w:val="000000"/>
          <w:lang w:eastAsia="bg-BG"/>
        </w:rPr>
        <w:t>-ва степен, поради негативния ефект на бета-блокерите върху проводимостта;</w:t>
      </w:r>
    </w:p>
    <w:p w14:paraId="1B4029E1" w14:textId="77777777" w:rsidR="001527EA" w:rsidRPr="001B0424" w:rsidRDefault="001527EA" w:rsidP="001527EA">
      <w:pPr>
        <w:pStyle w:val="ListParagraph"/>
        <w:numPr>
          <w:ilvl w:val="0"/>
          <w:numId w:val="34"/>
        </w:numPr>
        <w:spacing w:line="240" w:lineRule="auto"/>
        <w:rPr>
          <w:rFonts w:eastAsia="Times New Roman" w:cs="Arial"/>
        </w:rPr>
      </w:pPr>
      <w:r w:rsidRPr="001B0424">
        <w:rPr>
          <w:rFonts w:eastAsia="Times New Roman" w:cs="Arial"/>
          <w:color w:val="000000"/>
          <w:lang w:eastAsia="bg-BG"/>
        </w:rPr>
        <w:t>при пациенти със стенокардия на Принцметал, тъй като при тях се наблюдава коронарен вазоспазъм, медииран от алфа-рецепторите, които не са блокирани: бета-блокерите могат да увеличат честотата и продължителността на стенокардиите пристъпи.</w:t>
      </w:r>
    </w:p>
    <w:p w14:paraId="0889FF9A" w14:textId="28107AB5" w:rsidR="001527EA" w:rsidRPr="001B0424" w:rsidRDefault="001527EA" w:rsidP="001527EA">
      <w:pPr>
        <w:pStyle w:val="ListParagraph"/>
        <w:numPr>
          <w:ilvl w:val="0"/>
          <w:numId w:val="34"/>
        </w:numPr>
        <w:spacing w:line="240" w:lineRule="auto"/>
        <w:rPr>
          <w:rFonts w:eastAsia="Times New Roman" w:cs="Arial"/>
        </w:rPr>
      </w:pPr>
      <w:r w:rsidRPr="001B0424">
        <w:rPr>
          <w:rFonts w:eastAsia="Times New Roman" w:cs="Arial"/>
          <w:color w:val="000000"/>
          <w:lang w:eastAsia="bg-BG"/>
        </w:rPr>
        <w:t>По принцип не се препоръчва комбинирането на небиволол с калциеви антагонисти от верапамилов или дилтиаземов тип, с антиаритмици от клас I и с централно действащи антихипертензивни лекарствени продукти (за по-подробна информация вж. точка 4.5).</w:t>
      </w:r>
    </w:p>
    <w:p w14:paraId="39C0FC6B" w14:textId="77777777" w:rsidR="001527EA" w:rsidRPr="001B0424" w:rsidRDefault="001527EA" w:rsidP="001527EA">
      <w:pPr>
        <w:spacing w:line="240" w:lineRule="auto"/>
        <w:rPr>
          <w:rFonts w:eastAsia="Times New Roman" w:cs="Arial"/>
          <w:i/>
          <w:iCs/>
          <w:color w:val="000000"/>
          <w:lang w:eastAsia="bg-BG"/>
        </w:rPr>
      </w:pPr>
    </w:p>
    <w:p w14:paraId="311F7515" w14:textId="07935217" w:rsidR="001527EA" w:rsidRPr="001527EA" w:rsidRDefault="001527EA" w:rsidP="001527EA">
      <w:pPr>
        <w:spacing w:line="240" w:lineRule="auto"/>
        <w:rPr>
          <w:rFonts w:eastAsia="Times New Roman" w:cs="Arial"/>
        </w:rPr>
      </w:pPr>
      <w:r w:rsidRPr="001527EA">
        <w:rPr>
          <w:rFonts w:eastAsia="Times New Roman" w:cs="Arial"/>
          <w:i/>
          <w:iCs/>
          <w:color w:val="000000"/>
          <w:lang w:eastAsia="bg-BG"/>
        </w:rPr>
        <w:t>Метаболитни/Ендокринни</w:t>
      </w:r>
    </w:p>
    <w:p w14:paraId="1EDB6883" w14:textId="77777777" w:rsidR="001527EA" w:rsidRPr="001527EA" w:rsidRDefault="001527EA" w:rsidP="001527EA">
      <w:pPr>
        <w:spacing w:line="240" w:lineRule="auto"/>
        <w:rPr>
          <w:rFonts w:eastAsia="Times New Roman" w:cs="Arial"/>
        </w:rPr>
      </w:pPr>
      <w:r w:rsidRPr="001527EA">
        <w:rPr>
          <w:rFonts w:eastAsia="Times New Roman" w:cs="Arial"/>
          <w:color w:val="000000"/>
          <w:lang w:eastAsia="bg-BG"/>
        </w:rPr>
        <w:t>Небиволол не повлиява стойностите на кръвната глюкоза при пациенти с диабет. По принцип е необходимо повишено внимание при пациенти с диабет, тъй като небиволол може да замаскира определени симптоми на хипогликемия (тахикардия, палпитации).</w:t>
      </w:r>
    </w:p>
    <w:p w14:paraId="62452E99" w14:textId="77777777" w:rsidR="001527EA" w:rsidRPr="001527EA" w:rsidRDefault="001527EA" w:rsidP="001527EA">
      <w:pPr>
        <w:spacing w:line="240" w:lineRule="auto"/>
        <w:rPr>
          <w:rFonts w:eastAsia="Times New Roman" w:cs="Arial"/>
        </w:rPr>
      </w:pPr>
      <w:r w:rsidRPr="001527EA">
        <w:rPr>
          <w:rFonts w:eastAsia="Times New Roman" w:cs="Arial"/>
          <w:color w:val="000000"/>
          <w:lang w:eastAsia="bg-BG"/>
        </w:rPr>
        <w:lastRenderedPageBreak/>
        <w:t>Приложението на бета-блокери може да замаскира симптоматичната тахикардия при пациенти с хипертиреоидизъм. Внезапното прекъсване на лечението може да засили тази симптоматика.</w:t>
      </w:r>
    </w:p>
    <w:p w14:paraId="19D8212F" w14:textId="77777777" w:rsidR="001527EA" w:rsidRPr="001B0424" w:rsidRDefault="001527EA" w:rsidP="001527EA">
      <w:pPr>
        <w:spacing w:line="240" w:lineRule="auto"/>
        <w:rPr>
          <w:rFonts w:eastAsia="Times New Roman" w:cs="Arial"/>
          <w:i/>
          <w:iCs/>
          <w:color w:val="000000"/>
          <w:lang w:eastAsia="bg-BG"/>
        </w:rPr>
      </w:pPr>
    </w:p>
    <w:p w14:paraId="13198897" w14:textId="0DAF518C" w:rsidR="001527EA" w:rsidRPr="001527EA" w:rsidRDefault="001527EA" w:rsidP="001527EA">
      <w:pPr>
        <w:spacing w:line="240" w:lineRule="auto"/>
        <w:rPr>
          <w:rFonts w:eastAsia="Times New Roman" w:cs="Arial"/>
        </w:rPr>
      </w:pPr>
      <w:r w:rsidRPr="001527EA">
        <w:rPr>
          <w:rFonts w:eastAsia="Times New Roman" w:cs="Arial"/>
          <w:i/>
          <w:iCs/>
          <w:color w:val="000000"/>
          <w:lang w:eastAsia="bg-BG"/>
        </w:rPr>
        <w:t>Респираторни</w:t>
      </w:r>
    </w:p>
    <w:p w14:paraId="5599B6A3" w14:textId="77777777" w:rsidR="001527EA" w:rsidRPr="001527EA" w:rsidRDefault="001527EA" w:rsidP="001527EA">
      <w:pPr>
        <w:spacing w:line="240" w:lineRule="auto"/>
        <w:rPr>
          <w:rFonts w:eastAsia="Times New Roman" w:cs="Arial"/>
        </w:rPr>
      </w:pPr>
      <w:r w:rsidRPr="001527EA">
        <w:rPr>
          <w:rFonts w:eastAsia="Times New Roman" w:cs="Arial"/>
          <w:color w:val="000000"/>
          <w:lang w:eastAsia="bg-BG"/>
        </w:rPr>
        <w:t>Бета-блокерите трябва да се прилагат с внимание при пациенти с хронична обструктивна белодробна болест, тъй като бронхоспазъмът може да се засили.</w:t>
      </w:r>
    </w:p>
    <w:p w14:paraId="37A9F1D5" w14:textId="77777777" w:rsidR="001527EA" w:rsidRPr="001B0424" w:rsidRDefault="001527EA" w:rsidP="001527EA">
      <w:pPr>
        <w:spacing w:line="240" w:lineRule="auto"/>
        <w:rPr>
          <w:rFonts w:eastAsia="Times New Roman" w:cs="Arial"/>
          <w:color w:val="000000"/>
          <w:lang w:eastAsia="bg-BG"/>
        </w:rPr>
      </w:pPr>
    </w:p>
    <w:p w14:paraId="05006462" w14:textId="2CAE5970" w:rsidR="001527EA" w:rsidRPr="001527EA" w:rsidRDefault="001527EA" w:rsidP="001527EA">
      <w:pPr>
        <w:spacing w:line="240" w:lineRule="auto"/>
        <w:rPr>
          <w:rFonts w:eastAsia="Times New Roman" w:cs="Arial"/>
        </w:rPr>
      </w:pPr>
      <w:r w:rsidRPr="001527EA">
        <w:rPr>
          <w:rFonts w:eastAsia="Times New Roman" w:cs="Arial"/>
          <w:color w:val="000000"/>
          <w:lang w:eastAsia="bg-BG"/>
        </w:rPr>
        <w:t>Другн</w:t>
      </w:r>
    </w:p>
    <w:p w14:paraId="7B17BCEB" w14:textId="77777777" w:rsidR="001527EA" w:rsidRPr="001527EA" w:rsidRDefault="001527EA" w:rsidP="001527EA">
      <w:pPr>
        <w:spacing w:line="240" w:lineRule="auto"/>
        <w:rPr>
          <w:rFonts w:eastAsia="Times New Roman" w:cs="Arial"/>
        </w:rPr>
      </w:pPr>
      <w:r w:rsidRPr="001527EA">
        <w:rPr>
          <w:rFonts w:eastAsia="Times New Roman" w:cs="Arial"/>
          <w:color w:val="000000"/>
          <w:lang w:eastAsia="bg-BG"/>
        </w:rPr>
        <w:t>Приложението на бета-блокери при пациенти с анамнеза за псориазис трябва да става само след внимателна преценка.</w:t>
      </w:r>
    </w:p>
    <w:p w14:paraId="594EC4DE" w14:textId="77777777" w:rsidR="001527EA" w:rsidRPr="001B0424" w:rsidRDefault="001527EA" w:rsidP="001527EA">
      <w:pPr>
        <w:spacing w:line="240" w:lineRule="auto"/>
        <w:rPr>
          <w:rFonts w:eastAsia="Times New Roman" w:cs="Arial"/>
          <w:color w:val="000000"/>
          <w:lang w:eastAsia="bg-BG"/>
        </w:rPr>
      </w:pPr>
    </w:p>
    <w:p w14:paraId="58B781D9" w14:textId="137DB9D4" w:rsidR="001527EA" w:rsidRPr="001527EA" w:rsidRDefault="001527EA" w:rsidP="001527EA">
      <w:pPr>
        <w:spacing w:line="240" w:lineRule="auto"/>
        <w:rPr>
          <w:rFonts w:eastAsia="Times New Roman" w:cs="Arial"/>
        </w:rPr>
      </w:pPr>
      <w:r w:rsidRPr="001527EA">
        <w:rPr>
          <w:rFonts w:eastAsia="Times New Roman" w:cs="Arial"/>
          <w:color w:val="000000"/>
          <w:lang w:eastAsia="bg-BG"/>
        </w:rPr>
        <w:t>Бета-блокерите могат да засилят чувствителността към алергени и тежестта на анафилактичните реакции.</w:t>
      </w:r>
    </w:p>
    <w:p w14:paraId="1397413C" w14:textId="77777777" w:rsidR="001527EA" w:rsidRPr="001B0424" w:rsidRDefault="001527EA" w:rsidP="001527EA">
      <w:pPr>
        <w:spacing w:line="240" w:lineRule="auto"/>
        <w:rPr>
          <w:rFonts w:eastAsia="Times New Roman" w:cs="Arial"/>
          <w:color w:val="000000"/>
          <w:u w:val="single"/>
          <w:lang w:eastAsia="bg-BG"/>
        </w:rPr>
      </w:pPr>
    </w:p>
    <w:p w14:paraId="12FD530D" w14:textId="12DF178D" w:rsidR="001527EA" w:rsidRPr="001527EA" w:rsidRDefault="001527EA" w:rsidP="001527EA">
      <w:pPr>
        <w:spacing w:line="240" w:lineRule="auto"/>
        <w:rPr>
          <w:rFonts w:eastAsia="Times New Roman" w:cs="Arial"/>
        </w:rPr>
      </w:pPr>
      <w:r w:rsidRPr="001527EA">
        <w:rPr>
          <w:rFonts w:eastAsia="Times New Roman" w:cs="Arial"/>
          <w:color w:val="000000"/>
          <w:u w:val="single"/>
          <w:lang w:eastAsia="bg-BG"/>
        </w:rPr>
        <w:t>Хидрохлоротиазид</w:t>
      </w:r>
    </w:p>
    <w:p w14:paraId="33C11F6B" w14:textId="77777777" w:rsidR="001527EA" w:rsidRPr="001B0424" w:rsidRDefault="001527EA" w:rsidP="001527EA">
      <w:pPr>
        <w:spacing w:line="240" w:lineRule="auto"/>
        <w:rPr>
          <w:rFonts w:eastAsia="Times New Roman" w:cs="Arial"/>
          <w:i/>
          <w:iCs/>
          <w:color w:val="000000"/>
          <w:lang w:eastAsia="bg-BG"/>
        </w:rPr>
      </w:pPr>
    </w:p>
    <w:p w14:paraId="1B67DECF" w14:textId="6A900FF5" w:rsidR="001527EA" w:rsidRPr="001527EA" w:rsidRDefault="001527EA" w:rsidP="001527EA">
      <w:pPr>
        <w:spacing w:line="240" w:lineRule="auto"/>
        <w:rPr>
          <w:rFonts w:eastAsia="Times New Roman" w:cs="Arial"/>
        </w:rPr>
      </w:pPr>
      <w:r w:rsidRPr="001527EA">
        <w:rPr>
          <w:rFonts w:eastAsia="Times New Roman" w:cs="Arial"/>
          <w:i/>
          <w:iCs/>
          <w:color w:val="000000"/>
          <w:lang w:eastAsia="bg-BG"/>
        </w:rPr>
        <w:t>Бъбречно увреждане</w:t>
      </w:r>
    </w:p>
    <w:p w14:paraId="105DABE7" w14:textId="78E0A589" w:rsidR="001527EA" w:rsidRPr="001B0424" w:rsidRDefault="001527EA" w:rsidP="001527EA">
      <w:pPr>
        <w:rPr>
          <w:rFonts w:eastAsia="Times New Roman" w:cs="Arial"/>
          <w:color w:val="000000"/>
          <w:lang w:eastAsia="bg-BG"/>
        </w:rPr>
      </w:pPr>
      <w:r w:rsidRPr="001B0424">
        <w:rPr>
          <w:rFonts w:eastAsia="Times New Roman" w:cs="Arial"/>
          <w:color w:val="000000"/>
          <w:lang w:eastAsia="bg-BG"/>
        </w:rPr>
        <w:t>Максимална полза от тиазидните диуретици може да се постигне само ако бъбречната функция не е нарушена. При пациенти с бъбречно заболяване, тиазидите могат да утежнят азотемията. При пациенти с увредена бъбречна функция могат да настъпят кумулативни ефекти на това</w:t>
      </w:r>
      <w:r w:rsidRPr="001B0424">
        <w:rPr>
          <w:rFonts w:eastAsia="Times New Roman" w:cs="Arial"/>
          <w:color w:val="000000"/>
          <w:u w:val="single"/>
          <w:lang w:eastAsia="bg-BG"/>
        </w:rPr>
        <w:t xml:space="preserve"> </w:t>
      </w:r>
      <w:r w:rsidRPr="001B0424">
        <w:rPr>
          <w:rFonts w:eastAsia="Times New Roman" w:cs="Arial"/>
          <w:color w:val="000000"/>
          <w:lang w:eastAsia="bg-BG"/>
        </w:rPr>
        <w:t>активно вещество. Ако се наблюдава прогресивно бъбречно увреждане, показател за което са покачващите се стойности на небелтьчния азот, е необходима внимателна преоценка на терапията, с оглед да се преустанови лечението с диуретици.</w:t>
      </w:r>
    </w:p>
    <w:p w14:paraId="5D3B699C" w14:textId="4B4F74CA" w:rsidR="001B0424" w:rsidRPr="001B0424" w:rsidRDefault="001B0424" w:rsidP="001527EA">
      <w:pPr>
        <w:rPr>
          <w:rFonts w:eastAsia="Times New Roman" w:cs="Arial"/>
          <w:color w:val="000000"/>
          <w:lang w:eastAsia="bg-BG"/>
        </w:rPr>
      </w:pPr>
    </w:p>
    <w:p w14:paraId="367985F8" w14:textId="7777777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Метаболитни и ендокринни ефекти</w:t>
      </w:r>
    </w:p>
    <w:p w14:paraId="6F155F0C"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Терапията с тиазидни диуретици може да наруши глкжозния толеранс. Може да се наложи корекция на дозата на инсулина или на пероралните хипогликемични средства (вж. точка 4.5). В хода на лечението с тиазиди може да се прояви латентен захарен диабет.</w:t>
      </w:r>
    </w:p>
    <w:p w14:paraId="34BB0AB8" w14:textId="77777777" w:rsidR="001B0424" w:rsidRPr="001B0424" w:rsidRDefault="001B0424" w:rsidP="001B0424">
      <w:pPr>
        <w:spacing w:line="240" w:lineRule="auto"/>
        <w:rPr>
          <w:rFonts w:eastAsia="Times New Roman" w:cs="Arial"/>
          <w:color w:val="000000"/>
          <w:lang w:eastAsia="bg-BG"/>
        </w:rPr>
      </w:pPr>
    </w:p>
    <w:p w14:paraId="21EC350A" w14:textId="7FE95050" w:rsidR="001B0424" w:rsidRPr="001B0424" w:rsidRDefault="001B0424" w:rsidP="001B0424">
      <w:pPr>
        <w:spacing w:line="240" w:lineRule="auto"/>
        <w:rPr>
          <w:rFonts w:eastAsia="Times New Roman" w:cs="Arial"/>
        </w:rPr>
      </w:pPr>
      <w:r w:rsidRPr="001B0424">
        <w:rPr>
          <w:rFonts w:eastAsia="Times New Roman" w:cs="Arial"/>
          <w:color w:val="000000"/>
          <w:lang w:eastAsia="bg-BG"/>
        </w:rPr>
        <w:t>Приложението на тиазидни диуретици може да бъде свързано с повишаване на стойностите на холестерола и триглицеридите. При определени пациенти лечението с тиазидни диуретици може да доведе до развитие на хиперурикемия и/или подагра.</w:t>
      </w:r>
    </w:p>
    <w:p w14:paraId="523CA3FC" w14:textId="77777777" w:rsidR="001B0424" w:rsidRPr="001B0424" w:rsidRDefault="001B0424" w:rsidP="001B0424">
      <w:pPr>
        <w:spacing w:line="240" w:lineRule="auto"/>
        <w:rPr>
          <w:rFonts w:eastAsia="Times New Roman" w:cs="Arial"/>
          <w:i/>
          <w:iCs/>
          <w:color w:val="000000"/>
          <w:lang w:eastAsia="bg-BG"/>
        </w:rPr>
      </w:pPr>
    </w:p>
    <w:p w14:paraId="7DBB86D6" w14:textId="6F6008C0"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Електролитен дисбаланс</w:t>
      </w:r>
    </w:p>
    <w:p w14:paraId="1E30C784"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Както при всички пациенти, провеждащи диуретична терапия е необходимо периодично проследяване на серумните електролити на подходящи интервали.</w:t>
      </w:r>
    </w:p>
    <w:p w14:paraId="766301BB" w14:textId="77777777" w:rsidR="001B0424" w:rsidRPr="001B0424" w:rsidRDefault="001B0424" w:rsidP="001B0424">
      <w:pPr>
        <w:spacing w:line="240" w:lineRule="auto"/>
        <w:rPr>
          <w:rFonts w:eastAsia="Times New Roman" w:cs="Arial"/>
          <w:color w:val="000000"/>
          <w:lang w:eastAsia="bg-BG"/>
        </w:rPr>
      </w:pPr>
    </w:p>
    <w:p w14:paraId="5062CB86" w14:textId="7B6BECA9" w:rsidR="001B0424" w:rsidRPr="001B0424" w:rsidRDefault="001B0424" w:rsidP="001B0424">
      <w:pPr>
        <w:spacing w:line="240" w:lineRule="auto"/>
        <w:rPr>
          <w:rFonts w:eastAsia="Times New Roman" w:cs="Arial"/>
        </w:rPr>
      </w:pPr>
      <w:r w:rsidRPr="001B0424">
        <w:rPr>
          <w:rFonts w:eastAsia="Times New Roman" w:cs="Arial"/>
          <w:color w:val="000000"/>
          <w:lang w:eastAsia="bg-BG"/>
        </w:rPr>
        <w:t>Тиазидите, включително хидрохлоротиазид могат да предизвикат дисбаланс на течности или електролити (хипокалиемия, хипонатриемия и хипохлоремична алкалоза). Предупредителни признаци за нарушен баланс на течности или електролити са ксеростомия, жажда, слабост, летаргия, сомнолентност, безпокойство, мускулни болки или крампи, мускулна слабост, хипотония, олигурия, тахикардия и стомашно-чревни нарушения, като гадене и повръщане.</w:t>
      </w:r>
    </w:p>
    <w:p w14:paraId="5B69FB0C" w14:textId="77777777" w:rsidR="001B0424" w:rsidRPr="001B0424" w:rsidRDefault="001B0424" w:rsidP="001B0424">
      <w:pPr>
        <w:spacing w:line="240" w:lineRule="auto"/>
        <w:rPr>
          <w:rFonts w:eastAsia="Times New Roman" w:cs="Arial"/>
          <w:color w:val="000000"/>
          <w:lang w:eastAsia="bg-BG"/>
        </w:rPr>
      </w:pPr>
    </w:p>
    <w:p w14:paraId="7926B2D6" w14:textId="4F466A54"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Рискът от хипокалиемия е най-висок при пациенти с чернодробна цироза, при пациенти с форсирана диуреза, при пациенти с недостатъчен перорален прием на електролити или които получават съпътстващо лечение с кортикостероиди или АСТН (вж. точка 4.5). </w:t>
      </w:r>
      <w:r w:rsidRPr="001B0424">
        <w:rPr>
          <w:rFonts w:eastAsia="Times New Roman" w:cs="Arial"/>
          <w:color w:val="000000"/>
          <w:lang w:eastAsia="bg-BG"/>
        </w:rPr>
        <w:lastRenderedPageBreak/>
        <w:t xml:space="preserve">Пациенти със синдром на удължен </w:t>
      </w:r>
      <w:r w:rsidRPr="001B0424">
        <w:rPr>
          <w:rFonts w:eastAsia="Times New Roman" w:cs="Arial"/>
          <w:color w:val="000000"/>
          <w:lang w:val="en-US"/>
        </w:rPr>
        <w:t>QT</w:t>
      </w:r>
      <w:r w:rsidRPr="001B0424">
        <w:rPr>
          <w:rFonts w:eastAsia="Times New Roman" w:cs="Arial"/>
          <w:color w:val="000000"/>
          <w:lang w:val="ru-RU"/>
        </w:rPr>
        <w:t xml:space="preserve"> </w:t>
      </w:r>
      <w:r w:rsidRPr="001B0424">
        <w:rPr>
          <w:rFonts w:eastAsia="Times New Roman" w:cs="Arial"/>
          <w:color w:val="000000"/>
          <w:lang w:eastAsia="bg-BG"/>
        </w:rPr>
        <w:t>интервал (вроден или ятрогенен) са изложени на особено висок риск при наличие на хипокалиемия. Хипокалиемията повишава кардиотоксичността на дигиталисовите гликозиди и риска от сърдечна аритмия. При пациенти, изложени на риск от хипокалиемия е показано по-често проследяване на плазмения калии, като се започне в седмицата след началото на лечението.</w:t>
      </w:r>
    </w:p>
    <w:p w14:paraId="5CA7AFCE"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Дилуционна хипонатриемия може да настъпи при пациенти с отоци в горещо време. Хлорният дефицит обикновено е лек и най-често не изисква лечение.</w:t>
      </w:r>
    </w:p>
    <w:p w14:paraId="64BE00A3" w14:textId="77777777" w:rsidR="001B0424" w:rsidRPr="001B0424" w:rsidRDefault="001B0424" w:rsidP="001B0424">
      <w:pPr>
        <w:spacing w:line="240" w:lineRule="auto"/>
        <w:rPr>
          <w:rFonts w:eastAsia="Times New Roman" w:cs="Arial"/>
          <w:color w:val="000000"/>
          <w:lang w:eastAsia="bg-BG"/>
        </w:rPr>
      </w:pPr>
    </w:p>
    <w:p w14:paraId="2810599D" w14:textId="0BD0CFBB" w:rsidR="001B0424" w:rsidRPr="001B0424" w:rsidRDefault="001B0424" w:rsidP="001B0424">
      <w:pPr>
        <w:spacing w:line="240" w:lineRule="auto"/>
        <w:rPr>
          <w:rFonts w:eastAsia="Times New Roman" w:cs="Arial"/>
        </w:rPr>
      </w:pPr>
      <w:r w:rsidRPr="001B0424">
        <w:rPr>
          <w:rFonts w:eastAsia="Times New Roman" w:cs="Arial"/>
          <w:color w:val="000000"/>
          <w:lang w:eastAsia="bg-BG"/>
        </w:rPr>
        <w:t>Тиазидните диуретици могат да понижат екскрецията на калций в урината и да предизвикат леко, преходно покачване на серумния калций при липса на установено нарушение в калциевия метаболизъм. Значителна хиперкалциемия може да бъде признак за скрит хиперпаратиреоидизъм. Лечението с тиазиди трябва да бъде прекратено преди провеждане на диагностични изследвания на функцията на паращитовидните жлези.</w:t>
      </w:r>
    </w:p>
    <w:p w14:paraId="64175ECB" w14:textId="77777777" w:rsidR="001B0424" w:rsidRPr="001B0424" w:rsidRDefault="001B0424" w:rsidP="001B0424">
      <w:pPr>
        <w:spacing w:line="240" w:lineRule="auto"/>
        <w:rPr>
          <w:rFonts w:eastAsia="Times New Roman" w:cs="Arial"/>
          <w:color w:val="000000"/>
          <w:lang w:eastAsia="bg-BG"/>
        </w:rPr>
      </w:pPr>
    </w:p>
    <w:p w14:paraId="164AA578" w14:textId="682B66E5" w:rsidR="001B0424" w:rsidRPr="001B0424" w:rsidRDefault="001B0424" w:rsidP="001B0424">
      <w:pPr>
        <w:spacing w:line="240" w:lineRule="auto"/>
        <w:rPr>
          <w:rFonts w:eastAsia="Times New Roman" w:cs="Arial"/>
        </w:rPr>
      </w:pPr>
      <w:r w:rsidRPr="001B0424">
        <w:rPr>
          <w:rFonts w:eastAsia="Times New Roman" w:cs="Arial"/>
          <w:color w:val="000000"/>
          <w:lang w:eastAsia="bg-BG"/>
        </w:rPr>
        <w:t>Установено е, че тиазидите повишават екскрецията на магнезий в урината, което може да предизвика хипомагнезиемия.</w:t>
      </w:r>
    </w:p>
    <w:p w14:paraId="60C3B50C" w14:textId="77777777" w:rsidR="001B0424" w:rsidRPr="001B0424" w:rsidRDefault="001B0424" w:rsidP="001B0424">
      <w:pPr>
        <w:spacing w:line="240" w:lineRule="auto"/>
        <w:rPr>
          <w:rFonts w:eastAsia="Times New Roman" w:cs="Arial"/>
          <w:i/>
          <w:iCs/>
          <w:color w:val="000000"/>
          <w:lang w:eastAsia="bg-BG"/>
        </w:rPr>
      </w:pPr>
    </w:p>
    <w:p w14:paraId="48BAA05E" w14:textId="6F9C7865"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Лупус еритематодес</w:t>
      </w:r>
    </w:p>
    <w:p w14:paraId="3AA723B2"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При употреба на тиазидни диуретици се съобщава за обостряне или активиране на системен лупус еритематодес.</w:t>
      </w:r>
    </w:p>
    <w:p w14:paraId="20E6F813" w14:textId="77777777" w:rsidR="001B0424" w:rsidRPr="001B0424" w:rsidRDefault="001B0424" w:rsidP="001B0424">
      <w:pPr>
        <w:spacing w:line="240" w:lineRule="auto"/>
        <w:rPr>
          <w:rFonts w:eastAsia="Times New Roman" w:cs="Arial"/>
          <w:i/>
          <w:iCs/>
          <w:color w:val="000000"/>
          <w:lang w:eastAsia="bg-BG"/>
        </w:rPr>
      </w:pPr>
    </w:p>
    <w:p w14:paraId="39112C92" w14:textId="4F057F06"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Анти-допинг тест</w:t>
      </w:r>
    </w:p>
    <w:p w14:paraId="62E7ACC3"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Съдържащият се в този лекарствен продукт хидрохлоротиазид може да доведе до положителен резултат от анализите при провеждане на анти-допинг тест.</w:t>
      </w:r>
    </w:p>
    <w:p w14:paraId="25BCB814" w14:textId="77777777" w:rsidR="001B0424" w:rsidRPr="001B0424" w:rsidRDefault="001B0424" w:rsidP="001B0424">
      <w:pPr>
        <w:spacing w:line="240" w:lineRule="auto"/>
        <w:rPr>
          <w:rFonts w:eastAsia="Times New Roman" w:cs="Arial"/>
          <w:i/>
          <w:iCs/>
          <w:color w:val="000000"/>
          <w:lang w:eastAsia="bg-BG"/>
        </w:rPr>
      </w:pPr>
    </w:p>
    <w:p w14:paraId="6CDB98DE" w14:textId="57C7C426"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Други</w:t>
      </w:r>
    </w:p>
    <w:p w14:paraId="3F84694B"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Реакции на свръхчувствителност могат да се наблюдават при пациенти със или без анамнеза за алергия или бронхиална астма.</w:t>
      </w:r>
    </w:p>
    <w:p w14:paraId="03D70F79" w14:textId="77777777" w:rsidR="001B0424" w:rsidRPr="001B0424" w:rsidRDefault="001B0424" w:rsidP="001B0424">
      <w:pPr>
        <w:rPr>
          <w:rFonts w:eastAsia="Times New Roman" w:cs="Arial"/>
          <w:color w:val="000000"/>
          <w:lang w:eastAsia="bg-BG"/>
        </w:rPr>
      </w:pPr>
    </w:p>
    <w:p w14:paraId="42405189" w14:textId="6C793D57" w:rsidR="001B0424" w:rsidRPr="001B0424" w:rsidRDefault="001B0424" w:rsidP="001B0424">
      <w:pPr>
        <w:rPr>
          <w:rFonts w:eastAsia="Times New Roman" w:cs="Arial"/>
          <w:color w:val="000000"/>
          <w:lang w:eastAsia="bg-BG"/>
        </w:rPr>
      </w:pPr>
      <w:r w:rsidRPr="001B0424">
        <w:rPr>
          <w:rFonts w:eastAsia="Times New Roman" w:cs="Arial"/>
          <w:color w:val="000000"/>
          <w:lang w:eastAsia="bg-BG"/>
        </w:rPr>
        <w:t>В редки случаи се съобщава за реакции на фоточувствигелност при прием на тиазидни</w:t>
      </w:r>
      <w:r w:rsidRPr="001B0424">
        <w:rPr>
          <w:rFonts w:eastAsia="Times New Roman" w:cs="Arial"/>
          <w:i/>
          <w:iCs/>
          <w:color w:val="000000"/>
          <w:vertAlign w:val="subscript"/>
          <w:lang w:eastAsia="bg-BG"/>
        </w:rPr>
        <w:t xml:space="preserve"> </w:t>
      </w:r>
      <w:r w:rsidRPr="001B0424">
        <w:rPr>
          <w:rFonts w:eastAsia="Times New Roman" w:cs="Arial"/>
          <w:color w:val="000000"/>
          <w:lang w:eastAsia="bg-BG"/>
        </w:rPr>
        <w:t xml:space="preserve">диуретици (вж. точка 4.8). Ако в хода на лечението възникне реакция на фоточувтвителност, се препоръчва спиране на лечението. Ако се прецени, че е необходимо възобновяване на лечението, се препоръчва откритите участъци да се предпазват от слънце или изкуствена </w:t>
      </w:r>
      <w:r w:rsidRPr="001B0424">
        <w:rPr>
          <w:rFonts w:eastAsia="Times New Roman" w:cs="Arial"/>
          <w:color w:val="000000"/>
          <w:lang w:val="en-US"/>
        </w:rPr>
        <w:t>UVA</w:t>
      </w:r>
      <w:r w:rsidRPr="001B0424">
        <w:rPr>
          <w:rFonts w:eastAsia="Times New Roman" w:cs="Arial"/>
          <w:color w:val="000000"/>
          <w:lang w:eastAsia="bg-BG"/>
        </w:rPr>
        <w:t xml:space="preserve"> светлина.</w:t>
      </w:r>
    </w:p>
    <w:p w14:paraId="02332F24" w14:textId="00A4275D" w:rsidR="001B0424" w:rsidRPr="001B0424" w:rsidRDefault="001B0424" w:rsidP="001B0424">
      <w:pPr>
        <w:rPr>
          <w:rFonts w:eastAsia="Times New Roman" w:cs="Arial"/>
          <w:color w:val="000000"/>
          <w:lang w:eastAsia="bg-BG"/>
        </w:rPr>
      </w:pPr>
    </w:p>
    <w:p w14:paraId="06F5ECB5" w14:textId="7777777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Свързан с протеините йод</w:t>
      </w:r>
    </w:p>
    <w:p w14:paraId="23869C6B"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Тиазидите могат да понижат серумните нива на свързания с протеините йод без да са налице признаци за нарушена функция на щитовидната жлеза.</w:t>
      </w:r>
    </w:p>
    <w:p w14:paraId="3F520584" w14:textId="77777777" w:rsidR="001B0424" w:rsidRPr="001B0424" w:rsidRDefault="001B0424" w:rsidP="001B0424">
      <w:pPr>
        <w:spacing w:line="240" w:lineRule="auto"/>
        <w:rPr>
          <w:rFonts w:eastAsia="Times New Roman" w:cs="Arial"/>
          <w:i/>
          <w:iCs/>
          <w:color w:val="000000"/>
          <w:lang w:eastAsia="bg-BG"/>
        </w:rPr>
      </w:pPr>
    </w:p>
    <w:p w14:paraId="7E2B8557" w14:textId="1F2DE90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 xml:space="preserve">Хороидален излив, остра миопия и вторична закритоъгълна глаукома </w:t>
      </w:r>
      <w:r w:rsidRPr="001B0424">
        <w:rPr>
          <w:rFonts w:eastAsia="Times New Roman" w:cs="Arial"/>
          <w:color w:val="000000"/>
          <w:lang w:eastAsia="bg-BG"/>
        </w:rPr>
        <w:t xml:space="preserve">Сулфонамидиге или лекарствата, производни на сулфонамидиге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внезапно начало на намалена зрителна острота или очна болка, които обикновено се появяват в рамките на часове до седмици от началото на лекарствената терапия. Нелекуваната остра закритоъгълна глаукома може да доведе до трайна загуба на зрението.Първоначалното лечение е да се прекрати приемът на лекарството възможно най-бързо. Може да се наложи да се обмисли незабавно медикаментозно или хирургично лечение, ако вътреочното налягане </w:t>
      </w:r>
      <w:r w:rsidRPr="001B0424">
        <w:rPr>
          <w:rFonts w:eastAsia="Times New Roman" w:cs="Arial"/>
          <w:color w:val="000000"/>
          <w:lang w:eastAsia="bg-BG"/>
        </w:rPr>
        <w:lastRenderedPageBreak/>
        <w:t>остане неконтролирано. Рискови фактори за развитие на остра закритоъгълна глаукома могат да бъдат анамнеза за алергия към сулфонамиди или пеницилин.</w:t>
      </w:r>
    </w:p>
    <w:p w14:paraId="4D369099" w14:textId="77777777" w:rsidR="001B0424" w:rsidRPr="001B0424" w:rsidRDefault="001B0424" w:rsidP="001B0424">
      <w:pPr>
        <w:spacing w:line="240" w:lineRule="auto"/>
        <w:rPr>
          <w:rFonts w:eastAsia="Times New Roman" w:cs="Arial"/>
          <w:i/>
          <w:iCs/>
          <w:color w:val="000000"/>
          <w:lang w:eastAsia="bg-BG"/>
        </w:rPr>
      </w:pPr>
    </w:p>
    <w:p w14:paraId="66A75DF4" w14:textId="48AA6D79"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Немеланомен рак на кожата</w:t>
      </w:r>
    </w:p>
    <w:p w14:paraId="3DCC4384"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6046EBAE"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2256D32C" w14:textId="77777777" w:rsidR="001B0424" w:rsidRPr="001B0424" w:rsidRDefault="001B0424" w:rsidP="001B0424">
      <w:pPr>
        <w:spacing w:line="240" w:lineRule="auto"/>
        <w:rPr>
          <w:rFonts w:eastAsia="Times New Roman" w:cs="Arial"/>
          <w:i/>
          <w:iCs/>
          <w:color w:val="000000"/>
          <w:u w:val="single"/>
          <w:lang w:eastAsia="bg-BG"/>
        </w:rPr>
      </w:pPr>
    </w:p>
    <w:p w14:paraId="1BCC4C0D" w14:textId="41562F06"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Остра респираторна токсичност</w:t>
      </w:r>
    </w:p>
    <w:p w14:paraId="078E6066"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Невотенс Плюс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4C12C095" w14:textId="77777777" w:rsidR="001B0424" w:rsidRPr="001B0424" w:rsidRDefault="001B0424" w:rsidP="001B0424">
      <w:pPr>
        <w:spacing w:line="240" w:lineRule="auto"/>
        <w:rPr>
          <w:rFonts w:eastAsia="Times New Roman" w:cs="Arial"/>
          <w:color w:val="000000"/>
          <w:u w:val="single"/>
          <w:lang w:eastAsia="bg-BG"/>
        </w:rPr>
      </w:pPr>
    </w:p>
    <w:p w14:paraId="7C14DC14" w14:textId="77EFF83A" w:rsidR="001B0424" w:rsidRPr="001B0424" w:rsidRDefault="001B0424" w:rsidP="001B0424">
      <w:pPr>
        <w:spacing w:line="240" w:lineRule="auto"/>
        <w:rPr>
          <w:rFonts w:eastAsia="Times New Roman" w:cs="Arial"/>
        </w:rPr>
      </w:pPr>
      <w:r w:rsidRPr="001B0424">
        <w:rPr>
          <w:rFonts w:eastAsia="Times New Roman" w:cs="Arial"/>
          <w:color w:val="000000"/>
          <w:u w:val="single"/>
          <w:lang w:eastAsia="bg-BG"/>
        </w:rPr>
        <w:t>Комбинация небиволол/хидрохлоротиазид</w:t>
      </w:r>
    </w:p>
    <w:p w14:paraId="00822765" w14:textId="77777777" w:rsidR="001B0424" w:rsidRPr="001B0424" w:rsidRDefault="001B0424" w:rsidP="001B0424">
      <w:pPr>
        <w:spacing w:line="240" w:lineRule="auto"/>
        <w:rPr>
          <w:rFonts w:eastAsia="Times New Roman" w:cs="Arial"/>
          <w:color w:val="000000"/>
          <w:lang w:eastAsia="bg-BG"/>
        </w:rPr>
      </w:pPr>
    </w:p>
    <w:p w14:paraId="474BDFDB" w14:textId="0672E32F" w:rsidR="001B0424" w:rsidRPr="001B0424" w:rsidRDefault="001B0424" w:rsidP="001B0424">
      <w:pPr>
        <w:spacing w:line="240" w:lineRule="auto"/>
        <w:rPr>
          <w:rFonts w:eastAsia="Times New Roman" w:cs="Arial"/>
        </w:rPr>
      </w:pPr>
      <w:r w:rsidRPr="001B0424">
        <w:rPr>
          <w:rFonts w:eastAsia="Times New Roman" w:cs="Arial"/>
          <w:color w:val="000000"/>
          <w:lang w:eastAsia="bg-BG"/>
        </w:rPr>
        <w:t>В допълнение към предупрежденията, свързани с отделните компоненти, следващите се отнасят конкретно за Невотенс Плюс.</w:t>
      </w:r>
    </w:p>
    <w:p w14:paraId="28D08440" w14:textId="77777777" w:rsidR="001B0424" w:rsidRPr="001B0424" w:rsidRDefault="001B0424" w:rsidP="001B0424">
      <w:pPr>
        <w:spacing w:line="240" w:lineRule="auto"/>
        <w:rPr>
          <w:rFonts w:eastAsia="Times New Roman" w:cs="Arial"/>
          <w:i/>
          <w:iCs/>
          <w:color w:val="000000"/>
          <w:lang w:eastAsia="bg-BG"/>
        </w:rPr>
      </w:pPr>
    </w:p>
    <w:p w14:paraId="44D7A050" w14:textId="1C2DEC5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 xml:space="preserve">Непоносимост към галактоза, пълен лактазен дефицит, глюкозо-галактозна малабсорбция </w:t>
      </w:r>
      <w:r w:rsidRPr="001B0424">
        <w:rPr>
          <w:rFonts w:eastAsia="Times New Roman" w:cs="Arial"/>
          <w:color w:val="00000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6EA70A2C" w14:textId="193E3AA4" w:rsidR="001B0424" w:rsidRPr="001527EA" w:rsidRDefault="001B0424" w:rsidP="001B0424"/>
    <w:p w14:paraId="070777EC" w14:textId="6E50F259" w:rsidR="00DF4C8E" w:rsidRDefault="002C50EE" w:rsidP="00F44498">
      <w:pPr>
        <w:pStyle w:val="Heading2"/>
      </w:pPr>
      <w:r>
        <w:t>4.5. Взаимодействие с други лекарствени продукти и други форми на взаимодействие</w:t>
      </w:r>
    </w:p>
    <w:p w14:paraId="326E2CC1" w14:textId="035C546A" w:rsidR="001B0424" w:rsidRDefault="001B0424" w:rsidP="001B0424"/>
    <w:p w14:paraId="687B128D" w14:textId="77777777" w:rsidR="001B0424" w:rsidRPr="001B0424" w:rsidRDefault="001B0424" w:rsidP="001B0424">
      <w:pPr>
        <w:spacing w:line="240" w:lineRule="auto"/>
        <w:rPr>
          <w:rFonts w:eastAsia="Times New Roman" w:cs="Arial"/>
        </w:rPr>
      </w:pPr>
      <w:r w:rsidRPr="001B0424">
        <w:rPr>
          <w:rFonts w:eastAsia="Times New Roman" w:cs="Arial"/>
          <w:color w:val="000000"/>
          <w:u w:val="single"/>
          <w:lang w:eastAsia="bg-BG"/>
        </w:rPr>
        <w:t>Фармакодинамични взаимодействия:</w:t>
      </w:r>
    </w:p>
    <w:p w14:paraId="62AF4612" w14:textId="77777777" w:rsidR="001B0424" w:rsidRPr="001B0424" w:rsidRDefault="001B0424" w:rsidP="001B0424">
      <w:pPr>
        <w:spacing w:line="240" w:lineRule="auto"/>
        <w:rPr>
          <w:rFonts w:eastAsia="Times New Roman" w:cs="Arial"/>
          <w:i/>
          <w:iCs/>
          <w:color w:val="000000"/>
          <w:lang w:eastAsia="bg-BG"/>
        </w:rPr>
      </w:pPr>
    </w:p>
    <w:p w14:paraId="54839B3D" w14:textId="57E7623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Небиволол</w:t>
      </w:r>
    </w:p>
    <w:p w14:paraId="081F07C8" w14:textId="792010EE" w:rsidR="001B0424" w:rsidRPr="001B0424" w:rsidRDefault="001B0424" w:rsidP="001B0424">
      <w:pPr>
        <w:rPr>
          <w:rFonts w:cs="Arial"/>
        </w:rPr>
      </w:pPr>
    </w:p>
    <w:p w14:paraId="0F788B34"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По принцип за бета-блокерите са характерни следните взаимодействия:</w:t>
      </w:r>
    </w:p>
    <w:p w14:paraId="3526E055" w14:textId="77777777" w:rsidR="001B0424" w:rsidRPr="001B0424" w:rsidRDefault="001B0424" w:rsidP="001B0424">
      <w:pPr>
        <w:spacing w:line="240" w:lineRule="auto"/>
        <w:rPr>
          <w:rFonts w:eastAsia="Times New Roman" w:cs="Arial"/>
          <w:i/>
          <w:iCs/>
          <w:color w:val="000000"/>
          <w:u w:val="single"/>
          <w:lang w:eastAsia="bg-BG"/>
        </w:rPr>
      </w:pPr>
    </w:p>
    <w:p w14:paraId="1E80FCFE" w14:textId="3AED1AB8"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Комбинации, които не се препоръчват</w:t>
      </w:r>
    </w:p>
    <w:p w14:paraId="4D5EB0DF" w14:textId="77777777" w:rsidR="001B0424" w:rsidRPr="001B0424" w:rsidRDefault="001B0424" w:rsidP="001B0424">
      <w:pPr>
        <w:spacing w:line="240" w:lineRule="auto"/>
        <w:rPr>
          <w:rFonts w:eastAsia="Times New Roman" w:cs="Arial"/>
          <w:i/>
          <w:iCs/>
          <w:color w:val="000000"/>
          <w:lang w:eastAsia="bg-BG"/>
        </w:rPr>
      </w:pPr>
    </w:p>
    <w:p w14:paraId="55767177" w14:textId="2F78EE6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lastRenderedPageBreak/>
        <w:t>Антиаритмични лекарства от клас I (хинидин, хидрохинидин, цибензолин, флекаинид, дизопирамид, лидокаин, мексияетин, пропафенон):</w:t>
      </w:r>
      <w:r w:rsidRPr="001B0424">
        <w:rPr>
          <w:rFonts w:eastAsia="Times New Roman" w:cs="Arial"/>
          <w:color w:val="000000"/>
          <w:lang w:eastAsia="bg-BG"/>
        </w:rPr>
        <w:t xml:space="preserve"> може да се потенцира ефекта им върху атриовентрикуларната проводимост и да се засили отрицателния инотропен ефект (вж. точка 4.4).</w:t>
      </w:r>
    </w:p>
    <w:p w14:paraId="4FDB06B0" w14:textId="77777777" w:rsidR="001B0424" w:rsidRPr="001B0424" w:rsidRDefault="001B0424" w:rsidP="001B0424">
      <w:pPr>
        <w:spacing w:line="240" w:lineRule="auto"/>
        <w:rPr>
          <w:rFonts w:eastAsia="Times New Roman" w:cs="Arial"/>
          <w:i/>
          <w:iCs/>
          <w:color w:val="000000"/>
          <w:lang w:eastAsia="bg-BG"/>
        </w:rPr>
      </w:pPr>
    </w:p>
    <w:p w14:paraId="3BEBD03A" w14:textId="44B4317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Калциеви антагонисти от верапамилов/дилтиаземов тип:</w:t>
      </w:r>
      <w:r w:rsidRPr="001B0424">
        <w:rPr>
          <w:rFonts w:eastAsia="Times New Roman" w:cs="Arial"/>
          <w:color w:val="000000"/>
          <w:lang w:eastAsia="bg-BG"/>
        </w:rPr>
        <w:t xml:space="preserve"> негативно влияние върху конграктилигета и атриовентрикуларната проводимост. Интравенозното приложение на верапамил при пациенти, провеждащи лечение с бета-блокер, може да доведе до тежка хипотония и атриовентрикуларен блок (вж. точка 4.4).</w:t>
      </w:r>
    </w:p>
    <w:p w14:paraId="2A407ABC" w14:textId="77777777" w:rsidR="001B0424" w:rsidRPr="001B0424" w:rsidRDefault="001B0424" w:rsidP="001B0424">
      <w:pPr>
        <w:spacing w:line="240" w:lineRule="auto"/>
        <w:rPr>
          <w:rFonts w:eastAsia="Times New Roman" w:cs="Arial"/>
          <w:i/>
          <w:iCs/>
          <w:color w:val="000000"/>
          <w:lang w:eastAsia="bg-BG"/>
        </w:rPr>
      </w:pPr>
    </w:p>
    <w:p w14:paraId="60A00D6C" w14:textId="209C60F6"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Антикипертензивни продукти с централно действие (клонидин, гуанфацин, моксонидин, метилдопа, рилменидин):</w:t>
      </w:r>
      <w:r w:rsidRPr="001B0424">
        <w:rPr>
          <w:rFonts w:eastAsia="Times New Roman" w:cs="Arial"/>
          <w:color w:val="000000"/>
          <w:lang w:eastAsia="bg-BG"/>
        </w:rPr>
        <w:t xml:space="preserve"> едновременното им приложение може да влоши сърдечната недостатъчност чрез потискане на централния симпатикусов тонус (понижаване на сърдечната честота и сърдечния дебит, вазодилатация) (вж. точка 4.4). При внезапно прекъсване на продължително лечение с тези продукти, особено ако това става преди спиране на бета- блокера, съществува риск от развитие на “ребаунд хипертония”.</w:t>
      </w:r>
    </w:p>
    <w:p w14:paraId="5B333809" w14:textId="77777777" w:rsidR="001B0424" w:rsidRPr="001B0424" w:rsidRDefault="001B0424" w:rsidP="001B0424">
      <w:pPr>
        <w:spacing w:line="240" w:lineRule="auto"/>
        <w:rPr>
          <w:rFonts w:eastAsia="Times New Roman" w:cs="Arial"/>
          <w:i/>
          <w:iCs/>
          <w:color w:val="000000"/>
          <w:u w:val="single"/>
          <w:lang w:eastAsia="bg-BG"/>
        </w:rPr>
      </w:pPr>
    </w:p>
    <w:p w14:paraId="772FC598" w14:textId="06B14F13"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Комбинации, които трябва да се използват с повишено внимание</w:t>
      </w:r>
    </w:p>
    <w:p w14:paraId="5EB8A1BA" w14:textId="77777777" w:rsidR="001B0424" w:rsidRPr="001B0424" w:rsidRDefault="001B0424" w:rsidP="001B0424">
      <w:pPr>
        <w:spacing w:line="240" w:lineRule="auto"/>
        <w:rPr>
          <w:rFonts w:eastAsia="Times New Roman" w:cs="Arial"/>
          <w:i/>
          <w:iCs/>
          <w:color w:val="000000"/>
          <w:lang w:eastAsia="bg-BG"/>
        </w:rPr>
      </w:pPr>
    </w:p>
    <w:p w14:paraId="3E4663C0" w14:textId="2D6D8CA0" w:rsidR="001B0424" w:rsidRPr="001B0424" w:rsidRDefault="001B0424" w:rsidP="001B0424">
      <w:pPr>
        <w:spacing w:line="240" w:lineRule="auto"/>
        <w:rPr>
          <w:rFonts w:eastAsia="Times New Roman" w:cs="Arial"/>
          <w:color w:val="000000"/>
          <w:lang w:eastAsia="bg-BG"/>
        </w:rPr>
      </w:pPr>
      <w:r w:rsidRPr="001B0424">
        <w:rPr>
          <w:rFonts w:eastAsia="Times New Roman" w:cs="Arial"/>
          <w:i/>
          <w:iCs/>
          <w:color w:val="000000"/>
          <w:lang w:eastAsia="bg-BG"/>
        </w:rPr>
        <w:t xml:space="preserve">Клас </w:t>
      </w:r>
      <w:r w:rsidRPr="001B0424">
        <w:rPr>
          <w:rFonts w:eastAsia="Times New Roman" w:cs="Arial"/>
          <w:i/>
          <w:iCs/>
          <w:color w:val="000000"/>
          <w:lang w:val="en-US" w:eastAsia="bg-BG"/>
        </w:rPr>
        <w:t>III</w:t>
      </w:r>
      <w:r w:rsidRPr="001B0424">
        <w:rPr>
          <w:rFonts w:eastAsia="Times New Roman" w:cs="Arial"/>
          <w:i/>
          <w:iCs/>
          <w:color w:val="000000"/>
          <w:lang w:eastAsia="bg-BG"/>
        </w:rPr>
        <w:t xml:space="preserve"> антиаритмични лекарствени продукти (амиодарон):</w:t>
      </w:r>
      <w:r w:rsidRPr="001B0424">
        <w:rPr>
          <w:rFonts w:eastAsia="Times New Roman" w:cs="Arial"/>
          <w:color w:val="000000"/>
          <w:lang w:eastAsia="bg-BG"/>
        </w:rPr>
        <w:t xml:space="preserve"> може да се потенцира ефектът върху </w:t>
      </w:r>
    </w:p>
    <w:p w14:paraId="7EBC3E7E" w14:textId="56F98A95" w:rsidR="001B0424" w:rsidRPr="001B0424" w:rsidRDefault="001B0424" w:rsidP="001B0424">
      <w:pPr>
        <w:spacing w:line="240" w:lineRule="auto"/>
        <w:rPr>
          <w:rFonts w:eastAsia="Times New Roman" w:cs="Arial"/>
        </w:rPr>
      </w:pPr>
      <w:r w:rsidRPr="001B0424">
        <w:rPr>
          <w:rFonts w:eastAsia="Times New Roman" w:cs="Arial"/>
          <w:color w:val="000000"/>
          <w:lang w:eastAsia="bg-BG"/>
        </w:rPr>
        <w:t>предсърдно-камерната проводимост.</w:t>
      </w:r>
    </w:p>
    <w:p w14:paraId="52C67995" w14:textId="77777777" w:rsidR="001B0424" w:rsidRPr="001B0424" w:rsidRDefault="001B0424" w:rsidP="001B0424">
      <w:pPr>
        <w:spacing w:line="240" w:lineRule="auto"/>
        <w:rPr>
          <w:rFonts w:eastAsia="Times New Roman" w:cs="Arial"/>
          <w:i/>
          <w:iCs/>
          <w:color w:val="000000"/>
          <w:lang w:eastAsia="bg-BG"/>
        </w:rPr>
      </w:pPr>
    </w:p>
    <w:p w14:paraId="16B665BB" w14:textId="6C2140F9"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Анестетици - летливи халогенирани:</w:t>
      </w:r>
      <w:r w:rsidRPr="001B0424">
        <w:rPr>
          <w:rFonts w:eastAsia="Times New Roman" w:cs="Arial"/>
          <w:color w:val="000000"/>
          <w:lang w:eastAsia="bg-BG"/>
        </w:rPr>
        <w:t xml:space="preserve"> едновременното приложение на бета-блокери и анестетици може да намали рефлекторната тахикардия и да повиши риска от хипотония (вж. точка 4.4). Основно правило е да се избягва внезапно прекъсване на лечението с бета-блокери. Анестезиологът трябва да бъде информиран, ако пациентът приема Невотенс Плюс.</w:t>
      </w:r>
    </w:p>
    <w:p w14:paraId="7AEB601C" w14:textId="77777777" w:rsidR="001B0424" w:rsidRPr="001B0424" w:rsidRDefault="001B0424" w:rsidP="001B0424">
      <w:pPr>
        <w:spacing w:line="240" w:lineRule="auto"/>
        <w:rPr>
          <w:rFonts w:eastAsia="Times New Roman" w:cs="Arial"/>
          <w:i/>
          <w:iCs/>
          <w:color w:val="000000"/>
          <w:lang w:eastAsia="bg-BG"/>
        </w:rPr>
      </w:pPr>
    </w:p>
    <w:p w14:paraId="6E697772" w14:textId="23331CFA"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Инсулин и перорални антидиабетни средства:</w:t>
      </w:r>
      <w:r w:rsidRPr="001B0424">
        <w:rPr>
          <w:rFonts w:eastAsia="Times New Roman" w:cs="Arial"/>
          <w:color w:val="000000"/>
          <w:lang w:eastAsia="bg-BG"/>
        </w:rPr>
        <w:t xml:space="preserve"> въпреки, че небиволол не повлиява стойностите на глюкозата в кръвта, едновременната употреба може да замаскира определени симптоми на хипогликемия (палпитации, тахикардия).</w:t>
      </w:r>
    </w:p>
    <w:p w14:paraId="640D9A4C" w14:textId="77777777" w:rsidR="001B0424" w:rsidRPr="001B0424" w:rsidRDefault="001B0424" w:rsidP="001B0424">
      <w:pPr>
        <w:spacing w:line="240" w:lineRule="auto"/>
        <w:rPr>
          <w:rFonts w:eastAsia="Times New Roman" w:cs="Arial"/>
          <w:i/>
          <w:iCs/>
          <w:color w:val="000000"/>
          <w:u w:val="single"/>
          <w:lang w:eastAsia="bg-BG"/>
        </w:rPr>
      </w:pPr>
    </w:p>
    <w:p w14:paraId="5F183950" w14:textId="32D30257"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Комбинации, които трябва да се имат предвид</w:t>
      </w:r>
    </w:p>
    <w:p w14:paraId="0C42F5FA" w14:textId="77777777" w:rsidR="001B0424" w:rsidRPr="001B0424" w:rsidRDefault="001B0424" w:rsidP="001B0424">
      <w:pPr>
        <w:spacing w:line="240" w:lineRule="auto"/>
        <w:rPr>
          <w:rFonts w:eastAsia="Times New Roman" w:cs="Arial"/>
          <w:i/>
          <w:iCs/>
          <w:color w:val="000000"/>
          <w:lang w:eastAsia="bg-BG"/>
        </w:rPr>
      </w:pPr>
    </w:p>
    <w:p w14:paraId="3F5B974A" w14:textId="78E5358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Дигиталисови гликозиди:</w:t>
      </w:r>
      <w:r w:rsidRPr="001B0424">
        <w:rPr>
          <w:rFonts w:eastAsia="Times New Roman" w:cs="Arial"/>
          <w:color w:val="000000"/>
          <w:lang w:eastAsia="bg-BG"/>
        </w:rPr>
        <w:t xml:space="preserve"> едновременното приложение може да увеличи атриовентрикуларното време на провеждане. При клинични изпитвания с небиволол не са наблюдавани клинични данни за взаимодействие. Небиволол не повлиява кинетиката на дигоксин.</w:t>
      </w:r>
    </w:p>
    <w:p w14:paraId="4AAA4124" w14:textId="77777777" w:rsidR="001B0424" w:rsidRPr="001B0424" w:rsidRDefault="001B0424" w:rsidP="001B0424">
      <w:pPr>
        <w:spacing w:line="240" w:lineRule="auto"/>
        <w:rPr>
          <w:rFonts w:eastAsia="Times New Roman" w:cs="Arial"/>
          <w:i/>
          <w:iCs/>
          <w:color w:val="000000"/>
          <w:lang w:eastAsia="bg-BG"/>
        </w:rPr>
      </w:pPr>
    </w:p>
    <w:p w14:paraId="37C7DAEF" w14:textId="7FE33662"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нитрендипин):</w:t>
      </w:r>
      <w:r w:rsidRPr="001B0424">
        <w:rPr>
          <w:rFonts w:eastAsia="Times New Roman" w:cs="Arial"/>
          <w:color w:val="000000"/>
          <w:lang w:eastAsia="bg-BG"/>
        </w:rPr>
        <w:t xml:space="preserve"> едновременното им приложение може да повиши риска от хипотония, като не може да се изключи и риск от допълнително влошаване на помпената функция на сърцето при пациенти със сърдечна недостатъчност.</w:t>
      </w:r>
    </w:p>
    <w:p w14:paraId="773891D5" w14:textId="77777777" w:rsidR="001B0424" w:rsidRPr="001B0424" w:rsidRDefault="001B0424" w:rsidP="001B0424">
      <w:pPr>
        <w:spacing w:line="240" w:lineRule="auto"/>
        <w:rPr>
          <w:rFonts w:eastAsia="Times New Roman" w:cs="Arial"/>
          <w:i/>
          <w:iCs/>
          <w:color w:val="000000"/>
          <w:lang w:eastAsia="bg-BG"/>
        </w:rPr>
      </w:pPr>
    </w:p>
    <w:p w14:paraId="0926CFA1" w14:textId="0091DF85"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 xml:space="preserve">Антипсихотици, антидепресанти (трициклични, барбитурати и фенотиазини): </w:t>
      </w:r>
      <w:r w:rsidRPr="001B0424">
        <w:rPr>
          <w:rFonts w:eastAsia="Times New Roman" w:cs="Arial"/>
          <w:color w:val="000000"/>
          <w:lang w:eastAsia="bg-BG"/>
        </w:rPr>
        <w:t>едновременното им приложение може да засили хшютензивния ефект на бета-блокерите (адитивен ефект).</w:t>
      </w:r>
    </w:p>
    <w:p w14:paraId="31D6348A" w14:textId="77777777" w:rsidR="001B0424" w:rsidRPr="001B0424" w:rsidRDefault="001B0424" w:rsidP="001B0424">
      <w:pPr>
        <w:spacing w:line="240" w:lineRule="auto"/>
        <w:rPr>
          <w:rFonts w:eastAsia="Times New Roman" w:cs="Arial"/>
          <w:i/>
          <w:iCs/>
          <w:color w:val="000000"/>
          <w:lang w:eastAsia="bg-BG"/>
        </w:rPr>
      </w:pPr>
    </w:p>
    <w:p w14:paraId="30F80DEF" w14:textId="503F9223"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lastRenderedPageBreak/>
        <w:t>Нестероидни противовъзпалителни средства (НСПВС):</w:t>
      </w:r>
      <w:r w:rsidRPr="001B0424">
        <w:rPr>
          <w:rFonts w:eastAsia="Times New Roman" w:cs="Arial"/>
          <w:color w:val="000000"/>
          <w:lang w:eastAsia="bg-BG"/>
        </w:rPr>
        <w:t xml:space="preserve"> не оказват влияние върху хшютензивния ефект на небиволол.</w:t>
      </w:r>
    </w:p>
    <w:p w14:paraId="7E6DCA1F" w14:textId="77777777" w:rsidR="001B0424" w:rsidRPr="001B0424" w:rsidRDefault="001B0424" w:rsidP="001B0424">
      <w:pPr>
        <w:rPr>
          <w:rFonts w:eastAsia="Times New Roman" w:cs="Arial"/>
          <w:i/>
          <w:iCs/>
          <w:color w:val="000000"/>
          <w:lang w:eastAsia="bg-BG"/>
        </w:rPr>
      </w:pPr>
    </w:p>
    <w:p w14:paraId="7C996AAE" w14:textId="77777777" w:rsidR="001B0424" w:rsidRPr="001B0424" w:rsidRDefault="001B0424" w:rsidP="001B0424">
      <w:pPr>
        <w:rPr>
          <w:rFonts w:eastAsia="Times New Roman" w:cs="Arial"/>
        </w:rPr>
      </w:pPr>
      <w:r w:rsidRPr="001B0424">
        <w:rPr>
          <w:rFonts w:eastAsia="Times New Roman" w:cs="Arial"/>
          <w:i/>
          <w:iCs/>
          <w:color w:val="000000"/>
          <w:lang w:eastAsia="bg-BG"/>
        </w:rPr>
        <w:t>Симпатикамиметични средства:</w:t>
      </w:r>
      <w:r w:rsidRPr="001B0424">
        <w:rPr>
          <w:rFonts w:eastAsia="Times New Roman" w:cs="Arial"/>
          <w:color w:val="000000"/>
          <w:lang w:eastAsia="bg-BG"/>
        </w:rPr>
        <w:t xml:space="preserve"> при едновременна употреба могат да противодействат на ефектите на бета-адренергичните антагонисти. Бета-блокерите могат да доведът до</w:t>
      </w:r>
      <w:r w:rsidRPr="001B0424">
        <w:rPr>
          <w:rFonts w:eastAsia="Times New Roman" w:cs="Arial"/>
          <w:color w:val="000000"/>
          <w:vertAlign w:val="subscript"/>
          <w:lang w:eastAsia="bg-BG"/>
        </w:rPr>
        <w:t xml:space="preserve"> </w:t>
      </w:r>
      <w:r w:rsidRPr="001B0424">
        <w:rPr>
          <w:rFonts w:eastAsia="Times New Roman" w:cs="Arial"/>
          <w:color w:val="000000"/>
          <w:lang w:eastAsia="bg-BG"/>
        </w:rPr>
        <w:t>невъзпрепятствана алфа-адренергична активност на симпатикомиметиците, които притежават</w:t>
      </w:r>
      <w:r w:rsidRPr="001B0424">
        <w:rPr>
          <w:rFonts w:eastAsia="Times New Roman" w:cs="Arial"/>
          <w:color w:val="000000"/>
          <w:lang w:val="ru-RU" w:eastAsia="bg-BG"/>
        </w:rPr>
        <w:t xml:space="preserve"> </w:t>
      </w:r>
      <w:r w:rsidRPr="001B0424">
        <w:rPr>
          <w:rFonts w:eastAsia="Times New Roman" w:cs="Arial"/>
          <w:color w:val="000000"/>
          <w:lang w:eastAsia="bg-BG"/>
        </w:rPr>
        <w:t>алфа- и бета-адренергична активност (риск от хипертония, тежка брадикардия и сърдечен блок).</w:t>
      </w:r>
    </w:p>
    <w:p w14:paraId="1B3E2AEE" w14:textId="77777777" w:rsidR="001B0424" w:rsidRPr="001B0424" w:rsidRDefault="001B0424" w:rsidP="001B0424">
      <w:pPr>
        <w:spacing w:line="240" w:lineRule="auto"/>
        <w:rPr>
          <w:rFonts w:eastAsia="Times New Roman" w:cs="Arial"/>
          <w:i/>
          <w:iCs/>
          <w:color w:val="000000"/>
          <w:lang w:eastAsia="bg-BG"/>
        </w:rPr>
      </w:pPr>
    </w:p>
    <w:p w14:paraId="249E8275" w14:textId="024B3BB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Хидрохлоротиазид</w:t>
      </w:r>
    </w:p>
    <w:p w14:paraId="4A168F34" w14:textId="77777777" w:rsidR="001B0424" w:rsidRPr="001B0424" w:rsidRDefault="001B0424" w:rsidP="001B0424">
      <w:pPr>
        <w:spacing w:line="240" w:lineRule="auto"/>
        <w:rPr>
          <w:rFonts w:eastAsia="Times New Roman" w:cs="Arial"/>
          <w:color w:val="000000"/>
          <w:lang w:eastAsia="bg-BG"/>
        </w:rPr>
      </w:pPr>
    </w:p>
    <w:p w14:paraId="6FFF960C" w14:textId="3B01AB54" w:rsidR="001B0424" w:rsidRPr="001B0424" w:rsidRDefault="001B0424" w:rsidP="001B0424">
      <w:pPr>
        <w:spacing w:line="240" w:lineRule="auto"/>
        <w:rPr>
          <w:rFonts w:eastAsia="Times New Roman" w:cs="Arial"/>
        </w:rPr>
      </w:pPr>
      <w:r w:rsidRPr="001B0424">
        <w:rPr>
          <w:rFonts w:eastAsia="Times New Roman" w:cs="Arial"/>
          <w:color w:val="000000"/>
          <w:lang w:eastAsia="bg-BG"/>
        </w:rPr>
        <w:t>Потенциални взаимодействия, които са свързани с хидрохлоротиазид:</w:t>
      </w:r>
    </w:p>
    <w:p w14:paraId="08B9768C" w14:textId="77777777" w:rsidR="001B0424" w:rsidRPr="001B0424" w:rsidRDefault="001B0424" w:rsidP="001B0424">
      <w:pPr>
        <w:spacing w:line="240" w:lineRule="auto"/>
        <w:rPr>
          <w:rFonts w:eastAsia="Times New Roman" w:cs="Arial"/>
          <w:i/>
          <w:iCs/>
          <w:color w:val="000000"/>
          <w:u w:val="single"/>
          <w:lang w:eastAsia="bg-BG"/>
        </w:rPr>
      </w:pPr>
    </w:p>
    <w:p w14:paraId="3B2C3881" w14:textId="5E80A7FD"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Едновременно приложение не се препоръчва</w:t>
      </w:r>
    </w:p>
    <w:p w14:paraId="440B4641" w14:textId="77777777" w:rsidR="001B0424" w:rsidRPr="001B0424" w:rsidRDefault="001B0424" w:rsidP="001B0424">
      <w:pPr>
        <w:spacing w:line="240" w:lineRule="auto"/>
        <w:rPr>
          <w:rFonts w:eastAsia="Times New Roman" w:cs="Arial"/>
          <w:i/>
          <w:iCs/>
          <w:color w:val="000000"/>
          <w:lang w:eastAsia="bg-BG"/>
        </w:rPr>
      </w:pPr>
    </w:p>
    <w:p w14:paraId="2A80874E" w14:textId="4E057FF9"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Литий:</w:t>
      </w:r>
      <w:r w:rsidRPr="001B0424">
        <w:rPr>
          <w:rFonts w:eastAsia="Times New Roman" w:cs="Arial"/>
          <w:color w:val="000000"/>
          <w:lang w:eastAsia="bg-BG"/>
        </w:rPr>
        <w:t xml:space="preserve"> Бъбречният клирънс на литий се понижава от тиазидите и следователно рискът от литиева токсичност може да се засили, когато се прилага едновременно с хидрохлоротиазид. Ето защо употребата на Невотенс Плюс в комбинация с литий не се препоръчва. Ако използването на такава комбинация е необходимо, се препоръчва внимателно проследяване на стойностите на литий в серума.</w:t>
      </w:r>
    </w:p>
    <w:p w14:paraId="449E77D3" w14:textId="77777777" w:rsidR="001B0424" w:rsidRPr="001B0424" w:rsidRDefault="001B0424" w:rsidP="001B0424">
      <w:pPr>
        <w:spacing w:line="240" w:lineRule="auto"/>
        <w:rPr>
          <w:rFonts w:eastAsia="Times New Roman" w:cs="Arial"/>
          <w:i/>
          <w:iCs/>
          <w:color w:val="000000"/>
          <w:lang w:eastAsia="bg-BG"/>
        </w:rPr>
      </w:pPr>
    </w:p>
    <w:p w14:paraId="1FD37808" w14:textId="7F92FA6F"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Лекарствени продукти, повлияващи стойностите на калий:</w:t>
      </w:r>
      <w:r w:rsidRPr="001B0424">
        <w:rPr>
          <w:rFonts w:eastAsia="Times New Roman" w:cs="Arial"/>
          <w:color w:val="000000"/>
          <w:lang w:eastAsia="bg-BG"/>
        </w:rPr>
        <w:t xml:space="preserve"> Калий-изчерпващият ефект на хидрохлоротиазид (вж. точка 4.4) може да се потенцира при едновременно приложение с други лекарствени продукти, свързани със загуба на калий и хипокалиемия (напр. други калиуретични диуретици, лаксативи, кортикостероиди, АКТХ, амфотерицин, карбеноксолон, пеницилин </w:t>
      </w:r>
      <w:r w:rsidRPr="001B0424">
        <w:rPr>
          <w:rFonts w:eastAsia="Times New Roman" w:cs="Arial"/>
          <w:color w:val="000000"/>
          <w:lang w:val="en-US"/>
        </w:rPr>
        <w:t>G</w:t>
      </w:r>
      <w:r w:rsidRPr="001B0424">
        <w:rPr>
          <w:rFonts w:eastAsia="Times New Roman" w:cs="Arial"/>
          <w:color w:val="000000"/>
          <w:lang w:val="ru-RU"/>
        </w:rPr>
        <w:t xml:space="preserve"> </w:t>
      </w:r>
      <w:r w:rsidRPr="001B0424">
        <w:rPr>
          <w:rFonts w:eastAsia="Times New Roman" w:cs="Arial"/>
          <w:color w:val="000000"/>
          <w:lang w:eastAsia="bg-BG"/>
        </w:rPr>
        <w:t>натрий или производни на салициловата киселина). Поради тази причина такава едновременна употреба не се препоръчва.</w:t>
      </w:r>
    </w:p>
    <w:p w14:paraId="252BDE41" w14:textId="77777777" w:rsidR="001B0424" w:rsidRPr="001B0424" w:rsidRDefault="001B0424" w:rsidP="001B0424">
      <w:pPr>
        <w:spacing w:line="240" w:lineRule="auto"/>
        <w:rPr>
          <w:rFonts w:eastAsia="Times New Roman" w:cs="Arial"/>
          <w:i/>
          <w:iCs/>
          <w:color w:val="000000"/>
          <w:u w:val="single"/>
          <w:lang w:eastAsia="bg-BG"/>
        </w:rPr>
      </w:pPr>
    </w:p>
    <w:p w14:paraId="0EB08355" w14:textId="2C146322"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Едновременна употреба, изискваща повишено внимание</w:t>
      </w:r>
    </w:p>
    <w:p w14:paraId="7CDE6D4E" w14:textId="77777777" w:rsidR="001B0424" w:rsidRPr="001B0424" w:rsidRDefault="001B0424" w:rsidP="001B0424">
      <w:pPr>
        <w:spacing w:line="240" w:lineRule="auto"/>
        <w:rPr>
          <w:rFonts w:eastAsia="Times New Roman" w:cs="Arial"/>
          <w:i/>
          <w:iCs/>
          <w:color w:val="000000"/>
          <w:lang w:eastAsia="bg-BG"/>
        </w:rPr>
      </w:pPr>
    </w:p>
    <w:p w14:paraId="24AAFEBD" w14:textId="1EFA215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Нестероидни противовъзпалителни средства (НСПВС):</w:t>
      </w:r>
      <w:r w:rsidRPr="001B0424">
        <w:rPr>
          <w:rFonts w:eastAsia="Times New Roman" w:cs="Arial"/>
          <w:color w:val="000000"/>
          <w:lang w:eastAsia="bg-BG"/>
        </w:rPr>
        <w:t xml:space="preserve"> НСПВС (напр. ацетилсалицилова киселина (&gt; 3 </w:t>
      </w:r>
      <w:r w:rsidRPr="001B0424">
        <w:rPr>
          <w:rFonts w:eastAsia="Times New Roman" w:cs="Arial"/>
          <w:color w:val="000000"/>
          <w:lang w:val="en-US"/>
        </w:rPr>
        <w:t>g</w:t>
      </w:r>
      <w:r w:rsidRPr="001B0424">
        <w:rPr>
          <w:rFonts w:eastAsia="Times New Roman" w:cs="Arial"/>
          <w:color w:val="000000"/>
          <w:lang w:eastAsia="bg-BG"/>
        </w:rPr>
        <w:t>/дневно), СОХ-2 инхибитори и неселективни НСПВС) могат да отслабят антихипертензивния ефект на тиазидните диуретици.</w:t>
      </w:r>
    </w:p>
    <w:p w14:paraId="32E592FB" w14:textId="77777777" w:rsidR="001B0424" w:rsidRPr="001B0424" w:rsidRDefault="001B0424" w:rsidP="001B0424">
      <w:pPr>
        <w:spacing w:line="240" w:lineRule="auto"/>
        <w:rPr>
          <w:rFonts w:eastAsia="Times New Roman" w:cs="Arial"/>
          <w:i/>
          <w:iCs/>
          <w:color w:val="000000"/>
          <w:lang w:eastAsia="bg-BG"/>
        </w:rPr>
      </w:pPr>
    </w:p>
    <w:p w14:paraId="4EFB6E9A" w14:textId="7C1453F3"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Калциеви соли:</w:t>
      </w:r>
      <w:r w:rsidRPr="001B0424">
        <w:rPr>
          <w:rFonts w:eastAsia="Times New Roman" w:cs="Arial"/>
          <w:color w:val="000000"/>
          <w:lang w:eastAsia="bg-BG"/>
        </w:rPr>
        <w:t xml:space="preserve"> Тиазидните диуретици могат да повишат стойностите на серумния калций поради намаляване на екскрецията. Ако трябва да се предпишат калциеви добавки, стойностите на серумния калций трябва да се проследяват и дозата на калций съответно да се коригира.</w:t>
      </w:r>
    </w:p>
    <w:p w14:paraId="57C3BB21" w14:textId="77777777" w:rsidR="001B0424" w:rsidRPr="001B0424" w:rsidRDefault="001B0424" w:rsidP="001B0424">
      <w:pPr>
        <w:spacing w:line="240" w:lineRule="auto"/>
        <w:rPr>
          <w:rFonts w:eastAsia="Times New Roman" w:cs="Arial"/>
          <w:i/>
          <w:iCs/>
          <w:color w:val="000000"/>
          <w:lang w:eastAsia="bg-BG"/>
        </w:rPr>
      </w:pPr>
    </w:p>
    <w:p w14:paraId="1ECEF0E6" w14:textId="2C446AD8"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Дигиталисови гликозиди:</w:t>
      </w:r>
      <w:r w:rsidRPr="001B0424">
        <w:rPr>
          <w:rFonts w:eastAsia="Times New Roman" w:cs="Arial"/>
          <w:color w:val="000000"/>
          <w:lang w:eastAsia="bg-BG"/>
        </w:rPr>
        <w:t xml:space="preserve"> Тиазид-индуцирана хипокалиемия или хипомагнезиемия могат да благоприятстват изявата на провокирани от дигиталис сърдечни аритмии.</w:t>
      </w:r>
    </w:p>
    <w:p w14:paraId="0805B4B4" w14:textId="77777777" w:rsidR="001B0424" w:rsidRPr="001B0424" w:rsidRDefault="001B0424" w:rsidP="001B0424">
      <w:pPr>
        <w:spacing w:line="240" w:lineRule="auto"/>
        <w:rPr>
          <w:rFonts w:eastAsia="Times New Roman" w:cs="Arial"/>
          <w:i/>
          <w:iCs/>
          <w:color w:val="000000"/>
          <w:lang w:eastAsia="bg-BG"/>
        </w:rPr>
      </w:pPr>
    </w:p>
    <w:p w14:paraId="03FC7110" w14:textId="0AEED8F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 xml:space="preserve">Лекарствени продукти, които се повлияват от нарушения в стойностите на серумния калий: </w:t>
      </w:r>
      <w:r w:rsidRPr="001B0424">
        <w:rPr>
          <w:rFonts w:eastAsia="Times New Roman" w:cs="Arial"/>
          <w:color w:val="000000"/>
          <w:lang w:eastAsia="bg-BG"/>
        </w:rPr>
        <w:t xml:space="preserve">Препоръчва се периодично проследяване на серумния калий и на ЕКГ, когато Невотенс Плюс се прилага с лекарствени продукти, които се повлияват от нарушения в стойностите на серумния калий (напр, дигиталисови гликозиди и антиаритмични лекарства) и със следните лекарствени продукти, предизвикващи </w:t>
      </w:r>
      <w:proofErr w:type="spellStart"/>
      <w:r w:rsidRPr="001B0424">
        <w:rPr>
          <w:rFonts w:eastAsia="Times New Roman" w:cs="Arial"/>
          <w:color w:val="000000"/>
          <w:lang w:val="en-US"/>
        </w:rPr>
        <w:t>torsades</w:t>
      </w:r>
      <w:proofErr w:type="spellEnd"/>
      <w:r w:rsidRPr="001B0424">
        <w:rPr>
          <w:rFonts w:eastAsia="Times New Roman" w:cs="Arial"/>
          <w:color w:val="000000"/>
          <w:lang w:val="ru-RU"/>
        </w:rPr>
        <w:t xml:space="preserve"> </w:t>
      </w:r>
      <w:r w:rsidRPr="001B0424">
        <w:rPr>
          <w:rFonts w:eastAsia="Times New Roman" w:cs="Arial"/>
          <w:color w:val="000000"/>
          <w:lang w:val="en-US"/>
        </w:rPr>
        <w:t>de</w:t>
      </w:r>
      <w:r w:rsidRPr="001B0424">
        <w:rPr>
          <w:rFonts w:eastAsia="Times New Roman" w:cs="Arial"/>
          <w:color w:val="000000"/>
          <w:lang w:val="ru-RU"/>
        </w:rPr>
        <w:t xml:space="preserve"> </w:t>
      </w:r>
      <w:r w:rsidRPr="001B0424">
        <w:rPr>
          <w:rFonts w:eastAsia="Times New Roman" w:cs="Arial"/>
          <w:color w:val="000000"/>
          <w:lang w:val="en-US"/>
        </w:rPr>
        <w:t>pointes</w:t>
      </w:r>
      <w:r w:rsidRPr="001B0424">
        <w:rPr>
          <w:rFonts w:eastAsia="Times New Roman" w:cs="Arial"/>
          <w:color w:val="000000"/>
          <w:lang w:val="ru-RU"/>
        </w:rPr>
        <w:t xml:space="preserve"> </w:t>
      </w:r>
      <w:r w:rsidRPr="001B0424">
        <w:rPr>
          <w:rFonts w:eastAsia="Times New Roman" w:cs="Arial"/>
          <w:color w:val="000000"/>
          <w:lang w:eastAsia="bg-BG"/>
        </w:rPr>
        <w:t xml:space="preserve">(вид камерна тахикардия) (включително някои антиаритмични лекарства), тъй като хипокалиемията е предразполагащ фактор за </w:t>
      </w:r>
      <w:proofErr w:type="spellStart"/>
      <w:r w:rsidRPr="001B0424">
        <w:rPr>
          <w:rFonts w:eastAsia="Times New Roman" w:cs="Arial"/>
          <w:color w:val="000000"/>
          <w:lang w:val="en-US"/>
        </w:rPr>
        <w:t>torsades</w:t>
      </w:r>
      <w:proofErr w:type="spellEnd"/>
      <w:r w:rsidRPr="001B0424">
        <w:rPr>
          <w:rFonts w:eastAsia="Times New Roman" w:cs="Arial"/>
          <w:color w:val="000000"/>
          <w:lang w:val="ru-RU"/>
        </w:rPr>
        <w:t xml:space="preserve"> </w:t>
      </w:r>
      <w:r w:rsidRPr="001B0424">
        <w:rPr>
          <w:rFonts w:eastAsia="Times New Roman" w:cs="Arial"/>
          <w:color w:val="000000"/>
          <w:lang w:val="en-US"/>
        </w:rPr>
        <w:t>de</w:t>
      </w:r>
      <w:r w:rsidRPr="001B0424">
        <w:rPr>
          <w:rFonts w:eastAsia="Times New Roman" w:cs="Arial"/>
          <w:color w:val="000000"/>
          <w:lang w:val="ru-RU"/>
        </w:rPr>
        <w:t xml:space="preserve"> </w:t>
      </w:r>
      <w:r w:rsidRPr="001B0424">
        <w:rPr>
          <w:rFonts w:eastAsia="Times New Roman" w:cs="Arial"/>
          <w:color w:val="000000"/>
          <w:lang w:val="en-US"/>
        </w:rPr>
        <w:t>pointes</w:t>
      </w:r>
      <w:r w:rsidRPr="001B0424">
        <w:rPr>
          <w:rFonts w:eastAsia="Times New Roman" w:cs="Arial"/>
          <w:color w:val="000000"/>
          <w:lang w:val="ru-RU"/>
        </w:rPr>
        <w:t xml:space="preserve"> </w:t>
      </w:r>
      <w:r w:rsidRPr="001B0424">
        <w:rPr>
          <w:rFonts w:eastAsia="Times New Roman" w:cs="Arial"/>
          <w:color w:val="000000"/>
          <w:lang w:eastAsia="bg-BG"/>
        </w:rPr>
        <w:t>(вид камерна тахикардия):</w:t>
      </w:r>
    </w:p>
    <w:p w14:paraId="65809C90" w14:textId="77777777" w:rsidR="001B0424" w:rsidRPr="001B0424" w:rsidRDefault="001B0424" w:rsidP="001B0424">
      <w:pPr>
        <w:pStyle w:val="ListParagraph"/>
        <w:numPr>
          <w:ilvl w:val="0"/>
          <w:numId w:val="34"/>
        </w:numPr>
        <w:spacing w:line="240" w:lineRule="auto"/>
        <w:rPr>
          <w:rFonts w:eastAsia="Times New Roman" w:cs="Arial"/>
        </w:rPr>
      </w:pPr>
      <w:r w:rsidRPr="001B0424">
        <w:rPr>
          <w:rFonts w:eastAsia="Times New Roman" w:cs="Arial"/>
          <w:color w:val="000000"/>
          <w:lang w:eastAsia="bg-BG"/>
        </w:rPr>
        <w:lastRenderedPageBreak/>
        <w:t xml:space="preserve">Клас </w:t>
      </w:r>
      <w:r w:rsidRPr="001B0424">
        <w:rPr>
          <w:rFonts w:eastAsia="Times New Roman" w:cs="Arial"/>
          <w:color w:val="000000"/>
          <w:lang w:val="en-US"/>
        </w:rPr>
        <w:t>I</w:t>
      </w:r>
      <w:r w:rsidRPr="001B0424">
        <w:rPr>
          <w:rFonts w:eastAsia="Times New Roman" w:cs="Arial"/>
          <w:color w:val="000000"/>
          <w:lang w:eastAsia="bg-BG"/>
        </w:rPr>
        <w:t>а антиаритмични лекарства (напр. хинидин, хидрохинидин, дизопирамид);</w:t>
      </w:r>
    </w:p>
    <w:p w14:paraId="204DAAF5" w14:textId="77777777" w:rsidR="001B0424" w:rsidRPr="001B0424" w:rsidRDefault="001B0424" w:rsidP="001B0424">
      <w:pPr>
        <w:pStyle w:val="ListParagraph"/>
        <w:numPr>
          <w:ilvl w:val="0"/>
          <w:numId w:val="34"/>
        </w:numPr>
        <w:spacing w:line="240" w:lineRule="auto"/>
        <w:rPr>
          <w:rFonts w:eastAsia="Times New Roman" w:cs="Arial"/>
        </w:rPr>
      </w:pPr>
      <w:r w:rsidRPr="001B0424">
        <w:rPr>
          <w:rFonts w:eastAsia="Times New Roman" w:cs="Arial"/>
          <w:color w:val="000000"/>
          <w:lang w:eastAsia="bg-BG"/>
        </w:rPr>
        <w:t xml:space="preserve">Клас III антиаритмични лекарства (напр. амиодарон, соталол, дофетилид, ибутилид); </w:t>
      </w:r>
    </w:p>
    <w:p w14:paraId="7BB85606" w14:textId="77777777" w:rsidR="001B0424" w:rsidRPr="001B0424" w:rsidRDefault="001B0424" w:rsidP="001B0424">
      <w:pPr>
        <w:pStyle w:val="ListParagraph"/>
        <w:numPr>
          <w:ilvl w:val="0"/>
          <w:numId w:val="34"/>
        </w:numPr>
        <w:spacing w:line="240" w:lineRule="auto"/>
        <w:rPr>
          <w:rFonts w:eastAsia="Times New Roman" w:cs="Arial"/>
        </w:rPr>
      </w:pPr>
      <w:r w:rsidRPr="001B0424">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w:t>
      </w:r>
    </w:p>
    <w:p w14:paraId="42755E5F" w14:textId="2FA22D80" w:rsidR="001B0424" w:rsidRPr="001B0424" w:rsidRDefault="001B0424" w:rsidP="001B0424">
      <w:pPr>
        <w:pStyle w:val="ListParagraph"/>
        <w:numPr>
          <w:ilvl w:val="0"/>
          <w:numId w:val="34"/>
        </w:numPr>
        <w:spacing w:line="240" w:lineRule="auto"/>
        <w:rPr>
          <w:rFonts w:eastAsia="Times New Roman" w:cs="Arial"/>
        </w:rPr>
      </w:pPr>
      <w:r w:rsidRPr="001B0424">
        <w:rPr>
          <w:rFonts w:eastAsia="Times New Roman" w:cs="Arial"/>
          <w:color w:val="000000"/>
          <w:lang w:eastAsia="bg-BG"/>
        </w:rPr>
        <w:t xml:space="preserve">Други (напр. бепридил, цизаприд, дифеманил, еритромицин </w:t>
      </w:r>
      <w:proofErr w:type="spellStart"/>
      <w:r w:rsidRPr="001B0424">
        <w:rPr>
          <w:rFonts w:eastAsia="Times New Roman" w:cs="Arial"/>
          <w:color w:val="000000"/>
          <w:lang w:val="en-US"/>
        </w:rPr>
        <w:t>i</w:t>
      </w:r>
      <w:proofErr w:type="spellEnd"/>
      <w:r w:rsidRPr="001B0424">
        <w:rPr>
          <w:rFonts w:eastAsia="Times New Roman" w:cs="Arial"/>
          <w:color w:val="000000"/>
        </w:rPr>
        <w:t>.</w:t>
      </w:r>
      <w:r w:rsidRPr="001B0424">
        <w:rPr>
          <w:rFonts w:eastAsia="Times New Roman" w:cs="Arial"/>
          <w:color w:val="000000"/>
          <w:lang w:val="en-US"/>
        </w:rPr>
        <w:t>v</w:t>
      </w:r>
      <w:r w:rsidRPr="001B0424">
        <w:rPr>
          <w:rFonts w:eastAsia="Times New Roman" w:cs="Arial"/>
          <w:color w:val="000000"/>
        </w:rPr>
        <w:t xml:space="preserve">., </w:t>
      </w:r>
      <w:r w:rsidRPr="001B0424">
        <w:rPr>
          <w:rFonts w:eastAsia="Times New Roman" w:cs="Arial"/>
          <w:color w:val="000000"/>
          <w:lang w:eastAsia="bg-BG"/>
        </w:rPr>
        <w:t xml:space="preserve">халофантрин, мизоластин, пентамидин, спарфлоксации, терфенадин, винкамин </w:t>
      </w:r>
      <w:proofErr w:type="spellStart"/>
      <w:r w:rsidRPr="001B0424">
        <w:rPr>
          <w:rFonts w:eastAsia="Times New Roman" w:cs="Arial"/>
          <w:color w:val="000000"/>
          <w:lang w:val="en-US"/>
        </w:rPr>
        <w:t>i</w:t>
      </w:r>
      <w:proofErr w:type="spellEnd"/>
      <w:r w:rsidRPr="001B0424">
        <w:rPr>
          <w:rFonts w:eastAsia="Times New Roman" w:cs="Arial"/>
          <w:color w:val="000000"/>
        </w:rPr>
        <w:t>.</w:t>
      </w:r>
      <w:r w:rsidRPr="001B0424">
        <w:rPr>
          <w:rFonts w:eastAsia="Times New Roman" w:cs="Arial"/>
          <w:color w:val="000000"/>
          <w:lang w:val="en-US"/>
        </w:rPr>
        <w:t>v</w:t>
      </w:r>
      <w:r w:rsidRPr="001B0424">
        <w:rPr>
          <w:rFonts w:eastAsia="Times New Roman" w:cs="Arial"/>
          <w:color w:val="000000"/>
        </w:rPr>
        <w:t>.).</w:t>
      </w:r>
    </w:p>
    <w:p w14:paraId="60D6BFC4" w14:textId="77777777" w:rsidR="001B0424" w:rsidRPr="001B0424" w:rsidRDefault="001B0424" w:rsidP="001B0424">
      <w:pPr>
        <w:spacing w:line="240" w:lineRule="auto"/>
        <w:rPr>
          <w:rFonts w:eastAsia="Times New Roman" w:cs="Arial"/>
          <w:i/>
          <w:iCs/>
          <w:color w:val="000000"/>
          <w:lang w:eastAsia="bg-BG"/>
        </w:rPr>
      </w:pPr>
    </w:p>
    <w:p w14:paraId="2BB22EDD" w14:textId="69C90BCE"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Недеполяризиращи мускулни релаксанти (например тубокурарин):</w:t>
      </w:r>
      <w:r w:rsidRPr="001B0424">
        <w:rPr>
          <w:rFonts w:eastAsia="Times New Roman" w:cs="Arial"/>
          <w:color w:val="000000"/>
          <w:lang w:eastAsia="bg-BG"/>
        </w:rPr>
        <w:t xml:space="preserve"> Ефектът на недеполяризиращите миорелаксанти може да се потенцира от хидрохлоротиазид.</w:t>
      </w:r>
      <w:bookmarkStart w:id="1" w:name="bookmark0"/>
      <w:bookmarkEnd w:id="1"/>
    </w:p>
    <w:p w14:paraId="6DBCB1A5" w14:textId="77777777" w:rsidR="001B0424" w:rsidRPr="001B0424" w:rsidRDefault="001B0424" w:rsidP="001B0424">
      <w:pPr>
        <w:spacing w:line="240" w:lineRule="auto"/>
        <w:rPr>
          <w:rFonts w:eastAsia="Times New Roman" w:cs="Arial"/>
        </w:rPr>
      </w:pPr>
    </w:p>
    <w:p w14:paraId="7AF7ED37" w14:textId="7777777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 xml:space="preserve">Антидиабетни лекарствени продукти (перорални средства и инсулин): Лечението с тиазиди </w:t>
      </w:r>
      <w:r w:rsidRPr="001B0424">
        <w:rPr>
          <w:rFonts w:eastAsia="Times New Roman" w:cs="Arial"/>
          <w:color w:val="000000"/>
          <w:lang w:eastAsia="bg-BG"/>
        </w:rPr>
        <w:t>може да окаже влияние върху глюкозния толеранс. Може да се наложи корекцият на дозата на</w:t>
      </w:r>
    </w:p>
    <w:p w14:paraId="5E3665FB" w14:textId="2987AB8E" w:rsidR="001B0424" w:rsidRPr="001B0424" w:rsidRDefault="001B0424" w:rsidP="001B0424">
      <w:pPr>
        <w:rPr>
          <w:rFonts w:eastAsia="Times New Roman" w:cs="Arial"/>
          <w:color w:val="000000"/>
          <w:lang w:eastAsia="bg-BG"/>
        </w:rPr>
      </w:pPr>
      <w:r w:rsidRPr="001B0424">
        <w:rPr>
          <w:rFonts w:eastAsia="Times New Roman" w:cs="Arial"/>
          <w:color w:val="000000"/>
          <w:lang w:eastAsia="bg-BG"/>
        </w:rPr>
        <w:t>антидиабетния лекарствен продукт (вж. точка 4.4).</w:t>
      </w:r>
    </w:p>
    <w:p w14:paraId="54CD28E6" w14:textId="5DA6CFE0" w:rsidR="001B0424" w:rsidRPr="001B0424" w:rsidRDefault="001B0424" w:rsidP="001B0424">
      <w:pPr>
        <w:rPr>
          <w:rFonts w:eastAsia="Times New Roman" w:cs="Arial"/>
          <w:color w:val="000000"/>
          <w:lang w:eastAsia="bg-BG"/>
        </w:rPr>
      </w:pPr>
    </w:p>
    <w:p w14:paraId="4D5F5CE0" w14:textId="7777777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Метформин:</w:t>
      </w:r>
      <w:r w:rsidRPr="001B0424">
        <w:rPr>
          <w:rFonts w:eastAsia="Times New Roman" w:cs="Arial"/>
          <w:color w:val="000000"/>
          <w:lang w:eastAsia="bg-BG"/>
        </w:rPr>
        <w:t xml:space="preserve"> Метформин трябва да се прилага с повишено внимание поради риска от лактатна ацидоза, индуцирана от възможна функционална бъбречна недостатъчност, свързана с хидрохлоротиазид.</w:t>
      </w:r>
    </w:p>
    <w:p w14:paraId="55079B49" w14:textId="77777777" w:rsidR="001B0424" w:rsidRPr="001B0424" w:rsidRDefault="001B0424" w:rsidP="001B0424">
      <w:pPr>
        <w:spacing w:line="240" w:lineRule="auto"/>
        <w:rPr>
          <w:rFonts w:eastAsia="Times New Roman" w:cs="Arial"/>
          <w:i/>
          <w:iCs/>
          <w:color w:val="000000"/>
          <w:lang w:eastAsia="bg-BG"/>
        </w:rPr>
      </w:pPr>
    </w:p>
    <w:p w14:paraId="5E7AE333" w14:textId="7DA599B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Бета-блокери и диазоксид:</w:t>
      </w:r>
      <w:r w:rsidRPr="001B0424">
        <w:rPr>
          <w:rFonts w:eastAsia="Times New Roman" w:cs="Arial"/>
          <w:color w:val="000000"/>
          <w:lang w:eastAsia="bg-BG"/>
        </w:rPr>
        <w:t xml:space="preserve"> Хипергликемичният ефект на бета-блокерите, различни от небиволол и диазоксид може да се засили от тизидите.</w:t>
      </w:r>
    </w:p>
    <w:p w14:paraId="0102E603" w14:textId="77777777" w:rsidR="001B0424" w:rsidRPr="001B0424" w:rsidRDefault="001B0424" w:rsidP="001B0424">
      <w:pPr>
        <w:spacing w:line="240" w:lineRule="auto"/>
        <w:rPr>
          <w:rFonts w:eastAsia="Times New Roman" w:cs="Arial"/>
          <w:i/>
          <w:iCs/>
          <w:color w:val="000000"/>
          <w:lang w:eastAsia="bg-BG"/>
        </w:rPr>
      </w:pPr>
    </w:p>
    <w:p w14:paraId="2B6B15F6" w14:textId="1FDD1F35"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Пресорни амини (напр. норадреналин):</w:t>
      </w:r>
      <w:r w:rsidRPr="001B0424">
        <w:rPr>
          <w:rFonts w:eastAsia="Times New Roman" w:cs="Arial"/>
          <w:color w:val="000000"/>
          <w:lang w:eastAsia="bg-BG"/>
        </w:rPr>
        <w:t xml:space="preserve"> Ефектът на пресорните амини може да бъде понижен.</w:t>
      </w:r>
    </w:p>
    <w:p w14:paraId="69630A36" w14:textId="77777777" w:rsidR="001B0424" w:rsidRPr="001B0424" w:rsidRDefault="001B0424" w:rsidP="001B0424">
      <w:pPr>
        <w:spacing w:line="240" w:lineRule="auto"/>
        <w:rPr>
          <w:rFonts w:eastAsia="Times New Roman" w:cs="Arial"/>
          <w:i/>
          <w:iCs/>
          <w:color w:val="000000"/>
          <w:lang w:eastAsia="bg-BG"/>
        </w:rPr>
      </w:pPr>
    </w:p>
    <w:p w14:paraId="46365090" w14:textId="3F59BE6E" w:rsidR="001B0424" w:rsidRPr="001B0424" w:rsidRDefault="001B0424" w:rsidP="001B0424">
      <w:pPr>
        <w:spacing w:line="240" w:lineRule="auto"/>
        <w:rPr>
          <w:rFonts w:eastAsia="Times New Roman" w:cs="Arial"/>
          <w:color w:val="000000"/>
          <w:lang w:eastAsia="bg-BG"/>
        </w:rPr>
      </w:pPr>
      <w:r w:rsidRPr="001B0424">
        <w:rPr>
          <w:rFonts w:eastAsia="Times New Roman" w:cs="Arial"/>
          <w:i/>
          <w:iCs/>
          <w:color w:val="000000"/>
          <w:lang w:eastAsia="bg-BG"/>
        </w:rPr>
        <w:t>Лекарствени продукти, прилагани за лечение на подагра (пробенецид, сулфинпиразон и алопуринол):</w:t>
      </w:r>
      <w:r w:rsidRPr="001B0424">
        <w:rPr>
          <w:rFonts w:eastAsia="Times New Roman" w:cs="Arial"/>
          <w:color w:val="000000"/>
          <w:lang w:eastAsia="bg-BG"/>
        </w:rPr>
        <w:t xml:space="preserve"> Възможно е да се наложи коригиране на дозата на урикозуричните средства, тъй като хидрохлоротиазид може да покачи стойностите на пикочната киселина в серума. Може да е необходимо да се повиши дозата на пробенецид и сулфинпиразон. Едновременното приложение на тиазидни диуретици, може да повиши честотата на реакциите на свръхчувствителност към алопуринол.</w:t>
      </w:r>
    </w:p>
    <w:p w14:paraId="1252A072" w14:textId="77777777" w:rsidR="001B0424" w:rsidRPr="001B0424" w:rsidRDefault="001B0424" w:rsidP="001B0424">
      <w:pPr>
        <w:spacing w:line="240" w:lineRule="auto"/>
        <w:rPr>
          <w:rFonts w:eastAsia="Times New Roman" w:cs="Arial"/>
          <w:i/>
          <w:iCs/>
          <w:color w:val="000000"/>
          <w:lang w:eastAsia="bg-BG"/>
        </w:rPr>
      </w:pPr>
    </w:p>
    <w:p w14:paraId="2CBD881E" w14:textId="70EB6A1C"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Амантадин:</w:t>
      </w:r>
      <w:r w:rsidRPr="001B0424">
        <w:rPr>
          <w:rFonts w:eastAsia="Times New Roman" w:cs="Arial"/>
          <w:color w:val="000000"/>
          <w:lang w:eastAsia="bg-BG"/>
        </w:rPr>
        <w:t xml:space="preserve"> Тиазидните диуретици могат да повишат риска от нежелани реакции, предизвикани от амантадин.</w:t>
      </w:r>
    </w:p>
    <w:p w14:paraId="2667E534" w14:textId="77777777" w:rsidR="001B0424" w:rsidRPr="001B0424" w:rsidRDefault="001B0424" w:rsidP="001B0424">
      <w:pPr>
        <w:spacing w:line="240" w:lineRule="auto"/>
        <w:rPr>
          <w:rFonts w:eastAsia="Times New Roman" w:cs="Arial"/>
          <w:i/>
          <w:iCs/>
          <w:color w:val="000000"/>
          <w:lang w:eastAsia="bg-BG"/>
        </w:rPr>
      </w:pPr>
    </w:p>
    <w:p w14:paraId="7E1BBEA3" w14:textId="06E1FB0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Салицияати:</w:t>
      </w:r>
      <w:r w:rsidRPr="001B0424">
        <w:rPr>
          <w:rFonts w:eastAsia="Times New Roman" w:cs="Arial"/>
          <w:color w:val="000000"/>
          <w:lang w:eastAsia="bg-BG"/>
        </w:rPr>
        <w:t xml:space="preserve"> При използване на високи дози салицилати хидрохлоротиазид може да засили токсичния ефект на салицилатите върху централната нервна система.</w:t>
      </w:r>
    </w:p>
    <w:p w14:paraId="3898B920" w14:textId="77777777" w:rsidR="001B0424" w:rsidRPr="001B0424" w:rsidRDefault="001B0424" w:rsidP="001B0424">
      <w:pPr>
        <w:spacing w:line="240" w:lineRule="auto"/>
        <w:rPr>
          <w:rFonts w:eastAsia="Times New Roman" w:cs="Arial"/>
          <w:i/>
          <w:iCs/>
          <w:color w:val="000000"/>
          <w:lang w:eastAsia="bg-BG"/>
        </w:rPr>
      </w:pPr>
    </w:p>
    <w:p w14:paraId="096D67F5" w14:textId="7AD0D56D"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Циклоспорин:</w:t>
      </w:r>
      <w:r w:rsidRPr="001B0424">
        <w:rPr>
          <w:rFonts w:eastAsia="Times New Roman" w:cs="Arial"/>
          <w:color w:val="000000"/>
          <w:lang w:eastAsia="bg-BG"/>
        </w:rPr>
        <w:t xml:space="preserve"> Едновременното лечение с циклоспорин може да повиши риска от хиперурикемия и усложненията от подагрозен вид.</w:t>
      </w:r>
    </w:p>
    <w:p w14:paraId="4330FF2F" w14:textId="77777777" w:rsidR="001B0424" w:rsidRPr="001B0424" w:rsidRDefault="001B0424" w:rsidP="001B0424">
      <w:pPr>
        <w:spacing w:line="240" w:lineRule="auto"/>
        <w:rPr>
          <w:rFonts w:eastAsia="Times New Roman" w:cs="Arial"/>
          <w:i/>
          <w:iCs/>
          <w:color w:val="000000"/>
          <w:lang w:eastAsia="bg-BG"/>
        </w:rPr>
      </w:pPr>
    </w:p>
    <w:p w14:paraId="4539D57B" w14:textId="5602C449"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Йод-контрастни вещества:</w:t>
      </w:r>
      <w:r w:rsidRPr="001B0424">
        <w:rPr>
          <w:rFonts w:eastAsia="Times New Roman" w:cs="Arial"/>
          <w:color w:val="000000"/>
          <w:lang w:eastAsia="bg-BG"/>
        </w:rPr>
        <w:t xml:space="preserve"> При диуретик-индуцирана дехидратация е налице повишен риск от остра бъбречна недостатъчност, особено при употреба на високи дози от йодните продукти. Пациентите трябва да се рехидратират преди прилагането на такива вещества.</w:t>
      </w:r>
    </w:p>
    <w:p w14:paraId="12C0BBE9" w14:textId="77777777" w:rsidR="001B0424" w:rsidRPr="001B0424" w:rsidRDefault="001B0424" w:rsidP="001B0424">
      <w:pPr>
        <w:spacing w:line="240" w:lineRule="auto"/>
        <w:rPr>
          <w:rFonts w:eastAsia="Times New Roman" w:cs="Arial"/>
          <w:i/>
          <w:iCs/>
          <w:color w:val="000000"/>
          <w:lang w:eastAsia="bg-BG"/>
        </w:rPr>
      </w:pPr>
    </w:p>
    <w:p w14:paraId="56BFA15B" w14:textId="49BA7FAC"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Възможни взаимодействия, свързани както с небиволол, така и с хидрохлоротиазид</w:t>
      </w:r>
    </w:p>
    <w:p w14:paraId="14143CDF" w14:textId="77777777" w:rsidR="001B0424" w:rsidRPr="001B0424" w:rsidRDefault="001B0424" w:rsidP="001B0424">
      <w:pPr>
        <w:spacing w:line="240" w:lineRule="auto"/>
        <w:rPr>
          <w:rFonts w:eastAsia="Times New Roman" w:cs="Arial"/>
          <w:i/>
          <w:iCs/>
          <w:color w:val="000000"/>
          <w:u w:val="single"/>
          <w:lang w:eastAsia="bg-BG"/>
        </w:rPr>
      </w:pPr>
    </w:p>
    <w:p w14:paraId="109DF974" w14:textId="06F585A2" w:rsidR="001B0424" w:rsidRPr="001B0424" w:rsidRDefault="001B0424" w:rsidP="001B0424">
      <w:pPr>
        <w:spacing w:line="240" w:lineRule="auto"/>
        <w:rPr>
          <w:rFonts w:eastAsia="Times New Roman" w:cs="Arial"/>
        </w:rPr>
      </w:pPr>
      <w:r w:rsidRPr="001B0424">
        <w:rPr>
          <w:rFonts w:eastAsia="Times New Roman" w:cs="Arial"/>
          <w:i/>
          <w:iCs/>
          <w:color w:val="000000"/>
          <w:u w:val="single"/>
          <w:lang w:eastAsia="bg-BG"/>
        </w:rPr>
        <w:t>Едновременната употреба трябва да се има предвид</w:t>
      </w:r>
    </w:p>
    <w:p w14:paraId="49F6E0EE" w14:textId="77777777" w:rsidR="001B0424" w:rsidRPr="001B0424" w:rsidRDefault="001B0424" w:rsidP="001B0424">
      <w:pPr>
        <w:spacing w:line="240" w:lineRule="auto"/>
        <w:rPr>
          <w:rFonts w:eastAsia="Times New Roman" w:cs="Arial"/>
          <w:i/>
          <w:iCs/>
          <w:color w:val="000000"/>
          <w:lang w:eastAsia="bg-BG"/>
        </w:rPr>
      </w:pPr>
    </w:p>
    <w:p w14:paraId="17777F01" w14:textId="676FE025"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lastRenderedPageBreak/>
        <w:t>Други антихипертензивни лекарствени продукти:</w:t>
      </w:r>
      <w:r w:rsidRPr="001B0424">
        <w:rPr>
          <w:rFonts w:eastAsia="Times New Roman" w:cs="Arial"/>
          <w:color w:val="000000"/>
          <w:lang w:eastAsia="bg-BG"/>
        </w:rPr>
        <w:t xml:space="preserve"> при едновременно лечение с други антихипертензивни продукти може да възникнат адитивни или потенцирани хипотензивни ефекти.</w:t>
      </w:r>
    </w:p>
    <w:p w14:paraId="24723C10" w14:textId="77777777" w:rsidR="001B0424" w:rsidRPr="001B0424" w:rsidRDefault="001B0424" w:rsidP="001B0424">
      <w:pPr>
        <w:spacing w:line="240" w:lineRule="auto"/>
        <w:rPr>
          <w:rFonts w:eastAsia="Times New Roman" w:cs="Arial"/>
          <w:i/>
          <w:iCs/>
          <w:color w:val="000000"/>
          <w:lang w:eastAsia="bg-BG"/>
        </w:rPr>
      </w:pPr>
    </w:p>
    <w:p w14:paraId="5E50151D" w14:textId="1F1FDD1C"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Антипсихотици, трициклични антидепресанти, барбитурати, наркотични вещества и алкохол:</w:t>
      </w:r>
      <w:r w:rsidRPr="001B0424">
        <w:rPr>
          <w:rFonts w:eastAsia="Times New Roman" w:cs="Arial"/>
          <w:color w:val="000000"/>
          <w:lang w:eastAsia="bg-BG"/>
        </w:rPr>
        <w:t xml:space="preserve"> едновременното приложение на Невотенс Плюс с тези лекарствени продукти може да засили хипотензивния ефект и/или да доведе до ортостатична хипотония.</w:t>
      </w:r>
    </w:p>
    <w:p w14:paraId="6701C5A3" w14:textId="77777777" w:rsidR="001B0424" w:rsidRPr="001B0424" w:rsidRDefault="001B0424" w:rsidP="001B0424">
      <w:pPr>
        <w:spacing w:line="240" w:lineRule="auto"/>
        <w:rPr>
          <w:rFonts w:eastAsia="Times New Roman" w:cs="Arial"/>
          <w:color w:val="000000"/>
          <w:u w:val="single"/>
          <w:lang w:eastAsia="bg-BG"/>
        </w:rPr>
      </w:pPr>
    </w:p>
    <w:p w14:paraId="4146EBE0" w14:textId="4D76F0D4" w:rsidR="001B0424" w:rsidRPr="001B0424" w:rsidRDefault="001B0424" w:rsidP="001B0424">
      <w:pPr>
        <w:spacing w:line="240" w:lineRule="auto"/>
        <w:rPr>
          <w:rFonts w:eastAsia="Times New Roman" w:cs="Arial"/>
        </w:rPr>
      </w:pPr>
      <w:r w:rsidRPr="001B0424">
        <w:rPr>
          <w:rFonts w:eastAsia="Times New Roman" w:cs="Arial"/>
          <w:color w:val="000000"/>
          <w:u w:val="single"/>
          <w:lang w:eastAsia="bg-BG"/>
        </w:rPr>
        <w:t>Фармакокинетични взаимодействия</w:t>
      </w:r>
    </w:p>
    <w:p w14:paraId="2C87C546" w14:textId="77777777" w:rsidR="001B0424" w:rsidRPr="001B0424" w:rsidRDefault="001B0424" w:rsidP="001B0424">
      <w:pPr>
        <w:spacing w:line="240" w:lineRule="auto"/>
        <w:rPr>
          <w:rFonts w:eastAsia="Times New Roman" w:cs="Arial"/>
          <w:i/>
          <w:iCs/>
          <w:color w:val="000000"/>
          <w:lang w:eastAsia="bg-BG"/>
        </w:rPr>
      </w:pPr>
    </w:p>
    <w:p w14:paraId="58D3D142" w14:textId="4A07E923"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Небиволол</w:t>
      </w:r>
    </w:p>
    <w:p w14:paraId="14A0D21B" w14:textId="77777777" w:rsidR="001B0424" w:rsidRPr="001B0424" w:rsidRDefault="001B0424" w:rsidP="001B0424">
      <w:pPr>
        <w:spacing w:line="240" w:lineRule="auto"/>
        <w:rPr>
          <w:rFonts w:eastAsia="Times New Roman" w:cs="Arial"/>
          <w:color w:val="000000"/>
          <w:lang w:eastAsia="bg-BG"/>
        </w:rPr>
      </w:pPr>
    </w:p>
    <w:p w14:paraId="510FA57F" w14:textId="6FA7D4EF"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Тъй като в метаболизма на небиволол участва изоензима </w:t>
      </w:r>
      <w:r w:rsidRPr="001B0424">
        <w:rPr>
          <w:rFonts w:eastAsia="Times New Roman" w:cs="Arial"/>
          <w:color w:val="000000"/>
          <w:lang w:val="en-US"/>
        </w:rPr>
        <w:t>CYP</w:t>
      </w:r>
      <w:r w:rsidRPr="001B0424">
        <w:rPr>
          <w:rFonts w:eastAsia="Times New Roman" w:cs="Arial"/>
          <w:color w:val="000000"/>
          <w:lang w:val="ru-RU"/>
        </w:rPr>
        <w:t>2</w:t>
      </w:r>
      <w:r w:rsidRPr="001B0424">
        <w:rPr>
          <w:rFonts w:eastAsia="Times New Roman" w:cs="Arial"/>
          <w:color w:val="000000"/>
          <w:lang w:val="en-US"/>
        </w:rPr>
        <w:t>D</w:t>
      </w:r>
      <w:r w:rsidRPr="001B0424">
        <w:rPr>
          <w:rFonts w:eastAsia="Times New Roman" w:cs="Arial"/>
          <w:color w:val="000000"/>
          <w:lang w:val="ru-RU"/>
        </w:rPr>
        <w:t xml:space="preserve">6, </w:t>
      </w:r>
      <w:r w:rsidRPr="001B0424">
        <w:rPr>
          <w:rFonts w:eastAsia="Times New Roman" w:cs="Arial"/>
          <w:color w:val="000000"/>
          <w:lang w:eastAsia="bg-BG"/>
        </w:rPr>
        <w:t>едновременното приложение на субстанции, инхибиращи този ензим, особено на пароксетин, флуоксетин, тиоридазин и хинндин може да доведе до повишаване на плазмените концентрации на небиволол, което е свързано с повишен риск от развитие на ексцесивна брадикардия и с поява на нежелани реакции.</w:t>
      </w:r>
    </w:p>
    <w:p w14:paraId="0BE0D8A3" w14:textId="77777777" w:rsidR="001B0424" w:rsidRPr="001B0424" w:rsidRDefault="001B0424" w:rsidP="001B0424">
      <w:pPr>
        <w:rPr>
          <w:rFonts w:eastAsia="Times New Roman" w:cs="Arial"/>
          <w:color w:val="000000"/>
          <w:lang w:eastAsia="bg-BG"/>
        </w:rPr>
      </w:pPr>
    </w:p>
    <w:p w14:paraId="6381B9C9" w14:textId="4BE3A4FA" w:rsidR="001B0424" w:rsidRPr="001B0424" w:rsidRDefault="001B0424" w:rsidP="001B0424">
      <w:pPr>
        <w:rPr>
          <w:rFonts w:eastAsia="Times New Roman" w:cs="Arial"/>
          <w:color w:val="000000"/>
          <w:lang w:eastAsia="bg-BG"/>
        </w:rPr>
      </w:pPr>
      <w:r w:rsidRPr="001B0424">
        <w:rPr>
          <w:rFonts w:eastAsia="Times New Roman" w:cs="Arial"/>
          <w:color w:val="000000"/>
          <w:lang w:eastAsia="bg-BG"/>
        </w:rPr>
        <w:t>Едновременното приложение на циметидин повишава плазмените концентрации на небиволол без да променя клиничния ефект. Съвместното приложение с ранитидин не променя фармакокинетиката на небиволол. Те могат да се употребяват заедно, като небиволол се приема по време на хранене, а антиацидът между две хранения. При условие, че Невротенс Плюс се приема по време на хранене, а антиацидът между храненията, двете лечения могат да бъдат предписани заедно.</w:t>
      </w:r>
    </w:p>
    <w:p w14:paraId="773CFAC3" w14:textId="796CF2E9" w:rsidR="001B0424" w:rsidRPr="001B0424" w:rsidRDefault="001B0424" w:rsidP="001B0424">
      <w:pPr>
        <w:rPr>
          <w:rFonts w:eastAsia="Times New Roman" w:cs="Arial"/>
          <w:color w:val="000000"/>
          <w:lang w:eastAsia="bg-BG"/>
        </w:rPr>
      </w:pPr>
    </w:p>
    <w:p w14:paraId="494EFE45"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Едновременното приложение на небиволол и никардипин води до слабо повишаване на плазмените концентрации и на двата лекарствени продукта, без да се повлиява клиничния им ефект. Едновременното приложение на алкохол, фуроземид или хидрохлоротиазид не променя фармакокинетиката на небиволол. Небиволол не повлиява фармакокинетиката и фармакодинамиката на варфарин.</w:t>
      </w:r>
    </w:p>
    <w:p w14:paraId="78A90E9D" w14:textId="77777777" w:rsidR="001B0424" w:rsidRPr="001B0424" w:rsidRDefault="001B0424" w:rsidP="001B0424">
      <w:pPr>
        <w:spacing w:line="240" w:lineRule="auto"/>
        <w:rPr>
          <w:rFonts w:eastAsia="Times New Roman" w:cs="Arial"/>
          <w:i/>
          <w:iCs/>
          <w:color w:val="000000"/>
          <w:lang w:eastAsia="bg-BG"/>
        </w:rPr>
      </w:pPr>
    </w:p>
    <w:p w14:paraId="767D672B" w14:textId="5824038D"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Хидрохлоротиазид</w:t>
      </w:r>
    </w:p>
    <w:p w14:paraId="5E328477" w14:textId="77777777" w:rsidR="001B0424" w:rsidRPr="001B0424" w:rsidRDefault="001B0424" w:rsidP="001B0424">
      <w:pPr>
        <w:spacing w:line="240" w:lineRule="auto"/>
        <w:rPr>
          <w:rFonts w:eastAsia="Times New Roman" w:cs="Arial"/>
          <w:color w:val="000000"/>
          <w:lang w:eastAsia="bg-BG"/>
        </w:rPr>
      </w:pPr>
    </w:p>
    <w:p w14:paraId="43EBCF1D" w14:textId="08A28770"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Абсорбцията на хидрохлоротиазид се нарушава в присъствието на анионобменни смоли </w:t>
      </w:r>
      <w:r w:rsidRPr="001B0424">
        <w:rPr>
          <w:rFonts w:eastAsia="Times New Roman" w:cs="Arial"/>
          <w:i/>
          <w:iCs/>
          <w:color w:val="000000"/>
          <w:lang w:eastAsia="bg-BG"/>
        </w:rPr>
        <w:t>(напр. смолите колестирамин и колестипол).</w:t>
      </w:r>
    </w:p>
    <w:p w14:paraId="41B9CAC9" w14:textId="77777777" w:rsidR="001B0424" w:rsidRPr="001B0424" w:rsidRDefault="001B0424" w:rsidP="001B0424">
      <w:pPr>
        <w:spacing w:line="240" w:lineRule="auto"/>
        <w:rPr>
          <w:rFonts w:eastAsia="Times New Roman" w:cs="Arial"/>
          <w:i/>
          <w:iCs/>
          <w:color w:val="000000"/>
          <w:lang w:eastAsia="bg-BG"/>
        </w:rPr>
      </w:pPr>
    </w:p>
    <w:p w14:paraId="487553FE" w14:textId="5310AC96"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Цитотоксични средства:</w:t>
      </w:r>
      <w:r w:rsidRPr="001B0424">
        <w:rPr>
          <w:rFonts w:eastAsia="Times New Roman" w:cs="Arial"/>
          <w:color w:val="000000"/>
          <w:lang w:eastAsia="bg-BG"/>
        </w:rPr>
        <w:t xml:space="preserve"> При едновременната употреба на хидрохлоротиазид и цитотоксични средства (например циклофосфамид, флуороурацил, метотрексат) трябва да се очаква повишена костномозъчна токсичност (по-специално гранулоцитопения).</w:t>
      </w:r>
    </w:p>
    <w:p w14:paraId="4E7B55C9" w14:textId="6C96E89E" w:rsidR="001B0424" w:rsidRPr="001B0424" w:rsidRDefault="001B0424" w:rsidP="001B0424"/>
    <w:p w14:paraId="29D2BD58" w14:textId="7466E51D" w:rsidR="00DF4C8E" w:rsidRDefault="002C50EE" w:rsidP="00F44498">
      <w:pPr>
        <w:pStyle w:val="Heading2"/>
      </w:pPr>
      <w:r>
        <w:t>4.6. Фертилитет, бременност и кърмене</w:t>
      </w:r>
    </w:p>
    <w:p w14:paraId="2A708325" w14:textId="3963F4CA" w:rsidR="001B0424" w:rsidRDefault="001B0424" w:rsidP="001B0424"/>
    <w:p w14:paraId="19083BAD" w14:textId="77777777" w:rsidR="001B0424" w:rsidRPr="001B0424" w:rsidRDefault="001B0424" w:rsidP="001B0424">
      <w:pPr>
        <w:pStyle w:val="Heading3"/>
        <w:rPr>
          <w:rFonts w:eastAsia="Times New Roman"/>
          <w:sz w:val="28"/>
          <w:u w:val="single"/>
        </w:rPr>
      </w:pPr>
      <w:r w:rsidRPr="001B0424">
        <w:rPr>
          <w:rFonts w:eastAsia="Times New Roman"/>
          <w:u w:val="single"/>
          <w:lang w:eastAsia="bg-BG"/>
        </w:rPr>
        <w:t>Бременност</w:t>
      </w:r>
    </w:p>
    <w:p w14:paraId="22C44E21" w14:textId="77777777" w:rsidR="001B0424" w:rsidRPr="001B0424" w:rsidRDefault="001B0424" w:rsidP="001B0424">
      <w:pPr>
        <w:spacing w:line="240" w:lineRule="auto"/>
        <w:rPr>
          <w:rFonts w:eastAsia="Times New Roman" w:cs="Arial"/>
          <w:color w:val="000000"/>
          <w:szCs w:val="20"/>
          <w:lang w:eastAsia="bg-BG"/>
        </w:rPr>
      </w:pPr>
    </w:p>
    <w:p w14:paraId="6BE6231A" w14:textId="23BCF308"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Няма достатъчно данни за употребата на Невотенс Плюс при бременни жени. Проучванията върху животни на двата отделни компонента са недостатъчни по отношение на ефектите на комбинацията от небиволол и хидрохлоротиазид върху репродукцията (вж. точка 5.3).</w:t>
      </w:r>
    </w:p>
    <w:p w14:paraId="08EA68A3" w14:textId="77777777" w:rsidR="001B0424" w:rsidRPr="001B0424" w:rsidRDefault="001B0424" w:rsidP="001B0424">
      <w:pPr>
        <w:spacing w:line="240" w:lineRule="auto"/>
        <w:rPr>
          <w:rFonts w:eastAsia="Times New Roman" w:cs="Arial"/>
          <w:i/>
          <w:iCs/>
          <w:color w:val="000000"/>
          <w:szCs w:val="20"/>
          <w:lang w:eastAsia="bg-BG"/>
        </w:rPr>
      </w:pPr>
    </w:p>
    <w:p w14:paraId="76DD92AE" w14:textId="28315DDB"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lang w:eastAsia="bg-BG"/>
        </w:rPr>
        <w:lastRenderedPageBreak/>
        <w:t>Небиволол</w:t>
      </w:r>
    </w:p>
    <w:p w14:paraId="2D510F54"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Няма достатъчно данни за употребата на небиволол по време на бременност, за да се определят потенциалните вредни ефекти. Все пак, небиволол притежава фармакологични ефекти, които могат да окажат вредни ефекти върху бременността и/или върху плода/новороденото. По принцип бета-блокерите намаляват перфузията през плацентата, което може да доведе до забавено развитие, интраутеринна смърт на плода, аборт или преждевременно раждане. При плода и новороденото е възможно да настъпят нежелани реакции (напр. хипогликемия и брадикардия). Ако приложението на бета-блокер е наложително, за предпочитане е приложението на бета</w:t>
      </w:r>
      <w:r w:rsidRPr="001B0424">
        <w:rPr>
          <w:rFonts w:eastAsia="Times New Roman" w:cs="Arial"/>
          <w:color w:val="000000"/>
          <w:szCs w:val="20"/>
          <w:vertAlign w:val="subscript"/>
          <w:lang w:eastAsia="bg-BG"/>
        </w:rPr>
        <w:t>1</w:t>
      </w:r>
      <w:r w:rsidRPr="001B0424">
        <w:rPr>
          <w:rFonts w:eastAsia="Times New Roman" w:cs="Arial"/>
          <w:color w:val="000000"/>
          <w:szCs w:val="20"/>
          <w:lang w:eastAsia="bg-BG"/>
        </w:rPr>
        <w:t>-селективни блокери.</w:t>
      </w:r>
    </w:p>
    <w:p w14:paraId="7BAE4B09" w14:textId="77777777" w:rsidR="001B0424" w:rsidRPr="001B0424" w:rsidRDefault="001B0424" w:rsidP="001B0424">
      <w:pPr>
        <w:spacing w:line="240" w:lineRule="auto"/>
        <w:rPr>
          <w:rFonts w:eastAsia="Times New Roman" w:cs="Arial"/>
          <w:color w:val="000000"/>
          <w:szCs w:val="20"/>
          <w:lang w:eastAsia="bg-BG"/>
        </w:rPr>
      </w:pPr>
    </w:p>
    <w:p w14:paraId="19C5D592" w14:textId="5FF601C2"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Небиволол не трябва да се използва по време на бременност, освен при категорична необходимост. Ако приложението на небиволол е наистина необходимо, трябва да се проследяват маточно-плацентарното кръвоснабдяване и феталното развитие. При наличие на вредни ефекти върху бременността или плода, трябва да се приложи алтернативно лечение. Новороденото трябва внимателно да се проследява. Симптоми на хипогликемия и брадикардия по принцип се очакват в рамките на първите 3 дни.</w:t>
      </w:r>
    </w:p>
    <w:p w14:paraId="4E8F6E08" w14:textId="77777777" w:rsidR="001B0424" w:rsidRPr="001B0424" w:rsidRDefault="001B0424" w:rsidP="001B0424">
      <w:pPr>
        <w:spacing w:line="240" w:lineRule="auto"/>
        <w:rPr>
          <w:rFonts w:eastAsia="Times New Roman" w:cs="Arial"/>
          <w:i/>
          <w:iCs/>
          <w:color w:val="000000"/>
          <w:szCs w:val="20"/>
          <w:lang w:eastAsia="bg-BG"/>
        </w:rPr>
      </w:pPr>
    </w:p>
    <w:p w14:paraId="559F0387" w14:textId="6881971F"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lang w:eastAsia="bg-BG"/>
        </w:rPr>
        <w:t>Хидрохлоротиазид</w:t>
      </w:r>
    </w:p>
    <w:p w14:paraId="50572271"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Опитът с прилагане на хидрохлоротиазид по време на бременност е ограничен, особено по време на първия триместьр. Проучванията върху животни са недостатъчни.</w:t>
      </w:r>
    </w:p>
    <w:p w14:paraId="2A778435" w14:textId="77777777" w:rsidR="001B0424" w:rsidRPr="001B0424" w:rsidRDefault="001B0424" w:rsidP="001B0424">
      <w:pPr>
        <w:spacing w:line="240" w:lineRule="auto"/>
        <w:rPr>
          <w:rFonts w:eastAsia="Times New Roman" w:cs="Arial"/>
          <w:color w:val="000000"/>
          <w:szCs w:val="20"/>
          <w:lang w:eastAsia="bg-BG"/>
        </w:rPr>
      </w:pPr>
    </w:p>
    <w:p w14:paraId="39D11F12" w14:textId="6F7D06B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Хидрохлоротиазид преминава през плацентата. Като се има предвид фармакологичният механизъм на действие на хидрохлоротиазид употребата му по време на втория и третия триместьр може да компрометира фетоплацентарната перфузия и да доведе до фетални и неонатални ефекти като иктер, нарушен електролитен баланс и тромбоцитопения.</w:t>
      </w:r>
    </w:p>
    <w:p w14:paraId="13FFFBF3" w14:textId="77777777" w:rsidR="001B0424" w:rsidRPr="001B0424" w:rsidRDefault="001B0424" w:rsidP="001B0424">
      <w:pPr>
        <w:spacing w:line="240" w:lineRule="auto"/>
        <w:rPr>
          <w:rFonts w:eastAsia="Times New Roman" w:cs="Arial"/>
          <w:color w:val="000000"/>
          <w:szCs w:val="20"/>
          <w:lang w:eastAsia="bg-BG"/>
        </w:rPr>
      </w:pPr>
    </w:p>
    <w:p w14:paraId="26A1BD19" w14:textId="4617A41E"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Хидрохлоротиазид не трябва да се употребява за терапия на гестационен едем, гестационна хипертония или прееклампсия поради риск от понижаване на плазмения обем и хипоперфузия, без благоприятен ефект върху хода на заболяването.</w:t>
      </w:r>
    </w:p>
    <w:p w14:paraId="25E02D78" w14:textId="77777777" w:rsidR="001B0424" w:rsidRPr="001B0424" w:rsidRDefault="001B0424" w:rsidP="001B0424">
      <w:pPr>
        <w:spacing w:line="240" w:lineRule="auto"/>
        <w:rPr>
          <w:rFonts w:eastAsia="Times New Roman" w:cs="Arial"/>
          <w:sz w:val="28"/>
          <w:szCs w:val="24"/>
        </w:rPr>
      </w:pPr>
    </w:p>
    <w:p w14:paraId="243D0FB7"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Хидрохлоротиазид не трябва да се използва за лечение на есенциална хипертония при</w:t>
      </w:r>
    </w:p>
    <w:p w14:paraId="4AB2B4C3" w14:textId="5E716614" w:rsidR="001B0424" w:rsidRPr="001B0424" w:rsidRDefault="001B0424" w:rsidP="001B0424">
      <w:pPr>
        <w:rPr>
          <w:rFonts w:eastAsia="Times New Roman" w:cs="Arial"/>
          <w:color w:val="000000"/>
          <w:szCs w:val="20"/>
          <w:lang w:eastAsia="bg-BG"/>
        </w:rPr>
      </w:pPr>
      <w:r w:rsidRPr="001B0424">
        <w:rPr>
          <w:rFonts w:eastAsia="Times New Roman" w:cs="Arial"/>
          <w:color w:val="000000"/>
          <w:szCs w:val="20"/>
          <w:lang w:eastAsia="bg-BG"/>
        </w:rPr>
        <w:t>бременни жени, освен в редки ситуации, когато не може да се приложи друго лечение.</w:t>
      </w:r>
    </w:p>
    <w:p w14:paraId="3F65EE13" w14:textId="446B1C74" w:rsidR="001B0424" w:rsidRPr="001B0424" w:rsidRDefault="001B0424" w:rsidP="001B0424">
      <w:pPr>
        <w:rPr>
          <w:rFonts w:eastAsia="Times New Roman" w:cs="Arial"/>
          <w:color w:val="000000"/>
          <w:szCs w:val="20"/>
          <w:lang w:eastAsia="bg-BG"/>
        </w:rPr>
      </w:pPr>
    </w:p>
    <w:p w14:paraId="7ED2AE72" w14:textId="77777777" w:rsidR="001B0424" w:rsidRPr="001B0424" w:rsidRDefault="001B0424" w:rsidP="001B0424">
      <w:pPr>
        <w:pStyle w:val="Heading3"/>
        <w:rPr>
          <w:rFonts w:eastAsia="Times New Roman"/>
          <w:sz w:val="28"/>
          <w:u w:val="single"/>
        </w:rPr>
      </w:pPr>
      <w:r w:rsidRPr="001B0424">
        <w:rPr>
          <w:rFonts w:eastAsia="Times New Roman"/>
          <w:u w:val="single"/>
          <w:lang w:eastAsia="bg-BG"/>
        </w:rPr>
        <w:t>Кърмене</w:t>
      </w:r>
    </w:p>
    <w:p w14:paraId="46455A66" w14:textId="77777777" w:rsidR="001B0424" w:rsidRPr="001B0424" w:rsidRDefault="001B0424" w:rsidP="001B0424">
      <w:pPr>
        <w:spacing w:line="240" w:lineRule="auto"/>
        <w:rPr>
          <w:rFonts w:eastAsia="Times New Roman" w:cs="Arial"/>
          <w:color w:val="000000"/>
          <w:szCs w:val="20"/>
          <w:lang w:eastAsia="bg-BG"/>
        </w:rPr>
      </w:pPr>
    </w:p>
    <w:p w14:paraId="737B4FA9" w14:textId="4C35C7F8"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Не е известно дали небиволол се екскретира в кърмата при хора. Проучванията върху животни показват, че небиволол се екскретира в кърмата. По-голямата част от бета-блокерите, най-вече липофилните, като небиволол и неговите активни метаболити, преминават в майчиното мляко в различна степен.</w:t>
      </w:r>
    </w:p>
    <w:p w14:paraId="5CABF729"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Хидрохлоротиазид се екскретира в кърмата при хора в малки количества. Тиазидите във високи дози водят до интензивна диуреза и могат да потиснат лактацията. Употребата на Невотенс Плюс по време на кърмене не се препоръчва. Ако по време на кърмене се налага лечение с Невотенс Плюс трябва да се прилага възможно най-ниската доза.</w:t>
      </w:r>
    </w:p>
    <w:p w14:paraId="5C2F67E7" w14:textId="77777777" w:rsidR="001B0424" w:rsidRPr="001B0424" w:rsidRDefault="001B0424" w:rsidP="001B0424"/>
    <w:p w14:paraId="4DF5A2E7" w14:textId="16CB6D72" w:rsidR="00DF4C8E" w:rsidRDefault="002C50EE" w:rsidP="00F44498">
      <w:pPr>
        <w:pStyle w:val="Heading2"/>
      </w:pPr>
      <w:r>
        <w:t>4.7. Ефекти върху способността за шофиране и работа с машини</w:t>
      </w:r>
    </w:p>
    <w:p w14:paraId="15326005" w14:textId="489A5CBC" w:rsidR="001B0424" w:rsidRDefault="001B0424" w:rsidP="001B0424"/>
    <w:p w14:paraId="64E4659F" w14:textId="658EBB99" w:rsidR="001B0424" w:rsidRDefault="001B0424" w:rsidP="001B0424">
      <w:r>
        <w:t xml:space="preserve">Не са провеждани проучвания за влиянието върху способността за шофиране и работа с машини. Въпреки това, при шофиране и работа с машини трябва да се има предвид, че </w:t>
      </w:r>
      <w:r>
        <w:lastRenderedPageBreak/>
        <w:t>по време на антихипертензивно лечение могат да се наблюдават световъртеж и отпадналост.</w:t>
      </w:r>
    </w:p>
    <w:p w14:paraId="2FBFCAA7" w14:textId="77777777" w:rsidR="001B0424" w:rsidRPr="001B0424" w:rsidRDefault="001B0424" w:rsidP="001B0424"/>
    <w:p w14:paraId="28229498" w14:textId="22C8DFEA" w:rsidR="00DF4C8E" w:rsidRDefault="002C50EE" w:rsidP="00F44498">
      <w:pPr>
        <w:pStyle w:val="Heading2"/>
      </w:pPr>
      <w:r>
        <w:t>4.8. Нежелани лекарствени реакции</w:t>
      </w:r>
    </w:p>
    <w:p w14:paraId="0F42CAA2" w14:textId="10646C4A" w:rsidR="001B0424" w:rsidRDefault="001B0424" w:rsidP="001B0424"/>
    <w:p w14:paraId="38D8CE77"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Нежеланите лекарствени реакции са изброени поотделно за всяко отделно активно вещество.</w:t>
      </w:r>
    </w:p>
    <w:p w14:paraId="0D9E5A3B" w14:textId="77777777" w:rsidR="001B0424" w:rsidRPr="001B0424" w:rsidRDefault="001B0424" w:rsidP="001B0424">
      <w:pPr>
        <w:spacing w:line="240" w:lineRule="auto"/>
        <w:rPr>
          <w:rFonts w:eastAsia="Times New Roman" w:cs="Arial"/>
          <w:color w:val="000000"/>
          <w:szCs w:val="20"/>
          <w:lang w:eastAsia="bg-BG"/>
        </w:rPr>
      </w:pPr>
    </w:p>
    <w:p w14:paraId="7075867E" w14:textId="1D34CCB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Честотата на нежеланите лекарствени реакции е класифицирана както следва: много чести (≥1/10), чести (≥1/100 до &lt; 1/10), нечести (≥ 1/1 000 до &lt;1/100), редки (≥ 1/10 000 до &lt;1/1 000), много редки (&lt;1/10 000), с неизвестна честота (от наличните данни не може да бъде направена оценка).</w:t>
      </w:r>
    </w:p>
    <w:p w14:paraId="0046964D" w14:textId="77777777" w:rsidR="001B0424" w:rsidRPr="001B0424" w:rsidRDefault="001B0424" w:rsidP="001B0424">
      <w:pPr>
        <w:spacing w:line="240" w:lineRule="auto"/>
        <w:rPr>
          <w:rFonts w:eastAsia="Times New Roman" w:cs="Arial"/>
          <w:color w:val="000000"/>
          <w:szCs w:val="20"/>
          <w:u w:val="single"/>
          <w:lang w:eastAsia="bg-BG"/>
        </w:rPr>
      </w:pPr>
    </w:p>
    <w:p w14:paraId="67B572C0" w14:textId="1CF1B8AD"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u w:val="single"/>
          <w:lang w:eastAsia="bg-BG"/>
        </w:rPr>
        <w:t>Небиволол</w:t>
      </w:r>
    </w:p>
    <w:p w14:paraId="46F0C14F" w14:textId="77777777" w:rsidR="001B0424" w:rsidRPr="001B0424" w:rsidRDefault="001B0424" w:rsidP="001B0424">
      <w:pPr>
        <w:rPr>
          <w:rFonts w:eastAsia="Times New Roman" w:cs="Arial"/>
          <w:color w:val="000000"/>
          <w:szCs w:val="20"/>
          <w:lang w:eastAsia="bg-BG"/>
        </w:rPr>
      </w:pPr>
    </w:p>
    <w:p w14:paraId="779B18A3" w14:textId="63C8F905" w:rsidR="001B0424" w:rsidRDefault="001B0424" w:rsidP="001B0424">
      <w:pPr>
        <w:rPr>
          <w:rFonts w:eastAsia="Times New Roman" w:cs="Arial"/>
          <w:color w:val="000000"/>
          <w:szCs w:val="20"/>
          <w:lang w:eastAsia="bg-BG"/>
        </w:rPr>
      </w:pPr>
      <w:r w:rsidRPr="001B0424">
        <w:rPr>
          <w:rFonts w:eastAsia="Times New Roman" w:cs="Arial"/>
          <w:color w:val="000000"/>
          <w:szCs w:val="20"/>
          <w:lang w:eastAsia="bg-BG"/>
        </w:rPr>
        <w:t>Нежеланите реакции, съобщени след самостоятелно приложение на небиволол, които в голяма част от случаите са слабо до умерено изразени по интензитет, са изброени в таблицата по-долу и са класифицирани по системо-органни класове и подредени по честота:</w:t>
      </w:r>
    </w:p>
    <w:p w14:paraId="30063193" w14:textId="78A8986F" w:rsidR="001B0424" w:rsidRDefault="001B0424" w:rsidP="001B0424">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1963"/>
        <w:gridCol w:w="1622"/>
        <w:gridCol w:w="1910"/>
        <w:gridCol w:w="1448"/>
        <w:gridCol w:w="2407"/>
      </w:tblGrid>
      <w:tr w:rsidR="001B0424" w14:paraId="33AA204F" w14:textId="77777777" w:rsidTr="001B0424">
        <w:tc>
          <w:tcPr>
            <w:tcW w:w="1963" w:type="dxa"/>
          </w:tcPr>
          <w:p w14:paraId="1764294C" w14:textId="74BB28A9" w:rsidR="001B0424" w:rsidRPr="001B0424" w:rsidRDefault="001B0424" w:rsidP="001B0424">
            <w:pPr>
              <w:rPr>
                <w:rFonts w:eastAsia="Times New Roman" w:cs="Arial"/>
                <w:color w:val="000000"/>
                <w:lang w:eastAsia="bg-BG"/>
              </w:rPr>
            </w:pPr>
            <w:r w:rsidRPr="001B0424">
              <w:rPr>
                <w:rFonts w:cs="Arial"/>
                <w:b/>
                <w:bCs/>
              </w:rPr>
              <w:t>Системо-органни класове</w:t>
            </w:r>
          </w:p>
        </w:tc>
        <w:tc>
          <w:tcPr>
            <w:tcW w:w="1622" w:type="dxa"/>
          </w:tcPr>
          <w:p w14:paraId="78910838" w14:textId="4B13DD18" w:rsidR="001B0424" w:rsidRPr="001B0424" w:rsidRDefault="001B0424" w:rsidP="001B0424">
            <w:pPr>
              <w:rPr>
                <w:rFonts w:eastAsia="Times New Roman" w:cs="Arial"/>
                <w:color w:val="000000"/>
                <w:lang w:eastAsia="bg-BG"/>
              </w:rPr>
            </w:pPr>
            <w:r w:rsidRPr="001B0424">
              <w:rPr>
                <w:rFonts w:cs="Arial"/>
                <w:b/>
                <w:bCs/>
              </w:rPr>
              <w:t>Чести (≥1/100 до &lt;1/10)</w:t>
            </w:r>
          </w:p>
        </w:tc>
        <w:tc>
          <w:tcPr>
            <w:tcW w:w="1910" w:type="dxa"/>
          </w:tcPr>
          <w:p w14:paraId="5415CBBE" w14:textId="77777777" w:rsidR="001B0424" w:rsidRPr="001B0424" w:rsidRDefault="001B0424" w:rsidP="001B0424">
            <w:pPr>
              <w:rPr>
                <w:rFonts w:cs="Arial"/>
              </w:rPr>
            </w:pPr>
            <w:r w:rsidRPr="001B0424">
              <w:rPr>
                <w:rFonts w:cs="Arial"/>
                <w:b/>
                <w:bCs/>
              </w:rPr>
              <w:t>Нечести (≥1/1 000 до</w:t>
            </w:r>
          </w:p>
          <w:p w14:paraId="6EF554B6" w14:textId="633612AF" w:rsidR="001B0424" w:rsidRPr="001B0424" w:rsidRDefault="001B0424" w:rsidP="001B0424">
            <w:pPr>
              <w:rPr>
                <w:rFonts w:eastAsia="Times New Roman" w:cs="Arial"/>
                <w:color w:val="000000"/>
                <w:lang w:eastAsia="bg-BG"/>
              </w:rPr>
            </w:pPr>
            <w:r w:rsidRPr="001B0424">
              <w:rPr>
                <w:rFonts w:cs="Arial"/>
                <w:b/>
                <w:bCs/>
              </w:rPr>
              <w:t>&lt;1/100)</w:t>
            </w:r>
          </w:p>
        </w:tc>
        <w:tc>
          <w:tcPr>
            <w:tcW w:w="1448" w:type="dxa"/>
          </w:tcPr>
          <w:p w14:paraId="54BFBA6F" w14:textId="2C77BB89" w:rsidR="001B0424" w:rsidRPr="001B0424" w:rsidRDefault="001B0424" w:rsidP="001B0424">
            <w:pPr>
              <w:rPr>
                <w:rFonts w:eastAsia="Times New Roman" w:cs="Arial"/>
                <w:color w:val="000000"/>
                <w:lang w:eastAsia="bg-BG"/>
              </w:rPr>
            </w:pPr>
            <w:r w:rsidRPr="001B0424">
              <w:rPr>
                <w:rFonts w:cs="Arial"/>
                <w:b/>
                <w:bCs/>
              </w:rPr>
              <w:t>Много редки (&lt;1/10 000)</w:t>
            </w:r>
          </w:p>
        </w:tc>
        <w:tc>
          <w:tcPr>
            <w:tcW w:w="2407" w:type="dxa"/>
            <w:vAlign w:val="bottom"/>
          </w:tcPr>
          <w:p w14:paraId="5A6018F4" w14:textId="08624932" w:rsidR="001B0424" w:rsidRPr="001B0424" w:rsidRDefault="001B0424" w:rsidP="001B0424">
            <w:pPr>
              <w:rPr>
                <w:rFonts w:eastAsia="Times New Roman" w:cs="Arial"/>
                <w:color w:val="000000"/>
                <w:lang w:eastAsia="bg-BG"/>
              </w:rPr>
            </w:pPr>
            <w:r w:rsidRPr="001B0424">
              <w:rPr>
                <w:rFonts w:cs="Arial"/>
                <w:b/>
                <w:bCs/>
              </w:rPr>
              <w:t>С неизвестна честота (от наличните данни не може да бъде направена оценка)</w:t>
            </w:r>
          </w:p>
        </w:tc>
      </w:tr>
      <w:tr w:rsidR="001B0424" w14:paraId="700191C7" w14:textId="77777777" w:rsidTr="001B0424">
        <w:tc>
          <w:tcPr>
            <w:tcW w:w="1963" w:type="dxa"/>
          </w:tcPr>
          <w:p w14:paraId="20A63E1C" w14:textId="3D9EAF26" w:rsidR="001B0424" w:rsidRPr="001B0424" w:rsidRDefault="001B0424" w:rsidP="001B0424">
            <w:pPr>
              <w:rPr>
                <w:rFonts w:eastAsia="Times New Roman" w:cs="Arial"/>
                <w:color w:val="000000"/>
                <w:lang w:eastAsia="bg-BG"/>
              </w:rPr>
            </w:pPr>
            <w:r w:rsidRPr="001B0424">
              <w:rPr>
                <w:rFonts w:cs="Arial"/>
              </w:rPr>
              <w:t>Нарушения на имунната система</w:t>
            </w:r>
          </w:p>
        </w:tc>
        <w:tc>
          <w:tcPr>
            <w:tcW w:w="1622" w:type="dxa"/>
          </w:tcPr>
          <w:p w14:paraId="24A96F9F" w14:textId="77777777" w:rsidR="001B0424" w:rsidRPr="001B0424" w:rsidRDefault="001B0424" w:rsidP="001B0424">
            <w:pPr>
              <w:rPr>
                <w:rFonts w:eastAsia="Times New Roman" w:cs="Arial"/>
                <w:color w:val="000000"/>
                <w:lang w:eastAsia="bg-BG"/>
              </w:rPr>
            </w:pPr>
          </w:p>
        </w:tc>
        <w:tc>
          <w:tcPr>
            <w:tcW w:w="1910" w:type="dxa"/>
          </w:tcPr>
          <w:p w14:paraId="132BEA20" w14:textId="77777777" w:rsidR="001B0424" w:rsidRPr="001B0424" w:rsidRDefault="001B0424" w:rsidP="001B0424">
            <w:pPr>
              <w:rPr>
                <w:rFonts w:eastAsia="Times New Roman" w:cs="Arial"/>
                <w:color w:val="000000"/>
                <w:lang w:eastAsia="bg-BG"/>
              </w:rPr>
            </w:pPr>
          </w:p>
        </w:tc>
        <w:tc>
          <w:tcPr>
            <w:tcW w:w="1448" w:type="dxa"/>
          </w:tcPr>
          <w:p w14:paraId="16C18C6B" w14:textId="77777777" w:rsidR="001B0424" w:rsidRPr="001B0424" w:rsidRDefault="001B0424" w:rsidP="001B0424">
            <w:pPr>
              <w:rPr>
                <w:rFonts w:eastAsia="Times New Roman" w:cs="Arial"/>
                <w:color w:val="000000"/>
                <w:lang w:eastAsia="bg-BG"/>
              </w:rPr>
            </w:pPr>
          </w:p>
        </w:tc>
        <w:tc>
          <w:tcPr>
            <w:tcW w:w="2407" w:type="dxa"/>
            <w:vAlign w:val="bottom"/>
          </w:tcPr>
          <w:p w14:paraId="1A34A097" w14:textId="0BB21030" w:rsidR="001B0424" w:rsidRPr="001B0424" w:rsidRDefault="001B0424" w:rsidP="001B0424">
            <w:pPr>
              <w:rPr>
                <w:rFonts w:eastAsia="Times New Roman" w:cs="Arial"/>
                <w:color w:val="000000"/>
                <w:lang w:eastAsia="bg-BG"/>
              </w:rPr>
            </w:pPr>
            <w:r w:rsidRPr="001B0424">
              <w:rPr>
                <w:rFonts w:cs="Arial"/>
              </w:rPr>
              <w:t>Ангионевротичен оток, свръхчувствителност</w:t>
            </w:r>
          </w:p>
        </w:tc>
      </w:tr>
      <w:tr w:rsidR="001B0424" w14:paraId="7021489D" w14:textId="77777777" w:rsidTr="001B0424">
        <w:tc>
          <w:tcPr>
            <w:tcW w:w="1963" w:type="dxa"/>
            <w:vAlign w:val="bottom"/>
          </w:tcPr>
          <w:p w14:paraId="07425FBB" w14:textId="4923AA93" w:rsidR="001B0424" w:rsidRPr="001B0424" w:rsidRDefault="001B0424" w:rsidP="001B0424">
            <w:pPr>
              <w:rPr>
                <w:rFonts w:eastAsia="Times New Roman" w:cs="Arial"/>
                <w:color w:val="000000"/>
                <w:lang w:eastAsia="bg-BG"/>
              </w:rPr>
            </w:pPr>
            <w:r w:rsidRPr="001B0424">
              <w:rPr>
                <w:rFonts w:cs="Arial"/>
              </w:rPr>
              <w:t>Психични нарушения</w:t>
            </w:r>
          </w:p>
        </w:tc>
        <w:tc>
          <w:tcPr>
            <w:tcW w:w="1622" w:type="dxa"/>
          </w:tcPr>
          <w:p w14:paraId="185F33B8" w14:textId="77777777" w:rsidR="001B0424" w:rsidRPr="001B0424" w:rsidRDefault="001B0424" w:rsidP="001B0424">
            <w:pPr>
              <w:rPr>
                <w:rFonts w:eastAsia="Times New Roman" w:cs="Arial"/>
                <w:color w:val="000000"/>
                <w:lang w:eastAsia="bg-BG"/>
              </w:rPr>
            </w:pPr>
          </w:p>
        </w:tc>
        <w:tc>
          <w:tcPr>
            <w:tcW w:w="1910" w:type="dxa"/>
            <w:vAlign w:val="bottom"/>
          </w:tcPr>
          <w:p w14:paraId="174FE8D2" w14:textId="78539886" w:rsidR="001B0424" w:rsidRPr="001B0424" w:rsidRDefault="001B0424" w:rsidP="001B0424">
            <w:pPr>
              <w:rPr>
                <w:rFonts w:eastAsia="Times New Roman" w:cs="Arial"/>
                <w:color w:val="000000"/>
                <w:lang w:eastAsia="bg-BG"/>
              </w:rPr>
            </w:pPr>
            <w:r w:rsidRPr="001B0424">
              <w:rPr>
                <w:rFonts w:cs="Arial"/>
              </w:rPr>
              <w:t>Кошмари, депресия</w:t>
            </w:r>
          </w:p>
        </w:tc>
        <w:tc>
          <w:tcPr>
            <w:tcW w:w="1448" w:type="dxa"/>
          </w:tcPr>
          <w:p w14:paraId="6FA384FF" w14:textId="77777777" w:rsidR="001B0424" w:rsidRPr="001B0424" w:rsidRDefault="001B0424" w:rsidP="001B0424">
            <w:pPr>
              <w:rPr>
                <w:rFonts w:eastAsia="Times New Roman" w:cs="Arial"/>
                <w:color w:val="000000"/>
                <w:lang w:eastAsia="bg-BG"/>
              </w:rPr>
            </w:pPr>
          </w:p>
        </w:tc>
        <w:tc>
          <w:tcPr>
            <w:tcW w:w="2407" w:type="dxa"/>
          </w:tcPr>
          <w:p w14:paraId="6F321A21" w14:textId="77777777" w:rsidR="001B0424" w:rsidRPr="001B0424" w:rsidRDefault="001B0424" w:rsidP="001B0424">
            <w:pPr>
              <w:rPr>
                <w:rFonts w:eastAsia="Times New Roman" w:cs="Arial"/>
                <w:color w:val="000000"/>
                <w:lang w:eastAsia="bg-BG"/>
              </w:rPr>
            </w:pPr>
          </w:p>
        </w:tc>
      </w:tr>
      <w:tr w:rsidR="001B0424" w14:paraId="3B258277" w14:textId="77777777" w:rsidTr="001B0424">
        <w:tc>
          <w:tcPr>
            <w:tcW w:w="1963" w:type="dxa"/>
          </w:tcPr>
          <w:p w14:paraId="47EBAD24" w14:textId="3A0F45B1" w:rsidR="001B0424" w:rsidRPr="001B0424" w:rsidRDefault="001B0424" w:rsidP="001B0424">
            <w:pPr>
              <w:rPr>
                <w:rFonts w:eastAsia="Times New Roman" w:cs="Arial"/>
                <w:color w:val="000000"/>
                <w:lang w:eastAsia="bg-BG"/>
              </w:rPr>
            </w:pPr>
            <w:r w:rsidRPr="001B0424">
              <w:rPr>
                <w:rFonts w:cs="Arial"/>
              </w:rPr>
              <w:t>Нарушения на нервната система</w:t>
            </w:r>
          </w:p>
        </w:tc>
        <w:tc>
          <w:tcPr>
            <w:tcW w:w="1622" w:type="dxa"/>
            <w:vAlign w:val="bottom"/>
          </w:tcPr>
          <w:p w14:paraId="375E0C87" w14:textId="76F15843" w:rsidR="001B0424" w:rsidRPr="001B0424" w:rsidRDefault="001B0424" w:rsidP="001B0424">
            <w:pPr>
              <w:rPr>
                <w:rFonts w:eastAsia="Times New Roman" w:cs="Arial"/>
                <w:color w:val="000000"/>
                <w:lang w:eastAsia="bg-BG"/>
              </w:rPr>
            </w:pPr>
            <w:r w:rsidRPr="001B0424">
              <w:rPr>
                <w:rFonts w:cs="Arial"/>
              </w:rPr>
              <w:t>Главоболие, световъртеж, парестезии</w:t>
            </w:r>
          </w:p>
        </w:tc>
        <w:tc>
          <w:tcPr>
            <w:tcW w:w="1910" w:type="dxa"/>
          </w:tcPr>
          <w:p w14:paraId="2E1377B4" w14:textId="77777777" w:rsidR="001B0424" w:rsidRPr="001B0424" w:rsidRDefault="001B0424" w:rsidP="001B0424">
            <w:pPr>
              <w:rPr>
                <w:rFonts w:eastAsia="Times New Roman" w:cs="Arial"/>
                <w:color w:val="000000"/>
                <w:lang w:eastAsia="bg-BG"/>
              </w:rPr>
            </w:pPr>
          </w:p>
        </w:tc>
        <w:tc>
          <w:tcPr>
            <w:tcW w:w="1448" w:type="dxa"/>
          </w:tcPr>
          <w:p w14:paraId="3BE3F401" w14:textId="23D3EEB0" w:rsidR="001B0424" w:rsidRPr="001B0424" w:rsidRDefault="001B0424" w:rsidP="001B0424">
            <w:pPr>
              <w:rPr>
                <w:rFonts w:eastAsia="Times New Roman" w:cs="Arial"/>
                <w:color w:val="000000"/>
                <w:lang w:eastAsia="bg-BG"/>
              </w:rPr>
            </w:pPr>
            <w:r w:rsidRPr="001B0424">
              <w:rPr>
                <w:rFonts w:cs="Arial"/>
              </w:rPr>
              <w:t>Синкоп</w:t>
            </w:r>
          </w:p>
        </w:tc>
        <w:tc>
          <w:tcPr>
            <w:tcW w:w="2407" w:type="dxa"/>
          </w:tcPr>
          <w:p w14:paraId="3314AC5F" w14:textId="77777777" w:rsidR="001B0424" w:rsidRPr="001B0424" w:rsidRDefault="001B0424" w:rsidP="001B0424">
            <w:pPr>
              <w:rPr>
                <w:rFonts w:eastAsia="Times New Roman" w:cs="Arial"/>
                <w:color w:val="000000"/>
                <w:lang w:eastAsia="bg-BG"/>
              </w:rPr>
            </w:pPr>
          </w:p>
        </w:tc>
      </w:tr>
      <w:tr w:rsidR="001B0424" w14:paraId="4CFD323C" w14:textId="77777777" w:rsidTr="001B0424">
        <w:tc>
          <w:tcPr>
            <w:tcW w:w="1963" w:type="dxa"/>
            <w:vAlign w:val="bottom"/>
          </w:tcPr>
          <w:p w14:paraId="290AF3C9" w14:textId="1478A298" w:rsidR="001B0424" w:rsidRPr="001B0424" w:rsidRDefault="001B0424" w:rsidP="001B0424">
            <w:pPr>
              <w:rPr>
                <w:rFonts w:eastAsia="Times New Roman" w:cs="Arial"/>
                <w:color w:val="000000"/>
                <w:lang w:eastAsia="bg-BG"/>
              </w:rPr>
            </w:pPr>
            <w:r w:rsidRPr="001B0424">
              <w:rPr>
                <w:rFonts w:cs="Arial"/>
              </w:rPr>
              <w:t>Нарушения на очите</w:t>
            </w:r>
          </w:p>
        </w:tc>
        <w:tc>
          <w:tcPr>
            <w:tcW w:w="1622" w:type="dxa"/>
          </w:tcPr>
          <w:p w14:paraId="243736B8" w14:textId="77777777" w:rsidR="001B0424" w:rsidRPr="001B0424" w:rsidRDefault="001B0424" w:rsidP="001B0424">
            <w:pPr>
              <w:rPr>
                <w:rFonts w:eastAsia="Times New Roman" w:cs="Arial"/>
                <w:color w:val="000000"/>
                <w:lang w:eastAsia="bg-BG"/>
              </w:rPr>
            </w:pPr>
          </w:p>
        </w:tc>
        <w:tc>
          <w:tcPr>
            <w:tcW w:w="1910" w:type="dxa"/>
            <w:vAlign w:val="bottom"/>
          </w:tcPr>
          <w:p w14:paraId="753AFC5E" w14:textId="73024DB9" w:rsidR="001B0424" w:rsidRPr="001B0424" w:rsidRDefault="001B0424" w:rsidP="001B0424">
            <w:pPr>
              <w:rPr>
                <w:rFonts w:eastAsia="Times New Roman" w:cs="Arial"/>
                <w:color w:val="000000"/>
                <w:lang w:eastAsia="bg-BG"/>
              </w:rPr>
            </w:pPr>
            <w:r w:rsidRPr="001B0424">
              <w:rPr>
                <w:rFonts w:cs="Arial"/>
              </w:rPr>
              <w:t>Нарушено зрение</w:t>
            </w:r>
          </w:p>
        </w:tc>
        <w:tc>
          <w:tcPr>
            <w:tcW w:w="1448" w:type="dxa"/>
          </w:tcPr>
          <w:p w14:paraId="72F0A5F2" w14:textId="77777777" w:rsidR="001B0424" w:rsidRPr="001B0424" w:rsidRDefault="001B0424" w:rsidP="001B0424">
            <w:pPr>
              <w:rPr>
                <w:rFonts w:eastAsia="Times New Roman" w:cs="Arial"/>
                <w:color w:val="000000"/>
                <w:lang w:eastAsia="bg-BG"/>
              </w:rPr>
            </w:pPr>
          </w:p>
        </w:tc>
        <w:tc>
          <w:tcPr>
            <w:tcW w:w="2407" w:type="dxa"/>
          </w:tcPr>
          <w:p w14:paraId="151B223D" w14:textId="77777777" w:rsidR="001B0424" w:rsidRPr="001B0424" w:rsidRDefault="001B0424" w:rsidP="001B0424">
            <w:pPr>
              <w:rPr>
                <w:rFonts w:eastAsia="Times New Roman" w:cs="Arial"/>
                <w:color w:val="000000"/>
                <w:lang w:eastAsia="bg-BG"/>
              </w:rPr>
            </w:pPr>
          </w:p>
        </w:tc>
      </w:tr>
      <w:tr w:rsidR="001B0424" w14:paraId="6F365266" w14:textId="77777777" w:rsidTr="001B0424">
        <w:tc>
          <w:tcPr>
            <w:tcW w:w="1963" w:type="dxa"/>
          </w:tcPr>
          <w:p w14:paraId="287D0ADB" w14:textId="3A6CAE5D" w:rsidR="001B0424" w:rsidRPr="001B0424" w:rsidRDefault="001B0424" w:rsidP="001B0424">
            <w:pPr>
              <w:rPr>
                <w:rFonts w:eastAsia="Times New Roman" w:cs="Arial"/>
                <w:color w:val="000000"/>
                <w:lang w:eastAsia="bg-BG"/>
              </w:rPr>
            </w:pPr>
            <w:r w:rsidRPr="001B0424">
              <w:rPr>
                <w:rFonts w:cs="Arial"/>
              </w:rPr>
              <w:t>Сърдечни нарушения</w:t>
            </w:r>
          </w:p>
        </w:tc>
        <w:tc>
          <w:tcPr>
            <w:tcW w:w="1622" w:type="dxa"/>
          </w:tcPr>
          <w:p w14:paraId="60162BFA" w14:textId="77777777" w:rsidR="001B0424" w:rsidRPr="001B0424" w:rsidRDefault="001B0424" w:rsidP="001B0424">
            <w:pPr>
              <w:rPr>
                <w:rFonts w:eastAsia="Times New Roman" w:cs="Arial"/>
                <w:color w:val="000000"/>
                <w:lang w:eastAsia="bg-BG"/>
              </w:rPr>
            </w:pPr>
          </w:p>
        </w:tc>
        <w:tc>
          <w:tcPr>
            <w:tcW w:w="1910" w:type="dxa"/>
            <w:vAlign w:val="bottom"/>
          </w:tcPr>
          <w:p w14:paraId="4DA20D68" w14:textId="7669FEDF" w:rsidR="001B0424" w:rsidRPr="001B0424" w:rsidRDefault="001B0424" w:rsidP="001B0424">
            <w:pPr>
              <w:rPr>
                <w:rFonts w:eastAsia="Times New Roman" w:cs="Arial"/>
                <w:color w:val="000000"/>
                <w:lang w:eastAsia="bg-BG"/>
              </w:rPr>
            </w:pPr>
            <w:r w:rsidRPr="001B0424">
              <w:rPr>
                <w:rFonts w:cs="Arial"/>
              </w:rPr>
              <w:t xml:space="preserve">Брадикардия, сърдечна недостатъчност, забавена </w:t>
            </w:r>
            <w:r w:rsidRPr="001B0424">
              <w:rPr>
                <w:rFonts w:cs="Arial"/>
                <w:lang w:val="en-US"/>
              </w:rPr>
              <w:t>AV</w:t>
            </w:r>
            <w:r w:rsidRPr="001B0424">
              <w:rPr>
                <w:rFonts w:cs="Arial"/>
                <w:lang w:val="ru-RU"/>
              </w:rPr>
              <w:t xml:space="preserve"> </w:t>
            </w:r>
            <w:r w:rsidRPr="001B0424">
              <w:rPr>
                <w:rFonts w:cs="Arial"/>
              </w:rPr>
              <w:t>проводимост</w:t>
            </w:r>
            <w:r w:rsidRPr="001B0424">
              <w:rPr>
                <w:rFonts w:cs="Arial"/>
                <w:lang w:val="ru-RU"/>
              </w:rPr>
              <w:t>/</w:t>
            </w:r>
            <w:r w:rsidRPr="001B0424">
              <w:rPr>
                <w:rFonts w:cs="Arial"/>
                <w:lang w:val="en-US"/>
              </w:rPr>
              <w:t>AV</w:t>
            </w:r>
            <w:r w:rsidRPr="001B0424">
              <w:rPr>
                <w:rFonts w:cs="Arial"/>
                <w:lang w:val="ru-RU"/>
              </w:rPr>
              <w:t xml:space="preserve"> </w:t>
            </w:r>
            <w:r w:rsidRPr="001B0424">
              <w:rPr>
                <w:rFonts w:cs="Arial"/>
              </w:rPr>
              <w:t>блок</w:t>
            </w:r>
          </w:p>
        </w:tc>
        <w:tc>
          <w:tcPr>
            <w:tcW w:w="1448" w:type="dxa"/>
          </w:tcPr>
          <w:p w14:paraId="5CE924B9" w14:textId="77777777" w:rsidR="001B0424" w:rsidRPr="001B0424" w:rsidRDefault="001B0424" w:rsidP="001B0424">
            <w:pPr>
              <w:rPr>
                <w:rFonts w:eastAsia="Times New Roman" w:cs="Arial"/>
                <w:color w:val="000000"/>
                <w:lang w:eastAsia="bg-BG"/>
              </w:rPr>
            </w:pPr>
          </w:p>
        </w:tc>
        <w:tc>
          <w:tcPr>
            <w:tcW w:w="2407" w:type="dxa"/>
          </w:tcPr>
          <w:p w14:paraId="7732B428" w14:textId="77777777" w:rsidR="001B0424" w:rsidRPr="001B0424" w:rsidRDefault="001B0424" w:rsidP="001B0424">
            <w:pPr>
              <w:rPr>
                <w:rFonts w:eastAsia="Times New Roman" w:cs="Arial"/>
                <w:color w:val="000000"/>
                <w:lang w:eastAsia="bg-BG"/>
              </w:rPr>
            </w:pPr>
          </w:p>
        </w:tc>
      </w:tr>
      <w:tr w:rsidR="001B0424" w14:paraId="5362E55C" w14:textId="77777777" w:rsidTr="001B0424">
        <w:tc>
          <w:tcPr>
            <w:tcW w:w="1963" w:type="dxa"/>
          </w:tcPr>
          <w:p w14:paraId="1203F43D" w14:textId="5B63B017" w:rsidR="001B0424" w:rsidRPr="001B0424" w:rsidRDefault="001B0424" w:rsidP="001B0424">
            <w:pPr>
              <w:rPr>
                <w:rFonts w:eastAsia="Times New Roman" w:cs="Arial"/>
                <w:color w:val="000000"/>
                <w:lang w:eastAsia="bg-BG"/>
              </w:rPr>
            </w:pPr>
            <w:r w:rsidRPr="001B0424">
              <w:rPr>
                <w:rFonts w:cs="Arial"/>
              </w:rPr>
              <w:t>Съдови нарушения</w:t>
            </w:r>
          </w:p>
        </w:tc>
        <w:tc>
          <w:tcPr>
            <w:tcW w:w="1622" w:type="dxa"/>
          </w:tcPr>
          <w:p w14:paraId="3CBD9244" w14:textId="77777777" w:rsidR="001B0424" w:rsidRPr="001B0424" w:rsidRDefault="001B0424" w:rsidP="001B0424">
            <w:pPr>
              <w:rPr>
                <w:rFonts w:eastAsia="Times New Roman" w:cs="Arial"/>
                <w:color w:val="000000"/>
                <w:lang w:eastAsia="bg-BG"/>
              </w:rPr>
            </w:pPr>
          </w:p>
        </w:tc>
        <w:tc>
          <w:tcPr>
            <w:tcW w:w="1910" w:type="dxa"/>
            <w:vAlign w:val="bottom"/>
          </w:tcPr>
          <w:p w14:paraId="4FA106D4" w14:textId="1A673E98" w:rsidR="001B0424" w:rsidRPr="001B0424" w:rsidRDefault="001B0424" w:rsidP="001B0424">
            <w:pPr>
              <w:rPr>
                <w:rFonts w:eastAsia="Times New Roman" w:cs="Arial"/>
                <w:color w:val="000000"/>
                <w:lang w:eastAsia="bg-BG"/>
              </w:rPr>
            </w:pPr>
            <w:r w:rsidRPr="001B0424">
              <w:rPr>
                <w:rFonts w:cs="Arial"/>
              </w:rPr>
              <w:t>Хипотония, (влошаване на) клаудикацио интермитенс</w:t>
            </w:r>
          </w:p>
        </w:tc>
        <w:tc>
          <w:tcPr>
            <w:tcW w:w="1448" w:type="dxa"/>
          </w:tcPr>
          <w:p w14:paraId="6F8FE1D5" w14:textId="77777777" w:rsidR="001B0424" w:rsidRPr="001B0424" w:rsidRDefault="001B0424" w:rsidP="001B0424">
            <w:pPr>
              <w:rPr>
                <w:rFonts w:eastAsia="Times New Roman" w:cs="Arial"/>
                <w:color w:val="000000"/>
                <w:lang w:eastAsia="bg-BG"/>
              </w:rPr>
            </w:pPr>
          </w:p>
        </w:tc>
        <w:tc>
          <w:tcPr>
            <w:tcW w:w="2407" w:type="dxa"/>
            <w:vAlign w:val="bottom"/>
          </w:tcPr>
          <w:p w14:paraId="7DD79B04" w14:textId="77777777" w:rsidR="001B0424" w:rsidRPr="001B0424" w:rsidRDefault="001B0424" w:rsidP="001B0424">
            <w:pPr>
              <w:rPr>
                <w:rFonts w:eastAsia="Times New Roman" w:cs="Arial"/>
                <w:color w:val="000000"/>
                <w:lang w:eastAsia="bg-BG"/>
              </w:rPr>
            </w:pPr>
          </w:p>
        </w:tc>
      </w:tr>
      <w:tr w:rsidR="001B0424" w14:paraId="0DA17CC4" w14:textId="77777777" w:rsidTr="001B0424">
        <w:tc>
          <w:tcPr>
            <w:tcW w:w="1963" w:type="dxa"/>
          </w:tcPr>
          <w:p w14:paraId="1405CC79" w14:textId="46FF695E" w:rsidR="001B0424" w:rsidRPr="001B0424" w:rsidRDefault="001B0424" w:rsidP="001B0424">
            <w:pPr>
              <w:rPr>
                <w:rFonts w:eastAsia="Times New Roman" w:cs="Arial"/>
                <w:color w:val="000000"/>
                <w:lang w:eastAsia="bg-BG"/>
              </w:rPr>
            </w:pPr>
            <w:r w:rsidRPr="001B0424">
              <w:rPr>
                <w:rFonts w:cs="Arial"/>
              </w:rPr>
              <w:lastRenderedPageBreak/>
              <w:t>Респираторни, гръдни и медиастинални нарушения</w:t>
            </w:r>
          </w:p>
        </w:tc>
        <w:tc>
          <w:tcPr>
            <w:tcW w:w="1622" w:type="dxa"/>
          </w:tcPr>
          <w:p w14:paraId="3D81ED76" w14:textId="4F7A15BC" w:rsidR="001B0424" w:rsidRPr="001B0424" w:rsidRDefault="001B0424" w:rsidP="001B0424">
            <w:pPr>
              <w:rPr>
                <w:rFonts w:eastAsia="Times New Roman" w:cs="Arial"/>
                <w:color w:val="000000"/>
                <w:lang w:eastAsia="bg-BG"/>
              </w:rPr>
            </w:pPr>
            <w:r w:rsidRPr="001B0424">
              <w:rPr>
                <w:rFonts w:cs="Arial"/>
              </w:rPr>
              <w:t>Диспнея</w:t>
            </w:r>
          </w:p>
        </w:tc>
        <w:tc>
          <w:tcPr>
            <w:tcW w:w="1910" w:type="dxa"/>
          </w:tcPr>
          <w:p w14:paraId="3C7FA7DA" w14:textId="19A0BE4B" w:rsidR="001B0424" w:rsidRPr="001B0424" w:rsidRDefault="001B0424" w:rsidP="001B0424">
            <w:pPr>
              <w:rPr>
                <w:rFonts w:eastAsia="Times New Roman" w:cs="Arial"/>
                <w:color w:val="000000"/>
                <w:lang w:eastAsia="bg-BG"/>
              </w:rPr>
            </w:pPr>
            <w:r w:rsidRPr="001B0424">
              <w:rPr>
                <w:rFonts w:cs="Arial"/>
              </w:rPr>
              <w:t>Бронхоспазъм</w:t>
            </w:r>
          </w:p>
        </w:tc>
        <w:tc>
          <w:tcPr>
            <w:tcW w:w="1448" w:type="dxa"/>
          </w:tcPr>
          <w:p w14:paraId="085723D3" w14:textId="77777777" w:rsidR="001B0424" w:rsidRPr="001B0424" w:rsidRDefault="001B0424" w:rsidP="001B0424">
            <w:pPr>
              <w:rPr>
                <w:rFonts w:eastAsia="Times New Roman" w:cs="Arial"/>
                <w:color w:val="000000"/>
                <w:lang w:eastAsia="bg-BG"/>
              </w:rPr>
            </w:pPr>
          </w:p>
        </w:tc>
        <w:tc>
          <w:tcPr>
            <w:tcW w:w="2407" w:type="dxa"/>
          </w:tcPr>
          <w:p w14:paraId="12061006" w14:textId="77777777" w:rsidR="001B0424" w:rsidRPr="001B0424" w:rsidRDefault="001B0424" w:rsidP="001B0424">
            <w:pPr>
              <w:rPr>
                <w:rFonts w:eastAsia="Times New Roman" w:cs="Arial"/>
                <w:color w:val="000000"/>
                <w:lang w:eastAsia="bg-BG"/>
              </w:rPr>
            </w:pPr>
          </w:p>
        </w:tc>
      </w:tr>
      <w:tr w:rsidR="001B0424" w14:paraId="046800C9" w14:textId="77777777" w:rsidTr="001B0424">
        <w:tc>
          <w:tcPr>
            <w:tcW w:w="1963" w:type="dxa"/>
          </w:tcPr>
          <w:p w14:paraId="073C22BB" w14:textId="46B0F36D" w:rsidR="001B0424" w:rsidRPr="001B0424" w:rsidRDefault="001B0424" w:rsidP="001B0424">
            <w:pPr>
              <w:rPr>
                <w:rFonts w:eastAsia="Times New Roman" w:cs="Arial"/>
                <w:color w:val="000000"/>
                <w:lang w:eastAsia="bg-BG"/>
              </w:rPr>
            </w:pPr>
            <w:r w:rsidRPr="001B0424">
              <w:rPr>
                <w:rFonts w:cs="Arial"/>
              </w:rPr>
              <w:t>Стомашно-чревни нарушения</w:t>
            </w:r>
          </w:p>
        </w:tc>
        <w:tc>
          <w:tcPr>
            <w:tcW w:w="1622" w:type="dxa"/>
          </w:tcPr>
          <w:p w14:paraId="290D03E7" w14:textId="0D776E93" w:rsidR="001B0424" w:rsidRPr="001B0424" w:rsidRDefault="001B0424" w:rsidP="001B0424">
            <w:pPr>
              <w:rPr>
                <w:rFonts w:eastAsia="Times New Roman" w:cs="Arial"/>
                <w:color w:val="000000"/>
                <w:lang w:eastAsia="bg-BG"/>
              </w:rPr>
            </w:pPr>
            <w:r w:rsidRPr="001B0424">
              <w:rPr>
                <w:rFonts w:cs="Arial"/>
              </w:rPr>
              <w:t>Констипация, гадене, диария</w:t>
            </w:r>
          </w:p>
        </w:tc>
        <w:tc>
          <w:tcPr>
            <w:tcW w:w="1910" w:type="dxa"/>
          </w:tcPr>
          <w:p w14:paraId="735B6F96" w14:textId="39D9A5F0" w:rsidR="001B0424" w:rsidRPr="001B0424" w:rsidRDefault="001B0424" w:rsidP="001B0424">
            <w:pPr>
              <w:rPr>
                <w:rFonts w:eastAsia="Times New Roman" w:cs="Arial"/>
                <w:color w:val="000000"/>
                <w:lang w:eastAsia="bg-BG"/>
              </w:rPr>
            </w:pPr>
            <w:r w:rsidRPr="001B0424">
              <w:rPr>
                <w:rFonts w:cs="Arial"/>
              </w:rPr>
              <w:t>Диспепсия, флатуленция, повръщане</w:t>
            </w:r>
          </w:p>
        </w:tc>
        <w:tc>
          <w:tcPr>
            <w:tcW w:w="1448" w:type="dxa"/>
          </w:tcPr>
          <w:p w14:paraId="15D4AFF3" w14:textId="77777777" w:rsidR="001B0424" w:rsidRPr="001B0424" w:rsidRDefault="001B0424" w:rsidP="001B0424">
            <w:pPr>
              <w:rPr>
                <w:rFonts w:eastAsia="Times New Roman" w:cs="Arial"/>
                <w:color w:val="000000"/>
                <w:lang w:eastAsia="bg-BG"/>
              </w:rPr>
            </w:pPr>
          </w:p>
        </w:tc>
        <w:tc>
          <w:tcPr>
            <w:tcW w:w="2407" w:type="dxa"/>
          </w:tcPr>
          <w:p w14:paraId="1B6ECAD5" w14:textId="77777777" w:rsidR="001B0424" w:rsidRPr="001B0424" w:rsidRDefault="001B0424" w:rsidP="001B0424">
            <w:pPr>
              <w:rPr>
                <w:rFonts w:eastAsia="Times New Roman" w:cs="Arial"/>
                <w:color w:val="000000"/>
                <w:lang w:eastAsia="bg-BG"/>
              </w:rPr>
            </w:pPr>
          </w:p>
        </w:tc>
      </w:tr>
      <w:tr w:rsidR="001B0424" w14:paraId="155F4D7B" w14:textId="77777777" w:rsidTr="001B0424">
        <w:tc>
          <w:tcPr>
            <w:tcW w:w="1963" w:type="dxa"/>
          </w:tcPr>
          <w:p w14:paraId="24F2C35D" w14:textId="6DBFCC4A" w:rsidR="001B0424" w:rsidRPr="001B0424" w:rsidRDefault="001B0424" w:rsidP="001B0424">
            <w:pPr>
              <w:rPr>
                <w:rFonts w:eastAsia="Times New Roman" w:cs="Arial"/>
                <w:color w:val="000000"/>
                <w:lang w:eastAsia="bg-BG"/>
              </w:rPr>
            </w:pPr>
            <w:r w:rsidRPr="001B0424">
              <w:rPr>
                <w:rFonts w:cs="Arial"/>
              </w:rPr>
              <w:t>Нарушения на кожата и подкожната тъкан</w:t>
            </w:r>
          </w:p>
        </w:tc>
        <w:tc>
          <w:tcPr>
            <w:tcW w:w="1622" w:type="dxa"/>
          </w:tcPr>
          <w:p w14:paraId="103D7DF0" w14:textId="77777777" w:rsidR="001B0424" w:rsidRPr="001B0424" w:rsidRDefault="001B0424" w:rsidP="001B0424">
            <w:pPr>
              <w:rPr>
                <w:rFonts w:eastAsia="Times New Roman" w:cs="Arial"/>
                <w:color w:val="000000"/>
                <w:lang w:eastAsia="bg-BG"/>
              </w:rPr>
            </w:pPr>
          </w:p>
        </w:tc>
        <w:tc>
          <w:tcPr>
            <w:tcW w:w="1910" w:type="dxa"/>
          </w:tcPr>
          <w:p w14:paraId="221507AD" w14:textId="720D267F" w:rsidR="001B0424" w:rsidRPr="001B0424" w:rsidRDefault="001B0424" w:rsidP="001B0424">
            <w:pPr>
              <w:rPr>
                <w:rFonts w:eastAsia="Times New Roman" w:cs="Arial"/>
                <w:color w:val="000000"/>
                <w:lang w:eastAsia="bg-BG"/>
              </w:rPr>
            </w:pPr>
            <w:r w:rsidRPr="001B0424">
              <w:rPr>
                <w:rFonts w:cs="Arial"/>
              </w:rPr>
              <w:t>Пруритус, еритематозен обрив</w:t>
            </w:r>
          </w:p>
        </w:tc>
        <w:tc>
          <w:tcPr>
            <w:tcW w:w="1448" w:type="dxa"/>
          </w:tcPr>
          <w:p w14:paraId="1BD44720" w14:textId="7D8ABA76" w:rsidR="001B0424" w:rsidRPr="001B0424" w:rsidRDefault="001B0424" w:rsidP="001B0424">
            <w:pPr>
              <w:rPr>
                <w:rFonts w:eastAsia="Times New Roman" w:cs="Arial"/>
                <w:color w:val="000000"/>
                <w:lang w:eastAsia="bg-BG"/>
              </w:rPr>
            </w:pPr>
            <w:r w:rsidRPr="001B0424">
              <w:rPr>
                <w:rFonts w:cs="Arial"/>
              </w:rPr>
              <w:t>Утежняване на псориазис</w:t>
            </w:r>
          </w:p>
        </w:tc>
        <w:tc>
          <w:tcPr>
            <w:tcW w:w="2407" w:type="dxa"/>
          </w:tcPr>
          <w:p w14:paraId="39B950D8" w14:textId="4E204976" w:rsidR="001B0424" w:rsidRPr="001B0424" w:rsidRDefault="001B0424" w:rsidP="001B0424">
            <w:pPr>
              <w:rPr>
                <w:rFonts w:eastAsia="Times New Roman" w:cs="Arial"/>
                <w:color w:val="000000"/>
                <w:lang w:eastAsia="bg-BG"/>
              </w:rPr>
            </w:pPr>
            <w:r w:rsidRPr="001B0424">
              <w:rPr>
                <w:rFonts w:cs="Arial"/>
              </w:rPr>
              <w:t>Уртикария</w:t>
            </w:r>
          </w:p>
        </w:tc>
      </w:tr>
      <w:tr w:rsidR="001B0424" w14:paraId="5E84129E" w14:textId="77777777" w:rsidTr="001B0424">
        <w:tc>
          <w:tcPr>
            <w:tcW w:w="1963" w:type="dxa"/>
          </w:tcPr>
          <w:p w14:paraId="042C2774" w14:textId="47AF12CD" w:rsidR="001B0424" w:rsidRPr="001B0424" w:rsidRDefault="001B0424" w:rsidP="001B0424">
            <w:pPr>
              <w:rPr>
                <w:rFonts w:eastAsia="Times New Roman" w:cs="Arial"/>
                <w:color w:val="000000"/>
                <w:lang w:eastAsia="bg-BG"/>
              </w:rPr>
            </w:pPr>
            <w:r w:rsidRPr="001B0424">
              <w:rPr>
                <w:rFonts w:cs="Arial"/>
              </w:rPr>
              <w:t>Нарушения на репродуктивната система и гърдата</w:t>
            </w:r>
          </w:p>
        </w:tc>
        <w:tc>
          <w:tcPr>
            <w:tcW w:w="1622" w:type="dxa"/>
          </w:tcPr>
          <w:p w14:paraId="2CF2305C" w14:textId="77777777" w:rsidR="001B0424" w:rsidRPr="001B0424" w:rsidRDefault="001B0424" w:rsidP="001B0424">
            <w:pPr>
              <w:rPr>
                <w:rFonts w:eastAsia="Times New Roman" w:cs="Arial"/>
                <w:color w:val="000000"/>
                <w:lang w:eastAsia="bg-BG"/>
              </w:rPr>
            </w:pPr>
          </w:p>
        </w:tc>
        <w:tc>
          <w:tcPr>
            <w:tcW w:w="1910" w:type="dxa"/>
          </w:tcPr>
          <w:p w14:paraId="6235FB22" w14:textId="227121A2" w:rsidR="001B0424" w:rsidRPr="001B0424" w:rsidRDefault="001B0424" w:rsidP="001B0424">
            <w:pPr>
              <w:rPr>
                <w:rFonts w:eastAsia="Times New Roman" w:cs="Arial"/>
                <w:color w:val="000000"/>
                <w:lang w:eastAsia="bg-BG"/>
              </w:rPr>
            </w:pPr>
            <w:r w:rsidRPr="001B0424">
              <w:rPr>
                <w:rFonts w:cs="Arial"/>
              </w:rPr>
              <w:t>Импотентност</w:t>
            </w:r>
          </w:p>
        </w:tc>
        <w:tc>
          <w:tcPr>
            <w:tcW w:w="1448" w:type="dxa"/>
          </w:tcPr>
          <w:p w14:paraId="4BF02CA7" w14:textId="77777777" w:rsidR="001B0424" w:rsidRPr="001B0424" w:rsidRDefault="001B0424" w:rsidP="001B0424">
            <w:pPr>
              <w:rPr>
                <w:rFonts w:eastAsia="Times New Roman" w:cs="Arial"/>
                <w:color w:val="000000"/>
                <w:lang w:eastAsia="bg-BG"/>
              </w:rPr>
            </w:pPr>
          </w:p>
        </w:tc>
        <w:tc>
          <w:tcPr>
            <w:tcW w:w="2407" w:type="dxa"/>
          </w:tcPr>
          <w:p w14:paraId="57EDF2AF" w14:textId="77777777" w:rsidR="001B0424" w:rsidRPr="001B0424" w:rsidRDefault="001B0424" w:rsidP="001B0424">
            <w:pPr>
              <w:rPr>
                <w:rFonts w:eastAsia="Times New Roman" w:cs="Arial"/>
                <w:color w:val="000000"/>
                <w:lang w:eastAsia="bg-BG"/>
              </w:rPr>
            </w:pPr>
          </w:p>
        </w:tc>
      </w:tr>
      <w:tr w:rsidR="001B0424" w14:paraId="549F534F" w14:textId="77777777" w:rsidTr="001B0424">
        <w:tc>
          <w:tcPr>
            <w:tcW w:w="1963" w:type="dxa"/>
          </w:tcPr>
          <w:p w14:paraId="0BCB1895" w14:textId="6924118D" w:rsidR="001B0424" w:rsidRPr="001B0424" w:rsidRDefault="001B0424" w:rsidP="001B0424">
            <w:pPr>
              <w:rPr>
                <w:rFonts w:eastAsia="Times New Roman" w:cs="Arial"/>
                <w:color w:val="000000"/>
                <w:lang w:eastAsia="bg-BG"/>
              </w:rPr>
            </w:pPr>
            <w:r w:rsidRPr="001B0424">
              <w:rPr>
                <w:rFonts w:cs="Arial"/>
              </w:rPr>
              <w:t>Общи нарушения и ефекти на мястото на приложение</w:t>
            </w:r>
          </w:p>
        </w:tc>
        <w:tc>
          <w:tcPr>
            <w:tcW w:w="1622" w:type="dxa"/>
          </w:tcPr>
          <w:p w14:paraId="097AD629" w14:textId="27C235ED" w:rsidR="001B0424" w:rsidRPr="001B0424" w:rsidRDefault="001B0424" w:rsidP="001B0424">
            <w:pPr>
              <w:rPr>
                <w:rFonts w:eastAsia="Times New Roman" w:cs="Arial"/>
                <w:color w:val="000000"/>
                <w:lang w:eastAsia="bg-BG"/>
              </w:rPr>
            </w:pPr>
            <w:r w:rsidRPr="001B0424">
              <w:rPr>
                <w:rFonts w:cs="Arial"/>
              </w:rPr>
              <w:t>Отпадналост, оток</w:t>
            </w:r>
          </w:p>
        </w:tc>
        <w:tc>
          <w:tcPr>
            <w:tcW w:w="1910" w:type="dxa"/>
          </w:tcPr>
          <w:p w14:paraId="4876A80E" w14:textId="77777777" w:rsidR="001B0424" w:rsidRPr="001B0424" w:rsidRDefault="001B0424" w:rsidP="001B0424">
            <w:pPr>
              <w:rPr>
                <w:rFonts w:eastAsia="Times New Roman" w:cs="Arial"/>
                <w:color w:val="000000"/>
                <w:lang w:eastAsia="bg-BG"/>
              </w:rPr>
            </w:pPr>
          </w:p>
        </w:tc>
        <w:tc>
          <w:tcPr>
            <w:tcW w:w="1448" w:type="dxa"/>
          </w:tcPr>
          <w:p w14:paraId="0B19EDAB" w14:textId="77777777" w:rsidR="001B0424" w:rsidRPr="001B0424" w:rsidRDefault="001B0424" w:rsidP="001B0424">
            <w:pPr>
              <w:rPr>
                <w:rFonts w:eastAsia="Times New Roman" w:cs="Arial"/>
                <w:color w:val="000000"/>
                <w:lang w:eastAsia="bg-BG"/>
              </w:rPr>
            </w:pPr>
          </w:p>
        </w:tc>
        <w:tc>
          <w:tcPr>
            <w:tcW w:w="2407" w:type="dxa"/>
          </w:tcPr>
          <w:p w14:paraId="7CBF5EA8" w14:textId="77777777" w:rsidR="001B0424" w:rsidRPr="001B0424" w:rsidRDefault="001B0424" w:rsidP="001B0424">
            <w:pPr>
              <w:rPr>
                <w:rFonts w:eastAsia="Times New Roman" w:cs="Arial"/>
                <w:color w:val="000000"/>
                <w:lang w:eastAsia="bg-BG"/>
              </w:rPr>
            </w:pPr>
          </w:p>
        </w:tc>
      </w:tr>
    </w:tbl>
    <w:p w14:paraId="726409CD" w14:textId="77777777" w:rsidR="001B0424" w:rsidRDefault="001B0424" w:rsidP="001B0424">
      <w:pPr>
        <w:spacing w:line="240" w:lineRule="auto"/>
        <w:rPr>
          <w:rFonts w:ascii="Times New Roman" w:eastAsia="Times New Roman" w:hAnsi="Times New Roman" w:cs="Times New Roman"/>
          <w:color w:val="000000"/>
          <w:sz w:val="20"/>
          <w:szCs w:val="20"/>
          <w:lang w:eastAsia="bg-BG"/>
        </w:rPr>
      </w:pPr>
    </w:p>
    <w:p w14:paraId="3486FCCC" w14:textId="043B4F76" w:rsidR="001B0424" w:rsidRPr="001B0424" w:rsidRDefault="001B0424" w:rsidP="001B0424">
      <w:pPr>
        <w:spacing w:line="240" w:lineRule="auto"/>
        <w:rPr>
          <w:rFonts w:eastAsia="Times New Roman" w:cs="Arial"/>
        </w:rPr>
      </w:pPr>
      <w:r w:rsidRPr="001B0424">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обърканост, студени/цианотични крайници, феномен на Рейно, сухота в очите, окуло-мукокутанна токсичност от практололов тип.</w:t>
      </w:r>
    </w:p>
    <w:p w14:paraId="587793CE" w14:textId="77777777" w:rsidR="001B0424" w:rsidRPr="001B0424" w:rsidRDefault="001B0424" w:rsidP="001B0424">
      <w:pPr>
        <w:spacing w:line="240" w:lineRule="auto"/>
        <w:rPr>
          <w:rFonts w:eastAsia="Times New Roman" w:cs="Arial"/>
          <w:color w:val="000000"/>
          <w:u w:val="single"/>
          <w:lang w:eastAsia="bg-BG"/>
        </w:rPr>
      </w:pPr>
    </w:p>
    <w:p w14:paraId="399CEDE9" w14:textId="02D8F690" w:rsidR="001B0424" w:rsidRPr="001B0424" w:rsidRDefault="001B0424" w:rsidP="001B0424">
      <w:pPr>
        <w:spacing w:line="240" w:lineRule="auto"/>
        <w:rPr>
          <w:rFonts w:eastAsia="Times New Roman" w:cs="Arial"/>
        </w:rPr>
      </w:pPr>
      <w:r w:rsidRPr="001B0424">
        <w:rPr>
          <w:rFonts w:eastAsia="Times New Roman" w:cs="Arial"/>
          <w:color w:val="000000"/>
          <w:u w:val="single"/>
          <w:lang w:eastAsia="bg-BG"/>
        </w:rPr>
        <w:t>Хидрохлоротиазид</w:t>
      </w:r>
    </w:p>
    <w:p w14:paraId="62DEABB8" w14:textId="77777777" w:rsidR="001B0424" w:rsidRPr="001B0424" w:rsidRDefault="001B0424" w:rsidP="001B0424">
      <w:pPr>
        <w:spacing w:line="240" w:lineRule="auto"/>
        <w:rPr>
          <w:rFonts w:eastAsia="Times New Roman" w:cs="Arial"/>
          <w:color w:val="000000"/>
          <w:lang w:eastAsia="bg-BG"/>
        </w:rPr>
      </w:pPr>
    </w:p>
    <w:p w14:paraId="545FC847" w14:textId="7E6E2717" w:rsidR="001B0424" w:rsidRPr="001B0424" w:rsidRDefault="001B0424" w:rsidP="001B0424">
      <w:pPr>
        <w:spacing w:line="240" w:lineRule="auto"/>
        <w:rPr>
          <w:rFonts w:eastAsia="Times New Roman" w:cs="Arial"/>
        </w:rPr>
      </w:pPr>
      <w:r w:rsidRPr="001B0424">
        <w:rPr>
          <w:rFonts w:eastAsia="Times New Roman" w:cs="Arial"/>
          <w:color w:val="000000"/>
          <w:lang w:eastAsia="bg-BG"/>
        </w:rPr>
        <w:t>Нежеланите реакции, които са съобщени при самостоятелната употреба на хидрохлоротиазид са следните:</w:t>
      </w:r>
    </w:p>
    <w:p w14:paraId="61317867" w14:textId="77777777" w:rsidR="001B0424" w:rsidRPr="001B0424" w:rsidRDefault="001B0424" w:rsidP="001B0424">
      <w:pPr>
        <w:spacing w:line="240" w:lineRule="auto"/>
        <w:rPr>
          <w:rFonts w:eastAsia="Times New Roman" w:cs="Arial"/>
          <w:i/>
          <w:iCs/>
          <w:color w:val="000000"/>
          <w:lang w:eastAsia="bg-BG"/>
        </w:rPr>
      </w:pPr>
    </w:p>
    <w:p w14:paraId="79933451" w14:textId="3ADA3BB6"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Неоплазми -доброкачествени, злокачествени и неопределени (вкл. кисти и полипи)</w:t>
      </w:r>
    </w:p>
    <w:p w14:paraId="1F4AF02E"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w:t>
      </w:r>
      <w:r w:rsidRPr="001B0424">
        <w:rPr>
          <w:rFonts w:eastAsia="Times New Roman" w:cs="Arial"/>
          <w:color w:val="000000"/>
          <w:lang w:eastAsia="bg-BG"/>
        </w:rPr>
        <w:tab/>
        <w:t>немеланомен рак на кожата (базалноклетьчен карцином</w:t>
      </w:r>
    </w:p>
    <w:p w14:paraId="18ECC5CB"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и сквамозноклетьчен карцином)</w:t>
      </w:r>
    </w:p>
    <w:p w14:paraId="05492B27" w14:textId="77777777" w:rsidR="001B0424" w:rsidRPr="001B0424" w:rsidRDefault="001B0424" w:rsidP="001B0424">
      <w:pPr>
        <w:spacing w:line="240" w:lineRule="auto"/>
        <w:rPr>
          <w:rFonts w:eastAsia="Times New Roman" w:cs="Arial"/>
          <w:i/>
          <w:iCs/>
          <w:color w:val="000000"/>
          <w:lang w:eastAsia="bg-BG"/>
        </w:rPr>
      </w:pPr>
    </w:p>
    <w:p w14:paraId="4E6CAF3F" w14:textId="41E4E59A"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кръвта и лимфната система</w:t>
      </w:r>
    </w:p>
    <w:p w14:paraId="3A8BEE10"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w:t>
      </w:r>
      <w:r w:rsidRPr="001B0424">
        <w:rPr>
          <w:rFonts w:eastAsia="Times New Roman" w:cs="Arial"/>
          <w:color w:val="000000"/>
          <w:lang w:eastAsia="bg-BG"/>
        </w:rPr>
        <w:tab/>
        <w:t>левкопения, неутропения, агранулоцитоза, тромбоцитопения,</w:t>
      </w:r>
    </w:p>
    <w:p w14:paraId="25389E0D"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апластична анемия, хемолитична анемия, костномозъчна недостатъчност.</w:t>
      </w:r>
    </w:p>
    <w:p w14:paraId="70515DA6" w14:textId="77777777" w:rsidR="001B0424" w:rsidRPr="001B0424" w:rsidRDefault="001B0424" w:rsidP="001B0424">
      <w:pPr>
        <w:spacing w:line="240" w:lineRule="auto"/>
        <w:rPr>
          <w:rFonts w:eastAsia="Times New Roman" w:cs="Arial"/>
          <w:i/>
          <w:iCs/>
          <w:color w:val="000000"/>
          <w:lang w:eastAsia="bg-BG"/>
        </w:rPr>
      </w:pPr>
    </w:p>
    <w:p w14:paraId="08142215" w14:textId="6309215A"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имунната система</w:t>
      </w:r>
    </w:p>
    <w:p w14:paraId="076C2C71"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w:t>
      </w:r>
      <w:r w:rsidRPr="001B0424">
        <w:rPr>
          <w:rFonts w:eastAsia="Times New Roman" w:cs="Arial"/>
          <w:color w:val="000000"/>
          <w:lang w:eastAsia="bg-BG"/>
        </w:rPr>
        <w:tab/>
        <w:t>анафилактична реакция</w:t>
      </w:r>
    </w:p>
    <w:p w14:paraId="37B41FC1" w14:textId="77777777" w:rsidR="001B0424" w:rsidRPr="001B0424" w:rsidRDefault="001B0424" w:rsidP="001B0424">
      <w:pPr>
        <w:spacing w:line="240" w:lineRule="auto"/>
        <w:rPr>
          <w:rFonts w:eastAsia="Times New Roman" w:cs="Arial"/>
          <w:i/>
          <w:iCs/>
          <w:color w:val="000000"/>
          <w:lang w:eastAsia="bg-BG"/>
        </w:rPr>
      </w:pPr>
    </w:p>
    <w:p w14:paraId="5BF18FFD" w14:textId="7C828EF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метаболизма и храненето</w:t>
      </w:r>
    </w:p>
    <w:p w14:paraId="5D2DCBCD" w14:textId="3D1DB7D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С</w:t>
      </w:r>
      <w:r w:rsidRPr="001B0424">
        <w:rPr>
          <w:rFonts w:eastAsia="Times New Roman" w:cs="Arial"/>
          <w:color w:val="000000"/>
          <w:lang w:eastAsia="bg-BG"/>
        </w:rPr>
        <w:t xml:space="preserve"> неизвестна честота: анорексия, дехидратация, подагра, захарен диабет, метаболитна</w:t>
      </w:r>
    </w:p>
    <w:p w14:paraId="40F07115"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алкалоза, хиперурикемия, електролитен дисбаланс (включително хипонатриемия, хипокалиемия, хипомагнезиемия, хипохлоремия, хиперкалциемия), хипергликемия, хиперамилаземия.</w:t>
      </w:r>
    </w:p>
    <w:p w14:paraId="06107D20" w14:textId="77777777" w:rsidR="001B0424" w:rsidRPr="001B0424" w:rsidRDefault="001B0424" w:rsidP="001B0424">
      <w:pPr>
        <w:spacing w:line="240" w:lineRule="auto"/>
        <w:rPr>
          <w:rFonts w:eastAsia="Times New Roman" w:cs="Arial"/>
          <w:i/>
          <w:iCs/>
          <w:color w:val="000000"/>
          <w:lang w:eastAsia="bg-BG"/>
        </w:rPr>
      </w:pPr>
    </w:p>
    <w:p w14:paraId="632F04E6" w14:textId="14331099"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Психични нарушения</w:t>
      </w:r>
    </w:p>
    <w:p w14:paraId="1DDBD654"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w:t>
      </w:r>
      <w:r w:rsidRPr="001B0424">
        <w:rPr>
          <w:rFonts w:eastAsia="Times New Roman" w:cs="Arial"/>
          <w:color w:val="000000"/>
          <w:lang w:eastAsia="bg-BG"/>
        </w:rPr>
        <w:tab/>
        <w:t>апатия, състояние на обърканост, депресия, нервност,</w:t>
      </w:r>
    </w:p>
    <w:p w14:paraId="15BA2823"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lastRenderedPageBreak/>
        <w:t>безпокойство, нарушения на съня.</w:t>
      </w:r>
    </w:p>
    <w:p w14:paraId="3BAEFD0C" w14:textId="77777777" w:rsidR="001B0424" w:rsidRPr="001B0424" w:rsidRDefault="001B0424" w:rsidP="001B0424">
      <w:pPr>
        <w:spacing w:line="240" w:lineRule="auto"/>
        <w:rPr>
          <w:rFonts w:eastAsia="Times New Roman" w:cs="Arial"/>
          <w:i/>
          <w:iCs/>
          <w:color w:val="000000"/>
          <w:lang w:eastAsia="bg-BG"/>
        </w:rPr>
      </w:pPr>
    </w:p>
    <w:p w14:paraId="21A29577" w14:textId="419CE94D"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нервната система</w:t>
      </w:r>
    </w:p>
    <w:p w14:paraId="754CCC65" w14:textId="7DB07632"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конвулсии, замъглено съзнание, кома, главоболие, замаяност,</w:t>
      </w:r>
    </w:p>
    <w:p w14:paraId="58E56249" w14:textId="00504FAC" w:rsidR="001B0424" w:rsidRPr="001B0424" w:rsidRDefault="001B0424" w:rsidP="001B0424">
      <w:pPr>
        <w:spacing w:line="240" w:lineRule="auto"/>
        <w:rPr>
          <w:rFonts w:eastAsia="Times New Roman" w:cs="Arial"/>
          <w:color w:val="000000"/>
          <w:lang w:eastAsia="bg-BG"/>
        </w:rPr>
      </w:pPr>
      <w:r w:rsidRPr="001B0424">
        <w:rPr>
          <w:rFonts w:eastAsia="Times New Roman" w:cs="Arial"/>
          <w:color w:val="000000"/>
          <w:lang w:eastAsia="bg-BG"/>
        </w:rPr>
        <w:t>парестезия, пареза.</w:t>
      </w:r>
    </w:p>
    <w:p w14:paraId="20B4F071" w14:textId="7777777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очите</w:t>
      </w:r>
    </w:p>
    <w:p w14:paraId="5878E1E3" w14:textId="3478159A"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ксантопсия, замъглено зрение, миопия (влошаване) намалена</w:t>
      </w:r>
    </w:p>
    <w:p w14:paraId="76ECD7D3" w14:textId="7DE18D6F" w:rsidR="001B0424" w:rsidRPr="001B0424" w:rsidRDefault="001B0424" w:rsidP="001B0424">
      <w:pPr>
        <w:rPr>
          <w:rFonts w:eastAsia="Times New Roman" w:cs="Arial"/>
          <w:color w:val="000000"/>
          <w:lang w:eastAsia="bg-BG"/>
        </w:rPr>
      </w:pPr>
      <w:r w:rsidRPr="001B0424">
        <w:rPr>
          <w:rFonts w:eastAsia="Times New Roman" w:cs="Arial"/>
          <w:color w:val="000000"/>
          <w:lang w:eastAsia="bg-BG"/>
        </w:rPr>
        <w:t>лакримация, хороидален излив.</w:t>
      </w:r>
    </w:p>
    <w:p w14:paraId="50FBC905" w14:textId="665B9BA8" w:rsidR="001B0424" w:rsidRPr="001B0424" w:rsidRDefault="001B0424" w:rsidP="001B0424">
      <w:pPr>
        <w:rPr>
          <w:rFonts w:eastAsia="Times New Roman" w:cs="Arial"/>
          <w:color w:val="000000"/>
          <w:lang w:eastAsia="bg-BG"/>
        </w:rPr>
      </w:pPr>
    </w:p>
    <w:p w14:paraId="4A320315" w14:textId="7777777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ухото и лабиринта</w:t>
      </w:r>
    </w:p>
    <w:p w14:paraId="7BAD1F9B" w14:textId="46A89D66"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вертиго.</w:t>
      </w:r>
    </w:p>
    <w:p w14:paraId="3921D47D" w14:textId="77777777" w:rsidR="001B0424" w:rsidRPr="001B0424" w:rsidRDefault="001B0424" w:rsidP="001B0424">
      <w:pPr>
        <w:spacing w:line="240" w:lineRule="auto"/>
        <w:rPr>
          <w:rFonts w:eastAsia="Times New Roman" w:cs="Arial"/>
          <w:i/>
          <w:iCs/>
          <w:color w:val="000000"/>
          <w:lang w:eastAsia="bg-BG"/>
        </w:rPr>
      </w:pPr>
    </w:p>
    <w:p w14:paraId="3BA27B7D" w14:textId="4DAB211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Сърдечни нарушения</w:t>
      </w:r>
    </w:p>
    <w:p w14:paraId="63683FC0" w14:textId="20716802"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сърдечни аритмии, палпитации.</w:t>
      </w:r>
    </w:p>
    <w:p w14:paraId="23A1E1E0" w14:textId="77777777" w:rsidR="001B0424" w:rsidRPr="001B0424" w:rsidRDefault="001B0424" w:rsidP="001B0424">
      <w:pPr>
        <w:spacing w:line="240" w:lineRule="auto"/>
        <w:rPr>
          <w:rFonts w:eastAsia="Times New Roman" w:cs="Arial"/>
          <w:i/>
          <w:iCs/>
          <w:color w:val="000000"/>
          <w:lang w:eastAsia="bg-BG"/>
        </w:rPr>
      </w:pPr>
    </w:p>
    <w:p w14:paraId="3162A4AF" w14:textId="61E1846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Съдови нарушения</w:t>
      </w:r>
    </w:p>
    <w:p w14:paraId="305491AF" w14:textId="671BB33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ортостатична хипотония, тромбоза, емболия, шок.</w:t>
      </w:r>
    </w:p>
    <w:p w14:paraId="3A30217B" w14:textId="77777777" w:rsidR="001B0424" w:rsidRPr="001B0424" w:rsidRDefault="001B0424" w:rsidP="001B0424">
      <w:pPr>
        <w:spacing w:line="240" w:lineRule="auto"/>
        <w:rPr>
          <w:rFonts w:eastAsia="Times New Roman" w:cs="Arial"/>
          <w:i/>
          <w:iCs/>
          <w:color w:val="000000"/>
          <w:lang w:eastAsia="bg-BG"/>
        </w:rPr>
      </w:pPr>
    </w:p>
    <w:p w14:paraId="3765C4AF" w14:textId="14632286"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Респираторни, гръдни и медиастинални нарушения</w:t>
      </w:r>
    </w:p>
    <w:p w14:paraId="56374CCF"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Много редки:</w:t>
      </w:r>
      <w:r w:rsidRPr="001B0424">
        <w:rPr>
          <w:rFonts w:eastAsia="Times New Roman" w:cs="Arial"/>
          <w:color w:val="000000"/>
          <w:lang w:eastAsia="bg-BG"/>
        </w:rPr>
        <w:tab/>
        <w:t>остър респираторен дистрес синдром (ОРДС) (вж. точка 4.4)</w:t>
      </w:r>
    </w:p>
    <w:p w14:paraId="72352D43" w14:textId="77777777" w:rsidR="001B0424" w:rsidRPr="001B0424" w:rsidRDefault="001B0424" w:rsidP="001B0424">
      <w:pPr>
        <w:spacing w:line="240" w:lineRule="auto"/>
        <w:rPr>
          <w:rFonts w:eastAsia="Times New Roman" w:cs="Arial"/>
          <w:i/>
          <w:iCs/>
          <w:color w:val="000000"/>
          <w:lang w:eastAsia="bg-BG"/>
        </w:rPr>
      </w:pPr>
    </w:p>
    <w:p w14:paraId="228A75DF" w14:textId="63814B5D"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Стомашно-чревни нарушения</w:t>
      </w:r>
    </w:p>
    <w:p w14:paraId="34D8A93B" w14:textId="47293122"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сухота в устата, гадене, повръщане, стомашен дискомфорт,</w:t>
      </w:r>
    </w:p>
    <w:p w14:paraId="76E0FF44"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диария, запек, болки в областта на корема, паралитичен илеус, метеоризъм, сиалоадеиит, панкреатит.</w:t>
      </w:r>
    </w:p>
    <w:p w14:paraId="5CB6B71B" w14:textId="77777777" w:rsidR="001B0424" w:rsidRPr="001B0424" w:rsidRDefault="001B0424" w:rsidP="001B0424">
      <w:pPr>
        <w:spacing w:line="240" w:lineRule="auto"/>
        <w:rPr>
          <w:rFonts w:eastAsia="Times New Roman" w:cs="Arial"/>
          <w:i/>
          <w:iCs/>
          <w:color w:val="000000"/>
          <w:lang w:eastAsia="bg-BG"/>
        </w:rPr>
      </w:pPr>
    </w:p>
    <w:p w14:paraId="30ADD4CE" w14:textId="7D16548E"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Хепатобилиарни нарушения</w:t>
      </w:r>
    </w:p>
    <w:p w14:paraId="17C9BB7B" w14:textId="0D150A13"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холестатична жълтеница, холецистит.</w:t>
      </w:r>
    </w:p>
    <w:p w14:paraId="2F9D6686" w14:textId="77777777" w:rsidR="001B0424" w:rsidRPr="001B0424" w:rsidRDefault="001B0424" w:rsidP="001B0424">
      <w:pPr>
        <w:spacing w:line="240" w:lineRule="auto"/>
        <w:rPr>
          <w:rFonts w:eastAsia="Times New Roman" w:cs="Arial"/>
          <w:i/>
          <w:iCs/>
          <w:color w:val="000000"/>
          <w:lang w:eastAsia="bg-BG"/>
        </w:rPr>
      </w:pPr>
    </w:p>
    <w:p w14:paraId="312A0C97" w14:textId="689B79D2"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кожата и подкожната тъкан</w:t>
      </w:r>
    </w:p>
    <w:p w14:paraId="3531CB75" w14:textId="548C66B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пруритус, пурпура, уртикария, реакции на фоточувствителност,</w:t>
      </w:r>
    </w:p>
    <w:p w14:paraId="52570FBC"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обрив, кожен лупус еритематодес, некротизиращ васкулит, токсична епвдермална некролиза и еритема мултиформе.</w:t>
      </w:r>
    </w:p>
    <w:p w14:paraId="09B312FA" w14:textId="77777777" w:rsidR="001B0424" w:rsidRPr="001B0424" w:rsidRDefault="001B0424" w:rsidP="001B0424">
      <w:pPr>
        <w:spacing w:line="240" w:lineRule="auto"/>
        <w:rPr>
          <w:rFonts w:eastAsia="Times New Roman" w:cs="Arial"/>
          <w:i/>
          <w:iCs/>
          <w:color w:val="000000"/>
          <w:lang w:eastAsia="bg-BG"/>
        </w:rPr>
      </w:pPr>
    </w:p>
    <w:p w14:paraId="71037D08" w14:textId="4472F879"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мускулно-скелетната система и съединителната тъкан и костите</w:t>
      </w:r>
    </w:p>
    <w:p w14:paraId="2DE07EAA" w14:textId="3A97AAC6"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мускулни спазми, миалгия.</w:t>
      </w:r>
    </w:p>
    <w:p w14:paraId="4F154B2F" w14:textId="77777777" w:rsidR="001B0424" w:rsidRPr="001B0424" w:rsidRDefault="001B0424" w:rsidP="001B0424">
      <w:pPr>
        <w:spacing w:line="240" w:lineRule="auto"/>
        <w:rPr>
          <w:rFonts w:eastAsia="Times New Roman" w:cs="Arial"/>
          <w:i/>
          <w:iCs/>
          <w:color w:val="000000"/>
          <w:lang w:eastAsia="bg-BG"/>
        </w:rPr>
      </w:pPr>
    </w:p>
    <w:p w14:paraId="186802D2" w14:textId="2B008C5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бъбреците и пикочните пътища</w:t>
      </w:r>
    </w:p>
    <w:p w14:paraId="6940FB91" w14:textId="17F72431"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бъбречна недостатъчност и бъбречно увреждане, остра бъбречна</w:t>
      </w:r>
    </w:p>
    <w:p w14:paraId="7CFFDC3D"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недостатъчност (нечесто), интерстициален нефрит, глюкозурия.</w:t>
      </w:r>
    </w:p>
    <w:p w14:paraId="2D3A2740" w14:textId="77777777" w:rsidR="001B0424" w:rsidRPr="001B0424" w:rsidRDefault="001B0424" w:rsidP="001B0424">
      <w:pPr>
        <w:spacing w:line="240" w:lineRule="auto"/>
        <w:rPr>
          <w:rFonts w:eastAsia="Times New Roman" w:cs="Arial"/>
          <w:i/>
          <w:iCs/>
          <w:color w:val="000000"/>
          <w:lang w:eastAsia="bg-BG"/>
        </w:rPr>
      </w:pPr>
    </w:p>
    <w:p w14:paraId="7EB105F2" w14:textId="35EBAC3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Нарушения на възпроизводителната система и гърдата</w:t>
      </w:r>
    </w:p>
    <w:p w14:paraId="683E036E" w14:textId="5D0BCD93"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еректилна дисфункция.</w:t>
      </w:r>
    </w:p>
    <w:p w14:paraId="2D7D7578" w14:textId="77777777" w:rsidR="001B0424" w:rsidRPr="001B0424" w:rsidRDefault="001B0424" w:rsidP="001B0424">
      <w:pPr>
        <w:spacing w:line="240" w:lineRule="auto"/>
        <w:rPr>
          <w:rFonts w:eastAsia="Times New Roman" w:cs="Arial"/>
          <w:i/>
          <w:iCs/>
          <w:color w:val="000000"/>
          <w:lang w:eastAsia="bg-BG"/>
        </w:rPr>
      </w:pPr>
    </w:p>
    <w:p w14:paraId="2E16902B" w14:textId="7EF238E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Общи нарушения и ефекти на мястото на приложение</w:t>
      </w:r>
    </w:p>
    <w:p w14:paraId="32A5891B" w14:textId="6FDE4921"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 астения, пирексия, умора, жажда.</w:t>
      </w:r>
    </w:p>
    <w:p w14:paraId="2A5237B0" w14:textId="77777777" w:rsidR="001B0424" w:rsidRPr="001B0424" w:rsidRDefault="001B0424" w:rsidP="001B0424">
      <w:pPr>
        <w:spacing w:line="240" w:lineRule="auto"/>
        <w:rPr>
          <w:rFonts w:eastAsia="Times New Roman" w:cs="Arial"/>
          <w:i/>
          <w:iCs/>
          <w:color w:val="000000"/>
          <w:lang w:eastAsia="bg-BG"/>
        </w:rPr>
      </w:pPr>
    </w:p>
    <w:p w14:paraId="13898F3A" w14:textId="41105323"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Изследвания</w:t>
      </w:r>
    </w:p>
    <w:p w14:paraId="1F486350"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 неизвестна честота:</w:t>
      </w:r>
      <w:r w:rsidRPr="001B0424">
        <w:rPr>
          <w:rFonts w:eastAsia="Times New Roman" w:cs="Arial"/>
          <w:color w:val="000000"/>
          <w:lang w:eastAsia="bg-BG"/>
        </w:rPr>
        <w:tab/>
        <w:t>промени в електрокардиограмата, повишен холестерол в кръвта,</w:t>
      </w:r>
    </w:p>
    <w:p w14:paraId="3716B33A"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повишени триглицериди в кръвта.</w:t>
      </w:r>
    </w:p>
    <w:p w14:paraId="3F64DAD9" w14:textId="77777777" w:rsidR="001B0424" w:rsidRPr="001B0424" w:rsidRDefault="001B0424" w:rsidP="001B0424">
      <w:pPr>
        <w:spacing w:line="240" w:lineRule="auto"/>
        <w:rPr>
          <w:rFonts w:eastAsia="Times New Roman" w:cs="Arial"/>
          <w:color w:val="000000"/>
          <w:u w:val="single"/>
          <w:lang w:eastAsia="bg-BG"/>
        </w:rPr>
      </w:pPr>
    </w:p>
    <w:p w14:paraId="7CE696A0" w14:textId="2F2F29D7" w:rsidR="001B0424" w:rsidRPr="001B0424" w:rsidRDefault="001B0424" w:rsidP="001B0424">
      <w:pPr>
        <w:spacing w:line="240" w:lineRule="auto"/>
        <w:rPr>
          <w:rFonts w:eastAsia="Times New Roman" w:cs="Arial"/>
        </w:rPr>
      </w:pPr>
      <w:r w:rsidRPr="001B0424">
        <w:rPr>
          <w:rFonts w:eastAsia="Times New Roman" w:cs="Arial"/>
          <w:color w:val="000000"/>
          <w:u w:val="single"/>
          <w:lang w:eastAsia="bg-BG"/>
        </w:rPr>
        <w:t>Описание на избрани нежелани реакции</w:t>
      </w:r>
    </w:p>
    <w:p w14:paraId="352D812B"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15D3FDE3" w14:textId="77777777" w:rsidR="001B0424" w:rsidRPr="001B0424" w:rsidRDefault="001B0424" w:rsidP="001B0424">
      <w:pPr>
        <w:spacing w:line="240" w:lineRule="auto"/>
        <w:rPr>
          <w:rFonts w:eastAsia="Times New Roman" w:cs="Arial"/>
          <w:color w:val="000000"/>
          <w:u w:val="single"/>
          <w:lang w:eastAsia="bg-BG"/>
        </w:rPr>
      </w:pPr>
    </w:p>
    <w:p w14:paraId="2DC13101" w14:textId="1B2C8416" w:rsidR="001B0424" w:rsidRPr="001B0424" w:rsidRDefault="001B0424" w:rsidP="001B0424">
      <w:pPr>
        <w:spacing w:line="240" w:lineRule="auto"/>
        <w:rPr>
          <w:rFonts w:eastAsia="Times New Roman" w:cs="Arial"/>
        </w:rPr>
      </w:pPr>
      <w:r w:rsidRPr="001B0424">
        <w:rPr>
          <w:rFonts w:eastAsia="Times New Roman" w:cs="Arial"/>
          <w:color w:val="000000"/>
          <w:u w:val="single"/>
          <w:lang w:eastAsia="bg-BG"/>
        </w:rPr>
        <w:t>Съобщаване на подозирани нежелани реакпии</w:t>
      </w:r>
    </w:p>
    <w:p w14:paraId="6781B9CB"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w:t>
      </w:r>
    </w:p>
    <w:p w14:paraId="636F69E0" w14:textId="76C1970E" w:rsidR="001B0424" w:rsidRPr="001B0424" w:rsidRDefault="001B0424" w:rsidP="001B0424">
      <w:pPr>
        <w:rPr>
          <w:rFonts w:eastAsia="Times New Roman" w:cs="Arial"/>
          <w:color w:val="000000"/>
          <w:lang w:val="ru-RU" w:eastAsia="bg-BG"/>
        </w:rPr>
      </w:pPr>
      <w:r w:rsidRPr="001B0424">
        <w:rPr>
          <w:rFonts w:eastAsia="Times New Roman" w:cs="Arial"/>
          <w:color w:val="000000"/>
          <w:lang w:eastAsia="bg-BG"/>
        </w:rPr>
        <w:t xml:space="preserve">№ 8, 1303 София, тел.: 02 8903417, уебсайт: </w:t>
      </w:r>
      <w:r w:rsidRPr="001B0424">
        <w:rPr>
          <w:rFonts w:eastAsia="Times New Roman" w:cs="Arial"/>
        </w:rPr>
        <w:fldChar w:fldCharType="begin"/>
      </w:r>
      <w:r w:rsidRPr="001B0424">
        <w:rPr>
          <w:rFonts w:eastAsia="Times New Roman" w:cs="Arial"/>
        </w:rPr>
        <w:instrText xml:space="preserve"> HYPERLINK "http://www.bda.bg" </w:instrText>
      </w:r>
      <w:r w:rsidRPr="001B0424">
        <w:rPr>
          <w:rFonts w:eastAsia="Times New Roman" w:cs="Arial"/>
        </w:rPr>
      </w:r>
      <w:r w:rsidRPr="001B0424">
        <w:rPr>
          <w:rFonts w:eastAsia="Times New Roman" w:cs="Arial"/>
        </w:rPr>
        <w:fldChar w:fldCharType="separate"/>
      </w:r>
      <w:r w:rsidRPr="001B0424">
        <w:rPr>
          <w:rFonts w:eastAsia="Times New Roman" w:cs="Arial"/>
          <w:color w:val="000000"/>
          <w:lang w:val="en-US"/>
        </w:rPr>
        <w:t>www</w:t>
      </w:r>
      <w:r w:rsidRPr="001B0424">
        <w:rPr>
          <w:rFonts w:eastAsia="Times New Roman" w:cs="Arial"/>
          <w:color w:val="000000"/>
          <w:lang w:val="ru-RU"/>
        </w:rPr>
        <w:t>.</w:t>
      </w:r>
      <w:proofErr w:type="spellStart"/>
      <w:r w:rsidRPr="001B0424">
        <w:rPr>
          <w:rFonts w:eastAsia="Times New Roman" w:cs="Arial"/>
          <w:color w:val="000000"/>
          <w:lang w:val="en-US"/>
        </w:rPr>
        <w:t>bda</w:t>
      </w:r>
      <w:proofErr w:type="spellEnd"/>
      <w:r w:rsidRPr="001B0424">
        <w:rPr>
          <w:rFonts w:eastAsia="Times New Roman" w:cs="Arial"/>
          <w:color w:val="000000"/>
          <w:lang w:val="ru-RU"/>
        </w:rPr>
        <w:t>.</w:t>
      </w:r>
      <w:proofErr w:type="spellStart"/>
      <w:r w:rsidRPr="001B0424">
        <w:rPr>
          <w:rFonts w:eastAsia="Times New Roman" w:cs="Arial"/>
          <w:color w:val="000000"/>
          <w:lang w:val="en-US"/>
        </w:rPr>
        <w:t>bg</w:t>
      </w:r>
      <w:proofErr w:type="spellEnd"/>
      <w:r w:rsidRPr="001B0424">
        <w:rPr>
          <w:rFonts w:eastAsia="Times New Roman" w:cs="Arial"/>
        </w:rPr>
        <w:fldChar w:fldCharType="end"/>
      </w:r>
      <w:r w:rsidRPr="001B0424">
        <w:rPr>
          <w:rFonts w:eastAsia="Times New Roman" w:cs="Arial"/>
          <w:color w:val="000000"/>
          <w:lang w:val="ru-RU"/>
        </w:rPr>
        <w:t>.</w:t>
      </w:r>
    </w:p>
    <w:p w14:paraId="653F9D10" w14:textId="77777777" w:rsidR="001B0424" w:rsidRPr="001B0424" w:rsidRDefault="001B0424" w:rsidP="001B0424"/>
    <w:p w14:paraId="07687653" w14:textId="39AFE8F2" w:rsidR="00DF4C8E" w:rsidRDefault="002C50EE" w:rsidP="00F44498">
      <w:pPr>
        <w:pStyle w:val="Heading2"/>
      </w:pPr>
      <w:r>
        <w:t>4.9. Предозиране</w:t>
      </w:r>
    </w:p>
    <w:p w14:paraId="2C886C0C" w14:textId="08A5E3ED" w:rsidR="001B0424" w:rsidRDefault="001B0424" w:rsidP="001B0424"/>
    <w:p w14:paraId="5596C88A" w14:textId="77777777" w:rsidR="001B0424" w:rsidRPr="001B0424" w:rsidRDefault="001B0424" w:rsidP="001B0424">
      <w:pPr>
        <w:pStyle w:val="Heading3"/>
        <w:rPr>
          <w:rFonts w:eastAsia="Times New Roman"/>
          <w:sz w:val="28"/>
          <w:u w:val="single"/>
        </w:rPr>
      </w:pPr>
      <w:r w:rsidRPr="001B0424">
        <w:rPr>
          <w:rFonts w:eastAsia="Times New Roman"/>
          <w:u w:val="single"/>
          <w:lang w:eastAsia="bg-BG"/>
        </w:rPr>
        <w:t>Симптоми</w:t>
      </w:r>
    </w:p>
    <w:p w14:paraId="19993D95" w14:textId="77777777" w:rsidR="001B0424" w:rsidRPr="001B0424" w:rsidRDefault="001B0424" w:rsidP="001B0424">
      <w:pPr>
        <w:spacing w:line="240" w:lineRule="auto"/>
        <w:rPr>
          <w:rFonts w:eastAsia="Times New Roman" w:cs="Arial"/>
          <w:color w:val="000000"/>
          <w:szCs w:val="20"/>
          <w:lang w:eastAsia="bg-BG"/>
        </w:rPr>
      </w:pPr>
    </w:p>
    <w:p w14:paraId="149844CE" w14:textId="0BAD7CCB"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Липсват данни за предозиране с небиволол. Симптомите на предозиране с бета-блокер са брадикардия, хипотония, бронхоспазъм и остра сърдечна недостатъчност.</w:t>
      </w:r>
    </w:p>
    <w:p w14:paraId="69EAE8D7" w14:textId="77777777" w:rsidR="001B0424" w:rsidRPr="001B0424" w:rsidRDefault="001B0424" w:rsidP="001B0424">
      <w:pPr>
        <w:spacing w:line="240" w:lineRule="auto"/>
        <w:rPr>
          <w:rFonts w:eastAsia="Times New Roman" w:cs="Arial"/>
          <w:color w:val="000000"/>
          <w:szCs w:val="20"/>
          <w:lang w:eastAsia="bg-BG"/>
        </w:rPr>
      </w:pPr>
    </w:p>
    <w:p w14:paraId="3094512D" w14:textId="26DC3BB2"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Предозирането с хидрохлоротиазид е свързано със загуба на електролити (хипокалиемия, хипохлоремия, хипонатриемия) и дехидратация, в резултат на ексцесивна диуреза. Най-честите признаци и симптоми на предозиране с хидрохлоротиазид са гадене и сънливост.</w:t>
      </w:r>
    </w:p>
    <w:p w14:paraId="44FB09FB"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Хипокалиемията може да доведе до мускулни спазми и/или изразена сърдечна аритмия, свързана с едновременната употреба на сърдечни гликозиди или определени антиантиаритмични лекарствени продукти.</w:t>
      </w:r>
    </w:p>
    <w:p w14:paraId="5692925F" w14:textId="77777777" w:rsidR="001B0424" w:rsidRPr="001B0424" w:rsidRDefault="001B0424" w:rsidP="001B0424">
      <w:pPr>
        <w:spacing w:line="240" w:lineRule="auto"/>
        <w:rPr>
          <w:rFonts w:eastAsia="Times New Roman" w:cs="Arial"/>
          <w:color w:val="000000"/>
          <w:szCs w:val="20"/>
          <w:u w:val="single"/>
          <w:lang w:eastAsia="bg-BG"/>
        </w:rPr>
      </w:pPr>
    </w:p>
    <w:p w14:paraId="6DBACBD4" w14:textId="24C5E297" w:rsidR="001B0424" w:rsidRPr="001B0424" w:rsidRDefault="001B0424" w:rsidP="001B0424">
      <w:pPr>
        <w:pStyle w:val="Heading3"/>
        <w:rPr>
          <w:rFonts w:eastAsia="Times New Roman"/>
          <w:sz w:val="28"/>
          <w:u w:val="single"/>
        </w:rPr>
      </w:pPr>
      <w:r w:rsidRPr="001B0424">
        <w:rPr>
          <w:rFonts w:eastAsia="Times New Roman"/>
          <w:u w:val="single"/>
          <w:lang w:eastAsia="bg-BG"/>
        </w:rPr>
        <w:t>Лечение</w:t>
      </w:r>
    </w:p>
    <w:p w14:paraId="16F9E406" w14:textId="77777777" w:rsidR="001B0424" w:rsidRPr="001B0424" w:rsidRDefault="001B0424" w:rsidP="001B0424">
      <w:pPr>
        <w:spacing w:line="240" w:lineRule="auto"/>
        <w:rPr>
          <w:rFonts w:eastAsia="Times New Roman" w:cs="Arial"/>
          <w:color w:val="000000"/>
          <w:szCs w:val="20"/>
          <w:lang w:eastAsia="bg-BG"/>
        </w:rPr>
      </w:pPr>
    </w:p>
    <w:p w14:paraId="322A8891" w14:textId="681FF7FB"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При предозиране или свръхчувствителност, пациентът трябва да бъде под непрекъснато наблюдение и да се лекува в отделение за интензивна терапия. Необходимо е да се контролират стойностите на кръвната захар. Серумните електролити и креатинина трябва да бъдат често проследявани. Абсорбцията на евентуалното останало количество от лекарствения продукт в гастроинтестиналния тракт може да се предотврати чрез стомашна промивка и приложение на активен въглен и лаксативи. Възможно е да се наложи прилагане на изкуствена белодробна вентилация. Брадикардията или силно изразените вагусови реакции се лекуват чрез приложение на атропин или метилатропин. При хипотония и шок се вливат плазма или плазмени заместители и при необходимост катехоламини. На бета-блокиращия ефект може да се противодейства чрез бавно интравенозно проложение на изопреналин хидрохлорид с начална доза около 5 μ</w:t>
      </w:r>
      <w:r w:rsidRPr="001B0424">
        <w:rPr>
          <w:rFonts w:eastAsia="Times New Roman" w:cs="Arial"/>
          <w:color w:val="000000"/>
          <w:szCs w:val="20"/>
          <w:lang w:val="en-US"/>
        </w:rPr>
        <w:t>g</w:t>
      </w:r>
      <w:r w:rsidRPr="001B0424">
        <w:rPr>
          <w:rFonts w:eastAsia="Times New Roman" w:cs="Arial"/>
          <w:color w:val="000000"/>
          <w:szCs w:val="20"/>
          <w:lang w:val="ru-RU"/>
        </w:rPr>
        <w:t>/</w:t>
      </w:r>
      <w:r w:rsidRPr="001B0424">
        <w:rPr>
          <w:rFonts w:eastAsia="Times New Roman" w:cs="Arial"/>
          <w:color w:val="000000"/>
          <w:szCs w:val="20"/>
          <w:lang w:val="en-US"/>
        </w:rPr>
        <w:t>min</w:t>
      </w:r>
      <w:r w:rsidRPr="001B0424">
        <w:rPr>
          <w:rFonts w:eastAsia="Times New Roman" w:cs="Arial"/>
          <w:color w:val="000000"/>
          <w:szCs w:val="20"/>
          <w:lang w:val="ru-RU"/>
        </w:rPr>
        <w:t xml:space="preserve"> </w:t>
      </w:r>
      <w:r w:rsidRPr="001B0424">
        <w:rPr>
          <w:rFonts w:eastAsia="Times New Roman" w:cs="Arial"/>
          <w:color w:val="000000"/>
          <w:szCs w:val="20"/>
          <w:lang w:eastAsia="bg-BG"/>
        </w:rPr>
        <w:t>или добутамин с начална доза 2,5 μ</w:t>
      </w:r>
      <w:r w:rsidRPr="001B0424">
        <w:rPr>
          <w:rFonts w:eastAsia="Times New Roman" w:cs="Arial"/>
          <w:color w:val="000000"/>
          <w:szCs w:val="20"/>
          <w:lang w:val="en-US"/>
        </w:rPr>
        <w:t>g</w:t>
      </w:r>
      <w:r w:rsidRPr="001B0424">
        <w:rPr>
          <w:rFonts w:eastAsia="Times New Roman" w:cs="Arial"/>
          <w:color w:val="000000"/>
          <w:szCs w:val="20"/>
          <w:lang w:val="ru-RU"/>
        </w:rPr>
        <w:t>/</w:t>
      </w:r>
      <w:r w:rsidRPr="001B0424">
        <w:rPr>
          <w:rFonts w:eastAsia="Times New Roman" w:cs="Arial"/>
          <w:color w:val="000000"/>
          <w:szCs w:val="20"/>
          <w:lang w:val="en-US"/>
        </w:rPr>
        <w:t>min</w:t>
      </w:r>
      <w:r w:rsidRPr="001B0424">
        <w:rPr>
          <w:rFonts w:eastAsia="Times New Roman" w:cs="Arial"/>
          <w:color w:val="000000"/>
          <w:szCs w:val="20"/>
          <w:lang w:val="ru-RU"/>
        </w:rPr>
        <w:t xml:space="preserve"> </w:t>
      </w:r>
      <w:r w:rsidRPr="001B0424">
        <w:rPr>
          <w:rFonts w:eastAsia="Times New Roman" w:cs="Arial"/>
          <w:color w:val="000000"/>
          <w:szCs w:val="20"/>
          <w:lang w:eastAsia="bg-BG"/>
        </w:rPr>
        <w:t>до достигане на желания ефект. При рефрактерни случаи изопреналин може да се комбинира с допамин. Ако отново не се постигне желаният ефект, може да се обмисли интравенозно приложение на 50-100 μ</w:t>
      </w:r>
      <w:r w:rsidRPr="001B0424">
        <w:rPr>
          <w:rFonts w:eastAsia="Times New Roman" w:cs="Arial"/>
          <w:color w:val="000000"/>
          <w:szCs w:val="20"/>
          <w:lang w:val="en-US"/>
        </w:rPr>
        <w:t>g</w:t>
      </w:r>
      <w:r w:rsidRPr="001B0424">
        <w:rPr>
          <w:rFonts w:eastAsia="Times New Roman" w:cs="Arial"/>
          <w:color w:val="000000"/>
          <w:szCs w:val="20"/>
          <w:lang w:val="ru-RU"/>
        </w:rPr>
        <w:t>/</w:t>
      </w:r>
      <w:r w:rsidRPr="001B0424">
        <w:rPr>
          <w:rFonts w:eastAsia="Times New Roman" w:cs="Arial"/>
          <w:color w:val="000000"/>
          <w:szCs w:val="20"/>
          <w:lang w:val="en-US"/>
        </w:rPr>
        <w:t>kg</w:t>
      </w:r>
      <w:r w:rsidRPr="001B0424">
        <w:rPr>
          <w:rFonts w:eastAsia="Times New Roman" w:cs="Arial"/>
          <w:color w:val="000000"/>
          <w:szCs w:val="20"/>
          <w:lang w:val="ru-RU"/>
        </w:rPr>
        <w:t xml:space="preserve"> </w:t>
      </w:r>
      <w:r w:rsidRPr="001B0424">
        <w:rPr>
          <w:rFonts w:eastAsia="Times New Roman" w:cs="Arial"/>
          <w:color w:val="000000"/>
          <w:szCs w:val="20"/>
          <w:lang w:eastAsia="bg-BG"/>
        </w:rPr>
        <w:t>глюкагон и при необходимост да се повтори в рамките на един час, последвано от интравенозна инфузия на глюкагон 70</w:t>
      </w:r>
      <w:r w:rsidRPr="001B0424">
        <w:rPr>
          <w:rFonts w:eastAsia="Times New Roman" w:cs="Arial"/>
          <w:color w:val="000000"/>
          <w:szCs w:val="20"/>
          <w:lang w:val="ru-RU" w:eastAsia="bg-BG"/>
        </w:rPr>
        <w:t xml:space="preserve"> </w:t>
      </w:r>
      <w:r w:rsidRPr="001B0424">
        <w:rPr>
          <w:rFonts w:eastAsia="Times New Roman" w:cs="Arial"/>
          <w:color w:val="000000"/>
          <w:szCs w:val="20"/>
          <w:lang w:eastAsia="bg-BG"/>
        </w:rPr>
        <w:t>μ</w:t>
      </w:r>
      <w:r w:rsidRPr="001B0424">
        <w:rPr>
          <w:rFonts w:eastAsia="Times New Roman" w:cs="Arial"/>
          <w:color w:val="000000"/>
          <w:szCs w:val="20"/>
          <w:lang w:val="en-US"/>
        </w:rPr>
        <w:t>g</w:t>
      </w:r>
      <w:r w:rsidRPr="001B0424">
        <w:rPr>
          <w:rFonts w:eastAsia="Times New Roman" w:cs="Arial"/>
          <w:color w:val="000000"/>
          <w:szCs w:val="20"/>
          <w:lang w:val="ru-RU"/>
        </w:rPr>
        <w:t>/</w:t>
      </w:r>
      <w:r w:rsidRPr="001B0424">
        <w:rPr>
          <w:rFonts w:eastAsia="Times New Roman" w:cs="Arial"/>
          <w:color w:val="000000"/>
          <w:szCs w:val="20"/>
          <w:lang w:val="en-US"/>
        </w:rPr>
        <w:t>kg</w:t>
      </w:r>
      <w:r w:rsidRPr="001B0424">
        <w:rPr>
          <w:rFonts w:eastAsia="Times New Roman" w:cs="Arial"/>
          <w:color w:val="000000"/>
          <w:szCs w:val="20"/>
          <w:lang w:val="ru-RU"/>
        </w:rPr>
        <w:t>/</w:t>
      </w:r>
      <w:r w:rsidRPr="001B0424">
        <w:rPr>
          <w:rFonts w:eastAsia="Times New Roman" w:cs="Arial"/>
          <w:color w:val="000000"/>
          <w:szCs w:val="20"/>
          <w:lang w:val="en-US"/>
        </w:rPr>
        <w:t>h</w:t>
      </w:r>
      <w:r w:rsidRPr="001B0424">
        <w:rPr>
          <w:rFonts w:eastAsia="Times New Roman" w:cs="Arial"/>
          <w:color w:val="000000"/>
          <w:szCs w:val="20"/>
          <w:lang w:val="ru-RU"/>
        </w:rPr>
        <w:t xml:space="preserve">. </w:t>
      </w:r>
      <w:r w:rsidRPr="001B0424">
        <w:rPr>
          <w:rFonts w:eastAsia="Times New Roman" w:cs="Arial"/>
          <w:color w:val="000000"/>
          <w:szCs w:val="20"/>
          <w:lang w:eastAsia="bg-BG"/>
        </w:rPr>
        <w:t>В екстремни случаи при резистентна към лечението брадикардия може да се постави пейсмейкър.</w:t>
      </w:r>
    </w:p>
    <w:p w14:paraId="5F25AD39" w14:textId="77777777" w:rsidR="001B0424" w:rsidRPr="001B0424" w:rsidRDefault="001B0424" w:rsidP="001B0424"/>
    <w:p w14:paraId="02081B24" w14:textId="1F46E296" w:rsidR="00395555" w:rsidRPr="00395555" w:rsidRDefault="002C50EE" w:rsidP="008A6AF2">
      <w:pPr>
        <w:pStyle w:val="Heading1"/>
      </w:pPr>
      <w:r>
        <w:lastRenderedPageBreak/>
        <w:t>5. ФАРМАКОЛОГИЧНИ СВОЙСТВА</w:t>
      </w:r>
    </w:p>
    <w:p w14:paraId="4D47A490" w14:textId="7A2CA405" w:rsidR="00DF4C8E" w:rsidRDefault="002C50EE" w:rsidP="00F44498">
      <w:pPr>
        <w:pStyle w:val="Heading2"/>
      </w:pPr>
      <w:r>
        <w:t>5.1. Фармакодинамични свойства</w:t>
      </w:r>
    </w:p>
    <w:p w14:paraId="1D9D4962" w14:textId="3614E7EE" w:rsidR="001B0424" w:rsidRDefault="001B0424" w:rsidP="001B0424"/>
    <w:p w14:paraId="311DFEED"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Фармакотерапевтична група: Селективни бета-блокери и тиазиди, АТС код: С07ВВ12</w:t>
      </w:r>
    </w:p>
    <w:p w14:paraId="486CFA5E" w14:textId="77777777" w:rsidR="001B0424" w:rsidRPr="001B0424" w:rsidRDefault="001B0424" w:rsidP="001B0424">
      <w:pPr>
        <w:spacing w:line="240" w:lineRule="auto"/>
        <w:rPr>
          <w:rFonts w:eastAsia="Times New Roman" w:cs="Arial"/>
          <w:color w:val="000000"/>
          <w:szCs w:val="20"/>
          <w:lang w:eastAsia="bg-BG"/>
        </w:rPr>
      </w:pPr>
    </w:p>
    <w:p w14:paraId="66C986A3" w14:textId="67FBF82E"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Невотенс Плюс е комбинация от селективния бета-блокер небиволол и тиазидния диуретик хидрохлоротиазид. Комбинацията на тези съставки притежава адитивен антихипертензивен ефект, който понижава артериалното налягане в по-голяма степен, отколкото всеки компонент поотделно.</w:t>
      </w:r>
    </w:p>
    <w:p w14:paraId="495BD251" w14:textId="77777777" w:rsidR="001B0424" w:rsidRPr="001B0424" w:rsidRDefault="001B0424" w:rsidP="001B0424">
      <w:pPr>
        <w:spacing w:line="240" w:lineRule="auto"/>
        <w:rPr>
          <w:rFonts w:eastAsia="Times New Roman" w:cs="Arial"/>
          <w:color w:val="000000"/>
          <w:szCs w:val="20"/>
          <w:lang w:eastAsia="bg-BG"/>
        </w:rPr>
      </w:pPr>
    </w:p>
    <w:p w14:paraId="5C3F126D" w14:textId="17CDB314"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Небиволол</w:t>
      </w:r>
    </w:p>
    <w:p w14:paraId="63D82B37" w14:textId="77777777" w:rsidR="001B0424" w:rsidRPr="001B0424" w:rsidRDefault="001B0424" w:rsidP="001B0424">
      <w:pPr>
        <w:spacing w:line="240" w:lineRule="auto"/>
        <w:rPr>
          <w:rFonts w:eastAsia="Times New Roman" w:cs="Arial"/>
          <w:i/>
          <w:iCs/>
          <w:color w:val="000000"/>
          <w:szCs w:val="20"/>
          <w:u w:val="single"/>
          <w:lang w:eastAsia="bg-BG"/>
        </w:rPr>
      </w:pPr>
    </w:p>
    <w:p w14:paraId="7AB2B90F" w14:textId="50C655D8"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u w:val="single"/>
          <w:lang w:eastAsia="bg-BG"/>
        </w:rPr>
        <w:t>Фармакодинамични ефекти</w:t>
      </w:r>
    </w:p>
    <w:p w14:paraId="35727002" w14:textId="27750ED2"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 xml:space="preserve">Небиволол е рацемична смес от два енантиомера, </w:t>
      </w:r>
      <w:r w:rsidRPr="001B0424">
        <w:rPr>
          <w:rFonts w:eastAsia="Times New Roman" w:cs="Arial"/>
          <w:color w:val="000000"/>
          <w:szCs w:val="20"/>
          <w:lang w:val="en-US"/>
        </w:rPr>
        <w:t>SRRR</w:t>
      </w:r>
      <w:r w:rsidRPr="001B0424">
        <w:rPr>
          <w:rFonts w:eastAsia="Times New Roman" w:cs="Arial"/>
          <w:color w:val="000000"/>
          <w:szCs w:val="20"/>
          <w:lang w:eastAsia="bg-BG"/>
        </w:rPr>
        <w:t xml:space="preserve">-небиволол (или </w:t>
      </w:r>
      <w:r w:rsidRPr="001B0424">
        <w:rPr>
          <w:rFonts w:eastAsia="Times New Roman" w:cs="Arial"/>
          <w:color w:val="000000"/>
          <w:szCs w:val="20"/>
          <w:lang w:val="en-US"/>
        </w:rPr>
        <w:t>d</w:t>
      </w:r>
      <w:r w:rsidRPr="001B0424">
        <w:rPr>
          <w:rFonts w:eastAsia="Times New Roman" w:cs="Arial"/>
          <w:color w:val="000000"/>
          <w:szCs w:val="20"/>
          <w:lang w:eastAsia="bg-BG"/>
        </w:rPr>
        <w:t xml:space="preserve">-небиволол) и </w:t>
      </w:r>
      <w:r w:rsidRPr="001B0424">
        <w:rPr>
          <w:rFonts w:eastAsia="Times New Roman" w:cs="Arial"/>
          <w:color w:val="000000"/>
          <w:szCs w:val="20"/>
          <w:lang w:val="en-US"/>
        </w:rPr>
        <w:t>RSSS</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небиволол (или </w:t>
      </w:r>
      <w:r w:rsidRPr="001B0424">
        <w:rPr>
          <w:rFonts w:eastAsia="Times New Roman" w:cs="Arial"/>
          <w:color w:val="000000"/>
          <w:szCs w:val="20"/>
          <w:lang w:val="en-US"/>
        </w:rPr>
        <w:t>L</w:t>
      </w:r>
      <w:r w:rsidRPr="001B0424">
        <w:rPr>
          <w:rFonts w:eastAsia="Times New Roman" w:cs="Arial"/>
          <w:color w:val="000000"/>
          <w:szCs w:val="20"/>
          <w:lang w:eastAsia="bg-BG"/>
        </w:rPr>
        <w:t>-небиволол). Той съчетава две фармакологични действия:</w:t>
      </w:r>
    </w:p>
    <w:p w14:paraId="3B02DC2A" w14:textId="77777777" w:rsidR="001B0424" w:rsidRPr="001B0424" w:rsidRDefault="001B0424" w:rsidP="001B0424">
      <w:pPr>
        <w:pStyle w:val="ListParagraph"/>
        <w:numPr>
          <w:ilvl w:val="0"/>
          <w:numId w:val="34"/>
        </w:numPr>
        <w:spacing w:line="240" w:lineRule="auto"/>
        <w:rPr>
          <w:rFonts w:eastAsia="Times New Roman" w:cs="Arial"/>
          <w:sz w:val="28"/>
          <w:szCs w:val="24"/>
        </w:rPr>
      </w:pPr>
      <w:r w:rsidRPr="001B0424">
        <w:rPr>
          <w:rFonts w:eastAsia="Times New Roman" w:cs="Arial"/>
          <w:color w:val="000000"/>
          <w:szCs w:val="20"/>
          <w:lang w:eastAsia="bg-BG"/>
        </w:rPr>
        <w:t xml:space="preserve">конкурентен и селективен бета-рецепторен антагонизъм. Това действие се дължи на </w:t>
      </w:r>
      <w:r w:rsidRPr="001B0424">
        <w:rPr>
          <w:rFonts w:eastAsia="Times New Roman" w:cs="Arial"/>
          <w:color w:val="000000"/>
          <w:szCs w:val="20"/>
          <w:lang w:val="en-US"/>
        </w:rPr>
        <w:t>SRRR</w:t>
      </w:r>
      <w:r w:rsidRPr="001B0424">
        <w:rPr>
          <w:rFonts w:eastAsia="Times New Roman" w:cs="Arial"/>
          <w:color w:val="000000"/>
          <w:szCs w:val="20"/>
          <w:lang w:eastAsia="bg-BG"/>
        </w:rPr>
        <w:t xml:space="preserve">-енантиомера </w:t>
      </w:r>
      <w:r w:rsidRPr="001B0424">
        <w:rPr>
          <w:rFonts w:eastAsia="Times New Roman" w:cs="Arial"/>
          <w:color w:val="000000"/>
          <w:szCs w:val="20"/>
          <w:lang w:val="ru-RU"/>
        </w:rPr>
        <w:t>(</w:t>
      </w:r>
      <w:r w:rsidRPr="001B0424">
        <w:rPr>
          <w:rFonts w:eastAsia="Times New Roman" w:cs="Arial"/>
          <w:color w:val="000000"/>
          <w:szCs w:val="20"/>
          <w:lang w:val="en-US"/>
        </w:rPr>
        <w:t>d</w:t>
      </w:r>
      <w:r w:rsidRPr="001B0424">
        <w:rPr>
          <w:rFonts w:eastAsia="Times New Roman" w:cs="Arial"/>
          <w:color w:val="000000"/>
          <w:szCs w:val="20"/>
          <w:lang w:eastAsia="bg-BG"/>
        </w:rPr>
        <w:t>-енантиомера);</w:t>
      </w:r>
    </w:p>
    <w:p w14:paraId="5B125932" w14:textId="77C4F9CB" w:rsidR="001B0424" w:rsidRPr="001B0424" w:rsidRDefault="001B0424" w:rsidP="001B0424">
      <w:pPr>
        <w:pStyle w:val="ListParagraph"/>
        <w:numPr>
          <w:ilvl w:val="0"/>
          <w:numId w:val="34"/>
        </w:numPr>
        <w:spacing w:line="240" w:lineRule="auto"/>
        <w:rPr>
          <w:rFonts w:eastAsia="Times New Roman" w:cs="Arial"/>
          <w:sz w:val="28"/>
          <w:szCs w:val="24"/>
        </w:rPr>
      </w:pPr>
      <w:r w:rsidRPr="001B0424">
        <w:rPr>
          <w:rFonts w:eastAsia="Times New Roman" w:cs="Arial"/>
          <w:color w:val="000000"/>
          <w:szCs w:val="20"/>
          <w:lang w:eastAsia="bg-BG"/>
        </w:rPr>
        <w:t xml:space="preserve">слаби съдоразширяващи свойства, поради взаимодействие с метаболитния път </w:t>
      </w:r>
      <w:r w:rsidRPr="001B0424">
        <w:rPr>
          <w:rFonts w:eastAsia="Times New Roman" w:cs="Arial"/>
          <w:color w:val="000000"/>
          <w:szCs w:val="20"/>
          <w:lang w:val="en-US"/>
        </w:rPr>
        <w:t>L</w:t>
      </w:r>
      <w:r w:rsidRPr="001B0424">
        <w:rPr>
          <w:rFonts w:eastAsia="Times New Roman" w:cs="Arial"/>
          <w:color w:val="000000"/>
          <w:szCs w:val="20"/>
          <w:lang w:eastAsia="bg-BG"/>
        </w:rPr>
        <w:t>-аргинин/азотен окис.</w:t>
      </w:r>
    </w:p>
    <w:p w14:paraId="5AAFC5F9" w14:textId="233C7B5B" w:rsidR="001B0424" w:rsidRPr="001B0424" w:rsidRDefault="001B0424" w:rsidP="001B0424">
      <w:pPr>
        <w:spacing w:line="240" w:lineRule="auto"/>
        <w:rPr>
          <w:rFonts w:eastAsia="Times New Roman" w:cs="Arial"/>
          <w:sz w:val="28"/>
          <w:szCs w:val="24"/>
        </w:rPr>
      </w:pPr>
    </w:p>
    <w:p w14:paraId="54E938B8"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При индивиди с нормално кръвно налягане и при пациенти с хипертония еднократното и многократно приложение на небиволол понижава сърдечната честота и артериалното налягане в покой и при усилие. Антихипертензивният ефект се поддържа и при продължително лечение.</w:t>
      </w:r>
    </w:p>
    <w:p w14:paraId="5C3675D4" w14:textId="77777777" w:rsidR="001B0424" w:rsidRPr="001B0424" w:rsidRDefault="001B0424" w:rsidP="001B0424">
      <w:pPr>
        <w:spacing w:line="240" w:lineRule="auto"/>
        <w:rPr>
          <w:rFonts w:eastAsia="Times New Roman" w:cs="Arial"/>
          <w:color w:val="000000"/>
          <w:szCs w:val="20"/>
          <w:lang w:eastAsia="bg-BG"/>
        </w:rPr>
      </w:pPr>
    </w:p>
    <w:p w14:paraId="1231C50F" w14:textId="16F1FAFD"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В терапевтични дози небиволол не проявява ефекти на алфа-блокада.</w:t>
      </w:r>
    </w:p>
    <w:p w14:paraId="0252AB35" w14:textId="77777777" w:rsidR="001B0424" w:rsidRPr="001B0424" w:rsidRDefault="001B0424" w:rsidP="001B0424">
      <w:pPr>
        <w:spacing w:line="240" w:lineRule="auto"/>
        <w:rPr>
          <w:rFonts w:eastAsia="Times New Roman" w:cs="Arial"/>
          <w:color w:val="000000"/>
          <w:szCs w:val="20"/>
          <w:lang w:eastAsia="bg-BG"/>
        </w:rPr>
      </w:pPr>
    </w:p>
    <w:p w14:paraId="1A619E9A" w14:textId="30532F84"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При остро и продължително лечение с небиволол при пациенти с хипертония се намалява системното съдово съпротивление. Въпреки понижаването на сърдечната честота, намаляването на сърдечния дебит по време на покой и при усилие може да бъде ограничено поради повишаване на ударния обем. Все още не е напълно установено клиничното значение на тези хемодинамични различия в сравнение с други селективни бета</w:t>
      </w:r>
      <w:r w:rsidRPr="001B0424">
        <w:rPr>
          <w:rFonts w:eastAsia="Times New Roman" w:cs="Arial"/>
          <w:color w:val="000000"/>
          <w:szCs w:val="20"/>
          <w:vertAlign w:val="subscript"/>
          <w:lang w:eastAsia="bg-BG"/>
        </w:rPr>
        <w:t>1</w:t>
      </w:r>
      <w:r w:rsidRPr="001B0424">
        <w:rPr>
          <w:rFonts w:eastAsia="Times New Roman" w:cs="Arial"/>
          <w:color w:val="000000"/>
          <w:szCs w:val="20"/>
          <w:lang w:eastAsia="bg-BG"/>
        </w:rPr>
        <w:t>-блокери.</w:t>
      </w:r>
    </w:p>
    <w:p w14:paraId="6F7E6D41" w14:textId="77777777" w:rsidR="001B0424" w:rsidRPr="001B0424" w:rsidRDefault="001B0424" w:rsidP="001B0424">
      <w:pPr>
        <w:spacing w:line="240" w:lineRule="auto"/>
        <w:rPr>
          <w:rFonts w:eastAsia="Times New Roman" w:cs="Arial"/>
          <w:color w:val="000000"/>
          <w:szCs w:val="20"/>
          <w:lang w:eastAsia="bg-BG"/>
        </w:rPr>
      </w:pPr>
    </w:p>
    <w:p w14:paraId="2E0E3EBB" w14:textId="387EB1F9"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 xml:space="preserve">При пациенти с хипертония небиволол повишава </w:t>
      </w:r>
      <w:r w:rsidRPr="001B0424">
        <w:rPr>
          <w:rFonts w:eastAsia="Times New Roman" w:cs="Arial"/>
          <w:color w:val="000000"/>
          <w:szCs w:val="20"/>
          <w:lang w:val="en-US"/>
        </w:rPr>
        <w:t>NO</w:t>
      </w:r>
      <w:r w:rsidRPr="001B0424">
        <w:rPr>
          <w:rFonts w:eastAsia="Times New Roman" w:cs="Arial"/>
          <w:color w:val="000000"/>
          <w:szCs w:val="20"/>
          <w:lang w:eastAsia="bg-BG"/>
        </w:rPr>
        <w:t xml:space="preserve">-медиирания отговор на съдовете към ацетилхолин </w:t>
      </w:r>
      <w:r w:rsidRPr="001B0424">
        <w:rPr>
          <w:rFonts w:eastAsia="Times New Roman" w:cs="Arial"/>
          <w:color w:val="000000"/>
          <w:szCs w:val="20"/>
          <w:lang w:val="ru-RU"/>
        </w:rPr>
        <w:t>(</w:t>
      </w:r>
      <w:proofErr w:type="spellStart"/>
      <w:r w:rsidRPr="001B0424">
        <w:rPr>
          <w:rFonts w:eastAsia="Times New Roman" w:cs="Arial"/>
          <w:color w:val="000000"/>
          <w:szCs w:val="20"/>
          <w:lang w:val="en-US"/>
        </w:rPr>
        <w:t>ACh</w:t>
      </w:r>
      <w:proofErr w:type="spellEnd"/>
      <w:r w:rsidRPr="001B0424">
        <w:rPr>
          <w:rFonts w:eastAsia="Times New Roman" w:cs="Arial"/>
          <w:color w:val="000000"/>
          <w:szCs w:val="20"/>
          <w:lang w:val="ru-RU"/>
        </w:rPr>
        <w:t xml:space="preserve">), </w:t>
      </w:r>
      <w:r w:rsidRPr="001B0424">
        <w:rPr>
          <w:rFonts w:eastAsia="Times New Roman" w:cs="Arial"/>
          <w:color w:val="000000"/>
          <w:szCs w:val="20"/>
          <w:lang w:eastAsia="bg-BG"/>
        </w:rPr>
        <w:t>който е понижен при пациенти с ендотелна дисфункция.</w:t>
      </w:r>
    </w:p>
    <w:p w14:paraId="067E5E93" w14:textId="77777777" w:rsidR="001B0424" w:rsidRPr="001B0424" w:rsidRDefault="001B0424" w:rsidP="001B0424">
      <w:pPr>
        <w:spacing w:line="240" w:lineRule="auto"/>
        <w:rPr>
          <w:rFonts w:eastAsia="Times New Roman" w:cs="Arial"/>
          <w:i/>
          <w:iCs/>
          <w:color w:val="000000"/>
          <w:szCs w:val="20"/>
          <w:lang w:val="en-US"/>
        </w:rPr>
      </w:pPr>
    </w:p>
    <w:p w14:paraId="73895C07" w14:textId="6032589D"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lang w:val="en-US"/>
        </w:rPr>
        <w:t>In</w:t>
      </w:r>
      <w:r w:rsidRPr="001B0424">
        <w:rPr>
          <w:rFonts w:eastAsia="Times New Roman" w:cs="Arial"/>
          <w:i/>
          <w:iCs/>
          <w:color w:val="000000"/>
          <w:szCs w:val="20"/>
          <w:lang w:val="ru-RU"/>
        </w:rPr>
        <w:t xml:space="preserve"> </w:t>
      </w:r>
      <w:r w:rsidRPr="001B0424">
        <w:rPr>
          <w:rFonts w:eastAsia="Times New Roman" w:cs="Arial"/>
          <w:i/>
          <w:iCs/>
          <w:color w:val="000000"/>
          <w:szCs w:val="20"/>
          <w:lang w:val="en-US"/>
        </w:rPr>
        <w:t>vitro</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и </w:t>
      </w:r>
      <w:r w:rsidRPr="001B0424">
        <w:rPr>
          <w:rFonts w:eastAsia="Times New Roman" w:cs="Arial"/>
          <w:i/>
          <w:iCs/>
          <w:color w:val="000000"/>
          <w:szCs w:val="20"/>
          <w:lang w:val="en-US"/>
        </w:rPr>
        <w:t>in</w:t>
      </w:r>
      <w:r w:rsidRPr="001B0424">
        <w:rPr>
          <w:rFonts w:eastAsia="Times New Roman" w:cs="Arial"/>
          <w:i/>
          <w:iCs/>
          <w:color w:val="000000"/>
          <w:szCs w:val="20"/>
          <w:lang w:val="ru-RU"/>
        </w:rPr>
        <w:t xml:space="preserve"> </w:t>
      </w:r>
      <w:r w:rsidRPr="001B0424">
        <w:rPr>
          <w:rFonts w:eastAsia="Times New Roman" w:cs="Arial"/>
          <w:i/>
          <w:iCs/>
          <w:color w:val="000000"/>
          <w:szCs w:val="20"/>
          <w:lang w:val="en-US"/>
        </w:rPr>
        <w:t>vivo</w:t>
      </w:r>
      <w:r w:rsidRPr="001B0424">
        <w:rPr>
          <w:rFonts w:eastAsia="Times New Roman" w:cs="Arial"/>
          <w:color w:val="000000"/>
          <w:szCs w:val="20"/>
          <w:lang w:val="ru-RU"/>
        </w:rPr>
        <w:t xml:space="preserve"> </w:t>
      </w:r>
      <w:r w:rsidRPr="001B0424">
        <w:rPr>
          <w:rFonts w:eastAsia="Times New Roman" w:cs="Arial"/>
          <w:color w:val="000000"/>
          <w:szCs w:val="20"/>
          <w:lang w:eastAsia="bg-BG"/>
        </w:rPr>
        <w:t>изследвания върху животни показват, че небиволол не притежава съществено симпатикомиметично действие.</w:t>
      </w:r>
    </w:p>
    <w:p w14:paraId="22AD2471" w14:textId="77777777" w:rsidR="001B0424" w:rsidRPr="001B0424" w:rsidRDefault="001B0424" w:rsidP="001B0424">
      <w:pPr>
        <w:spacing w:line="240" w:lineRule="auto"/>
        <w:rPr>
          <w:rFonts w:eastAsia="Times New Roman" w:cs="Arial"/>
          <w:i/>
          <w:iCs/>
          <w:color w:val="000000"/>
          <w:szCs w:val="20"/>
          <w:lang w:val="en-US"/>
        </w:rPr>
      </w:pPr>
    </w:p>
    <w:p w14:paraId="779C7F69" w14:textId="38FED138"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lang w:val="en-US"/>
        </w:rPr>
        <w:t>In</w:t>
      </w:r>
      <w:r w:rsidRPr="001B0424">
        <w:rPr>
          <w:rFonts w:eastAsia="Times New Roman" w:cs="Arial"/>
          <w:i/>
          <w:iCs/>
          <w:color w:val="000000"/>
          <w:szCs w:val="20"/>
          <w:lang w:val="ru-RU"/>
        </w:rPr>
        <w:t xml:space="preserve"> </w:t>
      </w:r>
      <w:r w:rsidRPr="001B0424">
        <w:rPr>
          <w:rFonts w:eastAsia="Times New Roman" w:cs="Arial"/>
          <w:i/>
          <w:iCs/>
          <w:color w:val="000000"/>
          <w:szCs w:val="20"/>
          <w:lang w:val="en-US"/>
        </w:rPr>
        <w:t>vitro</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и </w:t>
      </w:r>
      <w:r w:rsidRPr="001B0424">
        <w:rPr>
          <w:rFonts w:eastAsia="Times New Roman" w:cs="Arial"/>
          <w:i/>
          <w:iCs/>
          <w:color w:val="000000"/>
          <w:szCs w:val="20"/>
          <w:lang w:val="en-US"/>
        </w:rPr>
        <w:t>in</w:t>
      </w:r>
      <w:r w:rsidRPr="001B0424">
        <w:rPr>
          <w:rFonts w:eastAsia="Times New Roman" w:cs="Arial"/>
          <w:i/>
          <w:iCs/>
          <w:color w:val="000000"/>
          <w:szCs w:val="20"/>
          <w:lang w:val="ru-RU"/>
        </w:rPr>
        <w:t xml:space="preserve"> </w:t>
      </w:r>
      <w:r w:rsidRPr="001B0424">
        <w:rPr>
          <w:rFonts w:eastAsia="Times New Roman" w:cs="Arial"/>
          <w:i/>
          <w:iCs/>
          <w:color w:val="000000"/>
          <w:szCs w:val="20"/>
          <w:lang w:val="en-US"/>
        </w:rPr>
        <w:t>vivo</w:t>
      </w:r>
      <w:r w:rsidRPr="001B0424">
        <w:rPr>
          <w:rFonts w:eastAsia="Times New Roman" w:cs="Arial"/>
          <w:color w:val="000000"/>
          <w:szCs w:val="20"/>
          <w:lang w:val="ru-RU"/>
        </w:rPr>
        <w:t xml:space="preserve"> </w:t>
      </w:r>
      <w:r w:rsidRPr="001B0424">
        <w:rPr>
          <w:rFonts w:eastAsia="Times New Roman" w:cs="Arial"/>
          <w:color w:val="000000"/>
          <w:szCs w:val="20"/>
          <w:lang w:eastAsia="bg-BG"/>
        </w:rPr>
        <w:t>изследвания върху животни показват, че във фармакологични дози небиволол не притежава мембраностабилизиращо действие.</w:t>
      </w:r>
    </w:p>
    <w:p w14:paraId="46FCED9E" w14:textId="77777777" w:rsidR="001B0424" w:rsidRPr="001B0424" w:rsidRDefault="001B0424" w:rsidP="001B0424">
      <w:pPr>
        <w:spacing w:line="240" w:lineRule="auto"/>
        <w:rPr>
          <w:rFonts w:eastAsia="Times New Roman" w:cs="Arial"/>
          <w:color w:val="000000"/>
          <w:szCs w:val="20"/>
          <w:lang w:eastAsia="bg-BG"/>
        </w:rPr>
      </w:pPr>
    </w:p>
    <w:p w14:paraId="49D0DD8C" w14:textId="675BC762"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При здрави доброволци небиволол не оказва съществен ефект върху максималния физически капацитет и издръжливост.</w:t>
      </w:r>
    </w:p>
    <w:p w14:paraId="2CE8C1DC" w14:textId="77777777" w:rsidR="001B0424" w:rsidRPr="001B0424" w:rsidRDefault="001B0424" w:rsidP="001B0424">
      <w:pPr>
        <w:spacing w:line="240" w:lineRule="auto"/>
        <w:rPr>
          <w:rFonts w:eastAsia="Times New Roman" w:cs="Arial"/>
          <w:color w:val="000000"/>
          <w:szCs w:val="20"/>
          <w:lang w:eastAsia="bg-BG"/>
        </w:rPr>
      </w:pPr>
    </w:p>
    <w:p w14:paraId="6CD02E2E" w14:textId="70349944"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Хидрохлоротиазид</w:t>
      </w:r>
    </w:p>
    <w:p w14:paraId="5FF4C1CE" w14:textId="77777777" w:rsidR="001B0424" w:rsidRPr="001B0424" w:rsidRDefault="001B0424" w:rsidP="001B0424">
      <w:pPr>
        <w:spacing w:line="240" w:lineRule="auto"/>
        <w:rPr>
          <w:rFonts w:eastAsia="Times New Roman" w:cs="Arial"/>
          <w:i/>
          <w:iCs/>
          <w:color w:val="000000"/>
          <w:szCs w:val="20"/>
          <w:u w:val="single"/>
          <w:lang w:eastAsia="bg-BG"/>
        </w:rPr>
      </w:pPr>
    </w:p>
    <w:p w14:paraId="09889140" w14:textId="7861EE02"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u w:val="single"/>
          <w:lang w:eastAsia="bg-BG"/>
        </w:rPr>
        <w:t>Фармакодинамични ефекти</w:t>
      </w:r>
    </w:p>
    <w:p w14:paraId="57390583" w14:textId="77777777"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lastRenderedPageBreak/>
        <w:t>Хидрохлоротиазид е тиазиден диуретик. Тиазидите оказват влияние върху бъбречните тубулни механизми на електролитна реабсорбция, като директно увеличават екскрецията на натрий и хлор в приблизително еквивалентни количества. Диуретичното действие на хидрохлоротиазид намалява плазмения обем, повишава активността на плазмения ренин и засилва секрецията на алдостерон с последващо повишаване на загубите на калия и бикарбонат в урината и намаляване на серумния калий. След приложение на хидрохлоротиазид диурезата започва след около 2 часа, максимален ефект настъпва около 4 часа след приема на дозата, а действието продължава приблизително 6-12 часа.</w:t>
      </w:r>
    </w:p>
    <w:p w14:paraId="005D1B63" w14:textId="77777777" w:rsidR="001B0424" w:rsidRPr="001B0424" w:rsidRDefault="001B0424" w:rsidP="001B0424">
      <w:pPr>
        <w:spacing w:line="240" w:lineRule="auto"/>
        <w:rPr>
          <w:rFonts w:eastAsia="Times New Roman" w:cs="Arial"/>
          <w:i/>
          <w:iCs/>
          <w:color w:val="000000"/>
          <w:szCs w:val="20"/>
          <w:u w:val="single"/>
          <w:lang w:eastAsia="bg-BG"/>
        </w:rPr>
      </w:pPr>
    </w:p>
    <w:p w14:paraId="41955472" w14:textId="4BBBD813" w:rsidR="001B0424" w:rsidRPr="001B0424" w:rsidRDefault="001B0424" w:rsidP="001B0424">
      <w:pPr>
        <w:spacing w:line="240" w:lineRule="auto"/>
        <w:rPr>
          <w:rFonts w:eastAsia="Times New Roman" w:cs="Arial"/>
          <w:sz w:val="28"/>
          <w:szCs w:val="24"/>
        </w:rPr>
      </w:pPr>
      <w:r w:rsidRPr="001B0424">
        <w:rPr>
          <w:rFonts w:eastAsia="Times New Roman" w:cs="Arial"/>
          <w:i/>
          <w:iCs/>
          <w:color w:val="000000"/>
          <w:szCs w:val="20"/>
          <w:u w:val="single"/>
          <w:lang w:eastAsia="bg-BG"/>
        </w:rPr>
        <w:t>Клинична ефикасност и безопасност</w:t>
      </w:r>
    </w:p>
    <w:p w14:paraId="32E89678" w14:textId="77777777" w:rsidR="001B0424" w:rsidRPr="001B0424" w:rsidRDefault="001B0424" w:rsidP="001B0424">
      <w:pPr>
        <w:spacing w:line="240" w:lineRule="auto"/>
        <w:rPr>
          <w:rFonts w:eastAsia="Times New Roman" w:cs="Arial"/>
          <w:color w:val="000000"/>
          <w:szCs w:val="20"/>
          <w:lang w:eastAsia="bg-BG"/>
        </w:rPr>
      </w:pPr>
    </w:p>
    <w:p w14:paraId="18D57BCC" w14:textId="0EF04736"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Немеланомен рак на кожата</w:t>
      </w:r>
    </w:p>
    <w:p w14:paraId="495D2F72" w14:textId="2B88C456" w:rsidR="001B0424" w:rsidRPr="001B0424" w:rsidRDefault="001B0424" w:rsidP="001B0424">
      <w:pPr>
        <w:spacing w:line="240" w:lineRule="auto"/>
        <w:rPr>
          <w:rFonts w:eastAsia="Times New Roman" w:cs="Arial"/>
          <w:sz w:val="28"/>
          <w:szCs w:val="24"/>
        </w:rPr>
      </w:pPr>
      <w:r w:rsidRPr="001B0424">
        <w:rPr>
          <w:rFonts w:eastAsia="Times New Roman" w:cs="Arial"/>
          <w:color w:val="000000"/>
          <w:szCs w:val="20"/>
          <w:lang w:eastAsia="bg-BG"/>
        </w:rPr>
        <w:t>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w:t>
      </w:r>
      <w:r w:rsidRPr="001B0424">
        <w:rPr>
          <w:rFonts w:eastAsia="Times New Roman" w:cs="Arial"/>
          <w:sz w:val="28"/>
          <w:szCs w:val="24"/>
          <w:lang w:val="ru-RU"/>
        </w:rPr>
        <w:t xml:space="preserve"> </w:t>
      </w:r>
      <w:r w:rsidRPr="001B0424">
        <w:rPr>
          <w:rFonts w:eastAsia="Times New Roman" w:cs="Arial"/>
          <w:color w:val="000000"/>
          <w:szCs w:val="20"/>
          <w:lang w:eastAsia="bg-BG"/>
        </w:rPr>
        <w:t xml:space="preserve">≥50 000 </w:t>
      </w:r>
      <w:r w:rsidRPr="001B0424">
        <w:rPr>
          <w:rFonts w:eastAsia="Times New Roman" w:cs="Arial"/>
          <w:color w:val="000000"/>
          <w:szCs w:val="20"/>
          <w:lang w:val="en-US"/>
        </w:rPr>
        <w:t>mg</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е свързана с коригиран </w:t>
      </w:r>
      <w:r w:rsidRPr="001B0424">
        <w:rPr>
          <w:rFonts w:eastAsia="Times New Roman" w:cs="Arial"/>
          <w:color w:val="000000"/>
          <w:szCs w:val="20"/>
          <w:lang w:val="en-US"/>
        </w:rPr>
        <w:t>OR</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1,29 (95% ДИ: 1,23-1,35) за БКК и 3,98 (95% ДИ: 3,68- 4,31)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1B0424">
        <w:rPr>
          <w:rFonts w:eastAsia="Times New Roman" w:cs="Arial"/>
          <w:color w:val="000000"/>
          <w:szCs w:val="20"/>
          <w:lang w:val="en-US"/>
        </w:rPr>
        <w:t>OR</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2,1 (95% ДИ: 1,7-2,6), нарастващ до </w:t>
      </w:r>
      <w:r w:rsidRPr="001B0424">
        <w:rPr>
          <w:rFonts w:eastAsia="Times New Roman" w:cs="Arial"/>
          <w:color w:val="000000"/>
          <w:szCs w:val="20"/>
          <w:lang w:val="en-US"/>
        </w:rPr>
        <w:t>OR</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3,9 (3,0-4,9) за висока употреба (~ 25 000 </w:t>
      </w:r>
      <w:r w:rsidRPr="001B0424">
        <w:rPr>
          <w:rFonts w:eastAsia="Times New Roman" w:cs="Arial"/>
          <w:color w:val="000000"/>
          <w:szCs w:val="20"/>
          <w:lang w:val="en-US"/>
        </w:rPr>
        <w:t>mg</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и </w:t>
      </w:r>
      <w:r w:rsidRPr="001B0424">
        <w:rPr>
          <w:rFonts w:eastAsia="Times New Roman" w:cs="Arial"/>
          <w:color w:val="000000"/>
          <w:szCs w:val="20"/>
          <w:lang w:val="en-US"/>
        </w:rPr>
        <w:t>OR</w:t>
      </w:r>
      <w:r w:rsidRPr="001B0424">
        <w:rPr>
          <w:rFonts w:eastAsia="Times New Roman" w:cs="Arial"/>
          <w:color w:val="000000"/>
          <w:szCs w:val="20"/>
          <w:lang w:val="ru-RU"/>
        </w:rPr>
        <w:t xml:space="preserve"> </w:t>
      </w:r>
      <w:r w:rsidRPr="001B0424">
        <w:rPr>
          <w:rFonts w:eastAsia="Times New Roman" w:cs="Arial"/>
          <w:color w:val="000000"/>
          <w:szCs w:val="20"/>
          <w:lang w:eastAsia="bg-BG"/>
        </w:rPr>
        <w:t xml:space="preserve">7,7 (5,7-10,5) за най-високата кумулативна доза (~ 100 000 </w:t>
      </w:r>
      <w:r w:rsidRPr="001B0424">
        <w:rPr>
          <w:rFonts w:eastAsia="Times New Roman" w:cs="Arial"/>
          <w:color w:val="000000"/>
          <w:szCs w:val="20"/>
          <w:lang w:val="en-US"/>
        </w:rPr>
        <w:t>mg</w:t>
      </w:r>
      <w:r w:rsidRPr="001B0424">
        <w:rPr>
          <w:rFonts w:eastAsia="Times New Roman" w:cs="Arial"/>
          <w:color w:val="000000"/>
          <w:szCs w:val="20"/>
          <w:lang w:val="ru-RU"/>
        </w:rPr>
        <w:t xml:space="preserve">) </w:t>
      </w:r>
      <w:r w:rsidRPr="001B0424">
        <w:rPr>
          <w:rFonts w:eastAsia="Times New Roman" w:cs="Arial"/>
          <w:color w:val="000000"/>
          <w:szCs w:val="20"/>
          <w:lang w:eastAsia="bg-BG"/>
        </w:rPr>
        <w:t>(вж. също точка 4.4).</w:t>
      </w:r>
    </w:p>
    <w:p w14:paraId="6255120C" w14:textId="77777777" w:rsidR="001B0424" w:rsidRPr="001B0424" w:rsidRDefault="001B0424" w:rsidP="001B0424">
      <w:pPr>
        <w:spacing w:line="240" w:lineRule="auto"/>
        <w:rPr>
          <w:rFonts w:ascii="Times New Roman" w:eastAsia="Times New Roman" w:hAnsi="Times New Roman" w:cs="Times New Roman"/>
          <w:sz w:val="24"/>
          <w:szCs w:val="24"/>
        </w:rPr>
      </w:pPr>
    </w:p>
    <w:p w14:paraId="79643DB7" w14:textId="38E0DC8D" w:rsidR="00DF4C8E" w:rsidRDefault="002C50EE" w:rsidP="00F44498">
      <w:pPr>
        <w:pStyle w:val="Heading2"/>
      </w:pPr>
      <w:r>
        <w:t>5.2. Фармакокинетични свойства</w:t>
      </w:r>
    </w:p>
    <w:p w14:paraId="2579E7BD" w14:textId="50BC0152" w:rsidR="001B0424" w:rsidRDefault="001B0424" w:rsidP="001B0424"/>
    <w:p w14:paraId="2121FF91"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При едновременно приложение на небиволол и хидрохлоротиазид не се наблюдава ефект върху бионаличността на двете активни вещества. Комбинираната таблетка е биоеквивалентна на отделните компоненти, приложени едновременно.</w:t>
      </w:r>
    </w:p>
    <w:p w14:paraId="78F8A7E3" w14:textId="77777777" w:rsidR="001B0424" w:rsidRPr="001B0424" w:rsidRDefault="001B0424" w:rsidP="001B0424">
      <w:pPr>
        <w:spacing w:line="240" w:lineRule="auto"/>
        <w:rPr>
          <w:rFonts w:eastAsia="Times New Roman" w:cs="Arial"/>
          <w:color w:val="000000"/>
          <w:u w:val="single"/>
          <w:lang w:eastAsia="bg-BG"/>
        </w:rPr>
      </w:pPr>
    </w:p>
    <w:p w14:paraId="30561C8B" w14:textId="3FBAB683" w:rsidR="001B0424" w:rsidRPr="001B0424" w:rsidRDefault="001B0424" w:rsidP="001B0424">
      <w:pPr>
        <w:pStyle w:val="Heading3"/>
        <w:rPr>
          <w:rFonts w:eastAsia="Times New Roman"/>
          <w:u w:val="single"/>
        </w:rPr>
      </w:pPr>
      <w:r w:rsidRPr="001B0424">
        <w:rPr>
          <w:rFonts w:eastAsia="Times New Roman"/>
          <w:u w:val="single"/>
          <w:lang w:eastAsia="bg-BG"/>
        </w:rPr>
        <w:t>Небиволол</w:t>
      </w:r>
    </w:p>
    <w:p w14:paraId="1C730F37" w14:textId="77777777" w:rsidR="001B0424" w:rsidRPr="001B0424" w:rsidRDefault="001B0424" w:rsidP="001B0424">
      <w:pPr>
        <w:spacing w:line="240" w:lineRule="auto"/>
        <w:rPr>
          <w:rFonts w:eastAsia="Times New Roman" w:cs="Arial"/>
          <w:i/>
          <w:iCs/>
          <w:color w:val="000000"/>
          <w:lang w:eastAsia="bg-BG"/>
        </w:rPr>
      </w:pPr>
    </w:p>
    <w:p w14:paraId="7291C32E" w14:textId="764DA9A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Абсорбция</w:t>
      </w:r>
    </w:p>
    <w:p w14:paraId="5CF9AEE0"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И двата енантиомера се абсорбират бързо след перорално приложение. Абсорбцията на небиволол не се повлиява от храната; небиволол може да се приема със или без храна.</w:t>
      </w:r>
    </w:p>
    <w:p w14:paraId="0B507B7C" w14:textId="77777777" w:rsidR="001B0424" w:rsidRPr="001B0424" w:rsidRDefault="001B0424" w:rsidP="001B0424">
      <w:pPr>
        <w:spacing w:line="240" w:lineRule="auto"/>
        <w:rPr>
          <w:rFonts w:eastAsia="Times New Roman" w:cs="Arial"/>
          <w:color w:val="000000"/>
          <w:lang w:eastAsia="bg-BG"/>
        </w:rPr>
      </w:pPr>
    </w:p>
    <w:p w14:paraId="71B6A841" w14:textId="051B81D5" w:rsidR="001B0424" w:rsidRPr="001B0424" w:rsidRDefault="001B0424" w:rsidP="001B0424">
      <w:pPr>
        <w:spacing w:line="240" w:lineRule="auto"/>
        <w:rPr>
          <w:rFonts w:eastAsia="Times New Roman" w:cs="Arial"/>
        </w:rPr>
      </w:pPr>
      <w:r w:rsidRPr="001B0424">
        <w:rPr>
          <w:rFonts w:eastAsia="Times New Roman" w:cs="Arial"/>
          <w:color w:val="000000"/>
          <w:lang w:eastAsia="bg-BG"/>
        </w:rPr>
        <w:t>Бионаличността на небиволол при перорално приложение е средно 12% при бързите метаболизатори и на практика е почти пълна при бавните метаболизатори. В равновесно състояние при същото ниво на дозата максималната плазмена концентрация на непроменения небиволол е около 23 пъти по-висока при бавните метаболизатори, отколкото при екстензивните метаболизатори. Когато се имат предвид непромененото лекарство и активните метаболити, разликата в максималните плазмени концентрации е 1,3 до 1,4 пъти. Поради разликите в степента на метаболизиране, дозата на небиволол трябва винаги да бъде съобразена с индивидуалните изисквания на пациента; по тази причина бавните метаболизатори се нуждаят от прилагане на по-ниски дози.</w:t>
      </w:r>
    </w:p>
    <w:p w14:paraId="2B7B695F" w14:textId="77777777" w:rsidR="001B0424" w:rsidRPr="001B0424" w:rsidRDefault="001B0424" w:rsidP="001B0424">
      <w:pPr>
        <w:spacing w:line="240" w:lineRule="auto"/>
        <w:rPr>
          <w:rFonts w:eastAsia="Times New Roman" w:cs="Arial"/>
          <w:color w:val="000000"/>
          <w:lang w:eastAsia="bg-BG"/>
        </w:rPr>
      </w:pPr>
    </w:p>
    <w:p w14:paraId="0761C080" w14:textId="299DF2E1"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Плазмените концентрации са пропорционални на доза между 1 </w:t>
      </w:r>
      <w:r w:rsidRPr="001B0424">
        <w:rPr>
          <w:rFonts w:eastAsia="Times New Roman" w:cs="Arial"/>
          <w:color w:val="000000"/>
          <w:lang w:val="en-US"/>
        </w:rPr>
        <w:t>mg</w:t>
      </w:r>
      <w:r w:rsidRPr="001B0424">
        <w:rPr>
          <w:rFonts w:eastAsia="Times New Roman" w:cs="Arial"/>
          <w:color w:val="000000"/>
          <w:lang w:val="ru-RU"/>
        </w:rPr>
        <w:t xml:space="preserve"> </w:t>
      </w:r>
      <w:r w:rsidRPr="001B0424">
        <w:rPr>
          <w:rFonts w:eastAsia="Times New Roman" w:cs="Arial"/>
          <w:color w:val="000000"/>
          <w:lang w:eastAsia="bg-BG"/>
        </w:rPr>
        <w:t xml:space="preserve">и 30 </w:t>
      </w:r>
      <w:r w:rsidRPr="001B0424">
        <w:rPr>
          <w:rFonts w:eastAsia="Times New Roman" w:cs="Arial"/>
          <w:color w:val="000000"/>
          <w:lang w:val="en-US"/>
        </w:rPr>
        <w:t>mg</w:t>
      </w:r>
      <w:r w:rsidRPr="001B0424">
        <w:rPr>
          <w:rFonts w:eastAsia="Times New Roman" w:cs="Arial"/>
          <w:color w:val="000000"/>
          <w:lang w:val="ru-RU"/>
        </w:rPr>
        <w:t xml:space="preserve">. </w:t>
      </w:r>
      <w:r w:rsidRPr="001B0424">
        <w:rPr>
          <w:rFonts w:eastAsia="Times New Roman" w:cs="Arial"/>
          <w:color w:val="000000"/>
          <w:lang w:eastAsia="bg-BG"/>
        </w:rPr>
        <w:t>Фармакокинетиката на небиволол не се повлиява от възрастта.</w:t>
      </w:r>
    </w:p>
    <w:p w14:paraId="0E9A54A6" w14:textId="77777777" w:rsidR="001B0424" w:rsidRPr="001B0424" w:rsidRDefault="001B0424" w:rsidP="001B0424">
      <w:pPr>
        <w:spacing w:line="240" w:lineRule="auto"/>
        <w:rPr>
          <w:rFonts w:eastAsia="Times New Roman" w:cs="Arial"/>
          <w:i/>
          <w:iCs/>
          <w:color w:val="000000"/>
          <w:lang w:eastAsia="bg-BG"/>
        </w:rPr>
      </w:pPr>
    </w:p>
    <w:p w14:paraId="4C229DC8" w14:textId="38862DDD"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Разпределение</w:t>
      </w:r>
    </w:p>
    <w:p w14:paraId="670BCCBB"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В плазмата и двата енантиомера се свързват предимно с албумина. Свързването с плазмените протеини е 98,1% за </w:t>
      </w:r>
      <w:r w:rsidRPr="001B0424">
        <w:rPr>
          <w:rFonts w:eastAsia="Times New Roman" w:cs="Arial"/>
          <w:color w:val="000000"/>
          <w:lang w:val="en-US"/>
        </w:rPr>
        <w:t>SRRR</w:t>
      </w:r>
      <w:r w:rsidRPr="001B0424">
        <w:rPr>
          <w:rFonts w:eastAsia="Times New Roman" w:cs="Arial"/>
          <w:color w:val="000000"/>
          <w:lang w:eastAsia="bg-BG"/>
        </w:rPr>
        <w:t xml:space="preserve">-небиволол и 97,9% за </w:t>
      </w:r>
      <w:r w:rsidRPr="001B0424">
        <w:rPr>
          <w:rFonts w:eastAsia="Times New Roman" w:cs="Arial"/>
          <w:color w:val="000000"/>
          <w:lang w:val="en-US"/>
        </w:rPr>
        <w:t>RSSS</w:t>
      </w:r>
      <w:r w:rsidRPr="001B0424">
        <w:rPr>
          <w:rFonts w:eastAsia="Times New Roman" w:cs="Arial"/>
          <w:color w:val="000000"/>
          <w:lang w:eastAsia="bg-BG"/>
        </w:rPr>
        <w:t>-небиволол.</w:t>
      </w:r>
    </w:p>
    <w:p w14:paraId="20B04FDD" w14:textId="77777777" w:rsidR="001B0424" w:rsidRPr="001B0424" w:rsidRDefault="001B0424" w:rsidP="001B0424">
      <w:pPr>
        <w:spacing w:line="240" w:lineRule="auto"/>
        <w:rPr>
          <w:rFonts w:eastAsia="Times New Roman" w:cs="Arial"/>
          <w:i/>
          <w:iCs/>
          <w:color w:val="000000"/>
          <w:lang w:eastAsia="bg-BG"/>
        </w:rPr>
      </w:pPr>
    </w:p>
    <w:p w14:paraId="4ABA2249" w14:textId="51AE2438"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Биотрансформация</w:t>
      </w:r>
    </w:p>
    <w:p w14:paraId="61C22A20"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Небиволол се метаболизира екстензивно, частично до активни хидроксиметаболити. Небиволол се метаболизира чрез алициклично и ароматно хидроксилиране, </w:t>
      </w:r>
      <w:r w:rsidRPr="001B0424">
        <w:rPr>
          <w:rFonts w:eastAsia="Times New Roman" w:cs="Arial"/>
          <w:color w:val="000000"/>
          <w:lang w:val="en-US"/>
        </w:rPr>
        <w:t>N</w:t>
      </w:r>
      <w:r w:rsidRPr="001B0424">
        <w:rPr>
          <w:rFonts w:eastAsia="Times New Roman" w:cs="Arial"/>
          <w:color w:val="000000"/>
          <w:lang w:eastAsia="bg-BG"/>
        </w:rPr>
        <w:t>-деалкилиране и глюкурониране; допълнително се образуват глюкурониди и хидроксиметаболити.</w:t>
      </w:r>
    </w:p>
    <w:p w14:paraId="70D70522"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Метаболизмът на небиволол чрез ароматно хидроксилиране е обект на </w:t>
      </w:r>
      <w:r w:rsidRPr="001B0424">
        <w:rPr>
          <w:rFonts w:eastAsia="Times New Roman" w:cs="Arial"/>
          <w:color w:val="000000"/>
          <w:lang w:val="en-US"/>
        </w:rPr>
        <w:t>CYP</w:t>
      </w:r>
      <w:r w:rsidRPr="001B0424">
        <w:rPr>
          <w:rFonts w:eastAsia="Times New Roman" w:cs="Arial"/>
          <w:color w:val="000000"/>
          <w:lang w:val="ru-RU"/>
        </w:rPr>
        <w:t>2</w:t>
      </w:r>
      <w:r w:rsidRPr="001B0424">
        <w:rPr>
          <w:rFonts w:eastAsia="Times New Roman" w:cs="Arial"/>
          <w:color w:val="000000"/>
          <w:lang w:val="en-US"/>
        </w:rPr>
        <w:t>D</w:t>
      </w:r>
      <w:r w:rsidRPr="001B0424">
        <w:rPr>
          <w:rFonts w:eastAsia="Times New Roman" w:cs="Arial"/>
          <w:color w:val="000000"/>
          <w:lang w:val="ru-RU"/>
        </w:rPr>
        <w:t xml:space="preserve">6 </w:t>
      </w:r>
      <w:r w:rsidRPr="001B0424">
        <w:rPr>
          <w:rFonts w:eastAsia="Times New Roman" w:cs="Arial"/>
          <w:color w:val="000000"/>
          <w:lang w:eastAsia="bg-BG"/>
        </w:rPr>
        <w:t>зависим оксидативен полиморфизъм.</w:t>
      </w:r>
    </w:p>
    <w:p w14:paraId="0E7BF42B" w14:textId="77777777" w:rsidR="001B0424" w:rsidRPr="001B0424" w:rsidRDefault="001B0424" w:rsidP="001B0424">
      <w:pPr>
        <w:spacing w:line="240" w:lineRule="auto"/>
        <w:rPr>
          <w:rFonts w:eastAsia="Times New Roman" w:cs="Arial"/>
          <w:i/>
          <w:iCs/>
          <w:color w:val="000000"/>
          <w:lang w:eastAsia="bg-BG"/>
        </w:rPr>
      </w:pPr>
    </w:p>
    <w:p w14:paraId="03ECDEB1" w14:textId="26F48AC2"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Елиминиране</w:t>
      </w:r>
    </w:p>
    <w:p w14:paraId="3127F129"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При бързите метаболизатори елиминационният полуживот на енантиомерите на небиволол е средно 10 часа. При бавните метаболизатори това време е 3-5 пъти по-дълго. При бързите метаболизатори, плазмените концентрации на </w:t>
      </w:r>
      <w:r w:rsidRPr="001B0424">
        <w:rPr>
          <w:rFonts w:eastAsia="Times New Roman" w:cs="Arial"/>
          <w:color w:val="000000"/>
          <w:lang w:val="en-US"/>
        </w:rPr>
        <w:t>RSSS</w:t>
      </w:r>
      <w:r w:rsidRPr="001B0424">
        <w:rPr>
          <w:rFonts w:eastAsia="Times New Roman" w:cs="Arial"/>
          <w:color w:val="000000"/>
          <w:lang w:eastAsia="bg-BG"/>
        </w:rPr>
        <w:t xml:space="preserve">-енантиомера са малко по-високи от тези на </w:t>
      </w:r>
      <w:r w:rsidRPr="001B0424">
        <w:rPr>
          <w:rFonts w:eastAsia="Times New Roman" w:cs="Arial"/>
          <w:color w:val="000000"/>
          <w:lang w:val="en-US"/>
        </w:rPr>
        <w:t>SRRR</w:t>
      </w:r>
      <w:r w:rsidRPr="001B0424">
        <w:rPr>
          <w:rFonts w:eastAsia="Times New Roman" w:cs="Arial"/>
          <w:color w:val="000000"/>
          <w:lang w:eastAsia="bg-BG"/>
        </w:rPr>
        <w:t>-енантиомера. При бавните метаболизатори тази разлика е малко по-голяма. При бързите метаболизатори елиминационният полуживот на хидроксиметаболитите на двата енантиомера е средно 24 часа и са около 2 пъти по-дълги при бавните метаболизатори.</w:t>
      </w:r>
    </w:p>
    <w:p w14:paraId="393E3BA1" w14:textId="77777777" w:rsidR="001B0424" w:rsidRPr="001B0424" w:rsidRDefault="001B0424" w:rsidP="001B0424">
      <w:pPr>
        <w:spacing w:line="240" w:lineRule="auto"/>
        <w:rPr>
          <w:rFonts w:eastAsia="Times New Roman" w:cs="Arial"/>
          <w:color w:val="000000"/>
          <w:lang w:eastAsia="bg-BG"/>
        </w:rPr>
      </w:pPr>
    </w:p>
    <w:p w14:paraId="645B88F6" w14:textId="4452D83B" w:rsidR="001B0424" w:rsidRPr="001B0424" w:rsidRDefault="001B0424" w:rsidP="001B0424">
      <w:pPr>
        <w:spacing w:line="240" w:lineRule="auto"/>
        <w:rPr>
          <w:rFonts w:eastAsia="Times New Roman" w:cs="Arial"/>
        </w:rPr>
      </w:pPr>
      <w:r w:rsidRPr="001B0424">
        <w:rPr>
          <w:rFonts w:eastAsia="Times New Roman" w:cs="Arial"/>
          <w:color w:val="000000"/>
          <w:lang w:eastAsia="bg-BG"/>
        </w:rPr>
        <w:t>При повечето пациенти (бързи метаболизатори) плазмени концентрации в равновесно състояние на небиволол се постигат в рамките на 24 часа и в рамките на няколко дни за хидроксиметаболитите.</w:t>
      </w:r>
    </w:p>
    <w:p w14:paraId="5EB8FA0C" w14:textId="77777777" w:rsidR="001B0424" w:rsidRPr="001B0424" w:rsidRDefault="001B0424" w:rsidP="001B0424">
      <w:pPr>
        <w:spacing w:line="240" w:lineRule="auto"/>
        <w:rPr>
          <w:rFonts w:eastAsia="Times New Roman" w:cs="Arial"/>
          <w:color w:val="000000"/>
          <w:lang w:eastAsia="bg-BG"/>
        </w:rPr>
      </w:pPr>
    </w:p>
    <w:p w14:paraId="26A221C1" w14:textId="2382746B" w:rsidR="001B0424" w:rsidRPr="001B0424" w:rsidRDefault="001B0424" w:rsidP="001B0424">
      <w:pPr>
        <w:spacing w:line="240" w:lineRule="auto"/>
        <w:rPr>
          <w:rFonts w:eastAsia="Times New Roman" w:cs="Arial"/>
        </w:rPr>
      </w:pPr>
      <w:r w:rsidRPr="001B0424">
        <w:rPr>
          <w:rFonts w:eastAsia="Times New Roman" w:cs="Arial"/>
          <w:color w:val="000000"/>
          <w:lang w:eastAsia="bg-BG"/>
        </w:rPr>
        <w:t>Една седмица след приложението 38% от дозата се екскретира в урината и 48% във фецеса. Екскретираният непроменен небиволол в урината е по-малко от 0,5% от приетата доза.</w:t>
      </w:r>
    </w:p>
    <w:p w14:paraId="125D4841" w14:textId="77777777" w:rsidR="001B0424" w:rsidRPr="001B0424" w:rsidRDefault="001B0424" w:rsidP="001B0424">
      <w:pPr>
        <w:spacing w:line="240" w:lineRule="auto"/>
        <w:rPr>
          <w:rFonts w:eastAsia="Times New Roman" w:cs="Arial"/>
          <w:color w:val="000000"/>
          <w:u w:val="single"/>
          <w:lang w:eastAsia="bg-BG"/>
        </w:rPr>
      </w:pPr>
    </w:p>
    <w:p w14:paraId="34F5C188" w14:textId="795D7BA4" w:rsidR="001B0424" w:rsidRPr="001B0424" w:rsidRDefault="001B0424" w:rsidP="001B0424">
      <w:pPr>
        <w:pStyle w:val="Heading3"/>
        <w:rPr>
          <w:rFonts w:eastAsia="Times New Roman"/>
          <w:u w:val="single"/>
        </w:rPr>
      </w:pPr>
      <w:r w:rsidRPr="001B0424">
        <w:rPr>
          <w:rFonts w:eastAsia="Times New Roman"/>
          <w:u w:val="single"/>
          <w:lang w:eastAsia="bg-BG"/>
        </w:rPr>
        <w:t>Хидрохлоротиазид</w:t>
      </w:r>
    </w:p>
    <w:p w14:paraId="48A7D5EC" w14:textId="77777777" w:rsidR="001B0424" w:rsidRPr="001B0424" w:rsidRDefault="001B0424" w:rsidP="001B0424">
      <w:pPr>
        <w:spacing w:line="240" w:lineRule="auto"/>
        <w:rPr>
          <w:rFonts w:eastAsia="Times New Roman" w:cs="Arial"/>
          <w:i/>
          <w:iCs/>
          <w:color w:val="000000"/>
          <w:lang w:eastAsia="bg-BG"/>
        </w:rPr>
      </w:pPr>
    </w:p>
    <w:p w14:paraId="530E3EC5" w14:textId="1FA99AE4"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Абсорбция</w:t>
      </w:r>
    </w:p>
    <w:p w14:paraId="4121964E" w14:textId="77777777" w:rsidR="001B0424" w:rsidRPr="001B0424" w:rsidRDefault="001B0424" w:rsidP="001B0424">
      <w:pPr>
        <w:rPr>
          <w:rFonts w:eastAsia="Times New Roman" w:cs="Arial"/>
        </w:rPr>
      </w:pPr>
      <w:r w:rsidRPr="001B0424">
        <w:rPr>
          <w:rFonts w:eastAsia="Times New Roman" w:cs="Arial"/>
          <w:color w:val="000000"/>
          <w:lang w:eastAsia="bg-BG"/>
        </w:rPr>
        <w:t>След перорално приложение хидрохлоротиазид се абсорбира добре (65 до 75%) Плазмените концентрации са в линейна зависимост от приложената доза. Абсорбцията на хидрохлоротиазид зависи от времето за преминаване през червата и се повишава, когато то е</w:t>
      </w:r>
      <w:r w:rsidRPr="001B0424">
        <w:rPr>
          <w:rFonts w:eastAsia="Times New Roman" w:cs="Arial"/>
          <w:color w:val="000000"/>
          <w:lang w:val="ru-RU" w:eastAsia="bg-BG"/>
        </w:rPr>
        <w:t xml:space="preserve"> </w:t>
      </w:r>
      <w:r w:rsidRPr="001B0424">
        <w:rPr>
          <w:rFonts w:eastAsia="Times New Roman" w:cs="Arial"/>
          <w:color w:val="000000"/>
          <w:lang w:eastAsia="bg-BG"/>
        </w:rPr>
        <w:t>забавено, например когато се приема с храна. При последяване на плазмените концентрации за период не по-кратък от 24 часа, се наблюдава, че плазменият полуживот варира между 5,6 и 14,8 часа и максимални плазмени концентрации се наблюдават в рамките на 1 и 5 часа след прием на дозата.</w:t>
      </w:r>
    </w:p>
    <w:p w14:paraId="13FAF41A" w14:textId="77777777" w:rsidR="001B0424" w:rsidRPr="001B0424" w:rsidRDefault="001B0424" w:rsidP="001B0424">
      <w:pPr>
        <w:spacing w:line="240" w:lineRule="auto"/>
        <w:rPr>
          <w:rFonts w:eastAsia="Times New Roman" w:cs="Arial"/>
          <w:i/>
          <w:iCs/>
          <w:color w:val="000000"/>
          <w:lang w:eastAsia="bg-BG"/>
        </w:rPr>
      </w:pPr>
    </w:p>
    <w:p w14:paraId="40900734" w14:textId="5BDBA2A1"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Разпределение</w:t>
      </w:r>
    </w:p>
    <w:p w14:paraId="707119B3"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 xml:space="preserve">Хидрохлоротиазид се свързва с плазмените протеини в 68% и реалният обем на разпределение е 0,83-1,14 </w:t>
      </w:r>
      <w:r w:rsidRPr="001B0424">
        <w:rPr>
          <w:rFonts w:eastAsia="Times New Roman" w:cs="Arial"/>
          <w:color w:val="000000"/>
          <w:lang w:val="ru-RU"/>
        </w:rPr>
        <w:t>1/</w:t>
      </w:r>
      <w:r w:rsidRPr="001B0424">
        <w:rPr>
          <w:rFonts w:eastAsia="Times New Roman" w:cs="Arial"/>
          <w:color w:val="000000"/>
          <w:lang w:val="en-US"/>
        </w:rPr>
        <w:t>kg</w:t>
      </w:r>
      <w:r w:rsidRPr="001B0424">
        <w:rPr>
          <w:rFonts w:eastAsia="Times New Roman" w:cs="Arial"/>
          <w:color w:val="000000"/>
          <w:lang w:val="ru-RU"/>
        </w:rPr>
        <w:t xml:space="preserve">. </w:t>
      </w:r>
      <w:r w:rsidRPr="001B0424">
        <w:rPr>
          <w:rFonts w:eastAsia="Times New Roman" w:cs="Arial"/>
          <w:color w:val="000000"/>
          <w:lang w:eastAsia="bg-BG"/>
        </w:rPr>
        <w:t>Хидрохлоротиазид преминава през плацентата, но не преминава кръвно- мозъчната бариера</w:t>
      </w:r>
    </w:p>
    <w:p w14:paraId="67D2A877" w14:textId="77777777" w:rsidR="001B0424" w:rsidRPr="001B0424" w:rsidRDefault="001B0424" w:rsidP="001B0424">
      <w:pPr>
        <w:spacing w:line="240" w:lineRule="auto"/>
        <w:rPr>
          <w:rFonts w:eastAsia="Times New Roman" w:cs="Arial"/>
          <w:i/>
          <w:iCs/>
          <w:color w:val="000000"/>
          <w:lang w:eastAsia="bg-BG"/>
        </w:rPr>
      </w:pPr>
    </w:p>
    <w:p w14:paraId="3DF3D0A1" w14:textId="1D73355B"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t>Биотрансформация</w:t>
      </w:r>
    </w:p>
    <w:p w14:paraId="4D9779D8" w14:textId="77777777" w:rsidR="001B0424" w:rsidRPr="001B0424" w:rsidRDefault="001B0424" w:rsidP="001B0424">
      <w:pPr>
        <w:spacing w:line="240" w:lineRule="auto"/>
        <w:rPr>
          <w:rFonts w:eastAsia="Times New Roman" w:cs="Arial"/>
        </w:rPr>
      </w:pPr>
      <w:r w:rsidRPr="001B0424">
        <w:rPr>
          <w:rFonts w:eastAsia="Times New Roman" w:cs="Arial"/>
          <w:color w:val="000000"/>
          <w:lang w:eastAsia="bg-BG"/>
        </w:rPr>
        <w:t>Хидрохлоротиазид се метаболизира много слабо. Почти цялото количество хидрохлоротиазид се екскретира в урината в непроменен вид.</w:t>
      </w:r>
    </w:p>
    <w:p w14:paraId="6A6E27BA" w14:textId="77777777" w:rsidR="001B0424" w:rsidRPr="001B0424" w:rsidRDefault="001B0424" w:rsidP="001B0424">
      <w:pPr>
        <w:spacing w:line="240" w:lineRule="auto"/>
        <w:rPr>
          <w:rFonts w:eastAsia="Times New Roman" w:cs="Arial"/>
          <w:i/>
          <w:iCs/>
          <w:color w:val="000000"/>
          <w:lang w:eastAsia="bg-BG"/>
        </w:rPr>
      </w:pPr>
    </w:p>
    <w:p w14:paraId="472A26A4" w14:textId="1795D737" w:rsidR="001B0424" w:rsidRPr="001B0424" w:rsidRDefault="001B0424" w:rsidP="001B0424">
      <w:pPr>
        <w:spacing w:line="240" w:lineRule="auto"/>
        <w:rPr>
          <w:rFonts w:eastAsia="Times New Roman" w:cs="Arial"/>
        </w:rPr>
      </w:pPr>
      <w:r w:rsidRPr="001B0424">
        <w:rPr>
          <w:rFonts w:eastAsia="Times New Roman" w:cs="Arial"/>
          <w:i/>
          <w:iCs/>
          <w:color w:val="000000"/>
          <w:lang w:eastAsia="bg-BG"/>
        </w:rPr>
        <w:lastRenderedPageBreak/>
        <w:t>Елиминиране</w:t>
      </w:r>
    </w:p>
    <w:p w14:paraId="648AE687" w14:textId="37192CE2" w:rsidR="001B0424" w:rsidRPr="001B0424" w:rsidRDefault="001B0424" w:rsidP="001B0424">
      <w:pPr>
        <w:spacing w:line="240" w:lineRule="auto"/>
        <w:rPr>
          <w:rFonts w:eastAsia="Times New Roman" w:cs="Arial"/>
          <w:lang w:val="ru-RU"/>
        </w:rPr>
      </w:pPr>
      <w:r w:rsidRPr="001B0424">
        <w:rPr>
          <w:rFonts w:eastAsia="Times New Roman" w:cs="Arial"/>
          <w:color w:val="000000"/>
          <w:lang w:eastAsia="bg-BG"/>
        </w:rPr>
        <w:t>Хидрохлоротиазид се елиминира основно чрез бъбреците. След перорално приложение над 95% от приложения хидрохлоротиазид се открива непроменен в урината в рамките на 3-6 часа. При пациенти с бъбречно заболяване, плазмените концентрации на хидрохлоротиазид се повишават и елиминационният полуживот е удължен.</w:t>
      </w:r>
    </w:p>
    <w:p w14:paraId="578B8174" w14:textId="77777777" w:rsidR="001B0424" w:rsidRPr="001B0424" w:rsidRDefault="001B0424" w:rsidP="001B0424"/>
    <w:p w14:paraId="028E658A" w14:textId="54508B44" w:rsidR="00395555" w:rsidRDefault="002C50EE" w:rsidP="008A6AF2">
      <w:pPr>
        <w:pStyle w:val="Heading2"/>
      </w:pPr>
      <w:r>
        <w:t>5.3. Предклинични данни за безопасност</w:t>
      </w:r>
    </w:p>
    <w:p w14:paraId="30FB880B" w14:textId="3C9EEDC1" w:rsidR="001B0424" w:rsidRDefault="001B0424" w:rsidP="001B0424"/>
    <w:p w14:paraId="3813E433" w14:textId="733ED6C5" w:rsidR="001B0424" w:rsidRPr="001B0424" w:rsidRDefault="001B0424" w:rsidP="001B0424">
      <w:r>
        <w:t>Неклиничните данни за комбинацията небиволол и хидрохлоротиазид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карциногенен потенциал на отделните компоненти.</w:t>
      </w:r>
    </w:p>
    <w:p w14:paraId="6A7820AB" w14:textId="4CC24544" w:rsidR="008A6AF2" w:rsidRDefault="002C50EE" w:rsidP="00395555">
      <w:pPr>
        <w:pStyle w:val="Heading1"/>
      </w:pPr>
      <w:r>
        <w:t>7. ПРИТЕЖАТЕЛ НА РАЗРЕШЕНИЕТО ЗА УПОТРЕБА</w:t>
      </w:r>
    </w:p>
    <w:p w14:paraId="53E82BBA" w14:textId="0CE2593D" w:rsidR="001B0424" w:rsidRDefault="001B0424" w:rsidP="001B0424"/>
    <w:p w14:paraId="66B9A8A5" w14:textId="77777777" w:rsidR="001B0424" w:rsidRPr="001B0424" w:rsidRDefault="001B0424" w:rsidP="001B0424">
      <w:pPr>
        <w:rPr>
          <w:sz w:val="24"/>
          <w:szCs w:val="24"/>
        </w:rPr>
      </w:pPr>
      <w:r w:rsidRPr="001B0424">
        <w:rPr>
          <w:lang w:eastAsia="bg-BG"/>
        </w:rPr>
        <w:t>Тева Фарма ЕАД</w:t>
      </w:r>
    </w:p>
    <w:p w14:paraId="7B87A7EA" w14:textId="77777777" w:rsidR="001B0424" w:rsidRPr="001B0424" w:rsidRDefault="001B0424" w:rsidP="001B0424">
      <w:pPr>
        <w:rPr>
          <w:sz w:val="24"/>
          <w:szCs w:val="24"/>
        </w:rPr>
      </w:pPr>
      <w:r w:rsidRPr="001B0424">
        <w:rPr>
          <w:lang w:eastAsia="bg-BG"/>
        </w:rPr>
        <w:t>ул. „Люба Величкова“ № 9</w:t>
      </w:r>
    </w:p>
    <w:p w14:paraId="62862464" w14:textId="1E41C461" w:rsidR="001B0424" w:rsidRPr="001B0424" w:rsidRDefault="001B0424" w:rsidP="001B0424">
      <w:r w:rsidRPr="001B0424">
        <w:rPr>
          <w:lang w:eastAsia="bg-BG"/>
        </w:rPr>
        <w:t>1407 София, България</w:t>
      </w:r>
    </w:p>
    <w:p w14:paraId="04840D59" w14:textId="5C178731" w:rsidR="002C50EE" w:rsidRDefault="002C50EE" w:rsidP="00395555">
      <w:pPr>
        <w:pStyle w:val="Heading1"/>
      </w:pPr>
      <w:r>
        <w:t>8. НОМЕР НА РАЗРЕШЕНИЕТО ЗА УПОТРЕБА</w:t>
      </w:r>
    </w:p>
    <w:p w14:paraId="0DAA475C" w14:textId="58803EC1" w:rsidR="001B0424" w:rsidRDefault="001B0424" w:rsidP="001B0424"/>
    <w:p w14:paraId="4AF46401" w14:textId="6D9F9261" w:rsidR="001B0424" w:rsidRPr="001B0424" w:rsidRDefault="001B0424" w:rsidP="001B0424">
      <w:r>
        <w:rPr>
          <w:lang w:val="en-US"/>
        </w:rPr>
        <w:t>Per</w:t>
      </w:r>
      <w:r w:rsidRPr="001B0424">
        <w:rPr>
          <w:lang w:val="ru-RU"/>
        </w:rPr>
        <w:t xml:space="preserve">. </w:t>
      </w:r>
      <w:r>
        <w:t>№20160398</w:t>
      </w:r>
    </w:p>
    <w:p w14:paraId="2CCB5832" w14:textId="1DBF867B" w:rsidR="007C605B" w:rsidRDefault="002C50EE" w:rsidP="007C605B">
      <w:pPr>
        <w:pStyle w:val="Heading1"/>
      </w:pPr>
      <w:r>
        <w:t>9. ДАТА НА ПЪРВО РАЗРЕШАВАНЕ/ПОДНОВЯВАНЕ НА РАЗРЕШЕНИЕТО ЗА УПОТРЕБА</w:t>
      </w:r>
    </w:p>
    <w:p w14:paraId="5796DE3F" w14:textId="51D8EE41" w:rsidR="001B0424" w:rsidRDefault="001B0424" w:rsidP="001B0424"/>
    <w:p w14:paraId="034E7884" w14:textId="77777777" w:rsidR="001B0424" w:rsidRPr="001B0424" w:rsidRDefault="001B0424" w:rsidP="001B0424">
      <w:pPr>
        <w:rPr>
          <w:sz w:val="24"/>
          <w:szCs w:val="24"/>
        </w:rPr>
      </w:pPr>
      <w:r w:rsidRPr="001B0424">
        <w:rPr>
          <w:lang w:eastAsia="bg-BG"/>
        </w:rPr>
        <w:t>Дата на първо разрешаване: 30.11.2016 г.</w:t>
      </w:r>
    </w:p>
    <w:p w14:paraId="74720364" w14:textId="77777777" w:rsidR="001B0424" w:rsidRPr="001B0424" w:rsidRDefault="001B0424" w:rsidP="001B0424">
      <w:pPr>
        <w:rPr>
          <w:sz w:val="24"/>
          <w:szCs w:val="24"/>
        </w:rPr>
      </w:pPr>
      <w:r w:rsidRPr="001B0424">
        <w:rPr>
          <w:lang w:eastAsia="bg-BG"/>
        </w:rPr>
        <w:t>Дата на последно подновяване: 15.11.2021 г.</w:t>
      </w:r>
    </w:p>
    <w:p w14:paraId="0A390583" w14:textId="77777777" w:rsidR="001B0424" w:rsidRPr="001B0424" w:rsidRDefault="001B0424" w:rsidP="001B0424"/>
    <w:p w14:paraId="0E9D0119" w14:textId="0245C6D7" w:rsidR="002C50EE" w:rsidRDefault="002C50EE" w:rsidP="002C50EE">
      <w:pPr>
        <w:pStyle w:val="Heading1"/>
      </w:pPr>
      <w:r>
        <w:t>10. ДАТА НА АКТУАЛИЗИРАНЕ НА ТЕКСТА</w:t>
      </w:r>
    </w:p>
    <w:p w14:paraId="43FB38A2" w14:textId="619A12D1" w:rsidR="007C605B" w:rsidRPr="002B0A88" w:rsidRDefault="007C605B" w:rsidP="002B0A88">
      <w:pPr>
        <w:rPr>
          <w:sz w:val="24"/>
          <w:szCs w:val="24"/>
        </w:rPr>
      </w:pPr>
      <w:bookmarkStart w:id="2" w:name="_GoBack"/>
      <w:bookmarkEnd w:id="0"/>
      <w:bookmarkEnd w:id="2"/>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1D67CE"/>
    <w:multiLevelType w:val="hybridMultilevel"/>
    <w:tmpl w:val="044882A2"/>
    <w:lvl w:ilvl="0" w:tplc="C2EA2D2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0"/>
  </w:num>
  <w:num w:numId="8">
    <w:abstractNumId w:val="16"/>
  </w:num>
  <w:num w:numId="9">
    <w:abstractNumId w:val="2"/>
  </w:num>
  <w:num w:numId="10">
    <w:abstractNumId w:val="4"/>
  </w:num>
  <w:num w:numId="11">
    <w:abstractNumId w:val="30"/>
  </w:num>
  <w:num w:numId="12">
    <w:abstractNumId w:val="14"/>
  </w:num>
  <w:num w:numId="13">
    <w:abstractNumId w:val="20"/>
  </w:num>
  <w:num w:numId="14">
    <w:abstractNumId w:val="12"/>
  </w:num>
  <w:num w:numId="15">
    <w:abstractNumId w:val="29"/>
  </w:num>
  <w:num w:numId="16">
    <w:abstractNumId w:val="9"/>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2"/>
  </w:num>
  <w:num w:numId="28">
    <w:abstractNumId w:val="6"/>
  </w:num>
  <w:num w:numId="29">
    <w:abstractNumId w:val="21"/>
  </w:num>
  <w:num w:numId="30">
    <w:abstractNumId w:val="33"/>
  </w:num>
  <w:num w:numId="31">
    <w:abstractNumId w:val="5"/>
  </w:num>
  <w:num w:numId="32">
    <w:abstractNumId w:val="15"/>
  </w:num>
  <w:num w:numId="33">
    <w:abstractNumId w:val="3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527EA"/>
    <w:rsid w:val="00185A46"/>
    <w:rsid w:val="001915B6"/>
    <w:rsid w:val="001B0424"/>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6307</Words>
  <Characters>35956</Characters>
  <Application>Microsoft Office Word</Application>
  <DocSecurity>0</DocSecurity>
  <Lines>299</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2022-10-05T12:41:00Z</dcterms:created>
  <dcterms:modified xsi:type="dcterms:W3CDTF">2022-10-05T12:41:00Z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