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2134E9A4" w:rsidR="00AA23EC" w:rsidRDefault="00DD466D" w:rsidP="00DD466D">
      <w:pPr>
        <w:pStyle w:val="Heading1"/>
      </w:pPr>
      <w:r>
        <w:t>1.ИМЕ НА ЛЕКАРСТВЕНИЯ ПРОДУКТ</w:t>
      </w:r>
    </w:p>
    <w:p w14:paraId="05F40DED" w14:textId="7EC6EC4D" w:rsidR="000E074B" w:rsidRDefault="000E074B" w:rsidP="000E074B"/>
    <w:p w14:paraId="61AFD223" w14:textId="77777777" w:rsidR="000E074B" w:rsidRPr="000E074B" w:rsidRDefault="000E074B" w:rsidP="000E074B">
      <w:pPr>
        <w:spacing w:line="240" w:lineRule="auto"/>
        <w:rPr>
          <w:rFonts w:eastAsia="Times New Roman" w:cs="Arial"/>
          <w:lang w:val="en-US"/>
        </w:rPr>
      </w:pPr>
      <w:r w:rsidRPr="000E074B">
        <w:rPr>
          <w:rFonts w:eastAsia="Times New Roman" w:cs="Arial"/>
          <w:b/>
          <w:bCs/>
          <w:color w:val="000000"/>
          <w:lang w:eastAsia="bg-BG"/>
        </w:rPr>
        <w:t xml:space="preserve">НИМОТОП </w:t>
      </w:r>
      <w:r w:rsidRPr="000E074B">
        <w:rPr>
          <w:rFonts w:eastAsia="Times New Roman" w:cs="Arial"/>
          <w:b/>
          <w:bCs/>
          <w:color w:val="000000"/>
          <w:lang w:val="en-US"/>
        </w:rPr>
        <w:t xml:space="preserve">S </w:t>
      </w:r>
      <w:r w:rsidRPr="000E074B">
        <w:rPr>
          <w:rFonts w:eastAsia="Times New Roman" w:cs="Arial"/>
          <w:color w:val="000000"/>
          <w:lang w:eastAsia="bg-BG"/>
        </w:rPr>
        <w:t xml:space="preserve">30 </w:t>
      </w:r>
      <w:r w:rsidRPr="000E074B">
        <w:rPr>
          <w:rFonts w:eastAsia="Times New Roman" w:cs="Arial"/>
          <w:color w:val="000000"/>
          <w:lang w:val="en-US"/>
        </w:rPr>
        <w:t xml:space="preserve">mg </w:t>
      </w:r>
      <w:r w:rsidRPr="000E074B">
        <w:rPr>
          <w:rFonts w:eastAsia="Times New Roman" w:cs="Arial"/>
          <w:color w:val="000000"/>
          <w:lang w:eastAsia="bg-BG"/>
        </w:rPr>
        <w:t>филмирани таблетки</w:t>
      </w:r>
    </w:p>
    <w:p w14:paraId="311D7A4F" w14:textId="77777777" w:rsidR="000E074B" w:rsidRPr="000E074B" w:rsidRDefault="000E074B" w:rsidP="000E074B">
      <w:pPr>
        <w:spacing w:line="240" w:lineRule="auto"/>
        <w:rPr>
          <w:rFonts w:eastAsia="Times New Roman" w:cs="Arial"/>
          <w:lang w:val="en-US"/>
        </w:rPr>
      </w:pPr>
      <w:r w:rsidRPr="000E074B">
        <w:rPr>
          <w:rFonts w:eastAsia="Times New Roman" w:cs="Arial"/>
          <w:b/>
          <w:bCs/>
          <w:color w:val="000000"/>
          <w:lang w:val="en-US"/>
        </w:rPr>
        <w:t xml:space="preserve">NIMOTOP S </w:t>
      </w:r>
      <w:r w:rsidRPr="000E074B">
        <w:rPr>
          <w:rFonts w:eastAsia="Times New Roman" w:cs="Arial"/>
          <w:color w:val="000000"/>
          <w:lang w:eastAsia="bg-BG"/>
        </w:rPr>
        <w:t xml:space="preserve">30 </w:t>
      </w:r>
      <w:r w:rsidRPr="000E074B">
        <w:rPr>
          <w:rFonts w:eastAsia="Times New Roman" w:cs="Arial"/>
          <w:color w:val="000000"/>
          <w:lang w:val="en-US"/>
        </w:rPr>
        <w:t>mg film-coated tablets</w:t>
      </w:r>
    </w:p>
    <w:p w14:paraId="30643072" w14:textId="77777777" w:rsidR="000E074B" w:rsidRPr="000E074B" w:rsidRDefault="000E074B" w:rsidP="000E074B"/>
    <w:p w14:paraId="0A368469" w14:textId="723A580C" w:rsidR="00C0049F" w:rsidRDefault="00DD466D" w:rsidP="009F1313">
      <w:pPr>
        <w:pStyle w:val="Heading1"/>
      </w:pPr>
      <w:r>
        <w:t>2. КАЧЕСТВЕН И КОЛИЧЕСТВЕН СЪСТАВ</w:t>
      </w:r>
    </w:p>
    <w:p w14:paraId="4350C443" w14:textId="0C861A94" w:rsidR="000E074B" w:rsidRDefault="000E074B" w:rsidP="000E074B"/>
    <w:p w14:paraId="0B1DD971" w14:textId="77777777" w:rsidR="000E074B" w:rsidRPr="000E074B" w:rsidRDefault="000E074B" w:rsidP="000E074B">
      <w:pPr>
        <w:rPr>
          <w:sz w:val="24"/>
          <w:szCs w:val="24"/>
        </w:rPr>
      </w:pPr>
      <w:r w:rsidRPr="000E074B">
        <w:rPr>
          <w:lang w:eastAsia="bg-BG"/>
        </w:rPr>
        <w:t xml:space="preserve">1 филмирана таблетка Нимотоп </w:t>
      </w:r>
      <w:r w:rsidRPr="000E074B">
        <w:rPr>
          <w:lang w:val="en-US"/>
        </w:rPr>
        <w:t>S</w:t>
      </w:r>
      <w:r w:rsidRPr="000E074B">
        <w:t xml:space="preserve"> </w:t>
      </w:r>
      <w:r w:rsidRPr="000E074B">
        <w:rPr>
          <w:lang w:eastAsia="bg-BG"/>
        </w:rPr>
        <w:t xml:space="preserve">съдържа 30 </w:t>
      </w:r>
      <w:r w:rsidRPr="000E074B">
        <w:rPr>
          <w:lang w:val="en-US"/>
        </w:rPr>
        <w:t>mg</w:t>
      </w:r>
      <w:r w:rsidRPr="000E074B">
        <w:t xml:space="preserve"> </w:t>
      </w:r>
      <w:r w:rsidRPr="000E074B">
        <w:rPr>
          <w:lang w:eastAsia="bg-BG"/>
        </w:rPr>
        <w:t xml:space="preserve">нимодипин </w:t>
      </w:r>
      <w:r w:rsidRPr="000E074B">
        <w:rPr>
          <w:i/>
          <w:iCs/>
        </w:rPr>
        <w:t>(</w:t>
      </w:r>
      <w:proofErr w:type="spellStart"/>
      <w:r w:rsidRPr="000E074B">
        <w:rPr>
          <w:i/>
          <w:iCs/>
          <w:lang w:val="en-US"/>
        </w:rPr>
        <w:t>nimodipine</w:t>
      </w:r>
      <w:proofErr w:type="spellEnd"/>
      <w:r w:rsidRPr="000E074B">
        <w:rPr>
          <w:i/>
          <w:iCs/>
        </w:rPr>
        <w:t>)</w:t>
      </w:r>
      <w:r w:rsidRPr="000E074B">
        <w:rPr>
          <w:i/>
          <w:iCs/>
          <w:lang w:eastAsia="bg-BG"/>
        </w:rPr>
        <w:t>.</w:t>
      </w:r>
    </w:p>
    <w:p w14:paraId="0FB66A3F" w14:textId="77777777" w:rsidR="000E074B" w:rsidRPr="000E074B" w:rsidRDefault="000E074B" w:rsidP="000E074B"/>
    <w:p w14:paraId="614984C4" w14:textId="132B828B" w:rsidR="008A6AF2" w:rsidRDefault="00DD466D" w:rsidP="002C50EE">
      <w:pPr>
        <w:pStyle w:val="Heading1"/>
      </w:pPr>
      <w:r>
        <w:t>3. ЛЕКАРСТВЕНА ФОРМА</w:t>
      </w:r>
    </w:p>
    <w:p w14:paraId="073BD4B5" w14:textId="1D5BDECD" w:rsidR="000E074B" w:rsidRDefault="000E074B" w:rsidP="000E074B"/>
    <w:p w14:paraId="7F5901C4" w14:textId="77777777" w:rsidR="000E074B" w:rsidRPr="000E074B" w:rsidRDefault="000E074B" w:rsidP="000E074B">
      <w:pPr>
        <w:rPr>
          <w:sz w:val="24"/>
          <w:szCs w:val="24"/>
        </w:rPr>
      </w:pPr>
      <w:r w:rsidRPr="000E074B">
        <w:rPr>
          <w:lang w:eastAsia="bg-BG"/>
        </w:rPr>
        <w:t>Филмирана таблетка</w:t>
      </w:r>
    </w:p>
    <w:p w14:paraId="14A5B31E" w14:textId="77777777" w:rsidR="000E074B" w:rsidRPr="000E074B" w:rsidRDefault="000E074B" w:rsidP="000E074B">
      <w:pPr>
        <w:rPr>
          <w:sz w:val="24"/>
          <w:szCs w:val="24"/>
        </w:rPr>
      </w:pPr>
      <w:r w:rsidRPr="000E074B">
        <w:rPr>
          <w:lang w:eastAsia="bg-BG"/>
        </w:rPr>
        <w:t xml:space="preserve">Кръгли, жълти, биконвексни филмирани таблетки, обозначени с </w:t>
      </w:r>
      <w:r w:rsidRPr="000E074B">
        <w:rPr>
          <w:lang w:val="ru-RU"/>
        </w:rPr>
        <w:t>“</w:t>
      </w:r>
      <w:r w:rsidRPr="000E074B">
        <w:rPr>
          <w:lang w:val="en-US"/>
        </w:rPr>
        <w:t>Bayer</w:t>
      </w:r>
      <w:r w:rsidRPr="000E074B">
        <w:rPr>
          <w:lang w:val="ru-RU"/>
        </w:rPr>
        <w:t xml:space="preserve"> </w:t>
      </w:r>
      <w:r w:rsidRPr="000E074B">
        <w:rPr>
          <w:lang w:val="en-US"/>
        </w:rPr>
        <w:t>Cross</w:t>
      </w:r>
      <w:r w:rsidRPr="000E074B">
        <w:rPr>
          <w:lang w:val="ru-RU"/>
        </w:rPr>
        <w:t xml:space="preserve">” </w:t>
      </w:r>
      <w:r w:rsidRPr="000E074B">
        <w:rPr>
          <w:lang w:eastAsia="bg-BG"/>
        </w:rPr>
        <w:t xml:space="preserve">от едната страна и </w:t>
      </w:r>
      <w:r w:rsidRPr="000E074B">
        <w:rPr>
          <w:lang w:val="ru-RU"/>
        </w:rPr>
        <w:t>“</w:t>
      </w:r>
      <w:r w:rsidRPr="000E074B">
        <w:rPr>
          <w:lang w:val="en-US"/>
        </w:rPr>
        <w:t>SK</w:t>
      </w:r>
      <w:r w:rsidRPr="000E074B">
        <w:rPr>
          <w:lang w:val="ru-RU"/>
        </w:rPr>
        <w:t xml:space="preserve">” </w:t>
      </w:r>
      <w:r w:rsidRPr="000E074B">
        <w:rPr>
          <w:lang w:eastAsia="bg-BG"/>
        </w:rPr>
        <w:t>от другата.</w:t>
      </w:r>
    </w:p>
    <w:p w14:paraId="687F170B" w14:textId="77777777" w:rsidR="000E074B" w:rsidRPr="000E074B" w:rsidRDefault="000E074B" w:rsidP="000E074B"/>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33D54391" w:rsidR="00395555" w:rsidRDefault="00395555" w:rsidP="00395555"/>
    <w:p w14:paraId="50112F3B" w14:textId="77777777" w:rsidR="000E074B" w:rsidRPr="000E074B" w:rsidRDefault="000E074B" w:rsidP="000E074B">
      <w:pPr>
        <w:rPr>
          <w:sz w:val="24"/>
          <w:szCs w:val="24"/>
        </w:rPr>
      </w:pPr>
      <w:r w:rsidRPr="000E074B">
        <w:rPr>
          <w:lang w:eastAsia="bg-BG"/>
        </w:rPr>
        <w:t xml:space="preserve">За превенция и лечение на исхемични неврологични дефицити поради церебрален вазоспазъм вследствие на аневризмален субарахноидален кравоизлив. Нимотоп </w:t>
      </w:r>
      <w:r w:rsidRPr="000E074B">
        <w:rPr>
          <w:lang w:val="en-US"/>
        </w:rPr>
        <w:t>S</w:t>
      </w:r>
      <w:r w:rsidRPr="000E074B">
        <w:rPr>
          <w:lang w:val="ru-RU"/>
        </w:rPr>
        <w:t xml:space="preserve"> </w:t>
      </w:r>
      <w:r w:rsidRPr="000E074B">
        <w:rPr>
          <w:lang w:eastAsia="bg-BG"/>
        </w:rPr>
        <w:t xml:space="preserve">филмирани таблетки са показани след употреба на Нимотоп </w:t>
      </w:r>
      <w:r w:rsidRPr="000E074B">
        <w:rPr>
          <w:lang w:val="en-US"/>
        </w:rPr>
        <w:t>S</w:t>
      </w:r>
      <w:r w:rsidRPr="000E074B">
        <w:rPr>
          <w:lang w:val="ru-RU"/>
        </w:rPr>
        <w:t xml:space="preserve"> </w:t>
      </w:r>
      <w:r w:rsidRPr="000E074B">
        <w:rPr>
          <w:lang w:eastAsia="bg-BG"/>
        </w:rPr>
        <w:t>инфузионен разтвор.</w:t>
      </w:r>
    </w:p>
    <w:p w14:paraId="178DD7F6" w14:textId="77777777" w:rsidR="000E074B" w:rsidRPr="00395555" w:rsidRDefault="000E074B" w:rsidP="00395555"/>
    <w:p w14:paraId="7C0CA5EB" w14:textId="3E4DC03B" w:rsidR="00C0049F" w:rsidRDefault="002C50EE" w:rsidP="009F1313">
      <w:pPr>
        <w:pStyle w:val="Heading2"/>
      </w:pPr>
      <w:r>
        <w:t>4.2. Дозировка и начин на приложение</w:t>
      </w:r>
    </w:p>
    <w:p w14:paraId="47D46117" w14:textId="399D7809" w:rsidR="000E074B" w:rsidRDefault="000E074B" w:rsidP="000E074B"/>
    <w:p w14:paraId="7AAAECC6" w14:textId="77777777" w:rsidR="000E074B" w:rsidRPr="000E074B" w:rsidRDefault="000E074B" w:rsidP="000E074B">
      <w:pPr>
        <w:spacing w:line="240" w:lineRule="auto"/>
        <w:rPr>
          <w:rFonts w:eastAsia="Times New Roman" w:cs="Arial"/>
        </w:rPr>
      </w:pPr>
      <w:r w:rsidRPr="000E074B">
        <w:rPr>
          <w:rFonts w:eastAsia="Times New Roman" w:cs="Arial"/>
          <w:b/>
          <w:bCs/>
          <w:i/>
          <w:iCs/>
          <w:color w:val="000000"/>
          <w:lang w:eastAsia="bg-BG"/>
        </w:rPr>
        <w:t>Специални популации</w:t>
      </w:r>
    </w:p>
    <w:p w14:paraId="0A4A71D7"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Безопасността и ефикасността на нимодипин при деца на възраст под 18 години не са установени.</w:t>
      </w:r>
    </w:p>
    <w:p w14:paraId="3D6499AC" w14:textId="77777777" w:rsidR="000E074B" w:rsidRPr="000E074B" w:rsidRDefault="000E074B" w:rsidP="000E074B">
      <w:pPr>
        <w:spacing w:line="240" w:lineRule="auto"/>
        <w:rPr>
          <w:rFonts w:eastAsia="Times New Roman" w:cs="Arial"/>
          <w:b/>
          <w:bCs/>
          <w:color w:val="000000"/>
          <w:lang w:eastAsia="bg-BG"/>
        </w:rPr>
      </w:pPr>
      <w:bookmarkStart w:id="1" w:name="bookmark0"/>
    </w:p>
    <w:p w14:paraId="64FDF163" w14:textId="5756F0E6" w:rsidR="000E074B" w:rsidRPr="000E074B" w:rsidRDefault="000E074B" w:rsidP="000E074B">
      <w:pPr>
        <w:pStyle w:val="Heading3"/>
        <w:rPr>
          <w:rFonts w:eastAsia="Times New Roman"/>
          <w:b/>
        </w:rPr>
      </w:pPr>
      <w:r w:rsidRPr="000E074B">
        <w:rPr>
          <w:rFonts w:eastAsia="Times New Roman"/>
          <w:b/>
          <w:lang w:eastAsia="bg-BG"/>
        </w:rPr>
        <w:t>Начин на приложение</w:t>
      </w:r>
      <w:bookmarkEnd w:id="1"/>
    </w:p>
    <w:p w14:paraId="43EF8891" w14:textId="77777777" w:rsidR="000E074B" w:rsidRPr="000E074B" w:rsidRDefault="000E074B" w:rsidP="000E074B">
      <w:pPr>
        <w:spacing w:line="240" w:lineRule="auto"/>
        <w:rPr>
          <w:rFonts w:eastAsia="Times New Roman" w:cs="Arial"/>
          <w:color w:val="000000"/>
          <w:lang w:eastAsia="bg-BG"/>
        </w:rPr>
      </w:pPr>
    </w:p>
    <w:p w14:paraId="7D224A36" w14:textId="5FB87F11" w:rsidR="000E074B" w:rsidRPr="000E074B" w:rsidRDefault="000E074B" w:rsidP="000E074B">
      <w:pPr>
        <w:spacing w:line="240" w:lineRule="auto"/>
        <w:rPr>
          <w:rFonts w:eastAsia="Times New Roman" w:cs="Arial"/>
        </w:rPr>
      </w:pPr>
      <w:r w:rsidRPr="000E074B">
        <w:rPr>
          <w:rFonts w:eastAsia="Times New Roman" w:cs="Arial"/>
          <w:color w:val="000000"/>
          <w:lang w:eastAsia="bg-BG"/>
        </w:rPr>
        <w:t xml:space="preserve">Приложението на Нимотоп </w:t>
      </w:r>
      <w:r w:rsidRPr="000E074B">
        <w:rPr>
          <w:rFonts w:eastAsia="Times New Roman" w:cs="Arial"/>
          <w:color w:val="000000"/>
          <w:lang w:val="en-US"/>
        </w:rPr>
        <w:t>S</w:t>
      </w:r>
      <w:r w:rsidRPr="000E074B">
        <w:rPr>
          <w:rFonts w:eastAsia="Times New Roman" w:cs="Arial"/>
          <w:color w:val="000000"/>
          <w:lang w:val="ru-RU"/>
        </w:rPr>
        <w:t xml:space="preserve"> </w:t>
      </w:r>
      <w:r w:rsidRPr="000E074B">
        <w:rPr>
          <w:rFonts w:eastAsia="Times New Roman" w:cs="Arial"/>
          <w:color w:val="000000"/>
          <w:lang w:eastAsia="bg-BG"/>
        </w:rPr>
        <w:t xml:space="preserve">филмирани таблетки се препоръчва за период от около 7 дни след края на 5-14 дневна инфузионна терапия с Нимотоп </w:t>
      </w:r>
      <w:r w:rsidRPr="000E074B">
        <w:rPr>
          <w:rFonts w:eastAsia="Times New Roman" w:cs="Arial"/>
          <w:color w:val="000000"/>
          <w:lang w:val="en-US"/>
        </w:rPr>
        <w:t>S</w:t>
      </w:r>
      <w:r w:rsidRPr="000E074B">
        <w:rPr>
          <w:rFonts w:eastAsia="Times New Roman" w:cs="Arial"/>
          <w:color w:val="000000"/>
          <w:lang w:val="ru-RU"/>
        </w:rPr>
        <w:t xml:space="preserve"> </w:t>
      </w:r>
      <w:r w:rsidRPr="000E074B">
        <w:rPr>
          <w:rFonts w:eastAsia="Times New Roman" w:cs="Arial"/>
          <w:color w:val="000000"/>
          <w:lang w:eastAsia="bg-BG"/>
        </w:rPr>
        <w:t>инфузионен разтвор.</w:t>
      </w:r>
    </w:p>
    <w:p w14:paraId="2786055C"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 xml:space="preserve">Като цяло, филмираните таблетки трябва да се поглъщат цели и с малко течности, без значение от времето за хранене. Сокът от грейпфрут трябва да се избягва </w:t>
      </w:r>
      <w:r w:rsidRPr="000E074B">
        <w:rPr>
          <w:rFonts w:eastAsia="Times New Roman" w:cs="Arial"/>
          <w:i/>
          <w:iCs/>
          <w:color w:val="000000"/>
          <w:lang w:eastAsia="bg-BG"/>
        </w:rPr>
        <w:t>(вж. точка 4.5 „Взаимодействие с други лекарствени продукти и други форми на взаимодействие").</w:t>
      </w:r>
    </w:p>
    <w:p w14:paraId="5B886B1E"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Интервалът между последователните дози не трябва да бъде по-кратък от 4 часа.</w:t>
      </w:r>
    </w:p>
    <w:p w14:paraId="7AF4F533" w14:textId="77777777" w:rsidR="000E074B" w:rsidRPr="000E074B" w:rsidRDefault="000E074B" w:rsidP="000E074B">
      <w:pPr>
        <w:spacing w:line="240" w:lineRule="auto"/>
        <w:rPr>
          <w:rFonts w:eastAsia="Times New Roman" w:cs="Arial"/>
          <w:color w:val="000000"/>
          <w:u w:val="single"/>
          <w:lang w:eastAsia="bg-BG"/>
        </w:rPr>
      </w:pPr>
    </w:p>
    <w:p w14:paraId="1B824FCB" w14:textId="1A3B95F7" w:rsidR="000E074B" w:rsidRPr="000E074B" w:rsidRDefault="000E074B" w:rsidP="000E074B">
      <w:pPr>
        <w:pStyle w:val="Heading3"/>
        <w:rPr>
          <w:rFonts w:eastAsia="Times New Roman"/>
          <w:u w:val="single"/>
        </w:rPr>
      </w:pPr>
      <w:r w:rsidRPr="000E074B">
        <w:rPr>
          <w:rFonts w:eastAsia="Times New Roman"/>
          <w:u w:val="single"/>
          <w:lang w:eastAsia="bg-BG"/>
        </w:rPr>
        <w:t>Дозировка</w:t>
      </w:r>
    </w:p>
    <w:p w14:paraId="30AE8340" w14:textId="77777777" w:rsidR="000E074B" w:rsidRPr="000E074B" w:rsidRDefault="000E074B" w:rsidP="000E074B">
      <w:pPr>
        <w:spacing w:line="240" w:lineRule="auto"/>
        <w:rPr>
          <w:rFonts w:eastAsia="Times New Roman" w:cs="Arial"/>
          <w:color w:val="000000"/>
          <w:lang w:eastAsia="bg-BG"/>
        </w:rPr>
      </w:pPr>
    </w:p>
    <w:p w14:paraId="713BD5D1" w14:textId="226FA8E1" w:rsidR="000E074B" w:rsidRPr="000E074B" w:rsidRDefault="000E074B" w:rsidP="000E074B">
      <w:pPr>
        <w:spacing w:line="240" w:lineRule="auto"/>
        <w:rPr>
          <w:rFonts w:eastAsia="Times New Roman" w:cs="Arial"/>
        </w:rPr>
      </w:pPr>
      <w:r w:rsidRPr="000E074B">
        <w:rPr>
          <w:rFonts w:eastAsia="Times New Roman" w:cs="Arial"/>
          <w:color w:val="000000"/>
          <w:lang w:eastAsia="bg-BG"/>
        </w:rPr>
        <w:lastRenderedPageBreak/>
        <w:t xml:space="preserve">Препоръчителната процедура е приложението на Нимотоп </w:t>
      </w:r>
      <w:r w:rsidRPr="000E074B">
        <w:rPr>
          <w:rFonts w:eastAsia="Times New Roman" w:cs="Arial"/>
          <w:color w:val="000000"/>
          <w:lang w:val="en-US"/>
        </w:rPr>
        <w:t>S</w:t>
      </w:r>
      <w:r w:rsidRPr="000E074B">
        <w:rPr>
          <w:rFonts w:eastAsia="Times New Roman" w:cs="Arial"/>
          <w:color w:val="000000"/>
          <w:lang w:val="ru-RU"/>
        </w:rPr>
        <w:t xml:space="preserve"> </w:t>
      </w:r>
      <w:r w:rsidRPr="000E074B">
        <w:rPr>
          <w:rFonts w:eastAsia="Times New Roman" w:cs="Arial"/>
          <w:color w:val="000000"/>
          <w:lang w:eastAsia="bg-BG"/>
        </w:rPr>
        <w:t xml:space="preserve">инфузионен разтвор в продължение на 5 -14 дни, последвано от дневна доза от 6 х 2 Нимотоп </w:t>
      </w:r>
      <w:r w:rsidRPr="000E074B">
        <w:rPr>
          <w:rFonts w:eastAsia="Times New Roman" w:cs="Arial"/>
          <w:color w:val="000000"/>
          <w:lang w:val="en-US"/>
        </w:rPr>
        <w:t>S</w:t>
      </w:r>
      <w:r w:rsidRPr="000E074B">
        <w:rPr>
          <w:rFonts w:eastAsia="Times New Roman" w:cs="Arial"/>
          <w:color w:val="000000"/>
          <w:lang w:val="ru-RU"/>
        </w:rPr>
        <w:t xml:space="preserve"> </w:t>
      </w:r>
      <w:r w:rsidRPr="000E074B">
        <w:rPr>
          <w:rFonts w:eastAsia="Times New Roman" w:cs="Arial"/>
          <w:color w:val="000000"/>
          <w:lang w:eastAsia="bg-BG"/>
        </w:rPr>
        <w:t xml:space="preserve">филмирани таблетки (6 х 60 </w:t>
      </w:r>
      <w:r w:rsidRPr="000E074B">
        <w:rPr>
          <w:rFonts w:eastAsia="Times New Roman" w:cs="Arial"/>
          <w:color w:val="000000"/>
          <w:lang w:val="en-US"/>
        </w:rPr>
        <w:t>mg</w:t>
      </w:r>
      <w:r w:rsidRPr="000E074B">
        <w:rPr>
          <w:rFonts w:eastAsia="Times New Roman" w:cs="Arial"/>
          <w:color w:val="000000"/>
          <w:lang w:val="ru-RU"/>
        </w:rPr>
        <w:t xml:space="preserve"> </w:t>
      </w:r>
      <w:r w:rsidRPr="000E074B">
        <w:rPr>
          <w:rFonts w:eastAsia="Times New Roman" w:cs="Arial"/>
          <w:color w:val="000000"/>
          <w:lang w:eastAsia="bg-BG"/>
        </w:rPr>
        <w:t>нимодипин).</w:t>
      </w:r>
    </w:p>
    <w:p w14:paraId="11C222AA" w14:textId="77777777" w:rsidR="000E074B" w:rsidRPr="000E074B" w:rsidRDefault="000E074B" w:rsidP="000E074B">
      <w:pPr>
        <w:rPr>
          <w:rFonts w:eastAsia="Times New Roman" w:cs="Arial"/>
          <w:color w:val="000000"/>
          <w:lang w:eastAsia="bg-BG"/>
        </w:rPr>
      </w:pPr>
    </w:p>
    <w:p w14:paraId="6912D273" w14:textId="57682776" w:rsidR="000E074B" w:rsidRPr="000E074B" w:rsidRDefault="000E074B" w:rsidP="000E074B">
      <w:pPr>
        <w:rPr>
          <w:rFonts w:eastAsia="Times New Roman" w:cs="Arial"/>
          <w:color w:val="000000"/>
          <w:lang w:eastAsia="bg-BG"/>
        </w:rPr>
      </w:pPr>
      <w:r w:rsidRPr="000E074B">
        <w:rPr>
          <w:rFonts w:eastAsia="Times New Roman" w:cs="Arial"/>
          <w:color w:val="000000"/>
          <w:lang w:eastAsia="bg-BG"/>
        </w:rPr>
        <w:t>При пациенти с изявени нежелани реакции, дозата трябва да бъде намалена</w:t>
      </w:r>
      <w:r w:rsidRPr="000E074B">
        <w:rPr>
          <w:rFonts w:eastAsia="Times New Roman" w:cs="Arial"/>
          <w:color w:val="000000"/>
          <w:lang w:val="ru-RU"/>
        </w:rPr>
        <w:t xml:space="preserve"> </w:t>
      </w:r>
      <w:r w:rsidRPr="000E074B">
        <w:rPr>
          <w:rFonts w:eastAsia="Times New Roman" w:cs="Arial"/>
          <w:color w:val="000000"/>
          <w:lang w:eastAsia="bg-BG"/>
        </w:rPr>
        <w:t>или лечението да бъде прекратено.</w:t>
      </w:r>
    </w:p>
    <w:p w14:paraId="51BEBAC0" w14:textId="1D0F2C46" w:rsidR="000E074B" w:rsidRPr="000E074B" w:rsidRDefault="000E074B" w:rsidP="000E074B">
      <w:pPr>
        <w:rPr>
          <w:rFonts w:eastAsia="Times New Roman" w:cs="Arial"/>
          <w:color w:val="000000"/>
          <w:lang w:eastAsia="bg-BG"/>
        </w:rPr>
      </w:pPr>
    </w:p>
    <w:p w14:paraId="4030939B"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 xml:space="preserve">При пациенти на съпровождащо лечение с лекарствени продукти, инхибитори или индуктори на </w:t>
      </w:r>
      <w:r w:rsidRPr="000E074B">
        <w:rPr>
          <w:rFonts w:eastAsia="Times New Roman" w:cs="Arial"/>
          <w:color w:val="000000"/>
          <w:lang w:val="en-US"/>
        </w:rPr>
        <w:t>CYP</w:t>
      </w:r>
      <w:r w:rsidRPr="000E074B">
        <w:rPr>
          <w:rFonts w:eastAsia="Times New Roman" w:cs="Arial"/>
          <w:color w:val="000000"/>
          <w:lang w:val="ru-RU"/>
        </w:rPr>
        <w:t xml:space="preserve"> </w:t>
      </w:r>
      <w:r w:rsidRPr="000E074B">
        <w:rPr>
          <w:rFonts w:eastAsia="Times New Roman" w:cs="Arial"/>
          <w:color w:val="000000"/>
          <w:lang w:eastAsia="bg-BG"/>
        </w:rPr>
        <w:t xml:space="preserve">ЗА4 може да се наложи коригиране на дозата </w:t>
      </w:r>
      <w:r w:rsidRPr="000E074B">
        <w:rPr>
          <w:rFonts w:eastAsia="Times New Roman" w:cs="Arial"/>
          <w:i/>
          <w:iCs/>
          <w:color w:val="000000"/>
          <w:lang w:eastAsia="bg-BG"/>
        </w:rPr>
        <w:t>(вж. точка 4.5 взаимодействие с други лекарствени продукти и други форми на взаимодействие ”).</w:t>
      </w:r>
    </w:p>
    <w:p w14:paraId="23C7AF17" w14:textId="77777777" w:rsidR="000E074B" w:rsidRPr="000E074B" w:rsidRDefault="000E074B" w:rsidP="000E074B">
      <w:pPr>
        <w:spacing w:line="240" w:lineRule="auto"/>
        <w:rPr>
          <w:rFonts w:eastAsia="Times New Roman" w:cs="Arial"/>
          <w:color w:val="000000"/>
          <w:u w:val="single"/>
          <w:lang w:eastAsia="bg-BG"/>
        </w:rPr>
      </w:pPr>
    </w:p>
    <w:p w14:paraId="229B89FC" w14:textId="5ABD1B28" w:rsidR="000E074B" w:rsidRPr="000E074B" w:rsidRDefault="000E074B" w:rsidP="000E074B">
      <w:pPr>
        <w:spacing w:line="240" w:lineRule="auto"/>
        <w:rPr>
          <w:rFonts w:eastAsia="Times New Roman" w:cs="Arial"/>
        </w:rPr>
      </w:pPr>
      <w:r w:rsidRPr="000E074B">
        <w:rPr>
          <w:rFonts w:eastAsia="Times New Roman" w:cs="Arial"/>
          <w:color w:val="000000"/>
          <w:u w:val="single"/>
          <w:lang w:eastAsia="bg-BG"/>
        </w:rPr>
        <w:t>Профилактична употреба:</w:t>
      </w:r>
    </w:p>
    <w:p w14:paraId="440958DF"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 xml:space="preserve">При приключване на лечението с инфузия е препоръчително пациентът да продължи с перорално приложение на 6 х 60 </w:t>
      </w:r>
      <w:r w:rsidRPr="000E074B">
        <w:rPr>
          <w:rFonts w:eastAsia="Times New Roman" w:cs="Arial"/>
          <w:color w:val="000000"/>
          <w:lang w:val="en-US"/>
        </w:rPr>
        <w:t>mg</w:t>
      </w:r>
      <w:r w:rsidRPr="000E074B">
        <w:rPr>
          <w:rFonts w:eastAsia="Times New Roman" w:cs="Arial"/>
          <w:color w:val="000000"/>
          <w:lang w:val="ru-RU"/>
        </w:rPr>
        <w:t xml:space="preserve"> </w:t>
      </w:r>
      <w:r w:rsidRPr="000E074B">
        <w:rPr>
          <w:rFonts w:eastAsia="Times New Roman" w:cs="Arial"/>
          <w:color w:val="000000"/>
          <w:lang w:eastAsia="bg-BG"/>
        </w:rPr>
        <w:t xml:space="preserve">Нимотоп </w:t>
      </w:r>
      <w:r w:rsidRPr="000E074B">
        <w:rPr>
          <w:rFonts w:eastAsia="Times New Roman" w:cs="Arial"/>
          <w:color w:val="000000"/>
          <w:lang w:val="en-US"/>
        </w:rPr>
        <w:t>S</w:t>
      </w:r>
      <w:r w:rsidRPr="000E074B">
        <w:rPr>
          <w:rFonts w:eastAsia="Times New Roman" w:cs="Arial"/>
          <w:color w:val="000000"/>
          <w:lang w:val="ru-RU"/>
        </w:rPr>
        <w:t xml:space="preserve"> </w:t>
      </w:r>
      <w:r w:rsidRPr="000E074B">
        <w:rPr>
          <w:rFonts w:eastAsia="Times New Roman" w:cs="Arial"/>
          <w:color w:val="000000"/>
          <w:lang w:eastAsia="bg-BG"/>
        </w:rPr>
        <w:t>филмирани таблетки дневно през интервали от 4 часа в продължение на 7 дни.</w:t>
      </w:r>
    </w:p>
    <w:p w14:paraId="65FDF56C" w14:textId="77777777" w:rsidR="000E074B" w:rsidRPr="000E074B" w:rsidRDefault="000E074B" w:rsidP="000E074B">
      <w:pPr>
        <w:spacing w:line="240" w:lineRule="auto"/>
        <w:rPr>
          <w:rFonts w:eastAsia="Times New Roman" w:cs="Arial"/>
          <w:color w:val="000000"/>
          <w:u w:val="single"/>
          <w:lang w:eastAsia="bg-BG"/>
        </w:rPr>
      </w:pPr>
    </w:p>
    <w:p w14:paraId="35A33210" w14:textId="34BA3131" w:rsidR="000E074B" w:rsidRPr="000E074B" w:rsidRDefault="000E074B" w:rsidP="000E074B">
      <w:pPr>
        <w:spacing w:line="240" w:lineRule="auto"/>
        <w:rPr>
          <w:rFonts w:eastAsia="Times New Roman" w:cs="Arial"/>
        </w:rPr>
      </w:pPr>
      <w:r w:rsidRPr="000E074B">
        <w:rPr>
          <w:rFonts w:eastAsia="Times New Roman" w:cs="Arial"/>
          <w:color w:val="000000"/>
          <w:u w:val="single"/>
          <w:lang w:eastAsia="bg-BG"/>
        </w:rPr>
        <w:t>Терапевтична употреба:</w:t>
      </w:r>
    </w:p>
    <w:p w14:paraId="50C45B7D"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 xml:space="preserve">След интравенозно приложение е препоръчително перорално приложение на 6 х 60 </w:t>
      </w:r>
      <w:r w:rsidRPr="000E074B">
        <w:rPr>
          <w:rFonts w:eastAsia="Times New Roman" w:cs="Arial"/>
          <w:color w:val="000000"/>
          <w:lang w:val="en-US"/>
        </w:rPr>
        <w:t>mg</w:t>
      </w:r>
      <w:r w:rsidRPr="000E074B">
        <w:rPr>
          <w:rFonts w:eastAsia="Times New Roman" w:cs="Arial"/>
          <w:color w:val="000000"/>
          <w:lang w:val="ru-RU"/>
        </w:rPr>
        <w:t xml:space="preserve"> </w:t>
      </w:r>
      <w:r w:rsidRPr="000E074B">
        <w:rPr>
          <w:rFonts w:eastAsia="Times New Roman" w:cs="Arial"/>
          <w:color w:val="000000"/>
          <w:lang w:eastAsia="bg-BG"/>
        </w:rPr>
        <w:t xml:space="preserve">Нимотоп </w:t>
      </w:r>
      <w:r w:rsidRPr="000E074B">
        <w:rPr>
          <w:rFonts w:eastAsia="Times New Roman" w:cs="Arial"/>
          <w:color w:val="000000"/>
          <w:lang w:val="en-US"/>
        </w:rPr>
        <w:t>S</w:t>
      </w:r>
      <w:r w:rsidRPr="000E074B">
        <w:rPr>
          <w:rFonts w:eastAsia="Times New Roman" w:cs="Arial"/>
          <w:color w:val="000000"/>
          <w:lang w:val="ru-RU"/>
        </w:rPr>
        <w:t xml:space="preserve"> </w:t>
      </w:r>
      <w:r w:rsidRPr="000E074B">
        <w:rPr>
          <w:rFonts w:eastAsia="Times New Roman" w:cs="Arial"/>
          <w:color w:val="000000"/>
          <w:lang w:eastAsia="bg-BG"/>
        </w:rPr>
        <w:t>филмирани таблетки дневно през интервали от 4 часа в продължение на 7 дни.</w:t>
      </w:r>
    </w:p>
    <w:p w14:paraId="23CDE32A" w14:textId="77777777" w:rsidR="000E074B" w:rsidRPr="000E074B" w:rsidRDefault="000E074B" w:rsidP="000E074B">
      <w:pPr>
        <w:spacing w:line="240" w:lineRule="auto"/>
        <w:rPr>
          <w:rFonts w:eastAsia="Times New Roman" w:cs="Arial"/>
          <w:b/>
          <w:bCs/>
          <w:color w:val="000000"/>
          <w:lang w:eastAsia="bg-BG"/>
        </w:rPr>
      </w:pPr>
    </w:p>
    <w:p w14:paraId="17F6B5C9" w14:textId="62D1C05F" w:rsidR="000E074B" w:rsidRPr="000E074B" w:rsidRDefault="000E074B" w:rsidP="000E074B">
      <w:pPr>
        <w:spacing w:line="240" w:lineRule="auto"/>
        <w:rPr>
          <w:rFonts w:eastAsia="Times New Roman" w:cs="Arial"/>
        </w:rPr>
      </w:pPr>
      <w:r w:rsidRPr="000E074B">
        <w:rPr>
          <w:rFonts w:eastAsia="Times New Roman" w:cs="Arial"/>
          <w:b/>
          <w:bCs/>
          <w:color w:val="000000"/>
          <w:lang w:eastAsia="bg-BG"/>
        </w:rPr>
        <w:t>Пациенти с чернодробно увреждане</w:t>
      </w:r>
    </w:p>
    <w:p w14:paraId="41E106D7" w14:textId="77777777" w:rsidR="000E074B" w:rsidRPr="000E074B" w:rsidRDefault="000E074B" w:rsidP="000E074B">
      <w:pPr>
        <w:spacing w:line="240" w:lineRule="auto"/>
        <w:rPr>
          <w:rFonts w:eastAsia="Times New Roman" w:cs="Arial"/>
          <w:color w:val="000000"/>
          <w:lang w:eastAsia="bg-BG"/>
        </w:rPr>
      </w:pPr>
    </w:p>
    <w:p w14:paraId="6EA89EA8" w14:textId="2C909641" w:rsidR="000E074B" w:rsidRPr="000E074B" w:rsidRDefault="000E074B" w:rsidP="000E074B">
      <w:pPr>
        <w:spacing w:line="240" w:lineRule="auto"/>
        <w:rPr>
          <w:rFonts w:eastAsia="Times New Roman" w:cs="Arial"/>
        </w:rPr>
      </w:pPr>
      <w:r w:rsidRPr="000E074B">
        <w:rPr>
          <w:rFonts w:eastAsia="Times New Roman" w:cs="Arial"/>
          <w:color w:val="000000"/>
          <w:lang w:eastAsia="bg-BG"/>
        </w:rPr>
        <w:t>Тежко увредена чернодробна функция, особено с цироза на черния дроб, може да доведе до повишена бионаличност на нимодипин поради намален капацитет на първо преминаване и понижен метаболитен клирънс. Лекарствените реакции и нежеланите лекарствени реакции, напр. понижено кръвно налягане, могат да са по-изразени при такива пациенти.</w:t>
      </w:r>
    </w:p>
    <w:p w14:paraId="68DB7BB7" w14:textId="25E219F5" w:rsidR="000E074B" w:rsidRDefault="000E074B" w:rsidP="000E074B">
      <w:pPr>
        <w:spacing w:line="240" w:lineRule="auto"/>
        <w:rPr>
          <w:rFonts w:eastAsia="Times New Roman" w:cs="Arial"/>
        </w:rPr>
      </w:pPr>
      <w:r w:rsidRPr="000E074B">
        <w:rPr>
          <w:rFonts w:eastAsia="Times New Roman" w:cs="Arial"/>
          <w:color w:val="000000"/>
          <w:lang w:eastAsia="bg-BG"/>
        </w:rPr>
        <w:t>В подобни случаи, дозата трябва да бъде намалена или при необходимост да се обмисли евентуалното прекратяване на лечението.</w:t>
      </w:r>
    </w:p>
    <w:p w14:paraId="6E0A8253" w14:textId="77777777" w:rsidR="000E074B" w:rsidRPr="000E074B" w:rsidRDefault="000E074B" w:rsidP="000E074B">
      <w:pPr>
        <w:spacing w:line="240" w:lineRule="auto"/>
        <w:rPr>
          <w:rFonts w:eastAsia="Times New Roman" w:cs="Arial"/>
        </w:rPr>
      </w:pPr>
    </w:p>
    <w:p w14:paraId="62B13D0B" w14:textId="3ED6FD57" w:rsidR="00395555" w:rsidRDefault="002C50EE" w:rsidP="008A6AF2">
      <w:pPr>
        <w:pStyle w:val="Heading2"/>
      </w:pPr>
      <w:r>
        <w:t>4.3. Противопоказания</w:t>
      </w:r>
    </w:p>
    <w:p w14:paraId="58C1D356" w14:textId="1ED57731" w:rsidR="000E074B" w:rsidRDefault="000E074B" w:rsidP="000E074B"/>
    <w:p w14:paraId="2E1F2DB1"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Нимотоп </w:t>
      </w:r>
      <w:r w:rsidRPr="000E074B">
        <w:rPr>
          <w:rFonts w:eastAsia="Times New Roman" w:cs="Arial"/>
          <w:color w:val="000000"/>
          <w:szCs w:val="44"/>
          <w:lang w:val="en-US"/>
        </w:rPr>
        <w:t>S</w:t>
      </w:r>
      <w:r w:rsidRPr="000E074B">
        <w:rPr>
          <w:rFonts w:eastAsia="Times New Roman" w:cs="Arial"/>
          <w:color w:val="000000"/>
          <w:szCs w:val="44"/>
          <w:lang w:val="ru-RU"/>
        </w:rPr>
        <w:t xml:space="preserve"> </w:t>
      </w:r>
      <w:r w:rsidRPr="000E074B">
        <w:rPr>
          <w:rFonts w:eastAsia="Times New Roman" w:cs="Arial"/>
          <w:color w:val="000000"/>
          <w:szCs w:val="44"/>
          <w:lang w:eastAsia="bg-BG"/>
        </w:rPr>
        <w:t>филмирани таблетки не трябва да бъде приеман при известна свръхчувствителност към активното вещество нимодипин или към някое от помощните вещества, изброени в точка 6.1.</w:t>
      </w:r>
    </w:p>
    <w:p w14:paraId="4A4135AB" w14:textId="77777777" w:rsidR="000E074B" w:rsidRPr="000E074B" w:rsidRDefault="000E074B" w:rsidP="000E074B">
      <w:pPr>
        <w:spacing w:line="240" w:lineRule="auto"/>
        <w:rPr>
          <w:rFonts w:eastAsia="Times New Roman" w:cs="Arial"/>
          <w:color w:val="000000"/>
          <w:szCs w:val="44"/>
          <w:lang w:eastAsia="bg-BG"/>
        </w:rPr>
      </w:pPr>
    </w:p>
    <w:p w14:paraId="7D28B338" w14:textId="2A34E4FB"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Употребата на нимодипин в комбинация с рифампицин е противопоказана, тъй като ефикасността на Нимотоп </w:t>
      </w:r>
      <w:r w:rsidRPr="000E074B">
        <w:rPr>
          <w:rFonts w:eastAsia="Times New Roman" w:cs="Arial"/>
          <w:color w:val="000000"/>
          <w:szCs w:val="44"/>
          <w:lang w:val="en-US"/>
        </w:rPr>
        <w:t>S</w:t>
      </w:r>
      <w:r w:rsidRPr="000E074B">
        <w:rPr>
          <w:rFonts w:eastAsia="Times New Roman" w:cs="Arial"/>
          <w:color w:val="000000"/>
          <w:szCs w:val="44"/>
          <w:lang w:val="ru-RU"/>
        </w:rPr>
        <w:t xml:space="preserve"> </w:t>
      </w:r>
      <w:r w:rsidRPr="000E074B">
        <w:rPr>
          <w:rFonts w:eastAsia="Times New Roman" w:cs="Arial"/>
          <w:color w:val="000000"/>
          <w:szCs w:val="44"/>
          <w:lang w:eastAsia="bg-BG"/>
        </w:rPr>
        <w:t>филмирани таблетки може значително да се понижи при едновременно приложение с рифампицин (вж. точка 4.5 „Взаимодействие с други лекарствени продукти и други форми на взаимодействие”).</w:t>
      </w:r>
    </w:p>
    <w:p w14:paraId="5CBF1927" w14:textId="77777777" w:rsidR="000E074B" w:rsidRPr="000E074B" w:rsidRDefault="000E074B" w:rsidP="000E074B">
      <w:pPr>
        <w:rPr>
          <w:rFonts w:eastAsia="Times New Roman" w:cs="Arial"/>
          <w:color w:val="000000"/>
          <w:szCs w:val="44"/>
          <w:lang w:eastAsia="bg-BG"/>
        </w:rPr>
      </w:pPr>
    </w:p>
    <w:p w14:paraId="7E4A4A52" w14:textId="1C9AE344" w:rsidR="000E074B" w:rsidRDefault="000E074B" w:rsidP="000E074B">
      <w:pPr>
        <w:rPr>
          <w:rFonts w:eastAsia="Times New Roman" w:cs="Arial"/>
          <w:color w:val="000000"/>
          <w:szCs w:val="44"/>
          <w:lang w:eastAsia="bg-BG"/>
        </w:rPr>
      </w:pPr>
      <w:r w:rsidRPr="000E074B">
        <w:rPr>
          <w:rFonts w:eastAsia="Times New Roman" w:cs="Arial"/>
          <w:color w:val="000000"/>
          <w:szCs w:val="44"/>
          <w:lang w:eastAsia="bg-BG"/>
        </w:rPr>
        <w:t xml:space="preserve">Ендовременната употребата на перорален нимодипин и антиепилептичните лекарства фенобарбитал, фенитоин или карбамазепин е противопоказана, тъй като ефикасността на Нимотоп </w:t>
      </w:r>
      <w:r w:rsidRPr="000E074B">
        <w:rPr>
          <w:rFonts w:eastAsia="Times New Roman" w:cs="Arial"/>
          <w:color w:val="000000"/>
          <w:szCs w:val="44"/>
          <w:lang w:val="en-US"/>
        </w:rPr>
        <w:t>S</w:t>
      </w:r>
      <w:r w:rsidRPr="000E074B">
        <w:rPr>
          <w:rFonts w:eastAsia="Times New Roman" w:cs="Arial"/>
          <w:color w:val="000000"/>
          <w:szCs w:val="44"/>
          <w:lang w:val="ru-RU"/>
        </w:rPr>
        <w:t xml:space="preserve"> </w:t>
      </w:r>
      <w:r w:rsidRPr="000E074B">
        <w:rPr>
          <w:rFonts w:eastAsia="Times New Roman" w:cs="Arial"/>
          <w:color w:val="000000"/>
          <w:szCs w:val="44"/>
          <w:lang w:eastAsia="bg-BG"/>
        </w:rPr>
        <w:t>филмирани таблетки може значително да се понижи (вж. точка 4.5 „Взаимодействие с други лекарствени продукти и други форми на взаимодействие”).</w:t>
      </w:r>
    </w:p>
    <w:p w14:paraId="7D0D6B49" w14:textId="77777777" w:rsidR="000E074B" w:rsidRPr="000E074B" w:rsidRDefault="000E074B" w:rsidP="000E074B">
      <w:pPr>
        <w:rPr>
          <w:rFonts w:cs="Arial"/>
          <w:sz w:val="10"/>
        </w:rPr>
      </w:pPr>
    </w:p>
    <w:p w14:paraId="5A4AC413" w14:textId="79225538" w:rsidR="00395555" w:rsidRDefault="002C50EE" w:rsidP="008A6AF2">
      <w:pPr>
        <w:pStyle w:val="Heading2"/>
      </w:pPr>
      <w:r>
        <w:t>4.4. Специални предупреждения и предпазни мерки при употреба</w:t>
      </w:r>
    </w:p>
    <w:p w14:paraId="352C4FD0" w14:textId="7FFEABCF" w:rsidR="000E074B" w:rsidRDefault="000E074B" w:rsidP="000E074B"/>
    <w:p w14:paraId="0FBF021A"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lastRenderedPageBreak/>
        <w:t>Въпреки че лечението с нимодипин не се свързва с повишено вътречерепно налягане, внимателно наблюдение се препоръчва в тези случаи или в случаи на повишено съдържание на течности в мозъчната тъкан (генерализиран мозъчен оток).</w:t>
      </w:r>
    </w:p>
    <w:p w14:paraId="41971B94" w14:textId="77777777" w:rsidR="000E074B" w:rsidRPr="000E074B" w:rsidRDefault="000E074B" w:rsidP="000E074B">
      <w:pPr>
        <w:spacing w:line="240" w:lineRule="auto"/>
        <w:rPr>
          <w:rFonts w:eastAsia="Times New Roman" w:cs="Arial"/>
          <w:color w:val="000000"/>
          <w:szCs w:val="44"/>
          <w:lang w:eastAsia="bg-BG"/>
        </w:rPr>
      </w:pPr>
    </w:p>
    <w:p w14:paraId="2DC05026" w14:textId="46EE5DF3"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Повишено внимание се препоръчва при пациенти с ниско кръвно налягане (систолично кръвно налягане под 100 </w:t>
      </w:r>
      <w:r w:rsidRPr="000E074B">
        <w:rPr>
          <w:rFonts w:eastAsia="Times New Roman" w:cs="Arial"/>
          <w:color w:val="000000"/>
          <w:szCs w:val="44"/>
          <w:lang w:val="en-US"/>
        </w:rPr>
        <w:t>mmHg</w:t>
      </w:r>
      <w:r w:rsidRPr="000E074B">
        <w:rPr>
          <w:rFonts w:eastAsia="Times New Roman" w:cs="Arial"/>
          <w:color w:val="000000"/>
          <w:szCs w:val="44"/>
          <w:lang w:val="ru-RU"/>
        </w:rPr>
        <w:t>).</w:t>
      </w:r>
    </w:p>
    <w:p w14:paraId="59F5D4B7" w14:textId="77777777" w:rsidR="000E074B" w:rsidRPr="000E074B" w:rsidRDefault="000E074B" w:rsidP="000E074B">
      <w:pPr>
        <w:spacing w:line="240" w:lineRule="auto"/>
        <w:rPr>
          <w:rFonts w:eastAsia="Times New Roman" w:cs="Arial"/>
          <w:color w:val="000000"/>
          <w:szCs w:val="44"/>
          <w:lang w:eastAsia="bg-BG"/>
        </w:rPr>
      </w:pPr>
    </w:p>
    <w:p w14:paraId="45CF9E31" w14:textId="6A33A2B4"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При пациенти с нестабилна стенокардия или в рамките на първите 4 седмици след остър инфаркт на миокарда, лекуващият лекар трябва да обмисли потенциалния риск (напр. понижена перфузия на коронарна артерия и исхемия на миокарда) спрямо ползата (напр. подобрение на мозъчната перфузия).</w:t>
      </w:r>
    </w:p>
    <w:p w14:paraId="5BAB651A" w14:textId="77777777" w:rsidR="000E074B" w:rsidRPr="000E074B" w:rsidRDefault="000E074B" w:rsidP="000E074B">
      <w:pPr>
        <w:rPr>
          <w:rFonts w:eastAsia="Times New Roman" w:cs="Arial"/>
          <w:sz w:val="12"/>
          <w:szCs w:val="24"/>
        </w:rPr>
      </w:pPr>
      <w:r w:rsidRPr="000E074B">
        <w:rPr>
          <w:rFonts w:eastAsia="Times New Roman" w:cs="Arial"/>
          <w:color w:val="000000"/>
          <w:szCs w:val="44"/>
          <w:lang w:eastAsia="bg-BG"/>
        </w:rPr>
        <w:t xml:space="preserve">Нимодипин се метаболизира чрез цитохром Р450 ЗА4 система. Други лекарства, за които е известно, че инхибират или индуцират тази ензимна система, могат да повлияят ефектът на първо преминаване или клирънса на нимодипин (вж. точка 4.5 "Взаимодействие с други </w:t>
      </w:r>
      <w:r w:rsidRPr="000E074B">
        <w:rPr>
          <w:rFonts w:eastAsia="Times New Roman" w:cs="Arial"/>
          <w:i/>
          <w:iCs/>
          <w:color w:val="000000"/>
          <w:szCs w:val="44"/>
          <w:lang w:eastAsia="bg-BG"/>
        </w:rPr>
        <w:t>лекарствени продукти и други форми на взаимодействие</w:t>
      </w:r>
      <w:r w:rsidRPr="000E074B">
        <w:rPr>
          <w:rFonts w:eastAsia="Times New Roman" w:cs="Arial"/>
          <w:color w:val="000000"/>
          <w:szCs w:val="44"/>
          <w:lang w:eastAsia="bg-BG"/>
        </w:rPr>
        <w:t xml:space="preserve"> ”, точка 4,2 </w:t>
      </w:r>
      <w:r w:rsidRPr="000E074B">
        <w:rPr>
          <w:rFonts w:eastAsia="Times New Roman" w:cs="Arial"/>
          <w:i/>
          <w:iCs/>
          <w:color w:val="000000"/>
          <w:szCs w:val="44"/>
          <w:lang w:eastAsia="bg-BG"/>
        </w:rPr>
        <w:t>“Дозировка и начин на приложение - Пациенти с чернодробно увреждане").</w:t>
      </w:r>
    </w:p>
    <w:p w14:paraId="6626520A" w14:textId="77777777" w:rsidR="000E074B" w:rsidRDefault="000E074B" w:rsidP="000E074B">
      <w:pPr>
        <w:spacing w:line="240" w:lineRule="auto"/>
        <w:rPr>
          <w:rFonts w:eastAsia="Times New Roman" w:cs="Arial"/>
          <w:color w:val="000000"/>
          <w:szCs w:val="44"/>
          <w:u w:val="single"/>
          <w:lang w:eastAsia="bg-BG"/>
        </w:rPr>
      </w:pPr>
      <w:r w:rsidRPr="000E074B">
        <w:rPr>
          <w:rFonts w:eastAsia="Times New Roman" w:cs="Arial"/>
          <w:color w:val="000000"/>
          <w:szCs w:val="44"/>
          <w:u w:val="single"/>
          <w:lang w:eastAsia="bg-BG"/>
        </w:rPr>
        <w:t xml:space="preserve">Лекарствени продукти, за които е известно, че са инхибитори на цитохром Р450 ЗА4 система и следователно могат да доведат до повишени плазмени концентрации на нимодипин са, напр.: </w:t>
      </w:r>
    </w:p>
    <w:p w14:paraId="404DA68C" w14:textId="5D3CB2D5" w:rsidR="000E074B" w:rsidRPr="000E074B" w:rsidRDefault="000E074B" w:rsidP="000E074B">
      <w:pPr>
        <w:pStyle w:val="ListParagraph"/>
        <w:numPr>
          <w:ilvl w:val="0"/>
          <w:numId w:val="32"/>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макролидни антибиотици (напр. еритромицин) </w:t>
      </w:r>
    </w:p>
    <w:p w14:paraId="2688DD8A" w14:textId="77777777" w:rsidR="000E074B" w:rsidRPr="000E074B" w:rsidRDefault="000E074B" w:rsidP="000E074B">
      <w:pPr>
        <w:pStyle w:val="ListParagraph"/>
        <w:numPr>
          <w:ilvl w:val="0"/>
          <w:numId w:val="32"/>
        </w:numPr>
        <w:spacing w:line="240" w:lineRule="auto"/>
        <w:rPr>
          <w:rFonts w:eastAsia="Times New Roman" w:cs="Arial"/>
          <w:color w:val="000000"/>
          <w:szCs w:val="44"/>
          <w:lang w:eastAsia="bg-BG"/>
        </w:rPr>
      </w:pPr>
      <w:r w:rsidRPr="000E074B">
        <w:rPr>
          <w:rFonts w:eastAsia="Times New Roman" w:cs="Arial"/>
          <w:color w:val="000000"/>
          <w:szCs w:val="44"/>
          <w:lang w:eastAsia="bg-BG"/>
        </w:rPr>
        <w:t>анти</w:t>
      </w:r>
      <w:r w:rsidRPr="000E074B">
        <w:rPr>
          <w:rFonts w:eastAsia="Times New Roman" w:cs="Arial"/>
          <w:color w:val="000000"/>
          <w:szCs w:val="44"/>
        </w:rPr>
        <w:t>-</w:t>
      </w:r>
      <w:r w:rsidRPr="000E074B">
        <w:rPr>
          <w:rFonts w:eastAsia="Times New Roman" w:cs="Arial"/>
          <w:color w:val="000000"/>
          <w:szCs w:val="44"/>
          <w:lang w:val="en-US"/>
        </w:rPr>
        <w:t>HIV</w:t>
      </w:r>
      <w:r w:rsidRPr="000E074B">
        <w:rPr>
          <w:rFonts w:eastAsia="Times New Roman" w:cs="Arial"/>
          <w:color w:val="000000"/>
          <w:szCs w:val="44"/>
        </w:rPr>
        <w:t xml:space="preserve"> </w:t>
      </w:r>
      <w:r w:rsidRPr="000E074B">
        <w:rPr>
          <w:rFonts w:eastAsia="Times New Roman" w:cs="Arial"/>
          <w:color w:val="000000"/>
          <w:szCs w:val="44"/>
          <w:lang w:eastAsia="bg-BG"/>
        </w:rPr>
        <w:t xml:space="preserve">протеазни инхибитори (напр. ритонавир) </w:t>
      </w:r>
    </w:p>
    <w:p w14:paraId="1A6B72CB" w14:textId="77777777" w:rsidR="000E074B" w:rsidRPr="000E074B" w:rsidRDefault="000E074B" w:rsidP="000E074B">
      <w:pPr>
        <w:pStyle w:val="ListParagraph"/>
        <w:numPr>
          <w:ilvl w:val="0"/>
          <w:numId w:val="32"/>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Азолови противогъбични препарати (напр. кетоконазол) </w:t>
      </w:r>
    </w:p>
    <w:p w14:paraId="03EAF2D3" w14:textId="77777777" w:rsidR="000E074B" w:rsidRPr="000E074B" w:rsidRDefault="000E074B" w:rsidP="000E074B">
      <w:pPr>
        <w:pStyle w:val="ListParagraph"/>
        <w:numPr>
          <w:ilvl w:val="0"/>
          <w:numId w:val="32"/>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антидепресанти: нефазодон и флуоксетин </w:t>
      </w:r>
    </w:p>
    <w:p w14:paraId="264B3AB6" w14:textId="77777777" w:rsidR="000E074B" w:rsidRPr="000E074B" w:rsidRDefault="000E074B" w:rsidP="000E074B">
      <w:pPr>
        <w:pStyle w:val="ListParagraph"/>
        <w:numPr>
          <w:ilvl w:val="0"/>
          <w:numId w:val="32"/>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хинупристин/далфопристин </w:t>
      </w:r>
    </w:p>
    <w:p w14:paraId="4BDFF118" w14:textId="77777777" w:rsidR="000E074B" w:rsidRPr="000E074B" w:rsidRDefault="000E074B" w:rsidP="000E074B">
      <w:pPr>
        <w:pStyle w:val="ListParagraph"/>
        <w:numPr>
          <w:ilvl w:val="0"/>
          <w:numId w:val="32"/>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циметидин </w:t>
      </w:r>
    </w:p>
    <w:p w14:paraId="38D80E2D" w14:textId="5D88AD9F" w:rsidR="000E074B" w:rsidRPr="000E074B" w:rsidRDefault="000E074B" w:rsidP="000E074B">
      <w:pPr>
        <w:pStyle w:val="ListParagraph"/>
        <w:numPr>
          <w:ilvl w:val="0"/>
          <w:numId w:val="32"/>
        </w:numPr>
        <w:spacing w:line="240" w:lineRule="auto"/>
        <w:rPr>
          <w:rFonts w:eastAsia="Times New Roman" w:cs="Arial"/>
          <w:sz w:val="12"/>
          <w:szCs w:val="24"/>
        </w:rPr>
      </w:pPr>
      <w:r w:rsidRPr="000E074B">
        <w:rPr>
          <w:rFonts w:eastAsia="Times New Roman" w:cs="Arial"/>
          <w:color w:val="000000"/>
          <w:szCs w:val="44"/>
          <w:lang w:eastAsia="bg-BG"/>
        </w:rPr>
        <w:t>валпроева киселина</w:t>
      </w:r>
    </w:p>
    <w:p w14:paraId="68122ED0" w14:textId="20B8C88B" w:rsidR="000E074B" w:rsidRDefault="000E074B" w:rsidP="000E074B">
      <w:pPr>
        <w:rPr>
          <w:rFonts w:eastAsia="Times New Roman" w:cs="Arial"/>
          <w:color w:val="000000"/>
          <w:szCs w:val="44"/>
          <w:lang w:eastAsia="bg-BG"/>
        </w:rPr>
      </w:pPr>
      <w:r w:rsidRPr="000E074B">
        <w:rPr>
          <w:rFonts w:eastAsia="Times New Roman" w:cs="Arial"/>
          <w:color w:val="000000"/>
          <w:szCs w:val="44"/>
          <w:lang w:eastAsia="bg-BG"/>
        </w:rPr>
        <w:t xml:space="preserve">Ако Нимотоп </w:t>
      </w:r>
      <w:r w:rsidRPr="000E074B">
        <w:rPr>
          <w:rFonts w:eastAsia="Times New Roman" w:cs="Arial"/>
          <w:color w:val="000000"/>
          <w:szCs w:val="44"/>
          <w:lang w:val="en-US"/>
        </w:rPr>
        <w:t>S</w:t>
      </w:r>
      <w:r w:rsidRPr="000E074B">
        <w:rPr>
          <w:rFonts w:eastAsia="Times New Roman" w:cs="Arial"/>
          <w:color w:val="000000"/>
          <w:szCs w:val="44"/>
          <w:lang w:val="ru-RU"/>
        </w:rPr>
        <w:t xml:space="preserve"> </w:t>
      </w:r>
      <w:r w:rsidRPr="000E074B">
        <w:rPr>
          <w:rFonts w:eastAsia="Times New Roman" w:cs="Arial"/>
          <w:color w:val="000000"/>
          <w:szCs w:val="44"/>
          <w:lang w:eastAsia="bg-BG"/>
        </w:rPr>
        <w:t>филмирани таблетки се приемат едновременно с някой от гореспоменатите лекарствени продукти, кръвното налягане на пациента трябва да бъде мониторирано и ако е необходимо да се обмисли намаляване на дозата нимодипин.</w:t>
      </w:r>
    </w:p>
    <w:p w14:paraId="6BF23657" w14:textId="77777777" w:rsidR="000E074B" w:rsidRPr="000E074B" w:rsidRDefault="000E074B" w:rsidP="000E074B">
      <w:pPr>
        <w:rPr>
          <w:rFonts w:cs="Arial"/>
          <w:sz w:val="10"/>
        </w:rPr>
      </w:pPr>
    </w:p>
    <w:p w14:paraId="1244F76A" w14:textId="5F798A32" w:rsidR="00395555" w:rsidRDefault="002C50EE" w:rsidP="008A6AF2">
      <w:pPr>
        <w:pStyle w:val="Heading2"/>
      </w:pPr>
      <w:r>
        <w:t>4.5. Взаимодействие с други лекарствени продукти и други форми на взаимодействие</w:t>
      </w:r>
    </w:p>
    <w:p w14:paraId="54B78D69" w14:textId="461B8A23" w:rsidR="000E074B" w:rsidRDefault="000E074B" w:rsidP="000E074B"/>
    <w:p w14:paraId="095E0C32" w14:textId="77777777" w:rsidR="000E074B" w:rsidRPr="000E074B" w:rsidRDefault="000E074B" w:rsidP="000E074B">
      <w:pPr>
        <w:spacing w:line="240" w:lineRule="auto"/>
        <w:rPr>
          <w:rFonts w:eastAsia="Times New Roman" w:cs="Arial"/>
          <w:sz w:val="12"/>
          <w:szCs w:val="24"/>
        </w:rPr>
      </w:pPr>
      <w:r w:rsidRPr="000E074B">
        <w:rPr>
          <w:rFonts w:eastAsia="Times New Roman" w:cs="Arial"/>
          <w:i/>
          <w:iCs/>
          <w:color w:val="000000"/>
          <w:szCs w:val="44"/>
          <w:lang w:eastAsia="bg-BG"/>
        </w:rPr>
        <w:t>Лекарствени продукти, които влияят върху нимодипин:</w:t>
      </w:r>
    </w:p>
    <w:p w14:paraId="7806A28B"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Нимодипин се метаболизира чрез цитохром Р450 ЗА4 система, която се намира в чревната лигавица и черния дроб. Следователно, лекарствени продукти, които индуцират или потискат тази система, могат да повлияят ефектът на първо преминаване или клирънсът на нимодипин (вж. точка 4.2 “ </w:t>
      </w:r>
      <w:r w:rsidRPr="000E074B">
        <w:rPr>
          <w:rFonts w:eastAsia="Times New Roman" w:cs="Arial"/>
          <w:i/>
          <w:iCs/>
          <w:color w:val="000000"/>
          <w:szCs w:val="44"/>
          <w:lang w:eastAsia="bg-BG"/>
        </w:rPr>
        <w:t xml:space="preserve">Дозировка и начин на приложение - Пациенти с чернодробно увреждане") </w:t>
      </w:r>
      <w:r w:rsidRPr="000E074B">
        <w:rPr>
          <w:rFonts w:eastAsia="Times New Roman" w:cs="Arial"/>
          <w:color w:val="000000"/>
          <w:szCs w:val="44"/>
          <w:lang w:eastAsia="bg-BG"/>
        </w:rPr>
        <w:t>Обхватът и продължителността на взаимодействията трябва да се имат предвид, ако се планира едновременно приложение на нимодипин със следните лекарствени продукти:</w:t>
      </w:r>
    </w:p>
    <w:p w14:paraId="4A8172FD" w14:textId="77777777" w:rsidR="000E074B" w:rsidRPr="000E074B" w:rsidRDefault="000E074B" w:rsidP="000E074B">
      <w:pPr>
        <w:spacing w:line="240" w:lineRule="auto"/>
        <w:rPr>
          <w:rFonts w:eastAsia="Times New Roman" w:cs="Arial"/>
          <w:b/>
          <w:bCs/>
          <w:color w:val="000000"/>
          <w:szCs w:val="44"/>
          <w:u w:val="single"/>
          <w:lang w:eastAsia="bg-BG"/>
        </w:rPr>
      </w:pPr>
    </w:p>
    <w:p w14:paraId="31969A2B" w14:textId="0A21B74B"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u w:val="single"/>
          <w:lang w:eastAsia="bg-BG"/>
        </w:rPr>
        <w:t>Рифампицин</w:t>
      </w:r>
    </w:p>
    <w:p w14:paraId="79A53E35"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От опита с други калциеви антагонисти трябва да се очаква, че рифампицин ускорява метаболизма на нимодипин чрез ензимна индукция. Следователно, ефикасността на нимодипин може да е значително намалена когато се прилага едновременно с рифампицин. Употребата на нимодипин в комбинация с рифампицин е противопоказана </w:t>
      </w:r>
      <w:r w:rsidRPr="000E074B">
        <w:rPr>
          <w:rFonts w:eastAsia="Times New Roman" w:cs="Arial"/>
          <w:i/>
          <w:iCs/>
          <w:color w:val="000000"/>
          <w:szCs w:val="44"/>
          <w:lang w:eastAsia="bg-BG"/>
        </w:rPr>
        <w:t>(вж. точка 4.3 „Противопоказания ”).</w:t>
      </w:r>
    </w:p>
    <w:p w14:paraId="08F7165E" w14:textId="77777777" w:rsidR="000E074B" w:rsidRPr="000E074B" w:rsidRDefault="000E074B" w:rsidP="000E074B">
      <w:pPr>
        <w:spacing w:line="240" w:lineRule="auto"/>
        <w:rPr>
          <w:rFonts w:eastAsia="Times New Roman" w:cs="Arial"/>
          <w:b/>
          <w:bCs/>
          <w:color w:val="000000"/>
          <w:szCs w:val="44"/>
          <w:u w:val="single"/>
          <w:lang w:eastAsia="bg-BG"/>
        </w:rPr>
      </w:pPr>
      <w:bookmarkStart w:id="2" w:name="bookmark2"/>
    </w:p>
    <w:p w14:paraId="5350683F" w14:textId="6F2C138E"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u w:val="single"/>
          <w:lang w:eastAsia="bg-BG"/>
        </w:rPr>
        <w:lastRenderedPageBreak/>
        <w:t>Антиепилептични лекарства (напр. Фенобарбитал, Фенитоин, капбамазепин), които индуцират цитохром Р450 ЗА4 система</w:t>
      </w:r>
      <w:bookmarkEnd w:id="2"/>
    </w:p>
    <w:p w14:paraId="4EBC0F6E"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Бионаличността на перорално прилагания нимодипин е значително понижена от предшестващо продължително лечение с антиепилептичните лекарства фенобарбитал, фенитоин или карбамазепин. Следователно, едновременната употреба на перорално прилаган нимодипин с тези антиепилептични лекарства е противопоказана </w:t>
      </w:r>
      <w:r w:rsidRPr="000E074B">
        <w:rPr>
          <w:rFonts w:eastAsia="Times New Roman" w:cs="Arial"/>
          <w:i/>
          <w:iCs/>
          <w:color w:val="000000"/>
          <w:szCs w:val="44"/>
          <w:lang w:eastAsia="bg-BG"/>
        </w:rPr>
        <w:t>(вж. точка 4.3 „ Противопоказания</w:t>
      </w:r>
    </w:p>
    <w:p w14:paraId="0AE0DA87" w14:textId="77777777" w:rsidR="000E074B" w:rsidRPr="000E074B" w:rsidRDefault="000E074B" w:rsidP="000E074B">
      <w:pPr>
        <w:spacing w:line="240" w:lineRule="auto"/>
        <w:rPr>
          <w:rFonts w:eastAsia="Times New Roman" w:cs="Arial"/>
          <w:color w:val="000000"/>
          <w:szCs w:val="44"/>
          <w:u w:val="single"/>
          <w:lang w:eastAsia="bg-BG"/>
        </w:rPr>
      </w:pPr>
    </w:p>
    <w:p w14:paraId="1FA8C0EF" w14:textId="16CE7EBD"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u w:val="single"/>
          <w:lang w:eastAsia="bg-BG"/>
        </w:rPr>
        <w:t xml:space="preserve">При </w:t>
      </w:r>
      <w:r w:rsidRPr="000E074B">
        <w:rPr>
          <w:rFonts w:eastAsia="Times New Roman" w:cs="Arial"/>
          <w:color w:val="000000"/>
          <w:szCs w:val="44"/>
          <w:lang w:eastAsia="bg-BG"/>
        </w:rPr>
        <w:t xml:space="preserve">едновременното приложение със следните инхибитори на цитохром Р450 ЗА4 система кръвното налягане на пациента трябва да бъде мониторирано и ако е необходимо дозировката на нимодипин коригирана </w:t>
      </w:r>
      <w:r w:rsidRPr="000E074B">
        <w:rPr>
          <w:rFonts w:eastAsia="Times New Roman" w:cs="Arial"/>
          <w:i/>
          <w:iCs/>
          <w:color w:val="000000"/>
          <w:szCs w:val="44"/>
          <w:lang w:eastAsia="bg-BG"/>
        </w:rPr>
        <w:t>(вж. точка 4.2 „Дозировка и начин на приложение ”):</w:t>
      </w:r>
    </w:p>
    <w:p w14:paraId="69A39A49" w14:textId="77777777" w:rsidR="000E074B" w:rsidRPr="000E074B" w:rsidRDefault="000E074B" w:rsidP="000E074B">
      <w:pPr>
        <w:spacing w:line="240" w:lineRule="auto"/>
        <w:rPr>
          <w:rFonts w:eastAsia="Times New Roman" w:cs="Arial"/>
          <w:b/>
          <w:bCs/>
          <w:color w:val="000000"/>
          <w:szCs w:val="44"/>
          <w:lang w:eastAsia="bg-BG"/>
        </w:rPr>
      </w:pPr>
      <w:bookmarkStart w:id="3" w:name="bookmark4"/>
    </w:p>
    <w:p w14:paraId="27FE5FBA" w14:textId="38EFFC02"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Макролидни антибиотици (напр. еритромицин)</w:t>
      </w:r>
      <w:bookmarkEnd w:id="3"/>
    </w:p>
    <w:p w14:paraId="64AB204F"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Не са провеждани проучвания за взаимодействието между нимодипин и макролидни антибиотици. Известно е, че определени макролидни антибиотици инхибират цитохром Р450 3А4 системата и потенциалът на лекарствено взаимодействие не може да се определи на този етап. Следователно, макролидни антибиотици не трябва да се прилагат в комбинация с нимодипин </w:t>
      </w:r>
      <w:r w:rsidRPr="000E074B">
        <w:rPr>
          <w:rFonts w:eastAsia="Times New Roman" w:cs="Arial"/>
          <w:i/>
          <w:iCs/>
          <w:color w:val="000000"/>
          <w:szCs w:val="44"/>
          <w:lang w:eastAsia="bg-BG"/>
        </w:rPr>
        <w:t>(вж. точка 4.4 „ Специални предупреждения и предпазни мерки при употреба ”).</w:t>
      </w:r>
    </w:p>
    <w:p w14:paraId="2041C926" w14:textId="77777777" w:rsidR="000E074B" w:rsidRPr="000E074B" w:rsidRDefault="000E074B" w:rsidP="000E074B">
      <w:pPr>
        <w:spacing w:line="240" w:lineRule="auto"/>
        <w:rPr>
          <w:rFonts w:eastAsia="Times New Roman" w:cs="Arial"/>
          <w:color w:val="000000"/>
          <w:szCs w:val="44"/>
          <w:lang w:eastAsia="bg-BG"/>
        </w:rPr>
      </w:pPr>
    </w:p>
    <w:p w14:paraId="14036A51" w14:textId="4462E040"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Азигромицин, въпреки че структурно се отнася към класа на макролидни антибиотизи, не притежава свойството да инхибира С</w:t>
      </w:r>
      <w:r w:rsidRPr="000E074B">
        <w:rPr>
          <w:rFonts w:eastAsia="Times New Roman" w:cs="Arial"/>
          <w:color w:val="000000"/>
          <w:szCs w:val="44"/>
          <w:lang w:val="en-US"/>
        </w:rPr>
        <w:t>YP</w:t>
      </w:r>
      <w:r w:rsidRPr="000E074B">
        <w:rPr>
          <w:rFonts w:eastAsia="Times New Roman" w:cs="Arial"/>
          <w:color w:val="000000"/>
          <w:szCs w:val="44"/>
          <w:lang w:val="ru-RU"/>
        </w:rPr>
        <w:t>3</w:t>
      </w:r>
      <w:r w:rsidRPr="000E074B">
        <w:rPr>
          <w:rFonts w:eastAsia="Times New Roman" w:cs="Arial"/>
          <w:color w:val="000000"/>
          <w:szCs w:val="44"/>
          <w:lang w:eastAsia="bg-BG"/>
        </w:rPr>
        <w:t>А4.</w:t>
      </w:r>
    </w:p>
    <w:p w14:paraId="298F3529" w14:textId="25757E22" w:rsidR="000E074B" w:rsidRDefault="000E074B" w:rsidP="000E074B"/>
    <w:p w14:paraId="32F45551" w14:textId="77777777"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Анти</w:t>
      </w:r>
      <w:r w:rsidRPr="000E074B">
        <w:rPr>
          <w:rFonts w:eastAsia="Times New Roman" w:cs="Arial"/>
          <w:b/>
          <w:bCs/>
          <w:color w:val="000000"/>
          <w:szCs w:val="44"/>
          <w:lang w:val="ru-RU"/>
        </w:rPr>
        <w:t>-</w:t>
      </w:r>
      <w:r w:rsidRPr="000E074B">
        <w:rPr>
          <w:rFonts w:eastAsia="Times New Roman" w:cs="Arial"/>
          <w:b/>
          <w:bCs/>
          <w:color w:val="000000"/>
          <w:szCs w:val="44"/>
          <w:lang w:val="en-US"/>
        </w:rPr>
        <w:t>HIV</w:t>
      </w:r>
      <w:r w:rsidRPr="000E074B">
        <w:rPr>
          <w:rFonts w:eastAsia="Times New Roman" w:cs="Arial"/>
          <w:b/>
          <w:bCs/>
          <w:color w:val="000000"/>
          <w:szCs w:val="44"/>
          <w:lang w:val="ru-RU"/>
        </w:rPr>
        <w:t xml:space="preserve"> </w:t>
      </w:r>
      <w:r w:rsidRPr="000E074B">
        <w:rPr>
          <w:rFonts w:eastAsia="Times New Roman" w:cs="Arial"/>
          <w:b/>
          <w:bCs/>
          <w:color w:val="000000"/>
          <w:szCs w:val="44"/>
          <w:lang w:eastAsia="bg-BG"/>
        </w:rPr>
        <w:t>протеазни инхибитори (напр. ритонавир)</w:t>
      </w:r>
    </w:p>
    <w:p w14:paraId="6279C8E9"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Не са провеждани официални проучвания за изследване потенциалното взаимодействие между нимодипин и анти-</w:t>
      </w:r>
      <w:r w:rsidRPr="000E074B">
        <w:rPr>
          <w:rFonts w:eastAsia="Times New Roman" w:cs="Arial"/>
          <w:color w:val="000000"/>
          <w:szCs w:val="44"/>
          <w:lang w:val="en-US"/>
        </w:rPr>
        <w:t>HIV</w:t>
      </w:r>
      <w:r w:rsidRPr="000E074B">
        <w:rPr>
          <w:rFonts w:eastAsia="Times New Roman" w:cs="Arial"/>
          <w:color w:val="000000"/>
          <w:szCs w:val="44"/>
          <w:lang w:eastAsia="bg-BG"/>
        </w:rPr>
        <w:t xml:space="preserve"> протеазни инхибитори. Докладвано е, че лекарства от този клас са силни инхибитори на цитохром Р450 3А4 системата. Следователно, потенциал за забележимо и клинично значимо повишаване на плазмените концентрации на нимодипин при едновременно приложение с тези протеазни инхибитори не може да се изключи </w:t>
      </w:r>
      <w:r w:rsidRPr="000E074B">
        <w:rPr>
          <w:rFonts w:eastAsia="Times New Roman" w:cs="Arial"/>
          <w:i/>
          <w:iCs/>
          <w:color w:val="000000"/>
          <w:szCs w:val="44"/>
          <w:lang w:eastAsia="bg-BG"/>
        </w:rPr>
        <w:t>(вж. точка 4.4 „ Специални предупреждения и предпазни мерки при употреба ”).</w:t>
      </w:r>
    </w:p>
    <w:p w14:paraId="60C923E6" w14:textId="77777777" w:rsidR="000E074B" w:rsidRPr="000E074B" w:rsidRDefault="000E074B" w:rsidP="000E074B">
      <w:pPr>
        <w:spacing w:line="240" w:lineRule="auto"/>
        <w:rPr>
          <w:rFonts w:eastAsia="Times New Roman" w:cs="Arial"/>
          <w:b/>
          <w:bCs/>
          <w:color w:val="000000"/>
          <w:szCs w:val="44"/>
          <w:lang w:eastAsia="bg-BG"/>
        </w:rPr>
      </w:pPr>
    </w:p>
    <w:p w14:paraId="751D6D3B" w14:textId="69E06680"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Азолови антигъбични препарати (напр. кетоконазол)</w:t>
      </w:r>
    </w:p>
    <w:p w14:paraId="04F4616E"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Не е провеждано официално проучване за изследване потенциалното лекарствено взаимодействие между нимодипин и кетоконазол. Азоловите антимикотици е известно, че инхибират цитохром Р450 3А4 системата и различни взаимодействия са докладвани за други дихидропиридин калциеви антагонисти. Следователно, когато се прилагат заедно е перорален нимодипин, съществено увеличение на системната бионаличност на нимодипин, поради намален метаболизъм на първо преминаване, не може да се изключи </w:t>
      </w:r>
      <w:r w:rsidRPr="000E074B">
        <w:rPr>
          <w:rFonts w:eastAsia="Times New Roman" w:cs="Arial"/>
          <w:i/>
          <w:iCs/>
          <w:color w:val="000000"/>
          <w:szCs w:val="44"/>
          <w:lang w:eastAsia="bg-BG"/>
        </w:rPr>
        <w:t>(вж. точка 4.4 „ Специални предупреждения и предпазни мерки при употреба ”).</w:t>
      </w:r>
    </w:p>
    <w:p w14:paraId="51EF7175" w14:textId="77777777" w:rsidR="000E074B" w:rsidRPr="000E074B" w:rsidRDefault="000E074B" w:rsidP="000E074B">
      <w:pPr>
        <w:spacing w:line="240" w:lineRule="auto"/>
        <w:rPr>
          <w:rFonts w:eastAsia="Times New Roman" w:cs="Arial"/>
          <w:b/>
          <w:bCs/>
          <w:color w:val="000000"/>
          <w:szCs w:val="44"/>
          <w:lang w:eastAsia="bg-BG"/>
        </w:rPr>
      </w:pPr>
    </w:p>
    <w:p w14:paraId="2E4A6924" w14:textId="632307CF"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Нефазодон</w:t>
      </w:r>
    </w:p>
    <w:p w14:paraId="77B05C0C"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Не са провеждани официални проучвания за изследване потенциалните взаимодействия между нимодипин и нефазодон. Докладвано е, че този антидепресант е силен инхибитор на цитохром Р450 3А4 системата. Следователно, потенциал за повишаване на плазмените концентрации на нимодипин при едновременно приложение с нефазодон не може да се изключи </w:t>
      </w:r>
      <w:r w:rsidRPr="000E074B">
        <w:rPr>
          <w:rFonts w:eastAsia="Times New Roman" w:cs="Arial"/>
          <w:i/>
          <w:iCs/>
          <w:color w:val="000000"/>
          <w:szCs w:val="44"/>
          <w:lang w:eastAsia="bg-BG"/>
        </w:rPr>
        <w:t>(вж. точка 4.4 „ Специални предупреждения и предпазни мерки при употреба ”).</w:t>
      </w:r>
    </w:p>
    <w:p w14:paraId="03F4D885" w14:textId="77777777" w:rsidR="000E074B" w:rsidRPr="000E074B" w:rsidRDefault="000E074B" w:rsidP="000E074B">
      <w:pPr>
        <w:spacing w:line="240" w:lineRule="auto"/>
        <w:rPr>
          <w:rFonts w:eastAsia="Times New Roman" w:cs="Arial"/>
          <w:b/>
          <w:bCs/>
          <w:color w:val="000000"/>
          <w:szCs w:val="44"/>
          <w:lang w:eastAsia="bg-BG"/>
        </w:rPr>
      </w:pPr>
      <w:bookmarkStart w:id="4" w:name="bookmark6"/>
    </w:p>
    <w:p w14:paraId="43C82D9F" w14:textId="784ED957"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Флуоксетин</w:t>
      </w:r>
      <w:bookmarkEnd w:id="4"/>
    </w:p>
    <w:p w14:paraId="718B10F0"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lastRenderedPageBreak/>
        <w:t>Едновременното приложение при равновестни концентрации на нимодипин с антидепресанта флуоксетин води до около 50% по-високи плазмени концентрации на нимодипин.</w:t>
      </w:r>
    </w:p>
    <w:p w14:paraId="7F15C1C4"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Експозицията на флуоксетин значително намалява, докато неговия активен метаболит норфлуоксетин остава непроменен </w:t>
      </w:r>
      <w:r w:rsidRPr="000E074B">
        <w:rPr>
          <w:rFonts w:eastAsia="Times New Roman" w:cs="Arial"/>
          <w:i/>
          <w:iCs/>
          <w:color w:val="000000"/>
          <w:szCs w:val="44"/>
          <w:lang w:eastAsia="bg-BG"/>
        </w:rPr>
        <w:t>(вж. точка 4.4 „Специални предупреждения и предпазни мерки при употреба”).</w:t>
      </w:r>
    </w:p>
    <w:p w14:paraId="0C356ACC" w14:textId="77777777" w:rsidR="000E074B" w:rsidRPr="000E074B" w:rsidRDefault="000E074B" w:rsidP="000E074B">
      <w:pPr>
        <w:spacing w:line="240" w:lineRule="auto"/>
        <w:rPr>
          <w:rFonts w:eastAsia="Times New Roman" w:cs="Arial"/>
          <w:b/>
          <w:bCs/>
          <w:color w:val="000000"/>
          <w:szCs w:val="44"/>
          <w:lang w:eastAsia="bg-BG"/>
        </w:rPr>
      </w:pPr>
      <w:bookmarkStart w:id="5" w:name="bookmark8"/>
    </w:p>
    <w:p w14:paraId="00B782B4" w14:textId="5A190082"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Хинупристии/далфопристин</w:t>
      </w:r>
      <w:bookmarkEnd w:id="5"/>
    </w:p>
    <w:p w14:paraId="1B1DE8AB"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Въз основа на опита с калциевия антагонист нифедипин, едновременното приложение с хинупристин/далфопристин може да доведе до повишени плазмени концентрации на нимодипин </w:t>
      </w:r>
      <w:r w:rsidRPr="000E074B">
        <w:rPr>
          <w:rFonts w:eastAsia="Times New Roman" w:cs="Arial"/>
          <w:i/>
          <w:iCs/>
          <w:color w:val="000000"/>
          <w:szCs w:val="44"/>
          <w:lang w:eastAsia="bg-BG"/>
        </w:rPr>
        <w:t>(вж. точка 4.4 „ Специални предупреждения и предпазни мерки при употреба ”).</w:t>
      </w:r>
    </w:p>
    <w:p w14:paraId="6C823430" w14:textId="77777777" w:rsidR="000E074B" w:rsidRPr="000E074B" w:rsidRDefault="000E074B" w:rsidP="000E074B">
      <w:pPr>
        <w:spacing w:line="240" w:lineRule="auto"/>
        <w:rPr>
          <w:rFonts w:eastAsia="Times New Roman" w:cs="Arial"/>
          <w:b/>
          <w:bCs/>
          <w:color w:val="000000"/>
          <w:szCs w:val="44"/>
          <w:lang w:eastAsia="bg-BG"/>
        </w:rPr>
      </w:pPr>
      <w:bookmarkStart w:id="6" w:name="bookmark10"/>
    </w:p>
    <w:p w14:paraId="6573A137" w14:textId="181158A3"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Циметидин</w:t>
      </w:r>
      <w:bookmarkEnd w:id="6"/>
    </w:p>
    <w:p w14:paraId="1FFCB00F"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Едновременното приложение на Н2-антигониста циметидин може да доведе до повишени плазмени концентрации на нимодипин </w:t>
      </w:r>
      <w:r w:rsidRPr="000E074B">
        <w:rPr>
          <w:rFonts w:eastAsia="Times New Roman" w:cs="Arial"/>
          <w:i/>
          <w:iCs/>
          <w:color w:val="000000"/>
          <w:szCs w:val="44"/>
          <w:lang w:eastAsia="bg-BG"/>
        </w:rPr>
        <w:t>(вж. точка 4.4 „ Специални предупреждения и предпазни мерки при употреба ”).</w:t>
      </w:r>
    </w:p>
    <w:p w14:paraId="2A2993A1" w14:textId="77777777" w:rsidR="000E074B" w:rsidRPr="000E074B" w:rsidRDefault="000E074B" w:rsidP="000E074B">
      <w:pPr>
        <w:spacing w:line="240" w:lineRule="auto"/>
        <w:rPr>
          <w:rFonts w:eastAsia="Times New Roman" w:cs="Arial"/>
          <w:b/>
          <w:bCs/>
          <w:color w:val="000000"/>
          <w:szCs w:val="44"/>
          <w:lang w:eastAsia="bg-BG"/>
        </w:rPr>
      </w:pPr>
      <w:bookmarkStart w:id="7" w:name="bookmark12"/>
    </w:p>
    <w:p w14:paraId="3BFAEEFD" w14:textId="154599CA"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Вал просва киселина</w:t>
      </w:r>
      <w:bookmarkEnd w:id="7"/>
    </w:p>
    <w:p w14:paraId="24AF3AF3"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Едновременното приложение на антиконвулсанта валпроева киселина може да доведе до повишени плазмени концентрации на нимодипин </w:t>
      </w:r>
      <w:r w:rsidRPr="000E074B">
        <w:rPr>
          <w:rFonts w:eastAsia="Times New Roman" w:cs="Arial"/>
          <w:i/>
          <w:iCs/>
          <w:color w:val="000000"/>
          <w:szCs w:val="44"/>
          <w:lang w:eastAsia="bg-BG"/>
        </w:rPr>
        <w:t>(вж. точка 4.4 „ Специални предупреждения и предпазни мерки при употреба”).</w:t>
      </w:r>
    </w:p>
    <w:p w14:paraId="2C2EAA3C" w14:textId="77777777" w:rsidR="000E074B" w:rsidRPr="000E074B" w:rsidRDefault="000E074B" w:rsidP="000E074B">
      <w:pPr>
        <w:spacing w:line="240" w:lineRule="auto"/>
        <w:rPr>
          <w:rFonts w:eastAsia="Times New Roman" w:cs="Arial"/>
          <w:b/>
          <w:bCs/>
          <w:color w:val="000000"/>
          <w:szCs w:val="44"/>
          <w:u w:val="single"/>
          <w:lang w:eastAsia="bg-BG"/>
        </w:rPr>
      </w:pPr>
      <w:bookmarkStart w:id="8" w:name="bookmark14"/>
    </w:p>
    <w:p w14:paraId="71754A5A" w14:textId="3D381948"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u w:val="single"/>
          <w:lang w:eastAsia="bg-BG"/>
        </w:rPr>
        <w:t>Допълнително лекарствено взаимодействие:</w:t>
      </w:r>
      <w:bookmarkEnd w:id="8"/>
    </w:p>
    <w:p w14:paraId="580E71FF" w14:textId="77777777" w:rsidR="000E074B" w:rsidRPr="000E074B" w:rsidRDefault="000E074B" w:rsidP="000E074B">
      <w:pPr>
        <w:spacing w:line="240" w:lineRule="auto"/>
        <w:rPr>
          <w:rFonts w:eastAsia="Times New Roman" w:cs="Arial"/>
          <w:b/>
          <w:bCs/>
          <w:color w:val="000000"/>
          <w:szCs w:val="44"/>
          <w:lang w:eastAsia="bg-BG"/>
        </w:rPr>
      </w:pPr>
    </w:p>
    <w:p w14:paraId="3BB242E0" w14:textId="776425E3"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Нортриптнлин</w:t>
      </w:r>
    </w:p>
    <w:p w14:paraId="40BC5FAB"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Едновременната употреба на нимодипин и нортриптилин при равновесни плазмени</w:t>
      </w:r>
    </w:p>
    <w:p w14:paraId="15AF0A3A"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концентрации води до леко понижение на експозицията на нимодипин, докато плазмената концентрация на нортриптилин остава непроменена.</w:t>
      </w:r>
    </w:p>
    <w:p w14:paraId="2774B69E" w14:textId="3F837C4A" w:rsidR="000E074B" w:rsidRDefault="000E074B" w:rsidP="000E074B"/>
    <w:p w14:paraId="40D3BD7E" w14:textId="77777777" w:rsidR="000E074B" w:rsidRPr="000E074B" w:rsidRDefault="000E074B" w:rsidP="000E074B">
      <w:pPr>
        <w:spacing w:line="240" w:lineRule="auto"/>
        <w:rPr>
          <w:rFonts w:eastAsia="Times New Roman" w:cs="Arial"/>
          <w:sz w:val="12"/>
          <w:szCs w:val="24"/>
        </w:rPr>
      </w:pPr>
      <w:r w:rsidRPr="000E074B">
        <w:rPr>
          <w:rFonts w:eastAsia="Times New Roman" w:cs="Arial"/>
          <w:b/>
          <w:bCs/>
          <w:i/>
          <w:iCs/>
          <w:color w:val="000000"/>
          <w:szCs w:val="44"/>
          <w:lang w:eastAsia="bg-BG"/>
        </w:rPr>
        <w:t>Ефекти на нимодипин върху други лекарствени продукти:</w:t>
      </w:r>
    </w:p>
    <w:p w14:paraId="1785637D" w14:textId="77777777" w:rsidR="000E074B" w:rsidRPr="000E074B" w:rsidRDefault="000E074B" w:rsidP="000E074B">
      <w:pPr>
        <w:spacing w:line="240" w:lineRule="auto"/>
        <w:rPr>
          <w:rFonts w:eastAsia="Times New Roman" w:cs="Arial"/>
          <w:b/>
          <w:bCs/>
          <w:color w:val="000000"/>
          <w:szCs w:val="44"/>
          <w:lang w:eastAsia="bg-BG"/>
        </w:rPr>
      </w:pPr>
    </w:p>
    <w:p w14:paraId="16196E6E" w14:textId="161DFD26"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Антихипертензивнн средства</w:t>
      </w:r>
    </w:p>
    <w:p w14:paraId="777644FA" w14:textId="77777777" w:rsidR="000E074B" w:rsidRDefault="000E074B" w:rsidP="000E074B">
      <w:p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Нимодипин може да засили ефекта от понижаване на кръвното налягане на едновременно прилагани антихипертензивни продукти, като: </w:t>
      </w:r>
    </w:p>
    <w:p w14:paraId="5113E2D3" w14:textId="77777777" w:rsidR="000E074B" w:rsidRPr="000E074B" w:rsidRDefault="000E074B" w:rsidP="000E074B">
      <w:pPr>
        <w:pStyle w:val="ListParagraph"/>
        <w:numPr>
          <w:ilvl w:val="0"/>
          <w:numId w:val="33"/>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диуретици, </w:t>
      </w:r>
    </w:p>
    <w:p w14:paraId="08DB59F5" w14:textId="77777777" w:rsidR="000E074B" w:rsidRPr="000E074B" w:rsidRDefault="000E074B" w:rsidP="000E074B">
      <w:pPr>
        <w:pStyle w:val="ListParagraph"/>
        <w:numPr>
          <w:ilvl w:val="0"/>
          <w:numId w:val="33"/>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р-блокери, </w:t>
      </w:r>
    </w:p>
    <w:p w14:paraId="1E3E1488" w14:textId="77777777" w:rsidR="000E074B" w:rsidRPr="000E074B" w:rsidRDefault="000E074B" w:rsidP="000E074B">
      <w:pPr>
        <w:pStyle w:val="ListParagraph"/>
        <w:numPr>
          <w:ilvl w:val="0"/>
          <w:numId w:val="33"/>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АСЕ инхибитори, </w:t>
      </w:r>
    </w:p>
    <w:p w14:paraId="61A9455F" w14:textId="77777777" w:rsidR="000E074B" w:rsidRPr="000E074B" w:rsidRDefault="000E074B" w:rsidP="000E074B">
      <w:pPr>
        <w:pStyle w:val="ListParagraph"/>
        <w:numPr>
          <w:ilvl w:val="0"/>
          <w:numId w:val="33"/>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А1- антагонисти, </w:t>
      </w:r>
    </w:p>
    <w:p w14:paraId="1C6EDDF4" w14:textId="77777777" w:rsidR="000E074B" w:rsidRPr="000E074B" w:rsidRDefault="000E074B" w:rsidP="000E074B">
      <w:pPr>
        <w:pStyle w:val="ListParagraph"/>
        <w:numPr>
          <w:ilvl w:val="0"/>
          <w:numId w:val="33"/>
        </w:numPr>
        <w:spacing w:line="240" w:lineRule="auto"/>
        <w:rPr>
          <w:rFonts w:eastAsia="Times New Roman" w:cs="Arial"/>
          <w:color w:val="000000"/>
          <w:szCs w:val="44"/>
          <w:lang w:eastAsia="bg-BG"/>
        </w:rPr>
      </w:pPr>
      <w:r w:rsidRPr="000E074B">
        <w:rPr>
          <w:rFonts w:eastAsia="Times New Roman" w:cs="Arial"/>
          <w:color w:val="000000"/>
          <w:szCs w:val="44"/>
          <w:lang w:eastAsia="bg-BG"/>
        </w:rPr>
        <w:t xml:space="preserve">други калциеви антагонисти, </w:t>
      </w:r>
    </w:p>
    <w:p w14:paraId="5C7FBB58" w14:textId="27ED5069" w:rsidR="000E074B" w:rsidRPr="000E074B" w:rsidRDefault="000E074B" w:rsidP="000E074B">
      <w:pPr>
        <w:pStyle w:val="ListParagraph"/>
        <w:numPr>
          <w:ilvl w:val="0"/>
          <w:numId w:val="33"/>
        </w:numPr>
        <w:spacing w:line="240" w:lineRule="auto"/>
        <w:rPr>
          <w:rFonts w:eastAsia="Times New Roman" w:cs="Arial"/>
          <w:color w:val="000000"/>
          <w:szCs w:val="44"/>
          <w:lang w:eastAsia="bg-BG"/>
        </w:rPr>
      </w:pPr>
      <w:r w:rsidRPr="000E074B">
        <w:rPr>
          <w:rFonts w:eastAsia="Times New Roman" w:cs="Arial"/>
          <w:color w:val="000000"/>
          <w:szCs w:val="44"/>
          <w:lang w:val="en-US"/>
        </w:rPr>
        <w:t>α</w:t>
      </w:r>
      <w:r w:rsidRPr="000E074B">
        <w:rPr>
          <w:rFonts w:eastAsia="Times New Roman" w:cs="Arial"/>
          <w:color w:val="000000"/>
          <w:szCs w:val="44"/>
          <w:lang w:eastAsia="bg-BG"/>
        </w:rPr>
        <w:t xml:space="preserve"> -адренергични блокери, </w:t>
      </w:r>
    </w:p>
    <w:p w14:paraId="68AE3BC3" w14:textId="6445955B" w:rsidR="000E074B" w:rsidRPr="000E074B" w:rsidRDefault="000E074B" w:rsidP="000E074B">
      <w:pPr>
        <w:pStyle w:val="ListParagraph"/>
        <w:numPr>
          <w:ilvl w:val="0"/>
          <w:numId w:val="33"/>
        </w:numPr>
        <w:spacing w:line="240" w:lineRule="auto"/>
        <w:rPr>
          <w:rFonts w:eastAsia="Times New Roman" w:cs="Arial"/>
          <w:sz w:val="12"/>
          <w:szCs w:val="24"/>
        </w:rPr>
      </w:pPr>
      <w:r w:rsidRPr="000E074B">
        <w:rPr>
          <w:rFonts w:eastAsia="Times New Roman" w:cs="Arial"/>
          <w:color w:val="000000"/>
          <w:szCs w:val="44"/>
          <w:lang w:val="en-US"/>
        </w:rPr>
        <w:t>PDE</w:t>
      </w:r>
      <w:r w:rsidRPr="000E074B">
        <w:rPr>
          <w:rFonts w:eastAsia="Times New Roman" w:cs="Arial"/>
          <w:color w:val="000000"/>
          <w:szCs w:val="44"/>
          <w:lang w:val="ru-RU"/>
        </w:rPr>
        <w:t xml:space="preserve">5 </w:t>
      </w:r>
      <w:r w:rsidRPr="000E074B">
        <w:rPr>
          <w:rFonts w:eastAsia="Times New Roman" w:cs="Arial"/>
          <w:color w:val="000000"/>
          <w:szCs w:val="44"/>
          <w:lang w:eastAsia="bg-BG"/>
        </w:rPr>
        <w:t>инхибитори,</w:t>
      </w:r>
    </w:p>
    <w:p w14:paraId="7F37A4D1" w14:textId="77777777" w:rsidR="000E074B" w:rsidRPr="000E074B" w:rsidRDefault="000E074B" w:rsidP="000E074B">
      <w:pPr>
        <w:pStyle w:val="ListParagraph"/>
        <w:numPr>
          <w:ilvl w:val="0"/>
          <w:numId w:val="33"/>
        </w:numPr>
        <w:spacing w:line="240" w:lineRule="auto"/>
        <w:rPr>
          <w:rFonts w:eastAsia="Times New Roman" w:cs="Arial"/>
          <w:sz w:val="12"/>
          <w:szCs w:val="24"/>
        </w:rPr>
      </w:pPr>
      <w:proofErr w:type="gramStart"/>
      <w:r w:rsidRPr="000E074B">
        <w:rPr>
          <w:rFonts w:eastAsia="Times New Roman" w:cs="Arial"/>
          <w:color w:val="000000"/>
          <w:szCs w:val="44"/>
          <w:lang w:val="en-US"/>
        </w:rPr>
        <w:t>α</w:t>
      </w:r>
      <w:r w:rsidRPr="000E074B">
        <w:rPr>
          <w:rFonts w:eastAsia="Times New Roman" w:cs="Arial"/>
          <w:color w:val="000000"/>
          <w:szCs w:val="44"/>
          <w:lang w:eastAsia="bg-BG"/>
        </w:rPr>
        <w:t>-метилдопа</w:t>
      </w:r>
      <w:proofErr w:type="gramEnd"/>
      <w:r w:rsidRPr="000E074B">
        <w:rPr>
          <w:rFonts w:eastAsia="Times New Roman" w:cs="Arial"/>
          <w:color w:val="000000"/>
          <w:szCs w:val="44"/>
          <w:lang w:eastAsia="bg-BG"/>
        </w:rPr>
        <w:t>.</w:t>
      </w:r>
    </w:p>
    <w:p w14:paraId="14BAE53B"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Ако едновременното лечение с един от тези лекарствени продукти не може да се избегне, пациентът трябва да се бъде под особено внимателно наблюдение.</w:t>
      </w:r>
    </w:p>
    <w:p w14:paraId="3CA80D96" w14:textId="77777777" w:rsidR="000E074B" w:rsidRPr="000E074B" w:rsidRDefault="000E074B" w:rsidP="000E074B">
      <w:pPr>
        <w:spacing w:line="240" w:lineRule="auto"/>
        <w:rPr>
          <w:rFonts w:eastAsia="Times New Roman" w:cs="Arial"/>
          <w:b/>
          <w:bCs/>
          <w:color w:val="000000"/>
          <w:szCs w:val="44"/>
          <w:lang w:eastAsia="bg-BG"/>
        </w:rPr>
      </w:pPr>
    </w:p>
    <w:p w14:paraId="60F8D349" w14:textId="5A8BB4E8"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Зидовудин</w:t>
      </w:r>
    </w:p>
    <w:p w14:paraId="44CE82F7" w14:textId="77777777" w:rsidR="000E074B" w:rsidRPr="000E074B" w:rsidRDefault="000E074B" w:rsidP="000E074B">
      <w:pPr>
        <w:spacing w:line="240" w:lineRule="auto"/>
        <w:rPr>
          <w:rFonts w:eastAsia="Times New Roman" w:cs="Arial"/>
          <w:sz w:val="12"/>
          <w:szCs w:val="24"/>
        </w:rPr>
      </w:pPr>
      <w:r w:rsidRPr="000E074B">
        <w:rPr>
          <w:rFonts w:eastAsia="Times New Roman" w:cs="Arial"/>
          <w:i/>
          <w:iCs/>
          <w:color w:val="000000"/>
          <w:szCs w:val="44"/>
          <w:lang w:eastAsia="bg-BG"/>
        </w:rPr>
        <w:t>При</w:t>
      </w:r>
      <w:r w:rsidRPr="000E074B">
        <w:rPr>
          <w:rFonts w:eastAsia="Times New Roman" w:cs="Arial"/>
          <w:color w:val="000000"/>
          <w:szCs w:val="44"/>
          <w:lang w:eastAsia="bg-BG"/>
        </w:rPr>
        <w:t xml:space="preserve"> проучване с маймуни, едновременното интравенозно приложение на анти </w:t>
      </w:r>
      <w:r w:rsidRPr="000E074B">
        <w:rPr>
          <w:rFonts w:eastAsia="Times New Roman" w:cs="Arial"/>
          <w:color w:val="000000"/>
          <w:szCs w:val="44"/>
          <w:lang w:val="en-US"/>
        </w:rPr>
        <w:t>HIV</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лекарството зидовудин и нимодипин води до повишени стойности на </w:t>
      </w:r>
      <w:r w:rsidRPr="000E074B">
        <w:rPr>
          <w:rFonts w:eastAsia="Times New Roman" w:cs="Arial"/>
          <w:color w:val="000000"/>
          <w:szCs w:val="44"/>
          <w:lang w:val="en-US"/>
        </w:rPr>
        <w:t>AUC</w:t>
      </w:r>
      <w:r w:rsidRPr="000E074B">
        <w:rPr>
          <w:rFonts w:eastAsia="Times New Roman" w:cs="Arial"/>
          <w:color w:val="000000"/>
          <w:szCs w:val="44"/>
          <w:lang w:val="ru-RU"/>
        </w:rPr>
        <w:t xml:space="preserve"> </w:t>
      </w:r>
      <w:r w:rsidRPr="000E074B">
        <w:rPr>
          <w:rFonts w:eastAsia="Times New Roman" w:cs="Arial"/>
          <w:color w:val="000000"/>
          <w:szCs w:val="44"/>
          <w:lang w:eastAsia="bg-BG"/>
        </w:rPr>
        <w:t>на зиводувин, докато обемът на разпределение и клирънсът са значително понижени.</w:t>
      </w:r>
    </w:p>
    <w:p w14:paraId="5162E8D9" w14:textId="77777777" w:rsidR="000E074B" w:rsidRPr="000E074B" w:rsidRDefault="000E074B" w:rsidP="000E074B">
      <w:pPr>
        <w:spacing w:line="240" w:lineRule="auto"/>
        <w:rPr>
          <w:rFonts w:eastAsia="Times New Roman" w:cs="Arial"/>
          <w:b/>
          <w:bCs/>
          <w:i/>
          <w:iCs/>
          <w:color w:val="000000"/>
          <w:szCs w:val="44"/>
          <w:lang w:eastAsia="bg-BG"/>
        </w:rPr>
      </w:pPr>
    </w:p>
    <w:p w14:paraId="418329B4" w14:textId="340F7E09" w:rsidR="000E074B" w:rsidRPr="000E074B" w:rsidRDefault="000E074B" w:rsidP="000E074B">
      <w:pPr>
        <w:spacing w:line="240" w:lineRule="auto"/>
        <w:rPr>
          <w:rFonts w:eastAsia="Times New Roman" w:cs="Arial"/>
          <w:sz w:val="12"/>
          <w:szCs w:val="24"/>
        </w:rPr>
      </w:pPr>
      <w:r w:rsidRPr="000E074B">
        <w:rPr>
          <w:rFonts w:eastAsia="Times New Roman" w:cs="Arial"/>
          <w:b/>
          <w:bCs/>
          <w:i/>
          <w:iCs/>
          <w:color w:val="000000"/>
          <w:szCs w:val="44"/>
          <w:lang w:eastAsia="bg-BG"/>
        </w:rPr>
        <w:lastRenderedPageBreak/>
        <w:t>Взаимодействия с храни и напитки</w:t>
      </w:r>
    </w:p>
    <w:p w14:paraId="6786A908" w14:textId="77777777" w:rsidR="000E074B" w:rsidRPr="000E074B" w:rsidRDefault="000E074B" w:rsidP="000E074B">
      <w:pPr>
        <w:spacing w:line="240" w:lineRule="auto"/>
        <w:rPr>
          <w:rFonts w:eastAsia="Times New Roman" w:cs="Arial"/>
          <w:b/>
          <w:bCs/>
          <w:color w:val="000000"/>
          <w:szCs w:val="44"/>
          <w:u w:val="single"/>
          <w:lang w:eastAsia="bg-BG"/>
        </w:rPr>
      </w:pPr>
    </w:p>
    <w:p w14:paraId="5FE3AE6A" w14:textId="553B85BE"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u w:val="single"/>
          <w:lang w:eastAsia="bg-BG"/>
        </w:rPr>
        <w:t>Сок от грейпфрут</w:t>
      </w:r>
    </w:p>
    <w:p w14:paraId="3CA6F20C"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Сокът от грейпфрут инхибира цитохром Р450 3А4 системата. Приложението на дихидропиридин калциев антагонист заедно със сок от грейпфрут може да доведе до повишени плазмени концентрации и удължено действие на нимодипин, поради забавен метаболизъм на първо преминаване и намален клирънс. Като следствие, ефекта на понижаване на кръвното налягане може да се засили. Този ефект продължава най-малко четири дни след последната консумация на сок от грейпфрут. Следователно консумацията на грейпфрут или пиенето на сок от грейпфрут трябва да се избягва при провеждане на лечение с нимодипин </w:t>
      </w:r>
      <w:r w:rsidRPr="000E074B">
        <w:rPr>
          <w:rFonts w:eastAsia="Times New Roman" w:cs="Arial"/>
          <w:i/>
          <w:iCs/>
          <w:color w:val="000000"/>
          <w:szCs w:val="44"/>
          <w:lang w:eastAsia="bg-BG"/>
        </w:rPr>
        <w:t>(вж. точка 4.2 „Дозировка и начин на приложение ”).</w:t>
      </w:r>
    </w:p>
    <w:p w14:paraId="6741753D" w14:textId="77777777" w:rsidR="000E074B" w:rsidRPr="000E074B" w:rsidRDefault="000E074B" w:rsidP="000E074B">
      <w:pPr>
        <w:spacing w:line="240" w:lineRule="auto"/>
        <w:rPr>
          <w:rFonts w:eastAsia="Times New Roman" w:cs="Arial"/>
          <w:b/>
          <w:bCs/>
          <w:i/>
          <w:iCs/>
          <w:color w:val="000000"/>
          <w:szCs w:val="44"/>
          <w:lang w:eastAsia="bg-BG"/>
        </w:rPr>
      </w:pPr>
    </w:p>
    <w:p w14:paraId="5E67F21C" w14:textId="54C01062" w:rsidR="000E074B" w:rsidRPr="000E074B" w:rsidRDefault="000E074B" w:rsidP="000E074B">
      <w:pPr>
        <w:spacing w:line="240" w:lineRule="auto"/>
        <w:rPr>
          <w:rFonts w:eastAsia="Times New Roman" w:cs="Arial"/>
          <w:b/>
          <w:bCs/>
          <w:i/>
          <w:iCs/>
          <w:color w:val="000000"/>
          <w:szCs w:val="44"/>
          <w:lang w:eastAsia="bg-BG"/>
        </w:rPr>
      </w:pPr>
      <w:r w:rsidRPr="000E074B">
        <w:rPr>
          <w:rFonts w:eastAsia="Times New Roman" w:cs="Arial"/>
          <w:b/>
          <w:bCs/>
          <w:i/>
          <w:iCs/>
          <w:color w:val="000000"/>
          <w:szCs w:val="44"/>
          <w:lang w:eastAsia="bg-BG"/>
        </w:rPr>
        <w:t xml:space="preserve">Взаимодействие, което е доказано, че не </w:t>
      </w:r>
    </w:p>
    <w:p w14:paraId="6BA09285" w14:textId="204DA963" w:rsidR="000E074B" w:rsidRPr="000E074B" w:rsidRDefault="000E074B" w:rsidP="000E074B">
      <w:pPr>
        <w:spacing w:line="240" w:lineRule="auto"/>
        <w:rPr>
          <w:rFonts w:eastAsia="Times New Roman" w:cs="Arial"/>
          <w:sz w:val="12"/>
          <w:szCs w:val="24"/>
        </w:rPr>
      </w:pPr>
      <w:r w:rsidRPr="000E074B">
        <w:rPr>
          <w:rFonts w:eastAsia="Times New Roman" w:cs="Arial"/>
          <w:b/>
          <w:bCs/>
          <w:i/>
          <w:iCs/>
          <w:color w:val="000000"/>
          <w:szCs w:val="44"/>
          <w:lang w:eastAsia="bg-BG"/>
        </w:rPr>
        <w:t>съществува</w:t>
      </w:r>
    </w:p>
    <w:p w14:paraId="283F5286" w14:textId="77777777" w:rsidR="000E074B" w:rsidRPr="000E074B" w:rsidRDefault="000E074B" w:rsidP="000E074B">
      <w:pPr>
        <w:spacing w:line="240" w:lineRule="auto"/>
        <w:rPr>
          <w:rFonts w:eastAsia="Times New Roman" w:cs="Arial"/>
          <w:b/>
          <w:bCs/>
          <w:color w:val="000000"/>
          <w:szCs w:val="44"/>
          <w:lang w:eastAsia="bg-BG"/>
        </w:rPr>
      </w:pPr>
    </w:p>
    <w:p w14:paraId="0A21E232" w14:textId="3C0F0BAA"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Халоперидол</w:t>
      </w:r>
    </w:p>
    <w:p w14:paraId="50EF3E9A"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Едновременното приложение на нимодипин при равновесни плазмени концентрации при пациенти на индивидуално продължително лечение с халоперидол не показва никакъв потенциал за взаимодействие.</w:t>
      </w:r>
    </w:p>
    <w:p w14:paraId="3243F215" w14:textId="1FB7B469" w:rsidR="000E074B" w:rsidRDefault="000E074B" w:rsidP="000E074B">
      <w:pPr>
        <w:rPr>
          <w:rFonts w:eastAsia="Times New Roman" w:cs="Arial"/>
          <w:color w:val="000000"/>
          <w:szCs w:val="44"/>
          <w:lang w:eastAsia="bg-BG"/>
        </w:rPr>
      </w:pPr>
      <w:r w:rsidRPr="000E074B">
        <w:rPr>
          <w:rFonts w:eastAsia="Times New Roman" w:cs="Arial"/>
          <w:color w:val="000000"/>
          <w:szCs w:val="44"/>
          <w:lang w:eastAsia="bg-BG"/>
        </w:rPr>
        <w:t>Едновременното приложение на перорални нимодипин и диазепам, дигоксин, глибенкламид, индометацин, ранитидин и варфарин не показва никакъв потенциал за взаимодействие.</w:t>
      </w:r>
    </w:p>
    <w:p w14:paraId="6590D7F7" w14:textId="77777777" w:rsidR="000E074B" w:rsidRPr="000E074B" w:rsidRDefault="000E074B" w:rsidP="000E074B">
      <w:pPr>
        <w:rPr>
          <w:rFonts w:cs="Arial"/>
          <w:sz w:val="10"/>
        </w:rPr>
      </w:pPr>
    </w:p>
    <w:p w14:paraId="6EADE4D6" w14:textId="00BA1BF1" w:rsidR="00395555" w:rsidRDefault="002C50EE" w:rsidP="008A6AF2">
      <w:pPr>
        <w:pStyle w:val="Heading2"/>
      </w:pPr>
      <w:r>
        <w:t>4.6. Фертилитет, бременност и кърмене</w:t>
      </w:r>
    </w:p>
    <w:p w14:paraId="7ECE8DAA" w14:textId="551DBDE6" w:rsidR="000E074B" w:rsidRDefault="000E074B" w:rsidP="000E074B"/>
    <w:p w14:paraId="0F2C905C" w14:textId="77777777" w:rsidR="000E074B" w:rsidRPr="000E074B" w:rsidRDefault="000E074B" w:rsidP="000E074B">
      <w:pPr>
        <w:pStyle w:val="Heading3"/>
        <w:rPr>
          <w:rFonts w:eastAsia="Times New Roman"/>
          <w:u w:val="single"/>
        </w:rPr>
      </w:pPr>
      <w:r w:rsidRPr="000E074B">
        <w:rPr>
          <w:rFonts w:eastAsia="Times New Roman"/>
          <w:u w:val="single"/>
          <w:lang w:eastAsia="bg-BG"/>
        </w:rPr>
        <w:t>Бременност</w:t>
      </w:r>
    </w:p>
    <w:p w14:paraId="3BAAE33A" w14:textId="77777777" w:rsidR="000E074B" w:rsidRPr="000E074B" w:rsidRDefault="000E074B" w:rsidP="000E074B">
      <w:pPr>
        <w:rPr>
          <w:sz w:val="24"/>
          <w:szCs w:val="24"/>
        </w:rPr>
      </w:pPr>
      <w:r w:rsidRPr="000E074B">
        <w:rPr>
          <w:lang w:eastAsia="bg-BG"/>
        </w:rPr>
        <w:t>Не са провеждани подходящи и контролирани клинични проучвания с бременни жени. Поради това нимодипин трябва да се използва при бременност само след внимателно оценяване на ползите и потенциалните рискове, произтичащи от тежестта на клиничната картина.</w:t>
      </w:r>
    </w:p>
    <w:p w14:paraId="6630D46E" w14:textId="77777777" w:rsidR="000E074B" w:rsidRDefault="000E074B" w:rsidP="000E074B">
      <w:pPr>
        <w:rPr>
          <w:lang w:eastAsia="bg-BG"/>
        </w:rPr>
      </w:pPr>
    </w:p>
    <w:p w14:paraId="25DBFEB0" w14:textId="70FE4884" w:rsidR="000E074B" w:rsidRPr="000E074B" w:rsidRDefault="000E074B" w:rsidP="000E074B">
      <w:pPr>
        <w:pStyle w:val="Heading3"/>
        <w:rPr>
          <w:rFonts w:eastAsia="Times New Roman"/>
          <w:u w:val="single"/>
        </w:rPr>
      </w:pPr>
      <w:r w:rsidRPr="000E074B">
        <w:rPr>
          <w:rFonts w:eastAsia="Times New Roman"/>
          <w:u w:val="single"/>
          <w:lang w:eastAsia="bg-BG"/>
        </w:rPr>
        <w:t>Кърмене</w:t>
      </w:r>
    </w:p>
    <w:p w14:paraId="710B11C5" w14:textId="7A527020" w:rsidR="000E074B" w:rsidRDefault="000E074B" w:rsidP="000E074B">
      <w:pPr>
        <w:rPr>
          <w:lang w:eastAsia="bg-BG"/>
        </w:rPr>
      </w:pPr>
      <w:r w:rsidRPr="000E074B">
        <w:rPr>
          <w:lang w:eastAsia="bg-BG"/>
        </w:rPr>
        <w:t>Нимодипин и неговите метаболити се откриват в майчиното мляко в концентрация сходни с</w:t>
      </w:r>
      <w:r w:rsidRPr="000E074B">
        <w:rPr>
          <w:vertAlign w:val="subscript"/>
          <w:lang w:eastAsia="bg-BG"/>
        </w:rPr>
        <w:t xml:space="preserve"> </w:t>
      </w:r>
      <w:r w:rsidRPr="000E074B">
        <w:rPr>
          <w:lang w:eastAsia="bg-BG"/>
        </w:rPr>
        <w:t>тези в плазмата на майката. Следователно майките трябва да бъдат посъветвани да прекратят да</w:t>
      </w:r>
      <w:r w:rsidRPr="000E074B">
        <w:rPr>
          <w:vertAlign w:val="superscript"/>
          <w:lang w:eastAsia="bg-BG"/>
        </w:rPr>
        <w:t xml:space="preserve"> </w:t>
      </w:r>
      <w:r w:rsidRPr="000E074B">
        <w:rPr>
          <w:lang w:eastAsia="bg-BG"/>
        </w:rPr>
        <w:t>кърмят, когато приемат това лекарство.</w:t>
      </w:r>
    </w:p>
    <w:p w14:paraId="47A4789B" w14:textId="0BB3AB41" w:rsidR="000E074B" w:rsidRDefault="000E074B" w:rsidP="000E074B">
      <w:pPr>
        <w:rPr>
          <w:lang w:eastAsia="bg-BG"/>
        </w:rPr>
      </w:pPr>
    </w:p>
    <w:p w14:paraId="0D5EACC5" w14:textId="77777777" w:rsidR="000E074B" w:rsidRPr="000E074B" w:rsidRDefault="000E074B" w:rsidP="000E074B">
      <w:pPr>
        <w:pStyle w:val="Heading3"/>
        <w:rPr>
          <w:rFonts w:eastAsia="Times New Roman"/>
          <w:u w:val="single"/>
        </w:rPr>
      </w:pPr>
      <w:r w:rsidRPr="000E074B">
        <w:rPr>
          <w:rFonts w:eastAsia="Times New Roman"/>
          <w:u w:val="single"/>
          <w:lang w:eastAsia="bg-BG"/>
        </w:rPr>
        <w:t>Фертилитет</w:t>
      </w:r>
    </w:p>
    <w:p w14:paraId="06BD8108" w14:textId="2AE573C4" w:rsidR="000E074B" w:rsidRDefault="000E074B" w:rsidP="000E074B">
      <w:pPr>
        <w:rPr>
          <w:lang w:eastAsia="bg-BG"/>
        </w:rPr>
      </w:pPr>
      <w:r w:rsidRPr="000E074B">
        <w:rPr>
          <w:lang w:eastAsia="bg-BG"/>
        </w:rPr>
        <w:t xml:space="preserve">В единични случаи на </w:t>
      </w:r>
      <w:r w:rsidRPr="000E074B">
        <w:rPr>
          <w:i/>
          <w:iCs/>
          <w:lang w:val="en-US"/>
        </w:rPr>
        <w:t>in</w:t>
      </w:r>
      <w:r w:rsidRPr="000E074B">
        <w:rPr>
          <w:i/>
          <w:iCs/>
          <w:lang w:val="ru-RU"/>
        </w:rPr>
        <w:t xml:space="preserve"> </w:t>
      </w:r>
      <w:r w:rsidRPr="000E074B">
        <w:rPr>
          <w:i/>
          <w:iCs/>
          <w:lang w:val="en-US"/>
        </w:rPr>
        <w:t>vitro</w:t>
      </w:r>
      <w:r w:rsidRPr="000E074B">
        <w:rPr>
          <w:lang w:val="ru-RU"/>
        </w:rPr>
        <w:t xml:space="preserve"> </w:t>
      </w:r>
      <w:r w:rsidRPr="000E074B">
        <w:rPr>
          <w:lang w:eastAsia="bg-BG"/>
        </w:rPr>
        <w:t>оплождане, калциевите антагонисти се свързват с обратими биохимични промени в главата на сперматозоидите, което може да доведе до увреждане на функцията на спермата. Значението на тази находка при краткотрайно лечение не е известно.</w:t>
      </w:r>
    </w:p>
    <w:p w14:paraId="3F96E0B9" w14:textId="77777777" w:rsidR="000E074B" w:rsidRPr="000E074B" w:rsidRDefault="000E074B" w:rsidP="000E074B"/>
    <w:p w14:paraId="5766770B" w14:textId="7631F868" w:rsidR="00395555" w:rsidRDefault="002C50EE" w:rsidP="008A6AF2">
      <w:pPr>
        <w:pStyle w:val="Heading2"/>
      </w:pPr>
      <w:r>
        <w:t>4.7. Ефекти върху способността за шофиране и работа с машини</w:t>
      </w:r>
    </w:p>
    <w:p w14:paraId="7613A54A" w14:textId="6AB8FD4B" w:rsidR="000E074B" w:rsidRDefault="000E074B" w:rsidP="000E074B"/>
    <w:p w14:paraId="4F132E26" w14:textId="77777777" w:rsidR="000E074B" w:rsidRPr="000E074B" w:rsidRDefault="000E074B" w:rsidP="000E074B">
      <w:pPr>
        <w:rPr>
          <w:sz w:val="24"/>
          <w:szCs w:val="24"/>
        </w:rPr>
      </w:pPr>
      <w:r w:rsidRPr="000E074B">
        <w:rPr>
          <w:lang w:eastAsia="bg-BG"/>
        </w:rPr>
        <w:t xml:space="preserve">По принцип Нимотоп </w:t>
      </w:r>
      <w:r w:rsidRPr="000E074B">
        <w:rPr>
          <w:lang w:val="en-US"/>
        </w:rPr>
        <w:t>S</w:t>
      </w:r>
      <w:r w:rsidRPr="000E074B">
        <w:rPr>
          <w:lang w:val="ru-RU"/>
        </w:rPr>
        <w:t xml:space="preserve"> </w:t>
      </w:r>
      <w:r w:rsidRPr="000E074B">
        <w:rPr>
          <w:lang w:eastAsia="bg-BG"/>
        </w:rPr>
        <w:t>може да увреди способността да се шофира или работи с машини поради възможност от световъртеж.</w:t>
      </w:r>
    </w:p>
    <w:p w14:paraId="55DA185C" w14:textId="77777777" w:rsidR="000E074B" w:rsidRPr="000E074B" w:rsidRDefault="000E074B" w:rsidP="000E074B"/>
    <w:p w14:paraId="4FE16E21" w14:textId="2DDE4817" w:rsidR="00395555" w:rsidRDefault="002C50EE" w:rsidP="008A6AF2">
      <w:pPr>
        <w:pStyle w:val="Heading2"/>
      </w:pPr>
      <w:r>
        <w:lastRenderedPageBreak/>
        <w:t>4.8. Нежелани лекарствени реакции</w:t>
      </w:r>
    </w:p>
    <w:p w14:paraId="43805D7E" w14:textId="2E8F7B06" w:rsidR="000E074B" w:rsidRDefault="000E074B" w:rsidP="000E074B"/>
    <w:p w14:paraId="46301DED"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 xml:space="preserve">Честотите на нежелани лекарствени реакции (НЛР), докладвани с нимодипин и обобщени в таблицата по-долу, са въз основа на клинични проучванияс нимодипин за показанието, представено в точка 4.1 и класифицирани според категориите </w:t>
      </w:r>
      <w:r w:rsidRPr="000E074B">
        <w:rPr>
          <w:rFonts w:eastAsia="Times New Roman" w:cs="Arial"/>
          <w:color w:val="000000"/>
          <w:lang w:val="en-US"/>
        </w:rPr>
        <w:t>CIOMS</w:t>
      </w:r>
      <w:r w:rsidRPr="000E074B">
        <w:rPr>
          <w:rFonts w:eastAsia="Times New Roman" w:cs="Arial"/>
          <w:color w:val="000000"/>
          <w:lang w:val="ru-RU"/>
        </w:rPr>
        <w:t xml:space="preserve"> </w:t>
      </w:r>
      <w:r w:rsidRPr="000E074B">
        <w:rPr>
          <w:rFonts w:eastAsia="Times New Roman" w:cs="Arial"/>
          <w:color w:val="000000"/>
          <w:lang w:val="en-US"/>
        </w:rPr>
        <w:t>III</w:t>
      </w:r>
      <w:r w:rsidRPr="000E074B">
        <w:rPr>
          <w:rFonts w:eastAsia="Times New Roman" w:cs="Arial"/>
          <w:color w:val="000000"/>
          <w:lang w:eastAsia="bg-BG"/>
        </w:rPr>
        <w:t xml:space="preserve"> по честота (плацебо- контролирани проучвания: нимодипин </w:t>
      </w:r>
      <w:r w:rsidRPr="000E074B">
        <w:rPr>
          <w:rFonts w:eastAsia="Times New Roman" w:cs="Arial"/>
          <w:color w:val="000000"/>
          <w:lang w:val="en-US"/>
        </w:rPr>
        <w:t>N</w:t>
      </w:r>
      <w:r w:rsidRPr="000E074B">
        <w:rPr>
          <w:rFonts w:eastAsia="Times New Roman" w:cs="Arial"/>
          <w:color w:val="000000"/>
          <w:lang w:val="ru-RU"/>
        </w:rPr>
        <w:t xml:space="preserve">=703, </w:t>
      </w:r>
      <w:r w:rsidRPr="000E074B">
        <w:rPr>
          <w:rFonts w:eastAsia="Times New Roman" w:cs="Arial"/>
          <w:color w:val="000000"/>
          <w:lang w:eastAsia="bg-BG"/>
        </w:rPr>
        <w:t xml:space="preserve">плацебо </w:t>
      </w:r>
      <w:r w:rsidRPr="000E074B">
        <w:rPr>
          <w:rFonts w:eastAsia="Times New Roman" w:cs="Arial"/>
          <w:color w:val="000000"/>
          <w:lang w:val="en-US"/>
        </w:rPr>
        <w:t>N</w:t>
      </w:r>
      <w:r w:rsidRPr="000E074B">
        <w:rPr>
          <w:rFonts w:eastAsia="Times New Roman" w:cs="Arial"/>
          <w:color w:val="000000"/>
          <w:lang w:val="ru-RU"/>
        </w:rPr>
        <w:t xml:space="preserve">=692; </w:t>
      </w:r>
      <w:r w:rsidRPr="000E074B">
        <w:rPr>
          <w:rFonts w:eastAsia="Times New Roman" w:cs="Arial"/>
          <w:color w:val="000000"/>
          <w:lang w:eastAsia="bg-BG"/>
        </w:rPr>
        <w:t xml:space="preserve">неконтролирани проучвания: нимодипин </w:t>
      </w:r>
      <w:r w:rsidRPr="000E074B">
        <w:rPr>
          <w:rFonts w:eastAsia="Times New Roman" w:cs="Arial"/>
          <w:color w:val="000000"/>
          <w:lang w:val="en-US"/>
        </w:rPr>
        <w:t>N</w:t>
      </w:r>
      <w:r w:rsidRPr="000E074B">
        <w:rPr>
          <w:rFonts w:eastAsia="Times New Roman" w:cs="Arial"/>
          <w:color w:val="000000"/>
          <w:lang w:val="ru-RU"/>
        </w:rPr>
        <w:t xml:space="preserve">= </w:t>
      </w:r>
      <w:r w:rsidRPr="000E074B">
        <w:rPr>
          <w:rFonts w:eastAsia="Times New Roman" w:cs="Arial"/>
          <w:color w:val="000000"/>
          <w:lang w:eastAsia="bg-BG"/>
        </w:rPr>
        <w:t>2496; статус: 31.08.2005). При всяко групиране в зависимост от честотата, нежеланите лекарствени реакции се изброяват в низходящ ред по отношение на тяхната сериозност. Честотите са определени като:</w:t>
      </w:r>
    </w:p>
    <w:p w14:paraId="48C588E8" w14:textId="77777777" w:rsidR="000E074B" w:rsidRPr="000E074B" w:rsidRDefault="000E074B" w:rsidP="000E074B">
      <w:pPr>
        <w:spacing w:line="240" w:lineRule="auto"/>
        <w:rPr>
          <w:rFonts w:eastAsia="Times New Roman" w:cs="Arial"/>
          <w:color w:val="000000"/>
          <w:lang w:eastAsia="bg-BG"/>
        </w:rPr>
      </w:pPr>
    </w:p>
    <w:p w14:paraId="7D90E216" w14:textId="77777777" w:rsidR="000E074B" w:rsidRPr="000E074B" w:rsidRDefault="000E074B" w:rsidP="000E074B">
      <w:pPr>
        <w:spacing w:line="240" w:lineRule="auto"/>
        <w:rPr>
          <w:rFonts w:eastAsia="Times New Roman" w:cs="Arial"/>
          <w:color w:val="000000"/>
          <w:lang w:eastAsia="bg-BG"/>
        </w:rPr>
      </w:pPr>
      <w:r w:rsidRPr="000E074B">
        <w:rPr>
          <w:rFonts w:eastAsia="Times New Roman" w:cs="Arial"/>
          <w:color w:val="000000"/>
          <w:lang w:eastAsia="bg-BG"/>
        </w:rPr>
        <w:t>много чести (</w:t>
      </w:r>
      <w:r w:rsidRPr="000E074B">
        <w:rPr>
          <w:rFonts w:eastAsia="Times New Roman" w:cs="Arial"/>
          <w:color w:val="000000"/>
          <w:lang w:val="ru-RU"/>
        </w:rPr>
        <w:t>≥</w:t>
      </w:r>
      <w:r w:rsidRPr="000E074B">
        <w:rPr>
          <w:rFonts w:eastAsia="Times New Roman" w:cs="Arial"/>
          <w:color w:val="000000"/>
          <w:lang w:eastAsia="bg-BG"/>
        </w:rPr>
        <w:t xml:space="preserve"> 1/10), </w:t>
      </w:r>
    </w:p>
    <w:p w14:paraId="04BB76BF" w14:textId="77777777" w:rsidR="000E074B" w:rsidRPr="000E074B" w:rsidRDefault="000E074B" w:rsidP="000E074B">
      <w:pPr>
        <w:spacing w:line="240" w:lineRule="auto"/>
        <w:rPr>
          <w:rFonts w:eastAsia="Times New Roman" w:cs="Arial"/>
          <w:color w:val="000000"/>
          <w:lang w:eastAsia="bg-BG"/>
        </w:rPr>
      </w:pPr>
      <w:r w:rsidRPr="000E074B">
        <w:rPr>
          <w:rFonts w:eastAsia="Times New Roman" w:cs="Arial"/>
          <w:color w:val="000000"/>
          <w:lang w:eastAsia="bg-BG"/>
        </w:rPr>
        <w:t>чести (</w:t>
      </w:r>
      <w:r w:rsidRPr="000E074B">
        <w:rPr>
          <w:rFonts w:eastAsia="Times New Roman" w:cs="Arial"/>
          <w:color w:val="000000"/>
          <w:lang w:val="ru-RU"/>
        </w:rPr>
        <w:t>≥</w:t>
      </w:r>
      <w:r w:rsidRPr="000E074B">
        <w:rPr>
          <w:rFonts w:eastAsia="Times New Roman" w:cs="Arial"/>
          <w:color w:val="000000"/>
          <w:lang w:eastAsia="bg-BG"/>
        </w:rPr>
        <w:t xml:space="preserve"> 1/100 до &lt; 1/10), </w:t>
      </w:r>
    </w:p>
    <w:p w14:paraId="417C8D89" w14:textId="77777777" w:rsidR="000E074B" w:rsidRPr="000E074B" w:rsidRDefault="000E074B" w:rsidP="000E074B">
      <w:pPr>
        <w:spacing w:line="240" w:lineRule="auto"/>
        <w:rPr>
          <w:rFonts w:eastAsia="Times New Roman" w:cs="Arial"/>
          <w:color w:val="000000"/>
          <w:lang w:eastAsia="bg-BG"/>
        </w:rPr>
      </w:pPr>
      <w:r w:rsidRPr="000E074B">
        <w:rPr>
          <w:rFonts w:eastAsia="Times New Roman" w:cs="Arial"/>
          <w:color w:val="000000"/>
          <w:lang w:eastAsia="bg-BG"/>
        </w:rPr>
        <w:t>нечести (</w:t>
      </w:r>
      <w:r w:rsidRPr="000E074B">
        <w:rPr>
          <w:rFonts w:eastAsia="Times New Roman" w:cs="Arial"/>
          <w:color w:val="000000"/>
          <w:lang w:val="ru-RU"/>
        </w:rPr>
        <w:t>≥</w:t>
      </w:r>
      <w:r w:rsidRPr="000E074B">
        <w:rPr>
          <w:rFonts w:eastAsia="Times New Roman" w:cs="Arial"/>
          <w:color w:val="000000"/>
          <w:lang w:eastAsia="bg-BG"/>
        </w:rPr>
        <w:t xml:space="preserve"> 1/1,000 до &lt; 1/100), </w:t>
      </w:r>
    </w:p>
    <w:p w14:paraId="7E17F29F" w14:textId="77777777" w:rsidR="000E074B" w:rsidRPr="000E074B" w:rsidRDefault="000E074B" w:rsidP="000E074B">
      <w:pPr>
        <w:spacing w:line="240" w:lineRule="auto"/>
        <w:rPr>
          <w:rFonts w:eastAsia="Times New Roman" w:cs="Arial"/>
          <w:color w:val="000000"/>
          <w:lang w:eastAsia="bg-BG"/>
        </w:rPr>
      </w:pPr>
      <w:r w:rsidRPr="000E074B">
        <w:rPr>
          <w:rFonts w:eastAsia="Times New Roman" w:cs="Arial"/>
          <w:color w:val="000000"/>
          <w:lang w:eastAsia="bg-BG"/>
        </w:rPr>
        <w:t>редки (</w:t>
      </w:r>
      <w:r w:rsidRPr="000E074B">
        <w:rPr>
          <w:rFonts w:eastAsia="Times New Roman" w:cs="Arial"/>
          <w:color w:val="000000"/>
          <w:lang w:val="ru-RU"/>
        </w:rPr>
        <w:t>≥</w:t>
      </w:r>
      <w:r w:rsidRPr="000E074B">
        <w:rPr>
          <w:rFonts w:eastAsia="Times New Roman" w:cs="Arial"/>
          <w:color w:val="000000"/>
          <w:lang w:eastAsia="bg-BG"/>
        </w:rPr>
        <w:t xml:space="preserve"> 1/10,000 до &lt; 1/1,000), </w:t>
      </w:r>
    </w:p>
    <w:p w14:paraId="3EF8EAD5" w14:textId="624EA4DF" w:rsidR="000E074B" w:rsidRPr="000E074B" w:rsidRDefault="000E074B" w:rsidP="000E074B">
      <w:pPr>
        <w:spacing w:line="240" w:lineRule="auto"/>
        <w:rPr>
          <w:rFonts w:eastAsia="Times New Roman" w:cs="Arial"/>
        </w:rPr>
      </w:pPr>
      <w:r w:rsidRPr="000E074B">
        <w:rPr>
          <w:rFonts w:eastAsia="Times New Roman" w:cs="Arial"/>
          <w:color w:val="000000"/>
          <w:lang w:eastAsia="bg-BG"/>
        </w:rPr>
        <w:t>много редки (&lt; 1/10,000).</w:t>
      </w:r>
    </w:p>
    <w:p w14:paraId="2CEB0C94" w14:textId="77777777" w:rsidR="000E074B" w:rsidRPr="000E074B" w:rsidRDefault="000E074B" w:rsidP="000E074B">
      <w:pPr>
        <w:rPr>
          <w:rFonts w:eastAsia="Times New Roman" w:cs="Arial"/>
          <w:color w:val="000000"/>
          <w:lang w:eastAsia="bg-BG"/>
        </w:rPr>
      </w:pPr>
    </w:p>
    <w:p w14:paraId="516F5D43" w14:textId="1924C0F0" w:rsidR="000E074B" w:rsidRDefault="000E074B" w:rsidP="000E074B">
      <w:pPr>
        <w:rPr>
          <w:rFonts w:eastAsia="Times New Roman" w:cs="Arial"/>
          <w:color w:val="000000"/>
          <w:lang w:eastAsia="bg-BG"/>
        </w:rPr>
      </w:pPr>
      <w:r w:rsidRPr="000E074B">
        <w:rPr>
          <w:rFonts w:eastAsia="Times New Roman" w:cs="Arial"/>
          <w:color w:val="000000"/>
          <w:lang w:eastAsia="bg-BG"/>
        </w:rPr>
        <w:t>Таблица1: НЛР</w:t>
      </w:r>
    </w:p>
    <w:tbl>
      <w:tblPr>
        <w:tblStyle w:val="TableGrid"/>
        <w:tblW w:w="0" w:type="auto"/>
        <w:tblLook w:val="04A0" w:firstRow="1" w:lastRow="0" w:firstColumn="1" w:lastColumn="0" w:noHBand="0" w:noVBand="1"/>
      </w:tblPr>
      <w:tblGrid>
        <w:gridCol w:w="3097"/>
        <w:gridCol w:w="3132"/>
        <w:gridCol w:w="3121"/>
      </w:tblGrid>
      <w:tr w:rsidR="000E074B" w14:paraId="3584ADAD" w14:textId="77777777" w:rsidTr="002B2A6D">
        <w:tc>
          <w:tcPr>
            <w:tcW w:w="3192" w:type="dxa"/>
            <w:vAlign w:val="bottom"/>
          </w:tcPr>
          <w:p w14:paraId="390F9181" w14:textId="62DEB4CD" w:rsidR="000E074B" w:rsidRPr="000E074B" w:rsidRDefault="000E074B" w:rsidP="000E074B">
            <w:pPr>
              <w:rPr>
                <w:rFonts w:cs="Arial"/>
              </w:rPr>
            </w:pPr>
            <w:r w:rsidRPr="000E074B">
              <w:rPr>
                <w:b/>
                <w:bCs/>
                <w:szCs w:val="44"/>
              </w:rPr>
              <w:t xml:space="preserve">Системно-оргапни класове </w:t>
            </w:r>
            <w:r w:rsidRPr="000E074B">
              <w:rPr>
                <w:b/>
                <w:bCs/>
                <w:szCs w:val="44"/>
                <w:lang w:val="en-US"/>
              </w:rPr>
              <w:t>(</w:t>
            </w:r>
            <w:proofErr w:type="spellStart"/>
            <w:r w:rsidRPr="000E074B">
              <w:rPr>
                <w:b/>
                <w:bCs/>
                <w:szCs w:val="44"/>
                <w:lang w:val="en-US"/>
              </w:rPr>
              <w:t>MedDRA</w:t>
            </w:r>
            <w:proofErr w:type="spellEnd"/>
            <w:r w:rsidRPr="000E074B">
              <w:rPr>
                <w:b/>
                <w:bCs/>
                <w:szCs w:val="44"/>
                <w:lang w:val="en-US"/>
              </w:rPr>
              <w:t>)</w:t>
            </w:r>
          </w:p>
        </w:tc>
        <w:tc>
          <w:tcPr>
            <w:tcW w:w="3192" w:type="dxa"/>
          </w:tcPr>
          <w:p w14:paraId="254DE658" w14:textId="14CB152F" w:rsidR="000E074B" w:rsidRPr="000E074B" w:rsidRDefault="000E074B" w:rsidP="000E074B">
            <w:pPr>
              <w:rPr>
                <w:rFonts w:cs="Arial"/>
              </w:rPr>
            </w:pPr>
            <w:r w:rsidRPr="000E074B">
              <w:rPr>
                <w:szCs w:val="44"/>
              </w:rPr>
              <w:t>Нечести</w:t>
            </w:r>
          </w:p>
        </w:tc>
        <w:tc>
          <w:tcPr>
            <w:tcW w:w="3192" w:type="dxa"/>
          </w:tcPr>
          <w:p w14:paraId="388A87B3" w14:textId="4DF87774" w:rsidR="000E074B" w:rsidRPr="000E074B" w:rsidRDefault="000E074B" w:rsidP="000E074B">
            <w:pPr>
              <w:rPr>
                <w:rFonts w:cs="Arial"/>
              </w:rPr>
            </w:pPr>
            <w:r w:rsidRPr="000E074B">
              <w:rPr>
                <w:szCs w:val="44"/>
              </w:rPr>
              <w:t>Редки</w:t>
            </w:r>
          </w:p>
        </w:tc>
      </w:tr>
      <w:tr w:rsidR="000E074B" w14:paraId="6CF652C1" w14:textId="77777777" w:rsidTr="002B2A6D">
        <w:tc>
          <w:tcPr>
            <w:tcW w:w="3192" w:type="dxa"/>
            <w:vAlign w:val="bottom"/>
          </w:tcPr>
          <w:p w14:paraId="3E07A2E9" w14:textId="500B6CA4" w:rsidR="000E074B" w:rsidRPr="000E074B" w:rsidRDefault="000E074B" w:rsidP="000E074B">
            <w:pPr>
              <w:rPr>
                <w:rFonts w:cs="Arial"/>
              </w:rPr>
            </w:pPr>
            <w:r w:rsidRPr="000E074B">
              <w:rPr>
                <w:szCs w:val="44"/>
              </w:rPr>
              <w:t>Нарушения на кръвта и лимфната система</w:t>
            </w:r>
          </w:p>
        </w:tc>
        <w:tc>
          <w:tcPr>
            <w:tcW w:w="3192" w:type="dxa"/>
          </w:tcPr>
          <w:p w14:paraId="46018F0C" w14:textId="61539EB3" w:rsidR="000E074B" w:rsidRPr="000E074B" w:rsidRDefault="000E074B" w:rsidP="000E074B">
            <w:pPr>
              <w:rPr>
                <w:rFonts w:cs="Arial"/>
              </w:rPr>
            </w:pPr>
            <w:r w:rsidRPr="000E074B">
              <w:rPr>
                <w:szCs w:val="44"/>
              </w:rPr>
              <w:t>Тромбоцитопения</w:t>
            </w:r>
          </w:p>
        </w:tc>
        <w:tc>
          <w:tcPr>
            <w:tcW w:w="3192" w:type="dxa"/>
          </w:tcPr>
          <w:p w14:paraId="44D9A75C" w14:textId="77777777" w:rsidR="000E074B" w:rsidRPr="000E074B" w:rsidRDefault="000E074B" w:rsidP="000E074B">
            <w:pPr>
              <w:rPr>
                <w:rFonts w:cs="Arial"/>
              </w:rPr>
            </w:pPr>
          </w:p>
        </w:tc>
      </w:tr>
      <w:tr w:rsidR="000E074B" w14:paraId="4B067651" w14:textId="77777777" w:rsidTr="002B2A6D">
        <w:tc>
          <w:tcPr>
            <w:tcW w:w="3192" w:type="dxa"/>
            <w:vAlign w:val="bottom"/>
          </w:tcPr>
          <w:p w14:paraId="40D1AA41" w14:textId="5FFC3209" w:rsidR="000E074B" w:rsidRPr="000E074B" w:rsidRDefault="000E074B" w:rsidP="000E074B">
            <w:pPr>
              <w:rPr>
                <w:rFonts w:cs="Arial"/>
              </w:rPr>
            </w:pPr>
            <w:r w:rsidRPr="000E074B">
              <w:rPr>
                <w:szCs w:val="44"/>
              </w:rPr>
              <w:t>Нарушения на имунната система</w:t>
            </w:r>
          </w:p>
        </w:tc>
        <w:tc>
          <w:tcPr>
            <w:tcW w:w="3192" w:type="dxa"/>
            <w:vAlign w:val="bottom"/>
          </w:tcPr>
          <w:p w14:paraId="467D4812" w14:textId="69186A85" w:rsidR="000E074B" w:rsidRPr="000E074B" w:rsidRDefault="000E074B" w:rsidP="000E074B">
            <w:pPr>
              <w:rPr>
                <w:rFonts w:cs="Arial"/>
              </w:rPr>
            </w:pPr>
            <w:r w:rsidRPr="000E074B">
              <w:rPr>
                <w:szCs w:val="44"/>
              </w:rPr>
              <w:t>Алергична реакция Обрив</w:t>
            </w:r>
          </w:p>
        </w:tc>
        <w:tc>
          <w:tcPr>
            <w:tcW w:w="3192" w:type="dxa"/>
          </w:tcPr>
          <w:p w14:paraId="4F42A6D1" w14:textId="77777777" w:rsidR="000E074B" w:rsidRPr="000E074B" w:rsidRDefault="000E074B" w:rsidP="000E074B">
            <w:pPr>
              <w:rPr>
                <w:rFonts w:cs="Arial"/>
              </w:rPr>
            </w:pPr>
          </w:p>
        </w:tc>
      </w:tr>
      <w:tr w:rsidR="000E074B" w14:paraId="4534E0BD" w14:textId="77777777" w:rsidTr="002B2A6D">
        <w:tc>
          <w:tcPr>
            <w:tcW w:w="3192" w:type="dxa"/>
          </w:tcPr>
          <w:p w14:paraId="51F5EBD3" w14:textId="68BB55B1" w:rsidR="000E074B" w:rsidRPr="000E074B" w:rsidRDefault="000E074B" w:rsidP="000E074B">
            <w:pPr>
              <w:rPr>
                <w:rFonts w:cs="Arial"/>
              </w:rPr>
            </w:pPr>
            <w:r w:rsidRPr="000E074B">
              <w:rPr>
                <w:szCs w:val="44"/>
              </w:rPr>
              <w:t>Нарушения на нервната система</w:t>
            </w:r>
          </w:p>
        </w:tc>
        <w:tc>
          <w:tcPr>
            <w:tcW w:w="3192" w:type="dxa"/>
          </w:tcPr>
          <w:p w14:paraId="6264D4CB" w14:textId="75D35E49" w:rsidR="000E074B" w:rsidRPr="000E074B" w:rsidRDefault="000E074B" w:rsidP="000E074B">
            <w:pPr>
              <w:rPr>
                <w:rFonts w:cs="Arial"/>
              </w:rPr>
            </w:pPr>
            <w:r w:rsidRPr="000E074B">
              <w:rPr>
                <w:szCs w:val="44"/>
              </w:rPr>
              <w:t>Главоболие</w:t>
            </w:r>
          </w:p>
        </w:tc>
        <w:tc>
          <w:tcPr>
            <w:tcW w:w="3192" w:type="dxa"/>
            <w:vAlign w:val="bottom"/>
          </w:tcPr>
          <w:p w14:paraId="5144531A" w14:textId="77777777" w:rsidR="000E074B" w:rsidRPr="000E074B" w:rsidRDefault="000E074B" w:rsidP="000E074B">
            <w:pPr>
              <w:rPr>
                <w:rFonts w:cs="Arial"/>
              </w:rPr>
            </w:pPr>
          </w:p>
        </w:tc>
      </w:tr>
      <w:tr w:rsidR="000E074B" w14:paraId="444D6DFD" w14:textId="77777777" w:rsidTr="002B2A6D">
        <w:tc>
          <w:tcPr>
            <w:tcW w:w="3192" w:type="dxa"/>
            <w:vAlign w:val="bottom"/>
          </w:tcPr>
          <w:p w14:paraId="189E99C4" w14:textId="48D50171" w:rsidR="000E074B" w:rsidRPr="000E074B" w:rsidRDefault="000E074B" w:rsidP="000E074B">
            <w:pPr>
              <w:rPr>
                <w:rFonts w:cs="Arial"/>
              </w:rPr>
            </w:pPr>
            <w:r w:rsidRPr="000E074B">
              <w:rPr>
                <w:szCs w:val="44"/>
              </w:rPr>
              <w:t>Сърдечни нарушения</w:t>
            </w:r>
          </w:p>
        </w:tc>
        <w:tc>
          <w:tcPr>
            <w:tcW w:w="3192" w:type="dxa"/>
            <w:vAlign w:val="bottom"/>
          </w:tcPr>
          <w:p w14:paraId="177DA549" w14:textId="2EA52DAF" w:rsidR="000E074B" w:rsidRPr="000E074B" w:rsidRDefault="000E074B" w:rsidP="000E074B">
            <w:pPr>
              <w:rPr>
                <w:rFonts w:cs="Arial"/>
              </w:rPr>
            </w:pPr>
            <w:r w:rsidRPr="000E074B">
              <w:rPr>
                <w:szCs w:val="44"/>
              </w:rPr>
              <w:t>Тахикардия</w:t>
            </w:r>
          </w:p>
        </w:tc>
        <w:tc>
          <w:tcPr>
            <w:tcW w:w="3192" w:type="dxa"/>
            <w:vAlign w:val="bottom"/>
          </w:tcPr>
          <w:p w14:paraId="4A3A9405" w14:textId="11D6600E" w:rsidR="000E074B" w:rsidRPr="000E074B" w:rsidRDefault="000E074B" w:rsidP="000E074B">
            <w:pPr>
              <w:rPr>
                <w:rFonts w:cs="Arial"/>
              </w:rPr>
            </w:pPr>
            <w:r w:rsidRPr="000E074B">
              <w:rPr>
                <w:szCs w:val="44"/>
              </w:rPr>
              <w:t>Брадикардия</w:t>
            </w:r>
          </w:p>
        </w:tc>
      </w:tr>
      <w:tr w:rsidR="000E074B" w14:paraId="7223C34B" w14:textId="77777777" w:rsidTr="002B2A6D">
        <w:tc>
          <w:tcPr>
            <w:tcW w:w="3192" w:type="dxa"/>
          </w:tcPr>
          <w:p w14:paraId="69816B82" w14:textId="682FA584" w:rsidR="000E074B" w:rsidRPr="000E074B" w:rsidRDefault="000E074B" w:rsidP="000E074B">
            <w:pPr>
              <w:rPr>
                <w:rFonts w:cs="Arial"/>
              </w:rPr>
            </w:pPr>
            <w:r w:rsidRPr="000E074B">
              <w:rPr>
                <w:szCs w:val="44"/>
              </w:rPr>
              <w:t>Съдови нарушения</w:t>
            </w:r>
          </w:p>
        </w:tc>
        <w:tc>
          <w:tcPr>
            <w:tcW w:w="3192" w:type="dxa"/>
            <w:vAlign w:val="bottom"/>
          </w:tcPr>
          <w:p w14:paraId="06EDAE25" w14:textId="77777777" w:rsidR="000E074B" w:rsidRPr="000E074B" w:rsidRDefault="000E074B" w:rsidP="000E074B">
            <w:r w:rsidRPr="000E074B">
              <w:rPr>
                <w:szCs w:val="44"/>
              </w:rPr>
              <w:t>Хипотония</w:t>
            </w:r>
          </w:p>
          <w:p w14:paraId="250649F2" w14:textId="673E7836" w:rsidR="000E074B" w:rsidRPr="000E074B" w:rsidRDefault="000E074B" w:rsidP="000E074B">
            <w:pPr>
              <w:rPr>
                <w:rFonts w:cs="Arial"/>
              </w:rPr>
            </w:pPr>
            <w:r w:rsidRPr="000E074B">
              <w:rPr>
                <w:szCs w:val="44"/>
              </w:rPr>
              <w:t>Вазодилатация</w:t>
            </w:r>
          </w:p>
        </w:tc>
        <w:tc>
          <w:tcPr>
            <w:tcW w:w="3192" w:type="dxa"/>
          </w:tcPr>
          <w:p w14:paraId="7D4F9C15" w14:textId="77777777" w:rsidR="000E074B" w:rsidRPr="000E074B" w:rsidRDefault="000E074B" w:rsidP="000E074B">
            <w:pPr>
              <w:rPr>
                <w:rFonts w:cs="Arial"/>
              </w:rPr>
            </w:pPr>
          </w:p>
        </w:tc>
      </w:tr>
      <w:tr w:rsidR="000E074B" w14:paraId="41CED51A" w14:textId="77777777" w:rsidTr="002B2A6D">
        <w:tc>
          <w:tcPr>
            <w:tcW w:w="3192" w:type="dxa"/>
          </w:tcPr>
          <w:p w14:paraId="61080337" w14:textId="6296A75A" w:rsidR="000E074B" w:rsidRPr="000E074B" w:rsidRDefault="000E074B" w:rsidP="000E074B">
            <w:pPr>
              <w:rPr>
                <w:rFonts w:cs="Arial"/>
              </w:rPr>
            </w:pPr>
            <w:r w:rsidRPr="000E074B">
              <w:rPr>
                <w:szCs w:val="44"/>
              </w:rPr>
              <w:t>Стомашно-чревни нарушения</w:t>
            </w:r>
          </w:p>
        </w:tc>
        <w:tc>
          <w:tcPr>
            <w:tcW w:w="3192" w:type="dxa"/>
          </w:tcPr>
          <w:p w14:paraId="0B702F46" w14:textId="489F0B93" w:rsidR="000E074B" w:rsidRPr="000E074B" w:rsidRDefault="000E074B" w:rsidP="000E074B">
            <w:pPr>
              <w:rPr>
                <w:rFonts w:cs="Arial"/>
              </w:rPr>
            </w:pPr>
            <w:r w:rsidRPr="000E074B">
              <w:rPr>
                <w:szCs w:val="44"/>
              </w:rPr>
              <w:t>Гадене</w:t>
            </w:r>
          </w:p>
        </w:tc>
        <w:tc>
          <w:tcPr>
            <w:tcW w:w="3192" w:type="dxa"/>
            <w:vAlign w:val="bottom"/>
          </w:tcPr>
          <w:p w14:paraId="69D23F2F" w14:textId="188BE51D" w:rsidR="000E074B" w:rsidRPr="000E074B" w:rsidRDefault="000E074B" w:rsidP="000E074B">
            <w:pPr>
              <w:rPr>
                <w:rFonts w:cs="Arial"/>
              </w:rPr>
            </w:pPr>
            <w:r w:rsidRPr="000E074B">
              <w:rPr>
                <w:szCs w:val="44"/>
              </w:rPr>
              <w:t>Илеус (чревна непроходимост)</w:t>
            </w:r>
          </w:p>
        </w:tc>
      </w:tr>
      <w:tr w:rsidR="000E074B" w14:paraId="7D68BBAD" w14:textId="77777777" w:rsidTr="000E074B">
        <w:tc>
          <w:tcPr>
            <w:tcW w:w="3192" w:type="dxa"/>
          </w:tcPr>
          <w:p w14:paraId="36D216EB" w14:textId="49E153CA" w:rsidR="000E074B" w:rsidRPr="000E074B" w:rsidRDefault="000E074B" w:rsidP="000E074B">
            <w:pPr>
              <w:rPr>
                <w:rFonts w:cs="Arial"/>
              </w:rPr>
            </w:pPr>
            <w:r w:rsidRPr="000E074B">
              <w:rPr>
                <w:szCs w:val="44"/>
              </w:rPr>
              <w:t>Хепато-билиарни нарушения</w:t>
            </w:r>
          </w:p>
        </w:tc>
        <w:tc>
          <w:tcPr>
            <w:tcW w:w="3192" w:type="dxa"/>
          </w:tcPr>
          <w:p w14:paraId="34C6125C" w14:textId="77777777" w:rsidR="000E074B" w:rsidRPr="000E074B" w:rsidRDefault="000E074B" w:rsidP="000E074B">
            <w:pPr>
              <w:rPr>
                <w:rFonts w:cs="Arial"/>
              </w:rPr>
            </w:pPr>
          </w:p>
        </w:tc>
        <w:tc>
          <w:tcPr>
            <w:tcW w:w="3192" w:type="dxa"/>
          </w:tcPr>
          <w:p w14:paraId="2DBB16DC" w14:textId="64584672" w:rsidR="000E074B" w:rsidRPr="000E074B" w:rsidRDefault="000E074B" w:rsidP="000E074B">
            <w:pPr>
              <w:rPr>
                <w:rFonts w:cs="Arial"/>
              </w:rPr>
            </w:pPr>
            <w:r w:rsidRPr="000E074B">
              <w:rPr>
                <w:szCs w:val="44"/>
              </w:rPr>
              <w:t>Временно повишени стойности на чернодробни ензими</w:t>
            </w:r>
          </w:p>
        </w:tc>
      </w:tr>
    </w:tbl>
    <w:p w14:paraId="320A899C" w14:textId="299369FE" w:rsidR="000E074B" w:rsidRDefault="000E074B" w:rsidP="000E074B">
      <w:pPr>
        <w:rPr>
          <w:rFonts w:cs="Arial"/>
        </w:rPr>
      </w:pPr>
    </w:p>
    <w:p w14:paraId="3334F244" w14:textId="77777777" w:rsidR="000E074B" w:rsidRPr="000E074B" w:rsidRDefault="000E074B" w:rsidP="000E074B">
      <w:pPr>
        <w:spacing w:line="240" w:lineRule="auto"/>
        <w:rPr>
          <w:rFonts w:eastAsia="Times New Roman" w:cs="Arial"/>
        </w:rPr>
      </w:pPr>
      <w:r w:rsidRPr="000E074B">
        <w:rPr>
          <w:rFonts w:eastAsia="Times New Roman" w:cs="Arial"/>
          <w:color w:val="000000"/>
          <w:u w:val="single"/>
          <w:lang w:eastAsia="bg-BG"/>
        </w:rPr>
        <w:t>Съобщаване на подозирани нежелани реакции</w:t>
      </w:r>
    </w:p>
    <w:p w14:paraId="1704B96F" w14:textId="77777777" w:rsidR="000E074B" w:rsidRDefault="000E074B" w:rsidP="000E074B">
      <w:pPr>
        <w:spacing w:line="240" w:lineRule="auto"/>
        <w:rPr>
          <w:rFonts w:eastAsia="Times New Roman" w:cs="Arial"/>
          <w:color w:val="000000"/>
          <w:lang w:eastAsia="bg-BG"/>
        </w:rPr>
      </w:pPr>
      <w:r w:rsidRPr="000E074B">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w:t>
      </w:r>
      <w:r>
        <w:rPr>
          <w:rFonts w:eastAsia="Times New Roman" w:cs="Arial"/>
        </w:rPr>
        <w:t xml:space="preserve"> </w:t>
      </w:r>
      <w:r w:rsidRPr="000E074B">
        <w:rPr>
          <w:rFonts w:eastAsia="Times New Roman" w:cs="Arial"/>
          <w:color w:val="000000"/>
          <w:lang w:eastAsia="bg-BG"/>
        </w:rPr>
        <w:t xml:space="preserve">подозирана нежелана реакция чрез </w:t>
      </w:r>
    </w:p>
    <w:p w14:paraId="33641645" w14:textId="22B864EE" w:rsidR="000E074B" w:rsidRPr="000E074B" w:rsidRDefault="000E074B" w:rsidP="000E074B">
      <w:pPr>
        <w:spacing w:line="240" w:lineRule="auto"/>
        <w:rPr>
          <w:rFonts w:eastAsia="Times New Roman" w:cs="Arial"/>
        </w:rPr>
      </w:pPr>
      <w:r w:rsidRPr="000E074B">
        <w:rPr>
          <w:rFonts w:eastAsia="Times New Roman" w:cs="Arial"/>
          <w:color w:val="000000"/>
          <w:lang w:eastAsia="bg-BG"/>
        </w:rPr>
        <w:t>Изпълнителната агенция по лекарствата ул. „Дамян Груев” № 8</w:t>
      </w:r>
    </w:p>
    <w:p w14:paraId="21B7204C"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1303 София</w:t>
      </w:r>
    </w:p>
    <w:p w14:paraId="095EC52D"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тел.: +359 2 8903417</w:t>
      </w:r>
    </w:p>
    <w:p w14:paraId="1756024D" w14:textId="487312D6" w:rsidR="000E074B" w:rsidRDefault="000E074B" w:rsidP="000E074B">
      <w:pPr>
        <w:rPr>
          <w:rFonts w:eastAsia="Times New Roman" w:cs="Arial"/>
        </w:rPr>
      </w:pPr>
      <w:r w:rsidRPr="000E074B">
        <w:rPr>
          <w:rFonts w:eastAsia="Times New Roman" w:cs="Arial"/>
          <w:color w:val="000000"/>
          <w:lang w:eastAsia="bg-BG"/>
        </w:rPr>
        <w:t xml:space="preserve">уебсайт: </w:t>
      </w:r>
      <w:r w:rsidRPr="000E074B">
        <w:rPr>
          <w:rFonts w:eastAsia="Times New Roman" w:cs="Arial"/>
        </w:rPr>
        <w:fldChar w:fldCharType="begin"/>
      </w:r>
      <w:r w:rsidRPr="000E074B">
        <w:rPr>
          <w:rFonts w:eastAsia="Times New Roman" w:cs="Arial"/>
        </w:rPr>
        <w:instrText xml:space="preserve"> HYPERLINK "http://www.bda.bg" </w:instrText>
      </w:r>
      <w:r w:rsidRPr="000E074B">
        <w:rPr>
          <w:rFonts w:eastAsia="Times New Roman" w:cs="Arial"/>
        </w:rPr>
      </w:r>
      <w:r w:rsidRPr="000E074B">
        <w:rPr>
          <w:rFonts w:eastAsia="Times New Roman" w:cs="Arial"/>
        </w:rPr>
        <w:fldChar w:fldCharType="separate"/>
      </w:r>
      <w:r w:rsidRPr="000E074B">
        <w:rPr>
          <w:rFonts w:eastAsia="Times New Roman" w:cs="Arial"/>
          <w:color w:val="000000"/>
          <w:u w:val="single"/>
          <w:lang w:val="en-US"/>
        </w:rPr>
        <w:t>www</w:t>
      </w:r>
      <w:r w:rsidRPr="000E074B">
        <w:rPr>
          <w:rFonts w:eastAsia="Times New Roman" w:cs="Arial"/>
          <w:color w:val="000000"/>
          <w:u w:val="single"/>
          <w:lang w:val="ru-RU"/>
        </w:rPr>
        <w:t>.</w:t>
      </w:r>
      <w:proofErr w:type="spellStart"/>
      <w:r w:rsidRPr="000E074B">
        <w:rPr>
          <w:rFonts w:eastAsia="Times New Roman" w:cs="Arial"/>
          <w:color w:val="000000"/>
          <w:u w:val="single"/>
          <w:lang w:val="en-US"/>
        </w:rPr>
        <w:t>bda</w:t>
      </w:r>
      <w:proofErr w:type="spellEnd"/>
      <w:r w:rsidRPr="000E074B">
        <w:rPr>
          <w:rFonts w:eastAsia="Times New Roman" w:cs="Arial"/>
          <w:color w:val="000000"/>
          <w:u w:val="single"/>
          <w:lang w:val="ru-RU"/>
        </w:rPr>
        <w:t>.</w:t>
      </w:r>
      <w:proofErr w:type="spellStart"/>
      <w:r w:rsidRPr="000E074B">
        <w:rPr>
          <w:rFonts w:eastAsia="Times New Roman" w:cs="Arial"/>
          <w:color w:val="000000"/>
          <w:u w:val="single"/>
          <w:lang w:val="en-US"/>
        </w:rPr>
        <w:t>bg</w:t>
      </w:r>
      <w:proofErr w:type="spellEnd"/>
      <w:r w:rsidRPr="000E074B">
        <w:rPr>
          <w:rFonts w:eastAsia="Times New Roman" w:cs="Arial"/>
        </w:rPr>
        <w:fldChar w:fldCharType="end"/>
      </w:r>
    </w:p>
    <w:p w14:paraId="01A67822" w14:textId="77777777" w:rsidR="000E074B" w:rsidRPr="000E074B" w:rsidRDefault="000E074B" w:rsidP="000E074B">
      <w:pPr>
        <w:rPr>
          <w:rFonts w:cs="Arial"/>
        </w:rPr>
      </w:pPr>
    </w:p>
    <w:p w14:paraId="4ED30546" w14:textId="2B4A88EE" w:rsidR="007C605B" w:rsidRDefault="002C50EE" w:rsidP="009F1313">
      <w:pPr>
        <w:pStyle w:val="Heading2"/>
      </w:pPr>
      <w:r>
        <w:t>4.9. Предозиране</w:t>
      </w:r>
    </w:p>
    <w:p w14:paraId="6573CF60" w14:textId="26E78991" w:rsidR="000E074B" w:rsidRDefault="000E074B" w:rsidP="000E074B"/>
    <w:p w14:paraId="380142BE" w14:textId="1F78517F" w:rsidR="000E074B" w:rsidRPr="000E074B" w:rsidRDefault="000E074B" w:rsidP="000E074B">
      <w:pPr>
        <w:rPr>
          <w:lang w:eastAsia="bg-BG"/>
        </w:rPr>
      </w:pPr>
      <w:r>
        <w:rPr>
          <w:lang w:eastAsia="bg-BG"/>
        </w:rPr>
        <w:t xml:space="preserve">а) </w:t>
      </w:r>
      <w:r w:rsidRPr="000E074B">
        <w:rPr>
          <w:lang w:eastAsia="bg-BG"/>
        </w:rPr>
        <w:t>Симптоми на интоксикация</w:t>
      </w:r>
    </w:p>
    <w:p w14:paraId="236A540F" w14:textId="77777777" w:rsidR="000E074B" w:rsidRPr="000E074B" w:rsidRDefault="000E074B" w:rsidP="000E074B">
      <w:pPr>
        <w:rPr>
          <w:sz w:val="24"/>
          <w:szCs w:val="24"/>
        </w:rPr>
      </w:pPr>
      <w:r w:rsidRPr="000E074B">
        <w:rPr>
          <w:lang w:eastAsia="bg-BG"/>
        </w:rPr>
        <w:lastRenderedPageBreak/>
        <w:t>Очаквани симптоми на остро предозиране са изразено понижаване на кръвното налягане, тахикардия или брадикардия, и стомашно-чревни нарушения и гадене.</w:t>
      </w:r>
    </w:p>
    <w:p w14:paraId="0D7ABD8D" w14:textId="77777777" w:rsidR="000E074B" w:rsidRDefault="000E074B" w:rsidP="000E074B">
      <w:pPr>
        <w:rPr>
          <w:lang w:eastAsia="bg-BG"/>
        </w:rPr>
      </w:pPr>
    </w:p>
    <w:p w14:paraId="41277F8B" w14:textId="46818A6F" w:rsidR="000E074B" w:rsidRPr="000E074B" w:rsidRDefault="000E074B" w:rsidP="000E074B">
      <w:pPr>
        <w:rPr>
          <w:lang w:eastAsia="bg-BG"/>
        </w:rPr>
      </w:pPr>
      <w:r>
        <w:rPr>
          <w:lang w:eastAsia="bg-BG"/>
        </w:rPr>
        <w:t xml:space="preserve">Б) </w:t>
      </w:r>
      <w:r w:rsidRPr="000E074B">
        <w:rPr>
          <w:lang w:eastAsia="bg-BG"/>
        </w:rPr>
        <w:t>Лечение на интоксикация</w:t>
      </w:r>
    </w:p>
    <w:p w14:paraId="1B95448A" w14:textId="2354C4E6" w:rsidR="000E074B" w:rsidRPr="000E074B" w:rsidRDefault="000E074B" w:rsidP="000E074B">
      <w:r w:rsidRPr="000E074B">
        <w:rPr>
          <w:lang w:eastAsia="bg-BG"/>
        </w:rPr>
        <w:t xml:space="preserve">В случай на остро предозиране, лечението с Нимотоп </w:t>
      </w:r>
      <w:r w:rsidRPr="000E074B">
        <w:rPr>
          <w:lang w:val="en-US"/>
        </w:rPr>
        <w:t>S</w:t>
      </w:r>
      <w:r w:rsidRPr="000E074B">
        <w:rPr>
          <w:lang w:val="ru-RU"/>
        </w:rPr>
        <w:t xml:space="preserve"> </w:t>
      </w:r>
      <w:r w:rsidRPr="000E074B">
        <w:rPr>
          <w:lang w:eastAsia="bg-BG"/>
        </w:rPr>
        <w:t>филмирани таблетки трябва незабавно да се прекрати. Спешните мерки трябва да са в зависимост от симптомите. Спешните терапевтични мерки включват стомашна промивка с допълнителен прием на въглен. Ако има изразено понижаване на кръвното налягане, допамин или норадреналин могат да се приложат интравенозно. Тъй като няма специфичен антидот, последващото лечение на други нежелани реакции трябва да се проведе според най-изявените симптоми.</w:t>
      </w:r>
    </w:p>
    <w:p w14:paraId="02081B24" w14:textId="1F46E296" w:rsidR="00395555" w:rsidRPr="00395555" w:rsidRDefault="002C50EE" w:rsidP="008A6AF2">
      <w:pPr>
        <w:pStyle w:val="Heading1"/>
      </w:pPr>
      <w:r>
        <w:t>5. ФАРМАКОЛОГИЧНИ СВОЙСТВА</w:t>
      </w:r>
    </w:p>
    <w:p w14:paraId="5350637D" w14:textId="72A893F8" w:rsidR="00395555" w:rsidRDefault="002C50EE" w:rsidP="008A6AF2">
      <w:pPr>
        <w:pStyle w:val="Heading2"/>
      </w:pPr>
      <w:r>
        <w:t>5.1. Фармакодинамични свойства</w:t>
      </w:r>
    </w:p>
    <w:p w14:paraId="48419485" w14:textId="16EB7CDF" w:rsidR="000E074B" w:rsidRDefault="000E074B" w:rsidP="000E074B"/>
    <w:p w14:paraId="63C64297"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Фармакотерапевтична група: Селективни блокери на калциевите канали с предимно съдово действие, Дихидропиридинови производни</w:t>
      </w:r>
    </w:p>
    <w:p w14:paraId="28E42150" w14:textId="77777777" w:rsidR="000E074B" w:rsidRPr="000E074B" w:rsidRDefault="000E074B" w:rsidP="000E074B">
      <w:pPr>
        <w:spacing w:line="240" w:lineRule="auto"/>
        <w:rPr>
          <w:rFonts w:eastAsia="Times New Roman" w:cs="Arial"/>
          <w:color w:val="000000"/>
          <w:szCs w:val="44"/>
          <w:lang w:eastAsia="bg-BG"/>
        </w:rPr>
      </w:pPr>
    </w:p>
    <w:p w14:paraId="47F57DE9" w14:textId="2B38460D"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АТС код: С08С А06</w:t>
      </w:r>
    </w:p>
    <w:p w14:paraId="421498D7" w14:textId="77777777" w:rsidR="000E074B" w:rsidRPr="000E074B" w:rsidRDefault="000E074B" w:rsidP="000E074B">
      <w:pPr>
        <w:spacing w:line="240" w:lineRule="auto"/>
        <w:rPr>
          <w:rFonts w:eastAsia="Times New Roman" w:cs="Arial"/>
          <w:color w:val="000000"/>
          <w:szCs w:val="44"/>
          <w:lang w:eastAsia="bg-BG"/>
        </w:rPr>
      </w:pPr>
    </w:p>
    <w:p w14:paraId="2FEC326E" w14:textId="774F8E5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Нимодипин е калциев антагонист, който принадлежи към класа на 1,4-дихидропиридините. Процесите на съкращение на гладките мускулни клетки зависят от калциевите йони, които влизат в тези клетки при деполяризацията като бавни йонни трансмембранни потоци. Нимодипин инхибира преноса на калциевите йони в тези клетки и по този начин потиска гладкомускулните съкращения на съдовете. При опити с животни, нимодипин показва по-голям ефект върху мозъчните артерии, отколкото върху артерии на други места в тялото. Вероятно защото той е силно липофилен, което му позволява да премине кръвно-мозъчната бариера: Концентрации на нимодипин от порядъка на 12,5 </w:t>
      </w:r>
      <w:r w:rsidRPr="000E074B">
        <w:rPr>
          <w:rFonts w:eastAsia="Times New Roman" w:cs="Arial"/>
          <w:color w:val="000000"/>
          <w:szCs w:val="44"/>
          <w:lang w:val="en-US"/>
        </w:rPr>
        <w:t>ng</w:t>
      </w:r>
      <w:r w:rsidRPr="000E074B">
        <w:rPr>
          <w:rFonts w:eastAsia="Times New Roman" w:cs="Arial"/>
          <w:color w:val="000000"/>
          <w:szCs w:val="44"/>
          <w:lang w:val="ru-RU"/>
        </w:rPr>
        <w:t>/</w:t>
      </w:r>
      <w:r w:rsidRPr="000E074B">
        <w:rPr>
          <w:rFonts w:eastAsia="Times New Roman" w:cs="Arial"/>
          <w:color w:val="000000"/>
          <w:szCs w:val="44"/>
          <w:lang w:val="en-US"/>
        </w:rPr>
        <w:t>mL</w:t>
      </w:r>
      <w:r w:rsidRPr="000E074B">
        <w:rPr>
          <w:rFonts w:eastAsia="Times New Roman" w:cs="Arial"/>
          <w:color w:val="000000"/>
          <w:szCs w:val="44"/>
          <w:lang w:val="ru-RU"/>
        </w:rPr>
        <w:t xml:space="preserve"> </w:t>
      </w:r>
      <w:r w:rsidRPr="000E074B">
        <w:rPr>
          <w:rFonts w:eastAsia="Times New Roman" w:cs="Arial"/>
          <w:color w:val="000000"/>
          <w:szCs w:val="44"/>
          <w:lang w:eastAsia="bg-BG"/>
        </w:rPr>
        <w:t>са били открити в цереброспиналната течност на пациенти със субарахноидална хеморагия лекувани с нимодипин.</w:t>
      </w:r>
    </w:p>
    <w:p w14:paraId="0CAA2B66" w14:textId="77777777" w:rsidR="000E074B" w:rsidRPr="000E074B" w:rsidRDefault="000E074B" w:rsidP="000E074B">
      <w:pPr>
        <w:spacing w:line="240" w:lineRule="auto"/>
        <w:rPr>
          <w:rFonts w:eastAsia="Times New Roman" w:cs="Arial"/>
          <w:color w:val="000000"/>
          <w:szCs w:val="44"/>
          <w:lang w:eastAsia="bg-BG"/>
        </w:rPr>
      </w:pPr>
    </w:p>
    <w:p w14:paraId="13577730" w14:textId="6BA0A36B"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Нимодипин притежава предимно церебрална противосъдосвиваща и противоисхемична активност. Вазоконстрикцията предизвикана </w:t>
      </w:r>
      <w:r w:rsidRPr="000E074B">
        <w:rPr>
          <w:rFonts w:eastAsia="Times New Roman" w:cs="Arial"/>
          <w:i/>
          <w:iCs/>
          <w:color w:val="000000"/>
          <w:szCs w:val="44"/>
          <w:lang w:val="en-US"/>
        </w:rPr>
        <w:t>in</w:t>
      </w:r>
      <w:r w:rsidRPr="000E074B">
        <w:rPr>
          <w:rFonts w:eastAsia="Times New Roman" w:cs="Arial"/>
          <w:i/>
          <w:iCs/>
          <w:color w:val="000000"/>
          <w:szCs w:val="44"/>
          <w:lang w:val="ru-RU"/>
        </w:rPr>
        <w:t xml:space="preserve"> </w:t>
      </w:r>
      <w:r w:rsidRPr="000E074B">
        <w:rPr>
          <w:rFonts w:eastAsia="Times New Roman" w:cs="Arial"/>
          <w:i/>
          <w:iCs/>
          <w:color w:val="000000"/>
          <w:szCs w:val="44"/>
          <w:lang w:val="en-US"/>
        </w:rPr>
        <w:t>vitro</w:t>
      </w:r>
      <w:r w:rsidRPr="000E074B">
        <w:rPr>
          <w:rFonts w:eastAsia="Times New Roman" w:cs="Arial"/>
          <w:color w:val="000000"/>
          <w:szCs w:val="44"/>
          <w:lang w:val="ru-RU"/>
        </w:rPr>
        <w:t xml:space="preserve"> </w:t>
      </w:r>
      <w:r w:rsidRPr="000E074B">
        <w:rPr>
          <w:rFonts w:eastAsia="Times New Roman" w:cs="Arial"/>
          <w:color w:val="000000"/>
          <w:szCs w:val="44"/>
          <w:lang w:eastAsia="bg-BG"/>
        </w:rPr>
        <w:t>от различни вазоакгивни вещества (например серотонин, простагландини и хистамин), или от кръвта и продукти от разлагането на кръвта може да бъде предотвратена или елиминирана чрез нимодипин. Нимодипин има също и неврофармакологични и психофармакологични свойства. Изследвания при пациенти с остри нарушения на кръвоснабдяването в мозъка показват, че нимодипин разширява кръвоносните съдове в мозъка и стимулира кръвообръщението в мозъка.</w:t>
      </w:r>
    </w:p>
    <w:p w14:paraId="1D841C05"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Повишението в перфузията е като правило по-голямо в предварително повредени или неоросявани участъци в мозъка, отколкото в здравите области.</w:t>
      </w:r>
    </w:p>
    <w:p w14:paraId="3D0E60B4" w14:textId="77777777" w:rsidR="000E074B" w:rsidRPr="000E074B" w:rsidRDefault="000E074B" w:rsidP="000E074B">
      <w:pPr>
        <w:spacing w:line="240" w:lineRule="auto"/>
        <w:rPr>
          <w:rFonts w:eastAsia="Times New Roman" w:cs="Arial"/>
          <w:color w:val="000000"/>
          <w:szCs w:val="44"/>
          <w:lang w:eastAsia="bg-BG"/>
        </w:rPr>
      </w:pPr>
    </w:p>
    <w:p w14:paraId="7033AC67" w14:textId="0969DB4A"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Поради това, употребата на нимодипин значително намалява исхемичното неврологично увреждане при пациенти със субарахноидален кръвоизлив и смъртността е значително намалена от нимодипин.</w:t>
      </w:r>
    </w:p>
    <w:p w14:paraId="63224695" w14:textId="77777777" w:rsidR="000E074B" w:rsidRPr="000E074B" w:rsidRDefault="000E074B" w:rsidP="000E074B"/>
    <w:p w14:paraId="26535098" w14:textId="1D9D4C15" w:rsidR="00395555" w:rsidRDefault="002C50EE" w:rsidP="008A6AF2">
      <w:pPr>
        <w:pStyle w:val="Heading2"/>
      </w:pPr>
      <w:r>
        <w:t>5.2. Фармакокинетични свойства</w:t>
      </w:r>
    </w:p>
    <w:p w14:paraId="367C8AE9" w14:textId="62E9D8D8" w:rsidR="000E074B" w:rsidRDefault="000E074B" w:rsidP="000E074B"/>
    <w:p w14:paraId="50C16564" w14:textId="77777777" w:rsidR="000E074B" w:rsidRPr="000E074B" w:rsidRDefault="000E074B" w:rsidP="000E074B">
      <w:pPr>
        <w:pStyle w:val="Heading3"/>
        <w:rPr>
          <w:rFonts w:eastAsia="Times New Roman"/>
          <w:sz w:val="12"/>
          <w:u w:val="single"/>
        </w:rPr>
      </w:pPr>
      <w:r w:rsidRPr="000E074B">
        <w:rPr>
          <w:rFonts w:eastAsia="Times New Roman"/>
          <w:u w:val="single"/>
          <w:lang w:eastAsia="bg-BG"/>
        </w:rPr>
        <w:lastRenderedPageBreak/>
        <w:t>Абсорбция:</w:t>
      </w:r>
    </w:p>
    <w:p w14:paraId="4030CC42" w14:textId="1EE4BF3D" w:rsidR="000E074B" w:rsidRPr="000E074B" w:rsidRDefault="000E074B" w:rsidP="000E074B">
      <w:pPr>
        <w:rPr>
          <w:rFonts w:eastAsia="Times New Roman" w:cs="Arial"/>
          <w:color w:val="000000"/>
          <w:szCs w:val="44"/>
          <w:lang w:eastAsia="bg-BG"/>
        </w:rPr>
      </w:pPr>
      <w:r w:rsidRPr="000E074B">
        <w:rPr>
          <w:rFonts w:eastAsia="Times New Roman" w:cs="Arial"/>
          <w:color w:val="000000"/>
          <w:szCs w:val="44"/>
          <w:lang w:eastAsia="bg-BG"/>
        </w:rPr>
        <w:t xml:space="preserve">Активното вещество нимодипин се абсорбира практически напълно, когато се приема перорално. Непромененото активно вещество и неговите ‘ранни’ </w:t>
      </w:r>
      <w:r w:rsidRPr="000E074B">
        <w:rPr>
          <w:rFonts w:eastAsia="Times New Roman" w:cs="Arial"/>
          <w:i/>
          <w:iCs/>
          <w:color w:val="000000"/>
          <w:szCs w:val="44"/>
          <w:lang w:eastAsia="bg-BG"/>
        </w:rPr>
        <w:t xml:space="preserve">метаболити на първо </w:t>
      </w:r>
      <w:r w:rsidRPr="000E074B">
        <w:rPr>
          <w:rFonts w:eastAsia="Times New Roman" w:cs="Arial"/>
          <w:color w:val="000000"/>
          <w:szCs w:val="44"/>
          <w:lang w:eastAsia="bg-BG"/>
        </w:rPr>
        <w:t>преминаване могат да се открият в плазмата до 10-15 минути след поглъщане на таблетката.</w:t>
      </w:r>
    </w:p>
    <w:p w14:paraId="48893CF5" w14:textId="53F46CE0" w:rsidR="000E074B" w:rsidRPr="000E074B" w:rsidRDefault="000E074B" w:rsidP="000E074B">
      <w:pPr>
        <w:rPr>
          <w:rFonts w:eastAsia="Times New Roman" w:cs="Arial"/>
          <w:color w:val="000000"/>
          <w:szCs w:val="44"/>
          <w:lang w:eastAsia="bg-BG"/>
        </w:rPr>
      </w:pPr>
    </w:p>
    <w:p w14:paraId="4BCCAEBF"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След многократно перорално приложение (3 х 30 </w:t>
      </w:r>
      <w:r w:rsidRPr="000E074B">
        <w:rPr>
          <w:rFonts w:eastAsia="Times New Roman" w:cs="Arial"/>
          <w:color w:val="000000"/>
          <w:szCs w:val="44"/>
          <w:lang w:val="en-US"/>
        </w:rPr>
        <w:t>mg</w:t>
      </w:r>
      <w:r w:rsidRPr="000E074B">
        <w:rPr>
          <w:rFonts w:eastAsia="Times New Roman" w:cs="Arial"/>
          <w:color w:val="000000"/>
          <w:szCs w:val="44"/>
          <w:lang w:val="ru-RU"/>
        </w:rPr>
        <w:t xml:space="preserve"> </w:t>
      </w:r>
      <w:r w:rsidRPr="000E074B">
        <w:rPr>
          <w:rFonts w:eastAsia="Times New Roman" w:cs="Arial"/>
          <w:color w:val="000000"/>
          <w:szCs w:val="44"/>
          <w:lang w:eastAsia="bg-BG"/>
        </w:rPr>
        <w:t>дневно) пиковите плазмени концентрации (С</w:t>
      </w:r>
      <w:r w:rsidRPr="000E074B">
        <w:rPr>
          <w:rFonts w:eastAsia="Times New Roman" w:cs="Arial"/>
          <w:color w:val="000000"/>
          <w:szCs w:val="44"/>
          <w:vertAlign w:val="subscript"/>
          <w:lang w:val="en-US"/>
        </w:rPr>
        <w:t>max</w:t>
      </w:r>
      <w:r w:rsidRPr="000E074B">
        <w:rPr>
          <w:rFonts w:eastAsia="Times New Roman" w:cs="Arial"/>
          <w:color w:val="000000"/>
          <w:szCs w:val="44"/>
          <w:lang w:eastAsia="bg-BG"/>
        </w:rPr>
        <w:t xml:space="preserve">) са 7,3-43,2 </w:t>
      </w:r>
      <w:r w:rsidRPr="000E074B">
        <w:rPr>
          <w:rFonts w:eastAsia="Times New Roman" w:cs="Arial"/>
          <w:color w:val="000000"/>
          <w:szCs w:val="44"/>
          <w:lang w:val="en-US"/>
        </w:rPr>
        <w:t>ng</w:t>
      </w:r>
      <w:r w:rsidRPr="000E074B">
        <w:rPr>
          <w:rFonts w:eastAsia="Times New Roman" w:cs="Arial"/>
          <w:color w:val="000000"/>
          <w:szCs w:val="44"/>
          <w:lang w:val="ru-RU"/>
        </w:rPr>
        <w:t>/</w:t>
      </w:r>
      <w:r w:rsidRPr="000E074B">
        <w:rPr>
          <w:rFonts w:eastAsia="Times New Roman" w:cs="Arial"/>
          <w:color w:val="000000"/>
          <w:szCs w:val="44"/>
          <w:lang w:val="en-US"/>
        </w:rPr>
        <w:t>ml</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при пациенти в старческа възраст, като тези концентрации се постигат след 0,6-1,6 часа </w:t>
      </w:r>
      <w:r w:rsidRPr="000E074B">
        <w:rPr>
          <w:rFonts w:eastAsia="Times New Roman" w:cs="Arial"/>
          <w:color w:val="000000"/>
          <w:szCs w:val="44"/>
          <w:lang w:val="ru-RU"/>
        </w:rPr>
        <w:t>(</w:t>
      </w:r>
      <w:proofErr w:type="spellStart"/>
      <w:r w:rsidRPr="000E074B">
        <w:rPr>
          <w:rFonts w:eastAsia="Times New Roman" w:cs="Arial"/>
          <w:color w:val="000000"/>
          <w:szCs w:val="44"/>
          <w:lang w:val="en-US"/>
        </w:rPr>
        <w:t>t</w:t>
      </w:r>
      <w:r w:rsidRPr="000E074B">
        <w:rPr>
          <w:rFonts w:eastAsia="Times New Roman" w:cs="Arial"/>
          <w:color w:val="000000"/>
          <w:szCs w:val="44"/>
          <w:vertAlign w:val="subscript"/>
          <w:lang w:val="en-US"/>
        </w:rPr>
        <w:t>max</w:t>
      </w:r>
      <w:proofErr w:type="spellEnd"/>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При млади хора, след прием на еднократна доза от 30 </w:t>
      </w:r>
      <w:r w:rsidRPr="000E074B">
        <w:rPr>
          <w:rFonts w:eastAsia="Times New Roman" w:cs="Arial"/>
          <w:color w:val="000000"/>
          <w:szCs w:val="44"/>
          <w:lang w:val="en-US"/>
        </w:rPr>
        <w:t>mg</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или 60 </w:t>
      </w:r>
      <w:r w:rsidRPr="000E074B">
        <w:rPr>
          <w:rFonts w:eastAsia="Times New Roman" w:cs="Arial"/>
          <w:color w:val="000000"/>
          <w:szCs w:val="44"/>
          <w:lang w:val="en-US"/>
        </w:rPr>
        <w:t>mg</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са измерени средни пикови плазмени концентрации съоветно от 16±8 </w:t>
      </w:r>
      <w:r w:rsidRPr="000E074B">
        <w:rPr>
          <w:rFonts w:eastAsia="Times New Roman" w:cs="Arial"/>
          <w:color w:val="000000"/>
          <w:szCs w:val="44"/>
          <w:lang w:val="en-US"/>
        </w:rPr>
        <w:t>ng</w:t>
      </w:r>
      <w:r w:rsidRPr="000E074B">
        <w:rPr>
          <w:rFonts w:eastAsia="Times New Roman" w:cs="Arial"/>
          <w:color w:val="000000"/>
          <w:szCs w:val="44"/>
          <w:lang w:val="ru-RU"/>
        </w:rPr>
        <w:t>/</w:t>
      </w:r>
      <w:r w:rsidRPr="000E074B">
        <w:rPr>
          <w:rFonts w:eastAsia="Times New Roman" w:cs="Arial"/>
          <w:color w:val="000000"/>
          <w:szCs w:val="44"/>
          <w:lang w:val="en-US"/>
        </w:rPr>
        <w:t>ml</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и 31±12 </w:t>
      </w:r>
      <w:r w:rsidRPr="000E074B">
        <w:rPr>
          <w:rFonts w:eastAsia="Times New Roman" w:cs="Arial"/>
          <w:color w:val="000000"/>
          <w:szCs w:val="44"/>
          <w:lang w:val="en-US"/>
        </w:rPr>
        <w:t>ng</w:t>
      </w:r>
      <w:r w:rsidRPr="000E074B">
        <w:rPr>
          <w:rFonts w:eastAsia="Times New Roman" w:cs="Arial"/>
          <w:color w:val="000000"/>
          <w:szCs w:val="44"/>
          <w:lang w:val="ru-RU"/>
        </w:rPr>
        <w:t>/</w:t>
      </w:r>
      <w:r w:rsidRPr="000E074B">
        <w:rPr>
          <w:rFonts w:eastAsia="Times New Roman" w:cs="Arial"/>
          <w:color w:val="000000"/>
          <w:szCs w:val="44"/>
          <w:lang w:val="en-US"/>
        </w:rPr>
        <w:t>ml</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Пиковата плазмена концентрация и площта под кривата </w:t>
      </w:r>
      <w:r w:rsidRPr="000E074B">
        <w:rPr>
          <w:rFonts w:eastAsia="Times New Roman" w:cs="Arial"/>
          <w:color w:val="000000"/>
          <w:szCs w:val="44"/>
          <w:lang w:val="ru-RU"/>
        </w:rPr>
        <w:t>(</w:t>
      </w:r>
      <w:r w:rsidRPr="000E074B">
        <w:rPr>
          <w:rFonts w:eastAsia="Times New Roman" w:cs="Arial"/>
          <w:color w:val="000000"/>
          <w:szCs w:val="44"/>
          <w:lang w:val="en-US"/>
        </w:rPr>
        <w:t>AUC</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се повишават пропорционално на дозата до най-високата тествана доза (90 </w:t>
      </w:r>
      <w:r w:rsidRPr="000E074B">
        <w:rPr>
          <w:rFonts w:eastAsia="Times New Roman" w:cs="Arial"/>
          <w:color w:val="000000"/>
          <w:szCs w:val="44"/>
          <w:lang w:val="en-US"/>
        </w:rPr>
        <w:t>mg</w:t>
      </w:r>
      <w:r w:rsidRPr="000E074B">
        <w:rPr>
          <w:rFonts w:eastAsia="Times New Roman" w:cs="Arial"/>
          <w:color w:val="000000"/>
          <w:szCs w:val="44"/>
          <w:lang w:val="ru-RU"/>
        </w:rPr>
        <w:t>).</w:t>
      </w:r>
    </w:p>
    <w:p w14:paraId="413F79F5" w14:textId="77777777" w:rsidR="000E074B" w:rsidRPr="000E074B" w:rsidRDefault="000E074B" w:rsidP="000E074B">
      <w:pPr>
        <w:spacing w:line="240" w:lineRule="auto"/>
        <w:rPr>
          <w:rFonts w:eastAsia="Times New Roman" w:cs="Arial"/>
          <w:color w:val="000000"/>
          <w:szCs w:val="44"/>
          <w:lang w:eastAsia="bg-BG"/>
        </w:rPr>
      </w:pPr>
    </w:p>
    <w:p w14:paraId="0658C303" w14:textId="21E3F51F"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Непрекъснати инфузии от 0,03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val="ru-RU"/>
        </w:rPr>
        <w:t>/</w:t>
      </w:r>
      <w:r w:rsidRPr="000E074B">
        <w:rPr>
          <w:rFonts w:eastAsia="Times New Roman" w:cs="Arial"/>
          <w:color w:val="000000"/>
          <w:szCs w:val="44"/>
          <w:lang w:val="en-US"/>
        </w:rPr>
        <w:t>h</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водят до средни плазмени концентрации в условия на устойчиво равновесие от 17,6 - 26,6 </w:t>
      </w:r>
      <w:r w:rsidRPr="000E074B">
        <w:rPr>
          <w:rFonts w:eastAsia="Times New Roman" w:cs="Arial"/>
          <w:color w:val="000000"/>
          <w:szCs w:val="44"/>
          <w:lang w:val="en-US"/>
        </w:rPr>
        <w:t>ng</w:t>
      </w:r>
      <w:r w:rsidRPr="000E074B">
        <w:rPr>
          <w:rFonts w:eastAsia="Times New Roman" w:cs="Arial"/>
          <w:color w:val="000000"/>
          <w:szCs w:val="44"/>
          <w:lang w:val="ru-RU"/>
        </w:rPr>
        <w:t>/</w:t>
      </w:r>
      <w:r w:rsidRPr="000E074B">
        <w:rPr>
          <w:rFonts w:eastAsia="Times New Roman" w:cs="Arial"/>
          <w:color w:val="000000"/>
          <w:szCs w:val="44"/>
          <w:lang w:val="en-US"/>
        </w:rPr>
        <w:t>ml</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След интравенозни болусни инжекции, плазмените концентрации на нимодипин се понижават двуфазно с елиминационен полуживот съответно от 5-10 </w:t>
      </w:r>
      <w:r w:rsidRPr="000E074B">
        <w:rPr>
          <w:rFonts w:eastAsia="Times New Roman" w:cs="Arial"/>
          <w:color w:val="000000"/>
          <w:szCs w:val="44"/>
          <w:lang w:val="en-US"/>
        </w:rPr>
        <w:t>min</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и около 60 </w:t>
      </w:r>
      <w:r w:rsidRPr="000E074B">
        <w:rPr>
          <w:rFonts w:eastAsia="Times New Roman" w:cs="Arial"/>
          <w:color w:val="000000"/>
          <w:szCs w:val="44"/>
          <w:lang w:val="en-US"/>
        </w:rPr>
        <w:t>min</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Обемът на разпределение </w:t>
      </w:r>
      <w:r w:rsidRPr="000E074B">
        <w:rPr>
          <w:rFonts w:eastAsia="Times New Roman" w:cs="Arial"/>
          <w:color w:val="000000"/>
          <w:szCs w:val="44"/>
          <w:lang w:val="ru-RU"/>
        </w:rPr>
        <w:t>(</w:t>
      </w:r>
      <w:proofErr w:type="spellStart"/>
      <w:r w:rsidRPr="000E074B">
        <w:rPr>
          <w:rFonts w:eastAsia="Times New Roman" w:cs="Arial"/>
          <w:color w:val="000000"/>
          <w:szCs w:val="44"/>
          <w:lang w:val="en-US"/>
        </w:rPr>
        <w:t>V</w:t>
      </w:r>
      <w:r w:rsidRPr="000E074B">
        <w:rPr>
          <w:rFonts w:eastAsia="Times New Roman" w:cs="Arial"/>
          <w:color w:val="000000"/>
          <w:szCs w:val="44"/>
          <w:vertAlign w:val="subscript"/>
          <w:lang w:val="en-US"/>
        </w:rPr>
        <w:t>ss</w:t>
      </w:r>
      <w:proofErr w:type="spellEnd"/>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според модела с два отдела) при интравенозно приложение е изчислен 0,9 - 1,6 </w:t>
      </w:r>
      <w:r w:rsidRPr="000E074B">
        <w:rPr>
          <w:rFonts w:eastAsia="Times New Roman" w:cs="Arial"/>
          <w:color w:val="000000"/>
          <w:szCs w:val="44"/>
          <w:lang w:val="en-US"/>
        </w:rPr>
        <w:t>I</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телесно тегло. Общият (системен) клирънс е 0,6 -1,9 </w:t>
      </w:r>
      <w:r w:rsidRPr="000E074B">
        <w:rPr>
          <w:rFonts w:eastAsia="Times New Roman" w:cs="Arial"/>
          <w:color w:val="000000"/>
          <w:szCs w:val="44"/>
          <w:lang w:val="ru-RU"/>
        </w:rPr>
        <w:t>1/</w:t>
      </w:r>
      <w:r w:rsidRPr="000E074B">
        <w:rPr>
          <w:rFonts w:eastAsia="Times New Roman" w:cs="Arial"/>
          <w:color w:val="000000"/>
          <w:szCs w:val="44"/>
          <w:lang w:val="en-US"/>
        </w:rPr>
        <w:t>h</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val="ru-RU"/>
        </w:rPr>
        <w:t>.</w:t>
      </w:r>
    </w:p>
    <w:p w14:paraId="461EAD1C" w14:textId="77777777" w:rsidR="000E074B" w:rsidRPr="000E074B" w:rsidRDefault="000E074B" w:rsidP="000E074B">
      <w:pPr>
        <w:spacing w:line="240" w:lineRule="auto"/>
        <w:rPr>
          <w:rFonts w:eastAsia="Times New Roman" w:cs="Arial"/>
          <w:color w:val="000000"/>
          <w:szCs w:val="44"/>
          <w:u w:val="single"/>
          <w:lang w:eastAsia="bg-BG"/>
        </w:rPr>
      </w:pPr>
    </w:p>
    <w:p w14:paraId="163DF39A" w14:textId="2B2BB07E"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u w:val="single"/>
          <w:lang w:eastAsia="bg-BG"/>
        </w:rPr>
        <w:t>Свързване с протеини и разпределение</w:t>
      </w:r>
    </w:p>
    <w:p w14:paraId="61B7268C"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Нимодипин е свързан до 97-99% с плазмените протеини. Доказано е, че нимодипин преминава през плацентарната бариера при изпитвания с животни с радиоактивно маркиран [</w:t>
      </w:r>
      <w:r w:rsidRPr="000E074B">
        <w:rPr>
          <w:rFonts w:eastAsia="Times New Roman" w:cs="Arial"/>
          <w:color w:val="000000"/>
          <w:szCs w:val="44"/>
          <w:vertAlign w:val="superscript"/>
          <w:lang w:eastAsia="bg-BG"/>
        </w:rPr>
        <w:t>14</w:t>
      </w:r>
      <w:r w:rsidRPr="000E074B">
        <w:rPr>
          <w:rFonts w:eastAsia="Times New Roman" w:cs="Arial"/>
          <w:color w:val="000000"/>
          <w:szCs w:val="44"/>
          <w:lang w:eastAsia="bg-BG"/>
        </w:rPr>
        <w:t>С]- нимодипин. Въпреки липсата на данни от проучвания при хора в това отношение, може да се предположи, че нимодипин ще премине и през човешката плацента. При изпитвания с плъхове се наблюдават значително по-високи концентрации на нимодипин и/или неговите метаболити в кърмата на женските индивиди отколкото в плазмата на майките. При хора концентрациите на нимодипин установени в кърмата са със същите стойности, както в плазмата на майките. След перорално и интравенозно приложение нимодипин може да бъде открит в цереброспиналната течност в концентрации, съответстващи приблизително на 0,5% от измерените плазмени концентрации. Те съответстват приблизително на свободната концентрация в плазмата.</w:t>
      </w:r>
    </w:p>
    <w:p w14:paraId="12BB0140" w14:textId="77777777" w:rsidR="000E074B" w:rsidRPr="000E074B" w:rsidRDefault="000E074B" w:rsidP="000E074B">
      <w:pPr>
        <w:spacing w:line="240" w:lineRule="auto"/>
        <w:rPr>
          <w:rFonts w:eastAsia="Times New Roman" w:cs="Arial"/>
          <w:color w:val="000000"/>
          <w:szCs w:val="44"/>
          <w:u w:val="single"/>
          <w:lang w:eastAsia="bg-BG"/>
        </w:rPr>
      </w:pPr>
    </w:p>
    <w:p w14:paraId="4A4EAD43" w14:textId="471F3181"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u w:val="single"/>
          <w:lang w:eastAsia="bg-BG"/>
        </w:rPr>
        <w:t>Метаболизъм, отделяне и екскреция</w:t>
      </w:r>
    </w:p>
    <w:p w14:paraId="4759CC77"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Нимодипин се отделя метаболитно чрез цитохром Р450 ЗА4 система, главно чрез дехидрогениране на дихидропиридиновия пръстен и окислително естерно разграждане. Следващи важни метаболитни етапи са окислителното естерното разграждане, хидроксилиране на 2- и 6-метилови групи и глюкурониране като конюгатна реакция. Трите основни метаболита в плазмата имат или само терапевтично незначителна остатъчна активност, или никаква такава.</w:t>
      </w:r>
    </w:p>
    <w:p w14:paraId="50A0E287" w14:textId="77777777" w:rsidR="000E074B" w:rsidRPr="000E074B" w:rsidRDefault="000E074B" w:rsidP="000E074B">
      <w:pPr>
        <w:spacing w:line="240" w:lineRule="auto"/>
        <w:rPr>
          <w:rFonts w:eastAsia="Times New Roman" w:cs="Arial"/>
          <w:color w:val="000000"/>
          <w:szCs w:val="44"/>
          <w:lang w:eastAsia="bg-BG"/>
        </w:rPr>
      </w:pPr>
    </w:p>
    <w:p w14:paraId="5B05C500" w14:textId="0C73C6DE"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Ефекти върху чернодробните ензими чрез индукция или инхибиране не са известни. При хора, приблизително 50% от метаболитите се екскретират през бъбреците и 30% през жлъчката. Кинетиката на елиминиране е линейна.</w:t>
      </w:r>
    </w:p>
    <w:p w14:paraId="07636DB1"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Елиминационният полуживот на нимодипин варира между 1,1-1,7 часа. Крайният елиминационен полуживот от 5-10 часа няма връзка с установяването на интервала на дозиране.</w:t>
      </w:r>
    </w:p>
    <w:p w14:paraId="6301C077" w14:textId="777B5B7A" w:rsidR="000E074B" w:rsidRDefault="000E074B" w:rsidP="000E074B"/>
    <w:p w14:paraId="52715DAA" w14:textId="513AD79E" w:rsidR="000E074B" w:rsidRDefault="000E074B" w:rsidP="000E074B">
      <w:r>
        <w:rPr>
          <w:noProof/>
          <w:lang w:val="en-US"/>
        </w:rPr>
        <w:lastRenderedPageBreak/>
        <w:drawing>
          <wp:inline distT="0" distB="0" distL="0" distR="0" wp14:anchorId="66EEBBBC" wp14:editId="75381654">
            <wp:extent cx="4133850" cy="25553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4143219" cy="2561182"/>
                    </a:xfrm>
                    <a:prstGeom prst="rect">
                      <a:avLst/>
                    </a:prstGeom>
                  </pic:spPr>
                </pic:pic>
              </a:graphicData>
            </a:graphic>
          </wp:inline>
        </w:drawing>
      </w:r>
    </w:p>
    <w:p w14:paraId="596EB305" w14:textId="11C9C028" w:rsidR="000E074B" w:rsidRDefault="000E074B" w:rsidP="000E074B"/>
    <w:p w14:paraId="5BAF6651"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 xml:space="preserve">Криви на средни плазмени концентрации на нимодипин след перорално приложение на 30 </w:t>
      </w:r>
      <w:r w:rsidRPr="000E074B">
        <w:rPr>
          <w:rFonts w:eastAsia="Times New Roman" w:cs="Arial"/>
          <w:color w:val="000000"/>
          <w:lang w:val="en-US"/>
        </w:rPr>
        <w:t>mg</w:t>
      </w:r>
      <w:r w:rsidRPr="000E074B">
        <w:rPr>
          <w:rFonts w:eastAsia="Times New Roman" w:cs="Arial"/>
          <w:color w:val="000000"/>
          <w:lang w:val="ru-RU"/>
        </w:rPr>
        <w:t xml:space="preserve"> </w:t>
      </w:r>
      <w:r w:rsidRPr="000E074B">
        <w:rPr>
          <w:rFonts w:eastAsia="Times New Roman" w:cs="Arial"/>
          <w:color w:val="000000"/>
          <w:lang w:eastAsia="bg-BG"/>
        </w:rPr>
        <w:t xml:space="preserve">под формата на таблетка и след интравенозна инфузия на 0,015 </w:t>
      </w:r>
      <w:r w:rsidRPr="000E074B">
        <w:rPr>
          <w:rFonts w:eastAsia="Times New Roman" w:cs="Arial"/>
          <w:color w:val="000000"/>
          <w:lang w:val="en-US"/>
        </w:rPr>
        <w:t>mg</w:t>
      </w:r>
      <w:r w:rsidRPr="000E074B">
        <w:rPr>
          <w:rFonts w:eastAsia="Times New Roman" w:cs="Arial"/>
          <w:color w:val="000000"/>
          <w:lang w:val="ru-RU"/>
        </w:rPr>
        <w:t>/</w:t>
      </w:r>
      <w:r w:rsidRPr="000E074B">
        <w:rPr>
          <w:rFonts w:eastAsia="Times New Roman" w:cs="Arial"/>
          <w:color w:val="000000"/>
          <w:lang w:val="en-US"/>
        </w:rPr>
        <w:t>kg</w:t>
      </w:r>
      <w:r w:rsidRPr="000E074B">
        <w:rPr>
          <w:rFonts w:eastAsia="Times New Roman" w:cs="Arial"/>
          <w:color w:val="000000"/>
          <w:lang w:val="ru-RU"/>
        </w:rPr>
        <w:t xml:space="preserve"> </w:t>
      </w:r>
      <w:r w:rsidRPr="000E074B">
        <w:rPr>
          <w:rFonts w:eastAsia="Times New Roman" w:cs="Arial"/>
          <w:color w:val="000000"/>
          <w:lang w:eastAsia="bg-BG"/>
        </w:rPr>
        <w:t>за 1 час (</w:t>
      </w:r>
      <w:r w:rsidRPr="000E074B">
        <w:rPr>
          <w:rFonts w:eastAsia="Times New Roman" w:cs="Arial"/>
          <w:color w:val="000000"/>
          <w:lang w:val="en-US"/>
        </w:rPr>
        <w:t>n</w:t>
      </w:r>
      <w:r w:rsidRPr="000E074B">
        <w:rPr>
          <w:rFonts w:eastAsia="Times New Roman" w:cs="Arial"/>
          <w:color w:val="000000"/>
          <w:lang w:eastAsia="bg-BG"/>
        </w:rPr>
        <w:t>=24, доброволци в старческа възраст).</w:t>
      </w:r>
    </w:p>
    <w:p w14:paraId="2CD67DD9" w14:textId="77777777" w:rsidR="000E074B" w:rsidRPr="000E074B" w:rsidRDefault="000E074B" w:rsidP="000E074B">
      <w:pPr>
        <w:spacing w:line="240" w:lineRule="auto"/>
        <w:rPr>
          <w:rFonts w:eastAsia="Times New Roman" w:cs="Arial"/>
          <w:color w:val="000000"/>
          <w:u w:val="single"/>
          <w:lang w:eastAsia="bg-BG"/>
        </w:rPr>
      </w:pPr>
    </w:p>
    <w:p w14:paraId="72F51AD9" w14:textId="567DA2AC" w:rsidR="000E074B" w:rsidRPr="000E074B" w:rsidRDefault="000E074B" w:rsidP="000E074B">
      <w:pPr>
        <w:pStyle w:val="Heading3"/>
        <w:rPr>
          <w:rFonts w:eastAsia="Times New Roman"/>
          <w:u w:val="single"/>
        </w:rPr>
      </w:pPr>
      <w:r w:rsidRPr="000E074B">
        <w:rPr>
          <w:rFonts w:eastAsia="Times New Roman"/>
          <w:u w:val="single"/>
          <w:lang w:eastAsia="bg-BG"/>
        </w:rPr>
        <w:t>Бионаличност</w:t>
      </w:r>
    </w:p>
    <w:p w14:paraId="4013E67A"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Поради продължителния метаболизъм на първо преминаване (около 85-95%), абсолютната бионаличност е 5-15%.</w:t>
      </w:r>
    </w:p>
    <w:p w14:paraId="03DD7E99" w14:textId="77777777" w:rsidR="000E074B" w:rsidRPr="000E074B" w:rsidRDefault="000E074B" w:rsidP="000E074B"/>
    <w:p w14:paraId="028E658A" w14:textId="00096C6E" w:rsidR="00395555" w:rsidRDefault="002C50EE" w:rsidP="008A6AF2">
      <w:pPr>
        <w:pStyle w:val="Heading2"/>
      </w:pPr>
      <w:r>
        <w:t>5.3. Предклинични данни за безопасност</w:t>
      </w:r>
    </w:p>
    <w:p w14:paraId="049166F2" w14:textId="5927011E" w:rsidR="000E074B" w:rsidRDefault="000E074B" w:rsidP="000E074B"/>
    <w:p w14:paraId="717154A7"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Предклиничните данни от конвенционални проучвания за токсичност след еднократни и многократни дози, репродуктивна токсичност, генотоксичност и канцерогенен потенциал не показват какъвто и да е особен риск при хората.</w:t>
      </w:r>
    </w:p>
    <w:p w14:paraId="23C981F5" w14:textId="77777777" w:rsidR="000E074B" w:rsidRPr="000E074B" w:rsidRDefault="000E074B" w:rsidP="000E074B">
      <w:pPr>
        <w:spacing w:line="240" w:lineRule="auto"/>
        <w:rPr>
          <w:rFonts w:eastAsia="Times New Roman" w:cs="Arial"/>
        </w:rPr>
      </w:pPr>
      <w:r w:rsidRPr="000E074B">
        <w:rPr>
          <w:rFonts w:eastAsia="Times New Roman" w:cs="Arial"/>
          <w:color w:val="000000"/>
          <w:lang w:eastAsia="bg-BG"/>
        </w:rPr>
        <w:t xml:space="preserve">При бременни плъхове, дози от 30 </w:t>
      </w:r>
      <w:r w:rsidRPr="000E074B">
        <w:rPr>
          <w:rFonts w:eastAsia="Times New Roman" w:cs="Arial"/>
          <w:color w:val="000000"/>
          <w:lang w:val="en-US"/>
        </w:rPr>
        <w:t>mg</w:t>
      </w:r>
      <w:r w:rsidRPr="000E074B">
        <w:rPr>
          <w:rFonts w:eastAsia="Times New Roman" w:cs="Arial"/>
          <w:color w:val="000000"/>
          <w:lang w:val="ru-RU"/>
        </w:rPr>
        <w:t>/</w:t>
      </w:r>
      <w:r w:rsidRPr="000E074B">
        <w:rPr>
          <w:rFonts w:eastAsia="Times New Roman" w:cs="Arial"/>
          <w:color w:val="000000"/>
          <w:lang w:val="en-US"/>
        </w:rPr>
        <w:t>kg</w:t>
      </w:r>
      <w:r w:rsidRPr="000E074B">
        <w:rPr>
          <w:rFonts w:eastAsia="Times New Roman" w:cs="Arial"/>
          <w:color w:val="000000"/>
          <w:lang w:eastAsia="bg-BG"/>
        </w:rPr>
        <w:t xml:space="preserve">/дневно и по-високи потискат ембрионалния растеж и водят до намалено ембрионално тегло. При дози от 100 </w:t>
      </w:r>
      <w:r w:rsidRPr="000E074B">
        <w:rPr>
          <w:rFonts w:eastAsia="Times New Roman" w:cs="Arial"/>
          <w:color w:val="000000"/>
          <w:lang w:val="en-US"/>
        </w:rPr>
        <w:t>mg</w:t>
      </w:r>
      <w:r w:rsidRPr="000E074B">
        <w:rPr>
          <w:rFonts w:eastAsia="Times New Roman" w:cs="Arial"/>
          <w:color w:val="000000"/>
          <w:lang w:val="ru-RU"/>
        </w:rPr>
        <w:t>/</w:t>
      </w:r>
      <w:r w:rsidRPr="000E074B">
        <w:rPr>
          <w:rFonts w:eastAsia="Times New Roman" w:cs="Arial"/>
          <w:color w:val="000000"/>
          <w:lang w:val="en-US"/>
        </w:rPr>
        <w:t>kg</w:t>
      </w:r>
      <w:r w:rsidRPr="000E074B">
        <w:rPr>
          <w:rFonts w:eastAsia="Times New Roman" w:cs="Arial"/>
          <w:color w:val="000000"/>
          <w:lang w:eastAsia="bg-BG"/>
        </w:rPr>
        <w:t xml:space="preserve">/дневно се наблюдава ембрионална смъртност. Не са наблюдавани тератогенни ефекти. При зайци не се наблюдава ембриотоксичност и тератогенност при дози до 10 </w:t>
      </w:r>
      <w:r w:rsidRPr="000E074B">
        <w:rPr>
          <w:rFonts w:eastAsia="Times New Roman" w:cs="Arial"/>
          <w:color w:val="000000"/>
          <w:lang w:val="en-US"/>
        </w:rPr>
        <w:t>mg</w:t>
      </w:r>
      <w:r w:rsidRPr="000E074B">
        <w:rPr>
          <w:rFonts w:eastAsia="Times New Roman" w:cs="Arial"/>
          <w:color w:val="000000"/>
          <w:lang w:val="ru-RU"/>
        </w:rPr>
        <w:t>/</w:t>
      </w:r>
      <w:r w:rsidRPr="000E074B">
        <w:rPr>
          <w:rFonts w:eastAsia="Times New Roman" w:cs="Arial"/>
          <w:color w:val="000000"/>
          <w:lang w:val="en-US"/>
        </w:rPr>
        <w:t>kg</w:t>
      </w:r>
      <w:r w:rsidRPr="000E074B">
        <w:rPr>
          <w:rFonts w:eastAsia="Times New Roman" w:cs="Arial"/>
          <w:color w:val="000000"/>
          <w:lang w:eastAsia="bg-BG"/>
        </w:rPr>
        <w:t xml:space="preserve">/дневно. В едно пери- постнатално проучване при плъхове, са наблюдавани смъртност и забавено физическо развитие при дози от 10 </w:t>
      </w:r>
      <w:r w:rsidRPr="000E074B">
        <w:rPr>
          <w:rFonts w:eastAsia="Times New Roman" w:cs="Arial"/>
          <w:color w:val="000000"/>
          <w:lang w:val="en-US"/>
        </w:rPr>
        <w:t>mg</w:t>
      </w:r>
      <w:r w:rsidRPr="000E074B">
        <w:rPr>
          <w:rFonts w:eastAsia="Times New Roman" w:cs="Arial"/>
          <w:color w:val="000000"/>
          <w:lang w:val="ru-RU"/>
        </w:rPr>
        <w:t>/</w:t>
      </w:r>
      <w:r w:rsidRPr="000E074B">
        <w:rPr>
          <w:rFonts w:eastAsia="Times New Roman" w:cs="Arial"/>
          <w:color w:val="000000"/>
          <w:lang w:val="en-US"/>
        </w:rPr>
        <w:t>kg</w:t>
      </w:r>
      <w:r w:rsidRPr="000E074B">
        <w:rPr>
          <w:rFonts w:eastAsia="Times New Roman" w:cs="Arial"/>
          <w:color w:val="000000"/>
          <w:lang w:eastAsia="bg-BG"/>
        </w:rPr>
        <w:t>/дневно и по-високи. Тези данни не са потвърдени от други проведени проучвания.</w:t>
      </w:r>
    </w:p>
    <w:p w14:paraId="0D5A4AED" w14:textId="77777777" w:rsidR="000E074B" w:rsidRPr="000E074B" w:rsidRDefault="000E074B" w:rsidP="000E074B">
      <w:pPr>
        <w:spacing w:line="240" w:lineRule="auto"/>
        <w:rPr>
          <w:rFonts w:eastAsia="Times New Roman" w:cs="Arial"/>
          <w:b/>
          <w:bCs/>
          <w:color w:val="000000"/>
          <w:lang w:eastAsia="bg-BG"/>
        </w:rPr>
      </w:pPr>
    </w:p>
    <w:p w14:paraId="048B4E14" w14:textId="5EEEE1D3" w:rsidR="000E074B" w:rsidRPr="000E074B" w:rsidRDefault="000E074B" w:rsidP="000E074B">
      <w:pPr>
        <w:spacing w:line="240" w:lineRule="auto"/>
        <w:rPr>
          <w:rFonts w:eastAsia="Times New Roman" w:cs="Arial"/>
        </w:rPr>
      </w:pPr>
      <w:r w:rsidRPr="000E074B">
        <w:rPr>
          <w:rFonts w:eastAsia="Times New Roman" w:cs="Arial"/>
          <w:b/>
          <w:bCs/>
          <w:color w:val="000000"/>
          <w:lang w:eastAsia="bg-BG"/>
        </w:rPr>
        <w:t>Токсикологични свойства</w:t>
      </w:r>
    </w:p>
    <w:p w14:paraId="7CD2DF88" w14:textId="77777777" w:rsidR="000E074B" w:rsidRPr="000E074B" w:rsidRDefault="000E074B" w:rsidP="000E074B">
      <w:pPr>
        <w:spacing w:line="240" w:lineRule="auto"/>
        <w:rPr>
          <w:rFonts w:eastAsia="Times New Roman" w:cs="Arial"/>
          <w:color w:val="000000"/>
          <w:lang w:eastAsia="bg-BG"/>
        </w:rPr>
      </w:pPr>
    </w:p>
    <w:p w14:paraId="6F3EFFF9" w14:textId="5BF90F75" w:rsidR="000E074B" w:rsidRPr="000E074B" w:rsidRDefault="000E074B" w:rsidP="000E074B">
      <w:pPr>
        <w:spacing w:line="240" w:lineRule="auto"/>
        <w:rPr>
          <w:rFonts w:eastAsia="Times New Roman" w:cs="Arial"/>
        </w:rPr>
      </w:pPr>
      <w:r w:rsidRPr="000E074B">
        <w:rPr>
          <w:rFonts w:eastAsia="Times New Roman" w:cs="Arial"/>
          <w:color w:val="000000"/>
          <w:lang w:eastAsia="bg-BG"/>
        </w:rPr>
        <w:t>Таблица 2: Остра токсичност</w:t>
      </w:r>
    </w:p>
    <w:tbl>
      <w:tblPr>
        <w:tblStyle w:val="TableGrid"/>
        <w:tblW w:w="0" w:type="auto"/>
        <w:tblLook w:val="04A0" w:firstRow="1" w:lastRow="0" w:firstColumn="1" w:lastColumn="0" w:noHBand="0" w:noVBand="1"/>
      </w:tblPr>
      <w:tblGrid>
        <w:gridCol w:w="1832"/>
        <w:gridCol w:w="1828"/>
        <w:gridCol w:w="1892"/>
        <w:gridCol w:w="1906"/>
        <w:gridCol w:w="1892"/>
      </w:tblGrid>
      <w:tr w:rsidR="000E074B" w14:paraId="39EF8B62" w14:textId="77777777" w:rsidTr="000E074B">
        <w:tc>
          <w:tcPr>
            <w:tcW w:w="1915" w:type="dxa"/>
          </w:tcPr>
          <w:p w14:paraId="3BA80939" w14:textId="42681D3A" w:rsidR="000E074B" w:rsidRPr="000E074B" w:rsidRDefault="000E074B" w:rsidP="000E074B">
            <w:r w:rsidRPr="000E074B">
              <w:rPr>
                <w:b/>
                <w:bCs/>
                <w:szCs w:val="44"/>
              </w:rPr>
              <w:t>Видове</w:t>
            </w:r>
          </w:p>
        </w:tc>
        <w:tc>
          <w:tcPr>
            <w:tcW w:w="1915" w:type="dxa"/>
          </w:tcPr>
          <w:p w14:paraId="38769E75" w14:textId="2F3623DF" w:rsidR="000E074B" w:rsidRPr="000E074B" w:rsidRDefault="000E074B" w:rsidP="000E074B">
            <w:r w:rsidRPr="000E074B">
              <w:rPr>
                <w:b/>
                <w:bCs/>
                <w:szCs w:val="44"/>
              </w:rPr>
              <w:t>Пол</w:t>
            </w:r>
          </w:p>
        </w:tc>
        <w:tc>
          <w:tcPr>
            <w:tcW w:w="1915" w:type="dxa"/>
          </w:tcPr>
          <w:p w14:paraId="39A9C4AC" w14:textId="4B0AF33C" w:rsidR="000E074B" w:rsidRPr="000E074B" w:rsidRDefault="000E074B" w:rsidP="000E074B">
            <w:r w:rsidRPr="000E074B">
              <w:rPr>
                <w:b/>
                <w:bCs/>
                <w:szCs w:val="44"/>
              </w:rPr>
              <w:t>Път на приложение</w:t>
            </w:r>
          </w:p>
        </w:tc>
        <w:tc>
          <w:tcPr>
            <w:tcW w:w="1915" w:type="dxa"/>
          </w:tcPr>
          <w:p w14:paraId="40EACFFA" w14:textId="7E221ABC" w:rsidR="000E074B" w:rsidRPr="000E074B" w:rsidRDefault="000E074B" w:rsidP="000E074B">
            <w:r w:rsidRPr="000E074B">
              <w:rPr>
                <w:b/>
                <w:bCs/>
                <w:szCs w:val="44"/>
                <w:lang w:val="en-US"/>
              </w:rPr>
              <w:t>LD50 mg/kg</w:t>
            </w:r>
          </w:p>
        </w:tc>
        <w:tc>
          <w:tcPr>
            <w:tcW w:w="1916" w:type="dxa"/>
          </w:tcPr>
          <w:p w14:paraId="0B398D54" w14:textId="7D68AB9C" w:rsidR="000E074B" w:rsidRPr="000E074B" w:rsidRDefault="000E074B" w:rsidP="000E074B">
            <w:r w:rsidRPr="000E074B">
              <w:rPr>
                <w:b/>
                <w:bCs/>
                <w:szCs w:val="44"/>
              </w:rPr>
              <w:t>Доверителен интервал за р&lt;0.05</w:t>
            </w:r>
          </w:p>
        </w:tc>
      </w:tr>
      <w:tr w:rsidR="000E074B" w14:paraId="3DAF445A" w14:textId="77777777" w:rsidTr="000E074B">
        <w:tc>
          <w:tcPr>
            <w:tcW w:w="1915" w:type="dxa"/>
          </w:tcPr>
          <w:p w14:paraId="35C30D76" w14:textId="338C6FB1" w:rsidR="000E074B" w:rsidRPr="000E074B" w:rsidRDefault="000E074B" w:rsidP="000E074B">
            <w:r w:rsidRPr="000E074B">
              <w:rPr>
                <w:szCs w:val="44"/>
              </w:rPr>
              <w:t>Мишка</w:t>
            </w:r>
          </w:p>
        </w:tc>
        <w:tc>
          <w:tcPr>
            <w:tcW w:w="1915" w:type="dxa"/>
          </w:tcPr>
          <w:p w14:paraId="16E84010" w14:textId="2DA5A20F" w:rsidR="000E074B" w:rsidRPr="000E074B" w:rsidRDefault="000E074B" w:rsidP="000E074B">
            <w:r w:rsidRPr="000E074B">
              <w:rPr>
                <w:szCs w:val="44"/>
              </w:rPr>
              <w:t>Мъжки</w:t>
            </w:r>
          </w:p>
        </w:tc>
        <w:tc>
          <w:tcPr>
            <w:tcW w:w="1915" w:type="dxa"/>
          </w:tcPr>
          <w:p w14:paraId="66EE5145" w14:textId="4646DB3C" w:rsidR="000E074B" w:rsidRPr="000E074B" w:rsidRDefault="000E074B" w:rsidP="000E074B">
            <w:r w:rsidRPr="000E074B">
              <w:rPr>
                <w:szCs w:val="44"/>
              </w:rPr>
              <w:t>Перорален</w:t>
            </w:r>
          </w:p>
        </w:tc>
        <w:tc>
          <w:tcPr>
            <w:tcW w:w="1915" w:type="dxa"/>
          </w:tcPr>
          <w:p w14:paraId="5FB0AB64" w14:textId="27557912" w:rsidR="000E074B" w:rsidRPr="000E074B" w:rsidRDefault="000E074B" w:rsidP="000E074B">
            <w:r w:rsidRPr="000E074B">
              <w:rPr>
                <w:szCs w:val="44"/>
              </w:rPr>
              <w:t>3562</w:t>
            </w:r>
          </w:p>
        </w:tc>
        <w:tc>
          <w:tcPr>
            <w:tcW w:w="1916" w:type="dxa"/>
          </w:tcPr>
          <w:p w14:paraId="17AC07AD" w14:textId="15126D13" w:rsidR="000E074B" w:rsidRPr="000E074B" w:rsidRDefault="000E074B" w:rsidP="000E074B">
            <w:r w:rsidRPr="000E074B">
              <w:rPr>
                <w:szCs w:val="44"/>
              </w:rPr>
              <w:t>(2746-4417)</w:t>
            </w:r>
          </w:p>
        </w:tc>
      </w:tr>
      <w:tr w:rsidR="000E074B" w14:paraId="405366F1" w14:textId="77777777" w:rsidTr="000E074B">
        <w:tc>
          <w:tcPr>
            <w:tcW w:w="1915" w:type="dxa"/>
          </w:tcPr>
          <w:p w14:paraId="07DDF5A2" w14:textId="7EEF3AF4" w:rsidR="000E074B" w:rsidRPr="000E074B" w:rsidRDefault="000E074B" w:rsidP="000E074B">
            <w:r w:rsidRPr="000E074B">
              <w:rPr>
                <w:szCs w:val="44"/>
              </w:rPr>
              <w:t>Мишка</w:t>
            </w:r>
          </w:p>
        </w:tc>
        <w:tc>
          <w:tcPr>
            <w:tcW w:w="1915" w:type="dxa"/>
          </w:tcPr>
          <w:p w14:paraId="6924FF85" w14:textId="3AB5A6AA" w:rsidR="000E074B" w:rsidRPr="000E074B" w:rsidRDefault="000E074B" w:rsidP="000E074B">
            <w:r w:rsidRPr="000E074B">
              <w:rPr>
                <w:szCs w:val="44"/>
              </w:rPr>
              <w:t>Мъжки</w:t>
            </w:r>
          </w:p>
        </w:tc>
        <w:tc>
          <w:tcPr>
            <w:tcW w:w="1915" w:type="dxa"/>
          </w:tcPr>
          <w:p w14:paraId="4B6B8FF2" w14:textId="65C7A3B1" w:rsidR="000E074B" w:rsidRPr="000E074B" w:rsidRDefault="000E074B" w:rsidP="000E074B">
            <w:r w:rsidRPr="000E074B">
              <w:rPr>
                <w:szCs w:val="44"/>
              </w:rPr>
              <w:t>Интравенозен</w:t>
            </w:r>
          </w:p>
        </w:tc>
        <w:tc>
          <w:tcPr>
            <w:tcW w:w="1915" w:type="dxa"/>
          </w:tcPr>
          <w:p w14:paraId="787E0FB3" w14:textId="36DFB8A2" w:rsidR="000E074B" w:rsidRPr="000E074B" w:rsidRDefault="000E074B" w:rsidP="000E074B">
            <w:r w:rsidRPr="000E074B">
              <w:rPr>
                <w:szCs w:val="44"/>
              </w:rPr>
              <w:t>33</w:t>
            </w:r>
          </w:p>
        </w:tc>
        <w:tc>
          <w:tcPr>
            <w:tcW w:w="1916" w:type="dxa"/>
          </w:tcPr>
          <w:p w14:paraId="172D4F99" w14:textId="3FBAF7F1" w:rsidR="000E074B" w:rsidRPr="000E074B" w:rsidRDefault="000E074B" w:rsidP="000E074B">
            <w:r w:rsidRPr="000E074B">
              <w:rPr>
                <w:szCs w:val="44"/>
              </w:rPr>
              <w:t>(28-38)</w:t>
            </w:r>
          </w:p>
        </w:tc>
      </w:tr>
      <w:tr w:rsidR="000E074B" w14:paraId="707D7480" w14:textId="77777777" w:rsidTr="000E074B">
        <w:tc>
          <w:tcPr>
            <w:tcW w:w="1915" w:type="dxa"/>
          </w:tcPr>
          <w:p w14:paraId="5AA0F488" w14:textId="02C6B145" w:rsidR="000E074B" w:rsidRPr="000E074B" w:rsidRDefault="000E074B" w:rsidP="000E074B">
            <w:r w:rsidRPr="000E074B">
              <w:rPr>
                <w:szCs w:val="44"/>
              </w:rPr>
              <w:t>Плъх</w:t>
            </w:r>
          </w:p>
        </w:tc>
        <w:tc>
          <w:tcPr>
            <w:tcW w:w="1915" w:type="dxa"/>
          </w:tcPr>
          <w:p w14:paraId="6BD1DC19" w14:textId="1B8B59F1" w:rsidR="000E074B" w:rsidRPr="000E074B" w:rsidRDefault="000E074B" w:rsidP="000E074B">
            <w:r w:rsidRPr="000E074B">
              <w:rPr>
                <w:szCs w:val="44"/>
              </w:rPr>
              <w:t>Мъжки</w:t>
            </w:r>
          </w:p>
        </w:tc>
        <w:tc>
          <w:tcPr>
            <w:tcW w:w="1915" w:type="dxa"/>
          </w:tcPr>
          <w:p w14:paraId="6CF58AFD" w14:textId="4C063D08" w:rsidR="000E074B" w:rsidRPr="000E074B" w:rsidRDefault="000E074B" w:rsidP="000E074B">
            <w:r w:rsidRPr="000E074B">
              <w:rPr>
                <w:szCs w:val="44"/>
              </w:rPr>
              <w:t>Перорален</w:t>
            </w:r>
          </w:p>
        </w:tc>
        <w:tc>
          <w:tcPr>
            <w:tcW w:w="1915" w:type="dxa"/>
          </w:tcPr>
          <w:p w14:paraId="22E1F8EF" w14:textId="26603B84" w:rsidR="000E074B" w:rsidRPr="000E074B" w:rsidRDefault="000E074B" w:rsidP="000E074B">
            <w:r w:rsidRPr="000E074B">
              <w:rPr>
                <w:szCs w:val="44"/>
              </w:rPr>
              <w:t>6599</w:t>
            </w:r>
          </w:p>
        </w:tc>
        <w:tc>
          <w:tcPr>
            <w:tcW w:w="1916" w:type="dxa"/>
          </w:tcPr>
          <w:p w14:paraId="5217A763" w14:textId="54D80819" w:rsidR="000E074B" w:rsidRPr="000E074B" w:rsidRDefault="000E074B" w:rsidP="000E074B">
            <w:r w:rsidRPr="000E074B">
              <w:rPr>
                <w:szCs w:val="44"/>
              </w:rPr>
              <w:t>(5118-10003)</w:t>
            </w:r>
          </w:p>
        </w:tc>
      </w:tr>
      <w:tr w:rsidR="000E074B" w14:paraId="464C92B6" w14:textId="77777777" w:rsidTr="000E074B">
        <w:tc>
          <w:tcPr>
            <w:tcW w:w="1915" w:type="dxa"/>
          </w:tcPr>
          <w:p w14:paraId="17EB5627" w14:textId="7EBB9C6B" w:rsidR="000E074B" w:rsidRPr="000E074B" w:rsidRDefault="000E074B" w:rsidP="000E074B">
            <w:r w:rsidRPr="000E074B">
              <w:rPr>
                <w:szCs w:val="44"/>
              </w:rPr>
              <w:t>Плъх</w:t>
            </w:r>
          </w:p>
        </w:tc>
        <w:tc>
          <w:tcPr>
            <w:tcW w:w="1915" w:type="dxa"/>
          </w:tcPr>
          <w:p w14:paraId="3A54CF30" w14:textId="7E6C9FF1" w:rsidR="000E074B" w:rsidRPr="000E074B" w:rsidRDefault="000E074B" w:rsidP="000E074B">
            <w:r w:rsidRPr="000E074B">
              <w:rPr>
                <w:szCs w:val="44"/>
              </w:rPr>
              <w:t>Мъжки</w:t>
            </w:r>
          </w:p>
        </w:tc>
        <w:tc>
          <w:tcPr>
            <w:tcW w:w="1915" w:type="dxa"/>
          </w:tcPr>
          <w:p w14:paraId="629D470B" w14:textId="2840D01F" w:rsidR="000E074B" w:rsidRPr="000E074B" w:rsidRDefault="000E074B" w:rsidP="000E074B">
            <w:r w:rsidRPr="000E074B">
              <w:rPr>
                <w:szCs w:val="44"/>
              </w:rPr>
              <w:t>Интравенозен</w:t>
            </w:r>
          </w:p>
        </w:tc>
        <w:tc>
          <w:tcPr>
            <w:tcW w:w="1915" w:type="dxa"/>
          </w:tcPr>
          <w:p w14:paraId="46BB4C55" w14:textId="597CFA92" w:rsidR="000E074B" w:rsidRPr="000E074B" w:rsidRDefault="000E074B" w:rsidP="000E074B">
            <w:r w:rsidRPr="000E074B">
              <w:rPr>
                <w:szCs w:val="44"/>
              </w:rPr>
              <w:t>16</w:t>
            </w:r>
          </w:p>
        </w:tc>
        <w:tc>
          <w:tcPr>
            <w:tcW w:w="1916" w:type="dxa"/>
          </w:tcPr>
          <w:p w14:paraId="1A6C42D5" w14:textId="2AA58D8E" w:rsidR="000E074B" w:rsidRPr="000E074B" w:rsidRDefault="000E074B" w:rsidP="000E074B">
            <w:r w:rsidRPr="000E074B">
              <w:rPr>
                <w:szCs w:val="44"/>
              </w:rPr>
              <w:t>(14-18)</w:t>
            </w:r>
          </w:p>
        </w:tc>
      </w:tr>
      <w:tr w:rsidR="000E074B" w14:paraId="05125568" w14:textId="77777777" w:rsidTr="000E074B">
        <w:trPr>
          <w:trHeight w:val="70"/>
        </w:trPr>
        <w:tc>
          <w:tcPr>
            <w:tcW w:w="1915" w:type="dxa"/>
          </w:tcPr>
          <w:p w14:paraId="02A525D7" w14:textId="2C34443F" w:rsidR="000E074B" w:rsidRPr="000E074B" w:rsidRDefault="000E074B" w:rsidP="000E074B">
            <w:r w:rsidRPr="000E074B">
              <w:rPr>
                <w:szCs w:val="44"/>
              </w:rPr>
              <w:lastRenderedPageBreak/>
              <w:t>Заек</w:t>
            </w:r>
          </w:p>
        </w:tc>
        <w:tc>
          <w:tcPr>
            <w:tcW w:w="1915" w:type="dxa"/>
          </w:tcPr>
          <w:p w14:paraId="14A954CB" w14:textId="6C2AFF8C" w:rsidR="000E074B" w:rsidRPr="000E074B" w:rsidRDefault="000E074B" w:rsidP="000E074B">
            <w:r w:rsidRPr="000E074B">
              <w:rPr>
                <w:szCs w:val="44"/>
              </w:rPr>
              <w:t>Женски</w:t>
            </w:r>
          </w:p>
        </w:tc>
        <w:tc>
          <w:tcPr>
            <w:tcW w:w="1915" w:type="dxa"/>
          </w:tcPr>
          <w:p w14:paraId="3F269F41" w14:textId="489A95D2" w:rsidR="000E074B" w:rsidRPr="000E074B" w:rsidRDefault="000E074B" w:rsidP="000E074B">
            <w:r w:rsidRPr="000E074B">
              <w:rPr>
                <w:szCs w:val="44"/>
              </w:rPr>
              <w:t>Перорален</w:t>
            </w:r>
          </w:p>
        </w:tc>
        <w:tc>
          <w:tcPr>
            <w:tcW w:w="1915" w:type="dxa"/>
          </w:tcPr>
          <w:p w14:paraId="47B8513C" w14:textId="6D726BC8" w:rsidR="000E074B" w:rsidRPr="000E074B" w:rsidRDefault="000E074B" w:rsidP="000E074B">
            <w:r w:rsidRPr="000E074B">
              <w:rPr>
                <w:szCs w:val="44"/>
              </w:rPr>
              <w:t>Приблизително 5000</w:t>
            </w:r>
          </w:p>
        </w:tc>
        <w:tc>
          <w:tcPr>
            <w:tcW w:w="1916" w:type="dxa"/>
          </w:tcPr>
          <w:p w14:paraId="051155B9" w14:textId="77777777" w:rsidR="000E074B" w:rsidRPr="000E074B" w:rsidRDefault="000E074B" w:rsidP="000E074B"/>
        </w:tc>
      </w:tr>
      <w:tr w:rsidR="000E074B" w14:paraId="5EFF1E3E" w14:textId="77777777" w:rsidTr="000E074B">
        <w:tc>
          <w:tcPr>
            <w:tcW w:w="1915" w:type="dxa"/>
          </w:tcPr>
          <w:p w14:paraId="2B6316ED" w14:textId="440A164F" w:rsidR="000E074B" w:rsidRPr="000E074B" w:rsidRDefault="000E074B" w:rsidP="000E074B">
            <w:r w:rsidRPr="000E074B">
              <w:rPr>
                <w:szCs w:val="44"/>
              </w:rPr>
              <w:t>Заек</w:t>
            </w:r>
          </w:p>
        </w:tc>
        <w:tc>
          <w:tcPr>
            <w:tcW w:w="1915" w:type="dxa"/>
          </w:tcPr>
          <w:p w14:paraId="13735904" w14:textId="5206B5E1" w:rsidR="000E074B" w:rsidRPr="000E074B" w:rsidRDefault="000E074B" w:rsidP="000E074B">
            <w:r w:rsidRPr="000E074B">
              <w:rPr>
                <w:szCs w:val="44"/>
              </w:rPr>
              <w:t>Женски</w:t>
            </w:r>
          </w:p>
        </w:tc>
        <w:tc>
          <w:tcPr>
            <w:tcW w:w="1915" w:type="dxa"/>
          </w:tcPr>
          <w:p w14:paraId="4B2ABCE7" w14:textId="667C6921" w:rsidR="000E074B" w:rsidRPr="000E074B" w:rsidRDefault="000E074B" w:rsidP="000E074B">
            <w:r w:rsidRPr="000E074B">
              <w:rPr>
                <w:szCs w:val="44"/>
              </w:rPr>
              <w:t>Интравенозен</w:t>
            </w:r>
          </w:p>
        </w:tc>
        <w:tc>
          <w:tcPr>
            <w:tcW w:w="1915" w:type="dxa"/>
          </w:tcPr>
          <w:p w14:paraId="419DCA93" w14:textId="4DDA0283" w:rsidR="000E074B" w:rsidRPr="000E074B" w:rsidRDefault="000E074B" w:rsidP="000E074B">
            <w:r w:rsidRPr="000E074B">
              <w:rPr>
                <w:szCs w:val="44"/>
              </w:rPr>
              <w:t>Приблизително 2.5</w:t>
            </w:r>
          </w:p>
        </w:tc>
        <w:tc>
          <w:tcPr>
            <w:tcW w:w="1916" w:type="dxa"/>
          </w:tcPr>
          <w:p w14:paraId="5D714F61" w14:textId="77777777" w:rsidR="000E074B" w:rsidRPr="000E074B" w:rsidRDefault="000E074B" w:rsidP="000E074B"/>
        </w:tc>
      </w:tr>
      <w:tr w:rsidR="000E074B" w14:paraId="0B7EE172" w14:textId="77777777" w:rsidTr="000E074B">
        <w:tc>
          <w:tcPr>
            <w:tcW w:w="1915" w:type="dxa"/>
          </w:tcPr>
          <w:p w14:paraId="7C3820D6" w14:textId="3F9F282B" w:rsidR="000E074B" w:rsidRPr="000E074B" w:rsidRDefault="000E074B" w:rsidP="000E074B">
            <w:r w:rsidRPr="000E074B">
              <w:rPr>
                <w:szCs w:val="44"/>
              </w:rPr>
              <w:t>Куче</w:t>
            </w:r>
          </w:p>
        </w:tc>
        <w:tc>
          <w:tcPr>
            <w:tcW w:w="1915" w:type="dxa"/>
          </w:tcPr>
          <w:p w14:paraId="1050BCAA" w14:textId="57D4C586" w:rsidR="000E074B" w:rsidRPr="000E074B" w:rsidRDefault="000E074B" w:rsidP="000E074B">
            <w:r w:rsidRPr="000E074B">
              <w:rPr>
                <w:szCs w:val="44"/>
              </w:rPr>
              <w:t>Мъжки и женски</w:t>
            </w:r>
          </w:p>
        </w:tc>
        <w:tc>
          <w:tcPr>
            <w:tcW w:w="1915" w:type="dxa"/>
          </w:tcPr>
          <w:p w14:paraId="0462703F" w14:textId="18AA7F99" w:rsidR="000E074B" w:rsidRPr="000E074B" w:rsidRDefault="000E074B" w:rsidP="000E074B">
            <w:r w:rsidRPr="000E074B">
              <w:rPr>
                <w:szCs w:val="44"/>
              </w:rPr>
              <w:t>Перорален</w:t>
            </w:r>
          </w:p>
        </w:tc>
        <w:tc>
          <w:tcPr>
            <w:tcW w:w="1915" w:type="dxa"/>
          </w:tcPr>
          <w:p w14:paraId="4F78D3FD" w14:textId="5FEDC2DB" w:rsidR="000E074B" w:rsidRPr="000E074B" w:rsidRDefault="000E074B" w:rsidP="000E074B">
            <w:r w:rsidRPr="000E074B">
              <w:rPr>
                <w:szCs w:val="44"/>
              </w:rPr>
              <w:t>Между 1000 и 2000</w:t>
            </w:r>
          </w:p>
        </w:tc>
        <w:tc>
          <w:tcPr>
            <w:tcW w:w="1916" w:type="dxa"/>
          </w:tcPr>
          <w:p w14:paraId="6969661A" w14:textId="77777777" w:rsidR="000E074B" w:rsidRPr="000E074B" w:rsidRDefault="000E074B" w:rsidP="000E074B"/>
        </w:tc>
      </w:tr>
      <w:tr w:rsidR="000E074B" w14:paraId="6801B7D0" w14:textId="77777777" w:rsidTr="000E074B">
        <w:tc>
          <w:tcPr>
            <w:tcW w:w="1915" w:type="dxa"/>
          </w:tcPr>
          <w:p w14:paraId="1D9B7868" w14:textId="3F594731" w:rsidR="000E074B" w:rsidRPr="000E074B" w:rsidRDefault="000E074B" w:rsidP="000E074B">
            <w:r w:rsidRPr="000E074B">
              <w:rPr>
                <w:szCs w:val="44"/>
              </w:rPr>
              <w:t>Куче</w:t>
            </w:r>
          </w:p>
        </w:tc>
        <w:tc>
          <w:tcPr>
            <w:tcW w:w="1915" w:type="dxa"/>
          </w:tcPr>
          <w:p w14:paraId="7066E4C7" w14:textId="5F0CF166" w:rsidR="000E074B" w:rsidRPr="000E074B" w:rsidRDefault="000E074B" w:rsidP="000E074B">
            <w:r w:rsidRPr="000E074B">
              <w:rPr>
                <w:szCs w:val="44"/>
              </w:rPr>
              <w:t>Мъжки и женски</w:t>
            </w:r>
          </w:p>
        </w:tc>
        <w:tc>
          <w:tcPr>
            <w:tcW w:w="1915" w:type="dxa"/>
          </w:tcPr>
          <w:p w14:paraId="36638C92" w14:textId="0E95C4A7" w:rsidR="000E074B" w:rsidRPr="000E074B" w:rsidRDefault="000E074B" w:rsidP="000E074B">
            <w:r w:rsidRPr="000E074B">
              <w:rPr>
                <w:szCs w:val="44"/>
              </w:rPr>
              <w:t>Интравенозен</w:t>
            </w:r>
          </w:p>
        </w:tc>
        <w:tc>
          <w:tcPr>
            <w:tcW w:w="1915" w:type="dxa"/>
          </w:tcPr>
          <w:p w14:paraId="241494A2" w14:textId="22A5F20B" w:rsidR="000E074B" w:rsidRPr="000E074B" w:rsidRDefault="000E074B" w:rsidP="000E074B">
            <w:r w:rsidRPr="000E074B">
              <w:rPr>
                <w:szCs w:val="44"/>
              </w:rPr>
              <w:t>Приблизително 4.5</w:t>
            </w:r>
          </w:p>
        </w:tc>
        <w:tc>
          <w:tcPr>
            <w:tcW w:w="1916" w:type="dxa"/>
          </w:tcPr>
          <w:p w14:paraId="4496CB4A" w14:textId="77777777" w:rsidR="000E074B" w:rsidRPr="000E074B" w:rsidRDefault="000E074B" w:rsidP="000E074B"/>
        </w:tc>
      </w:tr>
    </w:tbl>
    <w:p w14:paraId="54685D17" w14:textId="24B94172" w:rsidR="000E074B" w:rsidRDefault="000E074B" w:rsidP="000E074B"/>
    <w:p w14:paraId="1E210080"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Разликата между стойностите на </w:t>
      </w:r>
      <w:r w:rsidRPr="000E074B">
        <w:rPr>
          <w:rFonts w:eastAsia="Times New Roman" w:cs="Arial"/>
          <w:color w:val="000000"/>
          <w:szCs w:val="44"/>
          <w:lang w:val="en-US"/>
        </w:rPr>
        <w:t>LD</w:t>
      </w:r>
      <w:r w:rsidRPr="000E074B">
        <w:rPr>
          <w:rFonts w:eastAsia="Times New Roman" w:cs="Arial"/>
          <w:color w:val="000000"/>
          <w:szCs w:val="44"/>
          <w:lang w:val="ru-RU"/>
        </w:rPr>
        <w:t xml:space="preserve">50 </w:t>
      </w:r>
      <w:r w:rsidRPr="000E074B">
        <w:rPr>
          <w:rFonts w:eastAsia="Times New Roman" w:cs="Arial"/>
          <w:color w:val="000000"/>
          <w:szCs w:val="44"/>
          <w:lang w:eastAsia="bg-BG"/>
        </w:rPr>
        <w:t>след перорално и интравенозно приложение показва, че след перорално приложение на високи дози, под формата на суспензия, абсорбцията на активното вещество или е непълна или забавена. След перорално приложение симптомите на отравяне са наблюдавани само при мишки и плъхове. Тези симптоми включват: лека цианоза, силно намалена подвижност и задъхване при дишане. След интравенозно приложение тези признаци на отравяне са наблюдавани във всички изследвани видове, с добавянето на тонично- клонични гърчове.</w:t>
      </w:r>
    </w:p>
    <w:p w14:paraId="47629708" w14:textId="77777777" w:rsidR="000E074B" w:rsidRPr="000E074B" w:rsidRDefault="000E074B" w:rsidP="000E074B">
      <w:pPr>
        <w:spacing w:line="240" w:lineRule="auto"/>
        <w:rPr>
          <w:rFonts w:eastAsia="Times New Roman" w:cs="Arial"/>
          <w:b/>
          <w:bCs/>
          <w:color w:val="000000"/>
          <w:szCs w:val="44"/>
          <w:lang w:eastAsia="bg-BG"/>
        </w:rPr>
      </w:pPr>
    </w:p>
    <w:p w14:paraId="731CF455" w14:textId="0F40E374"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Проучвания за субхронична поносимост</w:t>
      </w:r>
    </w:p>
    <w:p w14:paraId="38D645CF"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При кучета перорално приложение на 10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val="ru-RU"/>
        </w:rPr>
        <w:t xml:space="preserve"> </w:t>
      </w:r>
      <w:r w:rsidRPr="000E074B">
        <w:rPr>
          <w:rFonts w:eastAsia="Times New Roman" w:cs="Arial"/>
          <w:color w:val="000000"/>
          <w:szCs w:val="44"/>
          <w:lang w:eastAsia="bg-BG"/>
        </w:rPr>
        <w:t>телесно тегло води до намаляване на телесното тегло, понижаване на хематокрита, хемоглобина и еритроцитите, сърдечната честота се повишава и кръвното налягане се повлиява от веществото.</w:t>
      </w:r>
    </w:p>
    <w:p w14:paraId="72106F2E" w14:textId="2C48E918" w:rsidR="000E074B" w:rsidRPr="000E074B" w:rsidRDefault="000E074B" w:rsidP="000E074B">
      <w:pPr>
        <w:rPr>
          <w:rFonts w:cs="Arial"/>
          <w:sz w:val="10"/>
        </w:rPr>
      </w:pPr>
    </w:p>
    <w:p w14:paraId="0897C3A4" w14:textId="77777777" w:rsidR="000E074B" w:rsidRPr="000E074B" w:rsidRDefault="000E074B" w:rsidP="000E074B">
      <w:pPr>
        <w:spacing w:line="240" w:lineRule="auto"/>
        <w:rPr>
          <w:rFonts w:eastAsia="Times New Roman" w:cs="Arial"/>
          <w:b/>
          <w:bCs/>
          <w:color w:val="000000"/>
          <w:szCs w:val="44"/>
          <w:lang w:eastAsia="bg-BG"/>
        </w:rPr>
      </w:pPr>
    </w:p>
    <w:p w14:paraId="3260F5F9" w14:textId="0240BCCD"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Проучвания за хронична поносимост</w:t>
      </w:r>
    </w:p>
    <w:p w14:paraId="4CC91A5D"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Плъхове са били лекувани с нимодипин, смесен с храна, в дневни дози от около 90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 xml:space="preserve">/ден в продължение на 2 години. Дози до 15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 xml:space="preserve">/ден се понасят, както от мъжки, така и от женски индивиди, без никаква </w:t>
      </w:r>
      <w:r w:rsidRPr="000E074B">
        <w:rPr>
          <w:rFonts w:eastAsia="Times New Roman" w:cs="Arial"/>
          <w:i/>
          <w:iCs/>
          <w:color w:val="000000"/>
          <w:szCs w:val="44"/>
          <w:lang w:eastAsia="bg-BG"/>
        </w:rPr>
        <w:t>видима</w:t>
      </w:r>
      <w:r w:rsidRPr="000E074B">
        <w:rPr>
          <w:rFonts w:eastAsia="Times New Roman" w:cs="Arial"/>
          <w:color w:val="000000"/>
          <w:szCs w:val="44"/>
          <w:lang w:eastAsia="bg-BG"/>
        </w:rPr>
        <w:t xml:space="preserve"> вреда. Няма доказателства за онкогенни ефекти на веществото. Горните дози на нимодипин са давани на мишки като добавка към храната в продължение на 21 месеца. Това проучване също не доказва, каквато и да е туморогенна активност.</w:t>
      </w:r>
    </w:p>
    <w:p w14:paraId="5A053182"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В едногодишно проучване с кучета е била изследвана системната поносимост на дози до 6,25 </w:t>
      </w:r>
      <w:r w:rsidRPr="000E074B">
        <w:rPr>
          <w:rFonts w:eastAsia="Times New Roman" w:cs="Arial"/>
          <w:color w:val="000000"/>
          <w:szCs w:val="44"/>
          <w:lang w:val="en-US"/>
        </w:rPr>
        <w:t>mg</w:t>
      </w:r>
      <w:r w:rsidRPr="000E074B">
        <w:rPr>
          <w:rFonts w:eastAsia="Times New Roman" w:cs="Arial"/>
          <w:color w:val="000000"/>
          <w:szCs w:val="44"/>
          <w:lang w:val="ru-RU"/>
        </w:rPr>
        <w:t xml:space="preserve"> </w:t>
      </w:r>
      <w:r w:rsidRPr="000E074B">
        <w:rPr>
          <w:rFonts w:eastAsia="Times New Roman" w:cs="Arial"/>
          <w:color w:val="000000"/>
          <w:szCs w:val="44"/>
          <w:lang w:eastAsia="bg-BG"/>
        </w:rPr>
        <w:t>нимодипин</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ден. Дози до 2.5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се оказат безвредни, докато дози от 6,25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val="ru-RU"/>
        </w:rPr>
        <w:t xml:space="preserve"> </w:t>
      </w:r>
      <w:r w:rsidRPr="000E074B">
        <w:rPr>
          <w:rFonts w:eastAsia="Times New Roman" w:cs="Arial"/>
          <w:color w:val="000000"/>
          <w:szCs w:val="44"/>
          <w:lang w:eastAsia="bg-BG"/>
        </w:rPr>
        <w:t>довели до електрокардиографски промени, поради смущения в кръвообръщението на миокарда. Въпреки това, при тази доза не бяха открити хистопатологични промени в сърцето.</w:t>
      </w:r>
    </w:p>
    <w:p w14:paraId="61CA7696" w14:textId="77777777" w:rsidR="000E074B" w:rsidRPr="000E074B" w:rsidRDefault="000E074B" w:rsidP="000E074B">
      <w:pPr>
        <w:spacing w:line="240" w:lineRule="auto"/>
        <w:rPr>
          <w:rFonts w:eastAsia="Times New Roman" w:cs="Arial"/>
          <w:b/>
          <w:bCs/>
          <w:color w:val="000000"/>
          <w:szCs w:val="44"/>
          <w:lang w:eastAsia="bg-BG"/>
        </w:rPr>
      </w:pPr>
    </w:p>
    <w:p w14:paraId="14492C42" w14:textId="2F22B6C5"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Проучвания върху репродуктивната токсичност</w:t>
      </w:r>
    </w:p>
    <w:p w14:paraId="68C6D693" w14:textId="77777777" w:rsidR="000E074B" w:rsidRPr="000E074B" w:rsidRDefault="000E074B" w:rsidP="000E074B">
      <w:pPr>
        <w:spacing w:line="240" w:lineRule="auto"/>
        <w:rPr>
          <w:rFonts w:eastAsia="Times New Roman" w:cs="Arial"/>
          <w:b/>
          <w:bCs/>
          <w:color w:val="000000"/>
          <w:szCs w:val="44"/>
          <w:lang w:eastAsia="bg-BG"/>
        </w:rPr>
      </w:pPr>
    </w:p>
    <w:p w14:paraId="34ECFA07" w14:textId="77777777"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Проучвания на фертилитета при плъхове</w:t>
      </w:r>
    </w:p>
    <w:p w14:paraId="167E1A5B" w14:textId="01B26C2F"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Фертилитетът на мъжки и женски плъхове и следващите поколения остава изцяло невредим при дози до 30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/ден.</w:t>
      </w:r>
    </w:p>
    <w:p w14:paraId="20060338" w14:textId="77777777" w:rsidR="000E074B" w:rsidRPr="000E074B" w:rsidRDefault="000E074B" w:rsidP="000E074B">
      <w:pPr>
        <w:spacing w:line="240" w:lineRule="auto"/>
        <w:rPr>
          <w:rFonts w:eastAsia="Times New Roman" w:cs="Arial"/>
          <w:b/>
          <w:bCs/>
          <w:color w:val="000000"/>
          <w:szCs w:val="44"/>
          <w:lang w:eastAsia="bg-BG"/>
        </w:rPr>
      </w:pPr>
      <w:bookmarkStart w:id="9" w:name="bookmark5"/>
    </w:p>
    <w:p w14:paraId="7EC5C981" w14:textId="45D5395A"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Проучвания за ембриотоксичност</w:t>
      </w:r>
      <w:bookmarkEnd w:id="9"/>
    </w:p>
    <w:p w14:paraId="04D05FC4"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Приложението на 10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 xml:space="preserve">/ден при бременни плъхове по време на ембриогенезата, не са показали вредни ефекти. Дози от 30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 xml:space="preserve">/ден и по-големи потискат растежа, което води до намалено тегло на плода, а при 100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/ден - повишена смъртност на ембрионите.</w:t>
      </w:r>
    </w:p>
    <w:p w14:paraId="48F68618"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Проучвания за ембриотоксичност при зайци с перорални дози до 10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/ден не дават никакви доказателства за тератогенни или други ембриотоксични ефекти.</w:t>
      </w:r>
    </w:p>
    <w:p w14:paraId="11069D82" w14:textId="77777777" w:rsidR="000E074B" w:rsidRPr="000E074B" w:rsidRDefault="000E074B" w:rsidP="000E074B">
      <w:pPr>
        <w:spacing w:line="240" w:lineRule="auto"/>
        <w:rPr>
          <w:rFonts w:eastAsia="Times New Roman" w:cs="Arial"/>
          <w:b/>
          <w:bCs/>
          <w:color w:val="000000"/>
          <w:szCs w:val="44"/>
          <w:lang w:eastAsia="bg-BG"/>
        </w:rPr>
      </w:pPr>
      <w:bookmarkStart w:id="10" w:name="bookmark7"/>
    </w:p>
    <w:p w14:paraId="348320C9" w14:textId="77A85D0C"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 xml:space="preserve">Перинатално и постнатално развитие при </w:t>
      </w:r>
      <w:r w:rsidRPr="000E074B">
        <w:rPr>
          <w:rFonts w:eastAsia="Times New Roman" w:cs="Arial"/>
          <w:b/>
          <w:bCs/>
          <w:i/>
          <w:iCs/>
          <w:color w:val="000000"/>
          <w:szCs w:val="44"/>
          <w:lang w:eastAsia="bg-BG"/>
        </w:rPr>
        <w:t>плъхове</w:t>
      </w:r>
      <w:bookmarkEnd w:id="10"/>
    </w:p>
    <w:p w14:paraId="258D7F3C"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lastRenderedPageBreak/>
        <w:t xml:space="preserve">За да се изследва перинаталното и постнаталното развитие, са проведени проучвания при плъхове с дози до 30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 xml:space="preserve">/ден. В едно проучване са наблюдавани повишена перинатална и постнатална смъртност и забавено физическо развитие с дози от 10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/ден и по-големи. Тези резултати не бяха потвърдени в следващи проучвания.</w:t>
      </w:r>
    </w:p>
    <w:p w14:paraId="3DC98963" w14:textId="77777777" w:rsidR="000E074B" w:rsidRPr="000E074B" w:rsidRDefault="000E074B" w:rsidP="000E074B">
      <w:pPr>
        <w:spacing w:line="240" w:lineRule="auto"/>
        <w:rPr>
          <w:rFonts w:eastAsia="Times New Roman" w:cs="Arial"/>
          <w:b/>
          <w:bCs/>
          <w:color w:val="000000"/>
          <w:szCs w:val="44"/>
          <w:lang w:eastAsia="bg-BG"/>
        </w:rPr>
      </w:pPr>
      <w:bookmarkStart w:id="11" w:name="bookmark9"/>
    </w:p>
    <w:p w14:paraId="4056EDD3" w14:textId="3E181AD1"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Специални проучвания на поносимостта</w:t>
      </w:r>
      <w:bookmarkEnd w:id="11"/>
    </w:p>
    <w:p w14:paraId="06E29919" w14:textId="77777777" w:rsidR="000E074B" w:rsidRPr="000E074B" w:rsidRDefault="000E074B" w:rsidP="000E074B">
      <w:pPr>
        <w:spacing w:line="240" w:lineRule="auto"/>
        <w:rPr>
          <w:rFonts w:eastAsia="Times New Roman" w:cs="Arial"/>
          <w:b/>
          <w:bCs/>
          <w:color w:val="000000"/>
          <w:szCs w:val="44"/>
          <w:lang w:eastAsia="bg-BG"/>
        </w:rPr>
      </w:pPr>
    </w:p>
    <w:p w14:paraId="61EE8700" w14:textId="2AC29BE0"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Проучвания за канцерогенност</w:t>
      </w:r>
    </w:p>
    <w:p w14:paraId="16BDF28E"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 xml:space="preserve">Проучване през жизнения цикъл, в което плъхове получават нимодипин в дози до 1800 </w:t>
      </w:r>
      <w:r w:rsidRPr="000E074B">
        <w:rPr>
          <w:rFonts w:eastAsia="Times New Roman" w:cs="Arial"/>
          <w:color w:val="000000"/>
          <w:szCs w:val="44"/>
          <w:lang w:val="en-US"/>
        </w:rPr>
        <w:t>ppm</w:t>
      </w:r>
      <w:r w:rsidRPr="000E074B">
        <w:rPr>
          <w:rFonts w:eastAsia="Times New Roman" w:cs="Arial"/>
          <w:color w:val="000000"/>
          <w:szCs w:val="44"/>
          <w:lang w:val="ru-RU"/>
        </w:rPr>
        <w:t xml:space="preserve"> </w:t>
      </w:r>
      <w:r w:rsidRPr="000E074B">
        <w:rPr>
          <w:rFonts w:eastAsia="Times New Roman" w:cs="Arial"/>
          <w:color w:val="000000"/>
          <w:szCs w:val="44"/>
          <w:lang w:eastAsia="bg-BG"/>
        </w:rPr>
        <w:t xml:space="preserve">(около 90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 xml:space="preserve">/ден) с храната в продължение на 2 години не дава никакво доказателство за онкогенен потенциал. По подобен начин, дългосрочно проучване, в което мишки са получавали перорално 500 </w:t>
      </w:r>
      <w:r w:rsidRPr="000E074B">
        <w:rPr>
          <w:rFonts w:eastAsia="Times New Roman" w:cs="Arial"/>
          <w:color w:val="000000"/>
          <w:szCs w:val="44"/>
          <w:lang w:val="en-US"/>
        </w:rPr>
        <w:t>mg</w:t>
      </w:r>
      <w:r w:rsidRPr="000E074B">
        <w:rPr>
          <w:rFonts w:eastAsia="Times New Roman" w:cs="Arial"/>
          <w:color w:val="000000"/>
          <w:szCs w:val="44"/>
          <w:lang w:val="ru-RU"/>
        </w:rPr>
        <w:t>/</w:t>
      </w:r>
      <w:r w:rsidRPr="000E074B">
        <w:rPr>
          <w:rFonts w:eastAsia="Times New Roman" w:cs="Arial"/>
          <w:color w:val="000000"/>
          <w:szCs w:val="44"/>
          <w:lang w:val="en-US"/>
        </w:rPr>
        <w:t>kg</w:t>
      </w:r>
      <w:r w:rsidRPr="000E074B">
        <w:rPr>
          <w:rFonts w:eastAsia="Times New Roman" w:cs="Arial"/>
          <w:color w:val="000000"/>
          <w:szCs w:val="44"/>
          <w:lang w:eastAsia="bg-BG"/>
        </w:rPr>
        <w:t>/ден в продължение на 21 месеца, не предоставя доказателства, че нимодипин притежава онкогенен потенциал.</w:t>
      </w:r>
    </w:p>
    <w:p w14:paraId="28CF10C2" w14:textId="77777777" w:rsidR="000E074B" w:rsidRPr="000E074B" w:rsidRDefault="000E074B" w:rsidP="000E074B">
      <w:pPr>
        <w:spacing w:line="240" w:lineRule="auto"/>
        <w:rPr>
          <w:rFonts w:eastAsia="Times New Roman" w:cs="Arial"/>
          <w:b/>
          <w:bCs/>
          <w:color w:val="000000"/>
          <w:szCs w:val="44"/>
          <w:lang w:eastAsia="bg-BG"/>
        </w:rPr>
      </w:pPr>
    </w:p>
    <w:p w14:paraId="100EE61D" w14:textId="5A5277E9" w:rsidR="000E074B" w:rsidRPr="000E074B" w:rsidRDefault="000E074B" w:rsidP="000E074B">
      <w:pPr>
        <w:spacing w:line="240" w:lineRule="auto"/>
        <w:rPr>
          <w:rFonts w:eastAsia="Times New Roman" w:cs="Arial"/>
          <w:sz w:val="12"/>
          <w:szCs w:val="24"/>
        </w:rPr>
      </w:pPr>
      <w:r w:rsidRPr="000E074B">
        <w:rPr>
          <w:rFonts w:eastAsia="Times New Roman" w:cs="Arial"/>
          <w:b/>
          <w:bCs/>
          <w:color w:val="000000"/>
          <w:szCs w:val="44"/>
          <w:lang w:eastAsia="bg-BG"/>
        </w:rPr>
        <w:t>Проучвания за мутагенност</w:t>
      </w:r>
    </w:p>
    <w:p w14:paraId="269EA6AD" w14:textId="77777777" w:rsidR="000E074B" w:rsidRPr="000E074B" w:rsidRDefault="000E074B" w:rsidP="000E074B">
      <w:pPr>
        <w:spacing w:line="240" w:lineRule="auto"/>
        <w:rPr>
          <w:rFonts w:eastAsia="Times New Roman" w:cs="Arial"/>
          <w:sz w:val="12"/>
          <w:szCs w:val="24"/>
        </w:rPr>
      </w:pPr>
      <w:r w:rsidRPr="000E074B">
        <w:rPr>
          <w:rFonts w:eastAsia="Times New Roman" w:cs="Arial"/>
          <w:color w:val="000000"/>
          <w:szCs w:val="44"/>
          <w:lang w:eastAsia="bg-BG"/>
        </w:rPr>
        <w:t>Нимодипин е предмет на обширни изследвания за генотоксичност. Всички тестове за предизвикване на мутагенни и хромозомни мутации са отрицателни.</w:t>
      </w:r>
    </w:p>
    <w:p w14:paraId="042319BC" w14:textId="77777777" w:rsidR="000E074B" w:rsidRPr="000E074B" w:rsidRDefault="000E074B" w:rsidP="000E074B"/>
    <w:p w14:paraId="6A7820AB" w14:textId="718B1C22" w:rsidR="008A6AF2" w:rsidRDefault="002C50EE" w:rsidP="00395555">
      <w:pPr>
        <w:pStyle w:val="Heading1"/>
      </w:pPr>
      <w:r>
        <w:t>7. ПРИТЕЖАТЕЛ НА РАЗРЕШЕНИЕТО ЗА УПОТРЕБА</w:t>
      </w:r>
    </w:p>
    <w:p w14:paraId="00C342E9" w14:textId="5DEA902D" w:rsidR="000E074B" w:rsidRDefault="000E074B" w:rsidP="000E074B"/>
    <w:p w14:paraId="7D550C70" w14:textId="77777777" w:rsidR="000E074B" w:rsidRPr="000E074B" w:rsidRDefault="000E074B" w:rsidP="000E074B">
      <w:pPr>
        <w:rPr>
          <w:sz w:val="24"/>
          <w:szCs w:val="24"/>
          <w:lang w:val="en-US"/>
        </w:rPr>
      </w:pPr>
      <w:r w:rsidRPr="000E074B">
        <w:rPr>
          <w:lang w:val="en-US"/>
        </w:rPr>
        <w:t>Bayer AG</w:t>
      </w:r>
    </w:p>
    <w:p w14:paraId="0AA9FCA6" w14:textId="42CB1BE6" w:rsidR="000E074B" w:rsidRPr="000E074B" w:rsidRDefault="000E074B" w:rsidP="000E074B">
      <w:r w:rsidRPr="000E074B">
        <w:rPr>
          <w:lang w:val="en-US"/>
        </w:rPr>
        <w:t xml:space="preserve">Kaiser-Wilhelm-Al lee 1 51373 Leverkusen, </w:t>
      </w:r>
      <w:r w:rsidRPr="000E074B">
        <w:rPr>
          <w:lang w:eastAsia="bg-BG"/>
        </w:rPr>
        <w:t>Германия</w:t>
      </w:r>
    </w:p>
    <w:p w14:paraId="04840D59" w14:textId="04FA2019" w:rsidR="002C50EE" w:rsidRDefault="002C50EE" w:rsidP="00395555">
      <w:pPr>
        <w:pStyle w:val="Heading1"/>
      </w:pPr>
      <w:r>
        <w:t>8. НОМЕР НА РАЗРЕШЕНИЕТО ЗА УПОТРЕБА</w:t>
      </w:r>
    </w:p>
    <w:p w14:paraId="0AAE14E2" w14:textId="5363E59C" w:rsidR="000E074B" w:rsidRDefault="000E074B" w:rsidP="000E074B"/>
    <w:p w14:paraId="3A6C84C3" w14:textId="3CF6066E" w:rsidR="000E074B" w:rsidRPr="000E074B" w:rsidRDefault="000E074B" w:rsidP="000E074B">
      <w:r>
        <w:t>Регистрационен номер: 20020727</w:t>
      </w:r>
    </w:p>
    <w:p w14:paraId="2CCB5832" w14:textId="4561745D" w:rsidR="007C605B" w:rsidRDefault="002C50EE" w:rsidP="007C605B">
      <w:pPr>
        <w:pStyle w:val="Heading1"/>
      </w:pPr>
      <w:r>
        <w:t>9. ДАТА НА ПЪРВО РАЗРЕШАВАНЕ/ПОДНОВЯВАНЕ НА РАЗРЕШЕНИЕТО ЗА УПОТРЕБА</w:t>
      </w:r>
    </w:p>
    <w:p w14:paraId="46B9FBC9" w14:textId="67FD2C5A" w:rsidR="000E074B" w:rsidRDefault="000E074B" w:rsidP="000E074B"/>
    <w:p w14:paraId="3659A641" w14:textId="77777777" w:rsidR="000E074B" w:rsidRPr="000E074B" w:rsidRDefault="000E074B" w:rsidP="000E074B">
      <w:pPr>
        <w:rPr>
          <w:sz w:val="24"/>
          <w:szCs w:val="24"/>
        </w:rPr>
      </w:pPr>
      <w:r w:rsidRPr="000E074B">
        <w:rPr>
          <w:lang w:eastAsia="bg-BG"/>
        </w:rPr>
        <w:t>Дата на първо разрешаване: 25 февруари 1985</w:t>
      </w:r>
    </w:p>
    <w:p w14:paraId="769B6CD5" w14:textId="284BCA68" w:rsidR="000E074B" w:rsidRPr="000E074B" w:rsidRDefault="000E074B" w:rsidP="000E074B">
      <w:r w:rsidRPr="000E074B">
        <w:rPr>
          <w:lang w:eastAsia="bg-BG"/>
        </w:rPr>
        <w:t>Дата на последното подновяване: 27 декември 2007</w:t>
      </w:r>
    </w:p>
    <w:p w14:paraId="0E9D0119" w14:textId="0245C6D7" w:rsidR="002C50EE" w:rsidRDefault="002C50EE" w:rsidP="002C50EE">
      <w:pPr>
        <w:pStyle w:val="Heading1"/>
      </w:pPr>
      <w:r>
        <w:t>10. ДАТА НА АКТУАЛИЗИРАНЕ НА ТЕКСТА</w:t>
      </w:r>
    </w:p>
    <w:bookmarkEnd w:id="0"/>
    <w:p w14:paraId="43FB38A2" w14:textId="7EA0B37F" w:rsidR="007C605B" w:rsidRDefault="007C605B" w:rsidP="00395555"/>
    <w:p w14:paraId="7613066B" w14:textId="64C6B3C2" w:rsidR="000E074B" w:rsidRPr="003E3126" w:rsidRDefault="000E074B" w:rsidP="000E074B">
      <w:r>
        <w:t>11/2018</w:t>
      </w:r>
      <w:bookmarkStart w:id="12" w:name="_GoBack"/>
      <w:bookmarkEnd w:id="12"/>
    </w:p>
    <w:sectPr w:rsidR="000E074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16D19"/>
    <w:multiLevelType w:val="hybridMultilevel"/>
    <w:tmpl w:val="2BFA907E"/>
    <w:lvl w:ilvl="0" w:tplc="218E904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47556"/>
    <w:multiLevelType w:val="hybridMultilevel"/>
    <w:tmpl w:val="E12AA1C2"/>
    <w:lvl w:ilvl="0" w:tplc="218E904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2"/>
  </w:num>
  <w:num w:numId="31">
    <w:abstractNumId w:val="5"/>
  </w:num>
  <w:num w:numId="32">
    <w:abstractNumId w:val="3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E074B"/>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3850</Words>
  <Characters>21946</Characters>
  <Application>Microsoft Office Word</Application>
  <DocSecurity>0</DocSecurity>
  <Lines>182</Lines>
  <Paragraphs>51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2021-11-20T18:46:00Z</dcterms:created>
  <dcterms:modified xsi:type="dcterms:W3CDTF">2021-11-20T18:46:00Z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