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5BCBDE2F" w:rsidR="00AA23EC" w:rsidRDefault="00DD466D" w:rsidP="00DD466D">
      <w:pPr>
        <w:pStyle w:val="Heading1"/>
      </w:pPr>
      <w:r>
        <w:t>1.ИМЕ НА ЛЕКАРСТВЕНИЯ ПРОДУКТ</w:t>
      </w:r>
    </w:p>
    <w:p w14:paraId="37178CB6" w14:textId="1D7E0194" w:rsidR="00426E5F" w:rsidRDefault="00426E5F" w:rsidP="00426E5F"/>
    <w:p w14:paraId="496F627B" w14:textId="77777777" w:rsidR="00426E5F" w:rsidRPr="00426E5F" w:rsidRDefault="00426E5F" w:rsidP="00426E5F">
      <w:pPr>
        <w:rPr>
          <w:sz w:val="24"/>
          <w:szCs w:val="24"/>
          <w:lang w:val="ru-RU"/>
        </w:rPr>
      </w:pPr>
      <w:r w:rsidRPr="00426E5F">
        <w:rPr>
          <w:lang w:eastAsia="bg-BG"/>
        </w:rPr>
        <w:t xml:space="preserve">НИТРОНАЛ аквас 1 </w:t>
      </w:r>
      <w:r w:rsidRPr="00426E5F">
        <w:rPr>
          <w:lang w:val="en-US"/>
        </w:rPr>
        <w:t>mg</w:t>
      </w:r>
      <w:r w:rsidRPr="00426E5F">
        <w:rPr>
          <w:lang w:val="ru-RU"/>
        </w:rPr>
        <w:t>/</w:t>
      </w:r>
      <w:r w:rsidRPr="00426E5F">
        <w:rPr>
          <w:lang w:val="en-US"/>
        </w:rPr>
        <w:t>ml</w:t>
      </w:r>
      <w:r w:rsidRPr="00426E5F">
        <w:rPr>
          <w:lang w:val="ru-RU"/>
        </w:rPr>
        <w:t xml:space="preserve"> </w:t>
      </w:r>
      <w:r w:rsidRPr="00426E5F">
        <w:rPr>
          <w:lang w:eastAsia="bg-BG"/>
        </w:rPr>
        <w:t>инфузионен разтвор</w:t>
      </w:r>
    </w:p>
    <w:p w14:paraId="060F4DFB" w14:textId="5121F388" w:rsidR="00426E5F" w:rsidRPr="00426E5F" w:rsidRDefault="00426E5F" w:rsidP="00426E5F">
      <w:r w:rsidRPr="00426E5F">
        <w:rPr>
          <w:lang w:val="en-US"/>
        </w:rPr>
        <w:t xml:space="preserve">NITRONAL aqueous </w:t>
      </w:r>
      <w:r w:rsidRPr="00426E5F">
        <w:rPr>
          <w:lang w:eastAsia="bg-BG"/>
        </w:rPr>
        <w:t xml:space="preserve">1 </w:t>
      </w:r>
      <w:r w:rsidRPr="00426E5F">
        <w:rPr>
          <w:lang w:val="en-US"/>
        </w:rPr>
        <w:t>mg/ml solution for infusion</w:t>
      </w:r>
    </w:p>
    <w:p w14:paraId="0A368469" w14:textId="1E8882FF" w:rsidR="00C0049F" w:rsidRDefault="00DD466D" w:rsidP="009F1313">
      <w:pPr>
        <w:pStyle w:val="Heading1"/>
      </w:pPr>
      <w:r>
        <w:t>2. КАЧЕСТВЕН И КОЛИЧЕСТВЕН СЪСТАВ</w:t>
      </w:r>
    </w:p>
    <w:p w14:paraId="76163B43" w14:textId="4DEC763F" w:rsidR="00426E5F" w:rsidRDefault="00426E5F" w:rsidP="00426E5F"/>
    <w:p w14:paraId="40E863A0" w14:textId="77777777" w:rsidR="00426E5F" w:rsidRPr="00426E5F" w:rsidRDefault="00426E5F" w:rsidP="00426E5F">
      <w:pPr>
        <w:rPr>
          <w:sz w:val="24"/>
          <w:szCs w:val="24"/>
        </w:rPr>
      </w:pPr>
      <w:r w:rsidRPr="00426E5F">
        <w:rPr>
          <w:lang w:eastAsia="bg-BG"/>
        </w:rPr>
        <w:t xml:space="preserve">1 </w:t>
      </w:r>
      <w:r w:rsidRPr="00426E5F">
        <w:rPr>
          <w:lang w:val="en-US"/>
        </w:rPr>
        <w:t>ml</w:t>
      </w:r>
      <w:r w:rsidRPr="00426E5F">
        <w:t xml:space="preserve"> </w:t>
      </w:r>
      <w:r w:rsidRPr="00426E5F">
        <w:rPr>
          <w:lang w:eastAsia="bg-BG"/>
        </w:rPr>
        <w:t xml:space="preserve">инфузионен разтвор съдържа 1,0 </w:t>
      </w:r>
      <w:r w:rsidRPr="00426E5F">
        <w:rPr>
          <w:lang w:val="en-US"/>
        </w:rPr>
        <w:t>mg</w:t>
      </w:r>
      <w:r w:rsidRPr="00426E5F">
        <w:t xml:space="preserve"> </w:t>
      </w:r>
      <w:r w:rsidRPr="00426E5F">
        <w:rPr>
          <w:lang w:eastAsia="bg-BG"/>
        </w:rPr>
        <w:t xml:space="preserve">глицерил тринитрат </w:t>
      </w:r>
      <w:r w:rsidRPr="00426E5F">
        <w:t>(</w:t>
      </w:r>
      <w:r w:rsidRPr="00426E5F">
        <w:rPr>
          <w:lang w:val="en-US"/>
        </w:rPr>
        <w:t>glyceryl</w:t>
      </w:r>
      <w:r w:rsidRPr="00426E5F">
        <w:t xml:space="preserve"> </w:t>
      </w:r>
      <w:proofErr w:type="spellStart"/>
      <w:r w:rsidRPr="00426E5F">
        <w:rPr>
          <w:lang w:val="en-US"/>
        </w:rPr>
        <w:t>trinitrate</w:t>
      </w:r>
      <w:proofErr w:type="spellEnd"/>
      <w:r w:rsidRPr="00426E5F">
        <w:t>).</w:t>
      </w:r>
    </w:p>
    <w:p w14:paraId="2E42CCEA" w14:textId="77777777" w:rsidR="00426E5F" w:rsidRPr="00426E5F" w:rsidRDefault="00426E5F" w:rsidP="00426E5F">
      <w:pPr>
        <w:rPr>
          <w:sz w:val="24"/>
          <w:szCs w:val="24"/>
        </w:rPr>
      </w:pPr>
      <w:r w:rsidRPr="00426E5F">
        <w:rPr>
          <w:lang w:eastAsia="bg-BG"/>
        </w:rPr>
        <w:t xml:space="preserve">5 </w:t>
      </w:r>
      <w:r w:rsidRPr="00426E5F">
        <w:rPr>
          <w:lang w:val="en-US"/>
        </w:rPr>
        <w:t>ml</w:t>
      </w:r>
      <w:r w:rsidRPr="00426E5F">
        <w:t xml:space="preserve"> </w:t>
      </w:r>
      <w:r w:rsidRPr="00426E5F">
        <w:rPr>
          <w:lang w:eastAsia="bg-BG"/>
        </w:rPr>
        <w:t xml:space="preserve">инфузионен разтвор съдържа 5,0 </w:t>
      </w:r>
      <w:r w:rsidRPr="00426E5F">
        <w:rPr>
          <w:lang w:val="en-US"/>
        </w:rPr>
        <w:t>mg</w:t>
      </w:r>
      <w:r w:rsidRPr="00426E5F">
        <w:t xml:space="preserve"> </w:t>
      </w:r>
      <w:r w:rsidRPr="00426E5F">
        <w:rPr>
          <w:lang w:eastAsia="bg-BG"/>
        </w:rPr>
        <w:t xml:space="preserve">глицерил тринитрат </w:t>
      </w:r>
      <w:r w:rsidRPr="00426E5F">
        <w:t>(</w:t>
      </w:r>
      <w:r w:rsidRPr="00426E5F">
        <w:rPr>
          <w:lang w:val="en-US"/>
        </w:rPr>
        <w:t>glyceryl</w:t>
      </w:r>
      <w:r w:rsidRPr="00426E5F">
        <w:t xml:space="preserve"> </w:t>
      </w:r>
      <w:proofErr w:type="spellStart"/>
      <w:r w:rsidRPr="00426E5F">
        <w:rPr>
          <w:lang w:val="en-US"/>
        </w:rPr>
        <w:t>trinitrate</w:t>
      </w:r>
      <w:proofErr w:type="spellEnd"/>
      <w:r w:rsidRPr="00426E5F">
        <w:t>).</w:t>
      </w:r>
    </w:p>
    <w:p w14:paraId="53BBF40A" w14:textId="77777777" w:rsidR="00426E5F" w:rsidRPr="00426E5F" w:rsidRDefault="00426E5F" w:rsidP="00426E5F">
      <w:pPr>
        <w:rPr>
          <w:sz w:val="24"/>
          <w:szCs w:val="24"/>
        </w:rPr>
      </w:pPr>
      <w:r w:rsidRPr="00426E5F">
        <w:rPr>
          <w:lang w:eastAsia="bg-BG"/>
        </w:rPr>
        <w:t xml:space="preserve">10 </w:t>
      </w:r>
      <w:r w:rsidRPr="00426E5F">
        <w:rPr>
          <w:lang w:val="en-US"/>
        </w:rPr>
        <w:t>ml</w:t>
      </w:r>
      <w:r w:rsidRPr="00426E5F">
        <w:t xml:space="preserve"> </w:t>
      </w:r>
      <w:r w:rsidRPr="00426E5F">
        <w:rPr>
          <w:lang w:eastAsia="bg-BG"/>
        </w:rPr>
        <w:t xml:space="preserve">инфузионен разтвор съдържа 10,0 </w:t>
      </w:r>
      <w:r w:rsidRPr="00426E5F">
        <w:rPr>
          <w:lang w:val="en-US"/>
        </w:rPr>
        <w:t>mg</w:t>
      </w:r>
      <w:r w:rsidRPr="00426E5F">
        <w:t xml:space="preserve"> </w:t>
      </w:r>
      <w:r w:rsidRPr="00426E5F">
        <w:rPr>
          <w:lang w:eastAsia="bg-BG"/>
        </w:rPr>
        <w:t xml:space="preserve">глицерил тринитрат </w:t>
      </w:r>
      <w:r w:rsidRPr="00426E5F">
        <w:t>(</w:t>
      </w:r>
      <w:r w:rsidRPr="00426E5F">
        <w:rPr>
          <w:lang w:val="en-US"/>
        </w:rPr>
        <w:t>glyceryl</w:t>
      </w:r>
      <w:r w:rsidRPr="00426E5F">
        <w:t xml:space="preserve"> </w:t>
      </w:r>
      <w:proofErr w:type="spellStart"/>
      <w:r w:rsidRPr="00426E5F">
        <w:rPr>
          <w:lang w:val="en-US"/>
        </w:rPr>
        <w:t>trinitrate</w:t>
      </w:r>
      <w:proofErr w:type="spellEnd"/>
      <w:r w:rsidRPr="00426E5F">
        <w:t>).</w:t>
      </w:r>
    </w:p>
    <w:p w14:paraId="6C8E04F6" w14:textId="77777777" w:rsidR="00426E5F" w:rsidRPr="00426E5F" w:rsidRDefault="00426E5F" w:rsidP="00426E5F">
      <w:pPr>
        <w:rPr>
          <w:sz w:val="24"/>
          <w:szCs w:val="24"/>
        </w:rPr>
      </w:pPr>
      <w:r w:rsidRPr="00426E5F">
        <w:rPr>
          <w:lang w:eastAsia="bg-BG"/>
        </w:rPr>
        <w:t xml:space="preserve">25 </w:t>
      </w:r>
      <w:r w:rsidRPr="00426E5F">
        <w:rPr>
          <w:lang w:val="en-US"/>
        </w:rPr>
        <w:t>ml</w:t>
      </w:r>
      <w:r w:rsidRPr="00426E5F">
        <w:t xml:space="preserve"> </w:t>
      </w:r>
      <w:r w:rsidRPr="00426E5F">
        <w:rPr>
          <w:lang w:eastAsia="bg-BG"/>
        </w:rPr>
        <w:t xml:space="preserve">инфузионен разтвор съдържа 25,0 </w:t>
      </w:r>
      <w:r w:rsidRPr="00426E5F">
        <w:rPr>
          <w:lang w:val="en-US"/>
        </w:rPr>
        <w:t>mg</w:t>
      </w:r>
      <w:r w:rsidRPr="00426E5F">
        <w:t xml:space="preserve"> </w:t>
      </w:r>
      <w:r w:rsidRPr="00426E5F">
        <w:rPr>
          <w:lang w:eastAsia="bg-BG"/>
        </w:rPr>
        <w:t xml:space="preserve">глицерил тринитрат </w:t>
      </w:r>
      <w:r w:rsidRPr="00426E5F">
        <w:t>(</w:t>
      </w:r>
      <w:r w:rsidRPr="00426E5F">
        <w:rPr>
          <w:lang w:val="en-US"/>
        </w:rPr>
        <w:t>glyceryl</w:t>
      </w:r>
      <w:r w:rsidRPr="00426E5F">
        <w:t xml:space="preserve"> </w:t>
      </w:r>
      <w:proofErr w:type="spellStart"/>
      <w:r w:rsidRPr="00426E5F">
        <w:rPr>
          <w:lang w:val="en-US"/>
        </w:rPr>
        <w:t>trinitrate</w:t>
      </w:r>
      <w:proofErr w:type="spellEnd"/>
      <w:r w:rsidRPr="00426E5F">
        <w:t>).</w:t>
      </w:r>
    </w:p>
    <w:p w14:paraId="038120F0" w14:textId="1F614FB3" w:rsidR="00426E5F" w:rsidRPr="00426E5F" w:rsidRDefault="00426E5F" w:rsidP="00426E5F">
      <w:r w:rsidRPr="00426E5F">
        <w:rPr>
          <w:lang w:eastAsia="bg-BG"/>
        </w:rPr>
        <w:t xml:space="preserve">50 </w:t>
      </w:r>
      <w:r w:rsidRPr="00426E5F">
        <w:rPr>
          <w:lang w:val="en-US"/>
        </w:rPr>
        <w:t>ml</w:t>
      </w:r>
      <w:r w:rsidRPr="00426E5F">
        <w:t xml:space="preserve"> </w:t>
      </w:r>
      <w:r w:rsidRPr="00426E5F">
        <w:rPr>
          <w:lang w:eastAsia="bg-BG"/>
        </w:rPr>
        <w:t xml:space="preserve">инфузионен разтвор съдържа 50,0 </w:t>
      </w:r>
      <w:r w:rsidRPr="00426E5F">
        <w:rPr>
          <w:lang w:val="en-US"/>
        </w:rPr>
        <w:t>mg</w:t>
      </w:r>
      <w:r w:rsidRPr="00426E5F">
        <w:t xml:space="preserve"> </w:t>
      </w:r>
      <w:r w:rsidRPr="00426E5F">
        <w:rPr>
          <w:lang w:eastAsia="bg-BG"/>
        </w:rPr>
        <w:t xml:space="preserve">глицерил тринитрат </w:t>
      </w:r>
      <w:r w:rsidRPr="00426E5F">
        <w:t>(</w:t>
      </w:r>
      <w:r w:rsidRPr="00426E5F">
        <w:rPr>
          <w:lang w:val="en-US"/>
        </w:rPr>
        <w:t>glyceryl</w:t>
      </w:r>
      <w:r w:rsidRPr="00426E5F">
        <w:t xml:space="preserve"> </w:t>
      </w:r>
      <w:proofErr w:type="spellStart"/>
      <w:r w:rsidRPr="00426E5F">
        <w:rPr>
          <w:lang w:val="en-US"/>
        </w:rPr>
        <w:t>trinitrate</w:t>
      </w:r>
      <w:proofErr w:type="spellEnd"/>
      <w:r w:rsidRPr="00426E5F">
        <w:t>).</w:t>
      </w:r>
    </w:p>
    <w:p w14:paraId="614984C4" w14:textId="733B4317" w:rsidR="008A6AF2" w:rsidRDefault="00DD466D" w:rsidP="002C50EE">
      <w:pPr>
        <w:pStyle w:val="Heading1"/>
      </w:pPr>
      <w:r>
        <w:t>3. ЛЕКАРСТВЕНА ФОРМА</w:t>
      </w:r>
    </w:p>
    <w:p w14:paraId="4389CAFB" w14:textId="183CE251" w:rsidR="00426E5F" w:rsidRDefault="00426E5F" w:rsidP="00426E5F"/>
    <w:p w14:paraId="3E792A60" w14:textId="77777777" w:rsidR="00426E5F" w:rsidRPr="00426E5F" w:rsidRDefault="00426E5F" w:rsidP="00426E5F">
      <w:pPr>
        <w:rPr>
          <w:sz w:val="24"/>
          <w:szCs w:val="24"/>
        </w:rPr>
      </w:pPr>
      <w:r w:rsidRPr="00426E5F">
        <w:rPr>
          <w:lang w:eastAsia="bg-BG"/>
        </w:rPr>
        <w:t>Инфузионен разтвор</w:t>
      </w:r>
    </w:p>
    <w:p w14:paraId="72C2FCD0" w14:textId="495B865B" w:rsidR="00426E5F" w:rsidRPr="00426E5F" w:rsidRDefault="00426E5F" w:rsidP="00426E5F">
      <w:r w:rsidRPr="00426E5F">
        <w:rPr>
          <w:lang w:eastAsia="bg-BG"/>
        </w:rPr>
        <w:t>Инфузионният разтвор е бистър, безцветен.</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573E36F6" w:rsidR="00395555" w:rsidRDefault="00395555" w:rsidP="00395555"/>
    <w:p w14:paraId="315F0629" w14:textId="77777777" w:rsidR="00426E5F" w:rsidRPr="00426E5F" w:rsidRDefault="00426E5F" w:rsidP="00426E5F">
      <w:pPr>
        <w:pStyle w:val="ListParagraph"/>
        <w:numPr>
          <w:ilvl w:val="0"/>
          <w:numId w:val="32"/>
        </w:numPr>
        <w:rPr>
          <w:sz w:val="24"/>
          <w:szCs w:val="24"/>
        </w:rPr>
      </w:pPr>
      <w:r w:rsidRPr="00426E5F">
        <w:rPr>
          <w:lang w:eastAsia="bg-BG"/>
        </w:rPr>
        <w:t>Конгестивна сърдечна недостатъчност, неповлияваща се от лечение, включително такава след инфаркт на миокарда, остра левостранна сърдечна недостатъчност и остър (пресен) инфаркт на миокарда,</w:t>
      </w:r>
    </w:p>
    <w:p w14:paraId="257C1FC6" w14:textId="77777777" w:rsidR="00426E5F" w:rsidRPr="00426E5F" w:rsidRDefault="00426E5F" w:rsidP="00426E5F">
      <w:pPr>
        <w:pStyle w:val="ListParagraph"/>
        <w:numPr>
          <w:ilvl w:val="0"/>
          <w:numId w:val="32"/>
        </w:numPr>
        <w:rPr>
          <w:lang w:eastAsia="bg-BG"/>
        </w:rPr>
      </w:pPr>
      <w:r w:rsidRPr="00426E5F">
        <w:rPr>
          <w:lang w:eastAsia="bg-BG"/>
        </w:rPr>
        <w:t xml:space="preserve">рефрактерна на лечение нестабилна </w:t>
      </w:r>
      <w:r w:rsidRPr="00426E5F">
        <w:rPr>
          <w:lang w:val="en-US"/>
        </w:rPr>
        <w:t>angina</w:t>
      </w:r>
      <w:r w:rsidRPr="00426E5F">
        <w:rPr>
          <w:lang w:val="ru-RU"/>
        </w:rPr>
        <w:t xml:space="preserve"> </w:t>
      </w:r>
      <w:r w:rsidRPr="00426E5F">
        <w:rPr>
          <w:lang w:val="en-US"/>
        </w:rPr>
        <w:t>pectoris</w:t>
      </w:r>
      <w:r w:rsidRPr="00426E5F">
        <w:rPr>
          <w:lang w:val="ru-RU"/>
        </w:rPr>
        <w:t xml:space="preserve"> </w:t>
      </w:r>
      <w:r w:rsidRPr="00426E5F">
        <w:rPr>
          <w:lang w:eastAsia="bg-BG"/>
        </w:rPr>
        <w:t xml:space="preserve">и коронарна недостатъчност, включително ангина на </w:t>
      </w:r>
      <w:proofErr w:type="spellStart"/>
      <w:r w:rsidRPr="00426E5F">
        <w:rPr>
          <w:lang w:val="en-US"/>
        </w:rPr>
        <w:t>Prinzmetal</w:t>
      </w:r>
      <w:proofErr w:type="spellEnd"/>
      <w:r w:rsidRPr="00426E5F">
        <w:rPr>
          <w:lang w:val="ru-RU"/>
        </w:rPr>
        <w:t>,</w:t>
      </w:r>
    </w:p>
    <w:p w14:paraId="25DBB058" w14:textId="77777777" w:rsidR="00426E5F" w:rsidRPr="00426E5F" w:rsidRDefault="00426E5F" w:rsidP="00426E5F">
      <w:pPr>
        <w:pStyle w:val="ListParagraph"/>
        <w:numPr>
          <w:ilvl w:val="0"/>
          <w:numId w:val="32"/>
        </w:numPr>
        <w:rPr>
          <w:lang w:eastAsia="bg-BG"/>
        </w:rPr>
      </w:pPr>
      <w:r w:rsidRPr="00426E5F">
        <w:rPr>
          <w:lang w:eastAsia="bg-BG"/>
        </w:rPr>
        <w:t>контрол на хипертензивни епизоди и/или миокардна исхемия по време на или след сърдечна операция,</w:t>
      </w:r>
    </w:p>
    <w:p w14:paraId="7808E965" w14:textId="77777777" w:rsidR="00426E5F" w:rsidRPr="00426E5F" w:rsidRDefault="00426E5F" w:rsidP="00426E5F">
      <w:pPr>
        <w:pStyle w:val="ListParagraph"/>
        <w:numPr>
          <w:ilvl w:val="0"/>
          <w:numId w:val="32"/>
        </w:numPr>
        <w:rPr>
          <w:lang w:eastAsia="bg-BG"/>
        </w:rPr>
      </w:pPr>
      <w:r w:rsidRPr="00426E5F">
        <w:rPr>
          <w:lang w:eastAsia="bg-BG"/>
        </w:rPr>
        <w:t>индукция на контролирана хипотония по време на операция</w:t>
      </w:r>
    </w:p>
    <w:p w14:paraId="08CF5669" w14:textId="77777777" w:rsidR="00426E5F" w:rsidRPr="00395555" w:rsidRDefault="00426E5F" w:rsidP="00395555"/>
    <w:p w14:paraId="7C0CA5EB" w14:textId="23CAE352" w:rsidR="00C0049F" w:rsidRDefault="002C50EE" w:rsidP="009F1313">
      <w:pPr>
        <w:pStyle w:val="Heading2"/>
      </w:pPr>
      <w:r>
        <w:t>4.2. Дозировка и начин на приложение</w:t>
      </w:r>
    </w:p>
    <w:p w14:paraId="397F746A" w14:textId="69A1E61D" w:rsidR="00426E5F" w:rsidRDefault="00426E5F" w:rsidP="00426E5F"/>
    <w:p w14:paraId="759D85E9" w14:textId="77777777" w:rsidR="00426E5F" w:rsidRPr="00426E5F" w:rsidRDefault="00426E5F" w:rsidP="00426E5F">
      <w:pPr>
        <w:spacing w:line="240" w:lineRule="auto"/>
        <w:rPr>
          <w:rFonts w:eastAsia="Times New Roman" w:cs="Arial"/>
        </w:rPr>
      </w:pPr>
      <w:bookmarkStart w:id="1" w:name="bookmark0"/>
      <w:r w:rsidRPr="00426E5F">
        <w:rPr>
          <w:rFonts w:eastAsia="Times New Roman" w:cs="Arial"/>
          <w:b/>
          <w:bCs/>
          <w:color w:val="000000"/>
          <w:lang w:eastAsia="bg-BG"/>
        </w:rPr>
        <w:t>Дозировка</w:t>
      </w:r>
      <w:bookmarkEnd w:id="1"/>
    </w:p>
    <w:p w14:paraId="372721FF"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В зависимост от първоначалните клинични и хемодинамични стойности, дозировката се определя според индивидуалните потребности на пациента и според промените в контролираните параметри.</w:t>
      </w:r>
    </w:p>
    <w:p w14:paraId="73501245"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При клинична употреба се започва с доза от 0,5-1,0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глицерил тринитрат</w:t>
      </w:r>
      <w:r w:rsidRPr="00426E5F">
        <w:rPr>
          <w:rFonts w:eastAsia="Times New Roman" w:cs="Arial"/>
          <w:color w:val="000000"/>
          <w:lang w:val="ru-RU"/>
        </w:rPr>
        <w:t xml:space="preserve"> </w:t>
      </w:r>
      <w:r w:rsidRPr="00426E5F">
        <w:rPr>
          <w:rFonts w:eastAsia="Times New Roman" w:cs="Arial"/>
          <w:color w:val="000000"/>
          <w:lang w:eastAsia="bg-BG"/>
        </w:rPr>
        <w:t>на час, като дозата се определя според индивидуалните нужди на пациента; по правило</w:t>
      </w:r>
    </w:p>
    <w:p w14:paraId="0305DE0D" w14:textId="5B1E10D8" w:rsidR="00426E5F" w:rsidRDefault="00426E5F" w:rsidP="00426E5F">
      <w:pPr>
        <w:rPr>
          <w:rFonts w:eastAsia="Times New Roman" w:cs="Arial"/>
          <w:color w:val="000000"/>
          <w:lang w:eastAsia="bg-BG"/>
        </w:rPr>
      </w:pPr>
      <w:r w:rsidRPr="00426E5F">
        <w:rPr>
          <w:rFonts w:eastAsia="Times New Roman" w:cs="Arial"/>
          <w:color w:val="000000"/>
          <w:lang w:eastAsia="bg-BG"/>
        </w:rPr>
        <w:t xml:space="preserve">максималната доза глицерил тринитрате 8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 xml:space="preserve">на час, рядко по 10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на час.</w:t>
      </w:r>
    </w:p>
    <w:p w14:paraId="2B79211C" w14:textId="60F80590" w:rsidR="00426E5F" w:rsidRDefault="00426E5F" w:rsidP="00426E5F">
      <w:pPr>
        <w:rPr>
          <w:rFonts w:eastAsia="Times New Roman" w:cs="Arial"/>
          <w:color w:val="000000"/>
          <w:lang w:eastAsia="bg-BG"/>
        </w:rPr>
      </w:pPr>
    </w:p>
    <w:p w14:paraId="32D0E6AC"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При </w:t>
      </w:r>
      <w:r w:rsidRPr="00426E5F">
        <w:rPr>
          <w:rFonts w:eastAsia="Times New Roman" w:cs="Arial"/>
          <w:color w:val="000000"/>
          <w:u w:val="single"/>
          <w:lang w:eastAsia="bg-BG"/>
        </w:rPr>
        <w:t>остър миокарден инфаркт</w:t>
      </w:r>
      <w:r w:rsidRPr="00426E5F">
        <w:rPr>
          <w:rFonts w:eastAsia="Times New Roman" w:cs="Arial"/>
          <w:color w:val="000000"/>
          <w:lang w:eastAsia="bg-BG"/>
        </w:rPr>
        <w:t xml:space="preserve"> би трябвало да се предприеме, колкото се може по- рано, продължителна интравенозна инфузия. Ако систоличното налягане надвишава 100 </w:t>
      </w:r>
      <w:r w:rsidRPr="00426E5F">
        <w:rPr>
          <w:rFonts w:eastAsia="Times New Roman" w:cs="Arial"/>
          <w:color w:val="000000"/>
          <w:lang w:val="en-US"/>
        </w:rPr>
        <w:t>mm</w:t>
      </w:r>
      <w:r w:rsidRPr="00426E5F">
        <w:rPr>
          <w:rFonts w:eastAsia="Times New Roman" w:cs="Arial"/>
          <w:color w:val="000000"/>
          <w:lang w:val="ru-RU"/>
        </w:rPr>
        <w:t xml:space="preserve"> </w:t>
      </w:r>
      <w:r w:rsidRPr="00426E5F">
        <w:rPr>
          <w:rFonts w:eastAsia="Times New Roman" w:cs="Arial"/>
          <w:color w:val="000000"/>
          <w:lang w:val="en-US"/>
        </w:rPr>
        <w:lastRenderedPageBreak/>
        <w:t>Hg</w:t>
      </w:r>
      <w:r w:rsidRPr="00426E5F">
        <w:rPr>
          <w:rFonts w:eastAsia="Times New Roman" w:cs="Arial"/>
          <w:color w:val="000000"/>
          <w:lang w:val="ru-RU"/>
        </w:rPr>
        <w:t xml:space="preserve">, </w:t>
      </w:r>
      <w:r w:rsidRPr="00426E5F">
        <w:rPr>
          <w:rFonts w:eastAsia="Times New Roman" w:cs="Arial"/>
          <w:color w:val="000000"/>
          <w:lang w:eastAsia="bg-BG"/>
        </w:rPr>
        <w:t xml:space="preserve">може да се вливат по 2-8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на час (33-133 μ</w:t>
      </w:r>
      <w:r w:rsidRPr="00426E5F">
        <w:rPr>
          <w:rFonts w:eastAsia="Times New Roman" w:cs="Arial"/>
          <w:color w:val="000000"/>
          <w:lang w:val="en-US"/>
        </w:rPr>
        <w:t>g</w:t>
      </w:r>
      <w:r w:rsidRPr="00426E5F">
        <w:rPr>
          <w:rFonts w:eastAsia="Times New Roman" w:cs="Arial"/>
          <w:color w:val="000000"/>
          <w:lang w:val="ru-RU"/>
        </w:rPr>
        <w:t xml:space="preserve"> </w:t>
      </w:r>
      <w:r w:rsidRPr="00426E5F">
        <w:rPr>
          <w:rFonts w:eastAsia="Times New Roman" w:cs="Arial"/>
          <w:color w:val="000000"/>
          <w:lang w:eastAsia="bg-BG"/>
        </w:rPr>
        <w:t xml:space="preserve">за минута), по изключение до 10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на час (166 μ</w:t>
      </w:r>
      <w:r w:rsidRPr="00426E5F">
        <w:rPr>
          <w:rFonts w:eastAsia="Times New Roman" w:cs="Arial"/>
          <w:color w:val="000000"/>
          <w:lang w:val="en-US"/>
        </w:rPr>
        <w:t>g</w:t>
      </w:r>
      <w:r w:rsidRPr="00426E5F">
        <w:rPr>
          <w:rFonts w:eastAsia="Times New Roman" w:cs="Arial"/>
          <w:color w:val="000000"/>
          <w:lang w:val="ru-RU"/>
        </w:rPr>
        <w:t xml:space="preserve"> </w:t>
      </w:r>
      <w:r w:rsidRPr="00426E5F">
        <w:rPr>
          <w:rFonts w:eastAsia="Times New Roman" w:cs="Arial"/>
          <w:color w:val="000000"/>
          <w:lang w:eastAsia="bg-BG"/>
        </w:rPr>
        <w:t xml:space="preserve">на минута), докато отзвучат симптомите на </w:t>
      </w:r>
      <w:r w:rsidRPr="00426E5F">
        <w:rPr>
          <w:rFonts w:eastAsia="Times New Roman" w:cs="Arial"/>
          <w:color w:val="000000"/>
          <w:lang w:val="en-US"/>
        </w:rPr>
        <w:t>angina</w:t>
      </w:r>
      <w:r w:rsidRPr="00426E5F">
        <w:rPr>
          <w:rFonts w:eastAsia="Times New Roman" w:cs="Arial"/>
          <w:color w:val="000000"/>
          <w:lang w:val="ru-RU"/>
        </w:rPr>
        <w:t xml:space="preserve"> </w:t>
      </w:r>
      <w:r w:rsidRPr="00426E5F">
        <w:rPr>
          <w:rFonts w:eastAsia="Times New Roman" w:cs="Arial"/>
          <w:color w:val="000000"/>
          <w:lang w:val="en-US"/>
        </w:rPr>
        <w:t>pectoris</w:t>
      </w:r>
      <w:r w:rsidRPr="00426E5F">
        <w:rPr>
          <w:rFonts w:eastAsia="Times New Roman" w:cs="Arial"/>
          <w:color w:val="000000"/>
          <w:lang w:val="ru-RU"/>
        </w:rPr>
        <w:t>.</w:t>
      </w:r>
    </w:p>
    <w:p w14:paraId="132E227D"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При </w:t>
      </w:r>
      <w:r w:rsidRPr="00426E5F">
        <w:rPr>
          <w:rFonts w:eastAsia="Times New Roman" w:cs="Arial"/>
          <w:color w:val="000000"/>
          <w:u w:val="single"/>
          <w:lang w:eastAsia="bg-BG"/>
        </w:rPr>
        <w:t>остра левокамерна сърдечна недостатъчност (белодробен оток):</w:t>
      </w:r>
      <w:r w:rsidRPr="00426E5F">
        <w:rPr>
          <w:rFonts w:eastAsia="Times New Roman" w:cs="Arial"/>
          <w:color w:val="000000"/>
          <w:lang w:eastAsia="bg-BG"/>
        </w:rPr>
        <w:t xml:space="preserve"> 2-8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 xml:space="preserve">на час (33- 133 </w:t>
      </w:r>
      <w:proofErr w:type="spellStart"/>
      <w:r w:rsidRPr="00426E5F">
        <w:rPr>
          <w:rFonts w:eastAsia="Times New Roman" w:cs="Arial"/>
          <w:color w:val="000000"/>
          <w:lang w:val="en-US"/>
        </w:rPr>
        <w:t>pg</w:t>
      </w:r>
      <w:proofErr w:type="spellEnd"/>
      <w:r w:rsidRPr="00426E5F">
        <w:rPr>
          <w:rFonts w:eastAsia="Times New Roman" w:cs="Arial"/>
          <w:color w:val="000000"/>
          <w:lang w:val="ru-RU"/>
        </w:rPr>
        <w:t xml:space="preserve"> </w:t>
      </w:r>
      <w:r w:rsidRPr="00426E5F">
        <w:rPr>
          <w:rFonts w:eastAsia="Times New Roman" w:cs="Arial"/>
          <w:color w:val="000000"/>
          <w:lang w:eastAsia="bg-BG"/>
        </w:rPr>
        <w:t>на минута) в продължение на 1-2 дни.</w:t>
      </w:r>
    </w:p>
    <w:p w14:paraId="6BEDCC41"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При </w:t>
      </w:r>
      <w:r w:rsidRPr="00426E5F">
        <w:rPr>
          <w:rFonts w:eastAsia="Times New Roman" w:cs="Arial"/>
          <w:color w:val="000000"/>
          <w:u w:val="single"/>
          <w:lang w:eastAsia="bg-BG"/>
        </w:rPr>
        <w:t xml:space="preserve">тежка </w:t>
      </w:r>
      <w:r w:rsidRPr="00426E5F">
        <w:rPr>
          <w:rFonts w:eastAsia="Times New Roman" w:cs="Arial"/>
          <w:color w:val="000000"/>
          <w:u w:val="single"/>
          <w:lang w:val="en-US"/>
        </w:rPr>
        <w:t>angina</w:t>
      </w:r>
      <w:r w:rsidRPr="00426E5F">
        <w:rPr>
          <w:rFonts w:eastAsia="Times New Roman" w:cs="Arial"/>
          <w:color w:val="000000"/>
          <w:u w:val="single"/>
          <w:lang w:val="ru-RU"/>
        </w:rPr>
        <w:t xml:space="preserve"> </w:t>
      </w:r>
      <w:r w:rsidRPr="00426E5F">
        <w:rPr>
          <w:rFonts w:eastAsia="Times New Roman" w:cs="Arial"/>
          <w:color w:val="000000"/>
          <w:u w:val="single"/>
          <w:lang w:val="en-US"/>
        </w:rPr>
        <w:t>pectoris</w:t>
      </w:r>
      <w:r w:rsidRPr="00426E5F">
        <w:rPr>
          <w:rFonts w:eastAsia="Times New Roman" w:cs="Arial"/>
          <w:color w:val="000000"/>
          <w:lang w:val="ru-RU"/>
        </w:rPr>
        <w:t xml:space="preserve"> </w:t>
      </w:r>
      <w:r w:rsidRPr="00426E5F">
        <w:rPr>
          <w:rFonts w:eastAsia="Times New Roman" w:cs="Arial"/>
          <w:color w:val="000000"/>
          <w:lang w:eastAsia="bg-BG"/>
        </w:rPr>
        <w:t xml:space="preserve">пациентът трябва да бъде приет в интензивно отделение и лекуван с доза от 2 до 8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 xml:space="preserve">на час (33-133 </w:t>
      </w:r>
      <w:proofErr w:type="spellStart"/>
      <w:r w:rsidRPr="00426E5F">
        <w:rPr>
          <w:rFonts w:eastAsia="Times New Roman" w:cs="Arial"/>
          <w:color w:val="000000"/>
          <w:lang w:val="en-US"/>
        </w:rPr>
        <w:t>pg</w:t>
      </w:r>
      <w:proofErr w:type="spellEnd"/>
      <w:r w:rsidRPr="00426E5F">
        <w:rPr>
          <w:rFonts w:eastAsia="Times New Roman" w:cs="Arial"/>
          <w:color w:val="000000"/>
          <w:lang w:val="ru-RU"/>
        </w:rPr>
        <w:t xml:space="preserve"> </w:t>
      </w:r>
      <w:r w:rsidRPr="00426E5F">
        <w:rPr>
          <w:rFonts w:eastAsia="Times New Roman" w:cs="Arial"/>
          <w:color w:val="000000"/>
          <w:lang w:eastAsia="bg-BG"/>
        </w:rPr>
        <w:t xml:space="preserve">на минута). Хемодинамичният статус трябва да се проверява непрекъснато по време на инфузията. Необходим е постоянен мониторинг на систолното и диастолно артериално налягане, сърдечната честота и хемодинамичните параметри (десен сърдечен катетър), както и на пулмонално артериално систолично налягане </w:t>
      </w:r>
      <w:r w:rsidRPr="00426E5F">
        <w:rPr>
          <w:rFonts w:eastAsia="Times New Roman" w:cs="Arial"/>
          <w:color w:val="000000"/>
          <w:lang w:val="ru-RU"/>
        </w:rPr>
        <w:t>(</w:t>
      </w:r>
      <w:r w:rsidRPr="00426E5F">
        <w:rPr>
          <w:rFonts w:eastAsia="Times New Roman" w:cs="Arial"/>
          <w:color w:val="000000"/>
          <w:lang w:val="en-US"/>
        </w:rPr>
        <w:t>PASP</w:t>
      </w:r>
      <w:r w:rsidRPr="00426E5F">
        <w:rPr>
          <w:rFonts w:eastAsia="Times New Roman" w:cs="Arial"/>
          <w:color w:val="000000"/>
          <w:lang w:val="ru-RU"/>
        </w:rPr>
        <w:t xml:space="preserve">), </w:t>
      </w:r>
      <w:r w:rsidRPr="00426E5F">
        <w:rPr>
          <w:rFonts w:eastAsia="Times New Roman" w:cs="Arial"/>
          <w:color w:val="000000"/>
          <w:lang w:eastAsia="bg-BG"/>
        </w:rPr>
        <w:t xml:space="preserve">пулмонално капилярно налягане (РСР), пулмонално диастолно налягане </w:t>
      </w:r>
      <w:r w:rsidRPr="00426E5F">
        <w:rPr>
          <w:rFonts w:eastAsia="Times New Roman" w:cs="Arial"/>
          <w:color w:val="000000"/>
          <w:lang w:val="ru-RU"/>
        </w:rPr>
        <w:t>(</w:t>
      </w:r>
      <w:r w:rsidRPr="00426E5F">
        <w:rPr>
          <w:rFonts w:eastAsia="Times New Roman" w:cs="Arial"/>
          <w:color w:val="000000"/>
          <w:lang w:val="en-US"/>
        </w:rPr>
        <w:t>PADP</w:t>
      </w:r>
      <w:r w:rsidRPr="00426E5F">
        <w:rPr>
          <w:rFonts w:eastAsia="Times New Roman" w:cs="Arial"/>
          <w:color w:val="000000"/>
          <w:lang w:val="ru-RU"/>
        </w:rPr>
        <w:t xml:space="preserve">), </w:t>
      </w:r>
      <w:r w:rsidRPr="00426E5F">
        <w:rPr>
          <w:rFonts w:eastAsia="Times New Roman" w:cs="Arial"/>
          <w:color w:val="000000"/>
          <w:lang w:eastAsia="bg-BG"/>
        </w:rPr>
        <w:t xml:space="preserve">кардиален капацитет </w:t>
      </w:r>
      <w:r w:rsidRPr="00426E5F">
        <w:rPr>
          <w:rFonts w:eastAsia="Times New Roman" w:cs="Arial"/>
          <w:color w:val="000000"/>
          <w:lang w:val="ru-RU"/>
        </w:rPr>
        <w:t>(</w:t>
      </w:r>
      <w:r w:rsidRPr="00426E5F">
        <w:rPr>
          <w:rFonts w:eastAsia="Times New Roman" w:cs="Arial"/>
          <w:color w:val="000000"/>
          <w:lang w:val="en-US"/>
        </w:rPr>
        <w:t>CO</w:t>
      </w:r>
      <w:r w:rsidRPr="00426E5F">
        <w:rPr>
          <w:rFonts w:eastAsia="Times New Roman" w:cs="Arial"/>
          <w:color w:val="000000"/>
          <w:lang w:val="ru-RU"/>
        </w:rPr>
        <w:t xml:space="preserve">) </w:t>
      </w:r>
      <w:r w:rsidRPr="00426E5F">
        <w:rPr>
          <w:rFonts w:eastAsia="Times New Roman" w:cs="Arial"/>
          <w:color w:val="000000"/>
          <w:lang w:eastAsia="bg-BG"/>
        </w:rPr>
        <w:t xml:space="preserve">и </w:t>
      </w:r>
      <w:r w:rsidRPr="00426E5F">
        <w:rPr>
          <w:rFonts w:eastAsia="Times New Roman" w:cs="Arial"/>
          <w:color w:val="000000"/>
          <w:lang w:val="en-US"/>
        </w:rPr>
        <w:t>ECG</w:t>
      </w:r>
      <w:r w:rsidRPr="00426E5F">
        <w:rPr>
          <w:rFonts w:eastAsia="Times New Roman" w:cs="Arial"/>
          <w:color w:val="000000"/>
          <w:lang w:val="ru-RU"/>
        </w:rPr>
        <w:t xml:space="preserve"> </w:t>
      </w:r>
      <w:r w:rsidRPr="00426E5F">
        <w:rPr>
          <w:rFonts w:eastAsia="Times New Roman" w:cs="Arial"/>
          <w:color w:val="000000"/>
          <w:lang w:eastAsia="bg-BG"/>
        </w:rPr>
        <w:t xml:space="preserve">(измерване на </w:t>
      </w:r>
      <w:r w:rsidRPr="00426E5F">
        <w:rPr>
          <w:rFonts w:eastAsia="Times New Roman" w:cs="Arial"/>
          <w:color w:val="000000"/>
          <w:lang w:val="en-US"/>
        </w:rPr>
        <w:t>ST</w:t>
      </w:r>
      <w:r w:rsidRPr="00426E5F">
        <w:rPr>
          <w:rFonts w:eastAsia="Times New Roman" w:cs="Arial"/>
          <w:color w:val="000000"/>
          <w:lang w:val="ru-RU"/>
        </w:rPr>
        <w:t xml:space="preserve"> </w:t>
      </w:r>
      <w:r w:rsidRPr="00426E5F">
        <w:rPr>
          <w:rFonts w:eastAsia="Times New Roman" w:cs="Arial"/>
          <w:color w:val="000000"/>
          <w:lang w:eastAsia="bg-BG"/>
        </w:rPr>
        <w:t>сегмент).</w:t>
      </w:r>
    </w:p>
    <w:p w14:paraId="1CC1D852"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При </w:t>
      </w:r>
      <w:r w:rsidRPr="00426E5F">
        <w:rPr>
          <w:rFonts w:eastAsia="Times New Roman" w:cs="Arial"/>
          <w:color w:val="000000"/>
          <w:u w:val="single"/>
          <w:lang w:eastAsia="bg-BG"/>
        </w:rPr>
        <w:t>хипертонични кризи със сърдечна недостатъчност,</w:t>
      </w:r>
      <w:r w:rsidRPr="00426E5F">
        <w:rPr>
          <w:rFonts w:eastAsia="Times New Roman" w:cs="Arial"/>
          <w:color w:val="000000"/>
          <w:lang w:eastAsia="bg-BG"/>
        </w:rPr>
        <w:t xml:space="preserve"> инфузия с доза от 2-8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 xml:space="preserve">на час (средно 5 </w:t>
      </w:r>
      <w:r w:rsidRPr="00426E5F">
        <w:rPr>
          <w:rFonts w:eastAsia="Times New Roman" w:cs="Arial"/>
          <w:color w:val="000000"/>
          <w:lang w:val="en-US"/>
        </w:rPr>
        <w:t>mg</w:t>
      </w:r>
      <w:r w:rsidRPr="00426E5F">
        <w:rPr>
          <w:rFonts w:eastAsia="Times New Roman" w:cs="Arial"/>
          <w:color w:val="000000"/>
          <w:lang w:val="ru-RU"/>
        </w:rPr>
        <w:t xml:space="preserve"> </w:t>
      </w:r>
      <w:r w:rsidRPr="00426E5F">
        <w:rPr>
          <w:rFonts w:eastAsia="Times New Roman" w:cs="Arial"/>
          <w:color w:val="000000"/>
          <w:lang w:eastAsia="bg-BG"/>
        </w:rPr>
        <w:t>на час), при продължителен мониторинг на артериалното налягане и сърдечната честота.</w:t>
      </w:r>
    </w:p>
    <w:p w14:paraId="53947B42"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При </w:t>
      </w:r>
      <w:r w:rsidRPr="00426E5F">
        <w:rPr>
          <w:rFonts w:eastAsia="Times New Roman" w:cs="Arial"/>
          <w:color w:val="000000"/>
          <w:u w:val="single"/>
          <w:lang w:eastAsia="bg-BG"/>
        </w:rPr>
        <w:t>контролирана хипотензия,</w:t>
      </w:r>
      <w:r w:rsidRPr="00426E5F">
        <w:rPr>
          <w:rFonts w:eastAsia="Times New Roman" w:cs="Arial"/>
          <w:color w:val="000000"/>
          <w:lang w:eastAsia="bg-BG"/>
        </w:rPr>
        <w:t xml:space="preserve"> в зависимост от анестезията и желаното намаляване на артериалното налягане, дозата е 2 - 10 μ</w:t>
      </w:r>
      <w:r w:rsidRPr="00426E5F">
        <w:rPr>
          <w:rFonts w:eastAsia="Times New Roman" w:cs="Arial"/>
          <w:color w:val="000000"/>
          <w:lang w:val="en-US"/>
        </w:rPr>
        <w:t>g</w:t>
      </w:r>
      <w:r w:rsidRPr="00426E5F">
        <w:rPr>
          <w:rFonts w:eastAsia="Times New Roman" w:cs="Arial"/>
          <w:color w:val="000000"/>
          <w:lang w:val="ru-RU"/>
        </w:rPr>
        <w:t>/</w:t>
      </w:r>
      <w:r w:rsidRPr="00426E5F">
        <w:rPr>
          <w:rFonts w:eastAsia="Times New Roman" w:cs="Arial"/>
          <w:color w:val="000000"/>
          <w:lang w:val="en-US"/>
        </w:rPr>
        <w:t>kg</w:t>
      </w:r>
      <w:r w:rsidRPr="00426E5F">
        <w:rPr>
          <w:rFonts w:eastAsia="Times New Roman" w:cs="Arial"/>
          <w:color w:val="000000"/>
          <w:lang w:val="ru-RU"/>
        </w:rPr>
        <w:t>/</w:t>
      </w:r>
      <w:r w:rsidRPr="00426E5F">
        <w:rPr>
          <w:rFonts w:eastAsia="Times New Roman" w:cs="Arial"/>
          <w:color w:val="000000"/>
          <w:lang w:val="en-US"/>
        </w:rPr>
        <w:t>min</w:t>
      </w:r>
      <w:r w:rsidRPr="00426E5F">
        <w:rPr>
          <w:rFonts w:eastAsia="Times New Roman" w:cs="Arial"/>
          <w:color w:val="000000"/>
          <w:lang w:val="ru-RU"/>
        </w:rPr>
        <w:t xml:space="preserve"> </w:t>
      </w:r>
      <w:r w:rsidRPr="00426E5F">
        <w:rPr>
          <w:rFonts w:eastAsia="Times New Roman" w:cs="Arial"/>
          <w:color w:val="000000"/>
          <w:lang w:eastAsia="bg-BG"/>
        </w:rPr>
        <w:t xml:space="preserve">под </w:t>
      </w:r>
      <w:r w:rsidRPr="00426E5F">
        <w:rPr>
          <w:rFonts w:eastAsia="Times New Roman" w:cs="Arial"/>
          <w:color w:val="000000"/>
          <w:lang w:val="en-US"/>
        </w:rPr>
        <w:t>ECG</w:t>
      </w:r>
      <w:r w:rsidRPr="00426E5F">
        <w:rPr>
          <w:rFonts w:eastAsia="Times New Roman" w:cs="Arial"/>
          <w:color w:val="000000"/>
          <w:lang w:val="ru-RU"/>
        </w:rPr>
        <w:t xml:space="preserve"> </w:t>
      </w:r>
      <w:r w:rsidRPr="00426E5F">
        <w:rPr>
          <w:rFonts w:eastAsia="Times New Roman" w:cs="Arial"/>
          <w:color w:val="000000"/>
          <w:lang w:eastAsia="bg-BG"/>
        </w:rPr>
        <w:t>контрол и инвазивен контрол на артериалното налягане.</w:t>
      </w:r>
    </w:p>
    <w:p w14:paraId="02497908"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При пациенти с нарушена чернодробна и бъбречна функция, дозата трябва да се редуцира според тежестта на дисфункцията.</w:t>
      </w:r>
    </w:p>
    <w:p w14:paraId="57B4EA84"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За да се избегне намаляване или загуба на активност, се избира възможно най-ниската клинично ефективна доза; ако е подходящо се обсъждат интермитентно приложение или алтерниращо лечение с други вазодилататори.</w:t>
      </w:r>
    </w:p>
    <w:p w14:paraId="5295B627" w14:textId="77777777" w:rsidR="00426E5F" w:rsidRPr="00426E5F" w:rsidRDefault="00426E5F" w:rsidP="00426E5F">
      <w:pPr>
        <w:spacing w:line="240" w:lineRule="auto"/>
        <w:rPr>
          <w:rFonts w:eastAsia="Times New Roman" w:cs="Arial"/>
        </w:rPr>
      </w:pPr>
      <w:r w:rsidRPr="00426E5F">
        <w:rPr>
          <w:rFonts w:eastAsia="Times New Roman" w:cs="Arial"/>
          <w:i/>
          <w:iCs/>
          <w:color w:val="000000"/>
          <w:lang w:eastAsia="bg-BG"/>
        </w:rPr>
        <w:t>Начин и продължителност на употреба</w:t>
      </w:r>
    </w:p>
    <w:p w14:paraId="5479CBBC"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Интравенозната инфузия на глицерил тринитратсе провежда в болнична обстановка и при постоянен кардиологичен контрол.</w:t>
      </w:r>
    </w:p>
    <w:p w14:paraId="5F89D5C5"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НИТРОНАЛ аквас може да се прилага неразреден, използвайки подходящи средства за вливане или разреден (т. напр. с физиологичен разтвор, глюкоза 5 %, глюкоза 10 %). При използване на лекарството в комбинация с други инфузионни разтвори, трябва да се съблюдава информацията на производителя за разтвора, който се използва, включително съвместимост, противопоказания, нежелани лекарствени реакции и лекарствени взаимодействия.</w:t>
      </w:r>
    </w:p>
    <w:p w14:paraId="51E7FA4C" w14:textId="77777777" w:rsidR="00426E5F" w:rsidRPr="00426E5F" w:rsidRDefault="00426E5F" w:rsidP="00426E5F">
      <w:pPr>
        <w:spacing w:line="240" w:lineRule="auto"/>
        <w:rPr>
          <w:rFonts w:eastAsia="Times New Roman" w:cs="Arial"/>
          <w:b/>
          <w:bCs/>
          <w:color w:val="000000"/>
          <w:lang w:eastAsia="bg-BG"/>
        </w:rPr>
      </w:pPr>
    </w:p>
    <w:p w14:paraId="45DAC4AD" w14:textId="74B80014" w:rsidR="00426E5F" w:rsidRPr="00426E5F" w:rsidRDefault="00426E5F" w:rsidP="00426E5F">
      <w:pPr>
        <w:spacing w:line="240" w:lineRule="auto"/>
        <w:rPr>
          <w:rFonts w:eastAsia="Times New Roman" w:cs="Arial"/>
        </w:rPr>
      </w:pPr>
      <w:r w:rsidRPr="00426E5F">
        <w:rPr>
          <w:rFonts w:eastAsia="Times New Roman" w:cs="Arial"/>
          <w:b/>
          <w:bCs/>
          <w:color w:val="000000"/>
          <w:lang w:eastAsia="bg-BG"/>
        </w:rPr>
        <w:t>Таблица за разреждания</w:t>
      </w:r>
    </w:p>
    <w:tbl>
      <w:tblPr>
        <w:tblStyle w:val="TableGrid"/>
        <w:tblW w:w="0" w:type="auto"/>
        <w:tblLook w:val="04A0" w:firstRow="1" w:lastRow="0" w:firstColumn="1" w:lastColumn="0" w:noHBand="0" w:noVBand="1"/>
      </w:tblPr>
      <w:tblGrid>
        <w:gridCol w:w="1594"/>
        <w:gridCol w:w="1305"/>
        <w:gridCol w:w="1315"/>
        <w:gridCol w:w="1278"/>
        <w:gridCol w:w="1286"/>
        <w:gridCol w:w="1286"/>
        <w:gridCol w:w="1286"/>
      </w:tblGrid>
      <w:tr w:rsidR="00426E5F" w14:paraId="74E21D9B" w14:textId="77777777" w:rsidTr="00426E5F">
        <w:tc>
          <w:tcPr>
            <w:tcW w:w="1594" w:type="dxa"/>
          </w:tcPr>
          <w:p w14:paraId="1924E10C" w14:textId="52954BFC" w:rsidR="00426E5F" w:rsidRPr="00426E5F" w:rsidRDefault="00426E5F" w:rsidP="00426E5F">
            <w:pPr>
              <w:rPr>
                <w:rFonts w:cs="Arial"/>
              </w:rPr>
            </w:pPr>
            <w:r w:rsidRPr="00426E5F">
              <w:t>Количество на активното вещество (глицерил тринитрат)</w:t>
            </w:r>
          </w:p>
        </w:tc>
        <w:tc>
          <w:tcPr>
            <w:tcW w:w="1343" w:type="dxa"/>
          </w:tcPr>
          <w:p w14:paraId="36DA3724" w14:textId="77777777" w:rsidR="00426E5F" w:rsidRPr="00426E5F" w:rsidRDefault="00426E5F" w:rsidP="00426E5F">
            <w:pPr>
              <w:rPr>
                <w:rFonts w:cs="Arial"/>
              </w:rPr>
            </w:pPr>
          </w:p>
        </w:tc>
        <w:tc>
          <w:tcPr>
            <w:tcW w:w="1347" w:type="dxa"/>
          </w:tcPr>
          <w:p w14:paraId="6C82393E" w14:textId="4490ECCC" w:rsidR="00426E5F" w:rsidRPr="00426E5F" w:rsidRDefault="00426E5F" w:rsidP="00426E5F">
            <w:pPr>
              <w:rPr>
                <w:rFonts w:cs="Arial"/>
              </w:rPr>
            </w:pPr>
            <w:r w:rsidRPr="00426E5F">
              <w:t xml:space="preserve">10 </w:t>
            </w:r>
            <w:r w:rsidRPr="00426E5F">
              <w:rPr>
                <w:lang w:val="en-US"/>
              </w:rPr>
              <w:t>mg</w:t>
            </w:r>
          </w:p>
        </w:tc>
        <w:tc>
          <w:tcPr>
            <w:tcW w:w="1323" w:type="dxa"/>
          </w:tcPr>
          <w:p w14:paraId="5ADADF35" w14:textId="2FDB9BEE" w:rsidR="00426E5F" w:rsidRPr="00426E5F" w:rsidRDefault="00426E5F" w:rsidP="00426E5F">
            <w:pPr>
              <w:rPr>
                <w:rFonts w:cs="Arial"/>
              </w:rPr>
            </w:pPr>
            <w:r w:rsidRPr="00426E5F">
              <w:t>20 mg</w:t>
            </w:r>
          </w:p>
        </w:tc>
        <w:tc>
          <w:tcPr>
            <w:tcW w:w="1323" w:type="dxa"/>
          </w:tcPr>
          <w:p w14:paraId="19B1CC72" w14:textId="16F9D673" w:rsidR="00426E5F" w:rsidRPr="00426E5F" w:rsidRDefault="00426E5F" w:rsidP="00426E5F">
            <w:pPr>
              <w:rPr>
                <w:rFonts w:cs="Arial"/>
              </w:rPr>
            </w:pPr>
            <w:r w:rsidRPr="00426E5F">
              <w:t>30 mg</w:t>
            </w:r>
          </w:p>
        </w:tc>
        <w:tc>
          <w:tcPr>
            <w:tcW w:w="1323" w:type="dxa"/>
          </w:tcPr>
          <w:p w14:paraId="54FD033C" w14:textId="09A4BD37" w:rsidR="00426E5F" w:rsidRPr="00426E5F" w:rsidRDefault="00426E5F" w:rsidP="00426E5F">
            <w:pPr>
              <w:rPr>
                <w:rFonts w:cs="Arial"/>
              </w:rPr>
            </w:pPr>
            <w:r w:rsidRPr="00426E5F">
              <w:t>40 mg</w:t>
            </w:r>
          </w:p>
        </w:tc>
        <w:tc>
          <w:tcPr>
            <w:tcW w:w="1323" w:type="dxa"/>
          </w:tcPr>
          <w:p w14:paraId="0971FC20" w14:textId="0FFBACBE" w:rsidR="00426E5F" w:rsidRPr="00426E5F" w:rsidRDefault="00426E5F" w:rsidP="00426E5F">
            <w:pPr>
              <w:rPr>
                <w:rFonts w:cs="Arial"/>
              </w:rPr>
            </w:pPr>
            <w:r w:rsidRPr="00426E5F">
              <w:t>50 mg</w:t>
            </w:r>
          </w:p>
        </w:tc>
      </w:tr>
      <w:tr w:rsidR="00426E5F" w14:paraId="28522800" w14:textId="77777777" w:rsidTr="00426E5F">
        <w:tc>
          <w:tcPr>
            <w:tcW w:w="1594" w:type="dxa"/>
          </w:tcPr>
          <w:p w14:paraId="2196B62D" w14:textId="06D91751" w:rsidR="00426E5F" w:rsidRPr="00426E5F" w:rsidRDefault="00426E5F" w:rsidP="00426E5F">
            <w:pPr>
              <w:rPr>
                <w:rFonts w:cs="Arial"/>
              </w:rPr>
            </w:pPr>
            <w:r w:rsidRPr="00426E5F">
              <w:t>НИТРОНАЛ аквас, разтвор</w:t>
            </w:r>
          </w:p>
        </w:tc>
        <w:tc>
          <w:tcPr>
            <w:tcW w:w="1343" w:type="dxa"/>
          </w:tcPr>
          <w:p w14:paraId="2DD7A15C" w14:textId="77777777" w:rsidR="00426E5F" w:rsidRPr="00426E5F" w:rsidRDefault="00426E5F" w:rsidP="00426E5F">
            <w:pPr>
              <w:rPr>
                <w:rFonts w:cs="Arial"/>
              </w:rPr>
            </w:pPr>
          </w:p>
        </w:tc>
        <w:tc>
          <w:tcPr>
            <w:tcW w:w="1347" w:type="dxa"/>
          </w:tcPr>
          <w:p w14:paraId="44560510" w14:textId="516043A9" w:rsidR="00426E5F" w:rsidRPr="00426E5F" w:rsidRDefault="00426E5F" w:rsidP="00426E5F">
            <w:pPr>
              <w:rPr>
                <w:rFonts w:cs="Arial"/>
              </w:rPr>
            </w:pPr>
            <w:r w:rsidRPr="00426E5F">
              <w:rPr>
                <w:lang w:val="en-US"/>
              </w:rPr>
              <w:t>10 ml</w:t>
            </w:r>
          </w:p>
        </w:tc>
        <w:tc>
          <w:tcPr>
            <w:tcW w:w="1323" w:type="dxa"/>
          </w:tcPr>
          <w:p w14:paraId="330D0AF5" w14:textId="451EAC9F" w:rsidR="00426E5F" w:rsidRPr="00426E5F" w:rsidRDefault="00426E5F" w:rsidP="00426E5F">
            <w:pPr>
              <w:rPr>
                <w:rFonts w:cs="Arial"/>
              </w:rPr>
            </w:pPr>
            <w:r w:rsidRPr="00426E5F">
              <w:t>20 ml</w:t>
            </w:r>
          </w:p>
        </w:tc>
        <w:tc>
          <w:tcPr>
            <w:tcW w:w="1323" w:type="dxa"/>
          </w:tcPr>
          <w:p w14:paraId="166A322C" w14:textId="44D1210F" w:rsidR="00426E5F" w:rsidRPr="00426E5F" w:rsidRDefault="00426E5F" w:rsidP="00426E5F">
            <w:pPr>
              <w:rPr>
                <w:rFonts w:cs="Arial"/>
              </w:rPr>
            </w:pPr>
            <w:r w:rsidRPr="00426E5F">
              <w:t>30 ml</w:t>
            </w:r>
          </w:p>
        </w:tc>
        <w:tc>
          <w:tcPr>
            <w:tcW w:w="1323" w:type="dxa"/>
          </w:tcPr>
          <w:p w14:paraId="03137B4F" w14:textId="25EE195D" w:rsidR="00426E5F" w:rsidRPr="00426E5F" w:rsidRDefault="00426E5F" w:rsidP="00426E5F">
            <w:pPr>
              <w:rPr>
                <w:rFonts w:cs="Arial"/>
              </w:rPr>
            </w:pPr>
            <w:r w:rsidRPr="00426E5F">
              <w:t>40 ml</w:t>
            </w:r>
          </w:p>
        </w:tc>
        <w:tc>
          <w:tcPr>
            <w:tcW w:w="1323" w:type="dxa"/>
          </w:tcPr>
          <w:p w14:paraId="1D6E3774" w14:textId="3A4FC141" w:rsidR="00426E5F" w:rsidRPr="00426E5F" w:rsidRDefault="00426E5F" w:rsidP="00426E5F">
            <w:pPr>
              <w:rPr>
                <w:rFonts w:cs="Arial"/>
              </w:rPr>
            </w:pPr>
            <w:r w:rsidRPr="00426E5F">
              <w:t>50 ml</w:t>
            </w:r>
          </w:p>
        </w:tc>
      </w:tr>
      <w:tr w:rsidR="00426E5F" w14:paraId="2C3FCF7A" w14:textId="77777777" w:rsidTr="00426E5F">
        <w:tc>
          <w:tcPr>
            <w:tcW w:w="1594" w:type="dxa"/>
          </w:tcPr>
          <w:p w14:paraId="72D53DB9" w14:textId="75107DF0" w:rsidR="00426E5F" w:rsidRPr="00426E5F" w:rsidRDefault="00426E5F" w:rsidP="00426E5F">
            <w:pPr>
              <w:rPr>
                <w:rFonts w:cs="Arial"/>
              </w:rPr>
            </w:pPr>
            <w:r w:rsidRPr="00426E5F">
              <w:t>Разреждания за</w:t>
            </w:r>
          </w:p>
        </w:tc>
        <w:tc>
          <w:tcPr>
            <w:tcW w:w="1343" w:type="dxa"/>
          </w:tcPr>
          <w:p w14:paraId="79ADC51C" w14:textId="14BC4E56" w:rsidR="00426E5F" w:rsidRPr="00426E5F" w:rsidRDefault="00426E5F" w:rsidP="00426E5F">
            <w:pPr>
              <w:rPr>
                <w:rFonts w:cs="Arial"/>
              </w:rPr>
            </w:pPr>
            <w:r w:rsidRPr="00426E5F">
              <w:t>1+10</w:t>
            </w:r>
          </w:p>
        </w:tc>
        <w:tc>
          <w:tcPr>
            <w:tcW w:w="1347" w:type="dxa"/>
          </w:tcPr>
          <w:p w14:paraId="1A6FBA63" w14:textId="1715ED52" w:rsidR="00426E5F" w:rsidRPr="00426E5F" w:rsidRDefault="00426E5F" w:rsidP="00426E5F">
            <w:pPr>
              <w:rPr>
                <w:rFonts w:cs="Arial"/>
              </w:rPr>
            </w:pPr>
            <w:r w:rsidRPr="00426E5F">
              <w:rPr>
                <w:lang w:val="en-US"/>
              </w:rPr>
              <w:t>100 ml</w:t>
            </w:r>
          </w:p>
        </w:tc>
        <w:tc>
          <w:tcPr>
            <w:tcW w:w="1323" w:type="dxa"/>
          </w:tcPr>
          <w:p w14:paraId="4B4E1B24" w14:textId="20B5A47F" w:rsidR="00426E5F" w:rsidRPr="00426E5F" w:rsidRDefault="00426E5F" w:rsidP="00426E5F">
            <w:pPr>
              <w:rPr>
                <w:rFonts w:cs="Arial"/>
              </w:rPr>
            </w:pPr>
            <w:r w:rsidRPr="00426E5F">
              <w:t>200 ml</w:t>
            </w:r>
          </w:p>
        </w:tc>
        <w:tc>
          <w:tcPr>
            <w:tcW w:w="1323" w:type="dxa"/>
          </w:tcPr>
          <w:p w14:paraId="0E74103E" w14:textId="7374535B" w:rsidR="00426E5F" w:rsidRPr="00426E5F" w:rsidRDefault="00426E5F" w:rsidP="00426E5F">
            <w:pPr>
              <w:rPr>
                <w:rFonts w:cs="Arial"/>
              </w:rPr>
            </w:pPr>
            <w:r w:rsidRPr="00426E5F">
              <w:t>300 ml</w:t>
            </w:r>
          </w:p>
        </w:tc>
        <w:tc>
          <w:tcPr>
            <w:tcW w:w="1323" w:type="dxa"/>
          </w:tcPr>
          <w:p w14:paraId="159FDE09" w14:textId="50AEC53D" w:rsidR="00426E5F" w:rsidRPr="00426E5F" w:rsidRDefault="00426E5F" w:rsidP="00426E5F">
            <w:pPr>
              <w:rPr>
                <w:rFonts w:cs="Arial"/>
              </w:rPr>
            </w:pPr>
            <w:r w:rsidRPr="00426E5F">
              <w:t>400 ml</w:t>
            </w:r>
          </w:p>
        </w:tc>
        <w:tc>
          <w:tcPr>
            <w:tcW w:w="1323" w:type="dxa"/>
          </w:tcPr>
          <w:p w14:paraId="3115CBFF" w14:textId="5BD1A6AD" w:rsidR="00426E5F" w:rsidRPr="00426E5F" w:rsidRDefault="00426E5F" w:rsidP="00426E5F">
            <w:pPr>
              <w:rPr>
                <w:rFonts w:cs="Arial"/>
              </w:rPr>
            </w:pPr>
            <w:r w:rsidRPr="00426E5F">
              <w:t>500 ml</w:t>
            </w:r>
          </w:p>
        </w:tc>
      </w:tr>
      <w:tr w:rsidR="00426E5F" w14:paraId="00A53028" w14:textId="77777777" w:rsidTr="00426E5F">
        <w:tc>
          <w:tcPr>
            <w:tcW w:w="1594" w:type="dxa"/>
            <w:vMerge w:val="restart"/>
          </w:tcPr>
          <w:p w14:paraId="27074CFE" w14:textId="3F3E1F7B" w:rsidR="00426E5F" w:rsidRPr="00426E5F" w:rsidRDefault="00426E5F" w:rsidP="00426E5F">
            <w:pPr>
              <w:rPr>
                <w:rFonts w:cs="Arial"/>
              </w:rPr>
            </w:pPr>
            <w:r w:rsidRPr="00426E5F">
              <w:t>инфузионен р-р</w:t>
            </w:r>
          </w:p>
        </w:tc>
        <w:tc>
          <w:tcPr>
            <w:tcW w:w="1343" w:type="dxa"/>
          </w:tcPr>
          <w:p w14:paraId="5E2185A9" w14:textId="4D4A9078" w:rsidR="00426E5F" w:rsidRPr="00426E5F" w:rsidRDefault="00426E5F" w:rsidP="00426E5F">
            <w:pPr>
              <w:rPr>
                <w:rFonts w:cs="Arial"/>
              </w:rPr>
            </w:pPr>
            <w:r w:rsidRPr="00426E5F">
              <w:t>1+20</w:t>
            </w:r>
          </w:p>
        </w:tc>
        <w:tc>
          <w:tcPr>
            <w:tcW w:w="1347" w:type="dxa"/>
          </w:tcPr>
          <w:p w14:paraId="471198FC" w14:textId="40951CD1" w:rsidR="00426E5F" w:rsidRPr="00426E5F" w:rsidRDefault="00426E5F" w:rsidP="00426E5F">
            <w:pPr>
              <w:rPr>
                <w:rFonts w:cs="Arial"/>
              </w:rPr>
            </w:pPr>
            <w:r w:rsidRPr="00426E5F">
              <w:rPr>
                <w:lang w:val="en-US"/>
              </w:rPr>
              <w:t>200 ml</w:t>
            </w:r>
          </w:p>
        </w:tc>
        <w:tc>
          <w:tcPr>
            <w:tcW w:w="1323" w:type="dxa"/>
          </w:tcPr>
          <w:p w14:paraId="0926C74E" w14:textId="14F41BCF" w:rsidR="00426E5F" w:rsidRPr="00426E5F" w:rsidRDefault="00426E5F" w:rsidP="00426E5F">
            <w:pPr>
              <w:rPr>
                <w:rFonts w:cs="Arial"/>
              </w:rPr>
            </w:pPr>
            <w:r w:rsidRPr="00426E5F">
              <w:t>400 ml</w:t>
            </w:r>
          </w:p>
        </w:tc>
        <w:tc>
          <w:tcPr>
            <w:tcW w:w="1323" w:type="dxa"/>
          </w:tcPr>
          <w:p w14:paraId="2FB8A0F4" w14:textId="73DB8952" w:rsidR="00426E5F" w:rsidRPr="00426E5F" w:rsidRDefault="00426E5F" w:rsidP="00426E5F">
            <w:pPr>
              <w:rPr>
                <w:rFonts w:cs="Arial"/>
              </w:rPr>
            </w:pPr>
            <w:r w:rsidRPr="00426E5F">
              <w:t>600 ml</w:t>
            </w:r>
          </w:p>
        </w:tc>
        <w:tc>
          <w:tcPr>
            <w:tcW w:w="1323" w:type="dxa"/>
          </w:tcPr>
          <w:p w14:paraId="59036B29" w14:textId="483006AD" w:rsidR="00426E5F" w:rsidRPr="00426E5F" w:rsidRDefault="00426E5F" w:rsidP="00426E5F">
            <w:pPr>
              <w:rPr>
                <w:rFonts w:cs="Arial"/>
              </w:rPr>
            </w:pPr>
            <w:r w:rsidRPr="00426E5F">
              <w:t>800 ml</w:t>
            </w:r>
          </w:p>
        </w:tc>
        <w:tc>
          <w:tcPr>
            <w:tcW w:w="1323" w:type="dxa"/>
          </w:tcPr>
          <w:p w14:paraId="7332D869" w14:textId="757CE64C" w:rsidR="00426E5F" w:rsidRPr="00426E5F" w:rsidRDefault="00426E5F" w:rsidP="00426E5F">
            <w:pPr>
              <w:rPr>
                <w:rFonts w:cs="Arial"/>
              </w:rPr>
            </w:pPr>
            <w:r w:rsidRPr="00426E5F">
              <w:t>1000 ml</w:t>
            </w:r>
          </w:p>
        </w:tc>
      </w:tr>
      <w:tr w:rsidR="00426E5F" w14:paraId="00762C46" w14:textId="77777777" w:rsidTr="00426E5F">
        <w:tc>
          <w:tcPr>
            <w:tcW w:w="1594" w:type="dxa"/>
            <w:vMerge/>
          </w:tcPr>
          <w:p w14:paraId="5C351352" w14:textId="77777777" w:rsidR="00426E5F" w:rsidRPr="00426E5F" w:rsidRDefault="00426E5F" w:rsidP="00426E5F">
            <w:pPr>
              <w:rPr>
                <w:rFonts w:cs="Arial"/>
              </w:rPr>
            </w:pPr>
          </w:p>
        </w:tc>
        <w:tc>
          <w:tcPr>
            <w:tcW w:w="1343" w:type="dxa"/>
          </w:tcPr>
          <w:p w14:paraId="7B3311BF" w14:textId="337F53DF" w:rsidR="00426E5F" w:rsidRPr="00426E5F" w:rsidRDefault="00426E5F" w:rsidP="00426E5F">
            <w:pPr>
              <w:rPr>
                <w:rFonts w:cs="Arial"/>
              </w:rPr>
            </w:pPr>
            <w:r w:rsidRPr="00426E5F">
              <w:t>1+40</w:t>
            </w:r>
          </w:p>
        </w:tc>
        <w:tc>
          <w:tcPr>
            <w:tcW w:w="1347" w:type="dxa"/>
          </w:tcPr>
          <w:p w14:paraId="713CB356" w14:textId="36C1529A" w:rsidR="00426E5F" w:rsidRPr="00426E5F" w:rsidRDefault="00426E5F" w:rsidP="00426E5F">
            <w:pPr>
              <w:rPr>
                <w:rFonts w:cs="Arial"/>
              </w:rPr>
            </w:pPr>
            <w:r w:rsidRPr="00426E5F">
              <w:rPr>
                <w:lang w:val="en-US"/>
              </w:rPr>
              <w:t>400 ml</w:t>
            </w:r>
          </w:p>
        </w:tc>
        <w:tc>
          <w:tcPr>
            <w:tcW w:w="1323" w:type="dxa"/>
          </w:tcPr>
          <w:p w14:paraId="40B8DA43" w14:textId="539BEE70" w:rsidR="00426E5F" w:rsidRPr="00426E5F" w:rsidRDefault="00426E5F" w:rsidP="00426E5F">
            <w:pPr>
              <w:rPr>
                <w:rFonts w:cs="Arial"/>
              </w:rPr>
            </w:pPr>
            <w:r w:rsidRPr="00426E5F">
              <w:t>800 ml</w:t>
            </w:r>
          </w:p>
        </w:tc>
        <w:tc>
          <w:tcPr>
            <w:tcW w:w="1323" w:type="dxa"/>
          </w:tcPr>
          <w:p w14:paraId="0E9A0519" w14:textId="20173035" w:rsidR="00426E5F" w:rsidRPr="00426E5F" w:rsidRDefault="00426E5F" w:rsidP="00426E5F">
            <w:pPr>
              <w:rPr>
                <w:rFonts w:cs="Arial"/>
              </w:rPr>
            </w:pPr>
            <w:r w:rsidRPr="00426E5F">
              <w:t>1200 ml</w:t>
            </w:r>
          </w:p>
        </w:tc>
        <w:tc>
          <w:tcPr>
            <w:tcW w:w="1323" w:type="dxa"/>
          </w:tcPr>
          <w:p w14:paraId="45C251DE" w14:textId="34A11BD9" w:rsidR="00426E5F" w:rsidRPr="00426E5F" w:rsidRDefault="00426E5F" w:rsidP="00426E5F">
            <w:pPr>
              <w:rPr>
                <w:rFonts w:cs="Arial"/>
              </w:rPr>
            </w:pPr>
            <w:r w:rsidRPr="00426E5F">
              <w:t>1600 ml</w:t>
            </w:r>
          </w:p>
        </w:tc>
        <w:tc>
          <w:tcPr>
            <w:tcW w:w="1323" w:type="dxa"/>
          </w:tcPr>
          <w:p w14:paraId="4ACB9DEB" w14:textId="23B62F52" w:rsidR="00426E5F" w:rsidRPr="00426E5F" w:rsidRDefault="00426E5F" w:rsidP="00426E5F">
            <w:pPr>
              <w:rPr>
                <w:rFonts w:cs="Arial"/>
              </w:rPr>
            </w:pPr>
            <w:r w:rsidRPr="00426E5F">
              <w:t>2000 ml</w:t>
            </w:r>
          </w:p>
        </w:tc>
      </w:tr>
      <w:tr w:rsidR="00426E5F" w14:paraId="39C72259" w14:textId="77777777" w:rsidTr="00426E5F">
        <w:tc>
          <w:tcPr>
            <w:tcW w:w="1594" w:type="dxa"/>
            <w:vMerge w:val="restart"/>
          </w:tcPr>
          <w:p w14:paraId="508D1C1F" w14:textId="318AA774" w:rsidR="00426E5F" w:rsidRPr="00426E5F" w:rsidRDefault="00426E5F" w:rsidP="00426E5F">
            <w:pPr>
              <w:rPr>
                <w:rFonts w:cs="Arial"/>
              </w:rPr>
            </w:pPr>
            <w:r w:rsidRPr="00426E5F">
              <w:t>Готов разтвор</w:t>
            </w:r>
          </w:p>
        </w:tc>
        <w:tc>
          <w:tcPr>
            <w:tcW w:w="1343" w:type="dxa"/>
          </w:tcPr>
          <w:p w14:paraId="507CAEEC" w14:textId="2F46C7E3" w:rsidR="00426E5F" w:rsidRPr="00426E5F" w:rsidRDefault="00426E5F" w:rsidP="00426E5F">
            <w:pPr>
              <w:rPr>
                <w:rFonts w:cs="Arial"/>
              </w:rPr>
            </w:pPr>
            <w:r w:rsidRPr="00426E5F">
              <w:t>1+10</w:t>
            </w:r>
          </w:p>
        </w:tc>
        <w:tc>
          <w:tcPr>
            <w:tcW w:w="1347" w:type="dxa"/>
          </w:tcPr>
          <w:p w14:paraId="5A4F7AFC" w14:textId="496F1287" w:rsidR="00426E5F" w:rsidRPr="00426E5F" w:rsidRDefault="00426E5F" w:rsidP="00426E5F">
            <w:pPr>
              <w:rPr>
                <w:rFonts w:cs="Arial"/>
              </w:rPr>
            </w:pPr>
            <w:r w:rsidRPr="00426E5F">
              <w:rPr>
                <w:lang w:val="en-US"/>
              </w:rPr>
              <w:t>110ml</w:t>
            </w:r>
          </w:p>
        </w:tc>
        <w:tc>
          <w:tcPr>
            <w:tcW w:w="1323" w:type="dxa"/>
          </w:tcPr>
          <w:p w14:paraId="362DFAED" w14:textId="1F422E50" w:rsidR="00426E5F" w:rsidRPr="00426E5F" w:rsidRDefault="00426E5F" w:rsidP="00426E5F">
            <w:pPr>
              <w:rPr>
                <w:rFonts w:cs="Arial"/>
              </w:rPr>
            </w:pPr>
            <w:r w:rsidRPr="00426E5F">
              <w:t>220 ml</w:t>
            </w:r>
          </w:p>
        </w:tc>
        <w:tc>
          <w:tcPr>
            <w:tcW w:w="1323" w:type="dxa"/>
          </w:tcPr>
          <w:p w14:paraId="1D0026B9" w14:textId="48F77E84" w:rsidR="00426E5F" w:rsidRPr="00426E5F" w:rsidRDefault="00426E5F" w:rsidP="00426E5F">
            <w:pPr>
              <w:rPr>
                <w:rFonts w:cs="Arial"/>
              </w:rPr>
            </w:pPr>
            <w:r w:rsidRPr="00426E5F">
              <w:t>330 ml</w:t>
            </w:r>
          </w:p>
        </w:tc>
        <w:tc>
          <w:tcPr>
            <w:tcW w:w="1323" w:type="dxa"/>
          </w:tcPr>
          <w:p w14:paraId="29DA4BC5" w14:textId="59BD646B" w:rsidR="00426E5F" w:rsidRPr="00426E5F" w:rsidRDefault="00426E5F" w:rsidP="00426E5F">
            <w:pPr>
              <w:rPr>
                <w:rFonts w:cs="Arial"/>
              </w:rPr>
            </w:pPr>
            <w:r w:rsidRPr="00426E5F">
              <w:t>440 ml</w:t>
            </w:r>
          </w:p>
        </w:tc>
        <w:tc>
          <w:tcPr>
            <w:tcW w:w="1323" w:type="dxa"/>
          </w:tcPr>
          <w:p w14:paraId="36997FC3" w14:textId="51C24E3D" w:rsidR="00426E5F" w:rsidRPr="00426E5F" w:rsidRDefault="00426E5F" w:rsidP="00426E5F">
            <w:pPr>
              <w:rPr>
                <w:rFonts w:cs="Arial"/>
              </w:rPr>
            </w:pPr>
            <w:r w:rsidRPr="00426E5F">
              <w:t>550 ml</w:t>
            </w:r>
          </w:p>
        </w:tc>
      </w:tr>
      <w:tr w:rsidR="00426E5F" w14:paraId="077CBF05" w14:textId="77777777" w:rsidTr="00426E5F">
        <w:tc>
          <w:tcPr>
            <w:tcW w:w="1594" w:type="dxa"/>
            <w:vMerge/>
          </w:tcPr>
          <w:p w14:paraId="277D8740" w14:textId="77777777" w:rsidR="00426E5F" w:rsidRPr="00426E5F" w:rsidRDefault="00426E5F" w:rsidP="00426E5F">
            <w:pPr>
              <w:rPr>
                <w:rFonts w:cs="Arial"/>
              </w:rPr>
            </w:pPr>
          </w:p>
        </w:tc>
        <w:tc>
          <w:tcPr>
            <w:tcW w:w="1343" w:type="dxa"/>
          </w:tcPr>
          <w:p w14:paraId="15BA70B4" w14:textId="45268E53" w:rsidR="00426E5F" w:rsidRPr="00426E5F" w:rsidRDefault="00426E5F" w:rsidP="00426E5F">
            <w:pPr>
              <w:rPr>
                <w:rFonts w:cs="Arial"/>
              </w:rPr>
            </w:pPr>
            <w:r w:rsidRPr="00426E5F">
              <w:t>1+20</w:t>
            </w:r>
          </w:p>
        </w:tc>
        <w:tc>
          <w:tcPr>
            <w:tcW w:w="1347" w:type="dxa"/>
          </w:tcPr>
          <w:p w14:paraId="2C8263B0" w14:textId="732ED25A" w:rsidR="00426E5F" w:rsidRPr="00426E5F" w:rsidRDefault="00426E5F" w:rsidP="00426E5F">
            <w:pPr>
              <w:rPr>
                <w:rFonts w:cs="Arial"/>
              </w:rPr>
            </w:pPr>
            <w:r w:rsidRPr="00426E5F">
              <w:rPr>
                <w:lang w:val="en-US"/>
              </w:rPr>
              <w:t>210 ml</w:t>
            </w:r>
          </w:p>
        </w:tc>
        <w:tc>
          <w:tcPr>
            <w:tcW w:w="1323" w:type="dxa"/>
          </w:tcPr>
          <w:p w14:paraId="2137168E" w14:textId="26404D2F" w:rsidR="00426E5F" w:rsidRPr="00426E5F" w:rsidRDefault="00426E5F" w:rsidP="00426E5F">
            <w:pPr>
              <w:rPr>
                <w:rFonts w:cs="Arial"/>
              </w:rPr>
            </w:pPr>
            <w:r w:rsidRPr="00426E5F">
              <w:t>420 ml</w:t>
            </w:r>
          </w:p>
        </w:tc>
        <w:tc>
          <w:tcPr>
            <w:tcW w:w="1323" w:type="dxa"/>
          </w:tcPr>
          <w:p w14:paraId="5969013A" w14:textId="0BDDC172" w:rsidR="00426E5F" w:rsidRPr="00426E5F" w:rsidRDefault="00426E5F" w:rsidP="00426E5F">
            <w:pPr>
              <w:rPr>
                <w:rFonts w:cs="Arial"/>
              </w:rPr>
            </w:pPr>
            <w:r w:rsidRPr="00426E5F">
              <w:t>630 ml</w:t>
            </w:r>
          </w:p>
        </w:tc>
        <w:tc>
          <w:tcPr>
            <w:tcW w:w="1323" w:type="dxa"/>
          </w:tcPr>
          <w:p w14:paraId="2C60FE64" w14:textId="5552DCD3" w:rsidR="00426E5F" w:rsidRPr="00426E5F" w:rsidRDefault="00426E5F" w:rsidP="00426E5F">
            <w:pPr>
              <w:rPr>
                <w:rFonts w:cs="Arial"/>
              </w:rPr>
            </w:pPr>
            <w:r w:rsidRPr="00426E5F">
              <w:t>840 ml</w:t>
            </w:r>
          </w:p>
        </w:tc>
        <w:tc>
          <w:tcPr>
            <w:tcW w:w="1323" w:type="dxa"/>
          </w:tcPr>
          <w:p w14:paraId="200C0085" w14:textId="66EE5D25" w:rsidR="00426E5F" w:rsidRPr="00426E5F" w:rsidRDefault="00426E5F" w:rsidP="00426E5F">
            <w:pPr>
              <w:rPr>
                <w:rFonts w:cs="Arial"/>
              </w:rPr>
            </w:pPr>
            <w:r w:rsidRPr="00426E5F">
              <w:t>1050 ml</w:t>
            </w:r>
          </w:p>
        </w:tc>
      </w:tr>
      <w:tr w:rsidR="00426E5F" w14:paraId="3E08E265" w14:textId="77777777" w:rsidTr="00426E5F">
        <w:tc>
          <w:tcPr>
            <w:tcW w:w="1594" w:type="dxa"/>
            <w:vMerge/>
          </w:tcPr>
          <w:p w14:paraId="57B8C7FB" w14:textId="77777777" w:rsidR="00426E5F" w:rsidRPr="00426E5F" w:rsidRDefault="00426E5F" w:rsidP="00426E5F">
            <w:pPr>
              <w:rPr>
                <w:rFonts w:cs="Arial"/>
              </w:rPr>
            </w:pPr>
          </w:p>
        </w:tc>
        <w:tc>
          <w:tcPr>
            <w:tcW w:w="1343" w:type="dxa"/>
          </w:tcPr>
          <w:p w14:paraId="66DCC59E" w14:textId="6648BC7B" w:rsidR="00426E5F" w:rsidRPr="00426E5F" w:rsidRDefault="00426E5F" w:rsidP="00426E5F">
            <w:pPr>
              <w:rPr>
                <w:rFonts w:cs="Arial"/>
              </w:rPr>
            </w:pPr>
            <w:r w:rsidRPr="00426E5F">
              <w:t>1+40</w:t>
            </w:r>
          </w:p>
        </w:tc>
        <w:tc>
          <w:tcPr>
            <w:tcW w:w="1347" w:type="dxa"/>
          </w:tcPr>
          <w:p w14:paraId="3E962BA5" w14:textId="0F73A935" w:rsidR="00426E5F" w:rsidRPr="00426E5F" w:rsidRDefault="00426E5F" w:rsidP="00426E5F">
            <w:pPr>
              <w:rPr>
                <w:rFonts w:cs="Arial"/>
              </w:rPr>
            </w:pPr>
            <w:r w:rsidRPr="00426E5F">
              <w:rPr>
                <w:lang w:val="en-US"/>
              </w:rPr>
              <w:t>410 ml</w:t>
            </w:r>
          </w:p>
        </w:tc>
        <w:tc>
          <w:tcPr>
            <w:tcW w:w="1323" w:type="dxa"/>
          </w:tcPr>
          <w:p w14:paraId="22152C57" w14:textId="6178541E" w:rsidR="00426E5F" w:rsidRPr="00426E5F" w:rsidRDefault="00426E5F" w:rsidP="00426E5F">
            <w:pPr>
              <w:rPr>
                <w:rFonts w:cs="Arial"/>
              </w:rPr>
            </w:pPr>
            <w:r w:rsidRPr="00426E5F">
              <w:t>820 ml</w:t>
            </w:r>
          </w:p>
        </w:tc>
        <w:tc>
          <w:tcPr>
            <w:tcW w:w="1323" w:type="dxa"/>
          </w:tcPr>
          <w:p w14:paraId="2152BF74" w14:textId="603FF084" w:rsidR="00426E5F" w:rsidRPr="00426E5F" w:rsidRDefault="00426E5F" w:rsidP="00426E5F">
            <w:pPr>
              <w:rPr>
                <w:rFonts w:cs="Arial"/>
              </w:rPr>
            </w:pPr>
            <w:r w:rsidRPr="00426E5F">
              <w:t>1230 ml</w:t>
            </w:r>
          </w:p>
        </w:tc>
        <w:tc>
          <w:tcPr>
            <w:tcW w:w="1323" w:type="dxa"/>
          </w:tcPr>
          <w:p w14:paraId="7E87814E" w14:textId="0FFAEE31" w:rsidR="00426E5F" w:rsidRPr="00426E5F" w:rsidRDefault="00426E5F" w:rsidP="00426E5F">
            <w:pPr>
              <w:rPr>
                <w:rFonts w:cs="Arial"/>
              </w:rPr>
            </w:pPr>
            <w:r w:rsidRPr="00426E5F">
              <w:t>1640 ml</w:t>
            </w:r>
          </w:p>
        </w:tc>
        <w:tc>
          <w:tcPr>
            <w:tcW w:w="1323" w:type="dxa"/>
          </w:tcPr>
          <w:p w14:paraId="2F788812" w14:textId="28909968" w:rsidR="00426E5F" w:rsidRPr="00426E5F" w:rsidRDefault="00426E5F" w:rsidP="00426E5F">
            <w:pPr>
              <w:rPr>
                <w:rFonts w:cs="Arial"/>
              </w:rPr>
            </w:pPr>
            <w:r w:rsidRPr="00426E5F">
              <w:t>2050 ml</w:t>
            </w:r>
          </w:p>
        </w:tc>
      </w:tr>
    </w:tbl>
    <w:p w14:paraId="25FA4FB6" w14:textId="4E59E8D2" w:rsidR="00426E5F" w:rsidRDefault="00426E5F" w:rsidP="00426E5F">
      <w:pPr>
        <w:rPr>
          <w:rFonts w:cs="Arial"/>
        </w:rPr>
      </w:pPr>
    </w:p>
    <w:p w14:paraId="6A45A969" w14:textId="7BD4AC55" w:rsidR="00426E5F" w:rsidRDefault="00426E5F" w:rsidP="00426E5F">
      <w:pPr>
        <w:rPr>
          <w:b/>
          <w:u w:val="single"/>
        </w:rPr>
      </w:pPr>
      <w:r w:rsidRPr="00426E5F">
        <w:rPr>
          <w:b/>
          <w:u w:val="single"/>
        </w:rPr>
        <w:t>Таблица за инфузия</w:t>
      </w:r>
    </w:p>
    <w:tbl>
      <w:tblPr>
        <w:tblStyle w:val="TableGrid"/>
        <w:tblW w:w="0" w:type="auto"/>
        <w:tblLook w:val="04A0" w:firstRow="1" w:lastRow="0" w:firstColumn="1" w:lastColumn="0" w:noHBand="0" w:noVBand="1"/>
      </w:tblPr>
      <w:tblGrid>
        <w:gridCol w:w="2363"/>
        <w:gridCol w:w="2329"/>
        <w:gridCol w:w="2329"/>
        <w:gridCol w:w="2329"/>
      </w:tblGrid>
      <w:tr w:rsidR="00426E5F" w14:paraId="00D8CE45" w14:textId="77777777" w:rsidTr="00426E5F">
        <w:tc>
          <w:tcPr>
            <w:tcW w:w="2394" w:type="dxa"/>
          </w:tcPr>
          <w:p w14:paraId="421A864E" w14:textId="3BC06B6E" w:rsidR="00426E5F" w:rsidRPr="00426E5F" w:rsidRDefault="00426E5F" w:rsidP="00426E5F">
            <w:pPr>
              <w:rPr>
                <w:rFonts w:cs="Arial"/>
                <w:b/>
                <w:u w:val="single"/>
              </w:rPr>
            </w:pPr>
            <w:r w:rsidRPr="00426E5F">
              <w:rPr>
                <w:rFonts w:cs="Arial"/>
                <w:i/>
                <w:iCs/>
                <w:lang w:eastAsia="bg-BG"/>
              </w:rPr>
              <w:t>Разреждане</w:t>
            </w:r>
          </w:p>
        </w:tc>
        <w:tc>
          <w:tcPr>
            <w:tcW w:w="2394" w:type="dxa"/>
          </w:tcPr>
          <w:p w14:paraId="0E9F2D04" w14:textId="5FE63912" w:rsidR="00426E5F" w:rsidRPr="00426E5F" w:rsidRDefault="00426E5F" w:rsidP="00426E5F">
            <w:pPr>
              <w:rPr>
                <w:rFonts w:cs="Arial"/>
                <w:b/>
                <w:u w:val="single"/>
              </w:rPr>
            </w:pPr>
            <w:r w:rsidRPr="00426E5F">
              <w:rPr>
                <w:rFonts w:cs="Arial"/>
                <w:b/>
                <w:bCs/>
              </w:rPr>
              <w:t>1+10</w:t>
            </w:r>
          </w:p>
        </w:tc>
        <w:tc>
          <w:tcPr>
            <w:tcW w:w="2394" w:type="dxa"/>
          </w:tcPr>
          <w:p w14:paraId="0B8E9B4B" w14:textId="1E2846C6" w:rsidR="00426E5F" w:rsidRPr="00426E5F" w:rsidRDefault="00426E5F" w:rsidP="00426E5F">
            <w:pPr>
              <w:rPr>
                <w:rFonts w:cs="Arial"/>
                <w:b/>
                <w:u w:val="single"/>
              </w:rPr>
            </w:pPr>
            <w:r w:rsidRPr="00426E5F">
              <w:rPr>
                <w:rFonts w:cs="Arial"/>
                <w:b/>
                <w:bCs/>
              </w:rPr>
              <w:t>1+20</w:t>
            </w:r>
          </w:p>
        </w:tc>
        <w:tc>
          <w:tcPr>
            <w:tcW w:w="2394" w:type="dxa"/>
          </w:tcPr>
          <w:p w14:paraId="78E83F7E" w14:textId="0A2FEE9A" w:rsidR="00426E5F" w:rsidRPr="00426E5F" w:rsidRDefault="00426E5F" w:rsidP="00426E5F">
            <w:pPr>
              <w:rPr>
                <w:rFonts w:cs="Arial"/>
                <w:b/>
                <w:u w:val="single"/>
              </w:rPr>
            </w:pPr>
            <w:r w:rsidRPr="00426E5F">
              <w:rPr>
                <w:rFonts w:cs="Arial"/>
                <w:b/>
                <w:bCs/>
              </w:rPr>
              <w:t>1+40</w:t>
            </w:r>
          </w:p>
        </w:tc>
      </w:tr>
      <w:tr w:rsidR="00426E5F" w14:paraId="6A01165E" w14:textId="77777777" w:rsidTr="00426E5F">
        <w:tc>
          <w:tcPr>
            <w:tcW w:w="2394" w:type="dxa"/>
          </w:tcPr>
          <w:p w14:paraId="186DEC89" w14:textId="6BE14729" w:rsidR="00426E5F" w:rsidRPr="00426E5F" w:rsidRDefault="00426E5F" w:rsidP="00426E5F">
            <w:pPr>
              <w:rPr>
                <w:rFonts w:cs="Arial"/>
                <w:b/>
                <w:u w:val="single"/>
              </w:rPr>
            </w:pPr>
            <w:r w:rsidRPr="00426E5F">
              <w:rPr>
                <w:rFonts w:cs="Arial"/>
                <w:b/>
                <w:bCs/>
                <w:lang w:eastAsia="bg-BG"/>
              </w:rPr>
              <w:t>Необходимо к-во</w:t>
            </w:r>
          </w:p>
        </w:tc>
        <w:tc>
          <w:tcPr>
            <w:tcW w:w="2394" w:type="dxa"/>
          </w:tcPr>
          <w:p w14:paraId="4C17F17A" w14:textId="77777777" w:rsidR="00426E5F" w:rsidRPr="00426E5F" w:rsidRDefault="00426E5F" w:rsidP="00426E5F">
            <w:pPr>
              <w:rPr>
                <w:rFonts w:cs="Arial"/>
                <w:b/>
                <w:u w:val="single"/>
              </w:rPr>
            </w:pPr>
          </w:p>
        </w:tc>
        <w:tc>
          <w:tcPr>
            <w:tcW w:w="2394" w:type="dxa"/>
          </w:tcPr>
          <w:p w14:paraId="4D97B305" w14:textId="77777777" w:rsidR="00426E5F" w:rsidRPr="00426E5F" w:rsidRDefault="00426E5F" w:rsidP="00426E5F">
            <w:pPr>
              <w:rPr>
                <w:rFonts w:cs="Arial"/>
                <w:b/>
                <w:u w:val="single"/>
              </w:rPr>
            </w:pPr>
          </w:p>
        </w:tc>
        <w:tc>
          <w:tcPr>
            <w:tcW w:w="2394" w:type="dxa"/>
          </w:tcPr>
          <w:p w14:paraId="4FBB92F1" w14:textId="77777777" w:rsidR="00426E5F" w:rsidRPr="00426E5F" w:rsidRDefault="00426E5F" w:rsidP="00426E5F">
            <w:pPr>
              <w:rPr>
                <w:rFonts w:cs="Arial"/>
                <w:b/>
                <w:u w:val="single"/>
              </w:rPr>
            </w:pPr>
          </w:p>
        </w:tc>
      </w:tr>
      <w:tr w:rsidR="00426E5F" w14:paraId="4320DC63" w14:textId="77777777" w:rsidTr="00426E5F">
        <w:tc>
          <w:tcPr>
            <w:tcW w:w="2394" w:type="dxa"/>
          </w:tcPr>
          <w:p w14:paraId="46C406CA" w14:textId="3C73D918" w:rsidR="00426E5F" w:rsidRPr="00426E5F" w:rsidRDefault="00426E5F" w:rsidP="00426E5F">
            <w:pPr>
              <w:rPr>
                <w:rFonts w:cs="Arial"/>
                <w:b/>
                <w:u w:val="single"/>
              </w:rPr>
            </w:pPr>
            <w:r w:rsidRPr="00426E5F">
              <w:rPr>
                <w:rFonts w:cs="Arial"/>
                <w:lang w:eastAsia="bg-BG"/>
              </w:rPr>
              <w:t xml:space="preserve">глицерил тринитрат </w:t>
            </w:r>
            <w:r w:rsidRPr="00426E5F">
              <w:rPr>
                <w:rFonts w:cs="Arial"/>
                <w:b/>
                <w:bCs/>
                <w:lang w:eastAsia="bg-BG"/>
              </w:rPr>
              <w:t>/час</w:t>
            </w:r>
          </w:p>
        </w:tc>
        <w:tc>
          <w:tcPr>
            <w:tcW w:w="2394" w:type="dxa"/>
          </w:tcPr>
          <w:p w14:paraId="694549C6" w14:textId="435C4875" w:rsidR="00426E5F" w:rsidRPr="00426E5F" w:rsidRDefault="00426E5F" w:rsidP="00426E5F">
            <w:pPr>
              <w:rPr>
                <w:rFonts w:cs="Arial"/>
                <w:b/>
                <w:u w:val="single"/>
              </w:rPr>
            </w:pPr>
            <w:r w:rsidRPr="00426E5F">
              <w:rPr>
                <w:rFonts w:cs="Arial"/>
                <w:b/>
                <w:bCs/>
              </w:rPr>
              <w:t>ml/h</w:t>
            </w:r>
          </w:p>
        </w:tc>
        <w:tc>
          <w:tcPr>
            <w:tcW w:w="2394" w:type="dxa"/>
          </w:tcPr>
          <w:p w14:paraId="222C1B54" w14:textId="46548912" w:rsidR="00426E5F" w:rsidRPr="00426E5F" w:rsidRDefault="00426E5F" w:rsidP="00426E5F">
            <w:pPr>
              <w:rPr>
                <w:rFonts w:cs="Arial"/>
                <w:b/>
                <w:u w:val="single"/>
              </w:rPr>
            </w:pPr>
            <w:r w:rsidRPr="00426E5F">
              <w:rPr>
                <w:rFonts w:cs="Arial"/>
                <w:b/>
                <w:bCs/>
              </w:rPr>
              <w:t>ml/h</w:t>
            </w:r>
          </w:p>
        </w:tc>
        <w:tc>
          <w:tcPr>
            <w:tcW w:w="2394" w:type="dxa"/>
          </w:tcPr>
          <w:p w14:paraId="11213CA9" w14:textId="341B45D7" w:rsidR="00426E5F" w:rsidRPr="00426E5F" w:rsidRDefault="00426E5F" w:rsidP="00426E5F">
            <w:pPr>
              <w:rPr>
                <w:rFonts w:cs="Arial"/>
                <w:b/>
                <w:u w:val="single"/>
              </w:rPr>
            </w:pPr>
            <w:r w:rsidRPr="00426E5F">
              <w:rPr>
                <w:rFonts w:cs="Arial"/>
                <w:b/>
                <w:bCs/>
              </w:rPr>
              <w:t>ml/h</w:t>
            </w:r>
          </w:p>
        </w:tc>
      </w:tr>
      <w:tr w:rsidR="00426E5F" w14:paraId="7AE82292" w14:textId="77777777" w:rsidTr="00426E5F">
        <w:tc>
          <w:tcPr>
            <w:tcW w:w="2394" w:type="dxa"/>
          </w:tcPr>
          <w:p w14:paraId="5EB39642" w14:textId="15531BD4" w:rsidR="00426E5F" w:rsidRPr="00426E5F" w:rsidRDefault="00426E5F" w:rsidP="00426E5F">
            <w:pPr>
              <w:rPr>
                <w:rFonts w:cs="Arial"/>
                <w:b/>
                <w:u w:val="single"/>
              </w:rPr>
            </w:pPr>
            <w:r w:rsidRPr="00426E5F">
              <w:rPr>
                <w:rFonts w:cs="Arial"/>
                <w:lang w:eastAsia="bg-BG"/>
              </w:rPr>
              <w:t xml:space="preserve">0.50 </w:t>
            </w:r>
            <w:r w:rsidRPr="00426E5F">
              <w:rPr>
                <w:rFonts w:cs="Arial"/>
              </w:rPr>
              <w:t>mg</w:t>
            </w:r>
          </w:p>
        </w:tc>
        <w:tc>
          <w:tcPr>
            <w:tcW w:w="2394" w:type="dxa"/>
          </w:tcPr>
          <w:p w14:paraId="2A984914" w14:textId="305F5BE0" w:rsidR="00426E5F" w:rsidRPr="00426E5F" w:rsidRDefault="00426E5F" w:rsidP="00426E5F">
            <w:pPr>
              <w:rPr>
                <w:rFonts w:cs="Arial"/>
                <w:b/>
                <w:u w:val="single"/>
              </w:rPr>
            </w:pPr>
            <w:r w:rsidRPr="00426E5F">
              <w:rPr>
                <w:rFonts w:cs="Arial"/>
              </w:rPr>
              <w:t>5.5</w:t>
            </w:r>
          </w:p>
        </w:tc>
        <w:tc>
          <w:tcPr>
            <w:tcW w:w="2394" w:type="dxa"/>
          </w:tcPr>
          <w:p w14:paraId="2F385BB5" w14:textId="55545B45" w:rsidR="00426E5F" w:rsidRPr="00426E5F" w:rsidRDefault="00426E5F" w:rsidP="00426E5F">
            <w:pPr>
              <w:rPr>
                <w:rFonts w:cs="Arial"/>
                <w:b/>
                <w:u w:val="single"/>
              </w:rPr>
            </w:pPr>
            <w:r w:rsidRPr="00426E5F">
              <w:rPr>
                <w:rFonts w:cs="Arial"/>
              </w:rPr>
              <w:t>10.5</w:t>
            </w:r>
          </w:p>
        </w:tc>
        <w:tc>
          <w:tcPr>
            <w:tcW w:w="2394" w:type="dxa"/>
          </w:tcPr>
          <w:p w14:paraId="2023079F" w14:textId="203E3711" w:rsidR="00426E5F" w:rsidRPr="00426E5F" w:rsidRDefault="00426E5F" w:rsidP="00426E5F">
            <w:pPr>
              <w:rPr>
                <w:rFonts w:cs="Arial"/>
                <w:b/>
                <w:u w:val="single"/>
              </w:rPr>
            </w:pPr>
            <w:r w:rsidRPr="00426E5F">
              <w:rPr>
                <w:rFonts w:cs="Arial"/>
              </w:rPr>
              <w:t>20.5</w:t>
            </w:r>
          </w:p>
        </w:tc>
      </w:tr>
      <w:tr w:rsidR="00426E5F" w14:paraId="1D249D15" w14:textId="77777777" w:rsidTr="00426E5F">
        <w:tc>
          <w:tcPr>
            <w:tcW w:w="2394" w:type="dxa"/>
          </w:tcPr>
          <w:p w14:paraId="368323A4" w14:textId="0DD34838" w:rsidR="00426E5F" w:rsidRPr="00426E5F" w:rsidRDefault="00426E5F" w:rsidP="00426E5F">
            <w:pPr>
              <w:rPr>
                <w:rFonts w:cs="Arial"/>
                <w:b/>
                <w:u w:val="single"/>
              </w:rPr>
            </w:pPr>
            <w:r w:rsidRPr="00426E5F">
              <w:rPr>
                <w:rFonts w:cs="Arial"/>
                <w:lang w:eastAsia="bg-BG"/>
              </w:rPr>
              <w:t xml:space="preserve">0.75 </w:t>
            </w:r>
            <w:r w:rsidRPr="00426E5F">
              <w:rPr>
                <w:rFonts w:cs="Arial"/>
              </w:rPr>
              <w:t>mg</w:t>
            </w:r>
          </w:p>
        </w:tc>
        <w:tc>
          <w:tcPr>
            <w:tcW w:w="2394" w:type="dxa"/>
          </w:tcPr>
          <w:p w14:paraId="5FFB13EE" w14:textId="7D8632EE" w:rsidR="00426E5F" w:rsidRPr="00426E5F" w:rsidRDefault="00426E5F" w:rsidP="00426E5F">
            <w:pPr>
              <w:rPr>
                <w:rFonts w:cs="Arial"/>
                <w:b/>
                <w:u w:val="single"/>
              </w:rPr>
            </w:pPr>
            <w:r w:rsidRPr="00426E5F">
              <w:rPr>
                <w:rFonts w:cs="Arial"/>
              </w:rPr>
              <w:t>8.25</w:t>
            </w:r>
          </w:p>
        </w:tc>
        <w:tc>
          <w:tcPr>
            <w:tcW w:w="2394" w:type="dxa"/>
          </w:tcPr>
          <w:p w14:paraId="3E388AFF" w14:textId="205CC335" w:rsidR="00426E5F" w:rsidRPr="00426E5F" w:rsidRDefault="00426E5F" w:rsidP="00426E5F">
            <w:pPr>
              <w:rPr>
                <w:rFonts w:cs="Arial"/>
                <w:b/>
                <w:u w:val="single"/>
              </w:rPr>
            </w:pPr>
            <w:r w:rsidRPr="00426E5F">
              <w:rPr>
                <w:rFonts w:cs="Arial"/>
              </w:rPr>
              <w:t>15.75</w:t>
            </w:r>
          </w:p>
        </w:tc>
        <w:tc>
          <w:tcPr>
            <w:tcW w:w="2394" w:type="dxa"/>
          </w:tcPr>
          <w:p w14:paraId="1A3923F1" w14:textId="21B98DB7" w:rsidR="00426E5F" w:rsidRPr="00426E5F" w:rsidRDefault="00426E5F" w:rsidP="00426E5F">
            <w:pPr>
              <w:rPr>
                <w:rFonts w:cs="Arial"/>
                <w:b/>
                <w:u w:val="single"/>
              </w:rPr>
            </w:pPr>
            <w:r w:rsidRPr="00426E5F">
              <w:rPr>
                <w:rFonts w:cs="Arial"/>
              </w:rPr>
              <w:t>30.75</w:t>
            </w:r>
          </w:p>
        </w:tc>
      </w:tr>
      <w:tr w:rsidR="00426E5F" w14:paraId="60147832" w14:textId="77777777" w:rsidTr="00426E5F">
        <w:tc>
          <w:tcPr>
            <w:tcW w:w="2394" w:type="dxa"/>
          </w:tcPr>
          <w:p w14:paraId="20AB01E0" w14:textId="667E6791" w:rsidR="00426E5F" w:rsidRPr="00426E5F" w:rsidRDefault="00426E5F" w:rsidP="00426E5F">
            <w:pPr>
              <w:rPr>
                <w:rFonts w:cs="Arial"/>
                <w:b/>
                <w:u w:val="single"/>
              </w:rPr>
            </w:pPr>
            <w:r w:rsidRPr="00426E5F">
              <w:rPr>
                <w:rFonts w:cs="Arial"/>
                <w:lang w:eastAsia="bg-BG"/>
              </w:rPr>
              <w:t xml:space="preserve">1.0 </w:t>
            </w:r>
            <w:r w:rsidRPr="00426E5F">
              <w:rPr>
                <w:rFonts w:cs="Arial"/>
              </w:rPr>
              <w:t>mg</w:t>
            </w:r>
          </w:p>
        </w:tc>
        <w:tc>
          <w:tcPr>
            <w:tcW w:w="2394" w:type="dxa"/>
          </w:tcPr>
          <w:p w14:paraId="5B73C0A5" w14:textId="1A580776" w:rsidR="00426E5F" w:rsidRPr="00426E5F" w:rsidRDefault="00426E5F" w:rsidP="00426E5F">
            <w:pPr>
              <w:rPr>
                <w:rFonts w:cs="Arial"/>
                <w:b/>
                <w:u w:val="single"/>
              </w:rPr>
            </w:pPr>
            <w:r w:rsidRPr="00426E5F">
              <w:rPr>
                <w:rFonts w:cs="Arial"/>
              </w:rPr>
              <w:t>11.0</w:t>
            </w:r>
          </w:p>
        </w:tc>
        <w:tc>
          <w:tcPr>
            <w:tcW w:w="2394" w:type="dxa"/>
          </w:tcPr>
          <w:p w14:paraId="02B264B8" w14:textId="3E22EEEB" w:rsidR="00426E5F" w:rsidRPr="00426E5F" w:rsidRDefault="00426E5F" w:rsidP="00426E5F">
            <w:pPr>
              <w:rPr>
                <w:rFonts w:cs="Arial"/>
                <w:b/>
                <w:u w:val="single"/>
              </w:rPr>
            </w:pPr>
            <w:r w:rsidRPr="00426E5F">
              <w:rPr>
                <w:rFonts w:cs="Arial"/>
              </w:rPr>
              <w:t>21.0</w:t>
            </w:r>
          </w:p>
        </w:tc>
        <w:tc>
          <w:tcPr>
            <w:tcW w:w="2394" w:type="dxa"/>
          </w:tcPr>
          <w:p w14:paraId="10CE941B" w14:textId="5D3477EC" w:rsidR="00426E5F" w:rsidRPr="00426E5F" w:rsidRDefault="00426E5F" w:rsidP="00426E5F">
            <w:pPr>
              <w:rPr>
                <w:rFonts w:cs="Arial"/>
                <w:b/>
                <w:u w:val="single"/>
              </w:rPr>
            </w:pPr>
            <w:r w:rsidRPr="00426E5F">
              <w:rPr>
                <w:rFonts w:cs="Arial"/>
              </w:rPr>
              <w:t>41.0</w:t>
            </w:r>
          </w:p>
        </w:tc>
      </w:tr>
      <w:tr w:rsidR="00426E5F" w14:paraId="3D24B3B7" w14:textId="77777777" w:rsidTr="00426E5F">
        <w:tc>
          <w:tcPr>
            <w:tcW w:w="2394" w:type="dxa"/>
          </w:tcPr>
          <w:p w14:paraId="0C540357" w14:textId="40E98EAC" w:rsidR="00426E5F" w:rsidRPr="00426E5F" w:rsidRDefault="00426E5F" w:rsidP="00426E5F">
            <w:pPr>
              <w:rPr>
                <w:rFonts w:cs="Arial"/>
                <w:b/>
                <w:u w:val="single"/>
              </w:rPr>
            </w:pPr>
            <w:r w:rsidRPr="00426E5F">
              <w:rPr>
                <w:rFonts w:cs="Arial"/>
                <w:lang w:eastAsia="bg-BG"/>
              </w:rPr>
              <w:t xml:space="preserve">1.25 </w:t>
            </w:r>
            <w:r w:rsidRPr="00426E5F">
              <w:rPr>
                <w:rFonts w:cs="Arial"/>
              </w:rPr>
              <w:t>mg</w:t>
            </w:r>
          </w:p>
        </w:tc>
        <w:tc>
          <w:tcPr>
            <w:tcW w:w="2394" w:type="dxa"/>
          </w:tcPr>
          <w:p w14:paraId="0E10C6AC" w14:textId="5B133293" w:rsidR="00426E5F" w:rsidRPr="00426E5F" w:rsidRDefault="00426E5F" w:rsidP="00426E5F">
            <w:pPr>
              <w:rPr>
                <w:rFonts w:cs="Arial"/>
                <w:b/>
                <w:u w:val="single"/>
              </w:rPr>
            </w:pPr>
            <w:r w:rsidRPr="00426E5F">
              <w:rPr>
                <w:rFonts w:cs="Arial"/>
              </w:rPr>
              <w:t>13.75</w:t>
            </w:r>
          </w:p>
        </w:tc>
        <w:tc>
          <w:tcPr>
            <w:tcW w:w="2394" w:type="dxa"/>
          </w:tcPr>
          <w:p w14:paraId="34A27273" w14:textId="0A88264B" w:rsidR="00426E5F" w:rsidRPr="00426E5F" w:rsidRDefault="00426E5F" w:rsidP="00426E5F">
            <w:pPr>
              <w:rPr>
                <w:rFonts w:cs="Arial"/>
                <w:b/>
                <w:u w:val="single"/>
              </w:rPr>
            </w:pPr>
            <w:r w:rsidRPr="00426E5F">
              <w:rPr>
                <w:rFonts w:cs="Arial"/>
              </w:rPr>
              <w:t>26.25</w:t>
            </w:r>
          </w:p>
        </w:tc>
        <w:tc>
          <w:tcPr>
            <w:tcW w:w="2394" w:type="dxa"/>
          </w:tcPr>
          <w:p w14:paraId="570D87EF" w14:textId="2431CC83" w:rsidR="00426E5F" w:rsidRPr="00426E5F" w:rsidRDefault="00426E5F" w:rsidP="00426E5F">
            <w:pPr>
              <w:rPr>
                <w:rFonts w:cs="Arial"/>
                <w:b/>
                <w:u w:val="single"/>
              </w:rPr>
            </w:pPr>
            <w:r w:rsidRPr="00426E5F">
              <w:rPr>
                <w:rFonts w:cs="Arial"/>
              </w:rPr>
              <w:t>51.25</w:t>
            </w:r>
          </w:p>
        </w:tc>
      </w:tr>
      <w:tr w:rsidR="00426E5F" w14:paraId="36EA2FD2" w14:textId="77777777" w:rsidTr="00426E5F">
        <w:tc>
          <w:tcPr>
            <w:tcW w:w="2394" w:type="dxa"/>
          </w:tcPr>
          <w:p w14:paraId="440F4FCB" w14:textId="257F7916" w:rsidR="00426E5F" w:rsidRPr="00426E5F" w:rsidRDefault="00426E5F" w:rsidP="00426E5F">
            <w:pPr>
              <w:rPr>
                <w:rFonts w:cs="Arial"/>
                <w:b/>
                <w:u w:val="single"/>
              </w:rPr>
            </w:pPr>
            <w:r w:rsidRPr="00426E5F">
              <w:rPr>
                <w:rFonts w:cs="Arial"/>
              </w:rPr>
              <w:t>1.5 mg</w:t>
            </w:r>
          </w:p>
        </w:tc>
        <w:tc>
          <w:tcPr>
            <w:tcW w:w="2394" w:type="dxa"/>
          </w:tcPr>
          <w:p w14:paraId="1A74F032" w14:textId="2654FD03" w:rsidR="00426E5F" w:rsidRPr="00426E5F" w:rsidRDefault="00426E5F" w:rsidP="00426E5F">
            <w:pPr>
              <w:rPr>
                <w:rFonts w:cs="Arial"/>
                <w:b/>
                <w:u w:val="single"/>
              </w:rPr>
            </w:pPr>
            <w:r w:rsidRPr="00426E5F">
              <w:rPr>
                <w:rFonts w:cs="Arial"/>
              </w:rPr>
              <w:t>16.5</w:t>
            </w:r>
          </w:p>
        </w:tc>
        <w:tc>
          <w:tcPr>
            <w:tcW w:w="2394" w:type="dxa"/>
          </w:tcPr>
          <w:p w14:paraId="132F72A7" w14:textId="257B2286" w:rsidR="00426E5F" w:rsidRPr="00426E5F" w:rsidRDefault="00426E5F" w:rsidP="00426E5F">
            <w:pPr>
              <w:rPr>
                <w:rFonts w:cs="Arial"/>
                <w:b/>
                <w:u w:val="single"/>
              </w:rPr>
            </w:pPr>
            <w:r w:rsidRPr="00426E5F">
              <w:rPr>
                <w:rFonts w:cs="Arial"/>
              </w:rPr>
              <w:t>31.5</w:t>
            </w:r>
          </w:p>
        </w:tc>
        <w:tc>
          <w:tcPr>
            <w:tcW w:w="2394" w:type="dxa"/>
          </w:tcPr>
          <w:p w14:paraId="1E4E24E5" w14:textId="7FE83EA0" w:rsidR="00426E5F" w:rsidRPr="00426E5F" w:rsidRDefault="00426E5F" w:rsidP="00426E5F">
            <w:pPr>
              <w:rPr>
                <w:rFonts w:cs="Arial"/>
                <w:b/>
                <w:u w:val="single"/>
              </w:rPr>
            </w:pPr>
            <w:r w:rsidRPr="00426E5F">
              <w:rPr>
                <w:rFonts w:cs="Arial"/>
              </w:rPr>
              <w:t>61.5</w:t>
            </w:r>
          </w:p>
        </w:tc>
      </w:tr>
      <w:tr w:rsidR="00426E5F" w14:paraId="30DB2168" w14:textId="77777777" w:rsidTr="00426E5F">
        <w:tc>
          <w:tcPr>
            <w:tcW w:w="2394" w:type="dxa"/>
          </w:tcPr>
          <w:p w14:paraId="513961D5" w14:textId="0BB77910" w:rsidR="00426E5F" w:rsidRPr="00426E5F" w:rsidRDefault="00426E5F" w:rsidP="00426E5F">
            <w:pPr>
              <w:rPr>
                <w:rFonts w:cs="Arial"/>
                <w:b/>
                <w:u w:val="single"/>
              </w:rPr>
            </w:pPr>
            <w:r w:rsidRPr="00426E5F">
              <w:rPr>
                <w:rFonts w:cs="Arial"/>
              </w:rPr>
              <w:t>2.0 mg</w:t>
            </w:r>
          </w:p>
        </w:tc>
        <w:tc>
          <w:tcPr>
            <w:tcW w:w="2394" w:type="dxa"/>
          </w:tcPr>
          <w:p w14:paraId="216AFA5A" w14:textId="18AC14E2" w:rsidR="00426E5F" w:rsidRPr="00426E5F" w:rsidRDefault="00426E5F" w:rsidP="00426E5F">
            <w:pPr>
              <w:rPr>
                <w:rFonts w:cs="Arial"/>
                <w:b/>
                <w:u w:val="single"/>
              </w:rPr>
            </w:pPr>
            <w:r w:rsidRPr="00426E5F">
              <w:rPr>
                <w:rFonts w:cs="Arial"/>
              </w:rPr>
              <w:t>22.0</w:t>
            </w:r>
          </w:p>
        </w:tc>
        <w:tc>
          <w:tcPr>
            <w:tcW w:w="2394" w:type="dxa"/>
          </w:tcPr>
          <w:p w14:paraId="20131D99" w14:textId="1CA9F32D" w:rsidR="00426E5F" w:rsidRPr="00426E5F" w:rsidRDefault="00426E5F" w:rsidP="00426E5F">
            <w:pPr>
              <w:rPr>
                <w:rFonts w:cs="Arial"/>
                <w:b/>
                <w:u w:val="single"/>
              </w:rPr>
            </w:pPr>
            <w:r w:rsidRPr="00426E5F">
              <w:rPr>
                <w:rFonts w:cs="Arial"/>
              </w:rPr>
              <w:t>42.0</w:t>
            </w:r>
          </w:p>
        </w:tc>
        <w:tc>
          <w:tcPr>
            <w:tcW w:w="2394" w:type="dxa"/>
          </w:tcPr>
          <w:p w14:paraId="18633453" w14:textId="3EE2CD5B" w:rsidR="00426E5F" w:rsidRPr="00426E5F" w:rsidRDefault="00426E5F" w:rsidP="00426E5F">
            <w:pPr>
              <w:rPr>
                <w:rFonts w:cs="Arial"/>
                <w:b/>
                <w:u w:val="single"/>
              </w:rPr>
            </w:pPr>
            <w:r w:rsidRPr="00426E5F">
              <w:rPr>
                <w:rFonts w:cs="Arial"/>
              </w:rPr>
              <w:t>82.0</w:t>
            </w:r>
          </w:p>
        </w:tc>
      </w:tr>
      <w:tr w:rsidR="00426E5F" w14:paraId="4B9428DF" w14:textId="77777777" w:rsidTr="00426E5F">
        <w:tc>
          <w:tcPr>
            <w:tcW w:w="2394" w:type="dxa"/>
          </w:tcPr>
          <w:p w14:paraId="619D50AC" w14:textId="1DECE4E4" w:rsidR="00426E5F" w:rsidRPr="00426E5F" w:rsidRDefault="00426E5F" w:rsidP="00426E5F">
            <w:pPr>
              <w:rPr>
                <w:rFonts w:cs="Arial"/>
                <w:b/>
                <w:u w:val="single"/>
              </w:rPr>
            </w:pPr>
            <w:r w:rsidRPr="00426E5F">
              <w:rPr>
                <w:rFonts w:cs="Arial"/>
              </w:rPr>
              <w:t>2.5 mg</w:t>
            </w:r>
          </w:p>
        </w:tc>
        <w:tc>
          <w:tcPr>
            <w:tcW w:w="2394" w:type="dxa"/>
          </w:tcPr>
          <w:p w14:paraId="6B2CB1AB" w14:textId="2415C796" w:rsidR="00426E5F" w:rsidRPr="00426E5F" w:rsidRDefault="00426E5F" w:rsidP="00426E5F">
            <w:pPr>
              <w:rPr>
                <w:rFonts w:cs="Arial"/>
                <w:b/>
                <w:u w:val="single"/>
              </w:rPr>
            </w:pPr>
            <w:r w:rsidRPr="00426E5F">
              <w:rPr>
                <w:rFonts w:cs="Arial"/>
              </w:rPr>
              <w:t>27.5</w:t>
            </w:r>
          </w:p>
        </w:tc>
        <w:tc>
          <w:tcPr>
            <w:tcW w:w="2394" w:type="dxa"/>
          </w:tcPr>
          <w:p w14:paraId="2CA8EF7F" w14:textId="72968747" w:rsidR="00426E5F" w:rsidRPr="00426E5F" w:rsidRDefault="00426E5F" w:rsidP="00426E5F">
            <w:pPr>
              <w:rPr>
                <w:rFonts w:cs="Arial"/>
                <w:b/>
                <w:u w:val="single"/>
              </w:rPr>
            </w:pPr>
            <w:r w:rsidRPr="00426E5F">
              <w:rPr>
                <w:rFonts w:cs="Arial"/>
              </w:rPr>
              <w:t>52.5</w:t>
            </w:r>
          </w:p>
        </w:tc>
        <w:tc>
          <w:tcPr>
            <w:tcW w:w="2394" w:type="dxa"/>
          </w:tcPr>
          <w:p w14:paraId="67F8B712" w14:textId="13D09B11" w:rsidR="00426E5F" w:rsidRPr="00426E5F" w:rsidRDefault="00426E5F" w:rsidP="00426E5F">
            <w:pPr>
              <w:rPr>
                <w:rFonts w:cs="Arial"/>
                <w:b/>
                <w:u w:val="single"/>
              </w:rPr>
            </w:pPr>
            <w:r w:rsidRPr="00426E5F">
              <w:rPr>
                <w:rFonts w:cs="Arial"/>
              </w:rPr>
              <w:t>102.5</w:t>
            </w:r>
          </w:p>
        </w:tc>
      </w:tr>
      <w:tr w:rsidR="00426E5F" w14:paraId="1A4ED8FD" w14:textId="77777777" w:rsidTr="00426E5F">
        <w:tc>
          <w:tcPr>
            <w:tcW w:w="2394" w:type="dxa"/>
          </w:tcPr>
          <w:p w14:paraId="0DF0CC1B" w14:textId="44D9A0C9" w:rsidR="00426E5F" w:rsidRPr="00426E5F" w:rsidRDefault="00426E5F" w:rsidP="00426E5F">
            <w:pPr>
              <w:rPr>
                <w:rFonts w:cs="Arial"/>
                <w:b/>
                <w:u w:val="single"/>
              </w:rPr>
            </w:pPr>
            <w:r w:rsidRPr="00426E5F">
              <w:rPr>
                <w:rFonts w:cs="Arial"/>
              </w:rPr>
              <w:t>3.0 mg</w:t>
            </w:r>
          </w:p>
        </w:tc>
        <w:tc>
          <w:tcPr>
            <w:tcW w:w="2394" w:type="dxa"/>
          </w:tcPr>
          <w:p w14:paraId="69D2DA28" w14:textId="6BFA0F0A" w:rsidR="00426E5F" w:rsidRPr="00426E5F" w:rsidRDefault="00426E5F" w:rsidP="00426E5F">
            <w:pPr>
              <w:rPr>
                <w:rFonts w:cs="Arial"/>
                <w:b/>
                <w:u w:val="single"/>
              </w:rPr>
            </w:pPr>
            <w:r w:rsidRPr="00426E5F">
              <w:rPr>
                <w:rFonts w:cs="Arial"/>
              </w:rPr>
              <w:t>33.0</w:t>
            </w:r>
          </w:p>
        </w:tc>
        <w:tc>
          <w:tcPr>
            <w:tcW w:w="2394" w:type="dxa"/>
          </w:tcPr>
          <w:p w14:paraId="59083321" w14:textId="731FF288" w:rsidR="00426E5F" w:rsidRPr="00426E5F" w:rsidRDefault="00426E5F" w:rsidP="00426E5F">
            <w:pPr>
              <w:rPr>
                <w:rFonts w:cs="Arial"/>
                <w:b/>
                <w:u w:val="single"/>
              </w:rPr>
            </w:pPr>
            <w:r w:rsidRPr="00426E5F">
              <w:rPr>
                <w:rFonts w:cs="Arial"/>
              </w:rPr>
              <w:t>63.0</w:t>
            </w:r>
          </w:p>
        </w:tc>
        <w:tc>
          <w:tcPr>
            <w:tcW w:w="2394" w:type="dxa"/>
          </w:tcPr>
          <w:p w14:paraId="2A9E69D5" w14:textId="2BA84E02" w:rsidR="00426E5F" w:rsidRPr="00426E5F" w:rsidRDefault="00426E5F" w:rsidP="00426E5F">
            <w:pPr>
              <w:rPr>
                <w:rFonts w:cs="Arial"/>
                <w:b/>
                <w:u w:val="single"/>
              </w:rPr>
            </w:pPr>
            <w:r w:rsidRPr="00426E5F">
              <w:rPr>
                <w:rFonts w:cs="Arial"/>
              </w:rPr>
              <w:t>123.0</w:t>
            </w:r>
          </w:p>
        </w:tc>
      </w:tr>
      <w:tr w:rsidR="00426E5F" w14:paraId="0A9BCE5F" w14:textId="77777777" w:rsidTr="00426E5F">
        <w:tc>
          <w:tcPr>
            <w:tcW w:w="2394" w:type="dxa"/>
          </w:tcPr>
          <w:p w14:paraId="5DE715C2" w14:textId="72C56D47" w:rsidR="00426E5F" w:rsidRPr="00426E5F" w:rsidRDefault="00426E5F" w:rsidP="00426E5F">
            <w:pPr>
              <w:rPr>
                <w:rFonts w:cs="Arial"/>
                <w:b/>
                <w:u w:val="single"/>
              </w:rPr>
            </w:pPr>
            <w:r w:rsidRPr="00426E5F">
              <w:rPr>
                <w:rFonts w:cs="Arial"/>
              </w:rPr>
              <w:t>3.5 mg</w:t>
            </w:r>
          </w:p>
        </w:tc>
        <w:tc>
          <w:tcPr>
            <w:tcW w:w="2394" w:type="dxa"/>
          </w:tcPr>
          <w:p w14:paraId="053AA7FE" w14:textId="1AFE32BC" w:rsidR="00426E5F" w:rsidRPr="00426E5F" w:rsidRDefault="00426E5F" w:rsidP="00426E5F">
            <w:pPr>
              <w:rPr>
                <w:rFonts w:cs="Arial"/>
                <w:b/>
                <w:u w:val="single"/>
              </w:rPr>
            </w:pPr>
            <w:r w:rsidRPr="00426E5F">
              <w:rPr>
                <w:rFonts w:cs="Arial"/>
              </w:rPr>
              <w:t>38.5</w:t>
            </w:r>
          </w:p>
        </w:tc>
        <w:tc>
          <w:tcPr>
            <w:tcW w:w="2394" w:type="dxa"/>
          </w:tcPr>
          <w:p w14:paraId="364B800F" w14:textId="24ED062E" w:rsidR="00426E5F" w:rsidRPr="00426E5F" w:rsidRDefault="00426E5F" w:rsidP="00426E5F">
            <w:pPr>
              <w:rPr>
                <w:rFonts w:cs="Arial"/>
                <w:b/>
                <w:u w:val="single"/>
              </w:rPr>
            </w:pPr>
            <w:r w:rsidRPr="00426E5F">
              <w:rPr>
                <w:rFonts w:cs="Arial"/>
              </w:rPr>
              <w:t>73.5</w:t>
            </w:r>
          </w:p>
        </w:tc>
        <w:tc>
          <w:tcPr>
            <w:tcW w:w="2394" w:type="dxa"/>
          </w:tcPr>
          <w:p w14:paraId="097C8F8D" w14:textId="3412C8CF" w:rsidR="00426E5F" w:rsidRPr="00426E5F" w:rsidRDefault="00426E5F" w:rsidP="00426E5F">
            <w:pPr>
              <w:rPr>
                <w:rFonts w:cs="Arial"/>
                <w:b/>
                <w:u w:val="single"/>
              </w:rPr>
            </w:pPr>
            <w:r w:rsidRPr="00426E5F">
              <w:rPr>
                <w:rFonts w:cs="Arial"/>
              </w:rPr>
              <w:t>143.5</w:t>
            </w:r>
          </w:p>
        </w:tc>
      </w:tr>
      <w:tr w:rsidR="00426E5F" w14:paraId="707297DB" w14:textId="77777777" w:rsidTr="00426E5F">
        <w:tc>
          <w:tcPr>
            <w:tcW w:w="2394" w:type="dxa"/>
          </w:tcPr>
          <w:p w14:paraId="1648C431" w14:textId="4FAE8C95" w:rsidR="00426E5F" w:rsidRPr="00426E5F" w:rsidRDefault="00426E5F" w:rsidP="00426E5F">
            <w:pPr>
              <w:rPr>
                <w:rFonts w:cs="Arial"/>
                <w:b/>
                <w:u w:val="single"/>
              </w:rPr>
            </w:pPr>
            <w:r w:rsidRPr="00426E5F">
              <w:rPr>
                <w:rFonts w:cs="Arial"/>
              </w:rPr>
              <w:t>4.0 mg</w:t>
            </w:r>
          </w:p>
        </w:tc>
        <w:tc>
          <w:tcPr>
            <w:tcW w:w="2394" w:type="dxa"/>
          </w:tcPr>
          <w:p w14:paraId="009B4FB1" w14:textId="765412BB" w:rsidR="00426E5F" w:rsidRPr="00426E5F" w:rsidRDefault="00426E5F" w:rsidP="00426E5F">
            <w:pPr>
              <w:rPr>
                <w:rFonts w:cs="Arial"/>
                <w:b/>
                <w:u w:val="single"/>
              </w:rPr>
            </w:pPr>
            <w:r w:rsidRPr="00426E5F">
              <w:rPr>
                <w:rFonts w:cs="Arial"/>
              </w:rPr>
              <w:t>44.0</w:t>
            </w:r>
          </w:p>
        </w:tc>
        <w:tc>
          <w:tcPr>
            <w:tcW w:w="2394" w:type="dxa"/>
          </w:tcPr>
          <w:p w14:paraId="614CDC24" w14:textId="125F91A3" w:rsidR="00426E5F" w:rsidRPr="00426E5F" w:rsidRDefault="00426E5F" w:rsidP="00426E5F">
            <w:pPr>
              <w:rPr>
                <w:rFonts w:cs="Arial"/>
                <w:b/>
                <w:u w:val="single"/>
              </w:rPr>
            </w:pPr>
            <w:r w:rsidRPr="00426E5F">
              <w:rPr>
                <w:rFonts w:cs="Arial"/>
              </w:rPr>
              <w:t>84.0</w:t>
            </w:r>
          </w:p>
        </w:tc>
        <w:tc>
          <w:tcPr>
            <w:tcW w:w="2394" w:type="dxa"/>
          </w:tcPr>
          <w:p w14:paraId="5CA63CAD" w14:textId="7762DDDF" w:rsidR="00426E5F" w:rsidRPr="00426E5F" w:rsidRDefault="00426E5F" w:rsidP="00426E5F">
            <w:pPr>
              <w:rPr>
                <w:rFonts w:cs="Arial"/>
                <w:b/>
                <w:u w:val="single"/>
              </w:rPr>
            </w:pPr>
            <w:r w:rsidRPr="00426E5F">
              <w:rPr>
                <w:rFonts w:cs="Arial"/>
              </w:rPr>
              <w:t>164.0</w:t>
            </w:r>
          </w:p>
        </w:tc>
      </w:tr>
      <w:tr w:rsidR="00426E5F" w14:paraId="73E9C494" w14:textId="77777777" w:rsidTr="00426E5F">
        <w:tc>
          <w:tcPr>
            <w:tcW w:w="2394" w:type="dxa"/>
          </w:tcPr>
          <w:p w14:paraId="773892AF" w14:textId="26E6B50A" w:rsidR="00426E5F" w:rsidRPr="00426E5F" w:rsidRDefault="00426E5F" w:rsidP="00426E5F">
            <w:pPr>
              <w:rPr>
                <w:rFonts w:cs="Arial"/>
                <w:b/>
                <w:u w:val="single"/>
              </w:rPr>
            </w:pPr>
            <w:r w:rsidRPr="00426E5F">
              <w:rPr>
                <w:rFonts w:cs="Arial"/>
              </w:rPr>
              <w:t>4.5 mg</w:t>
            </w:r>
          </w:p>
        </w:tc>
        <w:tc>
          <w:tcPr>
            <w:tcW w:w="2394" w:type="dxa"/>
          </w:tcPr>
          <w:p w14:paraId="50603397" w14:textId="7BBC1260" w:rsidR="00426E5F" w:rsidRPr="00426E5F" w:rsidRDefault="00426E5F" w:rsidP="00426E5F">
            <w:pPr>
              <w:rPr>
                <w:rFonts w:cs="Arial"/>
                <w:b/>
                <w:u w:val="single"/>
              </w:rPr>
            </w:pPr>
            <w:r w:rsidRPr="00426E5F">
              <w:rPr>
                <w:rFonts w:cs="Arial"/>
              </w:rPr>
              <w:t>49.5</w:t>
            </w:r>
          </w:p>
        </w:tc>
        <w:tc>
          <w:tcPr>
            <w:tcW w:w="2394" w:type="dxa"/>
          </w:tcPr>
          <w:p w14:paraId="15A816FA" w14:textId="7919F398" w:rsidR="00426E5F" w:rsidRPr="00426E5F" w:rsidRDefault="00426E5F" w:rsidP="00426E5F">
            <w:pPr>
              <w:rPr>
                <w:rFonts w:cs="Arial"/>
                <w:b/>
                <w:u w:val="single"/>
              </w:rPr>
            </w:pPr>
            <w:r w:rsidRPr="00426E5F">
              <w:rPr>
                <w:rFonts w:cs="Arial"/>
              </w:rPr>
              <w:t>94.5</w:t>
            </w:r>
          </w:p>
        </w:tc>
        <w:tc>
          <w:tcPr>
            <w:tcW w:w="2394" w:type="dxa"/>
          </w:tcPr>
          <w:p w14:paraId="6C86369B" w14:textId="73A2FED5" w:rsidR="00426E5F" w:rsidRPr="00426E5F" w:rsidRDefault="00426E5F" w:rsidP="00426E5F">
            <w:pPr>
              <w:rPr>
                <w:rFonts w:cs="Arial"/>
                <w:b/>
                <w:u w:val="single"/>
              </w:rPr>
            </w:pPr>
            <w:r w:rsidRPr="00426E5F">
              <w:rPr>
                <w:rFonts w:cs="Arial"/>
              </w:rPr>
              <w:t>184.5</w:t>
            </w:r>
          </w:p>
        </w:tc>
      </w:tr>
      <w:tr w:rsidR="00426E5F" w14:paraId="238F4835" w14:textId="77777777" w:rsidTr="00426E5F">
        <w:tc>
          <w:tcPr>
            <w:tcW w:w="2394" w:type="dxa"/>
          </w:tcPr>
          <w:p w14:paraId="6A274DBC" w14:textId="4F1731E1" w:rsidR="00426E5F" w:rsidRPr="00426E5F" w:rsidRDefault="00426E5F" w:rsidP="00426E5F">
            <w:pPr>
              <w:rPr>
                <w:rFonts w:cs="Arial"/>
                <w:b/>
                <w:u w:val="single"/>
              </w:rPr>
            </w:pPr>
            <w:r w:rsidRPr="00426E5F">
              <w:rPr>
                <w:rFonts w:cs="Arial"/>
              </w:rPr>
              <w:t>5.0 mg</w:t>
            </w:r>
          </w:p>
        </w:tc>
        <w:tc>
          <w:tcPr>
            <w:tcW w:w="2394" w:type="dxa"/>
          </w:tcPr>
          <w:p w14:paraId="00DE1BC3" w14:textId="47E1725C" w:rsidR="00426E5F" w:rsidRPr="00426E5F" w:rsidRDefault="00426E5F" w:rsidP="00426E5F">
            <w:pPr>
              <w:rPr>
                <w:rFonts w:cs="Arial"/>
                <w:b/>
                <w:u w:val="single"/>
              </w:rPr>
            </w:pPr>
            <w:r w:rsidRPr="00426E5F">
              <w:rPr>
                <w:rFonts w:cs="Arial"/>
              </w:rPr>
              <w:t>55.0</w:t>
            </w:r>
          </w:p>
        </w:tc>
        <w:tc>
          <w:tcPr>
            <w:tcW w:w="2394" w:type="dxa"/>
          </w:tcPr>
          <w:p w14:paraId="63DBC1FB" w14:textId="2EED034C" w:rsidR="00426E5F" w:rsidRPr="00426E5F" w:rsidRDefault="00426E5F" w:rsidP="00426E5F">
            <w:pPr>
              <w:rPr>
                <w:rFonts w:cs="Arial"/>
                <w:b/>
                <w:u w:val="single"/>
              </w:rPr>
            </w:pPr>
            <w:r w:rsidRPr="00426E5F">
              <w:rPr>
                <w:rFonts w:cs="Arial"/>
              </w:rPr>
              <w:t>105.0</w:t>
            </w:r>
          </w:p>
        </w:tc>
        <w:tc>
          <w:tcPr>
            <w:tcW w:w="2394" w:type="dxa"/>
          </w:tcPr>
          <w:p w14:paraId="00ADB898" w14:textId="55A44636" w:rsidR="00426E5F" w:rsidRPr="00426E5F" w:rsidRDefault="00426E5F" w:rsidP="00426E5F">
            <w:pPr>
              <w:rPr>
                <w:rFonts w:cs="Arial"/>
                <w:b/>
                <w:u w:val="single"/>
              </w:rPr>
            </w:pPr>
            <w:r w:rsidRPr="00426E5F">
              <w:rPr>
                <w:rFonts w:cs="Arial"/>
              </w:rPr>
              <w:t>205.0</w:t>
            </w:r>
          </w:p>
        </w:tc>
      </w:tr>
      <w:tr w:rsidR="00426E5F" w14:paraId="4A3AF0F6" w14:textId="77777777" w:rsidTr="00426E5F">
        <w:tc>
          <w:tcPr>
            <w:tcW w:w="2394" w:type="dxa"/>
          </w:tcPr>
          <w:p w14:paraId="4AD1DA71" w14:textId="1A266A06" w:rsidR="00426E5F" w:rsidRPr="00426E5F" w:rsidRDefault="00426E5F" w:rsidP="00426E5F">
            <w:pPr>
              <w:rPr>
                <w:rFonts w:cs="Arial"/>
                <w:b/>
                <w:u w:val="single"/>
              </w:rPr>
            </w:pPr>
            <w:r w:rsidRPr="00426E5F">
              <w:rPr>
                <w:rFonts w:cs="Arial"/>
              </w:rPr>
              <w:t>5.5 mg</w:t>
            </w:r>
          </w:p>
        </w:tc>
        <w:tc>
          <w:tcPr>
            <w:tcW w:w="2394" w:type="dxa"/>
          </w:tcPr>
          <w:p w14:paraId="6FB60770" w14:textId="4EBE2AF1" w:rsidR="00426E5F" w:rsidRPr="00426E5F" w:rsidRDefault="00426E5F" w:rsidP="00426E5F">
            <w:pPr>
              <w:rPr>
                <w:rFonts w:cs="Arial"/>
                <w:b/>
                <w:u w:val="single"/>
              </w:rPr>
            </w:pPr>
            <w:r w:rsidRPr="00426E5F">
              <w:rPr>
                <w:rFonts w:cs="Arial"/>
              </w:rPr>
              <w:t>60.5</w:t>
            </w:r>
          </w:p>
        </w:tc>
        <w:tc>
          <w:tcPr>
            <w:tcW w:w="2394" w:type="dxa"/>
          </w:tcPr>
          <w:p w14:paraId="354848E0" w14:textId="70823351" w:rsidR="00426E5F" w:rsidRPr="00426E5F" w:rsidRDefault="00426E5F" w:rsidP="00426E5F">
            <w:pPr>
              <w:rPr>
                <w:rFonts w:cs="Arial"/>
                <w:b/>
                <w:u w:val="single"/>
              </w:rPr>
            </w:pPr>
            <w:r w:rsidRPr="00426E5F">
              <w:rPr>
                <w:rFonts w:cs="Arial"/>
              </w:rPr>
              <w:t>115.5</w:t>
            </w:r>
          </w:p>
        </w:tc>
        <w:tc>
          <w:tcPr>
            <w:tcW w:w="2394" w:type="dxa"/>
          </w:tcPr>
          <w:p w14:paraId="31209683" w14:textId="4DF7AD7A" w:rsidR="00426E5F" w:rsidRPr="00426E5F" w:rsidRDefault="00426E5F" w:rsidP="00426E5F">
            <w:pPr>
              <w:rPr>
                <w:rFonts w:cs="Arial"/>
                <w:b/>
                <w:u w:val="single"/>
              </w:rPr>
            </w:pPr>
            <w:r w:rsidRPr="00426E5F">
              <w:rPr>
                <w:rFonts w:cs="Arial"/>
              </w:rPr>
              <w:t>225.5</w:t>
            </w:r>
          </w:p>
        </w:tc>
      </w:tr>
      <w:tr w:rsidR="00426E5F" w14:paraId="66C21F69" w14:textId="77777777" w:rsidTr="00426E5F">
        <w:tc>
          <w:tcPr>
            <w:tcW w:w="2394" w:type="dxa"/>
          </w:tcPr>
          <w:p w14:paraId="523AF13F" w14:textId="31C6EF52" w:rsidR="00426E5F" w:rsidRPr="00426E5F" w:rsidRDefault="00426E5F" w:rsidP="00426E5F">
            <w:pPr>
              <w:rPr>
                <w:rFonts w:cs="Arial"/>
                <w:b/>
                <w:u w:val="single"/>
              </w:rPr>
            </w:pPr>
            <w:r w:rsidRPr="00426E5F">
              <w:rPr>
                <w:rFonts w:cs="Arial"/>
              </w:rPr>
              <w:t>6.0 mg</w:t>
            </w:r>
          </w:p>
        </w:tc>
        <w:tc>
          <w:tcPr>
            <w:tcW w:w="2394" w:type="dxa"/>
          </w:tcPr>
          <w:p w14:paraId="3A45DC99" w14:textId="37D7FA00" w:rsidR="00426E5F" w:rsidRPr="00426E5F" w:rsidRDefault="00426E5F" w:rsidP="00426E5F">
            <w:pPr>
              <w:rPr>
                <w:rFonts w:cs="Arial"/>
                <w:b/>
                <w:u w:val="single"/>
              </w:rPr>
            </w:pPr>
            <w:r w:rsidRPr="00426E5F">
              <w:rPr>
                <w:rFonts w:cs="Arial"/>
              </w:rPr>
              <w:t>66.0</w:t>
            </w:r>
          </w:p>
        </w:tc>
        <w:tc>
          <w:tcPr>
            <w:tcW w:w="2394" w:type="dxa"/>
          </w:tcPr>
          <w:p w14:paraId="252CA3D7" w14:textId="739EAA56" w:rsidR="00426E5F" w:rsidRPr="00426E5F" w:rsidRDefault="00426E5F" w:rsidP="00426E5F">
            <w:pPr>
              <w:rPr>
                <w:rFonts w:cs="Arial"/>
                <w:b/>
                <w:u w:val="single"/>
              </w:rPr>
            </w:pPr>
            <w:r w:rsidRPr="00426E5F">
              <w:rPr>
                <w:rFonts w:cs="Arial"/>
              </w:rPr>
              <w:t>126.0</w:t>
            </w:r>
          </w:p>
        </w:tc>
        <w:tc>
          <w:tcPr>
            <w:tcW w:w="2394" w:type="dxa"/>
          </w:tcPr>
          <w:p w14:paraId="3C9622CE" w14:textId="28F9AB5E" w:rsidR="00426E5F" w:rsidRPr="00426E5F" w:rsidRDefault="00426E5F" w:rsidP="00426E5F">
            <w:pPr>
              <w:rPr>
                <w:rFonts w:cs="Arial"/>
                <w:b/>
                <w:u w:val="single"/>
              </w:rPr>
            </w:pPr>
            <w:r w:rsidRPr="00426E5F">
              <w:rPr>
                <w:rFonts w:cs="Arial"/>
              </w:rPr>
              <w:t>246.0</w:t>
            </w:r>
          </w:p>
        </w:tc>
      </w:tr>
      <w:tr w:rsidR="00426E5F" w14:paraId="373CB943" w14:textId="77777777" w:rsidTr="00426E5F">
        <w:tc>
          <w:tcPr>
            <w:tcW w:w="2394" w:type="dxa"/>
          </w:tcPr>
          <w:p w14:paraId="403BF289" w14:textId="0D2FEE06" w:rsidR="00426E5F" w:rsidRPr="00426E5F" w:rsidRDefault="00426E5F" w:rsidP="00426E5F">
            <w:pPr>
              <w:rPr>
                <w:rFonts w:cs="Arial"/>
                <w:b/>
                <w:u w:val="single"/>
              </w:rPr>
            </w:pPr>
            <w:r w:rsidRPr="00426E5F">
              <w:rPr>
                <w:rFonts w:cs="Arial"/>
              </w:rPr>
              <w:t>7.0 mg</w:t>
            </w:r>
          </w:p>
        </w:tc>
        <w:tc>
          <w:tcPr>
            <w:tcW w:w="2394" w:type="dxa"/>
          </w:tcPr>
          <w:p w14:paraId="56D4411E" w14:textId="02CB0A7D" w:rsidR="00426E5F" w:rsidRPr="00426E5F" w:rsidRDefault="00426E5F" w:rsidP="00426E5F">
            <w:pPr>
              <w:rPr>
                <w:rFonts w:cs="Arial"/>
                <w:b/>
                <w:u w:val="single"/>
              </w:rPr>
            </w:pPr>
            <w:r w:rsidRPr="00426E5F">
              <w:rPr>
                <w:rFonts w:cs="Arial"/>
              </w:rPr>
              <w:t>77.0</w:t>
            </w:r>
          </w:p>
        </w:tc>
        <w:tc>
          <w:tcPr>
            <w:tcW w:w="2394" w:type="dxa"/>
          </w:tcPr>
          <w:p w14:paraId="27D30373" w14:textId="425E1AA0" w:rsidR="00426E5F" w:rsidRPr="00426E5F" w:rsidRDefault="00426E5F" w:rsidP="00426E5F">
            <w:pPr>
              <w:rPr>
                <w:rFonts w:cs="Arial"/>
                <w:b/>
                <w:u w:val="single"/>
              </w:rPr>
            </w:pPr>
            <w:r w:rsidRPr="00426E5F">
              <w:rPr>
                <w:rFonts w:cs="Arial"/>
              </w:rPr>
              <w:t>147.0</w:t>
            </w:r>
          </w:p>
        </w:tc>
        <w:tc>
          <w:tcPr>
            <w:tcW w:w="2394" w:type="dxa"/>
          </w:tcPr>
          <w:p w14:paraId="65382DAA" w14:textId="2F305554" w:rsidR="00426E5F" w:rsidRPr="00426E5F" w:rsidRDefault="00426E5F" w:rsidP="00426E5F">
            <w:pPr>
              <w:rPr>
                <w:rFonts w:cs="Arial"/>
                <w:b/>
                <w:u w:val="single"/>
              </w:rPr>
            </w:pPr>
            <w:r w:rsidRPr="00426E5F">
              <w:rPr>
                <w:rFonts w:cs="Arial"/>
              </w:rPr>
              <w:t>287.0</w:t>
            </w:r>
          </w:p>
        </w:tc>
      </w:tr>
      <w:tr w:rsidR="00426E5F" w14:paraId="03C845D7" w14:textId="77777777" w:rsidTr="00426E5F">
        <w:tc>
          <w:tcPr>
            <w:tcW w:w="2394" w:type="dxa"/>
          </w:tcPr>
          <w:p w14:paraId="2F9C0566" w14:textId="6C4642E4" w:rsidR="00426E5F" w:rsidRPr="00426E5F" w:rsidRDefault="00426E5F" w:rsidP="00426E5F">
            <w:pPr>
              <w:rPr>
                <w:rFonts w:cs="Arial"/>
                <w:b/>
                <w:u w:val="single"/>
              </w:rPr>
            </w:pPr>
            <w:r w:rsidRPr="00426E5F">
              <w:rPr>
                <w:rFonts w:cs="Arial"/>
              </w:rPr>
              <w:t>8.0 mg</w:t>
            </w:r>
          </w:p>
        </w:tc>
        <w:tc>
          <w:tcPr>
            <w:tcW w:w="2394" w:type="dxa"/>
          </w:tcPr>
          <w:p w14:paraId="0F87ED87" w14:textId="5E811AB0" w:rsidR="00426E5F" w:rsidRPr="00426E5F" w:rsidRDefault="00426E5F" w:rsidP="00426E5F">
            <w:pPr>
              <w:rPr>
                <w:rFonts w:cs="Arial"/>
                <w:b/>
                <w:u w:val="single"/>
              </w:rPr>
            </w:pPr>
            <w:r w:rsidRPr="00426E5F">
              <w:rPr>
                <w:rFonts w:cs="Arial"/>
              </w:rPr>
              <w:t>88.0</w:t>
            </w:r>
          </w:p>
        </w:tc>
        <w:tc>
          <w:tcPr>
            <w:tcW w:w="2394" w:type="dxa"/>
          </w:tcPr>
          <w:p w14:paraId="6CB014DB" w14:textId="19E9C781" w:rsidR="00426E5F" w:rsidRPr="00426E5F" w:rsidRDefault="00426E5F" w:rsidP="00426E5F">
            <w:pPr>
              <w:rPr>
                <w:rFonts w:cs="Arial"/>
                <w:b/>
                <w:u w:val="single"/>
              </w:rPr>
            </w:pPr>
            <w:r w:rsidRPr="00426E5F">
              <w:rPr>
                <w:rFonts w:cs="Arial"/>
              </w:rPr>
              <w:t>168.0</w:t>
            </w:r>
          </w:p>
        </w:tc>
        <w:tc>
          <w:tcPr>
            <w:tcW w:w="2394" w:type="dxa"/>
          </w:tcPr>
          <w:p w14:paraId="3A1CF3F8" w14:textId="3897531D" w:rsidR="00426E5F" w:rsidRPr="00426E5F" w:rsidRDefault="00426E5F" w:rsidP="00426E5F">
            <w:pPr>
              <w:rPr>
                <w:rFonts w:cs="Arial"/>
                <w:b/>
                <w:u w:val="single"/>
              </w:rPr>
            </w:pPr>
            <w:r w:rsidRPr="00426E5F">
              <w:rPr>
                <w:rFonts w:cs="Arial"/>
              </w:rPr>
              <w:t>328.0</w:t>
            </w:r>
          </w:p>
        </w:tc>
      </w:tr>
      <w:tr w:rsidR="00426E5F" w14:paraId="571912B4" w14:textId="77777777" w:rsidTr="00426E5F">
        <w:tc>
          <w:tcPr>
            <w:tcW w:w="2394" w:type="dxa"/>
          </w:tcPr>
          <w:p w14:paraId="352C0D4B" w14:textId="205C62AB" w:rsidR="00426E5F" w:rsidRPr="00426E5F" w:rsidRDefault="00426E5F" w:rsidP="00426E5F">
            <w:pPr>
              <w:rPr>
                <w:rFonts w:cs="Arial"/>
                <w:b/>
                <w:u w:val="single"/>
              </w:rPr>
            </w:pPr>
            <w:r w:rsidRPr="00426E5F">
              <w:rPr>
                <w:rFonts w:cs="Arial"/>
              </w:rPr>
              <w:t>9.0 mg</w:t>
            </w:r>
          </w:p>
        </w:tc>
        <w:tc>
          <w:tcPr>
            <w:tcW w:w="2394" w:type="dxa"/>
          </w:tcPr>
          <w:p w14:paraId="7606B4F5" w14:textId="1341F983" w:rsidR="00426E5F" w:rsidRPr="00426E5F" w:rsidRDefault="00426E5F" w:rsidP="00426E5F">
            <w:pPr>
              <w:rPr>
                <w:rFonts w:cs="Arial"/>
                <w:b/>
                <w:u w:val="single"/>
              </w:rPr>
            </w:pPr>
            <w:r w:rsidRPr="00426E5F">
              <w:rPr>
                <w:rFonts w:cs="Arial"/>
              </w:rPr>
              <w:t>99.0</w:t>
            </w:r>
          </w:p>
        </w:tc>
        <w:tc>
          <w:tcPr>
            <w:tcW w:w="2394" w:type="dxa"/>
          </w:tcPr>
          <w:p w14:paraId="7A591C7A" w14:textId="650DE3B0" w:rsidR="00426E5F" w:rsidRPr="00426E5F" w:rsidRDefault="00426E5F" w:rsidP="00426E5F">
            <w:pPr>
              <w:rPr>
                <w:rFonts w:cs="Arial"/>
                <w:b/>
                <w:u w:val="single"/>
              </w:rPr>
            </w:pPr>
            <w:r w:rsidRPr="00426E5F">
              <w:rPr>
                <w:rFonts w:cs="Arial"/>
              </w:rPr>
              <w:t>189.0</w:t>
            </w:r>
          </w:p>
        </w:tc>
        <w:tc>
          <w:tcPr>
            <w:tcW w:w="2394" w:type="dxa"/>
          </w:tcPr>
          <w:p w14:paraId="47A66FBA" w14:textId="60E4D39E" w:rsidR="00426E5F" w:rsidRPr="00426E5F" w:rsidRDefault="00426E5F" w:rsidP="00426E5F">
            <w:pPr>
              <w:rPr>
                <w:rFonts w:cs="Arial"/>
                <w:b/>
                <w:u w:val="single"/>
              </w:rPr>
            </w:pPr>
            <w:r w:rsidRPr="00426E5F">
              <w:rPr>
                <w:rFonts w:cs="Arial"/>
              </w:rPr>
              <w:t>369.0</w:t>
            </w:r>
          </w:p>
        </w:tc>
      </w:tr>
      <w:tr w:rsidR="00426E5F" w14:paraId="2CDBEC3F" w14:textId="77777777" w:rsidTr="00426E5F">
        <w:tc>
          <w:tcPr>
            <w:tcW w:w="2394" w:type="dxa"/>
          </w:tcPr>
          <w:p w14:paraId="77EF5EF3" w14:textId="459737D4" w:rsidR="00426E5F" w:rsidRPr="00426E5F" w:rsidRDefault="00426E5F" w:rsidP="00426E5F">
            <w:pPr>
              <w:rPr>
                <w:rFonts w:cs="Arial"/>
                <w:b/>
                <w:u w:val="single"/>
              </w:rPr>
            </w:pPr>
            <w:r w:rsidRPr="00426E5F">
              <w:rPr>
                <w:rFonts w:cs="Arial"/>
              </w:rPr>
              <w:t>10.0 mg</w:t>
            </w:r>
          </w:p>
        </w:tc>
        <w:tc>
          <w:tcPr>
            <w:tcW w:w="2394" w:type="dxa"/>
          </w:tcPr>
          <w:p w14:paraId="351A8F22" w14:textId="55459B47" w:rsidR="00426E5F" w:rsidRPr="00426E5F" w:rsidRDefault="00426E5F" w:rsidP="00426E5F">
            <w:pPr>
              <w:rPr>
                <w:rFonts w:cs="Arial"/>
                <w:b/>
                <w:u w:val="single"/>
              </w:rPr>
            </w:pPr>
            <w:r w:rsidRPr="00426E5F">
              <w:rPr>
                <w:rFonts w:cs="Arial"/>
              </w:rPr>
              <w:t>110.0</w:t>
            </w:r>
          </w:p>
        </w:tc>
        <w:tc>
          <w:tcPr>
            <w:tcW w:w="2394" w:type="dxa"/>
          </w:tcPr>
          <w:p w14:paraId="56F1D2C2" w14:textId="6A62D5C5" w:rsidR="00426E5F" w:rsidRPr="00426E5F" w:rsidRDefault="00426E5F" w:rsidP="00426E5F">
            <w:pPr>
              <w:rPr>
                <w:rFonts w:cs="Arial"/>
                <w:b/>
                <w:u w:val="single"/>
              </w:rPr>
            </w:pPr>
            <w:r w:rsidRPr="00426E5F">
              <w:rPr>
                <w:rFonts w:cs="Arial"/>
              </w:rPr>
              <w:t>210.0</w:t>
            </w:r>
          </w:p>
        </w:tc>
        <w:tc>
          <w:tcPr>
            <w:tcW w:w="2394" w:type="dxa"/>
          </w:tcPr>
          <w:p w14:paraId="162F3A4A" w14:textId="77777777" w:rsidR="00426E5F" w:rsidRPr="00426E5F" w:rsidRDefault="00426E5F" w:rsidP="00426E5F">
            <w:pPr>
              <w:rPr>
                <w:rFonts w:cs="Arial"/>
                <w:b/>
                <w:u w:val="single"/>
              </w:rPr>
            </w:pPr>
          </w:p>
        </w:tc>
      </w:tr>
    </w:tbl>
    <w:p w14:paraId="0C28E03B" w14:textId="77777777" w:rsidR="00426E5F" w:rsidRDefault="00426E5F" w:rsidP="00426E5F">
      <w:pPr>
        <w:spacing w:line="240" w:lineRule="auto"/>
        <w:rPr>
          <w:rFonts w:eastAsia="Times New Roman" w:cs="Arial"/>
          <w:color w:val="000000"/>
          <w:lang w:eastAsia="bg-BG"/>
        </w:rPr>
      </w:pPr>
    </w:p>
    <w:p w14:paraId="465FD6E7" w14:textId="36CDB1C0"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В зависимост от клиничния статус, хемодинамиката и </w:t>
      </w:r>
      <w:r w:rsidRPr="00426E5F">
        <w:rPr>
          <w:rFonts w:eastAsia="Times New Roman" w:cs="Arial"/>
          <w:color w:val="000000"/>
          <w:lang w:val="en-US"/>
        </w:rPr>
        <w:t>ECG</w:t>
      </w:r>
      <w:r w:rsidRPr="00426E5F">
        <w:rPr>
          <w:rFonts w:eastAsia="Times New Roman" w:cs="Arial"/>
          <w:color w:val="000000"/>
          <w:lang w:val="ru-RU"/>
        </w:rPr>
        <w:t xml:space="preserve">, </w:t>
      </w:r>
      <w:r w:rsidRPr="00426E5F">
        <w:rPr>
          <w:rFonts w:eastAsia="Times New Roman" w:cs="Arial"/>
          <w:color w:val="000000"/>
          <w:lang w:eastAsia="bg-BG"/>
        </w:rPr>
        <w:t>лечението може да продължи до 3 дни или по-дълго. Лекуващият лекар определя продължителността на лечението.</w:t>
      </w:r>
    </w:p>
    <w:p w14:paraId="65C433A8" w14:textId="77777777" w:rsidR="00426E5F" w:rsidRPr="00426E5F" w:rsidRDefault="00426E5F" w:rsidP="00426E5F">
      <w:pPr>
        <w:spacing w:line="240" w:lineRule="auto"/>
        <w:rPr>
          <w:rFonts w:eastAsia="Times New Roman" w:cs="Arial"/>
        </w:rPr>
      </w:pPr>
      <w:r w:rsidRPr="00426E5F">
        <w:rPr>
          <w:rFonts w:eastAsia="Times New Roman" w:cs="Arial"/>
          <w:i/>
          <w:iCs/>
          <w:color w:val="000000"/>
          <w:lang w:eastAsia="bg-BG"/>
        </w:rPr>
        <w:t>Забележка:</w:t>
      </w:r>
    </w:p>
    <w:p w14:paraId="32FEA8C5" w14:textId="77777777" w:rsidR="00426E5F" w:rsidRPr="00426E5F" w:rsidRDefault="00426E5F" w:rsidP="00426E5F">
      <w:pPr>
        <w:spacing w:line="240" w:lineRule="auto"/>
        <w:rPr>
          <w:rFonts w:ascii="Times New Roman" w:eastAsia="Times New Roman" w:hAnsi="Times New Roman" w:cs="Times New Roman"/>
          <w:sz w:val="24"/>
          <w:szCs w:val="24"/>
        </w:rPr>
      </w:pPr>
      <w:r w:rsidRPr="00426E5F">
        <w:rPr>
          <w:rFonts w:eastAsia="Times New Roman" w:cs="Arial"/>
          <w:color w:val="000000"/>
          <w:lang w:eastAsia="bg-BG"/>
        </w:rPr>
        <w:t>За вливане на НИТРОНАЛ аквас са подходящи полиетиленовите и политетрафлуоретиленовите системи. Системите от поливинилхлорид водят до значителна загуба на активно вещество, дължаща се на абсорбция.</w:t>
      </w:r>
    </w:p>
    <w:p w14:paraId="28E43CAE" w14:textId="77777777" w:rsidR="00426E5F" w:rsidRPr="00426E5F" w:rsidRDefault="00426E5F" w:rsidP="00426E5F">
      <w:pPr>
        <w:rPr>
          <w:rFonts w:cs="Arial"/>
          <w:b/>
          <w:u w:val="single"/>
        </w:rPr>
      </w:pPr>
    </w:p>
    <w:p w14:paraId="62B13D0B" w14:textId="172EE3DE" w:rsidR="00395555" w:rsidRDefault="002C50EE" w:rsidP="008A6AF2">
      <w:pPr>
        <w:pStyle w:val="Heading2"/>
      </w:pPr>
      <w:r>
        <w:t>4.3. Противопоказания</w:t>
      </w:r>
    </w:p>
    <w:p w14:paraId="7CE88A78" w14:textId="00152119" w:rsidR="00426E5F" w:rsidRDefault="00426E5F" w:rsidP="00426E5F"/>
    <w:p w14:paraId="51587DC1" w14:textId="77777777" w:rsidR="00426E5F" w:rsidRPr="00426E5F" w:rsidRDefault="00426E5F" w:rsidP="00426E5F">
      <w:pPr>
        <w:spacing w:line="240" w:lineRule="auto"/>
        <w:rPr>
          <w:rFonts w:eastAsia="Times New Roman" w:cs="Arial"/>
        </w:rPr>
      </w:pPr>
      <w:r w:rsidRPr="00426E5F">
        <w:rPr>
          <w:rFonts w:eastAsia="Times New Roman" w:cs="Arial"/>
          <w:i/>
          <w:iCs/>
          <w:color w:val="000000"/>
          <w:lang w:eastAsia="bg-BG"/>
        </w:rPr>
        <w:t>Глицерил тринитрат не трябва да се използва при пациенти с:</w:t>
      </w:r>
    </w:p>
    <w:p w14:paraId="1E8FB4D9" w14:textId="77777777" w:rsidR="00426E5F" w:rsidRDefault="00426E5F" w:rsidP="00426E5F">
      <w:pPr>
        <w:pStyle w:val="ListParagraph"/>
        <w:numPr>
          <w:ilvl w:val="0"/>
          <w:numId w:val="32"/>
        </w:numPr>
        <w:spacing w:line="240" w:lineRule="auto"/>
        <w:rPr>
          <w:rFonts w:eastAsia="Times New Roman" w:cs="Arial"/>
          <w:color w:val="000000"/>
          <w:lang w:eastAsia="bg-BG"/>
        </w:rPr>
      </w:pPr>
      <w:r w:rsidRPr="00426E5F">
        <w:rPr>
          <w:rFonts w:eastAsia="Times New Roman" w:cs="Arial"/>
          <w:color w:val="000000"/>
          <w:lang w:eastAsia="bg-BG"/>
        </w:rPr>
        <w:t>свръхчувствителност към нитро съединения;</w:t>
      </w:r>
    </w:p>
    <w:p w14:paraId="72DD5DFD" w14:textId="77777777" w:rsidR="00426E5F" w:rsidRDefault="00426E5F" w:rsidP="00426E5F">
      <w:pPr>
        <w:pStyle w:val="ListParagraph"/>
        <w:numPr>
          <w:ilvl w:val="0"/>
          <w:numId w:val="32"/>
        </w:numPr>
        <w:spacing w:line="240" w:lineRule="auto"/>
        <w:rPr>
          <w:rFonts w:eastAsia="Times New Roman" w:cs="Arial"/>
          <w:color w:val="000000"/>
          <w:lang w:eastAsia="bg-BG"/>
        </w:rPr>
      </w:pPr>
      <w:r w:rsidRPr="00426E5F">
        <w:rPr>
          <w:rFonts w:eastAsia="Times New Roman" w:cs="Arial"/>
          <w:color w:val="000000"/>
          <w:lang w:eastAsia="bg-BG"/>
        </w:rPr>
        <w:t>остра циркулаторна недостатъчност (шок, циркулаторен колапс);</w:t>
      </w:r>
    </w:p>
    <w:p w14:paraId="0E178494" w14:textId="77777777" w:rsidR="00426E5F" w:rsidRDefault="00426E5F" w:rsidP="00426E5F">
      <w:pPr>
        <w:pStyle w:val="ListParagraph"/>
        <w:numPr>
          <w:ilvl w:val="0"/>
          <w:numId w:val="32"/>
        </w:numPr>
        <w:spacing w:line="240" w:lineRule="auto"/>
        <w:rPr>
          <w:rFonts w:eastAsia="Times New Roman" w:cs="Arial"/>
          <w:color w:val="000000"/>
          <w:lang w:eastAsia="bg-BG"/>
        </w:rPr>
      </w:pPr>
      <w:r w:rsidRPr="00426E5F">
        <w:rPr>
          <w:rFonts w:eastAsia="Times New Roman" w:cs="Arial"/>
          <w:color w:val="000000"/>
          <w:lang w:eastAsia="bg-BG"/>
        </w:rPr>
        <w:t>кардиогенен шок, освен ако интрааортна противо-пулсация или положително инотропни лекарства осигуряват адекватно високо левокамерно крайно диастолично налягане;</w:t>
      </w:r>
    </w:p>
    <w:p w14:paraId="4C6F3360" w14:textId="77777777" w:rsidR="00426E5F" w:rsidRDefault="00426E5F" w:rsidP="00426E5F">
      <w:pPr>
        <w:pStyle w:val="ListParagraph"/>
        <w:numPr>
          <w:ilvl w:val="0"/>
          <w:numId w:val="32"/>
        </w:numPr>
        <w:spacing w:line="240" w:lineRule="auto"/>
        <w:rPr>
          <w:rFonts w:eastAsia="Times New Roman" w:cs="Arial"/>
          <w:color w:val="000000"/>
          <w:lang w:eastAsia="bg-BG"/>
        </w:rPr>
      </w:pPr>
      <w:r w:rsidRPr="00426E5F">
        <w:rPr>
          <w:rFonts w:eastAsia="Times New Roman" w:cs="Arial"/>
          <w:color w:val="000000"/>
          <w:lang w:eastAsia="bg-BG"/>
        </w:rPr>
        <w:t>токсичен белодробен оток;</w:t>
      </w:r>
    </w:p>
    <w:p w14:paraId="01525D32" w14:textId="77777777" w:rsidR="00426E5F" w:rsidRPr="00426E5F" w:rsidRDefault="00426E5F" w:rsidP="00426E5F">
      <w:pPr>
        <w:pStyle w:val="ListParagraph"/>
        <w:numPr>
          <w:ilvl w:val="0"/>
          <w:numId w:val="32"/>
        </w:numPr>
        <w:spacing w:line="240" w:lineRule="auto"/>
        <w:rPr>
          <w:rFonts w:eastAsia="Times New Roman" w:cs="Arial"/>
          <w:color w:val="000000"/>
          <w:lang w:eastAsia="bg-BG"/>
        </w:rPr>
      </w:pPr>
      <w:r w:rsidRPr="00426E5F">
        <w:rPr>
          <w:rFonts w:eastAsia="Times New Roman" w:cs="Arial"/>
          <w:color w:val="000000"/>
          <w:lang w:eastAsia="bg-BG"/>
        </w:rPr>
        <w:t xml:space="preserve">тежка хипотензия (систолично артериално налягане под 90 </w:t>
      </w:r>
      <w:r w:rsidRPr="00426E5F">
        <w:rPr>
          <w:rFonts w:eastAsia="Times New Roman" w:cs="Arial"/>
          <w:color w:val="000000"/>
          <w:lang w:val="en-US"/>
        </w:rPr>
        <w:t>mm</w:t>
      </w:r>
      <w:r w:rsidRPr="00426E5F">
        <w:rPr>
          <w:rFonts w:eastAsia="Times New Roman" w:cs="Arial"/>
          <w:color w:val="000000"/>
          <w:lang w:val="ru-RU"/>
        </w:rPr>
        <w:t xml:space="preserve"> </w:t>
      </w:r>
      <w:r w:rsidRPr="00426E5F">
        <w:rPr>
          <w:rFonts w:eastAsia="Times New Roman" w:cs="Arial"/>
          <w:color w:val="000000"/>
          <w:lang w:val="en-US"/>
        </w:rPr>
        <w:t>Hg</w:t>
      </w:r>
      <w:r w:rsidRPr="00426E5F">
        <w:rPr>
          <w:rFonts w:eastAsia="Times New Roman" w:cs="Arial"/>
          <w:color w:val="000000"/>
          <w:lang w:val="ru-RU"/>
        </w:rPr>
        <w:t>);</w:t>
      </w:r>
    </w:p>
    <w:p w14:paraId="50373A16" w14:textId="77777777" w:rsidR="00426E5F" w:rsidRDefault="00426E5F" w:rsidP="00426E5F">
      <w:pPr>
        <w:pStyle w:val="ListParagraph"/>
        <w:numPr>
          <w:ilvl w:val="0"/>
          <w:numId w:val="32"/>
        </w:numPr>
        <w:spacing w:line="240" w:lineRule="auto"/>
        <w:rPr>
          <w:rFonts w:eastAsia="Times New Roman" w:cs="Arial"/>
          <w:color w:val="000000"/>
          <w:lang w:eastAsia="bg-BG"/>
        </w:rPr>
      </w:pPr>
      <w:r w:rsidRPr="00426E5F">
        <w:rPr>
          <w:rFonts w:eastAsia="Times New Roman" w:cs="Arial"/>
          <w:color w:val="000000"/>
          <w:lang w:eastAsia="bg-BG"/>
        </w:rPr>
        <w:t>заболявания, свързани с повишено вътречерепно налягане (повишаване на артериалното налягането до сега е наблюдавано само при високи дози интравенозно приложение на глицерил тринитрат);</w:t>
      </w:r>
    </w:p>
    <w:p w14:paraId="3E18CF6E" w14:textId="52277EC5" w:rsidR="00426E5F" w:rsidRPr="00426E5F" w:rsidRDefault="00426E5F" w:rsidP="00426E5F">
      <w:pPr>
        <w:pStyle w:val="ListParagraph"/>
        <w:numPr>
          <w:ilvl w:val="0"/>
          <w:numId w:val="32"/>
        </w:numPr>
        <w:spacing w:line="240" w:lineRule="auto"/>
        <w:rPr>
          <w:rFonts w:eastAsia="Times New Roman" w:cs="Arial"/>
          <w:color w:val="000000"/>
          <w:lang w:eastAsia="bg-BG"/>
        </w:rPr>
      </w:pPr>
      <w:r w:rsidRPr="00426E5F">
        <w:rPr>
          <w:rFonts w:eastAsia="Times New Roman" w:cs="Arial"/>
          <w:color w:val="000000"/>
          <w:lang w:eastAsia="bg-BG"/>
        </w:rPr>
        <w:t>употреба на фосфодиестеразни инхибитори за лечение на еректилна дисфункция или белодробна артериална хипертензия, поради значително нарастване на хипотензивния ефект на НИТРОНАЛ аквас.</w:t>
      </w:r>
    </w:p>
    <w:p w14:paraId="58DA81D5"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lastRenderedPageBreak/>
        <w:t>Противопоказанието за такива продукти трябва да се има предвид при пациенти с коронарно сърдечно заболяване. НИТРОНАЛ аквас не трябва да се прилага дори при пациенти с остра ангина пекторис, ако приемат фосфодиестеразни инхибитори за лечение на еректилна дисфункция или белодробна артериална хипертензия.</w:t>
      </w:r>
    </w:p>
    <w:p w14:paraId="45A3672A" w14:textId="77777777" w:rsidR="00426E5F" w:rsidRPr="00426E5F" w:rsidRDefault="00426E5F" w:rsidP="00426E5F"/>
    <w:p w14:paraId="5A4AC413" w14:textId="71BC34C2" w:rsidR="00395555" w:rsidRDefault="002C50EE" w:rsidP="008A6AF2">
      <w:pPr>
        <w:pStyle w:val="Heading2"/>
      </w:pPr>
      <w:r>
        <w:t>4.4. Специални предупреждения и предпазни мерки при употреба</w:t>
      </w:r>
    </w:p>
    <w:p w14:paraId="5C40DD5A" w14:textId="3F78AEAC" w:rsidR="00426E5F" w:rsidRDefault="00426E5F" w:rsidP="00426E5F"/>
    <w:p w14:paraId="676EC129"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Използваните при инфузия системи от полиетилен или политетрафлуоретилен са доказали своите предимства. Системите от поливинилхлорид водят до значителна загуба на активно вещество, дължаща се на абсорбция.</w:t>
      </w:r>
    </w:p>
    <w:p w14:paraId="1EF53BE1"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НИТРОНАЛ аквас съдържа глюкоза монохидрат. Не трябва да се прилага при пациенти с глюкозо-галактозна малабсорбция.</w:t>
      </w:r>
    </w:p>
    <w:p w14:paraId="4106F57D" w14:textId="77777777" w:rsidR="00426E5F" w:rsidRPr="00426E5F" w:rsidRDefault="00426E5F" w:rsidP="00426E5F">
      <w:pPr>
        <w:spacing w:line="240" w:lineRule="auto"/>
        <w:rPr>
          <w:rFonts w:eastAsia="Times New Roman" w:cs="Arial"/>
        </w:rPr>
      </w:pPr>
      <w:r w:rsidRPr="00426E5F">
        <w:rPr>
          <w:rFonts w:eastAsia="Times New Roman" w:cs="Arial"/>
          <w:i/>
          <w:iCs/>
          <w:color w:val="000000"/>
          <w:lang w:eastAsia="bg-BG"/>
        </w:rPr>
        <w:t>Предупреждения за употреба:</w:t>
      </w:r>
    </w:p>
    <w:p w14:paraId="43049294" w14:textId="77777777" w:rsidR="00426E5F" w:rsidRPr="00426E5F" w:rsidRDefault="00426E5F" w:rsidP="00426E5F">
      <w:pPr>
        <w:spacing w:line="240" w:lineRule="auto"/>
        <w:rPr>
          <w:rFonts w:eastAsia="Times New Roman" w:cs="Arial"/>
        </w:rPr>
      </w:pPr>
      <w:r w:rsidRPr="00426E5F">
        <w:rPr>
          <w:rFonts w:eastAsia="Times New Roman" w:cs="Arial"/>
          <w:i/>
          <w:iCs/>
          <w:color w:val="000000"/>
          <w:lang w:eastAsia="bg-BG"/>
        </w:rPr>
        <w:t>Глицерил тринитрат може да се прилага внимателно при:</w:t>
      </w:r>
    </w:p>
    <w:p w14:paraId="39C69731" w14:textId="77777777" w:rsidR="00426E5F" w:rsidRDefault="00426E5F" w:rsidP="00426E5F">
      <w:pPr>
        <w:pStyle w:val="ListParagraph"/>
        <w:numPr>
          <w:ilvl w:val="0"/>
          <w:numId w:val="2"/>
        </w:numPr>
        <w:spacing w:line="240" w:lineRule="auto"/>
        <w:rPr>
          <w:rFonts w:eastAsia="Times New Roman" w:cs="Arial"/>
          <w:color w:val="000000"/>
          <w:lang w:eastAsia="bg-BG"/>
        </w:rPr>
      </w:pPr>
      <w:r w:rsidRPr="00426E5F">
        <w:rPr>
          <w:rFonts w:eastAsia="Times New Roman" w:cs="Arial"/>
          <w:color w:val="000000"/>
          <w:lang w:eastAsia="bg-BG"/>
        </w:rPr>
        <w:t>хипертрофична обструктивна кардиомиопатия, констриктивен перикардит и перикардна тампонада;</w:t>
      </w:r>
    </w:p>
    <w:p w14:paraId="7272DC7D" w14:textId="77777777" w:rsidR="00426E5F" w:rsidRDefault="00426E5F" w:rsidP="00426E5F">
      <w:pPr>
        <w:pStyle w:val="ListParagraph"/>
        <w:numPr>
          <w:ilvl w:val="0"/>
          <w:numId w:val="2"/>
        </w:numPr>
        <w:spacing w:line="240" w:lineRule="auto"/>
        <w:rPr>
          <w:rFonts w:eastAsia="Times New Roman" w:cs="Arial"/>
          <w:color w:val="000000"/>
          <w:lang w:eastAsia="bg-BG"/>
        </w:rPr>
      </w:pPr>
      <w:r w:rsidRPr="00426E5F">
        <w:rPr>
          <w:rFonts w:eastAsia="Times New Roman" w:cs="Arial"/>
          <w:color w:val="000000"/>
          <w:lang w:eastAsia="bg-BG"/>
        </w:rPr>
        <w:t>ниско налягане на пълнене, т. е. при остър инфаркт на миокарда, нарушена функция на лявата камера (левокамерна недостатъчност). Трябва да се избягва понижаване на систоличното артериално налягане под 90 мм;</w:t>
      </w:r>
    </w:p>
    <w:p w14:paraId="614979A9" w14:textId="77777777" w:rsidR="00426E5F" w:rsidRDefault="00426E5F" w:rsidP="00426E5F">
      <w:pPr>
        <w:pStyle w:val="ListParagraph"/>
        <w:numPr>
          <w:ilvl w:val="0"/>
          <w:numId w:val="2"/>
        </w:numPr>
        <w:spacing w:line="240" w:lineRule="auto"/>
        <w:rPr>
          <w:rFonts w:eastAsia="Times New Roman" w:cs="Arial"/>
          <w:color w:val="000000"/>
          <w:lang w:eastAsia="bg-BG"/>
        </w:rPr>
      </w:pPr>
      <w:r w:rsidRPr="00426E5F">
        <w:rPr>
          <w:rFonts w:eastAsia="Times New Roman" w:cs="Arial"/>
          <w:color w:val="000000"/>
          <w:lang w:eastAsia="bg-BG"/>
        </w:rPr>
        <w:t>аортна и/или митрална стеноза;</w:t>
      </w:r>
    </w:p>
    <w:p w14:paraId="0387C793" w14:textId="77777777" w:rsidR="00426E5F" w:rsidRDefault="00426E5F" w:rsidP="00426E5F">
      <w:pPr>
        <w:pStyle w:val="ListParagraph"/>
        <w:numPr>
          <w:ilvl w:val="0"/>
          <w:numId w:val="2"/>
        </w:numPr>
        <w:spacing w:line="240" w:lineRule="auto"/>
        <w:rPr>
          <w:rFonts w:eastAsia="Times New Roman" w:cs="Arial"/>
          <w:color w:val="000000"/>
          <w:lang w:eastAsia="bg-BG"/>
        </w:rPr>
      </w:pPr>
      <w:r w:rsidRPr="00426E5F">
        <w:rPr>
          <w:rFonts w:eastAsia="Times New Roman" w:cs="Arial"/>
          <w:color w:val="000000"/>
          <w:lang w:eastAsia="bg-BG"/>
        </w:rPr>
        <w:t>тенденция към ортостатични нарушения на циркулаторната регулация;</w:t>
      </w:r>
    </w:p>
    <w:p w14:paraId="4ADF3FFD" w14:textId="100AA5D0" w:rsidR="00426E5F" w:rsidRPr="00426E5F" w:rsidRDefault="00426E5F" w:rsidP="00426E5F">
      <w:pPr>
        <w:pStyle w:val="ListParagraph"/>
        <w:numPr>
          <w:ilvl w:val="0"/>
          <w:numId w:val="2"/>
        </w:numPr>
        <w:spacing w:line="240" w:lineRule="auto"/>
        <w:rPr>
          <w:rFonts w:eastAsia="Times New Roman" w:cs="Arial"/>
          <w:color w:val="000000"/>
          <w:lang w:eastAsia="bg-BG"/>
        </w:rPr>
      </w:pPr>
      <w:r w:rsidRPr="00426E5F">
        <w:rPr>
          <w:rFonts w:eastAsia="Times New Roman" w:cs="Arial"/>
          <w:color w:val="000000"/>
          <w:lang w:eastAsia="bg-BG"/>
        </w:rPr>
        <w:t>пациенти с тежка чернодробна и бъбречна недостатъчност;</w:t>
      </w:r>
    </w:p>
    <w:p w14:paraId="71A6ACAA"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При пациенти с обемен дефицит е необходима адекватна обемозаместваща терапия преди започване на лечението.</w:t>
      </w:r>
    </w:p>
    <w:p w14:paraId="13D1C252" w14:textId="77777777" w:rsidR="00426E5F" w:rsidRPr="00426E5F" w:rsidRDefault="00426E5F" w:rsidP="00426E5F"/>
    <w:p w14:paraId="1244F76A" w14:textId="0B000FEC" w:rsidR="00395555" w:rsidRDefault="002C50EE" w:rsidP="008A6AF2">
      <w:pPr>
        <w:pStyle w:val="Heading2"/>
      </w:pPr>
      <w:r>
        <w:t>4.5. Взаимодействие с други лекарствени продукти и други форми на взаимодействие</w:t>
      </w:r>
    </w:p>
    <w:p w14:paraId="1C6F8915" w14:textId="7DEAB4E1" w:rsidR="00426E5F" w:rsidRDefault="00426E5F" w:rsidP="00426E5F"/>
    <w:p w14:paraId="084EB33E"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Съпътстващо приемане на други вазодилатори, антихипертензивни продукти, АСЕ- инхибитори, В-блокери, калциеви антагонисти, диуретици, невролептици или трициклични антидепресанти, алкохол и сапроптерин може да потенцира антихипертензивното действие на НИТРОНАЛ аквас (виж т. 4.3 Противопоказания). Едновременен прием на нитро-оксиди (например НИТРОНАЛ аквас) и лекарствени продукти (фосфодиестеразни инхибитори) за лечение на еректилна дисфункция или белодробна артериална хипертензия повишава хипотензивния ефект. Затова пациенти с коронарно сърдечно заболяване не трябва да приемат фосфодиестеразни инхибитори за лечение на еректилна дисфункция или белодробна артериална хипертензия</w:t>
      </w:r>
    </w:p>
    <w:p w14:paraId="4E3F00CD"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При едновременна употреба с дихидроерготамин, НИТРОНАЛ аквас може да доведе до увеличаване на нивото на </w:t>
      </w:r>
      <w:r w:rsidRPr="00426E5F">
        <w:rPr>
          <w:rFonts w:eastAsia="Times New Roman" w:cs="Arial"/>
          <w:color w:val="000000"/>
          <w:lang w:val="en-US"/>
        </w:rPr>
        <w:t>DHE</w:t>
      </w:r>
      <w:r w:rsidRPr="00426E5F">
        <w:rPr>
          <w:rFonts w:eastAsia="Times New Roman" w:cs="Arial"/>
          <w:color w:val="000000"/>
          <w:lang w:val="ru-RU"/>
        </w:rPr>
        <w:t xml:space="preserve"> </w:t>
      </w:r>
      <w:r w:rsidRPr="00426E5F">
        <w:rPr>
          <w:rFonts w:eastAsia="Times New Roman" w:cs="Arial"/>
          <w:color w:val="000000"/>
          <w:lang w:eastAsia="bg-BG"/>
        </w:rPr>
        <w:t>и така да се потенцира хипертензивното му действие.</w:t>
      </w:r>
    </w:p>
    <w:p w14:paraId="620EA9EA"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Когато хепарин и НИТРОНАЛ аквас се използват едновременно, действието на хепарина намалява. Дозата на хепарина трябва да се коригира чрез мониториране параметрите на коагулацията. След прекратяване приложението на глицерил тринитрат, коагулацията на кръвта може да бъде значително намалена (рязко увеличение в РТТ), което може да наложи намаляване на дозата хепарин.</w:t>
      </w:r>
    </w:p>
    <w:p w14:paraId="67994FFF"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При пациенти, които преди това са лекувани с органични нитрати, т.е. изосорбид динитрат, изосорбид-5-мононитрат, може да е необходима по-висока доза глицерил тринитрат, за да се постигне желания хемодинамичен ефект.</w:t>
      </w:r>
    </w:p>
    <w:p w14:paraId="302A1C2B" w14:textId="77777777" w:rsidR="00426E5F" w:rsidRPr="00426E5F" w:rsidRDefault="00426E5F" w:rsidP="00426E5F"/>
    <w:p w14:paraId="6EADE4D6" w14:textId="3A7F2C9A" w:rsidR="00395555" w:rsidRDefault="002C50EE" w:rsidP="008A6AF2">
      <w:pPr>
        <w:pStyle w:val="Heading2"/>
      </w:pPr>
      <w:r>
        <w:lastRenderedPageBreak/>
        <w:t>4.6. Фертилитет, бременност и кърмене</w:t>
      </w:r>
    </w:p>
    <w:p w14:paraId="3BDEF4F3" w14:textId="7367E26B" w:rsidR="00426E5F" w:rsidRDefault="00426E5F" w:rsidP="00426E5F"/>
    <w:p w14:paraId="6782C5B1" w14:textId="77777777" w:rsidR="00426E5F" w:rsidRPr="00426E5F" w:rsidRDefault="00426E5F" w:rsidP="00426E5F">
      <w:pPr>
        <w:rPr>
          <w:sz w:val="24"/>
          <w:szCs w:val="24"/>
        </w:rPr>
      </w:pPr>
      <w:r w:rsidRPr="00426E5F">
        <w:rPr>
          <w:lang w:eastAsia="bg-BG"/>
        </w:rPr>
        <w:t>При бременност и кърмене глицерил тринитрат може да се прилага само след внимателна оценка на съотношението риск/полза. Няма достатъчно данни при хора особено през първия триместьр на бременността.</w:t>
      </w:r>
    </w:p>
    <w:p w14:paraId="73662265" w14:textId="77777777" w:rsidR="00426E5F" w:rsidRPr="00426E5F" w:rsidRDefault="00426E5F" w:rsidP="00426E5F"/>
    <w:p w14:paraId="5766770B" w14:textId="1EE7079F" w:rsidR="00395555" w:rsidRDefault="002C50EE" w:rsidP="008A6AF2">
      <w:pPr>
        <w:pStyle w:val="Heading2"/>
      </w:pPr>
      <w:r>
        <w:t>4.7. Ефекти върху способността за шофиране и работа с машини</w:t>
      </w:r>
    </w:p>
    <w:p w14:paraId="201C1CF4" w14:textId="718F8D56" w:rsidR="00426E5F" w:rsidRDefault="00426E5F" w:rsidP="00426E5F"/>
    <w:p w14:paraId="7D678DBC"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Дори когато се използва както е указано, този продукт може да окаже въздействие върху способността за шофиране и работа с машини. Това може да възникне особено в началото на лечението, при повишаване на дозата, при промяна на лекарствения </w:t>
      </w:r>
      <w:r w:rsidRPr="00426E5F">
        <w:rPr>
          <w:rFonts w:eastAsia="Times New Roman" w:cs="Arial"/>
          <w:i/>
          <w:iCs/>
          <w:color w:val="000000"/>
          <w:lang w:eastAsia="bg-BG"/>
        </w:rPr>
        <w:t>продукт или при употребата му в</w:t>
      </w:r>
      <w:r w:rsidRPr="00426E5F">
        <w:rPr>
          <w:rFonts w:eastAsia="Times New Roman" w:cs="Arial"/>
          <w:color w:val="000000"/>
          <w:lang w:eastAsia="bg-BG"/>
        </w:rPr>
        <w:t xml:space="preserve"> комбинация с алкохол.</w:t>
      </w:r>
    </w:p>
    <w:p w14:paraId="2B2E0E23" w14:textId="77777777" w:rsidR="00426E5F" w:rsidRPr="00426E5F" w:rsidRDefault="00426E5F" w:rsidP="00426E5F"/>
    <w:p w14:paraId="4FE16E21" w14:textId="21D3F858" w:rsidR="00395555" w:rsidRDefault="002C50EE" w:rsidP="008A6AF2">
      <w:pPr>
        <w:pStyle w:val="Heading2"/>
      </w:pPr>
      <w:r>
        <w:t>4.8. Нежелани лекарствени реакции</w:t>
      </w:r>
    </w:p>
    <w:p w14:paraId="5BEB155E" w14:textId="649FA956" w:rsidR="00426E5F" w:rsidRDefault="00426E5F" w:rsidP="00426E5F"/>
    <w:p w14:paraId="4CC6C6AC"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За оценка на честотата на нежеланите лекарствени реакции следните параметри са използвани:</w:t>
      </w:r>
    </w:p>
    <w:p w14:paraId="00C080B1" w14:textId="4DCEF930" w:rsidR="00426E5F" w:rsidRPr="00426E5F" w:rsidRDefault="00426E5F" w:rsidP="00426E5F">
      <w:pPr>
        <w:spacing w:line="240" w:lineRule="auto"/>
        <w:rPr>
          <w:rFonts w:eastAsia="Times New Roman" w:cs="Arial"/>
        </w:rPr>
      </w:pPr>
      <w:r>
        <w:rPr>
          <w:rFonts w:eastAsia="Times New Roman" w:cs="Arial"/>
          <w:color w:val="000000"/>
          <w:lang w:eastAsia="bg-BG"/>
        </w:rPr>
        <w:t xml:space="preserve">Много чести: </w:t>
      </w:r>
      <w:r w:rsidRPr="00426E5F">
        <w:rPr>
          <w:rFonts w:eastAsia="Times New Roman" w:cs="Arial"/>
          <w:color w:val="000000"/>
          <w:lang w:eastAsia="bg-BG"/>
        </w:rPr>
        <w:t>(≥ 1/10)</w:t>
      </w:r>
    </w:p>
    <w:p w14:paraId="7415AF5C" w14:textId="52710A78" w:rsidR="00426E5F" w:rsidRPr="00426E5F" w:rsidRDefault="00426E5F" w:rsidP="00426E5F">
      <w:pPr>
        <w:spacing w:line="240" w:lineRule="auto"/>
        <w:rPr>
          <w:rFonts w:eastAsia="Times New Roman" w:cs="Arial"/>
        </w:rPr>
      </w:pPr>
      <w:r>
        <w:rPr>
          <w:rFonts w:eastAsia="Times New Roman" w:cs="Arial"/>
          <w:color w:val="000000"/>
          <w:lang w:eastAsia="bg-BG"/>
        </w:rPr>
        <w:t xml:space="preserve">Чести : </w:t>
      </w:r>
      <w:r w:rsidRPr="00426E5F">
        <w:rPr>
          <w:rFonts w:eastAsia="Times New Roman" w:cs="Arial"/>
          <w:color w:val="000000"/>
          <w:lang w:eastAsia="bg-BG"/>
        </w:rPr>
        <w:t>(≥ 1/100 до &lt; 1/10))</w:t>
      </w:r>
    </w:p>
    <w:p w14:paraId="7EF54AF0" w14:textId="02C54A5D" w:rsidR="00426E5F" w:rsidRPr="00426E5F" w:rsidRDefault="00426E5F" w:rsidP="00426E5F">
      <w:pPr>
        <w:spacing w:line="240" w:lineRule="auto"/>
        <w:rPr>
          <w:rFonts w:eastAsia="Times New Roman" w:cs="Arial"/>
        </w:rPr>
      </w:pPr>
      <w:r>
        <w:rPr>
          <w:rFonts w:eastAsia="Times New Roman" w:cs="Arial"/>
          <w:color w:val="000000"/>
          <w:lang w:eastAsia="bg-BG"/>
        </w:rPr>
        <w:t xml:space="preserve">Нечести: </w:t>
      </w:r>
      <w:r w:rsidRPr="00426E5F">
        <w:rPr>
          <w:rFonts w:eastAsia="Times New Roman" w:cs="Arial"/>
          <w:color w:val="000000"/>
          <w:lang w:eastAsia="bg-BG"/>
        </w:rPr>
        <w:t>(≥ 1/1,000 до &lt; 1/100)</w:t>
      </w:r>
    </w:p>
    <w:p w14:paraId="2348E1EF"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Редки:</w:t>
      </w:r>
      <w:r w:rsidRPr="00426E5F">
        <w:rPr>
          <w:rFonts w:eastAsia="Times New Roman" w:cs="Arial"/>
          <w:color w:val="000000"/>
          <w:lang w:eastAsia="bg-BG"/>
        </w:rPr>
        <w:tab/>
        <w:t>(≥ 1/10,000 до &lt; 1/1,000)</w:t>
      </w:r>
    </w:p>
    <w:p w14:paraId="3E105455" w14:textId="1A1FDD1B" w:rsidR="00426E5F" w:rsidRPr="00426E5F" w:rsidRDefault="00426E5F" w:rsidP="00426E5F">
      <w:pPr>
        <w:spacing w:line="240" w:lineRule="auto"/>
        <w:rPr>
          <w:rFonts w:eastAsia="Times New Roman" w:cs="Arial"/>
        </w:rPr>
      </w:pPr>
      <w:r>
        <w:rPr>
          <w:rFonts w:eastAsia="Times New Roman" w:cs="Arial"/>
          <w:color w:val="000000"/>
          <w:lang w:eastAsia="bg-BG"/>
        </w:rPr>
        <w:t xml:space="preserve">Много редки: </w:t>
      </w:r>
      <w:r w:rsidRPr="00426E5F">
        <w:rPr>
          <w:rFonts w:eastAsia="Times New Roman" w:cs="Arial"/>
          <w:color w:val="000000"/>
          <w:lang w:eastAsia="bg-BG"/>
        </w:rPr>
        <w:t>(≤ 1/10,000)</w:t>
      </w:r>
    </w:p>
    <w:p w14:paraId="58922BBE" w14:textId="77777777" w:rsidR="00426E5F" w:rsidRDefault="00426E5F" w:rsidP="00426E5F">
      <w:pPr>
        <w:spacing w:line="240" w:lineRule="auto"/>
        <w:rPr>
          <w:rFonts w:eastAsia="Times New Roman" w:cs="Arial"/>
          <w:color w:val="000000"/>
          <w:lang w:eastAsia="bg-BG"/>
        </w:rPr>
      </w:pPr>
    </w:p>
    <w:p w14:paraId="138017CC" w14:textId="53720762" w:rsidR="00426E5F" w:rsidRPr="00426E5F" w:rsidRDefault="00426E5F" w:rsidP="00426E5F">
      <w:pPr>
        <w:spacing w:line="240" w:lineRule="auto"/>
        <w:rPr>
          <w:rFonts w:eastAsia="Times New Roman" w:cs="Arial"/>
        </w:rPr>
      </w:pPr>
      <w:r w:rsidRPr="00426E5F">
        <w:rPr>
          <w:rFonts w:eastAsia="Times New Roman" w:cs="Arial"/>
          <w:color w:val="000000"/>
          <w:lang w:eastAsia="bg-BG"/>
        </w:rPr>
        <w:t>В началото на лечението много често може да се появи провокирано от нитрати главоболие, но то обикновено отзвучава при продължаване на употребата.</w:t>
      </w:r>
    </w:p>
    <w:p w14:paraId="341DBB8F"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Може да настъпи зависимо от дозата спадане на артериалното налягане и увеличаване на сърдечната честота. В случай на по-изразено спадане на артериалното налягане, инфузията трябва да бъде преустановена. Ако не последва спонтанно възстановяване на артериалното налягане, трябва да бъдат предприети мерки, свързани със сърдечно</w:t>
      </w:r>
      <w:r w:rsidRPr="00426E5F">
        <w:rPr>
          <w:rFonts w:eastAsia="Times New Roman" w:cs="Arial"/>
          <w:color w:val="000000"/>
          <w:lang w:eastAsia="bg-BG"/>
        </w:rPr>
        <w:softHyphen/>
        <w:t>съдовата система, напр. повдигане на краката или възстановяване на обемния дефицит. Не често може да възникнат</w:t>
      </w:r>
    </w:p>
    <w:p w14:paraId="0BFBA363" w14:textId="77777777" w:rsidR="00426E5F" w:rsidRDefault="00426E5F" w:rsidP="00426E5F">
      <w:pPr>
        <w:pStyle w:val="ListParagraph"/>
        <w:numPr>
          <w:ilvl w:val="0"/>
          <w:numId w:val="2"/>
        </w:numPr>
        <w:spacing w:line="240" w:lineRule="auto"/>
        <w:rPr>
          <w:rFonts w:eastAsia="Times New Roman" w:cs="Arial"/>
          <w:color w:val="000000"/>
          <w:lang w:eastAsia="bg-BG"/>
        </w:rPr>
      </w:pPr>
      <w:r w:rsidRPr="00426E5F">
        <w:rPr>
          <w:rFonts w:eastAsia="Times New Roman" w:cs="Arial"/>
          <w:color w:val="000000"/>
          <w:lang w:eastAsia="bg-BG"/>
        </w:rPr>
        <w:t>гадене, повръщане, преходно зачервяване на лицето и алергични кожни реакции.</w:t>
      </w:r>
    </w:p>
    <w:p w14:paraId="0471F583" w14:textId="77777777" w:rsidR="00426E5F" w:rsidRPr="00426E5F" w:rsidRDefault="00426E5F" w:rsidP="00426E5F">
      <w:pPr>
        <w:pStyle w:val="ListParagraph"/>
        <w:numPr>
          <w:ilvl w:val="0"/>
          <w:numId w:val="2"/>
        </w:numPr>
        <w:spacing w:line="240" w:lineRule="auto"/>
        <w:rPr>
          <w:rFonts w:eastAsia="Times New Roman" w:cs="Arial"/>
          <w:color w:val="000000"/>
          <w:lang w:eastAsia="bg-BG"/>
        </w:rPr>
      </w:pPr>
      <w:r w:rsidRPr="00426E5F">
        <w:rPr>
          <w:rFonts w:eastAsia="Times New Roman" w:cs="Arial"/>
          <w:color w:val="000000"/>
          <w:lang w:eastAsia="bg-BG"/>
        </w:rPr>
        <w:t xml:space="preserve">много голям спад на артериалното налягане, със засилване на симптомите на </w:t>
      </w:r>
      <w:r w:rsidRPr="00426E5F">
        <w:rPr>
          <w:rFonts w:eastAsia="Times New Roman" w:cs="Arial"/>
          <w:color w:val="000000"/>
          <w:lang w:val="en-US"/>
        </w:rPr>
        <w:t>angina</w:t>
      </w:r>
      <w:r w:rsidRPr="00426E5F">
        <w:rPr>
          <w:rFonts w:eastAsia="Times New Roman" w:cs="Arial"/>
          <w:color w:val="000000"/>
          <w:lang w:val="ru-RU"/>
        </w:rPr>
        <w:t xml:space="preserve"> </w:t>
      </w:r>
      <w:r w:rsidRPr="00426E5F">
        <w:rPr>
          <w:rFonts w:eastAsia="Times New Roman" w:cs="Arial"/>
          <w:color w:val="000000"/>
          <w:lang w:val="en-US"/>
        </w:rPr>
        <w:t>pectoris</w:t>
      </w:r>
    </w:p>
    <w:p w14:paraId="0729579B" w14:textId="4E2F3786" w:rsidR="00426E5F" w:rsidRPr="00426E5F" w:rsidRDefault="00426E5F" w:rsidP="00426E5F">
      <w:pPr>
        <w:pStyle w:val="ListParagraph"/>
        <w:numPr>
          <w:ilvl w:val="0"/>
          <w:numId w:val="2"/>
        </w:numPr>
        <w:spacing w:line="240" w:lineRule="auto"/>
        <w:rPr>
          <w:rFonts w:eastAsia="Times New Roman" w:cs="Arial"/>
          <w:color w:val="000000"/>
          <w:lang w:eastAsia="bg-BG"/>
        </w:rPr>
      </w:pPr>
      <w:r w:rsidRPr="00426E5F">
        <w:rPr>
          <w:rFonts w:eastAsia="Times New Roman" w:cs="Arial"/>
          <w:color w:val="000000"/>
          <w:lang w:eastAsia="bg-BG"/>
        </w:rPr>
        <w:t>състояния на колапс, понякога с брадикардия и синкоп (внезапна загуба на съзнание). Много рядко може да се наблюдава ексфолиативен дерматит.</w:t>
      </w:r>
    </w:p>
    <w:p w14:paraId="58127FF1"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Описани са развитие на толерантност и поява на кръстосана толерантност към други нитро съединения. За да се предотврати намаляване или загуба на ефект, продължително назначаване на високи дози трябва да се избягва.</w:t>
      </w:r>
    </w:p>
    <w:p w14:paraId="58C327F3" w14:textId="77777777" w:rsidR="00426E5F" w:rsidRPr="00426E5F" w:rsidRDefault="00426E5F" w:rsidP="00426E5F">
      <w:pPr>
        <w:spacing w:line="240" w:lineRule="auto"/>
        <w:rPr>
          <w:rFonts w:eastAsia="Times New Roman" w:cs="Arial"/>
        </w:rPr>
      </w:pPr>
      <w:r w:rsidRPr="00426E5F">
        <w:rPr>
          <w:rFonts w:eastAsia="Times New Roman" w:cs="Arial"/>
          <w:i/>
          <w:iCs/>
          <w:color w:val="000000"/>
          <w:lang w:eastAsia="bg-BG"/>
        </w:rPr>
        <w:t>Забележка:</w:t>
      </w:r>
    </w:p>
    <w:p w14:paraId="51E08897"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По време на инфузията с НИТРОНАЛ аквас може да се появи преходна хипоксемия вследствие на относително преразпределение на кръвния поток в хиповентилираните алвеоларни области, а при пациенти с коронарни сърдечни заболявания това може да доведе и до исхемия.</w:t>
      </w:r>
    </w:p>
    <w:p w14:paraId="2BE945CF" w14:textId="77777777" w:rsidR="00426E5F" w:rsidRDefault="00426E5F" w:rsidP="00426E5F">
      <w:pPr>
        <w:spacing w:line="240" w:lineRule="auto"/>
        <w:rPr>
          <w:rFonts w:eastAsia="Times New Roman" w:cs="Arial"/>
          <w:color w:val="000000"/>
          <w:u w:val="single"/>
          <w:lang w:eastAsia="bg-BG"/>
        </w:rPr>
      </w:pPr>
    </w:p>
    <w:p w14:paraId="2DE4F79A" w14:textId="22E4504C" w:rsidR="00426E5F" w:rsidRPr="00426E5F" w:rsidRDefault="00426E5F" w:rsidP="00426E5F">
      <w:pPr>
        <w:spacing w:line="240" w:lineRule="auto"/>
        <w:rPr>
          <w:rFonts w:eastAsia="Times New Roman" w:cs="Arial"/>
        </w:rPr>
      </w:pPr>
      <w:r w:rsidRPr="00426E5F">
        <w:rPr>
          <w:rFonts w:eastAsia="Times New Roman" w:cs="Arial"/>
          <w:color w:val="000000"/>
          <w:u w:val="single"/>
          <w:lang w:eastAsia="bg-BG"/>
        </w:rPr>
        <w:t>Съобщаване на подозирани нежелани реакции</w:t>
      </w:r>
    </w:p>
    <w:p w14:paraId="43FB9441"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lastRenderedPageBreak/>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w:t>
      </w:r>
    </w:p>
    <w:p w14:paraId="25735C21"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Тел.: +359 2 8903417</w:t>
      </w:r>
    </w:p>
    <w:p w14:paraId="5C30418D" w14:textId="2F27D3A4" w:rsidR="00426E5F" w:rsidRDefault="00426E5F" w:rsidP="00426E5F">
      <w:pPr>
        <w:rPr>
          <w:rFonts w:eastAsia="Times New Roman" w:cs="Arial"/>
        </w:rPr>
      </w:pPr>
      <w:r w:rsidRPr="00426E5F">
        <w:rPr>
          <w:rFonts w:eastAsia="Times New Roman" w:cs="Arial"/>
          <w:color w:val="000000"/>
          <w:lang w:eastAsia="bg-BG"/>
        </w:rPr>
        <w:t xml:space="preserve">уебсайт: </w:t>
      </w:r>
      <w:hyperlink r:id="rId5" w:history="1">
        <w:r w:rsidRPr="00426E5F">
          <w:rPr>
            <w:rFonts w:eastAsia="Times New Roman" w:cs="Arial"/>
            <w:color w:val="000000"/>
            <w:u w:val="single"/>
            <w:lang w:val="en-US"/>
          </w:rPr>
          <w:t>www.bda.bg</w:t>
        </w:r>
      </w:hyperlink>
    </w:p>
    <w:p w14:paraId="25EF1252" w14:textId="77777777" w:rsidR="00426E5F" w:rsidRPr="00426E5F" w:rsidRDefault="00426E5F" w:rsidP="00426E5F">
      <w:pPr>
        <w:rPr>
          <w:rFonts w:cs="Arial"/>
        </w:rPr>
      </w:pPr>
    </w:p>
    <w:p w14:paraId="4ED30546" w14:textId="5F9EA22A" w:rsidR="007C605B" w:rsidRDefault="002C50EE" w:rsidP="009F1313">
      <w:pPr>
        <w:pStyle w:val="Heading2"/>
      </w:pPr>
      <w:r>
        <w:t>4.9. Предозиране</w:t>
      </w:r>
    </w:p>
    <w:p w14:paraId="63BFFEF2" w14:textId="57A47403" w:rsidR="00426E5F" w:rsidRDefault="00426E5F" w:rsidP="00426E5F"/>
    <w:p w14:paraId="52B10AD4" w14:textId="71A4ABB8" w:rsidR="00426E5F" w:rsidRPr="00426E5F" w:rsidRDefault="00426E5F" w:rsidP="00426E5F">
      <w:pPr>
        <w:spacing w:line="240" w:lineRule="auto"/>
        <w:rPr>
          <w:rFonts w:eastAsia="Times New Roman" w:cs="Arial"/>
          <w:color w:val="000000"/>
          <w:u w:val="single"/>
          <w:lang w:eastAsia="bg-BG"/>
        </w:rPr>
      </w:pPr>
      <w:r>
        <w:rPr>
          <w:rFonts w:eastAsia="Times New Roman" w:cs="Arial"/>
          <w:color w:val="000000"/>
          <w:u w:val="single"/>
          <w:lang w:eastAsia="bg-BG"/>
        </w:rPr>
        <w:t xml:space="preserve">а) </w:t>
      </w:r>
      <w:r w:rsidRPr="00426E5F">
        <w:rPr>
          <w:rFonts w:eastAsia="Times New Roman" w:cs="Arial"/>
          <w:color w:val="000000"/>
          <w:u w:val="single"/>
          <w:lang w:eastAsia="bg-BG"/>
        </w:rPr>
        <w:t>Симптоми на предозиране</w:t>
      </w:r>
    </w:p>
    <w:p w14:paraId="6CF94C51"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Могат да се появят понижено артериално налягане с ортостатични реакции, рефлекторна тахикардия и главоболие, слабост, световъртеж, сомнолентност, зачервяване на кожата, гадене, повръщане и разстройство.</w:t>
      </w:r>
    </w:p>
    <w:p w14:paraId="32F1AF72"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При високи дози (повече от 20 </w:t>
      </w:r>
      <w:r w:rsidRPr="00426E5F">
        <w:rPr>
          <w:rFonts w:eastAsia="Times New Roman" w:cs="Arial"/>
          <w:color w:val="000000"/>
          <w:lang w:val="en-US"/>
        </w:rPr>
        <w:t>mg</w:t>
      </w:r>
      <w:r w:rsidRPr="00426E5F">
        <w:rPr>
          <w:rFonts w:eastAsia="Times New Roman" w:cs="Arial"/>
          <w:color w:val="000000"/>
          <w:lang w:val="ru-RU"/>
        </w:rPr>
        <w:t>/</w:t>
      </w:r>
      <w:r w:rsidRPr="00426E5F">
        <w:rPr>
          <w:rFonts w:eastAsia="Times New Roman" w:cs="Arial"/>
          <w:color w:val="000000"/>
          <w:lang w:val="en-US"/>
        </w:rPr>
        <w:t>kg</w:t>
      </w:r>
      <w:r w:rsidRPr="00426E5F">
        <w:rPr>
          <w:rFonts w:eastAsia="Times New Roman" w:cs="Arial"/>
          <w:color w:val="000000"/>
          <w:lang w:val="ru-RU"/>
        </w:rPr>
        <w:t xml:space="preserve"> </w:t>
      </w:r>
      <w:r w:rsidRPr="00426E5F">
        <w:rPr>
          <w:rFonts w:eastAsia="Times New Roman" w:cs="Arial"/>
          <w:color w:val="000000"/>
          <w:lang w:eastAsia="bg-BG"/>
        </w:rPr>
        <w:t>тегло) трябва да се очакват метхемоглобинемия, цианоза, задух и учестено дишане, дължащи се на нитритни йони, образувани по време на метаболизма на глицерил тринитрат.</w:t>
      </w:r>
    </w:p>
    <w:p w14:paraId="7CE4712B"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При много високи дози може да се повиши интракраниалното налягане, съпроводено с церебрални симптоми (конвулсии).</w:t>
      </w:r>
    </w:p>
    <w:p w14:paraId="62D666C5"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При хронично предозиране са били измерени повишени нива на метхемоглобин, чиято клинична релевантност е спорна.</w:t>
      </w:r>
    </w:p>
    <w:p w14:paraId="56317FFD" w14:textId="51F9486B" w:rsidR="00426E5F" w:rsidRPr="00426E5F" w:rsidRDefault="00426E5F" w:rsidP="00426E5F">
      <w:pPr>
        <w:spacing w:line="240" w:lineRule="auto"/>
        <w:rPr>
          <w:rFonts w:eastAsia="Times New Roman" w:cs="Arial"/>
          <w:color w:val="000000"/>
          <w:u w:val="single"/>
          <w:lang w:eastAsia="bg-BG"/>
        </w:rPr>
      </w:pPr>
      <w:r>
        <w:rPr>
          <w:rFonts w:eastAsia="Times New Roman" w:cs="Arial"/>
          <w:color w:val="000000"/>
          <w:u w:val="single"/>
          <w:lang w:eastAsia="bg-BG"/>
        </w:rPr>
        <w:t xml:space="preserve">Б) </w:t>
      </w:r>
      <w:r w:rsidRPr="00426E5F">
        <w:rPr>
          <w:rFonts w:eastAsia="Times New Roman" w:cs="Arial"/>
          <w:color w:val="000000"/>
          <w:u w:val="single"/>
          <w:lang w:eastAsia="bg-BG"/>
        </w:rPr>
        <w:t>Лечение в случай на предозиране</w:t>
      </w:r>
    </w:p>
    <w:p w14:paraId="4407E061"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В допълнение към общоприетите мерки като промивка на стомаха и поставяне на пациента в хоризонтално положение с повдигнати крака, виталните параметри трябва да бъдат мониторирани и ако е необходимо коригирани в условията на интензивни грижи.</w:t>
      </w:r>
    </w:p>
    <w:p w14:paraId="7D37D069"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При изразена хипотензия и/или шок трябва да се предприеме обемно заместване; в изключителни случаи могат да се включват инфузии с норепинефрин и/или допамин като кардио-васкуларна терапия. Прилагането на епинефрин и подобни субстанции е противопоказано.</w:t>
      </w:r>
    </w:p>
    <w:p w14:paraId="5E194E05" w14:textId="77777777" w:rsidR="00426E5F" w:rsidRDefault="00426E5F" w:rsidP="00426E5F">
      <w:pPr>
        <w:spacing w:line="240" w:lineRule="auto"/>
        <w:rPr>
          <w:rFonts w:eastAsia="Times New Roman" w:cs="Arial"/>
          <w:color w:val="000000"/>
          <w:lang w:eastAsia="bg-BG"/>
        </w:rPr>
      </w:pPr>
    </w:p>
    <w:p w14:paraId="614350EA" w14:textId="635C1187" w:rsidR="00426E5F" w:rsidRPr="00426E5F" w:rsidRDefault="00426E5F" w:rsidP="00426E5F">
      <w:pPr>
        <w:spacing w:line="240" w:lineRule="auto"/>
        <w:rPr>
          <w:rFonts w:eastAsia="Times New Roman" w:cs="Arial"/>
        </w:rPr>
      </w:pPr>
      <w:r w:rsidRPr="00426E5F">
        <w:rPr>
          <w:rFonts w:eastAsia="Times New Roman" w:cs="Arial"/>
          <w:color w:val="000000"/>
          <w:lang w:eastAsia="bg-BG"/>
        </w:rPr>
        <w:t>При поява на метхемоглобинемия могат да се използват следните антидоти, в зависимост от тежестта на предозиране:</w:t>
      </w:r>
    </w:p>
    <w:p w14:paraId="44E3B98B" w14:textId="58ADC23B" w:rsidR="00426E5F" w:rsidRPr="00426E5F" w:rsidRDefault="00426E5F" w:rsidP="00426E5F">
      <w:pPr>
        <w:pStyle w:val="ListParagraph"/>
        <w:numPr>
          <w:ilvl w:val="0"/>
          <w:numId w:val="5"/>
        </w:numPr>
        <w:spacing w:line="240" w:lineRule="auto"/>
        <w:rPr>
          <w:rFonts w:eastAsia="Times New Roman" w:cs="Arial"/>
          <w:color w:val="000000"/>
          <w:lang w:eastAsia="bg-BG"/>
        </w:rPr>
      </w:pPr>
      <w:r>
        <w:rPr>
          <w:rFonts w:eastAsia="Times New Roman" w:cs="Arial"/>
          <w:color w:val="000000"/>
          <w:lang w:eastAsia="bg-BG"/>
        </w:rPr>
        <w:t xml:space="preserve">Витамин С: </w:t>
      </w:r>
      <w:r w:rsidRPr="00426E5F">
        <w:rPr>
          <w:rFonts w:eastAsia="Times New Roman" w:cs="Arial"/>
          <w:color w:val="000000"/>
          <w:lang w:eastAsia="bg-BG"/>
        </w:rPr>
        <w:t>1</w:t>
      </w:r>
      <w:r w:rsidRPr="00426E5F">
        <w:rPr>
          <w:rFonts w:eastAsia="Times New Roman" w:cs="Arial"/>
          <w:color w:val="000000"/>
          <w:lang w:val="en-US"/>
        </w:rPr>
        <w:t>g</w:t>
      </w:r>
      <w:r w:rsidRPr="00426E5F">
        <w:rPr>
          <w:rFonts w:eastAsia="Times New Roman" w:cs="Arial"/>
          <w:color w:val="000000"/>
          <w:lang w:val="ru-RU"/>
        </w:rPr>
        <w:t xml:space="preserve"> </w:t>
      </w:r>
      <w:r w:rsidRPr="00426E5F">
        <w:rPr>
          <w:rFonts w:eastAsia="Times New Roman" w:cs="Arial"/>
          <w:color w:val="000000"/>
          <w:lang w:eastAsia="bg-BG"/>
        </w:rPr>
        <w:t xml:space="preserve">р.о. или като натриева сол </w:t>
      </w:r>
      <w:proofErr w:type="spellStart"/>
      <w:r w:rsidRPr="00426E5F">
        <w:rPr>
          <w:rFonts w:eastAsia="Times New Roman" w:cs="Arial"/>
          <w:color w:val="000000"/>
          <w:lang w:val="en-US"/>
        </w:rPr>
        <w:t>i</w:t>
      </w:r>
      <w:proofErr w:type="spellEnd"/>
      <w:r w:rsidRPr="00426E5F">
        <w:rPr>
          <w:rFonts w:eastAsia="Times New Roman" w:cs="Arial"/>
          <w:color w:val="000000"/>
          <w:lang w:val="ru-RU"/>
        </w:rPr>
        <w:t>.</w:t>
      </w:r>
      <w:r w:rsidRPr="00426E5F">
        <w:rPr>
          <w:rFonts w:eastAsia="Times New Roman" w:cs="Arial"/>
          <w:color w:val="000000"/>
          <w:lang w:val="en-US"/>
        </w:rPr>
        <w:t>v</w:t>
      </w:r>
      <w:r w:rsidRPr="00426E5F">
        <w:rPr>
          <w:rFonts w:eastAsia="Times New Roman" w:cs="Arial"/>
          <w:color w:val="000000"/>
          <w:lang w:val="ru-RU"/>
        </w:rPr>
        <w:t>.</w:t>
      </w:r>
    </w:p>
    <w:p w14:paraId="310ADABA" w14:textId="66E28980" w:rsidR="00426E5F" w:rsidRPr="00426E5F" w:rsidRDefault="00426E5F" w:rsidP="00426E5F">
      <w:pPr>
        <w:pStyle w:val="ListParagraph"/>
        <w:numPr>
          <w:ilvl w:val="0"/>
          <w:numId w:val="5"/>
        </w:numPr>
        <w:spacing w:line="240" w:lineRule="auto"/>
        <w:rPr>
          <w:rFonts w:eastAsia="Times New Roman" w:cs="Arial"/>
          <w:color w:val="000000"/>
          <w:lang w:eastAsia="bg-BG"/>
        </w:rPr>
      </w:pPr>
      <w:r w:rsidRPr="00426E5F">
        <w:rPr>
          <w:rFonts w:eastAsia="Times New Roman" w:cs="Arial"/>
          <w:color w:val="000000"/>
          <w:lang w:eastAsia="bg-BG"/>
        </w:rPr>
        <w:t>Метиленово синьо</w:t>
      </w:r>
      <w:r>
        <w:rPr>
          <w:rFonts w:eastAsia="Times New Roman" w:cs="Arial"/>
          <w:color w:val="000000"/>
          <w:lang w:eastAsia="bg-BG"/>
        </w:rPr>
        <w:t>:</w:t>
      </w:r>
      <w:r w:rsidRPr="00426E5F">
        <w:rPr>
          <w:rFonts w:eastAsia="Times New Roman" w:cs="Arial"/>
          <w:color w:val="000000"/>
          <w:lang w:eastAsia="bg-BG"/>
        </w:rPr>
        <w:t xml:space="preserve"> до 50 </w:t>
      </w:r>
      <w:r w:rsidRPr="00426E5F">
        <w:rPr>
          <w:rFonts w:eastAsia="Times New Roman" w:cs="Arial"/>
          <w:color w:val="000000"/>
          <w:lang w:val="en-US"/>
        </w:rPr>
        <w:t>ml</w:t>
      </w:r>
      <w:r w:rsidRPr="00426E5F">
        <w:rPr>
          <w:rFonts w:eastAsia="Times New Roman" w:cs="Arial"/>
          <w:color w:val="000000"/>
          <w:lang w:val="ru-RU"/>
        </w:rPr>
        <w:t xml:space="preserve"> </w:t>
      </w:r>
      <w:r w:rsidRPr="00426E5F">
        <w:rPr>
          <w:rFonts w:eastAsia="Times New Roman" w:cs="Arial"/>
          <w:color w:val="000000"/>
          <w:lang w:eastAsia="bg-BG"/>
        </w:rPr>
        <w:t xml:space="preserve">от 1% р-р на метиленово синьо </w:t>
      </w:r>
      <w:proofErr w:type="spellStart"/>
      <w:r w:rsidRPr="00426E5F">
        <w:rPr>
          <w:rFonts w:eastAsia="Times New Roman" w:cs="Arial"/>
          <w:color w:val="000000"/>
          <w:lang w:val="en-US"/>
        </w:rPr>
        <w:t>i</w:t>
      </w:r>
      <w:proofErr w:type="spellEnd"/>
      <w:r w:rsidRPr="00426E5F">
        <w:rPr>
          <w:rFonts w:eastAsia="Times New Roman" w:cs="Arial"/>
          <w:color w:val="000000"/>
          <w:lang w:val="ru-RU"/>
        </w:rPr>
        <w:t>.</w:t>
      </w:r>
      <w:r w:rsidRPr="00426E5F">
        <w:rPr>
          <w:rFonts w:eastAsia="Times New Roman" w:cs="Arial"/>
          <w:color w:val="000000"/>
          <w:lang w:val="en-US"/>
        </w:rPr>
        <w:t>v</w:t>
      </w:r>
      <w:r w:rsidRPr="00426E5F">
        <w:rPr>
          <w:rFonts w:eastAsia="Times New Roman" w:cs="Arial"/>
          <w:color w:val="000000"/>
          <w:lang w:val="ru-RU"/>
        </w:rPr>
        <w:t>.</w:t>
      </w:r>
    </w:p>
    <w:p w14:paraId="187C9CAC" w14:textId="35E32A82" w:rsidR="00426E5F" w:rsidRPr="00426E5F" w:rsidRDefault="00426E5F" w:rsidP="00426E5F">
      <w:pPr>
        <w:pStyle w:val="ListParagraph"/>
        <w:numPr>
          <w:ilvl w:val="0"/>
          <w:numId w:val="5"/>
        </w:numPr>
        <w:spacing w:line="240" w:lineRule="auto"/>
        <w:rPr>
          <w:rFonts w:eastAsia="Times New Roman" w:cs="Arial"/>
          <w:color w:val="000000"/>
          <w:lang w:eastAsia="bg-BG"/>
        </w:rPr>
      </w:pPr>
      <w:r w:rsidRPr="00426E5F">
        <w:rPr>
          <w:rFonts w:eastAsia="Times New Roman" w:cs="Arial"/>
          <w:color w:val="000000"/>
          <w:lang w:eastAsia="bg-BG"/>
        </w:rPr>
        <w:t>Толуидиново синьо</w:t>
      </w:r>
      <w:r>
        <w:rPr>
          <w:rFonts w:eastAsia="Times New Roman" w:cs="Arial"/>
          <w:color w:val="000000"/>
          <w:lang w:eastAsia="bg-BG"/>
        </w:rPr>
        <w:t>:</w:t>
      </w:r>
      <w:r w:rsidRPr="00426E5F">
        <w:rPr>
          <w:rFonts w:eastAsia="Times New Roman" w:cs="Arial"/>
          <w:color w:val="000000"/>
          <w:lang w:eastAsia="bg-BG"/>
        </w:rPr>
        <w:t xml:space="preserve"> първоначална доза 2-4 </w:t>
      </w:r>
      <w:r w:rsidRPr="00426E5F">
        <w:rPr>
          <w:rFonts w:eastAsia="Times New Roman" w:cs="Arial"/>
          <w:color w:val="000000"/>
          <w:lang w:val="en-US"/>
        </w:rPr>
        <w:t>mg</w:t>
      </w:r>
      <w:r w:rsidRPr="00426E5F">
        <w:rPr>
          <w:rFonts w:eastAsia="Times New Roman" w:cs="Arial"/>
          <w:color w:val="000000"/>
          <w:lang w:val="ru-RU"/>
        </w:rPr>
        <w:t>/</w:t>
      </w:r>
      <w:r w:rsidRPr="00426E5F">
        <w:rPr>
          <w:rFonts w:eastAsia="Times New Roman" w:cs="Arial"/>
          <w:color w:val="000000"/>
          <w:lang w:val="en-US"/>
        </w:rPr>
        <w:t>kg</w:t>
      </w:r>
      <w:r w:rsidRPr="00426E5F">
        <w:rPr>
          <w:rFonts w:eastAsia="Times New Roman" w:cs="Arial"/>
          <w:color w:val="000000"/>
          <w:lang w:val="ru-RU"/>
        </w:rPr>
        <w:t xml:space="preserve">, </w:t>
      </w:r>
      <w:r w:rsidRPr="00426E5F">
        <w:rPr>
          <w:rFonts w:eastAsia="Times New Roman" w:cs="Arial"/>
          <w:color w:val="000000"/>
          <w:lang w:eastAsia="bg-BG"/>
        </w:rPr>
        <w:t xml:space="preserve">само </w:t>
      </w:r>
      <w:proofErr w:type="spellStart"/>
      <w:r w:rsidRPr="00426E5F">
        <w:rPr>
          <w:rFonts w:eastAsia="Times New Roman" w:cs="Arial"/>
          <w:color w:val="000000"/>
          <w:lang w:val="en-US"/>
        </w:rPr>
        <w:t>i</w:t>
      </w:r>
      <w:proofErr w:type="spellEnd"/>
      <w:r w:rsidRPr="00426E5F">
        <w:rPr>
          <w:rFonts w:eastAsia="Times New Roman" w:cs="Arial"/>
          <w:color w:val="000000"/>
          <w:lang w:val="ru-RU"/>
        </w:rPr>
        <w:t>.</w:t>
      </w:r>
      <w:r w:rsidRPr="00426E5F">
        <w:rPr>
          <w:rFonts w:eastAsia="Times New Roman" w:cs="Arial"/>
          <w:color w:val="000000"/>
          <w:lang w:val="en-US"/>
        </w:rPr>
        <w:t>v</w:t>
      </w:r>
      <w:r w:rsidRPr="00426E5F">
        <w:rPr>
          <w:rFonts w:eastAsia="Times New Roman" w:cs="Arial"/>
          <w:color w:val="000000"/>
          <w:lang w:val="ru-RU"/>
        </w:rPr>
        <w:t>.;</w:t>
      </w:r>
      <w:r>
        <w:rPr>
          <w:rFonts w:eastAsia="Times New Roman" w:cs="Arial"/>
          <w:color w:val="000000"/>
          <w:lang w:val="ru-RU"/>
        </w:rPr>
        <w:t xml:space="preserve"> </w:t>
      </w:r>
      <w:r w:rsidRPr="00426E5F">
        <w:rPr>
          <w:rFonts w:eastAsia="Times New Roman" w:cs="Arial"/>
          <w:color w:val="000000"/>
          <w:lang w:eastAsia="bg-BG"/>
        </w:rPr>
        <w:t xml:space="preserve">ако е необходимо, се повтаря дозата от 2-4 </w:t>
      </w:r>
      <w:r w:rsidRPr="00426E5F">
        <w:rPr>
          <w:rFonts w:eastAsia="Times New Roman" w:cs="Arial"/>
          <w:color w:val="000000"/>
          <w:lang w:val="en-US"/>
        </w:rPr>
        <w:t>mg</w:t>
      </w:r>
      <w:r w:rsidRPr="00426E5F">
        <w:rPr>
          <w:rFonts w:eastAsia="Times New Roman" w:cs="Arial"/>
          <w:color w:val="000000"/>
          <w:lang w:val="ru-RU"/>
        </w:rPr>
        <w:t>/</w:t>
      </w:r>
      <w:r w:rsidRPr="00426E5F">
        <w:rPr>
          <w:rFonts w:eastAsia="Times New Roman" w:cs="Arial"/>
          <w:color w:val="000000"/>
          <w:lang w:val="en-US"/>
        </w:rPr>
        <w:t>kg</w:t>
      </w:r>
      <w:r w:rsidRPr="00426E5F">
        <w:rPr>
          <w:rFonts w:eastAsia="Times New Roman" w:cs="Arial"/>
          <w:color w:val="000000"/>
          <w:lang w:val="ru-RU"/>
        </w:rPr>
        <w:t xml:space="preserve"> </w:t>
      </w:r>
      <w:r w:rsidRPr="00426E5F">
        <w:rPr>
          <w:rFonts w:eastAsia="Times New Roman" w:cs="Arial"/>
          <w:color w:val="000000"/>
          <w:lang w:eastAsia="bg-BG"/>
        </w:rPr>
        <w:t>в интервали от 1 час.</w:t>
      </w:r>
    </w:p>
    <w:p w14:paraId="6F23C479" w14:textId="1E9B20D1" w:rsidR="00426E5F" w:rsidRPr="00426E5F" w:rsidRDefault="00426E5F" w:rsidP="00426E5F">
      <w:pPr>
        <w:pStyle w:val="ListParagraph"/>
        <w:numPr>
          <w:ilvl w:val="0"/>
          <w:numId w:val="5"/>
        </w:numPr>
        <w:spacing w:line="240" w:lineRule="auto"/>
        <w:rPr>
          <w:rFonts w:eastAsia="Times New Roman" w:cs="Arial"/>
        </w:rPr>
      </w:pPr>
      <w:r w:rsidRPr="00426E5F">
        <w:rPr>
          <w:rFonts w:eastAsia="Times New Roman" w:cs="Arial"/>
          <w:color w:val="000000"/>
          <w:lang w:eastAsia="bg-BG"/>
        </w:rPr>
        <w:t>Кислородна терапия, хемодиализа, обменно кръвопреливане.</w:t>
      </w:r>
    </w:p>
    <w:p w14:paraId="5B0378B8" w14:textId="77777777" w:rsidR="00426E5F" w:rsidRPr="00426E5F" w:rsidRDefault="00426E5F" w:rsidP="00426E5F"/>
    <w:p w14:paraId="02081B24" w14:textId="1F46E296" w:rsidR="00395555" w:rsidRPr="00395555" w:rsidRDefault="002C50EE" w:rsidP="008A6AF2">
      <w:pPr>
        <w:pStyle w:val="Heading1"/>
      </w:pPr>
      <w:r>
        <w:t>5. ФАРМАКОЛОГИЧНИ СВОЙСТВА</w:t>
      </w:r>
    </w:p>
    <w:p w14:paraId="5350637D" w14:textId="1D0134DE" w:rsidR="00395555" w:rsidRDefault="002C50EE" w:rsidP="008A6AF2">
      <w:pPr>
        <w:pStyle w:val="Heading2"/>
      </w:pPr>
      <w:r>
        <w:t>5.1. Фармакодинамични свойства</w:t>
      </w:r>
    </w:p>
    <w:p w14:paraId="5255DD8C" w14:textId="432126D7" w:rsidR="00426E5F" w:rsidRDefault="00426E5F" w:rsidP="00426E5F"/>
    <w:p w14:paraId="6BC23FF5" w14:textId="77777777" w:rsidR="00426E5F" w:rsidRPr="00426E5F" w:rsidRDefault="00426E5F" w:rsidP="00426E5F">
      <w:pPr>
        <w:spacing w:line="240" w:lineRule="auto"/>
        <w:rPr>
          <w:rFonts w:eastAsia="Times New Roman" w:cs="Arial"/>
        </w:rPr>
      </w:pPr>
      <w:r w:rsidRPr="00426E5F">
        <w:rPr>
          <w:rFonts w:eastAsia="Times New Roman" w:cs="Arial"/>
          <w:b/>
          <w:bCs/>
          <w:color w:val="000000"/>
          <w:lang w:eastAsia="bg-BG"/>
        </w:rPr>
        <w:t>Фармакотерапевтична група</w:t>
      </w:r>
    </w:p>
    <w:p w14:paraId="161C915E" w14:textId="77777777" w:rsidR="00426E5F" w:rsidRPr="00426E5F" w:rsidRDefault="00426E5F" w:rsidP="00426E5F">
      <w:pPr>
        <w:spacing w:line="240" w:lineRule="auto"/>
        <w:rPr>
          <w:rFonts w:eastAsia="Times New Roman" w:cs="Arial"/>
        </w:rPr>
      </w:pPr>
      <w:r w:rsidRPr="00426E5F">
        <w:rPr>
          <w:rFonts w:eastAsia="Times New Roman" w:cs="Arial"/>
          <w:color w:val="000000"/>
          <w:lang w:val="en-US"/>
        </w:rPr>
        <w:t>ATC</w:t>
      </w:r>
      <w:r w:rsidRPr="00426E5F">
        <w:rPr>
          <w:rFonts w:eastAsia="Times New Roman" w:cs="Arial"/>
          <w:color w:val="000000"/>
          <w:lang w:eastAsia="bg-BG"/>
        </w:rPr>
        <w:t>код</w:t>
      </w:r>
      <w:r w:rsidRPr="00426E5F">
        <w:rPr>
          <w:rFonts w:eastAsia="Times New Roman" w:cs="Arial"/>
          <w:color w:val="000000"/>
          <w:lang w:val="ru-RU"/>
        </w:rPr>
        <w:t>-</w:t>
      </w:r>
      <w:proofErr w:type="spellStart"/>
      <w:r w:rsidRPr="00426E5F">
        <w:rPr>
          <w:rFonts w:eastAsia="Times New Roman" w:cs="Arial"/>
          <w:color w:val="000000"/>
          <w:lang w:val="en-US"/>
        </w:rPr>
        <w:t>COl</w:t>
      </w:r>
      <w:proofErr w:type="spellEnd"/>
      <w:r w:rsidRPr="00426E5F">
        <w:rPr>
          <w:rFonts w:eastAsia="Times New Roman" w:cs="Arial"/>
          <w:color w:val="000000"/>
          <w:lang w:val="ru-RU"/>
        </w:rPr>
        <w:t xml:space="preserve"> </w:t>
      </w:r>
      <w:r w:rsidRPr="00426E5F">
        <w:rPr>
          <w:rFonts w:eastAsia="Times New Roman" w:cs="Arial"/>
          <w:color w:val="000000"/>
          <w:lang w:val="en-US"/>
        </w:rPr>
        <w:t>DA</w:t>
      </w:r>
      <w:r w:rsidRPr="00426E5F">
        <w:rPr>
          <w:rFonts w:eastAsia="Times New Roman" w:cs="Arial"/>
          <w:color w:val="000000"/>
          <w:lang w:val="ru-RU"/>
        </w:rPr>
        <w:t>02</w:t>
      </w:r>
    </w:p>
    <w:p w14:paraId="26429882" w14:textId="77777777" w:rsidR="00426E5F" w:rsidRDefault="00426E5F" w:rsidP="00426E5F">
      <w:pPr>
        <w:spacing w:line="240" w:lineRule="auto"/>
        <w:rPr>
          <w:rFonts w:eastAsia="Times New Roman" w:cs="Arial"/>
          <w:b/>
          <w:bCs/>
          <w:color w:val="000000"/>
          <w:lang w:eastAsia="bg-BG"/>
        </w:rPr>
      </w:pPr>
      <w:bookmarkStart w:id="2" w:name="bookmark2"/>
    </w:p>
    <w:p w14:paraId="61018442" w14:textId="3681A278" w:rsidR="00426E5F" w:rsidRPr="00426E5F" w:rsidRDefault="00426E5F" w:rsidP="00426E5F">
      <w:pPr>
        <w:spacing w:line="240" w:lineRule="auto"/>
        <w:rPr>
          <w:rFonts w:eastAsia="Times New Roman" w:cs="Arial"/>
        </w:rPr>
      </w:pPr>
      <w:r w:rsidRPr="00426E5F">
        <w:rPr>
          <w:rFonts w:eastAsia="Times New Roman" w:cs="Arial"/>
          <w:b/>
          <w:bCs/>
          <w:color w:val="000000"/>
          <w:lang w:eastAsia="bg-BG"/>
        </w:rPr>
        <w:t>Фармакодинамични ефекти</w:t>
      </w:r>
      <w:bookmarkEnd w:id="2"/>
    </w:p>
    <w:p w14:paraId="123BD243"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Глицерил тринитрат има директен релаксиращ ефект върху гладката мускулатура на съдовете и води до вазодилатация.</w:t>
      </w:r>
    </w:p>
    <w:p w14:paraId="69DBDDEB" w14:textId="63E16E91" w:rsidR="00426E5F" w:rsidRDefault="00426E5F" w:rsidP="00426E5F">
      <w:pPr>
        <w:rPr>
          <w:rFonts w:eastAsia="Times New Roman" w:cs="Arial"/>
          <w:color w:val="000000"/>
          <w:lang w:eastAsia="bg-BG"/>
        </w:rPr>
      </w:pPr>
      <w:r w:rsidRPr="00426E5F">
        <w:rPr>
          <w:rFonts w:eastAsia="Times New Roman" w:cs="Arial"/>
          <w:color w:val="000000"/>
          <w:lang w:eastAsia="bg-BG"/>
        </w:rPr>
        <w:lastRenderedPageBreak/>
        <w:t>Посткапилярните капацитативни съдове и големите артерии, особено частите на коронарните артерии, които все още са способни на отговор, се повлияват по-силно отколкото резистентните съдове. Вазодилатацията в системното кръвообра</w:t>
      </w:r>
      <w:r w:rsidRPr="00426E5F">
        <w:rPr>
          <w:rFonts w:eastAsia="Times New Roman" w:cs="Arial"/>
          <w:color w:val="000000"/>
          <w:u w:val="single"/>
          <w:lang w:eastAsia="bg-BG"/>
        </w:rPr>
        <w:t xml:space="preserve">щение </w:t>
      </w:r>
      <w:r w:rsidRPr="00426E5F">
        <w:rPr>
          <w:rFonts w:eastAsia="Times New Roman" w:cs="Arial"/>
          <w:color w:val="000000"/>
          <w:lang w:eastAsia="bg-BG"/>
        </w:rPr>
        <w:t xml:space="preserve">повишава венозния капацитет </w:t>
      </w:r>
      <w:r w:rsidRPr="00426E5F">
        <w:rPr>
          <w:rFonts w:eastAsia="Times New Roman" w:cs="Arial"/>
          <w:color w:val="000000"/>
          <w:lang w:val="ru-RU"/>
        </w:rPr>
        <w:t>(</w:t>
      </w:r>
      <w:r w:rsidRPr="00426E5F">
        <w:rPr>
          <w:rFonts w:eastAsia="Times New Roman" w:cs="Arial"/>
          <w:color w:val="000000"/>
          <w:lang w:val="en-US"/>
        </w:rPr>
        <w:t>pooling</w:t>
      </w:r>
      <w:r w:rsidRPr="00426E5F">
        <w:rPr>
          <w:rFonts w:eastAsia="Times New Roman" w:cs="Arial"/>
          <w:color w:val="000000"/>
          <w:lang w:val="ru-RU"/>
        </w:rPr>
        <w:t xml:space="preserve">), </w:t>
      </w:r>
      <w:r w:rsidRPr="00426E5F">
        <w:rPr>
          <w:rFonts w:eastAsia="Times New Roman" w:cs="Arial"/>
          <w:color w:val="000000"/>
          <w:lang w:eastAsia="bg-BG"/>
        </w:rPr>
        <w:t>намалявайки венозния приток към</w:t>
      </w:r>
      <w:r w:rsidRPr="00426E5F">
        <w:rPr>
          <w:rFonts w:eastAsia="Times New Roman" w:cs="Arial"/>
          <w:color w:val="000000"/>
          <w:lang w:val="ru-RU"/>
        </w:rPr>
        <w:t xml:space="preserve"> </w:t>
      </w:r>
      <w:r w:rsidRPr="00426E5F">
        <w:rPr>
          <w:rFonts w:eastAsia="Times New Roman" w:cs="Arial"/>
          <w:color w:val="000000"/>
          <w:lang w:eastAsia="bg-BG"/>
        </w:rPr>
        <w:t>сърцето Вентрикуларния обем и пълнещото налягане намаляват (намаляване на преднатоварването). По-малкият вентрикулен радиус и намаленото систолитично натоварване на стените понижават нуждата на миокарда от енергия и кислород.</w:t>
      </w:r>
    </w:p>
    <w:p w14:paraId="5A5BAB7B" w14:textId="09CE82BA" w:rsidR="00426E5F" w:rsidRDefault="00426E5F" w:rsidP="00426E5F">
      <w:pPr>
        <w:rPr>
          <w:rFonts w:eastAsia="Times New Roman" w:cs="Arial"/>
          <w:color w:val="000000"/>
          <w:lang w:eastAsia="bg-BG"/>
        </w:rPr>
      </w:pPr>
    </w:p>
    <w:p w14:paraId="22B3B86D" w14:textId="77777777" w:rsidR="00426E5F" w:rsidRPr="00426E5F" w:rsidRDefault="00426E5F" w:rsidP="00426E5F">
      <w:pPr>
        <w:rPr>
          <w:sz w:val="24"/>
          <w:szCs w:val="24"/>
        </w:rPr>
      </w:pPr>
      <w:r w:rsidRPr="00426E5F">
        <w:rPr>
          <w:lang w:eastAsia="bg-BG"/>
        </w:rPr>
        <w:t>Редукцията на пълнещото налягането благоприятства перфузията на субендокардиалния слой, застрашен от исхемия. Движение на стените и ударният обем могат да се подобрят.</w:t>
      </w:r>
    </w:p>
    <w:p w14:paraId="63B6E1E5" w14:textId="77777777" w:rsidR="00426E5F" w:rsidRPr="00426E5F" w:rsidRDefault="00426E5F" w:rsidP="00426E5F">
      <w:pPr>
        <w:rPr>
          <w:sz w:val="24"/>
          <w:szCs w:val="24"/>
        </w:rPr>
      </w:pPr>
      <w:r w:rsidRPr="00426E5F">
        <w:rPr>
          <w:lang w:eastAsia="bg-BG"/>
        </w:rPr>
        <w:t>Дилатацията на големите перикардиални артерии води до намаляване не само на следнатоварването, но и на съпротивлението на пулмоналната артерия.</w:t>
      </w:r>
    </w:p>
    <w:p w14:paraId="7A050626" w14:textId="77777777" w:rsidR="00426E5F" w:rsidRPr="00426E5F" w:rsidRDefault="00426E5F" w:rsidP="00426E5F">
      <w:pPr>
        <w:rPr>
          <w:sz w:val="24"/>
          <w:szCs w:val="24"/>
        </w:rPr>
      </w:pPr>
      <w:r w:rsidRPr="00426E5F">
        <w:rPr>
          <w:lang w:eastAsia="bg-BG"/>
        </w:rPr>
        <w:t>Глицерил тринитрат отпуска бронхиалните мускули, еферентните пикочни пътища, мускулите на жлъчния мехур, жлъчните пътища, както и на хранопровода, тънките и дебели черва, включително и на сфинктерите.</w:t>
      </w:r>
    </w:p>
    <w:p w14:paraId="2DC9D897" w14:textId="77777777" w:rsidR="00426E5F" w:rsidRPr="00426E5F" w:rsidRDefault="00426E5F" w:rsidP="00426E5F">
      <w:pPr>
        <w:rPr>
          <w:sz w:val="24"/>
          <w:szCs w:val="24"/>
        </w:rPr>
      </w:pPr>
      <w:r w:rsidRPr="00426E5F">
        <w:rPr>
          <w:lang w:eastAsia="bg-BG"/>
        </w:rPr>
        <w:t xml:space="preserve">На молекулярно ниво нитратите най-вероятно действат чрез образуване на азотен окис </w:t>
      </w:r>
      <w:r w:rsidRPr="00426E5F">
        <w:rPr>
          <w:lang w:val="ru-RU"/>
        </w:rPr>
        <w:t>(</w:t>
      </w:r>
      <w:r w:rsidRPr="00426E5F">
        <w:rPr>
          <w:lang w:val="en-US"/>
        </w:rPr>
        <w:t>NO</w:t>
      </w:r>
      <w:r w:rsidRPr="00426E5F">
        <w:rPr>
          <w:lang w:val="ru-RU"/>
        </w:rPr>
        <w:t xml:space="preserve">) </w:t>
      </w:r>
      <w:r w:rsidRPr="00426E5F">
        <w:rPr>
          <w:lang w:eastAsia="bg-BG"/>
        </w:rPr>
        <w:t xml:space="preserve">и цикличен гуанозил монофосфат </w:t>
      </w:r>
      <w:r w:rsidRPr="00426E5F">
        <w:rPr>
          <w:lang w:val="ru-RU"/>
        </w:rPr>
        <w:t>(</w:t>
      </w:r>
      <w:r w:rsidRPr="00426E5F">
        <w:rPr>
          <w:lang w:val="en-US"/>
        </w:rPr>
        <w:t>cGMP</w:t>
      </w:r>
      <w:r w:rsidRPr="00426E5F">
        <w:rPr>
          <w:lang w:val="ru-RU"/>
        </w:rPr>
        <w:t xml:space="preserve">), </w:t>
      </w:r>
      <w:r w:rsidRPr="00426E5F">
        <w:rPr>
          <w:lang w:eastAsia="bg-BG"/>
        </w:rPr>
        <w:t>за които се смята, че медиират релаксирането.</w:t>
      </w:r>
    </w:p>
    <w:p w14:paraId="5279C268" w14:textId="77777777" w:rsidR="00426E5F" w:rsidRPr="00426E5F" w:rsidRDefault="00426E5F" w:rsidP="00426E5F"/>
    <w:p w14:paraId="26535098" w14:textId="3386EB34" w:rsidR="00395555" w:rsidRDefault="002C50EE" w:rsidP="008A6AF2">
      <w:pPr>
        <w:pStyle w:val="Heading2"/>
      </w:pPr>
      <w:r>
        <w:t>5.2. Фармакокинетични свойства</w:t>
      </w:r>
    </w:p>
    <w:p w14:paraId="59F9F544" w14:textId="65432790" w:rsidR="00426E5F" w:rsidRDefault="00426E5F" w:rsidP="00426E5F"/>
    <w:p w14:paraId="20825A13" w14:textId="77777777" w:rsidR="00426E5F" w:rsidRPr="00426E5F" w:rsidRDefault="00426E5F" w:rsidP="00426E5F">
      <w:pPr>
        <w:pStyle w:val="Heading3"/>
        <w:rPr>
          <w:rFonts w:eastAsia="Times New Roman"/>
          <w:u w:val="single"/>
        </w:rPr>
      </w:pPr>
      <w:r w:rsidRPr="00426E5F">
        <w:rPr>
          <w:rFonts w:eastAsia="Times New Roman"/>
          <w:u w:val="single"/>
          <w:lang w:eastAsia="bg-BG"/>
        </w:rPr>
        <w:t>Абсорбция</w:t>
      </w:r>
    </w:p>
    <w:p w14:paraId="43C64B44"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Глицерил тринитрат се абсорбира напълно в червата, но подлежи на екстензивен чернодробен </w:t>
      </w:r>
      <w:r w:rsidRPr="00426E5F">
        <w:rPr>
          <w:rFonts w:eastAsia="Times New Roman" w:cs="Arial"/>
          <w:color w:val="000000"/>
          <w:lang w:val="en-US"/>
        </w:rPr>
        <w:t>first</w:t>
      </w:r>
      <w:r w:rsidRPr="00426E5F">
        <w:rPr>
          <w:rFonts w:eastAsia="Times New Roman" w:cs="Arial"/>
          <w:color w:val="000000"/>
          <w:lang w:val="ru-RU"/>
        </w:rPr>
        <w:t>-</w:t>
      </w:r>
      <w:r w:rsidRPr="00426E5F">
        <w:rPr>
          <w:rFonts w:eastAsia="Times New Roman" w:cs="Arial"/>
          <w:color w:val="000000"/>
          <w:lang w:val="en-US"/>
        </w:rPr>
        <w:t>pass</w:t>
      </w:r>
      <w:r w:rsidRPr="00426E5F">
        <w:rPr>
          <w:rFonts w:eastAsia="Times New Roman" w:cs="Arial"/>
          <w:color w:val="000000"/>
          <w:lang w:val="ru-RU"/>
        </w:rPr>
        <w:t xml:space="preserve"> </w:t>
      </w:r>
      <w:r w:rsidRPr="00426E5F">
        <w:rPr>
          <w:rFonts w:eastAsia="Times New Roman" w:cs="Arial"/>
          <w:color w:val="000000"/>
          <w:lang w:eastAsia="bg-BG"/>
        </w:rPr>
        <w:t>метаболизъм, както и на спонтанна хидролиза в кръвта. В допълнение има изразено свързване с еритроцити и натрупване в съдовата стена.</w:t>
      </w:r>
    </w:p>
    <w:p w14:paraId="29424AAB"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При сублингвална апликация глицерил тринитрат се абсорбира бързо от устната кухина.</w:t>
      </w:r>
    </w:p>
    <w:p w14:paraId="6F37493A" w14:textId="77777777" w:rsidR="00426E5F" w:rsidRPr="00426E5F" w:rsidRDefault="00426E5F" w:rsidP="00426E5F">
      <w:pPr>
        <w:spacing w:line="240" w:lineRule="auto"/>
        <w:rPr>
          <w:rFonts w:eastAsia="Times New Roman" w:cs="Arial"/>
        </w:rPr>
      </w:pPr>
      <w:r w:rsidRPr="00426E5F">
        <w:rPr>
          <w:rFonts w:eastAsia="Times New Roman" w:cs="Arial"/>
          <w:color w:val="000000"/>
          <w:lang w:val="en-US"/>
        </w:rPr>
        <w:t>First</w:t>
      </w:r>
      <w:r w:rsidRPr="00426E5F">
        <w:rPr>
          <w:rFonts w:eastAsia="Times New Roman" w:cs="Arial"/>
          <w:color w:val="000000"/>
          <w:lang w:val="ru-RU"/>
        </w:rPr>
        <w:t>-</w:t>
      </w:r>
      <w:r w:rsidRPr="00426E5F">
        <w:rPr>
          <w:rFonts w:eastAsia="Times New Roman" w:cs="Arial"/>
          <w:color w:val="000000"/>
          <w:lang w:val="en-US"/>
        </w:rPr>
        <w:t>pass</w:t>
      </w:r>
      <w:r w:rsidRPr="00426E5F">
        <w:rPr>
          <w:rFonts w:eastAsia="Times New Roman" w:cs="Arial"/>
          <w:color w:val="000000"/>
          <w:lang w:val="ru-RU"/>
        </w:rPr>
        <w:t xml:space="preserve"> </w:t>
      </w:r>
      <w:r w:rsidRPr="00426E5F">
        <w:rPr>
          <w:rFonts w:eastAsia="Times New Roman" w:cs="Arial"/>
          <w:color w:val="000000"/>
          <w:lang w:eastAsia="bg-BG"/>
        </w:rPr>
        <w:t>ефектът варира след сублингвална и локална апликация. Така абсолютната бионаличност след сублингвално приложение е около 39 %, а след локално приложение като пластир е около 55 %.</w:t>
      </w:r>
    </w:p>
    <w:p w14:paraId="37011E5F"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Свързването с плазмените протеини е около 60 %.</w:t>
      </w:r>
    </w:p>
    <w:p w14:paraId="40F6F65B"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Глицерил тринитрат има кратко време на полуживот. След сублингвална употреба се докладват стойности от 2,5 - 4,4 </w:t>
      </w:r>
      <w:r w:rsidRPr="00426E5F">
        <w:rPr>
          <w:rFonts w:eastAsia="Times New Roman" w:cs="Arial"/>
          <w:color w:val="000000"/>
          <w:lang w:val="en-US"/>
        </w:rPr>
        <w:t>min</w:t>
      </w:r>
      <w:r w:rsidRPr="00426E5F">
        <w:rPr>
          <w:rFonts w:eastAsia="Times New Roman" w:cs="Arial"/>
          <w:color w:val="000000"/>
          <w:lang w:val="ru-RU"/>
        </w:rPr>
        <w:t xml:space="preserve">., </w:t>
      </w:r>
      <w:r w:rsidRPr="00426E5F">
        <w:rPr>
          <w:rFonts w:eastAsia="Times New Roman" w:cs="Arial"/>
          <w:color w:val="000000"/>
          <w:lang w:eastAsia="bg-BG"/>
        </w:rPr>
        <w:t xml:space="preserve">а след </w:t>
      </w:r>
      <w:proofErr w:type="spellStart"/>
      <w:r w:rsidRPr="00426E5F">
        <w:rPr>
          <w:rFonts w:eastAsia="Times New Roman" w:cs="Arial"/>
          <w:color w:val="000000"/>
          <w:lang w:val="en-US"/>
        </w:rPr>
        <w:t>i</w:t>
      </w:r>
      <w:proofErr w:type="spellEnd"/>
      <w:r w:rsidRPr="00426E5F">
        <w:rPr>
          <w:rFonts w:eastAsia="Times New Roman" w:cs="Arial"/>
          <w:color w:val="000000"/>
          <w:lang w:val="ru-RU"/>
        </w:rPr>
        <w:t>.</w:t>
      </w:r>
      <w:r w:rsidRPr="00426E5F">
        <w:rPr>
          <w:rFonts w:eastAsia="Times New Roman" w:cs="Arial"/>
          <w:color w:val="000000"/>
          <w:lang w:val="en-US"/>
        </w:rPr>
        <w:t>v</w:t>
      </w:r>
      <w:r w:rsidRPr="00426E5F">
        <w:rPr>
          <w:rFonts w:eastAsia="Times New Roman" w:cs="Arial"/>
          <w:color w:val="000000"/>
          <w:lang w:val="ru-RU"/>
        </w:rPr>
        <w:t xml:space="preserve">. </w:t>
      </w:r>
      <w:r w:rsidRPr="00426E5F">
        <w:rPr>
          <w:rFonts w:eastAsia="Times New Roman" w:cs="Arial"/>
          <w:color w:val="000000"/>
          <w:lang w:eastAsia="bg-BG"/>
        </w:rPr>
        <w:t xml:space="preserve">приложение - стойности от 2-2,5 </w:t>
      </w:r>
      <w:r w:rsidRPr="00426E5F">
        <w:rPr>
          <w:rFonts w:eastAsia="Times New Roman" w:cs="Arial"/>
          <w:color w:val="000000"/>
          <w:lang w:val="en-US"/>
        </w:rPr>
        <w:t>min</w:t>
      </w:r>
      <w:r w:rsidRPr="00426E5F">
        <w:rPr>
          <w:rFonts w:eastAsia="Times New Roman" w:cs="Arial"/>
          <w:color w:val="000000"/>
          <w:lang w:val="ru-RU"/>
        </w:rPr>
        <w:t>.</w:t>
      </w:r>
    </w:p>
    <w:p w14:paraId="11476A70" w14:textId="77777777" w:rsidR="00426E5F" w:rsidRDefault="00426E5F" w:rsidP="00426E5F">
      <w:pPr>
        <w:spacing w:line="240" w:lineRule="auto"/>
        <w:rPr>
          <w:rFonts w:eastAsia="Times New Roman" w:cs="Arial"/>
          <w:color w:val="000000"/>
          <w:u w:val="single"/>
          <w:lang w:eastAsia="bg-BG"/>
        </w:rPr>
      </w:pPr>
    </w:p>
    <w:p w14:paraId="5D55E4B6" w14:textId="63A37835" w:rsidR="00426E5F" w:rsidRPr="00426E5F" w:rsidRDefault="00426E5F" w:rsidP="00426E5F">
      <w:pPr>
        <w:pStyle w:val="Heading3"/>
        <w:rPr>
          <w:rFonts w:eastAsia="Times New Roman"/>
          <w:u w:val="single"/>
        </w:rPr>
      </w:pPr>
      <w:r w:rsidRPr="00426E5F">
        <w:rPr>
          <w:rFonts w:eastAsia="Times New Roman"/>
          <w:u w:val="single"/>
          <w:lang w:eastAsia="bg-BG"/>
        </w:rPr>
        <w:t>Биотрансформация</w:t>
      </w:r>
    </w:p>
    <w:p w14:paraId="43340A49"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Глицерил тринитрат се метаболизира в черния дроб, както и в много други клетки, т.е. в еритроцитите, с отделяне на една или повече нитратни групи.</w:t>
      </w:r>
    </w:p>
    <w:p w14:paraId="3E7B6923"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Като допълнение към метаболизма на глицерил тринитрат има елиминиране на метаболитите чрез бъбреците.</w:t>
      </w:r>
    </w:p>
    <w:p w14:paraId="1F7D3CA8"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Терапевтична граница на плазмените нива: 0,1 </w:t>
      </w:r>
      <w:r w:rsidRPr="00426E5F">
        <w:rPr>
          <w:rFonts w:eastAsia="Times New Roman" w:cs="Arial"/>
          <w:color w:val="000000"/>
          <w:lang w:val="en-US"/>
        </w:rPr>
        <w:t>ng</w:t>
      </w:r>
      <w:r w:rsidRPr="00426E5F">
        <w:rPr>
          <w:rFonts w:eastAsia="Times New Roman" w:cs="Arial"/>
          <w:color w:val="000000"/>
          <w:lang w:val="ru-RU"/>
        </w:rPr>
        <w:t>/</w:t>
      </w:r>
      <w:r w:rsidRPr="00426E5F">
        <w:rPr>
          <w:rFonts w:eastAsia="Times New Roman" w:cs="Arial"/>
          <w:color w:val="000000"/>
          <w:lang w:val="en-US"/>
        </w:rPr>
        <w:t>ml</w:t>
      </w:r>
      <w:r w:rsidRPr="00426E5F">
        <w:rPr>
          <w:rFonts w:eastAsia="Times New Roman" w:cs="Arial"/>
          <w:color w:val="000000"/>
          <w:lang w:val="ru-RU"/>
        </w:rPr>
        <w:t xml:space="preserve"> </w:t>
      </w:r>
      <w:r w:rsidRPr="00426E5F">
        <w:rPr>
          <w:rFonts w:eastAsia="Times New Roman" w:cs="Arial"/>
          <w:color w:val="000000"/>
          <w:lang w:eastAsia="bg-BG"/>
        </w:rPr>
        <w:t xml:space="preserve">до 3(-5) </w:t>
      </w:r>
      <w:r w:rsidRPr="00426E5F">
        <w:rPr>
          <w:rFonts w:eastAsia="Times New Roman" w:cs="Arial"/>
          <w:color w:val="000000"/>
          <w:lang w:val="en-US"/>
        </w:rPr>
        <w:t>ng</w:t>
      </w:r>
      <w:r w:rsidRPr="00426E5F">
        <w:rPr>
          <w:rFonts w:eastAsia="Times New Roman" w:cs="Arial"/>
          <w:color w:val="000000"/>
          <w:lang w:val="ru-RU"/>
        </w:rPr>
        <w:t>/</w:t>
      </w:r>
      <w:r w:rsidRPr="00426E5F">
        <w:rPr>
          <w:rFonts w:eastAsia="Times New Roman" w:cs="Arial"/>
          <w:color w:val="000000"/>
          <w:lang w:val="en-US"/>
        </w:rPr>
        <w:t>ml</w:t>
      </w:r>
    </w:p>
    <w:p w14:paraId="38E69C01" w14:textId="77777777" w:rsidR="00426E5F" w:rsidRDefault="00426E5F" w:rsidP="00426E5F">
      <w:pPr>
        <w:spacing w:line="240" w:lineRule="auto"/>
        <w:rPr>
          <w:rFonts w:eastAsia="Times New Roman" w:cs="Arial"/>
          <w:color w:val="000000"/>
          <w:u w:val="single"/>
          <w:lang w:eastAsia="bg-BG"/>
        </w:rPr>
      </w:pPr>
    </w:p>
    <w:p w14:paraId="228CC3D0" w14:textId="7BCB14B7" w:rsidR="00426E5F" w:rsidRPr="00426E5F" w:rsidRDefault="00426E5F" w:rsidP="00426E5F">
      <w:pPr>
        <w:spacing w:line="240" w:lineRule="auto"/>
        <w:rPr>
          <w:rFonts w:eastAsia="Times New Roman" w:cs="Arial"/>
        </w:rPr>
      </w:pPr>
      <w:r w:rsidRPr="00426E5F">
        <w:rPr>
          <w:rFonts w:eastAsia="Times New Roman" w:cs="Arial"/>
          <w:color w:val="000000"/>
          <w:u w:val="single"/>
          <w:lang w:eastAsia="bg-BG"/>
        </w:rPr>
        <w:t>Плазмени концентрации:</w:t>
      </w:r>
    </w:p>
    <w:p w14:paraId="0D40C0AE"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След сублингвално приложение са наблюдавани големи интра- и интер- индивидуални вариации на плазмените концентрации.</w:t>
      </w:r>
    </w:p>
    <w:p w14:paraId="082C9CF2" w14:textId="2D102F53"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За сублингвална доза от 0,4 </w:t>
      </w:r>
      <w:r w:rsidRPr="00426E5F">
        <w:rPr>
          <w:rFonts w:eastAsia="Times New Roman" w:cs="Arial"/>
          <w:color w:val="000000"/>
          <w:lang w:val="en-US"/>
        </w:rPr>
        <w:t>mg</w:t>
      </w:r>
      <w:r w:rsidRPr="00426E5F">
        <w:rPr>
          <w:rFonts w:eastAsia="Times New Roman" w:cs="Arial"/>
          <w:color w:val="000000"/>
          <w:lang w:val="ru-RU"/>
        </w:rPr>
        <w:t xml:space="preserve">, </w:t>
      </w:r>
      <w:r>
        <w:rPr>
          <w:rFonts w:eastAsia="Times New Roman" w:cs="Arial"/>
          <w:color w:val="000000"/>
          <w:lang w:eastAsia="bg-BG"/>
        </w:rPr>
        <w:t>С</w:t>
      </w:r>
      <w:r w:rsidRPr="00426E5F">
        <w:rPr>
          <w:rFonts w:eastAsia="Times New Roman" w:cs="Arial"/>
          <w:color w:val="000000"/>
          <w:lang w:val="en-US"/>
        </w:rPr>
        <w:t>max</w:t>
      </w:r>
      <w:r w:rsidRPr="00426E5F">
        <w:rPr>
          <w:rFonts w:eastAsia="Times New Roman" w:cs="Arial"/>
          <w:color w:val="000000"/>
          <w:lang w:val="ru-RU"/>
        </w:rPr>
        <w:t xml:space="preserve"> </w:t>
      </w:r>
      <w:r w:rsidRPr="00426E5F">
        <w:rPr>
          <w:rFonts w:eastAsia="Times New Roman" w:cs="Arial"/>
          <w:color w:val="000000"/>
          <w:lang w:eastAsia="bg-BG"/>
        </w:rPr>
        <w:t xml:space="preserve">е 1,9 ± 1,6 </w:t>
      </w:r>
      <w:r w:rsidRPr="00426E5F">
        <w:rPr>
          <w:rFonts w:eastAsia="Times New Roman" w:cs="Arial"/>
          <w:color w:val="000000"/>
          <w:lang w:val="en-US"/>
        </w:rPr>
        <w:t>ng</w:t>
      </w:r>
      <w:r w:rsidRPr="00426E5F">
        <w:rPr>
          <w:rFonts w:eastAsia="Times New Roman" w:cs="Arial"/>
          <w:color w:val="000000"/>
          <w:lang w:val="ru-RU"/>
        </w:rPr>
        <w:t>/</w:t>
      </w:r>
      <w:r w:rsidRPr="00426E5F">
        <w:rPr>
          <w:rFonts w:eastAsia="Times New Roman" w:cs="Arial"/>
          <w:color w:val="000000"/>
          <w:lang w:val="en-US"/>
        </w:rPr>
        <w:t>ml</w:t>
      </w:r>
      <w:r w:rsidRPr="00426E5F">
        <w:rPr>
          <w:rFonts w:eastAsia="Times New Roman" w:cs="Arial"/>
          <w:color w:val="000000"/>
          <w:lang w:val="ru-RU"/>
        </w:rPr>
        <w:t xml:space="preserve"> </w:t>
      </w:r>
      <w:r w:rsidRPr="00426E5F">
        <w:rPr>
          <w:rFonts w:eastAsia="Times New Roman" w:cs="Arial"/>
          <w:color w:val="000000"/>
          <w:lang w:eastAsia="bg-BG"/>
        </w:rPr>
        <w:t xml:space="preserve">(вариационен коефицент 87%) и </w:t>
      </w:r>
      <w:r w:rsidRPr="00426E5F">
        <w:rPr>
          <w:rFonts w:eastAsia="Times New Roman" w:cs="Arial"/>
          <w:color w:val="000000"/>
          <w:lang w:val="en-US"/>
        </w:rPr>
        <w:t>t</w:t>
      </w:r>
      <w:r w:rsidRPr="00426E5F">
        <w:rPr>
          <w:rFonts w:eastAsia="Times New Roman" w:cs="Arial"/>
          <w:color w:val="000000"/>
          <w:lang w:val="ru-RU"/>
        </w:rPr>
        <w:t xml:space="preserve"> </w:t>
      </w:r>
      <w:r w:rsidRPr="00426E5F">
        <w:rPr>
          <w:rFonts w:eastAsia="Times New Roman" w:cs="Arial"/>
          <w:color w:val="000000"/>
          <w:lang w:val="en-US"/>
        </w:rPr>
        <w:t>max</w:t>
      </w:r>
      <w:r w:rsidRPr="00426E5F">
        <w:rPr>
          <w:rFonts w:eastAsia="Times New Roman" w:cs="Arial"/>
          <w:color w:val="000000"/>
          <w:lang w:val="ru-RU"/>
        </w:rPr>
        <w:t xml:space="preserve"> </w:t>
      </w:r>
      <w:r w:rsidRPr="00426E5F">
        <w:rPr>
          <w:rFonts w:eastAsia="Times New Roman" w:cs="Arial"/>
          <w:color w:val="000000"/>
          <w:lang w:eastAsia="bg-BG"/>
        </w:rPr>
        <w:t xml:space="preserve">5 ± 2 </w:t>
      </w:r>
      <w:r w:rsidRPr="00426E5F">
        <w:rPr>
          <w:rFonts w:eastAsia="Times New Roman" w:cs="Arial"/>
          <w:color w:val="000000"/>
          <w:lang w:val="en-US"/>
        </w:rPr>
        <w:t>min</w:t>
      </w:r>
      <w:r w:rsidRPr="00426E5F">
        <w:rPr>
          <w:rFonts w:eastAsia="Times New Roman" w:cs="Arial"/>
          <w:color w:val="000000"/>
          <w:lang w:val="ru-RU"/>
        </w:rPr>
        <w:t xml:space="preserve"> </w:t>
      </w:r>
      <w:r w:rsidRPr="00426E5F">
        <w:rPr>
          <w:rFonts w:eastAsia="Times New Roman" w:cs="Arial"/>
          <w:color w:val="000000"/>
          <w:lang w:eastAsia="bg-BG"/>
        </w:rPr>
        <w:t xml:space="preserve">(интервал : 2 до 10 </w:t>
      </w:r>
      <w:r w:rsidRPr="00426E5F">
        <w:rPr>
          <w:rFonts w:eastAsia="Times New Roman" w:cs="Arial"/>
          <w:color w:val="000000"/>
          <w:lang w:val="en-US"/>
        </w:rPr>
        <w:t>min</w:t>
      </w:r>
      <w:r w:rsidRPr="00426E5F">
        <w:rPr>
          <w:rFonts w:eastAsia="Times New Roman" w:cs="Arial"/>
          <w:color w:val="000000"/>
          <w:lang w:val="ru-RU"/>
        </w:rPr>
        <w:t>).</w:t>
      </w:r>
    </w:p>
    <w:p w14:paraId="328D9933" w14:textId="77777777" w:rsidR="00426E5F" w:rsidRPr="00426E5F" w:rsidRDefault="00426E5F" w:rsidP="00426E5F">
      <w:pPr>
        <w:spacing w:line="240" w:lineRule="auto"/>
        <w:rPr>
          <w:rFonts w:eastAsia="Times New Roman" w:cs="Arial"/>
        </w:rPr>
      </w:pPr>
      <w:r w:rsidRPr="00426E5F">
        <w:rPr>
          <w:rFonts w:eastAsia="Times New Roman" w:cs="Arial"/>
          <w:color w:val="000000"/>
          <w:u w:val="single"/>
          <w:lang w:eastAsia="bg-BG"/>
        </w:rPr>
        <w:t>Поносимост:</w:t>
      </w:r>
    </w:p>
    <w:p w14:paraId="7D3B1696" w14:textId="77777777" w:rsidR="00426E5F" w:rsidRPr="00426E5F" w:rsidRDefault="00426E5F" w:rsidP="00426E5F">
      <w:pPr>
        <w:spacing w:line="240" w:lineRule="auto"/>
        <w:rPr>
          <w:rFonts w:eastAsia="Times New Roman" w:cs="Arial"/>
        </w:rPr>
      </w:pPr>
      <w:r w:rsidRPr="00426E5F">
        <w:rPr>
          <w:rFonts w:eastAsia="Times New Roman" w:cs="Arial"/>
          <w:color w:val="000000"/>
          <w:lang w:eastAsia="bg-BG"/>
        </w:rPr>
        <w:t xml:space="preserve">Въпреки постоянната дозировка и константните нитратни нива се наблюдава намаляване на ефективността. Съществуващата толерантност отшумява в рамките на 24 часа след </w:t>
      </w:r>
      <w:r w:rsidRPr="00426E5F">
        <w:rPr>
          <w:rFonts w:eastAsia="Times New Roman" w:cs="Arial"/>
          <w:color w:val="000000"/>
          <w:lang w:eastAsia="bg-BG"/>
        </w:rPr>
        <w:lastRenderedPageBreak/>
        <w:t>прекратяване на терапията. Не е наблюдавана толерантност при интермитентно приложение.</w:t>
      </w:r>
    </w:p>
    <w:p w14:paraId="5C51B4CC" w14:textId="77777777" w:rsidR="00426E5F" w:rsidRPr="00426E5F" w:rsidRDefault="00426E5F" w:rsidP="00426E5F"/>
    <w:p w14:paraId="028E658A" w14:textId="60F458F2" w:rsidR="00395555" w:rsidRDefault="002C50EE" w:rsidP="008A6AF2">
      <w:pPr>
        <w:pStyle w:val="Heading2"/>
      </w:pPr>
      <w:r>
        <w:t>5.3. Предклинични данни за безопасност</w:t>
      </w:r>
    </w:p>
    <w:p w14:paraId="19052BEF" w14:textId="76733880" w:rsidR="00426E5F" w:rsidRDefault="00426E5F" w:rsidP="00426E5F"/>
    <w:p w14:paraId="3D4B8E0C" w14:textId="450F2338" w:rsidR="00426E5F" w:rsidRPr="00426E5F" w:rsidRDefault="00426E5F" w:rsidP="00426E5F">
      <w:r>
        <w:t>Тестове върху мутагенността и канцерогенността на глицерил тринитрат при клетъчни култури и проучвания при животни не показват ефекти при прилагане в терапевтични дози.</w:t>
      </w:r>
    </w:p>
    <w:p w14:paraId="6A7820AB" w14:textId="70C6FF72" w:rsidR="008A6AF2" w:rsidRDefault="002C50EE" w:rsidP="00395555">
      <w:pPr>
        <w:pStyle w:val="Heading1"/>
      </w:pPr>
      <w:r>
        <w:t>7. ПРИТЕЖАТЕЛ НА РАЗРЕШЕНИЕТО ЗА УПОТРЕБА</w:t>
      </w:r>
    </w:p>
    <w:p w14:paraId="365801CB" w14:textId="77777777" w:rsidR="00426E5F" w:rsidRPr="00426E5F" w:rsidRDefault="00426E5F" w:rsidP="00426E5F">
      <w:pPr>
        <w:rPr>
          <w:sz w:val="24"/>
          <w:szCs w:val="24"/>
          <w:lang w:val="ru-RU"/>
        </w:rPr>
      </w:pPr>
      <w:r w:rsidRPr="00426E5F">
        <w:rPr>
          <w:lang w:val="en-US"/>
        </w:rPr>
        <w:t>G. Pohl-</w:t>
      </w:r>
      <w:proofErr w:type="spellStart"/>
      <w:r w:rsidRPr="00426E5F">
        <w:rPr>
          <w:lang w:val="en-US"/>
        </w:rPr>
        <w:t>Boskamp</w:t>
      </w:r>
      <w:proofErr w:type="spellEnd"/>
      <w:r w:rsidRPr="00426E5F">
        <w:rPr>
          <w:lang w:val="en-US"/>
        </w:rPr>
        <w:t xml:space="preserve"> GmbH </w:t>
      </w:r>
      <w:r w:rsidRPr="00426E5F">
        <w:rPr>
          <w:lang w:eastAsia="bg-BG"/>
        </w:rPr>
        <w:t xml:space="preserve">&amp; </w:t>
      </w:r>
      <w:r w:rsidRPr="00426E5F">
        <w:rPr>
          <w:lang w:val="en-US"/>
        </w:rPr>
        <w:t>Co. KG</w:t>
      </w:r>
    </w:p>
    <w:p w14:paraId="694998D8" w14:textId="77777777" w:rsidR="00426E5F" w:rsidRPr="00426E5F" w:rsidRDefault="00426E5F" w:rsidP="00426E5F">
      <w:pPr>
        <w:rPr>
          <w:sz w:val="24"/>
          <w:szCs w:val="24"/>
          <w:lang w:val="ru-RU"/>
        </w:rPr>
      </w:pPr>
      <w:proofErr w:type="spellStart"/>
      <w:r w:rsidRPr="00426E5F">
        <w:rPr>
          <w:lang w:val="en-US"/>
        </w:rPr>
        <w:t>Kieler</w:t>
      </w:r>
      <w:proofErr w:type="spellEnd"/>
      <w:r w:rsidRPr="00426E5F">
        <w:rPr>
          <w:lang w:val="ru-RU"/>
        </w:rPr>
        <w:t xml:space="preserve"> </w:t>
      </w:r>
      <w:proofErr w:type="spellStart"/>
      <w:r w:rsidRPr="00426E5F">
        <w:rPr>
          <w:lang w:val="en-US"/>
        </w:rPr>
        <w:t>Strasse</w:t>
      </w:r>
      <w:proofErr w:type="spellEnd"/>
      <w:r w:rsidRPr="00426E5F">
        <w:rPr>
          <w:lang w:val="ru-RU"/>
        </w:rPr>
        <w:t xml:space="preserve"> 11</w:t>
      </w:r>
    </w:p>
    <w:p w14:paraId="477976FA" w14:textId="77777777" w:rsidR="00426E5F" w:rsidRPr="00426E5F" w:rsidRDefault="00426E5F" w:rsidP="00426E5F">
      <w:pPr>
        <w:rPr>
          <w:sz w:val="24"/>
          <w:szCs w:val="24"/>
          <w:lang w:val="ru-RU"/>
        </w:rPr>
      </w:pPr>
      <w:r w:rsidRPr="00426E5F">
        <w:rPr>
          <w:lang w:val="ru-RU"/>
        </w:rPr>
        <w:t xml:space="preserve">25551 </w:t>
      </w:r>
      <w:proofErr w:type="spellStart"/>
      <w:r w:rsidRPr="00426E5F">
        <w:rPr>
          <w:lang w:val="en-US"/>
        </w:rPr>
        <w:t>Hohenlockstedt</w:t>
      </w:r>
      <w:proofErr w:type="spellEnd"/>
    </w:p>
    <w:p w14:paraId="1D42AC08" w14:textId="19D62CDD" w:rsidR="00426E5F" w:rsidRPr="00426E5F" w:rsidRDefault="00426E5F" w:rsidP="00426E5F">
      <w:r w:rsidRPr="00426E5F">
        <w:rPr>
          <w:lang w:eastAsia="bg-BG"/>
        </w:rPr>
        <w:t>Германия</w:t>
      </w:r>
    </w:p>
    <w:p w14:paraId="04840D59" w14:textId="4883DE2C" w:rsidR="002C50EE" w:rsidRDefault="002C50EE" w:rsidP="00395555">
      <w:pPr>
        <w:pStyle w:val="Heading1"/>
      </w:pPr>
      <w:r>
        <w:t>8. НОМЕР НА РАЗРЕШЕНИЕТО ЗА УПОТРЕБА</w:t>
      </w:r>
    </w:p>
    <w:p w14:paraId="478234D0" w14:textId="3A91CE1F" w:rsidR="00426E5F" w:rsidRPr="00426E5F" w:rsidRDefault="00426E5F" w:rsidP="00426E5F">
      <w:r>
        <w:t>20010633</w:t>
      </w:r>
    </w:p>
    <w:p w14:paraId="2CCB5832" w14:textId="069D5CD2" w:rsidR="007C605B" w:rsidRDefault="002C50EE" w:rsidP="007C605B">
      <w:pPr>
        <w:pStyle w:val="Heading1"/>
      </w:pPr>
      <w:r>
        <w:t>9. ДАТА НА ПЪРВО РАЗРЕШАВАНЕ/ПОДНОВЯВАНЕ НА РАЗРЕШЕНИЕТО ЗА УПОТРЕБА</w:t>
      </w:r>
    </w:p>
    <w:p w14:paraId="7C29CE6D" w14:textId="77777777" w:rsidR="00426E5F" w:rsidRPr="00426E5F" w:rsidRDefault="00426E5F" w:rsidP="00426E5F">
      <w:pPr>
        <w:rPr>
          <w:sz w:val="24"/>
          <w:szCs w:val="24"/>
        </w:rPr>
      </w:pPr>
      <w:r w:rsidRPr="00426E5F">
        <w:rPr>
          <w:lang w:eastAsia="bg-BG"/>
        </w:rPr>
        <w:t>18.06.2001</w:t>
      </w:r>
    </w:p>
    <w:p w14:paraId="5DFEAACC" w14:textId="6AE119E4" w:rsidR="00426E5F" w:rsidRPr="00426E5F" w:rsidRDefault="00426E5F" w:rsidP="00426E5F">
      <w:r w:rsidRPr="00426E5F">
        <w:rPr>
          <w:lang w:eastAsia="bg-BG"/>
        </w:rPr>
        <w:t>17.05.2012</w:t>
      </w:r>
    </w:p>
    <w:p w14:paraId="0E9D0119" w14:textId="0245C6D7" w:rsidR="002C50EE" w:rsidRDefault="002C50EE" w:rsidP="002C50EE">
      <w:pPr>
        <w:pStyle w:val="Heading1"/>
      </w:pPr>
      <w:r>
        <w:t>10. ДАТА НА АКТУАЛИЗИРАНЕ НА ТЕКСТА</w:t>
      </w:r>
    </w:p>
    <w:bookmarkEnd w:id="0"/>
    <w:p w14:paraId="43FB38A2" w14:textId="2E7D373B" w:rsidR="007C605B" w:rsidRPr="003E3126" w:rsidRDefault="00426E5F" w:rsidP="00426E5F">
      <w:r>
        <w:t>Октомври 2015</w:t>
      </w:r>
      <w:bookmarkStart w:id="3" w:name="_GoBack"/>
      <w:bookmarkEnd w:id="3"/>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8"/>
  </w:num>
  <w:num w:numId="12">
    <w:abstractNumId w:val="13"/>
  </w:num>
  <w:num w:numId="13">
    <w:abstractNumId w:val="18"/>
  </w:num>
  <w:num w:numId="14">
    <w:abstractNumId w:val="11"/>
  </w:num>
  <w:num w:numId="15">
    <w:abstractNumId w:val="27"/>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29"/>
  </w:num>
  <w:num w:numId="28">
    <w:abstractNumId w:val="6"/>
  </w:num>
  <w:num w:numId="29">
    <w:abstractNumId w:val="19"/>
  </w:num>
  <w:num w:numId="30">
    <w:abstractNumId w:val="31"/>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04814"/>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14397</Characters>
  <Application>Microsoft Office Word</Application>
  <DocSecurity>0</DocSecurity>
  <Lines>119</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2022-02-17T10:33:00Z</dcterms:created>
  <dcterms:modified xsi:type="dcterms:W3CDTF">2022-02-17T10:33:00Z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