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A328C" w14:textId="16329281" w:rsidR="002C50EE" w:rsidRDefault="002C50EE" w:rsidP="002C50EE">
      <w:pPr>
        <w:pStyle w:val="Heading1"/>
        <w:jc w:val="center"/>
        <w:rPr>
          <w:lang w:val="bg-BG"/>
        </w:rPr>
      </w:pPr>
      <w:bookmarkStart w:id="0" w:name="_Hlk63124480"/>
      <w:r>
        <w:rPr>
          <w:lang w:val="bg-BG"/>
        </w:rPr>
        <w:t>КРАТКА ХАРАКТЕРИСТИКА НА ПРОДУКТА</w:t>
      </w:r>
    </w:p>
    <w:p w14:paraId="1BBB3756" w14:textId="50F9BF40" w:rsidR="00C07B84" w:rsidRDefault="00DD466D" w:rsidP="00DD466D">
      <w:pPr>
        <w:pStyle w:val="Heading1"/>
        <w:rPr>
          <w:lang w:val="bg-BG"/>
        </w:rPr>
      </w:pPr>
      <w:r>
        <w:rPr>
          <w:lang w:val="bg-BG"/>
        </w:rPr>
        <w:t>1.ИМЕ НА ЛЕКАРСТВЕНИЯ ПРОДУКТ</w:t>
      </w:r>
    </w:p>
    <w:p w14:paraId="7F15F14F" w14:textId="77777777" w:rsidR="007179E3" w:rsidRPr="007179E3" w:rsidRDefault="007179E3" w:rsidP="007179E3">
      <w:pPr>
        <w:rPr>
          <w:sz w:val="24"/>
          <w:szCs w:val="24"/>
        </w:rPr>
      </w:pPr>
      <w:r w:rsidRPr="007179E3">
        <w:rPr>
          <w:lang w:val="bg-BG" w:eastAsia="bg-BG"/>
        </w:rPr>
        <w:t xml:space="preserve">НО-ШПА </w:t>
      </w:r>
      <w:r w:rsidRPr="007179E3">
        <w:t xml:space="preserve">20mg/ml </w:t>
      </w:r>
      <w:r w:rsidRPr="007179E3">
        <w:rPr>
          <w:lang w:val="bg-BG" w:eastAsia="bg-BG"/>
        </w:rPr>
        <w:t>инжекционен разтвор</w:t>
      </w:r>
    </w:p>
    <w:p w14:paraId="182AE780" w14:textId="07D74D0D" w:rsidR="007179E3" w:rsidRPr="007179E3" w:rsidRDefault="007179E3" w:rsidP="007179E3">
      <w:pPr>
        <w:rPr>
          <w:lang w:val="bg-BG"/>
        </w:rPr>
      </w:pPr>
      <w:r w:rsidRPr="007179E3">
        <w:t>NO-SPA 20mg/ml solution for injection</w:t>
      </w:r>
    </w:p>
    <w:p w14:paraId="3A916BC0" w14:textId="5D74ED0C" w:rsidR="00DD466D" w:rsidRDefault="00DD466D" w:rsidP="00DD466D">
      <w:pPr>
        <w:pStyle w:val="Heading1"/>
        <w:rPr>
          <w:lang w:val="bg-BG"/>
        </w:rPr>
      </w:pPr>
      <w:r>
        <w:rPr>
          <w:lang w:val="bg-BG"/>
        </w:rPr>
        <w:t>2. КАЧЕСТВЕН И КОЛИЧЕСТВЕН СЪСТАВ</w:t>
      </w:r>
    </w:p>
    <w:p w14:paraId="69B6D826" w14:textId="11E99FB7" w:rsidR="007179E3" w:rsidRDefault="007179E3" w:rsidP="007179E3">
      <w:proofErr w:type="spellStart"/>
      <w:r>
        <w:t>Активно</w:t>
      </w:r>
      <w:proofErr w:type="spellEnd"/>
      <w:r>
        <w:t xml:space="preserve"> </w:t>
      </w:r>
      <w:proofErr w:type="spellStart"/>
      <w:r>
        <w:t>вещество</w:t>
      </w:r>
      <w:proofErr w:type="spellEnd"/>
      <w:r>
        <w:t>:</w:t>
      </w:r>
    </w:p>
    <w:p w14:paraId="4AA0E6DA" w14:textId="6528DA36" w:rsidR="007179E3" w:rsidRPr="007179E3" w:rsidRDefault="007179E3" w:rsidP="007179E3">
      <w:pPr>
        <w:rPr>
          <w:lang w:val="bg-BG"/>
        </w:rPr>
      </w:pPr>
      <w:r>
        <w:t xml:space="preserve">2 ml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разтвора</w:t>
      </w:r>
      <w:proofErr w:type="spellEnd"/>
      <w:r>
        <w:t xml:space="preserve"> </w:t>
      </w:r>
      <w:proofErr w:type="spellStart"/>
      <w:r>
        <w:t>съдържат</w:t>
      </w:r>
      <w:proofErr w:type="spellEnd"/>
      <w:r>
        <w:t xml:space="preserve"> </w:t>
      </w:r>
      <w:proofErr w:type="spellStart"/>
      <w:r>
        <w:t>дротаверинов</w:t>
      </w:r>
      <w:proofErr w:type="spellEnd"/>
      <w:r>
        <w:t xml:space="preserve"> </w:t>
      </w:r>
      <w:proofErr w:type="spellStart"/>
      <w:r>
        <w:t>хидрохлорид</w:t>
      </w:r>
      <w:proofErr w:type="spellEnd"/>
      <w:r>
        <w:t xml:space="preserve"> 40 mg (drotaverine hydrochloride).</w:t>
      </w:r>
    </w:p>
    <w:p w14:paraId="74A1D0A0" w14:textId="6B482E8B" w:rsidR="002B4DBB" w:rsidRDefault="00DD466D" w:rsidP="00C07B84">
      <w:pPr>
        <w:pStyle w:val="Heading1"/>
        <w:rPr>
          <w:lang w:val="bg-BG"/>
        </w:rPr>
      </w:pPr>
      <w:r>
        <w:rPr>
          <w:lang w:val="bg-BG"/>
        </w:rPr>
        <w:t>3. ЛЕКАРСТВЕНА ФОРМА</w:t>
      </w:r>
    </w:p>
    <w:p w14:paraId="361F89B3" w14:textId="77777777" w:rsidR="007179E3" w:rsidRPr="007179E3" w:rsidRDefault="007179E3" w:rsidP="007179E3">
      <w:pPr>
        <w:rPr>
          <w:sz w:val="24"/>
          <w:szCs w:val="24"/>
          <w:lang w:val="bg-BG"/>
        </w:rPr>
      </w:pPr>
      <w:r w:rsidRPr="007179E3">
        <w:rPr>
          <w:i/>
          <w:iCs/>
          <w:lang w:val="bg-BG" w:eastAsia="bg-BG"/>
        </w:rPr>
        <w:t xml:space="preserve">НО-ШПА инжекционен разтвор 40 </w:t>
      </w:r>
      <w:r w:rsidRPr="007179E3">
        <w:rPr>
          <w:i/>
          <w:iCs/>
        </w:rPr>
        <w:t xml:space="preserve">mg/ </w:t>
      </w:r>
      <w:r w:rsidRPr="007179E3">
        <w:rPr>
          <w:i/>
          <w:iCs/>
          <w:lang w:val="bg-BG" w:eastAsia="bg-BG"/>
        </w:rPr>
        <w:t>2т</w:t>
      </w:r>
      <w:r w:rsidRPr="007179E3">
        <w:rPr>
          <w:i/>
          <w:iCs/>
        </w:rPr>
        <w:t>l/:</w:t>
      </w:r>
      <w:r w:rsidRPr="007179E3">
        <w:rPr>
          <w:lang w:val="bg-BG" w:eastAsia="bg-BG"/>
        </w:rPr>
        <w:t>прозрачен, зеленикаво-жълт стерилен разтвор със специфична миризма</w:t>
      </w:r>
    </w:p>
    <w:p w14:paraId="4B2E7E09" w14:textId="77777777" w:rsidR="007179E3" w:rsidRPr="007179E3" w:rsidRDefault="007179E3" w:rsidP="007179E3">
      <w:pPr>
        <w:rPr>
          <w:lang w:val="bg-BG"/>
        </w:rPr>
      </w:pPr>
    </w:p>
    <w:p w14:paraId="490FC2C4" w14:textId="77777777" w:rsidR="002C50EE" w:rsidRDefault="002C50EE" w:rsidP="002C50EE">
      <w:pPr>
        <w:pStyle w:val="Heading1"/>
      </w:pPr>
      <w:r>
        <w:t>4. КЛИНИЧНИ ДАННИ</w:t>
      </w:r>
    </w:p>
    <w:p w14:paraId="103298BB" w14:textId="72F255B1" w:rsidR="002B4DBB" w:rsidRDefault="002C50EE" w:rsidP="00C07B84">
      <w:pPr>
        <w:pStyle w:val="Heading2"/>
      </w:pPr>
      <w:r>
        <w:t xml:space="preserve">4.1. </w:t>
      </w:r>
      <w:proofErr w:type="spellStart"/>
      <w:r>
        <w:t>Терапевтични</w:t>
      </w:r>
      <w:proofErr w:type="spellEnd"/>
      <w:r>
        <w:t xml:space="preserve"> </w:t>
      </w:r>
      <w:proofErr w:type="spellStart"/>
      <w:r>
        <w:t>показания</w:t>
      </w:r>
      <w:proofErr w:type="spellEnd"/>
    </w:p>
    <w:p w14:paraId="2C6F9680" w14:textId="77777777" w:rsidR="007179E3" w:rsidRDefault="007179E3" w:rsidP="007179E3">
      <w:pPr>
        <w:rPr>
          <w:lang w:val="bg-BG" w:eastAsia="bg-BG"/>
        </w:rPr>
      </w:pPr>
    </w:p>
    <w:p w14:paraId="52CF394B" w14:textId="28D27217" w:rsidR="007179E3" w:rsidRPr="007179E3" w:rsidRDefault="007179E3" w:rsidP="007179E3">
      <w:pPr>
        <w:pStyle w:val="ListParagraph"/>
        <w:numPr>
          <w:ilvl w:val="0"/>
          <w:numId w:val="18"/>
        </w:numPr>
        <w:rPr>
          <w:sz w:val="24"/>
          <w:szCs w:val="24"/>
          <w:lang w:val="bg-BG"/>
        </w:rPr>
      </w:pPr>
      <w:r w:rsidRPr="007179E3">
        <w:rPr>
          <w:lang w:val="bg-BG" w:eastAsia="bg-BG"/>
        </w:rPr>
        <w:t xml:space="preserve">Спазми на гладката мускулатура, свързани със заболявания на жлъчния мехур и жлъчните пътища: </w:t>
      </w:r>
      <w:proofErr w:type="spellStart"/>
      <w:r w:rsidRPr="007179E3">
        <w:rPr>
          <w:lang w:val="bg-BG" w:eastAsia="bg-BG"/>
        </w:rPr>
        <w:t>холецистолитиаза</w:t>
      </w:r>
      <w:proofErr w:type="spellEnd"/>
      <w:r w:rsidRPr="007179E3">
        <w:rPr>
          <w:lang w:val="bg-BG" w:eastAsia="bg-BG"/>
        </w:rPr>
        <w:t xml:space="preserve">, </w:t>
      </w:r>
      <w:proofErr w:type="spellStart"/>
      <w:r w:rsidRPr="007179E3">
        <w:rPr>
          <w:lang w:val="bg-BG" w:eastAsia="bg-BG"/>
        </w:rPr>
        <w:t>холангиолитиаза</w:t>
      </w:r>
      <w:proofErr w:type="spellEnd"/>
      <w:r w:rsidRPr="007179E3">
        <w:rPr>
          <w:lang w:val="bg-BG" w:eastAsia="bg-BG"/>
        </w:rPr>
        <w:t xml:space="preserve">, </w:t>
      </w:r>
      <w:proofErr w:type="spellStart"/>
      <w:r w:rsidRPr="007179E3">
        <w:rPr>
          <w:lang w:val="bg-BG" w:eastAsia="bg-BG"/>
        </w:rPr>
        <w:t>холецистит</w:t>
      </w:r>
      <w:proofErr w:type="spellEnd"/>
      <w:r w:rsidRPr="007179E3">
        <w:rPr>
          <w:lang w:val="bg-BG" w:eastAsia="bg-BG"/>
        </w:rPr>
        <w:t xml:space="preserve">, </w:t>
      </w:r>
      <w:proofErr w:type="spellStart"/>
      <w:r w:rsidRPr="007179E3">
        <w:rPr>
          <w:lang w:val="bg-BG" w:eastAsia="bg-BG"/>
        </w:rPr>
        <w:t>перихолецистит</w:t>
      </w:r>
      <w:proofErr w:type="spellEnd"/>
      <w:r w:rsidRPr="007179E3">
        <w:rPr>
          <w:lang w:val="bg-BG" w:eastAsia="bg-BG"/>
        </w:rPr>
        <w:t xml:space="preserve">, </w:t>
      </w:r>
      <w:proofErr w:type="spellStart"/>
      <w:r w:rsidRPr="007179E3">
        <w:rPr>
          <w:lang w:val="bg-BG" w:eastAsia="bg-BG"/>
        </w:rPr>
        <w:t>холангит</w:t>
      </w:r>
      <w:proofErr w:type="spellEnd"/>
      <w:r w:rsidRPr="007179E3">
        <w:rPr>
          <w:lang w:val="bg-BG" w:eastAsia="bg-BG"/>
        </w:rPr>
        <w:t xml:space="preserve"> и </w:t>
      </w:r>
      <w:proofErr w:type="spellStart"/>
      <w:r w:rsidRPr="007179E3">
        <w:rPr>
          <w:lang w:val="bg-BG" w:eastAsia="bg-BG"/>
        </w:rPr>
        <w:t>папилит</w:t>
      </w:r>
      <w:proofErr w:type="spellEnd"/>
      <w:r w:rsidRPr="007179E3">
        <w:rPr>
          <w:lang w:val="bg-BG" w:eastAsia="bg-BG"/>
        </w:rPr>
        <w:t>.</w:t>
      </w:r>
    </w:p>
    <w:p w14:paraId="72D5C51D" w14:textId="77777777" w:rsidR="007179E3" w:rsidRPr="007179E3" w:rsidRDefault="007179E3" w:rsidP="007179E3">
      <w:pPr>
        <w:pStyle w:val="ListParagraph"/>
        <w:numPr>
          <w:ilvl w:val="0"/>
          <w:numId w:val="18"/>
        </w:numPr>
        <w:rPr>
          <w:sz w:val="24"/>
          <w:szCs w:val="24"/>
          <w:lang w:val="bg-BG"/>
        </w:rPr>
      </w:pPr>
      <w:r w:rsidRPr="007179E3">
        <w:rPr>
          <w:lang w:val="bg-BG" w:eastAsia="bg-BG"/>
        </w:rPr>
        <w:t xml:space="preserve">Спазми на гладката мускулатура при заболявания на бъбреците, пикочния мехур и пикочните пътища: </w:t>
      </w:r>
      <w:proofErr w:type="spellStart"/>
      <w:r w:rsidRPr="007179E3">
        <w:rPr>
          <w:lang w:val="bg-BG" w:eastAsia="bg-BG"/>
        </w:rPr>
        <w:t>нефролитиаза</w:t>
      </w:r>
      <w:proofErr w:type="spellEnd"/>
      <w:r w:rsidRPr="007179E3">
        <w:rPr>
          <w:lang w:val="bg-BG" w:eastAsia="bg-BG"/>
        </w:rPr>
        <w:t xml:space="preserve">, </w:t>
      </w:r>
      <w:proofErr w:type="spellStart"/>
      <w:r w:rsidRPr="007179E3">
        <w:rPr>
          <w:lang w:val="bg-BG" w:eastAsia="bg-BG"/>
        </w:rPr>
        <w:t>уретеролитиаза</w:t>
      </w:r>
      <w:proofErr w:type="spellEnd"/>
      <w:r w:rsidRPr="007179E3">
        <w:rPr>
          <w:lang w:val="bg-BG" w:eastAsia="bg-BG"/>
        </w:rPr>
        <w:t>, пиелит, цистит и спазми на пикочния мехур.</w:t>
      </w:r>
    </w:p>
    <w:p w14:paraId="31587021" w14:textId="77777777" w:rsidR="007179E3" w:rsidRDefault="007179E3" w:rsidP="007179E3">
      <w:pPr>
        <w:rPr>
          <w:b/>
          <w:bCs/>
          <w:lang w:val="bg-BG" w:eastAsia="bg-BG"/>
        </w:rPr>
      </w:pPr>
      <w:bookmarkStart w:id="1" w:name="bookmark0"/>
    </w:p>
    <w:p w14:paraId="0DF7E5B2" w14:textId="49ADF337" w:rsidR="007179E3" w:rsidRPr="007179E3" w:rsidRDefault="007179E3" w:rsidP="007179E3">
      <w:pPr>
        <w:rPr>
          <w:sz w:val="24"/>
          <w:szCs w:val="24"/>
          <w:lang w:val="bg-BG"/>
        </w:rPr>
      </w:pPr>
      <w:r w:rsidRPr="007179E3">
        <w:rPr>
          <w:b/>
          <w:bCs/>
          <w:lang w:val="bg-BG" w:eastAsia="bg-BG"/>
        </w:rPr>
        <w:t>Като помощна терапия (когато таблетната форма не може да бъде назначена на пациента):</w:t>
      </w:r>
      <w:bookmarkEnd w:id="1"/>
    </w:p>
    <w:p w14:paraId="7A339063" w14:textId="77777777" w:rsidR="007179E3" w:rsidRPr="007179E3" w:rsidRDefault="007179E3" w:rsidP="007179E3">
      <w:pPr>
        <w:pStyle w:val="ListParagraph"/>
        <w:numPr>
          <w:ilvl w:val="0"/>
          <w:numId w:val="19"/>
        </w:numPr>
        <w:rPr>
          <w:sz w:val="24"/>
          <w:szCs w:val="24"/>
          <w:lang w:val="bg-BG"/>
        </w:rPr>
      </w:pPr>
      <w:r w:rsidRPr="007179E3">
        <w:rPr>
          <w:lang w:val="bg-BG" w:eastAsia="bg-BG"/>
        </w:rPr>
        <w:t xml:space="preserve">При спазми на </w:t>
      </w:r>
      <w:proofErr w:type="spellStart"/>
      <w:r w:rsidRPr="007179E3">
        <w:rPr>
          <w:lang w:val="bg-BG" w:eastAsia="bg-BG"/>
        </w:rPr>
        <w:t>стомашночревната</w:t>
      </w:r>
      <w:proofErr w:type="spellEnd"/>
      <w:r w:rsidRPr="007179E3">
        <w:rPr>
          <w:lang w:val="bg-BG" w:eastAsia="bg-BG"/>
        </w:rPr>
        <w:t xml:space="preserve"> гладка мускулатура: стомашна и </w:t>
      </w:r>
      <w:proofErr w:type="spellStart"/>
      <w:r w:rsidRPr="007179E3">
        <w:rPr>
          <w:lang w:val="bg-BG" w:eastAsia="bg-BG"/>
        </w:rPr>
        <w:t>дуоденална</w:t>
      </w:r>
      <w:proofErr w:type="spellEnd"/>
      <w:r w:rsidRPr="007179E3">
        <w:rPr>
          <w:lang w:val="bg-BG" w:eastAsia="bg-BG"/>
        </w:rPr>
        <w:t xml:space="preserve"> язва, гастрит, </w:t>
      </w:r>
      <w:proofErr w:type="spellStart"/>
      <w:r w:rsidRPr="007179E3">
        <w:rPr>
          <w:lang w:val="bg-BG" w:eastAsia="bg-BG"/>
        </w:rPr>
        <w:t>кардиален</w:t>
      </w:r>
      <w:proofErr w:type="spellEnd"/>
      <w:r w:rsidRPr="007179E3">
        <w:rPr>
          <w:lang w:val="bg-BG" w:eastAsia="bg-BG"/>
        </w:rPr>
        <w:t xml:space="preserve"> спазъм, </w:t>
      </w:r>
      <w:proofErr w:type="spellStart"/>
      <w:r w:rsidRPr="007179E3">
        <w:rPr>
          <w:lang w:val="bg-BG" w:eastAsia="bg-BG"/>
        </w:rPr>
        <w:t>пилороспазъм</w:t>
      </w:r>
      <w:proofErr w:type="spellEnd"/>
      <w:r w:rsidRPr="007179E3">
        <w:rPr>
          <w:lang w:val="bg-BG" w:eastAsia="bg-BG"/>
        </w:rPr>
        <w:t>, ентерит и колит.</w:t>
      </w:r>
    </w:p>
    <w:p w14:paraId="2737250C" w14:textId="77777777" w:rsidR="007179E3" w:rsidRPr="007179E3" w:rsidRDefault="007179E3" w:rsidP="007179E3">
      <w:pPr>
        <w:pStyle w:val="ListParagraph"/>
        <w:numPr>
          <w:ilvl w:val="0"/>
          <w:numId w:val="19"/>
        </w:numPr>
        <w:rPr>
          <w:sz w:val="24"/>
          <w:szCs w:val="24"/>
          <w:lang w:val="bg-BG"/>
        </w:rPr>
      </w:pPr>
      <w:r w:rsidRPr="007179E3">
        <w:rPr>
          <w:lang w:val="bg-BG" w:eastAsia="bg-BG"/>
        </w:rPr>
        <w:t xml:space="preserve">При гинекологични заболявания: </w:t>
      </w:r>
      <w:proofErr w:type="spellStart"/>
      <w:r w:rsidRPr="007179E3">
        <w:rPr>
          <w:lang w:val="bg-BG" w:eastAsia="bg-BG"/>
        </w:rPr>
        <w:t>дисменорея</w:t>
      </w:r>
      <w:proofErr w:type="spellEnd"/>
      <w:r w:rsidRPr="007179E3">
        <w:rPr>
          <w:lang w:val="bg-BG" w:eastAsia="bg-BG"/>
        </w:rPr>
        <w:t>.</w:t>
      </w:r>
    </w:p>
    <w:p w14:paraId="55CE53F2" w14:textId="77777777" w:rsidR="007179E3" w:rsidRPr="007179E3" w:rsidRDefault="007179E3" w:rsidP="007179E3"/>
    <w:p w14:paraId="71891A7D" w14:textId="4AA45724" w:rsidR="001915B6" w:rsidRDefault="002C50EE" w:rsidP="00C07B84">
      <w:pPr>
        <w:pStyle w:val="Heading2"/>
      </w:pPr>
      <w:r>
        <w:t xml:space="preserve">4.2. </w:t>
      </w:r>
      <w:proofErr w:type="spellStart"/>
      <w:r>
        <w:t>Дозировка</w:t>
      </w:r>
      <w:proofErr w:type="spellEnd"/>
      <w:r>
        <w:t xml:space="preserve"> и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приложение</w:t>
      </w:r>
      <w:proofErr w:type="spellEnd"/>
    </w:p>
    <w:p w14:paraId="1F99644E" w14:textId="77777777" w:rsidR="007179E3" w:rsidRDefault="007179E3" w:rsidP="007179E3">
      <w:pPr>
        <w:pStyle w:val="Heading3"/>
        <w:rPr>
          <w:rFonts w:eastAsia="Times New Roman"/>
          <w:u w:val="single"/>
          <w:lang w:val="bg-BG" w:eastAsia="bg-BG"/>
        </w:rPr>
      </w:pPr>
    </w:p>
    <w:p w14:paraId="747C8A92" w14:textId="6EAA8ABD" w:rsidR="007179E3" w:rsidRPr="007179E3" w:rsidRDefault="007179E3" w:rsidP="007179E3">
      <w:pPr>
        <w:pStyle w:val="Heading3"/>
        <w:rPr>
          <w:rFonts w:eastAsia="Times New Roman"/>
          <w:u w:val="single"/>
          <w:lang w:val="bg-BG"/>
        </w:rPr>
      </w:pPr>
      <w:r w:rsidRPr="007179E3">
        <w:rPr>
          <w:rFonts w:eastAsia="Times New Roman"/>
          <w:u w:val="single"/>
          <w:lang w:val="bg-BG" w:eastAsia="bg-BG"/>
        </w:rPr>
        <w:t>Дозировка</w:t>
      </w:r>
    </w:p>
    <w:p w14:paraId="68DCFC32" w14:textId="77777777" w:rsidR="007179E3" w:rsidRPr="007179E3" w:rsidRDefault="007179E3" w:rsidP="007179E3">
      <w:pPr>
        <w:rPr>
          <w:sz w:val="24"/>
          <w:szCs w:val="24"/>
          <w:lang w:val="bg-BG"/>
        </w:rPr>
      </w:pPr>
      <w:r w:rsidRPr="007179E3">
        <w:rPr>
          <w:lang w:val="bg-BG" w:eastAsia="bg-BG"/>
        </w:rPr>
        <w:t xml:space="preserve">Обичайната средна дневна доза за възрастни е 40-240 </w:t>
      </w:r>
      <w:r w:rsidRPr="007179E3">
        <w:t xml:space="preserve">mg </w:t>
      </w:r>
      <w:r w:rsidRPr="007179E3">
        <w:rPr>
          <w:lang w:val="bg-BG" w:eastAsia="bg-BG"/>
        </w:rPr>
        <w:t xml:space="preserve">(разделени на 1-3 дози) </w:t>
      </w:r>
      <w:proofErr w:type="spellStart"/>
      <w:r w:rsidRPr="007179E3">
        <w:t>i.m.</w:t>
      </w:r>
      <w:proofErr w:type="spellEnd"/>
    </w:p>
    <w:p w14:paraId="00C3FF6E" w14:textId="77777777" w:rsidR="007179E3" w:rsidRPr="007179E3" w:rsidRDefault="007179E3" w:rsidP="007179E3">
      <w:pPr>
        <w:rPr>
          <w:sz w:val="24"/>
          <w:szCs w:val="24"/>
          <w:lang w:val="bg-BG"/>
        </w:rPr>
      </w:pPr>
      <w:r w:rsidRPr="007179E3">
        <w:rPr>
          <w:lang w:val="bg-BG" w:eastAsia="bg-BG"/>
        </w:rPr>
        <w:t xml:space="preserve">При остра колики, вследствие на камък (бъбречен и/или жлъчен) 40-80 </w:t>
      </w:r>
      <w:r w:rsidRPr="007179E3">
        <w:t xml:space="preserve">mg </w:t>
      </w:r>
      <w:proofErr w:type="spellStart"/>
      <w:r w:rsidRPr="007179E3">
        <w:t>i.v.</w:t>
      </w:r>
      <w:proofErr w:type="spellEnd"/>
    </w:p>
    <w:p w14:paraId="254F4F86" w14:textId="77777777" w:rsidR="007179E3" w:rsidRDefault="007179E3" w:rsidP="007179E3">
      <w:pPr>
        <w:rPr>
          <w:i/>
          <w:iCs/>
          <w:lang w:val="bg-BG" w:eastAsia="bg-BG"/>
        </w:rPr>
      </w:pPr>
    </w:p>
    <w:p w14:paraId="7A2ADCB3" w14:textId="140F2D73" w:rsidR="007179E3" w:rsidRPr="007179E3" w:rsidRDefault="007179E3" w:rsidP="007179E3">
      <w:pPr>
        <w:rPr>
          <w:sz w:val="24"/>
          <w:szCs w:val="24"/>
          <w:lang w:val="bg-BG"/>
        </w:rPr>
      </w:pPr>
      <w:r w:rsidRPr="007179E3">
        <w:rPr>
          <w:i/>
          <w:iCs/>
          <w:lang w:val="bg-BG" w:eastAsia="bg-BG"/>
        </w:rPr>
        <w:t>Педиатрична популация</w:t>
      </w:r>
    </w:p>
    <w:p w14:paraId="1DAFE9CF" w14:textId="094BC2E4" w:rsidR="007179E3" w:rsidRDefault="007179E3" w:rsidP="007179E3">
      <w:pPr>
        <w:rPr>
          <w:lang w:val="bg-BG" w:eastAsia="bg-BG"/>
        </w:rPr>
      </w:pPr>
      <w:r w:rsidRPr="007179E3">
        <w:rPr>
          <w:lang w:val="bg-BG" w:eastAsia="bg-BG"/>
        </w:rPr>
        <w:t xml:space="preserve">Употребата на </w:t>
      </w:r>
      <w:proofErr w:type="spellStart"/>
      <w:r w:rsidRPr="007179E3">
        <w:rPr>
          <w:lang w:val="bg-BG" w:eastAsia="bg-BG"/>
        </w:rPr>
        <w:t>дротаверин</w:t>
      </w:r>
      <w:proofErr w:type="spellEnd"/>
      <w:r w:rsidRPr="007179E3">
        <w:rPr>
          <w:lang w:val="bg-BG" w:eastAsia="bg-BG"/>
        </w:rPr>
        <w:t xml:space="preserve"> при деца не е била оценена при клинични изпитвания.</w:t>
      </w:r>
    </w:p>
    <w:p w14:paraId="3A8055FB" w14:textId="77777777" w:rsidR="007179E3" w:rsidRPr="007179E3" w:rsidRDefault="007179E3" w:rsidP="007179E3"/>
    <w:p w14:paraId="3194B1C9" w14:textId="5AA9D0B0" w:rsidR="001915B6" w:rsidRDefault="002C50EE" w:rsidP="00C07B84">
      <w:pPr>
        <w:pStyle w:val="Heading2"/>
      </w:pPr>
      <w:r>
        <w:t xml:space="preserve">4.3. </w:t>
      </w:r>
      <w:proofErr w:type="spellStart"/>
      <w:r>
        <w:t>Противопоказания</w:t>
      </w:r>
      <w:proofErr w:type="spellEnd"/>
    </w:p>
    <w:p w14:paraId="01C434B0" w14:textId="77777777" w:rsidR="007179E3" w:rsidRDefault="007179E3" w:rsidP="007179E3">
      <w:pPr>
        <w:rPr>
          <w:lang w:val="bg-BG" w:eastAsia="bg-BG"/>
        </w:rPr>
      </w:pPr>
    </w:p>
    <w:p w14:paraId="324922DB" w14:textId="6346159E" w:rsidR="007179E3" w:rsidRPr="007179E3" w:rsidRDefault="007179E3" w:rsidP="007179E3">
      <w:pPr>
        <w:pStyle w:val="ListParagraph"/>
        <w:numPr>
          <w:ilvl w:val="0"/>
          <w:numId w:val="20"/>
        </w:numPr>
        <w:rPr>
          <w:sz w:val="24"/>
          <w:szCs w:val="24"/>
          <w:lang w:val="bg-BG"/>
        </w:rPr>
      </w:pPr>
      <w:r w:rsidRPr="007179E3">
        <w:rPr>
          <w:lang w:val="bg-BG" w:eastAsia="bg-BG"/>
        </w:rPr>
        <w:lastRenderedPageBreak/>
        <w:t>Свръхчувствителност към активното вещество или към някое от помощните вещества</w:t>
      </w:r>
      <w:r>
        <w:rPr>
          <w:lang w:eastAsia="bg-BG"/>
        </w:rPr>
        <w:t>.</w:t>
      </w:r>
    </w:p>
    <w:p w14:paraId="3898AFD1" w14:textId="309A80BA" w:rsidR="007179E3" w:rsidRPr="007179E3" w:rsidRDefault="007179E3" w:rsidP="007179E3">
      <w:pPr>
        <w:pStyle w:val="ListParagraph"/>
        <w:numPr>
          <w:ilvl w:val="0"/>
          <w:numId w:val="20"/>
        </w:numPr>
        <w:rPr>
          <w:sz w:val="24"/>
          <w:szCs w:val="24"/>
          <w:lang w:val="bg-BG"/>
        </w:rPr>
      </w:pPr>
      <w:r w:rsidRPr="007179E3">
        <w:rPr>
          <w:lang w:val="bg-BG" w:eastAsia="bg-BG"/>
        </w:rPr>
        <w:t>Свръхчувствителност към натриев бисулфит (вижте точка 4.4),Тежка чернодробна и бъбречна недостатъчност,</w:t>
      </w:r>
    </w:p>
    <w:p w14:paraId="50B0FB03" w14:textId="77777777" w:rsidR="007179E3" w:rsidRPr="007179E3" w:rsidRDefault="007179E3" w:rsidP="007179E3">
      <w:pPr>
        <w:pStyle w:val="ListParagraph"/>
        <w:numPr>
          <w:ilvl w:val="0"/>
          <w:numId w:val="20"/>
        </w:numPr>
        <w:rPr>
          <w:sz w:val="24"/>
          <w:szCs w:val="24"/>
          <w:lang w:val="bg-BG"/>
        </w:rPr>
      </w:pPr>
      <w:r w:rsidRPr="007179E3">
        <w:rPr>
          <w:lang w:val="bg-BG" w:eastAsia="bg-BG"/>
        </w:rPr>
        <w:t>Тежка сърдечна недостатъчност (синдром на нисък дебит),</w:t>
      </w:r>
    </w:p>
    <w:p w14:paraId="3FB7CD4C" w14:textId="5DCF4650" w:rsidR="007179E3" w:rsidRPr="00C556BA" w:rsidRDefault="007179E3" w:rsidP="007179E3">
      <w:pPr>
        <w:pStyle w:val="ListParagraph"/>
        <w:numPr>
          <w:ilvl w:val="0"/>
          <w:numId w:val="20"/>
        </w:numPr>
        <w:rPr>
          <w:sz w:val="24"/>
          <w:szCs w:val="24"/>
          <w:lang w:val="bg-BG"/>
        </w:rPr>
      </w:pPr>
      <w:r w:rsidRPr="007179E3">
        <w:rPr>
          <w:lang w:val="bg-BG" w:eastAsia="bg-BG"/>
        </w:rPr>
        <w:t>Деца.</w:t>
      </w:r>
    </w:p>
    <w:p w14:paraId="73C949D8" w14:textId="77777777" w:rsidR="00C556BA" w:rsidRPr="00C556BA" w:rsidRDefault="00C556BA" w:rsidP="00C556BA">
      <w:pPr>
        <w:rPr>
          <w:sz w:val="24"/>
          <w:szCs w:val="24"/>
          <w:lang w:val="bg-BG"/>
        </w:rPr>
      </w:pPr>
    </w:p>
    <w:p w14:paraId="4B2B2AB1" w14:textId="4704405C" w:rsidR="00605BCA" w:rsidRDefault="002C50EE" w:rsidP="00C07B84">
      <w:pPr>
        <w:pStyle w:val="Heading2"/>
      </w:pPr>
      <w:r>
        <w:t xml:space="preserve">4.4. </w:t>
      </w:r>
      <w:proofErr w:type="spellStart"/>
      <w:r>
        <w:t>Специални</w:t>
      </w:r>
      <w:proofErr w:type="spellEnd"/>
      <w:r>
        <w:t xml:space="preserve"> </w:t>
      </w:r>
      <w:proofErr w:type="spellStart"/>
      <w:r>
        <w:t>предупреждения</w:t>
      </w:r>
      <w:proofErr w:type="spellEnd"/>
      <w:r>
        <w:t xml:space="preserve"> и </w:t>
      </w:r>
      <w:proofErr w:type="spellStart"/>
      <w:r>
        <w:t>предпазни</w:t>
      </w:r>
      <w:proofErr w:type="spellEnd"/>
      <w:r>
        <w:t xml:space="preserve"> </w:t>
      </w:r>
      <w:proofErr w:type="spellStart"/>
      <w:r>
        <w:t>мерки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употреба</w:t>
      </w:r>
      <w:proofErr w:type="spellEnd"/>
    </w:p>
    <w:p w14:paraId="4A848D63" w14:textId="77777777" w:rsidR="00C556BA" w:rsidRPr="00C556BA" w:rsidRDefault="00C556BA" w:rsidP="00C556BA">
      <w:pPr>
        <w:rPr>
          <w:sz w:val="24"/>
          <w:szCs w:val="24"/>
          <w:lang w:val="bg-BG"/>
        </w:rPr>
      </w:pPr>
      <w:r w:rsidRPr="00C556BA">
        <w:rPr>
          <w:lang w:val="bg-BG" w:eastAsia="bg-BG"/>
        </w:rPr>
        <w:t>В случай на ниско кръвно налягане, назначаването на този продукт изисква повишено внимание. При интравенозна употреба, пациентът трябва да бъде задължително в легнало положение, поради риск от колапс.</w:t>
      </w:r>
    </w:p>
    <w:p w14:paraId="0925D8D9" w14:textId="24BD0BFC" w:rsidR="00C556BA" w:rsidRDefault="00C556BA" w:rsidP="00C556BA"/>
    <w:p w14:paraId="0BC96CFE" w14:textId="77777777" w:rsidR="00C556BA" w:rsidRPr="00C556BA" w:rsidRDefault="00C556BA" w:rsidP="00C556BA">
      <w:pPr>
        <w:rPr>
          <w:sz w:val="24"/>
          <w:szCs w:val="24"/>
          <w:lang w:val="bg-BG"/>
        </w:rPr>
      </w:pPr>
      <w:r w:rsidRPr="00C556BA">
        <w:rPr>
          <w:lang w:val="bg-BG" w:eastAsia="bg-BG"/>
        </w:rPr>
        <w:t xml:space="preserve">Този продукт съдържа бисулфит, който може да предизвика алергичен тип реакции, включително </w:t>
      </w:r>
      <w:proofErr w:type="spellStart"/>
      <w:r w:rsidRPr="00C556BA">
        <w:rPr>
          <w:lang w:val="bg-BG" w:eastAsia="bg-BG"/>
        </w:rPr>
        <w:t>анафилактични</w:t>
      </w:r>
      <w:proofErr w:type="spellEnd"/>
      <w:r w:rsidRPr="00C556BA">
        <w:rPr>
          <w:lang w:val="bg-BG" w:eastAsia="bg-BG"/>
        </w:rPr>
        <w:t xml:space="preserve"> симптоми и </w:t>
      </w:r>
      <w:proofErr w:type="spellStart"/>
      <w:r w:rsidRPr="00C556BA">
        <w:rPr>
          <w:lang w:val="bg-BG" w:eastAsia="bg-BG"/>
        </w:rPr>
        <w:t>бронхоспазъм</w:t>
      </w:r>
      <w:proofErr w:type="spellEnd"/>
      <w:r w:rsidRPr="00C556BA">
        <w:rPr>
          <w:lang w:val="bg-BG" w:eastAsia="bg-BG"/>
        </w:rPr>
        <w:t xml:space="preserve"> при чувствителни хора, особено с анамнеза за астма или алергия. В случай на свръхчувствителност към натриев бисулфит, парентералното приложение на лекарствения продукт трябва да се избягва (вижте точка 4.3). Трябва да се внимава, когато се назначава инжектиране на </w:t>
      </w:r>
      <w:proofErr w:type="spellStart"/>
      <w:r w:rsidRPr="00C556BA">
        <w:rPr>
          <w:lang w:val="bg-BG" w:eastAsia="bg-BG"/>
        </w:rPr>
        <w:t>дротаверин</w:t>
      </w:r>
      <w:proofErr w:type="spellEnd"/>
      <w:r w:rsidRPr="00C556BA">
        <w:rPr>
          <w:lang w:val="bg-BG" w:eastAsia="bg-BG"/>
        </w:rPr>
        <w:t xml:space="preserve"> при бременни жени (вижте точка 4.6).</w:t>
      </w:r>
    </w:p>
    <w:p w14:paraId="0381919A" w14:textId="77777777" w:rsidR="00C556BA" w:rsidRPr="00C556BA" w:rsidRDefault="00C556BA" w:rsidP="00C556BA"/>
    <w:p w14:paraId="1222FB42" w14:textId="630DCA46" w:rsidR="00C556BA" w:rsidRPr="00C556BA" w:rsidRDefault="002C50EE" w:rsidP="00C556BA">
      <w:pPr>
        <w:pStyle w:val="Heading2"/>
      </w:pPr>
      <w:r>
        <w:t xml:space="preserve">4.5. </w:t>
      </w:r>
      <w:proofErr w:type="spellStart"/>
      <w:r>
        <w:t>Взаимодействие</w:t>
      </w:r>
      <w:proofErr w:type="spellEnd"/>
      <w:r>
        <w:t xml:space="preserve"> с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лекарствени</w:t>
      </w:r>
      <w:proofErr w:type="spellEnd"/>
      <w:r>
        <w:t xml:space="preserve"> </w:t>
      </w:r>
      <w:proofErr w:type="spellStart"/>
      <w:r>
        <w:t>продукти</w:t>
      </w:r>
      <w:proofErr w:type="spellEnd"/>
      <w:r>
        <w:t xml:space="preserve"> и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форми</w:t>
      </w:r>
      <w:proofErr w:type="spellEnd"/>
      <w:r>
        <w:t xml:space="preserve"> </w:t>
      </w:r>
    </w:p>
    <w:p w14:paraId="78BEBB3D" w14:textId="2315BB38" w:rsidR="002C50EE" w:rsidRDefault="002C50EE" w:rsidP="002C50EE">
      <w:pPr>
        <w:pStyle w:val="Heading2"/>
      </w:pPr>
      <w:proofErr w:type="spellStart"/>
      <w:r>
        <w:t>на</w:t>
      </w:r>
      <w:proofErr w:type="spellEnd"/>
      <w:r>
        <w:t xml:space="preserve"> </w:t>
      </w:r>
      <w:proofErr w:type="spellStart"/>
      <w:r>
        <w:t>взаимодействие</w:t>
      </w:r>
      <w:proofErr w:type="spellEnd"/>
    </w:p>
    <w:p w14:paraId="0E975484" w14:textId="77777777" w:rsidR="00C556BA" w:rsidRDefault="00C556BA" w:rsidP="00C556BA">
      <w:pPr>
        <w:rPr>
          <w:lang w:val="bg-BG" w:eastAsia="bg-BG"/>
        </w:rPr>
      </w:pPr>
    </w:p>
    <w:p w14:paraId="57D13AAD" w14:textId="6E4600BD" w:rsidR="00C556BA" w:rsidRPr="00C556BA" w:rsidRDefault="00C556BA" w:rsidP="00C556BA">
      <w:pPr>
        <w:rPr>
          <w:sz w:val="24"/>
          <w:szCs w:val="24"/>
          <w:lang w:val="bg-BG"/>
        </w:rPr>
      </w:pPr>
      <w:proofErr w:type="spellStart"/>
      <w:r w:rsidRPr="00C556BA">
        <w:rPr>
          <w:lang w:val="bg-BG" w:eastAsia="bg-BG"/>
        </w:rPr>
        <w:t>Фосфодиестеразните</w:t>
      </w:r>
      <w:proofErr w:type="spellEnd"/>
      <w:r w:rsidRPr="00C556BA">
        <w:rPr>
          <w:lang w:val="bg-BG" w:eastAsia="bg-BG"/>
        </w:rPr>
        <w:t xml:space="preserve"> инхибитори, като </w:t>
      </w:r>
      <w:proofErr w:type="spellStart"/>
      <w:r w:rsidRPr="00C556BA">
        <w:rPr>
          <w:lang w:val="bg-BG" w:eastAsia="bg-BG"/>
        </w:rPr>
        <w:t>папаверин</w:t>
      </w:r>
      <w:proofErr w:type="spellEnd"/>
      <w:r w:rsidRPr="00C556BA">
        <w:rPr>
          <w:lang w:val="bg-BG" w:eastAsia="bg-BG"/>
        </w:rPr>
        <w:t xml:space="preserve"> намаляват антипаркинсоновия ефект на </w:t>
      </w:r>
      <w:proofErr w:type="spellStart"/>
      <w:r w:rsidRPr="00C556BA">
        <w:rPr>
          <w:lang w:val="bg-BG" w:eastAsia="bg-BG"/>
        </w:rPr>
        <w:t>леводопа</w:t>
      </w:r>
      <w:proofErr w:type="spellEnd"/>
      <w:r w:rsidRPr="00C556BA">
        <w:rPr>
          <w:lang w:val="bg-BG" w:eastAsia="bg-BG"/>
        </w:rPr>
        <w:t>.</w:t>
      </w:r>
    </w:p>
    <w:p w14:paraId="10C4F05E" w14:textId="77777777" w:rsidR="00C556BA" w:rsidRPr="00C556BA" w:rsidRDefault="00C556BA" w:rsidP="00C556BA">
      <w:pPr>
        <w:rPr>
          <w:sz w:val="24"/>
          <w:szCs w:val="24"/>
          <w:lang w:val="bg-BG"/>
        </w:rPr>
      </w:pPr>
      <w:r w:rsidRPr="00C556BA">
        <w:rPr>
          <w:lang w:val="bg-BG" w:eastAsia="bg-BG"/>
        </w:rPr>
        <w:t xml:space="preserve">При едновременното му приложение с </w:t>
      </w:r>
      <w:proofErr w:type="spellStart"/>
      <w:r w:rsidRPr="00C556BA">
        <w:rPr>
          <w:lang w:val="bg-BG" w:eastAsia="bg-BG"/>
        </w:rPr>
        <w:t>леводопа</w:t>
      </w:r>
      <w:proofErr w:type="spellEnd"/>
      <w:r w:rsidRPr="00C556BA">
        <w:rPr>
          <w:lang w:val="bg-BG" w:eastAsia="bg-BG"/>
        </w:rPr>
        <w:t xml:space="preserve">, антипаркинсоновият ефект на последния се понижава, т.е. </w:t>
      </w:r>
      <w:proofErr w:type="spellStart"/>
      <w:r w:rsidRPr="00C556BA">
        <w:rPr>
          <w:lang w:val="bg-BG" w:eastAsia="bg-BG"/>
        </w:rPr>
        <w:t>ригидността</w:t>
      </w:r>
      <w:proofErr w:type="spellEnd"/>
      <w:r w:rsidRPr="00C556BA">
        <w:rPr>
          <w:lang w:val="bg-BG" w:eastAsia="bg-BG"/>
        </w:rPr>
        <w:t xml:space="preserve"> и треморът се задълбочават.</w:t>
      </w:r>
    </w:p>
    <w:p w14:paraId="13BC1A61" w14:textId="77777777" w:rsidR="00C556BA" w:rsidRPr="00C556BA" w:rsidRDefault="00C556BA" w:rsidP="00C556BA"/>
    <w:p w14:paraId="48221AB5" w14:textId="5E91F72F" w:rsidR="002C50EE" w:rsidRDefault="002C50EE" w:rsidP="002C50EE">
      <w:pPr>
        <w:pStyle w:val="Heading2"/>
      </w:pPr>
      <w:r>
        <w:t xml:space="preserve">4.6. </w:t>
      </w:r>
      <w:proofErr w:type="spellStart"/>
      <w:r>
        <w:t>Фертилитет</w:t>
      </w:r>
      <w:proofErr w:type="spellEnd"/>
      <w:r>
        <w:t xml:space="preserve">, </w:t>
      </w:r>
      <w:proofErr w:type="spellStart"/>
      <w:r>
        <w:t>бременност</w:t>
      </w:r>
      <w:proofErr w:type="spellEnd"/>
      <w:r>
        <w:t xml:space="preserve"> и </w:t>
      </w:r>
      <w:proofErr w:type="spellStart"/>
      <w:r>
        <w:t>кърмене</w:t>
      </w:r>
      <w:proofErr w:type="spellEnd"/>
    </w:p>
    <w:p w14:paraId="5B27A5FC" w14:textId="77777777" w:rsidR="00C556BA" w:rsidRDefault="00C556BA" w:rsidP="00C556BA">
      <w:pPr>
        <w:rPr>
          <w:lang w:val="bg-BG" w:eastAsia="bg-BG"/>
        </w:rPr>
      </w:pPr>
    </w:p>
    <w:p w14:paraId="20F3DB6E" w14:textId="577C6B27" w:rsidR="00C556BA" w:rsidRPr="00C556BA" w:rsidRDefault="00C556BA" w:rsidP="00C556BA">
      <w:pPr>
        <w:pStyle w:val="Heading3"/>
        <w:rPr>
          <w:rFonts w:eastAsia="Times New Roman"/>
          <w:u w:val="single"/>
          <w:lang w:val="bg-BG"/>
        </w:rPr>
      </w:pPr>
      <w:r w:rsidRPr="00C556BA">
        <w:rPr>
          <w:rFonts w:eastAsia="Times New Roman"/>
          <w:u w:val="single"/>
          <w:lang w:val="bg-BG" w:eastAsia="bg-BG"/>
        </w:rPr>
        <w:t>Бременност</w:t>
      </w:r>
    </w:p>
    <w:p w14:paraId="4635D06B" w14:textId="77777777" w:rsidR="00C556BA" w:rsidRPr="00C556BA" w:rsidRDefault="00C556BA" w:rsidP="00C556BA">
      <w:pPr>
        <w:rPr>
          <w:sz w:val="24"/>
          <w:szCs w:val="24"/>
          <w:lang w:val="bg-BG"/>
        </w:rPr>
      </w:pPr>
      <w:r w:rsidRPr="00C556BA">
        <w:rPr>
          <w:lang w:val="bg-BG" w:eastAsia="bg-BG"/>
        </w:rPr>
        <w:t xml:space="preserve">Налични са ограничено количество от данни </w:t>
      </w:r>
      <w:r w:rsidRPr="00C556BA">
        <w:rPr>
          <w:i/>
          <w:iCs/>
          <w:lang w:val="bg-BG" w:eastAsia="bg-BG"/>
        </w:rPr>
        <w:t>при бременни</w:t>
      </w:r>
      <w:r w:rsidRPr="00C556BA">
        <w:rPr>
          <w:lang w:val="bg-BG" w:eastAsia="bg-BG"/>
        </w:rPr>
        <w:t xml:space="preserve"> пациентки. Изследванията при животни не показват директни или индиректни вредни ефекти по време на бременността и ембрионалното/фетално развитие (вижте точка 5.3). Въпреки това, трябва да се внимава, когато се предписва на бременни жени.</w:t>
      </w:r>
    </w:p>
    <w:p w14:paraId="19898153" w14:textId="77777777" w:rsidR="00C556BA" w:rsidRPr="00C556BA" w:rsidRDefault="00C556BA" w:rsidP="00C556BA">
      <w:pPr>
        <w:rPr>
          <w:sz w:val="24"/>
          <w:szCs w:val="24"/>
          <w:lang w:val="bg-BG"/>
        </w:rPr>
      </w:pPr>
      <w:proofErr w:type="spellStart"/>
      <w:r w:rsidRPr="00C556BA">
        <w:rPr>
          <w:lang w:val="bg-BG" w:eastAsia="bg-BG"/>
        </w:rPr>
        <w:t>Дротаверин</w:t>
      </w:r>
      <w:proofErr w:type="spellEnd"/>
      <w:r w:rsidRPr="00C556BA">
        <w:rPr>
          <w:lang w:val="bg-BG" w:eastAsia="bg-BG"/>
        </w:rPr>
        <w:t xml:space="preserve"> не трябва да се използва по време на раждане.</w:t>
      </w:r>
    </w:p>
    <w:p w14:paraId="76EF5AD4" w14:textId="77777777" w:rsidR="00C556BA" w:rsidRDefault="00C556BA" w:rsidP="00C556BA">
      <w:pPr>
        <w:rPr>
          <w:lang w:val="bg-BG" w:eastAsia="bg-BG"/>
        </w:rPr>
      </w:pPr>
    </w:p>
    <w:p w14:paraId="4B330892" w14:textId="0DD9C88C" w:rsidR="00C556BA" w:rsidRPr="00C556BA" w:rsidRDefault="00C556BA" w:rsidP="00C556BA">
      <w:pPr>
        <w:pStyle w:val="Heading3"/>
        <w:rPr>
          <w:rFonts w:eastAsia="Times New Roman"/>
          <w:u w:val="single"/>
          <w:lang w:val="bg-BG"/>
        </w:rPr>
      </w:pPr>
      <w:r w:rsidRPr="00C556BA">
        <w:rPr>
          <w:rFonts w:eastAsia="Times New Roman"/>
          <w:u w:val="single"/>
          <w:lang w:val="bg-BG" w:eastAsia="bg-BG"/>
        </w:rPr>
        <w:t>Кърмене</w:t>
      </w:r>
    </w:p>
    <w:p w14:paraId="7FDCA473" w14:textId="77777777" w:rsidR="00C556BA" w:rsidRPr="00C556BA" w:rsidRDefault="00C556BA" w:rsidP="00C556BA">
      <w:pPr>
        <w:rPr>
          <w:sz w:val="24"/>
          <w:szCs w:val="24"/>
          <w:lang w:val="bg-BG"/>
        </w:rPr>
      </w:pPr>
      <w:r w:rsidRPr="00C556BA">
        <w:rPr>
          <w:lang w:val="bg-BG" w:eastAsia="bg-BG"/>
        </w:rPr>
        <w:t xml:space="preserve">Отделянето на </w:t>
      </w:r>
      <w:proofErr w:type="spellStart"/>
      <w:r w:rsidRPr="00C556BA">
        <w:rPr>
          <w:lang w:val="bg-BG" w:eastAsia="bg-BG"/>
        </w:rPr>
        <w:t>дротаверин</w:t>
      </w:r>
      <w:proofErr w:type="spellEnd"/>
      <w:r w:rsidRPr="00C556BA">
        <w:rPr>
          <w:lang w:val="bg-BG" w:eastAsia="bg-BG"/>
        </w:rPr>
        <w:t xml:space="preserve"> чрез кърмата, не е изследвано при животни. Поради тази причина, употребата му по време на кърмене не се препоръчва.</w:t>
      </w:r>
    </w:p>
    <w:p w14:paraId="2715E408" w14:textId="77777777" w:rsidR="00C556BA" w:rsidRDefault="00C556BA" w:rsidP="00C556BA">
      <w:pPr>
        <w:rPr>
          <w:lang w:val="bg-BG" w:eastAsia="bg-BG"/>
        </w:rPr>
      </w:pPr>
    </w:p>
    <w:p w14:paraId="4E9DC0B2" w14:textId="4574A620" w:rsidR="00C556BA" w:rsidRPr="00C556BA" w:rsidRDefault="00C556BA" w:rsidP="00C556BA">
      <w:pPr>
        <w:pStyle w:val="Heading3"/>
        <w:rPr>
          <w:rFonts w:eastAsia="Times New Roman"/>
          <w:u w:val="single"/>
          <w:lang w:val="bg-BG"/>
        </w:rPr>
      </w:pPr>
      <w:proofErr w:type="spellStart"/>
      <w:r w:rsidRPr="00C556BA">
        <w:rPr>
          <w:rFonts w:eastAsia="Times New Roman"/>
          <w:u w:val="single"/>
          <w:lang w:val="bg-BG" w:eastAsia="bg-BG"/>
        </w:rPr>
        <w:t>Фертилитет</w:t>
      </w:r>
      <w:proofErr w:type="spellEnd"/>
    </w:p>
    <w:p w14:paraId="14F63C51" w14:textId="77777777" w:rsidR="00C556BA" w:rsidRPr="00C556BA" w:rsidRDefault="00C556BA" w:rsidP="00C556BA">
      <w:pPr>
        <w:rPr>
          <w:sz w:val="24"/>
          <w:szCs w:val="24"/>
          <w:lang w:val="bg-BG"/>
        </w:rPr>
      </w:pPr>
      <w:r w:rsidRPr="00C556BA">
        <w:rPr>
          <w:lang w:val="bg-BG" w:eastAsia="bg-BG"/>
        </w:rPr>
        <w:t xml:space="preserve">Няма налични данни за ефекта върху </w:t>
      </w:r>
      <w:proofErr w:type="spellStart"/>
      <w:r w:rsidRPr="00C556BA">
        <w:rPr>
          <w:lang w:val="bg-BG" w:eastAsia="bg-BG"/>
        </w:rPr>
        <w:t>фертилитета</w:t>
      </w:r>
      <w:proofErr w:type="spellEnd"/>
      <w:r w:rsidRPr="00C556BA">
        <w:rPr>
          <w:lang w:val="bg-BG" w:eastAsia="bg-BG"/>
        </w:rPr>
        <w:t xml:space="preserve"> при хора.</w:t>
      </w:r>
    </w:p>
    <w:p w14:paraId="20C4BEDC" w14:textId="1B17A731" w:rsidR="00C556BA" w:rsidRDefault="00C556BA" w:rsidP="00C556BA"/>
    <w:p w14:paraId="7575B2D4" w14:textId="77777777" w:rsidR="00C556BA" w:rsidRPr="00C556BA" w:rsidRDefault="00C556BA" w:rsidP="00C556BA"/>
    <w:p w14:paraId="5F675BDB" w14:textId="3F5A596A" w:rsidR="002C50EE" w:rsidRDefault="002C50EE" w:rsidP="002C50EE">
      <w:pPr>
        <w:pStyle w:val="Heading2"/>
      </w:pPr>
      <w:r>
        <w:lastRenderedPageBreak/>
        <w:t xml:space="preserve">4.7. </w:t>
      </w:r>
      <w:proofErr w:type="spellStart"/>
      <w:r>
        <w:t>Ефекти</w:t>
      </w:r>
      <w:proofErr w:type="spellEnd"/>
      <w:r>
        <w:t xml:space="preserve"> </w:t>
      </w:r>
      <w:proofErr w:type="spellStart"/>
      <w:r>
        <w:t>върху</w:t>
      </w:r>
      <w:proofErr w:type="spellEnd"/>
      <w:r>
        <w:t xml:space="preserve"> </w:t>
      </w:r>
      <w:proofErr w:type="spellStart"/>
      <w:r>
        <w:t>способността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шофиране</w:t>
      </w:r>
      <w:proofErr w:type="spellEnd"/>
      <w:r>
        <w:t xml:space="preserve"> и </w:t>
      </w:r>
      <w:proofErr w:type="spellStart"/>
      <w:r>
        <w:t>работа</w:t>
      </w:r>
      <w:proofErr w:type="spellEnd"/>
      <w:r>
        <w:t xml:space="preserve"> с </w:t>
      </w:r>
      <w:proofErr w:type="spellStart"/>
      <w:r>
        <w:t>машини</w:t>
      </w:r>
      <w:proofErr w:type="spellEnd"/>
    </w:p>
    <w:p w14:paraId="7E85387F" w14:textId="77777777" w:rsidR="00C556BA" w:rsidRDefault="00C556BA" w:rsidP="00C556BA">
      <w:pPr>
        <w:rPr>
          <w:lang w:val="bg-BG" w:eastAsia="bg-BG"/>
        </w:rPr>
      </w:pPr>
    </w:p>
    <w:p w14:paraId="64940D1E" w14:textId="1EC82020" w:rsidR="00C556BA" w:rsidRPr="00C556BA" w:rsidRDefault="00C556BA" w:rsidP="00C556BA">
      <w:pPr>
        <w:rPr>
          <w:sz w:val="24"/>
          <w:szCs w:val="24"/>
          <w:lang w:val="bg-BG"/>
        </w:rPr>
      </w:pPr>
      <w:r w:rsidRPr="00C556BA">
        <w:rPr>
          <w:lang w:val="bg-BG" w:eastAsia="bg-BG"/>
        </w:rPr>
        <w:t>Пациентите трябва да бъдат информирани, че ако изпитат замайване, те трябва да избягват потенциално опасни задачи свързани с шофиране и работа с машини.</w:t>
      </w:r>
    </w:p>
    <w:p w14:paraId="08250EA7" w14:textId="77777777" w:rsidR="00C556BA" w:rsidRPr="00C556BA" w:rsidRDefault="00C556BA" w:rsidP="00C556BA"/>
    <w:p w14:paraId="1B3BD30D" w14:textId="57D56E46" w:rsidR="002C50EE" w:rsidRDefault="002C50EE" w:rsidP="002C50EE">
      <w:pPr>
        <w:pStyle w:val="Heading2"/>
      </w:pPr>
      <w:r>
        <w:t xml:space="preserve">4.8. </w:t>
      </w:r>
      <w:proofErr w:type="spellStart"/>
      <w:r>
        <w:t>Нежелани</w:t>
      </w:r>
      <w:proofErr w:type="spellEnd"/>
      <w:r>
        <w:t xml:space="preserve"> </w:t>
      </w:r>
      <w:proofErr w:type="spellStart"/>
      <w:r>
        <w:t>лекарствени</w:t>
      </w:r>
      <w:proofErr w:type="spellEnd"/>
      <w:r>
        <w:t xml:space="preserve"> </w:t>
      </w:r>
      <w:proofErr w:type="spellStart"/>
      <w:r>
        <w:t>реакции</w:t>
      </w:r>
      <w:proofErr w:type="spellEnd"/>
    </w:p>
    <w:p w14:paraId="0F778BB2" w14:textId="77777777" w:rsidR="00C556BA" w:rsidRDefault="00C556BA" w:rsidP="00C556BA">
      <w:pPr>
        <w:rPr>
          <w:lang w:val="bg-BG" w:eastAsia="bg-BG"/>
        </w:rPr>
      </w:pPr>
    </w:p>
    <w:p w14:paraId="642EE6E8" w14:textId="6DC1C6BD" w:rsidR="00C556BA" w:rsidRPr="00C556BA" w:rsidRDefault="00C556BA" w:rsidP="00C556BA">
      <w:pPr>
        <w:rPr>
          <w:sz w:val="24"/>
          <w:szCs w:val="24"/>
          <w:lang w:val="bg-BG"/>
        </w:rPr>
      </w:pPr>
      <w:r w:rsidRPr="00C556BA">
        <w:rPr>
          <w:lang w:val="bg-BG" w:eastAsia="bg-BG"/>
        </w:rPr>
        <w:t xml:space="preserve">По време на клиничните изпитания са представени следните нежелани реакции, за които се съобщава от изследователя, като евентуално свързани с употребата на </w:t>
      </w:r>
      <w:proofErr w:type="spellStart"/>
      <w:r w:rsidRPr="00C556BA">
        <w:rPr>
          <w:lang w:val="bg-BG" w:eastAsia="bg-BG"/>
        </w:rPr>
        <w:t>дротаверина.</w:t>
      </w:r>
      <w:proofErr w:type="spellEnd"/>
      <w:r>
        <w:rPr>
          <w:sz w:val="24"/>
          <w:szCs w:val="24"/>
        </w:rPr>
        <w:t xml:space="preserve"> </w:t>
      </w:r>
      <w:r w:rsidRPr="00C556BA">
        <w:rPr>
          <w:lang w:val="bg-BG" w:eastAsia="bg-BG"/>
        </w:rPr>
        <w:t>Честотата на нежеланите лекарствени реакции се определя по следната конвенция: много чести (</w:t>
      </w:r>
      <w:r w:rsidRPr="00C556BA">
        <w:t>≥</w:t>
      </w:r>
      <w:r w:rsidRPr="00C556BA">
        <w:rPr>
          <w:lang w:val="bg-BG" w:eastAsia="bg-BG"/>
        </w:rPr>
        <w:t>1/10), чести (</w:t>
      </w:r>
      <w:r w:rsidRPr="00C556BA">
        <w:t>≥</w:t>
      </w:r>
      <w:r w:rsidRPr="00C556BA">
        <w:rPr>
          <w:lang w:val="bg-BG" w:eastAsia="bg-BG"/>
        </w:rPr>
        <w:t>1/100 до &lt;1/10), нечести (</w:t>
      </w:r>
      <w:r w:rsidRPr="00C556BA">
        <w:t>≥</w:t>
      </w:r>
      <w:r w:rsidRPr="00C556BA">
        <w:rPr>
          <w:lang w:val="bg-BG" w:eastAsia="bg-BG"/>
        </w:rPr>
        <w:t>1/1 000 до &lt;1/100), редки (1/10 000 до &lt;1/1 000), много редки (&lt;1/10 000), с неизвестна честота (от наличните данни не може да бъде направена оценка.</w:t>
      </w:r>
    </w:p>
    <w:p w14:paraId="765D2F57" w14:textId="3DF22224" w:rsidR="00C556BA" w:rsidRPr="00C556BA" w:rsidRDefault="00C556BA" w:rsidP="00C556BA">
      <w:pPr>
        <w:rPr>
          <w:sz w:val="24"/>
          <w:szCs w:val="24"/>
          <w:lang w:val="bg-BG"/>
        </w:rPr>
      </w:pPr>
      <w:r w:rsidRPr="00C556BA">
        <w:rPr>
          <w:lang w:val="bg-BG" w:eastAsia="bg-BG"/>
        </w:rPr>
        <w:t xml:space="preserve">Нежелани лекарствени реакции по </w:t>
      </w:r>
      <w:proofErr w:type="spellStart"/>
      <w:r w:rsidRPr="00C556BA">
        <w:rPr>
          <w:lang w:val="bg-BG" w:eastAsia="bg-BG"/>
        </w:rPr>
        <w:t>системо</w:t>
      </w:r>
      <w:proofErr w:type="spellEnd"/>
      <w:r w:rsidRPr="00C556BA">
        <w:rPr>
          <w:lang w:val="bg-BG" w:eastAsia="bg-BG"/>
        </w:rPr>
        <w:t>-органни класове</w:t>
      </w:r>
    </w:p>
    <w:p w14:paraId="322663E2" w14:textId="77777777" w:rsidR="00C556BA" w:rsidRDefault="00C556BA" w:rsidP="00C556BA">
      <w:pPr>
        <w:rPr>
          <w:lang w:val="bg-BG" w:eastAsia="bg-BG"/>
        </w:rPr>
      </w:pPr>
    </w:p>
    <w:p w14:paraId="6FEE0D5F" w14:textId="340EAD98" w:rsidR="00C556BA" w:rsidRPr="00C556BA" w:rsidRDefault="00C556BA" w:rsidP="00C556BA">
      <w:pPr>
        <w:pStyle w:val="ListParagraph"/>
        <w:numPr>
          <w:ilvl w:val="0"/>
          <w:numId w:val="22"/>
        </w:numPr>
        <w:rPr>
          <w:lang w:val="bg-BG" w:eastAsia="bg-BG"/>
        </w:rPr>
      </w:pPr>
      <w:r w:rsidRPr="00C556BA">
        <w:rPr>
          <w:lang w:val="bg-BG" w:eastAsia="bg-BG"/>
        </w:rPr>
        <w:t>Стомашно-чревни нарушения</w:t>
      </w:r>
    </w:p>
    <w:p w14:paraId="1A83DD97" w14:textId="77777777" w:rsidR="00C556BA" w:rsidRPr="00C556BA" w:rsidRDefault="00C556BA" w:rsidP="00C556BA">
      <w:pPr>
        <w:rPr>
          <w:sz w:val="24"/>
          <w:szCs w:val="24"/>
          <w:lang w:val="bg-BG"/>
        </w:rPr>
      </w:pPr>
      <w:r w:rsidRPr="00C556BA">
        <w:rPr>
          <w:lang w:val="bg-BG" w:eastAsia="bg-BG"/>
        </w:rPr>
        <w:t>Редки: гадене, констипация</w:t>
      </w:r>
    </w:p>
    <w:p w14:paraId="4FD8A8DF" w14:textId="00186DF9" w:rsidR="00C556BA" w:rsidRPr="00C556BA" w:rsidRDefault="00C556BA" w:rsidP="00C556BA">
      <w:pPr>
        <w:pStyle w:val="ListParagraph"/>
        <w:numPr>
          <w:ilvl w:val="0"/>
          <w:numId w:val="22"/>
        </w:numPr>
        <w:rPr>
          <w:sz w:val="24"/>
          <w:szCs w:val="24"/>
          <w:lang w:val="bg-BG"/>
        </w:rPr>
      </w:pPr>
      <w:r w:rsidRPr="00C556BA">
        <w:rPr>
          <w:lang w:val="bg-BG" w:eastAsia="bg-BG"/>
        </w:rPr>
        <w:t>Нарушения на нервната система</w:t>
      </w:r>
    </w:p>
    <w:p w14:paraId="45D343A2" w14:textId="77777777" w:rsidR="00C556BA" w:rsidRPr="00C556BA" w:rsidRDefault="00C556BA" w:rsidP="00C556BA">
      <w:pPr>
        <w:rPr>
          <w:sz w:val="24"/>
          <w:szCs w:val="24"/>
          <w:lang w:val="bg-BG"/>
        </w:rPr>
      </w:pPr>
      <w:r w:rsidRPr="00C556BA">
        <w:rPr>
          <w:lang w:val="bg-BG" w:eastAsia="bg-BG"/>
        </w:rPr>
        <w:t>Редки: главоболие, световъртеж, безсъние</w:t>
      </w:r>
    </w:p>
    <w:p w14:paraId="54D688C6" w14:textId="77777777" w:rsidR="00C556BA" w:rsidRPr="00C556BA" w:rsidRDefault="00C556BA" w:rsidP="00C556BA">
      <w:pPr>
        <w:rPr>
          <w:sz w:val="24"/>
          <w:szCs w:val="24"/>
          <w:lang w:val="bg-BG"/>
        </w:rPr>
      </w:pPr>
      <w:r w:rsidRPr="00C556BA">
        <w:rPr>
          <w:lang w:val="bg-BG" w:eastAsia="bg-BG"/>
        </w:rPr>
        <w:t>С неизвестна честота: замаяност</w:t>
      </w:r>
    </w:p>
    <w:p w14:paraId="4549F57C" w14:textId="02EE5644" w:rsidR="00C556BA" w:rsidRPr="00C556BA" w:rsidRDefault="00C556BA" w:rsidP="00C556BA">
      <w:pPr>
        <w:pStyle w:val="ListParagraph"/>
        <w:numPr>
          <w:ilvl w:val="0"/>
          <w:numId w:val="22"/>
        </w:numPr>
        <w:rPr>
          <w:sz w:val="24"/>
          <w:szCs w:val="24"/>
          <w:lang w:val="bg-BG"/>
        </w:rPr>
      </w:pPr>
      <w:r w:rsidRPr="00C556BA">
        <w:rPr>
          <w:lang w:val="bg-BG" w:eastAsia="bg-BG"/>
        </w:rPr>
        <w:t>Сърдечно-съдови нарушения</w:t>
      </w:r>
    </w:p>
    <w:p w14:paraId="415B82EB" w14:textId="77777777" w:rsidR="00C556BA" w:rsidRPr="00C556BA" w:rsidRDefault="00C556BA" w:rsidP="00C556BA">
      <w:pPr>
        <w:rPr>
          <w:sz w:val="24"/>
          <w:szCs w:val="24"/>
          <w:lang w:val="bg-BG"/>
        </w:rPr>
      </w:pPr>
      <w:r w:rsidRPr="00C556BA">
        <w:rPr>
          <w:lang w:val="bg-BG" w:eastAsia="bg-BG"/>
        </w:rPr>
        <w:t>Редки: сърцебиене, хипотония</w:t>
      </w:r>
    </w:p>
    <w:p w14:paraId="6EBA4849" w14:textId="10A54001" w:rsidR="00C556BA" w:rsidRPr="00C556BA" w:rsidRDefault="00C556BA" w:rsidP="00C556BA">
      <w:pPr>
        <w:pStyle w:val="ListParagraph"/>
        <w:numPr>
          <w:ilvl w:val="0"/>
          <w:numId w:val="22"/>
        </w:numPr>
        <w:rPr>
          <w:sz w:val="24"/>
          <w:szCs w:val="24"/>
          <w:lang w:val="bg-BG"/>
        </w:rPr>
      </w:pPr>
      <w:r w:rsidRPr="00C556BA">
        <w:rPr>
          <w:lang w:val="bg-BG" w:eastAsia="bg-BG"/>
        </w:rPr>
        <w:t>Нарушения на имунната система</w:t>
      </w:r>
    </w:p>
    <w:p w14:paraId="7B740D54" w14:textId="1665A258" w:rsidR="00C556BA" w:rsidRDefault="00C556BA" w:rsidP="00C556BA">
      <w:pPr>
        <w:rPr>
          <w:lang w:val="bg-BG" w:eastAsia="bg-BG"/>
        </w:rPr>
      </w:pPr>
      <w:r w:rsidRPr="00C556BA">
        <w:rPr>
          <w:lang w:val="bg-BG" w:eastAsia="bg-BG"/>
        </w:rPr>
        <w:t>Редки: алергични реакции (ангиоедем, уртикария, обрив, сърбеж) (вижте точка 4.3)</w:t>
      </w:r>
    </w:p>
    <w:p w14:paraId="544E16C6" w14:textId="77777777" w:rsidR="00C556BA" w:rsidRPr="00C556BA" w:rsidRDefault="00C556BA" w:rsidP="00C556BA">
      <w:pPr>
        <w:rPr>
          <w:sz w:val="24"/>
          <w:szCs w:val="24"/>
          <w:lang w:val="bg-BG"/>
        </w:rPr>
      </w:pPr>
      <w:r w:rsidRPr="00C556BA">
        <w:rPr>
          <w:lang w:val="bg-BG" w:eastAsia="bg-BG"/>
        </w:rPr>
        <w:t xml:space="preserve">С неизвестна честота: фатален или нефатален </w:t>
      </w:r>
      <w:proofErr w:type="spellStart"/>
      <w:r w:rsidRPr="00C556BA">
        <w:rPr>
          <w:lang w:val="bg-BG" w:eastAsia="bg-BG"/>
        </w:rPr>
        <w:t>анафилактичен</w:t>
      </w:r>
      <w:proofErr w:type="spellEnd"/>
      <w:r w:rsidRPr="00C556BA">
        <w:rPr>
          <w:lang w:val="bg-BG" w:eastAsia="bg-BG"/>
        </w:rPr>
        <w:t xml:space="preserve"> шок са били докладвани при пациенти лекувани с инжекционната форма.</w:t>
      </w:r>
    </w:p>
    <w:p w14:paraId="52CC8D5C" w14:textId="25DBD4C3" w:rsidR="00C556BA" w:rsidRPr="00C556BA" w:rsidRDefault="00C556BA" w:rsidP="00C556BA">
      <w:pPr>
        <w:pStyle w:val="ListParagraph"/>
        <w:numPr>
          <w:ilvl w:val="0"/>
          <w:numId w:val="22"/>
        </w:numPr>
        <w:rPr>
          <w:sz w:val="24"/>
          <w:szCs w:val="24"/>
          <w:lang w:val="bg-BG"/>
        </w:rPr>
      </w:pPr>
      <w:r w:rsidRPr="00C556BA">
        <w:rPr>
          <w:lang w:val="bg-BG" w:eastAsia="bg-BG"/>
        </w:rPr>
        <w:t>Общи нарушения и ефекти на мястото на приложение: реакции на мястото на инжектиране.</w:t>
      </w:r>
    </w:p>
    <w:p w14:paraId="58A4C640" w14:textId="77777777" w:rsidR="00C556BA" w:rsidRDefault="00C556BA" w:rsidP="00C556BA">
      <w:pPr>
        <w:rPr>
          <w:u w:val="single"/>
          <w:lang w:val="bg-BG" w:eastAsia="bg-BG"/>
        </w:rPr>
      </w:pPr>
    </w:p>
    <w:p w14:paraId="0C57DDB0" w14:textId="04A2124D" w:rsidR="00C556BA" w:rsidRPr="00C556BA" w:rsidRDefault="00C556BA" w:rsidP="00C556BA">
      <w:pPr>
        <w:rPr>
          <w:sz w:val="24"/>
          <w:szCs w:val="24"/>
          <w:lang w:val="bg-BG"/>
        </w:rPr>
      </w:pPr>
      <w:r w:rsidRPr="00C556BA">
        <w:rPr>
          <w:u w:val="single"/>
          <w:lang w:val="bg-BG" w:eastAsia="bg-BG"/>
        </w:rPr>
        <w:t>Съобщаване на подозирани нежелани реакции</w:t>
      </w:r>
    </w:p>
    <w:p w14:paraId="21E0658F" w14:textId="77777777" w:rsidR="00C556BA" w:rsidRPr="00C556BA" w:rsidRDefault="00C556BA" w:rsidP="00C556BA">
      <w:pPr>
        <w:rPr>
          <w:sz w:val="24"/>
          <w:szCs w:val="24"/>
          <w:lang w:val="bg-BG"/>
        </w:rPr>
      </w:pPr>
      <w:r w:rsidRPr="00C556BA">
        <w:rPr>
          <w:lang w:val="bg-BG" w:eastAsia="bg-BG"/>
        </w:rPr>
        <w:t xml:space="preserve">Съобщаването на подозирани нежелани реакции след разрешаване за употреба на лекарствения продукт е важно. Това позволява да продължи наблюдението на съотношението полза/риск за лекарствения продукт. От медицинските специалисти се изисква да съобщават всяка подозирана нежелана реакция чрез Изпълнителна агенция по лекарствата </w:t>
      </w:r>
      <w:proofErr w:type="spellStart"/>
      <w:r w:rsidRPr="00C556BA">
        <w:rPr>
          <w:lang w:val="bg-BG" w:eastAsia="bg-BG"/>
        </w:rPr>
        <w:t>ул</w:t>
      </w:r>
      <w:proofErr w:type="spellEnd"/>
      <w:r w:rsidRPr="00C556BA">
        <w:rPr>
          <w:lang w:val="bg-BG" w:eastAsia="bg-BG"/>
        </w:rPr>
        <w:t xml:space="preserve">.,Дамян Груев” № 8,1303 София, Тел.: +35 928903417, уебсайт: </w:t>
      </w:r>
      <w:hyperlink r:id="rId5" w:history="1">
        <w:r w:rsidRPr="00C556BA">
          <w:rPr>
            <w:u w:val="single"/>
          </w:rPr>
          <w:t>www.bda.bg</w:t>
        </w:r>
      </w:hyperlink>
      <w:r w:rsidRPr="00C556BA">
        <w:t>.</w:t>
      </w:r>
    </w:p>
    <w:p w14:paraId="5411C0E4" w14:textId="77777777" w:rsidR="00C556BA" w:rsidRPr="00C556BA" w:rsidRDefault="00C556BA" w:rsidP="00C556BA">
      <w:pPr>
        <w:rPr>
          <w:sz w:val="24"/>
          <w:szCs w:val="24"/>
          <w:lang w:val="bg-BG"/>
        </w:rPr>
      </w:pPr>
    </w:p>
    <w:p w14:paraId="31F4634C" w14:textId="77777777" w:rsidR="00C556BA" w:rsidRPr="00C556BA" w:rsidRDefault="00C556BA" w:rsidP="00C556BA"/>
    <w:p w14:paraId="611C622D" w14:textId="44565A85" w:rsidR="002C50EE" w:rsidRDefault="002C50EE" w:rsidP="002C50EE">
      <w:pPr>
        <w:pStyle w:val="Heading2"/>
      </w:pPr>
      <w:r>
        <w:t xml:space="preserve">4.9. </w:t>
      </w:r>
      <w:proofErr w:type="spellStart"/>
      <w:r>
        <w:t>Предозиране</w:t>
      </w:r>
      <w:proofErr w:type="spellEnd"/>
    </w:p>
    <w:p w14:paraId="247576E7" w14:textId="77777777" w:rsidR="00C556BA" w:rsidRPr="00C556BA" w:rsidRDefault="00C556BA" w:rsidP="00C556BA">
      <w:pPr>
        <w:rPr>
          <w:sz w:val="24"/>
          <w:szCs w:val="24"/>
          <w:lang w:val="bg-BG"/>
        </w:rPr>
      </w:pPr>
      <w:r w:rsidRPr="00C556BA">
        <w:rPr>
          <w:lang w:val="bg-BG" w:eastAsia="bg-BG"/>
        </w:rPr>
        <w:t>Симптоми</w:t>
      </w:r>
    </w:p>
    <w:p w14:paraId="495F5442" w14:textId="77777777" w:rsidR="00C556BA" w:rsidRPr="00C556BA" w:rsidRDefault="00C556BA" w:rsidP="00C556BA">
      <w:pPr>
        <w:rPr>
          <w:sz w:val="24"/>
          <w:szCs w:val="24"/>
          <w:lang w:val="bg-BG"/>
        </w:rPr>
      </w:pPr>
      <w:r w:rsidRPr="00C556BA">
        <w:rPr>
          <w:lang w:val="bg-BG" w:eastAsia="bg-BG"/>
        </w:rPr>
        <w:t xml:space="preserve">Предозирането с </w:t>
      </w:r>
      <w:proofErr w:type="spellStart"/>
      <w:r w:rsidRPr="00C556BA">
        <w:rPr>
          <w:lang w:val="bg-BG" w:eastAsia="bg-BG"/>
        </w:rPr>
        <w:t>дротаверин</w:t>
      </w:r>
      <w:proofErr w:type="spellEnd"/>
      <w:r w:rsidRPr="00C556BA">
        <w:rPr>
          <w:lang w:val="bg-BG" w:eastAsia="bg-BG"/>
        </w:rPr>
        <w:t xml:space="preserve"> е свързано със сърдечни ритъмни и преводни нарушения, включително пълен бедрен блок и сърдечен арест, които могат да бъдат фатални.</w:t>
      </w:r>
    </w:p>
    <w:p w14:paraId="693047BC" w14:textId="77777777" w:rsidR="00C556BA" w:rsidRPr="00C556BA" w:rsidRDefault="00C556BA" w:rsidP="00C556BA">
      <w:pPr>
        <w:rPr>
          <w:sz w:val="24"/>
          <w:szCs w:val="24"/>
          <w:lang w:val="bg-BG"/>
        </w:rPr>
      </w:pPr>
      <w:r w:rsidRPr="00C556BA">
        <w:rPr>
          <w:lang w:val="bg-BG" w:eastAsia="bg-BG"/>
        </w:rPr>
        <w:t>Лечение</w:t>
      </w:r>
    </w:p>
    <w:p w14:paraId="7C3CD661" w14:textId="77777777" w:rsidR="00C556BA" w:rsidRPr="00C556BA" w:rsidRDefault="00C556BA" w:rsidP="00C556BA">
      <w:pPr>
        <w:rPr>
          <w:sz w:val="24"/>
          <w:szCs w:val="24"/>
          <w:lang w:val="bg-BG"/>
        </w:rPr>
      </w:pPr>
      <w:r w:rsidRPr="00C556BA">
        <w:rPr>
          <w:lang w:val="bg-BG" w:eastAsia="bg-BG"/>
        </w:rPr>
        <w:t>В случай на предозиране, пациентът трябва да се наблюдава непрекъснато и да се приложи симптоматично и под държащо лечение.</w:t>
      </w:r>
    </w:p>
    <w:p w14:paraId="3FDB6EEB" w14:textId="77777777" w:rsidR="00C556BA" w:rsidRPr="00C556BA" w:rsidRDefault="00C556BA" w:rsidP="00C556BA"/>
    <w:p w14:paraId="18EF4AFE" w14:textId="77777777" w:rsidR="002C50EE" w:rsidRDefault="002C50EE" w:rsidP="002C50EE">
      <w:pPr>
        <w:pStyle w:val="Heading1"/>
      </w:pPr>
      <w:r>
        <w:lastRenderedPageBreak/>
        <w:t>5. ФАРМАКОЛОГИЧНИ СВОЙСТВА</w:t>
      </w:r>
    </w:p>
    <w:p w14:paraId="2F1CA24E" w14:textId="44F93455" w:rsidR="002C50EE" w:rsidRDefault="002C50EE" w:rsidP="002C50EE">
      <w:pPr>
        <w:pStyle w:val="Heading2"/>
      </w:pPr>
      <w:r>
        <w:t xml:space="preserve">5.1. </w:t>
      </w:r>
      <w:proofErr w:type="spellStart"/>
      <w:r>
        <w:t>Фармакодинамични</w:t>
      </w:r>
      <w:proofErr w:type="spellEnd"/>
      <w:r>
        <w:t xml:space="preserve"> </w:t>
      </w:r>
      <w:proofErr w:type="spellStart"/>
      <w:r>
        <w:t>свойства</w:t>
      </w:r>
      <w:proofErr w:type="spellEnd"/>
    </w:p>
    <w:p w14:paraId="4FBB18CA" w14:textId="77777777" w:rsidR="00C556BA" w:rsidRDefault="00C556BA" w:rsidP="00C556BA">
      <w:pPr>
        <w:rPr>
          <w:lang w:val="bg-BG" w:eastAsia="bg-BG"/>
        </w:rPr>
      </w:pPr>
    </w:p>
    <w:p w14:paraId="3DAE621E" w14:textId="20B15FF6" w:rsidR="00C556BA" w:rsidRPr="00C556BA" w:rsidRDefault="00C556BA" w:rsidP="00C556BA">
      <w:pPr>
        <w:rPr>
          <w:sz w:val="24"/>
          <w:szCs w:val="24"/>
          <w:lang w:val="bg-BG"/>
        </w:rPr>
      </w:pPr>
      <w:proofErr w:type="spellStart"/>
      <w:r w:rsidRPr="00C556BA">
        <w:rPr>
          <w:lang w:val="bg-BG" w:eastAsia="bg-BG"/>
        </w:rPr>
        <w:t>Фармакотерапевтична</w:t>
      </w:r>
      <w:proofErr w:type="spellEnd"/>
      <w:r w:rsidRPr="00C556BA">
        <w:rPr>
          <w:lang w:val="bg-BG" w:eastAsia="bg-BG"/>
        </w:rPr>
        <w:t xml:space="preserve"> група: Лекарства за функционални чревни заболявания </w:t>
      </w:r>
      <w:r w:rsidRPr="00C556BA">
        <w:t xml:space="preserve">ATC: </w:t>
      </w:r>
      <w:r w:rsidRPr="00C556BA">
        <w:rPr>
          <w:lang w:val="bg-BG" w:eastAsia="bg-BG"/>
        </w:rPr>
        <w:t xml:space="preserve">АОЗА </w:t>
      </w:r>
      <w:r w:rsidRPr="00C556BA">
        <w:t>D02</w:t>
      </w:r>
    </w:p>
    <w:p w14:paraId="01ACE641" w14:textId="77777777" w:rsidR="00C556BA" w:rsidRDefault="00C556BA" w:rsidP="00C556BA">
      <w:pPr>
        <w:rPr>
          <w:lang w:val="bg-BG" w:eastAsia="bg-BG"/>
        </w:rPr>
      </w:pPr>
    </w:p>
    <w:p w14:paraId="65F6F1D6" w14:textId="57B2CE9B" w:rsidR="00C556BA" w:rsidRPr="00C556BA" w:rsidRDefault="00C556BA" w:rsidP="00C556BA">
      <w:pPr>
        <w:pStyle w:val="Heading3"/>
        <w:rPr>
          <w:rFonts w:eastAsia="Times New Roman"/>
          <w:i/>
          <w:iCs/>
          <w:lang w:val="bg-BG"/>
        </w:rPr>
      </w:pPr>
      <w:r w:rsidRPr="00C556BA">
        <w:rPr>
          <w:rFonts w:eastAsia="Times New Roman"/>
          <w:i/>
          <w:iCs/>
          <w:lang w:val="bg-BG" w:eastAsia="bg-BG"/>
        </w:rPr>
        <w:t>Механизъм на действие</w:t>
      </w:r>
    </w:p>
    <w:p w14:paraId="4DA88FE2" w14:textId="77777777" w:rsidR="00C556BA" w:rsidRPr="00C556BA" w:rsidRDefault="00C556BA" w:rsidP="00C556BA">
      <w:pPr>
        <w:rPr>
          <w:sz w:val="24"/>
          <w:szCs w:val="24"/>
          <w:lang w:val="bg-BG"/>
        </w:rPr>
      </w:pPr>
      <w:proofErr w:type="spellStart"/>
      <w:r w:rsidRPr="00C556BA">
        <w:rPr>
          <w:lang w:val="bg-BG" w:eastAsia="bg-BG"/>
        </w:rPr>
        <w:t>Дротавериньт</w:t>
      </w:r>
      <w:proofErr w:type="spellEnd"/>
      <w:r w:rsidRPr="00C556BA">
        <w:rPr>
          <w:lang w:val="bg-BG" w:eastAsia="bg-BG"/>
        </w:rPr>
        <w:t xml:space="preserve"> е </w:t>
      </w:r>
      <w:proofErr w:type="spellStart"/>
      <w:r w:rsidRPr="00C556BA">
        <w:rPr>
          <w:lang w:val="bg-BG" w:eastAsia="bg-BG"/>
        </w:rPr>
        <w:t>изохинолиново</w:t>
      </w:r>
      <w:proofErr w:type="spellEnd"/>
      <w:r w:rsidRPr="00C556BA">
        <w:rPr>
          <w:lang w:val="bg-BG" w:eastAsia="bg-BG"/>
        </w:rPr>
        <w:t xml:space="preserve"> производно, което проявява спазмолитичния си ефект върху гладката мускулатура чрез инхибиране на ензима </w:t>
      </w:r>
      <w:proofErr w:type="spellStart"/>
      <w:r w:rsidRPr="00C556BA">
        <w:rPr>
          <w:lang w:val="bg-BG" w:eastAsia="bg-BG"/>
        </w:rPr>
        <w:t>фосфодиестераза</w:t>
      </w:r>
      <w:proofErr w:type="spellEnd"/>
      <w:r w:rsidRPr="00C556BA">
        <w:rPr>
          <w:lang w:val="bg-BG" w:eastAsia="bg-BG"/>
        </w:rPr>
        <w:t xml:space="preserve"> IV (ФДЕIV). Вследствие на инхибирането на ензима ФДЕ IV концентрацията на </w:t>
      </w:r>
      <w:proofErr w:type="spellStart"/>
      <w:r w:rsidRPr="00C556BA">
        <w:rPr>
          <w:lang w:val="bg-BG" w:eastAsia="bg-BG"/>
        </w:rPr>
        <w:t>цАМФ</w:t>
      </w:r>
      <w:proofErr w:type="spellEnd"/>
      <w:r w:rsidRPr="00C556BA">
        <w:rPr>
          <w:lang w:val="bg-BG" w:eastAsia="bg-BG"/>
        </w:rPr>
        <w:t xml:space="preserve"> се повишава, което води до инхибиране на ензима </w:t>
      </w:r>
      <w:r w:rsidRPr="00C556BA">
        <w:t xml:space="preserve">MLCK </w:t>
      </w:r>
      <w:r w:rsidRPr="00C556BA">
        <w:rPr>
          <w:lang w:val="bg-BG" w:eastAsia="bg-BG"/>
        </w:rPr>
        <w:t>(</w:t>
      </w:r>
      <w:proofErr w:type="spellStart"/>
      <w:r w:rsidRPr="00C556BA">
        <w:rPr>
          <w:lang w:val="bg-BG" w:eastAsia="bg-BG"/>
        </w:rPr>
        <w:t>киназа</w:t>
      </w:r>
      <w:proofErr w:type="spellEnd"/>
      <w:r w:rsidRPr="00C556BA">
        <w:rPr>
          <w:lang w:val="bg-BG" w:eastAsia="bg-BG"/>
        </w:rPr>
        <w:t xml:space="preserve">, </w:t>
      </w:r>
      <w:proofErr w:type="spellStart"/>
      <w:r w:rsidRPr="00C556BA">
        <w:rPr>
          <w:lang w:val="bg-BG" w:eastAsia="bg-BG"/>
        </w:rPr>
        <w:t>фосфорилираща</w:t>
      </w:r>
      <w:proofErr w:type="spellEnd"/>
      <w:r w:rsidRPr="00C556BA">
        <w:rPr>
          <w:lang w:val="bg-BG" w:eastAsia="bg-BG"/>
        </w:rPr>
        <w:t xml:space="preserve"> </w:t>
      </w:r>
      <w:proofErr w:type="spellStart"/>
      <w:r w:rsidRPr="00C556BA">
        <w:rPr>
          <w:lang w:val="bg-BG" w:eastAsia="bg-BG"/>
        </w:rPr>
        <w:t>миозиновите</w:t>
      </w:r>
      <w:proofErr w:type="spellEnd"/>
      <w:r w:rsidRPr="00C556BA">
        <w:rPr>
          <w:lang w:val="bg-BG" w:eastAsia="bg-BG"/>
        </w:rPr>
        <w:t xml:space="preserve"> леки вериги) и отпускане на гладката мускулатура.</w:t>
      </w:r>
    </w:p>
    <w:p w14:paraId="5982F065" w14:textId="77777777" w:rsidR="00C556BA" w:rsidRDefault="00C556BA" w:rsidP="00C556BA">
      <w:pPr>
        <w:rPr>
          <w:lang w:val="bg-BG" w:eastAsia="bg-BG"/>
        </w:rPr>
      </w:pPr>
    </w:p>
    <w:p w14:paraId="56A4B594" w14:textId="610A0C33" w:rsidR="00C556BA" w:rsidRPr="00C556BA" w:rsidRDefault="00C556BA" w:rsidP="00C556BA">
      <w:pPr>
        <w:pStyle w:val="Heading3"/>
        <w:rPr>
          <w:rFonts w:eastAsia="Times New Roman"/>
          <w:i/>
          <w:iCs/>
          <w:lang w:val="bg-BG"/>
        </w:rPr>
      </w:pPr>
      <w:proofErr w:type="spellStart"/>
      <w:r w:rsidRPr="00C556BA">
        <w:rPr>
          <w:rFonts w:eastAsia="Times New Roman"/>
          <w:i/>
          <w:iCs/>
          <w:lang w:val="bg-BG" w:eastAsia="bg-BG"/>
        </w:rPr>
        <w:t>Фармакодинамични</w:t>
      </w:r>
      <w:proofErr w:type="spellEnd"/>
      <w:r w:rsidRPr="00C556BA">
        <w:rPr>
          <w:rFonts w:eastAsia="Times New Roman"/>
          <w:i/>
          <w:iCs/>
          <w:lang w:val="bg-BG" w:eastAsia="bg-BG"/>
        </w:rPr>
        <w:t xml:space="preserve"> ефекти</w:t>
      </w:r>
    </w:p>
    <w:p w14:paraId="07D6DEDD" w14:textId="77777777" w:rsidR="00C556BA" w:rsidRPr="00C556BA" w:rsidRDefault="00C556BA" w:rsidP="00C556BA">
      <w:pPr>
        <w:rPr>
          <w:sz w:val="24"/>
          <w:szCs w:val="24"/>
          <w:lang w:val="bg-BG"/>
        </w:rPr>
      </w:pPr>
      <w:proofErr w:type="spellStart"/>
      <w:r w:rsidRPr="00C556BA">
        <w:rPr>
          <w:lang w:val="bg-BG" w:eastAsia="bg-BG"/>
        </w:rPr>
        <w:t>Дротавериньт</w:t>
      </w:r>
      <w:proofErr w:type="spellEnd"/>
      <w:r w:rsidRPr="00C556BA">
        <w:rPr>
          <w:lang w:val="bg-BG" w:eastAsia="bg-BG"/>
        </w:rPr>
        <w:t xml:space="preserve"> инхибира ензима </w:t>
      </w:r>
      <w:proofErr w:type="spellStart"/>
      <w:r w:rsidRPr="00C556BA">
        <w:rPr>
          <w:lang w:val="bg-BG" w:eastAsia="bg-BG"/>
        </w:rPr>
        <w:t>фосфодиестераза</w:t>
      </w:r>
      <w:proofErr w:type="spellEnd"/>
      <w:r w:rsidRPr="00C556BA">
        <w:rPr>
          <w:lang w:val="bg-BG" w:eastAsia="bg-BG"/>
        </w:rPr>
        <w:t xml:space="preserve"> (ФДЕ) IV </w:t>
      </w:r>
      <w:r w:rsidRPr="00C556BA">
        <w:t xml:space="preserve">in vitro, </w:t>
      </w:r>
      <w:r w:rsidRPr="00C556BA">
        <w:rPr>
          <w:lang w:val="bg-BG" w:eastAsia="bg-BG"/>
        </w:rPr>
        <w:t xml:space="preserve">без да инхибира </w:t>
      </w:r>
      <w:proofErr w:type="spellStart"/>
      <w:r w:rsidRPr="00C556BA">
        <w:rPr>
          <w:lang w:val="bg-BG" w:eastAsia="bg-BG"/>
        </w:rPr>
        <w:t>изоензимите</w:t>
      </w:r>
      <w:proofErr w:type="spellEnd"/>
      <w:r w:rsidRPr="00C556BA">
        <w:rPr>
          <w:lang w:val="bg-BG" w:eastAsia="bg-BG"/>
        </w:rPr>
        <w:t xml:space="preserve"> ФДЕ III и ФДЕ IV. Във функционално отношение, ФДЕ IV се оказва много важен ензим за понижаване на </w:t>
      </w:r>
      <w:proofErr w:type="spellStart"/>
      <w:r w:rsidRPr="00C556BA">
        <w:rPr>
          <w:lang w:val="bg-BG" w:eastAsia="bg-BG"/>
        </w:rPr>
        <w:t>контрактилната</w:t>
      </w:r>
      <w:proofErr w:type="spellEnd"/>
      <w:r w:rsidRPr="00C556BA">
        <w:rPr>
          <w:lang w:val="bg-BG" w:eastAsia="bg-BG"/>
        </w:rPr>
        <w:t xml:space="preserve"> активност на гладките мускули, като се предполага, че селективните инхибитори на ФДЕ IV може да са от полза за лечение на заболявания с </w:t>
      </w:r>
      <w:proofErr w:type="spellStart"/>
      <w:r w:rsidRPr="00C556BA">
        <w:rPr>
          <w:lang w:val="bg-BG" w:eastAsia="bg-BG"/>
        </w:rPr>
        <w:t>хипермотилитет</w:t>
      </w:r>
      <w:proofErr w:type="spellEnd"/>
      <w:r w:rsidRPr="00C556BA">
        <w:rPr>
          <w:lang w:val="bg-BG" w:eastAsia="bg-BG"/>
        </w:rPr>
        <w:t xml:space="preserve"> и различни заболявания, свързани със еластични състояния на гастроинтестиналния тракт.</w:t>
      </w:r>
    </w:p>
    <w:p w14:paraId="59306D92" w14:textId="77777777" w:rsidR="00C556BA" w:rsidRPr="00C556BA" w:rsidRDefault="00C556BA" w:rsidP="00C556BA">
      <w:pPr>
        <w:rPr>
          <w:sz w:val="24"/>
          <w:szCs w:val="24"/>
          <w:lang w:val="bg-BG"/>
        </w:rPr>
      </w:pPr>
      <w:r w:rsidRPr="00C556BA">
        <w:rPr>
          <w:lang w:val="bg-BG" w:eastAsia="bg-BG"/>
        </w:rPr>
        <w:t xml:space="preserve">Ензимът, който хидролизира </w:t>
      </w:r>
      <w:proofErr w:type="spellStart"/>
      <w:r w:rsidRPr="00C556BA">
        <w:rPr>
          <w:lang w:val="bg-BG" w:eastAsia="bg-BG"/>
        </w:rPr>
        <w:t>цАМФ</w:t>
      </w:r>
      <w:proofErr w:type="spellEnd"/>
      <w:r w:rsidRPr="00C556BA">
        <w:rPr>
          <w:lang w:val="bg-BG" w:eastAsia="bg-BG"/>
        </w:rPr>
        <w:t xml:space="preserve"> в клетките на гладката мускулатура на миокарда и съдовете е основно </w:t>
      </w:r>
      <w:proofErr w:type="spellStart"/>
      <w:r w:rsidRPr="00C556BA">
        <w:rPr>
          <w:lang w:val="bg-BG" w:eastAsia="bg-BG"/>
        </w:rPr>
        <w:t>изоензим</w:t>
      </w:r>
      <w:proofErr w:type="spellEnd"/>
      <w:r w:rsidRPr="00C556BA">
        <w:rPr>
          <w:lang w:val="bg-BG" w:eastAsia="bg-BG"/>
        </w:rPr>
        <w:t xml:space="preserve"> ФДЕ III. Това обяснява защо </w:t>
      </w:r>
      <w:proofErr w:type="spellStart"/>
      <w:r w:rsidRPr="00C556BA">
        <w:rPr>
          <w:lang w:val="bg-BG" w:eastAsia="bg-BG"/>
        </w:rPr>
        <w:t>дротавериньт</w:t>
      </w:r>
      <w:proofErr w:type="spellEnd"/>
      <w:r w:rsidRPr="00C556BA">
        <w:rPr>
          <w:lang w:val="bg-BG" w:eastAsia="bg-BG"/>
        </w:rPr>
        <w:t xml:space="preserve"> е ефективно спазмолитично средство, без сериозни сърдечносъдови нежелани реакции и силна сърдечносъдова терапевтична активност.</w:t>
      </w:r>
    </w:p>
    <w:p w14:paraId="233B7AD5" w14:textId="77777777" w:rsidR="00C556BA" w:rsidRDefault="00C556BA" w:rsidP="00C556BA">
      <w:pPr>
        <w:rPr>
          <w:lang w:val="bg-BG" w:eastAsia="bg-BG"/>
        </w:rPr>
      </w:pPr>
    </w:p>
    <w:p w14:paraId="31E8571A" w14:textId="0F4D4ACE" w:rsidR="00C556BA" w:rsidRPr="00C556BA" w:rsidRDefault="00C556BA" w:rsidP="00C556BA">
      <w:pPr>
        <w:pStyle w:val="Heading3"/>
        <w:rPr>
          <w:rFonts w:eastAsia="Times New Roman"/>
          <w:i/>
          <w:iCs/>
          <w:lang w:val="bg-BG"/>
        </w:rPr>
      </w:pPr>
      <w:r w:rsidRPr="00C556BA">
        <w:rPr>
          <w:rFonts w:eastAsia="Times New Roman"/>
          <w:i/>
          <w:iCs/>
          <w:lang w:val="bg-BG" w:eastAsia="bg-BG"/>
        </w:rPr>
        <w:t>Клинична ефикасност и безопасност</w:t>
      </w:r>
    </w:p>
    <w:p w14:paraId="39624ADA" w14:textId="77777777" w:rsidR="00C556BA" w:rsidRPr="00C556BA" w:rsidRDefault="00C556BA" w:rsidP="00C556BA">
      <w:pPr>
        <w:rPr>
          <w:sz w:val="24"/>
          <w:szCs w:val="24"/>
          <w:lang w:val="bg-BG"/>
        </w:rPr>
      </w:pPr>
      <w:r w:rsidRPr="00C556BA">
        <w:rPr>
          <w:lang w:val="bg-BG" w:eastAsia="bg-BG"/>
        </w:rPr>
        <w:t xml:space="preserve">Той е ефективен в случай на спазми на гладката мускулатура, както с </w:t>
      </w:r>
      <w:proofErr w:type="spellStart"/>
      <w:r w:rsidRPr="00C556BA">
        <w:rPr>
          <w:lang w:val="bg-BG" w:eastAsia="bg-BG"/>
        </w:rPr>
        <w:t>неврален</w:t>
      </w:r>
      <w:proofErr w:type="spellEnd"/>
      <w:r w:rsidRPr="00C556BA">
        <w:rPr>
          <w:lang w:val="bg-BG" w:eastAsia="bg-BG"/>
        </w:rPr>
        <w:t xml:space="preserve">, така и с мускулен произход. Независимо от типа на автономната </w:t>
      </w:r>
      <w:proofErr w:type="spellStart"/>
      <w:r w:rsidRPr="00C556BA">
        <w:rPr>
          <w:lang w:val="bg-BG" w:eastAsia="bg-BG"/>
        </w:rPr>
        <w:t>инервация</w:t>
      </w:r>
      <w:proofErr w:type="spellEnd"/>
      <w:r w:rsidRPr="00C556BA">
        <w:rPr>
          <w:lang w:val="bg-BG" w:eastAsia="bg-BG"/>
        </w:rPr>
        <w:t xml:space="preserve">, </w:t>
      </w:r>
      <w:proofErr w:type="spellStart"/>
      <w:r w:rsidRPr="00C556BA">
        <w:rPr>
          <w:lang w:val="bg-BG" w:eastAsia="bg-BG"/>
        </w:rPr>
        <w:t>дротаверинът</w:t>
      </w:r>
      <w:proofErr w:type="spellEnd"/>
      <w:r w:rsidRPr="00C556BA">
        <w:rPr>
          <w:lang w:val="bg-BG" w:eastAsia="bg-BG"/>
        </w:rPr>
        <w:t xml:space="preserve"> </w:t>
      </w:r>
      <w:proofErr w:type="spellStart"/>
      <w:r w:rsidRPr="00C556BA">
        <w:rPr>
          <w:lang w:val="bg-BG" w:eastAsia="bg-BG"/>
        </w:rPr>
        <w:t>дейст</w:t>
      </w:r>
      <w:r w:rsidRPr="00C556BA">
        <w:rPr>
          <w:u w:val="single"/>
          <w:lang w:val="bg-BG" w:eastAsia="bg-BG"/>
        </w:rPr>
        <w:t>вува</w:t>
      </w:r>
      <w:proofErr w:type="spellEnd"/>
      <w:r w:rsidRPr="00C556BA">
        <w:rPr>
          <w:u w:val="single"/>
          <w:lang w:val="bg-BG" w:eastAsia="bg-BG"/>
        </w:rPr>
        <w:t xml:space="preserve"> в</w:t>
      </w:r>
      <w:r w:rsidRPr="00C556BA">
        <w:rPr>
          <w:lang w:val="bg-BG" w:eastAsia="bg-BG"/>
        </w:rPr>
        <w:t xml:space="preserve">ърху гладката мускулатура на гастроинтестиналната, </w:t>
      </w:r>
      <w:proofErr w:type="spellStart"/>
      <w:r w:rsidRPr="00C556BA">
        <w:rPr>
          <w:lang w:val="bg-BG" w:eastAsia="bg-BG"/>
        </w:rPr>
        <w:t>билиарната</w:t>
      </w:r>
      <w:proofErr w:type="spellEnd"/>
      <w:r w:rsidRPr="00C556BA">
        <w:rPr>
          <w:lang w:val="bg-BG" w:eastAsia="bg-BG"/>
        </w:rPr>
        <w:t xml:space="preserve">, </w:t>
      </w:r>
      <w:proofErr w:type="spellStart"/>
      <w:r w:rsidRPr="00C556BA">
        <w:rPr>
          <w:lang w:val="bg-BG" w:eastAsia="bg-BG"/>
        </w:rPr>
        <w:t>урогениталната</w:t>
      </w:r>
      <w:proofErr w:type="spellEnd"/>
      <w:r w:rsidRPr="00C556BA">
        <w:rPr>
          <w:lang w:val="bg-BG" w:eastAsia="bg-BG"/>
        </w:rPr>
        <w:t xml:space="preserve"> и </w:t>
      </w:r>
      <w:proofErr w:type="spellStart"/>
      <w:r w:rsidRPr="00C556BA">
        <w:rPr>
          <w:lang w:val="bg-BG" w:eastAsia="bg-BG"/>
        </w:rPr>
        <w:t>васкуларната</w:t>
      </w:r>
      <w:proofErr w:type="spellEnd"/>
      <w:r w:rsidRPr="00C556BA">
        <w:rPr>
          <w:lang w:val="bg-BG" w:eastAsia="bg-BG"/>
        </w:rPr>
        <w:t xml:space="preserve"> система.</w:t>
      </w:r>
    </w:p>
    <w:p w14:paraId="0ADE4ED6" w14:textId="77777777" w:rsidR="00C556BA" w:rsidRPr="00C556BA" w:rsidRDefault="00C556BA" w:rsidP="00C556BA">
      <w:pPr>
        <w:rPr>
          <w:sz w:val="24"/>
          <w:szCs w:val="24"/>
          <w:lang w:val="bg-BG"/>
        </w:rPr>
      </w:pPr>
      <w:r w:rsidRPr="00C556BA">
        <w:rPr>
          <w:lang w:val="bg-BG" w:eastAsia="bg-BG"/>
        </w:rPr>
        <w:t xml:space="preserve">Поради </w:t>
      </w:r>
      <w:proofErr w:type="spellStart"/>
      <w:r w:rsidRPr="00C556BA">
        <w:rPr>
          <w:lang w:val="bg-BG" w:eastAsia="bg-BG"/>
        </w:rPr>
        <w:t>съдоразширяващия</w:t>
      </w:r>
      <w:proofErr w:type="spellEnd"/>
      <w:r w:rsidRPr="00C556BA">
        <w:rPr>
          <w:lang w:val="bg-BG" w:eastAsia="bg-BG"/>
        </w:rPr>
        <w:t xml:space="preserve"> си ефект, той подобрява тъканното оросяване.</w:t>
      </w:r>
    </w:p>
    <w:p w14:paraId="63BB96F5" w14:textId="77777777" w:rsidR="00C556BA" w:rsidRPr="00C556BA" w:rsidRDefault="00C556BA" w:rsidP="00C556BA">
      <w:pPr>
        <w:rPr>
          <w:sz w:val="24"/>
          <w:szCs w:val="24"/>
          <w:lang w:val="bg-BG"/>
        </w:rPr>
      </w:pPr>
      <w:r w:rsidRPr="00C556BA">
        <w:rPr>
          <w:lang w:val="bg-BG" w:eastAsia="bg-BG"/>
        </w:rPr>
        <w:t xml:space="preserve">Ефектът му е по-силен от този на </w:t>
      </w:r>
      <w:proofErr w:type="spellStart"/>
      <w:r w:rsidRPr="00C556BA">
        <w:rPr>
          <w:lang w:val="bg-BG" w:eastAsia="bg-BG"/>
        </w:rPr>
        <w:t>папаверина</w:t>
      </w:r>
      <w:proofErr w:type="spellEnd"/>
      <w:r w:rsidRPr="00C556BA">
        <w:rPr>
          <w:lang w:val="bg-BG" w:eastAsia="bg-BG"/>
        </w:rPr>
        <w:t>. Абсорбцията му е по-бърза и по-пълна и се свързва в по-малка степен със серумните протеини. Предимството му е, че страничният ефект на</w:t>
      </w:r>
      <w:r>
        <w:rPr>
          <w:lang w:eastAsia="bg-BG"/>
        </w:rPr>
        <w:t xml:space="preserve"> </w:t>
      </w:r>
      <w:r w:rsidRPr="00C556BA">
        <w:rPr>
          <w:lang w:val="bg-BG" w:eastAsia="bg-BG"/>
        </w:rPr>
        <w:t xml:space="preserve">респираторна възбуда, наблюдаван след парентерално приложение на </w:t>
      </w:r>
      <w:proofErr w:type="spellStart"/>
      <w:r w:rsidRPr="00C556BA">
        <w:rPr>
          <w:lang w:val="bg-BG" w:eastAsia="bg-BG"/>
        </w:rPr>
        <w:t>папаверин</w:t>
      </w:r>
      <w:proofErr w:type="spellEnd"/>
      <w:r w:rsidRPr="00C556BA">
        <w:rPr>
          <w:lang w:val="bg-BG" w:eastAsia="bg-BG"/>
        </w:rPr>
        <w:t xml:space="preserve"> не се наблюдава при приложение на </w:t>
      </w:r>
      <w:proofErr w:type="spellStart"/>
      <w:r w:rsidRPr="00C556BA">
        <w:rPr>
          <w:lang w:val="bg-BG" w:eastAsia="bg-BG"/>
        </w:rPr>
        <w:t>дротаверин</w:t>
      </w:r>
      <w:proofErr w:type="spellEnd"/>
      <w:r w:rsidRPr="00C556BA">
        <w:rPr>
          <w:lang w:val="bg-BG" w:eastAsia="bg-BG"/>
        </w:rPr>
        <w:t>.</w:t>
      </w:r>
    </w:p>
    <w:p w14:paraId="27598CB4" w14:textId="2E9B21E0" w:rsidR="00C556BA" w:rsidRPr="00C556BA" w:rsidRDefault="00C556BA" w:rsidP="00C556BA"/>
    <w:p w14:paraId="788B4E5E" w14:textId="106F654C" w:rsidR="002C50EE" w:rsidRDefault="002C50EE" w:rsidP="002C50EE">
      <w:pPr>
        <w:pStyle w:val="Heading2"/>
      </w:pPr>
      <w:r>
        <w:t xml:space="preserve">5.2. </w:t>
      </w:r>
      <w:proofErr w:type="spellStart"/>
      <w:r>
        <w:t>Фармакокинетични</w:t>
      </w:r>
      <w:proofErr w:type="spellEnd"/>
      <w:r>
        <w:t xml:space="preserve"> </w:t>
      </w:r>
      <w:proofErr w:type="spellStart"/>
      <w:r>
        <w:t>свойства</w:t>
      </w:r>
      <w:proofErr w:type="spellEnd"/>
    </w:p>
    <w:p w14:paraId="7C6E3A23" w14:textId="77777777" w:rsidR="00C556BA" w:rsidRDefault="00C556BA" w:rsidP="00C556BA">
      <w:pPr>
        <w:rPr>
          <w:lang w:val="bg-BG" w:eastAsia="bg-BG"/>
        </w:rPr>
      </w:pPr>
    </w:p>
    <w:p w14:paraId="1C41B6FF" w14:textId="2A4A38B5" w:rsidR="00C556BA" w:rsidRPr="00C556BA" w:rsidRDefault="00C556BA" w:rsidP="00C556BA">
      <w:pPr>
        <w:pStyle w:val="Heading3"/>
        <w:rPr>
          <w:rFonts w:eastAsia="Times New Roman"/>
          <w:i/>
          <w:iCs/>
          <w:lang w:val="bg-BG"/>
        </w:rPr>
      </w:pPr>
      <w:r w:rsidRPr="00C556BA">
        <w:rPr>
          <w:rFonts w:eastAsia="Times New Roman"/>
          <w:i/>
          <w:iCs/>
          <w:lang w:val="bg-BG" w:eastAsia="bg-BG"/>
        </w:rPr>
        <w:t>Абсорбция</w:t>
      </w:r>
    </w:p>
    <w:p w14:paraId="2016033F" w14:textId="77777777" w:rsidR="00C556BA" w:rsidRPr="00C556BA" w:rsidRDefault="00C556BA" w:rsidP="00C556BA">
      <w:pPr>
        <w:rPr>
          <w:sz w:val="24"/>
          <w:szCs w:val="24"/>
          <w:lang w:val="bg-BG"/>
        </w:rPr>
      </w:pPr>
      <w:proofErr w:type="spellStart"/>
      <w:r w:rsidRPr="00C556BA">
        <w:rPr>
          <w:lang w:val="bg-BG" w:eastAsia="bg-BG"/>
        </w:rPr>
        <w:t>Дротаверинът</w:t>
      </w:r>
      <w:proofErr w:type="spellEnd"/>
      <w:r w:rsidRPr="00C556BA">
        <w:rPr>
          <w:lang w:val="bg-BG" w:eastAsia="bg-BG"/>
        </w:rPr>
        <w:t xml:space="preserve"> се абсорбира бързо и напълно, както след перорално, така и след парентерално приложение.</w:t>
      </w:r>
    </w:p>
    <w:p w14:paraId="66537206" w14:textId="77777777" w:rsidR="00C556BA" w:rsidRDefault="00C556BA" w:rsidP="00C556BA">
      <w:pPr>
        <w:rPr>
          <w:lang w:val="bg-BG" w:eastAsia="bg-BG"/>
        </w:rPr>
      </w:pPr>
    </w:p>
    <w:p w14:paraId="07873A9E" w14:textId="5F3744B3" w:rsidR="00C556BA" w:rsidRPr="00C556BA" w:rsidRDefault="00C556BA" w:rsidP="00C556BA">
      <w:pPr>
        <w:pStyle w:val="Heading3"/>
        <w:rPr>
          <w:rFonts w:eastAsia="Times New Roman"/>
          <w:i/>
          <w:iCs/>
          <w:lang w:val="bg-BG"/>
        </w:rPr>
      </w:pPr>
      <w:r w:rsidRPr="00C556BA">
        <w:rPr>
          <w:rFonts w:eastAsia="Times New Roman"/>
          <w:i/>
          <w:iCs/>
          <w:lang w:val="bg-BG" w:eastAsia="bg-BG"/>
        </w:rPr>
        <w:t>Разпределение</w:t>
      </w:r>
    </w:p>
    <w:p w14:paraId="69E071BF" w14:textId="77777777" w:rsidR="00C556BA" w:rsidRPr="00C556BA" w:rsidRDefault="00C556BA" w:rsidP="00C556BA">
      <w:pPr>
        <w:rPr>
          <w:sz w:val="24"/>
          <w:szCs w:val="24"/>
          <w:lang w:val="bg-BG"/>
        </w:rPr>
      </w:pPr>
      <w:r w:rsidRPr="00C556BA">
        <w:rPr>
          <w:lang w:val="bg-BG" w:eastAsia="bg-BG"/>
        </w:rPr>
        <w:t>Той се свързва в голяма степен с плазмените протеини (95-98%), особено с албумин, гама- и бета- глобулини. С</w:t>
      </w:r>
      <w:r w:rsidRPr="00C556BA">
        <w:rPr>
          <w:vertAlign w:val="subscript"/>
        </w:rPr>
        <w:t>max</w:t>
      </w:r>
      <w:r w:rsidRPr="00C556BA">
        <w:rPr>
          <w:lang w:val="bg-BG" w:eastAsia="bg-BG"/>
        </w:rPr>
        <w:t xml:space="preserve"> се достига за 45-60 минути след орално приложение. След </w:t>
      </w:r>
      <w:r w:rsidRPr="00C556BA">
        <w:rPr>
          <w:lang w:val="bg-BG" w:eastAsia="bg-BG"/>
        </w:rPr>
        <w:lastRenderedPageBreak/>
        <w:t xml:space="preserve">метаболизма при първото преминаване </w:t>
      </w:r>
      <w:r w:rsidRPr="00C556BA">
        <w:t xml:space="preserve">(first pass) </w:t>
      </w:r>
      <w:r w:rsidRPr="00C556BA">
        <w:rPr>
          <w:lang w:val="bg-BG" w:eastAsia="bg-BG"/>
        </w:rPr>
        <w:t xml:space="preserve">през черния дроб 65% от приетата доза достига до </w:t>
      </w:r>
      <w:proofErr w:type="spellStart"/>
      <w:r w:rsidRPr="00C556BA">
        <w:rPr>
          <w:lang w:val="bg-BG" w:eastAsia="bg-BG"/>
        </w:rPr>
        <w:t>кръвообръщението</w:t>
      </w:r>
      <w:proofErr w:type="spellEnd"/>
      <w:r w:rsidRPr="00C556BA">
        <w:rPr>
          <w:lang w:val="bg-BG" w:eastAsia="bg-BG"/>
        </w:rPr>
        <w:t xml:space="preserve"> в непроменен вид.</w:t>
      </w:r>
    </w:p>
    <w:p w14:paraId="07944C14" w14:textId="77777777" w:rsidR="00C556BA" w:rsidRDefault="00C556BA" w:rsidP="00C556BA">
      <w:pPr>
        <w:rPr>
          <w:lang w:val="bg-BG" w:eastAsia="bg-BG"/>
        </w:rPr>
      </w:pPr>
    </w:p>
    <w:p w14:paraId="6278AEFC" w14:textId="36E19816" w:rsidR="00C556BA" w:rsidRPr="00C556BA" w:rsidRDefault="00C556BA" w:rsidP="00C556BA">
      <w:pPr>
        <w:pStyle w:val="Heading3"/>
        <w:rPr>
          <w:rFonts w:eastAsia="Times New Roman"/>
          <w:i/>
          <w:iCs/>
          <w:lang w:val="bg-BG"/>
        </w:rPr>
      </w:pPr>
      <w:r w:rsidRPr="00C556BA">
        <w:rPr>
          <w:rFonts w:eastAsia="Times New Roman"/>
          <w:i/>
          <w:iCs/>
          <w:lang w:val="bg-BG" w:eastAsia="bg-BG"/>
        </w:rPr>
        <w:t>Биотрансформация</w:t>
      </w:r>
    </w:p>
    <w:p w14:paraId="4ADDEA63" w14:textId="77777777" w:rsidR="00C556BA" w:rsidRPr="00C556BA" w:rsidRDefault="00C556BA" w:rsidP="00C556BA">
      <w:pPr>
        <w:rPr>
          <w:sz w:val="24"/>
          <w:szCs w:val="24"/>
          <w:lang w:val="bg-BG"/>
        </w:rPr>
      </w:pPr>
      <w:proofErr w:type="spellStart"/>
      <w:r w:rsidRPr="00C556BA">
        <w:rPr>
          <w:lang w:val="bg-BG" w:eastAsia="bg-BG"/>
        </w:rPr>
        <w:t>Метаболизира</w:t>
      </w:r>
      <w:proofErr w:type="spellEnd"/>
      <w:r w:rsidRPr="00C556BA">
        <w:rPr>
          <w:lang w:val="bg-BG" w:eastAsia="bg-BG"/>
        </w:rPr>
        <w:t xml:space="preserve"> се в черния дроб.</w:t>
      </w:r>
    </w:p>
    <w:p w14:paraId="583CFDCD" w14:textId="77777777" w:rsidR="00C556BA" w:rsidRDefault="00C556BA" w:rsidP="00C556BA">
      <w:pPr>
        <w:rPr>
          <w:lang w:val="bg-BG" w:eastAsia="bg-BG"/>
        </w:rPr>
      </w:pPr>
    </w:p>
    <w:p w14:paraId="3E75C6EF" w14:textId="6CC4E2C8" w:rsidR="00C556BA" w:rsidRPr="00C556BA" w:rsidRDefault="00C556BA" w:rsidP="00C556BA">
      <w:pPr>
        <w:pStyle w:val="Heading3"/>
        <w:rPr>
          <w:rFonts w:eastAsia="Times New Roman"/>
          <w:i/>
          <w:iCs/>
          <w:lang w:val="bg-BG"/>
        </w:rPr>
      </w:pPr>
      <w:r w:rsidRPr="00C556BA">
        <w:rPr>
          <w:rFonts w:eastAsia="Times New Roman"/>
          <w:i/>
          <w:iCs/>
          <w:lang w:val="bg-BG" w:eastAsia="bg-BG"/>
        </w:rPr>
        <w:t>Елиминиране</w:t>
      </w:r>
    </w:p>
    <w:p w14:paraId="475D990A" w14:textId="77777777" w:rsidR="00C556BA" w:rsidRPr="00C556BA" w:rsidRDefault="00C556BA" w:rsidP="00C556BA">
      <w:pPr>
        <w:rPr>
          <w:sz w:val="24"/>
          <w:szCs w:val="24"/>
          <w:lang w:val="bg-BG"/>
        </w:rPr>
      </w:pPr>
      <w:r w:rsidRPr="00C556BA">
        <w:rPr>
          <w:lang w:val="bg-BG" w:eastAsia="bg-BG"/>
        </w:rPr>
        <w:t xml:space="preserve">Повече от 50% от продукта се </w:t>
      </w:r>
      <w:proofErr w:type="spellStart"/>
      <w:r w:rsidRPr="00C556BA">
        <w:rPr>
          <w:lang w:val="bg-BG" w:eastAsia="bg-BG"/>
        </w:rPr>
        <w:t>екскретират</w:t>
      </w:r>
      <w:proofErr w:type="spellEnd"/>
      <w:r w:rsidRPr="00C556BA">
        <w:rPr>
          <w:lang w:val="bg-BG" w:eastAsia="bg-BG"/>
        </w:rPr>
        <w:t xml:space="preserve"> с урината, а около 30% - с фекалиите. </w:t>
      </w:r>
      <w:proofErr w:type="spellStart"/>
      <w:r w:rsidRPr="00C556BA">
        <w:rPr>
          <w:lang w:val="bg-BG" w:eastAsia="bg-BG"/>
        </w:rPr>
        <w:t>Екскретира</w:t>
      </w:r>
      <w:proofErr w:type="spellEnd"/>
      <w:r w:rsidRPr="00C556BA">
        <w:rPr>
          <w:lang w:val="bg-BG" w:eastAsia="bg-BG"/>
        </w:rPr>
        <w:t xml:space="preserve"> се главно под формата на метаболити; непроменената му форма не се открива в урината. Практически, за 72 часа той се елиминира от организма. Биологичният му елиминационен полуживот е 8-10 часа.</w:t>
      </w:r>
    </w:p>
    <w:p w14:paraId="1C8DBCB3" w14:textId="77777777" w:rsidR="00C556BA" w:rsidRPr="00C556BA" w:rsidRDefault="00C556BA" w:rsidP="00C556BA"/>
    <w:p w14:paraId="134A69A8" w14:textId="2BB94E5F" w:rsidR="002C50EE" w:rsidRDefault="002C50EE" w:rsidP="002C50EE">
      <w:pPr>
        <w:pStyle w:val="Heading2"/>
      </w:pPr>
      <w:r>
        <w:t xml:space="preserve">5.3. </w:t>
      </w:r>
      <w:proofErr w:type="spellStart"/>
      <w:r>
        <w:t>Предклинични</w:t>
      </w:r>
      <w:proofErr w:type="spellEnd"/>
      <w:r>
        <w:t xml:space="preserve"> </w:t>
      </w:r>
      <w:proofErr w:type="spellStart"/>
      <w:r>
        <w:t>данни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безопасност</w:t>
      </w:r>
      <w:proofErr w:type="spellEnd"/>
    </w:p>
    <w:p w14:paraId="6A44F772" w14:textId="77777777" w:rsidR="00C556BA" w:rsidRPr="00C556BA" w:rsidRDefault="00C556BA" w:rsidP="00C556BA">
      <w:pPr>
        <w:rPr>
          <w:sz w:val="24"/>
          <w:szCs w:val="24"/>
          <w:lang w:val="bg-BG"/>
        </w:rPr>
      </w:pPr>
      <w:r w:rsidRPr="00C556BA">
        <w:rPr>
          <w:lang w:val="bg-BG" w:eastAsia="bg-BG"/>
        </w:rPr>
        <w:t xml:space="preserve">Неклиничните данни, не показват особени рискове за хората въз основа на изпитвания за фармакология на безопасността, </w:t>
      </w:r>
      <w:proofErr w:type="spellStart"/>
      <w:r w:rsidRPr="00C556BA">
        <w:rPr>
          <w:lang w:val="bg-BG" w:eastAsia="bg-BG"/>
        </w:rPr>
        <w:t>генотоксичност</w:t>
      </w:r>
      <w:proofErr w:type="spellEnd"/>
      <w:r w:rsidRPr="00C556BA">
        <w:rPr>
          <w:lang w:val="bg-BG" w:eastAsia="bg-BG"/>
        </w:rPr>
        <w:t xml:space="preserve"> и репродуктивна токсичност:</w:t>
      </w:r>
    </w:p>
    <w:p w14:paraId="72D5C35A" w14:textId="107E2D0B" w:rsidR="00C556BA" w:rsidRPr="00C556BA" w:rsidRDefault="00C556BA" w:rsidP="00C556BA">
      <w:pPr>
        <w:pStyle w:val="ListParagraph"/>
        <w:numPr>
          <w:ilvl w:val="0"/>
          <w:numId w:val="20"/>
        </w:numPr>
        <w:rPr>
          <w:sz w:val="24"/>
          <w:szCs w:val="24"/>
          <w:lang w:val="bg-BG"/>
        </w:rPr>
      </w:pPr>
      <w:proofErr w:type="spellStart"/>
      <w:r w:rsidRPr="00C556BA">
        <w:rPr>
          <w:lang w:val="bg-BG" w:eastAsia="bg-BG"/>
        </w:rPr>
        <w:t>Дротаверин</w:t>
      </w:r>
      <w:proofErr w:type="spellEnd"/>
      <w:r w:rsidRPr="00C556BA">
        <w:rPr>
          <w:lang w:val="bg-BG" w:eastAsia="bg-BG"/>
        </w:rPr>
        <w:t xml:space="preserve"> не предизвиква забавяне в </w:t>
      </w:r>
      <w:proofErr w:type="spellStart"/>
      <w:r w:rsidRPr="00C556BA">
        <w:rPr>
          <w:lang w:val="bg-BG" w:eastAsia="bg-BG"/>
        </w:rPr>
        <w:t>вентрикуларната</w:t>
      </w:r>
      <w:proofErr w:type="spellEnd"/>
      <w:r w:rsidRPr="00C556BA">
        <w:rPr>
          <w:lang w:val="bg-BG" w:eastAsia="bg-BG"/>
        </w:rPr>
        <w:t xml:space="preserve"> </w:t>
      </w:r>
      <w:proofErr w:type="spellStart"/>
      <w:r w:rsidRPr="00C556BA">
        <w:rPr>
          <w:lang w:val="bg-BG" w:eastAsia="bg-BG"/>
        </w:rPr>
        <w:t>реполяризация</w:t>
      </w:r>
      <w:proofErr w:type="spellEnd"/>
      <w:r w:rsidRPr="00C556BA">
        <w:rPr>
          <w:lang w:val="bg-BG" w:eastAsia="bg-BG"/>
        </w:rPr>
        <w:t xml:space="preserve"> базирано на </w:t>
      </w:r>
      <w:r w:rsidRPr="00C556BA">
        <w:rPr>
          <w:i/>
          <w:iCs/>
        </w:rPr>
        <w:t>in vitro</w:t>
      </w:r>
      <w:r w:rsidRPr="00C556BA">
        <w:t xml:space="preserve"> </w:t>
      </w:r>
      <w:r w:rsidRPr="00C556BA">
        <w:rPr>
          <w:lang w:val="bg-BG" w:eastAsia="bg-BG"/>
        </w:rPr>
        <w:t xml:space="preserve">и </w:t>
      </w:r>
      <w:r w:rsidRPr="00C556BA">
        <w:rPr>
          <w:i/>
          <w:iCs/>
        </w:rPr>
        <w:t>in vivo</w:t>
      </w:r>
      <w:r w:rsidRPr="00C556BA">
        <w:t xml:space="preserve"> </w:t>
      </w:r>
      <w:r w:rsidRPr="00C556BA">
        <w:rPr>
          <w:lang w:val="bg-BG" w:eastAsia="bg-BG"/>
        </w:rPr>
        <w:t>проучвания.</w:t>
      </w:r>
    </w:p>
    <w:p w14:paraId="0DB445F7" w14:textId="1DC0DE7E" w:rsidR="00C556BA" w:rsidRPr="00C556BA" w:rsidRDefault="00C556BA" w:rsidP="00C556BA">
      <w:pPr>
        <w:pStyle w:val="ListParagraph"/>
        <w:numPr>
          <w:ilvl w:val="0"/>
          <w:numId w:val="20"/>
        </w:numPr>
        <w:rPr>
          <w:sz w:val="24"/>
          <w:szCs w:val="24"/>
          <w:lang w:val="bg-BG"/>
        </w:rPr>
      </w:pPr>
      <w:proofErr w:type="spellStart"/>
      <w:r w:rsidRPr="00C556BA">
        <w:rPr>
          <w:lang w:val="bg-BG" w:eastAsia="bg-BG"/>
        </w:rPr>
        <w:t>Дротаверин</w:t>
      </w:r>
      <w:proofErr w:type="spellEnd"/>
      <w:r w:rsidRPr="00C556BA">
        <w:rPr>
          <w:lang w:val="bg-BG" w:eastAsia="bg-BG"/>
        </w:rPr>
        <w:t xml:space="preserve"> е без </w:t>
      </w:r>
      <w:proofErr w:type="spellStart"/>
      <w:r w:rsidRPr="00C556BA">
        <w:rPr>
          <w:lang w:val="bg-BG" w:eastAsia="bg-BG"/>
        </w:rPr>
        <w:t>генотоксичен</w:t>
      </w:r>
      <w:proofErr w:type="spellEnd"/>
      <w:r w:rsidRPr="00C556BA">
        <w:rPr>
          <w:lang w:val="bg-BG" w:eastAsia="bg-BG"/>
        </w:rPr>
        <w:t xml:space="preserve"> потенциал при поредица от </w:t>
      </w:r>
      <w:r w:rsidRPr="00C556BA">
        <w:rPr>
          <w:i/>
          <w:iCs/>
        </w:rPr>
        <w:t>in vitro</w:t>
      </w:r>
      <w:r w:rsidRPr="00C556BA">
        <w:t xml:space="preserve"> </w:t>
      </w:r>
      <w:r w:rsidRPr="00C556BA">
        <w:rPr>
          <w:lang w:val="bg-BG" w:eastAsia="bg-BG"/>
        </w:rPr>
        <w:t xml:space="preserve">и </w:t>
      </w:r>
      <w:r w:rsidRPr="00C556BA">
        <w:rPr>
          <w:i/>
          <w:iCs/>
        </w:rPr>
        <w:t xml:space="preserve">in vivo </w:t>
      </w:r>
      <w:r w:rsidRPr="00C556BA">
        <w:rPr>
          <w:lang w:val="bg-BG" w:eastAsia="bg-BG"/>
        </w:rPr>
        <w:t xml:space="preserve">мутагенни проучвания т.е. </w:t>
      </w:r>
      <w:r w:rsidRPr="00C556BA">
        <w:t xml:space="preserve">Ames test, Mouse Lymphoma Assay </w:t>
      </w:r>
      <w:r w:rsidRPr="00C556BA">
        <w:rPr>
          <w:lang w:val="bg-BG" w:eastAsia="bg-BG"/>
        </w:rPr>
        <w:t xml:space="preserve">и </w:t>
      </w:r>
      <w:r w:rsidRPr="00C556BA">
        <w:t>Micronucleus in rat.</w:t>
      </w:r>
    </w:p>
    <w:p w14:paraId="57ECC85B" w14:textId="7CA59882" w:rsidR="00C556BA" w:rsidRPr="00C556BA" w:rsidRDefault="00C556BA" w:rsidP="00C556BA">
      <w:pPr>
        <w:pStyle w:val="ListParagraph"/>
        <w:numPr>
          <w:ilvl w:val="0"/>
          <w:numId w:val="20"/>
        </w:numPr>
        <w:rPr>
          <w:sz w:val="24"/>
          <w:szCs w:val="24"/>
          <w:lang w:val="bg-BG"/>
        </w:rPr>
      </w:pPr>
      <w:proofErr w:type="spellStart"/>
      <w:r w:rsidRPr="00C556BA">
        <w:rPr>
          <w:lang w:val="bg-BG" w:eastAsia="bg-BG"/>
        </w:rPr>
        <w:t>Дротаверин</w:t>
      </w:r>
      <w:proofErr w:type="spellEnd"/>
      <w:r w:rsidRPr="00C556BA">
        <w:rPr>
          <w:lang w:val="bg-BG" w:eastAsia="bg-BG"/>
        </w:rPr>
        <w:t xml:space="preserve"> няма ефект върху плодовитостта и ембрионалното/фетално развитие при плъхове и зайци.</w:t>
      </w:r>
    </w:p>
    <w:p w14:paraId="7F005D83" w14:textId="77777777" w:rsidR="00C556BA" w:rsidRPr="00C556BA" w:rsidRDefault="00C556BA" w:rsidP="00C556BA"/>
    <w:p w14:paraId="28C40F19" w14:textId="31A1ED24" w:rsidR="002C50EE" w:rsidRDefault="002C50EE" w:rsidP="002C50EE">
      <w:pPr>
        <w:pStyle w:val="Heading1"/>
      </w:pPr>
      <w:r>
        <w:t>7. ПРИТЕЖАТЕЛ НА РАЗРЕШЕНИЕТО ЗА УПОТРЕБА</w:t>
      </w:r>
    </w:p>
    <w:p w14:paraId="2531C8FC" w14:textId="77777777" w:rsidR="00C556BA" w:rsidRDefault="00C556BA" w:rsidP="00C556BA">
      <w:pPr>
        <w:rPr>
          <w:lang w:val="bg-BG" w:eastAsia="bg-BG"/>
        </w:rPr>
      </w:pPr>
      <w:r w:rsidRPr="00C556BA">
        <w:rPr>
          <w:lang w:val="bg-BG" w:eastAsia="bg-BG"/>
        </w:rPr>
        <w:t xml:space="preserve">САНОФИ БЪЛГАРИЯ ЕООД </w:t>
      </w:r>
    </w:p>
    <w:p w14:paraId="2C00BED9" w14:textId="77777777" w:rsidR="00C556BA" w:rsidRDefault="00C556BA" w:rsidP="00C556BA">
      <w:pPr>
        <w:rPr>
          <w:lang w:val="bg-BG" w:eastAsia="bg-BG"/>
        </w:rPr>
      </w:pPr>
      <w:r w:rsidRPr="00C556BA">
        <w:rPr>
          <w:lang w:val="bg-BG" w:eastAsia="bg-BG"/>
        </w:rPr>
        <w:t xml:space="preserve">бул. „Цариградско шосе“ 90 </w:t>
      </w:r>
    </w:p>
    <w:p w14:paraId="3F003B4A" w14:textId="01F841CB" w:rsidR="00C556BA" w:rsidRPr="00C556BA" w:rsidRDefault="00C556BA" w:rsidP="00C556BA">
      <w:pPr>
        <w:rPr>
          <w:sz w:val="24"/>
          <w:szCs w:val="24"/>
          <w:lang w:val="bg-BG"/>
        </w:rPr>
      </w:pPr>
      <w:r w:rsidRPr="00C556BA">
        <w:rPr>
          <w:lang w:val="bg-BG" w:eastAsia="bg-BG"/>
        </w:rPr>
        <w:t>гр. София 1784</w:t>
      </w:r>
    </w:p>
    <w:p w14:paraId="2C135EAA" w14:textId="33A643DB" w:rsidR="00C556BA" w:rsidRPr="00C556BA" w:rsidRDefault="00C556BA" w:rsidP="00C556BA">
      <w:pPr>
        <w:rPr>
          <w:sz w:val="24"/>
          <w:szCs w:val="24"/>
          <w:lang w:val="bg-BG"/>
        </w:rPr>
      </w:pPr>
      <w:r w:rsidRPr="00C556BA">
        <w:rPr>
          <w:lang w:val="bg-BG" w:eastAsia="bg-BG"/>
        </w:rPr>
        <w:t>България</w:t>
      </w:r>
    </w:p>
    <w:p w14:paraId="04840D59" w14:textId="0C85FBCF" w:rsidR="002C50EE" w:rsidRDefault="002C50EE" w:rsidP="002C50EE">
      <w:pPr>
        <w:pStyle w:val="Heading1"/>
      </w:pPr>
      <w:r>
        <w:t>8. НОМЕР НА РАЗРЕШЕНИЕТО ЗА УПОТРЕБА</w:t>
      </w:r>
    </w:p>
    <w:p w14:paraId="0B19E01C" w14:textId="35515EC7" w:rsidR="00C556BA" w:rsidRPr="00C556BA" w:rsidRDefault="00C556BA" w:rsidP="00C556BA">
      <w:r>
        <w:t>20010268</w:t>
      </w:r>
    </w:p>
    <w:p w14:paraId="5900CBF3" w14:textId="0DADD5A8" w:rsidR="002C50EE" w:rsidRDefault="002C50EE" w:rsidP="002C50EE">
      <w:pPr>
        <w:pStyle w:val="Heading1"/>
      </w:pPr>
      <w:r>
        <w:t>9. ДАТА НА ПЪРВО РАЗРЕШАВАНЕ/ПОДНОВЯВАНЕ НА РАЗРЕШЕНИЕТО ЗА УПОТРЕБА</w:t>
      </w:r>
    </w:p>
    <w:p w14:paraId="60EA4DF2" w14:textId="1DEC2F2F" w:rsidR="00C556BA" w:rsidRPr="00C556BA" w:rsidRDefault="00C556BA" w:rsidP="00C556BA">
      <w:r>
        <w:t>06.03.2001/28.07.2011</w:t>
      </w:r>
    </w:p>
    <w:p w14:paraId="0E9D0119" w14:textId="08DAD6A6" w:rsidR="002C50EE" w:rsidRDefault="002C50EE" w:rsidP="002C50EE">
      <w:pPr>
        <w:pStyle w:val="Heading1"/>
      </w:pPr>
      <w:r>
        <w:t>10. ДАТА НА АКТУАЛИЗИРАНЕ НА ТЕКСТА</w:t>
      </w:r>
    </w:p>
    <w:p w14:paraId="4E69571A" w14:textId="0F72C230" w:rsidR="00C556BA" w:rsidRPr="00C556BA" w:rsidRDefault="00C556BA" w:rsidP="00C556BA">
      <w:r>
        <w:t>10/12/2019</w:t>
      </w:r>
    </w:p>
    <w:bookmarkEnd w:id="0"/>
    <w:p w14:paraId="383FCB10" w14:textId="77777777" w:rsidR="002C50EE" w:rsidRDefault="002C50EE" w:rsidP="002C50EE">
      <w:pPr>
        <w:rPr>
          <w:rFonts w:cs="Arial"/>
          <w:b/>
          <w:bCs/>
          <w:sz w:val="26"/>
          <w:szCs w:val="26"/>
        </w:rPr>
      </w:pPr>
    </w:p>
    <w:p w14:paraId="423F4C2A" w14:textId="77777777" w:rsidR="00C87E90" w:rsidRPr="003E3126" w:rsidRDefault="00C87E90" w:rsidP="003E3126"/>
    <w:sectPr w:rsidR="00C87E90" w:rsidRPr="003E3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894126"/>
    <w:multiLevelType w:val="multilevel"/>
    <w:tmpl w:val="588ED0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0AE4925"/>
    <w:multiLevelType w:val="multilevel"/>
    <w:tmpl w:val="4CC8ED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4834C69"/>
    <w:multiLevelType w:val="multilevel"/>
    <w:tmpl w:val="DC0A14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251258ED"/>
    <w:multiLevelType w:val="hybridMultilevel"/>
    <w:tmpl w:val="AA423BD4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6" w15:restartNumberingAfterBreak="0">
    <w:nsid w:val="26177103"/>
    <w:multiLevelType w:val="multilevel"/>
    <w:tmpl w:val="E82C6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29153339"/>
    <w:multiLevelType w:val="hybridMultilevel"/>
    <w:tmpl w:val="F77266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F0359"/>
    <w:multiLevelType w:val="hybridMultilevel"/>
    <w:tmpl w:val="44CA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A60FB9"/>
    <w:multiLevelType w:val="hybridMultilevel"/>
    <w:tmpl w:val="BA3E8EEE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012999"/>
    <w:multiLevelType w:val="hybridMultilevel"/>
    <w:tmpl w:val="FAFAD1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70F8A"/>
    <w:multiLevelType w:val="hybridMultilevel"/>
    <w:tmpl w:val="6B6C949A"/>
    <w:lvl w:ilvl="0" w:tplc="0DE6AA0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A002FE"/>
    <w:multiLevelType w:val="hybridMultilevel"/>
    <w:tmpl w:val="60D4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687B8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403D3417"/>
    <w:multiLevelType w:val="multilevel"/>
    <w:tmpl w:val="B57254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43ED0C31"/>
    <w:multiLevelType w:val="hybridMultilevel"/>
    <w:tmpl w:val="2946DD8C"/>
    <w:lvl w:ilvl="0" w:tplc="83C233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9D7606"/>
    <w:multiLevelType w:val="hybridMultilevel"/>
    <w:tmpl w:val="85E4E3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AB1ABA"/>
    <w:multiLevelType w:val="hybridMultilevel"/>
    <w:tmpl w:val="EEEC7F7E"/>
    <w:lvl w:ilvl="0" w:tplc="E38E44D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E70D7D"/>
    <w:multiLevelType w:val="hybridMultilevel"/>
    <w:tmpl w:val="52A4E66E"/>
    <w:lvl w:ilvl="0" w:tplc="0DE6AA0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1F677A"/>
    <w:multiLevelType w:val="hybridMultilevel"/>
    <w:tmpl w:val="96EC7004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B539E2"/>
    <w:multiLevelType w:val="hybridMultilevel"/>
    <w:tmpl w:val="E3BC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BC7DEC"/>
    <w:multiLevelType w:val="hybridMultilevel"/>
    <w:tmpl w:val="EE04B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9"/>
  </w:num>
  <w:num w:numId="4">
    <w:abstractNumId w:val="3"/>
  </w:num>
  <w:num w:numId="5">
    <w:abstractNumId w:val="1"/>
  </w:num>
  <w:num w:numId="6">
    <w:abstractNumId w:val="14"/>
  </w:num>
  <w:num w:numId="7">
    <w:abstractNumId w:val="6"/>
  </w:num>
  <w:num w:numId="8">
    <w:abstractNumId w:val="13"/>
  </w:num>
  <w:num w:numId="9">
    <w:abstractNumId w:val="2"/>
  </w:num>
  <w:num w:numId="10">
    <w:abstractNumId w:val="4"/>
  </w:num>
  <w:num w:numId="11">
    <w:abstractNumId w:val="21"/>
  </w:num>
  <w:num w:numId="12">
    <w:abstractNumId w:val="12"/>
  </w:num>
  <w:num w:numId="13">
    <w:abstractNumId w:val="15"/>
  </w:num>
  <w:num w:numId="14">
    <w:abstractNumId w:val="8"/>
  </w:num>
  <w:num w:numId="15">
    <w:abstractNumId w:val="20"/>
  </w:num>
  <w:num w:numId="16">
    <w:abstractNumId w:val="5"/>
  </w:num>
  <w:num w:numId="17">
    <w:abstractNumId w:val="17"/>
  </w:num>
  <w:num w:numId="18">
    <w:abstractNumId w:val="7"/>
  </w:num>
  <w:num w:numId="19">
    <w:abstractNumId w:val="16"/>
  </w:num>
  <w:num w:numId="20">
    <w:abstractNumId w:val="11"/>
  </w:num>
  <w:num w:numId="21">
    <w:abstractNumId w:val="18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3A00"/>
    <w:rsid w:val="00185A46"/>
    <w:rsid w:val="001915B6"/>
    <w:rsid w:val="001D1B23"/>
    <w:rsid w:val="002B4DBB"/>
    <w:rsid w:val="002C50EE"/>
    <w:rsid w:val="00340A0A"/>
    <w:rsid w:val="003E3126"/>
    <w:rsid w:val="00517A5B"/>
    <w:rsid w:val="00593A00"/>
    <w:rsid w:val="00605BCA"/>
    <w:rsid w:val="006158A1"/>
    <w:rsid w:val="00617B1F"/>
    <w:rsid w:val="00672487"/>
    <w:rsid w:val="00672600"/>
    <w:rsid w:val="00681D4A"/>
    <w:rsid w:val="00685882"/>
    <w:rsid w:val="007179E3"/>
    <w:rsid w:val="0075649D"/>
    <w:rsid w:val="00814073"/>
    <w:rsid w:val="00826F0D"/>
    <w:rsid w:val="00893B92"/>
    <w:rsid w:val="008C70A2"/>
    <w:rsid w:val="009773E4"/>
    <w:rsid w:val="00A20351"/>
    <w:rsid w:val="00AC63CE"/>
    <w:rsid w:val="00AE2107"/>
    <w:rsid w:val="00B275A8"/>
    <w:rsid w:val="00BF2600"/>
    <w:rsid w:val="00C07B84"/>
    <w:rsid w:val="00C33464"/>
    <w:rsid w:val="00C556BA"/>
    <w:rsid w:val="00C83063"/>
    <w:rsid w:val="00C87E90"/>
    <w:rsid w:val="00DD466D"/>
    <w:rsid w:val="00EB6364"/>
    <w:rsid w:val="00F3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84BA7"/>
  <w15:docId w15:val="{3DA60348-CCDC-4D6D-877F-EA9575E0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364"/>
    <w:pPr>
      <w:spacing w:after="0" w:line="256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D4A"/>
    <w:pPr>
      <w:keepNext/>
      <w:keepLines/>
      <w:spacing w:before="240" w:line="259" w:lineRule="auto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D4A"/>
    <w:pPr>
      <w:keepNext/>
      <w:keepLines/>
      <w:spacing w:before="40" w:line="259" w:lineRule="auto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D4A"/>
    <w:pPr>
      <w:keepNext/>
      <w:keepLines/>
      <w:spacing w:before="40" w:line="259" w:lineRule="auto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1D4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1"/>
    <w:basedOn w:val="Heading3"/>
    <w:next w:val="Normal"/>
    <w:link w:val="10"/>
    <w:qFormat/>
    <w:rsid w:val="00C87E90"/>
    <w:pPr>
      <w:widowControl w:val="0"/>
      <w:spacing w:after="1080" w:line="240" w:lineRule="auto"/>
      <w:ind w:left="4400"/>
      <w:jc w:val="center"/>
    </w:pPr>
    <w:rPr>
      <w:b/>
      <w:sz w:val="22"/>
      <w:szCs w:val="22"/>
    </w:rPr>
  </w:style>
  <w:style w:type="character" w:customStyle="1" w:styleId="10">
    <w:name w:val="Стил1 Знак"/>
    <w:basedOn w:val="Heading3Char"/>
    <w:link w:val="1"/>
    <w:rsid w:val="00C87E90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1D4A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685882"/>
    <w:pPr>
      <w:spacing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1D4A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1D4A"/>
    <w:rPr>
      <w:rFonts w:ascii="Arial" w:eastAsiaTheme="majorEastAsia" w:hAnsi="Arial" w:cstheme="majorBidi"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81D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75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da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1345</Words>
  <Characters>7668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vasilev</dc:creator>
  <cp:keywords/>
  <dc:description/>
  <cp:lastModifiedBy>petar vasilev</cp:lastModifiedBy>
  <cp:revision>2</cp:revision>
  <dcterms:created xsi:type="dcterms:W3CDTF">2021-07-21T13:39:00Z</dcterms:created>
  <dcterms:modified xsi:type="dcterms:W3CDTF">2021-07-21T13:39:00Z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080e56-8894-418a-9b19-f357e77b996f_Enabled">
    <vt:lpwstr>true</vt:lpwstr>
  </property>
  <property fmtid="{D5CDD505-2E9C-101B-9397-08002B2CF9AE}" pid="3" name="MSIP_Label_78080e56-8894-418a-9b19-f357e77b996f_SetDate">
    <vt:lpwstr>2021-02-06T20:50:59Z</vt:lpwstr>
  </property>
  <property fmtid="{D5CDD505-2E9C-101B-9397-08002B2CF9AE}" pid="4" name="MSIP_Label_78080e56-8894-418a-9b19-f357e77b996f_Method">
    <vt:lpwstr>Standard</vt:lpwstr>
  </property>
  <property fmtid="{D5CDD505-2E9C-101B-9397-08002B2CF9AE}" pid="5" name="MSIP_Label_78080e56-8894-418a-9b19-f357e77b996f_Name">
    <vt:lpwstr>Internal Use Unencrypted</vt:lpwstr>
  </property>
  <property fmtid="{D5CDD505-2E9C-101B-9397-08002B2CF9AE}" pid="6" name="MSIP_Label_78080e56-8894-418a-9b19-f357e77b996f_SiteId">
    <vt:lpwstr>6c7fadf5-6b9d-485a-85cb-f8112e9720ec</vt:lpwstr>
  </property>
  <property fmtid="{D5CDD505-2E9C-101B-9397-08002B2CF9AE}" pid="7" name="MSIP_Label_78080e56-8894-418a-9b19-f357e77b996f_ActionId">
    <vt:lpwstr>0a32757c-47c4-4949-90c3-637a5e65fde2</vt:lpwstr>
  </property>
  <property fmtid="{D5CDD505-2E9C-101B-9397-08002B2CF9AE}" pid="8" name="MSIP_Label_78080e56-8894-418a-9b19-f357e77b996f_ContentBits">
    <vt:lpwstr>2</vt:lpwstr>
  </property>
</Properties>
</file>