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5EA5AF64" w:rsidR="007122AD" w:rsidRDefault="00DD466D" w:rsidP="00936AD0">
      <w:pPr>
        <w:pStyle w:val="Heading1"/>
      </w:pPr>
      <w:r>
        <w:t>1.ИМЕ НА ЛЕКАРСТВЕНИЯ ПРОДУКТ</w:t>
      </w:r>
    </w:p>
    <w:p w14:paraId="154671B6" w14:textId="4A85198D" w:rsidR="00F26B25" w:rsidRDefault="00F26B25" w:rsidP="00F26B25"/>
    <w:p w14:paraId="429EB22E" w14:textId="77777777" w:rsidR="00F26B25" w:rsidRPr="00F26B25" w:rsidRDefault="00F26B25" w:rsidP="00F26B25">
      <w:pPr>
        <w:rPr>
          <w:sz w:val="24"/>
          <w:szCs w:val="24"/>
        </w:rPr>
      </w:pPr>
      <w:r w:rsidRPr="00F26B25">
        <w:rPr>
          <w:lang w:eastAsia="bg-BG"/>
        </w:rPr>
        <w:t xml:space="preserve">Ноепикс 250 </w:t>
      </w:r>
      <w:r w:rsidRPr="00F26B25">
        <w:rPr>
          <w:lang w:val="en-US"/>
        </w:rPr>
        <w:t>mg</w:t>
      </w:r>
      <w:r w:rsidRPr="00F26B25">
        <w:t xml:space="preserve"> </w:t>
      </w:r>
      <w:r w:rsidRPr="00F26B25">
        <w:rPr>
          <w:lang w:eastAsia="bg-BG"/>
        </w:rPr>
        <w:t>филмирани таблетки</w:t>
      </w:r>
    </w:p>
    <w:p w14:paraId="5D266BC6" w14:textId="77777777" w:rsidR="00F26B25" w:rsidRPr="00F26B25" w:rsidRDefault="00F26B25" w:rsidP="00F26B25">
      <w:pPr>
        <w:rPr>
          <w:sz w:val="24"/>
          <w:szCs w:val="24"/>
        </w:rPr>
      </w:pPr>
      <w:proofErr w:type="spellStart"/>
      <w:r w:rsidRPr="00F26B25">
        <w:rPr>
          <w:lang w:val="en-US"/>
        </w:rPr>
        <w:t>Noepix</w:t>
      </w:r>
      <w:proofErr w:type="spellEnd"/>
      <w:r w:rsidRPr="00F26B25">
        <w:t xml:space="preserve"> </w:t>
      </w:r>
      <w:r w:rsidRPr="00F26B25">
        <w:rPr>
          <w:lang w:eastAsia="bg-BG"/>
        </w:rPr>
        <w:t xml:space="preserve">250 </w:t>
      </w:r>
      <w:r w:rsidRPr="00F26B25">
        <w:rPr>
          <w:lang w:val="en-US"/>
        </w:rPr>
        <w:t>mg</w:t>
      </w:r>
      <w:r w:rsidRPr="00F26B25">
        <w:t xml:space="preserve"> </w:t>
      </w:r>
      <w:r w:rsidRPr="00F26B25">
        <w:rPr>
          <w:lang w:val="en-US"/>
        </w:rPr>
        <w:t>film</w:t>
      </w:r>
      <w:r w:rsidRPr="00F26B25">
        <w:t>-</w:t>
      </w:r>
      <w:r w:rsidRPr="00F26B25">
        <w:rPr>
          <w:lang w:val="en-US"/>
        </w:rPr>
        <w:t>coated</w:t>
      </w:r>
      <w:r w:rsidRPr="00F26B25">
        <w:t xml:space="preserve"> </w:t>
      </w:r>
      <w:r w:rsidRPr="00F26B25">
        <w:rPr>
          <w:lang w:val="en-US"/>
        </w:rPr>
        <w:t>tablets</w:t>
      </w:r>
    </w:p>
    <w:p w14:paraId="4B676FA4" w14:textId="77777777" w:rsidR="00F26B25" w:rsidRDefault="00F26B25" w:rsidP="00F26B25">
      <w:pPr>
        <w:rPr>
          <w:lang w:eastAsia="bg-BG"/>
        </w:rPr>
      </w:pPr>
    </w:p>
    <w:p w14:paraId="260160CD" w14:textId="5EE3274C" w:rsidR="00F26B25" w:rsidRPr="00F26B25" w:rsidRDefault="00F26B25" w:rsidP="00F26B25">
      <w:pPr>
        <w:rPr>
          <w:sz w:val="24"/>
          <w:szCs w:val="24"/>
        </w:rPr>
      </w:pPr>
      <w:r w:rsidRPr="00F26B25">
        <w:rPr>
          <w:lang w:eastAsia="bg-BG"/>
        </w:rPr>
        <w:t xml:space="preserve">Ноепикс </w:t>
      </w:r>
      <w:r w:rsidRPr="00F26B25">
        <w:t xml:space="preserve">500 </w:t>
      </w:r>
      <w:r w:rsidRPr="00F26B25">
        <w:rPr>
          <w:lang w:val="en-US"/>
        </w:rPr>
        <w:t>mg</w:t>
      </w:r>
      <w:r w:rsidRPr="00F26B25">
        <w:t xml:space="preserve"> </w:t>
      </w:r>
      <w:r w:rsidRPr="00F26B25">
        <w:rPr>
          <w:lang w:eastAsia="bg-BG"/>
        </w:rPr>
        <w:t>филмирани таблетки</w:t>
      </w:r>
    </w:p>
    <w:p w14:paraId="1DEB5218" w14:textId="77777777" w:rsidR="00F26B25" w:rsidRPr="00F26B25" w:rsidRDefault="00F26B25" w:rsidP="00F26B25">
      <w:pPr>
        <w:rPr>
          <w:sz w:val="24"/>
          <w:szCs w:val="24"/>
        </w:rPr>
      </w:pPr>
      <w:proofErr w:type="spellStart"/>
      <w:r w:rsidRPr="00F26B25">
        <w:rPr>
          <w:lang w:val="en-US"/>
        </w:rPr>
        <w:t>Noepix</w:t>
      </w:r>
      <w:proofErr w:type="spellEnd"/>
      <w:r w:rsidRPr="00F26B25">
        <w:t xml:space="preserve"> 500 </w:t>
      </w:r>
      <w:r w:rsidRPr="00F26B25">
        <w:rPr>
          <w:lang w:val="en-US"/>
        </w:rPr>
        <w:t>mg</w:t>
      </w:r>
      <w:r w:rsidRPr="00F26B25">
        <w:t xml:space="preserve"> </w:t>
      </w:r>
      <w:r w:rsidRPr="00F26B25">
        <w:rPr>
          <w:lang w:val="en-US"/>
        </w:rPr>
        <w:t>film</w:t>
      </w:r>
      <w:r w:rsidRPr="00F26B25">
        <w:t>-</w:t>
      </w:r>
      <w:r w:rsidRPr="00F26B25">
        <w:rPr>
          <w:lang w:val="en-US"/>
        </w:rPr>
        <w:t>coated</w:t>
      </w:r>
      <w:r w:rsidRPr="00F26B25">
        <w:t xml:space="preserve"> </w:t>
      </w:r>
      <w:r w:rsidRPr="00F26B25">
        <w:rPr>
          <w:lang w:val="en-US"/>
        </w:rPr>
        <w:t>tablets</w:t>
      </w:r>
    </w:p>
    <w:p w14:paraId="18611158" w14:textId="77777777" w:rsidR="00F26B25" w:rsidRDefault="00F26B25" w:rsidP="00F26B25">
      <w:pPr>
        <w:rPr>
          <w:lang w:eastAsia="bg-BG"/>
        </w:rPr>
      </w:pPr>
    </w:p>
    <w:p w14:paraId="67B93058" w14:textId="4AD63FF9" w:rsidR="00F26B25" w:rsidRPr="00F26B25" w:rsidRDefault="00F26B25" w:rsidP="00F26B25">
      <w:pPr>
        <w:rPr>
          <w:sz w:val="24"/>
          <w:szCs w:val="24"/>
        </w:rPr>
      </w:pPr>
      <w:r w:rsidRPr="00F26B25">
        <w:rPr>
          <w:lang w:eastAsia="bg-BG"/>
        </w:rPr>
        <w:t xml:space="preserve">Ноепикс </w:t>
      </w:r>
      <w:r w:rsidRPr="00F26B25">
        <w:t xml:space="preserve">1 000 </w:t>
      </w:r>
      <w:r w:rsidRPr="00F26B25">
        <w:rPr>
          <w:lang w:val="en-US"/>
        </w:rPr>
        <w:t>mg</w:t>
      </w:r>
      <w:r w:rsidRPr="00F26B25">
        <w:t xml:space="preserve"> </w:t>
      </w:r>
      <w:r w:rsidRPr="00F26B25">
        <w:rPr>
          <w:lang w:eastAsia="bg-BG"/>
        </w:rPr>
        <w:t>филмирани таблетки</w:t>
      </w:r>
    </w:p>
    <w:p w14:paraId="468080B3" w14:textId="77777777" w:rsidR="00F26B25" w:rsidRPr="00F26B25" w:rsidRDefault="00F26B25" w:rsidP="00F26B25">
      <w:pPr>
        <w:rPr>
          <w:sz w:val="24"/>
          <w:szCs w:val="24"/>
        </w:rPr>
      </w:pPr>
      <w:proofErr w:type="spellStart"/>
      <w:r w:rsidRPr="00F26B25">
        <w:rPr>
          <w:lang w:val="en-US"/>
        </w:rPr>
        <w:t>Noepix</w:t>
      </w:r>
      <w:proofErr w:type="spellEnd"/>
      <w:r w:rsidRPr="00F26B25">
        <w:t xml:space="preserve"> 1 000 </w:t>
      </w:r>
      <w:r w:rsidRPr="00F26B25">
        <w:rPr>
          <w:lang w:val="en-US"/>
        </w:rPr>
        <w:t>mg</w:t>
      </w:r>
      <w:r w:rsidRPr="00F26B25">
        <w:t xml:space="preserve"> </w:t>
      </w:r>
      <w:r w:rsidRPr="00F26B25">
        <w:rPr>
          <w:lang w:val="en-US"/>
        </w:rPr>
        <w:t>film</w:t>
      </w:r>
      <w:r w:rsidRPr="00F26B25">
        <w:t>-</w:t>
      </w:r>
      <w:r w:rsidRPr="00F26B25">
        <w:rPr>
          <w:lang w:val="en-US"/>
        </w:rPr>
        <w:t>coated</w:t>
      </w:r>
      <w:r w:rsidRPr="00F26B25">
        <w:t xml:space="preserve"> </w:t>
      </w:r>
      <w:r w:rsidRPr="00F26B25">
        <w:rPr>
          <w:lang w:val="en-US"/>
        </w:rPr>
        <w:t>tablets</w:t>
      </w:r>
    </w:p>
    <w:p w14:paraId="6F32062B" w14:textId="77777777" w:rsidR="00F26B25" w:rsidRPr="00F26B25" w:rsidRDefault="00F26B25" w:rsidP="00F26B25"/>
    <w:p w14:paraId="6920A680" w14:textId="5A32C908" w:rsidR="00C40420" w:rsidRDefault="00DD466D" w:rsidP="004A448E">
      <w:pPr>
        <w:pStyle w:val="Heading1"/>
      </w:pPr>
      <w:r>
        <w:t>2. КАЧЕСТВЕН И КОЛИЧЕСТВЕН СЪСТАВ</w:t>
      </w:r>
    </w:p>
    <w:p w14:paraId="69572BAB" w14:textId="50333150" w:rsidR="00F26B25" w:rsidRDefault="00F26B25" w:rsidP="00F26B25"/>
    <w:p w14:paraId="56F79D02" w14:textId="7F6B6EF4" w:rsidR="00F26B25" w:rsidRPr="00F26B25" w:rsidRDefault="00F26B25" w:rsidP="00F26B25">
      <w:r>
        <w:t xml:space="preserve">Всяка филмирана таблетка съдържа 250 </w:t>
      </w:r>
      <w:r>
        <w:rPr>
          <w:lang w:val="en-US"/>
        </w:rPr>
        <w:t>mg</w:t>
      </w:r>
      <w:r w:rsidRPr="00F26B25">
        <w:t xml:space="preserve">, </w:t>
      </w:r>
      <w:r>
        <w:t xml:space="preserve">500 </w:t>
      </w:r>
      <w:r>
        <w:rPr>
          <w:lang w:val="en-US"/>
        </w:rPr>
        <w:t>mg</w:t>
      </w:r>
      <w:r w:rsidRPr="00F26B25">
        <w:t xml:space="preserve"> </w:t>
      </w:r>
      <w:r>
        <w:t xml:space="preserve">или 1 000 </w:t>
      </w:r>
      <w:r>
        <w:rPr>
          <w:lang w:val="en-US"/>
        </w:rPr>
        <w:t>mg</w:t>
      </w:r>
      <w:r w:rsidRPr="00F26B25">
        <w:t xml:space="preserve"> </w:t>
      </w:r>
      <w:r>
        <w:t xml:space="preserve">леветирацетам </w:t>
      </w:r>
      <w:r w:rsidRPr="00F26B25">
        <w:t>(</w:t>
      </w:r>
      <w:proofErr w:type="spellStart"/>
      <w:r>
        <w:rPr>
          <w:lang w:val="en-US"/>
        </w:rPr>
        <w:t>levetiracetam</w:t>
      </w:r>
      <w:proofErr w:type="spellEnd"/>
      <w:r w:rsidRPr="00F26B25">
        <w:t>).</w:t>
      </w:r>
    </w:p>
    <w:p w14:paraId="614984C4" w14:textId="578C8711" w:rsidR="008A6AF2" w:rsidRDefault="00DD466D" w:rsidP="002C50EE">
      <w:pPr>
        <w:pStyle w:val="Heading1"/>
      </w:pPr>
      <w:r>
        <w:t>3. ЛЕКАРСТВЕНА ФОРМА</w:t>
      </w:r>
    </w:p>
    <w:p w14:paraId="45267DE7" w14:textId="70B8E1E1" w:rsidR="00F26B25" w:rsidRDefault="00F26B25" w:rsidP="00F26B25"/>
    <w:p w14:paraId="02C5906A"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Филмирана таблетка</w:t>
      </w:r>
    </w:p>
    <w:p w14:paraId="7041F3C5"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 xml:space="preserve">Ноепикс 250 </w:t>
      </w:r>
      <w:r w:rsidRPr="00F26B25">
        <w:rPr>
          <w:rFonts w:eastAsia="Times New Roman" w:cs="Arial"/>
          <w:color w:val="000000"/>
          <w:u w:val="single"/>
          <w:lang w:val="en-US"/>
        </w:rPr>
        <w:t>mg</w:t>
      </w:r>
      <w:r w:rsidRPr="00F26B25">
        <w:rPr>
          <w:rFonts w:eastAsia="Times New Roman" w:cs="Arial"/>
          <w:color w:val="000000"/>
          <w:u w:val="single"/>
          <w:lang w:val="ru-RU"/>
        </w:rPr>
        <w:t xml:space="preserve"> </w:t>
      </w:r>
      <w:r w:rsidRPr="00F26B25">
        <w:rPr>
          <w:rFonts w:eastAsia="Times New Roman" w:cs="Arial"/>
          <w:color w:val="000000"/>
          <w:u w:val="single"/>
          <w:lang w:eastAsia="bg-BG"/>
        </w:rPr>
        <w:t>филмирани таблетки:</w:t>
      </w:r>
    </w:p>
    <w:p w14:paraId="2D31AE6D"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Елипсовидни, светлосини, с размери 13,6 х 6,4 </w:t>
      </w:r>
      <w:r w:rsidRPr="00F26B25">
        <w:rPr>
          <w:rFonts w:eastAsia="Times New Roman" w:cs="Arial"/>
          <w:color w:val="000000"/>
          <w:lang w:val="en-US"/>
        </w:rPr>
        <w:t>mm</w:t>
      </w:r>
      <w:r w:rsidRPr="00F26B25">
        <w:rPr>
          <w:rFonts w:eastAsia="Times New Roman" w:cs="Arial"/>
          <w:color w:val="000000"/>
          <w:lang w:val="ru-RU"/>
        </w:rPr>
        <w:t xml:space="preserve">, </w:t>
      </w:r>
      <w:r w:rsidRPr="00F26B25">
        <w:rPr>
          <w:rFonts w:eastAsia="Times New Roman" w:cs="Arial"/>
          <w:color w:val="000000"/>
          <w:lang w:eastAsia="bg-BG"/>
        </w:rPr>
        <w:t xml:space="preserve">маркирани с </w:t>
      </w:r>
      <w:r w:rsidRPr="00F26B25">
        <w:rPr>
          <w:rFonts w:eastAsia="Times New Roman" w:cs="Arial"/>
          <w:color w:val="000000"/>
          <w:lang w:val="ru-RU"/>
        </w:rPr>
        <w:t>“</w:t>
      </w:r>
      <w:r w:rsidRPr="00F26B25">
        <w:rPr>
          <w:rFonts w:eastAsia="Times New Roman" w:cs="Arial"/>
          <w:color w:val="000000"/>
          <w:lang w:val="en-US"/>
        </w:rPr>
        <w:t>L</w:t>
      </w:r>
      <w:r w:rsidRPr="00F26B25">
        <w:rPr>
          <w:rFonts w:eastAsia="Times New Roman" w:cs="Arial"/>
          <w:color w:val="000000"/>
          <w:lang w:val="ru-RU"/>
        </w:rPr>
        <w:t xml:space="preserve">” </w:t>
      </w:r>
      <w:r w:rsidRPr="00F26B25">
        <w:rPr>
          <w:rFonts w:eastAsia="Times New Roman" w:cs="Arial"/>
          <w:color w:val="000000"/>
          <w:lang w:eastAsia="bg-BG"/>
        </w:rPr>
        <w:t>от едната страна и “250” от другата страна.</w:t>
      </w:r>
    </w:p>
    <w:p w14:paraId="1CCAAE68" w14:textId="77777777" w:rsidR="00F26B25" w:rsidRPr="00F26B25" w:rsidRDefault="00F26B25" w:rsidP="00F26B25">
      <w:pPr>
        <w:spacing w:line="240" w:lineRule="auto"/>
        <w:rPr>
          <w:rFonts w:eastAsia="Times New Roman" w:cs="Arial"/>
          <w:color w:val="000000"/>
          <w:u w:val="single"/>
          <w:lang w:eastAsia="bg-BG"/>
        </w:rPr>
      </w:pPr>
    </w:p>
    <w:p w14:paraId="65FD5EB1" w14:textId="31E44227"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 xml:space="preserve">Ноепикс 500 </w:t>
      </w:r>
      <w:r w:rsidRPr="00F26B25">
        <w:rPr>
          <w:rFonts w:eastAsia="Times New Roman" w:cs="Arial"/>
          <w:color w:val="000000"/>
          <w:u w:val="single"/>
          <w:lang w:val="en-US"/>
        </w:rPr>
        <w:t>mg</w:t>
      </w:r>
      <w:r w:rsidRPr="00F26B25">
        <w:rPr>
          <w:rFonts w:eastAsia="Times New Roman" w:cs="Arial"/>
          <w:color w:val="000000"/>
          <w:u w:val="single"/>
          <w:lang w:val="ru-RU"/>
        </w:rPr>
        <w:t xml:space="preserve"> </w:t>
      </w:r>
      <w:r w:rsidRPr="00F26B25">
        <w:rPr>
          <w:rFonts w:eastAsia="Times New Roman" w:cs="Arial"/>
          <w:color w:val="000000"/>
          <w:u w:val="single"/>
          <w:lang w:eastAsia="bg-BG"/>
        </w:rPr>
        <w:t>филмирани таблетки:</w:t>
      </w:r>
    </w:p>
    <w:p w14:paraId="44269700"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Елипсовидни, жълти, с размери 17,1 х 8,1 </w:t>
      </w:r>
      <w:r w:rsidRPr="00F26B25">
        <w:rPr>
          <w:rFonts w:eastAsia="Times New Roman" w:cs="Arial"/>
          <w:color w:val="000000"/>
          <w:lang w:val="en-US"/>
        </w:rPr>
        <w:t>mm</w:t>
      </w:r>
      <w:r w:rsidRPr="00F26B25">
        <w:rPr>
          <w:rFonts w:eastAsia="Times New Roman" w:cs="Arial"/>
          <w:color w:val="000000"/>
          <w:lang w:val="ru-RU"/>
        </w:rPr>
        <w:t xml:space="preserve">, </w:t>
      </w:r>
      <w:r w:rsidRPr="00F26B25">
        <w:rPr>
          <w:rFonts w:eastAsia="Times New Roman" w:cs="Arial"/>
          <w:color w:val="000000"/>
          <w:lang w:eastAsia="bg-BG"/>
        </w:rPr>
        <w:t xml:space="preserve">маркирани с </w:t>
      </w:r>
      <w:r w:rsidRPr="00F26B25">
        <w:rPr>
          <w:rFonts w:eastAsia="Times New Roman" w:cs="Arial"/>
          <w:color w:val="000000"/>
          <w:lang w:val="ru-RU"/>
        </w:rPr>
        <w:t>“</w:t>
      </w:r>
      <w:r w:rsidRPr="00F26B25">
        <w:rPr>
          <w:rFonts w:eastAsia="Times New Roman" w:cs="Arial"/>
          <w:color w:val="000000"/>
          <w:lang w:val="en-US"/>
        </w:rPr>
        <w:t>L</w:t>
      </w:r>
      <w:r w:rsidRPr="00F26B25">
        <w:rPr>
          <w:rFonts w:eastAsia="Times New Roman" w:cs="Arial"/>
          <w:color w:val="000000"/>
          <w:lang w:val="ru-RU"/>
        </w:rPr>
        <w:t xml:space="preserve">” </w:t>
      </w:r>
      <w:r w:rsidRPr="00F26B25">
        <w:rPr>
          <w:rFonts w:eastAsia="Times New Roman" w:cs="Arial"/>
          <w:color w:val="000000"/>
          <w:lang w:eastAsia="bg-BG"/>
        </w:rPr>
        <w:t>от едната страна и “500” от другата страна.</w:t>
      </w:r>
    </w:p>
    <w:p w14:paraId="4D9D9830" w14:textId="77777777" w:rsidR="00F26B25" w:rsidRPr="00F26B25" w:rsidRDefault="00F26B25" w:rsidP="00F26B25">
      <w:pPr>
        <w:spacing w:line="240" w:lineRule="auto"/>
        <w:rPr>
          <w:rFonts w:eastAsia="Times New Roman" w:cs="Arial"/>
          <w:color w:val="000000"/>
          <w:u w:val="single"/>
          <w:lang w:eastAsia="bg-BG"/>
        </w:rPr>
      </w:pPr>
    </w:p>
    <w:p w14:paraId="177BA7A8" w14:textId="697877EC"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 xml:space="preserve">Ноепикс 1 000 </w:t>
      </w:r>
      <w:r w:rsidRPr="00F26B25">
        <w:rPr>
          <w:rFonts w:eastAsia="Times New Roman" w:cs="Arial"/>
          <w:color w:val="000000"/>
          <w:u w:val="single"/>
          <w:lang w:val="en-US"/>
        </w:rPr>
        <w:t>mg</w:t>
      </w:r>
      <w:r w:rsidRPr="00F26B25">
        <w:rPr>
          <w:rFonts w:eastAsia="Times New Roman" w:cs="Arial"/>
          <w:color w:val="000000"/>
          <w:u w:val="single"/>
          <w:lang w:val="ru-RU"/>
        </w:rPr>
        <w:t xml:space="preserve"> </w:t>
      </w:r>
      <w:r w:rsidRPr="00F26B25">
        <w:rPr>
          <w:rFonts w:eastAsia="Times New Roman" w:cs="Arial"/>
          <w:color w:val="000000"/>
          <w:u w:val="single"/>
          <w:lang w:eastAsia="bg-BG"/>
        </w:rPr>
        <w:t>филмирани таблетки:</w:t>
      </w:r>
    </w:p>
    <w:p w14:paraId="7DDB8489"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Елипсовидни, бели, с размери 19,0 х 10,0 </w:t>
      </w:r>
      <w:r w:rsidRPr="00F26B25">
        <w:rPr>
          <w:rFonts w:eastAsia="Times New Roman" w:cs="Arial"/>
          <w:color w:val="000000"/>
          <w:lang w:val="en-US"/>
        </w:rPr>
        <w:t>mm</w:t>
      </w:r>
      <w:r w:rsidRPr="00F26B25">
        <w:rPr>
          <w:rFonts w:eastAsia="Times New Roman" w:cs="Arial"/>
          <w:color w:val="000000"/>
          <w:lang w:val="ru-RU"/>
        </w:rPr>
        <w:t xml:space="preserve">, </w:t>
      </w:r>
      <w:r w:rsidRPr="00F26B25">
        <w:rPr>
          <w:rFonts w:eastAsia="Times New Roman" w:cs="Arial"/>
          <w:color w:val="000000"/>
          <w:lang w:eastAsia="bg-BG"/>
        </w:rPr>
        <w:t xml:space="preserve">маркирани с </w:t>
      </w:r>
      <w:r w:rsidRPr="00F26B25">
        <w:rPr>
          <w:rFonts w:eastAsia="Times New Roman" w:cs="Arial"/>
          <w:color w:val="000000"/>
          <w:lang w:val="ru-RU"/>
        </w:rPr>
        <w:t>“</w:t>
      </w:r>
      <w:r w:rsidRPr="00F26B25">
        <w:rPr>
          <w:rFonts w:eastAsia="Times New Roman" w:cs="Arial"/>
          <w:color w:val="000000"/>
          <w:lang w:val="en-US"/>
        </w:rPr>
        <w:t>L</w:t>
      </w:r>
      <w:r w:rsidRPr="00F26B25">
        <w:rPr>
          <w:rFonts w:eastAsia="Times New Roman" w:cs="Arial"/>
          <w:color w:val="000000"/>
          <w:lang w:val="ru-RU"/>
        </w:rPr>
        <w:t xml:space="preserve">” </w:t>
      </w:r>
      <w:r w:rsidRPr="00F26B25">
        <w:rPr>
          <w:rFonts w:eastAsia="Times New Roman" w:cs="Arial"/>
          <w:color w:val="000000"/>
          <w:lang w:eastAsia="bg-BG"/>
        </w:rPr>
        <w:t>от едната страна и “1 000” от другата страна.</w:t>
      </w:r>
    </w:p>
    <w:p w14:paraId="7FBE6234" w14:textId="77777777" w:rsidR="00F26B25" w:rsidRPr="00F26B25" w:rsidRDefault="00F26B25" w:rsidP="00F26B25"/>
    <w:p w14:paraId="490FC2C4" w14:textId="0F4A4A75" w:rsidR="002C50EE" w:rsidRDefault="002C50EE" w:rsidP="002C50EE">
      <w:pPr>
        <w:pStyle w:val="Heading1"/>
      </w:pPr>
      <w:r>
        <w:t>4. КЛИНИЧНИ ДАННИ</w:t>
      </w:r>
    </w:p>
    <w:p w14:paraId="74330405" w14:textId="03B42E22" w:rsidR="007122AD" w:rsidRDefault="002C50EE" w:rsidP="00936AD0">
      <w:pPr>
        <w:pStyle w:val="Heading2"/>
      </w:pPr>
      <w:r>
        <w:t>4.1. Терапевтични показания</w:t>
      </w:r>
    </w:p>
    <w:p w14:paraId="325A7624" w14:textId="537307DD" w:rsidR="00F26B25" w:rsidRDefault="00F26B25" w:rsidP="00F26B25"/>
    <w:p w14:paraId="623BD907" w14:textId="77777777" w:rsidR="00F26B25" w:rsidRPr="00F26B25" w:rsidRDefault="00F26B25" w:rsidP="00F26B25">
      <w:pPr>
        <w:spacing w:line="240" w:lineRule="auto"/>
        <w:rPr>
          <w:rFonts w:eastAsia="Times New Roman" w:cs="Arial"/>
          <w:color w:val="000000"/>
          <w:lang w:eastAsia="bg-BG"/>
        </w:rPr>
      </w:pPr>
      <w:r w:rsidRPr="00F26B25">
        <w:rPr>
          <w:rFonts w:eastAsia="Times New Roman" w:cs="Arial"/>
          <w:color w:val="000000"/>
          <w:lang w:eastAsia="bg-BG"/>
        </w:rPr>
        <w:t xml:space="preserve">Ноепикс е показан за монотерапия при лечението на парциални пристъпи със или без вторична </w:t>
      </w:r>
    </w:p>
    <w:p w14:paraId="2A6798BC" w14:textId="5155C38D"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генерализация при възрастни и юноши на 16 и повече години с новодиагностицирана епилепсия.</w:t>
      </w:r>
    </w:p>
    <w:p w14:paraId="3A66C345" w14:textId="77777777" w:rsidR="00F26B25" w:rsidRPr="00F26B25" w:rsidRDefault="00F26B25" w:rsidP="00F26B25">
      <w:pPr>
        <w:spacing w:line="240" w:lineRule="auto"/>
        <w:rPr>
          <w:rFonts w:eastAsia="Times New Roman" w:cs="Arial"/>
          <w:color w:val="000000"/>
          <w:lang w:eastAsia="bg-BG"/>
        </w:rPr>
      </w:pPr>
    </w:p>
    <w:p w14:paraId="635B24CF" w14:textId="2D01D575"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Ноепикс е показан за допълващо лечение на:</w:t>
      </w:r>
    </w:p>
    <w:p w14:paraId="793FC4DD" w14:textId="77777777" w:rsidR="00F26B25" w:rsidRPr="00F26B25" w:rsidRDefault="00F26B25" w:rsidP="00F26B25">
      <w:pPr>
        <w:pStyle w:val="ListParagraph"/>
        <w:numPr>
          <w:ilvl w:val="0"/>
          <w:numId w:val="37"/>
        </w:numPr>
        <w:spacing w:line="240" w:lineRule="auto"/>
        <w:rPr>
          <w:rFonts w:eastAsia="Times New Roman" w:cs="Arial"/>
          <w:color w:val="000000"/>
          <w:lang w:eastAsia="bg-BG"/>
        </w:rPr>
      </w:pPr>
      <w:r w:rsidRPr="00F26B25">
        <w:rPr>
          <w:rFonts w:eastAsia="Times New Roman" w:cs="Arial"/>
          <w:color w:val="000000"/>
          <w:lang w:eastAsia="bg-BG"/>
        </w:rPr>
        <w:t>парциални пристъпи със или без вторична генерализация при възрастни, юноши, деца и кърмачета на 1 месец и повече с епилепсия,</w:t>
      </w:r>
    </w:p>
    <w:p w14:paraId="36B1824F" w14:textId="77777777" w:rsidR="00F26B25" w:rsidRPr="00F26B25" w:rsidRDefault="00F26B25" w:rsidP="00F26B25">
      <w:pPr>
        <w:pStyle w:val="ListParagraph"/>
        <w:numPr>
          <w:ilvl w:val="0"/>
          <w:numId w:val="37"/>
        </w:numPr>
        <w:spacing w:line="240" w:lineRule="auto"/>
        <w:rPr>
          <w:rFonts w:eastAsia="Times New Roman" w:cs="Arial"/>
          <w:color w:val="000000"/>
          <w:lang w:eastAsia="bg-BG"/>
        </w:rPr>
      </w:pPr>
      <w:r w:rsidRPr="00F26B25">
        <w:rPr>
          <w:rFonts w:eastAsia="Times New Roman" w:cs="Arial"/>
          <w:color w:val="000000"/>
          <w:lang w:eastAsia="bg-BG"/>
        </w:rPr>
        <w:lastRenderedPageBreak/>
        <w:t>миоклонични пристъпи при възрастни и юноши на 12 и повече години с ювенилна миоклонична епилепсия.</w:t>
      </w:r>
    </w:p>
    <w:p w14:paraId="7F017961" w14:textId="52E0DC73" w:rsidR="00F26B25" w:rsidRDefault="00F26B25" w:rsidP="00F26B25">
      <w:pPr>
        <w:pStyle w:val="ListParagraph"/>
        <w:numPr>
          <w:ilvl w:val="0"/>
          <w:numId w:val="37"/>
        </w:numPr>
        <w:spacing w:line="240" w:lineRule="auto"/>
        <w:rPr>
          <w:rFonts w:ascii="Times New Roman" w:eastAsia="Times New Roman" w:hAnsi="Times New Roman" w:cs="Times New Roman"/>
          <w:color w:val="000000"/>
          <w:lang w:eastAsia="bg-BG"/>
        </w:rPr>
      </w:pPr>
      <w:r w:rsidRPr="00F26B25">
        <w:rPr>
          <w:rFonts w:eastAsia="Times New Roman" w:cs="Arial"/>
          <w:color w:val="000000"/>
          <w:lang w:eastAsia="bg-BG"/>
        </w:rPr>
        <w:t>първично генерализирани тонично-клонични пристъпи при възрастни и юноши на 12 и повече години с идиопатична генерализирана епилепсия.</w:t>
      </w:r>
    </w:p>
    <w:p w14:paraId="17761A1F" w14:textId="77777777" w:rsidR="00F26B25" w:rsidRPr="00F26B25" w:rsidRDefault="00F26B25" w:rsidP="00F26B25">
      <w:pPr>
        <w:spacing w:line="240" w:lineRule="auto"/>
        <w:rPr>
          <w:rFonts w:ascii="Times New Roman" w:eastAsia="Times New Roman" w:hAnsi="Times New Roman" w:cs="Times New Roman"/>
          <w:color w:val="000000"/>
          <w:lang w:eastAsia="bg-BG"/>
        </w:rPr>
      </w:pPr>
    </w:p>
    <w:p w14:paraId="53F5B866" w14:textId="115EC5DF" w:rsidR="007122AD" w:rsidRDefault="002C50EE" w:rsidP="00936AD0">
      <w:pPr>
        <w:pStyle w:val="Heading2"/>
      </w:pPr>
      <w:r>
        <w:t>4.2. Дозировка и начин на приложение</w:t>
      </w:r>
    </w:p>
    <w:p w14:paraId="7BD9B6FA" w14:textId="6A4D9326" w:rsidR="00F26B25" w:rsidRDefault="00F26B25" w:rsidP="00F26B25"/>
    <w:p w14:paraId="176C27B6" w14:textId="77777777" w:rsidR="00F26B25" w:rsidRPr="00F26B25" w:rsidRDefault="00F26B25" w:rsidP="00F26B25">
      <w:pPr>
        <w:pStyle w:val="Heading3"/>
        <w:rPr>
          <w:rFonts w:eastAsia="Times New Roman"/>
          <w:u w:val="single"/>
        </w:rPr>
      </w:pPr>
      <w:r w:rsidRPr="00F26B25">
        <w:rPr>
          <w:rFonts w:eastAsia="Times New Roman"/>
          <w:u w:val="single"/>
          <w:lang w:eastAsia="bg-BG"/>
        </w:rPr>
        <w:t>Дозировка</w:t>
      </w:r>
    </w:p>
    <w:p w14:paraId="59DCA61E" w14:textId="77777777" w:rsidR="00F26B25" w:rsidRPr="00F26B25" w:rsidRDefault="00F26B25" w:rsidP="00F26B25">
      <w:pPr>
        <w:spacing w:line="240" w:lineRule="auto"/>
        <w:rPr>
          <w:rFonts w:eastAsia="Times New Roman" w:cs="Arial"/>
          <w:i/>
          <w:iCs/>
          <w:color w:val="000000"/>
          <w:lang w:eastAsia="bg-BG"/>
        </w:rPr>
      </w:pPr>
    </w:p>
    <w:p w14:paraId="2B3C1FB9" w14:textId="5CE860F6" w:rsidR="00F26B25" w:rsidRPr="00F26B25" w:rsidRDefault="00F26B25" w:rsidP="00F26B25">
      <w:pPr>
        <w:spacing w:line="240" w:lineRule="auto"/>
        <w:rPr>
          <w:rFonts w:eastAsia="Times New Roman" w:cs="Arial"/>
          <w:sz w:val="24"/>
          <w:szCs w:val="24"/>
        </w:rPr>
      </w:pPr>
      <w:r w:rsidRPr="00F26B25">
        <w:rPr>
          <w:rFonts w:eastAsia="Times New Roman" w:cs="Arial"/>
          <w:i/>
          <w:iCs/>
          <w:color w:val="000000"/>
          <w:lang w:eastAsia="bg-BG"/>
        </w:rPr>
        <w:t>Парциални пристъпи</w:t>
      </w:r>
    </w:p>
    <w:p w14:paraId="3C99D54C"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Препоръчителната доза за монотерапия (от 16 годишна възраст) и допълващо лечение е същата като посочената по-долу.</w:t>
      </w:r>
    </w:p>
    <w:p w14:paraId="17CF10ED" w14:textId="77777777" w:rsidR="00F26B25" w:rsidRPr="00F26B25" w:rsidRDefault="00F26B25" w:rsidP="00F26B25">
      <w:pPr>
        <w:spacing w:line="240" w:lineRule="auto"/>
        <w:rPr>
          <w:rFonts w:eastAsia="Times New Roman" w:cs="Arial"/>
          <w:i/>
          <w:iCs/>
          <w:color w:val="000000"/>
          <w:lang w:eastAsia="bg-BG"/>
        </w:rPr>
      </w:pPr>
    </w:p>
    <w:p w14:paraId="74989D52" w14:textId="2CAA2EB8" w:rsidR="00F26B25" w:rsidRPr="00F26B25" w:rsidRDefault="00F26B25" w:rsidP="00F26B25">
      <w:pPr>
        <w:spacing w:line="240" w:lineRule="auto"/>
        <w:rPr>
          <w:rFonts w:eastAsia="Times New Roman" w:cs="Arial"/>
          <w:sz w:val="24"/>
          <w:szCs w:val="24"/>
        </w:rPr>
      </w:pPr>
      <w:r w:rsidRPr="00F26B25">
        <w:rPr>
          <w:rFonts w:eastAsia="Times New Roman" w:cs="Arial"/>
          <w:i/>
          <w:iCs/>
          <w:color w:val="000000"/>
          <w:lang w:eastAsia="bg-BG"/>
        </w:rPr>
        <w:t>Всички показания</w:t>
      </w:r>
    </w:p>
    <w:p w14:paraId="2872F331" w14:textId="77777777" w:rsidR="00F26B25" w:rsidRPr="00F26B25" w:rsidRDefault="00F26B25" w:rsidP="00F26B25">
      <w:pPr>
        <w:spacing w:line="240" w:lineRule="auto"/>
        <w:rPr>
          <w:rFonts w:eastAsia="Times New Roman" w:cs="Arial"/>
          <w:i/>
          <w:iCs/>
          <w:color w:val="000000"/>
          <w:lang w:eastAsia="bg-BG"/>
        </w:rPr>
      </w:pPr>
    </w:p>
    <w:p w14:paraId="1DD85564" w14:textId="7DC923E5" w:rsidR="00F26B25" w:rsidRPr="00F26B25" w:rsidRDefault="00F26B25" w:rsidP="00F26B25">
      <w:pPr>
        <w:spacing w:line="240" w:lineRule="auto"/>
        <w:rPr>
          <w:rFonts w:eastAsia="Times New Roman" w:cs="Arial"/>
          <w:sz w:val="24"/>
          <w:szCs w:val="24"/>
        </w:rPr>
      </w:pPr>
      <w:r w:rsidRPr="00F26B25">
        <w:rPr>
          <w:rFonts w:eastAsia="Times New Roman" w:cs="Arial"/>
          <w:i/>
          <w:iCs/>
          <w:color w:val="000000"/>
          <w:lang w:eastAsia="bg-BG"/>
        </w:rPr>
        <w:t xml:space="preserve">Възрастни (≥18 години) и юноши (12 до 17 години) с тегло 50 </w:t>
      </w:r>
      <w:r w:rsidRPr="00F26B25">
        <w:rPr>
          <w:rFonts w:eastAsia="Times New Roman" w:cs="Arial"/>
          <w:i/>
          <w:iCs/>
          <w:color w:val="000000"/>
          <w:lang w:val="en-US"/>
        </w:rPr>
        <w:t>kg</w:t>
      </w:r>
      <w:r w:rsidRPr="00F26B25">
        <w:rPr>
          <w:rFonts w:eastAsia="Times New Roman" w:cs="Arial"/>
          <w:i/>
          <w:iCs/>
          <w:color w:val="000000"/>
          <w:lang w:val="ru-RU"/>
        </w:rPr>
        <w:t xml:space="preserve"> </w:t>
      </w:r>
      <w:r w:rsidRPr="00F26B25">
        <w:rPr>
          <w:rFonts w:eastAsia="Times New Roman" w:cs="Arial"/>
          <w:i/>
          <w:iCs/>
          <w:color w:val="000000"/>
          <w:lang w:eastAsia="bg-BG"/>
        </w:rPr>
        <w:t>или повече</w:t>
      </w:r>
    </w:p>
    <w:p w14:paraId="0F50A7E3"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Началната терапевтична доза е 500 </w:t>
      </w:r>
      <w:r w:rsidRPr="00F26B25">
        <w:rPr>
          <w:rFonts w:eastAsia="Times New Roman" w:cs="Arial"/>
          <w:color w:val="000000"/>
          <w:lang w:val="en-US"/>
        </w:rPr>
        <w:t>mg</w:t>
      </w:r>
      <w:r w:rsidRPr="00F26B25">
        <w:rPr>
          <w:rFonts w:eastAsia="Times New Roman" w:cs="Arial"/>
          <w:color w:val="000000"/>
          <w:lang w:val="ru-RU"/>
        </w:rPr>
        <w:t xml:space="preserve"> </w:t>
      </w:r>
      <w:r w:rsidRPr="00F26B25">
        <w:rPr>
          <w:rFonts w:eastAsia="Times New Roman" w:cs="Arial"/>
          <w:color w:val="000000"/>
          <w:lang w:eastAsia="bg-BG"/>
        </w:rPr>
        <w:t xml:space="preserve">два пъти дневно. Тази доза може да бъде започната от първия ден на лечението. Въпреки това, може да се започне с по-ниска начална доза от 250 </w:t>
      </w:r>
      <w:r w:rsidRPr="00F26B25">
        <w:rPr>
          <w:rFonts w:eastAsia="Times New Roman" w:cs="Arial"/>
          <w:color w:val="000000"/>
          <w:lang w:val="en-US"/>
        </w:rPr>
        <w:t>mg</w:t>
      </w:r>
      <w:r w:rsidRPr="00F26B25">
        <w:rPr>
          <w:rFonts w:eastAsia="Times New Roman" w:cs="Arial"/>
          <w:color w:val="000000"/>
          <w:lang w:val="ru-RU"/>
        </w:rPr>
        <w:t xml:space="preserve"> </w:t>
      </w:r>
      <w:r w:rsidRPr="00F26B25">
        <w:rPr>
          <w:rFonts w:eastAsia="Times New Roman" w:cs="Arial"/>
          <w:color w:val="000000"/>
          <w:lang w:eastAsia="bg-BG"/>
        </w:rPr>
        <w:t xml:space="preserve">два пъти дневно според преценката на лекаря на съотношението необходимост от намаляване на пристъпите спрямо потенциални нежелани ефекти. Тази доза може да се повиши до 500 </w:t>
      </w:r>
      <w:r w:rsidRPr="00F26B25">
        <w:rPr>
          <w:rFonts w:eastAsia="Times New Roman" w:cs="Arial"/>
          <w:color w:val="000000"/>
          <w:lang w:val="en-US"/>
        </w:rPr>
        <w:t>mg</w:t>
      </w:r>
      <w:r w:rsidRPr="00F26B25">
        <w:rPr>
          <w:rFonts w:eastAsia="Times New Roman" w:cs="Arial"/>
          <w:color w:val="000000"/>
          <w:lang w:val="ru-RU"/>
        </w:rPr>
        <w:t xml:space="preserve"> </w:t>
      </w:r>
      <w:r w:rsidRPr="00F26B25">
        <w:rPr>
          <w:rFonts w:eastAsia="Times New Roman" w:cs="Arial"/>
          <w:color w:val="000000"/>
          <w:lang w:eastAsia="bg-BG"/>
        </w:rPr>
        <w:t>два пъти дневно след две седмици.</w:t>
      </w:r>
    </w:p>
    <w:p w14:paraId="244558AD"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В зависимост от клиничния отговор и поносимост, дневната доза може да се повиши до 1 500 </w:t>
      </w:r>
      <w:r w:rsidRPr="00F26B25">
        <w:rPr>
          <w:rFonts w:eastAsia="Times New Roman" w:cs="Arial"/>
          <w:color w:val="000000"/>
          <w:lang w:val="en-US"/>
        </w:rPr>
        <w:t>mg</w:t>
      </w:r>
      <w:r w:rsidRPr="00F26B25">
        <w:rPr>
          <w:rFonts w:eastAsia="Times New Roman" w:cs="Arial"/>
          <w:color w:val="000000"/>
          <w:lang w:val="ru-RU"/>
        </w:rPr>
        <w:t xml:space="preserve"> </w:t>
      </w:r>
      <w:r w:rsidRPr="00F26B25">
        <w:rPr>
          <w:rFonts w:eastAsia="Times New Roman" w:cs="Arial"/>
          <w:color w:val="000000"/>
          <w:lang w:eastAsia="bg-BG"/>
        </w:rPr>
        <w:t xml:space="preserve">два пъти дневно. Промяна в дозата, свързана с увеличаване или намаляване, може да се извършва на всеки 2 до 4 седмици с по 250 </w:t>
      </w:r>
      <w:r w:rsidRPr="00F26B25">
        <w:rPr>
          <w:rFonts w:eastAsia="Times New Roman" w:cs="Arial"/>
          <w:color w:val="000000"/>
          <w:lang w:val="en-US"/>
        </w:rPr>
        <w:t>mg</w:t>
      </w:r>
      <w:r w:rsidRPr="00F26B25">
        <w:rPr>
          <w:rFonts w:eastAsia="Times New Roman" w:cs="Arial"/>
          <w:color w:val="000000"/>
          <w:lang w:val="ru-RU"/>
        </w:rPr>
        <w:t xml:space="preserve"> </w:t>
      </w:r>
      <w:r w:rsidRPr="00F26B25">
        <w:rPr>
          <w:rFonts w:eastAsia="Times New Roman" w:cs="Arial"/>
          <w:color w:val="000000"/>
          <w:lang w:eastAsia="bg-BG"/>
        </w:rPr>
        <w:t xml:space="preserve">или 500 </w:t>
      </w:r>
      <w:r w:rsidRPr="00F26B25">
        <w:rPr>
          <w:rFonts w:eastAsia="Times New Roman" w:cs="Arial"/>
          <w:color w:val="000000"/>
          <w:lang w:val="en-US"/>
        </w:rPr>
        <w:t>mg</w:t>
      </w:r>
      <w:r w:rsidRPr="00F26B25">
        <w:rPr>
          <w:rFonts w:eastAsia="Times New Roman" w:cs="Arial"/>
          <w:color w:val="000000"/>
          <w:lang w:val="ru-RU"/>
        </w:rPr>
        <w:t xml:space="preserve"> </w:t>
      </w:r>
      <w:r w:rsidRPr="00F26B25">
        <w:rPr>
          <w:rFonts w:eastAsia="Times New Roman" w:cs="Arial"/>
          <w:color w:val="000000"/>
          <w:lang w:eastAsia="bg-BG"/>
        </w:rPr>
        <w:t>два пъти дневно.</w:t>
      </w:r>
    </w:p>
    <w:p w14:paraId="51F0B6BA" w14:textId="77777777" w:rsidR="00F26B25" w:rsidRPr="00F26B25" w:rsidRDefault="00F26B25" w:rsidP="00F26B25">
      <w:pPr>
        <w:spacing w:line="240" w:lineRule="auto"/>
        <w:rPr>
          <w:rFonts w:eastAsia="Times New Roman" w:cs="Arial"/>
          <w:i/>
          <w:iCs/>
          <w:color w:val="000000"/>
          <w:lang w:eastAsia="bg-BG"/>
        </w:rPr>
      </w:pPr>
    </w:p>
    <w:p w14:paraId="1367BAF1" w14:textId="00DDA432" w:rsidR="00F26B25" w:rsidRPr="00F26B25" w:rsidRDefault="00F26B25" w:rsidP="00F26B25">
      <w:pPr>
        <w:spacing w:line="240" w:lineRule="auto"/>
        <w:rPr>
          <w:rFonts w:eastAsia="Times New Roman" w:cs="Arial"/>
          <w:sz w:val="24"/>
          <w:szCs w:val="24"/>
        </w:rPr>
      </w:pPr>
      <w:r w:rsidRPr="00F26B25">
        <w:rPr>
          <w:rFonts w:eastAsia="Times New Roman" w:cs="Arial"/>
          <w:i/>
          <w:iCs/>
          <w:color w:val="000000"/>
          <w:lang w:eastAsia="bg-BG"/>
        </w:rPr>
        <w:t>Юноши (12-1</w:t>
      </w:r>
      <w:r w:rsidRPr="00F26B25">
        <w:rPr>
          <w:rFonts w:eastAsia="Times New Roman" w:cs="Arial"/>
          <w:color w:val="000000"/>
          <w:lang w:eastAsia="bg-BG"/>
        </w:rPr>
        <w:t xml:space="preserve">7 </w:t>
      </w:r>
      <w:r w:rsidRPr="00F26B25">
        <w:rPr>
          <w:rFonts w:eastAsia="Times New Roman" w:cs="Arial"/>
          <w:i/>
          <w:iCs/>
          <w:color w:val="000000"/>
          <w:lang w:eastAsia="bg-BG"/>
        </w:rPr>
        <w:t xml:space="preserve">години) с тегло под 50 </w:t>
      </w:r>
      <w:r w:rsidRPr="00F26B25">
        <w:rPr>
          <w:rFonts w:eastAsia="Times New Roman" w:cs="Arial"/>
          <w:i/>
          <w:iCs/>
          <w:color w:val="000000"/>
          <w:lang w:val="en-US"/>
        </w:rPr>
        <w:t>kg</w:t>
      </w:r>
      <w:r w:rsidRPr="00F26B25">
        <w:rPr>
          <w:rFonts w:eastAsia="Times New Roman" w:cs="Arial"/>
          <w:i/>
          <w:iCs/>
          <w:color w:val="000000"/>
          <w:lang w:val="ru-RU"/>
        </w:rPr>
        <w:t xml:space="preserve"> </w:t>
      </w:r>
      <w:r w:rsidRPr="00F26B25">
        <w:rPr>
          <w:rFonts w:eastAsia="Times New Roman" w:cs="Arial"/>
          <w:i/>
          <w:iCs/>
          <w:color w:val="000000"/>
          <w:lang w:eastAsia="bg-BG"/>
        </w:rPr>
        <w:t>и деца на възраст от 1 месец нагоре</w:t>
      </w:r>
    </w:p>
    <w:p w14:paraId="0D7B7E14"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Лекарят трябва да предпише най-подходящата лекарствена и дозова форма и концентрация, в зависимост от теглото, възрастта и необходимата доза. Вижте точка </w:t>
      </w:r>
      <w:r w:rsidRPr="00F26B25">
        <w:rPr>
          <w:rFonts w:eastAsia="Times New Roman" w:cs="Arial"/>
          <w:i/>
          <w:iCs/>
          <w:color w:val="000000"/>
          <w:lang w:eastAsia="bg-BG"/>
        </w:rPr>
        <w:t>Педиатрична популация</w:t>
      </w:r>
      <w:r w:rsidRPr="00F26B25">
        <w:rPr>
          <w:rFonts w:eastAsia="Times New Roman" w:cs="Arial"/>
          <w:color w:val="000000"/>
          <w:lang w:eastAsia="bg-BG"/>
        </w:rPr>
        <w:t xml:space="preserve"> за корекция на дозата в зависимост от теглото.</w:t>
      </w:r>
    </w:p>
    <w:p w14:paraId="5E6989DC" w14:textId="77777777" w:rsidR="00F26B25" w:rsidRPr="00F26B25" w:rsidRDefault="00F26B25" w:rsidP="00F26B25">
      <w:pPr>
        <w:spacing w:line="240" w:lineRule="auto"/>
        <w:rPr>
          <w:rFonts w:eastAsia="Times New Roman" w:cs="Arial"/>
          <w:color w:val="000000"/>
          <w:u w:val="single"/>
          <w:lang w:eastAsia="bg-BG"/>
        </w:rPr>
      </w:pPr>
    </w:p>
    <w:p w14:paraId="55A08687" w14:textId="1A9EEFFD"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Спиране на лечението</w:t>
      </w:r>
    </w:p>
    <w:p w14:paraId="0CF8846F" w14:textId="77777777" w:rsidR="00F26B25" w:rsidRPr="00F26B25" w:rsidRDefault="00F26B25" w:rsidP="00F26B25">
      <w:pPr>
        <w:spacing w:line="240" w:lineRule="auto"/>
        <w:rPr>
          <w:rFonts w:eastAsia="Times New Roman" w:cs="Arial"/>
          <w:color w:val="000000"/>
          <w:lang w:eastAsia="bg-BG"/>
        </w:rPr>
      </w:pPr>
    </w:p>
    <w:p w14:paraId="0A55CAE7" w14:textId="11DAABAB"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Ако лечението с леветирацетам трябва да се прекрати се препоръчва това да се извърши постепенно (например при възрастни и юноши с тегло над 50 </w:t>
      </w:r>
      <w:r w:rsidRPr="00F26B25">
        <w:rPr>
          <w:rFonts w:eastAsia="Times New Roman" w:cs="Arial"/>
          <w:color w:val="000000"/>
          <w:lang w:val="en-US"/>
        </w:rPr>
        <w:t>kg</w:t>
      </w:r>
      <w:r w:rsidRPr="00F26B25">
        <w:rPr>
          <w:rFonts w:eastAsia="Times New Roman" w:cs="Arial"/>
          <w:color w:val="000000"/>
          <w:lang w:val="ru-RU"/>
        </w:rPr>
        <w:t xml:space="preserve">: </w:t>
      </w:r>
      <w:r w:rsidRPr="00F26B25">
        <w:rPr>
          <w:rFonts w:eastAsia="Times New Roman" w:cs="Arial"/>
          <w:color w:val="000000"/>
          <w:lang w:eastAsia="bg-BG"/>
        </w:rPr>
        <w:t xml:space="preserve">дозата се понижава с 500 </w:t>
      </w:r>
      <w:r w:rsidRPr="00F26B25">
        <w:rPr>
          <w:rFonts w:eastAsia="Times New Roman" w:cs="Arial"/>
          <w:color w:val="000000"/>
          <w:lang w:val="en-US"/>
        </w:rPr>
        <w:t>mg</w:t>
      </w:r>
      <w:r w:rsidRPr="00F26B25">
        <w:rPr>
          <w:rFonts w:eastAsia="Times New Roman" w:cs="Arial"/>
          <w:color w:val="000000"/>
          <w:lang w:val="ru-RU"/>
        </w:rPr>
        <w:t xml:space="preserve"> </w:t>
      </w:r>
      <w:r w:rsidRPr="00F26B25">
        <w:rPr>
          <w:rFonts w:eastAsia="Times New Roman" w:cs="Arial"/>
          <w:color w:val="000000"/>
          <w:lang w:eastAsia="bg-BG"/>
        </w:rPr>
        <w:t xml:space="preserve">два пъти дневно на всеки 2 до 4 седмици; при кърмачета над 6 месеца, деца и юноши с тегло под 50 </w:t>
      </w:r>
      <w:r w:rsidRPr="00F26B25">
        <w:rPr>
          <w:rFonts w:eastAsia="Times New Roman" w:cs="Arial"/>
          <w:color w:val="000000"/>
          <w:lang w:val="en-US"/>
        </w:rPr>
        <w:t>kg</w:t>
      </w:r>
      <w:r w:rsidRPr="00F26B25">
        <w:rPr>
          <w:rFonts w:eastAsia="Times New Roman" w:cs="Arial"/>
          <w:color w:val="000000"/>
          <w:lang w:val="ru-RU"/>
        </w:rPr>
        <w:t xml:space="preserve">: </w:t>
      </w:r>
      <w:r w:rsidRPr="00F26B25">
        <w:rPr>
          <w:rFonts w:eastAsia="Times New Roman" w:cs="Arial"/>
          <w:color w:val="000000"/>
          <w:lang w:eastAsia="bg-BG"/>
        </w:rPr>
        <w:t xml:space="preserve">понижаването на дозата не трябва да превишава 10 </w:t>
      </w:r>
      <w:r w:rsidRPr="00F26B25">
        <w:rPr>
          <w:rFonts w:eastAsia="Times New Roman" w:cs="Arial"/>
          <w:color w:val="000000"/>
          <w:lang w:val="en-US"/>
        </w:rPr>
        <w:t>mg</w:t>
      </w:r>
      <w:r w:rsidRPr="00F26B25">
        <w:rPr>
          <w:rFonts w:eastAsia="Times New Roman" w:cs="Arial"/>
          <w:color w:val="000000"/>
          <w:lang w:val="ru-RU"/>
        </w:rPr>
        <w:t>/</w:t>
      </w:r>
      <w:r w:rsidRPr="00F26B25">
        <w:rPr>
          <w:rFonts w:eastAsia="Times New Roman" w:cs="Arial"/>
          <w:color w:val="000000"/>
          <w:lang w:val="en-US"/>
        </w:rPr>
        <w:t>kg</w:t>
      </w:r>
      <w:r w:rsidRPr="00F26B25">
        <w:rPr>
          <w:rFonts w:eastAsia="Times New Roman" w:cs="Arial"/>
          <w:color w:val="000000"/>
          <w:lang w:val="ru-RU"/>
        </w:rPr>
        <w:t xml:space="preserve"> </w:t>
      </w:r>
      <w:r w:rsidRPr="00F26B25">
        <w:rPr>
          <w:rFonts w:eastAsia="Times New Roman" w:cs="Arial"/>
          <w:color w:val="000000"/>
          <w:lang w:eastAsia="bg-BG"/>
        </w:rPr>
        <w:t xml:space="preserve">два пъти дневно на всеки две седмици; при кърмачета (под 6 месеца): понижаване на дозата не трябва да превишава 7 </w:t>
      </w:r>
      <w:r w:rsidRPr="00F26B25">
        <w:rPr>
          <w:rFonts w:eastAsia="Times New Roman" w:cs="Arial"/>
          <w:color w:val="000000"/>
          <w:lang w:val="en-US"/>
        </w:rPr>
        <w:t>mg</w:t>
      </w:r>
      <w:r w:rsidRPr="00F26B25">
        <w:rPr>
          <w:rFonts w:eastAsia="Times New Roman" w:cs="Arial"/>
          <w:color w:val="000000"/>
          <w:lang w:val="ru-RU"/>
        </w:rPr>
        <w:t>/</w:t>
      </w:r>
      <w:r w:rsidRPr="00F26B25">
        <w:rPr>
          <w:rFonts w:eastAsia="Times New Roman" w:cs="Arial"/>
          <w:color w:val="000000"/>
          <w:lang w:val="en-US"/>
        </w:rPr>
        <w:t>kg</w:t>
      </w:r>
      <w:r w:rsidRPr="00F26B25">
        <w:rPr>
          <w:rFonts w:eastAsia="Times New Roman" w:cs="Arial"/>
          <w:color w:val="000000"/>
          <w:lang w:val="ru-RU"/>
        </w:rPr>
        <w:t xml:space="preserve"> </w:t>
      </w:r>
      <w:r w:rsidRPr="00F26B25">
        <w:rPr>
          <w:rFonts w:eastAsia="Times New Roman" w:cs="Arial"/>
          <w:color w:val="000000"/>
          <w:lang w:eastAsia="bg-BG"/>
        </w:rPr>
        <w:t>два пъти дневно, на всеки две седмици).</w:t>
      </w:r>
    </w:p>
    <w:p w14:paraId="0C8701BC" w14:textId="77777777" w:rsidR="00F26B25" w:rsidRPr="00F26B25" w:rsidRDefault="00F26B25" w:rsidP="00F26B25">
      <w:pPr>
        <w:spacing w:line="240" w:lineRule="auto"/>
        <w:rPr>
          <w:rFonts w:eastAsia="Times New Roman" w:cs="Arial"/>
          <w:color w:val="000000"/>
          <w:u w:val="single"/>
          <w:lang w:eastAsia="bg-BG"/>
        </w:rPr>
      </w:pPr>
    </w:p>
    <w:p w14:paraId="1855BBF0" w14:textId="5F9C5C1F" w:rsidR="00F26B25" w:rsidRPr="00F26B25" w:rsidRDefault="00F26B25" w:rsidP="00F26B25">
      <w:pPr>
        <w:spacing w:line="240" w:lineRule="auto"/>
        <w:rPr>
          <w:rFonts w:eastAsia="Times New Roman" w:cs="Arial"/>
          <w:color w:val="000000"/>
          <w:u w:val="single"/>
          <w:lang w:eastAsia="bg-BG"/>
        </w:rPr>
      </w:pPr>
      <w:r w:rsidRPr="00F26B25">
        <w:rPr>
          <w:rFonts w:eastAsia="Times New Roman" w:cs="Arial"/>
          <w:color w:val="000000"/>
          <w:u w:val="single"/>
          <w:lang w:eastAsia="bg-BG"/>
        </w:rPr>
        <w:t>Специални популации</w:t>
      </w:r>
    </w:p>
    <w:p w14:paraId="48CC4145" w14:textId="77777777" w:rsidR="00F26B25" w:rsidRPr="00F26B25" w:rsidRDefault="00F26B25" w:rsidP="00F26B25">
      <w:pPr>
        <w:spacing w:line="240" w:lineRule="auto"/>
        <w:rPr>
          <w:rFonts w:eastAsia="Times New Roman" w:cs="Arial"/>
          <w:i/>
          <w:iCs/>
          <w:color w:val="000000"/>
          <w:lang w:eastAsia="bg-BG"/>
        </w:rPr>
      </w:pPr>
    </w:p>
    <w:p w14:paraId="2C17AC9F" w14:textId="325A2F10" w:rsidR="00F26B25" w:rsidRPr="00F26B25" w:rsidRDefault="00F26B25" w:rsidP="00F26B25">
      <w:pPr>
        <w:spacing w:line="240" w:lineRule="auto"/>
        <w:rPr>
          <w:rFonts w:eastAsia="Times New Roman" w:cs="Arial"/>
          <w:sz w:val="24"/>
          <w:szCs w:val="24"/>
        </w:rPr>
      </w:pPr>
      <w:r w:rsidRPr="00F26B25">
        <w:rPr>
          <w:rFonts w:eastAsia="Times New Roman" w:cs="Arial"/>
          <w:i/>
          <w:iCs/>
          <w:color w:val="000000"/>
          <w:lang w:eastAsia="bg-BG"/>
        </w:rPr>
        <w:t>Старческа възраст (на 65 и повече години)</w:t>
      </w:r>
    </w:p>
    <w:p w14:paraId="23461FB6"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Препоръчва се адаптиране на дозата при пациенти в старческа възраст с нарушена бъбречна функция (вж. по-долу “Бъбречно увреждане”).</w:t>
      </w:r>
    </w:p>
    <w:p w14:paraId="550FC65C" w14:textId="77777777" w:rsidR="00F26B25" w:rsidRPr="00F26B25" w:rsidRDefault="00F26B25" w:rsidP="00F26B25">
      <w:pPr>
        <w:spacing w:line="240" w:lineRule="auto"/>
        <w:rPr>
          <w:rFonts w:eastAsia="Times New Roman" w:cs="Arial"/>
          <w:i/>
          <w:iCs/>
          <w:color w:val="000000"/>
          <w:lang w:eastAsia="bg-BG"/>
        </w:rPr>
      </w:pPr>
    </w:p>
    <w:p w14:paraId="543B5BB0" w14:textId="5EF0C058" w:rsidR="00F26B25" w:rsidRPr="00F26B25" w:rsidRDefault="00F26B25" w:rsidP="00F26B25">
      <w:pPr>
        <w:spacing w:line="240" w:lineRule="auto"/>
        <w:rPr>
          <w:rFonts w:eastAsia="Times New Roman" w:cs="Arial"/>
          <w:sz w:val="24"/>
          <w:szCs w:val="24"/>
        </w:rPr>
      </w:pPr>
      <w:r w:rsidRPr="00F26B25">
        <w:rPr>
          <w:rFonts w:eastAsia="Times New Roman" w:cs="Arial"/>
          <w:i/>
          <w:iCs/>
          <w:color w:val="000000"/>
          <w:lang w:eastAsia="bg-BG"/>
        </w:rPr>
        <w:t>Бъбречно увреждане</w:t>
      </w:r>
    </w:p>
    <w:p w14:paraId="04394F39"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Дневната доза трябва да се индивидуализира в зависимост от бъбречната функция.</w:t>
      </w:r>
    </w:p>
    <w:p w14:paraId="1301CC6F" w14:textId="77777777" w:rsidR="00F26B25" w:rsidRPr="00F26B25" w:rsidRDefault="00F26B25" w:rsidP="00F26B25">
      <w:pPr>
        <w:spacing w:line="240" w:lineRule="auto"/>
        <w:rPr>
          <w:rFonts w:eastAsia="Times New Roman" w:cs="Arial"/>
          <w:color w:val="000000"/>
          <w:lang w:eastAsia="bg-BG"/>
        </w:rPr>
      </w:pPr>
    </w:p>
    <w:p w14:paraId="25A100D8" w14:textId="470C7B51" w:rsidR="00F26B25" w:rsidRPr="00F26B25" w:rsidRDefault="00F26B25" w:rsidP="00F26B25">
      <w:pPr>
        <w:spacing w:line="240" w:lineRule="auto"/>
        <w:rPr>
          <w:rFonts w:eastAsia="Times New Roman" w:cs="Arial"/>
          <w:color w:val="000000"/>
          <w:lang w:eastAsia="bg-BG"/>
        </w:rPr>
      </w:pPr>
      <w:r w:rsidRPr="00F26B25">
        <w:rPr>
          <w:rFonts w:eastAsia="Times New Roman" w:cs="Arial"/>
          <w:color w:val="000000"/>
          <w:lang w:eastAsia="bg-BG"/>
        </w:rPr>
        <w:t xml:space="preserve">При възрастни пациенти използвайте приложената по-долу таблица за адаптиране на дозата. За прилагане на тази таблица е необходимо да се знае креатининовия клирънс на </w:t>
      </w:r>
      <w:r w:rsidRPr="00F26B25">
        <w:rPr>
          <w:rFonts w:eastAsia="Times New Roman" w:cs="Arial"/>
          <w:color w:val="000000"/>
          <w:lang w:eastAsia="bg-BG"/>
        </w:rPr>
        <w:lastRenderedPageBreak/>
        <w:t xml:space="preserve">пациента, изразен в </w:t>
      </w:r>
      <w:r w:rsidRPr="00F26B25">
        <w:rPr>
          <w:rFonts w:eastAsia="Times New Roman" w:cs="Arial"/>
          <w:color w:val="000000"/>
          <w:lang w:val="en-US"/>
        </w:rPr>
        <w:t>ml</w:t>
      </w:r>
      <w:r w:rsidRPr="00F26B25">
        <w:rPr>
          <w:rFonts w:eastAsia="Times New Roman" w:cs="Arial"/>
          <w:color w:val="000000"/>
          <w:lang w:val="ru-RU"/>
        </w:rPr>
        <w:t>/</w:t>
      </w:r>
      <w:r w:rsidRPr="00F26B25">
        <w:rPr>
          <w:rFonts w:eastAsia="Times New Roman" w:cs="Arial"/>
          <w:color w:val="000000"/>
          <w:lang w:val="en-US"/>
        </w:rPr>
        <w:t>min</w:t>
      </w:r>
      <w:r w:rsidRPr="00F26B25">
        <w:rPr>
          <w:rFonts w:eastAsia="Times New Roman" w:cs="Arial"/>
          <w:color w:val="000000"/>
          <w:lang w:val="ru-RU"/>
        </w:rPr>
        <w:t xml:space="preserve"> (</w:t>
      </w:r>
      <w:proofErr w:type="spellStart"/>
      <w:r w:rsidRPr="00F26B25">
        <w:rPr>
          <w:rFonts w:eastAsia="Times New Roman" w:cs="Arial"/>
          <w:color w:val="000000"/>
          <w:lang w:val="en-US"/>
        </w:rPr>
        <w:t>CLcr</w:t>
      </w:r>
      <w:proofErr w:type="spellEnd"/>
      <w:r w:rsidRPr="00F26B25">
        <w:rPr>
          <w:rFonts w:eastAsia="Times New Roman" w:cs="Arial"/>
          <w:color w:val="000000"/>
          <w:lang w:val="ru-RU"/>
        </w:rPr>
        <w:t xml:space="preserve">). </w:t>
      </w:r>
      <w:r w:rsidRPr="00F26B25">
        <w:rPr>
          <w:rFonts w:eastAsia="Times New Roman" w:cs="Arial"/>
          <w:color w:val="000000"/>
          <w:lang w:eastAsia="bg-BG"/>
        </w:rPr>
        <w:t xml:space="preserve">При възрастни и юноши с тегло над 50 </w:t>
      </w:r>
      <w:r w:rsidRPr="00F26B25">
        <w:rPr>
          <w:rFonts w:eastAsia="Times New Roman" w:cs="Arial"/>
          <w:color w:val="000000"/>
          <w:lang w:val="en-US"/>
        </w:rPr>
        <w:t>kg</w:t>
      </w:r>
      <w:r w:rsidRPr="00F26B25">
        <w:rPr>
          <w:rFonts w:eastAsia="Times New Roman" w:cs="Arial"/>
          <w:color w:val="000000"/>
          <w:lang w:val="ru-RU"/>
        </w:rPr>
        <w:t xml:space="preserve"> </w:t>
      </w:r>
      <w:proofErr w:type="spellStart"/>
      <w:r w:rsidRPr="00F26B25">
        <w:rPr>
          <w:rFonts w:eastAsia="Times New Roman" w:cs="Arial"/>
          <w:color w:val="000000"/>
          <w:lang w:val="en-US"/>
        </w:rPr>
        <w:t>CLcr</w:t>
      </w:r>
      <w:proofErr w:type="spellEnd"/>
      <w:r w:rsidRPr="00F26B25">
        <w:rPr>
          <w:rFonts w:eastAsia="Times New Roman" w:cs="Arial"/>
          <w:color w:val="000000"/>
          <w:lang w:val="ru-RU"/>
        </w:rPr>
        <w:t xml:space="preserve"> </w:t>
      </w:r>
      <w:r w:rsidRPr="00F26B25">
        <w:rPr>
          <w:rFonts w:eastAsia="Times New Roman" w:cs="Arial"/>
          <w:color w:val="000000"/>
          <w:lang w:eastAsia="bg-BG"/>
        </w:rPr>
        <w:t xml:space="preserve">в </w:t>
      </w:r>
      <w:r w:rsidRPr="00F26B25">
        <w:rPr>
          <w:rFonts w:eastAsia="Times New Roman" w:cs="Arial"/>
          <w:color w:val="000000"/>
          <w:lang w:val="en-US"/>
        </w:rPr>
        <w:t>ml</w:t>
      </w:r>
      <w:r w:rsidRPr="00F26B25">
        <w:rPr>
          <w:rFonts w:eastAsia="Times New Roman" w:cs="Arial"/>
          <w:color w:val="000000"/>
          <w:lang w:val="ru-RU"/>
        </w:rPr>
        <w:t>/</w:t>
      </w:r>
      <w:r w:rsidRPr="00F26B25">
        <w:rPr>
          <w:rFonts w:eastAsia="Times New Roman" w:cs="Arial"/>
          <w:color w:val="000000"/>
          <w:lang w:val="en-US"/>
        </w:rPr>
        <w:t>min</w:t>
      </w:r>
      <w:r w:rsidRPr="00F26B25">
        <w:rPr>
          <w:rFonts w:eastAsia="Times New Roman" w:cs="Arial"/>
          <w:color w:val="000000"/>
          <w:lang w:val="ru-RU"/>
        </w:rPr>
        <w:t xml:space="preserve"> </w:t>
      </w:r>
      <w:r w:rsidRPr="00F26B25">
        <w:rPr>
          <w:rFonts w:eastAsia="Times New Roman" w:cs="Arial"/>
          <w:color w:val="000000"/>
          <w:lang w:eastAsia="bg-BG"/>
        </w:rPr>
        <w:t xml:space="preserve">може да се определи от серумния креатинин </w:t>
      </w:r>
      <w:r w:rsidRPr="00F26B25">
        <w:rPr>
          <w:rFonts w:eastAsia="Times New Roman" w:cs="Arial"/>
          <w:color w:val="000000"/>
          <w:lang w:val="ru-RU"/>
        </w:rPr>
        <w:t>(</w:t>
      </w:r>
      <w:r w:rsidRPr="00F26B25">
        <w:rPr>
          <w:rFonts w:eastAsia="Times New Roman" w:cs="Arial"/>
          <w:color w:val="000000"/>
          <w:lang w:val="en-US"/>
        </w:rPr>
        <w:t>mg</w:t>
      </w:r>
      <w:r w:rsidRPr="00F26B25">
        <w:rPr>
          <w:rFonts w:eastAsia="Times New Roman" w:cs="Arial"/>
          <w:color w:val="000000"/>
          <w:lang w:val="ru-RU"/>
        </w:rPr>
        <w:t>/</w:t>
      </w:r>
      <w:r w:rsidRPr="00F26B25">
        <w:rPr>
          <w:rFonts w:eastAsia="Times New Roman" w:cs="Arial"/>
          <w:color w:val="000000"/>
          <w:lang w:val="en-US"/>
        </w:rPr>
        <w:t>dl</w:t>
      </w:r>
      <w:r w:rsidRPr="00F26B25">
        <w:rPr>
          <w:rFonts w:eastAsia="Times New Roman" w:cs="Arial"/>
          <w:color w:val="000000"/>
          <w:lang w:val="ru-RU"/>
        </w:rPr>
        <w:t xml:space="preserve">) </w:t>
      </w:r>
      <w:r w:rsidRPr="00F26B25">
        <w:rPr>
          <w:rFonts w:eastAsia="Times New Roman" w:cs="Arial"/>
          <w:color w:val="000000"/>
          <w:lang w:eastAsia="bg-BG"/>
        </w:rPr>
        <w:t>чрез следната формула:</w:t>
      </w:r>
    </w:p>
    <w:p w14:paraId="44E3A6B8" w14:textId="6C7FC7F1" w:rsidR="00F26B25" w:rsidRDefault="00F26B25" w:rsidP="00F26B25">
      <w:pPr>
        <w:spacing w:line="240" w:lineRule="auto"/>
        <w:rPr>
          <w:rFonts w:ascii="Times New Roman" w:eastAsia="Times New Roman" w:hAnsi="Times New Roman" w:cs="Times New Roman"/>
          <w:color w:val="000000"/>
          <w:lang w:eastAsia="bg-BG"/>
        </w:rPr>
      </w:pPr>
    </w:p>
    <w:p w14:paraId="7D26665A" w14:textId="0F053F47" w:rsidR="00F26B25" w:rsidRPr="00F26B25" w:rsidRDefault="00F26B25" w:rsidP="00F26B25">
      <w:pPr>
        <w:spacing w:line="240" w:lineRule="auto"/>
        <w:rPr>
          <w:rFonts w:eastAsia="Times New Roman" w:cs="Arial"/>
          <w:sz w:val="24"/>
          <w:szCs w:val="24"/>
        </w:rPr>
      </w:pPr>
      <m:oMathPara>
        <m:oMath>
          <m:r>
            <m:rPr>
              <m:sty m:val="p"/>
            </m:rPr>
            <w:rPr>
              <w:rFonts w:ascii="Cambria Math" w:hAnsi="Cambria Math" w:cs="Arial"/>
            </w:rPr>
            <m:t>CLcr (ml/min)=</m:t>
          </m:r>
          <m:f>
            <m:fPr>
              <m:ctrlPr>
                <w:rPr>
                  <w:rFonts w:ascii="Cambria Math" w:hAnsi="Cambria Math" w:cs="Arial"/>
                </w:rPr>
              </m:ctrlPr>
            </m:fPr>
            <m:num>
              <m:r>
                <m:rPr>
                  <m:sty m:val="p"/>
                </m:rPr>
                <w:rPr>
                  <w:rFonts w:ascii="Cambria Math" w:hAnsi="Cambria Math" w:cs="Arial"/>
                </w:rPr>
                <m:t xml:space="preserve">[140-възрастта (години)] х теглото </m:t>
              </m:r>
              <m:r>
                <m:rPr>
                  <m:sty m:val="p"/>
                </m:rPr>
                <w:rPr>
                  <w:rFonts w:ascii="Cambria Math" w:hAnsi="Cambria Math" w:cs="Arial"/>
                  <w:lang w:val="en-US"/>
                </w:rPr>
                <m:t>(kg)</m:t>
              </m:r>
            </m:num>
            <m:den>
              <m:r>
                <m:rPr>
                  <m:sty m:val="p"/>
                </m:rPr>
                <w:rPr>
                  <w:rFonts w:ascii="Cambria Math" w:hAnsi="Cambria Math" w:cs="Arial"/>
                </w:rPr>
                <m:t xml:space="preserve">72 х серумен креатинин </m:t>
              </m:r>
              <m:r>
                <m:rPr>
                  <m:sty m:val="p"/>
                </m:rPr>
                <w:rPr>
                  <w:rFonts w:ascii="Cambria Math" w:hAnsi="Cambria Math" w:cs="Arial"/>
                  <w:lang w:val="en-US"/>
                </w:rPr>
                <m:t>(mg/dl)</m:t>
              </m:r>
            </m:den>
          </m:f>
          <m:r>
            <m:rPr>
              <m:sty m:val="p"/>
            </m:rPr>
            <w:rPr>
              <w:rFonts w:ascii="Cambria Math" w:hAnsi="Cambria Math" w:cs="Arial"/>
            </w:rPr>
            <m:t>(х 0,85 при жени)</m:t>
          </m:r>
        </m:oMath>
      </m:oMathPara>
    </w:p>
    <w:p w14:paraId="3D12FC3C" w14:textId="374864DE" w:rsidR="00F26B25" w:rsidRDefault="00F26B25" w:rsidP="00F26B25"/>
    <w:p w14:paraId="6F52655F" w14:textId="24838C34" w:rsidR="00F26B25" w:rsidRDefault="00F26B25" w:rsidP="00F26B25">
      <w:r>
        <w:t xml:space="preserve">след което </w:t>
      </w:r>
      <w:proofErr w:type="spellStart"/>
      <w:r>
        <w:rPr>
          <w:lang w:val="en-US"/>
        </w:rPr>
        <w:t>CLcr</w:t>
      </w:r>
      <w:proofErr w:type="spellEnd"/>
      <w:r w:rsidRPr="00F26B25">
        <w:rPr>
          <w:lang w:val="ru-RU"/>
        </w:rPr>
        <w:t xml:space="preserve"> </w:t>
      </w:r>
      <w:r>
        <w:t xml:space="preserve">се адаптира спрямо телесната повърхност </w:t>
      </w:r>
      <w:r w:rsidRPr="00F26B25">
        <w:rPr>
          <w:lang w:val="ru-RU"/>
        </w:rPr>
        <w:t>(</w:t>
      </w:r>
      <w:r>
        <w:rPr>
          <w:lang w:val="en-US"/>
        </w:rPr>
        <w:t>BSA</w:t>
      </w:r>
      <w:r w:rsidRPr="00F26B25">
        <w:rPr>
          <w:lang w:val="ru-RU"/>
        </w:rPr>
        <w:t xml:space="preserve">) </w:t>
      </w:r>
      <w:r>
        <w:t>както следва:</w:t>
      </w:r>
    </w:p>
    <w:p w14:paraId="65A66D3F" w14:textId="3CB9F93B" w:rsidR="00F26B25" w:rsidRDefault="00F26B25" w:rsidP="00F26B25"/>
    <w:p w14:paraId="459B2320" w14:textId="4E757AEF" w:rsidR="00F26B25" w:rsidRPr="00F26B25" w:rsidRDefault="00F26B25" w:rsidP="00F26B25">
      <w:pPr>
        <w:rPr>
          <w:rFonts w:eastAsiaTheme="minorEastAsia" w:cs="Arial"/>
        </w:rPr>
      </w:pPr>
      <m:oMathPara>
        <m:oMath>
          <m:r>
            <m:rPr>
              <m:sty m:val="p"/>
            </m:rPr>
            <w:rPr>
              <w:rFonts w:ascii="Cambria Math" w:hAnsi="Cambria Math" w:cs="Arial"/>
            </w:rPr>
            <m:t>CLcr (ml/min/1,73 m</m:t>
          </m:r>
          <m:r>
            <m:rPr>
              <m:sty m:val="p"/>
            </m:rPr>
            <w:rPr>
              <w:rFonts w:ascii="Cambria Math" w:hAnsi="Cambria Math" w:cs="Arial"/>
              <w:vertAlign w:val="superscript"/>
            </w:rPr>
            <m:t>2</m:t>
          </m:r>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CLcr (ml/min)</m:t>
              </m:r>
            </m:num>
            <m:den>
              <m:r>
                <m:rPr>
                  <m:sty m:val="p"/>
                </m:rPr>
                <w:rPr>
                  <w:rFonts w:ascii="Cambria Math" w:hAnsi="Cambria Math" w:cs="Arial"/>
                  <w:lang w:val="en-US"/>
                </w:rPr>
                <m:t xml:space="preserve">BSA </m:t>
              </m:r>
              <m:r>
                <m:rPr>
                  <m:sty m:val="p"/>
                </m:rPr>
                <w:rPr>
                  <w:rFonts w:ascii="Cambria Math" w:hAnsi="Cambria Math" w:cs="Arial"/>
                </w:rPr>
                <m:t xml:space="preserve">пациент </m:t>
              </m:r>
              <m:r>
                <m:rPr>
                  <m:sty m:val="p"/>
                </m:rPr>
                <w:rPr>
                  <w:rFonts w:ascii="Cambria Math" w:hAnsi="Cambria Math" w:cs="Arial"/>
                  <w:lang w:val="en-US"/>
                </w:rPr>
                <m:t>(m</m:t>
              </m:r>
              <m:r>
                <m:rPr>
                  <m:sty m:val="p"/>
                </m:rPr>
                <w:rPr>
                  <w:rFonts w:ascii="Cambria Math" w:hAnsi="Cambria Math" w:cs="Arial"/>
                  <w:vertAlign w:val="superscript"/>
                  <w:lang w:val="en-US"/>
                </w:rPr>
                <m:t>2</m:t>
              </m:r>
              <m:r>
                <m:rPr>
                  <m:sty m:val="p"/>
                </m:rPr>
                <w:rPr>
                  <w:rFonts w:ascii="Cambria Math" w:hAnsi="Cambria Math" w:cs="Arial"/>
                  <w:lang w:val="en-US"/>
                </w:rPr>
                <m:t>)</m:t>
              </m:r>
            </m:den>
          </m:f>
          <m:r>
            <m:rPr>
              <m:sty m:val="p"/>
            </m:rPr>
            <w:rPr>
              <w:rFonts w:ascii="Cambria Math" w:hAnsi="Cambria Math" w:cs="Arial"/>
            </w:rPr>
            <m:t>х 1,73</m:t>
          </m:r>
        </m:oMath>
      </m:oMathPara>
    </w:p>
    <w:p w14:paraId="0BFA09B4" w14:textId="125300EE" w:rsidR="00F26B25" w:rsidRDefault="00F26B25" w:rsidP="00F26B25">
      <w:pPr>
        <w:rPr>
          <w:rFonts w:eastAsiaTheme="minorEastAsia" w:cs="Arial"/>
        </w:rPr>
      </w:pPr>
    </w:p>
    <w:p w14:paraId="22D22E8C" w14:textId="74508620" w:rsidR="00F26B25" w:rsidRDefault="00F26B25" w:rsidP="00F26B25">
      <w:pPr>
        <w:rPr>
          <w:lang w:eastAsia="bg-BG"/>
        </w:rPr>
      </w:pPr>
      <w:r w:rsidRPr="00F26B25">
        <w:rPr>
          <w:lang w:eastAsia="bg-BG"/>
        </w:rPr>
        <w:t xml:space="preserve">Адаптиране на дозата при възрастни и юноши с тегло над 50 </w:t>
      </w:r>
      <w:r w:rsidRPr="00F26B25">
        <w:rPr>
          <w:lang w:val="en-US"/>
        </w:rPr>
        <w:t>kg</w:t>
      </w:r>
      <w:r w:rsidRPr="00F26B25">
        <w:rPr>
          <w:lang w:val="ru-RU"/>
        </w:rPr>
        <w:t xml:space="preserve"> </w:t>
      </w:r>
      <w:r w:rsidRPr="00F26B25">
        <w:rPr>
          <w:lang w:eastAsia="bg-BG"/>
        </w:rPr>
        <w:t>с нарушена бъбречна функция:</w:t>
      </w:r>
    </w:p>
    <w:tbl>
      <w:tblPr>
        <w:tblStyle w:val="TableGrid"/>
        <w:tblW w:w="0" w:type="auto"/>
        <w:tblLook w:val="04A0" w:firstRow="1" w:lastRow="0" w:firstColumn="1" w:lastColumn="0" w:noHBand="0" w:noVBand="1"/>
      </w:tblPr>
      <w:tblGrid>
        <w:gridCol w:w="3127"/>
        <w:gridCol w:w="3123"/>
        <w:gridCol w:w="3100"/>
      </w:tblGrid>
      <w:tr w:rsidR="00F26B25" w14:paraId="025BB352" w14:textId="77777777" w:rsidTr="00F26B25">
        <w:tc>
          <w:tcPr>
            <w:tcW w:w="3192" w:type="dxa"/>
          </w:tcPr>
          <w:p w14:paraId="7F4EC6D6" w14:textId="023436AA" w:rsidR="00F26B25" w:rsidRDefault="00F26B25" w:rsidP="00F26B25">
            <w:pPr>
              <w:rPr>
                <w:sz w:val="24"/>
                <w:szCs w:val="24"/>
              </w:rPr>
            </w:pPr>
            <w:r>
              <w:t>Група</w:t>
            </w:r>
          </w:p>
        </w:tc>
        <w:tc>
          <w:tcPr>
            <w:tcW w:w="3192" w:type="dxa"/>
          </w:tcPr>
          <w:p w14:paraId="0C2F003F" w14:textId="2821D400" w:rsidR="00F26B25" w:rsidRDefault="00F26B25" w:rsidP="00F26B25">
            <w:pPr>
              <w:rPr>
                <w:sz w:val="24"/>
                <w:szCs w:val="24"/>
              </w:rPr>
            </w:pPr>
            <w:r>
              <w:t xml:space="preserve">Креатининов клирънс </w:t>
            </w:r>
            <w:r w:rsidRPr="00F26B25">
              <w:rPr>
                <w:lang w:val="ru-RU"/>
              </w:rPr>
              <w:t>(</w:t>
            </w:r>
            <w:r>
              <w:rPr>
                <w:lang w:val="en-US"/>
              </w:rPr>
              <w:t>ml</w:t>
            </w:r>
            <w:r w:rsidRPr="00F26B25">
              <w:rPr>
                <w:lang w:val="ru-RU"/>
              </w:rPr>
              <w:t>/</w:t>
            </w:r>
            <w:r>
              <w:rPr>
                <w:lang w:val="en-US"/>
              </w:rPr>
              <w:t>min</w:t>
            </w:r>
            <w:r w:rsidRPr="00F26B25">
              <w:rPr>
                <w:lang w:val="ru-RU"/>
              </w:rPr>
              <w:t>/1,73</w:t>
            </w:r>
            <w:r>
              <w:rPr>
                <w:lang w:val="en-US"/>
              </w:rPr>
              <w:t>m</w:t>
            </w:r>
            <w:r w:rsidRPr="00F26B25">
              <w:rPr>
                <w:vertAlign w:val="superscript"/>
                <w:lang w:val="ru-RU"/>
              </w:rPr>
              <w:t>2</w:t>
            </w:r>
            <w:r w:rsidRPr="00F26B25">
              <w:rPr>
                <w:lang w:val="ru-RU"/>
              </w:rPr>
              <w:t>)</w:t>
            </w:r>
          </w:p>
        </w:tc>
        <w:tc>
          <w:tcPr>
            <w:tcW w:w="3192" w:type="dxa"/>
          </w:tcPr>
          <w:p w14:paraId="02293826" w14:textId="34CEDF57" w:rsidR="00F26B25" w:rsidRDefault="00F26B25" w:rsidP="00F26B25">
            <w:pPr>
              <w:rPr>
                <w:sz w:val="24"/>
                <w:szCs w:val="24"/>
              </w:rPr>
            </w:pPr>
            <w:r>
              <w:t>Доза и честота на прилагане</w:t>
            </w:r>
          </w:p>
        </w:tc>
      </w:tr>
      <w:tr w:rsidR="00F26B25" w14:paraId="495EAE31" w14:textId="77777777" w:rsidTr="00F26B25">
        <w:tc>
          <w:tcPr>
            <w:tcW w:w="3192" w:type="dxa"/>
          </w:tcPr>
          <w:p w14:paraId="12FAF609" w14:textId="7F5AE731" w:rsidR="00F26B25" w:rsidRDefault="00F26B25" w:rsidP="00F26B25">
            <w:pPr>
              <w:rPr>
                <w:sz w:val="24"/>
                <w:szCs w:val="24"/>
              </w:rPr>
            </w:pPr>
            <w:r>
              <w:t>Нормална</w:t>
            </w:r>
          </w:p>
        </w:tc>
        <w:tc>
          <w:tcPr>
            <w:tcW w:w="3192" w:type="dxa"/>
          </w:tcPr>
          <w:p w14:paraId="40BD65F2" w14:textId="5D6433CB" w:rsidR="00F26B25" w:rsidRDefault="00F26B25" w:rsidP="00F26B25">
            <w:pPr>
              <w:rPr>
                <w:sz w:val="24"/>
                <w:szCs w:val="24"/>
              </w:rPr>
            </w:pPr>
            <w:r>
              <w:t>≥80</w:t>
            </w:r>
          </w:p>
        </w:tc>
        <w:tc>
          <w:tcPr>
            <w:tcW w:w="3192" w:type="dxa"/>
          </w:tcPr>
          <w:p w14:paraId="3CFCCD59" w14:textId="6823C949" w:rsidR="00F26B25" w:rsidRDefault="00F26B25" w:rsidP="00F26B25">
            <w:pPr>
              <w:rPr>
                <w:sz w:val="24"/>
                <w:szCs w:val="24"/>
              </w:rPr>
            </w:pPr>
            <w:r>
              <w:t xml:space="preserve">500 до 1 500 </w:t>
            </w:r>
            <w:r>
              <w:rPr>
                <w:lang w:val="en-US"/>
              </w:rPr>
              <w:t>mg</w:t>
            </w:r>
            <w:r w:rsidRPr="00F26B25">
              <w:rPr>
                <w:lang w:val="ru-RU"/>
              </w:rPr>
              <w:t xml:space="preserve"> </w:t>
            </w:r>
            <w:r>
              <w:t>два пъти дневно</w:t>
            </w:r>
          </w:p>
        </w:tc>
      </w:tr>
      <w:tr w:rsidR="00F26B25" w14:paraId="34457D58" w14:textId="77777777" w:rsidTr="00F26B25">
        <w:tc>
          <w:tcPr>
            <w:tcW w:w="3192" w:type="dxa"/>
          </w:tcPr>
          <w:p w14:paraId="504D65FE" w14:textId="3FEDEDDB" w:rsidR="00F26B25" w:rsidRDefault="00F26B25" w:rsidP="00F26B25">
            <w:pPr>
              <w:rPr>
                <w:sz w:val="24"/>
                <w:szCs w:val="24"/>
              </w:rPr>
            </w:pPr>
            <w:r>
              <w:t>Лека</w:t>
            </w:r>
          </w:p>
        </w:tc>
        <w:tc>
          <w:tcPr>
            <w:tcW w:w="3192" w:type="dxa"/>
          </w:tcPr>
          <w:p w14:paraId="444E9318" w14:textId="25CAB976" w:rsidR="00F26B25" w:rsidRDefault="00F26B25" w:rsidP="00F26B25">
            <w:pPr>
              <w:rPr>
                <w:sz w:val="24"/>
                <w:szCs w:val="24"/>
              </w:rPr>
            </w:pPr>
            <w:r>
              <w:t>50-79</w:t>
            </w:r>
          </w:p>
        </w:tc>
        <w:tc>
          <w:tcPr>
            <w:tcW w:w="3192" w:type="dxa"/>
          </w:tcPr>
          <w:p w14:paraId="156DE70C" w14:textId="6D39A19B" w:rsidR="00F26B25" w:rsidRDefault="00F26B25" w:rsidP="00F26B25">
            <w:pPr>
              <w:rPr>
                <w:sz w:val="24"/>
                <w:szCs w:val="24"/>
              </w:rPr>
            </w:pPr>
            <w:r>
              <w:t xml:space="preserve">500 до 1 000 </w:t>
            </w:r>
            <w:r>
              <w:rPr>
                <w:lang w:val="en-US"/>
              </w:rPr>
              <w:t>mg</w:t>
            </w:r>
            <w:r w:rsidRPr="00F26B25">
              <w:rPr>
                <w:lang w:val="ru-RU"/>
              </w:rPr>
              <w:t xml:space="preserve"> </w:t>
            </w:r>
            <w:r>
              <w:t>два пъти дневно</w:t>
            </w:r>
          </w:p>
        </w:tc>
      </w:tr>
      <w:tr w:rsidR="00F26B25" w14:paraId="75EC6D8C" w14:textId="77777777" w:rsidTr="00F26B25">
        <w:tc>
          <w:tcPr>
            <w:tcW w:w="3192" w:type="dxa"/>
          </w:tcPr>
          <w:p w14:paraId="68E66578" w14:textId="56F9AAEC" w:rsidR="00F26B25" w:rsidRDefault="00F26B25" w:rsidP="00F26B25">
            <w:pPr>
              <w:rPr>
                <w:sz w:val="24"/>
                <w:szCs w:val="24"/>
              </w:rPr>
            </w:pPr>
            <w:r>
              <w:t>Умерена</w:t>
            </w:r>
          </w:p>
        </w:tc>
        <w:tc>
          <w:tcPr>
            <w:tcW w:w="3192" w:type="dxa"/>
          </w:tcPr>
          <w:p w14:paraId="69CF97E4" w14:textId="431F0410" w:rsidR="00F26B25" w:rsidRDefault="00F26B25" w:rsidP="00F26B25">
            <w:pPr>
              <w:rPr>
                <w:sz w:val="24"/>
                <w:szCs w:val="24"/>
              </w:rPr>
            </w:pPr>
            <w:r>
              <w:t>30-49</w:t>
            </w:r>
          </w:p>
        </w:tc>
        <w:tc>
          <w:tcPr>
            <w:tcW w:w="3192" w:type="dxa"/>
          </w:tcPr>
          <w:p w14:paraId="5C02E3DD" w14:textId="17EBBBF9" w:rsidR="00F26B25" w:rsidRDefault="00F26B25" w:rsidP="00F26B25">
            <w:pPr>
              <w:rPr>
                <w:sz w:val="24"/>
                <w:szCs w:val="24"/>
              </w:rPr>
            </w:pPr>
            <w:r>
              <w:t xml:space="preserve">250 до 750 </w:t>
            </w:r>
            <w:r>
              <w:rPr>
                <w:lang w:val="en-US"/>
              </w:rPr>
              <w:t>mg</w:t>
            </w:r>
            <w:r w:rsidRPr="00F26B25">
              <w:rPr>
                <w:lang w:val="ru-RU"/>
              </w:rPr>
              <w:t xml:space="preserve"> </w:t>
            </w:r>
            <w:r>
              <w:t>два пъти дневно</w:t>
            </w:r>
          </w:p>
        </w:tc>
      </w:tr>
      <w:tr w:rsidR="00F26B25" w14:paraId="5E25A6F7" w14:textId="77777777" w:rsidTr="00F26B25">
        <w:tc>
          <w:tcPr>
            <w:tcW w:w="3192" w:type="dxa"/>
          </w:tcPr>
          <w:p w14:paraId="0A339304" w14:textId="4996F0FC" w:rsidR="00F26B25" w:rsidRDefault="00F26B25" w:rsidP="00F26B25">
            <w:pPr>
              <w:rPr>
                <w:sz w:val="24"/>
                <w:szCs w:val="24"/>
              </w:rPr>
            </w:pPr>
            <w:r>
              <w:t>Тежка</w:t>
            </w:r>
          </w:p>
        </w:tc>
        <w:tc>
          <w:tcPr>
            <w:tcW w:w="3192" w:type="dxa"/>
          </w:tcPr>
          <w:p w14:paraId="779BBD5E" w14:textId="3EA7CFDC" w:rsidR="00F26B25" w:rsidRDefault="00F26B25" w:rsidP="00F26B25">
            <w:pPr>
              <w:rPr>
                <w:sz w:val="24"/>
                <w:szCs w:val="24"/>
              </w:rPr>
            </w:pPr>
            <w:r>
              <w:t>&lt;30</w:t>
            </w:r>
          </w:p>
        </w:tc>
        <w:tc>
          <w:tcPr>
            <w:tcW w:w="3192" w:type="dxa"/>
          </w:tcPr>
          <w:p w14:paraId="2CBCB2D7" w14:textId="46DDFC5E" w:rsidR="00F26B25" w:rsidRDefault="00F26B25" w:rsidP="00F26B25">
            <w:pPr>
              <w:rPr>
                <w:sz w:val="24"/>
                <w:szCs w:val="24"/>
              </w:rPr>
            </w:pPr>
            <w:r>
              <w:t xml:space="preserve">250 до 500 </w:t>
            </w:r>
            <w:r>
              <w:rPr>
                <w:lang w:val="en-US"/>
              </w:rPr>
              <w:t>mg</w:t>
            </w:r>
            <w:r w:rsidRPr="00F26B25">
              <w:rPr>
                <w:lang w:val="ru-RU"/>
              </w:rPr>
              <w:t xml:space="preserve"> </w:t>
            </w:r>
            <w:r>
              <w:t>два пъти дневно</w:t>
            </w:r>
          </w:p>
        </w:tc>
      </w:tr>
      <w:tr w:rsidR="00F26B25" w14:paraId="13158DF4" w14:textId="77777777" w:rsidTr="00F26B25">
        <w:tc>
          <w:tcPr>
            <w:tcW w:w="3192" w:type="dxa"/>
          </w:tcPr>
          <w:p w14:paraId="658328CC" w14:textId="4D278CFF" w:rsidR="00F26B25" w:rsidRDefault="00F26B25" w:rsidP="00F26B25">
            <w:pPr>
              <w:rPr>
                <w:sz w:val="24"/>
                <w:szCs w:val="24"/>
              </w:rPr>
            </w:pPr>
            <w:r>
              <w:t>Пациенти с терминална бъбречна недостатъчност подлежащи на диализа (1)</w:t>
            </w:r>
          </w:p>
        </w:tc>
        <w:tc>
          <w:tcPr>
            <w:tcW w:w="3192" w:type="dxa"/>
          </w:tcPr>
          <w:p w14:paraId="73C0F67E" w14:textId="0158ED3B" w:rsidR="00F26B25" w:rsidRDefault="00F26B25" w:rsidP="00F26B25">
            <w:pPr>
              <w:rPr>
                <w:sz w:val="24"/>
                <w:szCs w:val="24"/>
              </w:rPr>
            </w:pPr>
            <w:r>
              <w:t>-</w:t>
            </w:r>
          </w:p>
        </w:tc>
        <w:tc>
          <w:tcPr>
            <w:tcW w:w="3192" w:type="dxa"/>
          </w:tcPr>
          <w:p w14:paraId="4CBD3E8D" w14:textId="4B9194B3" w:rsidR="00F26B25" w:rsidRDefault="00F26B25" w:rsidP="00F26B25">
            <w:pPr>
              <w:rPr>
                <w:sz w:val="24"/>
                <w:szCs w:val="24"/>
              </w:rPr>
            </w:pPr>
            <w:r>
              <w:t xml:space="preserve">500 до 1 000 </w:t>
            </w:r>
            <w:r>
              <w:rPr>
                <w:lang w:val="en-US"/>
              </w:rPr>
              <w:t xml:space="preserve">mg </w:t>
            </w:r>
            <w:r>
              <w:t>веднъж дневно (2)</w:t>
            </w:r>
          </w:p>
        </w:tc>
      </w:tr>
    </w:tbl>
    <w:p w14:paraId="34CEEE91" w14:textId="77777777" w:rsidR="00F26B25" w:rsidRPr="00F26B25" w:rsidRDefault="00F26B25" w:rsidP="00F26B25">
      <w:pPr>
        <w:spacing w:line="240" w:lineRule="auto"/>
        <w:rPr>
          <w:rFonts w:eastAsia="Times New Roman" w:cs="Arial"/>
          <w:color w:val="000000"/>
          <w:lang w:val="ru-RU"/>
        </w:rPr>
      </w:pPr>
      <w:r w:rsidRPr="00F26B25">
        <w:rPr>
          <w:rFonts w:eastAsia="Times New Roman" w:cs="Arial"/>
          <w:color w:val="000000"/>
          <w:lang w:eastAsia="bg-BG"/>
        </w:rPr>
        <w:t xml:space="preserve">(1) През първия ден от лечението с леветирацетам се препоръчва натоварваща доза от 750 </w:t>
      </w:r>
      <w:r w:rsidRPr="00F26B25">
        <w:rPr>
          <w:rFonts w:eastAsia="Times New Roman" w:cs="Arial"/>
          <w:color w:val="000000"/>
          <w:lang w:val="en-US"/>
        </w:rPr>
        <w:t>mg</w:t>
      </w:r>
      <w:r w:rsidRPr="00F26B25">
        <w:rPr>
          <w:rFonts w:eastAsia="Times New Roman" w:cs="Arial"/>
          <w:color w:val="000000"/>
          <w:lang w:val="ru-RU"/>
        </w:rPr>
        <w:t xml:space="preserve"> </w:t>
      </w:r>
    </w:p>
    <w:p w14:paraId="05B9B48F" w14:textId="2A485AC5"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(2) След диализа се препоръчва допълнителна доза от 250 до 500 </w:t>
      </w:r>
      <w:r w:rsidRPr="00F26B25">
        <w:rPr>
          <w:rFonts w:eastAsia="Times New Roman" w:cs="Arial"/>
          <w:color w:val="000000"/>
          <w:lang w:val="en-US"/>
        </w:rPr>
        <w:t>mg</w:t>
      </w:r>
      <w:r w:rsidRPr="00F26B25">
        <w:rPr>
          <w:rFonts w:eastAsia="Times New Roman" w:cs="Arial"/>
          <w:color w:val="000000"/>
          <w:lang w:val="ru-RU"/>
        </w:rPr>
        <w:t>.</w:t>
      </w:r>
    </w:p>
    <w:p w14:paraId="071ACD73" w14:textId="77777777" w:rsidR="00F26B25" w:rsidRPr="00F26B25" w:rsidRDefault="00F26B25" w:rsidP="00F26B25">
      <w:pPr>
        <w:spacing w:line="240" w:lineRule="auto"/>
        <w:rPr>
          <w:rFonts w:eastAsia="Times New Roman" w:cs="Arial"/>
          <w:color w:val="000000"/>
          <w:lang w:eastAsia="bg-BG"/>
        </w:rPr>
      </w:pPr>
    </w:p>
    <w:p w14:paraId="40507371" w14:textId="6D162F20"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При деца с бъбречни увреждания, дозата на леветирацетам трябва да се адаптира въз основа на бъбречната функция, тъй като клирънсът на леветирацетам е свързан с бъбречната функция. Препоръката се основава на проучване при възрастни пациенти с бъбречно увреждане.</w:t>
      </w:r>
    </w:p>
    <w:p w14:paraId="7D48CE10" w14:textId="77777777" w:rsidR="00F26B25" w:rsidRPr="00F26B25" w:rsidRDefault="00F26B25" w:rsidP="00F26B25">
      <w:pPr>
        <w:spacing w:line="240" w:lineRule="auto"/>
        <w:rPr>
          <w:rFonts w:eastAsia="Times New Roman" w:cs="Arial"/>
          <w:color w:val="000000"/>
          <w:lang w:eastAsia="bg-BG"/>
        </w:rPr>
      </w:pPr>
    </w:p>
    <w:p w14:paraId="6969974E" w14:textId="12DE82B3"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За по-малки юноши, деца и кърмачета </w:t>
      </w:r>
      <w:proofErr w:type="spellStart"/>
      <w:r w:rsidRPr="00F26B25">
        <w:rPr>
          <w:rFonts w:eastAsia="Times New Roman" w:cs="Arial"/>
          <w:color w:val="000000"/>
          <w:lang w:val="en-US"/>
        </w:rPr>
        <w:t>CLcr</w:t>
      </w:r>
      <w:proofErr w:type="spellEnd"/>
      <w:r w:rsidRPr="00F26B25">
        <w:rPr>
          <w:rFonts w:eastAsia="Times New Roman" w:cs="Arial"/>
          <w:color w:val="000000"/>
          <w:lang w:val="ru-RU"/>
        </w:rPr>
        <w:t xml:space="preserve"> </w:t>
      </w:r>
      <w:r w:rsidRPr="00F26B25">
        <w:rPr>
          <w:rFonts w:eastAsia="Times New Roman" w:cs="Arial"/>
          <w:color w:val="000000"/>
          <w:lang w:eastAsia="bg-BG"/>
        </w:rPr>
        <w:t xml:space="preserve">може да се определи в </w:t>
      </w:r>
      <w:r w:rsidRPr="00F26B25">
        <w:rPr>
          <w:rFonts w:eastAsia="Times New Roman" w:cs="Arial"/>
          <w:color w:val="000000"/>
          <w:lang w:val="en-US"/>
        </w:rPr>
        <w:t>ml</w:t>
      </w:r>
      <w:r w:rsidRPr="00F26B25">
        <w:rPr>
          <w:rFonts w:eastAsia="Times New Roman" w:cs="Arial"/>
          <w:color w:val="000000"/>
          <w:lang w:val="ru-RU"/>
        </w:rPr>
        <w:t>/</w:t>
      </w:r>
      <w:r w:rsidRPr="00F26B25">
        <w:rPr>
          <w:rFonts w:eastAsia="Times New Roman" w:cs="Arial"/>
          <w:color w:val="000000"/>
          <w:lang w:val="en-US"/>
        </w:rPr>
        <w:t>min</w:t>
      </w:r>
      <w:r w:rsidRPr="00F26B25">
        <w:rPr>
          <w:rFonts w:eastAsia="Times New Roman" w:cs="Arial"/>
          <w:color w:val="000000"/>
          <w:lang w:val="ru-RU"/>
        </w:rPr>
        <w:t>/</w:t>
      </w:r>
      <w:r w:rsidRPr="00F26B25">
        <w:rPr>
          <w:rFonts w:eastAsia="Times New Roman" w:cs="Arial"/>
          <w:color w:val="000000"/>
          <w:lang w:eastAsia="bg-BG"/>
        </w:rPr>
        <w:t xml:space="preserve">1,73 </w:t>
      </w:r>
      <w:r w:rsidRPr="00F26B25">
        <w:rPr>
          <w:rFonts w:eastAsia="Times New Roman" w:cs="Arial"/>
          <w:color w:val="000000"/>
          <w:lang w:val="en-US"/>
        </w:rPr>
        <w:t>m</w:t>
      </w:r>
      <w:r w:rsidRPr="00F26B25">
        <w:rPr>
          <w:rFonts w:eastAsia="Times New Roman" w:cs="Arial"/>
          <w:color w:val="000000"/>
          <w:vertAlign w:val="superscript"/>
          <w:lang w:val="ru-RU"/>
        </w:rPr>
        <w:t>2</w:t>
      </w:r>
      <w:r w:rsidRPr="00F26B25">
        <w:rPr>
          <w:rFonts w:eastAsia="Times New Roman" w:cs="Arial"/>
          <w:color w:val="000000"/>
          <w:lang w:val="ru-RU"/>
        </w:rPr>
        <w:t xml:space="preserve"> </w:t>
      </w:r>
      <w:r w:rsidRPr="00F26B25">
        <w:rPr>
          <w:rFonts w:eastAsia="Times New Roman" w:cs="Arial"/>
          <w:color w:val="000000"/>
          <w:lang w:eastAsia="bg-BG"/>
        </w:rPr>
        <w:t xml:space="preserve">от изчисляването на серумния креатинин </w:t>
      </w:r>
      <w:r w:rsidRPr="00F26B25">
        <w:rPr>
          <w:rFonts w:eastAsia="Times New Roman" w:cs="Arial"/>
          <w:color w:val="000000"/>
          <w:lang w:val="ru-RU"/>
        </w:rPr>
        <w:t>(</w:t>
      </w:r>
      <w:r w:rsidRPr="00F26B25">
        <w:rPr>
          <w:rFonts w:eastAsia="Times New Roman" w:cs="Arial"/>
          <w:color w:val="000000"/>
          <w:lang w:val="en-US"/>
        </w:rPr>
        <w:t>mg</w:t>
      </w:r>
      <w:r w:rsidRPr="00F26B25">
        <w:rPr>
          <w:rFonts w:eastAsia="Times New Roman" w:cs="Arial"/>
          <w:color w:val="000000"/>
          <w:lang w:val="ru-RU"/>
        </w:rPr>
        <w:t>/</w:t>
      </w:r>
      <w:r w:rsidRPr="00F26B25">
        <w:rPr>
          <w:rFonts w:eastAsia="Times New Roman" w:cs="Arial"/>
          <w:color w:val="000000"/>
          <w:lang w:val="en-US"/>
        </w:rPr>
        <w:t>dl</w:t>
      </w:r>
      <w:r w:rsidRPr="00F26B25">
        <w:rPr>
          <w:rFonts w:eastAsia="Times New Roman" w:cs="Arial"/>
          <w:color w:val="000000"/>
          <w:lang w:val="ru-RU"/>
        </w:rPr>
        <w:t xml:space="preserve">) </w:t>
      </w:r>
      <w:r w:rsidRPr="00F26B25">
        <w:rPr>
          <w:rFonts w:eastAsia="Times New Roman" w:cs="Arial"/>
          <w:color w:val="000000"/>
          <w:lang w:eastAsia="bg-BG"/>
        </w:rPr>
        <w:t xml:space="preserve">с помощта на следната формула (формула на </w:t>
      </w:r>
      <w:r w:rsidRPr="00F26B25">
        <w:rPr>
          <w:rFonts w:eastAsia="Times New Roman" w:cs="Arial"/>
          <w:color w:val="000000"/>
          <w:lang w:val="en-US"/>
        </w:rPr>
        <w:t>Schwartz</w:t>
      </w:r>
      <w:r w:rsidRPr="00F26B25">
        <w:rPr>
          <w:rFonts w:eastAsia="Times New Roman" w:cs="Arial"/>
          <w:color w:val="000000"/>
          <w:lang w:val="ru-RU"/>
        </w:rPr>
        <w:t>):</w:t>
      </w:r>
    </w:p>
    <w:p w14:paraId="50366E96" w14:textId="0E7FB702" w:rsidR="00F26B25" w:rsidRDefault="00F26B25" w:rsidP="00F26B25">
      <w:pPr>
        <w:rPr>
          <w:sz w:val="24"/>
          <w:szCs w:val="24"/>
        </w:rPr>
      </w:pPr>
    </w:p>
    <w:p w14:paraId="549C7CDA" w14:textId="7DE56136" w:rsidR="00F26B25" w:rsidRPr="00F26B25" w:rsidRDefault="00F26B25" w:rsidP="00F26B25">
      <w:pPr>
        <w:rPr>
          <w:sz w:val="24"/>
          <w:szCs w:val="24"/>
        </w:rPr>
      </w:pPr>
      <m:oMathPara>
        <m:oMath>
          <m:r>
            <m:rPr>
              <m:sty m:val="p"/>
            </m:rPr>
            <w:rPr>
              <w:rFonts w:ascii="Cambria Math" w:hAnsi="Cambria Math"/>
            </w:rPr>
            <m:t>CLcr (ml/min/1,73 m</m:t>
          </m:r>
          <m:r>
            <m:rPr>
              <m:sty m:val="p"/>
            </m:rPr>
            <w:rPr>
              <w:rFonts w:ascii="Cambria Math" w:hAnsi="Cambria Math"/>
              <w:vertAlign w:val="superscript"/>
            </w:rPr>
            <m:t>2</m:t>
          </m:r>
          <m:r>
            <m:rPr>
              <m:sty m:val="p"/>
            </m:rPr>
            <w:rPr>
              <w:rFonts w:ascii="Cambria Math" w:hAnsi="Cambria Math"/>
            </w:rPr>
            <m:t>)</m:t>
          </m:r>
          <m:r>
            <m:rPr>
              <m:sty m:val="p"/>
            </m:rPr>
            <w:rPr>
              <w:rFonts w:ascii="Cambria Math"/>
            </w:rPr>
            <m:t>=</m:t>
          </m:r>
          <m:f>
            <m:fPr>
              <m:ctrlPr>
                <w:rPr>
                  <w:rFonts w:ascii="Cambria Math"/>
                </w:rPr>
              </m:ctrlPr>
            </m:fPr>
            <m:num>
              <m:r>
                <m:rPr>
                  <m:sty m:val="p"/>
                </m:rPr>
                <w:rPr>
                  <w:rFonts w:ascii="Cambria Math" w:hAnsi="Cambria Math"/>
                </w:rPr>
                <m:t xml:space="preserve">Височина </m:t>
              </m:r>
              <m:r>
                <m:rPr>
                  <m:sty m:val="p"/>
                </m:rPr>
                <w:rPr>
                  <w:rFonts w:ascii="Cambria Math" w:hAnsi="Cambria Math"/>
                  <w:lang w:val="en-US"/>
                </w:rPr>
                <m:t xml:space="preserve">(cm) </m:t>
              </m:r>
              <m:r>
                <m:rPr>
                  <m:sty m:val="p"/>
                </m:rPr>
                <w:rPr>
                  <w:rFonts w:ascii="Cambria Math" w:hAnsi="Cambria Math"/>
                </w:rPr>
                <m:t xml:space="preserve">х </m:t>
              </m:r>
              <m:r>
                <m:rPr>
                  <m:sty m:val="p"/>
                </m:rPr>
                <w:rPr>
                  <w:rFonts w:ascii="Cambria Math" w:hAnsi="Cambria Math"/>
                  <w:lang w:val="en-US"/>
                </w:rPr>
                <m:t>ks</m:t>
              </m:r>
            </m:num>
            <m:den>
              <m:r>
                <m:rPr>
                  <m:sty m:val="p"/>
                </m:rPr>
                <w:rPr>
                  <w:rFonts w:ascii="Cambria Math" w:hAnsi="Cambria Math"/>
                </w:rPr>
                <m:t xml:space="preserve">Серумен креатинин </m:t>
              </m:r>
              <m:r>
                <m:rPr>
                  <m:sty m:val="p"/>
                </m:rPr>
                <w:rPr>
                  <w:rFonts w:ascii="Cambria Math" w:hAnsi="Cambria Math"/>
                  <w:lang w:val="en-US"/>
                </w:rPr>
                <m:t>(mg/dl)</m:t>
              </m:r>
            </m:den>
          </m:f>
        </m:oMath>
      </m:oMathPara>
    </w:p>
    <w:p w14:paraId="102E5F1C" w14:textId="77777777" w:rsidR="00F26B25" w:rsidRPr="00F26B25" w:rsidRDefault="00F26B25" w:rsidP="00F26B25">
      <w:pPr>
        <w:spacing w:line="240" w:lineRule="auto"/>
        <w:rPr>
          <w:rFonts w:eastAsia="Times New Roman" w:cs="Arial"/>
          <w:sz w:val="24"/>
          <w:szCs w:val="24"/>
        </w:rPr>
      </w:pPr>
      <w:proofErr w:type="spellStart"/>
      <w:proofErr w:type="gramStart"/>
      <w:r w:rsidRPr="00F26B25">
        <w:rPr>
          <w:rFonts w:eastAsia="Times New Roman" w:cs="Arial"/>
          <w:color w:val="000000"/>
          <w:lang w:val="en-US"/>
        </w:rPr>
        <w:t>ks</w:t>
      </w:r>
      <w:proofErr w:type="spellEnd"/>
      <w:proofErr w:type="gramEnd"/>
      <w:r w:rsidRPr="00F26B25">
        <w:rPr>
          <w:rFonts w:eastAsia="Times New Roman" w:cs="Arial"/>
          <w:color w:val="000000"/>
          <w:lang w:val="ru-RU"/>
        </w:rPr>
        <w:t xml:space="preserve">= 0,45 </w:t>
      </w:r>
      <w:r w:rsidRPr="00F26B25">
        <w:rPr>
          <w:rFonts w:eastAsia="Times New Roman" w:cs="Arial"/>
          <w:color w:val="000000"/>
          <w:lang w:eastAsia="bg-BG"/>
        </w:rPr>
        <w:t xml:space="preserve">при доносени кърмачета до 1 годишна възраст; </w:t>
      </w:r>
      <w:proofErr w:type="spellStart"/>
      <w:r w:rsidRPr="00F26B25">
        <w:rPr>
          <w:rFonts w:eastAsia="Times New Roman" w:cs="Arial"/>
          <w:color w:val="000000"/>
          <w:lang w:val="en-US"/>
        </w:rPr>
        <w:t>ks</w:t>
      </w:r>
      <w:proofErr w:type="spellEnd"/>
      <w:r w:rsidRPr="00F26B25">
        <w:rPr>
          <w:rFonts w:eastAsia="Times New Roman" w:cs="Arial"/>
          <w:color w:val="000000"/>
          <w:lang w:val="ru-RU"/>
        </w:rPr>
        <w:t xml:space="preserve">= </w:t>
      </w:r>
      <w:r w:rsidRPr="00F26B25">
        <w:rPr>
          <w:rFonts w:eastAsia="Times New Roman" w:cs="Arial"/>
          <w:color w:val="000000"/>
          <w:lang w:eastAsia="bg-BG"/>
        </w:rPr>
        <w:t xml:space="preserve">0,55 при деца под 13 години и девойки; </w:t>
      </w:r>
      <w:proofErr w:type="spellStart"/>
      <w:r w:rsidRPr="00F26B25">
        <w:rPr>
          <w:rFonts w:eastAsia="Times New Roman" w:cs="Arial"/>
          <w:color w:val="000000"/>
          <w:lang w:val="en-US"/>
        </w:rPr>
        <w:t>ks</w:t>
      </w:r>
      <w:proofErr w:type="spellEnd"/>
      <w:r w:rsidRPr="00F26B25">
        <w:rPr>
          <w:rFonts w:eastAsia="Times New Roman" w:cs="Arial"/>
          <w:color w:val="000000"/>
          <w:lang w:val="ru-RU"/>
        </w:rPr>
        <w:t xml:space="preserve">= </w:t>
      </w:r>
      <w:r w:rsidRPr="00F26B25">
        <w:rPr>
          <w:rFonts w:eastAsia="Times New Roman" w:cs="Arial"/>
          <w:color w:val="000000"/>
          <w:lang w:eastAsia="bg-BG"/>
        </w:rPr>
        <w:t>0,7 при юноши от мъжки пол.</w:t>
      </w:r>
    </w:p>
    <w:p w14:paraId="2587E369" w14:textId="77777777" w:rsidR="00F26B25" w:rsidRPr="00F26B25" w:rsidRDefault="00F26B25" w:rsidP="00F26B25">
      <w:pPr>
        <w:rPr>
          <w:rFonts w:eastAsia="Times New Roman" w:cs="Arial"/>
          <w:color w:val="000000"/>
          <w:lang w:eastAsia="bg-BG"/>
        </w:rPr>
      </w:pPr>
    </w:p>
    <w:p w14:paraId="15576954" w14:textId="58E71DB7" w:rsidR="00F26B25" w:rsidRDefault="00F26B25" w:rsidP="00F26B25">
      <w:pPr>
        <w:rPr>
          <w:rFonts w:eastAsia="Times New Roman" w:cs="Arial"/>
          <w:color w:val="000000"/>
          <w:lang w:eastAsia="bg-BG"/>
        </w:rPr>
      </w:pPr>
      <w:r w:rsidRPr="00F26B25">
        <w:rPr>
          <w:rFonts w:eastAsia="Times New Roman" w:cs="Arial"/>
          <w:color w:val="000000"/>
          <w:lang w:eastAsia="bg-BG"/>
        </w:rPr>
        <w:t xml:space="preserve">Адаптиране на дозата при кърмачета, деца и юноши с тегло под 50 </w:t>
      </w:r>
      <w:r w:rsidRPr="00F26B25">
        <w:rPr>
          <w:rFonts w:eastAsia="Times New Roman" w:cs="Arial"/>
          <w:color w:val="000000"/>
          <w:lang w:val="en-US"/>
        </w:rPr>
        <w:t>kg</w:t>
      </w:r>
      <w:r w:rsidRPr="00F26B25">
        <w:rPr>
          <w:rFonts w:eastAsia="Times New Roman" w:cs="Arial"/>
          <w:color w:val="000000"/>
          <w:lang w:val="ru-RU"/>
        </w:rPr>
        <w:t xml:space="preserve"> </w:t>
      </w:r>
      <w:r w:rsidRPr="00F26B25">
        <w:rPr>
          <w:rFonts w:eastAsia="Times New Roman" w:cs="Arial"/>
          <w:color w:val="000000"/>
          <w:lang w:eastAsia="bg-BG"/>
        </w:rPr>
        <w:t>с нарушена бъбречна функция;</w:t>
      </w:r>
    </w:p>
    <w:tbl>
      <w:tblPr>
        <w:tblStyle w:val="TableGrid"/>
        <w:tblW w:w="0" w:type="auto"/>
        <w:tblLook w:val="04A0" w:firstRow="1" w:lastRow="0" w:firstColumn="1" w:lastColumn="0" w:noHBand="0" w:noVBand="1"/>
      </w:tblPr>
      <w:tblGrid>
        <w:gridCol w:w="2362"/>
        <w:gridCol w:w="2338"/>
        <w:gridCol w:w="2325"/>
        <w:gridCol w:w="2325"/>
      </w:tblGrid>
      <w:tr w:rsidR="00F26B25" w14:paraId="4BC74668" w14:textId="77777777" w:rsidTr="00F26B25">
        <w:tc>
          <w:tcPr>
            <w:tcW w:w="2394" w:type="dxa"/>
            <w:vMerge w:val="restart"/>
          </w:tcPr>
          <w:p w14:paraId="0C71C421" w14:textId="4C044419" w:rsidR="00F26B25" w:rsidRDefault="00F26B25" w:rsidP="00F26B25">
            <w:pPr>
              <w:rPr>
                <w:rFonts w:cs="Arial"/>
              </w:rPr>
            </w:pPr>
            <w:r>
              <w:t>Група</w:t>
            </w:r>
          </w:p>
        </w:tc>
        <w:tc>
          <w:tcPr>
            <w:tcW w:w="2394" w:type="dxa"/>
            <w:vMerge w:val="restart"/>
          </w:tcPr>
          <w:p w14:paraId="037DE695" w14:textId="5F19EF21" w:rsidR="00F26B25" w:rsidRDefault="00F26B25" w:rsidP="00F26B25">
            <w:pPr>
              <w:rPr>
                <w:rFonts w:cs="Arial"/>
              </w:rPr>
            </w:pPr>
            <w:r>
              <w:t xml:space="preserve">Креатининов клирънс </w:t>
            </w:r>
            <w:r w:rsidRPr="00F26B25">
              <w:rPr>
                <w:lang w:val="ru-RU"/>
              </w:rPr>
              <w:t>(</w:t>
            </w:r>
            <w:r>
              <w:rPr>
                <w:lang w:val="en-US"/>
              </w:rPr>
              <w:t>ml</w:t>
            </w:r>
            <w:r w:rsidRPr="00F26B25">
              <w:rPr>
                <w:lang w:val="ru-RU"/>
              </w:rPr>
              <w:t>/</w:t>
            </w:r>
            <w:r>
              <w:rPr>
                <w:lang w:val="en-US"/>
              </w:rPr>
              <w:t>min</w:t>
            </w:r>
            <w:r w:rsidRPr="00F26B25">
              <w:rPr>
                <w:lang w:val="ru-RU"/>
              </w:rPr>
              <w:t>/1,</w:t>
            </w:r>
            <w:r>
              <w:t xml:space="preserve">73 </w:t>
            </w:r>
            <w:r>
              <w:rPr>
                <w:lang w:val="en-US"/>
              </w:rPr>
              <w:t>m</w:t>
            </w:r>
            <w:r w:rsidRPr="00F26B25">
              <w:rPr>
                <w:vertAlign w:val="superscript"/>
                <w:lang w:val="ru-RU"/>
              </w:rPr>
              <w:t>2</w:t>
            </w:r>
            <w:r w:rsidRPr="00F26B25">
              <w:rPr>
                <w:lang w:val="ru-RU"/>
              </w:rPr>
              <w:t>)</w:t>
            </w:r>
          </w:p>
        </w:tc>
        <w:tc>
          <w:tcPr>
            <w:tcW w:w="4788" w:type="dxa"/>
            <w:gridSpan w:val="2"/>
          </w:tcPr>
          <w:p w14:paraId="721C892C" w14:textId="14461DB8" w:rsidR="00F26B25" w:rsidRPr="00F26B25" w:rsidRDefault="00F26B25" w:rsidP="00F26B25">
            <w:pPr>
              <w:rPr>
                <w:sz w:val="24"/>
                <w:szCs w:val="24"/>
              </w:rPr>
            </w:pPr>
            <w:r w:rsidRPr="00F26B25">
              <w:rPr>
                <w:lang w:eastAsia="bg-BG"/>
              </w:rPr>
              <w:t>Доза и честота на прилагане (1)</w:t>
            </w:r>
          </w:p>
        </w:tc>
      </w:tr>
      <w:tr w:rsidR="00F26B25" w14:paraId="012DDE42" w14:textId="77777777" w:rsidTr="00F26B25">
        <w:tc>
          <w:tcPr>
            <w:tcW w:w="2394" w:type="dxa"/>
            <w:vMerge/>
          </w:tcPr>
          <w:p w14:paraId="36E4F380" w14:textId="77777777" w:rsidR="00F26B25" w:rsidRDefault="00F26B25" w:rsidP="00F26B25">
            <w:pPr>
              <w:rPr>
                <w:rFonts w:cs="Arial"/>
              </w:rPr>
            </w:pPr>
          </w:p>
        </w:tc>
        <w:tc>
          <w:tcPr>
            <w:tcW w:w="2394" w:type="dxa"/>
            <w:vMerge/>
          </w:tcPr>
          <w:p w14:paraId="085E48AD" w14:textId="77777777" w:rsidR="00F26B25" w:rsidRDefault="00F26B25" w:rsidP="00F26B25">
            <w:pPr>
              <w:rPr>
                <w:rFonts w:cs="Arial"/>
              </w:rPr>
            </w:pPr>
          </w:p>
        </w:tc>
        <w:tc>
          <w:tcPr>
            <w:tcW w:w="2394" w:type="dxa"/>
          </w:tcPr>
          <w:p w14:paraId="2416B9CA" w14:textId="4800311D" w:rsidR="00F26B25" w:rsidRDefault="00F26B25" w:rsidP="00F26B25">
            <w:pPr>
              <w:rPr>
                <w:rFonts w:cs="Arial"/>
              </w:rPr>
            </w:pPr>
            <w:r>
              <w:t>Кърмачета от 1 до под 6 месеца</w:t>
            </w:r>
          </w:p>
        </w:tc>
        <w:tc>
          <w:tcPr>
            <w:tcW w:w="2394" w:type="dxa"/>
          </w:tcPr>
          <w:p w14:paraId="16E242EB" w14:textId="4A68F34F" w:rsidR="00F26B25" w:rsidRDefault="00F26B25" w:rsidP="00F26B25">
            <w:pPr>
              <w:rPr>
                <w:rFonts w:cs="Arial"/>
              </w:rPr>
            </w:pPr>
            <w:r>
              <w:t xml:space="preserve">Кърмачета от 6 до 23 месеца, деца и юноши с тегло под 50 </w:t>
            </w:r>
            <w:r>
              <w:rPr>
                <w:lang w:val="en-US"/>
              </w:rPr>
              <w:t>kg</w:t>
            </w:r>
          </w:p>
        </w:tc>
      </w:tr>
      <w:tr w:rsidR="00F26B25" w14:paraId="52547767" w14:textId="77777777" w:rsidTr="00F26B25">
        <w:tc>
          <w:tcPr>
            <w:tcW w:w="2394" w:type="dxa"/>
          </w:tcPr>
          <w:p w14:paraId="57B435E2" w14:textId="01B14447" w:rsidR="00F26B25" w:rsidRDefault="00F26B25" w:rsidP="00F26B25">
            <w:pPr>
              <w:rPr>
                <w:rFonts w:cs="Arial"/>
              </w:rPr>
            </w:pPr>
            <w:r>
              <w:t>Нормална</w:t>
            </w:r>
          </w:p>
        </w:tc>
        <w:tc>
          <w:tcPr>
            <w:tcW w:w="2394" w:type="dxa"/>
          </w:tcPr>
          <w:p w14:paraId="378409E0" w14:textId="08950CFF" w:rsidR="00F26B25" w:rsidRDefault="00F26B25" w:rsidP="00F26B25">
            <w:pPr>
              <w:rPr>
                <w:rFonts w:cs="Arial"/>
              </w:rPr>
            </w:pPr>
            <w:r>
              <w:t>≥80</w:t>
            </w:r>
          </w:p>
        </w:tc>
        <w:tc>
          <w:tcPr>
            <w:tcW w:w="2394" w:type="dxa"/>
          </w:tcPr>
          <w:p w14:paraId="5F7BB575" w14:textId="592044C4" w:rsidR="00F26B25" w:rsidRDefault="00F26B25" w:rsidP="00F26B25">
            <w:pPr>
              <w:rPr>
                <w:rFonts w:cs="Arial"/>
              </w:rPr>
            </w:pPr>
            <w:r>
              <w:t xml:space="preserve">7 до 21 </w:t>
            </w:r>
            <w:r>
              <w:rPr>
                <w:lang w:val="en-US"/>
              </w:rPr>
              <w:t>mg</w:t>
            </w:r>
            <w:r w:rsidRPr="00F26B25">
              <w:rPr>
                <w:lang w:val="ru-RU"/>
              </w:rPr>
              <w:t>/</w:t>
            </w:r>
            <w:r>
              <w:rPr>
                <w:lang w:val="en-US"/>
              </w:rPr>
              <w:t>kg</w:t>
            </w:r>
            <w:r w:rsidRPr="00F26B25">
              <w:rPr>
                <w:lang w:val="ru-RU"/>
              </w:rPr>
              <w:t xml:space="preserve"> </w:t>
            </w:r>
            <w:r>
              <w:t>два пъти дневно</w:t>
            </w:r>
          </w:p>
        </w:tc>
        <w:tc>
          <w:tcPr>
            <w:tcW w:w="2394" w:type="dxa"/>
          </w:tcPr>
          <w:p w14:paraId="27ED369A" w14:textId="45FAF187" w:rsidR="00F26B25" w:rsidRDefault="00F26B25" w:rsidP="00F26B25">
            <w:pPr>
              <w:rPr>
                <w:rFonts w:cs="Arial"/>
              </w:rPr>
            </w:pPr>
            <w:r>
              <w:t xml:space="preserve">10 до 30 </w:t>
            </w:r>
            <w:r>
              <w:rPr>
                <w:lang w:val="en-US"/>
              </w:rPr>
              <w:t>mg</w:t>
            </w:r>
            <w:r w:rsidRPr="00F26B25">
              <w:rPr>
                <w:lang w:val="ru-RU"/>
              </w:rPr>
              <w:t>/</w:t>
            </w:r>
            <w:r>
              <w:rPr>
                <w:lang w:val="en-US"/>
              </w:rPr>
              <w:t>kg</w:t>
            </w:r>
            <w:r w:rsidRPr="00F26B25">
              <w:rPr>
                <w:lang w:val="ru-RU"/>
              </w:rPr>
              <w:t xml:space="preserve"> </w:t>
            </w:r>
            <w:r>
              <w:t>два пъти дневно</w:t>
            </w:r>
          </w:p>
        </w:tc>
      </w:tr>
      <w:tr w:rsidR="00F26B25" w14:paraId="4B3FE389" w14:textId="77777777" w:rsidTr="00F26B25">
        <w:tc>
          <w:tcPr>
            <w:tcW w:w="2394" w:type="dxa"/>
          </w:tcPr>
          <w:p w14:paraId="0D7592DF" w14:textId="4710ACE5" w:rsidR="00F26B25" w:rsidRDefault="00F26B25" w:rsidP="00F26B25">
            <w:pPr>
              <w:rPr>
                <w:rFonts w:cs="Arial"/>
              </w:rPr>
            </w:pPr>
            <w:r>
              <w:t>Лека</w:t>
            </w:r>
          </w:p>
        </w:tc>
        <w:tc>
          <w:tcPr>
            <w:tcW w:w="2394" w:type="dxa"/>
          </w:tcPr>
          <w:p w14:paraId="7290306D" w14:textId="65C5B9C3" w:rsidR="00F26B25" w:rsidRDefault="00F26B25" w:rsidP="00F26B25">
            <w:pPr>
              <w:rPr>
                <w:rFonts w:cs="Arial"/>
              </w:rPr>
            </w:pPr>
            <w:r>
              <w:t>50-79</w:t>
            </w:r>
          </w:p>
        </w:tc>
        <w:tc>
          <w:tcPr>
            <w:tcW w:w="2394" w:type="dxa"/>
          </w:tcPr>
          <w:p w14:paraId="209EC760" w14:textId="6D744F3F" w:rsidR="00F26B25" w:rsidRDefault="00F26B25" w:rsidP="00F26B25">
            <w:pPr>
              <w:rPr>
                <w:rFonts w:cs="Arial"/>
              </w:rPr>
            </w:pPr>
            <w:r>
              <w:t xml:space="preserve">7 до 14 </w:t>
            </w:r>
            <w:r>
              <w:rPr>
                <w:lang w:val="en-US"/>
              </w:rPr>
              <w:t>mg</w:t>
            </w:r>
            <w:r w:rsidRPr="00F26B25">
              <w:rPr>
                <w:lang w:val="ru-RU"/>
              </w:rPr>
              <w:t>/</w:t>
            </w:r>
            <w:r>
              <w:rPr>
                <w:lang w:val="en-US"/>
              </w:rPr>
              <w:t>kg</w:t>
            </w:r>
            <w:r w:rsidRPr="00F26B25">
              <w:rPr>
                <w:lang w:val="ru-RU"/>
              </w:rPr>
              <w:t xml:space="preserve"> </w:t>
            </w:r>
            <w:r>
              <w:t>два пъти дневно</w:t>
            </w:r>
          </w:p>
        </w:tc>
        <w:tc>
          <w:tcPr>
            <w:tcW w:w="2394" w:type="dxa"/>
          </w:tcPr>
          <w:p w14:paraId="0653786F" w14:textId="221102D3" w:rsidR="00F26B25" w:rsidRDefault="00F26B25" w:rsidP="00F26B25">
            <w:pPr>
              <w:rPr>
                <w:rFonts w:cs="Arial"/>
              </w:rPr>
            </w:pPr>
            <w:r>
              <w:t xml:space="preserve">10 до 20 </w:t>
            </w:r>
            <w:r>
              <w:rPr>
                <w:lang w:val="en-US"/>
              </w:rPr>
              <w:t>mg</w:t>
            </w:r>
            <w:r w:rsidRPr="00F26B25">
              <w:rPr>
                <w:lang w:val="ru-RU"/>
              </w:rPr>
              <w:t>/</w:t>
            </w:r>
            <w:r>
              <w:rPr>
                <w:lang w:val="en-US"/>
              </w:rPr>
              <w:t>kg</w:t>
            </w:r>
            <w:r w:rsidRPr="00F26B25">
              <w:rPr>
                <w:lang w:val="ru-RU"/>
              </w:rPr>
              <w:t xml:space="preserve"> </w:t>
            </w:r>
            <w:r>
              <w:t>два пъти дневно</w:t>
            </w:r>
          </w:p>
        </w:tc>
      </w:tr>
      <w:tr w:rsidR="00F26B25" w14:paraId="69C9D99B" w14:textId="77777777" w:rsidTr="00F26B25">
        <w:tc>
          <w:tcPr>
            <w:tcW w:w="2394" w:type="dxa"/>
          </w:tcPr>
          <w:p w14:paraId="6D08D4DC" w14:textId="01A61187" w:rsidR="00F26B25" w:rsidRDefault="00F26B25" w:rsidP="00F26B25">
            <w:pPr>
              <w:rPr>
                <w:rFonts w:cs="Arial"/>
              </w:rPr>
            </w:pPr>
            <w:r>
              <w:t>Умерена</w:t>
            </w:r>
          </w:p>
        </w:tc>
        <w:tc>
          <w:tcPr>
            <w:tcW w:w="2394" w:type="dxa"/>
          </w:tcPr>
          <w:p w14:paraId="06DAF0D0" w14:textId="5AFB1659" w:rsidR="00F26B25" w:rsidRDefault="00F26B25" w:rsidP="00F26B25">
            <w:pPr>
              <w:rPr>
                <w:rFonts w:cs="Arial"/>
              </w:rPr>
            </w:pPr>
            <w:r>
              <w:t>30-49</w:t>
            </w:r>
          </w:p>
        </w:tc>
        <w:tc>
          <w:tcPr>
            <w:tcW w:w="2394" w:type="dxa"/>
          </w:tcPr>
          <w:p w14:paraId="6D9537E9" w14:textId="77777777" w:rsidR="00F26B25" w:rsidRDefault="00F26B25" w:rsidP="00F26B25">
            <w:r>
              <w:t>3,5 до</w:t>
            </w:r>
          </w:p>
          <w:p w14:paraId="18551CD4" w14:textId="108EDA50" w:rsidR="00F26B25" w:rsidRDefault="00F26B25" w:rsidP="00F26B25">
            <w:pPr>
              <w:rPr>
                <w:rFonts w:cs="Arial"/>
              </w:rPr>
            </w:pPr>
            <w:r>
              <w:t xml:space="preserve">10,5 </w:t>
            </w:r>
            <w:r>
              <w:rPr>
                <w:lang w:val="en-US"/>
              </w:rPr>
              <w:t>mg</w:t>
            </w:r>
            <w:r w:rsidRPr="00F26B25">
              <w:rPr>
                <w:lang w:val="ru-RU"/>
              </w:rPr>
              <w:t>/</w:t>
            </w:r>
            <w:r>
              <w:rPr>
                <w:lang w:val="en-US"/>
              </w:rPr>
              <w:t>kg</w:t>
            </w:r>
            <w:r w:rsidRPr="00F26B25">
              <w:rPr>
                <w:lang w:val="ru-RU"/>
              </w:rPr>
              <w:t xml:space="preserve"> </w:t>
            </w:r>
            <w:r>
              <w:t>два пъти дневно</w:t>
            </w:r>
          </w:p>
        </w:tc>
        <w:tc>
          <w:tcPr>
            <w:tcW w:w="2394" w:type="dxa"/>
          </w:tcPr>
          <w:p w14:paraId="143FAC83" w14:textId="5359DB7E" w:rsidR="00F26B25" w:rsidRDefault="00F26B25" w:rsidP="00F26B25">
            <w:pPr>
              <w:rPr>
                <w:rFonts w:cs="Arial"/>
              </w:rPr>
            </w:pPr>
            <w:r>
              <w:t xml:space="preserve">5 до 15 </w:t>
            </w:r>
            <w:r>
              <w:rPr>
                <w:lang w:val="en-US"/>
              </w:rPr>
              <w:t>mg</w:t>
            </w:r>
            <w:r w:rsidRPr="00F26B25">
              <w:rPr>
                <w:lang w:val="ru-RU"/>
              </w:rPr>
              <w:t>/</w:t>
            </w:r>
            <w:r>
              <w:rPr>
                <w:lang w:val="en-US"/>
              </w:rPr>
              <w:t>kg</w:t>
            </w:r>
            <w:r w:rsidRPr="00F26B25">
              <w:rPr>
                <w:lang w:val="ru-RU"/>
              </w:rPr>
              <w:t xml:space="preserve"> </w:t>
            </w:r>
            <w:r>
              <w:t>два пъти дневно</w:t>
            </w:r>
          </w:p>
        </w:tc>
      </w:tr>
      <w:tr w:rsidR="00F26B25" w14:paraId="191932F8" w14:textId="77777777" w:rsidTr="00F26B25">
        <w:tc>
          <w:tcPr>
            <w:tcW w:w="2394" w:type="dxa"/>
          </w:tcPr>
          <w:p w14:paraId="7FADFC1A" w14:textId="394665F6" w:rsidR="00F26B25" w:rsidRDefault="00F26B25" w:rsidP="00F26B25">
            <w:pPr>
              <w:rPr>
                <w:rFonts w:cs="Arial"/>
              </w:rPr>
            </w:pPr>
            <w:r>
              <w:t>Тежка</w:t>
            </w:r>
          </w:p>
        </w:tc>
        <w:tc>
          <w:tcPr>
            <w:tcW w:w="2394" w:type="dxa"/>
          </w:tcPr>
          <w:p w14:paraId="50AD67C2" w14:textId="5CC26B80" w:rsidR="00F26B25" w:rsidRDefault="00F26B25" w:rsidP="00F26B25">
            <w:pPr>
              <w:rPr>
                <w:rFonts w:cs="Arial"/>
              </w:rPr>
            </w:pPr>
            <w:r>
              <w:t>&lt;30</w:t>
            </w:r>
          </w:p>
        </w:tc>
        <w:tc>
          <w:tcPr>
            <w:tcW w:w="2394" w:type="dxa"/>
          </w:tcPr>
          <w:p w14:paraId="27725020" w14:textId="29A3053D" w:rsidR="00F26B25" w:rsidRDefault="00F26B25" w:rsidP="00F26B25">
            <w:pPr>
              <w:rPr>
                <w:rFonts w:cs="Arial"/>
              </w:rPr>
            </w:pPr>
            <w:r>
              <w:t xml:space="preserve">3,5 до 7 </w:t>
            </w:r>
            <w:r>
              <w:rPr>
                <w:lang w:val="en-US"/>
              </w:rPr>
              <w:t>mg</w:t>
            </w:r>
            <w:r w:rsidRPr="00F26B25">
              <w:rPr>
                <w:lang w:val="ru-RU"/>
              </w:rPr>
              <w:t>/</w:t>
            </w:r>
            <w:r>
              <w:rPr>
                <w:lang w:val="en-US"/>
              </w:rPr>
              <w:t>kg</w:t>
            </w:r>
            <w:r w:rsidRPr="00F26B25">
              <w:rPr>
                <w:lang w:val="ru-RU"/>
              </w:rPr>
              <w:t xml:space="preserve"> </w:t>
            </w:r>
            <w:r>
              <w:t>два пъти дневно</w:t>
            </w:r>
          </w:p>
        </w:tc>
        <w:tc>
          <w:tcPr>
            <w:tcW w:w="2394" w:type="dxa"/>
          </w:tcPr>
          <w:p w14:paraId="67789C83" w14:textId="6E0CB2AC" w:rsidR="00F26B25" w:rsidRDefault="00F26B25" w:rsidP="00F26B25">
            <w:pPr>
              <w:rPr>
                <w:rFonts w:cs="Arial"/>
              </w:rPr>
            </w:pPr>
            <w:r>
              <w:t xml:space="preserve">5 до 10 </w:t>
            </w:r>
            <w:r>
              <w:rPr>
                <w:lang w:val="en-US"/>
              </w:rPr>
              <w:t>mg</w:t>
            </w:r>
            <w:r w:rsidRPr="00F26B25">
              <w:rPr>
                <w:lang w:val="ru-RU"/>
              </w:rPr>
              <w:t>/</w:t>
            </w:r>
            <w:r>
              <w:rPr>
                <w:lang w:val="en-US"/>
              </w:rPr>
              <w:t>kg</w:t>
            </w:r>
            <w:r w:rsidRPr="00F26B25">
              <w:rPr>
                <w:lang w:val="ru-RU"/>
              </w:rPr>
              <w:t xml:space="preserve"> </w:t>
            </w:r>
            <w:r>
              <w:t>два пъти дневно</w:t>
            </w:r>
          </w:p>
        </w:tc>
      </w:tr>
      <w:tr w:rsidR="00F26B25" w14:paraId="4928E753" w14:textId="77777777" w:rsidTr="00F26B25">
        <w:tc>
          <w:tcPr>
            <w:tcW w:w="2394" w:type="dxa"/>
          </w:tcPr>
          <w:p w14:paraId="76C524B7" w14:textId="5744F655" w:rsidR="00F26B25" w:rsidRDefault="00F26B25" w:rsidP="00F26B25">
            <w:pPr>
              <w:rPr>
                <w:rFonts w:cs="Arial"/>
              </w:rPr>
            </w:pPr>
            <w:r>
              <w:t>Пациенти с терминална бъбречна недостатъчност, провеждащи диализа</w:t>
            </w:r>
          </w:p>
        </w:tc>
        <w:tc>
          <w:tcPr>
            <w:tcW w:w="2394" w:type="dxa"/>
          </w:tcPr>
          <w:p w14:paraId="041E6B68" w14:textId="77777777" w:rsidR="00F26B25" w:rsidRDefault="00F26B25" w:rsidP="00F26B25">
            <w:pPr>
              <w:rPr>
                <w:rFonts w:cs="Arial"/>
              </w:rPr>
            </w:pPr>
          </w:p>
        </w:tc>
        <w:tc>
          <w:tcPr>
            <w:tcW w:w="2394" w:type="dxa"/>
          </w:tcPr>
          <w:p w14:paraId="0BAAFFD0" w14:textId="77777777" w:rsidR="00F26B25" w:rsidRDefault="00F26B25" w:rsidP="00F26B25">
            <w:r>
              <w:t xml:space="preserve">7 до 14 </w:t>
            </w:r>
            <w:r>
              <w:rPr>
                <w:lang w:val="en-US"/>
              </w:rPr>
              <w:t>mg</w:t>
            </w:r>
            <w:r w:rsidRPr="00F26B25">
              <w:rPr>
                <w:lang w:val="ru-RU"/>
              </w:rPr>
              <w:t>/</w:t>
            </w:r>
            <w:r>
              <w:rPr>
                <w:lang w:val="en-US"/>
              </w:rPr>
              <w:t>kg</w:t>
            </w:r>
            <w:r w:rsidRPr="00F26B25">
              <w:rPr>
                <w:lang w:val="ru-RU"/>
              </w:rPr>
              <w:t xml:space="preserve"> </w:t>
            </w:r>
            <w:r>
              <w:t>веднъж дневно</w:t>
            </w:r>
          </w:p>
          <w:p w14:paraId="1E0B300D" w14:textId="3A247560" w:rsidR="00F26B25" w:rsidRDefault="00F26B25" w:rsidP="00F26B25">
            <w:pPr>
              <w:rPr>
                <w:rFonts w:cs="Arial"/>
              </w:rPr>
            </w:pPr>
            <w:r>
              <w:t>(2) (4)</w:t>
            </w:r>
          </w:p>
        </w:tc>
        <w:tc>
          <w:tcPr>
            <w:tcW w:w="2394" w:type="dxa"/>
          </w:tcPr>
          <w:p w14:paraId="2E3F3033" w14:textId="23B7C12A" w:rsidR="00F26B25" w:rsidRDefault="00F26B25" w:rsidP="00F26B25">
            <w:pPr>
              <w:rPr>
                <w:rFonts w:cs="Arial"/>
              </w:rPr>
            </w:pPr>
            <w:r>
              <w:t xml:space="preserve">10 до 20 </w:t>
            </w:r>
            <w:r>
              <w:rPr>
                <w:lang w:val="en-US"/>
              </w:rPr>
              <w:t>mg</w:t>
            </w:r>
            <w:r w:rsidRPr="00F26B25">
              <w:rPr>
                <w:lang w:val="ru-RU"/>
              </w:rPr>
              <w:t>/</w:t>
            </w:r>
            <w:r>
              <w:rPr>
                <w:lang w:val="en-US"/>
              </w:rPr>
              <w:t>kg</w:t>
            </w:r>
            <w:r w:rsidRPr="00F26B25">
              <w:rPr>
                <w:lang w:val="ru-RU"/>
              </w:rPr>
              <w:t xml:space="preserve"> </w:t>
            </w:r>
            <w:r>
              <w:t>веднъж дневно (3) (5)</w:t>
            </w:r>
          </w:p>
        </w:tc>
      </w:tr>
    </w:tbl>
    <w:p w14:paraId="4E490F67"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(1) При дози под 250 </w:t>
      </w:r>
      <w:r w:rsidRPr="00F26B25">
        <w:rPr>
          <w:rFonts w:eastAsia="Times New Roman" w:cs="Arial"/>
          <w:color w:val="000000"/>
          <w:lang w:val="en-US"/>
        </w:rPr>
        <w:t>mg</w:t>
      </w:r>
      <w:r w:rsidRPr="00F26B25">
        <w:rPr>
          <w:rFonts w:eastAsia="Times New Roman" w:cs="Arial"/>
          <w:color w:val="000000"/>
          <w:lang w:val="ru-RU"/>
        </w:rPr>
        <w:t xml:space="preserve">, </w:t>
      </w:r>
      <w:r w:rsidRPr="00F26B25">
        <w:rPr>
          <w:rFonts w:eastAsia="Times New Roman" w:cs="Arial"/>
          <w:color w:val="000000"/>
          <w:lang w:eastAsia="bg-BG"/>
        </w:rPr>
        <w:t xml:space="preserve">при дози, които не са кратни на 250 </w:t>
      </w:r>
      <w:r w:rsidRPr="00F26B25">
        <w:rPr>
          <w:rFonts w:eastAsia="Times New Roman" w:cs="Arial"/>
          <w:color w:val="000000"/>
          <w:lang w:val="en-US"/>
        </w:rPr>
        <w:t>mg</w:t>
      </w:r>
      <w:r w:rsidRPr="00F26B25">
        <w:rPr>
          <w:rFonts w:eastAsia="Times New Roman" w:cs="Arial"/>
          <w:color w:val="000000"/>
          <w:lang w:val="ru-RU"/>
        </w:rPr>
        <w:t xml:space="preserve">, </w:t>
      </w:r>
      <w:r w:rsidRPr="00F26B25">
        <w:rPr>
          <w:rFonts w:eastAsia="Times New Roman" w:cs="Arial"/>
          <w:color w:val="000000"/>
          <w:lang w:eastAsia="bg-BG"/>
        </w:rPr>
        <w:t>когато препоръчителната доза не може да се постигне с приемането на няколко таблетки и при пациенти, които не могат да преглъщат таблетки трябва да се използва перорален разтвор,</w:t>
      </w:r>
    </w:p>
    <w:p w14:paraId="3217B2D3" w14:textId="77777777" w:rsidR="00F26B25" w:rsidRDefault="00F26B25" w:rsidP="00F26B25">
      <w:pPr>
        <w:spacing w:line="240" w:lineRule="auto"/>
        <w:rPr>
          <w:rFonts w:eastAsia="Times New Roman" w:cs="Arial"/>
          <w:color w:val="000000"/>
          <w:lang w:eastAsia="bg-BG"/>
        </w:rPr>
      </w:pPr>
      <w:r w:rsidRPr="00F26B25">
        <w:rPr>
          <w:rFonts w:eastAsia="Times New Roman" w:cs="Arial"/>
          <w:color w:val="000000"/>
          <w:lang w:eastAsia="bg-BG"/>
        </w:rPr>
        <w:t xml:space="preserve">(2) Препоръчва се натоварваща доза от 10,5 </w:t>
      </w:r>
      <w:r w:rsidRPr="00F26B25">
        <w:rPr>
          <w:rFonts w:eastAsia="Times New Roman" w:cs="Arial"/>
          <w:color w:val="000000"/>
          <w:lang w:val="en-US"/>
        </w:rPr>
        <w:t>mg</w:t>
      </w:r>
      <w:r w:rsidRPr="00F26B25">
        <w:rPr>
          <w:rFonts w:eastAsia="Times New Roman" w:cs="Arial"/>
          <w:color w:val="000000"/>
          <w:lang w:val="ru-RU"/>
        </w:rPr>
        <w:t>/</w:t>
      </w:r>
      <w:r w:rsidRPr="00F26B25">
        <w:rPr>
          <w:rFonts w:eastAsia="Times New Roman" w:cs="Arial"/>
          <w:color w:val="000000"/>
          <w:lang w:val="en-US"/>
        </w:rPr>
        <w:t>kg</w:t>
      </w:r>
      <w:r w:rsidRPr="00F26B25">
        <w:rPr>
          <w:rFonts w:eastAsia="Times New Roman" w:cs="Arial"/>
          <w:color w:val="000000"/>
          <w:lang w:val="ru-RU"/>
        </w:rPr>
        <w:t xml:space="preserve"> </w:t>
      </w:r>
      <w:r w:rsidRPr="00F26B25">
        <w:rPr>
          <w:rFonts w:eastAsia="Times New Roman" w:cs="Arial"/>
          <w:color w:val="000000"/>
          <w:lang w:eastAsia="bg-BG"/>
        </w:rPr>
        <w:t xml:space="preserve">през първия ден на лечение с леветирацетам. </w:t>
      </w:r>
    </w:p>
    <w:p w14:paraId="31E5F26F" w14:textId="77777777" w:rsidR="00F26B25" w:rsidRDefault="00F26B25" w:rsidP="00F26B25">
      <w:pPr>
        <w:spacing w:line="240" w:lineRule="auto"/>
        <w:rPr>
          <w:rFonts w:eastAsia="Times New Roman" w:cs="Arial"/>
          <w:color w:val="000000"/>
          <w:lang w:eastAsia="bg-BG"/>
        </w:rPr>
      </w:pPr>
      <w:r w:rsidRPr="00F26B25">
        <w:rPr>
          <w:rFonts w:eastAsia="Times New Roman" w:cs="Arial"/>
          <w:color w:val="000000"/>
          <w:lang w:eastAsia="bg-BG"/>
        </w:rPr>
        <w:t xml:space="preserve">(3) Препоръчва се натоварваща доза от 15 </w:t>
      </w:r>
      <w:r w:rsidRPr="00F26B25">
        <w:rPr>
          <w:rFonts w:eastAsia="Times New Roman" w:cs="Arial"/>
          <w:color w:val="000000"/>
          <w:lang w:val="en-US"/>
        </w:rPr>
        <w:t>mg</w:t>
      </w:r>
      <w:r w:rsidRPr="00F26B25">
        <w:rPr>
          <w:rFonts w:eastAsia="Times New Roman" w:cs="Arial"/>
          <w:color w:val="000000"/>
          <w:lang w:val="ru-RU"/>
        </w:rPr>
        <w:t>/</w:t>
      </w:r>
      <w:r w:rsidRPr="00F26B25">
        <w:rPr>
          <w:rFonts w:eastAsia="Times New Roman" w:cs="Arial"/>
          <w:color w:val="000000"/>
          <w:lang w:val="en-US"/>
        </w:rPr>
        <w:t>kg</w:t>
      </w:r>
      <w:r w:rsidRPr="00F26B25">
        <w:rPr>
          <w:rFonts w:eastAsia="Times New Roman" w:cs="Arial"/>
          <w:color w:val="000000"/>
          <w:lang w:val="ru-RU"/>
        </w:rPr>
        <w:t xml:space="preserve"> </w:t>
      </w:r>
      <w:r w:rsidRPr="00F26B25">
        <w:rPr>
          <w:rFonts w:eastAsia="Times New Roman" w:cs="Arial"/>
          <w:color w:val="000000"/>
          <w:lang w:eastAsia="bg-BG"/>
        </w:rPr>
        <w:t xml:space="preserve">през първия ден на лечение с леветирацетам. </w:t>
      </w:r>
    </w:p>
    <w:p w14:paraId="63E0CB04" w14:textId="52340D10"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(4) След диализа се препоръчва допълнителна доза от 3,5 до 7 </w:t>
      </w:r>
      <w:r w:rsidRPr="00F26B25">
        <w:rPr>
          <w:rFonts w:eastAsia="Times New Roman" w:cs="Arial"/>
          <w:color w:val="000000"/>
          <w:lang w:val="en-US"/>
        </w:rPr>
        <w:t>mg</w:t>
      </w:r>
      <w:r w:rsidRPr="00F26B25">
        <w:rPr>
          <w:rFonts w:eastAsia="Times New Roman" w:cs="Arial"/>
          <w:color w:val="000000"/>
          <w:lang w:val="ru-RU"/>
        </w:rPr>
        <w:t>/</w:t>
      </w:r>
      <w:r w:rsidRPr="00F26B25">
        <w:rPr>
          <w:rFonts w:eastAsia="Times New Roman" w:cs="Arial"/>
          <w:color w:val="000000"/>
          <w:lang w:val="en-US"/>
        </w:rPr>
        <w:t>kg</w:t>
      </w:r>
      <w:r w:rsidRPr="00F26B25">
        <w:rPr>
          <w:rFonts w:eastAsia="Times New Roman" w:cs="Arial"/>
          <w:color w:val="000000"/>
          <w:lang w:val="ru-RU"/>
        </w:rPr>
        <w:t>.</w:t>
      </w:r>
    </w:p>
    <w:p w14:paraId="41D9482C"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(5) След диализа се препоръчва допълнителна доза от 5 до 10 </w:t>
      </w:r>
      <w:r w:rsidRPr="00F26B25">
        <w:rPr>
          <w:rFonts w:eastAsia="Times New Roman" w:cs="Arial"/>
          <w:color w:val="000000"/>
          <w:lang w:val="en-US"/>
        </w:rPr>
        <w:t>mg</w:t>
      </w:r>
      <w:r w:rsidRPr="00F26B25">
        <w:rPr>
          <w:rFonts w:eastAsia="Times New Roman" w:cs="Arial"/>
          <w:color w:val="000000"/>
          <w:lang w:val="ru-RU"/>
        </w:rPr>
        <w:t>/</w:t>
      </w:r>
      <w:r w:rsidRPr="00F26B25">
        <w:rPr>
          <w:rFonts w:eastAsia="Times New Roman" w:cs="Arial"/>
          <w:color w:val="000000"/>
          <w:lang w:val="en-US"/>
        </w:rPr>
        <w:t>kg</w:t>
      </w:r>
      <w:r w:rsidRPr="00F26B25">
        <w:rPr>
          <w:rFonts w:eastAsia="Times New Roman" w:cs="Arial"/>
          <w:color w:val="000000"/>
          <w:lang w:val="ru-RU"/>
        </w:rPr>
        <w:t>.</w:t>
      </w:r>
    </w:p>
    <w:p w14:paraId="5C74D49C" w14:textId="77777777" w:rsidR="00F26B25" w:rsidRPr="00F26B25" w:rsidRDefault="00F26B25" w:rsidP="00F26B25">
      <w:pPr>
        <w:spacing w:line="240" w:lineRule="auto"/>
        <w:rPr>
          <w:rFonts w:eastAsia="Times New Roman" w:cs="Arial"/>
          <w:i/>
          <w:iCs/>
          <w:color w:val="000000"/>
          <w:lang w:eastAsia="bg-BG"/>
        </w:rPr>
      </w:pPr>
    </w:p>
    <w:p w14:paraId="47B29328" w14:textId="1F3F5A38" w:rsidR="00F26B25" w:rsidRPr="00F26B25" w:rsidRDefault="00F26B25" w:rsidP="00F26B25">
      <w:pPr>
        <w:spacing w:line="240" w:lineRule="auto"/>
        <w:rPr>
          <w:rFonts w:eastAsia="Times New Roman" w:cs="Arial"/>
          <w:sz w:val="24"/>
          <w:szCs w:val="24"/>
        </w:rPr>
      </w:pPr>
      <w:r w:rsidRPr="00F26B25">
        <w:rPr>
          <w:rFonts w:eastAsia="Times New Roman" w:cs="Arial"/>
          <w:i/>
          <w:iCs/>
          <w:color w:val="000000"/>
          <w:lang w:eastAsia="bg-BG"/>
        </w:rPr>
        <w:t>Чернодробно увреждане</w:t>
      </w:r>
    </w:p>
    <w:p w14:paraId="28C430D6"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При пациенти с лека до умерена степен на чернодробно увреждане не се налага адаптиране на дозата. При пациенти с тежко чернодробно увреждане, стойностите на креатининовия клирънс могат да не дадат реална представа за бъбречната недостатъчност. По тази причина, при креатининов клирънс &lt; 60 </w:t>
      </w:r>
      <w:r w:rsidRPr="00F26B25">
        <w:rPr>
          <w:rFonts w:eastAsia="Times New Roman" w:cs="Arial"/>
          <w:color w:val="000000"/>
          <w:lang w:val="en-US"/>
        </w:rPr>
        <w:t>ml</w:t>
      </w:r>
      <w:r w:rsidRPr="00F26B25">
        <w:rPr>
          <w:rFonts w:eastAsia="Times New Roman" w:cs="Arial"/>
          <w:color w:val="000000"/>
          <w:lang w:val="ru-RU"/>
        </w:rPr>
        <w:t>/</w:t>
      </w:r>
      <w:r w:rsidRPr="00F26B25">
        <w:rPr>
          <w:rFonts w:eastAsia="Times New Roman" w:cs="Arial"/>
          <w:color w:val="000000"/>
          <w:lang w:val="en-US"/>
        </w:rPr>
        <w:t>min</w:t>
      </w:r>
      <w:r w:rsidRPr="00F26B25">
        <w:rPr>
          <w:rFonts w:eastAsia="Times New Roman" w:cs="Arial"/>
          <w:color w:val="000000"/>
          <w:lang w:val="ru-RU"/>
        </w:rPr>
        <w:t>/</w:t>
      </w:r>
      <w:r w:rsidRPr="00F26B25">
        <w:rPr>
          <w:rFonts w:eastAsia="Times New Roman" w:cs="Arial"/>
          <w:color w:val="000000"/>
          <w:lang w:val="en-US"/>
        </w:rPr>
        <w:t>l</w:t>
      </w:r>
      <w:r w:rsidRPr="00F26B25">
        <w:rPr>
          <w:rFonts w:eastAsia="Times New Roman" w:cs="Arial"/>
          <w:color w:val="000000"/>
          <w:lang w:val="ru-RU"/>
        </w:rPr>
        <w:t>,73</w:t>
      </w:r>
      <w:r w:rsidRPr="00F26B25">
        <w:rPr>
          <w:rFonts w:eastAsia="Times New Roman" w:cs="Arial"/>
          <w:color w:val="000000"/>
          <w:lang w:val="en-US"/>
        </w:rPr>
        <w:t>m</w:t>
      </w:r>
      <w:r w:rsidRPr="00F26B25">
        <w:rPr>
          <w:rFonts w:eastAsia="Times New Roman" w:cs="Arial"/>
          <w:color w:val="000000"/>
          <w:vertAlign w:val="superscript"/>
          <w:lang w:val="ru-RU"/>
        </w:rPr>
        <w:t>2</w:t>
      </w:r>
      <w:r w:rsidRPr="00F26B25">
        <w:rPr>
          <w:rFonts w:eastAsia="Times New Roman" w:cs="Arial"/>
          <w:color w:val="000000"/>
          <w:vertAlign w:val="superscript"/>
          <w:lang w:eastAsia="bg-BG"/>
        </w:rPr>
        <w:t xml:space="preserve"> </w:t>
      </w:r>
      <w:proofErr w:type="spellStart"/>
      <w:r w:rsidRPr="00F26B25">
        <w:rPr>
          <w:rFonts w:eastAsia="Times New Roman" w:cs="Arial"/>
          <w:color w:val="000000"/>
          <w:lang w:val="en-US"/>
        </w:rPr>
        <w:t>ce</w:t>
      </w:r>
      <w:proofErr w:type="spellEnd"/>
      <w:r w:rsidRPr="00F26B25">
        <w:rPr>
          <w:rFonts w:eastAsia="Times New Roman" w:cs="Arial"/>
          <w:color w:val="000000"/>
          <w:lang w:val="ru-RU"/>
        </w:rPr>
        <w:t xml:space="preserve"> </w:t>
      </w:r>
      <w:r w:rsidRPr="00F26B25">
        <w:rPr>
          <w:rFonts w:eastAsia="Times New Roman" w:cs="Arial"/>
          <w:color w:val="000000"/>
          <w:lang w:eastAsia="bg-BG"/>
        </w:rPr>
        <w:t>препоръчва понижаване на дневната поддържаща доза с 50 %.</w:t>
      </w:r>
    </w:p>
    <w:p w14:paraId="5BD09D03" w14:textId="77777777" w:rsidR="00F26B25" w:rsidRPr="00F26B25" w:rsidRDefault="00F26B25" w:rsidP="00F26B25">
      <w:pPr>
        <w:spacing w:line="240" w:lineRule="auto"/>
        <w:rPr>
          <w:rFonts w:eastAsia="Times New Roman" w:cs="Arial"/>
          <w:color w:val="000000"/>
          <w:u w:val="single"/>
          <w:lang w:eastAsia="bg-BG"/>
        </w:rPr>
      </w:pPr>
    </w:p>
    <w:p w14:paraId="09924A47" w14:textId="090D3C57"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Педиатрична популация</w:t>
      </w:r>
    </w:p>
    <w:p w14:paraId="2699B648" w14:textId="77777777" w:rsidR="00F26B25" w:rsidRPr="00F26B25" w:rsidRDefault="00F26B25" w:rsidP="00F26B25">
      <w:pPr>
        <w:spacing w:line="240" w:lineRule="auto"/>
        <w:rPr>
          <w:rFonts w:eastAsia="Times New Roman" w:cs="Arial"/>
          <w:color w:val="000000"/>
          <w:lang w:eastAsia="bg-BG"/>
        </w:rPr>
      </w:pPr>
    </w:p>
    <w:p w14:paraId="4C3832AD" w14:textId="6D2459E6"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Лекарят трябва да предпише най-подходящата лекарствена и дозова форма, които да съответстват на възрастта, теглото и необходимата доза.</w:t>
      </w:r>
    </w:p>
    <w:p w14:paraId="04FE53DF" w14:textId="77777777" w:rsidR="00F26B25" w:rsidRPr="00F26B25" w:rsidRDefault="00F26B25" w:rsidP="00F26B25">
      <w:pPr>
        <w:spacing w:line="240" w:lineRule="auto"/>
        <w:rPr>
          <w:rFonts w:eastAsia="Times New Roman" w:cs="Arial"/>
          <w:color w:val="000000"/>
          <w:lang w:eastAsia="bg-BG"/>
        </w:rPr>
      </w:pPr>
    </w:p>
    <w:p w14:paraId="22FCE91F" w14:textId="71F2A705"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Таблетната форма не е адаптирана за употреба при кърмачета и деца под 6-годишна възраст. При тази популация, предпочитаната форма за употреба е перорален разтвор. В допълнение, наличните дозови форми на таблетките не са подходящи за начална терапия при деца с телесно тегло под 25 </w:t>
      </w:r>
      <w:r w:rsidRPr="00F26B25">
        <w:rPr>
          <w:rFonts w:eastAsia="Times New Roman" w:cs="Arial"/>
          <w:color w:val="000000"/>
          <w:lang w:val="en-US"/>
        </w:rPr>
        <w:t>kg</w:t>
      </w:r>
      <w:r w:rsidRPr="00F26B25">
        <w:rPr>
          <w:rFonts w:eastAsia="Times New Roman" w:cs="Arial"/>
          <w:color w:val="000000"/>
          <w:lang w:val="ru-RU"/>
        </w:rPr>
        <w:t xml:space="preserve">, </w:t>
      </w:r>
      <w:r w:rsidRPr="00F26B25">
        <w:rPr>
          <w:rFonts w:eastAsia="Times New Roman" w:cs="Arial"/>
          <w:color w:val="000000"/>
          <w:lang w:eastAsia="bg-BG"/>
        </w:rPr>
        <w:t xml:space="preserve">при пациенти, които не могат да преглъщат таблетки или при приложение на дози под 250 </w:t>
      </w:r>
      <w:r w:rsidRPr="00F26B25">
        <w:rPr>
          <w:rFonts w:eastAsia="Times New Roman" w:cs="Arial"/>
          <w:color w:val="000000"/>
          <w:lang w:val="en-US"/>
        </w:rPr>
        <w:t>mg</w:t>
      </w:r>
      <w:r w:rsidRPr="00F26B25">
        <w:rPr>
          <w:rFonts w:eastAsia="Times New Roman" w:cs="Arial"/>
          <w:color w:val="000000"/>
          <w:lang w:val="ru-RU"/>
        </w:rPr>
        <w:t xml:space="preserve">. </w:t>
      </w:r>
      <w:r w:rsidRPr="00F26B25">
        <w:rPr>
          <w:rFonts w:eastAsia="Times New Roman" w:cs="Arial"/>
          <w:color w:val="000000"/>
          <w:lang w:eastAsia="bg-BG"/>
        </w:rPr>
        <w:t>При всички горепосочени случаи трябва да се използва перорален разтвор.</w:t>
      </w:r>
    </w:p>
    <w:p w14:paraId="6D5C3453" w14:textId="77777777" w:rsidR="00F26B25" w:rsidRPr="00F26B25" w:rsidRDefault="00F26B25" w:rsidP="00F26B25">
      <w:pPr>
        <w:spacing w:line="240" w:lineRule="auto"/>
        <w:rPr>
          <w:rFonts w:eastAsia="Times New Roman" w:cs="Arial"/>
          <w:i/>
          <w:iCs/>
          <w:color w:val="000000"/>
          <w:u w:val="single"/>
          <w:lang w:eastAsia="bg-BG"/>
        </w:rPr>
      </w:pPr>
    </w:p>
    <w:p w14:paraId="5B880EAB" w14:textId="2BE4389A" w:rsidR="00F26B25" w:rsidRPr="00F26B25" w:rsidRDefault="00F26B25" w:rsidP="00F26B25">
      <w:pPr>
        <w:spacing w:line="240" w:lineRule="auto"/>
        <w:rPr>
          <w:rFonts w:eastAsia="Times New Roman" w:cs="Arial"/>
          <w:sz w:val="24"/>
          <w:szCs w:val="24"/>
        </w:rPr>
      </w:pPr>
      <w:r w:rsidRPr="00F26B25">
        <w:rPr>
          <w:rFonts w:eastAsia="Times New Roman" w:cs="Arial"/>
          <w:i/>
          <w:iCs/>
          <w:color w:val="000000"/>
          <w:u w:val="single"/>
          <w:lang w:eastAsia="bg-BG"/>
        </w:rPr>
        <w:lastRenderedPageBreak/>
        <w:t>Монотерапия</w:t>
      </w:r>
    </w:p>
    <w:p w14:paraId="0DA7B01C"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Безопасността и ефективността на леветирацетам при деца и юноши под 16 години като монотерапия не е установена.</w:t>
      </w:r>
    </w:p>
    <w:p w14:paraId="751BCA8E"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Няма налични данни.</w:t>
      </w:r>
    </w:p>
    <w:p w14:paraId="72AD5C3D" w14:textId="77777777" w:rsidR="00F26B25" w:rsidRPr="00F26B25" w:rsidRDefault="00F26B25" w:rsidP="00F26B25">
      <w:pPr>
        <w:spacing w:line="240" w:lineRule="auto"/>
        <w:rPr>
          <w:rFonts w:eastAsia="Times New Roman" w:cs="Arial"/>
          <w:i/>
          <w:iCs/>
          <w:color w:val="000000"/>
          <w:lang w:eastAsia="bg-BG"/>
        </w:rPr>
      </w:pPr>
    </w:p>
    <w:p w14:paraId="4636A61E" w14:textId="05503FD4" w:rsidR="00F26B25" w:rsidRPr="00F26B25" w:rsidRDefault="00F26B25" w:rsidP="00F26B25">
      <w:pPr>
        <w:spacing w:line="240" w:lineRule="auto"/>
        <w:rPr>
          <w:rFonts w:eastAsia="Times New Roman" w:cs="Arial"/>
          <w:sz w:val="24"/>
          <w:szCs w:val="24"/>
        </w:rPr>
      </w:pPr>
      <w:r w:rsidRPr="00F26B25">
        <w:rPr>
          <w:rFonts w:eastAsia="Times New Roman" w:cs="Arial"/>
          <w:i/>
          <w:iCs/>
          <w:color w:val="000000"/>
          <w:lang w:eastAsia="bg-BG"/>
        </w:rPr>
        <w:t xml:space="preserve">Юноши (16 и 17 години) с тегло </w:t>
      </w:r>
      <w:r w:rsidRPr="00F26B25">
        <w:rPr>
          <w:rFonts w:eastAsia="Times New Roman" w:cs="Arial"/>
          <w:i/>
          <w:iCs/>
          <w:color w:val="000000"/>
          <w:lang w:val="ru-RU"/>
        </w:rPr>
        <w:t xml:space="preserve">50 </w:t>
      </w:r>
      <w:r w:rsidRPr="00F26B25">
        <w:rPr>
          <w:rFonts w:eastAsia="Times New Roman" w:cs="Arial"/>
          <w:i/>
          <w:iCs/>
          <w:color w:val="000000"/>
          <w:lang w:val="en-US"/>
        </w:rPr>
        <w:t>kg</w:t>
      </w:r>
      <w:r w:rsidRPr="00F26B25">
        <w:rPr>
          <w:rFonts w:eastAsia="Times New Roman" w:cs="Arial"/>
          <w:i/>
          <w:iCs/>
          <w:color w:val="000000"/>
          <w:lang w:val="ru-RU"/>
        </w:rPr>
        <w:t xml:space="preserve"> </w:t>
      </w:r>
      <w:r w:rsidRPr="00F26B25">
        <w:rPr>
          <w:rFonts w:eastAsia="Times New Roman" w:cs="Arial"/>
          <w:i/>
          <w:iCs/>
          <w:color w:val="000000"/>
          <w:lang w:eastAsia="bg-BG"/>
        </w:rPr>
        <w:t>или повече с новодиагностицирана епилепсия и парциални пристъпи със или без вторична генерализация.</w:t>
      </w:r>
    </w:p>
    <w:p w14:paraId="398FA28B"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Моля, вижте горния раздел за </w:t>
      </w:r>
      <w:r w:rsidRPr="00F26B25">
        <w:rPr>
          <w:rFonts w:eastAsia="Times New Roman" w:cs="Arial"/>
          <w:i/>
          <w:iCs/>
          <w:color w:val="000000"/>
          <w:lang w:eastAsia="bg-BG"/>
        </w:rPr>
        <w:t xml:space="preserve">Възрастни (≥18 години) и юноши (от 12 до 17 години) с тегло 50 </w:t>
      </w:r>
      <w:r w:rsidRPr="00F26B25">
        <w:rPr>
          <w:rFonts w:eastAsia="Times New Roman" w:cs="Arial"/>
          <w:i/>
          <w:iCs/>
          <w:color w:val="000000"/>
          <w:lang w:val="en-US"/>
        </w:rPr>
        <w:t>kg</w:t>
      </w:r>
      <w:r w:rsidRPr="00F26B25">
        <w:rPr>
          <w:rFonts w:eastAsia="Times New Roman" w:cs="Arial"/>
          <w:i/>
          <w:iCs/>
          <w:color w:val="000000"/>
          <w:lang w:val="ru-RU"/>
        </w:rPr>
        <w:t xml:space="preserve"> </w:t>
      </w:r>
      <w:r w:rsidRPr="00F26B25">
        <w:rPr>
          <w:rFonts w:eastAsia="Times New Roman" w:cs="Arial"/>
          <w:i/>
          <w:iCs/>
          <w:color w:val="000000"/>
          <w:lang w:eastAsia="bg-BG"/>
        </w:rPr>
        <w:t>или повече.</w:t>
      </w:r>
    </w:p>
    <w:p w14:paraId="643F8BB5" w14:textId="77777777" w:rsidR="00F26B25" w:rsidRPr="00F26B25" w:rsidRDefault="00F26B25" w:rsidP="00F26B25">
      <w:pPr>
        <w:spacing w:line="240" w:lineRule="auto"/>
        <w:rPr>
          <w:rFonts w:eastAsia="Times New Roman" w:cs="Arial"/>
          <w:i/>
          <w:iCs/>
          <w:color w:val="000000"/>
          <w:lang w:eastAsia="bg-BG"/>
        </w:rPr>
      </w:pPr>
    </w:p>
    <w:p w14:paraId="565B7993" w14:textId="7FB88126" w:rsidR="00F26B25" w:rsidRPr="00F26B25" w:rsidRDefault="00F26B25" w:rsidP="00F26B25">
      <w:pPr>
        <w:spacing w:line="240" w:lineRule="auto"/>
        <w:rPr>
          <w:rFonts w:eastAsia="Times New Roman" w:cs="Arial"/>
          <w:sz w:val="24"/>
          <w:szCs w:val="24"/>
        </w:rPr>
      </w:pPr>
      <w:r w:rsidRPr="00F26B25">
        <w:rPr>
          <w:rFonts w:eastAsia="Times New Roman" w:cs="Arial"/>
          <w:i/>
          <w:iCs/>
          <w:color w:val="000000"/>
          <w:lang w:eastAsia="bg-BG"/>
        </w:rPr>
        <w:t xml:space="preserve">Допълващо лечение при кърмачета на възраст от 6 до 23 месеца, деца (от 2 до 11 години) и юноши (от 12 до 17 години) с тегло под 50 </w:t>
      </w:r>
      <w:r w:rsidRPr="00F26B25">
        <w:rPr>
          <w:rFonts w:eastAsia="Times New Roman" w:cs="Arial"/>
          <w:i/>
          <w:iCs/>
          <w:color w:val="000000"/>
          <w:lang w:val="en-US"/>
        </w:rPr>
        <w:t>kg</w:t>
      </w:r>
    </w:p>
    <w:p w14:paraId="0E53D665"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Пероралният разтвор е предпочитаната форма за употреба при кърмачета и деца на възраст под 6 години.</w:t>
      </w:r>
    </w:p>
    <w:p w14:paraId="40B6FC20" w14:textId="77777777" w:rsidR="00F26B25" w:rsidRPr="00F26B25" w:rsidRDefault="00F26B25" w:rsidP="00F26B25">
      <w:pPr>
        <w:spacing w:line="240" w:lineRule="auto"/>
        <w:rPr>
          <w:rFonts w:eastAsia="Times New Roman" w:cs="Arial"/>
          <w:color w:val="000000"/>
          <w:lang w:eastAsia="bg-BG"/>
        </w:rPr>
      </w:pPr>
    </w:p>
    <w:p w14:paraId="415499F0" w14:textId="74DF9729"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При деца на 6 години и повече, трябва да се използва перорален разтвор при дози под 250 </w:t>
      </w:r>
      <w:r w:rsidRPr="00F26B25">
        <w:rPr>
          <w:rFonts w:eastAsia="Times New Roman" w:cs="Arial"/>
          <w:color w:val="000000"/>
          <w:lang w:val="en-US"/>
        </w:rPr>
        <w:t>mg</w:t>
      </w:r>
      <w:r w:rsidRPr="00F26B25">
        <w:rPr>
          <w:rFonts w:eastAsia="Times New Roman" w:cs="Arial"/>
          <w:color w:val="000000"/>
          <w:lang w:val="ru-RU"/>
        </w:rPr>
        <w:t xml:space="preserve">, </w:t>
      </w:r>
      <w:r w:rsidRPr="00F26B25">
        <w:rPr>
          <w:rFonts w:eastAsia="Times New Roman" w:cs="Arial"/>
          <w:color w:val="000000"/>
          <w:lang w:eastAsia="bg-BG"/>
        </w:rPr>
        <w:t xml:space="preserve">при дози, които не са кратни на 250 </w:t>
      </w:r>
      <w:r w:rsidRPr="00F26B25">
        <w:rPr>
          <w:rFonts w:eastAsia="Times New Roman" w:cs="Arial"/>
          <w:color w:val="000000"/>
          <w:lang w:val="en-US"/>
        </w:rPr>
        <w:t>mg</w:t>
      </w:r>
      <w:r w:rsidRPr="00F26B25">
        <w:rPr>
          <w:rFonts w:eastAsia="Times New Roman" w:cs="Arial"/>
          <w:color w:val="000000"/>
          <w:lang w:val="ru-RU"/>
        </w:rPr>
        <w:t xml:space="preserve">, </w:t>
      </w:r>
      <w:r w:rsidRPr="00F26B25">
        <w:rPr>
          <w:rFonts w:eastAsia="Times New Roman" w:cs="Arial"/>
          <w:color w:val="000000"/>
          <w:lang w:eastAsia="bg-BG"/>
        </w:rPr>
        <w:t>когато препоръчителната доза не може да се постигне с приемането на няколко таблетки, както и при пациенти, които не могат да преглъщат таблетки.</w:t>
      </w:r>
    </w:p>
    <w:p w14:paraId="7BAEE909" w14:textId="77777777" w:rsidR="00F26B25" w:rsidRPr="00F26B25" w:rsidRDefault="00F26B25" w:rsidP="00F26B25">
      <w:pPr>
        <w:spacing w:line="240" w:lineRule="auto"/>
        <w:rPr>
          <w:rFonts w:eastAsia="Times New Roman" w:cs="Arial"/>
          <w:color w:val="000000"/>
          <w:lang w:eastAsia="bg-BG"/>
        </w:rPr>
      </w:pPr>
    </w:p>
    <w:p w14:paraId="65A25D55" w14:textId="46F337C2"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При всички показания трябва да се използва най-ниската ефективна доза. Началната доза при дете или юноша с тегло 25 </w:t>
      </w:r>
      <w:r w:rsidRPr="00F26B25">
        <w:rPr>
          <w:rFonts w:eastAsia="Times New Roman" w:cs="Arial"/>
          <w:color w:val="000000"/>
          <w:lang w:val="en-US"/>
        </w:rPr>
        <w:t>kg</w:t>
      </w:r>
      <w:r w:rsidRPr="00F26B25">
        <w:rPr>
          <w:rFonts w:eastAsia="Times New Roman" w:cs="Arial"/>
          <w:color w:val="000000"/>
          <w:lang w:val="ru-RU"/>
        </w:rPr>
        <w:t xml:space="preserve"> </w:t>
      </w:r>
      <w:r w:rsidRPr="00F26B25">
        <w:rPr>
          <w:rFonts w:eastAsia="Times New Roman" w:cs="Arial"/>
          <w:color w:val="000000"/>
          <w:lang w:eastAsia="bg-BG"/>
        </w:rPr>
        <w:t xml:space="preserve">трябва да бъде 250 </w:t>
      </w:r>
      <w:r w:rsidRPr="00F26B25">
        <w:rPr>
          <w:rFonts w:eastAsia="Times New Roman" w:cs="Arial"/>
          <w:color w:val="000000"/>
          <w:lang w:val="en-US"/>
        </w:rPr>
        <w:t>mg</w:t>
      </w:r>
      <w:r w:rsidRPr="00F26B25">
        <w:rPr>
          <w:rFonts w:eastAsia="Times New Roman" w:cs="Arial"/>
          <w:color w:val="000000"/>
          <w:lang w:val="ru-RU"/>
        </w:rPr>
        <w:t xml:space="preserve"> </w:t>
      </w:r>
      <w:r w:rsidRPr="00F26B25">
        <w:rPr>
          <w:rFonts w:eastAsia="Times New Roman" w:cs="Arial"/>
          <w:color w:val="000000"/>
          <w:lang w:eastAsia="bg-BG"/>
        </w:rPr>
        <w:t xml:space="preserve">два пъти дневно, като максималната доза е 750 </w:t>
      </w:r>
      <w:r w:rsidRPr="00F26B25">
        <w:rPr>
          <w:rFonts w:eastAsia="Times New Roman" w:cs="Arial"/>
          <w:color w:val="000000"/>
          <w:lang w:val="en-US"/>
        </w:rPr>
        <w:t>mg</w:t>
      </w:r>
      <w:r w:rsidRPr="00F26B25">
        <w:rPr>
          <w:rFonts w:eastAsia="Times New Roman" w:cs="Arial"/>
          <w:color w:val="000000"/>
          <w:lang w:val="ru-RU"/>
        </w:rPr>
        <w:t xml:space="preserve"> </w:t>
      </w:r>
      <w:r w:rsidRPr="00F26B25">
        <w:rPr>
          <w:rFonts w:eastAsia="Times New Roman" w:cs="Arial"/>
          <w:color w:val="000000"/>
          <w:lang w:eastAsia="bg-BG"/>
        </w:rPr>
        <w:t>два пъти дневно.</w:t>
      </w:r>
    </w:p>
    <w:p w14:paraId="20E37B38" w14:textId="77777777" w:rsidR="00F26B25" w:rsidRPr="00F26B25" w:rsidRDefault="00F26B25" w:rsidP="00F26B25">
      <w:pPr>
        <w:spacing w:line="240" w:lineRule="auto"/>
        <w:rPr>
          <w:rFonts w:eastAsia="Times New Roman" w:cs="Arial"/>
          <w:sz w:val="24"/>
          <w:szCs w:val="24"/>
        </w:rPr>
      </w:pPr>
    </w:p>
    <w:p w14:paraId="51FAD80D"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Дозата при деца с тегло 50 </w:t>
      </w:r>
      <w:r w:rsidRPr="00F26B25">
        <w:rPr>
          <w:rFonts w:eastAsia="Times New Roman" w:cs="Arial"/>
          <w:color w:val="000000"/>
          <w:lang w:val="en-US"/>
        </w:rPr>
        <w:t>kg</w:t>
      </w:r>
      <w:r w:rsidRPr="00F26B25">
        <w:rPr>
          <w:rFonts w:eastAsia="Times New Roman" w:cs="Arial"/>
          <w:color w:val="000000"/>
          <w:lang w:val="ru-RU"/>
        </w:rPr>
        <w:t xml:space="preserve"> </w:t>
      </w:r>
      <w:r w:rsidRPr="00F26B25">
        <w:rPr>
          <w:rFonts w:eastAsia="Times New Roman" w:cs="Arial"/>
          <w:color w:val="000000"/>
          <w:lang w:eastAsia="bg-BG"/>
        </w:rPr>
        <w:t>или повече е същата както при възрастни при всички показания.</w:t>
      </w:r>
    </w:p>
    <w:p w14:paraId="356BE1FA" w14:textId="002EFD21" w:rsidR="00F26B25" w:rsidRPr="00F26B25" w:rsidRDefault="00F26B25" w:rsidP="00F26B25">
      <w:pPr>
        <w:rPr>
          <w:rFonts w:cs="Arial"/>
        </w:rPr>
      </w:pPr>
    </w:p>
    <w:p w14:paraId="52EF146C"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Моля, вижте горния раздел за </w:t>
      </w:r>
      <w:r w:rsidRPr="00F26B25">
        <w:rPr>
          <w:rFonts w:eastAsia="Times New Roman" w:cs="Arial"/>
          <w:i/>
          <w:iCs/>
          <w:color w:val="000000"/>
          <w:lang w:eastAsia="bg-BG"/>
        </w:rPr>
        <w:t xml:space="preserve">възрастни (≥18 години) и юноши (от 12 до 17 години) с тегло 50 </w:t>
      </w:r>
      <w:r w:rsidRPr="00F26B25">
        <w:rPr>
          <w:rFonts w:eastAsia="Times New Roman" w:cs="Arial"/>
          <w:i/>
          <w:iCs/>
          <w:color w:val="000000"/>
          <w:lang w:val="en-US"/>
        </w:rPr>
        <w:t>kg</w:t>
      </w:r>
      <w:r w:rsidRPr="00F26B25">
        <w:rPr>
          <w:rFonts w:eastAsia="Times New Roman" w:cs="Arial"/>
          <w:i/>
          <w:iCs/>
          <w:color w:val="000000"/>
          <w:lang w:val="ru-RU"/>
        </w:rPr>
        <w:t xml:space="preserve"> </w:t>
      </w:r>
      <w:r w:rsidRPr="00F26B25">
        <w:rPr>
          <w:rFonts w:eastAsia="Times New Roman" w:cs="Arial"/>
          <w:i/>
          <w:iCs/>
          <w:color w:val="000000"/>
          <w:lang w:eastAsia="bg-BG"/>
        </w:rPr>
        <w:t>или повече</w:t>
      </w:r>
      <w:r w:rsidRPr="00F26B25">
        <w:rPr>
          <w:rFonts w:eastAsia="Times New Roman" w:cs="Arial"/>
          <w:color w:val="000000"/>
          <w:lang w:eastAsia="bg-BG"/>
        </w:rPr>
        <w:t xml:space="preserve"> при всички показания.</w:t>
      </w:r>
    </w:p>
    <w:p w14:paraId="1DE00923" w14:textId="77777777" w:rsidR="00F26B25" w:rsidRPr="00F26B25" w:rsidRDefault="00F26B25" w:rsidP="00F26B25">
      <w:pPr>
        <w:spacing w:line="240" w:lineRule="auto"/>
        <w:rPr>
          <w:rFonts w:eastAsia="Times New Roman" w:cs="Arial"/>
          <w:i/>
          <w:iCs/>
          <w:color w:val="000000"/>
          <w:u w:val="single"/>
          <w:lang w:eastAsia="bg-BG"/>
        </w:rPr>
      </w:pPr>
    </w:p>
    <w:p w14:paraId="31F38C38" w14:textId="77777777" w:rsidR="00F26B25" w:rsidRPr="00F26B25" w:rsidRDefault="00F26B25" w:rsidP="00F26B25">
      <w:pPr>
        <w:spacing w:line="240" w:lineRule="auto"/>
        <w:rPr>
          <w:rFonts w:eastAsia="Times New Roman" w:cs="Arial"/>
          <w:i/>
          <w:iCs/>
          <w:color w:val="000000"/>
          <w:u w:val="single"/>
          <w:lang w:eastAsia="bg-BG"/>
        </w:rPr>
      </w:pPr>
      <w:r w:rsidRPr="00F26B25">
        <w:rPr>
          <w:rFonts w:eastAsia="Times New Roman" w:cs="Arial"/>
          <w:i/>
          <w:iCs/>
          <w:color w:val="000000"/>
          <w:u w:val="single"/>
          <w:lang w:eastAsia="bg-BG"/>
        </w:rPr>
        <w:t xml:space="preserve">Допълнително лечение при кърмачета на възраст от 1 до под 6 месеца </w:t>
      </w:r>
    </w:p>
    <w:p w14:paraId="38EF51DF" w14:textId="36CB57C9"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При кърмачета се прилага перорален разтвор.</w:t>
      </w:r>
    </w:p>
    <w:p w14:paraId="7FCAB7D2" w14:textId="77777777" w:rsidR="00F26B25" w:rsidRPr="00F26B25" w:rsidRDefault="00F26B25" w:rsidP="00F26B25">
      <w:pPr>
        <w:spacing w:line="240" w:lineRule="auto"/>
        <w:rPr>
          <w:rFonts w:eastAsia="Times New Roman" w:cs="Arial"/>
          <w:color w:val="000000"/>
          <w:u w:val="single"/>
          <w:lang w:eastAsia="bg-BG"/>
        </w:rPr>
      </w:pPr>
    </w:p>
    <w:p w14:paraId="50249B4C" w14:textId="24CDA1F3" w:rsidR="00F26B25" w:rsidRPr="00F26B25" w:rsidRDefault="00F26B25" w:rsidP="00F26B25">
      <w:pPr>
        <w:pStyle w:val="Heading3"/>
        <w:rPr>
          <w:rFonts w:eastAsia="Times New Roman"/>
          <w:u w:val="single"/>
        </w:rPr>
      </w:pPr>
      <w:r w:rsidRPr="00F26B25">
        <w:rPr>
          <w:rFonts w:eastAsia="Times New Roman"/>
          <w:u w:val="single"/>
          <w:lang w:eastAsia="bg-BG"/>
        </w:rPr>
        <w:t>Начин на приложение</w:t>
      </w:r>
    </w:p>
    <w:p w14:paraId="0F52DFC4" w14:textId="77777777" w:rsidR="00F26B25" w:rsidRPr="00F26B25" w:rsidRDefault="00F26B25" w:rsidP="00F26B25">
      <w:pPr>
        <w:spacing w:line="240" w:lineRule="auto"/>
        <w:rPr>
          <w:rFonts w:eastAsia="Times New Roman" w:cs="Arial"/>
          <w:color w:val="000000"/>
          <w:lang w:eastAsia="bg-BG"/>
        </w:rPr>
      </w:pPr>
    </w:p>
    <w:p w14:paraId="52BCBE12" w14:textId="1E698C3C" w:rsidR="00F26B25" w:rsidRDefault="00F26B25" w:rsidP="00F26B25">
      <w:pPr>
        <w:spacing w:line="240" w:lineRule="auto"/>
        <w:rPr>
          <w:rFonts w:eastAsia="Times New Roman" w:cs="Arial"/>
          <w:color w:val="000000"/>
          <w:lang w:eastAsia="bg-BG"/>
        </w:rPr>
      </w:pPr>
      <w:r w:rsidRPr="00F26B25">
        <w:rPr>
          <w:rFonts w:eastAsia="Times New Roman" w:cs="Arial"/>
          <w:color w:val="000000"/>
          <w:lang w:eastAsia="bg-BG"/>
        </w:rPr>
        <w:t>Филмираните таблетки трябва да се приемат перорално, поглъщат се с достатъчно количество течност и могат да се приемат със или без храна. След перорално приложение може да се усети горчивият вкус от леветирацетам. Дневната доза се прилага, като се разделя на две равни дози.</w:t>
      </w:r>
    </w:p>
    <w:p w14:paraId="52359AC2" w14:textId="77777777" w:rsidR="00F26B25" w:rsidRPr="00F26B25" w:rsidRDefault="00F26B25" w:rsidP="00F26B25">
      <w:pPr>
        <w:spacing w:line="240" w:lineRule="auto"/>
        <w:rPr>
          <w:rFonts w:ascii="Times New Roman" w:eastAsia="Times New Roman" w:hAnsi="Times New Roman" w:cs="Times New Roman"/>
          <w:sz w:val="24"/>
          <w:szCs w:val="24"/>
        </w:rPr>
      </w:pPr>
    </w:p>
    <w:p w14:paraId="0F253247" w14:textId="4058B3BC" w:rsidR="007122AD" w:rsidRDefault="002C50EE" w:rsidP="00936AD0">
      <w:pPr>
        <w:pStyle w:val="Heading2"/>
      </w:pPr>
      <w:r>
        <w:t>4.3. Противопоказания</w:t>
      </w:r>
    </w:p>
    <w:p w14:paraId="25F40B7D" w14:textId="6D7EF0D2" w:rsidR="00F26B25" w:rsidRDefault="00F26B25" w:rsidP="00F26B25"/>
    <w:p w14:paraId="39E99B28" w14:textId="19461193" w:rsidR="00F26B25" w:rsidRDefault="00F26B25" w:rsidP="00F26B25">
      <w:r>
        <w:t>Свръхчувствителност към активното вещество или към други пиролидонови производни, или към някое от помощните вещества, изброени в точка 6.1.</w:t>
      </w:r>
    </w:p>
    <w:p w14:paraId="301CF059" w14:textId="77777777" w:rsidR="00F26B25" w:rsidRPr="00F26B25" w:rsidRDefault="00F26B25" w:rsidP="00F26B25"/>
    <w:p w14:paraId="0E0BDCC7" w14:textId="6747E7E9" w:rsidR="007122AD" w:rsidRDefault="002C50EE" w:rsidP="00936AD0">
      <w:pPr>
        <w:pStyle w:val="Heading2"/>
      </w:pPr>
      <w:r>
        <w:t>4.4. Специални предупреждения и предпазни мерки при употреба</w:t>
      </w:r>
    </w:p>
    <w:p w14:paraId="4C98B434" w14:textId="613D45CB" w:rsidR="00F26B25" w:rsidRDefault="00F26B25" w:rsidP="00F26B25"/>
    <w:p w14:paraId="549B9A7C"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Бъбречно увреждане</w:t>
      </w:r>
    </w:p>
    <w:p w14:paraId="1CC1E4F0" w14:textId="77777777" w:rsidR="00F26B25" w:rsidRPr="00F26B25" w:rsidRDefault="00F26B25" w:rsidP="00F26B25">
      <w:pPr>
        <w:spacing w:line="240" w:lineRule="auto"/>
        <w:rPr>
          <w:rFonts w:eastAsia="Times New Roman" w:cs="Arial"/>
          <w:color w:val="000000"/>
          <w:lang w:eastAsia="bg-BG"/>
        </w:rPr>
      </w:pPr>
    </w:p>
    <w:p w14:paraId="70827ACF" w14:textId="0B42CD12"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lastRenderedPageBreak/>
        <w:t>При приложението на леветирацетам при пациенти с бъбречно увреждане може да се наложи адаптиране на дозата. При пациенти с тежко нарушение на чернодробната функция се препоръчва оценка на бъбречната функция преди определяне на дозата (вж. точка 4.2).</w:t>
      </w:r>
    </w:p>
    <w:p w14:paraId="0B694861" w14:textId="77777777" w:rsidR="00F26B25" w:rsidRPr="00F26B25" w:rsidRDefault="00F26B25" w:rsidP="00F26B25">
      <w:pPr>
        <w:spacing w:line="240" w:lineRule="auto"/>
        <w:rPr>
          <w:rFonts w:eastAsia="Times New Roman" w:cs="Arial"/>
          <w:color w:val="000000"/>
          <w:u w:val="single"/>
          <w:lang w:eastAsia="bg-BG"/>
        </w:rPr>
      </w:pPr>
    </w:p>
    <w:p w14:paraId="58AE4964" w14:textId="557883E8"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Остра бъбречна недостатъчност</w:t>
      </w:r>
    </w:p>
    <w:p w14:paraId="6978731D" w14:textId="77777777" w:rsidR="00F26B25" w:rsidRPr="00F26B25" w:rsidRDefault="00F26B25" w:rsidP="00F26B25">
      <w:pPr>
        <w:spacing w:line="240" w:lineRule="auto"/>
        <w:rPr>
          <w:rFonts w:eastAsia="Times New Roman" w:cs="Arial"/>
          <w:color w:val="000000"/>
          <w:lang w:eastAsia="bg-BG"/>
        </w:rPr>
      </w:pPr>
    </w:p>
    <w:p w14:paraId="31425446" w14:textId="610A76B2"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Много рядко употребата на леветирацетам се свързва с остра бъбречна недостатъчност, като времето за нейното възникване варира от няколко дни до няколко месеца.</w:t>
      </w:r>
    </w:p>
    <w:p w14:paraId="08705BD8" w14:textId="77777777" w:rsidR="00F26B25" w:rsidRPr="00F26B25" w:rsidRDefault="00F26B25" w:rsidP="00F26B25">
      <w:pPr>
        <w:spacing w:line="240" w:lineRule="auto"/>
        <w:rPr>
          <w:rFonts w:eastAsia="Times New Roman" w:cs="Arial"/>
          <w:color w:val="000000"/>
          <w:u w:val="single"/>
          <w:lang w:eastAsia="bg-BG"/>
        </w:rPr>
      </w:pPr>
    </w:p>
    <w:p w14:paraId="58A7DE31" w14:textId="4CE50151"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Кръвна картина</w:t>
      </w:r>
    </w:p>
    <w:p w14:paraId="21324FF8" w14:textId="77777777" w:rsidR="00F26B25" w:rsidRPr="00F26B25" w:rsidRDefault="00F26B25" w:rsidP="00F26B25">
      <w:pPr>
        <w:spacing w:line="240" w:lineRule="auto"/>
        <w:rPr>
          <w:rFonts w:eastAsia="Times New Roman" w:cs="Arial"/>
          <w:color w:val="000000"/>
          <w:lang w:eastAsia="bg-BG"/>
        </w:rPr>
      </w:pPr>
    </w:p>
    <w:p w14:paraId="3B03D2B2" w14:textId="598011A8"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Редки случаи на намален брой кръвни клетки (неутропения, агранулоцитоза, левкопения, тромбоцитопения и панцитопения) са описани във връзка с приложението на леветирацетам, случващо се обикновено в началото на лечението. Пълната кръвна картина с диференциално броене се препоръчва при пациенти, които получат значителна слабост, пирексия, повтарящи се инфекции или нарушения в кръвосъсирването (точка 4.8).</w:t>
      </w:r>
    </w:p>
    <w:p w14:paraId="0E1106F7" w14:textId="77777777" w:rsidR="00F26B25" w:rsidRPr="00F26B25" w:rsidRDefault="00F26B25" w:rsidP="00F26B25">
      <w:pPr>
        <w:spacing w:line="240" w:lineRule="auto"/>
        <w:rPr>
          <w:rFonts w:eastAsia="Times New Roman" w:cs="Arial"/>
          <w:color w:val="000000"/>
          <w:u w:val="single"/>
          <w:lang w:eastAsia="bg-BG"/>
        </w:rPr>
      </w:pPr>
    </w:p>
    <w:p w14:paraId="1CB6C8CA" w14:textId="2232B330"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Самоубийство</w:t>
      </w:r>
    </w:p>
    <w:p w14:paraId="762ADC20" w14:textId="77777777" w:rsidR="00F26B25" w:rsidRPr="00F26B25" w:rsidRDefault="00F26B25" w:rsidP="00F26B25">
      <w:pPr>
        <w:spacing w:line="240" w:lineRule="auto"/>
        <w:rPr>
          <w:rFonts w:eastAsia="Times New Roman" w:cs="Arial"/>
          <w:color w:val="000000"/>
          <w:lang w:eastAsia="bg-BG"/>
        </w:rPr>
      </w:pPr>
    </w:p>
    <w:p w14:paraId="2B41A3DB" w14:textId="3E44F2FE"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При пациенти, лекувани с антиепилептични лекарства (включително леветирацетам) са съобщавани самоубийство, опит за самоубийство, суицидна идеация и поведение. Мета-анализ на рандомизирани, плацебо контролирани изпитвания на антиепилептични лекарствени продукти показва слабо повишен риск от поява на суицидни мисли и поведение. Механизмът на този риск не е известен.</w:t>
      </w:r>
    </w:p>
    <w:p w14:paraId="261FC305" w14:textId="77777777" w:rsidR="00F26B25" w:rsidRPr="00F26B25" w:rsidRDefault="00F26B25" w:rsidP="00F26B25">
      <w:pPr>
        <w:spacing w:line="240" w:lineRule="auto"/>
        <w:rPr>
          <w:rFonts w:eastAsia="Times New Roman" w:cs="Arial"/>
          <w:color w:val="000000"/>
          <w:lang w:eastAsia="bg-BG"/>
        </w:rPr>
      </w:pPr>
    </w:p>
    <w:p w14:paraId="1037E46D" w14:textId="654BC05E"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Поради това, пациентите трябва да бъдат проследявани за признаци на депресия и/или суицидна идеация и поведение и трябва да се предприеме съответното лечение. Пациентите (и хората, които се грижат за тях) трябва да бъдат посъветвани незабавно да потърсят лекарски съвет, в случай, че се появят признаци на депресия и/или суицидна идеация или поведение.</w:t>
      </w:r>
    </w:p>
    <w:p w14:paraId="524393BF" w14:textId="77777777" w:rsidR="00F26B25" w:rsidRPr="00F26B25" w:rsidRDefault="00F26B25" w:rsidP="00F26B25">
      <w:pPr>
        <w:spacing w:line="240" w:lineRule="auto"/>
        <w:rPr>
          <w:rFonts w:eastAsia="Times New Roman" w:cs="Arial"/>
          <w:color w:val="000000"/>
          <w:u w:val="single"/>
          <w:lang w:eastAsia="bg-BG"/>
        </w:rPr>
      </w:pPr>
    </w:p>
    <w:p w14:paraId="4B42D13C" w14:textId="2B896DBC"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Абнормно и агресивно поведение</w:t>
      </w:r>
    </w:p>
    <w:p w14:paraId="49B776F9" w14:textId="77777777" w:rsidR="00F26B25" w:rsidRPr="00F26B25" w:rsidRDefault="00F26B25" w:rsidP="00F26B25">
      <w:pPr>
        <w:spacing w:line="240" w:lineRule="auto"/>
        <w:rPr>
          <w:rFonts w:eastAsia="Times New Roman" w:cs="Arial"/>
          <w:color w:val="000000"/>
          <w:lang w:eastAsia="bg-BG"/>
        </w:rPr>
      </w:pPr>
    </w:p>
    <w:p w14:paraId="3940AA24" w14:textId="77777777" w:rsidR="00F26B25" w:rsidRPr="00F26B25" w:rsidRDefault="00F26B25" w:rsidP="00F26B25">
      <w:pPr>
        <w:rPr>
          <w:rFonts w:eastAsia="Times New Roman" w:cs="Arial"/>
          <w:sz w:val="24"/>
          <w:szCs w:val="24"/>
        </w:rPr>
      </w:pPr>
      <w:r w:rsidRPr="00F26B25">
        <w:rPr>
          <w:rFonts w:eastAsia="Times New Roman" w:cs="Arial"/>
          <w:color w:val="000000"/>
          <w:lang w:eastAsia="bg-BG"/>
        </w:rPr>
        <w:t>Леветирацетам може да причини психотични симптоми и поведенчески аномалии включително раздразнителност и агресивност. Пациентите, лекувани с леветирацетам, трябва да бъдат наблюдавани за развитие на психиатрични прояви, насочващи към съществени промени в настроението и/или личността. Ако се забележат такива поведения, трябва да се обмисли коригиране или постепенно преустановяване на лечението. Ако се вземе решение за преустановяване, моля вижте точка 4.2.</w:t>
      </w:r>
    </w:p>
    <w:p w14:paraId="49B4F1AD" w14:textId="77777777" w:rsidR="00F26B25" w:rsidRPr="00F26B25" w:rsidRDefault="00F26B25" w:rsidP="00F26B25">
      <w:pPr>
        <w:spacing w:line="240" w:lineRule="auto"/>
        <w:rPr>
          <w:rFonts w:eastAsia="Times New Roman" w:cs="Arial"/>
          <w:color w:val="000000"/>
          <w:u w:val="single"/>
          <w:lang w:eastAsia="bg-BG"/>
        </w:rPr>
      </w:pPr>
    </w:p>
    <w:p w14:paraId="00CBF9E1" w14:textId="1F7E41F4"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Влошаване на пристъпите</w:t>
      </w:r>
    </w:p>
    <w:p w14:paraId="7D37DD43" w14:textId="77777777" w:rsidR="00F26B25" w:rsidRPr="00F26B25" w:rsidRDefault="00F26B25" w:rsidP="00F26B25">
      <w:pPr>
        <w:spacing w:line="240" w:lineRule="auto"/>
        <w:rPr>
          <w:rFonts w:eastAsia="Times New Roman" w:cs="Arial"/>
          <w:color w:val="000000"/>
          <w:lang w:eastAsia="bg-BG"/>
        </w:rPr>
      </w:pPr>
    </w:p>
    <w:p w14:paraId="2C3DD533" w14:textId="3DA850FD"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Подобно на други антиепилептици леветирацетам в редки случаи може да увеличи честотата или да влоши тежестта на пристъпите. Този парадоксален ефект се съобщава обикновено през първия месец от началото на лечението или след повишаване на дозата и е обратим при прекратяване на приема или при понижаване на дозата. Пациентите трябва да бъдат посъветвани незабавно да се консултират със своя лекар в случай на влошаване </w:t>
      </w:r>
      <w:r w:rsidRPr="00F26B25">
        <w:rPr>
          <w:rFonts w:eastAsia="Times New Roman" w:cs="Arial"/>
          <w:i/>
          <w:iCs/>
          <w:color w:val="000000"/>
          <w:lang w:eastAsia="bg-BG"/>
        </w:rPr>
        <w:t>на</w:t>
      </w:r>
      <w:r w:rsidRPr="00F26B25">
        <w:rPr>
          <w:rFonts w:eastAsia="Times New Roman" w:cs="Arial"/>
          <w:color w:val="000000"/>
          <w:lang w:eastAsia="bg-BG"/>
        </w:rPr>
        <w:t xml:space="preserve"> епилепсията.</w:t>
      </w:r>
    </w:p>
    <w:p w14:paraId="4F2D16D0" w14:textId="77777777" w:rsidR="00F26B25" w:rsidRPr="00F26B25" w:rsidRDefault="00F26B25" w:rsidP="00F26B25">
      <w:pPr>
        <w:spacing w:line="240" w:lineRule="auto"/>
        <w:rPr>
          <w:rFonts w:eastAsia="Times New Roman" w:cs="Arial"/>
          <w:color w:val="000000"/>
          <w:u w:val="single"/>
          <w:lang w:eastAsia="bg-BG"/>
        </w:rPr>
      </w:pPr>
    </w:p>
    <w:p w14:paraId="5B28E2AA" w14:textId="63304DFF"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Удължаване на ОТ-интервала на електрокардиограмата</w:t>
      </w:r>
    </w:p>
    <w:p w14:paraId="612BB033" w14:textId="77777777" w:rsidR="00F26B25" w:rsidRPr="00F26B25" w:rsidRDefault="00F26B25" w:rsidP="00F26B25">
      <w:pPr>
        <w:spacing w:line="240" w:lineRule="auto"/>
        <w:rPr>
          <w:rFonts w:eastAsia="Times New Roman" w:cs="Arial"/>
          <w:color w:val="000000"/>
          <w:lang w:eastAsia="bg-BG"/>
        </w:rPr>
      </w:pPr>
    </w:p>
    <w:p w14:paraId="4A8C70A2" w14:textId="0FD107FA"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По време на постмаркетинговото наблюдение са наблюдавани редки случаи на удължаване на </w:t>
      </w:r>
      <w:r w:rsidRPr="00F26B25">
        <w:rPr>
          <w:rFonts w:eastAsia="Times New Roman" w:cs="Arial"/>
          <w:color w:val="000000"/>
          <w:lang w:val="en-US"/>
        </w:rPr>
        <w:t>QT</w:t>
      </w:r>
      <w:r w:rsidRPr="00F26B25">
        <w:rPr>
          <w:rFonts w:eastAsia="Times New Roman" w:cs="Arial"/>
          <w:color w:val="000000"/>
          <w:lang w:eastAsia="bg-BG"/>
        </w:rPr>
        <w:t xml:space="preserve">-интервала на ЕКГ. Леветирацетам трябва да се използва с повишено внимание при пациенти с удължаване на </w:t>
      </w:r>
      <w:proofErr w:type="spellStart"/>
      <w:r w:rsidRPr="00F26B25">
        <w:rPr>
          <w:rFonts w:eastAsia="Times New Roman" w:cs="Arial"/>
          <w:color w:val="000000"/>
          <w:lang w:val="en-US"/>
        </w:rPr>
        <w:t>QTc</w:t>
      </w:r>
      <w:proofErr w:type="spellEnd"/>
      <w:r w:rsidRPr="00F26B25">
        <w:rPr>
          <w:rFonts w:eastAsia="Times New Roman" w:cs="Arial"/>
          <w:color w:val="000000"/>
          <w:lang w:eastAsia="bg-BG"/>
        </w:rPr>
        <w:t xml:space="preserve">-интервала, при пациенти, лекувани едновременно с лекарства, които оказват влияние върху </w:t>
      </w:r>
      <w:proofErr w:type="spellStart"/>
      <w:r w:rsidRPr="00F26B25">
        <w:rPr>
          <w:rFonts w:eastAsia="Times New Roman" w:cs="Arial"/>
          <w:color w:val="000000"/>
          <w:lang w:val="en-US"/>
        </w:rPr>
        <w:t>QTc</w:t>
      </w:r>
      <w:proofErr w:type="spellEnd"/>
      <w:r w:rsidRPr="00F26B25">
        <w:rPr>
          <w:rFonts w:eastAsia="Times New Roman" w:cs="Arial"/>
          <w:color w:val="000000"/>
          <w:lang w:eastAsia="bg-BG"/>
        </w:rPr>
        <w:t>-интервала, или при пациенти със съответно предшестващо сърдечно заболяване или наличие на електролитни нарушения.</w:t>
      </w:r>
    </w:p>
    <w:p w14:paraId="5AFEE0FB" w14:textId="77777777" w:rsidR="00F26B25" w:rsidRPr="00F26B25" w:rsidRDefault="00F26B25" w:rsidP="00F26B25">
      <w:pPr>
        <w:spacing w:line="240" w:lineRule="auto"/>
        <w:rPr>
          <w:rFonts w:eastAsia="Times New Roman" w:cs="Arial"/>
          <w:color w:val="000000"/>
          <w:u w:val="single"/>
          <w:lang w:eastAsia="bg-BG"/>
        </w:rPr>
      </w:pPr>
    </w:p>
    <w:p w14:paraId="08C9C2FB" w14:textId="64137F13"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Педиатрична популация</w:t>
      </w:r>
    </w:p>
    <w:p w14:paraId="37BBB0A7" w14:textId="77777777" w:rsidR="00F26B25" w:rsidRPr="00F26B25" w:rsidRDefault="00F26B25" w:rsidP="00F26B25">
      <w:pPr>
        <w:spacing w:line="240" w:lineRule="auto"/>
        <w:rPr>
          <w:rFonts w:eastAsia="Times New Roman" w:cs="Arial"/>
          <w:color w:val="000000"/>
          <w:lang w:eastAsia="bg-BG"/>
        </w:rPr>
      </w:pPr>
    </w:p>
    <w:p w14:paraId="3F49DFA4" w14:textId="7F09D84B"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Таблетната форма не е подходяща за прилагане при кърмачета и деца под 6-годишна възраст.</w:t>
      </w:r>
    </w:p>
    <w:p w14:paraId="3B615209" w14:textId="77777777" w:rsidR="00F26B25" w:rsidRPr="00F26B25" w:rsidRDefault="00F26B25" w:rsidP="00F26B25">
      <w:pPr>
        <w:spacing w:line="240" w:lineRule="auto"/>
        <w:rPr>
          <w:rFonts w:eastAsia="Times New Roman" w:cs="Arial"/>
          <w:color w:val="000000"/>
          <w:lang w:eastAsia="bg-BG"/>
        </w:rPr>
      </w:pPr>
    </w:p>
    <w:p w14:paraId="101562DC" w14:textId="3674D6CD"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От наличните данни при деца не се наблюдава повлияване на растежа и пубертета. Въпреки това, не са известни дълготрайните ефекти върху способността за заучаване, интелекта, растежа, ендокринните функции, пубертета и репродуктивния потенциал при деца.</w:t>
      </w:r>
    </w:p>
    <w:p w14:paraId="06AB772F" w14:textId="1F94FBC3" w:rsidR="00F26B25" w:rsidRPr="00F26B25" w:rsidRDefault="00F26B25" w:rsidP="00F26B25"/>
    <w:p w14:paraId="0734264C" w14:textId="1202239D"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71CFD32" w14:textId="2E2A6C17" w:rsidR="00F26B25" w:rsidRDefault="00F26B25" w:rsidP="00F26B25"/>
    <w:p w14:paraId="3A86AC6E"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Антиепилептични лекарствени продукти</w:t>
      </w:r>
    </w:p>
    <w:p w14:paraId="6474378B" w14:textId="77777777" w:rsidR="00F26B25" w:rsidRPr="00F26B25" w:rsidRDefault="00F26B25" w:rsidP="00F26B25">
      <w:pPr>
        <w:spacing w:line="240" w:lineRule="auto"/>
        <w:rPr>
          <w:rFonts w:eastAsia="Times New Roman" w:cs="Arial"/>
          <w:color w:val="000000"/>
          <w:lang w:eastAsia="bg-BG"/>
        </w:rPr>
      </w:pPr>
    </w:p>
    <w:p w14:paraId="5B91C416" w14:textId="35A3B56F"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Данните от клинични проучвания при възрастни, преди пускане на продукта в продажба показват, че леветирацетам не оказва влияние върху серумните концентрации на съществуващите антиепилептични лекарствени средства (фенитоин, карбамазепин, валпроева киселина, фенобарбитал, ламотрижин, габапентин, примидон), както и че тези антиепилептични лекарствени продукти не влияят върху фармакокинетиката на леветирацетам.</w:t>
      </w:r>
    </w:p>
    <w:p w14:paraId="2BF58F0D" w14:textId="77777777" w:rsidR="00F26B25" w:rsidRPr="00F26B25" w:rsidRDefault="00F26B25" w:rsidP="00F26B25">
      <w:pPr>
        <w:spacing w:line="240" w:lineRule="auto"/>
        <w:rPr>
          <w:rFonts w:eastAsia="Times New Roman" w:cs="Arial"/>
          <w:color w:val="000000"/>
          <w:lang w:eastAsia="bg-BG"/>
        </w:rPr>
      </w:pPr>
    </w:p>
    <w:p w14:paraId="021C6ED1" w14:textId="5983AFA1"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Както при възрастни, така и при педиатрични пациенти, приемащи леветирацетам до 60 </w:t>
      </w:r>
      <w:r w:rsidRPr="00F26B25">
        <w:rPr>
          <w:rFonts w:eastAsia="Times New Roman" w:cs="Arial"/>
          <w:color w:val="000000"/>
          <w:lang w:val="en-US"/>
        </w:rPr>
        <w:t>mg</w:t>
      </w:r>
      <w:r w:rsidRPr="00F26B25">
        <w:rPr>
          <w:rFonts w:eastAsia="Times New Roman" w:cs="Arial"/>
          <w:color w:val="000000"/>
          <w:lang w:val="ru-RU"/>
        </w:rPr>
        <w:t>/</w:t>
      </w:r>
      <w:r w:rsidRPr="00F26B25">
        <w:rPr>
          <w:rFonts w:eastAsia="Times New Roman" w:cs="Arial"/>
          <w:color w:val="000000"/>
          <w:lang w:val="en-US"/>
        </w:rPr>
        <w:t>kg</w:t>
      </w:r>
      <w:r w:rsidRPr="00F26B25">
        <w:rPr>
          <w:rFonts w:eastAsia="Times New Roman" w:cs="Arial"/>
          <w:color w:val="000000"/>
          <w:lang w:eastAsia="bg-BG"/>
        </w:rPr>
        <w:t>/дневно не съществуват категорични данни за клинично значими лекарствени взаимодействия, Ретроспективната оценка на фармакокинетичните взаимодействия при деца и юноши с епилепсия (4 до 17 години), потвърждава, че допълващото лечение с перорално приложен леветирацетам не повлиява равновесните плазмени концентрации на едновременно прилаганите карбамазепин и валпроат. Въпреки това, данните предполагат 20 % по-висок клирънс на леветирацетам при деца, приемащи ензим-индуциращи антиепилептични лекарствени продукти. Не се налага адаптиране на дозата.</w:t>
      </w:r>
    </w:p>
    <w:p w14:paraId="20F70B50" w14:textId="77777777" w:rsidR="00F26B25" w:rsidRPr="00F26B25" w:rsidRDefault="00F26B25" w:rsidP="00F26B25">
      <w:pPr>
        <w:spacing w:line="240" w:lineRule="auto"/>
        <w:rPr>
          <w:rFonts w:eastAsia="Times New Roman" w:cs="Arial"/>
          <w:color w:val="000000"/>
          <w:u w:val="single"/>
          <w:lang w:eastAsia="bg-BG"/>
        </w:rPr>
      </w:pPr>
    </w:p>
    <w:p w14:paraId="17D3EDD8" w14:textId="067DBE38"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Пробенецид</w:t>
      </w:r>
    </w:p>
    <w:p w14:paraId="1C9CD5C4" w14:textId="77777777" w:rsidR="00F26B25" w:rsidRPr="00F26B25" w:rsidRDefault="00F26B25" w:rsidP="00F26B25">
      <w:pPr>
        <w:spacing w:line="240" w:lineRule="auto"/>
        <w:rPr>
          <w:rFonts w:eastAsia="Times New Roman" w:cs="Arial"/>
          <w:color w:val="000000"/>
          <w:lang w:eastAsia="bg-BG"/>
        </w:rPr>
      </w:pPr>
    </w:p>
    <w:p w14:paraId="38582780" w14:textId="4079D2E8"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Установено е, че пробенецид (500 </w:t>
      </w:r>
      <w:r w:rsidRPr="00F26B25">
        <w:rPr>
          <w:rFonts w:eastAsia="Times New Roman" w:cs="Arial"/>
          <w:color w:val="000000"/>
          <w:lang w:val="en-US"/>
        </w:rPr>
        <w:t>mg</w:t>
      </w:r>
      <w:r w:rsidRPr="00F26B25">
        <w:rPr>
          <w:rFonts w:eastAsia="Times New Roman" w:cs="Arial"/>
          <w:color w:val="000000"/>
          <w:lang w:val="ru-RU"/>
        </w:rPr>
        <w:t xml:space="preserve"> </w:t>
      </w:r>
      <w:r w:rsidRPr="00F26B25">
        <w:rPr>
          <w:rFonts w:eastAsia="Times New Roman" w:cs="Arial"/>
          <w:color w:val="000000"/>
          <w:lang w:eastAsia="bg-BG"/>
        </w:rPr>
        <w:t>четири пъти Дневно), средство, което инхибира тубулната секреция, потиска реналния клирънс на първичния метаболит, но не и на леветирацетам Въпреки това, концентрацията на този метаболит остава ниска.</w:t>
      </w:r>
    </w:p>
    <w:p w14:paraId="65235900" w14:textId="77777777" w:rsidR="00F26B25" w:rsidRPr="00F26B25" w:rsidRDefault="00F26B25" w:rsidP="00F26B25">
      <w:pPr>
        <w:spacing w:line="240" w:lineRule="auto"/>
        <w:rPr>
          <w:rFonts w:eastAsia="Times New Roman" w:cs="Arial"/>
          <w:color w:val="000000"/>
          <w:u w:val="single"/>
          <w:lang w:eastAsia="bg-BG"/>
        </w:rPr>
      </w:pPr>
    </w:p>
    <w:p w14:paraId="28F0348A" w14:textId="47C17E9E"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Метотрексат</w:t>
      </w:r>
    </w:p>
    <w:p w14:paraId="41442B9A" w14:textId="77777777" w:rsidR="00F26B25" w:rsidRPr="00F26B25" w:rsidRDefault="00F26B25" w:rsidP="00F26B25">
      <w:pPr>
        <w:spacing w:line="240" w:lineRule="auto"/>
        <w:rPr>
          <w:rFonts w:eastAsia="Times New Roman" w:cs="Arial"/>
          <w:color w:val="000000"/>
          <w:lang w:eastAsia="bg-BG"/>
        </w:rPr>
      </w:pPr>
    </w:p>
    <w:p w14:paraId="50CDFFAF" w14:textId="77777777" w:rsidR="00F26B25" w:rsidRPr="00F26B25" w:rsidRDefault="00F26B25" w:rsidP="00F26B25">
      <w:pPr>
        <w:rPr>
          <w:rFonts w:eastAsia="Times New Roman" w:cs="Arial"/>
          <w:sz w:val="24"/>
          <w:szCs w:val="24"/>
        </w:rPr>
      </w:pPr>
      <w:r w:rsidRPr="00F26B25">
        <w:rPr>
          <w:rFonts w:eastAsia="Times New Roman" w:cs="Arial"/>
          <w:color w:val="000000"/>
          <w:lang w:eastAsia="bg-BG"/>
        </w:rPr>
        <w:lastRenderedPageBreak/>
        <w:t>Съобщава се, че едновременното приложение на леветирацетам и метотрексат намалява клирънса на метотрексат, което води до повишена/продължителна концентрация на метотрексат в кръвта до потенциално токсични нива. При пациенти, които се лекуват едновременно с двете лекарства, нивата на метотрексат и леветирацетам в кръвта трябва да се проследяват внимателно.</w:t>
      </w:r>
    </w:p>
    <w:p w14:paraId="7558E056" w14:textId="77777777" w:rsidR="00F26B25" w:rsidRPr="00F26B25" w:rsidRDefault="00F26B25" w:rsidP="00F26B25">
      <w:pPr>
        <w:spacing w:line="240" w:lineRule="auto"/>
        <w:rPr>
          <w:rFonts w:eastAsia="Times New Roman" w:cs="Arial"/>
          <w:color w:val="000000"/>
          <w:u w:val="single"/>
          <w:lang w:eastAsia="bg-BG"/>
        </w:rPr>
      </w:pPr>
    </w:p>
    <w:p w14:paraId="09D6B1D9" w14:textId="415502CA"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Перорални контрацептиви и други фармакокинетични взаимодействия</w:t>
      </w:r>
    </w:p>
    <w:p w14:paraId="4F3C050E" w14:textId="77777777" w:rsidR="00F26B25" w:rsidRPr="00F26B25" w:rsidRDefault="00F26B25" w:rsidP="00F26B25">
      <w:pPr>
        <w:spacing w:line="240" w:lineRule="auto"/>
        <w:rPr>
          <w:rFonts w:eastAsia="Times New Roman" w:cs="Arial"/>
          <w:color w:val="000000"/>
          <w:lang w:eastAsia="bg-BG"/>
        </w:rPr>
      </w:pPr>
    </w:p>
    <w:p w14:paraId="0C717A12" w14:textId="2D6678FB" w:rsidR="00F26B25" w:rsidRPr="00F26B25" w:rsidRDefault="00F26B25" w:rsidP="00F26B25">
      <w:pPr>
        <w:spacing w:line="240" w:lineRule="auto"/>
        <w:rPr>
          <w:rFonts w:eastAsia="Times New Roman" w:cs="Arial"/>
          <w:color w:val="000000"/>
          <w:lang w:eastAsia="bg-BG"/>
        </w:rPr>
      </w:pPr>
      <w:r w:rsidRPr="00F26B25">
        <w:rPr>
          <w:rFonts w:eastAsia="Times New Roman" w:cs="Arial"/>
          <w:color w:val="000000"/>
          <w:lang w:eastAsia="bg-BG"/>
        </w:rPr>
        <w:t xml:space="preserve">Леветирацетам 1000 </w:t>
      </w:r>
      <w:r w:rsidRPr="00F26B25">
        <w:rPr>
          <w:rFonts w:eastAsia="Times New Roman" w:cs="Arial"/>
          <w:color w:val="000000"/>
          <w:lang w:val="en-US"/>
        </w:rPr>
        <w:t>mg</w:t>
      </w:r>
      <w:r w:rsidRPr="00F26B25">
        <w:rPr>
          <w:rFonts w:eastAsia="Times New Roman" w:cs="Arial"/>
          <w:color w:val="000000"/>
          <w:lang w:val="ru-RU"/>
        </w:rPr>
        <w:t xml:space="preserve"> </w:t>
      </w:r>
      <w:r w:rsidRPr="00F26B25">
        <w:rPr>
          <w:rFonts w:eastAsia="Times New Roman" w:cs="Arial"/>
          <w:color w:val="000000"/>
          <w:lang w:eastAsia="bg-BG"/>
        </w:rPr>
        <w:t xml:space="preserve">дневно не оказва влияние върху фармакокинетиката на пероралните контрацептиви (етинилестрадиол и левоноргестрел); ендокринните показатели (лутеинизиращ хормон и прогестерон) не се променят. Леветирацетам 2 000 </w:t>
      </w:r>
      <w:r w:rsidRPr="00F26B25">
        <w:rPr>
          <w:rFonts w:eastAsia="Times New Roman" w:cs="Arial"/>
          <w:color w:val="000000"/>
          <w:lang w:val="en-US"/>
        </w:rPr>
        <w:t>mg</w:t>
      </w:r>
      <w:r w:rsidRPr="00F26B25">
        <w:rPr>
          <w:rFonts w:eastAsia="Times New Roman" w:cs="Arial"/>
          <w:color w:val="000000"/>
          <w:lang w:val="ru-RU"/>
        </w:rPr>
        <w:t xml:space="preserve"> </w:t>
      </w:r>
      <w:r w:rsidRPr="00F26B25">
        <w:rPr>
          <w:rFonts w:eastAsia="Times New Roman" w:cs="Arial"/>
          <w:color w:val="000000"/>
          <w:lang w:eastAsia="bg-BG"/>
        </w:rPr>
        <w:t>дневно не повлиява фармакокинетиката на дигоксин и варфарин; протромбиновото време не се променя.</w:t>
      </w:r>
    </w:p>
    <w:p w14:paraId="7864CCC4"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Едновременното приемане с дигоксин, перорални контрацептиви и варфарин не оказва влияние върху фармакокинетиката на леветирацетам.</w:t>
      </w:r>
    </w:p>
    <w:p w14:paraId="6BF8C320" w14:textId="77777777" w:rsidR="00F26B25" w:rsidRPr="00F26B25" w:rsidRDefault="00F26B25" w:rsidP="00F26B25">
      <w:pPr>
        <w:spacing w:line="240" w:lineRule="auto"/>
        <w:rPr>
          <w:rFonts w:eastAsia="Times New Roman" w:cs="Arial"/>
          <w:color w:val="000000"/>
          <w:u w:val="single"/>
          <w:lang w:eastAsia="bg-BG"/>
        </w:rPr>
      </w:pPr>
    </w:p>
    <w:p w14:paraId="4E107F4D" w14:textId="4C9ADC0D"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Лаксативи</w:t>
      </w:r>
    </w:p>
    <w:p w14:paraId="7C981897" w14:textId="77777777" w:rsidR="00F26B25" w:rsidRPr="00F26B25" w:rsidRDefault="00F26B25" w:rsidP="00F26B25">
      <w:pPr>
        <w:spacing w:line="240" w:lineRule="auto"/>
        <w:rPr>
          <w:rFonts w:eastAsia="Times New Roman" w:cs="Arial"/>
          <w:color w:val="000000"/>
          <w:lang w:eastAsia="bg-BG"/>
        </w:rPr>
      </w:pPr>
    </w:p>
    <w:p w14:paraId="69F08FCD" w14:textId="41628BC0"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Налице са изолирани съобщения за намалена ефикасност на леветирацетам, когато осмотичният лаксатив макрогол се прилага едновременно с леветирацетам перорално. Следователно, макрогол не трябва да се приема перорално един час преди и един час след приема на леветирацетам.</w:t>
      </w:r>
    </w:p>
    <w:p w14:paraId="4781F554" w14:textId="77777777" w:rsidR="00F26B25" w:rsidRPr="00F26B25" w:rsidRDefault="00F26B25" w:rsidP="00F26B25">
      <w:pPr>
        <w:spacing w:line="240" w:lineRule="auto"/>
        <w:rPr>
          <w:rFonts w:eastAsia="Times New Roman" w:cs="Arial"/>
          <w:color w:val="000000"/>
          <w:u w:val="single"/>
          <w:lang w:eastAsia="bg-BG"/>
        </w:rPr>
      </w:pPr>
    </w:p>
    <w:p w14:paraId="4CC99BB7" w14:textId="71F462DF"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Храна и алкохол</w:t>
      </w:r>
    </w:p>
    <w:p w14:paraId="1D806F1C" w14:textId="77777777" w:rsidR="00F26B25" w:rsidRPr="00F26B25" w:rsidRDefault="00F26B25" w:rsidP="00F26B25">
      <w:pPr>
        <w:spacing w:line="240" w:lineRule="auto"/>
        <w:rPr>
          <w:rFonts w:eastAsia="Times New Roman" w:cs="Arial"/>
          <w:color w:val="000000"/>
          <w:lang w:eastAsia="bg-BG"/>
        </w:rPr>
      </w:pPr>
    </w:p>
    <w:p w14:paraId="6D679910" w14:textId="5FAD7C25"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Степента на абсорбция на леветирацетам не се променя от храната, но скоростта на абсорбция е слабо понижена.</w:t>
      </w:r>
    </w:p>
    <w:p w14:paraId="221C6036" w14:textId="3A67F5FF"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Няма данни за взаимодействие на леветирацетам с алкохол.</w:t>
      </w:r>
    </w:p>
    <w:p w14:paraId="2C816AD3" w14:textId="77777777" w:rsidR="00F26B25" w:rsidRPr="00F26B25" w:rsidRDefault="00F26B25" w:rsidP="00F26B25"/>
    <w:p w14:paraId="5D9F40EA" w14:textId="13D02061" w:rsidR="007122AD" w:rsidRDefault="002C50EE" w:rsidP="00936AD0">
      <w:pPr>
        <w:pStyle w:val="Heading2"/>
      </w:pPr>
      <w:r>
        <w:t>4.6. Фертилитет, бременност и кърмене</w:t>
      </w:r>
    </w:p>
    <w:p w14:paraId="3276D3CC" w14:textId="13A8198C" w:rsidR="00F26B25" w:rsidRDefault="00F26B25" w:rsidP="00F26B25"/>
    <w:p w14:paraId="322DAC82"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Жени с детероден потенциал</w:t>
      </w:r>
    </w:p>
    <w:p w14:paraId="56FD8C2C" w14:textId="77777777" w:rsidR="00F26B25" w:rsidRPr="00F26B25" w:rsidRDefault="00F26B25" w:rsidP="00F26B25">
      <w:pPr>
        <w:spacing w:line="240" w:lineRule="auto"/>
        <w:rPr>
          <w:rFonts w:eastAsia="Times New Roman" w:cs="Arial"/>
          <w:color w:val="000000"/>
          <w:lang w:eastAsia="bg-BG"/>
        </w:rPr>
      </w:pPr>
    </w:p>
    <w:p w14:paraId="1D3FB259" w14:textId="4CAE54F1"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На жени с детероден потенциал трябва да се дава съвет от специалист. Лечението с леветирацетам трябва да се преразгледа, когато жената планира да забременее. Както при всички антиепилептични лекарства, трябва да се избягва внезапно спиране на леветирацетам, тъй като това може да доведе до поява на гърчове, които биха могли да имат сериозни последици за жената и нероденото дете. Трябва да се предпочете монотерапия, когато е възможно, тъй като лечението с множество антиепилептични лекарства (АЕЛ) може да е свързано с по-висок риск от вродени малформации, отколкото монотерапията, в зависимост от прилаганите антиепилептици.</w:t>
      </w:r>
    </w:p>
    <w:p w14:paraId="7C15A053" w14:textId="77777777" w:rsidR="00F26B25" w:rsidRPr="00F26B25" w:rsidRDefault="00F26B25" w:rsidP="00F26B25">
      <w:pPr>
        <w:spacing w:line="240" w:lineRule="auto"/>
        <w:rPr>
          <w:rFonts w:eastAsia="Times New Roman" w:cs="Arial"/>
          <w:color w:val="000000"/>
          <w:u w:val="single"/>
          <w:lang w:eastAsia="bg-BG"/>
        </w:rPr>
      </w:pPr>
    </w:p>
    <w:p w14:paraId="2FA9BFDF" w14:textId="6B858393" w:rsidR="00F26B25" w:rsidRPr="00F26B25" w:rsidRDefault="00F26B25" w:rsidP="00F26B25">
      <w:pPr>
        <w:pStyle w:val="Heading3"/>
        <w:rPr>
          <w:rFonts w:eastAsia="Times New Roman"/>
          <w:u w:val="single"/>
        </w:rPr>
      </w:pPr>
      <w:r w:rsidRPr="00F26B25">
        <w:rPr>
          <w:rFonts w:eastAsia="Times New Roman"/>
          <w:u w:val="single"/>
          <w:lang w:eastAsia="bg-BG"/>
        </w:rPr>
        <w:t>Бременност</w:t>
      </w:r>
    </w:p>
    <w:p w14:paraId="7DE4C6DF" w14:textId="77777777" w:rsidR="00F26B25" w:rsidRPr="00F26B25" w:rsidRDefault="00F26B25" w:rsidP="00F26B25">
      <w:pPr>
        <w:spacing w:line="240" w:lineRule="auto"/>
        <w:rPr>
          <w:rFonts w:eastAsia="Times New Roman" w:cs="Arial"/>
          <w:color w:val="000000"/>
          <w:lang w:eastAsia="bg-BG"/>
        </w:rPr>
      </w:pPr>
    </w:p>
    <w:p w14:paraId="1E32A90D" w14:textId="64B48F2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Големият брой постмаркетингови данни при бременни жени с експозиция на леветирацетам като монотерапия (над 1 800, сред които при над 1 500 експозицията възниква по време на първия триместър) не показват увеличаване на риска от сериозни вродени малформации. Съществуват само ограничени доказателства за неврологичното развитие на деца, изложени на монотерапия с леветирацетам </w:t>
      </w:r>
      <w:r w:rsidRPr="00F26B25">
        <w:rPr>
          <w:rFonts w:eastAsia="Times New Roman" w:cs="Arial"/>
          <w:i/>
          <w:iCs/>
          <w:color w:val="000000"/>
          <w:lang w:val="en-US"/>
        </w:rPr>
        <w:t>in</w:t>
      </w:r>
      <w:r w:rsidRPr="00F26B25">
        <w:rPr>
          <w:rFonts w:eastAsia="Times New Roman" w:cs="Arial"/>
          <w:i/>
          <w:iCs/>
          <w:color w:val="000000"/>
          <w:lang w:val="ru-RU"/>
        </w:rPr>
        <w:t xml:space="preserve"> </w:t>
      </w:r>
      <w:r w:rsidRPr="00F26B25">
        <w:rPr>
          <w:rFonts w:eastAsia="Times New Roman" w:cs="Arial"/>
          <w:i/>
          <w:iCs/>
          <w:color w:val="000000"/>
          <w:lang w:val="en-US"/>
        </w:rPr>
        <w:t>utero</w:t>
      </w:r>
      <w:r w:rsidRPr="00F26B25">
        <w:rPr>
          <w:rFonts w:eastAsia="Times New Roman" w:cs="Arial"/>
          <w:i/>
          <w:iCs/>
          <w:color w:val="000000"/>
          <w:lang w:val="ru-RU"/>
        </w:rPr>
        <w:t>.</w:t>
      </w:r>
      <w:r w:rsidRPr="00F26B25">
        <w:rPr>
          <w:rFonts w:eastAsia="Times New Roman" w:cs="Arial"/>
          <w:color w:val="000000"/>
          <w:lang w:val="ru-RU"/>
        </w:rPr>
        <w:t xml:space="preserve"> </w:t>
      </w:r>
      <w:r w:rsidRPr="00F26B25">
        <w:rPr>
          <w:rFonts w:eastAsia="Times New Roman" w:cs="Arial"/>
          <w:color w:val="000000"/>
          <w:lang w:eastAsia="bg-BG"/>
        </w:rPr>
        <w:t xml:space="preserve">Въпреки това </w:t>
      </w:r>
      <w:r w:rsidRPr="00F26B25">
        <w:rPr>
          <w:rFonts w:eastAsia="Times New Roman" w:cs="Arial"/>
          <w:color w:val="000000"/>
          <w:lang w:eastAsia="bg-BG"/>
        </w:rPr>
        <w:lastRenderedPageBreak/>
        <w:t>текущите епидемиологични проучвания (при около 100 деца) не показват повишен риск от нарушения или забавяне на неврологичното развитие. Леветирацетам може да се прилага по време на бременност, ако след внимателна оценка се счете, че е клинично необходимо. В такъв случай се препоръчва най-ниската ефективна доза.</w:t>
      </w:r>
    </w:p>
    <w:p w14:paraId="482BE9E6" w14:textId="77777777" w:rsidR="00F26B25" w:rsidRPr="00F26B25" w:rsidRDefault="00F26B25" w:rsidP="00F26B25">
      <w:pPr>
        <w:spacing w:line="240" w:lineRule="auto"/>
        <w:rPr>
          <w:rFonts w:eastAsia="Times New Roman" w:cs="Arial"/>
          <w:color w:val="000000"/>
          <w:lang w:eastAsia="bg-BG"/>
        </w:rPr>
      </w:pPr>
    </w:p>
    <w:p w14:paraId="188C25CD" w14:textId="57F76008"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Физиологичните промени по време на бременността може да повлияят концентраацията на</w:t>
      </w:r>
    </w:p>
    <w:p w14:paraId="5392E74A"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леветирацетам. По време на бременността се наблюдава понижаване на плазмените концентрации на леветирацетам. Понижаването е по-изразено през третия триместър (до 60%</w:t>
      </w:r>
    </w:p>
    <w:p w14:paraId="32E8BA92" w14:textId="57B8F1F9" w:rsidR="00F26B25" w:rsidRPr="00F26B25" w:rsidRDefault="00F26B25" w:rsidP="00F26B25">
      <w:pPr>
        <w:rPr>
          <w:rFonts w:eastAsia="Times New Roman" w:cs="Arial"/>
          <w:color w:val="000000"/>
          <w:lang w:eastAsia="bg-BG"/>
        </w:rPr>
      </w:pPr>
      <w:r w:rsidRPr="00F26B25">
        <w:rPr>
          <w:rFonts w:eastAsia="Times New Roman" w:cs="Arial"/>
          <w:color w:val="000000"/>
          <w:lang w:eastAsia="bg-BG"/>
        </w:rPr>
        <w:t>от изходните концентрации преди бременността). Поради това, за бременните лекувани с леветирацетам, трябва да се осигурят подходящи медицински грижи.</w:t>
      </w:r>
    </w:p>
    <w:p w14:paraId="6D27B9FE" w14:textId="28172BA1" w:rsidR="00F26B25" w:rsidRPr="00F26B25" w:rsidRDefault="00F26B25" w:rsidP="00F26B25">
      <w:pPr>
        <w:rPr>
          <w:rFonts w:eastAsia="Times New Roman" w:cs="Arial"/>
          <w:color w:val="000000"/>
          <w:lang w:eastAsia="bg-BG"/>
        </w:rPr>
      </w:pPr>
    </w:p>
    <w:p w14:paraId="2438752C" w14:textId="77777777" w:rsidR="00F26B25" w:rsidRPr="00F26B25" w:rsidRDefault="00F26B25" w:rsidP="00F26B25">
      <w:pPr>
        <w:pStyle w:val="Heading3"/>
        <w:rPr>
          <w:rFonts w:eastAsia="Times New Roman"/>
          <w:u w:val="single"/>
        </w:rPr>
      </w:pPr>
      <w:r w:rsidRPr="00F26B25">
        <w:rPr>
          <w:rFonts w:eastAsia="Times New Roman"/>
          <w:u w:val="single"/>
          <w:lang w:eastAsia="bg-BG"/>
        </w:rPr>
        <w:t>Кърмене</w:t>
      </w:r>
    </w:p>
    <w:p w14:paraId="6D16C997" w14:textId="77777777" w:rsidR="00F26B25" w:rsidRPr="00F26B25" w:rsidRDefault="00F26B25" w:rsidP="00F26B25">
      <w:pPr>
        <w:spacing w:line="240" w:lineRule="auto"/>
        <w:rPr>
          <w:rFonts w:eastAsia="Times New Roman" w:cs="Arial"/>
          <w:color w:val="000000"/>
          <w:lang w:eastAsia="bg-BG"/>
        </w:rPr>
      </w:pPr>
    </w:p>
    <w:p w14:paraId="24F3F06D" w14:textId="7C6C982C"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Леветирацетам се екскретира в кърмата, поради което кърменето не е препоръчително. Ако, обаче, лечението с леветирацетам е наложително в периода на кърмене, съотношението полза/ риск трябва да бъде оценено при отчитане на значението на кърменето.</w:t>
      </w:r>
    </w:p>
    <w:p w14:paraId="29F58627" w14:textId="77777777" w:rsidR="00F26B25" w:rsidRPr="00F26B25" w:rsidRDefault="00F26B25" w:rsidP="00F26B25">
      <w:pPr>
        <w:spacing w:line="240" w:lineRule="auto"/>
        <w:rPr>
          <w:rFonts w:eastAsia="Times New Roman" w:cs="Arial"/>
          <w:color w:val="000000"/>
          <w:u w:val="single"/>
          <w:lang w:eastAsia="bg-BG"/>
        </w:rPr>
      </w:pPr>
    </w:p>
    <w:p w14:paraId="3D5B5E77" w14:textId="4304CB3C" w:rsidR="00F26B25" w:rsidRPr="00F26B25" w:rsidRDefault="00F26B25" w:rsidP="00F26B25">
      <w:pPr>
        <w:pStyle w:val="Heading3"/>
        <w:rPr>
          <w:rFonts w:eastAsia="Times New Roman"/>
          <w:u w:val="single"/>
        </w:rPr>
      </w:pPr>
      <w:r w:rsidRPr="00F26B25">
        <w:rPr>
          <w:rFonts w:eastAsia="Times New Roman"/>
          <w:u w:val="single"/>
          <w:lang w:eastAsia="bg-BG"/>
        </w:rPr>
        <w:t>Фертилитет</w:t>
      </w:r>
    </w:p>
    <w:p w14:paraId="65F829E8" w14:textId="77777777" w:rsidR="00F26B25" w:rsidRPr="00F26B25" w:rsidRDefault="00F26B25" w:rsidP="00F26B25">
      <w:pPr>
        <w:pStyle w:val="Heading3"/>
        <w:rPr>
          <w:rFonts w:eastAsia="Times New Roman"/>
          <w:u w:val="single"/>
          <w:lang w:eastAsia="bg-BG"/>
        </w:rPr>
      </w:pPr>
    </w:p>
    <w:p w14:paraId="7543BF0A" w14:textId="4B28595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Не са открити данни за влиянието върху фертилитета при проучвания върху животни (вж. точка 5.3). Няма налични клинични данни, потенциалният риск за хора не е известен.</w:t>
      </w:r>
    </w:p>
    <w:p w14:paraId="1BF177C3" w14:textId="77777777" w:rsidR="00F26B25" w:rsidRPr="00F26B25" w:rsidRDefault="00F26B25" w:rsidP="00F26B25"/>
    <w:p w14:paraId="5DD7A76D" w14:textId="5BB17D4F" w:rsidR="007122AD" w:rsidRDefault="002C50EE" w:rsidP="00936AD0">
      <w:pPr>
        <w:pStyle w:val="Heading2"/>
      </w:pPr>
      <w:r>
        <w:t>4.7. Ефекти върху способността за шофиране и работа с машини</w:t>
      </w:r>
    </w:p>
    <w:p w14:paraId="43213231" w14:textId="6B8F4A41" w:rsidR="00F26B25" w:rsidRDefault="00F26B25" w:rsidP="00F26B25"/>
    <w:p w14:paraId="38C2FA08" w14:textId="77777777" w:rsidR="00F26B25" w:rsidRPr="00F26B25" w:rsidRDefault="00F26B25" w:rsidP="00F26B25">
      <w:pPr>
        <w:rPr>
          <w:sz w:val="24"/>
          <w:szCs w:val="24"/>
        </w:rPr>
      </w:pPr>
      <w:r w:rsidRPr="00F26B25">
        <w:rPr>
          <w:lang w:eastAsia="bg-BG"/>
        </w:rPr>
        <w:t>Леветирацетам има слабо или умерено влияние върху способността за шофиране и работа с машини. Поради възможна различна индивидуална чувствителност, при някои пациенти, особено в началото на лечението или при последващо повишаване на дозата може да се появи сънливост или други симптоми от страна на централната нервна система. Ето защо се препоръчва повишено внимание при пациенти, извършващи определени задачи, като шофиране или работа с машини. Пациентите трябва да бъдат предупредени да не използват каквато и да е техника или машини докато не установят, че възможността им за това не се е повлияла.</w:t>
      </w:r>
    </w:p>
    <w:p w14:paraId="73209240" w14:textId="77777777" w:rsidR="00F26B25" w:rsidRPr="00F26B25" w:rsidRDefault="00F26B25" w:rsidP="00F26B25"/>
    <w:p w14:paraId="44CE30A3" w14:textId="2AFECE6A" w:rsidR="007122AD" w:rsidRDefault="002C50EE" w:rsidP="00936AD0">
      <w:pPr>
        <w:pStyle w:val="Heading2"/>
      </w:pPr>
      <w:r>
        <w:t>4.8. Нежелани лекарствени реакции</w:t>
      </w:r>
    </w:p>
    <w:p w14:paraId="0C417341" w14:textId="45EF47AD" w:rsidR="00F26B25" w:rsidRDefault="00F26B25" w:rsidP="00F26B25"/>
    <w:p w14:paraId="6F26AFF9"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Обобщение на профила на безопасност</w:t>
      </w:r>
    </w:p>
    <w:p w14:paraId="1723F7FC" w14:textId="77777777" w:rsidR="00F26B25" w:rsidRPr="00F26B25" w:rsidRDefault="00F26B25" w:rsidP="00F26B25">
      <w:pPr>
        <w:spacing w:line="240" w:lineRule="auto"/>
        <w:rPr>
          <w:rFonts w:eastAsia="Times New Roman" w:cs="Arial"/>
          <w:color w:val="000000"/>
          <w:lang w:eastAsia="bg-BG"/>
        </w:rPr>
      </w:pPr>
    </w:p>
    <w:p w14:paraId="3A39D520" w14:textId="1339454B"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Най-често съобщаваните нежелани реакции са назофарингит, сънливост, главоболие, умора и замаяност. Профилът на нежеланите лекарствени реакции, представени по-долу, се основава на анализа на сборни плацебо-контролирани клинични изпитвания за всички изследвани показания, включващи общо 3 416 пациенти, лекувани с леветирацетам. Тези данни са допълнени с употребата на леветирацетам в съответните открити разширени проучвания, както и от постмаркетинговия опит. Профилът на безопасност на леветирацетам е като цяло подобен при различните възрастови групи (възрастни и </w:t>
      </w:r>
      <w:r w:rsidRPr="00F26B25">
        <w:rPr>
          <w:rFonts w:eastAsia="Times New Roman" w:cs="Arial"/>
          <w:color w:val="000000"/>
          <w:lang w:eastAsia="bg-BG"/>
        </w:rPr>
        <w:lastRenderedPageBreak/>
        <w:t>педиатрични пациенти), както и в рамките на одобрените индикации свързани с епилепсията.</w:t>
      </w:r>
    </w:p>
    <w:p w14:paraId="0F5DC7EB" w14:textId="77777777" w:rsidR="00F26B25" w:rsidRPr="00F26B25" w:rsidRDefault="00F26B25" w:rsidP="00F26B25">
      <w:pPr>
        <w:spacing w:line="240" w:lineRule="auto"/>
        <w:rPr>
          <w:rFonts w:eastAsia="Times New Roman" w:cs="Arial"/>
          <w:color w:val="000000"/>
          <w:u w:val="single"/>
          <w:lang w:eastAsia="bg-BG"/>
        </w:rPr>
      </w:pPr>
    </w:p>
    <w:p w14:paraId="57B1F53B" w14:textId="55F411DA"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Табличен списък на нежеланите лекарствени реакции</w:t>
      </w:r>
    </w:p>
    <w:p w14:paraId="7CA4B657" w14:textId="77777777" w:rsidR="00F26B25" w:rsidRPr="00F26B25" w:rsidRDefault="00F26B25" w:rsidP="00F26B25">
      <w:pPr>
        <w:spacing w:line="240" w:lineRule="auto"/>
        <w:rPr>
          <w:rFonts w:eastAsia="Times New Roman" w:cs="Arial"/>
          <w:color w:val="000000"/>
          <w:lang w:eastAsia="bg-BG"/>
        </w:rPr>
      </w:pPr>
    </w:p>
    <w:p w14:paraId="6119B2A5" w14:textId="59ED38B1"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Нежеланите лекарствени реакции, докладвани при клинични изпитвания (при възрастни, юноши, деца и кърмачета над 1 месец) и от постмаркетингов опит са изброени в таблицата по- долу по системо-органни класове и по честота.</w:t>
      </w:r>
    </w:p>
    <w:p w14:paraId="7415D36B" w14:textId="1BF638C0" w:rsidR="00F26B25" w:rsidRDefault="00F26B25" w:rsidP="00F26B25">
      <w:pPr>
        <w:rPr>
          <w:rFonts w:eastAsia="Times New Roman" w:cs="Arial"/>
          <w:color w:val="000000"/>
          <w:lang w:eastAsia="bg-BG"/>
        </w:rPr>
      </w:pPr>
      <w:r w:rsidRPr="00F26B25">
        <w:rPr>
          <w:rFonts w:eastAsia="Times New Roman" w:cs="Arial"/>
          <w:color w:val="000000"/>
          <w:lang w:eastAsia="bg-BG"/>
        </w:rPr>
        <w:t>Нежеланите лекарствени реакции са изброени в низходящ ред по отношение на тяхната сериозност и честотата им е дефинирана, както следва: много чести (≥1/10), чести (≥1/100 до &lt;1/10), нечести (≥1 /1 000 до &lt;1/100), редки (≥1/10 000 до &lt;1/1 000) и много редки (&lt;1/10 000)</w:t>
      </w:r>
    </w:p>
    <w:p w14:paraId="4FEBE023" w14:textId="27027602" w:rsidR="00F26B25" w:rsidRDefault="00F26B25" w:rsidP="00F26B25">
      <w:pPr>
        <w:rPr>
          <w:rFonts w:eastAsia="Times New Roman" w:cs="Arial"/>
          <w:color w:val="000000"/>
          <w:lang w:eastAsia="bg-BG"/>
        </w:rPr>
      </w:pPr>
    </w:p>
    <w:tbl>
      <w:tblPr>
        <w:tblStyle w:val="TableGrid"/>
        <w:tblW w:w="0" w:type="auto"/>
        <w:tblLook w:val="04A0" w:firstRow="1" w:lastRow="0" w:firstColumn="1" w:lastColumn="0" w:noHBand="0" w:noVBand="1"/>
      </w:tblPr>
      <w:tblGrid>
        <w:gridCol w:w="1753"/>
        <w:gridCol w:w="1660"/>
        <w:gridCol w:w="1886"/>
        <w:gridCol w:w="2316"/>
        <w:gridCol w:w="1735"/>
      </w:tblGrid>
      <w:tr w:rsidR="00F26B25" w14:paraId="2759FFE0" w14:textId="77777777" w:rsidTr="00F26B25">
        <w:tc>
          <w:tcPr>
            <w:tcW w:w="1797" w:type="dxa"/>
            <w:vMerge w:val="restart"/>
          </w:tcPr>
          <w:p w14:paraId="3ADC49CF" w14:textId="21AAD2F0" w:rsidR="00F26B25" w:rsidRPr="00F26B25" w:rsidRDefault="00F26B25" w:rsidP="00F26B25">
            <w:pPr>
              <w:rPr>
                <w:rFonts w:eastAsia="Times New Roman" w:cs="Arial"/>
                <w:color w:val="000000"/>
                <w:lang w:eastAsia="bg-BG"/>
              </w:rPr>
            </w:pPr>
            <w:r w:rsidRPr="00F26B25">
              <w:rPr>
                <w:rFonts w:cs="Arial"/>
                <w:szCs w:val="20"/>
                <w:u w:val="single"/>
              </w:rPr>
              <w:t>MedDRA SQC</w:t>
            </w:r>
          </w:p>
        </w:tc>
        <w:tc>
          <w:tcPr>
            <w:tcW w:w="7779" w:type="dxa"/>
            <w:gridSpan w:val="4"/>
          </w:tcPr>
          <w:p w14:paraId="019E0CB4" w14:textId="4E5FD284" w:rsidR="00F26B25" w:rsidRPr="00F26B25" w:rsidRDefault="00F26B25" w:rsidP="00F26B25">
            <w:pPr>
              <w:rPr>
                <w:rFonts w:eastAsia="Times New Roman" w:cs="Arial"/>
                <w:color w:val="000000"/>
                <w:lang w:eastAsia="bg-BG"/>
              </w:rPr>
            </w:pPr>
            <w:r w:rsidRPr="00F26B25">
              <w:rPr>
                <w:rFonts w:cs="Arial"/>
                <w:szCs w:val="20"/>
              </w:rPr>
              <w:t>Категории на честота</w:t>
            </w:r>
          </w:p>
        </w:tc>
      </w:tr>
      <w:tr w:rsidR="00F26B25" w14:paraId="37857EA2" w14:textId="77777777" w:rsidTr="00F26B25">
        <w:tc>
          <w:tcPr>
            <w:tcW w:w="1797" w:type="dxa"/>
            <w:vMerge/>
          </w:tcPr>
          <w:p w14:paraId="42BA0DD7" w14:textId="77777777" w:rsidR="00F26B25" w:rsidRPr="00F26B25" w:rsidRDefault="00F26B25" w:rsidP="00F26B25">
            <w:pPr>
              <w:rPr>
                <w:rFonts w:eastAsia="Times New Roman" w:cs="Arial"/>
                <w:color w:val="000000"/>
                <w:lang w:eastAsia="bg-BG"/>
              </w:rPr>
            </w:pPr>
          </w:p>
        </w:tc>
        <w:tc>
          <w:tcPr>
            <w:tcW w:w="1699" w:type="dxa"/>
            <w:vAlign w:val="bottom"/>
          </w:tcPr>
          <w:p w14:paraId="76B1D1CC" w14:textId="34A03EF1" w:rsidR="00F26B25" w:rsidRPr="00F26B25" w:rsidRDefault="00F26B25" w:rsidP="00F26B25">
            <w:pPr>
              <w:rPr>
                <w:rFonts w:eastAsia="Times New Roman" w:cs="Arial"/>
                <w:color w:val="000000"/>
                <w:lang w:eastAsia="bg-BG"/>
              </w:rPr>
            </w:pPr>
            <w:r w:rsidRPr="00F26B25">
              <w:rPr>
                <w:rFonts w:cs="Arial"/>
                <w:szCs w:val="20"/>
              </w:rPr>
              <w:t>Много чести</w:t>
            </w:r>
          </w:p>
        </w:tc>
        <w:tc>
          <w:tcPr>
            <w:tcW w:w="1931" w:type="dxa"/>
            <w:vAlign w:val="bottom"/>
          </w:tcPr>
          <w:p w14:paraId="1ECA7BCB" w14:textId="029B7527" w:rsidR="00F26B25" w:rsidRPr="00F26B25" w:rsidRDefault="00F26B25" w:rsidP="00F26B25">
            <w:pPr>
              <w:rPr>
                <w:rFonts w:eastAsia="Times New Roman" w:cs="Arial"/>
                <w:color w:val="000000"/>
                <w:lang w:eastAsia="bg-BG"/>
              </w:rPr>
            </w:pPr>
            <w:r w:rsidRPr="00F26B25">
              <w:rPr>
                <w:rFonts w:cs="Arial"/>
                <w:szCs w:val="20"/>
                <w:u w:val="single"/>
              </w:rPr>
              <w:t>Чести</w:t>
            </w:r>
          </w:p>
        </w:tc>
        <w:tc>
          <w:tcPr>
            <w:tcW w:w="2373" w:type="dxa"/>
            <w:vAlign w:val="bottom"/>
          </w:tcPr>
          <w:p w14:paraId="58FBD7D0" w14:textId="20EA053A" w:rsidR="00F26B25" w:rsidRPr="00F26B25" w:rsidRDefault="00F26B25" w:rsidP="00F26B25">
            <w:pPr>
              <w:rPr>
                <w:rFonts w:eastAsia="Times New Roman" w:cs="Arial"/>
                <w:color w:val="000000"/>
                <w:lang w:eastAsia="bg-BG"/>
              </w:rPr>
            </w:pPr>
            <w:r w:rsidRPr="00F26B25">
              <w:rPr>
                <w:rFonts w:cs="Arial"/>
                <w:szCs w:val="20"/>
              </w:rPr>
              <w:t>Нечести</w:t>
            </w:r>
          </w:p>
        </w:tc>
        <w:tc>
          <w:tcPr>
            <w:tcW w:w="1776" w:type="dxa"/>
            <w:vAlign w:val="bottom"/>
          </w:tcPr>
          <w:p w14:paraId="509321D3" w14:textId="4CD7546B" w:rsidR="00F26B25" w:rsidRPr="00F26B25" w:rsidRDefault="00F26B25" w:rsidP="00F26B25">
            <w:pPr>
              <w:rPr>
                <w:rFonts w:eastAsia="Times New Roman" w:cs="Arial"/>
                <w:color w:val="000000"/>
                <w:lang w:eastAsia="bg-BG"/>
              </w:rPr>
            </w:pPr>
            <w:r w:rsidRPr="00F26B25">
              <w:rPr>
                <w:rFonts w:cs="Arial"/>
                <w:szCs w:val="20"/>
              </w:rPr>
              <w:t>Редки</w:t>
            </w:r>
          </w:p>
        </w:tc>
      </w:tr>
      <w:tr w:rsidR="00F26B25" w14:paraId="21AB7FE6" w14:textId="77777777" w:rsidTr="00F26B25">
        <w:tc>
          <w:tcPr>
            <w:tcW w:w="1797" w:type="dxa"/>
            <w:vAlign w:val="bottom"/>
          </w:tcPr>
          <w:p w14:paraId="1757E4AC" w14:textId="7B95B454" w:rsidR="00F26B25" w:rsidRPr="00F26B25" w:rsidRDefault="00F26B25" w:rsidP="00F26B25">
            <w:pPr>
              <w:rPr>
                <w:rFonts w:eastAsia="Times New Roman" w:cs="Arial"/>
                <w:color w:val="000000"/>
                <w:lang w:eastAsia="bg-BG"/>
              </w:rPr>
            </w:pPr>
            <w:r w:rsidRPr="00F26B25">
              <w:rPr>
                <w:rFonts w:cs="Arial"/>
                <w:szCs w:val="20"/>
                <w:u w:val="single"/>
              </w:rPr>
              <w:t>Инфекции и инфестации</w:t>
            </w:r>
          </w:p>
        </w:tc>
        <w:tc>
          <w:tcPr>
            <w:tcW w:w="1699" w:type="dxa"/>
          </w:tcPr>
          <w:p w14:paraId="21EC4977" w14:textId="3933E54A" w:rsidR="00F26B25" w:rsidRPr="00F26B25" w:rsidRDefault="00F26B25" w:rsidP="00F26B25">
            <w:pPr>
              <w:rPr>
                <w:rFonts w:eastAsia="Times New Roman" w:cs="Arial"/>
                <w:color w:val="000000"/>
                <w:lang w:eastAsia="bg-BG"/>
              </w:rPr>
            </w:pPr>
            <w:r w:rsidRPr="00F26B25">
              <w:rPr>
                <w:rFonts w:cs="Arial"/>
                <w:szCs w:val="20"/>
              </w:rPr>
              <w:t>назофарингит</w:t>
            </w:r>
          </w:p>
        </w:tc>
        <w:tc>
          <w:tcPr>
            <w:tcW w:w="1931" w:type="dxa"/>
          </w:tcPr>
          <w:p w14:paraId="00CB2FCE" w14:textId="77777777" w:rsidR="00F26B25" w:rsidRPr="00F26B25" w:rsidRDefault="00F26B25" w:rsidP="00F26B25">
            <w:pPr>
              <w:rPr>
                <w:rFonts w:eastAsia="Times New Roman" w:cs="Arial"/>
                <w:color w:val="000000"/>
                <w:lang w:eastAsia="bg-BG"/>
              </w:rPr>
            </w:pPr>
          </w:p>
        </w:tc>
        <w:tc>
          <w:tcPr>
            <w:tcW w:w="2373" w:type="dxa"/>
          </w:tcPr>
          <w:p w14:paraId="0DF58F96" w14:textId="77777777" w:rsidR="00F26B25" w:rsidRPr="00F26B25" w:rsidRDefault="00F26B25" w:rsidP="00F26B25">
            <w:pPr>
              <w:rPr>
                <w:rFonts w:eastAsia="Times New Roman" w:cs="Arial"/>
                <w:color w:val="000000"/>
                <w:lang w:eastAsia="bg-BG"/>
              </w:rPr>
            </w:pPr>
          </w:p>
        </w:tc>
        <w:tc>
          <w:tcPr>
            <w:tcW w:w="1776" w:type="dxa"/>
          </w:tcPr>
          <w:p w14:paraId="2092253E" w14:textId="16F01B95" w:rsidR="00F26B25" w:rsidRPr="00F26B25" w:rsidRDefault="00F26B25" w:rsidP="00F26B25">
            <w:pPr>
              <w:rPr>
                <w:rFonts w:eastAsia="Times New Roman" w:cs="Arial"/>
                <w:color w:val="000000"/>
                <w:lang w:eastAsia="bg-BG"/>
              </w:rPr>
            </w:pPr>
            <w:r w:rsidRPr="00F26B25">
              <w:rPr>
                <w:rFonts w:cs="Arial"/>
                <w:szCs w:val="20"/>
              </w:rPr>
              <w:t>инфекция</w:t>
            </w:r>
          </w:p>
        </w:tc>
      </w:tr>
      <w:tr w:rsidR="00F26B25" w14:paraId="172E4A2E" w14:textId="77777777" w:rsidTr="00F26B25">
        <w:tc>
          <w:tcPr>
            <w:tcW w:w="1797" w:type="dxa"/>
            <w:vAlign w:val="bottom"/>
          </w:tcPr>
          <w:p w14:paraId="4B565782" w14:textId="145ED27D" w:rsidR="00F26B25" w:rsidRPr="00F26B25" w:rsidRDefault="00F26B25" w:rsidP="00F26B25">
            <w:pPr>
              <w:rPr>
                <w:rFonts w:eastAsia="Times New Roman" w:cs="Arial"/>
                <w:color w:val="000000"/>
                <w:lang w:eastAsia="bg-BG"/>
              </w:rPr>
            </w:pPr>
            <w:r w:rsidRPr="00F26B25">
              <w:rPr>
                <w:rFonts w:cs="Arial"/>
                <w:szCs w:val="20"/>
                <w:u w:val="single"/>
              </w:rPr>
              <w:t xml:space="preserve">Нарушения на кръвта и лимфната </w:t>
            </w:r>
            <w:r w:rsidRPr="00F26B25">
              <w:rPr>
                <w:rFonts w:cs="Arial"/>
                <w:szCs w:val="20"/>
              </w:rPr>
              <w:t>система</w:t>
            </w:r>
          </w:p>
        </w:tc>
        <w:tc>
          <w:tcPr>
            <w:tcW w:w="1699" w:type="dxa"/>
          </w:tcPr>
          <w:p w14:paraId="4A67FA38" w14:textId="77777777" w:rsidR="00F26B25" w:rsidRPr="00F26B25" w:rsidRDefault="00F26B25" w:rsidP="00F26B25">
            <w:pPr>
              <w:rPr>
                <w:rFonts w:eastAsia="Times New Roman" w:cs="Arial"/>
                <w:color w:val="000000"/>
                <w:lang w:eastAsia="bg-BG"/>
              </w:rPr>
            </w:pPr>
          </w:p>
        </w:tc>
        <w:tc>
          <w:tcPr>
            <w:tcW w:w="1931" w:type="dxa"/>
          </w:tcPr>
          <w:p w14:paraId="11F70C5D" w14:textId="77777777" w:rsidR="00F26B25" w:rsidRPr="00F26B25" w:rsidRDefault="00F26B25" w:rsidP="00F26B25">
            <w:pPr>
              <w:rPr>
                <w:rFonts w:eastAsia="Times New Roman" w:cs="Arial"/>
                <w:color w:val="000000"/>
                <w:lang w:eastAsia="bg-BG"/>
              </w:rPr>
            </w:pPr>
          </w:p>
        </w:tc>
        <w:tc>
          <w:tcPr>
            <w:tcW w:w="2373" w:type="dxa"/>
          </w:tcPr>
          <w:p w14:paraId="4DA21357" w14:textId="14BDB119" w:rsidR="00F26B25" w:rsidRPr="00F26B25" w:rsidRDefault="00F26B25" w:rsidP="00F26B25">
            <w:pPr>
              <w:rPr>
                <w:rFonts w:eastAsia="Times New Roman" w:cs="Arial"/>
                <w:color w:val="000000"/>
                <w:lang w:eastAsia="bg-BG"/>
              </w:rPr>
            </w:pPr>
            <w:r w:rsidRPr="00F26B25">
              <w:rPr>
                <w:rFonts w:cs="Arial"/>
                <w:szCs w:val="20"/>
              </w:rPr>
              <w:t>тромбоцитопения, левкопения</w:t>
            </w:r>
          </w:p>
        </w:tc>
        <w:tc>
          <w:tcPr>
            <w:tcW w:w="1776" w:type="dxa"/>
          </w:tcPr>
          <w:p w14:paraId="5DCCDC5A" w14:textId="4C3FBB96" w:rsidR="00F26B25" w:rsidRPr="00F26B25" w:rsidRDefault="00F26B25" w:rsidP="00F26B25">
            <w:pPr>
              <w:rPr>
                <w:rFonts w:eastAsia="Times New Roman" w:cs="Arial"/>
                <w:color w:val="000000"/>
                <w:lang w:eastAsia="bg-BG"/>
              </w:rPr>
            </w:pPr>
            <w:r w:rsidRPr="00F26B25">
              <w:rPr>
                <w:rFonts w:cs="Arial"/>
                <w:szCs w:val="20"/>
              </w:rPr>
              <w:t>панцитопения неутропения, агранулоцитоза</w:t>
            </w:r>
          </w:p>
        </w:tc>
      </w:tr>
      <w:tr w:rsidR="00F26B25" w14:paraId="296546A0" w14:textId="77777777" w:rsidTr="00F26B25">
        <w:tc>
          <w:tcPr>
            <w:tcW w:w="1797" w:type="dxa"/>
          </w:tcPr>
          <w:p w14:paraId="65E08640" w14:textId="440C497A" w:rsidR="00F26B25" w:rsidRPr="00F26B25" w:rsidRDefault="00F26B25" w:rsidP="00F26B25">
            <w:pPr>
              <w:rPr>
                <w:rFonts w:eastAsia="Times New Roman" w:cs="Arial"/>
                <w:color w:val="000000"/>
                <w:lang w:eastAsia="bg-BG"/>
              </w:rPr>
            </w:pPr>
            <w:r w:rsidRPr="00F26B25">
              <w:rPr>
                <w:rFonts w:cs="Arial"/>
                <w:szCs w:val="20"/>
                <w:u w:val="single"/>
              </w:rPr>
              <w:t>Нарушения на имунната система</w:t>
            </w:r>
          </w:p>
        </w:tc>
        <w:tc>
          <w:tcPr>
            <w:tcW w:w="1699" w:type="dxa"/>
          </w:tcPr>
          <w:p w14:paraId="718B2049" w14:textId="77777777" w:rsidR="00F26B25" w:rsidRPr="00F26B25" w:rsidRDefault="00F26B25" w:rsidP="00F26B25">
            <w:pPr>
              <w:rPr>
                <w:rFonts w:eastAsia="Times New Roman" w:cs="Arial"/>
                <w:color w:val="000000"/>
                <w:lang w:eastAsia="bg-BG"/>
              </w:rPr>
            </w:pPr>
          </w:p>
        </w:tc>
        <w:tc>
          <w:tcPr>
            <w:tcW w:w="1931" w:type="dxa"/>
          </w:tcPr>
          <w:p w14:paraId="016284F6" w14:textId="77777777" w:rsidR="00F26B25" w:rsidRPr="00F26B25" w:rsidRDefault="00F26B25" w:rsidP="00F26B25">
            <w:pPr>
              <w:rPr>
                <w:rFonts w:eastAsia="Times New Roman" w:cs="Arial"/>
                <w:color w:val="000000"/>
                <w:lang w:eastAsia="bg-BG"/>
              </w:rPr>
            </w:pPr>
          </w:p>
        </w:tc>
        <w:tc>
          <w:tcPr>
            <w:tcW w:w="2373" w:type="dxa"/>
            <w:vAlign w:val="bottom"/>
          </w:tcPr>
          <w:p w14:paraId="3B938F55" w14:textId="77777777" w:rsidR="00F26B25" w:rsidRPr="00F26B25" w:rsidRDefault="00F26B25" w:rsidP="00F26B25">
            <w:pPr>
              <w:rPr>
                <w:rFonts w:eastAsia="Times New Roman" w:cs="Arial"/>
                <w:color w:val="000000"/>
                <w:lang w:eastAsia="bg-BG"/>
              </w:rPr>
            </w:pPr>
          </w:p>
        </w:tc>
        <w:tc>
          <w:tcPr>
            <w:tcW w:w="1776" w:type="dxa"/>
            <w:vAlign w:val="bottom"/>
          </w:tcPr>
          <w:p w14:paraId="266B9AF3" w14:textId="77777777" w:rsidR="00F26B25" w:rsidRPr="00F26B25" w:rsidRDefault="00F26B25" w:rsidP="00F26B25">
            <w:pPr>
              <w:rPr>
                <w:rFonts w:cs="Arial"/>
              </w:rPr>
            </w:pPr>
            <w:r w:rsidRPr="00F26B25">
              <w:rPr>
                <w:rFonts w:cs="Arial"/>
                <w:szCs w:val="20"/>
              </w:rPr>
              <w:t>лекарствена реакция с еозинофилия и системни</w:t>
            </w:r>
          </w:p>
          <w:p w14:paraId="092416A6" w14:textId="77777777" w:rsidR="00F26B25" w:rsidRPr="00F26B25" w:rsidRDefault="00F26B25" w:rsidP="00F26B25">
            <w:pPr>
              <w:rPr>
                <w:rFonts w:cs="Arial"/>
              </w:rPr>
            </w:pPr>
            <w:r w:rsidRPr="00F26B25">
              <w:rPr>
                <w:rFonts w:cs="Arial"/>
                <w:szCs w:val="20"/>
              </w:rPr>
              <w:t>симптоми</w:t>
            </w:r>
          </w:p>
          <w:p w14:paraId="67B02506" w14:textId="77777777" w:rsidR="00F26B25" w:rsidRPr="00F26B25" w:rsidRDefault="00F26B25" w:rsidP="00F26B25">
            <w:pPr>
              <w:rPr>
                <w:rFonts w:cs="Arial"/>
                <w:szCs w:val="20"/>
              </w:rPr>
            </w:pPr>
            <w:r w:rsidRPr="00F26B25">
              <w:rPr>
                <w:rFonts w:cs="Arial"/>
                <w:szCs w:val="20"/>
                <w:lang w:val="en-US"/>
              </w:rPr>
              <w:t>(DRESS</w:t>
            </w:r>
            <w:r w:rsidRPr="00F26B25">
              <w:rPr>
                <w:rFonts w:cs="Arial"/>
                <w:szCs w:val="20"/>
              </w:rPr>
              <w:t xml:space="preserve"> синдром).</w:t>
            </w:r>
          </w:p>
          <w:p w14:paraId="26EE920A" w14:textId="5FA8C2A3" w:rsidR="00F26B25" w:rsidRPr="00F26B25" w:rsidRDefault="00F26B25" w:rsidP="00F26B25">
            <w:pPr>
              <w:spacing w:line="240" w:lineRule="auto"/>
              <w:rPr>
                <w:rFonts w:eastAsia="Times New Roman" w:cs="Arial"/>
                <w:szCs w:val="24"/>
              </w:rPr>
            </w:pPr>
            <w:r w:rsidRPr="00F26B25">
              <w:rPr>
                <w:rFonts w:eastAsia="Times New Roman" w:cs="Arial"/>
                <w:color w:val="000000"/>
                <w:szCs w:val="20"/>
                <w:lang w:eastAsia="bg-BG"/>
              </w:rPr>
              <w:t>свръхчувстви</w:t>
            </w:r>
            <w:r w:rsidRPr="00F26B25">
              <w:rPr>
                <w:rFonts w:eastAsia="Times New Roman" w:cs="Arial"/>
                <w:color w:val="000000"/>
                <w:szCs w:val="20"/>
                <w:lang w:eastAsia="bg-BG"/>
              </w:rPr>
              <w:softHyphen/>
              <w:t>телност (включително ангиоедем и анафилаксия)</w:t>
            </w:r>
          </w:p>
        </w:tc>
      </w:tr>
      <w:tr w:rsidR="00F26B25" w14:paraId="057A7D7E" w14:textId="77777777" w:rsidTr="00F26B25">
        <w:tc>
          <w:tcPr>
            <w:tcW w:w="1797" w:type="dxa"/>
            <w:vAlign w:val="bottom"/>
          </w:tcPr>
          <w:p w14:paraId="2D533C6C" w14:textId="70B30BC9" w:rsidR="00F26B25" w:rsidRPr="00F26B25" w:rsidRDefault="00F26B25" w:rsidP="00F26B25">
            <w:pPr>
              <w:rPr>
                <w:rFonts w:eastAsia="Times New Roman" w:cs="Arial"/>
                <w:color w:val="000000"/>
                <w:lang w:eastAsia="bg-BG"/>
              </w:rPr>
            </w:pPr>
            <w:r w:rsidRPr="00F26B25">
              <w:rPr>
                <w:rFonts w:cs="Arial"/>
                <w:u w:val="single"/>
              </w:rPr>
              <w:t>Нарушения на метаболизма и храненето</w:t>
            </w:r>
          </w:p>
        </w:tc>
        <w:tc>
          <w:tcPr>
            <w:tcW w:w="1699" w:type="dxa"/>
          </w:tcPr>
          <w:p w14:paraId="6D41BBF8" w14:textId="77777777" w:rsidR="00F26B25" w:rsidRPr="00F26B25" w:rsidRDefault="00F26B25" w:rsidP="00F26B25">
            <w:pPr>
              <w:rPr>
                <w:rFonts w:eastAsia="Times New Roman" w:cs="Arial"/>
                <w:color w:val="000000"/>
                <w:lang w:eastAsia="bg-BG"/>
              </w:rPr>
            </w:pPr>
          </w:p>
        </w:tc>
        <w:tc>
          <w:tcPr>
            <w:tcW w:w="1931" w:type="dxa"/>
          </w:tcPr>
          <w:p w14:paraId="0DD516E7" w14:textId="1FD81BD4" w:rsidR="00F26B25" w:rsidRPr="00F26B25" w:rsidRDefault="00F26B25" w:rsidP="00F26B25">
            <w:pPr>
              <w:rPr>
                <w:rFonts w:eastAsia="Times New Roman" w:cs="Arial"/>
                <w:color w:val="000000"/>
                <w:lang w:eastAsia="bg-BG"/>
              </w:rPr>
            </w:pPr>
            <w:r w:rsidRPr="00F26B25">
              <w:rPr>
                <w:rFonts w:cs="Arial"/>
              </w:rPr>
              <w:t>анорексия</w:t>
            </w:r>
          </w:p>
        </w:tc>
        <w:tc>
          <w:tcPr>
            <w:tcW w:w="2373" w:type="dxa"/>
          </w:tcPr>
          <w:p w14:paraId="42DC4E7F" w14:textId="40B04698" w:rsidR="00F26B25" w:rsidRPr="00F26B25" w:rsidRDefault="00F26B25" w:rsidP="00F26B25">
            <w:pPr>
              <w:rPr>
                <w:rFonts w:eastAsia="Times New Roman" w:cs="Arial"/>
                <w:color w:val="000000"/>
                <w:lang w:eastAsia="bg-BG"/>
              </w:rPr>
            </w:pPr>
            <w:r w:rsidRPr="00F26B25">
              <w:rPr>
                <w:rFonts w:cs="Arial"/>
              </w:rPr>
              <w:t>намаляване на теглото, повишаване на теглото</w:t>
            </w:r>
          </w:p>
        </w:tc>
        <w:tc>
          <w:tcPr>
            <w:tcW w:w="1776" w:type="dxa"/>
          </w:tcPr>
          <w:p w14:paraId="18BC28EB" w14:textId="4590FFFF" w:rsidR="00F26B25" w:rsidRPr="00F26B25" w:rsidRDefault="00F26B25" w:rsidP="00F26B25">
            <w:pPr>
              <w:rPr>
                <w:rFonts w:eastAsia="Times New Roman" w:cs="Arial"/>
                <w:color w:val="000000"/>
                <w:lang w:eastAsia="bg-BG"/>
              </w:rPr>
            </w:pPr>
            <w:r w:rsidRPr="00F26B25">
              <w:rPr>
                <w:rFonts w:cs="Arial"/>
              </w:rPr>
              <w:t>хипонатриемия</w:t>
            </w:r>
          </w:p>
        </w:tc>
      </w:tr>
      <w:tr w:rsidR="00F26B25" w14:paraId="0E582560" w14:textId="77777777" w:rsidTr="00F26B25">
        <w:tc>
          <w:tcPr>
            <w:tcW w:w="1797" w:type="dxa"/>
          </w:tcPr>
          <w:p w14:paraId="472CEE24" w14:textId="66B9BE1D" w:rsidR="00F26B25" w:rsidRPr="00F26B25" w:rsidRDefault="00F26B25" w:rsidP="00F26B25">
            <w:pPr>
              <w:rPr>
                <w:rFonts w:eastAsia="Times New Roman" w:cs="Arial"/>
                <w:color w:val="000000"/>
                <w:lang w:eastAsia="bg-BG"/>
              </w:rPr>
            </w:pPr>
            <w:r w:rsidRPr="00F26B25">
              <w:rPr>
                <w:rFonts w:cs="Arial"/>
                <w:u w:val="single"/>
              </w:rPr>
              <w:t>Психични нарушения</w:t>
            </w:r>
          </w:p>
        </w:tc>
        <w:tc>
          <w:tcPr>
            <w:tcW w:w="1699" w:type="dxa"/>
          </w:tcPr>
          <w:p w14:paraId="21B8AABB" w14:textId="77777777" w:rsidR="00F26B25" w:rsidRPr="00F26B25" w:rsidRDefault="00F26B25" w:rsidP="00F26B25">
            <w:pPr>
              <w:rPr>
                <w:rFonts w:eastAsia="Times New Roman" w:cs="Arial"/>
                <w:color w:val="000000"/>
                <w:lang w:eastAsia="bg-BG"/>
              </w:rPr>
            </w:pPr>
          </w:p>
        </w:tc>
        <w:tc>
          <w:tcPr>
            <w:tcW w:w="1931" w:type="dxa"/>
          </w:tcPr>
          <w:p w14:paraId="447A7EA2" w14:textId="7EBF4EA0" w:rsidR="00F26B25" w:rsidRPr="00F26B25" w:rsidRDefault="00F26B25" w:rsidP="00F26B25">
            <w:pPr>
              <w:rPr>
                <w:rFonts w:eastAsia="Times New Roman" w:cs="Arial"/>
                <w:color w:val="000000"/>
                <w:lang w:eastAsia="bg-BG"/>
              </w:rPr>
            </w:pPr>
            <w:r w:rsidRPr="00F26B25">
              <w:rPr>
                <w:rFonts w:cs="Arial"/>
              </w:rPr>
              <w:t>депресия, враждебност/ агресивност, безпокойство, безсъние, нервност/ раздразнителност</w:t>
            </w:r>
          </w:p>
        </w:tc>
        <w:tc>
          <w:tcPr>
            <w:tcW w:w="2373" w:type="dxa"/>
            <w:vAlign w:val="bottom"/>
          </w:tcPr>
          <w:p w14:paraId="2A58D742" w14:textId="0C384624" w:rsidR="00F26B25" w:rsidRPr="00F26B25" w:rsidRDefault="00F26B25" w:rsidP="00F26B25">
            <w:pPr>
              <w:rPr>
                <w:rFonts w:eastAsia="Times New Roman" w:cs="Arial"/>
                <w:color w:val="000000"/>
                <w:lang w:eastAsia="bg-BG"/>
              </w:rPr>
            </w:pPr>
            <w:r w:rsidRPr="00F26B25">
              <w:rPr>
                <w:rFonts w:cs="Arial"/>
              </w:rPr>
              <w:t xml:space="preserve">опит за самоубийство, суицидна идеация, психотично разстройство, необичайно поведение, халюцинации, гняв, състояние на обърканост, пристъпи на паника, </w:t>
            </w:r>
            <w:r w:rsidRPr="00F26B25">
              <w:rPr>
                <w:rFonts w:cs="Arial"/>
              </w:rPr>
              <w:lastRenderedPageBreak/>
              <w:t>емоционална нестабилност/промени в настроението, тревожност</w:t>
            </w:r>
          </w:p>
        </w:tc>
        <w:tc>
          <w:tcPr>
            <w:tcW w:w="1776" w:type="dxa"/>
          </w:tcPr>
          <w:p w14:paraId="65E789D9" w14:textId="77777777" w:rsidR="00F26B25" w:rsidRPr="00F26B25" w:rsidRDefault="00F26B25" w:rsidP="00F26B25">
            <w:pPr>
              <w:rPr>
                <w:rFonts w:cs="Arial"/>
              </w:rPr>
            </w:pPr>
            <w:r w:rsidRPr="00F26B25">
              <w:rPr>
                <w:rFonts w:cs="Arial"/>
              </w:rPr>
              <w:lastRenderedPageBreak/>
              <w:t>извършено самоубийство , личностни</w:t>
            </w:r>
          </w:p>
          <w:p w14:paraId="2D46C09D" w14:textId="7EA04190" w:rsidR="00F26B25" w:rsidRPr="00F26B25" w:rsidRDefault="00F26B25" w:rsidP="00F26B25">
            <w:pPr>
              <w:rPr>
                <w:rFonts w:eastAsia="Times New Roman" w:cs="Arial"/>
                <w:color w:val="000000"/>
                <w:lang w:eastAsia="bg-BG"/>
              </w:rPr>
            </w:pPr>
            <w:r w:rsidRPr="00F26B25">
              <w:rPr>
                <w:rFonts w:cs="Arial"/>
              </w:rPr>
              <w:t>нарушения, абнормно мислене, делириум</w:t>
            </w:r>
          </w:p>
        </w:tc>
      </w:tr>
      <w:tr w:rsidR="00F26B25" w14:paraId="1A614764" w14:textId="77777777" w:rsidTr="00F26B25">
        <w:tc>
          <w:tcPr>
            <w:tcW w:w="1797" w:type="dxa"/>
          </w:tcPr>
          <w:p w14:paraId="669E7B49" w14:textId="65003B8E" w:rsidR="00F26B25" w:rsidRPr="00F26B25" w:rsidRDefault="00F26B25" w:rsidP="00F26B25">
            <w:pPr>
              <w:rPr>
                <w:rFonts w:eastAsia="Times New Roman" w:cs="Arial"/>
                <w:color w:val="000000"/>
                <w:lang w:eastAsia="bg-BG"/>
              </w:rPr>
            </w:pPr>
            <w:r w:rsidRPr="00F26B25">
              <w:rPr>
                <w:rFonts w:cs="Arial"/>
                <w:u w:val="single"/>
              </w:rPr>
              <w:t>Нарушения на нервната система</w:t>
            </w:r>
          </w:p>
        </w:tc>
        <w:tc>
          <w:tcPr>
            <w:tcW w:w="1699" w:type="dxa"/>
          </w:tcPr>
          <w:p w14:paraId="68EC8E30" w14:textId="54F9955F" w:rsidR="00F26B25" w:rsidRPr="00F26B25" w:rsidRDefault="00F26B25" w:rsidP="00F26B25">
            <w:pPr>
              <w:rPr>
                <w:rFonts w:eastAsia="Times New Roman" w:cs="Arial"/>
                <w:color w:val="000000"/>
                <w:lang w:eastAsia="bg-BG"/>
              </w:rPr>
            </w:pPr>
            <w:r w:rsidRPr="00F26B25">
              <w:rPr>
                <w:rFonts w:cs="Arial"/>
              </w:rPr>
              <w:t>сомнолентност, главоболие</w:t>
            </w:r>
          </w:p>
        </w:tc>
        <w:tc>
          <w:tcPr>
            <w:tcW w:w="1931" w:type="dxa"/>
          </w:tcPr>
          <w:p w14:paraId="5617AC24" w14:textId="05E42EBD" w:rsidR="00F26B25" w:rsidRPr="00F26B25" w:rsidRDefault="00F26B25" w:rsidP="00F26B25">
            <w:pPr>
              <w:rPr>
                <w:rFonts w:eastAsia="Times New Roman" w:cs="Arial"/>
                <w:color w:val="000000"/>
                <w:lang w:eastAsia="bg-BG"/>
              </w:rPr>
            </w:pPr>
            <w:r w:rsidRPr="00F26B25">
              <w:rPr>
                <w:rFonts w:cs="Arial"/>
              </w:rPr>
              <w:t>конвулсии, нарушение на равновесието, замаяност, летаргия, тремор</w:t>
            </w:r>
          </w:p>
        </w:tc>
        <w:tc>
          <w:tcPr>
            <w:tcW w:w="2373" w:type="dxa"/>
          </w:tcPr>
          <w:p w14:paraId="6533BFB6" w14:textId="1DE1B83E" w:rsidR="00F26B25" w:rsidRPr="00F26B25" w:rsidRDefault="00F26B25" w:rsidP="00F26B25">
            <w:pPr>
              <w:rPr>
                <w:rFonts w:eastAsia="Times New Roman" w:cs="Arial"/>
                <w:color w:val="000000"/>
                <w:lang w:eastAsia="bg-BG"/>
              </w:rPr>
            </w:pPr>
            <w:r w:rsidRPr="00F26B25">
              <w:rPr>
                <w:rFonts w:cs="Arial"/>
              </w:rPr>
              <w:t>амнезия, нарушение на паметта, нарушена координация/атаксия, парестезия, нарушение на вниманието</w:t>
            </w:r>
          </w:p>
        </w:tc>
        <w:tc>
          <w:tcPr>
            <w:tcW w:w="1776" w:type="dxa"/>
            <w:vAlign w:val="bottom"/>
          </w:tcPr>
          <w:p w14:paraId="0D4E92C5" w14:textId="7765E31C" w:rsidR="00F26B25" w:rsidRPr="00F26B25" w:rsidRDefault="00F26B25" w:rsidP="00F26B25">
            <w:pPr>
              <w:rPr>
                <w:rFonts w:eastAsia="Times New Roman" w:cs="Arial"/>
                <w:color w:val="000000"/>
                <w:lang w:eastAsia="bg-BG"/>
              </w:rPr>
            </w:pPr>
            <w:r w:rsidRPr="00F26B25">
              <w:rPr>
                <w:rFonts w:cs="Arial"/>
              </w:rPr>
              <w:t>хореоатетоза, дискинезия, хиперкинезия, нарушение на походката, енцефалолатия, влошаване на пристъпите, невролептичен малигнен синдром*</w:t>
            </w:r>
          </w:p>
        </w:tc>
      </w:tr>
      <w:tr w:rsidR="00F26B25" w14:paraId="41360D47" w14:textId="77777777" w:rsidTr="00F26B25">
        <w:tc>
          <w:tcPr>
            <w:tcW w:w="1797" w:type="dxa"/>
            <w:vAlign w:val="bottom"/>
          </w:tcPr>
          <w:p w14:paraId="20FC872B" w14:textId="1AC6990B" w:rsidR="00F26B25" w:rsidRPr="00F26B25" w:rsidRDefault="00F26B25" w:rsidP="00F26B25">
            <w:pPr>
              <w:rPr>
                <w:rFonts w:eastAsia="Times New Roman" w:cs="Arial"/>
                <w:color w:val="000000"/>
                <w:lang w:eastAsia="bg-BG"/>
              </w:rPr>
            </w:pPr>
            <w:r w:rsidRPr="00F26B25">
              <w:rPr>
                <w:rFonts w:cs="Arial"/>
                <w:u w:val="single"/>
              </w:rPr>
              <w:t xml:space="preserve">Нарушения на </w:t>
            </w:r>
            <w:r w:rsidRPr="00F26B25">
              <w:rPr>
                <w:rFonts w:cs="Arial"/>
              </w:rPr>
              <w:t>очите</w:t>
            </w:r>
          </w:p>
        </w:tc>
        <w:tc>
          <w:tcPr>
            <w:tcW w:w="1699" w:type="dxa"/>
          </w:tcPr>
          <w:p w14:paraId="12DA4D2C" w14:textId="77777777" w:rsidR="00F26B25" w:rsidRPr="00F26B25" w:rsidRDefault="00F26B25" w:rsidP="00F26B25">
            <w:pPr>
              <w:rPr>
                <w:rFonts w:eastAsia="Times New Roman" w:cs="Arial"/>
                <w:color w:val="000000"/>
                <w:lang w:eastAsia="bg-BG"/>
              </w:rPr>
            </w:pPr>
          </w:p>
        </w:tc>
        <w:tc>
          <w:tcPr>
            <w:tcW w:w="1931" w:type="dxa"/>
          </w:tcPr>
          <w:p w14:paraId="5BCF4E93" w14:textId="77777777" w:rsidR="00F26B25" w:rsidRPr="00F26B25" w:rsidRDefault="00F26B25" w:rsidP="00F26B25">
            <w:pPr>
              <w:rPr>
                <w:rFonts w:eastAsia="Times New Roman" w:cs="Arial"/>
                <w:color w:val="000000"/>
                <w:lang w:eastAsia="bg-BG"/>
              </w:rPr>
            </w:pPr>
          </w:p>
        </w:tc>
        <w:tc>
          <w:tcPr>
            <w:tcW w:w="2373" w:type="dxa"/>
            <w:vAlign w:val="bottom"/>
          </w:tcPr>
          <w:p w14:paraId="3B064315" w14:textId="4FE9F5D0" w:rsidR="00F26B25" w:rsidRPr="00F26B25" w:rsidRDefault="00F26B25" w:rsidP="00F26B25">
            <w:pPr>
              <w:rPr>
                <w:rFonts w:eastAsia="Times New Roman" w:cs="Arial"/>
                <w:color w:val="000000"/>
                <w:lang w:eastAsia="bg-BG"/>
              </w:rPr>
            </w:pPr>
            <w:r w:rsidRPr="00F26B25">
              <w:rPr>
                <w:rFonts w:cs="Arial"/>
              </w:rPr>
              <w:t>диплопия, замъглено зрение</w:t>
            </w:r>
          </w:p>
        </w:tc>
        <w:tc>
          <w:tcPr>
            <w:tcW w:w="1776" w:type="dxa"/>
          </w:tcPr>
          <w:p w14:paraId="7A4842C2" w14:textId="77777777" w:rsidR="00F26B25" w:rsidRPr="00F26B25" w:rsidRDefault="00F26B25" w:rsidP="00F26B25">
            <w:pPr>
              <w:rPr>
                <w:rFonts w:eastAsia="Times New Roman" w:cs="Arial"/>
                <w:color w:val="000000"/>
                <w:lang w:eastAsia="bg-BG"/>
              </w:rPr>
            </w:pPr>
          </w:p>
        </w:tc>
      </w:tr>
      <w:tr w:rsidR="00F26B25" w14:paraId="53D9E961" w14:textId="77777777" w:rsidTr="00F26B25">
        <w:tc>
          <w:tcPr>
            <w:tcW w:w="1797" w:type="dxa"/>
            <w:vAlign w:val="bottom"/>
          </w:tcPr>
          <w:p w14:paraId="51A83FEC" w14:textId="5D881CF4" w:rsidR="00F26B25" w:rsidRPr="00F26B25" w:rsidRDefault="00F26B25" w:rsidP="00F26B25">
            <w:pPr>
              <w:rPr>
                <w:rFonts w:eastAsia="Times New Roman" w:cs="Arial"/>
                <w:color w:val="000000"/>
                <w:lang w:eastAsia="bg-BG"/>
              </w:rPr>
            </w:pPr>
            <w:r w:rsidRPr="00F26B25">
              <w:rPr>
                <w:rFonts w:cs="Arial"/>
                <w:u w:val="single"/>
              </w:rPr>
              <w:t xml:space="preserve">Нарушения на ухото и </w:t>
            </w:r>
            <w:r w:rsidRPr="00F26B25">
              <w:rPr>
                <w:rFonts w:cs="Arial"/>
              </w:rPr>
              <w:t>лабиринта</w:t>
            </w:r>
          </w:p>
        </w:tc>
        <w:tc>
          <w:tcPr>
            <w:tcW w:w="1699" w:type="dxa"/>
          </w:tcPr>
          <w:p w14:paraId="3EA9267D" w14:textId="77777777" w:rsidR="00F26B25" w:rsidRPr="00F26B25" w:rsidRDefault="00F26B25" w:rsidP="00F26B25">
            <w:pPr>
              <w:rPr>
                <w:rFonts w:eastAsia="Times New Roman" w:cs="Arial"/>
                <w:color w:val="000000"/>
                <w:lang w:eastAsia="bg-BG"/>
              </w:rPr>
            </w:pPr>
          </w:p>
        </w:tc>
        <w:tc>
          <w:tcPr>
            <w:tcW w:w="1931" w:type="dxa"/>
          </w:tcPr>
          <w:p w14:paraId="7A365682" w14:textId="49CBA82A" w:rsidR="00F26B25" w:rsidRPr="00F26B25" w:rsidRDefault="00F26B25" w:rsidP="00F26B25">
            <w:pPr>
              <w:rPr>
                <w:rFonts w:eastAsia="Times New Roman" w:cs="Arial"/>
                <w:color w:val="000000"/>
                <w:lang w:eastAsia="bg-BG"/>
              </w:rPr>
            </w:pPr>
            <w:r w:rsidRPr="00F26B25">
              <w:rPr>
                <w:rFonts w:cs="Arial"/>
              </w:rPr>
              <w:t>вертиго</w:t>
            </w:r>
          </w:p>
        </w:tc>
        <w:tc>
          <w:tcPr>
            <w:tcW w:w="2373" w:type="dxa"/>
          </w:tcPr>
          <w:p w14:paraId="11A1B5E9" w14:textId="77777777" w:rsidR="00F26B25" w:rsidRPr="00F26B25" w:rsidRDefault="00F26B25" w:rsidP="00F26B25">
            <w:pPr>
              <w:rPr>
                <w:rFonts w:eastAsia="Times New Roman" w:cs="Arial"/>
                <w:color w:val="000000"/>
                <w:lang w:eastAsia="bg-BG"/>
              </w:rPr>
            </w:pPr>
          </w:p>
        </w:tc>
        <w:tc>
          <w:tcPr>
            <w:tcW w:w="1776" w:type="dxa"/>
          </w:tcPr>
          <w:p w14:paraId="03CC68B7" w14:textId="77777777" w:rsidR="00F26B25" w:rsidRPr="00F26B25" w:rsidRDefault="00F26B25" w:rsidP="00F26B25">
            <w:pPr>
              <w:rPr>
                <w:rFonts w:eastAsia="Times New Roman" w:cs="Arial"/>
                <w:color w:val="000000"/>
                <w:lang w:eastAsia="bg-BG"/>
              </w:rPr>
            </w:pPr>
          </w:p>
        </w:tc>
      </w:tr>
      <w:tr w:rsidR="00F26B25" w14:paraId="4965021B" w14:textId="77777777" w:rsidTr="00F26B25">
        <w:tc>
          <w:tcPr>
            <w:tcW w:w="1797" w:type="dxa"/>
          </w:tcPr>
          <w:p w14:paraId="69DB1137" w14:textId="24FF1FD6" w:rsidR="00F26B25" w:rsidRPr="00F26B25" w:rsidRDefault="00F26B25" w:rsidP="00F26B25">
            <w:pPr>
              <w:rPr>
                <w:rFonts w:eastAsia="Times New Roman" w:cs="Arial"/>
                <w:color w:val="000000"/>
                <w:lang w:eastAsia="bg-BG"/>
              </w:rPr>
            </w:pPr>
            <w:r w:rsidRPr="00F26B25">
              <w:rPr>
                <w:rFonts w:cs="Arial"/>
                <w:u w:val="single"/>
              </w:rPr>
              <w:t>Сърдечни нарушения</w:t>
            </w:r>
          </w:p>
        </w:tc>
        <w:tc>
          <w:tcPr>
            <w:tcW w:w="1699" w:type="dxa"/>
          </w:tcPr>
          <w:p w14:paraId="1430692A" w14:textId="77777777" w:rsidR="00F26B25" w:rsidRPr="00F26B25" w:rsidRDefault="00F26B25" w:rsidP="00F26B25">
            <w:pPr>
              <w:rPr>
                <w:rFonts w:eastAsia="Times New Roman" w:cs="Arial"/>
                <w:color w:val="000000"/>
                <w:lang w:eastAsia="bg-BG"/>
              </w:rPr>
            </w:pPr>
          </w:p>
        </w:tc>
        <w:tc>
          <w:tcPr>
            <w:tcW w:w="1931" w:type="dxa"/>
          </w:tcPr>
          <w:p w14:paraId="203F1F3D" w14:textId="77777777" w:rsidR="00F26B25" w:rsidRPr="00F26B25" w:rsidRDefault="00F26B25" w:rsidP="00F26B25">
            <w:pPr>
              <w:rPr>
                <w:rFonts w:eastAsia="Times New Roman" w:cs="Arial"/>
                <w:color w:val="000000"/>
                <w:lang w:eastAsia="bg-BG"/>
              </w:rPr>
            </w:pPr>
          </w:p>
        </w:tc>
        <w:tc>
          <w:tcPr>
            <w:tcW w:w="2373" w:type="dxa"/>
          </w:tcPr>
          <w:p w14:paraId="309E3CBB" w14:textId="77777777" w:rsidR="00F26B25" w:rsidRPr="00F26B25" w:rsidRDefault="00F26B25" w:rsidP="00F26B25">
            <w:pPr>
              <w:rPr>
                <w:rFonts w:eastAsia="Times New Roman" w:cs="Arial"/>
                <w:color w:val="000000"/>
                <w:lang w:eastAsia="bg-BG"/>
              </w:rPr>
            </w:pPr>
          </w:p>
        </w:tc>
        <w:tc>
          <w:tcPr>
            <w:tcW w:w="1776" w:type="dxa"/>
            <w:vAlign w:val="bottom"/>
          </w:tcPr>
          <w:p w14:paraId="418C960B" w14:textId="6A7520A4" w:rsidR="00F26B25" w:rsidRPr="00F26B25" w:rsidRDefault="00F26B25" w:rsidP="00F26B25">
            <w:pPr>
              <w:rPr>
                <w:rFonts w:eastAsia="Times New Roman" w:cs="Arial"/>
                <w:color w:val="000000"/>
                <w:lang w:eastAsia="bg-BG"/>
              </w:rPr>
            </w:pPr>
            <w:r w:rsidRPr="00F26B25">
              <w:rPr>
                <w:rFonts w:cs="Arial"/>
              </w:rPr>
              <w:t xml:space="preserve">удължен </w:t>
            </w:r>
            <w:r w:rsidRPr="00F26B25">
              <w:rPr>
                <w:rFonts w:cs="Arial"/>
                <w:lang w:val="en-US"/>
              </w:rPr>
              <w:t>QT</w:t>
            </w:r>
            <w:r w:rsidRPr="00F26B25">
              <w:rPr>
                <w:rFonts w:cs="Arial"/>
                <w:lang w:val="ru-RU"/>
              </w:rPr>
              <w:t xml:space="preserve">- </w:t>
            </w:r>
            <w:r w:rsidRPr="00F26B25">
              <w:rPr>
                <w:rFonts w:cs="Arial"/>
              </w:rPr>
              <w:t>интервал на електрокар дио- грамата</w:t>
            </w:r>
          </w:p>
        </w:tc>
      </w:tr>
      <w:tr w:rsidR="00F26B25" w14:paraId="34BA7AF3" w14:textId="77777777" w:rsidTr="00F26B25">
        <w:tc>
          <w:tcPr>
            <w:tcW w:w="1797" w:type="dxa"/>
            <w:vAlign w:val="bottom"/>
          </w:tcPr>
          <w:p w14:paraId="430EA50B" w14:textId="2A7233DB" w:rsidR="00F26B25" w:rsidRPr="00F26B25" w:rsidRDefault="00F26B25" w:rsidP="00F26B25">
            <w:pPr>
              <w:rPr>
                <w:rFonts w:eastAsia="Times New Roman" w:cs="Arial"/>
                <w:color w:val="000000"/>
                <w:lang w:eastAsia="bg-BG"/>
              </w:rPr>
            </w:pPr>
            <w:r w:rsidRPr="00F26B25">
              <w:rPr>
                <w:rFonts w:cs="Arial"/>
                <w:u w:val="single"/>
              </w:rPr>
              <w:t>Респираторни,</w:t>
            </w:r>
            <w:r w:rsidRPr="00F26B25">
              <w:rPr>
                <w:rFonts w:cs="Arial"/>
              </w:rPr>
              <w:t xml:space="preserve"> , </w:t>
            </w:r>
            <w:r w:rsidRPr="00F26B25">
              <w:rPr>
                <w:rFonts w:cs="Arial"/>
                <w:u w:val="single"/>
              </w:rPr>
              <w:t xml:space="preserve">гръдни и медиастинални </w:t>
            </w:r>
            <w:r w:rsidRPr="00F26B25">
              <w:rPr>
                <w:rFonts w:cs="Arial"/>
              </w:rPr>
              <w:t>нарушения</w:t>
            </w:r>
          </w:p>
        </w:tc>
        <w:tc>
          <w:tcPr>
            <w:tcW w:w="1699" w:type="dxa"/>
          </w:tcPr>
          <w:p w14:paraId="23DE6BAB" w14:textId="77777777" w:rsidR="00F26B25" w:rsidRPr="00F26B25" w:rsidRDefault="00F26B25" w:rsidP="00F26B25">
            <w:pPr>
              <w:rPr>
                <w:rFonts w:eastAsia="Times New Roman" w:cs="Arial"/>
                <w:color w:val="000000"/>
                <w:lang w:eastAsia="bg-BG"/>
              </w:rPr>
            </w:pPr>
          </w:p>
        </w:tc>
        <w:tc>
          <w:tcPr>
            <w:tcW w:w="1931" w:type="dxa"/>
          </w:tcPr>
          <w:p w14:paraId="26D53C57" w14:textId="7A3C3132" w:rsidR="00F26B25" w:rsidRPr="00F26B25" w:rsidRDefault="00F26B25" w:rsidP="00F26B25">
            <w:pPr>
              <w:rPr>
                <w:rFonts w:eastAsia="Times New Roman" w:cs="Arial"/>
                <w:color w:val="000000"/>
                <w:lang w:eastAsia="bg-BG"/>
              </w:rPr>
            </w:pPr>
            <w:r w:rsidRPr="00F26B25">
              <w:rPr>
                <w:rFonts w:cs="Arial"/>
              </w:rPr>
              <w:t>кашлица</w:t>
            </w:r>
          </w:p>
        </w:tc>
        <w:tc>
          <w:tcPr>
            <w:tcW w:w="2373" w:type="dxa"/>
          </w:tcPr>
          <w:p w14:paraId="5D789871" w14:textId="77777777" w:rsidR="00F26B25" w:rsidRPr="00F26B25" w:rsidRDefault="00F26B25" w:rsidP="00F26B25">
            <w:pPr>
              <w:rPr>
                <w:rFonts w:eastAsia="Times New Roman" w:cs="Arial"/>
                <w:color w:val="000000"/>
                <w:lang w:eastAsia="bg-BG"/>
              </w:rPr>
            </w:pPr>
          </w:p>
        </w:tc>
        <w:tc>
          <w:tcPr>
            <w:tcW w:w="1776" w:type="dxa"/>
          </w:tcPr>
          <w:p w14:paraId="767D01C9" w14:textId="77777777" w:rsidR="00F26B25" w:rsidRPr="00F26B25" w:rsidRDefault="00F26B25" w:rsidP="00F26B25">
            <w:pPr>
              <w:rPr>
                <w:rFonts w:eastAsia="Times New Roman" w:cs="Arial"/>
                <w:color w:val="000000"/>
                <w:lang w:eastAsia="bg-BG"/>
              </w:rPr>
            </w:pPr>
          </w:p>
        </w:tc>
      </w:tr>
      <w:tr w:rsidR="00F26B25" w14:paraId="3798DD68" w14:textId="77777777" w:rsidTr="00F26B25">
        <w:tc>
          <w:tcPr>
            <w:tcW w:w="1797" w:type="dxa"/>
          </w:tcPr>
          <w:p w14:paraId="710B8AB9" w14:textId="723846CB" w:rsidR="00F26B25" w:rsidRPr="00F26B25" w:rsidRDefault="00F26B25" w:rsidP="00F26B25">
            <w:pPr>
              <w:rPr>
                <w:rFonts w:eastAsia="Times New Roman" w:cs="Arial"/>
                <w:color w:val="000000"/>
                <w:lang w:eastAsia="bg-BG"/>
              </w:rPr>
            </w:pPr>
            <w:r w:rsidRPr="00F26B25">
              <w:rPr>
                <w:rFonts w:cs="Arial"/>
                <w:u w:val="single"/>
              </w:rPr>
              <w:t>Стомашно- чревни нарушения</w:t>
            </w:r>
          </w:p>
        </w:tc>
        <w:tc>
          <w:tcPr>
            <w:tcW w:w="1699" w:type="dxa"/>
          </w:tcPr>
          <w:p w14:paraId="62D5E23A" w14:textId="77777777" w:rsidR="00F26B25" w:rsidRPr="00F26B25" w:rsidRDefault="00F26B25" w:rsidP="00F26B25">
            <w:pPr>
              <w:rPr>
                <w:rFonts w:eastAsia="Times New Roman" w:cs="Arial"/>
                <w:color w:val="000000"/>
                <w:lang w:eastAsia="bg-BG"/>
              </w:rPr>
            </w:pPr>
          </w:p>
        </w:tc>
        <w:tc>
          <w:tcPr>
            <w:tcW w:w="1931" w:type="dxa"/>
            <w:vAlign w:val="bottom"/>
          </w:tcPr>
          <w:p w14:paraId="4254B133" w14:textId="7400CEDB" w:rsidR="00F26B25" w:rsidRPr="00F26B25" w:rsidRDefault="00F26B25" w:rsidP="00F26B25">
            <w:pPr>
              <w:rPr>
                <w:rFonts w:eastAsia="Times New Roman" w:cs="Arial"/>
                <w:color w:val="000000"/>
                <w:lang w:eastAsia="bg-BG"/>
              </w:rPr>
            </w:pPr>
            <w:r w:rsidRPr="00F26B25">
              <w:rPr>
                <w:rFonts w:cs="Arial"/>
              </w:rPr>
              <w:t>болки в корема, диария, диспепсия, повръщане, гадене</w:t>
            </w:r>
          </w:p>
        </w:tc>
        <w:tc>
          <w:tcPr>
            <w:tcW w:w="2373" w:type="dxa"/>
          </w:tcPr>
          <w:p w14:paraId="461EBB1B" w14:textId="77777777" w:rsidR="00F26B25" w:rsidRPr="00F26B25" w:rsidRDefault="00F26B25" w:rsidP="00F26B25">
            <w:pPr>
              <w:rPr>
                <w:rFonts w:eastAsia="Times New Roman" w:cs="Arial"/>
                <w:color w:val="000000"/>
                <w:lang w:eastAsia="bg-BG"/>
              </w:rPr>
            </w:pPr>
          </w:p>
        </w:tc>
        <w:tc>
          <w:tcPr>
            <w:tcW w:w="1776" w:type="dxa"/>
          </w:tcPr>
          <w:p w14:paraId="23FCE2E3" w14:textId="5E0CA42A" w:rsidR="00F26B25" w:rsidRPr="00F26B25" w:rsidRDefault="00F26B25" w:rsidP="00F26B25">
            <w:pPr>
              <w:rPr>
                <w:rFonts w:eastAsia="Times New Roman" w:cs="Arial"/>
                <w:color w:val="000000"/>
                <w:lang w:eastAsia="bg-BG"/>
              </w:rPr>
            </w:pPr>
            <w:r w:rsidRPr="00F26B25">
              <w:rPr>
                <w:rFonts w:cs="Arial"/>
              </w:rPr>
              <w:t>панкреатит</w:t>
            </w:r>
          </w:p>
        </w:tc>
      </w:tr>
      <w:tr w:rsidR="00F26B25" w14:paraId="7887D0D1" w14:textId="77777777" w:rsidTr="00F26B25">
        <w:tc>
          <w:tcPr>
            <w:tcW w:w="1797" w:type="dxa"/>
          </w:tcPr>
          <w:p w14:paraId="7E72A86F" w14:textId="2602BBCC" w:rsidR="00F26B25" w:rsidRPr="00F26B25" w:rsidRDefault="00F26B25" w:rsidP="00F26B25">
            <w:pPr>
              <w:rPr>
                <w:rFonts w:eastAsia="Times New Roman" w:cs="Arial"/>
                <w:color w:val="000000"/>
                <w:lang w:eastAsia="bg-BG"/>
              </w:rPr>
            </w:pPr>
            <w:r w:rsidRPr="00F26B25">
              <w:rPr>
                <w:rFonts w:cs="Arial"/>
                <w:u w:val="single"/>
              </w:rPr>
              <w:t xml:space="preserve">Хепатобилиарни </w:t>
            </w:r>
            <w:r w:rsidRPr="00F26B25">
              <w:rPr>
                <w:rFonts w:cs="Arial"/>
              </w:rPr>
              <w:t>на</w:t>
            </w:r>
            <w:r w:rsidRPr="00F26B25">
              <w:rPr>
                <w:rFonts w:cs="Arial"/>
                <w:u w:val="single"/>
              </w:rPr>
              <w:t>рушения</w:t>
            </w:r>
          </w:p>
        </w:tc>
        <w:tc>
          <w:tcPr>
            <w:tcW w:w="1699" w:type="dxa"/>
          </w:tcPr>
          <w:p w14:paraId="0FB4995F" w14:textId="77777777" w:rsidR="00F26B25" w:rsidRPr="00F26B25" w:rsidRDefault="00F26B25" w:rsidP="00F26B25">
            <w:pPr>
              <w:rPr>
                <w:rFonts w:eastAsia="Times New Roman" w:cs="Arial"/>
                <w:color w:val="000000"/>
                <w:lang w:eastAsia="bg-BG"/>
              </w:rPr>
            </w:pPr>
          </w:p>
        </w:tc>
        <w:tc>
          <w:tcPr>
            <w:tcW w:w="1931" w:type="dxa"/>
          </w:tcPr>
          <w:p w14:paraId="1E6C8C7C" w14:textId="77777777" w:rsidR="00F26B25" w:rsidRPr="00F26B25" w:rsidRDefault="00F26B25" w:rsidP="00F26B25">
            <w:pPr>
              <w:rPr>
                <w:rFonts w:eastAsia="Times New Roman" w:cs="Arial"/>
                <w:color w:val="000000"/>
                <w:lang w:eastAsia="bg-BG"/>
              </w:rPr>
            </w:pPr>
          </w:p>
        </w:tc>
        <w:tc>
          <w:tcPr>
            <w:tcW w:w="2373" w:type="dxa"/>
            <w:vAlign w:val="bottom"/>
          </w:tcPr>
          <w:p w14:paraId="455622A6" w14:textId="51EB4119" w:rsidR="00F26B25" w:rsidRPr="00F26B25" w:rsidRDefault="00F26B25" w:rsidP="00F26B25">
            <w:pPr>
              <w:rPr>
                <w:rFonts w:eastAsia="Times New Roman" w:cs="Arial"/>
                <w:color w:val="000000"/>
                <w:lang w:eastAsia="bg-BG"/>
              </w:rPr>
            </w:pPr>
            <w:r w:rsidRPr="00F26B25">
              <w:rPr>
                <w:rFonts w:cs="Arial"/>
              </w:rPr>
              <w:t>абнормни резултати от функционалн ите чернодробни изследвания</w:t>
            </w:r>
          </w:p>
        </w:tc>
        <w:tc>
          <w:tcPr>
            <w:tcW w:w="1776" w:type="dxa"/>
            <w:vAlign w:val="bottom"/>
          </w:tcPr>
          <w:p w14:paraId="147C1D96" w14:textId="492D3A91" w:rsidR="00F26B25" w:rsidRPr="00F26B25" w:rsidRDefault="00F26B25" w:rsidP="00F26B25">
            <w:pPr>
              <w:rPr>
                <w:rFonts w:eastAsia="Times New Roman" w:cs="Arial"/>
                <w:color w:val="000000"/>
                <w:lang w:eastAsia="bg-BG"/>
              </w:rPr>
            </w:pPr>
            <w:r w:rsidRPr="00F26B25">
              <w:rPr>
                <w:rFonts w:cs="Arial"/>
              </w:rPr>
              <w:t>чернодробна недостатъчност, хепатит</w:t>
            </w:r>
          </w:p>
        </w:tc>
      </w:tr>
      <w:tr w:rsidR="00F26B25" w14:paraId="4A2D331F" w14:textId="77777777" w:rsidTr="00F26B25">
        <w:tc>
          <w:tcPr>
            <w:tcW w:w="1797" w:type="dxa"/>
            <w:vAlign w:val="bottom"/>
          </w:tcPr>
          <w:p w14:paraId="0D62CD27" w14:textId="672CA863" w:rsidR="00F26B25" w:rsidRPr="00F26B25" w:rsidRDefault="00F26B25" w:rsidP="00F26B25">
            <w:pPr>
              <w:rPr>
                <w:rFonts w:eastAsia="Times New Roman" w:cs="Arial"/>
                <w:color w:val="000000"/>
                <w:lang w:eastAsia="bg-BG"/>
              </w:rPr>
            </w:pPr>
            <w:r w:rsidRPr="00F26B25">
              <w:rPr>
                <w:rFonts w:cs="Arial"/>
                <w:u w:val="single"/>
              </w:rPr>
              <w:t xml:space="preserve">Нарушения на бъбреците и пикочните </w:t>
            </w:r>
            <w:r w:rsidRPr="00F26B25">
              <w:rPr>
                <w:rFonts w:cs="Arial"/>
              </w:rPr>
              <w:t>пътища</w:t>
            </w:r>
          </w:p>
        </w:tc>
        <w:tc>
          <w:tcPr>
            <w:tcW w:w="1699" w:type="dxa"/>
          </w:tcPr>
          <w:p w14:paraId="226501F3" w14:textId="77777777" w:rsidR="00F26B25" w:rsidRPr="00F26B25" w:rsidRDefault="00F26B25" w:rsidP="00F26B25">
            <w:pPr>
              <w:rPr>
                <w:rFonts w:eastAsia="Times New Roman" w:cs="Arial"/>
                <w:color w:val="000000"/>
                <w:lang w:eastAsia="bg-BG"/>
              </w:rPr>
            </w:pPr>
          </w:p>
        </w:tc>
        <w:tc>
          <w:tcPr>
            <w:tcW w:w="1931" w:type="dxa"/>
          </w:tcPr>
          <w:p w14:paraId="18088446" w14:textId="77777777" w:rsidR="00F26B25" w:rsidRPr="00F26B25" w:rsidRDefault="00F26B25" w:rsidP="00F26B25">
            <w:pPr>
              <w:rPr>
                <w:rFonts w:eastAsia="Times New Roman" w:cs="Arial"/>
                <w:color w:val="000000"/>
                <w:lang w:eastAsia="bg-BG"/>
              </w:rPr>
            </w:pPr>
          </w:p>
        </w:tc>
        <w:tc>
          <w:tcPr>
            <w:tcW w:w="2373" w:type="dxa"/>
          </w:tcPr>
          <w:p w14:paraId="19C71F5D" w14:textId="77777777" w:rsidR="00F26B25" w:rsidRPr="00F26B25" w:rsidRDefault="00F26B25" w:rsidP="00F26B25">
            <w:pPr>
              <w:rPr>
                <w:rFonts w:eastAsia="Times New Roman" w:cs="Arial"/>
                <w:color w:val="000000"/>
                <w:lang w:eastAsia="bg-BG"/>
              </w:rPr>
            </w:pPr>
          </w:p>
        </w:tc>
        <w:tc>
          <w:tcPr>
            <w:tcW w:w="1776" w:type="dxa"/>
          </w:tcPr>
          <w:p w14:paraId="070AF387" w14:textId="3744C465" w:rsidR="00F26B25" w:rsidRPr="00F26B25" w:rsidRDefault="00F26B25" w:rsidP="00F26B25">
            <w:pPr>
              <w:rPr>
                <w:rFonts w:eastAsia="Times New Roman" w:cs="Arial"/>
                <w:color w:val="000000"/>
                <w:lang w:eastAsia="bg-BG"/>
              </w:rPr>
            </w:pPr>
            <w:r w:rsidRPr="00F26B25">
              <w:rPr>
                <w:rFonts w:cs="Arial"/>
              </w:rPr>
              <w:t>остра бъбречна недостатъчност</w:t>
            </w:r>
          </w:p>
        </w:tc>
      </w:tr>
      <w:tr w:rsidR="00F26B25" w14:paraId="0D3A4D72" w14:textId="77777777" w:rsidTr="00F26B25">
        <w:tc>
          <w:tcPr>
            <w:tcW w:w="1797" w:type="dxa"/>
          </w:tcPr>
          <w:p w14:paraId="430F0520" w14:textId="642F15C7" w:rsidR="00F26B25" w:rsidRPr="00F26B25" w:rsidRDefault="00F26B25" w:rsidP="00F26B25">
            <w:pPr>
              <w:rPr>
                <w:rFonts w:eastAsia="Times New Roman" w:cs="Arial"/>
                <w:color w:val="000000"/>
                <w:lang w:eastAsia="bg-BG"/>
              </w:rPr>
            </w:pPr>
            <w:r w:rsidRPr="00F26B25">
              <w:rPr>
                <w:rFonts w:cs="Arial"/>
                <w:u w:val="single"/>
              </w:rPr>
              <w:t>Нарушения на кожата и подкожната тъкан</w:t>
            </w:r>
          </w:p>
        </w:tc>
        <w:tc>
          <w:tcPr>
            <w:tcW w:w="1699" w:type="dxa"/>
          </w:tcPr>
          <w:p w14:paraId="324486CD" w14:textId="77777777" w:rsidR="00F26B25" w:rsidRPr="00F26B25" w:rsidRDefault="00F26B25" w:rsidP="00F26B25">
            <w:pPr>
              <w:rPr>
                <w:rFonts w:eastAsia="Times New Roman" w:cs="Arial"/>
                <w:color w:val="000000"/>
                <w:lang w:eastAsia="bg-BG"/>
              </w:rPr>
            </w:pPr>
          </w:p>
        </w:tc>
        <w:tc>
          <w:tcPr>
            <w:tcW w:w="1931" w:type="dxa"/>
          </w:tcPr>
          <w:p w14:paraId="09F428B7" w14:textId="7D63713E" w:rsidR="00F26B25" w:rsidRPr="00F26B25" w:rsidRDefault="00F26B25" w:rsidP="00F26B25">
            <w:pPr>
              <w:rPr>
                <w:rFonts w:eastAsia="Times New Roman" w:cs="Arial"/>
                <w:color w:val="000000"/>
                <w:lang w:eastAsia="bg-BG"/>
              </w:rPr>
            </w:pPr>
            <w:r w:rsidRPr="00F26B25">
              <w:rPr>
                <w:rFonts w:cs="Arial"/>
              </w:rPr>
              <w:t>обрив</w:t>
            </w:r>
          </w:p>
        </w:tc>
        <w:tc>
          <w:tcPr>
            <w:tcW w:w="2373" w:type="dxa"/>
            <w:vAlign w:val="bottom"/>
          </w:tcPr>
          <w:p w14:paraId="76CA9778" w14:textId="6AFC64B0" w:rsidR="00F26B25" w:rsidRPr="00F26B25" w:rsidRDefault="00F26B25" w:rsidP="00F26B25">
            <w:pPr>
              <w:rPr>
                <w:rFonts w:eastAsia="Times New Roman" w:cs="Arial"/>
                <w:color w:val="000000"/>
                <w:lang w:eastAsia="bg-BG"/>
              </w:rPr>
            </w:pPr>
            <w:r w:rsidRPr="00F26B25">
              <w:rPr>
                <w:rFonts w:cs="Arial"/>
              </w:rPr>
              <w:t>алопеция, екзема, пруритус,</w:t>
            </w:r>
          </w:p>
        </w:tc>
        <w:tc>
          <w:tcPr>
            <w:tcW w:w="1776" w:type="dxa"/>
            <w:vAlign w:val="bottom"/>
          </w:tcPr>
          <w:p w14:paraId="6FAF95DE" w14:textId="77777777" w:rsidR="00F26B25" w:rsidRPr="00F26B25" w:rsidRDefault="00F26B25" w:rsidP="00F26B25">
            <w:pPr>
              <w:rPr>
                <w:rFonts w:cs="Arial"/>
              </w:rPr>
            </w:pPr>
            <w:r w:rsidRPr="00F26B25">
              <w:rPr>
                <w:rFonts w:cs="Arial"/>
              </w:rPr>
              <w:t>токсична</w:t>
            </w:r>
          </w:p>
          <w:p w14:paraId="5521D020" w14:textId="3E154F13" w:rsidR="00F26B25" w:rsidRPr="00F26B25" w:rsidRDefault="00F26B25" w:rsidP="00F26B25">
            <w:pPr>
              <w:rPr>
                <w:rFonts w:eastAsia="Times New Roman" w:cs="Arial"/>
                <w:color w:val="000000"/>
                <w:lang w:eastAsia="bg-BG"/>
              </w:rPr>
            </w:pPr>
            <w:r w:rsidRPr="00F26B25">
              <w:rPr>
                <w:rFonts w:cs="Arial"/>
              </w:rPr>
              <w:t xml:space="preserve">епидермална некролиза, Синдром на </w:t>
            </w:r>
            <w:r w:rsidRPr="00F26B25">
              <w:rPr>
                <w:rFonts w:cs="Arial"/>
                <w:lang w:val="en-US"/>
              </w:rPr>
              <w:lastRenderedPageBreak/>
              <w:t>Stevens</w:t>
            </w:r>
            <w:r w:rsidRPr="00F26B25">
              <w:rPr>
                <w:rFonts w:cs="Arial"/>
                <w:lang w:val="ru-RU"/>
              </w:rPr>
              <w:t>-</w:t>
            </w:r>
            <w:r w:rsidRPr="00F26B25">
              <w:rPr>
                <w:rFonts w:cs="Arial"/>
                <w:lang w:val="en-US"/>
              </w:rPr>
              <w:t>Johnson</w:t>
            </w:r>
            <w:r w:rsidRPr="00F26B25">
              <w:rPr>
                <w:rFonts w:cs="Arial"/>
                <w:lang w:val="ru-RU"/>
              </w:rPr>
              <w:t xml:space="preserve">, </w:t>
            </w:r>
            <w:r w:rsidRPr="00F26B25">
              <w:rPr>
                <w:rFonts w:cs="Arial"/>
              </w:rPr>
              <w:t>еритема мултиформе</w:t>
            </w:r>
          </w:p>
        </w:tc>
      </w:tr>
      <w:tr w:rsidR="00F26B25" w14:paraId="36B6224B" w14:textId="77777777" w:rsidTr="00F26B25">
        <w:tc>
          <w:tcPr>
            <w:tcW w:w="1797" w:type="dxa"/>
          </w:tcPr>
          <w:p w14:paraId="10B9BE85" w14:textId="5D97C2DA" w:rsidR="00F26B25" w:rsidRPr="00F26B25" w:rsidRDefault="00F26B25" w:rsidP="00F26B25">
            <w:pPr>
              <w:rPr>
                <w:rFonts w:eastAsia="Times New Roman" w:cs="Arial"/>
                <w:color w:val="000000"/>
                <w:lang w:eastAsia="bg-BG"/>
              </w:rPr>
            </w:pPr>
            <w:r w:rsidRPr="00F26B25">
              <w:rPr>
                <w:szCs w:val="20"/>
                <w:u w:val="single"/>
              </w:rPr>
              <w:lastRenderedPageBreak/>
              <w:t>Нарушения на мускулно- скелетната система и съединителната тъкан</w:t>
            </w:r>
          </w:p>
        </w:tc>
        <w:tc>
          <w:tcPr>
            <w:tcW w:w="1699" w:type="dxa"/>
          </w:tcPr>
          <w:p w14:paraId="40CEBF52" w14:textId="77777777" w:rsidR="00F26B25" w:rsidRPr="00F26B25" w:rsidRDefault="00F26B25" w:rsidP="00F26B25">
            <w:pPr>
              <w:rPr>
                <w:rFonts w:eastAsia="Times New Roman" w:cs="Arial"/>
                <w:color w:val="000000"/>
                <w:lang w:eastAsia="bg-BG"/>
              </w:rPr>
            </w:pPr>
          </w:p>
        </w:tc>
        <w:tc>
          <w:tcPr>
            <w:tcW w:w="1931" w:type="dxa"/>
          </w:tcPr>
          <w:p w14:paraId="568E7FCF" w14:textId="77777777" w:rsidR="00F26B25" w:rsidRPr="00F26B25" w:rsidRDefault="00F26B25" w:rsidP="00F26B25">
            <w:pPr>
              <w:rPr>
                <w:rFonts w:eastAsia="Times New Roman" w:cs="Arial"/>
                <w:color w:val="000000"/>
                <w:lang w:eastAsia="bg-BG"/>
              </w:rPr>
            </w:pPr>
          </w:p>
        </w:tc>
        <w:tc>
          <w:tcPr>
            <w:tcW w:w="2373" w:type="dxa"/>
          </w:tcPr>
          <w:p w14:paraId="33CA0BEE" w14:textId="221B0614" w:rsidR="00F26B25" w:rsidRPr="00F26B25" w:rsidRDefault="00F26B25" w:rsidP="00F26B25">
            <w:pPr>
              <w:rPr>
                <w:rFonts w:eastAsia="Times New Roman" w:cs="Arial"/>
                <w:color w:val="000000"/>
                <w:lang w:eastAsia="bg-BG"/>
              </w:rPr>
            </w:pPr>
            <w:r w:rsidRPr="00F26B25">
              <w:rPr>
                <w:szCs w:val="20"/>
              </w:rPr>
              <w:t>мускулна слабост, миалгия</w:t>
            </w:r>
          </w:p>
        </w:tc>
        <w:tc>
          <w:tcPr>
            <w:tcW w:w="1776" w:type="dxa"/>
          </w:tcPr>
          <w:p w14:paraId="01C501CA" w14:textId="77777777" w:rsidR="00F26B25" w:rsidRPr="00F26B25" w:rsidRDefault="00F26B25" w:rsidP="00F26B25">
            <w:r w:rsidRPr="00F26B25">
              <w:rPr>
                <w:szCs w:val="20"/>
              </w:rPr>
              <w:t>рабдомиолиза и повишена</w:t>
            </w:r>
          </w:p>
          <w:p w14:paraId="69387A3B" w14:textId="7DE251A9" w:rsidR="00F26B25" w:rsidRPr="00F26B25" w:rsidRDefault="00F26B25" w:rsidP="00F26B25">
            <w:pPr>
              <w:rPr>
                <w:rFonts w:eastAsia="Times New Roman" w:cs="Arial"/>
                <w:color w:val="000000"/>
                <w:lang w:eastAsia="bg-BG"/>
              </w:rPr>
            </w:pPr>
            <w:r w:rsidRPr="00F26B25">
              <w:rPr>
                <w:szCs w:val="20"/>
              </w:rPr>
              <w:t>креатин фосфокиназа*</w:t>
            </w:r>
          </w:p>
        </w:tc>
      </w:tr>
      <w:tr w:rsidR="00F26B25" w14:paraId="6D2EFA06" w14:textId="77777777" w:rsidTr="00F26B25">
        <w:tc>
          <w:tcPr>
            <w:tcW w:w="1797" w:type="dxa"/>
          </w:tcPr>
          <w:p w14:paraId="044E7091" w14:textId="6E63B1D6" w:rsidR="00F26B25" w:rsidRPr="00F26B25" w:rsidRDefault="00F26B25" w:rsidP="00F26B25">
            <w:pPr>
              <w:rPr>
                <w:rFonts w:eastAsia="Times New Roman" w:cs="Arial"/>
                <w:color w:val="000000"/>
                <w:lang w:eastAsia="bg-BG"/>
              </w:rPr>
            </w:pPr>
            <w:r w:rsidRPr="00F26B25">
              <w:rPr>
                <w:szCs w:val="20"/>
                <w:u w:val="single"/>
              </w:rPr>
              <w:t>Общи нарушения и ефекти на мястото на приложение</w:t>
            </w:r>
          </w:p>
        </w:tc>
        <w:tc>
          <w:tcPr>
            <w:tcW w:w="1699" w:type="dxa"/>
          </w:tcPr>
          <w:p w14:paraId="50410B92" w14:textId="77777777" w:rsidR="00F26B25" w:rsidRPr="00F26B25" w:rsidRDefault="00F26B25" w:rsidP="00F26B25">
            <w:pPr>
              <w:rPr>
                <w:rFonts w:eastAsia="Times New Roman" w:cs="Arial"/>
                <w:color w:val="000000"/>
                <w:lang w:eastAsia="bg-BG"/>
              </w:rPr>
            </w:pPr>
          </w:p>
        </w:tc>
        <w:tc>
          <w:tcPr>
            <w:tcW w:w="1931" w:type="dxa"/>
          </w:tcPr>
          <w:p w14:paraId="6A65AFE9" w14:textId="01AA4FD0" w:rsidR="00F26B25" w:rsidRPr="00F26B25" w:rsidRDefault="00F26B25" w:rsidP="00F26B25">
            <w:pPr>
              <w:rPr>
                <w:rFonts w:eastAsia="Times New Roman" w:cs="Arial"/>
                <w:color w:val="000000"/>
                <w:lang w:eastAsia="bg-BG"/>
              </w:rPr>
            </w:pPr>
            <w:r w:rsidRPr="00F26B25">
              <w:rPr>
                <w:szCs w:val="20"/>
              </w:rPr>
              <w:t>астения/умора</w:t>
            </w:r>
          </w:p>
        </w:tc>
        <w:tc>
          <w:tcPr>
            <w:tcW w:w="2373" w:type="dxa"/>
          </w:tcPr>
          <w:p w14:paraId="5A1A6F9C" w14:textId="77777777" w:rsidR="00F26B25" w:rsidRPr="00F26B25" w:rsidRDefault="00F26B25" w:rsidP="00F26B25">
            <w:pPr>
              <w:rPr>
                <w:rFonts w:eastAsia="Times New Roman" w:cs="Arial"/>
                <w:color w:val="000000"/>
                <w:lang w:eastAsia="bg-BG"/>
              </w:rPr>
            </w:pPr>
          </w:p>
        </w:tc>
        <w:tc>
          <w:tcPr>
            <w:tcW w:w="1776" w:type="dxa"/>
          </w:tcPr>
          <w:p w14:paraId="43389813" w14:textId="77777777" w:rsidR="00F26B25" w:rsidRPr="00F26B25" w:rsidRDefault="00F26B25" w:rsidP="00F26B25">
            <w:pPr>
              <w:rPr>
                <w:rFonts w:eastAsia="Times New Roman" w:cs="Arial"/>
                <w:color w:val="000000"/>
                <w:lang w:eastAsia="bg-BG"/>
              </w:rPr>
            </w:pPr>
          </w:p>
        </w:tc>
      </w:tr>
      <w:tr w:rsidR="00F26B25" w14:paraId="4F2FF6D4" w14:textId="77777777" w:rsidTr="00F26B25">
        <w:tc>
          <w:tcPr>
            <w:tcW w:w="1797" w:type="dxa"/>
          </w:tcPr>
          <w:p w14:paraId="3E3AB250" w14:textId="7DC495C8" w:rsidR="00F26B25" w:rsidRPr="00F26B25" w:rsidRDefault="00F26B25" w:rsidP="00F26B25">
            <w:pPr>
              <w:rPr>
                <w:rFonts w:eastAsia="Times New Roman" w:cs="Arial"/>
                <w:color w:val="000000"/>
                <w:lang w:eastAsia="bg-BG"/>
              </w:rPr>
            </w:pPr>
            <w:r w:rsidRPr="00F26B25">
              <w:rPr>
                <w:szCs w:val="20"/>
                <w:u w:val="single"/>
              </w:rPr>
              <w:t>Наранявания, отравяния и усложнения, възникнали в резултат на интервенции</w:t>
            </w:r>
          </w:p>
        </w:tc>
        <w:tc>
          <w:tcPr>
            <w:tcW w:w="1699" w:type="dxa"/>
          </w:tcPr>
          <w:p w14:paraId="6CD783E5" w14:textId="77777777" w:rsidR="00F26B25" w:rsidRPr="00F26B25" w:rsidRDefault="00F26B25" w:rsidP="00F26B25">
            <w:pPr>
              <w:rPr>
                <w:rFonts w:eastAsia="Times New Roman" w:cs="Arial"/>
                <w:color w:val="000000"/>
                <w:lang w:eastAsia="bg-BG"/>
              </w:rPr>
            </w:pPr>
          </w:p>
        </w:tc>
        <w:tc>
          <w:tcPr>
            <w:tcW w:w="1931" w:type="dxa"/>
          </w:tcPr>
          <w:p w14:paraId="22EBEA6B" w14:textId="77777777" w:rsidR="00F26B25" w:rsidRPr="00F26B25" w:rsidRDefault="00F26B25" w:rsidP="00F26B25">
            <w:pPr>
              <w:rPr>
                <w:rFonts w:eastAsia="Times New Roman" w:cs="Arial"/>
                <w:color w:val="000000"/>
                <w:lang w:eastAsia="bg-BG"/>
              </w:rPr>
            </w:pPr>
          </w:p>
        </w:tc>
        <w:tc>
          <w:tcPr>
            <w:tcW w:w="2373" w:type="dxa"/>
          </w:tcPr>
          <w:p w14:paraId="4F8CD905" w14:textId="79B314D6" w:rsidR="00F26B25" w:rsidRPr="00F26B25" w:rsidRDefault="00F26B25" w:rsidP="00F26B25">
            <w:pPr>
              <w:rPr>
                <w:rFonts w:eastAsia="Times New Roman" w:cs="Arial"/>
                <w:color w:val="000000"/>
                <w:lang w:eastAsia="bg-BG"/>
              </w:rPr>
            </w:pPr>
            <w:r w:rsidRPr="00F26B25">
              <w:rPr>
                <w:szCs w:val="20"/>
              </w:rPr>
              <w:t>нараняване</w:t>
            </w:r>
          </w:p>
        </w:tc>
        <w:tc>
          <w:tcPr>
            <w:tcW w:w="1776" w:type="dxa"/>
          </w:tcPr>
          <w:p w14:paraId="696E7FF6" w14:textId="77777777" w:rsidR="00F26B25" w:rsidRPr="00F26B25" w:rsidRDefault="00F26B25" w:rsidP="00F26B25">
            <w:pPr>
              <w:rPr>
                <w:rFonts w:eastAsia="Times New Roman" w:cs="Arial"/>
                <w:color w:val="000000"/>
                <w:lang w:eastAsia="bg-BG"/>
              </w:rPr>
            </w:pPr>
          </w:p>
        </w:tc>
      </w:tr>
    </w:tbl>
    <w:p w14:paraId="2538E82C" w14:textId="7D00226A" w:rsidR="00F26B25" w:rsidRPr="00F26B25" w:rsidRDefault="00F26B25" w:rsidP="00F26B25">
      <w:pPr>
        <w:spacing w:line="240" w:lineRule="auto"/>
        <w:rPr>
          <w:rFonts w:eastAsia="Times New Roman" w:cs="Arial"/>
        </w:rPr>
      </w:pPr>
      <w:r w:rsidRPr="00F26B25">
        <w:rPr>
          <w:rFonts w:eastAsia="Times New Roman" w:cs="Arial"/>
          <w:color w:val="000000"/>
          <w:lang w:eastAsia="bg-BG"/>
        </w:rPr>
        <w:t>* Значително по-висока честота се наблюдава при пациенти от японски произход в сравнение с пациенти от неяпонски произход.</w:t>
      </w:r>
    </w:p>
    <w:p w14:paraId="59728EEE" w14:textId="77777777" w:rsidR="00F26B25" w:rsidRPr="00F26B25" w:rsidRDefault="00F26B25" w:rsidP="00F26B25">
      <w:pPr>
        <w:spacing w:line="240" w:lineRule="auto"/>
        <w:rPr>
          <w:rFonts w:eastAsia="Times New Roman" w:cs="Arial"/>
          <w:color w:val="000000"/>
          <w:u w:val="single"/>
          <w:lang w:eastAsia="bg-BG"/>
        </w:rPr>
      </w:pPr>
    </w:p>
    <w:p w14:paraId="132FAEBD" w14:textId="09353658" w:rsidR="00F26B25" w:rsidRPr="00F26B25" w:rsidRDefault="00F26B25" w:rsidP="00F26B25">
      <w:pPr>
        <w:spacing w:line="240" w:lineRule="auto"/>
        <w:rPr>
          <w:rFonts w:eastAsia="Times New Roman" w:cs="Arial"/>
        </w:rPr>
      </w:pPr>
      <w:r w:rsidRPr="00F26B25">
        <w:rPr>
          <w:rFonts w:eastAsia="Times New Roman" w:cs="Arial"/>
          <w:color w:val="000000"/>
          <w:u w:val="single"/>
          <w:lang w:eastAsia="bg-BG"/>
        </w:rPr>
        <w:t>Описание на избрани нежелани реакции</w:t>
      </w:r>
    </w:p>
    <w:p w14:paraId="71DDCDB3" w14:textId="77777777" w:rsidR="00F26B25" w:rsidRPr="00F26B25" w:rsidRDefault="00F26B25" w:rsidP="00F26B25">
      <w:pPr>
        <w:spacing w:line="240" w:lineRule="auto"/>
        <w:rPr>
          <w:rFonts w:eastAsia="Times New Roman" w:cs="Arial"/>
          <w:color w:val="000000"/>
          <w:lang w:eastAsia="bg-BG"/>
        </w:rPr>
      </w:pPr>
    </w:p>
    <w:p w14:paraId="274F3877" w14:textId="1AE22CCF" w:rsidR="00F26B25" w:rsidRPr="00F26B25" w:rsidRDefault="00F26B25" w:rsidP="00F26B25">
      <w:pPr>
        <w:spacing w:line="240" w:lineRule="auto"/>
        <w:rPr>
          <w:rFonts w:eastAsia="Times New Roman" w:cs="Arial"/>
        </w:rPr>
      </w:pPr>
      <w:r w:rsidRPr="00F26B25">
        <w:rPr>
          <w:rFonts w:eastAsia="Times New Roman" w:cs="Arial"/>
          <w:color w:val="000000"/>
          <w:lang w:eastAsia="bg-BG"/>
        </w:rPr>
        <w:t>Рискът от анорексия е по-висок, когато леветирацетам се прилага едновременно с топирамат. При няколко случая на алопеция се наблюдава възстановяване след преустановяване на леветирацетам.</w:t>
      </w:r>
    </w:p>
    <w:p w14:paraId="253602BA" w14:textId="77777777" w:rsidR="00F26B25" w:rsidRPr="00F26B25" w:rsidRDefault="00F26B25" w:rsidP="00F26B25">
      <w:pPr>
        <w:spacing w:line="240" w:lineRule="auto"/>
        <w:rPr>
          <w:rFonts w:eastAsia="Times New Roman" w:cs="Arial"/>
        </w:rPr>
      </w:pPr>
      <w:r w:rsidRPr="00F26B25">
        <w:rPr>
          <w:rFonts w:eastAsia="Times New Roman" w:cs="Arial"/>
          <w:color w:val="000000"/>
          <w:lang w:eastAsia="bg-BG"/>
        </w:rPr>
        <w:t>В някои от случаите на панцитопения се наблюдава потискане на костно-мозъчната функция.</w:t>
      </w:r>
    </w:p>
    <w:p w14:paraId="793C492F" w14:textId="77777777" w:rsidR="00F26B25" w:rsidRPr="00F26B25" w:rsidRDefault="00F26B25" w:rsidP="00F26B25">
      <w:pPr>
        <w:spacing w:line="240" w:lineRule="auto"/>
        <w:rPr>
          <w:rFonts w:eastAsia="Times New Roman" w:cs="Arial"/>
          <w:color w:val="000000"/>
          <w:lang w:eastAsia="bg-BG"/>
        </w:rPr>
      </w:pPr>
    </w:p>
    <w:p w14:paraId="241356B7" w14:textId="65293753" w:rsidR="00F26B25" w:rsidRPr="00F26B25" w:rsidRDefault="00F26B25" w:rsidP="00F26B25">
      <w:pPr>
        <w:spacing w:line="240" w:lineRule="auto"/>
        <w:rPr>
          <w:rFonts w:eastAsia="Times New Roman" w:cs="Arial"/>
        </w:rPr>
      </w:pPr>
      <w:r w:rsidRPr="00F26B25">
        <w:rPr>
          <w:rFonts w:eastAsia="Times New Roman" w:cs="Arial"/>
          <w:color w:val="000000"/>
          <w:lang w:eastAsia="bg-BG"/>
        </w:rPr>
        <w:t>Случаи на енцефалопатия обикновено настъпват в началото на лечението (няколко дни до няколко месеца) и са обратими след спиране на лечението.</w:t>
      </w:r>
    </w:p>
    <w:p w14:paraId="13FF6855" w14:textId="77777777" w:rsidR="00F26B25" w:rsidRPr="00F26B25" w:rsidRDefault="00F26B25" w:rsidP="00F26B25">
      <w:pPr>
        <w:spacing w:line="240" w:lineRule="auto"/>
        <w:rPr>
          <w:rFonts w:eastAsia="Times New Roman" w:cs="Arial"/>
          <w:color w:val="000000"/>
          <w:u w:val="single"/>
          <w:lang w:eastAsia="bg-BG"/>
        </w:rPr>
      </w:pPr>
    </w:p>
    <w:p w14:paraId="14F2665A" w14:textId="1C6D9F52" w:rsidR="00F26B25" w:rsidRPr="00F26B25" w:rsidRDefault="00F26B25" w:rsidP="00F26B25">
      <w:pPr>
        <w:spacing w:line="240" w:lineRule="auto"/>
        <w:rPr>
          <w:rFonts w:eastAsia="Times New Roman" w:cs="Arial"/>
        </w:rPr>
      </w:pPr>
      <w:r w:rsidRPr="00F26B25">
        <w:rPr>
          <w:rFonts w:eastAsia="Times New Roman" w:cs="Arial"/>
          <w:color w:val="000000"/>
          <w:u w:val="single"/>
          <w:lang w:eastAsia="bg-BG"/>
        </w:rPr>
        <w:t>Педиатрична популация</w:t>
      </w:r>
    </w:p>
    <w:p w14:paraId="0E6691C0" w14:textId="77777777" w:rsidR="00F26B25" w:rsidRPr="00F26B25" w:rsidRDefault="00F26B25" w:rsidP="00F26B25">
      <w:pPr>
        <w:spacing w:line="240" w:lineRule="auto"/>
        <w:rPr>
          <w:rFonts w:eastAsia="Times New Roman" w:cs="Arial"/>
          <w:color w:val="000000"/>
          <w:lang w:eastAsia="bg-BG"/>
        </w:rPr>
      </w:pPr>
    </w:p>
    <w:p w14:paraId="324D4331" w14:textId="3485DC70" w:rsidR="00F26B25" w:rsidRPr="00F26B25" w:rsidRDefault="00F26B25" w:rsidP="00F26B25">
      <w:pPr>
        <w:spacing w:line="240" w:lineRule="auto"/>
        <w:rPr>
          <w:rFonts w:eastAsia="Times New Roman" w:cs="Arial"/>
        </w:rPr>
      </w:pPr>
      <w:r w:rsidRPr="00F26B25">
        <w:rPr>
          <w:rFonts w:eastAsia="Times New Roman" w:cs="Arial"/>
          <w:color w:val="000000"/>
          <w:lang w:eastAsia="bg-BG"/>
        </w:rPr>
        <w:t>При пациенти на възраст от 1 месец до под 4 години, общо 190 пациенти са били лекувани с леветирацетам в плацебо-контролирани и открити разширени проучвания. Шестдесет (60) от тези пациенти са били лекувани с леветирацетам в плацебо-контролирани проучвания. При пациенти на възраст 4-16 години, общо 645 пациенти са били лекувани с леветирацетам в плацебо-контролирани и открити разширени проучвания. В плацебо-контролирани проучвания 233 от тези пациенти са били лекувани с леветирацетам. В тези две педиатрични възрастови групи, тези данни са допълнени с постмаркетинговия опит за употреба на леветирацетам.</w:t>
      </w:r>
    </w:p>
    <w:p w14:paraId="5B20E92B" w14:textId="77777777" w:rsidR="00F26B25" w:rsidRPr="00F26B25" w:rsidRDefault="00F26B25" w:rsidP="00F26B25">
      <w:pPr>
        <w:spacing w:line="240" w:lineRule="auto"/>
        <w:rPr>
          <w:rFonts w:eastAsia="Times New Roman" w:cs="Arial"/>
          <w:color w:val="000000"/>
          <w:lang w:eastAsia="bg-BG"/>
        </w:rPr>
      </w:pPr>
    </w:p>
    <w:p w14:paraId="591786FD" w14:textId="0FF23D28" w:rsidR="00F26B25" w:rsidRPr="00F26B25" w:rsidRDefault="00F26B25" w:rsidP="00F26B25">
      <w:pPr>
        <w:spacing w:line="240" w:lineRule="auto"/>
        <w:rPr>
          <w:rFonts w:eastAsia="Times New Roman" w:cs="Arial"/>
        </w:rPr>
      </w:pPr>
      <w:r w:rsidRPr="00F26B25">
        <w:rPr>
          <w:rFonts w:eastAsia="Times New Roman" w:cs="Arial"/>
          <w:color w:val="000000"/>
          <w:lang w:eastAsia="bg-BG"/>
        </w:rPr>
        <w:t>Освен това 101 кърмачета на възраст под 12 месеца са били с експозиция в постмаркетингово проучване за безопасност. Не са идентифицирани нови съображения за безопасност относно леветирацетам при деца с епилепсия на възраст под 12 месеца.</w:t>
      </w:r>
    </w:p>
    <w:p w14:paraId="7ECB28C7" w14:textId="77777777" w:rsidR="00F26B25" w:rsidRPr="00F26B25" w:rsidRDefault="00F26B25" w:rsidP="00F26B25">
      <w:pPr>
        <w:spacing w:line="240" w:lineRule="auto"/>
        <w:rPr>
          <w:rFonts w:eastAsia="Times New Roman" w:cs="Arial"/>
          <w:color w:val="000000"/>
          <w:lang w:eastAsia="bg-BG"/>
        </w:rPr>
      </w:pPr>
    </w:p>
    <w:p w14:paraId="76A29018" w14:textId="189DF4F5" w:rsidR="00F26B25" w:rsidRPr="00F26B25" w:rsidRDefault="00F26B25" w:rsidP="00F26B25">
      <w:pPr>
        <w:spacing w:line="240" w:lineRule="auto"/>
        <w:rPr>
          <w:rFonts w:eastAsia="Times New Roman" w:cs="Arial"/>
        </w:rPr>
      </w:pPr>
      <w:r w:rsidRPr="00F26B25">
        <w:rPr>
          <w:rFonts w:eastAsia="Times New Roman" w:cs="Arial"/>
          <w:color w:val="000000"/>
          <w:lang w:eastAsia="bg-BG"/>
        </w:rPr>
        <w:t>Профилът на нежеланите реакции на леветирацетам е по принцип е подобен при различните възрастови групи и в рамките на одобрените показания, свързани с епилепсията. Резултатите за безопасност при педиатрични пациенти в плацебо-контролирани клинични проучвания са в съответствие с профила на безопасност на леветирацетам при възрастни, с изключение на поведенческите и психични нежелани реакции, които са по-чести при деца отколкото при възрастни. При деца и юноши на възраст от 4 до 16 години, повръщане (много чести 11,2 %), възбуда (чести 3,4 %), промени в настроението (чести 2,1 %), емоционална нестабилност (чести 1,7 %), агресия (чести 8,2 %), необичайно поведение (обща 5,6 %) и летаргия (общи 3,9%) са съобщавани по-често, отколкото в другите възрастови групи или в общия профил на</w:t>
      </w:r>
    </w:p>
    <w:p w14:paraId="5CDDC303" w14:textId="52E848F6" w:rsidR="00F26B25" w:rsidRPr="00F26B25" w:rsidRDefault="00F26B25" w:rsidP="00F26B25">
      <w:pPr>
        <w:rPr>
          <w:rFonts w:eastAsia="Times New Roman" w:cs="Arial"/>
          <w:color w:val="000000"/>
          <w:lang w:eastAsia="bg-BG"/>
        </w:rPr>
      </w:pPr>
      <w:r w:rsidRPr="00F26B25">
        <w:rPr>
          <w:rFonts w:eastAsia="Times New Roman" w:cs="Arial"/>
          <w:color w:val="000000"/>
          <w:lang w:eastAsia="bg-BG"/>
        </w:rPr>
        <w:t>безопасност. При кърмачета и деца на възраст от 1 месец до под 4 години, раздразнителност (много чести 11,7 %) и нарушена координация (чести 3,3 %) са съобщавани по-често, отколкото при другите възрастови групи, или в общия профил на безопасност.</w:t>
      </w:r>
    </w:p>
    <w:p w14:paraId="3443EA26" w14:textId="2C7A730C" w:rsidR="00F26B25" w:rsidRPr="00F26B25" w:rsidRDefault="00F26B25" w:rsidP="00F26B25">
      <w:pPr>
        <w:rPr>
          <w:rFonts w:eastAsia="Times New Roman" w:cs="Arial"/>
          <w:color w:val="000000"/>
          <w:lang w:eastAsia="bg-BG"/>
        </w:rPr>
      </w:pPr>
    </w:p>
    <w:p w14:paraId="42A75CF1" w14:textId="77777777" w:rsidR="00F26B25" w:rsidRPr="00F26B25" w:rsidRDefault="00F26B25" w:rsidP="00F26B25">
      <w:pPr>
        <w:spacing w:line="240" w:lineRule="auto"/>
        <w:rPr>
          <w:rFonts w:eastAsia="Times New Roman" w:cs="Arial"/>
        </w:rPr>
      </w:pPr>
      <w:r w:rsidRPr="00F26B25">
        <w:rPr>
          <w:rFonts w:eastAsia="Times New Roman" w:cs="Arial"/>
          <w:color w:val="000000"/>
          <w:lang w:eastAsia="bg-BG"/>
        </w:rPr>
        <w:t xml:space="preserve">Двойно-сляпо, плацебо контролирано проучване за безопасност при деца с неинфериорен дизайн е оценило когнитивното и невропсихологичното действие на леветирацетам при деца от 4 до 16-годишна възраст с парциални пристъпи. Установено е, че леветирацетам не се различава (не е по-лош) от плацебо по отношение на промяната спрямо изходното ниво на </w:t>
      </w:r>
      <w:r w:rsidRPr="00F26B25">
        <w:rPr>
          <w:rFonts w:eastAsia="Times New Roman" w:cs="Arial"/>
          <w:i/>
          <w:iCs/>
          <w:color w:val="000000"/>
          <w:lang w:val="en-US"/>
        </w:rPr>
        <w:t>Leiter</w:t>
      </w:r>
      <w:r w:rsidRPr="00F26B25">
        <w:rPr>
          <w:rFonts w:eastAsia="Times New Roman" w:cs="Arial"/>
          <w:i/>
          <w:iCs/>
          <w:color w:val="000000"/>
          <w:lang w:val="ru-RU"/>
        </w:rPr>
        <w:t>-</w:t>
      </w:r>
      <w:r w:rsidRPr="00F26B25">
        <w:rPr>
          <w:rFonts w:eastAsia="Times New Roman" w:cs="Arial"/>
          <w:i/>
          <w:iCs/>
          <w:color w:val="000000"/>
          <w:lang w:val="en-US"/>
        </w:rPr>
        <w:t>R</w:t>
      </w:r>
      <w:r w:rsidRPr="00F26B25">
        <w:rPr>
          <w:rFonts w:eastAsia="Times New Roman" w:cs="Arial"/>
          <w:color w:val="000000"/>
          <w:lang w:val="ru-RU"/>
        </w:rPr>
        <w:t xml:space="preserve"> </w:t>
      </w:r>
      <w:r w:rsidRPr="00F26B25">
        <w:rPr>
          <w:rFonts w:eastAsia="Times New Roman" w:cs="Arial"/>
          <w:color w:val="000000"/>
          <w:lang w:eastAsia="bg-BG"/>
        </w:rPr>
        <w:t xml:space="preserve">внимание и памет, комбиниран скор за изследване на паметта в определената в протокола популация. Резултатите, свързани с поведенческата и емоционална функция, са показали влошаване при лекуваните с леветирацетам пациенти по отношение на агресивно поведение, измерено по стандартен и систематизиран метод чрез използване на валидиран способ </w:t>
      </w:r>
      <w:r w:rsidRPr="00F26B25">
        <w:rPr>
          <w:rFonts w:eastAsia="Times New Roman" w:cs="Arial"/>
          <w:color w:val="000000"/>
          <w:lang w:val="ru-RU"/>
        </w:rPr>
        <w:t>(</w:t>
      </w:r>
      <w:r w:rsidRPr="00F26B25">
        <w:rPr>
          <w:rFonts w:eastAsia="Times New Roman" w:cs="Arial"/>
          <w:color w:val="000000"/>
          <w:lang w:val="en-US"/>
        </w:rPr>
        <w:t>CBCL</w:t>
      </w:r>
      <w:r w:rsidRPr="00F26B25">
        <w:rPr>
          <w:rFonts w:eastAsia="Times New Roman" w:cs="Arial"/>
          <w:color w:val="000000"/>
          <w:lang w:val="ru-RU"/>
        </w:rPr>
        <w:t xml:space="preserve"> </w:t>
      </w:r>
      <w:r w:rsidRPr="00F26B25">
        <w:rPr>
          <w:rFonts w:eastAsia="Times New Roman" w:cs="Arial"/>
          <w:color w:val="000000"/>
          <w:lang w:eastAsia="bg-BG"/>
        </w:rPr>
        <w:t xml:space="preserve">- </w:t>
      </w:r>
      <w:r w:rsidRPr="00F26B25">
        <w:rPr>
          <w:rFonts w:eastAsia="Times New Roman" w:cs="Arial"/>
          <w:color w:val="000000"/>
          <w:lang w:val="en-US"/>
        </w:rPr>
        <w:t>Achenbach</w:t>
      </w:r>
      <w:r w:rsidRPr="00F26B25">
        <w:rPr>
          <w:rFonts w:eastAsia="Times New Roman" w:cs="Arial"/>
          <w:color w:val="000000"/>
          <w:lang w:val="ru-RU"/>
        </w:rPr>
        <w:t xml:space="preserve"> </w:t>
      </w:r>
      <w:r w:rsidRPr="00F26B25">
        <w:rPr>
          <w:rFonts w:eastAsia="Times New Roman" w:cs="Arial"/>
          <w:color w:val="000000"/>
          <w:lang w:eastAsia="bg-BG"/>
        </w:rPr>
        <w:t>въпросник за детско поведение). Въпреки това, пациентите, приемали леветирацетам по време на продължително, открито проследяващо проучване, не са показали общо влошаване по отношение на поведението или емоционалната функция; нещо повече, показателите за агресивно поведение не са показали влошаване спрямо изходните стойности.</w:t>
      </w:r>
    </w:p>
    <w:p w14:paraId="6F01046C" w14:textId="77777777" w:rsidR="00F26B25" w:rsidRPr="00F26B25" w:rsidRDefault="00F26B25" w:rsidP="00F26B25">
      <w:pPr>
        <w:spacing w:line="240" w:lineRule="auto"/>
        <w:rPr>
          <w:rFonts w:eastAsia="Times New Roman" w:cs="Arial"/>
          <w:color w:val="000000"/>
          <w:u w:val="single"/>
          <w:lang w:eastAsia="bg-BG"/>
        </w:rPr>
      </w:pPr>
    </w:p>
    <w:p w14:paraId="29A55A7A" w14:textId="7BF13166" w:rsidR="00F26B25" w:rsidRPr="00F26B25" w:rsidRDefault="00F26B25" w:rsidP="00F26B25">
      <w:pPr>
        <w:spacing w:line="240" w:lineRule="auto"/>
        <w:rPr>
          <w:rFonts w:eastAsia="Times New Roman" w:cs="Arial"/>
        </w:rPr>
      </w:pPr>
      <w:r w:rsidRPr="00F26B25">
        <w:rPr>
          <w:rFonts w:eastAsia="Times New Roman" w:cs="Arial"/>
          <w:color w:val="000000"/>
          <w:u w:val="single"/>
          <w:lang w:eastAsia="bg-BG"/>
        </w:rPr>
        <w:t>Съобщаване на подозирани нежелани реакции</w:t>
      </w:r>
    </w:p>
    <w:p w14:paraId="2AE82EAA" w14:textId="77777777" w:rsidR="00F26B25" w:rsidRPr="00F26B25" w:rsidRDefault="00F26B25" w:rsidP="00F26B25">
      <w:pPr>
        <w:spacing w:line="240" w:lineRule="auto"/>
        <w:rPr>
          <w:rFonts w:eastAsia="Times New Roman" w:cs="Arial"/>
          <w:color w:val="000000"/>
          <w:lang w:eastAsia="bg-BG"/>
        </w:rPr>
      </w:pPr>
    </w:p>
    <w:p w14:paraId="478CB464" w14:textId="15139281" w:rsidR="00F26B25" w:rsidRPr="00F26B25" w:rsidRDefault="00F26B25" w:rsidP="00F26B25">
      <w:pPr>
        <w:spacing w:line="240" w:lineRule="auto"/>
        <w:rPr>
          <w:rFonts w:eastAsia="Times New Roman" w:cs="Arial"/>
        </w:rPr>
      </w:pPr>
      <w:r w:rsidRPr="00F26B25">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02 8903417, уебсайт: </w:t>
      </w:r>
      <w:r w:rsidRPr="00F26B25">
        <w:rPr>
          <w:rFonts w:eastAsia="Times New Roman" w:cs="Arial"/>
        </w:rPr>
        <w:fldChar w:fldCharType="begin"/>
      </w:r>
      <w:r w:rsidRPr="00F26B25">
        <w:rPr>
          <w:rFonts w:eastAsia="Times New Roman" w:cs="Arial"/>
        </w:rPr>
        <w:instrText xml:space="preserve"> HYPERLINK "http://www.bda.bg" </w:instrText>
      </w:r>
      <w:r w:rsidRPr="00F26B25">
        <w:rPr>
          <w:rFonts w:eastAsia="Times New Roman" w:cs="Arial"/>
        </w:rPr>
      </w:r>
      <w:r w:rsidRPr="00F26B25">
        <w:rPr>
          <w:rFonts w:eastAsia="Times New Roman" w:cs="Arial"/>
        </w:rPr>
        <w:fldChar w:fldCharType="separate"/>
      </w:r>
      <w:r w:rsidRPr="00F26B25">
        <w:rPr>
          <w:rFonts w:eastAsia="Times New Roman" w:cs="Arial"/>
          <w:color w:val="000000"/>
          <w:lang w:val="en-US"/>
        </w:rPr>
        <w:t>www.bda.bg</w:t>
      </w:r>
      <w:r w:rsidRPr="00F26B25">
        <w:rPr>
          <w:rFonts w:eastAsia="Times New Roman" w:cs="Arial"/>
        </w:rPr>
        <w:fldChar w:fldCharType="end"/>
      </w:r>
      <w:r w:rsidRPr="00F26B25">
        <w:rPr>
          <w:rFonts w:eastAsia="Times New Roman" w:cs="Arial"/>
          <w:color w:val="000000"/>
          <w:lang w:val="en-US"/>
        </w:rPr>
        <w:t>.</w:t>
      </w:r>
    </w:p>
    <w:p w14:paraId="709C5285" w14:textId="77777777" w:rsidR="00F26B25" w:rsidRPr="00F26B25" w:rsidRDefault="00F26B25" w:rsidP="00F26B25"/>
    <w:p w14:paraId="5A87DBA3" w14:textId="78CD9E2E" w:rsidR="007122AD" w:rsidRDefault="002C50EE" w:rsidP="00936AD0">
      <w:pPr>
        <w:pStyle w:val="Heading2"/>
      </w:pPr>
      <w:r>
        <w:t>4.9. Предозиране</w:t>
      </w:r>
    </w:p>
    <w:p w14:paraId="033A3D21" w14:textId="6C47DC8C" w:rsidR="00F26B25" w:rsidRDefault="00F26B25" w:rsidP="00F26B25"/>
    <w:p w14:paraId="4520B973" w14:textId="77777777" w:rsidR="00F26B25" w:rsidRPr="00F26B25" w:rsidRDefault="00F26B25" w:rsidP="00F26B25">
      <w:pPr>
        <w:pStyle w:val="Heading3"/>
        <w:rPr>
          <w:rFonts w:eastAsia="Times New Roman"/>
          <w:u w:val="single"/>
        </w:rPr>
      </w:pPr>
      <w:r w:rsidRPr="00F26B25">
        <w:rPr>
          <w:rFonts w:eastAsia="Times New Roman"/>
          <w:u w:val="single"/>
          <w:lang w:eastAsia="bg-BG"/>
        </w:rPr>
        <w:t>Симптоми</w:t>
      </w:r>
    </w:p>
    <w:p w14:paraId="5D607A3A" w14:textId="77777777" w:rsidR="00F26B25" w:rsidRPr="00F26B25" w:rsidRDefault="00F26B25" w:rsidP="00F26B25">
      <w:pPr>
        <w:spacing w:line="240" w:lineRule="auto"/>
        <w:rPr>
          <w:rFonts w:eastAsia="Times New Roman" w:cs="Arial"/>
          <w:color w:val="000000"/>
          <w:lang w:eastAsia="bg-BG"/>
        </w:rPr>
      </w:pPr>
    </w:p>
    <w:p w14:paraId="13773BA2" w14:textId="3B80F5BF"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Сомнолентност, тревожност, агресия, потиснато съзнание, потискане на дишането и кома са били наблюдавани при предозиране на леветирацетам.</w:t>
      </w:r>
    </w:p>
    <w:p w14:paraId="02F992CA" w14:textId="77777777" w:rsidR="00F26B25" w:rsidRPr="00F26B25" w:rsidRDefault="00F26B25" w:rsidP="00F26B25">
      <w:pPr>
        <w:spacing w:line="240" w:lineRule="auto"/>
        <w:rPr>
          <w:rFonts w:eastAsia="Times New Roman" w:cs="Arial"/>
          <w:color w:val="000000"/>
          <w:u w:val="single"/>
          <w:lang w:eastAsia="bg-BG"/>
        </w:rPr>
      </w:pPr>
    </w:p>
    <w:p w14:paraId="60377AEF" w14:textId="4317CBFD" w:rsidR="00F26B25" w:rsidRPr="00F26B25" w:rsidRDefault="00F26B25" w:rsidP="00F26B25">
      <w:pPr>
        <w:pStyle w:val="Heading3"/>
        <w:rPr>
          <w:rFonts w:eastAsia="Times New Roman"/>
          <w:u w:val="single"/>
        </w:rPr>
      </w:pPr>
      <w:r w:rsidRPr="00F26B25">
        <w:rPr>
          <w:rFonts w:eastAsia="Times New Roman"/>
          <w:u w:val="single"/>
          <w:lang w:eastAsia="bg-BG"/>
        </w:rPr>
        <w:t>Лечение</w:t>
      </w:r>
    </w:p>
    <w:p w14:paraId="48D589E4" w14:textId="77777777" w:rsidR="00F26B25" w:rsidRPr="00F26B25" w:rsidRDefault="00F26B25" w:rsidP="00F26B25">
      <w:pPr>
        <w:spacing w:line="240" w:lineRule="auto"/>
        <w:rPr>
          <w:rFonts w:eastAsia="Times New Roman" w:cs="Arial"/>
          <w:color w:val="000000"/>
          <w:lang w:eastAsia="bg-BG"/>
        </w:rPr>
      </w:pPr>
    </w:p>
    <w:p w14:paraId="4B740ECC" w14:textId="391040E0"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lastRenderedPageBreak/>
        <w:t>След остро предозиране е необходимо изпразване на стомаха чрез стомашна промивка или предизвикване на повръщане. Няма специфичен антидот на леветирацетам. Лечението при предозиране е симптоматично и може да включва хемодиализа. Ефективността на диализата е 60 % за леветирацета</w:t>
      </w:r>
      <w:r>
        <w:rPr>
          <w:rFonts w:eastAsia="Times New Roman" w:cs="Arial"/>
          <w:color w:val="000000"/>
          <w:lang w:eastAsia="bg-BG"/>
        </w:rPr>
        <w:t>м и 74 % за първичния метаболит.</w:t>
      </w:r>
    </w:p>
    <w:p w14:paraId="1BE4E498" w14:textId="77777777" w:rsidR="00F26B25" w:rsidRPr="00F26B25" w:rsidRDefault="00F26B25" w:rsidP="00F26B25"/>
    <w:p w14:paraId="02081B24" w14:textId="1F46E296" w:rsidR="00395555" w:rsidRPr="00395555" w:rsidRDefault="002C50EE" w:rsidP="008A6AF2">
      <w:pPr>
        <w:pStyle w:val="Heading1"/>
      </w:pPr>
      <w:r>
        <w:t>5. ФАРМАКОЛОГИЧНИ СВОЙСТВА</w:t>
      </w:r>
    </w:p>
    <w:p w14:paraId="7DE36AC8" w14:textId="69BDFAFB" w:rsidR="00B6672E" w:rsidRDefault="002C50EE" w:rsidP="00936AD0">
      <w:pPr>
        <w:pStyle w:val="Heading2"/>
      </w:pPr>
      <w:r>
        <w:t>5.1. Фармакодинамични свойства</w:t>
      </w:r>
    </w:p>
    <w:p w14:paraId="38525443" w14:textId="49776974" w:rsidR="00F26B25" w:rsidRDefault="00F26B25" w:rsidP="00F26B25"/>
    <w:p w14:paraId="5A4AEB12"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Фармакотерапевтична група</w:t>
      </w:r>
      <w:r w:rsidRPr="00F26B25">
        <w:rPr>
          <w:rFonts w:eastAsia="Times New Roman" w:cs="Arial"/>
          <w:color w:val="000000"/>
          <w:lang w:eastAsia="bg-BG"/>
        </w:rPr>
        <w:t xml:space="preserve">: Антиепилептични средства, други антиепилептични средства, АТСкод: </w:t>
      </w:r>
      <w:r w:rsidRPr="00F26B25">
        <w:rPr>
          <w:rFonts w:eastAsia="Times New Roman" w:cs="Arial"/>
          <w:color w:val="000000"/>
          <w:lang w:val="en-US"/>
        </w:rPr>
        <w:t>N</w:t>
      </w:r>
      <w:r w:rsidRPr="00F26B25">
        <w:rPr>
          <w:rFonts w:eastAsia="Times New Roman" w:cs="Arial"/>
          <w:color w:val="000000"/>
          <w:lang w:val="ru-RU"/>
        </w:rPr>
        <w:t>03</w:t>
      </w:r>
      <w:r w:rsidRPr="00F26B25">
        <w:rPr>
          <w:rFonts w:eastAsia="Times New Roman" w:cs="Arial"/>
          <w:color w:val="000000"/>
          <w:lang w:val="en-US"/>
        </w:rPr>
        <w:t>AX</w:t>
      </w:r>
      <w:r w:rsidRPr="00F26B25">
        <w:rPr>
          <w:rFonts w:eastAsia="Times New Roman" w:cs="Arial"/>
          <w:color w:val="000000"/>
          <w:lang w:val="ru-RU"/>
        </w:rPr>
        <w:t>14.</w:t>
      </w:r>
    </w:p>
    <w:p w14:paraId="347FB9AB" w14:textId="77777777" w:rsidR="00F26B25" w:rsidRPr="00F26B25" w:rsidRDefault="00F26B25" w:rsidP="00F26B25">
      <w:pPr>
        <w:spacing w:line="240" w:lineRule="auto"/>
        <w:rPr>
          <w:rFonts w:eastAsia="Times New Roman" w:cs="Arial"/>
          <w:color w:val="000000"/>
          <w:lang w:eastAsia="bg-BG"/>
        </w:rPr>
      </w:pPr>
    </w:p>
    <w:p w14:paraId="07290708" w14:textId="138A1CCE"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Активното вещество леветирацетам е пиролидоново производно </w:t>
      </w:r>
      <w:r w:rsidRPr="00F26B25">
        <w:rPr>
          <w:rFonts w:eastAsia="Times New Roman" w:cs="Arial"/>
          <w:color w:val="000000"/>
          <w:lang w:val="ru-RU"/>
        </w:rPr>
        <w:t>(</w:t>
      </w:r>
      <w:r w:rsidRPr="00F26B25">
        <w:rPr>
          <w:rFonts w:eastAsia="Times New Roman" w:cs="Arial"/>
          <w:color w:val="000000"/>
          <w:lang w:val="en-US"/>
        </w:rPr>
        <w:t>S</w:t>
      </w:r>
      <w:r w:rsidRPr="00F26B25">
        <w:rPr>
          <w:rFonts w:eastAsia="Times New Roman" w:cs="Arial"/>
          <w:color w:val="000000"/>
          <w:lang w:eastAsia="bg-BG"/>
        </w:rPr>
        <w:t>-енантиомер на α-етил-2-оксо-1 -пиролидин ацетамид), химично несвързан със съществуващите антиепилептични средства.</w:t>
      </w:r>
    </w:p>
    <w:p w14:paraId="769EAF67" w14:textId="77777777" w:rsidR="00F26B25" w:rsidRPr="00F26B25" w:rsidRDefault="00F26B25" w:rsidP="00F26B25">
      <w:pPr>
        <w:spacing w:line="240" w:lineRule="auto"/>
        <w:rPr>
          <w:rFonts w:eastAsia="Times New Roman" w:cs="Arial"/>
          <w:color w:val="000000"/>
          <w:u w:val="single"/>
          <w:lang w:eastAsia="bg-BG"/>
        </w:rPr>
      </w:pPr>
    </w:p>
    <w:p w14:paraId="4BFF6A30" w14:textId="08C7DE10"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Механизъм на действие</w:t>
      </w:r>
    </w:p>
    <w:p w14:paraId="0398AF4F" w14:textId="77777777" w:rsidR="00F26B25" w:rsidRPr="00F26B25" w:rsidRDefault="00F26B25" w:rsidP="00F26B25">
      <w:pPr>
        <w:spacing w:line="240" w:lineRule="auto"/>
        <w:rPr>
          <w:rFonts w:eastAsia="Times New Roman" w:cs="Arial"/>
          <w:color w:val="000000"/>
          <w:lang w:eastAsia="bg-BG"/>
        </w:rPr>
      </w:pPr>
    </w:p>
    <w:p w14:paraId="20999AB1" w14:textId="40BBE6F9"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Механизмът на действие на леветирацетам все още не е напълно изяснен. </w:t>
      </w:r>
      <w:r w:rsidRPr="00F26B25">
        <w:rPr>
          <w:rFonts w:eastAsia="Times New Roman" w:cs="Arial"/>
          <w:i/>
          <w:iCs/>
          <w:color w:val="000000"/>
          <w:lang w:val="en-US"/>
        </w:rPr>
        <w:t>In</w:t>
      </w:r>
      <w:r w:rsidRPr="00F26B25">
        <w:rPr>
          <w:rFonts w:eastAsia="Times New Roman" w:cs="Arial"/>
          <w:i/>
          <w:iCs/>
          <w:color w:val="000000"/>
          <w:lang w:val="ru-RU"/>
        </w:rPr>
        <w:t xml:space="preserve"> </w:t>
      </w:r>
      <w:r w:rsidRPr="00F26B25">
        <w:rPr>
          <w:rFonts w:eastAsia="Times New Roman" w:cs="Arial"/>
          <w:i/>
          <w:iCs/>
          <w:color w:val="000000"/>
          <w:lang w:val="en-US"/>
        </w:rPr>
        <w:t>vitro</w:t>
      </w:r>
      <w:r w:rsidRPr="00F26B25">
        <w:rPr>
          <w:rFonts w:eastAsia="Times New Roman" w:cs="Arial"/>
          <w:i/>
          <w:iCs/>
          <w:color w:val="000000"/>
          <w:lang w:val="ru-RU"/>
        </w:rPr>
        <w:t xml:space="preserve"> </w:t>
      </w:r>
      <w:r w:rsidRPr="00F26B25">
        <w:rPr>
          <w:rFonts w:eastAsia="Times New Roman" w:cs="Arial"/>
          <w:i/>
          <w:iCs/>
          <w:color w:val="000000"/>
          <w:lang w:eastAsia="bg-BG"/>
        </w:rPr>
        <w:t xml:space="preserve">и </w:t>
      </w:r>
      <w:r w:rsidRPr="00F26B25">
        <w:rPr>
          <w:rFonts w:eastAsia="Times New Roman" w:cs="Arial"/>
          <w:i/>
          <w:iCs/>
          <w:color w:val="000000"/>
          <w:lang w:val="en-US"/>
        </w:rPr>
        <w:t>in</w:t>
      </w:r>
      <w:r w:rsidRPr="00F26B25">
        <w:rPr>
          <w:rFonts w:eastAsia="Times New Roman" w:cs="Arial"/>
          <w:i/>
          <w:iCs/>
          <w:color w:val="000000"/>
          <w:lang w:val="ru-RU"/>
        </w:rPr>
        <w:t xml:space="preserve"> </w:t>
      </w:r>
      <w:r w:rsidRPr="00F26B25">
        <w:rPr>
          <w:rFonts w:eastAsia="Times New Roman" w:cs="Arial"/>
          <w:i/>
          <w:iCs/>
          <w:color w:val="000000"/>
          <w:lang w:val="en-US"/>
        </w:rPr>
        <w:t>vivo</w:t>
      </w:r>
      <w:r w:rsidRPr="00F26B25">
        <w:rPr>
          <w:rFonts w:eastAsia="Times New Roman" w:cs="Arial"/>
          <w:color w:val="000000"/>
          <w:lang w:eastAsia="bg-BG"/>
        </w:rPr>
        <w:t xml:space="preserve"> опитите показват, че леветирацетам не променя основните характеристики на</w:t>
      </w:r>
      <w:r w:rsidRPr="00F26B25">
        <w:rPr>
          <w:rFonts w:eastAsia="Times New Roman" w:cs="Arial"/>
          <w:color w:val="000000"/>
          <w:lang w:val="ru-RU"/>
        </w:rPr>
        <w:t xml:space="preserve"> </w:t>
      </w:r>
      <w:r w:rsidRPr="00F26B25">
        <w:rPr>
          <w:rFonts w:eastAsia="Times New Roman" w:cs="Arial"/>
          <w:color w:val="000000"/>
          <w:lang w:eastAsia="bg-BG"/>
        </w:rPr>
        <w:t>клетката, като и нормалнатаневротрансмисия.</w:t>
      </w:r>
    </w:p>
    <w:p w14:paraId="75C0AECC" w14:textId="77777777" w:rsidR="00F26B25" w:rsidRPr="00F26B25" w:rsidRDefault="00F26B25" w:rsidP="00F26B25">
      <w:pPr>
        <w:rPr>
          <w:rFonts w:eastAsia="Times New Roman" w:cs="Arial"/>
          <w:sz w:val="24"/>
          <w:szCs w:val="24"/>
        </w:rPr>
      </w:pPr>
      <w:r w:rsidRPr="00F26B25">
        <w:rPr>
          <w:rFonts w:eastAsia="Times New Roman" w:cs="Arial"/>
          <w:i/>
          <w:iCs/>
          <w:color w:val="000000"/>
          <w:lang w:val="en-US"/>
        </w:rPr>
        <w:t>In</w:t>
      </w:r>
      <w:r w:rsidRPr="00F26B25">
        <w:rPr>
          <w:rFonts w:eastAsia="Times New Roman" w:cs="Arial"/>
          <w:i/>
          <w:iCs/>
          <w:color w:val="000000"/>
          <w:lang w:val="ru-RU"/>
        </w:rPr>
        <w:t xml:space="preserve"> </w:t>
      </w:r>
      <w:r w:rsidRPr="00F26B25">
        <w:rPr>
          <w:rFonts w:eastAsia="Times New Roman" w:cs="Arial"/>
          <w:i/>
          <w:iCs/>
          <w:color w:val="000000"/>
          <w:lang w:val="en-US"/>
        </w:rPr>
        <w:t>vitro</w:t>
      </w:r>
      <w:r w:rsidRPr="00F26B25">
        <w:rPr>
          <w:rFonts w:eastAsia="Times New Roman" w:cs="Arial"/>
          <w:color w:val="000000"/>
          <w:lang w:val="ru-RU"/>
        </w:rPr>
        <w:t xml:space="preserve"> </w:t>
      </w:r>
      <w:r w:rsidRPr="00F26B25">
        <w:rPr>
          <w:rFonts w:eastAsia="Times New Roman" w:cs="Arial"/>
          <w:color w:val="000000"/>
          <w:lang w:eastAsia="bg-BG"/>
        </w:rPr>
        <w:t xml:space="preserve">проучвания показват, че леветирацетам въздейства върху интраневронните нива на </w:t>
      </w:r>
      <w:r w:rsidRPr="00F26B25">
        <w:rPr>
          <w:rFonts w:eastAsia="Times New Roman" w:cs="Arial"/>
          <w:color w:val="000000"/>
          <w:lang w:val="en-US"/>
        </w:rPr>
        <w:t>Ca</w:t>
      </w:r>
      <w:r w:rsidRPr="00F26B25">
        <w:rPr>
          <w:rFonts w:eastAsia="Times New Roman" w:cs="Arial"/>
          <w:color w:val="000000"/>
          <w:vertAlign w:val="superscript"/>
          <w:lang w:val="ru-RU"/>
        </w:rPr>
        <w:t>2+</w:t>
      </w:r>
      <w:r w:rsidRPr="00F26B25">
        <w:rPr>
          <w:rFonts w:eastAsia="Times New Roman" w:cs="Arial"/>
          <w:color w:val="000000"/>
          <w:lang w:eastAsia="bg-BG"/>
        </w:rPr>
        <w:t xml:space="preserve"> чрез частично инхибиране на </w:t>
      </w:r>
      <w:r w:rsidRPr="00F26B25">
        <w:rPr>
          <w:rFonts w:eastAsia="Times New Roman" w:cs="Arial"/>
          <w:color w:val="000000"/>
          <w:lang w:val="en-US"/>
        </w:rPr>
        <w:t>N</w:t>
      </w:r>
      <w:r w:rsidRPr="00F26B25">
        <w:rPr>
          <w:rFonts w:eastAsia="Times New Roman" w:cs="Arial"/>
          <w:color w:val="000000"/>
          <w:lang w:eastAsia="bg-BG"/>
        </w:rPr>
        <w:t>-тип Са</w:t>
      </w:r>
      <w:r w:rsidRPr="00F26B25">
        <w:rPr>
          <w:rFonts w:eastAsia="Times New Roman" w:cs="Arial"/>
          <w:color w:val="000000"/>
          <w:vertAlign w:val="superscript"/>
          <w:lang w:eastAsia="bg-BG"/>
        </w:rPr>
        <w:t>2+</w:t>
      </w:r>
      <w:r w:rsidRPr="00F26B25">
        <w:rPr>
          <w:rFonts w:eastAsia="Times New Roman" w:cs="Arial"/>
          <w:color w:val="000000"/>
          <w:lang w:eastAsia="bg-BG"/>
        </w:rPr>
        <w:t xml:space="preserve"> каналчета, както и чрез редуциране освобождаването на Са</w:t>
      </w:r>
      <w:r w:rsidRPr="00F26B25">
        <w:rPr>
          <w:rFonts w:eastAsia="Times New Roman" w:cs="Arial"/>
          <w:color w:val="000000"/>
          <w:vertAlign w:val="superscript"/>
          <w:lang w:eastAsia="bg-BG"/>
        </w:rPr>
        <w:t>2+</w:t>
      </w:r>
      <w:r w:rsidRPr="00F26B25">
        <w:rPr>
          <w:rFonts w:eastAsia="Times New Roman" w:cs="Arial"/>
          <w:color w:val="000000"/>
          <w:lang w:eastAsia="bg-BG"/>
        </w:rPr>
        <w:t xml:space="preserve"> от интраневронните депа. В допълнение, той частично възстановява редукцията на потока в </w:t>
      </w:r>
      <w:r w:rsidRPr="00F26B25">
        <w:rPr>
          <w:rFonts w:eastAsia="Times New Roman" w:cs="Arial"/>
          <w:color w:val="000000"/>
          <w:lang w:val="en-US"/>
        </w:rPr>
        <w:t>GABA</w:t>
      </w:r>
      <w:r w:rsidRPr="00F26B25">
        <w:rPr>
          <w:rFonts w:eastAsia="Times New Roman" w:cs="Arial"/>
          <w:color w:val="000000"/>
          <w:lang w:val="ru-RU"/>
        </w:rPr>
        <w:t xml:space="preserve">- </w:t>
      </w:r>
      <w:r w:rsidRPr="00F26B25">
        <w:rPr>
          <w:rFonts w:eastAsia="Times New Roman" w:cs="Arial"/>
          <w:color w:val="000000"/>
          <w:lang w:eastAsia="bg-BG"/>
        </w:rPr>
        <w:t>и глицин- зависимите каналчета, предизвикана от цинк и</w:t>
      </w:r>
      <w:r w:rsidRPr="00F26B25">
        <w:rPr>
          <w:rFonts w:eastAsia="Times New Roman" w:cs="Arial"/>
          <w:color w:val="000000"/>
          <w:lang w:val="ru-RU"/>
        </w:rPr>
        <w:t xml:space="preserve"> </w:t>
      </w:r>
      <w:r w:rsidRPr="00F26B25">
        <w:rPr>
          <w:rFonts w:eastAsia="Times New Roman" w:cs="Arial"/>
          <w:color w:val="000000"/>
          <w:lang w:eastAsia="bg-BG"/>
        </w:rPr>
        <w:t xml:space="preserve">β-карболини. Нещо повече, в </w:t>
      </w:r>
      <w:r w:rsidRPr="00F26B25">
        <w:rPr>
          <w:rFonts w:eastAsia="Times New Roman" w:cs="Arial"/>
          <w:i/>
          <w:iCs/>
          <w:color w:val="000000"/>
          <w:lang w:val="en-US"/>
        </w:rPr>
        <w:t>in</w:t>
      </w:r>
      <w:r w:rsidRPr="00F26B25">
        <w:rPr>
          <w:rFonts w:eastAsia="Times New Roman" w:cs="Arial"/>
          <w:i/>
          <w:iCs/>
          <w:color w:val="000000"/>
          <w:lang w:val="ru-RU"/>
        </w:rPr>
        <w:t xml:space="preserve"> </w:t>
      </w:r>
      <w:r w:rsidRPr="00F26B25">
        <w:rPr>
          <w:rFonts w:eastAsia="Times New Roman" w:cs="Arial"/>
          <w:i/>
          <w:iCs/>
          <w:color w:val="000000"/>
          <w:lang w:val="en-US"/>
        </w:rPr>
        <w:t>vitro</w:t>
      </w:r>
      <w:r w:rsidRPr="00F26B25">
        <w:rPr>
          <w:rFonts w:eastAsia="Times New Roman" w:cs="Arial"/>
          <w:color w:val="000000"/>
          <w:lang w:val="ru-RU"/>
        </w:rPr>
        <w:t xml:space="preserve"> </w:t>
      </w:r>
      <w:r w:rsidRPr="00F26B25">
        <w:rPr>
          <w:rFonts w:eastAsia="Times New Roman" w:cs="Arial"/>
          <w:color w:val="000000"/>
          <w:lang w:eastAsia="bg-BG"/>
        </w:rPr>
        <w:t>проучвания е доказано, че леветирацетам се свързва към специфични места в мозъчната тъкан на гризачи. Това място на свързване е намиращия се в синаптичните везикули протеин 2А, за който се смята, че участва във везикулната фузия и невротрансмитерната екзоцитоза. Леветирацетам и неговите аналози показват изявен афинитет към свързване с намиращия се в синаптичните везикули протеин 2А, което от своя страна е във връзка с тяхното действие срещу пристъпите в аудиогенни модели на епилепсия при мишки. Тези резултати предполагат, че взаимодействието между леветирацетам и намиращия се в синаптичните везикули протеин 2А подпомага антиепилептичния механизъм на действие на лекарствения продукт.</w:t>
      </w:r>
    </w:p>
    <w:p w14:paraId="0A432D03" w14:textId="77777777" w:rsidR="00F26B25" w:rsidRPr="00F26B25" w:rsidRDefault="00F26B25" w:rsidP="00F26B25">
      <w:pPr>
        <w:spacing w:line="240" w:lineRule="auto"/>
        <w:rPr>
          <w:rFonts w:eastAsia="Times New Roman" w:cs="Arial"/>
          <w:color w:val="000000"/>
          <w:u w:val="single"/>
          <w:lang w:eastAsia="bg-BG"/>
        </w:rPr>
      </w:pPr>
    </w:p>
    <w:p w14:paraId="7BFEC95B" w14:textId="5BDEB7EF"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Фармакодинамични ефекти</w:t>
      </w:r>
    </w:p>
    <w:p w14:paraId="1A262AA3" w14:textId="77777777" w:rsidR="00F26B25" w:rsidRPr="00F26B25" w:rsidRDefault="00F26B25" w:rsidP="00F26B25">
      <w:pPr>
        <w:spacing w:line="240" w:lineRule="auto"/>
        <w:rPr>
          <w:rFonts w:eastAsia="Times New Roman" w:cs="Arial"/>
          <w:color w:val="000000"/>
          <w:lang w:eastAsia="bg-BG"/>
        </w:rPr>
      </w:pPr>
    </w:p>
    <w:p w14:paraId="787FB4FF" w14:textId="4E226FC1"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Леветирацетам предпазва от парциални и първично генерализирани пристъпи при широк кръг животински модели без да има проконвулсивен ефект. Първичният метаболит е неактивен. При хора, активността по отношение както на парциалните, така и на генерализираните епилептични състояния (епилептиформно освобождаване/фотопароксизмален отговор) потвърждава широкия фармакологичен спектър на леветирацетам.</w:t>
      </w:r>
    </w:p>
    <w:p w14:paraId="091FE6A7" w14:textId="77777777" w:rsidR="00F26B25" w:rsidRPr="00F26B25" w:rsidRDefault="00F26B25" w:rsidP="00F26B25">
      <w:pPr>
        <w:spacing w:line="240" w:lineRule="auto"/>
        <w:rPr>
          <w:rFonts w:eastAsia="Times New Roman" w:cs="Arial"/>
          <w:color w:val="000000"/>
          <w:u w:val="single"/>
          <w:lang w:eastAsia="bg-BG"/>
        </w:rPr>
      </w:pPr>
    </w:p>
    <w:p w14:paraId="564F8E1A" w14:textId="453E7BCB"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Клинична ефикасност и безопасност</w:t>
      </w:r>
    </w:p>
    <w:p w14:paraId="623F64FB" w14:textId="77777777" w:rsidR="00F26B25" w:rsidRPr="00F26B25" w:rsidRDefault="00F26B25" w:rsidP="00F26B25">
      <w:pPr>
        <w:spacing w:line="240" w:lineRule="auto"/>
        <w:rPr>
          <w:rFonts w:eastAsia="Times New Roman" w:cs="Arial"/>
          <w:i/>
          <w:iCs/>
          <w:color w:val="000000"/>
          <w:lang w:eastAsia="bg-BG"/>
        </w:rPr>
      </w:pPr>
    </w:p>
    <w:p w14:paraId="450B51D6" w14:textId="27E04838" w:rsidR="00F26B25" w:rsidRPr="00F26B25" w:rsidRDefault="00F26B25" w:rsidP="00F26B25">
      <w:pPr>
        <w:spacing w:line="240" w:lineRule="auto"/>
        <w:rPr>
          <w:rFonts w:eastAsia="Times New Roman" w:cs="Arial"/>
          <w:sz w:val="24"/>
          <w:szCs w:val="24"/>
        </w:rPr>
      </w:pPr>
      <w:r w:rsidRPr="00F26B25">
        <w:rPr>
          <w:rFonts w:eastAsia="Times New Roman" w:cs="Arial"/>
          <w:i/>
          <w:iCs/>
          <w:color w:val="000000"/>
          <w:lang w:eastAsia="bg-BG"/>
        </w:rPr>
        <w:t>Допълващо лечение на парциални пристъпи със или без вторична генерализация при възрастни, юноши, деца и кърмачета на 1 месец и повече с епилепсия:</w:t>
      </w:r>
    </w:p>
    <w:p w14:paraId="0BB6DC87" w14:textId="77777777" w:rsidR="00F26B25" w:rsidRPr="00F26B25" w:rsidRDefault="00F26B25" w:rsidP="00F26B25">
      <w:pPr>
        <w:spacing w:line="240" w:lineRule="auto"/>
        <w:rPr>
          <w:rFonts w:eastAsia="Times New Roman" w:cs="Arial"/>
          <w:color w:val="000000"/>
          <w:lang w:eastAsia="bg-BG"/>
        </w:rPr>
      </w:pPr>
    </w:p>
    <w:p w14:paraId="5E4F6924" w14:textId="3511ECD1"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При възрастни, ефикасността на леветирацетам е доказана в 3 двойно-слепи, плацебо- контролирани проучвания с дози от 1 000 </w:t>
      </w:r>
      <w:r w:rsidRPr="00F26B25">
        <w:rPr>
          <w:rFonts w:eastAsia="Times New Roman" w:cs="Arial"/>
          <w:color w:val="000000"/>
          <w:lang w:val="en-US"/>
        </w:rPr>
        <w:t>mg</w:t>
      </w:r>
      <w:r w:rsidRPr="00F26B25">
        <w:rPr>
          <w:rFonts w:eastAsia="Times New Roman" w:cs="Arial"/>
          <w:color w:val="000000"/>
          <w:lang w:val="ru-RU"/>
        </w:rPr>
        <w:t xml:space="preserve">, </w:t>
      </w:r>
      <w:r w:rsidRPr="00F26B25">
        <w:rPr>
          <w:rFonts w:eastAsia="Times New Roman" w:cs="Arial"/>
          <w:color w:val="000000"/>
          <w:lang w:eastAsia="bg-BG"/>
        </w:rPr>
        <w:t xml:space="preserve">2 000 </w:t>
      </w:r>
      <w:r w:rsidRPr="00F26B25">
        <w:rPr>
          <w:rFonts w:eastAsia="Times New Roman" w:cs="Arial"/>
          <w:color w:val="000000"/>
          <w:lang w:val="en-US"/>
        </w:rPr>
        <w:t>mg</w:t>
      </w:r>
      <w:r w:rsidRPr="00F26B25">
        <w:rPr>
          <w:rFonts w:eastAsia="Times New Roman" w:cs="Arial"/>
          <w:color w:val="000000"/>
          <w:lang w:val="ru-RU"/>
        </w:rPr>
        <w:t xml:space="preserve"> </w:t>
      </w:r>
      <w:r w:rsidRPr="00F26B25">
        <w:rPr>
          <w:rFonts w:eastAsia="Times New Roman" w:cs="Arial"/>
          <w:color w:val="000000"/>
          <w:lang w:eastAsia="bg-BG"/>
        </w:rPr>
        <w:t xml:space="preserve">или 3 000 </w:t>
      </w:r>
      <w:r w:rsidRPr="00F26B25">
        <w:rPr>
          <w:rFonts w:eastAsia="Times New Roman" w:cs="Arial"/>
          <w:color w:val="000000"/>
          <w:lang w:val="en-US"/>
        </w:rPr>
        <w:t>mg</w:t>
      </w:r>
      <w:r w:rsidRPr="00F26B25">
        <w:rPr>
          <w:rFonts w:eastAsia="Times New Roman" w:cs="Arial"/>
          <w:color w:val="000000"/>
          <w:lang w:eastAsia="bg-BG"/>
        </w:rPr>
        <w:t xml:space="preserve">/ден, прилагани като 2 отделни дози с продължителност на лечението до 18 седмици. При сборния анализ, процентът на пациентите, достигнали 50 % или по-голямо понижение спрямо изходното ниво на честотата на парциалните пристъпи за седмица при постоянна доза (12/14 седмици), е 27,7 %, 31,6 % и 41,3% при пациенти, приемащи 1 000,2 000 или 3 000 </w:t>
      </w:r>
      <w:r w:rsidRPr="00F26B25">
        <w:rPr>
          <w:rFonts w:eastAsia="Times New Roman" w:cs="Arial"/>
          <w:color w:val="000000"/>
          <w:lang w:val="en-US"/>
        </w:rPr>
        <w:t>mg</w:t>
      </w:r>
      <w:r w:rsidRPr="00F26B25">
        <w:rPr>
          <w:rFonts w:eastAsia="Times New Roman" w:cs="Arial"/>
          <w:color w:val="000000"/>
          <w:lang w:val="ru-RU"/>
        </w:rPr>
        <w:t xml:space="preserve"> </w:t>
      </w:r>
      <w:r w:rsidRPr="00F26B25">
        <w:rPr>
          <w:rFonts w:eastAsia="Times New Roman" w:cs="Arial"/>
          <w:color w:val="000000"/>
          <w:lang w:eastAsia="bg-BG"/>
        </w:rPr>
        <w:t>леветирацетам, и съответно 12,6 % за пациентите, приемащи плацебо.</w:t>
      </w:r>
    </w:p>
    <w:p w14:paraId="33862E2B" w14:textId="77777777" w:rsidR="00F26B25" w:rsidRPr="00F26B25" w:rsidRDefault="00F26B25" w:rsidP="00F26B25">
      <w:pPr>
        <w:spacing w:line="240" w:lineRule="auto"/>
        <w:rPr>
          <w:rFonts w:eastAsia="Times New Roman" w:cs="Arial"/>
          <w:color w:val="000000"/>
          <w:u w:val="single"/>
          <w:lang w:eastAsia="bg-BG"/>
        </w:rPr>
      </w:pPr>
    </w:p>
    <w:p w14:paraId="27816139" w14:textId="0136EF47" w:rsidR="00F26B25" w:rsidRPr="00F26B25" w:rsidRDefault="00F26B25" w:rsidP="00F26B25">
      <w:pPr>
        <w:spacing w:line="240" w:lineRule="auto"/>
        <w:rPr>
          <w:rFonts w:eastAsia="Times New Roman" w:cs="Arial"/>
          <w:sz w:val="24"/>
          <w:szCs w:val="24"/>
        </w:rPr>
      </w:pPr>
      <w:r w:rsidRPr="00F26B25">
        <w:rPr>
          <w:rFonts w:eastAsia="Times New Roman" w:cs="Arial"/>
          <w:color w:val="000000"/>
          <w:u w:val="single"/>
          <w:lang w:eastAsia="bg-BG"/>
        </w:rPr>
        <w:t>Педиатрична популация</w:t>
      </w:r>
    </w:p>
    <w:p w14:paraId="20293BDE" w14:textId="77777777" w:rsidR="00F26B25" w:rsidRPr="00F26B25" w:rsidRDefault="00F26B25" w:rsidP="00F26B25">
      <w:pPr>
        <w:spacing w:line="240" w:lineRule="auto"/>
        <w:rPr>
          <w:rFonts w:eastAsia="Times New Roman" w:cs="Arial"/>
          <w:color w:val="000000"/>
          <w:lang w:eastAsia="bg-BG"/>
        </w:rPr>
      </w:pPr>
    </w:p>
    <w:p w14:paraId="297B84B3" w14:textId="3DA5E404"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При педиатрични пациенти (от 4 до 16-годишна възраст), ефикасността на леветирацетам е доказана в двойно-сляпо, плацебо-контролирано проучване включващо 198 пациенти и с продължителност на лечението 14 седмици. В това проучване пациентите са получавали постоянна доза леветирацетам от 60 </w:t>
      </w:r>
      <w:r w:rsidRPr="00F26B25">
        <w:rPr>
          <w:rFonts w:eastAsia="Times New Roman" w:cs="Arial"/>
          <w:color w:val="000000"/>
          <w:lang w:val="en-US"/>
        </w:rPr>
        <w:t>mg</w:t>
      </w:r>
      <w:r w:rsidRPr="00F26B25">
        <w:rPr>
          <w:rFonts w:eastAsia="Times New Roman" w:cs="Arial"/>
          <w:color w:val="000000"/>
          <w:lang w:val="ru-RU"/>
        </w:rPr>
        <w:t>/</w:t>
      </w:r>
      <w:r w:rsidRPr="00F26B25">
        <w:rPr>
          <w:rFonts w:eastAsia="Times New Roman" w:cs="Arial"/>
          <w:color w:val="000000"/>
          <w:lang w:val="en-US"/>
        </w:rPr>
        <w:t>kg</w:t>
      </w:r>
      <w:r w:rsidRPr="00F26B25">
        <w:rPr>
          <w:rFonts w:eastAsia="Times New Roman" w:cs="Arial"/>
          <w:color w:val="000000"/>
          <w:lang w:eastAsia="bg-BG"/>
        </w:rPr>
        <w:t>/дневно (прием два пъти на ден).</w:t>
      </w:r>
    </w:p>
    <w:p w14:paraId="029E9B53"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44,6 % от пациентите приемащи леветирацетам и 19,6 % от пациентите приемащи плацебо са имали 50 % или по-високо намаление, спрямо изходното ниво, на честотата на парциалните пристъпи за седмица. При продължително дългосрочно лечение 11,4 % от пациентите не са получавали пристъпи поне за 6 месеца и 7,2 % за поне 1 година.</w:t>
      </w:r>
    </w:p>
    <w:p w14:paraId="06E44160" w14:textId="77777777" w:rsidR="00F26B25" w:rsidRPr="00F26B25" w:rsidRDefault="00F26B25" w:rsidP="00F26B25">
      <w:pPr>
        <w:spacing w:line="240" w:lineRule="auto"/>
        <w:rPr>
          <w:rFonts w:eastAsia="Times New Roman" w:cs="Arial"/>
          <w:color w:val="000000"/>
          <w:lang w:eastAsia="bg-BG"/>
        </w:rPr>
      </w:pPr>
    </w:p>
    <w:p w14:paraId="19B97FE5" w14:textId="68EA7DAD"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При педиатрични пациенти (от 1 -месечна до под 4-годишна възраст), ефикасността на леветирацетам е установена в двойно-сляпо, плацебо контролирано проучване, включващо 116 пациенти с продължителност на лечението пет дни. В това проучване, на пациентите е предписана дневна доза от 20 </w:t>
      </w:r>
      <w:r w:rsidRPr="00F26B25">
        <w:rPr>
          <w:rFonts w:eastAsia="Times New Roman" w:cs="Arial"/>
          <w:color w:val="000000"/>
          <w:lang w:val="en-US"/>
        </w:rPr>
        <w:t>mg</w:t>
      </w:r>
      <w:r w:rsidRPr="00F26B25">
        <w:rPr>
          <w:rFonts w:eastAsia="Times New Roman" w:cs="Arial"/>
          <w:color w:val="000000"/>
          <w:lang w:val="ru-RU"/>
        </w:rPr>
        <w:t>/</w:t>
      </w:r>
      <w:r w:rsidRPr="00F26B25">
        <w:rPr>
          <w:rFonts w:eastAsia="Times New Roman" w:cs="Arial"/>
          <w:color w:val="000000"/>
          <w:lang w:val="en-US"/>
        </w:rPr>
        <w:t>kg</w:t>
      </w:r>
      <w:r w:rsidRPr="00F26B25">
        <w:rPr>
          <w:rFonts w:eastAsia="Times New Roman" w:cs="Arial"/>
          <w:color w:val="000000"/>
          <w:lang w:val="ru-RU"/>
        </w:rPr>
        <w:t xml:space="preserve">, </w:t>
      </w:r>
      <w:r w:rsidRPr="00F26B25">
        <w:rPr>
          <w:rFonts w:eastAsia="Times New Roman" w:cs="Arial"/>
          <w:color w:val="000000"/>
          <w:lang w:eastAsia="bg-BG"/>
        </w:rPr>
        <w:t xml:space="preserve">25 </w:t>
      </w:r>
      <w:r w:rsidRPr="00F26B25">
        <w:rPr>
          <w:rFonts w:eastAsia="Times New Roman" w:cs="Arial"/>
          <w:color w:val="000000"/>
          <w:lang w:val="en-US"/>
        </w:rPr>
        <w:t>mg</w:t>
      </w:r>
      <w:r w:rsidRPr="00F26B25">
        <w:rPr>
          <w:rFonts w:eastAsia="Times New Roman" w:cs="Arial"/>
          <w:color w:val="000000"/>
          <w:lang w:val="ru-RU"/>
        </w:rPr>
        <w:t>/</w:t>
      </w:r>
      <w:r w:rsidRPr="00F26B25">
        <w:rPr>
          <w:rFonts w:eastAsia="Times New Roman" w:cs="Arial"/>
          <w:color w:val="000000"/>
          <w:lang w:val="en-US"/>
        </w:rPr>
        <w:t>kg</w:t>
      </w:r>
      <w:r w:rsidRPr="00F26B25">
        <w:rPr>
          <w:rFonts w:eastAsia="Times New Roman" w:cs="Arial"/>
          <w:color w:val="000000"/>
          <w:lang w:val="ru-RU"/>
        </w:rPr>
        <w:t xml:space="preserve">, </w:t>
      </w:r>
      <w:r w:rsidRPr="00F26B25">
        <w:rPr>
          <w:rFonts w:eastAsia="Times New Roman" w:cs="Arial"/>
          <w:color w:val="000000"/>
          <w:lang w:eastAsia="bg-BG"/>
        </w:rPr>
        <w:t xml:space="preserve">40 </w:t>
      </w:r>
      <w:r w:rsidRPr="00F26B25">
        <w:rPr>
          <w:rFonts w:eastAsia="Times New Roman" w:cs="Arial"/>
          <w:color w:val="000000"/>
          <w:lang w:val="en-US"/>
        </w:rPr>
        <w:t>mg</w:t>
      </w:r>
      <w:r w:rsidRPr="00F26B25">
        <w:rPr>
          <w:rFonts w:eastAsia="Times New Roman" w:cs="Arial"/>
          <w:color w:val="000000"/>
          <w:lang w:val="ru-RU"/>
        </w:rPr>
        <w:t>/</w:t>
      </w:r>
      <w:r w:rsidRPr="00F26B25">
        <w:rPr>
          <w:rFonts w:eastAsia="Times New Roman" w:cs="Arial"/>
          <w:color w:val="000000"/>
          <w:lang w:val="en-US"/>
        </w:rPr>
        <w:t>kg</w:t>
      </w:r>
      <w:r w:rsidRPr="00F26B25">
        <w:rPr>
          <w:rFonts w:eastAsia="Times New Roman" w:cs="Arial"/>
          <w:color w:val="000000"/>
          <w:lang w:val="ru-RU"/>
        </w:rPr>
        <w:t xml:space="preserve"> </w:t>
      </w:r>
      <w:r w:rsidRPr="00F26B25">
        <w:rPr>
          <w:rFonts w:eastAsia="Times New Roman" w:cs="Arial"/>
          <w:color w:val="000000"/>
          <w:lang w:eastAsia="bg-BG"/>
        </w:rPr>
        <w:t xml:space="preserve">или 50 </w:t>
      </w:r>
      <w:r w:rsidRPr="00F26B25">
        <w:rPr>
          <w:rFonts w:eastAsia="Times New Roman" w:cs="Arial"/>
          <w:color w:val="000000"/>
          <w:lang w:val="en-US"/>
        </w:rPr>
        <w:t>mg</w:t>
      </w:r>
      <w:r w:rsidRPr="00F26B25">
        <w:rPr>
          <w:rFonts w:eastAsia="Times New Roman" w:cs="Arial"/>
          <w:color w:val="000000"/>
          <w:lang w:val="ru-RU"/>
        </w:rPr>
        <w:t>/</w:t>
      </w:r>
      <w:r w:rsidRPr="00F26B25">
        <w:rPr>
          <w:rFonts w:eastAsia="Times New Roman" w:cs="Arial"/>
          <w:color w:val="000000"/>
          <w:lang w:val="en-US"/>
        </w:rPr>
        <w:t>kg</w:t>
      </w:r>
      <w:r w:rsidRPr="00F26B25">
        <w:rPr>
          <w:rFonts w:eastAsia="Times New Roman" w:cs="Arial"/>
          <w:color w:val="000000"/>
          <w:lang w:val="ru-RU"/>
        </w:rPr>
        <w:t xml:space="preserve"> </w:t>
      </w:r>
      <w:r w:rsidRPr="00F26B25">
        <w:rPr>
          <w:rFonts w:eastAsia="Times New Roman" w:cs="Arial"/>
          <w:color w:val="000000"/>
          <w:lang w:eastAsia="bg-BG"/>
        </w:rPr>
        <w:t xml:space="preserve">перорален разтвор, титрирана в зависимост от тяхната възраст. В това проучване е използвана доза от 20 </w:t>
      </w:r>
      <w:r w:rsidRPr="00F26B25">
        <w:rPr>
          <w:rFonts w:eastAsia="Times New Roman" w:cs="Arial"/>
          <w:color w:val="000000"/>
          <w:lang w:val="en-US"/>
        </w:rPr>
        <w:t>mg</w:t>
      </w:r>
      <w:r w:rsidRPr="00F26B25">
        <w:rPr>
          <w:rFonts w:eastAsia="Times New Roman" w:cs="Arial"/>
          <w:color w:val="000000"/>
          <w:lang w:val="ru-RU"/>
        </w:rPr>
        <w:t>/</w:t>
      </w:r>
      <w:r w:rsidRPr="00F26B25">
        <w:rPr>
          <w:rFonts w:eastAsia="Times New Roman" w:cs="Arial"/>
          <w:color w:val="000000"/>
          <w:lang w:val="en-US"/>
        </w:rPr>
        <w:t>kg</w:t>
      </w:r>
      <w:r w:rsidRPr="00F26B25">
        <w:rPr>
          <w:rFonts w:eastAsia="Times New Roman" w:cs="Arial"/>
          <w:color w:val="000000"/>
          <w:lang w:eastAsia="bg-BG"/>
        </w:rPr>
        <w:t xml:space="preserve">/дневно, титрирана до 40 </w:t>
      </w:r>
      <w:r w:rsidRPr="00F26B25">
        <w:rPr>
          <w:rFonts w:eastAsia="Times New Roman" w:cs="Arial"/>
          <w:color w:val="000000"/>
          <w:lang w:val="en-US"/>
        </w:rPr>
        <w:t>mg</w:t>
      </w:r>
      <w:r w:rsidRPr="00F26B25">
        <w:rPr>
          <w:rFonts w:eastAsia="Times New Roman" w:cs="Arial"/>
          <w:color w:val="000000"/>
          <w:lang w:val="ru-RU"/>
        </w:rPr>
        <w:t>/</w:t>
      </w:r>
      <w:r w:rsidRPr="00F26B25">
        <w:rPr>
          <w:rFonts w:eastAsia="Times New Roman" w:cs="Arial"/>
          <w:color w:val="000000"/>
          <w:lang w:val="en-US"/>
        </w:rPr>
        <w:t>kg</w:t>
      </w:r>
      <w:r w:rsidRPr="00F26B25">
        <w:rPr>
          <w:rFonts w:eastAsia="Times New Roman" w:cs="Arial"/>
          <w:color w:val="000000"/>
          <w:lang w:eastAsia="bg-BG"/>
        </w:rPr>
        <w:t xml:space="preserve">/дневно при кърмачета от един до шест месеца и доза от 25 </w:t>
      </w:r>
      <w:r w:rsidRPr="00F26B25">
        <w:rPr>
          <w:rFonts w:eastAsia="Times New Roman" w:cs="Arial"/>
          <w:color w:val="000000"/>
          <w:lang w:val="en-US"/>
        </w:rPr>
        <w:t>mg</w:t>
      </w:r>
      <w:r w:rsidRPr="00F26B25">
        <w:rPr>
          <w:rFonts w:eastAsia="Times New Roman" w:cs="Arial"/>
          <w:color w:val="000000"/>
          <w:lang w:val="ru-RU"/>
        </w:rPr>
        <w:t>/</w:t>
      </w:r>
      <w:r w:rsidRPr="00F26B25">
        <w:rPr>
          <w:rFonts w:eastAsia="Times New Roman" w:cs="Arial"/>
          <w:color w:val="000000"/>
          <w:lang w:val="en-US"/>
        </w:rPr>
        <w:t>kg</w:t>
      </w:r>
      <w:r w:rsidRPr="00F26B25">
        <w:rPr>
          <w:rFonts w:eastAsia="Times New Roman" w:cs="Arial"/>
          <w:color w:val="000000"/>
          <w:lang w:eastAsia="bg-BG"/>
        </w:rPr>
        <w:t xml:space="preserve">/дневно, титрирана до 50 </w:t>
      </w:r>
      <w:r w:rsidRPr="00F26B25">
        <w:rPr>
          <w:rFonts w:eastAsia="Times New Roman" w:cs="Arial"/>
          <w:color w:val="000000"/>
          <w:lang w:val="en-US"/>
        </w:rPr>
        <w:t>mg</w:t>
      </w:r>
      <w:r w:rsidRPr="00F26B25">
        <w:rPr>
          <w:rFonts w:eastAsia="Times New Roman" w:cs="Arial"/>
          <w:color w:val="000000"/>
          <w:lang w:val="ru-RU"/>
        </w:rPr>
        <w:t>/</w:t>
      </w:r>
      <w:r w:rsidRPr="00F26B25">
        <w:rPr>
          <w:rFonts w:eastAsia="Times New Roman" w:cs="Arial"/>
          <w:color w:val="000000"/>
          <w:lang w:val="en-US"/>
        </w:rPr>
        <w:t>kg</w:t>
      </w:r>
      <w:r w:rsidRPr="00F26B25">
        <w:rPr>
          <w:rFonts w:eastAsia="Times New Roman" w:cs="Arial"/>
          <w:color w:val="000000"/>
          <w:lang w:eastAsia="bg-BG"/>
        </w:rPr>
        <w:t>/дневно при кърмачета и деца на възраст от 6 месеца до 4 години. Общата дневна доза е прилагана два пъти дневно.</w:t>
      </w:r>
    </w:p>
    <w:p w14:paraId="6BD144A0" w14:textId="77777777" w:rsidR="00F26B25" w:rsidRPr="00F26B25" w:rsidRDefault="00F26B25" w:rsidP="00F26B25">
      <w:pPr>
        <w:rPr>
          <w:rFonts w:eastAsia="Times New Roman" w:cs="Arial"/>
          <w:sz w:val="24"/>
          <w:szCs w:val="24"/>
        </w:rPr>
      </w:pPr>
      <w:r w:rsidRPr="00F26B25">
        <w:rPr>
          <w:rFonts w:eastAsia="Times New Roman" w:cs="Arial"/>
          <w:color w:val="000000"/>
          <w:lang w:eastAsia="bg-BG"/>
        </w:rPr>
        <w:t>Първоначалната оценка на ефективността е нивото на отговор (процент пациенти с ≥50% намаление, спрямо изходното ниво на дневната честота на парциалните пристьпи), определена от заслепен централен четец чрез 48-часово видео ЕЕГ наблюдение. Анализът на ефикасността обхваща 109 пациенти, които са имали поне 24-часово видео ЕЕГ наблюдение през двата периода - на изходното ниво и на оценката. Пациентите, показали отговор, са 43,6% лекуваните с леветирацетам и 19,6% от пациентите, приемащи плацебо. Резултатите отговарят на съответната възрастова група. При продължително дългосрочно лечение 8,6 % от пациентите не са получавали пристъпи поне за 6 месеца и 7,8 % за поне 1 година.</w:t>
      </w:r>
    </w:p>
    <w:p w14:paraId="5642ADE0"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В плацебо-контролирани клинични проучвания, с екпозиция са били 35 кърмачета с парциални пристъпи, на възраст под 1 година, от които само 13 са били на възраст &lt; 6 месеца.</w:t>
      </w:r>
    </w:p>
    <w:p w14:paraId="79B7F5C5" w14:textId="77777777" w:rsidR="00F26B25" w:rsidRPr="00F26B25" w:rsidRDefault="00F26B25" w:rsidP="00F26B25">
      <w:pPr>
        <w:spacing w:line="240" w:lineRule="auto"/>
        <w:rPr>
          <w:rFonts w:eastAsia="Times New Roman" w:cs="Arial"/>
          <w:i/>
          <w:iCs/>
          <w:color w:val="000000"/>
          <w:lang w:eastAsia="bg-BG"/>
        </w:rPr>
      </w:pPr>
    </w:p>
    <w:p w14:paraId="57155F0A" w14:textId="6795D276" w:rsidR="00F26B25" w:rsidRPr="00F26B25" w:rsidRDefault="00F26B25" w:rsidP="00F26B25">
      <w:pPr>
        <w:spacing w:line="240" w:lineRule="auto"/>
        <w:rPr>
          <w:rFonts w:eastAsia="Times New Roman" w:cs="Arial"/>
          <w:sz w:val="24"/>
          <w:szCs w:val="24"/>
        </w:rPr>
      </w:pPr>
      <w:r w:rsidRPr="00F26B25">
        <w:rPr>
          <w:rFonts w:eastAsia="Times New Roman" w:cs="Arial"/>
          <w:i/>
          <w:iCs/>
          <w:color w:val="000000"/>
          <w:lang w:eastAsia="bg-BG"/>
        </w:rPr>
        <w:t>Монотерапия при лечение на парциални пристъпи със или без вторична генерализация при пациенти на 16 и повече години с новодиагностицирана епилепсия.</w:t>
      </w:r>
    </w:p>
    <w:p w14:paraId="69EBD55A"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Ефикасността на леветирацетам като монотерапия е установена в двойно-сляпо, паралелно- групово, неинфериорно сравнение с карбамазепин с контролирано освобождаване </w:t>
      </w:r>
      <w:r w:rsidRPr="00F26B25">
        <w:rPr>
          <w:rFonts w:eastAsia="Times New Roman" w:cs="Arial"/>
          <w:color w:val="000000"/>
          <w:lang w:val="ru-RU"/>
        </w:rPr>
        <w:t>(</w:t>
      </w:r>
      <w:r w:rsidRPr="00F26B25">
        <w:rPr>
          <w:rFonts w:eastAsia="Times New Roman" w:cs="Arial"/>
          <w:color w:val="000000"/>
          <w:lang w:val="en-US"/>
        </w:rPr>
        <w:t>CR</w:t>
      </w:r>
      <w:r w:rsidRPr="00F26B25">
        <w:rPr>
          <w:rFonts w:eastAsia="Times New Roman" w:cs="Arial"/>
          <w:color w:val="000000"/>
          <w:lang w:val="ru-RU"/>
        </w:rPr>
        <w:t xml:space="preserve">) </w:t>
      </w:r>
      <w:r w:rsidRPr="00F26B25">
        <w:rPr>
          <w:rFonts w:eastAsia="Times New Roman" w:cs="Arial"/>
          <w:color w:val="000000"/>
          <w:lang w:eastAsia="bg-BG"/>
        </w:rPr>
        <w:t xml:space="preserve">при 576 пациента на 16 годишна възраст или по-възрастни с новодиагностицирана или наскоро диагностицирана епилепсия. Пациентите е трябвало да бъдат единствено с непредизвикани парциални пристъпи или генерализирани тонично-клонични пристъпи. Пациентите са рандомизирани да приемат карбамазепин </w:t>
      </w:r>
      <w:r w:rsidRPr="00F26B25">
        <w:rPr>
          <w:rFonts w:eastAsia="Times New Roman" w:cs="Arial"/>
          <w:color w:val="000000"/>
          <w:lang w:val="en-US"/>
        </w:rPr>
        <w:t>CR</w:t>
      </w:r>
      <w:r w:rsidRPr="00F26B25">
        <w:rPr>
          <w:rFonts w:eastAsia="Times New Roman" w:cs="Arial"/>
          <w:color w:val="000000"/>
          <w:lang w:val="ru-RU"/>
        </w:rPr>
        <w:t xml:space="preserve"> </w:t>
      </w:r>
      <w:r w:rsidRPr="00F26B25">
        <w:rPr>
          <w:rFonts w:eastAsia="Times New Roman" w:cs="Arial"/>
          <w:color w:val="000000"/>
          <w:lang w:eastAsia="bg-BG"/>
        </w:rPr>
        <w:lastRenderedPageBreak/>
        <w:t xml:space="preserve">400-1 200 </w:t>
      </w:r>
      <w:r w:rsidRPr="00F26B25">
        <w:rPr>
          <w:rFonts w:eastAsia="Times New Roman" w:cs="Arial"/>
          <w:color w:val="000000"/>
          <w:lang w:val="en-US"/>
        </w:rPr>
        <w:t>mg</w:t>
      </w:r>
      <w:r w:rsidRPr="00F26B25">
        <w:rPr>
          <w:rFonts w:eastAsia="Times New Roman" w:cs="Arial"/>
          <w:color w:val="000000"/>
          <w:lang w:eastAsia="bg-BG"/>
        </w:rPr>
        <w:t xml:space="preserve">/ден или леветирацетам 1 000-3 000 </w:t>
      </w:r>
      <w:r w:rsidRPr="00F26B25">
        <w:rPr>
          <w:rFonts w:eastAsia="Times New Roman" w:cs="Arial"/>
          <w:color w:val="000000"/>
          <w:lang w:val="en-US"/>
        </w:rPr>
        <w:t>mg</w:t>
      </w:r>
      <w:r w:rsidRPr="00F26B25">
        <w:rPr>
          <w:rFonts w:eastAsia="Times New Roman" w:cs="Arial"/>
          <w:color w:val="000000"/>
          <w:lang w:eastAsia="bg-BG"/>
        </w:rPr>
        <w:t>/ден, като продължителността на лечението е до 121 седмици в зависимост от отговора.</w:t>
      </w:r>
    </w:p>
    <w:p w14:paraId="1764CBEB"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Липса на пристъпи за 6 месеца е достигната при 73,0 % от пациентите приемащи леветирацетам и при 72,8 % от пациентите приемащи карбамазепин</w:t>
      </w:r>
      <w:r w:rsidRPr="00F26B25">
        <w:rPr>
          <w:rFonts w:eastAsia="Times New Roman" w:cs="Arial"/>
          <w:color w:val="000000"/>
          <w:lang w:val="ru-RU"/>
        </w:rPr>
        <w:t>-</w:t>
      </w:r>
      <w:r w:rsidRPr="00F26B25">
        <w:rPr>
          <w:rFonts w:eastAsia="Times New Roman" w:cs="Arial"/>
          <w:color w:val="000000"/>
          <w:lang w:val="en-US"/>
        </w:rPr>
        <w:t>CR</w:t>
      </w:r>
      <w:r w:rsidRPr="00F26B25">
        <w:rPr>
          <w:rFonts w:eastAsia="Times New Roman" w:cs="Arial"/>
          <w:color w:val="000000"/>
          <w:lang w:val="ru-RU"/>
        </w:rPr>
        <w:t xml:space="preserve">; </w:t>
      </w:r>
      <w:r w:rsidRPr="00F26B25">
        <w:rPr>
          <w:rFonts w:eastAsia="Times New Roman" w:cs="Arial"/>
          <w:color w:val="000000"/>
          <w:lang w:eastAsia="bg-BG"/>
        </w:rPr>
        <w:t xml:space="preserve">установената абсолютна разлика между терапиите е 0,2 % (95 % </w:t>
      </w:r>
      <w:r w:rsidRPr="00F26B25">
        <w:rPr>
          <w:rFonts w:eastAsia="Times New Roman" w:cs="Arial"/>
          <w:color w:val="000000"/>
          <w:lang w:val="en-US"/>
        </w:rPr>
        <w:t>CI</w:t>
      </w:r>
      <w:r w:rsidRPr="00F26B25">
        <w:rPr>
          <w:rFonts w:eastAsia="Times New Roman" w:cs="Arial"/>
          <w:color w:val="000000"/>
          <w:lang w:val="ru-RU"/>
        </w:rPr>
        <w:t xml:space="preserve">: </w:t>
      </w:r>
      <w:r w:rsidRPr="00F26B25">
        <w:rPr>
          <w:rFonts w:eastAsia="Times New Roman" w:cs="Arial"/>
          <w:color w:val="000000"/>
          <w:lang w:eastAsia="bg-BG"/>
        </w:rPr>
        <w:t xml:space="preserve">-7,8 8,2). Повече от половината от пациентите не получават пристъпи за 12 месеца (56,6 % и 58,5 % съответно от пациентите на леветирацетам и карбамазепин </w:t>
      </w:r>
      <w:r w:rsidRPr="00F26B25">
        <w:rPr>
          <w:rFonts w:eastAsia="Times New Roman" w:cs="Arial"/>
          <w:color w:val="000000"/>
          <w:lang w:val="en-US"/>
        </w:rPr>
        <w:t>CR</w:t>
      </w:r>
      <w:r w:rsidRPr="00F26B25">
        <w:rPr>
          <w:rFonts w:eastAsia="Times New Roman" w:cs="Arial"/>
          <w:color w:val="000000"/>
          <w:lang w:val="ru-RU"/>
        </w:rPr>
        <w:t>).</w:t>
      </w:r>
    </w:p>
    <w:p w14:paraId="747D32F7" w14:textId="77777777" w:rsidR="00F26B25" w:rsidRPr="00F26B25" w:rsidRDefault="00F26B25" w:rsidP="00F26B25">
      <w:pPr>
        <w:spacing w:line="240" w:lineRule="auto"/>
        <w:rPr>
          <w:rFonts w:eastAsia="Times New Roman" w:cs="Arial"/>
          <w:color w:val="000000"/>
          <w:lang w:eastAsia="bg-BG"/>
        </w:rPr>
      </w:pPr>
    </w:p>
    <w:p w14:paraId="10EFB145" w14:textId="215C7EE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В проучване, отразяващо клиничната практика, съпътстващата антиепилептична терапия може да се прекъсне при ограничен брой пациенти, които са се повлияли от допълваща терапия с леветирацетам (прекъснали 36 възрастни пациенти от 69).</w:t>
      </w:r>
    </w:p>
    <w:p w14:paraId="18E4B417" w14:textId="77777777" w:rsidR="00F26B25" w:rsidRPr="00F26B25" w:rsidRDefault="00F26B25" w:rsidP="00F26B25">
      <w:pPr>
        <w:spacing w:line="240" w:lineRule="auto"/>
        <w:rPr>
          <w:rFonts w:eastAsia="Times New Roman" w:cs="Arial"/>
          <w:i/>
          <w:iCs/>
          <w:color w:val="000000"/>
          <w:lang w:eastAsia="bg-BG"/>
        </w:rPr>
      </w:pPr>
    </w:p>
    <w:p w14:paraId="56704EB3" w14:textId="02191FC7" w:rsidR="00F26B25" w:rsidRPr="00F26B25" w:rsidRDefault="00F26B25" w:rsidP="00F26B25">
      <w:pPr>
        <w:spacing w:line="240" w:lineRule="auto"/>
        <w:rPr>
          <w:rFonts w:eastAsia="Times New Roman" w:cs="Arial"/>
          <w:sz w:val="24"/>
          <w:szCs w:val="24"/>
        </w:rPr>
      </w:pPr>
      <w:r w:rsidRPr="00F26B25">
        <w:rPr>
          <w:rFonts w:eastAsia="Times New Roman" w:cs="Arial"/>
          <w:i/>
          <w:iCs/>
          <w:color w:val="000000"/>
          <w:lang w:eastAsia="bg-BG"/>
        </w:rPr>
        <w:t>Допълващо лечение на миоклонични пристъпи при възрастни и юноши на 12 и повече години с ювенилна миоклонична епилепсия.</w:t>
      </w:r>
    </w:p>
    <w:p w14:paraId="2D88106E"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Ефикасността на леветирацетам е установена в двойно-сляпо, плацебо-контролирано проучване с продължителност 16 седмици при пациенти на 12-годишна възраст или по-възрастни, страдащи от идиопатична генерализирана епилепсия с миоклонични пристъпи от различни синдроми. Повечето пациенти са били с ювенилна миоклонична епилепсия.</w:t>
      </w:r>
    </w:p>
    <w:p w14:paraId="57EB18E9"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В това проучване дозата на леветирацетам е била 3 000 </w:t>
      </w:r>
      <w:r w:rsidRPr="00F26B25">
        <w:rPr>
          <w:rFonts w:eastAsia="Times New Roman" w:cs="Arial"/>
          <w:color w:val="000000"/>
          <w:lang w:val="en-US"/>
        </w:rPr>
        <w:t>mg</w:t>
      </w:r>
      <w:r w:rsidRPr="00F26B25">
        <w:rPr>
          <w:rFonts w:eastAsia="Times New Roman" w:cs="Arial"/>
          <w:color w:val="000000"/>
          <w:lang w:eastAsia="bg-BG"/>
        </w:rPr>
        <w:t>/ден, разделена на 2 приема. 58,3% от пациентите, приемащи леветирацетам и 23,3 % от пациентите на плацебо са с поне 50 % намаление на дните през седмицата с миоклонични пристъпи. При продължително дългосрочно лечение, 28,6 % от пациентите не са получавали миоклонични пристъпи за поне 6 месеца и 21,0 % за поне 1 година.</w:t>
      </w:r>
    </w:p>
    <w:p w14:paraId="09C08DBC" w14:textId="77777777" w:rsidR="00F26B25" w:rsidRPr="00F26B25" w:rsidRDefault="00F26B25" w:rsidP="00F26B25">
      <w:pPr>
        <w:spacing w:line="240" w:lineRule="auto"/>
        <w:rPr>
          <w:rFonts w:eastAsia="Times New Roman" w:cs="Arial"/>
          <w:i/>
          <w:iCs/>
          <w:color w:val="000000"/>
          <w:lang w:eastAsia="bg-BG"/>
        </w:rPr>
      </w:pPr>
    </w:p>
    <w:p w14:paraId="71279163" w14:textId="18DDA2F0" w:rsidR="00F26B25" w:rsidRPr="00F26B25" w:rsidRDefault="00F26B25" w:rsidP="00F26B25">
      <w:pPr>
        <w:spacing w:line="240" w:lineRule="auto"/>
        <w:rPr>
          <w:rFonts w:eastAsia="Times New Roman" w:cs="Arial"/>
          <w:sz w:val="24"/>
          <w:szCs w:val="24"/>
        </w:rPr>
      </w:pPr>
      <w:r w:rsidRPr="00F26B25">
        <w:rPr>
          <w:rFonts w:eastAsia="Times New Roman" w:cs="Arial"/>
          <w:i/>
          <w:iCs/>
          <w:color w:val="000000"/>
          <w:lang w:eastAsia="bg-BG"/>
        </w:rPr>
        <w:t>Допълващо лечение на първично генерализирани тонично-клонични пристъпи при възрастни и юноши на 12 и повече години с идиопатична генерализирана епилепсия.</w:t>
      </w:r>
    </w:p>
    <w:p w14:paraId="16016EA4" w14:textId="77777777"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 xml:space="preserve">Ефикасността на леветирацетам е доказана в 24-седмично двойно-сляпо, плацебо-контролирано . проучване включващо възрастни, юноши и ограничен брой деца, страдащи от идиопатична генерализирана епилепсия с първично генерализирани тонично-клонични (ПГТК) пристъпи от различни синдроми (ювенилна миоклонична епилепсия, ювенилна абсанс епилепсия, детска абсанс епилепсия или епилепсия с </w:t>
      </w:r>
      <w:r w:rsidRPr="00F26B25">
        <w:rPr>
          <w:rFonts w:eastAsia="Times New Roman" w:cs="Arial"/>
          <w:color w:val="000000"/>
          <w:lang w:val="en-US"/>
        </w:rPr>
        <w:t>grand</w:t>
      </w:r>
      <w:r w:rsidRPr="00F26B25">
        <w:rPr>
          <w:rFonts w:eastAsia="Times New Roman" w:cs="Arial"/>
          <w:color w:val="000000"/>
          <w:lang w:val="ru-RU"/>
        </w:rPr>
        <w:t xml:space="preserve"> </w:t>
      </w:r>
      <w:r w:rsidRPr="00F26B25">
        <w:rPr>
          <w:rFonts w:eastAsia="Times New Roman" w:cs="Arial"/>
          <w:color w:val="000000"/>
          <w:lang w:val="en-US"/>
        </w:rPr>
        <w:t>mal</w:t>
      </w:r>
      <w:r w:rsidRPr="00F26B25">
        <w:rPr>
          <w:rFonts w:eastAsia="Times New Roman" w:cs="Arial"/>
          <w:color w:val="000000"/>
          <w:lang w:val="ru-RU"/>
        </w:rPr>
        <w:t xml:space="preserve"> </w:t>
      </w:r>
      <w:r w:rsidRPr="00F26B25">
        <w:rPr>
          <w:rFonts w:eastAsia="Times New Roman" w:cs="Arial"/>
          <w:color w:val="000000"/>
          <w:lang w:eastAsia="bg-BG"/>
        </w:rPr>
        <w:t xml:space="preserve">пристъпи при събуждане). В това проучване, дозата на леветирацетам е била 3 000 </w:t>
      </w:r>
      <w:r w:rsidRPr="00F26B25">
        <w:rPr>
          <w:rFonts w:eastAsia="Times New Roman" w:cs="Arial"/>
          <w:color w:val="000000"/>
          <w:lang w:val="en-US"/>
        </w:rPr>
        <w:t>mg</w:t>
      </w:r>
      <w:r w:rsidRPr="00F26B25">
        <w:rPr>
          <w:rFonts w:eastAsia="Times New Roman" w:cs="Arial"/>
          <w:color w:val="000000"/>
          <w:lang w:eastAsia="bg-BG"/>
        </w:rPr>
        <w:t xml:space="preserve">/ден при възрастни и юноши или 60 </w:t>
      </w:r>
      <w:r w:rsidRPr="00F26B25">
        <w:rPr>
          <w:rFonts w:eastAsia="Times New Roman" w:cs="Arial"/>
          <w:color w:val="000000"/>
          <w:lang w:val="en-US"/>
        </w:rPr>
        <w:t>mg</w:t>
      </w:r>
      <w:r w:rsidRPr="00F26B25">
        <w:rPr>
          <w:rFonts w:eastAsia="Times New Roman" w:cs="Arial"/>
          <w:color w:val="000000"/>
          <w:lang w:val="ru-RU"/>
        </w:rPr>
        <w:t>/</w:t>
      </w:r>
      <w:r w:rsidRPr="00F26B25">
        <w:rPr>
          <w:rFonts w:eastAsia="Times New Roman" w:cs="Arial"/>
          <w:color w:val="000000"/>
          <w:lang w:val="en-US"/>
        </w:rPr>
        <w:t>kg</w:t>
      </w:r>
      <w:r w:rsidRPr="00F26B25">
        <w:rPr>
          <w:rFonts w:eastAsia="Times New Roman" w:cs="Arial"/>
          <w:color w:val="000000"/>
          <w:lang w:val="ru-RU"/>
        </w:rPr>
        <w:t>/</w:t>
      </w:r>
      <w:r w:rsidRPr="00F26B25">
        <w:rPr>
          <w:rFonts w:eastAsia="Times New Roman" w:cs="Arial"/>
          <w:color w:val="000000"/>
          <w:lang w:eastAsia="bg-BG"/>
        </w:rPr>
        <w:t>ден при деца, приемани като 2 отделни дози.</w:t>
      </w:r>
    </w:p>
    <w:p w14:paraId="4FFE3DCD" w14:textId="3B0A0FC8" w:rsidR="00F26B25" w:rsidRPr="00F26B25" w:rsidRDefault="00F26B25" w:rsidP="00F26B25">
      <w:pPr>
        <w:spacing w:line="240" w:lineRule="auto"/>
        <w:rPr>
          <w:rFonts w:eastAsia="Times New Roman" w:cs="Arial"/>
          <w:sz w:val="24"/>
          <w:szCs w:val="24"/>
        </w:rPr>
      </w:pPr>
      <w:r w:rsidRPr="00F26B25">
        <w:rPr>
          <w:rFonts w:eastAsia="Times New Roman" w:cs="Arial"/>
          <w:color w:val="000000"/>
          <w:lang w:eastAsia="bg-BG"/>
        </w:rPr>
        <w:t>72,2 % от пациентите, приемащи леветирацетам и 45,2 % от пациентите на плацебо са с 50 % или по-голямо намаление на честотата на ПГТК пристъпи за седмица. При продължително дългосрочно лечение 47,4 % от пациентите не са получавали тонично-клонични пристъпи за поне 6 месеца и 31,5 % не са получавали тонично-клонични пристъпи за поне 1 година.</w:t>
      </w:r>
    </w:p>
    <w:p w14:paraId="05155C30" w14:textId="7DACA616" w:rsidR="00F26B25" w:rsidRPr="00F26B25" w:rsidRDefault="00F26B25" w:rsidP="00F26B25"/>
    <w:p w14:paraId="78DD93AA" w14:textId="3F95B135" w:rsidR="00B6672E" w:rsidRDefault="002C50EE" w:rsidP="00936AD0">
      <w:pPr>
        <w:pStyle w:val="Heading2"/>
      </w:pPr>
      <w:r>
        <w:t>5.2. Фармакокинетични свойства</w:t>
      </w:r>
    </w:p>
    <w:p w14:paraId="6CBC244E" w14:textId="08C9AD50" w:rsidR="00F26B25" w:rsidRDefault="00F26B25" w:rsidP="00F26B25"/>
    <w:p w14:paraId="707A69B4" w14:textId="77777777" w:rsidR="00F26B25" w:rsidRPr="00813F46" w:rsidRDefault="00F26B25" w:rsidP="00F26B25">
      <w:pPr>
        <w:rPr>
          <w:rFonts w:eastAsia="Times New Roman" w:cs="Arial"/>
        </w:rPr>
      </w:pPr>
      <w:r w:rsidRPr="00813F46">
        <w:rPr>
          <w:rFonts w:cs="Arial"/>
        </w:rPr>
        <w:t xml:space="preserve">Леветирацетам притежава висока степен на разтворимост и проницаемост. Фармакокинетичният му профил е линеен с ниска интра- и интериндивидуална вариабилност. Няма промяна в клирънса след многократно приложение. Няма данни за съществена </w:t>
      </w:r>
      <w:r w:rsidRPr="00813F46">
        <w:rPr>
          <w:rFonts w:eastAsia="Times New Roman" w:cs="Arial"/>
          <w:color w:val="000000"/>
          <w:lang w:eastAsia="bg-BG"/>
        </w:rPr>
        <w:t>вариабилност по отношение на пола, расата и циркадния ритъм. Фармакокинетичният профил е сравним при здрави доброволци и пациенти с епилепсия.</w:t>
      </w:r>
    </w:p>
    <w:p w14:paraId="13135C3C" w14:textId="77777777" w:rsidR="00F26B25" w:rsidRPr="00813F46" w:rsidRDefault="00F26B25" w:rsidP="00F26B25">
      <w:pPr>
        <w:spacing w:line="240" w:lineRule="auto"/>
        <w:rPr>
          <w:rFonts w:eastAsia="Times New Roman" w:cs="Arial"/>
          <w:color w:val="000000"/>
          <w:lang w:eastAsia="bg-BG"/>
        </w:rPr>
      </w:pPr>
    </w:p>
    <w:p w14:paraId="23360186" w14:textId="053666D3" w:rsidR="00F26B25" w:rsidRPr="00813F46" w:rsidRDefault="00F26B25" w:rsidP="00F26B25">
      <w:pPr>
        <w:spacing w:line="240" w:lineRule="auto"/>
        <w:rPr>
          <w:rFonts w:eastAsia="Times New Roman" w:cs="Arial"/>
        </w:rPr>
      </w:pPr>
      <w:r w:rsidRPr="00813F46">
        <w:rPr>
          <w:rFonts w:eastAsia="Times New Roman" w:cs="Arial"/>
          <w:color w:val="000000"/>
          <w:lang w:eastAsia="bg-BG"/>
        </w:rPr>
        <w:t xml:space="preserve">Поради пълната и линейна абсорбция, плазмените концентрации могат да бъдат предвидени в зависимост от пероралната доза леветирацетам, изразена в </w:t>
      </w:r>
      <w:r w:rsidRPr="00813F46">
        <w:rPr>
          <w:rFonts w:eastAsia="Times New Roman" w:cs="Arial"/>
          <w:color w:val="000000"/>
          <w:lang w:val="en-US"/>
        </w:rPr>
        <w:t>mg</w:t>
      </w:r>
      <w:r w:rsidRPr="00813F46">
        <w:rPr>
          <w:rFonts w:eastAsia="Times New Roman" w:cs="Arial"/>
          <w:color w:val="000000"/>
          <w:lang w:val="ru-RU"/>
        </w:rPr>
        <w:t>/</w:t>
      </w:r>
      <w:r w:rsidRPr="00813F46">
        <w:rPr>
          <w:rFonts w:eastAsia="Times New Roman" w:cs="Arial"/>
          <w:color w:val="000000"/>
          <w:lang w:val="en-US"/>
        </w:rPr>
        <w:t>kg</w:t>
      </w:r>
      <w:r w:rsidRPr="00813F46">
        <w:rPr>
          <w:rFonts w:eastAsia="Times New Roman" w:cs="Arial"/>
          <w:color w:val="000000"/>
          <w:lang w:val="ru-RU"/>
        </w:rPr>
        <w:t xml:space="preserve"> </w:t>
      </w:r>
      <w:r w:rsidRPr="00813F46">
        <w:rPr>
          <w:rFonts w:eastAsia="Times New Roman" w:cs="Arial"/>
          <w:color w:val="000000"/>
          <w:lang w:eastAsia="bg-BG"/>
        </w:rPr>
        <w:t xml:space="preserve">телесно </w:t>
      </w:r>
      <w:r w:rsidRPr="00813F46">
        <w:rPr>
          <w:rFonts w:eastAsia="Times New Roman" w:cs="Arial"/>
          <w:color w:val="000000"/>
          <w:lang w:eastAsia="bg-BG"/>
        </w:rPr>
        <w:lastRenderedPageBreak/>
        <w:t>тегло. Ето защо не е необходимо проследяване на плазмените концентрации на леветирацетам.</w:t>
      </w:r>
    </w:p>
    <w:p w14:paraId="1554E179" w14:textId="77777777" w:rsidR="00F26B25" w:rsidRPr="00813F46" w:rsidRDefault="00F26B25" w:rsidP="00F26B25">
      <w:pPr>
        <w:spacing w:line="240" w:lineRule="auto"/>
        <w:rPr>
          <w:rFonts w:eastAsia="Times New Roman" w:cs="Arial"/>
          <w:color w:val="000000"/>
          <w:lang w:eastAsia="bg-BG"/>
        </w:rPr>
      </w:pPr>
    </w:p>
    <w:p w14:paraId="69E53124" w14:textId="68C62A62" w:rsidR="00F26B25" w:rsidRPr="00813F46" w:rsidRDefault="00F26B25" w:rsidP="00F26B25">
      <w:pPr>
        <w:spacing w:line="240" w:lineRule="auto"/>
        <w:rPr>
          <w:rFonts w:eastAsia="Times New Roman" w:cs="Arial"/>
        </w:rPr>
      </w:pPr>
      <w:r w:rsidRPr="00813F46">
        <w:rPr>
          <w:rFonts w:eastAsia="Times New Roman" w:cs="Arial"/>
          <w:color w:val="000000"/>
          <w:lang w:eastAsia="bg-BG"/>
        </w:rPr>
        <w:t>При възрастни и деца е установена значима корелация между концентрациите в слюнката и плазмата (съотношението слюнка/плазма по отношение на концентрацията варира от 1 до 1,7 при пероралната таблетна форма и 4 часа след приема на лероралния разтвор).</w:t>
      </w:r>
    </w:p>
    <w:p w14:paraId="52C75173" w14:textId="77777777" w:rsidR="00F26B25" w:rsidRPr="00813F46" w:rsidRDefault="00F26B25" w:rsidP="00F26B25">
      <w:pPr>
        <w:spacing w:line="240" w:lineRule="auto"/>
        <w:rPr>
          <w:rFonts w:eastAsia="Times New Roman" w:cs="Arial"/>
          <w:i/>
          <w:iCs/>
          <w:color w:val="000000"/>
          <w:lang w:eastAsia="bg-BG"/>
        </w:rPr>
      </w:pPr>
    </w:p>
    <w:p w14:paraId="189B2C84" w14:textId="745A99B3" w:rsidR="00F26B25" w:rsidRPr="00813F46" w:rsidRDefault="00F26B25" w:rsidP="00F26B25">
      <w:pPr>
        <w:spacing w:line="240" w:lineRule="auto"/>
        <w:rPr>
          <w:rFonts w:eastAsia="Times New Roman" w:cs="Arial"/>
        </w:rPr>
      </w:pPr>
      <w:r w:rsidRPr="00813F46">
        <w:rPr>
          <w:rFonts w:eastAsia="Times New Roman" w:cs="Arial"/>
          <w:i/>
          <w:iCs/>
          <w:color w:val="000000"/>
          <w:lang w:eastAsia="bg-BG"/>
        </w:rPr>
        <w:t>Възрастни и юноши</w:t>
      </w:r>
    </w:p>
    <w:p w14:paraId="03C31350" w14:textId="77777777" w:rsidR="00F26B25" w:rsidRPr="00813F46" w:rsidRDefault="00F26B25" w:rsidP="00F26B25">
      <w:pPr>
        <w:spacing w:line="240" w:lineRule="auto"/>
        <w:rPr>
          <w:rFonts w:eastAsia="Times New Roman" w:cs="Arial"/>
          <w:color w:val="000000"/>
          <w:u w:val="single"/>
          <w:lang w:eastAsia="bg-BG"/>
        </w:rPr>
      </w:pPr>
    </w:p>
    <w:p w14:paraId="14076FCA" w14:textId="438C987F" w:rsidR="00F26B25" w:rsidRPr="00813F46" w:rsidRDefault="00F26B25" w:rsidP="00813F46">
      <w:pPr>
        <w:pStyle w:val="Heading3"/>
        <w:rPr>
          <w:rFonts w:eastAsia="Times New Roman"/>
          <w:u w:val="single"/>
        </w:rPr>
      </w:pPr>
      <w:r w:rsidRPr="00813F46">
        <w:rPr>
          <w:rFonts w:eastAsia="Times New Roman"/>
          <w:u w:val="single"/>
          <w:lang w:eastAsia="bg-BG"/>
        </w:rPr>
        <w:t>Абсорбция</w:t>
      </w:r>
    </w:p>
    <w:p w14:paraId="413CB3E5" w14:textId="77777777" w:rsidR="00F26B25" w:rsidRPr="00813F46" w:rsidRDefault="00F26B25" w:rsidP="00F26B25">
      <w:pPr>
        <w:spacing w:line="240" w:lineRule="auto"/>
        <w:rPr>
          <w:rFonts w:eastAsia="Times New Roman" w:cs="Arial"/>
          <w:color w:val="000000"/>
          <w:lang w:eastAsia="bg-BG"/>
        </w:rPr>
      </w:pPr>
    </w:p>
    <w:p w14:paraId="7C5855D2" w14:textId="6DC88900" w:rsidR="00F26B25" w:rsidRPr="00813F46" w:rsidRDefault="00F26B25" w:rsidP="00F26B25">
      <w:pPr>
        <w:spacing w:line="240" w:lineRule="auto"/>
        <w:rPr>
          <w:rFonts w:eastAsia="Times New Roman" w:cs="Arial"/>
        </w:rPr>
      </w:pPr>
      <w:r w:rsidRPr="00813F46">
        <w:rPr>
          <w:rFonts w:eastAsia="Times New Roman" w:cs="Arial"/>
          <w:color w:val="000000"/>
          <w:lang w:eastAsia="bg-BG"/>
        </w:rPr>
        <w:t>Леветирацетам се абсорбира бързо след перорално приложение. Абсолютната бионаличност при перорално приложение е близка до 100 %.</w:t>
      </w:r>
    </w:p>
    <w:p w14:paraId="63E15764" w14:textId="77777777" w:rsidR="00F26B25" w:rsidRPr="00813F46" w:rsidRDefault="00F26B25" w:rsidP="00F26B25">
      <w:pPr>
        <w:spacing w:line="240" w:lineRule="auto"/>
        <w:rPr>
          <w:rFonts w:eastAsia="Times New Roman" w:cs="Arial"/>
        </w:rPr>
      </w:pPr>
      <w:r w:rsidRPr="00813F46">
        <w:rPr>
          <w:rFonts w:eastAsia="Times New Roman" w:cs="Arial"/>
          <w:color w:val="000000"/>
          <w:lang w:eastAsia="bg-BG"/>
        </w:rPr>
        <w:t>Максимални плазмени концентрации (С</w:t>
      </w:r>
      <w:r w:rsidRPr="00813F46">
        <w:rPr>
          <w:rFonts w:eastAsia="Times New Roman" w:cs="Arial"/>
          <w:color w:val="000000"/>
          <w:lang w:val="en-US"/>
        </w:rPr>
        <w:t>max</w:t>
      </w:r>
      <w:r w:rsidRPr="00813F46">
        <w:rPr>
          <w:rFonts w:eastAsia="Times New Roman" w:cs="Arial"/>
          <w:color w:val="000000"/>
          <w:lang w:eastAsia="bg-BG"/>
        </w:rPr>
        <w:t>) се достигат 1,3 часа след приема. Равновесно състояние се достига след два дни при схема на приемане 2 пъти дневно.</w:t>
      </w:r>
    </w:p>
    <w:p w14:paraId="56E28C24" w14:textId="77777777" w:rsidR="00F26B25" w:rsidRPr="00813F46" w:rsidRDefault="00F26B25" w:rsidP="00F26B25">
      <w:pPr>
        <w:spacing w:line="240" w:lineRule="auto"/>
        <w:rPr>
          <w:rFonts w:eastAsia="Times New Roman" w:cs="Arial"/>
        </w:rPr>
      </w:pPr>
      <w:r w:rsidRPr="00813F46">
        <w:rPr>
          <w:rFonts w:eastAsia="Times New Roman" w:cs="Arial"/>
          <w:color w:val="000000"/>
          <w:lang w:eastAsia="bg-BG"/>
        </w:rPr>
        <w:t>Максималните концентрации (С</w:t>
      </w:r>
      <w:r w:rsidRPr="00813F46">
        <w:rPr>
          <w:rFonts w:eastAsia="Times New Roman" w:cs="Arial"/>
          <w:color w:val="000000"/>
          <w:lang w:val="en-US"/>
        </w:rPr>
        <w:t>max</w:t>
      </w:r>
      <w:r w:rsidRPr="00813F46">
        <w:rPr>
          <w:rFonts w:eastAsia="Times New Roman" w:cs="Arial"/>
          <w:color w:val="000000"/>
          <w:lang w:eastAsia="bg-BG"/>
        </w:rPr>
        <w:t>) са обичайно 31 μ</w:t>
      </w:r>
      <w:r w:rsidRPr="00813F46">
        <w:rPr>
          <w:rFonts w:eastAsia="Times New Roman" w:cs="Arial"/>
          <w:color w:val="000000"/>
          <w:lang w:val="en-US"/>
        </w:rPr>
        <w:t>g</w:t>
      </w:r>
      <w:r w:rsidRPr="00813F46">
        <w:rPr>
          <w:rFonts w:eastAsia="Times New Roman" w:cs="Arial"/>
          <w:color w:val="000000"/>
          <w:lang w:val="ru-RU"/>
        </w:rPr>
        <w:t>/</w:t>
      </w:r>
      <w:r w:rsidRPr="00813F46">
        <w:rPr>
          <w:rFonts w:eastAsia="Times New Roman" w:cs="Arial"/>
          <w:color w:val="000000"/>
          <w:lang w:val="en-US"/>
        </w:rPr>
        <w:t>ml</w:t>
      </w:r>
      <w:r w:rsidRPr="00813F46">
        <w:rPr>
          <w:rFonts w:eastAsia="Times New Roman" w:cs="Arial"/>
          <w:color w:val="000000"/>
          <w:lang w:val="ru-RU"/>
        </w:rPr>
        <w:t xml:space="preserve"> </w:t>
      </w:r>
      <w:r w:rsidRPr="00813F46">
        <w:rPr>
          <w:rFonts w:eastAsia="Times New Roman" w:cs="Arial"/>
          <w:color w:val="000000"/>
          <w:lang w:eastAsia="bg-BG"/>
        </w:rPr>
        <w:t>и 43 μ</w:t>
      </w:r>
      <w:r w:rsidRPr="00813F46">
        <w:rPr>
          <w:rFonts w:eastAsia="Times New Roman" w:cs="Arial"/>
          <w:color w:val="000000"/>
          <w:lang w:val="en-US"/>
        </w:rPr>
        <w:t>g</w:t>
      </w:r>
      <w:r w:rsidRPr="00813F46">
        <w:rPr>
          <w:rFonts w:eastAsia="Times New Roman" w:cs="Arial"/>
          <w:color w:val="000000"/>
          <w:lang w:val="ru-RU"/>
        </w:rPr>
        <w:t>/</w:t>
      </w:r>
      <w:r w:rsidRPr="00813F46">
        <w:rPr>
          <w:rFonts w:eastAsia="Times New Roman" w:cs="Arial"/>
          <w:color w:val="000000"/>
          <w:lang w:val="en-US"/>
        </w:rPr>
        <w:t>ml</w:t>
      </w:r>
      <w:r w:rsidRPr="00813F46">
        <w:rPr>
          <w:rFonts w:eastAsia="Times New Roman" w:cs="Arial"/>
          <w:color w:val="000000"/>
          <w:lang w:val="ru-RU"/>
        </w:rPr>
        <w:t xml:space="preserve"> </w:t>
      </w:r>
      <w:r w:rsidRPr="00813F46">
        <w:rPr>
          <w:rFonts w:eastAsia="Times New Roman" w:cs="Arial"/>
          <w:color w:val="000000"/>
          <w:lang w:eastAsia="bg-BG"/>
        </w:rPr>
        <w:t xml:space="preserve">съответно след еднократна доза от 1 000 </w:t>
      </w:r>
      <w:r w:rsidRPr="00813F46">
        <w:rPr>
          <w:rFonts w:eastAsia="Times New Roman" w:cs="Arial"/>
          <w:color w:val="000000"/>
          <w:lang w:val="en-US"/>
        </w:rPr>
        <w:t>mg</w:t>
      </w:r>
      <w:r w:rsidRPr="00813F46">
        <w:rPr>
          <w:rFonts w:eastAsia="Times New Roman" w:cs="Arial"/>
          <w:color w:val="000000"/>
          <w:lang w:val="ru-RU"/>
        </w:rPr>
        <w:t xml:space="preserve"> </w:t>
      </w:r>
      <w:r w:rsidRPr="00813F46">
        <w:rPr>
          <w:rFonts w:eastAsia="Times New Roman" w:cs="Arial"/>
          <w:color w:val="000000"/>
          <w:lang w:eastAsia="bg-BG"/>
        </w:rPr>
        <w:t xml:space="preserve">и след многократно приложение на 1 000 </w:t>
      </w:r>
      <w:r w:rsidRPr="00813F46">
        <w:rPr>
          <w:rFonts w:eastAsia="Times New Roman" w:cs="Arial"/>
          <w:color w:val="000000"/>
          <w:lang w:val="en-US"/>
        </w:rPr>
        <w:t>mg</w:t>
      </w:r>
      <w:r w:rsidRPr="00813F46">
        <w:rPr>
          <w:rFonts w:eastAsia="Times New Roman" w:cs="Arial"/>
          <w:color w:val="000000"/>
          <w:lang w:val="ru-RU"/>
        </w:rPr>
        <w:t xml:space="preserve"> </w:t>
      </w:r>
      <w:r w:rsidRPr="00813F46">
        <w:rPr>
          <w:rFonts w:eastAsia="Times New Roman" w:cs="Arial"/>
          <w:color w:val="000000"/>
          <w:lang w:eastAsia="bg-BG"/>
        </w:rPr>
        <w:t>два пъти дневно.</w:t>
      </w:r>
    </w:p>
    <w:p w14:paraId="4C2721BC" w14:textId="77777777" w:rsidR="00F26B25" w:rsidRPr="00813F46" w:rsidRDefault="00F26B25" w:rsidP="00F26B25">
      <w:pPr>
        <w:spacing w:line="240" w:lineRule="auto"/>
        <w:rPr>
          <w:rFonts w:eastAsia="Times New Roman" w:cs="Arial"/>
        </w:rPr>
      </w:pPr>
      <w:r w:rsidRPr="00813F46">
        <w:rPr>
          <w:rFonts w:eastAsia="Times New Roman" w:cs="Arial"/>
          <w:color w:val="000000"/>
          <w:lang w:eastAsia="bg-BG"/>
        </w:rPr>
        <w:t>Степента на абсорбция не зависи от дозата и не се влияе от храната.</w:t>
      </w:r>
    </w:p>
    <w:p w14:paraId="106539F6" w14:textId="77777777" w:rsidR="00F26B25" w:rsidRPr="00813F46" w:rsidRDefault="00F26B25" w:rsidP="00F26B25">
      <w:pPr>
        <w:spacing w:line="240" w:lineRule="auto"/>
        <w:rPr>
          <w:rFonts w:eastAsia="Times New Roman" w:cs="Arial"/>
          <w:color w:val="000000"/>
          <w:u w:val="single"/>
          <w:lang w:eastAsia="bg-BG"/>
        </w:rPr>
      </w:pPr>
    </w:p>
    <w:p w14:paraId="14460F47" w14:textId="50CE2B70" w:rsidR="00F26B25" w:rsidRPr="00813F46" w:rsidRDefault="00F26B25" w:rsidP="00813F46">
      <w:pPr>
        <w:pStyle w:val="Heading3"/>
        <w:rPr>
          <w:rFonts w:eastAsia="Times New Roman"/>
          <w:u w:val="single"/>
        </w:rPr>
      </w:pPr>
      <w:r w:rsidRPr="00813F46">
        <w:rPr>
          <w:rFonts w:eastAsia="Times New Roman"/>
          <w:u w:val="single"/>
          <w:lang w:eastAsia="bg-BG"/>
        </w:rPr>
        <w:t>Разпределение</w:t>
      </w:r>
    </w:p>
    <w:p w14:paraId="7BA6E3E9" w14:textId="77777777" w:rsidR="00F26B25" w:rsidRPr="00813F46" w:rsidRDefault="00F26B25" w:rsidP="00F26B25">
      <w:pPr>
        <w:spacing w:line="240" w:lineRule="auto"/>
        <w:rPr>
          <w:rFonts w:eastAsia="Times New Roman" w:cs="Arial"/>
          <w:color w:val="000000"/>
          <w:lang w:eastAsia="bg-BG"/>
        </w:rPr>
      </w:pPr>
    </w:p>
    <w:p w14:paraId="5EC4D26F" w14:textId="166D56C8" w:rsidR="00F26B25" w:rsidRPr="00813F46" w:rsidRDefault="00F26B25" w:rsidP="00F26B25">
      <w:pPr>
        <w:spacing w:line="240" w:lineRule="auto"/>
        <w:rPr>
          <w:rFonts w:eastAsia="Times New Roman" w:cs="Arial"/>
        </w:rPr>
      </w:pPr>
      <w:r w:rsidRPr="00813F46">
        <w:rPr>
          <w:rFonts w:eastAsia="Times New Roman" w:cs="Arial"/>
          <w:color w:val="000000"/>
          <w:lang w:eastAsia="bg-BG"/>
        </w:rPr>
        <w:t>Няма налични данни за тьканното разпределение при хора.</w:t>
      </w:r>
    </w:p>
    <w:p w14:paraId="3FC9DCA4" w14:textId="77777777" w:rsidR="00F26B25" w:rsidRPr="00813F46" w:rsidRDefault="00F26B25" w:rsidP="00F26B25">
      <w:pPr>
        <w:spacing w:line="240" w:lineRule="auto"/>
        <w:rPr>
          <w:rFonts w:eastAsia="Times New Roman" w:cs="Arial"/>
        </w:rPr>
      </w:pPr>
      <w:r w:rsidRPr="00813F46">
        <w:rPr>
          <w:rFonts w:eastAsia="Times New Roman" w:cs="Arial"/>
          <w:color w:val="000000"/>
          <w:lang w:eastAsia="bg-BG"/>
        </w:rPr>
        <w:t>Нито леветирацетам, нито неговия първичен метаболит се свързват в значителна степен с плазмените протеини (&lt; 10 %).</w:t>
      </w:r>
    </w:p>
    <w:p w14:paraId="3E226422" w14:textId="77777777" w:rsidR="00F26B25" w:rsidRPr="00813F46" w:rsidRDefault="00F26B25" w:rsidP="00F26B25">
      <w:pPr>
        <w:spacing w:line="240" w:lineRule="auto"/>
        <w:rPr>
          <w:rFonts w:eastAsia="Times New Roman" w:cs="Arial"/>
        </w:rPr>
      </w:pPr>
      <w:r w:rsidRPr="00813F46">
        <w:rPr>
          <w:rFonts w:eastAsia="Times New Roman" w:cs="Arial"/>
          <w:color w:val="000000"/>
          <w:lang w:eastAsia="bg-BG"/>
        </w:rPr>
        <w:t xml:space="preserve">Обемът на разпределение на леветирацетам е приблизително 0,5 до 0,7 </w:t>
      </w:r>
      <w:r w:rsidRPr="00813F46">
        <w:rPr>
          <w:rFonts w:eastAsia="Times New Roman" w:cs="Arial"/>
          <w:color w:val="000000"/>
          <w:lang w:val="ru-RU"/>
        </w:rPr>
        <w:t>1/</w:t>
      </w:r>
      <w:r w:rsidRPr="00813F46">
        <w:rPr>
          <w:rFonts w:eastAsia="Times New Roman" w:cs="Arial"/>
          <w:color w:val="000000"/>
          <w:lang w:val="en-US"/>
        </w:rPr>
        <w:t>kg</w:t>
      </w:r>
      <w:r w:rsidRPr="00813F46">
        <w:rPr>
          <w:rFonts w:eastAsia="Times New Roman" w:cs="Arial"/>
          <w:color w:val="000000"/>
          <w:lang w:val="ru-RU"/>
        </w:rPr>
        <w:t xml:space="preserve">, </w:t>
      </w:r>
      <w:r w:rsidRPr="00813F46">
        <w:rPr>
          <w:rFonts w:eastAsia="Times New Roman" w:cs="Arial"/>
          <w:color w:val="000000"/>
          <w:lang w:eastAsia="bg-BG"/>
        </w:rPr>
        <w:t>което е близо до общия воден обем на организма.</w:t>
      </w:r>
    </w:p>
    <w:p w14:paraId="092DB8B9" w14:textId="77777777" w:rsidR="00813F46" w:rsidRPr="00813F46" w:rsidRDefault="00813F46" w:rsidP="00F26B25">
      <w:pPr>
        <w:spacing w:line="240" w:lineRule="auto"/>
        <w:rPr>
          <w:rFonts w:eastAsia="Times New Roman" w:cs="Arial"/>
          <w:color w:val="000000"/>
          <w:u w:val="single"/>
          <w:lang w:eastAsia="bg-BG"/>
        </w:rPr>
      </w:pPr>
    </w:p>
    <w:p w14:paraId="48683D0D" w14:textId="27A53D4F" w:rsidR="00F26B25" w:rsidRPr="00813F46" w:rsidRDefault="00F26B25" w:rsidP="00813F46">
      <w:pPr>
        <w:pStyle w:val="Heading3"/>
        <w:rPr>
          <w:rFonts w:eastAsia="Times New Roman"/>
          <w:u w:val="single"/>
        </w:rPr>
      </w:pPr>
      <w:r w:rsidRPr="00813F46">
        <w:rPr>
          <w:rFonts w:eastAsia="Times New Roman"/>
          <w:u w:val="single"/>
          <w:lang w:eastAsia="bg-BG"/>
        </w:rPr>
        <w:t>Биотрансформация</w:t>
      </w:r>
    </w:p>
    <w:p w14:paraId="37EC101E" w14:textId="77777777" w:rsidR="00813F46" w:rsidRPr="00813F46" w:rsidRDefault="00813F46" w:rsidP="00F26B25">
      <w:pPr>
        <w:spacing w:line="240" w:lineRule="auto"/>
        <w:rPr>
          <w:rFonts w:eastAsia="Times New Roman" w:cs="Arial"/>
          <w:color w:val="000000"/>
          <w:lang w:eastAsia="bg-BG"/>
        </w:rPr>
      </w:pPr>
    </w:p>
    <w:p w14:paraId="61FAE740" w14:textId="3A144D73" w:rsidR="00F26B25" w:rsidRPr="00813F46" w:rsidRDefault="00F26B25" w:rsidP="00F26B25">
      <w:pPr>
        <w:spacing w:line="240" w:lineRule="auto"/>
        <w:rPr>
          <w:rFonts w:eastAsia="Times New Roman" w:cs="Arial"/>
        </w:rPr>
      </w:pPr>
      <w:r w:rsidRPr="00813F46">
        <w:rPr>
          <w:rFonts w:eastAsia="Times New Roman" w:cs="Arial"/>
          <w:color w:val="000000"/>
          <w:lang w:eastAsia="bg-BG"/>
        </w:rPr>
        <w:t xml:space="preserve">Леветирацетам не се метаболизира екстензивно при хора. Главният път на метаболизъм (24 % от дозата) е ензимна хидролиза на ацетамидната група. В образуването на първичния метаболит, </w:t>
      </w:r>
      <w:proofErr w:type="spellStart"/>
      <w:r w:rsidRPr="00813F46">
        <w:rPr>
          <w:rFonts w:eastAsia="Times New Roman" w:cs="Arial"/>
          <w:color w:val="000000"/>
          <w:lang w:val="en-US"/>
        </w:rPr>
        <w:t>ucb</w:t>
      </w:r>
      <w:proofErr w:type="spellEnd"/>
      <w:r w:rsidRPr="00813F46">
        <w:rPr>
          <w:rFonts w:eastAsia="Times New Roman" w:cs="Arial"/>
          <w:color w:val="000000"/>
          <w:lang w:val="ru-RU"/>
        </w:rPr>
        <w:t xml:space="preserve"> </w:t>
      </w:r>
      <w:r w:rsidRPr="00813F46">
        <w:rPr>
          <w:rFonts w:eastAsia="Times New Roman" w:cs="Arial"/>
          <w:color w:val="000000"/>
          <w:lang w:val="en-US"/>
        </w:rPr>
        <w:t>L</w:t>
      </w:r>
      <w:r w:rsidRPr="00813F46">
        <w:rPr>
          <w:rFonts w:eastAsia="Times New Roman" w:cs="Arial"/>
          <w:color w:val="000000"/>
          <w:lang w:val="ru-RU"/>
        </w:rPr>
        <w:t xml:space="preserve">057, </w:t>
      </w:r>
      <w:r w:rsidRPr="00813F46">
        <w:rPr>
          <w:rFonts w:eastAsia="Times New Roman" w:cs="Arial"/>
          <w:color w:val="000000"/>
          <w:lang w:eastAsia="bg-BG"/>
        </w:rPr>
        <w:t>не участват чернодробните цитохром Р</w:t>
      </w:r>
      <w:r w:rsidRPr="00813F46">
        <w:rPr>
          <w:rFonts w:eastAsia="Times New Roman" w:cs="Arial"/>
          <w:color w:val="000000"/>
          <w:vertAlign w:val="subscript"/>
          <w:lang w:eastAsia="bg-BG"/>
        </w:rPr>
        <w:t>450</w:t>
      </w:r>
      <w:r w:rsidRPr="00813F46">
        <w:rPr>
          <w:rFonts w:eastAsia="Times New Roman" w:cs="Arial"/>
          <w:color w:val="000000"/>
          <w:lang w:val="ru-RU"/>
        </w:rPr>
        <w:t xml:space="preserve"> </w:t>
      </w:r>
      <w:r w:rsidRPr="00813F46">
        <w:rPr>
          <w:rFonts w:eastAsia="Times New Roman" w:cs="Arial"/>
          <w:color w:val="000000"/>
          <w:lang w:eastAsia="bg-BG"/>
        </w:rPr>
        <w:t>изоформи. Хидролизата на ацетамидната група е установена в голям брой тъкани, включително кръвни клетки.</w:t>
      </w:r>
    </w:p>
    <w:p w14:paraId="71865FAF" w14:textId="77777777" w:rsidR="00F26B25" w:rsidRPr="00813F46" w:rsidRDefault="00F26B25" w:rsidP="00F26B25">
      <w:pPr>
        <w:spacing w:line="240" w:lineRule="auto"/>
        <w:rPr>
          <w:rFonts w:eastAsia="Times New Roman" w:cs="Arial"/>
        </w:rPr>
      </w:pPr>
      <w:r w:rsidRPr="00813F46">
        <w:rPr>
          <w:rFonts w:eastAsia="Times New Roman" w:cs="Arial"/>
          <w:color w:val="000000"/>
          <w:lang w:eastAsia="bg-BG"/>
        </w:rPr>
        <w:t xml:space="preserve">Метаболитьт </w:t>
      </w:r>
      <w:proofErr w:type="spellStart"/>
      <w:r w:rsidRPr="00813F46">
        <w:rPr>
          <w:rFonts w:eastAsia="Times New Roman" w:cs="Arial"/>
          <w:color w:val="000000"/>
          <w:lang w:val="en-US"/>
        </w:rPr>
        <w:t>ucb</w:t>
      </w:r>
      <w:proofErr w:type="spellEnd"/>
      <w:r w:rsidRPr="00813F46">
        <w:rPr>
          <w:rFonts w:eastAsia="Times New Roman" w:cs="Arial"/>
          <w:color w:val="000000"/>
          <w:lang w:val="ru-RU"/>
        </w:rPr>
        <w:t xml:space="preserve"> </w:t>
      </w:r>
      <w:r w:rsidRPr="00813F46">
        <w:rPr>
          <w:rFonts w:eastAsia="Times New Roman" w:cs="Arial"/>
          <w:color w:val="000000"/>
          <w:lang w:val="en-US"/>
        </w:rPr>
        <w:t>L</w:t>
      </w:r>
      <w:r w:rsidRPr="00813F46">
        <w:rPr>
          <w:rFonts w:eastAsia="Times New Roman" w:cs="Arial"/>
          <w:color w:val="000000"/>
          <w:lang w:val="ru-RU"/>
        </w:rPr>
        <w:t xml:space="preserve">057 </w:t>
      </w:r>
      <w:r w:rsidRPr="00813F46">
        <w:rPr>
          <w:rFonts w:eastAsia="Times New Roman" w:cs="Arial"/>
          <w:color w:val="000000"/>
          <w:lang w:eastAsia="bg-BG"/>
        </w:rPr>
        <w:t>е фармакологично неактивен.</w:t>
      </w:r>
    </w:p>
    <w:p w14:paraId="2058F2BE" w14:textId="77777777" w:rsidR="00813F46" w:rsidRPr="00813F46" w:rsidRDefault="00813F46" w:rsidP="00F26B25">
      <w:pPr>
        <w:spacing w:line="240" w:lineRule="auto"/>
        <w:rPr>
          <w:rFonts w:eastAsia="Times New Roman" w:cs="Arial"/>
          <w:color w:val="000000"/>
          <w:lang w:eastAsia="bg-BG"/>
        </w:rPr>
      </w:pPr>
    </w:p>
    <w:p w14:paraId="4B11A9D2" w14:textId="7633127B" w:rsidR="00F26B25" w:rsidRPr="00813F46" w:rsidRDefault="00F26B25" w:rsidP="00F26B25">
      <w:pPr>
        <w:spacing w:line="240" w:lineRule="auto"/>
        <w:rPr>
          <w:rFonts w:eastAsia="Times New Roman" w:cs="Arial"/>
        </w:rPr>
      </w:pPr>
      <w:r w:rsidRPr="00813F46">
        <w:rPr>
          <w:rFonts w:eastAsia="Times New Roman" w:cs="Arial"/>
          <w:color w:val="000000"/>
          <w:lang w:eastAsia="bg-BG"/>
        </w:rPr>
        <w:t>Установени са също и два второстепенни метаболита. Единият се получава от хидроксилирането на пиролидоновия пръстен (1,6 % от дозата), а другият от отварянето на пиролидоновия пръстен (0,9 % от дозата). Другите неидентифицирани компоненти съставляват само 0,6 % от дозата.</w:t>
      </w:r>
    </w:p>
    <w:p w14:paraId="0EC228F8" w14:textId="77777777" w:rsidR="00813F46" w:rsidRPr="00813F46" w:rsidRDefault="00813F46" w:rsidP="00F26B25">
      <w:pPr>
        <w:spacing w:line="240" w:lineRule="auto"/>
        <w:rPr>
          <w:rFonts w:eastAsia="Times New Roman" w:cs="Arial"/>
          <w:i/>
          <w:iCs/>
          <w:color w:val="000000"/>
          <w:lang w:val="en-US"/>
        </w:rPr>
      </w:pPr>
    </w:p>
    <w:p w14:paraId="7FACB0D5" w14:textId="2149294D" w:rsidR="00F26B25" w:rsidRPr="00813F46" w:rsidRDefault="00F26B25" w:rsidP="00F26B25">
      <w:pPr>
        <w:spacing w:line="240" w:lineRule="auto"/>
        <w:rPr>
          <w:rFonts w:eastAsia="Times New Roman" w:cs="Arial"/>
        </w:rPr>
      </w:pPr>
      <w:r w:rsidRPr="00813F46">
        <w:rPr>
          <w:rFonts w:eastAsia="Times New Roman" w:cs="Arial"/>
          <w:i/>
          <w:iCs/>
          <w:color w:val="000000"/>
          <w:lang w:val="en-US"/>
        </w:rPr>
        <w:t>In</w:t>
      </w:r>
      <w:r w:rsidRPr="00813F46">
        <w:rPr>
          <w:rFonts w:eastAsia="Times New Roman" w:cs="Arial"/>
          <w:i/>
          <w:iCs/>
          <w:color w:val="000000"/>
          <w:lang w:val="ru-RU"/>
        </w:rPr>
        <w:t xml:space="preserve"> </w:t>
      </w:r>
      <w:r w:rsidRPr="00813F46">
        <w:rPr>
          <w:rFonts w:eastAsia="Times New Roman" w:cs="Arial"/>
          <w:i/>
          <w:iCs/>
          <w:color w:val="000000"/>
          <w:lang w:val="en-US"/>
        </w:rPr>
        <w:t>vivo</w:t>
      </w:r>
      <w:r w:rsidRPr="00813F46">
        <w:rPr>
          <w:rFonts w:eastAsia="Times New Roman" w:cs="Arial"/>
          <w:color w:val="000000"/>
          <w:lang w:val="ru-RU"/>
        </w:rPr>
        <w:t xml:space="preserve"> </w:t>
      </w:r>
      <w:r w:rsidRPr="00813F46">
        <w:rPr>
          <w:rFonts w:eastAsia="Times New Roman" w:cs="Arial"/>
          <w:color w:val="000000"/>
          <w:lang w:eastAsia="bg-BG"/>
        </w:rPr>
        <w:t>не е установена вътрешна конверсия на енантиомерите както на леветирацетам, така и на неговия първичен метаболит.</w:t>
      </w:r>
    </w:p>
    <w:p w14:paraId="394182F1" w14:textId="77777777" w:rsidR="00813F46" w:rsidRPr="00813F46" w:rsidRDefault="00813F46" w:rsidP="00F26B25">
      <w:pPr>
        <w:spacing w:line="240" w:lineRule="auto"/>
        <w:rPr>
          <w:rFonts w:eastAsia="Times New Roman" w:cs="Arial"/>
          <w:i/>
          <w:iCs/>
          <w:color w:val="000000"/>
          <w:lang w:val="ru-RU"/>
        </w:rPr>
      </w:pPr>
    </w:p>
    <w:p w14:paraId="1F08C987" w14:textId="0F6538D2" w:rsidR="00F26B25" w:rsidRPr="00813F46" w:rsidRDefault="00F26B25" w:rsidP="00F26B25">
      <w:pPr>
        <w:spacing w:line="240" w:lineRule="auto"/>
        <w:rPr>
          <w:rFonts w:eastAsia="Times New Roman" w:cs="Arial"/>
        </w:rPr>
      </w:pPr>
      <w:r w:rsidRPr="00813F46">
        <w:rPr>
          <w:rFonts w:eastAsia="Times New Roman" w:cs="Arial"/>
          <w:i/>
          <w:iCs/>
          <w:color w:val="000000"/>
          <w:lang w:val="en-US"/>
        </w:rPr>
        <w:t>In</w:t>
      </w:r>
      <w:r w:rsidRPr="00813F46">
        <w:rPr>
          <w:rFonts w:eastAsia="Times New Roman" w:cs="Arial"/>
          <w:i/>
          <w:iCs/>
          <w:color w:val="000000"/>
          <w:lang w:val="ru-RU"/>
        </w:rPr>
        <w:t xml:space="preserve"> </w:t>
      </w:r>
      <w:r w:rsidRPr="00813F46">
        <w:rPr>
          <w:rFonts w:eastAsia="Times New Roman" w:cs="Arial"/>
          <w:i/>
          <w:iCs/>
          <w:color w:val="000000"/>
          <w:lang w:val="en-US"/>
        </w:rPr>
        <w:t>vitro</w:t>
      </w:r>
      <w:r w:rsidRPr="00813F46">
        <w:rPr>
          <w:rFonts w:eastAsia="Times New Roman" w:cs="Arial"/>
          <w:i/>
          <w:iCs/>
          <w:color w:val="000000"/>
          <w:lang w:val="ru-RU"/>
        </w:rPr>
        <w:t>,</w:t>
      </w:r>
      <w:r w:rsidRPr="00813F46">
        <w:rPr>
          <w:rFonts w:eastAsia="Times New Roman" w:cs="Arial"/>
          <w:color w:val="000000"/>
          <w:lang w:val="ru-RU"/>
        </w:rPr>
        <w:t xml:space="preserve"> </w:t>
      </w:r>
      <w:r w:rsidRPr="00813F46">
        <w:rPr>
          <w:rFonts w:eastAsia="Times New Roman" w:cs="Arial"/>
          <w:color w:val="000000"/>
          <w:lang w:eastAsia="bg-BG"/>
        </w:rPr>
        <w:t xml:space="preserve">леветирацетам и неговият първичен метаболит не инхибират изоформите на главния чернодробен комплекс при хората - цитохром </w:t>
      </w:r>
      <w:proofErr w:type="gramStart"/>
      <w:r w:rsidRPr="00813F46">
        <w:rPr>
          <w:rFonts w:eastAsia="Times New Roman" w:cs="Arial"/>
          <w:color w:val="000000"/>
          <w:lang w:val="en-US"/>
        </w:rPr>
        <w:t>P</w:t>
      </w:r>
      <w:r w:rsidRPr="00813F46">
        <w:rPr>
          <w:rFonts w:eastAsia="Times New Roman" w:cs="Arial"/>
          <w:color w:val="000000"/>
          <w:vertAlign w:val="subscript"/>
          <w:lang w:val="ru-RU"/>
        </w:rPr>
        <w:t>450</w:t>
      </w:r>
      <w:r w:rsidRPr="00813F46">
        <w:rPr>
          <w:rFonts w:eastAsia="Times New Roman" w:cs="Arial"/>
          <w:color w:val="000000"/>
          <w:lang w:val="ru-RU"/>
        </w:rPr>
        <w:t>(</w:t>
      </w:r>
      <w:proofErr w:type="gramEnd"/>
      <w:r w:rsidRPr="00813F46">
        <w:rPr>
          <w:rFonts w:eastAsia="Times New Roman" w:cs="Arial"/>
          <w:color w:val="000000"/>
          <w:lang w:val="en-US"/>
        </w:rPr>
        <w:t>CYP</w:t>
      </w:r>
      <w:r w:rsidRPr="00813F46">
        <w:rPr>
          <w:rFonts w:eastAsia="Times New Roman" w:cs="Arial"/>
          <w:color w:val="000000"/>
          <w:lang w:val="ru-RU"/>
        </w:rPr>
        <w:t>3</w:t>
      </w:r>
      <w:r w:rsidRPr="00813F46">
        <w:rPr>
          <w:rFonts w:eastAsia="Times New Roman" w:cs="Arial"/>
          <w:color w:val="000000"/>
          <w:lang w:val="en-US"/>
        </w:rPr>
        <w:t>A</w:t>
      </w:r>
      <w:r w:rsidRPr="00813F46">
        <w:rPr>
          <w:rFonts w:eastAsia="Times New Roman" w:cs="Arial"/>
          <w:color w:val="000000"/>
          <w:lang w:val="ru-RU"/>
        </w:rPr>
        <w:t>4,</w:t>
      </w:r>
      <w:r w:rsidRPr="00813F46">
        <w:rPr>
          <w:rFonts w:eastAsia="Times New Roman" w:cs="Arial"/>
          <w:color w:val="000000"/>
          <w:lang w:eastAsia="bg-BG"/>
        </w:rPr>
        <w:t xml:space="preserve"> 2А6, 2С9, 2С19, </w:t>
      </w:r>
      <w:r w:rsidRPr="00813F46">
        <w:rPr>
          <w:rFonts w:eastAsia="Times New Roman" w:cs="Arial"/>
          <w:color w:val="000000"/>
          <w:lang w:val="ru-RU"/>
        </w:rPr>
        <w:t>2</w:t>
      </w:r>
      <w:r w:rsidRPr="00813F46">
        <w:rPr>
          <w:rFonts w:eastAsia="Times New Roman" w:cs="Arial"/>
          <w:color w:val="000000"/>
          <w:lang w:val="en-US"/>
        </w:rPr>
        <w:t>D</w:t>
      </w:r>
      <w:r w:rsidRPr="00813F46">
        <w:rPr>
          <w:rFonts w:eastAsia="Times New Roman" w:cs="Arial"/>
          <w:color w:val="000000"/>
          <w:lang w:val="ru-RU"/>
        </w:rPr>
        <w:t xml:space="preserve">6, </w:t>
      </w:r>
      <w:r w:rsidRPr="00813F46">
        <w:rPr>
          <w:rFonts w:eastAsia="Times New Roman" w:cs="Arial"/>
          <w:color w:val="000000"/>
          <w:lang w:eastAsia="bg-BG"/>
        </w:rPr>
        <w:t xml:space="preserve">2Е1 и 1А2), глюкуронил трансферазата </w:t>
      </w:r>
      <w:r w:rsidRPr="00813F46">
        <w:rPr>
          <w:rFonts w:eastAsia="Times New Roman" w:cs="Arial"/>
          <w:color w:val="000000"/>
          <w:lang w:val="ru-RU"/>
        </w:rPr>
        <w:t>(</w:t>
      </w:r>
      <w:r w:rsidRPr="00813F46">
        <w:rPr>
          <w:rFonts w:eastAsia="Times New Roman" w:cs="Arial"/>
          <w:color w:val="000000"/>
          <w:lang w:val="en-US"/>
        </w:rPr>
        <w:t>UGT</w:t>
      </w:r>
      <w:r w:rsidRPr="00813F46">
        <w:rPr>
          <w:rFonts w:eastAsia="Times New Roman" w:cs="Arial"/>
          <w:color w:val="000000"/>
          <w:lang w:val="ru-RU"/>
        </w:rPr>
        <w:t>1</w:t>
      </w:r>
      <w:r w:rsidRPr="00813F46">
        <w:rPr>
          <w:rFonts w:eastAsia="Times New Roman" w:cs="Arial"/>
          <w:color w:val="000000"/>
          <w:lang w:eastAsia="bg-BG"/>
        </w:rPr>
        <w:t xml:space="preserve">А1 и </w:t>
      </w:r>
      <w:r w:rsidRPr="00813F46">
        <w:rPr>
          <w:rFonts w:eastAsia="Times New Roman" w:cs="Arial"/>
          <w:color w:val="000000"/>
          <w:lang w:val="en-US"/>
        </w:rPr>
        <w:t>UGT</w:t>
      </w:r>
      <w:r w:rsidRPr="00813F46">
        <w:rPr>
          <w:rFonts w:eastAsia="Times New Roman" w:cs="Arial"/>
          <w:color w:val="000000"/>
          <w:lang w:val="ru-RU"/>
        </w:rPr>
        <w:t>1</w:t>
      </w:r>
      <w:r w:rsidRPr="00813F46">
        <w:rPr>
          <w:rFonts w:eastAsia="Times New Roman" w:cs="Arial"/>
          <w:color w:val="000000"/>
          <w:lang w:val="en-US"/>
        </w:rPr>
        <w:t>A</w:t>
      </w:r>
      <w:r w:rsidRPr="00813F46">
        <w:rPr>
          <w:rFonts w:eastAsia="Times New Roman" w:cs="Arial"/>
          <w:color w:val="000000"/>
          <w:lang w:val="ru-RU"/>
        </w:rPr>
        <w:t xml:space="preserve">6) </w:t>
      </w:r>
      <w:r w:rsidRPr="00813F46">
        <w:rPr>
          <w:rFonts w:eastAsia="Times New Roman" w:cs="Arial"/>
          <w:color w:val="000000"/>
          <w:lang w:eastAsia="bg-BG"/>
        </w:rPr>
        <w:t xml:space="preserve">и епоксид хидроксилазната </w:t>
      </w:r>
      <w:r w:rsidRPr="00813F46">
        <w:rPr>
          <w:rFonts w:eastAsia="Times New Roman" w:cs="Arial"/>
          <w:color w:val="000000"/>
          <w:lang w:eastAsia="bg-BG"/>
        </w:rPr>
        <w:lastRenderedPageBreak/>
        <w:t xml:space="preserve">активност. В допълнение, леветирацетам не въздейства </w:t>
      </w:r>
      <w:r w:rsidRPr="00813F46">
        <w:rPr>
          <w:rFonts w:eastAsia="Times New Roman" w:cs="Arial"/>
          <w:i/>
          <w:iCs/>
          <w:color w:val="000000"/>
          <w:lang w:val="en-US"/>
        </w:rPr>
        <w:t>in</w:t>
      </w:r>
      <w:r w:rsidRPr="00813F46">
        <w:rPr>
          <w:rFonts w:eastAsia="Times New Roman" w:cs="Arial"/>
          <w:i/>
          <w:iCs/>
          <w:color w:val="000000"/>
          <w:lang w:val="ru-RU"/>
        </w:rPr>
        <w:t xml:space="preserve"> </w:t>
      </w:r>
      <w:r w:rsidRPr="00813F46">
        <w:rPr>
          <w:rFonts w:eastAsia="Times New Roman" w:cs="Arial"/>
          <w:i/>
          <w:iCs/>
          <w:color w:val="000000"/>
          <w:lang w:val="en-US"/>
        </w:rPr>
        <w:t>vitro</w:t>
      </w:r>
      <w:r w:rsidRPr="00813F46">
        <w:rPr>
          <w:rFonts w:eastAsia="Times New Roman" w:cs="Arial"/>
          <w:color w:val="000000"/>
          <w:lang w:val="ru-RU"/>
        </w:rPr>
        <w:t xml:space="preserve"> </w:t>
      </w:r>
      <w:r w:rsidRPr="00813F46">
        <w:rPr>
          <w:rFonts w:eastAsia="Times New Roman" w:cs="Arial"/>
          <w:color w:val="000000"/>
          <w:lang w:eastAsia="bg-BG"/>
        </w:rPr>
        <w:t>върху глюкуронирането на валпроева</w:t>
      </w:r>
    </w:p>
    <w:p w14:paraId="2F27F41F" w14:textId="77777777" w:rsidR="00F26B25" w:rsidRPr="00813F46" w:rsidRDefault="00F26B25" w:rsidP="00F26B25">
      <w:pPr>
        <w:spacing w:line="240" w:lineRule="auto"/>
        <w:rPr>
          <w:rFonts w:eastAsia="Times New Roman" w:cs="Arial"/>
        </w:rPr>
      </w:pPr>
      <w:r w:rsidRPr="00813F46">
        <w:rPr>
          <w:rFonts w:eastAsia="Times New Roman" w:cs="Arial"/>
          <w:color w:val="000000"/>
          <w:lang w:eastAsia="bg-BG"/>
        </w:rPr>
        <w:t>киселина.</w:t>
      </w:r>
    </w:p>
    <w:p w14:paraId="2ACD05F5" w14:textId="77777777" w:rsidR="00F26B25" w:rsidRPr="00813F46" w:rsidRDefault="00F26B25" w:rsidP="00F26B25">
      <w:pPr>
        <w:spacing w:line="240" w:lineRule="auto"/>
        <w:rPr>
          <w:rFonts w:eastAsia="Times New Roman" w:cs="Arial"/>
        </w:rPr>
      </w:pPr>
      <w:r w:rsidRPr="00813F46">
        <w:rPr>
          <w:rFonts w:eastAsia="Times New Roman" w:cs="Arial"/>
          <w:color w:val="000000"/>
          <w:lang w:eastAsia="bg-BG"/>
        </w:rPr>
        <w:t>В култури от човешки хепатоцити леветирацетам оказва слаб или не оказва ефект върху</w:t>
      </w:r>
    </w:p>
    <w:p w14:paraId="166A406E" w14:textId="49AA7C33" w:rsidR="00F26B25" w:rsidRPr="00813F46" w:rsidRDefault="00F26B25" w:rsidP="00F26B25">
      <w:pPr>
        <w:spacing w:line="240" w:lineRule="auto"/>
        <w:rPr>
          <w:rFonts w:eastAsia="Times New Roman" w:cs="Arial"/>
          <w:color w:val="000000"/>
          <w:lang w:eastAsia="bg-BG"/>
        </w:rPr>
      </w:pPr>
      <w:r w:rsidRPr="00813F46">
        <w:rPr>
          <w:rFonts w:eastAsia="Times New Roman" w:cs="Arial"/>
          <w:color w:val="000000"/>
          <w:lang w:val="en-US"/>
        </w:rPr>
        <w:t>CYP</w:t>
      </w:r>
      <w:r w:rsidRPr="00813F46">
        <w:rPr>
          <w:rFonts w:eastAsia="Times New Roman" w:cs="Arial"/>
          <w:color w:val="000000"/>
          <w:lang w:val="ru-RU"/>
        </w:rPr>
        <w:t>1</w:t>
      </w:r>
      <w:r w:rsidRPr="00813F46">
        <w:rPr>
          <w:rFonts w:eastAsia="Times New Roman" w:cs="Arial"/>
          <w:color w:val="000000"/>
          <w:lang w:eastAsia="bg-BG"/>
        </w:rPr>
        <w:t xml:space="preserve">А2, </w:t>
      </w:r>
      <w:r w:rsidRPr="00813F46">
        <w:rPr>
          <w:rFonts w:eastAsia="Times New Roman" w:cs="Arial"/>
          <w:color w:val="000000"/>
          <w:lang w:val="en-US"/>
        </w:rPr>
        <w:t>SULT</w:t>
      </w:r>
      <w:r w:rsidRPr="00813F46">
        <w:rPr>
          <w:rFonts w:eastAsia="Times New Roman" w:cs="Arial"/>
          <w:color w:val="000000"/>
          <w:lang w:val="ru-RU"/>
        </w:rPr>
        <w:t>1</w:t>
      </w:r>
      <w:r w:rsidRPr="00813F46">
        <w:rPr>
          <w:rFonts w:eastAsia="Times New Roman" w:cs="Arial"/>
          <w:color w:val="000000"/>
          <w:lang w:val="en-US"/>
        </w:rPr>
        <w:t>E</w:t>
      </w:r>
      <w:r w:rsidRPr="00813F46">
        <w:rPr>
          <w:rFonts w:eastAsia="Times New Roman" w:cs="Arial"/>
          <w:color w:val="000000"/>
          <w:lang w:val="ru-RU"/>
        </w:rPr>
        <w:t xml:space="preserve">1 </w:t>
      </w:r>
      <w:r w:rsidRPr="00813F46">
        <w:rPr>
          <w:rFonts w:eastAsia="Times New Roman" w:cs="Arial"/>
          <w:color w:val="000000"/>
          <w:lang w:eastAsia="bg-BG"/>
        </w:rPr>
        <w:t xml:space="preserve">или </w:t>
      </w:r>
      <w:r w:rsidRPr="00813F46">
        <w:rPr>
          <w:rFonts w:eastAsia="Times New Roman" w:cs="Arial"/>
          <w:color w:val="000000"/>
          <w:lang w:val="en-US"/>
        </w:rPr>
        <w:t>UGT</w:t>
      </w:r>
      <w:r w:rsidRPr="00813F46">
        <w:rPr>
          <w:rFonts w:eastAsia="Times New Roman" w:cs="Arial"/>
          <w:color w:val="000000"/>
          <w:lang w:val="ru-RU"/>
        </w:rPr>
        <w:t>1</w:t>
      </w:r>
      <w:r w:rsidRPr="00813F46">
        <w:rPr>
          <w:rFonts w:eastAsia="Times New Roman" w:cs="Arial"/>
          <w:color w:val="000000"/>
          <w:lang w:eastAsia="bg-BG"/>
        </w:rPr>
        <w:t xml:space="preserve">А1. Леветирацетам слабо индуцира </w:t>
      </w:r>
      <w:r w:rsidRPr="00813F46">
        <w:rPr>
          <w:rFonts w:eastAsia="Times New Roman" w:cs="Arial"/>
          <w:color w:val="000000"/>
          <w:lang w:val="en-US"/>
        </w:rPr>
        <w:t>CYP</w:t>
      </w:r>
      <w:r w:rsidRPr="00813F46">
        <w:rPr>
          <w:rFonts w:eastAsia="Times New Roman" w:cs="Arial"/>
          <w:color w:val="000000"/>
          <w:lang w:val="ru-RU"/>
        </w:rPr>
        <w:t>2</w:t>
      </w:r>
      <w:r w:rsidRPr="00813F46">
        <w:rPr>
          <w:rFonts w:eastAsia="Times New Roman" w:cs="Arial"/>
          <w:color w:val="000000"/>
          <w:lang w:val="en-US"/>
        </w:rPr>
        <w:t>B</w:t>
      </w:r>
      <w:r w:rsidRPr="00813F46">
        <w:rPr>
          <w:rFonts w:eastAsia="Times New Roman" w:cs="Arial"/>
          <w:color w:val="000000"/>
          <w:lang w:val="ru-RU"/>
        </w:rPr>
        <w:t xml:space="preserve">6 </w:t>
      </w:r>
      <w:r w:rsidRPr="00813F46">
        <w:rPr>
          <w:rFonts w:eastAsia="Times New Roman" w:cs="Arial"/>
          <w:color w:val="000000"/>
          <w:lang w:eastAsia="bg-BG"/>
        </w:rPr>
        <w:t xml:space="preserve">и СУРЗД4. </w:t>
      </w:r>
      <w:r w:rsidRPr="00813F46">
        <w:rPr>
          <w:rFonts w:eastAsia="Times New Roman" w:cs="Arial"/>
          <w:i/>
          <w:iCs/>
          <w:color w:val="000000"/>
          <w:lang w:val="en-US"/>
        </w:rPr>
        <w:t>In</w:t>
      </w:r>
      <w:r w:rsidRPr="00813F46">
        <w:rPr>
          <w:rFonts w:eastAsia="Times New Roman" w:cs="Arial"/>
          <w:i/>
          <w:iCs/>
          <w:color w:val="000000"/>
          <w:lang w:val="ru-RU"/>
        </w:rPr>
        <w:t xml:space="preserve"> </w:t>
      </w:r>
      <w:r w:rsidRPr="00813F46">
        <w:rPr>
          <w:rFonts w:eastAsia="Times New Roman" w:cs="Arial"/>
          <w:i/>
          <w:iCs/>
          <w:color w:val="000000"/>
          <w:lang w:val="en-US"/>
        </w:rPr>
        <w:t>vitro</w:t>
      </w:r>
      <w:r w:rsidRPr="00813F46">
        <w:rPr>
          <w:rFonts w:eastAsia="Times New Roman" w:cs="Arial"/>
          <w:color w:val="000000"/>
          <w:lang w:val="ru-RU"/>
        </w:rPr>
        <w:t xml:space="preserve"> </w:t>
      </w:r>
      <w:r w:rsidRPr="00813F46">
        <w:rPr>
          <w:rFonts w:eastAsia="Times New Roman" w:cs="Arial"/>
          <w:color w:val="000000"/>
          <w:lang w:eastAsia="bg-BG"/>
        </w:rPr>
        <w:t xml:space="preserve">и </w:t>
      </w:r>
      <w:r w:rsidRPr="00813F46">
        <w:rPr>
          <w:rFonts w:eastAsia="Times New Roman" w:cs="Arial"/>
          <w:i/>
          <w:iCs/>
          <w:color w:val="000000"/>
          <w:lang w:val="en-US"/>
        </w:rPr>
        <w:t>in</w:t>
      </w:r>
      <w:r w:rsidRPr="00813F46">
        <w:rPr>
          <w:rFonts w:eastAsia="Times New Roman" w:cs="Arial"/>
          <w:i/>
          <w:iCs/>
          <w:color w:val="000000"/>
          <w:lang w:val="ru-RU"/>
        </w:rPr>
        <w:t xml:space="preserve"> </w:t>
      </w:r>
      <w:r w:rsidRPr="00813F46">
        <w:rPr>
          <w:rFonts w:eastAsia="Times New Roman" w:cs="Arial"/>
          <w:i/>
          <w:iCs/>
          <w:color w:val="000000"/>
          <w:lang w:val="en-US"/>
        </w:rPr>
        <w:t>vivo</w:t>
      </w:r>
      <w:r w:rsidRPr="00813F46">
        <w:rPr>
          <w:rFonts w:eastAsia="Times New Roman" w:cs="Arial"/>
          <w:color w:val="000000"/>
          <w:lang w:val="ru-RU"/>
        </w:rPr>
        <w:t xml:space="preserve"> </w:t>
      </w:r>
      <w:r w:rsidRPr="00813F46">
        <w:rPr>
          <w:rFonts w:eastAsia="Times New Roman" w:cs="Arial"/>
          <w:color w:val="000000"/>
          <w:lang w:eastAsia="bg-BG"/>
        </w:rPr>
        <w:t xml:space="preserve">данните за взаимодействия с пероралните контрацептиви, дигоксин и варфарин показват, че </w:t>
      </w:r>
      <w:r w:rsidRPr="00813F46">
        <w:rPr>
          <w:rFonts w:eastAsia="Times New Roman" w:cs="Arial"/>
          <w:i/>
          <w:iCs/>
          <w:color w:val="000000"/>
          <w:lang w:val="en-US"/>
        </w:rPr>
        <w:t>in</w:t>
      </w:r>
      <w:r w:rsidRPr="00813F46">
        <w:rPr>
          <w:rFonts w:eastAsia="Times New Roman" w:cs="Arial"/>
          <w:i/>
          <w:iCs/>
          <w:color w:val="000000"/>
          <w:lang w:val="ru-RU"/>
        </w:rPr>
        <w:t xml:space="preserve"> </w:t>
      </w:r>
      <w:r w:rsidRPr="00813F46">
        <w:rPr>
          <w:rFonts w:eastAsia="Times New Roman" w:cs="Arial"/>
          <w:i/>
          <w:iCs/>
          <w:color w:val="000000"/>
          <w:lang w:val="en-US"/>
        </w:rPr>
        <w:t>vivo</w:t>
      </w:r>
      <w:r w:rsidRPr="00813F46">
        <w:rPr>
          <w:rFonts w:eastAsia="Times New Roman" w:cs="Arial"/>
          <w:color w:val="000000"/>
          <w:lang w:val="ru-RU"/>
        </w:rPr>
        <w:t xml:space="preserve"> </w:t>
      </w:r>
      <w:r w:rsidRPr="00813F46">
        <w:rPr>
          <w:rFonts w:eastAsia="Times New Roman" w:cs="Arial"/>
          <w:color w:val="000000"/>
          <w:lang w:eastAsia="bg-BG"/>
        </w:rPr>
        <w:t>не се очаква значимо индуциране на ензими. Ето защо взаимодействието на Ноепикс с други вещества или обратното е малко вероятно.</w:t>
      </w:r>
    </w:p>
    <w:p w14:paraId="2C6B7CA8" w14:textId="329A017D" w:rsidR="00813F46" w:rsidRPr="00813F46" w:rsidRDefault="00813F46" w:rsidP="00F26B25">
      <w:pPr>
        <w:spacing w:line="240" w:lineRule="auto"/>
        <w:rPr>
          <w:rFonts w:eastAsia="Times New Roman" w:cs="Arial"/>
          <w:color w:val="000000"/>
          <w:lang w:eastAsia="bg-BG"/>
        </w:rPr>
      </w:pPr>
    </w:p>
    <w:p w14:paraId="7821F60F" w14:textId="77777777" w:rsidR="00813F46" w:rsidRPr="00813F46" w:rsidRDefault="00813F46" w:rsidP="00813F46">
      <w:pPr>
        <w:pStyle w:val="Heading3"/>
        <w:rPr>
          <w:rFonts w:eastAsia="Times New Roman"/>
          <w:u w:val="single"/>
        </w:rPr>
      </w:pPr>
      <w:r w:rsidRPr="00813F46">
        <w:rPr>
          <w:rFonts w:eastAsia="Times New Roman"/>
          <w:u w:val="single"/>
          <w:lang w:eastAsia="bg-BG"/>
        </w:rPr>
        <w:t>Елиминиране</w:t>
      </w:r>
    </w:p>
    <w:p w14:paraId="08EF778B" w14:textId="77777777" w:rsidR="00813F46" w:rsidRPr="00813F46" w:rsidRDefault="00813F46" w:rsidP="00813F46">
      <w:pPr>
        <w:spacing w:line="240" w:lineRule="auto"/>
        <w:rPr>
          <w:rFonts w:eastAsia="Times New Roman" w:cs="Arial"/>
          <w:color w:val="000000"/>
          <w:lang w:eastAsia="bg-BG"/>
        </w:rPr>
      </w:pPr>
    </w:p>
    <w:p w14:paraId="49E9915D" w14:textId="261EDC20" w:rsidR="00813F46" w:rsidRPr="00813F46" w:rsidRDefault="00813F46" w:rsidP="00813F46">
      <w:pPr>
        <w:spacing w:line="240" w:lineRule="auto"/>
        <w:rPr>
          <w:rFonts w:eastAsia="Times New Roman" w:cs="Arial"/>
        </w:rPr>
      </w:pPr>
      <w:r w:rsidRPr="00813F46">
        <w:rPr>
          <w:rFonts w:eastAsia="Times New Roman" w:cs="Arial"/>
          <w:color w:val="000000"/>
          <w:lang w:eastAsia="bg-BG"/>
        </w:rPr>
        <w:t xml:space="preserve">Плазменият полуживот при възрастни е 7±1 часа и не варира в зависимост от дозата, пътя на прилагане и многократния прием. Средният общ телесен клирънс е 0,96 </w:t>
      </w:r>
      <w:r w:rsidRPr="00813F46">
        <w:rPr>
          <w:rFonts w:eastAsia="Times New Roman" w:cs="Arial"/>
          <w:color w:val="000000"/>
          <w:lang w:val="en-US"/>
        </w:rPr>
        <w:t>ml</w:t>
      </w:r>
      <w:r w:rsidRPr="00813F46">
        <w:rPr>
          <w:rFonts w:eastAsia="Times New Roman" w:cs="Arial"/>
          <w:color w:val="000000"/>
          <w:lang w:val="ru-RU"/>
        </w:rPr>
        <w:t>/</w:t>
      </w:r>
      <w:r w:rsidRPr="00813F46">
        <w:rPr>
          <w:rFonts w:eastAsia="Times New Roman" w:cs="Arial"/>
          <w:color w:val="000000"/>
          <w:lang w:val="en-US"/>
        </w:rPr>
        <w:t>min</w:t>
      </w:r>
      <w:r w:rsidRPr="00813F46">
        <w:rPr>
          <w:rFonts w:eastAsia="Times New Roman" w:cs="Arial"/>
          <w:color w:val="000000"/>
          <w:lang w:val="ru-RU"/>
        </w:rPr>
        <w:t>/</w:t>
      </w:r>
      <w:r w:rsidRPr="00813F46">
        <w:rPr>
          <w:rFonts w:eastAsia="Times New Roman" w:cs="Arial"/>
          <w:color w:val="000000"/>
          <w:lang w:val="en-US"/>
        </w:rPr>
        <w:t>kg</w:t>
      </w:r>
      <w:r w:rsidRPr="00813F46">
        <w:rPr>
          <w:rFonts w:eastAsia="Times New Roman" w:cs="Arial"/>
          <w:color w:val="000000"/>
          <w:lang w:val="ru-RU"/>
        </w:rPr>
        <w:t>.</w:t>
      </w:r>
    </w:p>
    <w:p w14:paraId="6C6DDC2D" w14:textId="77777777" w:rsidR="00813F46" w:rsidRPr="00813F46" w:rsidRDefault="00813F46" w:rsidP="00813F46">
      <w:pPr>
        <w:spacing w:line="240" w:lineRule="auto"/>
        <w:rPr>
          <w:rFonts w:eastAsia="Times New Roman" w:cs="Arial"/>
          <w:color w:val="000000"/>
          <w:lang w:eastAsia="bg-BG"/>
        </w:rPr>
      </w:pPr>
    </w:p>
    <w:p w14:paraId="07F08024" w14:textId="3070A4C5" w:rsidR="00813F46" w:rsidRPr="00813F46" w:rsidRDefault="00813F46" w:rsidP="00813F46">
      <w:pPr>
        <w:spacing w:line="240" w:lineRule="auto"/>
        <w:rPr>
          <w:rFonts w:eastAsia="Times New Roman" w:cs="Arial"/>
          <w:i/>
          <w:iCs/>
          <w:color w:val="000000"/>
          <w:lang w:eastAsia="bg-BG"/>
        </w:rPr>
      </w:pPr>
      <w:r w:rsidRPr="00813F46">
        <w:rPr>
          <w:rFonts w:eastAsia="Times New Roman" w:cs="Arial"/>
          <w:color w:val="000000"/>
          <w:lang w:eastAsia="bg-BG"/>
        </w:rPr>
        <w:t xml:space="preserve">Главният път на екскреция е чрез урината за средно 95 % от дозата (приблизително 93 </w:t>
      </w:r>
      <w:r w:rsidRPr="00813F46">
        <w:rPr>
          <w:rFonts w:eastAsia="Times New Roman" w:cs="Arial"/>
          <w:i/>
          <w:iCs/>
          <w:color w:val="000000"/>
          <w:lang w:eastAsia="bg-BG"/>
        </w:rPr>
        <w:t xml:space="preserve">% от </w:t>
      </w:r>
    </w:p>
    <w:p w14:paraId="207A76A0" w14:textId="65C9C0A6" w:rsidR="00813F46" w:rsidRPr="00813F46" w:rsidRDefault="00813F46" w:rsidP="00813F46">
      <w:pPr>
        <w:spacing w:line="240" w:lineRule="auto"/>
        <w:rPr>
          <w:rFonts w:eastAsia="Times New Roman" w:cs="Arial"/>
        </w:rPr>
      </w:pPr>
      <w:r w:rsidRPr="00813F46">
        <w:rPr>
          <w:rFonts w:eastAsia="Times New Roman" w:cs="Arial"/>
          <w:color w:val="000000"/>
          <w:lang w:eastAsia="bg-BG"/>
        </w:rPr>
        <w:t>приетата доза се отделят в рамките на 48 часа). Чрез фецеса се екскретира само 0,3 % от дозата.</w:t>
      </w:r>
    </w:p>
    <w:p w14:paraId="1525A9CD" w14:textId="77777777" w:rsidR="00813F46" w:rsidRPr="00813F46" w:rsidRDefault="00813F46" w:rsidP="00813F46">
      <w:pPr>
        <w:spacing w:line="240" w:lineRule="auto"/>
        <w:rPr>
          <w:rFonts w:eastAsia="Times New Roman" w:cs="Arial"/>
        </w:rPr>
      </w:pPr>
      <w:r w:rsidRPr="00813F46">
        <w:rPr>
          <w:rFonts w:eastAsia="Times New Roman" w:cs="Arial"/>
          <w:color w:val="000000"/>
          <w:lang w:eastAsia="bg-BG"/>
        </w:rPr>
        <w:t>Кумулативната екскреция чрез урината на леветирацетам и неговия първичен метаболит е съответно 66 % и 24 % през първите 48 часа.</w:t>
      </w:r>
    </w:p>
    <w:p w14:paraId="3E30376D" w14:textId="77777777" w:rsidR="00813F46" w:rsidRPr="00813F46" w:rsidRDefault="00813F46" w:rsidP="00813F46">
      <w:pPr>
        <w:spacing w:line="240" w:lineRule="auto"/>
        <w:rPr>
          <w:rFonts w:eastAsia="Times New Roman" w:cs="Arial"/>
          <w:color w:val="000000"/>
          <w:lang w:eastAsia="bg-BG"/>
        </w:rPr>
      </w:pPr>
    </w:p>
    <w:p w14:paraId="60EFD07F" w14:textId="4DA4968B" w:rsidR="00813F46" w:rsidRPr="00813F46" w:rsidRDefault="00813F46" w:rsidP="00813F46">
      <w:pPr>
        <w:spacing w:line="240" w:lineRule="auto"/>
        <w:rPr>
          <w:rFonts w:eastAsia="Times New Roman" w:cs="Arial"/>
        </w:rPr>
      </w:pPr>
      <w:r w:rsidRPr="00813F46">
        <w:rPr>
          <w:rFonts w:eastAsia="Times New Roman" w:cs="Arial"/>
          <w:color w:val="000000"/>
          <w:lang w:eastAsia="bg-BG"/>
        </w:rPr>
        <w:t xml:space="preserve">Реналният клирънс на леветирацетам и </w:t>
      </w:r>
      <w:proofErr w:type="spellStart"/>
      <w:r w:rsidRPr="00813F46">
        <w:rPr>
          <w:rFonts w:eastAsia="Times New Roman" w:cs="Arial"/>
          <w:color w:val="000000"/>
          <w:lang w:val="en-US"/>
        </w:rPr>
        <w:t>ucb</w:t>
      </w:r>
      <w:proofErr w:type="spellEnd"/>
      <w:r w:rsidRPr="00813F46">
        <w:rPr>
          <w:rFonts w:eastAsia="Times New Roman" w:cs="Arial"/>
          <w:color w:val="000000"/>
          <w:lang w:val="ru-RU"/>
        </w:rPr>
        <w:t xml:space="preserve"> </w:t>
      </w:r>
      <w:r w:rsidRPr="00813F46">
        <w:rPr>
          <w:rFonts w:eastAsia="Times New Roman" w:cs="Arial"/>
          <w:color w:val="000000"/>
          <w:lang w:val="en-US"/>
        </w:rPr>
        <w:t>L</w:t>
      </w:r>
      <w:r w:rsidRPr="00813F46">
        <w:rPr>
          <w:rFonts w:eastAsia="Times New Roman" w:cs="Arial"/>
          <w:color w:val="000000"/>
          <w:lang w:val="ru-RU"/>
        </w:rPr>
        <w:t xml:space="preserve">057 </w:t>
      </w:r>
      <w:r w:rsidRPr="00813F46">
        <w:rPr>
          <w:rFonts w:eastAsia="Times New Roman" w:cs="Arial"/>
          <w:color w:val="000000"/>
          <w:lang w:eastAsia="bg-BG"/>
        </w:rPr>
        <w:t xml:space="preserve">е съответно 0,6 и 4,2 </w:t>
      </w:r>
      <w:r w:rsidRPr="00813F46">
        <w:rPr>
          <w:rFonts w:eastAsia="Times New Roman" w:cs="Arial"/>
          <w:color w:val="000000"/>
          <w:lang w:val="en-US"/>
        </w:rPr>
        <w:t>ml</w:t>
      </w:r>
      <w:r w:rsidRPr="00813F46">
        <w:rPr>
          <w:rFonts w:eastAsia="Times New Roman" w:cs="Arial"/>
          <w:color w:val="000000"/>
          <w:lang w:val="ru-RU"/>
        </w:rPr>
        <w:t>/</w:t>
      </w:r>
      <w:r w:rsidRPr="00813F46">
        <w:rPr>
          <w:rFonts w:eastAsia="Times New Roman" w:cs="Arial"/>
          <w:color w:val="000000"/>
          <w:lang w:val="en-US"/>
        </w:rPr>
        <w:t>min</w:t>
      </w:r>
      <w:r w:rsidRPr="00813F46">
        <w:rPr>
          <w:rFonts w:eastAsia="Times New Roman" w:cs="Arial"/>
          <w:color w:val="000000"/>
          <w:lang w:val="ru-RU"/>
        </w:rPr>
        <w:t>/</w:t>
      </w:r>
      <w:r w:rsidRPr="00813F46">
        <w:rPr>
          <w:rFonts w:eastAsia="Times New Roman" w:cs="Arial"/>
          <w:color w:val="000000"/>
          <w:lang w:val="en-US"/>
        </w:rPr>
        <w:t>kg</w:t>
      </w:r>
      <w:r w:rsidRPr="00813F46">
        <w:rPr>
          <w:rFonts w:eastAsia="Times New Roman" w:cs="Arial"/>
          <w:color w:val="000000"/>
          <w:lang w:val="ru-RU"/>
        </w:rPr>
        <w:t xml:space="preserve"> </w:t>
      </w:r>
      <w:r w:rsidRPr="00813F46">
        <w:rPr>
          <w:rFonts w:eastAsia="Times New Roman" w:cs="Arial"/>
          <w:color w:val="000000"/>
          <w:lang w:eastAsia="bg-BG"/>
        </w:rPr>
        <w:t>и показва, че леветирацетам се екскретира чрез гломерулна филтрация с последваща тубулна реабсорбция и че първичният метаболит също се отделя чрез активна тубулна секреция в допълнение на гломерулната филтрация. Елиминирането на леветирацетам корелира с креатининовия клирънс.</w:t>
      </w:r>
    </w:p>
    <w:p w14:paraId="3D421237" w14:textId="77777777" w:rsidR="00813F46" w:rsidRPr="00813F46" w:rsidRDefault="00813F46" w:rsidP="00813F46">
      <w:pPr>
        <w:spacing w:line="240" w:lineRule="auto"/>
        <w:rPr>
          <w:rFonts w:eastAsia="Times New Roman" w:cs="Arial"/>
          <w:i/>
          <w:iCs/>
          <w:color w:val="000000"/>
          <w:lang w:eastAsia="bg-BG"/>
        </w:rPr>
      </w:pPr>
    </w:p>
    <w:p w14:paraId="6B1E8CB9" w14:textId="5ACB1DC6" w:rsidR="00813F46" w:rsidRPr="00813F46" w:rsidRDefault="00813F46" w:rsidP="00813F46">
      <w:pPr>
        <w:spacing w:line="240" w:lineRule="auto"/>
        <w:rPr>
          <w:rFonts w:eastAsia="Times New Roman" w:cs="Arial"/>
        </w:rPr>
      </w:pPr>
      <w:r w:rsidRPr="00813F46">
        <w:rPr>
          <w:rFonts w:eastAsia="Times New Roman" w:cs="Arial"/>
          <w:i/>
          <w:iCs/>
          <w:color w:val="000000"/>
          <w:lang w:eastAsia="bg-BG"/>
        </w:rPr>
        <w:t>Старческа възраст</w:t>
      </w:r>
    </w:p>
    <w:p w14:paraId="195A1097" w14:textId="77777777" w:rsidR="00813F46" w:rsidRPr="00813F46" w:rsidRDefault="00813F46" w:rsidP="00813F46">
      <w:pPr>
        <w:spacing w:line="240" w:lineRule="auto"/>
        <w:rPr>
          <w:rFonts w:eastAsia="Times New Roman" w:cs="Arial"/>
          <w:color w:val="000000"/>
          <w:lang w:eastAsia="bg-BG"/>
        </w:rPr>
      </w:pPr>
    </w:p>
    <w:p w14:paraId="0E098754" w14:textId="27A25315" w:rsidR="00813F46" w:rsidRPr="00813F46" w:rsidRDefault="00813F46" w:rsidP="00813F46">
      <w:pPr>
        <w:spacing w:line="240" w:lineRule="auto"/>
        <w:rPr>
          <w:rFonts w:eastAsia="Times New Roman" w:cs="Arial"/>
        </w:rPr>
      </w:pPr>
      <w:r w:rsidRPr="00813F46">
        <w:rPr>
          <w:rFonts w:eastAsia="Times New Roman" w:cs="Arial"/>
          <w:color w:val="000000"/>
          <w:lang w:eastAsia="bg-BG"/>
        </w:rPr>
        <w:t>При пациенти в старческа възраст полуживотът е удължен с около 40 % (10 до 11 часа). Това е свързано с понижена бъбречната функция при тази популация (вж. точка 4.2).</w:t>
      </w:r>
    </w:p>
    <w:p w14:paraId="623B9D85" w14:textId="77777777" w:rsidR="00813F46" w:rsidRPr="00813F46" w:rsidRDefault="00813F46" w:rsidP="00813F46">
      <w:pPr>
        <w:spacing w:line="240" w:lineRule="auto"/>
        <w:rPr>
          <w:rFonts w:eastAsia="Times New Roman" w:cs="Arial"/>
          <w:i/>
          <w:iCs/>
          <w:color w:val="000000"/>
          <w:lang w:eastAsia="bg-BG"/>
        </w:rPr>
      </w:pPr>
    </w:p>
    <w:p w14:paraId="1E994735" w14:textId="2AC1A74A" w:rsidR="00813F46" w:rsidRPr="00813F46" w:rsidRDefault="00813F46" w:rsidP="00813F46">
      <w:pPr>
        <w:spacing w:line="240" w:lineRule="auto"/>
        <w:rPr>
          <w:rFonts w:eastAsia="Times New Roman" w:cs="Arial"/>
        </w:rPr>
      </w:pPr>
      <w:r w:rsidRPr="00813F46">
        <w:rPr>
          <w:rFonts w:eastAsia="Times New Roman" w:cs="Arial"/>
          <w:i/>
          <w:iCs/>
          <w:color w:val="000000"/>
          <w:lang w:eastAsia="bg-BG"/>
        </w:rPr>
        <w:t>Бъбречно увреждане</w:t>
      </w:r>
    </w:p>
    <w:p w14:paraId="1B3A5382" w14:textId="77777777" w:rsidR="00813F46" w:rsidRPr="00813F46" w:rsidRDefault="00813F46" w:rsidP="00813F46">
      <w:pPr>
        <w:spacing w:line="240" w:lineRule="auto"/>
        <w:rPr>
          <w:rFonts w:eastAsia="Times New Roman" w:cs="Arial"/>
          <w:color w:val="000000"/>
          <w:lang w:eastAsia="bg-BG"/>
        </w:rPr>
      </w:pPr>
    </w:p>
    <w:p w14:paraId="794D7DBD" w14:textId="2416D6C7" w:rsidR="00813F46" w:rsidRPr="00813F46" w:rsidRDefault="00813F46" w:rsidP="00813F46">
      <w:pPr>
        <w:spacing w:line="240" w:lineRule="auto"/>
        <w:rPr>
          <w:rFonts w:eastAsia="Times New Roman" w:cs="Arial"/>
        </w:rPr>
      </w:pPr>
      <w:r w:rsidRPr="00813F46">
        <w:rPr>
          <w:rFonts w:eastAsia="Times New Roman" w:cs="Arial"/>
          <w:color w:val="000000"/>
          <w:lang w:eastAsia="bg-BG"/>
        </w:rPr>
        <w:t>Привидният телесен клирънс както на леветирацетам, така и на неговия първичен метаболит корелира с креатининовия клирънс. Поради това при пациенти с умерена до тежка степен на бъбречно увреждане се препоръчва адаптиране на поддържащата дневна доза на Ноепикс на базата на креатининовия клирънс (вж. точка 4.2).</w:t>
      </w:r>
    </w:p>
    <w:p w14:paraId="0F3A9106" w14:textId="77777777" w:rsidR="00813F46" w:rsidRPr="00813F46" w:rsidRDefault="00813F46" w:rsidP="00813F46">
      <w:pPr>
        <w:spacing w:line="240" w:lineRule="auto"/>
        <w:rPr>
          <w:rFonts w:eastAsia="Times New Roman" w:cs="Arial"/>
          <w:color w:val="000000"/>
          <w:lang w:eastAsia="bg-BG"/>
        </w:rPr>
      </w:pPr>
    </w:p>
    <w:p w14:paraId="2CDDB26C" w14:textId="2F3B4108" w:rsidR="00813F46" w:rsidRPr="00813F46" w:rsidRDefault="00813F46" w:rsidP="00813F46">
      <w:pPr>
        <w:spacing w:line="240" w:lineRule="auto"/>
        <w:rPr>
          <w:rFonts w:eastAsia="Times New Roman" w:cs="Arial"/>
        </w:rPr>
      </w:pPr>
      <w:r w:rsidRPr="00813F46">
        <w:rPr>
          <w:rFonts w:eastAsia="Times New Roman" w:cs="Arial"/>
          <w:color w:val="000000"/>
          <w:lang w:eastAsia="bg-BG"/>
        </w:rPr>
        <w:t>При възрастни пациенти с терминална бъбречна недостатъчност и с анурия, полуживотът е приблизително 25 и 3,1 часа съответно през интердиализния и интрадиализния период.</w:t>
      </w:r>
    </w:p>
    <w:p w14:paraId="5012AF54" w14:textId="77777777" w:rsidR="00813F46" w:rsidRPr="00813F46" w:rsidRDefault="00813F46" w:rsidP="00813F46">
      <w:pPr>
        <w:spacing w:line="240" w:lineRule="auto"/>
        <w:rPr>
          <w:rFonts w:eastAsia="Times New Roman" w:cs="Arial"/>
        </w:rPr>
      </w:pPr>
      <w:r w:rsidRPr="00813F46">
        <w:rPr>
          <w:rFonts w:eastAsia="Times New Roman" w:cs="Arial"/>
          <w:color w:val="000000"/>
          <w:lang w:eastAsia="bg-BG"/>
        </w:rPr>
        <w:t>По време на обичайната 4-часова диализна процедура фракционно се отделят 51 % от леветирацетам.</w:t>
      </w:r>
    </w:p>
    <w:p w14:paraId="53F256EB" w14:textId="77777777" w:rsidR="00813F46" w:rsidRPr="00813F46" w:rsidRDefault="00813F46" w:rsidP="00813F46">
      <w:pPr>
        <w:spacing w:line="240" w:lineRule="auto"/>
        <w:rPr>
          <w:rFonts w:eastAsia="Times New Roman" w:cs="Arial"/>
          <w:i/>
          <w:iCs/>
          <w:color w:val="000000"/>
          <w:lang w:eastAsia="bg-BG"/>
        </w:rPr>
      </w:pPr>
    </w:p>
    <w:p w14:paraId="77DCF80A" w14:textId="54DA40BC" w:rsidR="00813F46" w:rsidRPr="00813F46" w:rsidRDefault="00813F46" w:rsidP="00813F46">
      <w:pPr>
        <w:spacing w:line="240" w:lineRule="auto"/>
        <w:rPr>
          <w:rFonts w:eastAsia="Times New Roman" w:cs="Arial"/>
        </w:rPr>
      </w:pPr>
      <w:r w:rsidRPr="00813F46">
        <w:rPr>
          <w:rFonts w:eastAsia="Times New Roman" w:cs="Arial"/>
          <w:i/>
          <w:iCs/>
          <w:color w:val="000000"/>
          <w:lang w:eastAsia="bg-BG"/>
        </w:rPr>
        <w:t>Чернодробно увреждане</w:t>
      </w:r>
    </w:p>
    <w:p w14:paraId="1D8F1CDE" w14:textId="77777777" w:rsidR="00813F46" w:rsidRPr="00813F46" w:rsidRDefault="00813F46" w:rsidP="00813F46">
      <w:pPr>
        <w:spacing w:line="240" w:lineRule="auto"/>
        <w:rPr>
          <w:rFonts w:eastAsia="Times New Roman" w:cs="Arial"/>
          <w:color w:val="000000"/>
          <w:lang w:eastAsia="bg-BG"/>
        </w:rPr>
      </w:pPr>
    </w:p>
    <w:p w14:paraId="73247F41" w14:textId="12FD616C" w:rsidR="00813F46" w:rsidRPr="00813F46" w:rsidRDefault="00813F46" w:rsidP="00813F46">
      <w:pPr>
        <w:spacing w:line="240" w:lineRule="auto"/>
        <w:rPr>
          <w:rFonts w:eastAsia="Times New Roman" w:cs="Arial"/>
        </w:rPr>
      </w:pPr>
      <w:r w:rsidRPr="00813F46">
        <w:rPr>
          <w:rFonts w:eastAsia="Times New Roman" w:cs="Arial"/>
          <w:color w:val="000000"/>
          <w:lang w:eastAsia="bg-BG"/>
        </w:rPr>
        <w:t xml:space="preserve">При пациенти с лека до умерена степен на чернодробно увреждане не се наблюдава значителна промяна в клирънса на леветирацетам. При повечето пациенти с тежка </w:t>
      </w:r>
      <w:r w:rsidRPr="00813F46">
        <w:rPr>
          <w:rFonts w:eastAsia="Times New Roman" w:cs="Arial"/>
          <w:color w:val="000000"/>
          <w:lang w:eastAsia="bg-BG"/>
        </w:rPr>
        <w:lastRenderedPageBreak/>
        <w:t>степен на чернодробно увреждане клирънсът на леветирацетам е намален с повече от 50 % поради съпътстващо бъбречно увреждане (вж. точка 4.2).</w:t>
      </w:r>
    </w:p>
    <w:p w14:paraId="0DF418EE" w14:textId="77777777" w:rsidR="00813F46" w:rsidRPr="00813F46" w:rsidRDefault="00813F46" w:rsidP="00813F46">
      <w:pPr>
        <w:spacing w:line="240" w:lineRule="auto"/>
        <w:rPr>
          <w:rFonts w:eastAsia="Times New Roman" w:cs="Arial"/>
          <w:i/>
          <w:iCs/>
          <w:color w:val="000000"/>
          <w:lang w:eastAsia="bg-BG"/>
        </w:rPr>
      </w:pPr>
    </w:p>
    <w:p w14:paraId="5A32E8E8" w14:textId="16531FB5" w:rsidR="00813F46" w:rsidRPr="00813F46" w:rsidRDefault="00813F46" w:rsidP="00813F46">
      <w:pPr>
        <w:spacing w:line="240" w:lineRule="auto"/>
        <w:rPr>
          <w:rFonts w:eastAsia="Times New Roman" w:cs="Arial"/>
        </w:rPr>
      </w:pPr>
      <w:r w:rsidRPr="00813F46">
        <w:rPr>
          <w:rFonts w:eastAsia="Times New Roman" w:cs="Arial"/>
          <w:i/>
          <w:iCs/>
          <w:color w:val="000000"/>
          <w:lang w:eastAsia="bg-BG"/>
        </w:rPr>
        <w:t>Педиатрична популация</w:t>
      </w:r>
    </w:p>
    <w:p w14:paraId="3DCF7443" w14:textId="77777777" w:rsidR="00813F46" w:rsidRPr="00813F46" w:rsidRDefault="00813F46" w:rsidP="00813F46">
      <w:pPr>
        <w:spacing w:line="240" w:lineRule="auto"/>
        <w:rPr>
          <w:rFonts w:eastAsia="Times New Roman" w:cs="Arial"/>
          <w:i/>
          <w:iCs/>
          <w:color w:val="000000"/>
          <w:u w:val="single"/>
          <w:lang w:eastAsia="bg-BG"/>
        </w:rPr>
      </w:pPr>
    </w:p>
    <w:p w14:paraId="6E1DF5B4" w14:textId="686D2273" w:rsidR="00813F46" w:rsidRPr="00813F46" w:rsidRDefault="00813F46" w:rsidP="00813F46">
      <w:pPr>
        <w:spacing w:line="240" w:lineRule="auto"/>
        <w:rPr>
          <w:rFonts w:eastAsia="Times New Roman" w:cs="Arial"/>
        </w:rPr>
      </w:pPr>
      <w:r w:rsidRPr="00813F46">
        <w:rPr>
          <w:rFonts w:eastAsia="Times New Roman" w:cs="Arial"/>
          <w:i/>
          <w:iCs/>
          <w:color w:val="000000"/>
          <w:u w:val="single"/>
          <w:lang w:eastAsia="bg-BG"/>
        </w:rPr>
        <w:t>Дена (4 до 12 години)</w:t>
      </w:r>
    </w:p>
    <w:p w14:paraId="0E67EA0A" w14:textId="77777777" w:rsidR="00813F46" w:rsidRPr="00813F46" w:rsidRDefault="00813F46" w:rsidP="00813F46">
      <w:pPr>
        <w:spacing w:line="240" w:lineRule="auto"/>
        <w:rPr>
          <w:rFonts w:eastAsia="Times New Roman" w:cs="Arial"/>
        </w:rPr>
      </w:pPr>
      <w:r w:rsidRPr="00813F46">
        <w:rPr>
          <w:rFonts w:eastAsia="Times New Roman" w:cs="Arial"/>
          <w:color w:val="000000"/>
          <w:lang w:eastAsia="bg-BG"/>
        </w:rPr>
        <w:t xml:space="preserve">След перорално приложение на единична доза (20 </w:t>
      </w:r>
      <w:r w:rsidRPr="00813F46">
        <w:rPr>
          <w:rFonts w:eastAsia="Times New Roman" w:cs="Arial"/>
          <w:color w:val="000000"/>
          <w:lang w:val="en-US"/>
        </w:rPr>
        <w:t>mg</w:t>
      </w:r>
      <w:r w:rsidRPr="00813F46">
        <w:rPr>
          <w:rFonts w:eastAsia="Times New Roman" w:cs="Arial"/>
          <w:color w:val="000000"/>
          <w:lang w:val="ru-RU"/>
        </w:rPr>
        <w:t>/</w:t>
      </w:r>
      <w:r w:rsidRPr="00813F46">
        <w:rPr>
          <w:rFonts w:eastAsia="Times New Roman" w:cs="Arial"/>
          <w:color w:val="000000"/>
          <w:lang w:val="en-US"/>
        </w:rPr>
        <w:t>kg</w:t>
      </w:r>
      <w:r w:rsidRPr="00813F46">
        <w:rPr>
          <w:rFonts w:eastAsia="Times New Roman" w:cs="Arial"/>
          <w:color w:val="000000"/>
          <w:lang w:val="ru-RU"/>
        </w:rPr>
        <w:t xml:space="preserve">) </w:t>
      </w:r>
      <w:r w:rsidRPr="00813F46">
        <w:rPr>
          <w:rFonts w:eastAsia="Times New Roman" w:cs="Arial"/>
          <w:color w:val="000000"/>
          <w:lang w:eastAsia="bg-BG"/>
        </w:rPr>
        <w:t>от деца (6-12 години) с епилепсия, полуживотът на леветирацетам е 6,0 часа. Привидният коригиран към телесното тегло клирънс е приблизително с 30 % по-висок от този при възрастни с епилепсия.</w:t>
      </w:r>
    </w:p>
    <w:p w14:paraId="150A7B27" w14:textId="77777777" w:rsidR="00813F46" w:rsidRPr="00813F46" w:rsidRDefault="00813F46" w:rsidP="00813F46">
      <w:pPr>
        <w:spacing w:line="240" w:lineRule="auto"/>
        <w:rPr>
          <w:rFonts w:eastAsia="Times New Roman" w:cs="Arial"/>
          <w:color w:val="000000"/>
          <w:lang w:eastAsia="bg-BG"/>
        </w:rPr>
      </w:pPr>
    </w:p>
    <w:p w14:paraId="438A279F" w14:textId="5AAC0A0D" w:rsidR="00813F46" w:rsidRPr="00813F46" w:rsidRDefault="00813F46" w:rsidP="00813F46">
      <w:pPr>
        <w:spacing w:line="240" w:lineRule="auto"/>
        <w:rPr>
          <w:rFonts w:eastAsia="Times New Roman" w:cs="Arial"/>
        </w:rPr>
      </w:pPr>
      <w:r w:rsidRPr="00813F46">
        <w:rPr>
          <w:rFonts w:eastAsia="Times New Roman" w:cs="Arial"/>
          <w:color w:val="000000"/>
          <w:lang w:eastAsia="bg-BG"/>
        </w:rPr>
        <w:t xml:space="preserve">След многократно перорално приложение (20 до 60 </w:t>
      </w:r>
      <w:r w:rsidRPr="00813F46">
        <w:rPr>
          <w:rFonts w:eastAsia="Times New Roman" w:cs="Arial"/>
          <w:color w:val="000000"/>
          <w:lang w:val="en-US"/>
        </w:rPr>
        <w:t>mg</w:t>
      </w:r>
      <w:r w:rsidRPr="00813F46">
        <w:rPr>
          <w:rFonts w:eastAsia="Times New Roman" w:cs="Arial"/>
          <w:color w:val="000000"/>
          <w:lang w:val="ru-RU"/>
        </w:rPr>
        <w:t>/</w:t>
      </w:r>
      <w:r w:rsidRPr="00813F46">
        <w:rPr>
          <w:rFonts w:eastAsia="Times New Roman" w:cs="Arial"/>
          <w:color w:val="000000"/>
          <w:lang w:val="en-US"/>
        </w:rPr>
        <w:t>kg</w:t>
      </w:r>
      <w:r w:rsidRPr="00813F46">
        <w:rPr>
          <w:rFonts w:eastAsia="Times New Roman" w:cs="Arial"/>
          <w:color w:val="000000"/>
          <w:lang w:eastAsia="bg-BG"/>
        </w:rPr>
        <w:t xml:space="preserve">/дневно) при деца с епилепсия (4-12 години), леветирацетам се абсорбира бързо. Максимални плазмени концетрации се достигат 0,5 до 1 час след приема. Наблюдавано е линейно и пропорционално на дозата повишаване на максималните плазмени концентрации и площта под кривата. Елиминационният полуживот е около 5 часа. Привидният телесен клирънс е 1,1 </w:t>
      </w:r>
      <w:r w:rsidRPr="00813F46">
        <w:rPr>
          <w:rFonts w:eastAsia="Times New Roman" w:cs="Arial"/>
          <w:color w:val="000000"/>
          <w:lang w:val="en-US"/>
        </w:rPr>
        <w:t>ml</w:t>
      </w:r>
      <w:r w:rsidRPr="00813F46">
        <w:rPr>
          <w:rFonts w:eastAsia="Times New Roman" w:cs="Arial"/>
          <w:color w:val="000000"/>
          <w:lang w:val="ru-RU"/>
        </w:rPr>
        <w:t>/</w:t>
      </w:r>
      <w:r w:rsidRPr="00813F46">
        <w:rPr>
          <w:rFonts w:eastAsia="Times New Roman" w:cs="Arial"/>
          <w:color w:val="000000"/>
          <w:lang w:val="en-US"/>
        </w:rPr>
        <w:t>min</w:t>
      </w:r>
      <w:r w:rsidRPr="00813F46">
        <w:rPr>
          <w:rFonts w:eastAsia="Times New Roman" w:cs="Arial"/>
          <w:color w:val="000000"/>
          <w:lang w:val="ru-RU"/>
        </w:rPr>
        <w:t>/</w:t>
      </w:r>
      <w:r w:rsidRPr="00813F46">
        <w:rPr>
          <w:rFonts w:eastAsia="Times New Roman" w:cs="Arial"/>
          <w:color w:val="000000"/>
          <w:lang w:val="en-US"/>
        </w:rPr>
        <w:t>kg</w:t>
      </w:r>
      <w:r w:rsidRPr="00813F46">
        <w:rPr>
          <w:rFonts w:eastAsia="Times New Roman" w:cs="Arial"/>
          <w:color w:val="000000"/>
          <w:lang w:val="ru-RU"/>
        </w:rPr>
        <w:t>.</w:t>
      </w:r>
    </w:p>
    <w:p w14:paraId="5937E4B0" w14:textId="77777777" w:rsidR="00813F46" w:rsidRPr="00813F46" w:rsidRDefault="00813F46" w:rsidP="00F26B25">
      <w:pPr>
        <w:spacing w:line="240" w:lineRule="auto"/>
        <w:rPr>
          <w:rFonts w:eastAsia="Times New Roman" w:cs="Arial"/>
        </w:rPr>
      </w:pPr>
    </w:p>
    <w:p w14:paraId="4A79BAB5" w14:textId="77777777" w:rsidR="00813F46" w:rsidRPr="00813F46" w:rsidRDefault="00813F46" w:rsidP="00813F46">
      <w:pPr>
        <w:spacing w:line="240" w:lineRule="auto"/>
        <w:rPr>
          <w:rFonts w:eastAsia="Times New Roman" w:cs="Arial"/>
        </w:rPr>
      </w:pPr>
      <w:r w:rsidRPr="00813F46">
        <w:rPr>
          <w:rFonts w:eastAsia="Times New Roman" w:cs="Arial"/>
          <w:i/>
          <w:iCs/>
          <w:color w:val="000000"/>
          <w:u w:val="single"/>
          <w:lang w:eastAsia="bg-BG"/>
        </w:rPr>
        <w:t>Кърмачета и деца (от 1 месец до 4 години)</w:t>
      </w:r>
    </w:p>
    <w:p w14:paraId="3AFC982E" w14:textId="77777777" w:rsidR="00813F46" w:rsidRPr="00813F46" w:rsidRDefault="00813F46" w:rsidP="00813F46">
      <w:pPr>
        <w:spacing w:line="240" w:lineRule="auto"/>
        <w:rPr>
          <w:rFonts w:eastAsia="Times New Roman" w:cs="Arial"/>
        </w:rPr>
      </w:pPr>
      <w:r w:rsidRPr="00813F46">
        <w:rPr>
          <w:rFonts w:eastAsia="Times New Roman" w:cs="Arial"/>
          <w:color w:val="000000"/>
          <w:lang w:eastAsia="bg-BG"/>
        </w:rPr>
        <w:t xml:space="preserve">След приложението на единична доза (20 </w:t>
      </w:r>
      <w:r w:rsidRPr="00813F46">
        <w:rPr>
          <w:rFonts w:eastAsia="Times New Roman" w:cs="Arial"/>
          <w:color w:val="000000"/>
          <w:lang w:val="en-US"/>
        </w:rPr>
        <w:t>mg</w:t>
      </w:r>
      <w:r w:rsidRPr="00813F46">
        <w:rPr>
          <w:rFonts w:eastAsia="Times New Roman" w:cs="Arial"/>
          <w:color w:val="000000"/>
          <w:lang w:val="ru-RU"/>
        </w:rPr>
        <w:t>/</w:t>
      </w:r>
      <w:r w:rsidRPr="00813F46">
        <w:rPr>
          <w:rFonts w:eastAsia="Times New Roman" w:cs="Arial"/>
          <w:color w:val="000000"/>
          <w:lang w:val="en-US"/>
        </w:rPr>
        <w:t>kg</w:t>
      </w:r>
      <w:r w:rsidRPr="00813F46">
        <w:rPr>
          <w:rFonts w:eastAsia="Times New Roman" w:cs="Arial"/>
          <w:color w:val="000000"/>
          <w:lang w:val="ru-RU"/>
        </w:rPr>
        <w:t xml:space="preserve">) </w:t>
      </w:r>
      <w:r w:rsidRPr="00813F46">
        <w:rPr>
          <w:rFonts w:eastAsia="Times New Roman" w:cs="Arial"/>
          <w:color w:val="000000"/>
          <w:lang w:eastAsia="bg-BG"/>
        </w:rPr>
        <w:t xml:space="preserve">на 100 </w:t>
      </w:r>
      <w:r w:rsidRPr="00813F46">
        <w:rPr>
          <w:rFonts w:eastAsia="Times New Roman" w:cs="Arial"/>
          <w:color w:val="000000"/>
          <w:lang w:val="en-US"/>
        </w:rPr>
        <w:t>mg</w:t>
      </w:r>
      <w:r w:rsidRPr="00813F46">
        <w:rPr>
          <w:rFonts w:eastAsia="Times New Roman" w:cs="Arial"/>
          <w:color w:val="000000"/>
          <w:lang w:val="ru-RU"/>
        </w:rPr>
        <w:t>/</w:t>
      </w:r>
      <w:r w:rsidRPr="00813F46">
        <w:rPr>
          <w:rFonts w:eastAsia="Times New Roman" w:cs="Arial"/>
          <w:color w:val="000000"/>
          <w:lang w:val="en-US"/>
        </w:rPr>
        <w:t>ml</w:t>
      </w:r>
      <w:r w:rsidRPr="00813F46">
        <w:rPr>
          <w:rFonts w:eastAsia="Times New Roman" w:cs="Arial"/>
          <w:color w:val="000000"/>
          <w:lang w:val="ru-RU"/>
        </w:rPr>
        <w:t xml:space="preserve"> </w:t>
      </w:r>
      <w:r w:rsidRPr="00813F46">
        <w:rPr>
          <w:rFonts w:eastAsia="Times New Roman" w:cs="Arial"/>
          <w:color w:val="000000"/>
          <w:lang w:eastAsia="bg-BG"/>
        </w:rPr>
        <w:t xml:space="preserve">перорален разтвор при деца (от 1 месец до 4 години) с епилепсия, леветирацетам се абсорбира бързо, като максимални плазмени концентрации се достигат приблизително 1 час след приема. Фармакокинетичните резултати показват, че полуживотът е по-кратък (5,3 часа), в сравнение с този при възрастни (7,2 часа), а привидният телесен клирънс е по-ускорен (1,5 </w:t>
      </w:r>
      <w:r w:rsidRPr="00813F46">
        <w:rPr>
          <w:rFonts w:eastAsia="Times New Roman" w:cs="Arial"/>
          <w:color w:val="000000"/>
          <w:lang w:val="en-US"/>
        </w:rPr>
        <w:t>ml</w:t>
      </w:r>
      <w:r w:rsidRPr="00813F46">
        <w:rPr>
          <w:rFonts w:eastAsia="Times New Roman" w:cs="Arial"/>
          <w:color w:val="000000"/>
          <w:lang w:val="ru-RU"/>
        </w:rPr>
        <w:t>/</w:t>
      </w:r>
      <w:r w:rsidRPr="00813F46">
        <w:rPr>
          <w:rFonts w:eastAsia="Times New Roman" w:cs="Arial"/>
          <w:color w:val="000000"/>
          <w:lang w:val="en-US"/>
        </w:rPr>
        <w:t>min</w:t>
      </w:r>
      <w:r w:rsidRPr="00813F46">
        <w:rPr>
          <w:rFonts w:eastAsia="Times New Roman" w:cs="Arial"/>
          <w:color w:val="000000"/>
          <w:lang w:val="ru-RU"/>
        </w:rPr>
        <w:t>/</w:t>
      </w:r>
      <w:r w:rsidRPr="00813F46">
        <w:rPr>
          <w:rFonts w:eastAsia="Times New Roman" w:cs="Arial"/>
          <w:color w:val="000000"/>
          <w:lang w:val="en-US"/>
        </w:rPr>
        <w:t>kg</w:t>
      </w:r>
      <w:r w:rsidRPr="00813F46">
        <w:rPr>
          <w:rFonts w:eastAsia="Times New Roman" w:cs="Arial"/>
          <w:color w:val="000000"/>
          <w:lang w:val="ru-RU"/>
        </w:rPr>
        <w:t xml:space="preserve">), </w:t>
      </w:r>
      <w:r w:rsidRPr="00813F46">
        <w:rPr>
          <w:rFonts w:eastAsia="Times New Roman" w:cs="Arial"/>
          <w:color w:val="000000"/>
          <w:lang w:eastAsia="bg-BG"/>
        </w:rPr>
        <w:t xml:space="preserve">в сравнение с този при възрастни (0,96 </w:t>
      </w:r>
      <w:r w:rsidRPr="00813F46">
        <w:rPr>
          <w:rFonts w:eastAsia="Times New Roman" w:cs="Arial"/>
          <w:color w:val="000000"/>
          <w:lang w:val="en-US"/>
        </w:rPr>
        <w:t>ml</w:t>
      </w:r>
      <w:r w:rsidRPr="00813F46">
        <w:rPr>
          <w:rFonts w:eastAsia="Times New Roman" w:cs="Arial"/>
          <w:color w:val="000000"/>
          <w:lang w:val="ru-RU"/>
        </w:rPr>
        <w:t>/</w:t>
      </w:r>
      <w:r w:rsidRPr="00813F46">
        <w:rPr>
          <w:rFonts w:eastAsia="Times New Roman" w:cs="Arial"/>
          <w:color w:val="000000"/>
          <w:lang w:val="en-US"/>
        </w:rPr>
        <w:t>min</w:t>
      </w:r>
      <w:r w:rsidRPr="00813F46">
        <w:rPr>
          <w:rFonts w:eastAsia="Times New Roman" w:cs="Arial"/>
          <w:color w:val="000000"/>
          <w:lang w:val="ru-RU"/>
        </w:rPr>
        <w:t>/</w:t>
      </w:r>
      <w:r w:rsidRPr="00813F46">
        <w:rPr>
          <w:rFonts w:eastAsia="Times New Roman" w:cs="Arial"/>
          <w:color w:val="000000"/>
          <w:lang w:val="en-US"/>
        </w:rPr>
        <w:t>kg</w:t>
      </w:r>
      <w:r w:rsidRPr="00813F46">
        <w:rPr>
          <w:rFonts w:eastAsia="Times New Roman" w:cs="Arial"/>
          <w:color w:val="000000"/>
          <w:lang w:val="ru-RU"/>
        </w:rPr>
        <w:t>).</w:t>
      </w:r>
    </w:p>
    <w:p w14:paraId="09787CED" w14:textId="77777777" w:rsidR="00813F46" w:rsidRPr="00813F46" w:rsidRDefault="00813F46" w:rsidP="00813F46">
      <w:pPr>
        <w:spacing w:line="240" w:lineRule="auto"/>
        <w:rPr>
          <w:rFonts w:eastAsia="Times New Roman" w:cs="Arial"/>
          <w:color w:val="000000"/>
          <w:lang w:eastAsia="bg-BG"/>
        </w:rPr>
      </w:pPr>
    </w:p>
    <w:p w14:paraId="3D39C3C9" w14:textId="06050409" w:rsidR="00813F46" w:rsidRPr="00813F46" w:rsidRDefault="00813F46" w:rsidP="00813F46">
      <w:pPr>
        <w:spacing w:line="240" w:lineRule="auto"/>
        <w:rPr>
          <w:rFonts w:eastAsia="Times New Roman" w:cs="Arial"/>
          <w:color w:val="000000"/>
          <w:lang w:eastAsia="bg-BG"/>
        </w:rPr>
      </w:pPr>
      <w:r w:rsidRPr="00813F46">
        <w:rPr>
          <w:rFonts w:eastAsia="Times New Roman" w:cs="Arial"/>
          <w:color w:val="000000"/>
          <w:lang w:eastAsia="bg-BG"/>
        </w:rPr>
        <w:t xml:space="preserve">В популационен фармакокинетичен анализ, проведен при пациенти от 1-месечна до 16-годишна възраст, телесното тегло значимо корелира с привидния телесен клирънс (клирънсът се повишава с повишаването на телесното тегло) и с привидния обем на разпределение. Възрастта също оказва влияние върху двата параметъра. Този ефект е изразен при кърмачета и намалява с увеличаване на </w:t>
      </w:r>
    </w:p>
    <w:p w14:paraId="0767022B" w14:textId="228757A3" w:rsidR="00813F46" w:rsidRPr="00813F46" w:rsidRDefault="00813F46" w:rsidP="00813F46">
      <w:pPr>
        <w:spacing w:line="240" w:lineRule="auto"/>
        <w:rPr>
          <w:rFonts w:eastAsia="Times New Roman" w:cs="Arial"/>
        </w:rPr>
      </w:pPr>
      <w:r w:rsidRPr="00813F46">
        <w:rPr>
          <w:rFonts w:eastAsia="Times New Roman" w:cs="Arial"/>
          <w:color w:val="000000"/>
          <w:lang w:eastAsia="bg-BG"/>
        </w:rPr>
        <w:t>възрастта, като става незначителен около 4-годишна възраст.</w:t>
      </w:r>
    </w:p>
    <w:p w14:paraId="0B7E440B" w14:textId="77777777" w:rsidR="00813F46" w:rsidRPr="00813F46" w:rsidRDefault="00813F46" w:rsidP="00813F46">
      <w:pPr>
        <w:rPr>
          <w:rFonts w:eastAsia="Times New Roman" w:cs="Arial"/>
          <w:color w:val="000000"/>
          <w:lang w:eastAsia="bg-BG"/>
        </w:rPr>
      </w:pPr>
    </w:p>
    <w:p w14:paraId="3A4B2992" w14:textId="6E5D57A7" w:rsidR="00813F46" w:rsidRPr="00813F46" w:rsidRDefault="00813F46" w:rsidP="00813F46">
      <w:pPr>
        <w:rPr>
          <w:rFonts w:eastAsia="Times New Roman" w:cs="Arial"/>
          <w:color w:val="000000"/>
          <w:lang w:eastAsia="bg-BG"/>
        </w:rPr>
      </w:pPr>
      <w:r w:rsidRPr="00813F46">
        <w:rPr>
          <w:rFonts w:eastAsia="Times New Roman" w:cs="Arial"/>
          <w:color w:val="000000"/>
          <w:lang w:eastAsia="bg-BG"/>
        </w:rPr>
        <w:t>В два популационни фармакокинетични анализа се наблюдава около 20 % нарастване на привидният телесен клирънс на леветирацетам, когато се прилага съвместно с ензим- индуциращите антиепилептични лекарствени продукти.</w:t>
      </w:r>
    </w:p>
    <w:p w14:paraId="0DF88D6B" w14:textId="77777777" w:rsidR="00813F46" w:rsidRPr="00F26B25" w:rsidRDefault="00813F46" w:rsidP="00813F46"/>
    <w:p w14:paraId="4FB791BE" w14:textId="602FE9BB" w:rsidR="00B6672E" w:rsidRDefault="002C50EE" w:rsidP="00936AD0">
      <w:pPr>
        <w:pStyle w:val="Heading2"/>
      </w:pPr>
      <w:r>
        <w:t>5.3. Предклинични данни за безопасност</w:t>
      </w:r>
    </w:p>
    <w:p w14:paraId="2926A2AC" w14:textId="4A3B5E00" w:rsidR="00813F46" w:rsidRDefault="00813F46" w:rsidP="00813F46"/>
    <w:p w14:paraId="5EC401FA" w14:textId="77777777" w:rsidR="00813F46" w:rsidRPr="00813F46" w:rsidRDefault="00813F46" w:rsidP="00813F46">
      <w:pPr>
        <w:spacing w:line="240" w:lineRule="auto"/>
        <w:rPr>
          <w:rFonts w:eastAsia="Times New Roman" w:cs="Arial"/>
          <w:sz w:val="24"/>
          <w:szCs w:val="24"/>
        </w:rPr>
      </w:pPr>
      <w:r w:rsidRPr="00813F46">
        <w:rPr>
          <w:rFonts w:eastAsia="Times New Roman" w:cs="Arial"/>
          <w:color w:val="000000"/>
          <w:lang w:eastAsia="bg-BG"/>
        </w:rPr>
        <w:t>Неклиничните данни не показват особен риск за хора на базата на конвенционалните фармакологични проучвания за безопасност, генотоксичност и карциногенен потенциал. Нежелани лекарствени реакции, които не са наблюдавани по време на клиничните проучвания, но са установени при плъхове и в по-малка степен при мишки, при нива на прилагане подобни на тези при човека и с възможна връзка с клиничната употреба, са чернодробните промени, показващи адаптивния отговор, като нарастване на теглото и центрилобуларна хипертрофия, мастна инфилтрация и повишени стойности на чернодробните ензими в плазмата.</w:t>
      </w:r>
    </w:p>
    <w:p w14:paraId="079E3624" w14:textId="77777777" w:rsidR="00813F46" w:rsidRPr="00813F46" w:rsidRDefault="00813F46" w:rsidP="00813F46">
      <w:pPr>
        <w:spacing w:line="240" w:lineRule="auto"/>
        <w:rPr>
          <w:rFonts w:eastAsia="Times New Roman" w:cs="Arial"/>
          <w:color w:val="000000"/>
          <w:lang w:eastAsia="bg-BG"/>
        </w:rPr>
      </w:pPr>
    </w:p>
    <w:p w14:paraId="208CC138" w14:textId="11410D0C" w:rsidR="00813F46" w:rsidRPr="00813F46" w:rsidRDefault="00813F46" w:rsidP="00813F46">
      <w:pPr>
        <w:spacing w:line="240" w:lineRule="auto"/>
        <w:rPr>
          <w:rFonts w:eastAsia="Times New Roman" w:cs="Arial"/>
          <w:sz w:val="24"/>
          <w:szCs w:val="24"/>
        </w:rPr>
      </w:pPr>
      <w:r w:rsidRPr="00813F46">
        <w:rPr>
          <w:rFonts w:eastAsia="Times New Roman" w:cs="Arial"/>
          <w:color w:val="000000"/>
          <w:lang w:eastAsia="bg-BG"/>
        </w:rPr>
        <w:t xml:space="preserve">Не са наблюдавани нежелани реакции върху мъжката и женската фертилност или репродукционната способност при плъхове в дози до 1 800 </w:t>
      </w:r>
      <w:r w:rsidRPr="00813F46">
        <w:rPr>
          <w:rFonts w:eastAsia="Times New Roman" w:cs="Arial"/>
          <w:color w:val="000000"/>
          <w:lang w:val="en-US"/>
        </w:rPr>
        <w:t>mg</w:t>
      </w:r>
      <w:r w:rsidRPr="00813F46">
        <w:rPr>
          <w:rFonts w:eastAsia="Times New Roman" w:cs="Arial"/>
          <w:color w:val="000000"/>
          <w:lang w:val="ru-RU"/>
        </w:rPr>
        <w:t>/</w:t>
      </w:r>
      <w:r w:rsidRPr="00813F46">
        <w:rPr>
          <w:rFonts w:eastAsia="Times New Roman" w:cs="Arial"/>
          <w:color w:val="000000"/>
          <w:lang w:val="en-US"/>
        </w:rPr>
        <w:t>kg</w:t>
      </w:r>
      <w:r w:rsidRPr="00813F46">
        <w:rPr>
          <w:rFonts w:eastAsia="Times New Roman" w:cs="Arial"/>
          <w:color w:val="000000"/>
          <w:lang w:eastAsia="bg-BG"/>
        </w:rPr>
        <w:t xml:space="preserve">/ден (х 6 </w:t>
      </w:r>
      <w:r w:rsidRPr="00813F46">
        <w:rPr>
          <w:rFonts w:eastAsia="Times New Roman" w:cs="Arial"/>
          <w:color w:val="000000"/>
          <w:lang w:val="en-US"/>
        </w:rPr>
        <w:t>MRHD</w:t>
      </w:r>
      <w:r w:rsidRPr="00813F46">
        <w:rPr>
          <w:rFonts w:eastAsia="Times New Roman" w:cs="Arial"/>
          <w:color w:val="000000"/>
          <w:lang w:val="ru-RU"/>
        </w:rPr>
        <w:t xml:space="preserve"> </w:t>
      </w:r>
      <w:r w:rsidRPr="00813F46">
        <w:rPr>
          <w:rFonts w:eastAsia="Times New Roman" w:cs="Arial"/>
          <w:color w:val="000000"/>
          <w:lang w:eastAsia="bg-BG"/>
        </w:rPr>
        <w:t xml:space="preserve">на </w:t>
      </w:r>
      <w:r w:rsidRPr="00813F46">
        <w:rPr>
          <w:rFonts w:eastAsia="Times New Roman" w:cs="Arial"/>
          <w:color w:val="000000"/>
          <w:lang w:val="en-US"/>
        </w:rPr>
        <w:t>mg</w:t>
      </w:r>
      <w:r w:rsidRPr="00813F46">
        <w:rPr>
          <w:rFonts w:eastAsia="Times New Roman" w:cs="Arial"/>
          <w:color w:val="000000"/>
          <w:lang w:val="ru-RU"/>
        </w:rPr>
        <w:t>/</w:t>
      </w:r>
      <w:r w:rsidRPr="00813F46">
        <w:rPr>
          <w:rFonts w:eastAsia="Times New Roman" w:cs="Arial"/>
          <w:color w:val="000000"/>
          <w:lang w:val="en-US"/>
        </w:rPr>
        <w:t>m</w:t>
      </w:r>
      <w:r w:rsidRPr="00813F46">
        <w:rPr>
          <w:rFonts w:eastAsia="Times New Roman" w:cs="Arial"/>
          <w:color w:val="000000"/>
          <w:vertAlign w:val="superscript"/>
          <w:lang w:val="ru-RU"/>
        </w:rPr>
        <w:t>2</w:t>
      </w:r>
      <w:r w:rsidRPr="00813F46">
        <w:rPr>
          <w:rFonts w:eastAsia="Times New Roman" w:cs="Arial"/>
          <w:color w:val="000000"/>
          <w:lang w:val="ru-RU"/>
        </w:rPr>
        <w:t xml:space="preserve"> </w:t>
      </w:r>
      <w:r w:rsidRPr="00813F46">
        <w:rPr>
          <w:rFonts w:eastAsia="Times New Roman" w:cs="Arial"/>
          <w:color w:val="000000"/>
          <w:lang w:eastAsia="bg-BG"/>
        </w:rPr>
        <w:t xml:space="preserve">или базата на експозицията) при родителите и </w:t>
      </w:r>
      <w:r w:rsidRPr="00813F46">
        <w:rPr>
          <w:rFonts w:eastAsia="Times New Roman" w:cs="Arial"/>
          <w:color w:val="000000"/>
          <w:lang w:val="en-US"/>
        </w:rPr>
        <w:t>F</w:t>
      </w:r>
      <w:r w:rsidRPr="00813F46">
        <w:rPr>
          <w:rFonts w:eastAsia="Times New Roman" w:cs="Arial"/>
          <w:color w:val="000000"/>
          <w:lang w:val="ru-RU"/>
        </w:rPr>
        <w:t xml:space="preserve">1 </w:t>
      </w:r>
      <w:r w:rsidRPr="00813F46">
        <w:rPr>
          <w:rFonts w:eastAsia="Times New Roman" w:cs="Arial"/>
          <w:color w:val="000000"/>
          <w:lang w:eastAsia="bg-BG"/>
        </w:rPr>
        <w:t>поколение.</w:t>
      </w:r>
    </w:p>
    <w:p w14:paraId="34C846D6" w14:textId="77777777" w:rsidR="00813F46" w:rsidRPr="00813F46" w:rsidRDefault="00813F46" w:rsidP="00813F46">
      <w:pPr>
        <w:spacing w:line="240" w:lineRule="auto"/>
        <w:rPr>
          <w:rFonts w:eastAsia="Times New Roman" w:cs="Arial"/>
          <w:color w:val="000000"/>
          <w:lang w:eastAsia="bg-BG"/>
        </w:rPr>
      </w:pPr>
    </w:p>
    <w:p w14:paraId="5CD62D11" w14:textId="77777777" w:rsidR="00813F46" w:rsidRPr="00813F46" w:rsidRDefault="00813F46" w:rsidP="00813F46">
      <w:pPr>
        <w:spacing w:line="240" w:lineRule="auto"/>
        <w:rPr>
          <w:rFonts w:eastAsia="Times New Roman" w:cs="Arial"/>
          <w:color w:val="000000"/>
          <w:lang w:eastAsia="bg-BG"/>
        </w:rPr>
      </w:pPr>
    </w:p>
    <w:p w14:paraId="52DD3C50" w14:textId="553B3E69" w:rsidR="00813F46" w:rsidRPr="00813F46" w:rsidRDefault="00813F46" w:rsidP="00813F46">
      <w:pPr>
        <w:spacing w:line="240" w:lineRule="auto"/>
        <w:rPr>
          <w:rFonts w:eastAsia="Times New Roman" w:cs="Arial"/>
          <w:sz w:val="24"/>
          <w:szCs w:val="24"/>
        </w:rPr>
      </w:pPr>
      <w:r w:rsidRPr="00813F46">
        <w:rPr>
          <w:rFonts w:eastAsia="Times New Roman" w:cs="Arial"/>
          <w:color w:val="000000"/>
          <w:lang w:eastAsia="bg-BG"/>
        </w:rPr>
        <w:t xml:space="preserve">Проведени са две проучвания за ембрио-феталното развитие (ЕФР) при плъхове с 400,1 200 и 3 600 </w:t>
      </w:r>
      <w:r w:rsidRPr="00813F46">
        <w:rPr>
          <w:rFonts w:eastAsia="Times New Roman" w:cs="Arial"/>
          <w:color w:val="000000"/>
          <w:lang w:val="en-US"/>
        </w:rPr>
        <w:t>mg</w:t>
      </w:r>
      <w:r w:rsidRPr="00813F46">
        <w:rPr>
          <w:rFonts w:eastAsia="Times New Roman" w:cs="Arial"/>
          <w:color w:val="000000"/>
          <w:lang w:val="ru-RU"/>
        </w:rPr>
        <w:t>/</w:t>
      </w:r>
      <w:r w:rsidRPr="00813F46">
        <w:rPr>
          <w:rFonts w:eastAsia="Times New Roman" w:cs="Arial"/>
          <w:color w:val="000000"/>
          <w:lang w:val="en-US"/>
        </w:rPr>
        <w:t>kg</w:t>
      </w:r>
      <w:r w:rsidRPr="00813F46">
        <w:rPr>
          <w:rFonts w:eastAsia="Times New Roman" w:cs="Arial"/>
          <w:color w:val="000000"/>
          <w:lang w:eastAsia="bg-BG"/>
        </w:rPr>
        <w:t xml:space="preserve">/ден. При 3 600 </w:t>
      </w:r>
      <w:r w:rsidRPr="00813F46">
        <w:rPr>
          <w:rFonts w:eastAsia="Times New Roman" w:cs="Arial"/>
          <w:color w:val="000000"/>
          <w:lang w:val="en-US"/>
        </w:rPr>
        <w:t>mg</w:t>
      </w:r>
      <w:r w:rsidRPr="00813F46">
        <w:rPr>
          <w:rFonts w:eastAsia="Times New Roman" w:cs="Arial"/>
          <w:color w:val="000000"/>
          <w:lang w:val="ru-RU"/>
        </w:rPr>
        <w:t>/</w:t>
      </w:r>
      <w:r w:rsidRPr="00813F46">
        <w:rPr>
          <w:rFonts w:eastAsia="Times New Roman" w:cs="Arial"/>
          <w:color w:val="000000"/>
          <w:lang w:val="en-US"/>
        </w:rPr>
        <w:t>kg</w:t>
      </w:r>
      <w:r w:rsidRPr="00813F46">
        <w:rPr>
          <w:rFonts w:eastAsia="Times New Roman" w:cs="Arial"/>
          <w:color w:val="000000"/>
          <w:lang w:eastAsia="bg-BG"/>
        </w:rPr>
        <w:t xml:space="preserve">/ден в само едно от 2 ЕФР проучвания е имало слабо намаление в теглото на зародиша, свързано с гранично повишение на скелетните малформации/незначителни аномалии. Липсва ефект върху смъртността на ембрионите и няма повишена честота на малформациите. </w:t>
      </w:r>
      <w:r w:rsidRPr="00813F46">
        <w:rPr>
          <w:rFonts w:eastAsia="Times New Roman" w:cs="Arial"/>
          <w:color w:val="000000"/>
          <w:lang w:val="en-US"/>
        </w:rPr>
        <w:t>NOAEL</w:t>
      </w:r>
      <w:r w:rsidRPr="00813F46">
        <w:rPr>
          <w:rFonts w:eastAsia="Times New Roman" w:cs="Arial"/>
          <w:color w:val="000000"/>
          <w:lang w:val="ru-RU"/>
        </w:rPr>
        <w:t xml:space="preserve"> </w:t>
      </w:r>
      <w:r w:rsidRPr="00813F46">
        <w:rPr>
          <w:rFonts w:eastAsia="Times New Roman" w:cs="Arial"/>
          <w:color w:val="000000"/>
          <w:lang w:eastAsia="bg-BG"/>
        </w:rPr>
        <w:t xml:space="preserve">(ниво, при което не са наблюдавани нежелани реакции) е 3 600 </w:t>
      </w:r>
      <w:r w:rsidRPr="00813F46">
        <w:rPr>
          <w:rFonts w:eastAsia="Times New Roman" w:cs="Arial"/>
          <w:color w:val="000000"/>
          <w:lang w:val="en-US"/>
        </w:rPr>
        <w:t>mg</w:t>
      </w:r>
      <w:r w:rsidRPr="00813F46">
        <w:rPr>
          <w:rFonts w:eastAsia="Times New Roman" w:cs="Arial"/>
          <w:color w:val="000000"/>
          <w:lang w:val="ru-RU"/>
        </w:rPr>
        <w:t>/</w:t>
      </w:r>
      <w:r w:rsidRPr="00813F46">
        <w:rPr>
          <w:rFonts w:eastAsia="Times New Roman" w:cs="Arial"/>
          <w:color w:val="000000"/>
          <w:lang w:val="en-US"/>
        </w:rPr>
        <w:t>kg</w:t>
      </w:r>
      <w:r w:rsidRPr="00813F46">
        <w:rPr>
          <w:rFonts w:eastAsia="Times New Roman" w:cs="Arial"/>
          <w:color w:val="000000"/>
          <w:lang w:eastAsia="bg-BG"/>
        </w:rPr>
        <w:t xml:space="preserve">/ден при бременни женски плъхове (х 12 максималната препоръчана дневна доза при хора (МПДХ) на база </w:t>
      </w:r>
      <w:r w:rsidRPr="00813F46">
        <w:rPr>
          <w:rFonts w:eastAsia="Times New Roman" w:cs="Arial"/>
          <w:color w:val="000000"/>
          <w:lang w:val="en-US"/>
        </w:rPr>
        <w:t>mg</w:t>
      </w:r>
      <w:r w:rsidRPr="00813F46">
        <w:rPr>
          <w:rFonts w:eastAsia="Times New Roman" w:cs="Arial"/>
          <w:color w:val="000000"/>
          <w:lang w:val="ru-RU"/>
        </w:rPr>
        <w:t>/</w:t>
      </w:r>
      <w:r w:rsidRPr="00813F46">
        <w:rPr>
          <w:rFonts w:eastAsia="Times New Roman" w:cs="Arial"/>
          <w:color w:val="000000"/>
          <w:lang w:val="en-US"/>
        </w:rPr>
        <w:t>m</w:t>
      </w:r>
      <w:r w:rsidRPr="00813F46">
        <w:rPr>
          <w:rFonts w:eastAsia="Times New Roman" w:cs="Arial"/>
          <w:color w:val="000000"/>
          <w:vertAlign w:val="superscript"/>
          <w:lang w:val="ru-RU"/>
        </w:rPr>
        <w:t>2</w:t>
      </w:r>
      <w:r w:rsidRPr="00813F46">
        <w:rPr>
          <w:rFonts w:eastAsia="Times New Roman" w:cs="Arial"/>
          <w:color w:val="000000"/>
          <w:lang w:eastAsia="bg-BG"/>
        </w:rPr>
        <w:t xml:space="preserve">) и 1 200 </w:t>
      </w:r>
      <w:r w:rsidRPr="00813F46">
        <w:rPr>
          <w:rFonts w:eastAsia="Times New Roman" w:cs="Arial"/>
          <w:color w:val="000000"/>
          <w:lang w:val="en-US"/>
        </w:rPr>
        <w:t>mg</w:t>
      </w:r>
      <w:r w:rsidRPr="00813F46">
        <w:rPr>
          <w:rFonts w:eastAsia="Times New Roman" w:cs="Arial"/>
          <w:color w:val="000000"/>
          <w:lang w:val="ru-RU"/>
        </w:rPr>
        <w:t>/</w:t>
      </w:r>
      <w:r w:rsidRPr="00813F46">
        <w:rPr>
          <w:rFonts w:eastAsia="Times New Roman" w:cs="Arial"/>
          <w:color w:val="000000"/>
          <w:lang w:val="en-US"/>
        </w:rPr>
        <w:t>kg</w:t>
      </w:r>
      <w:r w:rsidRPr="00813F46">
        <w:rPr>
          <w:rFonts w:eastAsia="Times New Roman" w:cs="Arial"/>
          <w:color w:val="000000"/>
          <w:lang w:eastAsia="bg-BG"/>
        </w:rPr>
        <w:t>/ден при зародишите.</w:t>
      </w:r>
    </w:p>
    <w:p w14:paraId="28808620" w14:textId="77777777" w:rsidR="00813F46" w:rsidRPr="00813F46" w:rsidRDefault="00813F46" w:rsidP="00813F46">
      <w:pPr>
        <w:spacing w:line="240" w:lineRule="auto"/>
        <w:rPr>
          <w:rFonts w:eastAsia="Times New Roman" w:cs="Arial"/>
          <w:color w:val="000000"/>
          <w:lang w:eastAsia="bg-BG"/>
        </w:rPr>
      </w:pPr>
    </w:p>
    <w:p w14:paraId="0C5FA108" w14:textId="0252407C" w:rsidR="00813F46" w:rsidRPr="00813F46" w:rsidRDefault="00813F46" w:rsidP="00813F46">
      <w:pPr>
        <w:spacing w:line="240" w:lineRule="auto"/>
        <w:rPr>
          <w:rFonts w:eastAsia="Times New Roman" w:cs="Arial"/>
          <w:sz w:val="24"/>
          <w:szCs w:val="24"/>
        </w:rPr>
      </w:pPr>
      <w:r w:rsidRPr="00813F46">
        <w:rPr>
          <w:rFonts w:eastAsia="Times New Roman" w:cs="Arial"/>
          <w:color w:val="000000"/>
          <w:lang w:eastAsia="bg-BG"/>
        </w:rPr>
        <w:t xml:space="preserve">Проведени са четири проучвания за ембрио-феталното развитие при зайци, с дневни дози от 200,400, 800,1200 и 1 800 </w:t>
      </w:r>
      <w:r w:rsidRPr="00813F46">
        <w:rPr>
          <w:rFonts w:eastAsia="Times New Roman" w:cs="Arial"/>
          <w:color w:val="000000"/>
          <w:lang w:val="en-US"/>
        </w:rPr>
        <w:t>mg</w:t>
      </w:r>
      <w:r w:rsidRPr="00813F46">
        <w:rPr>
          <w:rFonts w:eastAsia="Times New Roman" w:cs="Arial"/>
          <w:color w:val="000000"/>
          <w:lang w:val="ru-RU"/>
        </w:rPr>
        <w:t>/</w:t>
      </w:r>
      <w:r w:rsidRPr="00813F46">
        <w:rPr>
          <w:rFonts w:eastAsia="Times New Roman" w:cs="Arial"/>
          <w:color w:val="000000"/>
          <w:lang w:val="en-US"/>
        </w:rPr>
        <w:t>kg</w:t>
      </w:r>
      <w:r w:rsidRPr="00813F46">
        <w:rPr>
          <w:rFonts w:eastAsia="Times New Roman" w:cs="Arial"/>
          <w:color w:val="000000"/>
          <w:lang w:val="ru-RU"/>
        </w:rPr>
        <w:t xml:space="preserve">. </w:t>
      </w:r>
      <w:r w:rsidRPr="00813F46">
        <w:rPr>
          <w:rFonts w:eastAsia="Times New Roman" w:cs="Arial"/>
          <w:color w:val="000000"/>
          <w:lang w:eastAsia="bg-BG"/>
        </w:rPr>
        <w:t xml:space="preserve">Доза от 1 800 </w:t>
      </w:r>
      <w:r w:rsidRPr="00813F46">
        <w:rPr>
          <w:rFonts w:eastAsia="Times New Roman" w:cs="Arial"/>
          <w:color w:val="000000"/>
          <w:lang w:val="en-US"/>
        </w:rPr>
        <w:t>mg</w:t>
      </w:r>
      <w:r w:rsidRPr="00813F46">
        <w:rPr>
          <w:rFonts w:eastAsia="Times New Roman" w:cs="Arial"/>
          <w:color w:val="000000"/>
          <w:lang w:val="ru-RU"/>
        </w:rPr>
        <w:t>/</w:t>
      </w:r>
      <w:r w:rsidRPr="00813F46">
        <w:rPr>
          <w:rFonts w:eastAsia="Times New Roman" w:cs="Arial"/>
          <w:color w:val="000000"/>
          <w:lang w:val="en-US"/>
        </w:rPr>
        <w:t>kg</w:t>
      </w:r>
      <w:r w:rsidRPr="00813F46">
        <w:rPr>
          <w:rFonts w:eastAsia="Times New Roman" w:cs="Arial"/>
          <w:color w:val="000000"/>
          <w:lang w:eastAsia="bg-BG"/>
        </w:rPr>
        <w:t xml:space="preserve">/ден е предизвикала значителна токсичност при майката и намаление на теглото на плода, свързано с повишена честота на зародиши със сърдечно-съдови/скелетни аномалии </w:t>
      </w:r>
      <w:proofErr w:type="spellStart"/>
      <w:r w:rsidRPr="00813F46">
        <w:rPr>
          <w:rFonts w:eastAsia="Times New Roman" w:cs="Arial"/>
          <w:color w:val="000000"/>
          <w:lang w:val="en-US"/>
        </w:rPr>
        <w:t>NOAELe</w:t>
      </w:r>
      <w:proofErr w:type="spellEnd"/>
      <w:r w:rsidRPr="00813F46">
        <w:rPr>
          <w:rFonts w:eastAsia="Times New Roman" w:cs="Arial"/>
          <w:color w:val="000000"/>
          <w:lang w:val="ru-RU"/>
        </w:rPr>
        <w:t xml:space="preserve"> </w:t>
      </w:r>
      <w:r w:rsidRPr="00813F46">
        <w:rPr>
          <w:rFonts w:eastAsia="Times New Roman" w:cs="Arial"/>
          <w:color w:val="000000"/>
          <w:lang w:eastAsia="bg-BG"/>
        </w:rPr>
        <w:t xml:space="preserve">&lt;200 </w:t>
      </w:r>
      <w:r w:rsidRPr="00813F46">
        <w:rPr>
          <w:rFonts w:eastAsia="Times New Roman" w:cs="Arial"/>
          <w:color w:val="000000"/>
          <w:lang w:val="en-US"/>
        </w:rPr>
        <w:t>mg</w:t>
      </w:r>
      <w:r w:rsidRPr="00813F46">
        <w:rPr>
          <w:rFonts w:eastAsia="Times New Roman" w:cs="Arial"/>
          <w:color w:val="000000"/>
          <w:lang w:val="ru-RU"/>
        </w:rPr>
        <w:t>/</w:t>
      </w:r>
      <w:r w:rsidRPr="00813F46">
        <w:rPr>
          <w:rFonts w:eastAsia="Times New Roman" w:cs="Arial"/>
          <w:color w:val="000000"/>
          <w:lang w:val="en-US"/>
        </w:rPr>
        <w:t>kg</w:t>
      </w:r>
      <w:r w:rsidRPr="00813F46">
        <w:rPr>
          <w:rFonts w:eastAsia="Times New Roman" w:cs="Arial"/>
          <w:color w:val="000000"/>
          <w:lang w:eastAsia="bg-BG"/>
        </w:rPr>
        <w:t xml:space="preserve">/ден при майката и 200 </w:t>
      </w:r>
      <w:r w:rsidRPr="00813F46">
        <w:rPr>
          <w:rFonts w:eastAsia="Times New Roman" w:cs="Arial"/>
          <w:color w:val="000000"/>
          <w:lang w:val="en-US"/>
        </w:rPr>
        <w:t>mg</w:t>
      </w:r>
      <w:r w:rsidRPr="00813F46">
        <w:rPr>
          <w:rFonts w:eastAsia="Times New Roman" w:cs="Arial"/>
          <w:color w:val="000000"/>
          <w:lang w:val="ru-RU"/>
        </w:rPr>
        <w:t>/</w:t>
      </w:r>
      <w:r w:rsidRPr="00813F46">
        <w:rPr>
          <w:rFonts w:eastAsia="Times New Roman" w:cs="Arial"/>
          <w:color w:val="000000"/>
          <w:lang w:val="en-US"/>
        </w:rPr>
        <w:t>kg</w:t>
      </w:r>
      <w:r w:rsidRPr="00813F46">
        <w:rPr>
          <w:rFonts w:eastAsia="Times New Roman" w:cs="Arial"/>
          <w:color w:val="000000"/>
          <w:lang w:eastAsia="bg-BG"/>
        </w:rPr>
        <w:t xml:space="preserve">/ден при плода (равно на МПДХ на база </w:t>
      </w:r>
      <w:r w:rsidRPr="00813F46">
        <w:rPr>
          <w:rFonts w:eastAsia="Times New Roman" w:cs="Arial"/>
          <w:color w:val="000000"/>
          <w:lang w:val="en-US"/>
        </w:rPr>
        <w:t>mg</w:t>
      </w:r>
      <w:r w:rsidRPr="00813F46">
        <w:rPr>
          <w:rFonts w:eastAsia="Times New Roman" w:cs="Arial"/>
          <w:color w:val="000000"/>
          <w:lang w:val="ru-RU"/>
        </w:rPr>
        <w:t>/</w:t>
      </w:r>
      <w:r w:rsidRPr="00813F46">
        <w:rPr>
          <w:rFonts w:eastAsia="Times New Roman" w:cs="Arial"/>
          <w:color w:val="000000"/>
          <w:lang w:val="en-US"/>
        </w:rPr>
        <w:t>m</w:t>
      </w:r>
      <w:r w:rsidRPr="00813F46">
        <w:rPr>
          <w:rFonts w:eastAsia="Times New Roman" w:cs="Arial"/>
          <w:color w:val="000000"/>
          <w:vertAlign w:val="superscript"/>
          <w:lang w:val="ru-RU"/>
        </w:rPr>
        <w:t>2</w:t>
      </w:r>
      <w:r w:rsidRPr="00813F46">
        <w:rPr>
          <w:rFonts w:eastAsia="Times New Roman" w:cs="Arial"/>
          <w:color w:val="000000"/>
          <w:lang w:eastAsia="bg-BG"/>
        </w:rPr>
        <w:t>).</w:t>
      </w:r>
    </w:p>
    <w:p w14:paraId="4BB16CD3" w14:textId="796C9273" w:rsidR="00813F46" w:rsidRPr="00813F46" w:rsidRDefault="00813F46" w:rsidP="00813F46">
      <w:pPr>
        <w:spacing w:line="240" w:lineRule="auto"/>
        <w:rPr>
          <w:rFonts w:eastAsia="Times New Roman" w:cs="Arial"/>
          <w:sz w:val="24"/>
          <w:szCs w:val="24"/>
        </w:rPr>
      </w:pPr>
      <w:r w:rsidRPr="00813F46">
        <w:rPr>
          <w:rFonts w:eastAsia="Times New Roman" w:cs="Arial"/>
          <w:color w:val="000000"/>
          <w:lang w:eastAsia="bg-BG"/>
        </w:rPr>
        <w:t xml:space="preserve">Проучване за пери- и постнаталното развитие е проведено при плъхове с леветирацетам в дози от 70, 350 и 1 800 </w:t>
      </w:r>
      <w:r w:rsidRPr="00813F46">
        <w:rPr>
          <w:rFonts w:eastAsia="Times New Roman" w:cs="Arial"/>
          <w:color w:val="000000"/>
          <w:lang w:val="en-US"/>
        </w:rPr>
        <w:t>mg</w:t>
      </w:r>
      <w:r w:rsidRPr="00813F46">
        <w:rPr>
          <w:rFonts w:eastAsia="Times New Roman" w:cs="Arial"/>
          <w:color w:val="000000"/>
          <w:lang w:val="ru-RU"/>
        </w:rPr>
        <w:t>/</w:t>
      </w:r>
      <w:r w:rsidRPr="00813F46">
        <w:rPr>
          <w:rFonts w:eastAsia="Times New Roman" w:cs="Arial"/>
          <w:color w:val="000000"/>
          <w:lang w:val="en-US"/>
        </w:rPr>
        <w:t>kg</w:t>
      </w:r>
      <w:r w:rsidRPr="00813F46">
        <w:rPr>
          <w:rFonts w:eastAsia="Times New Roman" w:cs="Arial"/>
          <w:color w:val="000000"/>
          <w:lang w:eastAsia="bg-BG"/>
        </w:rPr>
        <w:t xml:space="preserve">/ден. </w:t>
      </w:r>
      <w:r w:rsidRPr="00813F46">
        <w:rPr>
          <w:rFonts w:eastAsia="Times New Roman" w:cs="Arial"/>
          <w:color w:val="000000"/>
          <w:lang w:val="en-US"/>
        </w:rPr>
        <w:t>NOAEL</w:t>
      </w:r>
      <w:r w:rsidRPr="00813F46">
        <w:rPr>
          <w:rFonts w:eastAsia="Times New Roman" w:cs="Arial"/>
          <w:color w:val="000000"/>
          <w:lang w:val="ru-RU"/>
        </w:rPr>
        <w:t xml:space="preserve"> </w:t>
      </w:r>
      <w:r w:rsidRPr="00813F46">
        <w:rPr>
          <w:rFonts w:eastAsia="Times New Roman" w:cs="Arial"/>
          <w:color w:val="000000"/>
          <w:lang w:eastAsia="bg-BG"/>
        </w:rPr>
        <w:t xml:space="preserve">е ≥ 1 800 </w:t>
      </w:r>
      <w:r w:rsidRPr="00813F46">
        <w:rPr>
          <w:rFonts w:eastAsia="Times New Roman" w:cs="Arial"/>
          <w:color w:val="000000"/>
          <w:lang w:val="en-US"/>
        </w:rPr>
        <w:t>mg</w:t>
      </w:r>
      <w:r w:rsidRPr="00813F46">
        <w:rPr>
          <w:rFonts w:eastAsia="Times New Roman" w:cs="Arial"/>
          <w:color w:val="000000"/>
          <w:lang w:val="ru-RU"/>
        </w:rPr>
        <w:t>/</w:t>
      </w:r>
      <w:r w:rsidRPr="00813F46">
        <w:rPr>
          <w:rFonts w:eastAsia="Times New Roman" w:cs="Arial"/>
          <w:color w:val="000000"/>
          <w:lang w:val="en-US"/>
        </w:rPr>
        <w:t>kg</w:t>
      </w:r>
      <w:r w:rsidRPr="00813F46">
        <w:rPr>
          <w:rFonts w:eastAsia="Times New Roman" w:cs="Arial"/>
          <w:color w:val="000000"/>
          <w:lang w:eastAsia="bg-BG"/>
        </w:rPr>
        <w:t xml:space="preserve">/ден за </w:t>
      </w:r>
      <w:r w:rsidRPr="00813F46">
        <w:rPr>
          <w:rFonts w:eastAsia="Times New Roman" w:cs="Arial"/>
          <w:color w:val="000000"/>
          <w:lang w:val="en-US"/>
        </w:rPr>
        <w:t>F</w:t>
      </w:r>
      <w:r w:rsidRPr="00813F46">
        <w:rPr>
          <w:rFonts w:eastAsia="Times New Roman" w:cs="Arial"/>
          <w:color w:val="000000"/>
          <w:lang w:val="ru-RU"/>
        </w:rPr>
        <w:t xml:space="preserve">0 </w:t>
      </w:r>
      <w:r w:rsidRPr="00813F46">
        <w:rPr>
          <w:rFonts w:eastAsia="Times New Roman" w:cs="Arial"/>
          <w:color w:val="000000"/>
          <w:lang w:eastAsia="bg-BG"/>
        </w:rPr>
        <w:t xml:space="preserve">женски и за преживяемостга, растежа и развитието на </w:t>
      </w:r>
      <w:r w:rsidRPr="00813F46">
        <w:rPr>
          <w:rFonts w:eastAsia="Times New Roman" w:cs="Arial"/>
          <w:color w:val="000000"/>
          <w:lang w:val="en-US"/>
        </w:rPr>
        <w:t>F</w:t>
      </w:r>
      <w:r w:rsidRPr="00813F46">
        <w:rPr>
          <w:rFonts w:eastAsia="Times New Roman" w:cs="Arial"/>
          <w:color w:val="000000"/>
          <w:lang w:val="ru-RU"/>
        </w:rPr>
        <w:t xml:space="preserve">1 </w:t>
      </w:r>
      <w:r w:rsidRPr="00813F46">
        <w:rPr>
          <w:rFonts w:eastAsia="Times New Roman" w:cs="Arial"/>
          <w:color w:val="000000"/>
          <w:lang w:eastAsia="bg-BG"/>
        </w:rPr>
        <w:t xml:space="preserve">поколение до отбиването им (х 6 МПДХ на </w:t>
      </w:r>
      <w:r w:rsidRPr="00813F46">
        <w:rPr>
          <w:rFonts w:eastAsia="Times New Roman" w:cs="Arial"/>
          <w:color w:val="000000"/>
          <w:lang w:val="en-US"/>
        </w:rPr>
        <w:t>mg</w:t>
      </w:r>
      <w:r w:rsidRPr="00813F46">
        <w:rPr>
          <w:rFonts w:eastAsia="Times New Roman" w:cs="Arial"/>
          <w:color w:val="000000"/>
          <w:lang w:val="ru-RU"/>
        </w:rPr>
        <w:t>/</w:t>
      </w:r>
      <w:r w:rsidRPr="00813F46">
        <w:rPr>
          <w:rFonts w:eastAsia="Times New Roman" w:cs="Arial"/>
          <w:color w:val="000000"/>
          <w:lang w:val="en-US"/>
        </w:rPr>
        <w:t>m</w:t>
      </w:r>
      <w:r w:rsidRPr="00813F46">
        <w:rPr>
          <w:rFonts w:eastAsia="Times New Roman" w:cs="Arial"/>
          <w:color w:val="000000"/>
          <w:vertAlign w:val="superscript"/>
          <w:lang w:val="ru-RU"/>
        </w:rPr>
        <w:t>2</w:t>
      </w:r>
      <w:r w:rsidRPr="00813F46">
        <w:rPr>
          <w:rFonts w:eastAsia="Times New Roman" w:cs="Arial"/>
          <w:color w:val="000000"/>
          <w:lang w:val="ru-RU"/>
        </w:rPr>
        <w:t xml:space="preserve"> </w:t>
      </w:r>
      <w:r w:rsidRPr="00813F46">
        <w:rPr>
          <w:rFonts w:eastAsia="Times New Roman" w:cs="Arial"/>
          <w:color w:val="000000"/>
          <w:lang w:eastAsia="bg-BG"/>
        </w:rPr>
        <w:t>база).</w:t>
      </w:r>
    </w:p>
    <w:p w14:paraId="3647BEB9" w14:textId="77777777" w:rsidR="00813F46" w:rsidRPr="00813F46" w:rsidRDefault="00813F46" w:rsidP="00813F46">
      <w:pPr>
        <w:rPr>
          <w:rFonts w:eastAsia="Times New Roman" w:cs="Arial"/>
          <w:color w:val="000000"/>
          <w:lang w:eastAsia="bg-BG"/>
        </w:rPr>
      </w:pPr>
    </w:p>
    <w:p w14:paraId="629204B5" w14:textId="73B30806" w:rsidR="00813F46" w:rsidRPr="00813F46" w:rsidRDefault="00813F46" w:rsidP="00813F46">
      <w:pPr>
        <w:rPr>
          <w:lang w:val="ru-RU"/>
        </w:rPr>
      </w:pPr>
      <w:r w:rsidRPr="00813F46">
        <w:rPr>
          <w:rFonts w:eastAsia="Times New Roman" w:cs="Arial"/>
          <w:color w:val="000000"/>
          <w:lang w:eastAsia="bg-BG"/>
        </w:rPr>
        <w:t xml:space="preserve">Неонаталните и ювенилни проучвания при животни (плъхове и кучета) не показват нежелани ефекти по отношение на стандартното развитие или съзряване при дози до 1 800 </w:t>
      </w:r>
      <w:r w:rsidRPr="00813F46">
        <w:rPr>
          <w:rFonts w:eastAsia="Times New Roman" w:cs="Arial"/>
          <w:color w:val="000000"/>
          <w:lang w:val="en-US"/>
        </w:rPr>
        <w:t>mg</w:t>
      </w:r>
      <w:r w:rsidRPr="00813F46">
        <w:rPr>
          <w:rFonts w:eastAsia="Times New Roman" w:cs="Arial"/>
          <w:color w:val="000000"/>
          <w:lang w:val="ru-RU"/>
        </w:rPr>
        <w:t>/</w:t>
      </w:r>
      <w:r w:rsidRPr="00813F46">
        <w:rPr>
          <w:rFonts w:eastAsia="Times New Roman" w:cs="Arial"/>
          <w:color w:val="000000"/>
          <w:lang w:val="en-US"/>
        </w:rPr>
        <w:t>kg</w:t>
      </w:r>
      <w:r w:rsidRPr="00813F46">
        <w:rPr>
          <w:rFonts w:eastAsia="Times New Roman" w:cs="Arial"/>
          <w:color w:val="000000"/>
          <w:lang w:val="ru-RU"/>
        </w:rPr>
        <w:t>/</w:t>
      </w:r>
      <w:r w:rsidRPr="00813F46">
        <w:rPr>
          <w:rFonts w:eastAsia="Times New Roman" w:cs="Arial"/>
          <w:color w:val="000000"/>
          <w:lang w:eastAsia="bg-BG"/>
        </w:rPr>
        <w:t xml:space="preserve">дневно (х 6- х 17 МПДХ на база </w:t>
      </w:r>
      <w:r w:rsidRPr="00813F46">
        <w:rPr>
          <w:rFonts w:eastAsia="Times New Roman" w:cs="Arial"/>
          <w:color w:val="000000"/>
          <w:lang w:val="en-US"/>
        </w:rPr>
        <w:t>mg</w:t>
      </w:r>
      <w:r w:rsidRPr="00813F46">
        <w:rPr>
          <w:rFonts w:eastAsia="Times New Roman" w:cs="Arial"/>
          <w:color w:val="000000"/>
          <w:lang w:val="ru-RU"/>
        </w:rPr>
        <w:t>/</w:t>
      </w:r>
      <w:r w:rsidRPr="00813F46">
        <w:rPr>
          <w:rFonts w:eastAsia="Times New Roman" w:cs="Arial"/>
          <w:color w:val="000000"/>
          <w:lang w:val="en-US"/>
        </w:rPr>
        <w:t>m</w:t>
      </w:r>
      <w:r w:rsidRPr="00813F46">
        <w:rPr>
          <w:rFonts w:eastAsia="Times New Roman" w:cs="Arial"/>
          <w:color w:val="000000"/>
          <w:vertAlign w:val="superscript"/>
          <w:lang w:val="ru-RU"/>
        </w:rPr>
        <w:t>2</w:t>
      </w:r>
      <w:r w:rsidRPr="00813F46">
        <w:rPr>
          <w:rFonts w:eastAsia="Times New Roman" w:cs="Arial"/>
          <w:color w:val="000000"/>
          <w:lang w:val="ru-RU"/>
        </w:rPr>
        <w:t>).</w:t>
      </w:r>
    </w:p>
    <w:p w14:paraId="1BA6531D" w14:textId="3CE415C1" w:rsidR="00B6672E" w:rsidRDefault="002C50EE" w:rsidP="00936AD0">
      <w:pPr>
        <w:pStyle w:val="Heading1"/>
      </w:pPr>
      <w:r>
        <w:t>7. ПРИТЕЖАТЕЛ НА РАЗРЕШЕНИЕТО ЗА УПОТРЕБА</w:t>
      </w:r>
    </w:p>
    <w:p w14:paraId="15235B91" w14:textId="087C83F9" w:rsidR="00813F46" w:rsidRDefault="00813F46" w:rsidP="00813F46"/>
    <w:p w14:paraId="2C26F911" w14:textId="77777777" w:rsidR="00813F46" w:rsidRDefault="00813F46" w:rsidP="00813F46">
      <w:r>
        <w:t xml:space="preserve">Teva B.V. </w:t>
      </w:r>
    </w:p>
    <w:p w14:paraId="6BA32EE3" w14:textId="77777777" w:rsidR="00813F46" w:rsidRDefault="00813F46" w:rsidP="00813F46">
      <w:pPr>
        <w:rPr>
          <w:lang w:eastAsia="bg-BG"/>
        </w:rPr>
      </w:pPr>
      <w:r>
        <w:t xml:space="preserve">Swensweg </w:t>
      </w:r>
      <w:r>
        <w:rPr>
          <w:lang w:eastAsia="bg-BG"/>
        </w:rPr>
        <w:t xml:space="preserve">5 </w:t>
      </w:r>
    </w:p>
    <w:p w14:paraId="42DF8FC4" w14:textId="77777777" w:rsidR="00813F46" w:rsidRDefault="00813F46" w:rsidP="00813F46">
      <w:r>
        <w:rPr>
          <w:lang w:eastAsia="bg-BG"/>
        </w:rPr>
        <w:t xml:space="preserve">2031 </w:t>
      </w:r>
      <w:r>
        <w:t xml:space="preserve">GA Haarlem </w:t>
      </w:r>
    </w:p>
    <w:p w14:paraId="2BDFA713" w14:textId="6E4AB3C5" w:rsidR="00813F46" w:rsidRPr="00813F46" w:rsidRDefault="00813F46" w:rsidP="00813F46">
      <w:r>
        <w:rPr>
          <w:lang w:eastAsia="bg-BG"/>
        </w:rPr>
        <w:t>Нидерландия</w:t>
      </w:r>
    </w:p>
    <w:p w14:paraId="508F3A54" w14:textId="159B2E25" w:rsidR="00B6672E" w:rsidRDefault="00936AD0" w:rsidP="00936AD0">
      <w:pPr>
        <w:pStyle w:val="Heading1"/>
      </w:pPr>
      <w:r>
        <w:t>8.</w:t>
      </w:r>
      <w:r w:rsidR="002C50EE">
        <w:t>НОМЕР НА РАЗРЕШЕНИЕТО ЗА УПОТРЕБА</w:t>
      </w:r>
    </w:p>
    <w:p w14:paraId="7D45F00B" w14:textId="7F16D572" w:rsidR="00813F46" w:rsidRDefault="00813F46" w:rsidP="00813F46"/>
    <w:p w14:paraId="3B579F70" w14:textId="77777777" w:rsidR="00813F46" w:rsidRPr="00813F46" w:rsidRDefault="00813F46" w:rsidP="00813F46">
      <w:pPr>
        <w:rPr>
          <w:sz w:val="24"/>
          <w:szCs w:val="24"/>
          <w:lang w:val="en-US"/>
        </w:rPr>
      </w:pPr>
      <w:proofErr w:type="spellStart"/>
      <w:r w:rsidRPr="00813F46">
        <w:rPr>
          <w:lang w:val="en-US"/>
        </w:rPr>
        <w:t>Noepix</w:t>
      </w:r>
      <w:proofErr w:type="spellEnd"/>
      <w:r w:rsidRPr="00813F46">
        <w:rPr>
          <w:lang w:val="en-US"/>
        </w:rPr>
        <w:t xml:space="preserve"> </w:t>
      </w:r>
      <w:r w:rsidRPr="00813F46">
        <w:rPr>
          <w:lang w:eastAsia="bg-BG"/>
        </w:rPr>
        <w:t xml:space="preserve">250 </w:t>
      </w:r>
      <w:r w:rsidRPr="00813F46">
        <w:rPr>
          <w:lang w:val="en-US"/>
        </w:rPr>
        <w:t>mg - per. № 20110621</w:t>
      </w:r>
    </w:p>
    <w:p w14:paraId="2B8C69A6" w14:textId="77777777" w:rsidR="00813F46" w:rsidRPr="00813F46" w:rsidRDefault="00813F46" w:rsidP="00813F46">
      <w:pPr>
        <w:rPr>
          <w:sz w:val="24"/>
          <w:szCs w:val="24"/>
          <w:lang w:val="en-US"/>
        </w:rPr>
      </w:pPr>
      <w:proofErr w:type="spellStart"/>
      <w:r w:rsidRPr="00813F46">
        <w:rPr>
          <w:lang w:val="en-US"/>
        </w:rPr>
        <w:t>Noepix</w:t>
      </w:r>
      <w:proofErr w:type="spellEnd"/>
      <w:r w:rsidRPr="00813F46">
        <w:rPr>
          <w:lang w:val="en-US"/>
        </w:rPr>
        <w:t xml:space="preserve"> 500 mg - per. № 20110622</w:t>
      </w:r>
    </w:p>
    <w:p w14:paraId="2A077592" w14:textId="33BAC835" w:rsidR="00813F46" w:rsidRPr="00813F46" w:rsidRDefault="00813F46" w:rsidP="00813F46">
      <w:pPr>
        <w:rPr>
          <w:lang w:val="ru-RU"/>
        </w:rPr>
      </w:pPr>
      <w:proofErr w:type="spellStart"/>
      <w:r w:rsidRPr="00813F46">
        <w:rPr>
          <w:lang w:val="en-US"/>
        </w:rPr>
        <w:t>Noepix</w:t>
      </w:r>
      <w:proofErr w:type="spellEnd"/>
      <w:r w:rsidRPr="00813F46">
        <w:rPr>
          <w:lang w:val="ru-RU"/>
        </w:rPr>
        <w:t xml:space="preserve"> 1 000 </w:t>
      </w:r>
      <w:r w:rsidRPr="00813F46">
        <w:rPr>
          <w:lang w:val="en-US"/>
        </w:rPr>
        <w:t>mg</w:t>
      </w:r>
      <w:r>
        <w:rPr>
          <w:lang w:val="ru-RU"/>
        </w:rPr>
        <w:t xml:space="preserve"> -</w:t>
      </w:r>
      <w:r w:rsidRPr="00813F46">
        <w:rPr>
          <w:lang w:val="ru-RU"/>
        </w:rPr>
        <w:t xml:space="preserve"> </w:t>
      </w:r>
      <w:r w:rsidRPr="00813F46">
        <w:rPr>
          <w:lang w:val="en-US"/>
        </w:rPr>
        <w:t>per</w:t>
      </w:r>
      <w:r w:rsidRPr="00813F46">
        <w:rPr>
          <w:lang w:val="ru-RU"/>
        </w:rPr>
        <w:t>. № 20110624</w:t>
      </w:r>
    </w:p>
    <w:p w14:paraId="2CCB5832" w14:textId="1F9F76D7" w:rsidR="007C605B" w:rsidRDefault="002C50EE" w:rsidP="007C605B">
      <w:pPr>
        <w:pStyle w:val="Heading1"/>
      </w:pPr>
      <w:r>
        <w:t>9. ДАТА НА ПЪРВО РАЗРЕШАВАНЕ/ПОДНОВЯВАНЕ НА РАЗРЕШЕНИЕТО ЗА УПОТРЕБА</w:t>
      </w:r>
    </w:p>
    <w:p w14:paraId="439EEAED" w14:textId="42A75140" w:rsidR="00813F46" w:rsidRDefault="00813F46" w:rsidP="00813F46"/>
    <w:p w14:paraId="3BD36C61" w14:textId="77777777" w:rsidR="00813F46" w:rsidRPr="00813F46" w:rsidRDefault="00813F46" w:rsidP="00813F46">
      <w:pPr>
        <w:rPr>
          <w:sz w:val="24"/>
          <w:szCs w:val="24"/>
        </w:rPr>
      </w:pPr>
      <w:r w:rsidRPr="00813F46">
        <w:rPr>
          <w:lang w:eastAsia="bg-BG"/>
        </w:rPr>
        <w:t>Дата на първо разрешаване: 24. 10. 2011 г.</w:t>
      </w:r>
    </w:p>
    <w:p w14:paraId="38F19D34" w14:textId="77777777" w:rsidR="00813F46" w:rsidRPr="00813F46" w:rsidRDefault="00813F46" w:rsidP="00813F46">
      <w:pPr>
        <w:rPr>
          <w:sz w:val="24"/>
          <w:szCs w:val="24"/>
        </w:rPr>
      </w:pPr>
      <w:r w:rsidRPr="00813F46">
        <w:rPr>
          <w:lang w:eastAsia="bg-BG"/>
        </w:rPr>
        <w:t>Дата на последно подновяване: 16.06.2016 г.</w:t>
      </w:r>
    </w:p>
    <w:p w14:paraId="27E4E536" w14:textId="77777777" w:rsidR="00813F46" w:rsidRPr="00813F46" w:rsidRDefault="00813F46" w:rsidP="00813F46"/>
    <w:p w14:paraId="0E9D0119" w14:textId="0245C6D7" w:rsidR="002C50EE" w:rsidRDefault="002C50EE" w:rsidP="002C50EE">
      <w:pPr>
        <w:pStyle w:val="Heading1"/>
      </w:pPr>
      <w:r>
        <w:t>10. ДАТА НА АКТУАЛИЗИРАНЕ НА ТЕКСТА</w:t>
      </w:r>
    </w:p>
    <w:p w14:paraId="43FB38A2" w14:textId="689F8F04" w:rsidR="007C605B" w:rsidRPr="003E3126" w:rsidRDefault="007C605B" w:rsidP="00B6672E">
      <w:bookmarkStart w:id="1" w:name="_GoBack"/>
      <w:bookmarkEnd w:id="0"/>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35D171D"/>
    <w:multiLevelType w:val="hybridMultilevel"/>
    <w:tmpl w:val="C20C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4"/>
  </w:num>
  <w:num w:numId="15">
    <w:abstractNumId w:val="31"/>
  </w:num>
  <w:num w:numId="16">
    <w:abstractNumId w:val="12"/>
  </w:num>
  <w:num w:numId="17">
    <w:abstractNumId w:val="26"/>
  </w:num>
  <w:num w:numId="18">
    <w:abstractNumId w:val="9"/>
  </w:num>
  <w:num w:numId="19">
    <w:abstractNumId w:val="28"/>
  </w:num>
  <w:num w:numId="20">
    <w:abstractNumId w:val="25"/>
  </w:num>
  <w:num w:numId="21">
    <w:abstractNumId w:val="19"/>
  </w:num>
  <w:num w:numId="22">
    <w:abstractNumId w:val="27"/>
  </w:num>
  <w:num w:numId="23">
    <w:abstractNumId w:val="20"/>
  </w:num>
  <w:num w:numId="24">
    <w:abstractNumId w:val="10"/>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8"/>
  </w:num>
  <w:num w:numId="36">
    <w:abstractNumId w:val="1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47B62"/>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3F46"/>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26B25"/>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6B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6688</Words>
  <Characters>38125</Characters>
  <Application>Microsoft Office Word</Application>
  <DocSecurity>0</DocSecurity>
  <Lines>317</Lines>
  <Paragraphs>89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2022-10-01T18:37:00Z</dcterms:created>
  <dcterms:modified xsi:type="dcterms:W3CDTF">2022-10-01T18:37:00Z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