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5EA5AF64" w:rsidR="007122AD" w:rsidRDefault="00DD466D" w:rsidP="00936AD0">
      <w:pPr>
        <w:pStyle w:val="Heading1"/>
      </w:pPr>
      <w:r>
        <w:t>1.ИМЕ НА ЛЕКАРСТВЕНИЯ ПРОДУКТ</w:t>
      </w:r>
    </w:p>
    <w:p w14:paraId="154671B6" w14:textId="4A85198D" w:rsidR="00F26B25" w:rsidRDefault="00F26B25" w:rsidP="00F26B25"/>
    <w:p w14:paraId="429EB22E" w14:textId="77777777" w:rsidR="00F26B25" w:rsidRPr="00F26B25" w:rsidRDefault="00F26B25" w:rsidP="00F26B25">
      <w:pPr>
        <w:rPr>
          <w:sz w:val="24"/>
          <w:szCs w:val="24"/>
        </w:rPr>
      </w:pPr>
      <w:r w:rsidRPr="00F26B25">
        <w:rPr>
          <w:lang w:eastAsia="bg-BG"/>
        </w:rPr>
        <w:t xml:space="preserve">Ноепикс 250 </w:t>
      </w:r>
      <w:r w:rsidRPr="00F26B25">
        <w:rPr>
          <w:lang w:val="en-US"/>
        </w:rPr>
        <w:t>mg</w:t>
      </w:r>
      <w:r w:rsidRPr="00F26B25">
        <w:t xml:space="preserve"> </w:t>
      </w:r>
      <w:r w:rsidRPr="00F26B25">
        <w:rPr>
          <w:lang w:eastAsia="bg-BG"/>
        </w:rPr>
        <w:t>филмирани таблетки</w:t>
      </w:r>
    </w:p>
    <w:p w14:paraId="5D266BC6" w14:textId="77777777" w:rsidR="00F26B25" w:rsidRPr="00F26B25" w:rsidRDefault="00F26B25" w:rsidP="00F26B25">
      <w:pPr>
        <w:rPr>
          <w:sz w:val="24"/>
          <w:szCs w:val="24"/>
        </w:rPr>
      </w:pPr>
      <w:proofErr w:type="spellStart"/>
      <w:r w:rsidRPr="00F26B25">
        <w:rPr>
          <w:lang w:val="en-US"/>
        </w:rPr>
        <w:t>Noepix</w:t>
      </w:r>
      <w:proofErr w:type="spellEnd"/>
      <w:r w:rsidRPr="00F26B25">
        <w:t xml:space="preserve"> </w:t>
      </w:r>
      <w:r w:rsidRPr="00F26B25">
        <w:rPr>
          <w:lang w:eastAsia="bg-BG"/>
        </w:rPr>
        <w:t xml:space="preserve">250 </w:t>
      </w:r>
      <w:r w:rsidRPr="00F26B25">
        <w:rPr>
          <w:lang w:val="en-US"/>
        </w:rPr>
        <w:t>mg</w:t>
      </w:r>
      <w:r w:rsidRPr="00F26B25">
        <w:t xml:space="preserve"> </w:t>
      </w:r>
      <w:r w:rsidRPr="00F26B25">
        <w:rPr>
          <w:lang w:val="en-US"/>
        </w:rPr>
        <w:t>film</w:t>
      </w:r>
      <w:r w:rsidRPr="00F26B25">
        <w:t>-</w:t>
      </w:r>
      <w:r w:rsidRPr="00F26B25">
        <w:rPr>
          <w:lang w:val="en-US"/>
        </w:rPr>
        <w:t>coated</w:t>
      </w:r>
      <w:r w:rsidRPr="00F26B25">
        <w:t xml:space="preserve"> </w:t>
      </w:r>
      <w:r w:rsidRPr="00F26B25">
        <w:rPr>
          <w:lang w:val="en-US"/>
        </w:rPr>
        <w:t>tablets</w:t>
      </w:r>
    </w:p>
    <w:p w14:paraId="4B676FA4" w14:textId="77777777" w:rsidR="00F26B25" w:rsidRDefault="00F26B25" w:rsidP="00F26B25">
      <w:pPr>
        <w:rPr>
          <w:lang w:eastAsia="bg-BG"/>
        </w:rPr>
      </w:pPr>
    </w:p>
    <w:p w14:paraId="260160CD" w14:textId="5EE3274C" w:rsidR="00F26B25" w:rsidRPr="00F26B25" w:rsidRDefault="00F26B25" w:rsidP="00F26B25">
      <w:pPr>
        <w:rPr>
          <w:sz w:val="24"/>
          <w:szCs w:val="24"/>
        </w:rPr>
      </w:pPr>
      <w:r w:rsidRPr="00F26B25">
        <w:rPr>
          <w:lang w:eastAsia="bg-BG"/>
        </w:rPr>
        <w:t xml:space="preserve">Ноепикс </w:t>
      </w:r>
      <w:r w:rsidRPr="00F26B25">
        <w:t xml:space="preserve">500 </w:t>
      </w:r>
      <w:r w:rsidRPr="00F26B25">
        <w:rPr>
          <w:lang w:val="en-US"/>
        </w:rPr>
        <w:t>mg</w:t>
      </w:r>
      <w:r w:rsidRPr="00F26B25">
        <w:t xml:space="preserve"> </w:t>
      </w:r>
      <w:r w:rsidRPr="00F26B25">
        <w:rPr>
          <w:lang w:eastAsia="bg-BG"/>
        </w:rPr>
        <w:t>филмирани таблетки</w:t>
      </w:r>
    </w:p>
    <w:p w14:paraId="1DEB5218" w14:textId="77777777" w:rsidR="00F26B25" w:rsidRPr="00F26B25" w:rsidRDefault="00F26B25" w:rsidP="00F26B25">
      <w:pPr>
        <w:rPr>
          <w:sz w:val="24"/>
          <w:szCs w:val="24"/>
        </w:rPr>
      </w:pPr>
      <w:proofErr w:type="spellStart"/>
      <w:r w:rsidRPr="00F26B25">
        <w:rPr>
          <w:lang w:val="en-US"/>
        </w:rPr>
        <w:t>Noepix</w:t>
      </w:r>
      <w:proofErr w:type="spellEnd"/>
      <w:r w:rsidRPr="00F26B25">
        <w:t xml:space="preserve"> 500 </w:t>
      </w:r>
      <w:r w:rsidRPr="00F26B25">
        <w:rPr>
          <w:lang w:val="en-US"/>
        </w:rPr>
        <w:t>mg</w:t>
      </w:r>
      <w:r w:rsidRPr="00F26B25">
        <w:t xml:space="preserve"> </w:t>
      </w:r>
      <w:r w:rsidRPr="00F26B25">
        <w:rPr>
          <w:lang w:val="en-US"/>
        </w:rPr>
        <w:t>film</w:t>
      </w:r>
      <w:r w:rsidRPr="00F26B25">
        <w:t>-</w:t>
      </w:r>
      <w:r w:rsidRPr="00F26B25">
        <w:rPr>
          <w:lang w:val="en-US"/>
        </w:rPr>
        <w:t>coated</w:t>
      </w:r>
      <w:r w:rsidRPr="00F26B25">
        <w:t xml:space="preserve"> </w:t>
      </w:r>
      <w:r w:rsidRPr="00F26B25">
        <w:rPr>
          <w:lang w:val="en-US"/>
        </w:rPr>
        <w:t>tablets</w:t>
      </w:r>
    </w:p>
    <w:p w14:paraId="18611158" w14:textId="77777777" w:rsidR="00F26B25" w:rsidRDefault="00F26B25" w:rsidP="00F26B25">
      <w:pPr>
        <w:rPr>
          <w:lang w:eastAsia="bg-BG"/>
        </w:rPr>
      </w:pPr>
    </w:p>
    <w:p w14:paraId="67B93058" w14:textId="4AD63FF9" w:rsidR="00F26B25" w:rsidRPr="00F26B25" w:rsidRDefault="00F26B25" w:rsidP="00F26B25">
      <w:pPr>
        <w:rPr>
          <w:sz w:val="24"/>
          <w:szCs w:val="24"/>
        </w:rPr>
      </w:pPr>
      <w:r w:rsidRPr="00F26B25">
        <w:rPr>
          <w:lang w:eastAsia="bg-BG"/>
        </w:rPr>
        <w:t xml:space="preserve">Ноепикс </w:t>
      </w:r>
      <w:r w:rsidRPr="00F26B25">
        <w:t xml:space="preserve">1 000 </w:t>
      </w:r>
      <w:r w:rsidRPr="00F26B25">
        <w:rPr>
          <w:lang w:val="en-US"/>
        </w:rPr>
        <w:t>mg</w:t>
      </w:r>
      <w:r w:rsidRPr="00F26B25">
        <w:t xml:space="preserve"> </w:t>
      </w:r>
      <w:r w:rsidRPr="00F26B25">
        <w:rPr>
          <w:lang w:eastAsia="bg-BG"/>
        </w:rPr>
        <w:t>филмирани таблетки</w:t>
      </w:r>
    </w:p>
    <w:p w14:paraId="468080B3" w14:textId="77777777" w:rsidR="00F26B25" w:rsidRPr="00F26B25" w:rsidRDefault="00F26B25" w:rsidP="00F26B25">
      <w:pPr>
        <w:rPr>
          <w:sz w:val="24"/>
          <w:szCs w:val="24"/>
        </w:rPr>
      </w:pPr>
      <w:proofErr w:type="spellStart"/>
      <w:r w:rsidRPr="00F26B25">
        <w:rPr>
          <w:lang w:val="en-US"/>
        </w:rPr>
        <w:t>Noepix</w:t>
      </w:r>
      <w:proofErr w:type="spellEnd"/>
      <w:r w:rsidRPr="00F26B25">
        <w:t xml:space="preserve"> 1 000 </w:t>
      </w:r>
      <w:r w:rsidRPr="00F26B25">
        <w:rPr>
          <w:lang w:val="en-US"/>
        </w:rPr>
        <w:t>mg</w:t>
      </w:r>
      <w:r w:rsidRPr="00F26B25">
        <w:t xml:space="preserve"> </w:t>
      </w:r>
      <w:r w:rsidRPr="00F26B25">
        <w:rPr>
          <w:lang w:val="en-US"/>
        </w:rPr>
        <w:t>film</w:t>
      </w:r>
      <w:r w:rsidRPr="00F26B25">
        <w:t>-</w:t>
      </w:r>
      <w:r w:rsidRPr="00F26B25">
        <w:rPr>
          <w:lang w:val="en-US"/>
        </w:rPr>
        <w:t>coated</w:t>
      </w:r>
      <w:r w:rsidRPr="00F26B25">
        <w:t xml:space="preserve"> </w:t>
      </w:r>
      <w:r w:rsidRPr="00F26B25">
        <w:rPr>
          <w:lang w:val="en-US"/>
        </w:rPr>
        <w:t>tablets</w:t>
      </w:r>
    </w:p>
    <w:p w14:paraId="6F32062B" w14:textId="77777777" w:rsidR="00F26B25" w:rsidRPr="00F26B25" w:rsidRDefault="00F26B25" w:rsidP="00F26B25"/>
    <w:p w14:paraId="6920A680" w14:textId="5A32C908" w:rsidR="00C40420" w:rsidRDefault="00DD466D" w:rsidP="004A448E">
      <w:pPr>
        <w:pStyle w:val="Heading1"/>
      </w:pPr>
      <w:r>
        <w:t>2. КАЧЕСТВЕН И КОЛИЧЕСТВЕН СЪСТАВ</w:t>
      </w:r>
    </w:p>
    <w:p w14:paraId="69572BAB" w14:textId="50333150" w:rsidR="00F26B25" w:rsidRDefault="00F26B25" w:rsidP="00F26B25"/>
    <w:p w14:paraId="56F79D02" w14:textId="7F6B6EF4" w:rsidR="00F26B25" w:rsidRPr="00F26B25" w:rsidRDefault="00F26B25" w:rsidP="00F26B25">
      <w:r>
        <w:t xml:space="preserve">Всяка филмирана таблетка съдържа 250 </w:t>
      </w:r>
      <w:r>
        <w:rPr>
          <w:lang w:val="en-US"/>
        </w:rPr>
        <w:t>mg</w:t>
      </w:r>
      <w:r w:rsidRPr="00F26B25">
        <w:t xml:space="preserve">, </w:t>
      </w:r>
      <w:r>
        <w:t xml:space="preserve">500 </w:t>
      </w:r>
      <w:r>
        <w:rPr>
          <w:lang w:val="en-US"/>
        </w:rPr>
        <w:t>mg</w:t>
      </w:r>
      <w:r w:rsidRPr="00F26B25">
        <w:t xml:space="preserve"> </w:t>
      </w:r>
      <w:r>
        <w:t xml:space="preserve">или 1 000 </w:t>
      </w:r>
      <w:r>
        <w:rPr>
          <w:lang w:val="en-US"/>
        </w:rPr>
        <w:t>mg</w:t>
      </w:r>
      <w:r w:rsidRPr="00F26B25">
        <w:t xml:space="preserve"> </w:t>
      </w:r>
      <w:r>
        <w:t xml:space="preserve">леветирацетам </w:t>
      </w:r>
      <w:r w:rsidRPr="00F26B25">
        <w:t>(</w:t>
      </w:r>
      <w:proofErr w:type="spellStart"/>
      <w:r>
        <w:rPr>
          <w:lang w:val="en-US"/>
        </w:rPr>
        <w:t>levetiracetam</w:t>
      </w:r>
      <w:proofErr w:type="spellEnd"/>
      <w:r w:rsidRPr="00F26B25">
        <w:t>).</w:t>
      </w:r>
    </w:p>
    <w:p w14:paraId="614984C4" w14:textId="578C8711" w:rsidR="008A6AF2" w:rsidRDefault="00DD466D" w:rsidP="002C50EE">
      <w:pPr>
        <w:pStyle w:val="Heading1"/>
      </w:pPr>
      <w:r>
        <w:t>3. ЛЕКАРСТВЕНА ФОРМА</w:t>
      </w:r>
    </w:p>
    <w:p w14:paraId="45267DE7" w14:textId="70B8E1E1" w:rsidR="00F26B25" w:rsidRDefault="00F26B25" w:rsidP="00F26B25"/>
    <w:p w14:paraId="02C5906A"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Филмирана таблетка</w:t>
      </w:r>
    </w:p>
    <w:p w14:paraId="7041F3C5"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 xml:space="preserve">Ноепикс 250 </w:t>
      </w:r>
      <w:r w:rsidRPr="00F26B25">
        <w:rPr>
          <w:rFonts w:eastAsia="Times New Roman" w:cs="Arial"/>
          <w:color w:val="000000"/>
          <w:u w:val="single"/>
          <w:lang w:val="en-US"/>
        </w:rPr>
        <w:t>mg</w:t>
      </w:r>
      <w:r w:rsidRPr="00F26B25">
        <w:rPr>
          <w:rFonts w:eastAsia="Times New Roman" w:cs="Arial"/>
          <w:color w:val="000000"/>
          <w:u w:val="single"/>
          <w:lang w:val="ru-RU"/>
        </w:rPr>
        <w:t xml:space="preserve"> </w:t>
      </w:r>
      <w:r w:rsidRPr="00F26B25">
        <w:rPr>
          <w:rFonts w:eastAsia="Times New Roman" w:cs="Arial"/>
          <w:color w:val="000000"/>
          <w:u w:val="single"/>
          <w:lang w:eastAsia="bg-BG"/>
        </w:rPr>
        <w:t>филмирани таблетки:</w:t>
      </w:r>
    </w:p>
    <w:p w14:paraId="2D31AE6D"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Елипсовидни, светлосини, с размери 13,6 х 6,4 </w:t>
      </w:r>
      <w:r w:rsidRPr="00F26B25">
        <w:rPr>
          <w:rFonts w:eastAsia="Times New Roman" w:cs="Arial"/>
          <w:color w:val="000000"/>
          <w:lang w:val="en-US"/>
        </w:rPr>
        <w:t>mm</w:t>
      </w:r>
      <w:r w:rsidRPr="00F26B25">
        <w:rPr>
          <w:rFonts w:eastAsia="Times New Roman" w:cs="Arial"/>
          <w:color w:val="000000"/>
          <w:lang w:val="ru-RU"/>
        </w:rPr>
        <w:t xml:space="preserve">, </w:t>
      </w:r>
      <w:r w:rsidRPr="00F26B25">
        <w:rPr>
          <w:rFonts w:eastAsia="Times New Roman" w:cs="Arial"/>
          <w:color w:val="000000"/>
          <w:lang w:eastAsia="bg-BG"/>
        </w:rPr>
        <w:t xml:space="preserve">маркирани с </w:t>
      </w:r>
      <w:r w:rsidRPr="00F26B25">
        <w:rPr>
          <w:rFonts w:eastAsia="Times New Roman" w:cs="Arial"/>
          <w:color w:val="000000"/>
          <w:lang w:val="ru-RU"/>
        </w:rPr>
        <w:t>“</w:t>
      </w:r>
      <w:r w:rsidRPr="00F26B25">
        <w:rPr>
          <w:rFonts w:eastAsia="Times New Roman" w:cs="Arial"/>
          <w:color w:val="000000"/>
          <w:lang w:val="en-US"/>
        </w:rPr>
        <w:t>L</w:t>
      </w:r>
      <w:r w:rsidRPr="00F26B25">
        <w:rPr>
          <w:rFonts w:eastAsia="Times New Roman" w:cs="Arial"/>
          <w:color w:val="000000"/>
          <w:lang w:val="ru-RU"/>
        </w:rPr>
        <w:t xml:space="preserve">” </w:t>
      </w:r>
      <w:r w:rsidRPr="00F26B25">
        <w:rPr>
          <w:rFonts w:eastAsia="Times New Roman" w:cs="Arial"/>
          <w:color w:val="000000"/>
          <w:lang w:eastAsia="bg-BG"/>
        </w:rPr>
        <w:t>от едната страна и “250” от другата страна.</w:t>
      </w:r>
    </w:p>
    <w:p w14:paraId="1CCAAE68" w14:textId="77777777" w:rsidR="00F26B25" w:rsidRPr="00F26B25" w:rsidRDefault="00F26B25" w:rsidP="00F26B25">
      <w:pPr>
        <w:spacing w:line="240" w:lineRule="auto"/>
        <w:rPr>
          <w:rFonts w:eastAsia="Times New Roman" w:cs="Arial"/>
          <w:color w:val="000000"/>
          <w:u w:val="single"/>
          <w:lang w:eastAsia="bg-BG"/>
        </w:rPr>
      </w:pPr>
    </w:p>
    <w:p w14:paraId="65FD5EB1" w14:textId="31E4422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 xml:space="preserve">Ноепикс 500 </w:t>
      </w:r>
      <w:r w:rsidRPr="00F26B25">
        <w:rPr>
          <w:rFonts w:eastAsia="Times New Roman" w:cs="Arial"/>
          <w:color w:val="000000"/>
          <w:u w:val="single"/>
          <w:lang w:val="en-US"/>
        </w:rPr>
        <w:t>mg</w:t>
      </w:r>
      <w:r w:rsidRPr="00F26B25">
        <w:rPr>
          <w:rFonts w:eastAsia="Times New Roman" w:cs="Arial"/>
          <w:color w:val="000000"/>
          <w:u w:val="single"/>
          <w:lang w:val="ru-RU"/>
        </w:rPr>
        <w:t xml:space="preserve"> </w:t>
      </w:r>
      <w:r w:rsidRPr="00F26B25">
        <w:rPr>
          <w:rFonts w:eastAsia="Times New Roman" w:cs="Arial"/>
          <w:color w:val="000000"/>
          <w:u w:val="single"/>
          <w:lang w:eastAsia="bg-BG"/>
        </w:rPr>
        <w:t>филмирани таблетки:</w:t>
      </w:r>
    </w:p>
    <w:p w14:paraId="44269700"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Елипсовидни, жълти, с размери 17,1 х 8,1 </w:t>
      </w:r>
      <w:r w:rsidRPr="00F26B25">
        <w:rPr>
          <w:rFonts w:eastAsia="Times New Roman" w:cs="Arial"/>
          <w:color w:val="000000"/>
          <w:lang w:val="en-US"/>
        </w:rPr>
        <w:t>mm</w:t>
      </w:r>
      <w:r w:rsidRPr="00F26B25">
        <w:rPr>
          <w:rFonts w:eastAsia="Times New Roman" w:cs="Arial"/>
          <w:color w:val="000000"/>
          <w:lang w:val="ru-RU"/>
        </w:rPr>
        <w:t xml:space="preserve">, </w:t>
      </w:r>
      <w:r w:rsidRPr="00F26B25">
        <w:rPr>
          <w:rFonts w:eastAsia="Times New Roman" w:cs="Arial"/>
          <w:color w:val="000000"/>
          <w:lang w:eastAsia="bg-BG"/>
        </w:rPr>
        <w:t xml:space="preserve">маркирани с </w:t>
      </w:r>
      <w:r w:rsidRPr="00F26B25">
        <w:rPr>
          <w:rFonts w:eastAsia="Times New Roman" w:cs="Arial"/>
          <w:color w:val="000000"/>
          <w:lang w:val="ru-RU"/>
        </w:rPr>
        <w:t>“</w:t>
      </w:r>
      <w:r w:rsidRPr="00F26B25">
        <w:rPr>
          <w:rFonts w:eastAsia="Times New Roman" w:cs="Arial"/>
          <w:color w:val="000000"/>
          <w:lang w:val="en-US"/>
        </w:rPr>
        <w:t>L</w:t>
      </w:r>
      <w:r w:rsidRPr="00F26B25">
        <w:rPr>
          <w:rFonts w:eastAsia="Times New Roman" w:cs="Arial"/>
          <w:color w:val="000000"/>
          <w:lang w:val="ru-RU"/>
        </w:rPr>
        <w:t xml:space="preserve">” </w:t>
      </w:r>
      <w:r w:rsidRPr="00F26B25">
        <w:rPr>
          <w:rFonts w:eastAsia="Times New Roman" w:cs="Arial"/>
          <w:color w:val="000000"/>
          <w:lang w:eastAsia="bg-BG"/>
        </w:rPr>
        <w:t>от едната страна и “500” от другата страна.</w:t>
      </w:r>
    </w:p>
    <w:p w14:paraId="4D9D9830" w14:textId="77777777" w:rsidR="00F26B25" w:rsidRPr="00F26B25" w:rsidRDefault="00F26B25" w:rsidP="00F26B25">
      <w:pPr>
        <w:spacing w:line="240" w:lineRule="auto"/>
        <w:rPr>
          <w:rFonts w:eastAsia="Times New Roman" w:cs="Arial"/>
          <w:color w:val="000000"/>
          <w:u w:val="single"/>
          <w:lang w:eastAsia="bg-BG"/>
        </w:rPr>
      </w:pPr>
    </w:p>
    <w:p w14:paraId="177BA7A8" w14:textId="697877EC"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 xml:space="preserve">Ноепикс 1 000 </w:t>
      </w:r>
      <w:r w:rsidRPr="00F26B25">
        <w:rPr>
          <w:rFonts w:eastAsia="Times New Roman" w:cs="Arial"/>
          <w:color w:val="000000"/>
          <w:u w:val="single"/>
          <w:lang w:val="en-US"/>
        </w:rPr>
        <w:t>mg</w:t>
      </w:r>
      <w:r w:rsidRPr="00F26B25">
        <w:rPr>
          <w:rFonts w:eastAsia="Times New Roman" w:cs="Arial"/>
          <w:color w:val="000000"/>
          <w:u w:val="single"/>
          <w:lang w:val="ru-RU"/>
        </w:rPr>
        <w:t xml:space="preserve"> </w:t>
      </w:r>
      <w:r w:rsidRPr="00F26B25">
        <w:rPr>
          <w:rFonts w:eastAsia="Times New Roman" w:cs="Arial"/>
          <w:color w:val="000000"/>
          <w:u w:val="single"/>
          <w:lang w:eastAsia="bg-BG"/>
        </w:rPr>
        <w:t>филмирани таблетки:</w:t>
      </w:r>
    </w:p>
    <w:p w14:paraId="7DDB8489"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Елипсовидни, бели, с размери 19,0 х 10,0 </w:t>
      </w:r>
      <w:r w:rsidRPr="00F26B25">
        <w:rPr>
          <w:rFonts w:eastAsia="Times New Roman" w:cs="Arial"/>
          <w:color w:val="000000"/>
          <w:lang w:val="en-US"/>
        </w:rPr>
        <w:t>mm</w:t>
      </w:r>
      <w:r w:rsidRPr="00F26B25">
        <w:rPr>
          <w:rFonts w:eastAsia="Times New Roman" w:cs="Arial"/>
          <w:color w:val="000000"/>
          <w:lang w:val="ru-RU"/>
        </w:rPr>
        <w:t xml:space="preserve">, </w:t>
      </w:r>
      <w:r w:rsidRPr="00F26B25">
        <w:rPr>
          <w:rFonts w:eastAsia="Times New Roman" w:cs="Arial"/>
          <w:color w:val="000000"/>
          <w:lang w:eastAsia="bg-BG"/>
        </w:rPr>
        <w:t xml:space="preserve">маркирани с </w:t>
      </w:r>
      <w:r w:rsidRPr="00F26B25">
        <w:rPr>
          <w:rFonts w:eastAsia="Times New Roman" w:cs="Arial"/>
          <w:color w:val="000000"/>
          <w:lang w:val="ru-RU"/>
        </w:rPr>
        <w:t>“</w:t>
      </w:r>
      <w:r w:rsidRPr="00F26B25">
        <w:rPr>
          <w:rFonts w:eastAsia="Times New Roman" w:cs="Arial"/>
          <w:color w:val="000000"/>
          <w:lang w:val="en-US"/>
        </w:rPr>
        <w:t>L</w:t>
      </w:r>
      <w:r w:rsidRPr="00F26B25">
        <w:rPr>
          <w:rFonts w:eastAsia="Times New Roman" w:cs="Arial"/>
          <w:color w:val="000000"/>
          <w:lang w:val="ru-RU"/>
        </w:rPr>
        <w:t xml:space="preserve">” </w:t>
      </w:r>
      <w:r w:rsidRPr="00F26B25">
        <w:rPr>
          <w:rFonts w:eastAsia="Times New Roman" w:cs="Arial"/>
          <w:color w:val="000000"/>
          <w:lang w:eastAsia="bg-BG"/>
        </w:rPr>
        <w:t>от едната страна и “1 000” от другата страна.</w:t>
      </w:r>
    </w:p>
    <w:p w14:paraId="7FBE6234" w14:textId="77777777" w:rsidR="00F26B25" w:rsidRPr="00F26B25" w:rsidRDefault="00F26B25" w:rsidP="00F26B25"/>
    <w:p w14:paraId="490FC2C4" w14:textId="0F4A4A75" w:rsidR="002C50EE" w:rsidRDefault="002C50EE" w:rsidP="002C50EE">
      <w:pPr>
        <w:pStyle w:val="Heading1"/>
      </w:pPr>
      <w:r>
        <w:t>4. КЛИНИЧНИ ДАННИ</w:t>
      </w:r>
    </w:p>
    <w:p w14:paraId="74330405" w14:textId="03B42E22" w:rsidR="007122AD" w:rsidRDefault="002C50EE" w:rsidP="00936AD0">
      <w:pPr>
        <w:pStyle w:val="Heading2"/>
      </w:pPr>
      <w:r>
        <w:t>4.1. Терапевтични показания</w:t>
      </w:r>
    </w:p>
    <w:p w14:paraId="325A7624" w14:textId="537307DD" w:rsidR="00F26B25" w:rsidRDefault="00F26B25" w:rsidP="00F26B25"/>
    <w:p w14:paraId="623BD907" w14:textId="77777777" w:rsidR="00F26B25" w:rsidRP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 xml:space="preserve">Ноепикс е показан за монотерапия при лечението на парциални пристъпи със или без вторична </w:t>
      </w:r>
    </w:p>
    <w:p w14:paraId="2A6798BC" w14:textId="5155C38D"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генерализация при възрастни и юноши на 16 и повече години с новодиагностицирана епилепсия.</w:t>
      </w:r>
    </w:p>
    <w:p w14:paraId="3A66C345" w14:textId="77777777" w:rsidR="00F26B25" w:rsidRPr="00F26B25" w:rsidRDefault="00F26B25" w:rsidP="00F26B25">
      <w:pPr>
        <w:spacing w:line="240" w:lineRule="auto"/>
        <w:rPr>
          <w:rFonts w:eastAsia="Times New Roman" w:cs="Arial"/>
          <w:color w:val="000000"/>
          <w:lang w:eastAsia="bg-BG"/>
        </w:rPr>
      </w:pPr>
    </w:p>
    <w:p w14:paraId="635B24CF" w14:textId="2D01D575"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Ноепикс е показан за допълващо лечение на:</w:t>
      </w:r>
    </w:p>
    <w:p w14:paraId="793FC4DD" w14:textId="77777777" w:rsidR="00F26B25" w:rsidRPr="00F26B25" w:rsidRDefault="00F26B25" w:rsidP="00F26B25">
      <w:pPr>
        <w:pStyle w:val="ListParagraph"/>
        <w:numPr>
          <w:ilvl w:val="0"/>
          <w:numId w:val="37"/>
        </w:numPr>
        <w:spacing w:line="240" w:lineRule="auto"/>
        <w:rPr>
          <w:rFonts w:eastAsia="Times New Roman" w:cs="Arial"/>
          <w:color w:val="000000"/>
          <w:lang w:eastAsia="bg-BG"/>
        </w:rPr>
      </w:pPr>
      <w:r w:rsidRPr="00F26B25">
        <w:rPr>
          <w:rFonts w:eastAsia="Times New Roman" w:cs="Arial"/>
          <w:color w:val="000000"/>
          <w:lang w:eastAsia="bg-BG"/>
        </w:rPr>
        <w:t>парциални пристъпи със или без вторична генерализация при възрастни, юноши, деца и кърмачета на 1 месец и повече с епилепсия,</w:t>
      </w:r>
    </w:p>
    <w:p w14:paraId="36B1824F" w14:textId="77777777" w:rsidR="00F26B25" w:rsidRPr="00F26B25" w:rsidRDefault="00F26B25" w:rsidP="00F26B25">
      <w:pPr>
        <w:pStyle w:val="ListParagraph"/>
        <w:numPr>
          <w:ilvl w:val="0"/>
          <w:numId w:val="37"/>
        </w:numPr>
        <w:spacing w:line="240" w:lineRule="auto"/>
        <w:rPr>
          <w:rFonts w:eastAsia="Times New Roman" w:cs="Arial"/>
          <w:color w:val="000000"/>
          <w:lang w:eastAsia="bg-BG"/>
        </w:rPr>
      </w:pPr>
      <w:r w:rsidRPr="00F26B25">
        <w:rPr>
          <w:rFonts w:eastAsia="Times New Roman" w:cs="Arial"/>
          <w:color w:val="000000"/>
          <w:lang w:eastAsia="bg-BG"/>
        </w:rPr>
        <w:lastRenderedPageBreak/>
        <w:t>миоклонични пристъпи при възрастни и юноши на 12 и повече години с ювенилна миоклонична епилепсия.</w:t>
      </w:r>
    </w:p>
    <w:p w14:paraId="7F017961" w14:textId="52E0DC73" w:rsidR="00F26B25" w:rsidRDefault="00F26B25" w:rsidP="00F26B25">
      <w:pPr>
        <w:pStyle w:val="ListParagraph"/>
        <w:numPr>
          <w:ilvl w:val="0"/>
          <w:numId w:val="37"/>
        </w:numPr>
        <w:spacing w:line="240" w:lineRule="auto"/>
        <w:rPr>
          <w:rFonts w:ascii="Times New Roman" w:eastAsia="Times New Roman" w:hAnsi="Times New Roman" w:cs="Times New Roman"/>
          <w:color w:val="000000"/>
          <w:lang w:eastAsia="bg-BG"/>
        </w:rPr>
      </w:pPr>
      <w:r w:rsidRPr="00F26B25">
        <w:rPr>
          <w:rFonts w:eastAsia="Times New Roman" w:cs="Arial"/>
          <w:color w:val="000000"/>
          <w:lang w:eastAsia="bg-BG"/>
        </w:rPr>
        <w:t>първично генерализирани тонично-клонични пристъпи при възрастни и юноши на 12 и повече години с идиопатична генерализирана епилепсия.</w:t>
      </w:r>
    </w:p>
    <w:p w14:paraId="17761A1F" w14:textId="77777777" w:rsidR="00F26B25" w:rsidRPr="00F26B25" w:rsidRDefault="00F26B25" w:rsidP="00F26B25">
      <w:pPr>
        <w:spacing w:line="240" w:lineRule="auto"/>
        <w:rPr>
          <w:rFonts w:ascii="Times New Roman" w:eastAsia="Times New Roman" w:hAnsi="Times New Roman" w:cs="Times New Roman"/>
          <w:color w:val="000000"/>
          <w:lang w:eastAsia="bg-BG"/>
        </w:rPr>
      </w:pPr>
    </w:p>
    <w:p w14:paraId="53F5B866" w14:textId="115EC5DF" w:rsidR="007122AD" w:rsidRDefault="002C50EE" w:rsidP="00936AD0">
      <w:pPr>
        <w:pStyle w:val="Heading2"/>
      </w:pPr>
      <w:r>
        <w:t>4.2. Дозировка и начин на приложение</w:t>
      </w:r>
    </w:p>
    <w:p w14:paraId="7BD9B6FA" w14:textId="6A4D9326" w:rsidR="00F26B25" w:rsidRDefault="00F26B25" w:rsidP="00F26B25"/>
    <w:p w14:paraId="176C27B6" w14:textId="77777777" w:rsidR="00F26B25" w:rsidRPr="00F26B25" w:rsidRDefault="00F26B25" w:rsidP="00F26B25">
      <w:pPr>
        <w:pStyle w:val="Heading3"/>
        <w:rPr>
          <w:rFonts w:eastAsia="Times New Roman"/>
          <w:u w:val="single"/>
        </w:rPr>
      </w:pPr>
      <w:r w:rsidRPr="00F26B25">
        <w:rPr>
          <w:rFonts w:eastAsia="Times New Roman"/>
          <w:u w:val="single"/>
          <w:lang w:eastAsia="bg-BG"/>
        </w:rPr>
        <w:t>Дозировка</w:t>
      </w:r>
    </w:p>
    <w:p w14:paraId="59DCA61E" w14:textId="77777777" w:rsidR="00F26B25" w:rsidRPr="00F26B25" w:rsidRDefault="00F26B25" w:rsidP="00F26B25">
      <w:pPr>
        <w:spacing w:line="240" w:lineRule="auto"/>
        <w:rPr>
          <w:rFonts w:eastAsia="Times New Roman" w:cs="Arial"/>
          <w:i/>
          <w:iCs/>
          <w:color w:val="000000"/>
          <w:lang w:eastAsia="bg-BG"/>
        </w:rPr>
      </w:pPr>
    </w:p>
    <w:p w14:paraId="2B3C1FB9" w14:textId="5CE860F6"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Парциални пристъпи</w:t>
      </w:r>
    </w:p>
    <w:p w14:paraId="3C99D54C"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Препоръчителната доза за монотерапия (от 16 годишна възраст) и допълващо лечение е същата като посочената по-долу.</w:t>
      </w:r>
    </w:p>
    <w:p w14:paraId="17CF10ED" w14:textId="77777777" w:rsidR="00F26B25" w:rsidRPr="00F26B25" w:rsidRDefault="00F26B25" w:rsidP="00F26B25">
      <w:pPr>
        <w:spacing w:line="240" w:lineRule="auto"/>
        <w:rPr>
          <w:rFonts w:eastAsia="Times New Roman" w:cs="Arial"/>
          <w:i/>
          <w:iCs/>
          <w:color w:val="000000"/>
          <w:lang w:eastAsia="bg-BG"/>
        </w:rPr>
      </w:pPr>
    </w:p>
    <w:p w14:paraId="74989D52" w14:textId="2CAA2EB8"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Всички показания</w:t>
      </w:r>
    </w:p>
    <w:p w14:paraId="2872F331" w14:textId="77777777" w:rsidR="00F26B25" w:rsidRPr="00F26B25" w:rsidRDefault="00F26B25" w:rsidP="00F26B25">
      <w:pPr>
        <w:spacing w:line="240" w:lineRule="auto"/>
        <w:rPr>
          <w:rFonts w:eastAsia="Times New Roman" w:cs="Arial"/>
          <w:i/>
          <w:iCs/>
          <w:color w:val="000000"/>
          <w:lang w:eastAsia="bg-BG"/>
        </w:rPr>
      </w:pPr>
    </w:p>
    <w:p w14:paraId="1DD85564" w14:textId="7DC923E5"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 xml:space="preserve">Възрастни (≥18 години) и юноши (12 до 17 години) с тегло 50 </w:t>
      </w:r>
      <w:r w:rsidRPr="00F26B25">
        <w:rPr>
          <w:rFonts w:eastAsia="Times New Roman" w:cs="Arial"/>
          <w:i/>
          <w:iCs/>
          <w:color w:val="000000"/>
          <w:lang w:val="en-US"/>
        </w:rPr>
        <w:t>kg</w:t>
      </w:r>
      <w:r w:rsidRPr="00F26B25">
        <w:rPr>
          <w:rFonts w:eastAsia="Times New Roman" w:cs="Arial"/>
          <w:i/>
          <w:iCs/>
          <w:color w:val="000000"/>
          <w:lang w:val="ru-RU"/>
        </w:rPr>
        <w:t xml:space="preserve"> </w:t>
      </w:r>
      <w:r w:rsidRPr="00F26B25">
        <w:rPr>
          <w:rFonts w:eastAsia="Times New Roman" w:cs="Arial"/>
          <w:i/>
          <w:iCs/>
          <w:color w:val="000000"/>
          <w:lang w:eastAsia="bg-BG"/>
        </w:rPr>
        <w:t>или повече</w:t>
      </w:r>
    </w:p>
    <w:p w14:paraId="0F50A7E3"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Началната терапевтична доза е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Тази доза може да бъде започната от първия ден на лечението. Въпреки това, може да се започне с по-ниска начална доза от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според преценката на лекаря на съотношението необходимост от намаляване на пристъпите спрямо потенциални нежелани ефекти. Тази доза може да се повиши до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два пъти дневно след две седмици.</w:t>
      </w:r>
    </w:p>
    <w:p w14:paraId="244558AD"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В зависимост от клиничния отговор и поносимост, дневната доза може да се повиши до 1 500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Промяна в дозата, свързана с увеличаване или намаляване, може да се извършва на всеки 2 до 4 седмици с по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или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два пъти дневно.</w:t>
      </w:r>
    </w:p>
    <w:p w14:paraId="51F0B6BA" w14:textId="77777777" w:rsidR="00F26B25" w:rsidRPr="00F26B25" w:rsidRDefault="00F26B25" w:rsidP="00F26B25">
      <w:pPr>
        <w:spacing w:line="240" w:lineRule="auto"/>
        <w:rPr>
          <w:rFonts w:eastAsia="Times New Roman" w:cs="Arial"/>
          <w:i/>
          <w:iCs/>
          <w:color w:val="000000"/>
          <w:lang w:eastAsia="bg-BG"/>
        </w:rPr>
      </w:pPr>
    </w:p>
    <w:p w14:paraId="1367BAF1" w14:textId="00DDA432"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Юноши (12-1</w:t>
      </w:r>
      <w:r w:rsidRPr="00F26B25">
        <w:rPr>
          <w:rFonts w:eastAsia="Times New Roman" w:cs="Arial"/>
          <w:color w:val="000000"/>
          <w:lang w:eastAsia="bg-BG"/>
        </w:rPr>
        <w:t xml:space="preserve">7 </w:t>
      </w:r>
      <w:r w:rsidRPr="00F26B25">
        <w:rPr>
          <w:rFonts w:eastAsia="Times New Roman" w:cs="Arial"/>
          <w:i/>
          <w:iCs/>
          <w:color w:val="000000"/>
          <w:lang w:eastAsia="bg-BG"/>
        </w:rPr>
        <w:t xml:space="preserve">години) с тегло под 50 </w:t>
      </w:r>
      <w:r w:rsidRPr="00F26B25">
        <w:rPr>
          <w:rFonts w:eastAsia="Times New Roman" w:cs="Arial"/>
          <w:i/>
          <w:iCs/>
          <w:color w:val="000000"/>
          <w:lang w:val="en-US"/>
        </w:rPr>
        <w:t>kg</w:t>
      </w:r>
      <w:r w:rsidRPr="00F26B25">
        <w:rPr>
          <w:rFonts w:eastAsia="Times New Roman" w:cs="Arial"/>
          <w:i/>
          <w:iCs/>
          <w:color w:val="000000"/>
          <w:lang w:val="ru-RU"/>
        </w:rPr>
        <w:t xml:space="preserve"> </w:t>
      </w:r>
      <w:r w:rsidRPr="00F26B25">
        <w:rPr>
          <w:rFonts w:eastAsia="Times New Roman" w:cs="Arial"/>
          <w:i/>
          <w:iCs/>
          <w:color w:val="000000"/>
          <w:lang w:eastAsia="bg-BG"/>
        </w:rPr>
        <w:t>и деца на възраст от 1 месец нагоре</w:t>
      </w:r>
    </w:p>
    <w:p w14:paraId="0D7B7E14"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Лекарят трябва да предпише най-подходящата лекарствена и дозова форма и концентрация, в зависимост от теглото, възрастта и необходимата доза. Вижте точка </w:t>
      </w:r>
      <w:r w:rsidRPr="00F26B25">
        <w:rPr>
          <w:rFonts w:eastAsia="Times New Roman" w:cs="Arial"/>
          <w:i/>
          <w:iCs/>
          <w:color w:val="000000"/>
          <w:lang w:eastAsia="bg-BG"/>
        </w:rPr>
        <w:t>Педиатрична популация</w:t>
      </w:r>
      <w:r w:rsidRPr="00F26B25">
        <w:rPr>
          <w:rFonts w:eastAsia="Times New Roman" w:cs="Arial"/>
          <w:color w:val="000000"/>
          <w:lang w:eastAsia="bg-BG"/>
        </w:rPr>
        <w:t xml:space="preserve"> за корекция на дозата в зависимост от теглото.</w:t>
      </w:r>
    </w:p>
    <w:p w14:paraId="5E6989DC" w14:textId="77777777" w:rsidR="00F26B25" w:rsidRPr="00F26B25" w:rsidRDefault="00F26B25" w:rsidP="00F26B25">
      <w:pPr>
        <w:spacing w:line="240" w:lineRule="auto"/>
        <w:rPr>
          <w:rFonts w:eastAsia="Times New Roman" w:cs="Arial"/>
          <w:color w:val="000000"/>
          <w:u w:val="single"/>
          <w:lang w:eastAsia="bg-BG"/>
        </w:rPr>
      </w:pPr>
    </w:p>
    <w:p w14:paraId="55A08687" w14:textId="1A9EEFFD"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Спиране на лечението</w:t>
      </w:r>
    </w:p>
    <w:p w14:paraId="0CF8846F" w14:textId="77777777" w:rsidR="00F26B25" w:rsidRPr="00F26B25" w:rsidRDefault="00F26B25" w:rsidP="00F26B25">
      <w:pPr>
        <w:spacing w:line="240" w:lineRule="auto"/>
        <w:rPr>
          <w:rFonts w:eastAsia="Times New Roman" w:cs="Arial"/>
          <w:color w:val="000000"/>
          <w:lang w:eastAsia="bg-BG"/>
        </w:rPr>
      </w:pPr>
    </w:p>
    <w:p w14:paraId="0A55CAE7" w14:textId="11DAABAB"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Ако лечението с леветирацетам трябва да се прекрати се препоръчва това да се извърши постепенно (например при възрастни и юноши с тегло над 50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дозата се понижава с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на всеки 2 до 4 седмици; при кърмачета над 6 месеца, деца и юноши с тегло под 50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понижаването на дозата не трябва да превишава 10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на всеки две седмици; при кърмачета (под 6 месеца): понижаване на дозата не трябва да превишава 7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два пъти дневно, на всеки две седмици).</w:t>
      </w:r>
    </w:p>
    <w:p w14:paraId="0C8701BC" w14:textId="77777777" w:rsidR="00F26B25" w:rsidRPr="00F26B25" w:rsidRDefault="00F26B25" w:rsidP="00F26B25">
      <w:pPr>
        <w:spacing w:line="240" w:lineRule="auto"/>
        <w:rPr>
          <w:rFonts w:eastAsia="Times New Roman" w:cs="Arial"/>
          <w:color w:val="000000"/>
          <w:u w:val="single"/>
          <w:lang w:eastAsia="bg-BG"/>
        </w:rPr>
      </w:pPr>
    </w:p>
    <w:p w14:paraId="1855BBF0" w14:textId="5F9C5C1F" w:rsidR="00F26B25" w:rsidRPr="00F26B25" w:rsidRDefault="00F26B25" w:rsidP="00F26B25">
      <w:pPr>
        <w:spacing w:line="240" w:lineRule="auto"/>
        <w:rPr>
          <w:rFonts w:eastAsia="Times New Roman" w:cs="Arial"/>
          <w:color w:val="000000"/>
          <w:u w:val="single"/>
          <w:lang w:eastAsia="bg-BG"/>
        </w:rPr>
      </w:pPr>
      <w:r w:rsidRPr="00F26B25">
        <w:rPr>
          <w:rFonts w:eastAsia="Times New Roman" w:cs="Arial"/>
          <w:color w:val="000000"/>
          <w:u w:val="single"/>
          <w:lang w:eastAsia="bg-BG"/>
        </w:rPr>
        <w:t>Специални популации</w:t>
      </w:r>
    </w:p>
    <w:p w14:paraId="48CC4145" w14:textId="77777777" w:rsidR="00F26B25" w:rsidRPr="00F26B25" w:rsidRDefault="00F26B25" w:rsidP="00F26B25">
      <w:pPr>
        <w:spacing w:line="240" w:lineRule="auto"/>
        <w:rPr>
          <w:rFonts w:eastAsia="Times New Roman" w:cs="Arial"/>
          <w:i/>
          <w:iCs/>
          <w:color w:val="000000"/>
          <w:lang w:eastAsia="bg-BG"/>
        </w:rPr>
      </w:pPr>
    </w:p>
    <w:p w14:paraId="2C17AC9F" w14:textId="325A2F10"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Старческа възраст (на 65 и повече години)</w:t>
      </w:r>
    </w:p>
    <w:p w14:paraId="23461FB6"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Препоръчва се адаптиране на дозата при пациенти в старческа възраст с нарушена бъбречна функция (вж. по-долу “Бъбречно увреждане”).</w:t>
      </w:r>
    </w:p>
    <w:p w14:paraId="550FC65C" w14:textId="77777777" w:rsidR="00F26B25" w:rsidRPr="00F26B25" w:rsidRDefault="00F26B25" w:rsidP="00F26B25">
      <w:pPr>
        <w:spacing w:line="240" w:lineRule="auto"/>
        <w:rPr>
          <w:rFonts w:eastAsia="Times New Roman" w:cs="Arial"/>
          <w:i/>
          <w:iCs/>
          <w:color w:val="000000"/>
          <w:lang w:eastAsia="bg-BG"/>
        </w:rPr>
      </w:pPr>
    </w:p>
    <w:p w14:paraId="543B5BB0" w14:textId="5EF0C058"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Бъбречно увреждане</w:t>
      </w:r>
    </w:p>
    <w:p w14:paraId="04394F39"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Дневната доза трябва да се индивидуализира в зависимост от бъбречната функция.</w:t>
      </w:r>
    </w:p>
    <w:p w14:paraId="1301CC6F" w14:textId="77777777" w:rsidR="00F26B25" w:rsidRPr="00F26B25" w:rsidRDefault="00F26B25" w:rsidP="00F26B25">
      <w:pPr>
        <w:spacing w:line="240" w:lineRule="auto"/>
        <w:rPr>
          <w:rFonts w:eastAsia="Times New Roman" w:cs="Arial"/>
          <w:color w:val="000000"/>
          <w:lang w:eastAsia="bg-BG"/>
        </w:rPr>
      </w:pPr>
    </w:p>
    <w:p w14:paraId="25A100D8" w14:textId="470C7B51" w:rsidR="00F26B25" w:rsidRP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 xml:space="preserve">При възрастни пациенти използвайте приложената по-долу таблица за адаптиране на дозата. За прилагане на тази таблица е необходимо да се знае креатининовия клирънс на </w:t>
      </w:r>
      <w:r w:rsidRPr="00F26B25">
        <w:rPr>
          <w:rFonts w:eastAsia="Times New Roman" w:cs="Arial"/>
          <w:color w:val="000000"/>
          <w:lang w:eastAsia="bg-BG"/>
        </w:rPr>
        <w:lastRenderedPageBreak/>
        <w:t xml:space="preserve">пациента, изразен в </w:t>
      </w:r>
      <w:r w:rsidRPr="00F26B25">
        <w:rPr>
          <w:rFonts w:eastAsia="Times New Roman" w:cs="Arial"/>
          <w:color w:val="000000"/>
          <w:lang w:val="en-US"/>
        </w:rPr>
        <w:t>ml</w:t>
      </w:r>
      <w:r w:rsidRPr="00F26B25">
        <w:rPr>
          <w:rFonts w:eastAsia="Times New Roman" w:cs="Arial"/>
          <w:color w:val="000000"/>
          <w:lang w:val="ru-RU"/>
        </w:rPr>
        <w:t>/</w:t>
      </w:r>
      <w:r w:rsidRPr="00F26B25">
        <w:rPr>
          <w:rFonts w:eastAsia="Times New Roman" w:cs="Arial"/>
          <w:color w:val="000000"/>
          <w:lang w:val="en-US"/>
        </w:rPr>
        <w:t>min</w:t>
      </w:r>
      <w:r w:rsidRPr="00F26B25">
        <w:rPr>
          <w:rFonts w:eastAsia="Times New Roman" w:cs="Arial"/>
          <w:color w:val="000000"/>
          <w:lang w:val="ru-RU"/>
        </w:rPr>
        <w:t xml:space="preserve"> (</w:t>
      </w:r>
      <w:proofErr w:type="spellStart"/>
      <w:r w:rsidRPr="00F26B25">
        <w:rPr>
          <w:rFonts w:eastAsia="Times New Roman" w:cs="Arial"/>
          <w:color w:val="000000"/>
          <w:lang w:val="en-US"/>
        </w:rPr>
        <w:t>CLcr</w:t>
      </w:r>
      <w:proofErr w:type="spellEnd"/>
      <w:r w:rsidRPr="00F26B25">
        <w:rPr>
          <w:rFonts w:eastAsia="Times New Roman" w:cs="Arial"/>
          <w:color w:val="000000"/>
          <w:lang w:val="ru-RU"/>
        </w:rPr>
        <w:t xml:space="preserve">). </w:t>
      </w:r>
      <w:r w:rsidRPr="00F26B25">
        <w:rPr>
          <w:rFonts w:eastAsia="Times New Roman" w:cs="Arial"/>
          <w:color w:val="000000"/>
          <w:lang w:eastAsia="bg-BG"/>
        </w:rPr>
        <w:t xml:space="preserve">При възрастни и юноши с тегло над 50 </w:t>
      </w:r>
      <w:r w:rsidRPr="00F26B25">
        <w:rPr>
          <w:rFonts w:eastAsia="Times New Roman" w:cs="Arial"/>
          <w:color w:val="000000"/>
          <w:lang w:val="en-US"/>
        </w:rPr>
        <w:t>kg</w:t>
      </w:r>
      <w:r w:rsidRPr="00F26B25">
        <w:rPr>
          <w:rFonts w:eastAsia="Times New Roman" w:cs="Arial"/>
          <w:color w:val="000000"/>
          <w:lang w:val="ru-RU"/>
        </w:rPr>
        <w:t xml:space="preserve"> </w:t>
      </w:r>
      <w:proofErr w:type="spellStart"/>
      <w:r w:rsidRPr="00F26B25">
        <w:rPr>
          <w:rFonts w:eastAsia="Times New Roman" w:cs="Arial"/>
          <w:color w:val="000000"/>
          <w:lang w:val="en-US"/>
        </w:rPr>
        <w:t>CLcr</w:t>
      </w:r>
      <w:proofErr w:type="spellEnd"/>
      <w:r w:rsidRPr="00F26B25">
        <w:rPr>
          <w:rFonts w:eastAsia="Times New Roman" w:cs="Arial"/>
          <w:color w:val="000000"/>
          <w:lang w:val="ru-RU"/>
        </w:rPr>
        <w:t xml:space="preserve"> </w:t>
      </w:r>
      <w:r w:rsidRPr="00F26B25">
        <w:rPr>
          <w:rFonts w:eastAsia="Times New Roman" w:cs="Arial"/>
          <w:color w:val="000000"/>
          <w:lang w:eastAsia="bg-BG"/>
        </w:rPr>
        <w:t xml:space="preserve">в </w:t>
      </w:r>
      <w:r w:rsidRPr="00F26B25">
        <w:rPr>
          <w:rFonts w:eastAsia="Times New Roman" w:cs="Arial"/>
          <w:color w:val="000000"/>
          <w:lang w:val="en-US"/>
        </w:rPr>
        <w:t>ml</w:t>
      </w:r>
      <w:r w:rsidRPr="00F26B25">
        <w:rPr>
          <w:rFonts w:eastAsia="Times New Roman" w:cs="Arial"/>
          <w:color w:val="000000"/>
          <w:lang w:val="ru-RU"/>
        </w:rPr>
        <w:t>/</w:t>
      </w:r>
      <w:r w:rsidRPr="00F26B25">
        <w:rPr>
          <w:rFonts w:eastAsia="Times New Roman" w:cs="Arial"/>
          <w:color w:val="000000"/>
          <w:lang w:val="en-US"/>
        </w:rPr>
        <w:t>min</w:t>
      </w:r>
      <w:r w:rsidRPr="00F26B25">
        <w:rPr>
          <w:rFonts w:eastAsia="Times New Roman" w:cs="Arial"/>
          <w:color w:val="000000"/>
          <w:lang w:val="ru-RU"/>
        </w:rPr>
        <w:t xml:space="preserve"> </w:t>
      </w:r>
      <w:r w:rsidRPr="00F26B25">
        <w:rPr>
          <w:rFonts w:eastAsia="Times New Roman" w:cs="Arial"/>
          <w:color w:val="000000"/>
          <w:lang w:eastAsia="bg-BG"/>
        </w:rPr>
        <w:t xml:space="preserve">може да се определи от серумния креатинин </w:t>
      </w:r>
      <w:r w:rsidRPr="00F26B25">
        <w:rPr>
          <w:rFonts w:eastAsia="Times New Roman" w:cs="Arial"/>
          <w:color w:val="000000"/>
          <w:lang w:val="ru-RU"/>
        </w:rPr>
        <w:t>(</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dl</w:t>
      </w:r>
      <w:r w:rsidRPr="00F26B25">
        <w:rPr>
          <w:rFonts w:eastAsia="Times New Roman" w:cs="Arial"/>
          <w:color w:val="000000"/>
          <w:lang w:val="ru-RU"/>
        </w:rPr>
        <w:t xml:space="preserve">) </w:t>
      </w:r>
      <w:r w:rsidRPr="00F26B25">
        <w:rPr>
          <w:rFonts w:eastAsia="Times New Roman" w:cs="Arial"/>
          <w:color w:val="000000"/>
          <w:lang w:eastAsia="bg-BG"/>
        </w:rPr>
        <w:t>чрез следната формула:</w:t>
      </w:r>
    </w:p>
    <w:p w14:paraId="44E3A6B8" w14:textId="6C7FC7F1" w:rsidR="00F26B25" w:rsidRDefault="00F26B25" w:rsidP="00F26B25">
      <w:pPr>
        <w:spacing w:line="240" w:lineRule="auto"/>
        <w:rPr>
          <w:rFonts w:ascii="Times New Roman" w:eastAsia="Times New Roman" w:hAnsi="Times New Roman" w:cs="Times New Roman"/>
          <w:color w:val="000000"/>
          <w:lang w:eastAsia="bg-BG"/>
        </w:rPr>
      </w:pPr>
    </w:p>
    <w:p w14:paraId="7D26665A" w14:textId="0F053F47" w:rsidR="00F26B25" w:rsidRPr="00F26B25" w:rsidRDefault="00F26B25" w:rsidP="00F26B25">
      <w:pPr>
        <w:spacing w:line="240" w:lineRule="auto"/>
        <w:rPr>
          <w:rFonts w:eastAsia="Times New Roman" w:cs="Arial"/>
          <w:sz w:val="24"/>
          <w:szCs w:val="24"/>
        </w:rPr>
      </w:pPr>
      <m:oMathPara>
        <m:oMath>
          <m:r>
            <m:rPr>
              <m:sty m:val="p"/>
            </m:rPr>
            <w:rPr>
              <w:rFonts w:ascii="Cambria Math" w:hAnsi="Cambria Math" w:cs="Arial"/>
            </w:rPr>
            <m:t>CLcr (ml/min)=</m:t>
          </m:r>
          <m:f>
            <m:fPr>
              <m:ctrlPr>
                <w:rPr>
                  <w:rFonts w:ascii="Cambria Math" w:hAnsi="Cambria Math" w:cs="Arial"/>
                </w:rPr>
              </m:ctrlPr>
            </m:fPr>
            <m:num>
              <m:r>
                <m:rPr>
                  <m:sty m:val="p"/>
                </m:rPr>
                <w:rPr>
                  <w:rFonts w:ascii="Cambria Math" w:hAnsi="Cambria Math" w:cs="Arial"/>
                </w:rPr>
                <m:t xml:space="preserve">[140-възрастта (години)] х теглото </m:t>
              </m:r>
              <m:r>
                <m:rPr>
                  <m:sty m:val="p"/>
                </m:rPr>
                <w:rPr>
                  <w:rFonts w:ascii="Cambria Math" w:hAnsi="Cambria Math" w:cs="Arial"/>
                  <w:lang w:val="en-US"/>
                </w:rPr>
                <m:t>(kg)</m:t>
              </m:r>
            </m:num>
            <m:den>
              <m:r>
                <m:rPr>
                  <m:sty m:val="p"/>
                </m:rPr>
                <w:rPr>
                  <w:rFonts w:ascii="Cambria Math" w:hAnsi="Cambria Math" w:cs="Arial"/>
                </w:rPr>
                <m:t xml:space="preserve">72 х серумен креатинин </m:t>
              </m:r>
              <m:r>
                <m:rPr>
                  <m:sty m:val="p"/>
                </m:rPr>
                <w:rPr>
                  <w:rFonts w:ascii="Cambria Math" w:hAnsi="Cambria Math" w:cs="Arial"/>
                  <w:lang w:val="en-US"/>
                </w:rPr>
                <m:t>(mg/dl)</m:t>
              </m:r>
            </m:den>
          </m:f>
          <m:r>
            <m:rPr>
              <m:sty m:val="p"/>
            </m:rPr>
            <w:rPr>
              <w:rFonts w:ascii="Cambria Math" w:hAnsi="Cambria Math" w:cs="Arial"/>
            </w:rPr>
            <m:t>(х 0,85 при жени)</m:t>
          </m:r>
        </m:oMath>
      </m:oMathPara>
    </w:p>
    <w:p w14:paraId="3D12FC3C" w14:textId="374864DE" w:rsidR="00F26B25" w:rsidRDefault="00F26B25" w:rsidP="00F26B25"/>
    <w:p w14:paraId="6F52655F" w14:textId="24838C34" w:rsidR="00F26B25" w:rsidRDefault="00F26B25" w:rsidP="00F26B25">
      <w:r>
        <w:t xml:space="preserve">след което </w:t>
      </w:r>
      <w:proofErr w:type="spellStart"/>
      <w:r>
        <w:rPr>
          <w:lang w:val="en-US"/>
        </w:rPr>
        <w:t>CLcr</w:t>
      </w:r>
      <w:proofErr w:type="spellEnd"/>
      <w:r w:rsidRPr="00F26B25">
        <w:rPr>
          <w:lang w:val="ru-RU"/>
        </w:rPr>
        <w:t xml:space="preserve"> </w:t>
      </w:r>
      <w:r>
        <w:t xml:space="preserve">се адаптира спрямо телесната повърхност </w:t>
      </w:r>
      <w:r w:rsidRPr="00F26B25">
        <w:rPr>
          <w:lang w:val="ru-RU"/>
        </w:rPr>
        <w:t>(</w:t>
      </w:r>
      <w:r>
        <w:rPr>
          <w:lang w:val="en-US"/>
        </w:rPr>
        <w:t>BSA</w:t>
      </w:r>
      <w:r w:rsidRPr="00F26B25">
        <w:rPr>
          <w:lang w:val="ru-RU"/>
        </w:rPr>
        <w:t xml:space="preserve">) </w:t>
      </w:r>
      <w:r>
        <w:t>както следва:</w:t>
      </w:r>
    </w:p>
    <w:p w14:paraId="65A66D3F" w14:textId="3CB9F93B" w:rsidR="00F26B25" w:rsidRDefault="00F26B25" w:rsidP="00F26B25"/>
    <w:p w14:paraId="459B2320" w14:textId="4E757AEF" w:rsidR="00F26B25" w:rsidRPr="00F26B25" w:rsidRDefault="00F26B25" w:rsidP="00F26B25">
      <w:pPr>
        <w:rPr>
          <w:rFonts w:eastAsiaTheme="minorEastAsia" w:cs="Arial"/>
        </w:rPr>
      </w:pPr>
      <m:oMathPara>
        <m:oMath>
          <m:r>
            <m:rPr>
              <m:sty m:val="p"/>
            </m:rPr>
            <w:rPr>
              <w:rFonts w:ascii="Cambria Math" w:hAnsi="Cambria Math" w:cs="Arial"/>
            </w:rPr>
            <m:t>CLcr (ml/min/1,73 m</m:t>
          </m:r>
          <m:r>
            <m:rPr>
              <m:sty m:val="p"/>
            </m:rPr>
            <w:rPr>
              <w:rFonts w:ascii="Cambria Math" w:hAnsi="Cambria Math" w:cs="Arial"/>
              <w:vertAlign w:val="superscript"/>
            </w:rPr>
            <m:t>2</m:t>
          </m:r>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CLcr (ml/min)</m:t>
              </m:r>
            </m:num>
            <m:den>
              <m:r>
                <m:rPr>
                  <m:sty m:val="p"/>
                </m:rPr>
                <w:rPr>
                  <w:rFonts w:ascii="Cambria Math" w:hAnsi="Cambria Math" w:cs="Arial"/>
                  <w:lang w:val="en-US"/>
                </w:rPr>
                <m:t xml:space="preserve">BSA </m:t>
              </m:r>
              <m:r>
                <m:rPr>
                  <m:sty m:val="p"/>
                </m:rPr>
                <w:rPr>
                  <w:rFonts w:ascii="Cambria Math" w:hAnsi="Cambria Math" w:cs="Arial"/>
                </w:rPr>
                <m:t xml:space="preserve">пациент </m:t>
              </m:r>
              <m:r>
                <m:rPr>
                  <m:sty m:val="p"/>
                </m:rPr>
                <w:rPr>
                  <w:rFonts w:ascii="Cambria Math" w:hAnsi="Cambria Math" w:cs="Arial"/>
                  <w:lang w:val="en-US"/>
                </w:rPr>
                <m:t>(m</m:t>
              </m:r>
              <m:r>
                <m:rPr>
                  <m:sty m:val="p"/>
                </m:rPr>
                <w:rPr>
                  <w:rFonts w:ascii="Cambria Math" w:hAnsi="Cambria Math" w:cs="Arial"/>
                  <w:vertAlign w:val="superscript"/>
                  <w:lang w:val="en-US"/>
                </w:rPr>
                <m:t>2</m:t>
              </m:r>
              <m:r>
                <m:rPr>
                  <m:sty m:val="p"/>
                </m:rPr>
                <w:rPr>
                  <w:rFonts w:ascii="Cambria Math" w:hAnsi="Cambria Math" w:cs="Arial"/>
                  <w:lang w:val="en-US"/>
                </w:rPr>
                <m:t>)</m:t>
              </m:r>
            </m:den>
          </m:f>
          <m:r>
            <m:rPr>
              <m:sty m:val="p"/>
            </m:rPr>
            <w:rPr>
              <w:rFonts w:ascii="Cambria Math" w:hAnsi="Cambria Math" w:cs="Arial"/>
            </w:rPr>
            <m:t>х 1,73</m:t>
          </m:r>
        </m:oMath>
      </m:oMathPara>
    </w:p>
    <w:p w14:paraId="0BFA09B4" w14:textId="125300EE" w:rsidR="00F26B25" w:rsidRDefault="00F26B25" w:rsidP="00F26B25">
      <w:pPr>
        <w:rPr>
          <w:rFonts w:eastAsiaTheme="minorEastAsia" w:cs="Arial"/>
        </w:rPr>
      </w:pPr>
    </w:p>
    <w:p w14:paraId="22D22E8C" w14:textId="74508620" w:rsidR="00F26B25" w:rsidRDefault="00F26B25" w:rsidP="00F26B25">
      <w:pPr>
        <w:rPr>
          <w:lang w:eastAsia="bg-BG"/>
        </w:rPr>
      </w:pPr>
      <w:r w:rsidRPr="00F26B25">
        <w:rPr>
          <w:lang w:eastAsia="bg-BG"/>
        </w:rPr>
        <w:t xml:space="preserve">Адаптиране на дозата при възрастни и юноши с тегло над 50 </w:t>
      </w:r>
      <w:r w:rsidRPr="00F26B25">
        <w:rPr>
          <w:lang w:val="en-US"/>
        </w:rPr>
        <w:t>kg</w:t>
      </w:r>
      <w:r w:rsidRPr="00F26B25">
        <w:rPr>
          <w:lang w:val="ru-RU"/>
        </w:rPr>
        <w:t xml:space="preserve"> </w:t>
      </w:r>
      <w:r w:rsidRPr="00F26B25">
        <w:rPr>
          <w:lang w:eastAsia="bg-BG"/>
        </w:rPr>
        <w:t>с нарушена бъбречна функция:</w:t>
      </w:r>
    </w:p>
    <w:tbl>
      <w:tblPr>
        <w:tblStyle w:val="TableGrid"/>
        <w:tblW w:w="0" w:type="auto"/>
        <w:tblLook w:val="04A0" w:firstRow="1" w:lastRow="0" w:firstColumn="1" w:lastColumn="0" w:noHBand="0" w:noVBand="1"/>
      </w:tblPr>
      <w:tblGrid>
        <w:gridCol w:w="3127"/>
        <w:gridCol w:w="3123"/>
        <w:gridCol w:w="3100"/>
      </w:tblGrid>
      <w:tr w:rsidR="00F26B25" w14:paraId="025BB352" w14:textId="77777777" w:rsidTr="00F26B25">
        <w:tc>
          <w:tcPr>
            <w:tcW w:w="3192" w:type="dxa"/>
          </w:tcPr>
          <w:p w14:paraId="7F4EC6D6" w14:textId="023436AA" w:rsidR="00F26B25" w:rsidRDefault="00F26B25" w:rsidP="00F26B25">
            <w:pPr>
              <w:rPr>
                <w:sz w:val="24"/>
                <w:szCs w:val="24"/>
              </w:rPr>
            </w:pPr>
            <w:r>
              <w:t>Група</w:t>
            </w:r>
          </w:p>
        </w:tc>
        <w:tc>
          <w:tcPr>
            <w:tcW w:w="3192" w:type="dxa"/>
          </w:tcPr>
          <w:p w14:paraId="0C2F003F" w14:textId="2821D400" w:rsidR="00F26B25" w:rsidRDefault="00F26B25" w:rsidP="00F26B25">
            <w:pPr>
              <w:rPr>
                <w:sz w:val="24"/>
                <w:szCs w:val="24"/>
              </w:rPr>
            </w:pPr>
            <w:r>
              <w:t xml:space="preserve">Креатининов клирънс </w:t>
            </w:r>
            <w:r w:rsidRPr="00F26B25">
              <w:rPr>
                <w:lang w:val="ru-RU"/>
              </w:rPr>
              <w:t>(</w:t>
            </w:r>
            <w:r>
              <w:rPr>
                <w:lang w:val="en-US"/>
              </w:rPr>
              <w:t>ml</w:t>
            </w:r>
            <w:r w:rsidRPr="00F26B25">
              <w:rPr>
                <w:lang w:val="ru-RU"/>
              </w:rPr>
              <w:t>/</w:t>
            </w:r>
            <w:r>
              <w:rPr>
                <w:lang w:val="en-US"/>
              </w:rPr>
              <w:t>min</w:t>
            </w:r>
            <w:r w:rsidRPr="00F26B25">
              <w:rPr>
                <w:lang w:val="ru-RU"/>
              </w:rPr>
              <w:t>/1,73</w:t>
            </w:r>
            <w:r>
              <w:rPr>
                <w:lang w:val="en-US"/>
              </w:rPr>
              <w:t>m</w:t>
            </w:r>
            <w:r w:rsidRPr="00F26B25">
              <w:rPr>
                <w:vertAlign w:val="superscript"/>
                <w:lang w:val="ru-RU"/>
              </w:rPr>
              <w:t>2</w:t>
            </w:r>
            <w:r w:rsidRPr="00F26B25">
              <w:rPr>
                <w:lang w:val="ru-RU"/>
              </w:rPr>
              <w:t>)</w:t>
            </w:r>
          </w:p>
        </w:tc>
        <w:tc>
          <w:tcPr>
            <w:tcW w:w="3192" w:type="dxa"/>
          </w:tcPr>
          <w:p w14:paraId="02293826" w14:textId="34CEDF57" w:rsidR="00F26B25" w:rsidRDefault="00F26B25" w:rsidP="00F26B25">
            <w:pPr>
              <w:rPr>
                <w:sz w:val="24"/>
                <w:szCs w:val="24"/>
              </w:rPr>
            </w:pPr>
            <w:r>
              <w:t>Доза и честота на прилагане</w:t>
            </w:r>
          </w:p>
        </w:tc>
      </w:tr>
      <w:tr w:rsidR="00F26B25" w14:paraId="495EAE31" w14:textId="77777777" w:rsidTr="00F26B25">
        <w:tc>
          <w:tcPr>
            <w:tcW w:w="3192" w:type="dxa"/>
          </w:tcPr>
          <w:p w14:paraId="12FAF609" w14:textId="7F5AE731" w:rsidR="00F26B25" w:rsidRDefault="00F26B25" w:rsidP="00F26B25">
            <w:pPr>
              <w:rPr>
                <w:sz w:val="24"/>
                <w:szCs w:val="24"/>
              </w:rPr>
            </w:pPr>
            <w:r>
              <w:t>Нормална</w:t>
            </w:r>
          </w:p>
        </w:tc>
        <w:tc>
          <w:tcPr>
            <w:tcW w:w="3192" w:type="dxa"/>
          </w:tcPr>
          <w:p w14:paraId="40BD65F2" w14:textId="5D6433CB" w:rsidR="00F26B25" w:rsidRDefault="00F26B25" w:rsidP="00F26B25">
            <w:pPr>
              <w:rPr>
                <w:sz w:val="24"/>
                <w:szCs w:val="24"/>
              </w:rPr>
            </w:pPr>
            <w:r>
              <w:t>≥80</w:t>
            </w:r>
          </w:p>
        </w:tc>
        <w:tc>
          <w:tcPr>
            <w:tcW w:w="3192" w:type="dxa"/>
          </w:tcPr>
          <w:p w14:paraId="3CFCCD59" w14:textId="6823C949" w:rsidR="00F26B25" w:rsidRDefault="00F26B25" w:rsidP="00F26B25">
            <w:pPr>
              <w:rPr>
                <w:sz w:val="24"/>
                <w:szCs w:val="24"/>
              </w:rPr>
            </w:pPr>
            <w:r>
              <w:t xml:space="preserve">500 до 1 500 </w:t>
            </w:r>
            <w:r>
              <w:rPr>
                <w:lang w:val="en-US"/>
              </w:rPr>
              <w:t>mg</w:t>
            </w:r>
            <w:r w:rsidRPr="00F26B25">
              <w:rPr>
                <w:lang w:val="ru-RU"/>
              </w:rPr>
              <w:t xml:space="preserve"> </w:t>
            </w:r>
            <w:r>
              <w:t>два пъти дневно</w:t>
            </w:r>
          </w:p>
        </w:tc>
      </w:tr>
      <w:tr w:rsidR="00F26B25" w14:paraId="34457D58" w14:textId="77777777" w:rsidTr="00F26B25">
        <w:tc>
          <w:tcPr>
            <w:tcW w:w="3192" w:type="dxa"/>
          </w:tcPr>
          <w:p w14:paraId="504D65FE" w14:textId="3FEDEDDB" w:rsidR="00F26B25" w:rsidRDefault="00F26B25" w:rsidP="00F26B25">
            <w:pPr>
              <w:rPr>
                <w:sz w:val="24"/>
                <w:szCs w:val="24"/>
              </w:rPr>
            </w:pPr>
            <w:r>
              <w:t>Лека</w:t>
            </w:r>
          </w:p>
        </w:tc>
        <w:tc>
          <w:tcPr>
            <w:tcW w:w="3192" w:type="dxa"/>
          </w:tcPr>
          <w:p w14:paraId="444E9318" w14:textId="25CAB976" w:rsidR="00F26B25" w:rsidRDefault="00F26B25" w:rsidP="00F26B25">
            <w:pPr>
              <w:rPr>
                <w:sz w:val="24"/>
                <w:szCs w:val="24"/>
              </w:rPr>
            </w:pPr>
            <w:r>
              <w:t>50-79</w:t>
            </w:r>
          </w:p>
        </w:tc>
        <w:tc>
          <w:tcPr>
            <w:tcW w:w="3192" w:type="dxa"/>
          </w:tcPr>
          <w:p w14:paraId="156DE70C" w14:textId="6D39A19B" w:rsidR="00F26B25" w:rsidRDefault="00F26B25" w:rsidP="00F26B25">
            <w:pPr>
              <w:rPr>
                <w:sz w:val="24"/>
                <w:szCs w:val="24"/>
              </w:rPr>
            </w:pPr>
            <w:r>
              <w:t xml:space="preserve">500 до 1 000 </w:t>
            </w:r>
            <w:r>
              <w:rPr>
                <w:lang w:val="en-US"/>
              </w:rPr>
              <w:t>mg</w:t>
            </w:r>
            <w:r w:rsidRPr="00F26B25">
              <w:rPr>
                <w:lang w:val="ru-RU"/>
              </w:rPr>
              <w:t xml:space="preserve"> </w:t>
            </w:r>
            <w:r>
              <w:t>два пъти дневно</w:t>
            </w:r>
          </w:p>
        </w:tc>
      </w:tr>
      <w:tr w:rsidR="00F26B25" w14:paraId="75EC6D8C" w14:textId="77777777" w:rsidTr="00F26B25">
        <w:tc>
          <w:tcPr>
            <w:tcW w:w="3192" w:type="dxa"/>
          </w:tcPr>
          <w:p w14:paraId="68E66578" w14:textId="56F9AAEC" w:rsidR="00F26B25" w:rsidRDefault="00F26B25" w:rsidP="00F26B25">
            <w:pPr>
              <w:rPr>
                <w:sz w:val="24"/>
                <w:szCs w:val="24"/>
              </w:rPr>
            </w:pPr>
            <w:r>
              <w:t>Умерена</w:t>
            </w:r>
          </w:p>
        </w:tc>
        <w:tc>
          <w:tcPr>
            <w:tcW w:w="3192" w:type="dxa"/>
          </w:tcPr>
          <w:p w14:paraId="69CF97E4" w14:textId="431F0410" w:rsidR="00F26B25" w:rsidRDefault="00F26B25" w:rsidP="00F26B25">
            <w:pPr>
              <w:rPr>
                <w:sz w:val="24"/>
                <w:szCs w:val="24"/>
              </w:rPr>
            </w:pPr>
            <w:r>
              <w:t>30-49</w:t>
            </w:r>
          </w:p>
        </w:tc>
        <w:tc>
          <w:tcPr>
            <w:tcW w:w="3192" w:type="dxa"/>
          </w:tcPr>
          <w:p w14:paraId="5C02E3DD" w14:textId="17EBBBF9" w:rsidR="00F26B25" w:rsidRDefault="00F26B25" w:rsidP="00F26B25">
            <w:pPr>
              <w:rPr>
                <w:sz w:val="24"/>
                <w:szCs w:val="24"/>
              </w:rPr>
            </w:pPr>
            <w:r>
              <w:t xml:space="preserve">250 до 750 </w:t>
            </w:r>
            <w:r>
              <w:rPr>
                <w:lang w:val="en-US"/>
              </w:rPr>
              <w:t>mg</w:t>
            </w:r>
            <w:r w:rsidRPr="00F26B25">
              <w:rPr>
                <w:lang w:val="ru-RU"/>
              </w:rPr>
              <w:t xml:space="preserve"> </w:t>
            </w:r>
            <w:r>
              <w:t>два пъти дневно</w:t>
            </w:r>
          </w:p>
        </w:tc>
      </w:tr>
      <w:tr w:rsidR="00F26B25" w14:paraId="5E25A6F7" w14:textId="77777777" w:rsidTr="00F26B25">
        <w:tc>
          <w:tcPr>
            <w:tcW w:w="3192" w:type="dxa"/>
          </w:tcPr>
          <w:p w14:paraId="0A339304" w14:textId="4996F0FC" w:rsidR="00F26B25" w:rsidRDefault="00F26B25" w:rsidP="00F26B25">
            <w:pPr>
              <w:rPr>
                <w:sz w:val="24"/>
                <w:szCs w:val="24"/>
              </w:rPr>
            </w:pPr>
            <w:r>
              <w:t>Тежка</w:t>
            </w:r>
          </w:p>
        </w:tc>
        <w:tc>
          <w:tcPr>
            <w:tcW w:w="3192" w:type="dxa"/>
          </w:tcPr>
          <w:p w14:paraId="779BBD5E" w14:textId="3EA7CFDC" w:rsidR="00F26B25" w:rsidRDefault="00F26B25" w:rsidP="00F26B25">
            <w:pPr>
              <w:rPr>
                <w:sz w:val="24"/>
                <w:szCs w:val="24"/>
              </w:rPr>
            </w:pPr>
            <w:r>
              <w:t>&lt;30</w:t>
            </w:r>
          </w:p>
        </w:tc>
        <w:tc>
          <w:tcPr>
            <w:tcW w:w="3192" w:type="dxa"/>
          </w:tcPr>
          <w:p w14:paraId="2CBCB2D7" w14:textId="46DDFC5E" w:rsidR="00F26B25" w:rsidRDefault="00F26B25" w:rsidP="00F26B25">
            <w:pPr>
              <w:rPr>
                <w:sz w:val="24"/>
                <w:szCs w:val="24"/>
              </w:rPr>
            </w:pPr>
            <w:r>
              <w:t xml:space="preserve">250 до 500 </w:t>
            </w:r>
            <w:r>
              <w:rPr>
                <w:lang w:val="en-US"/>
              </w:rPr>
              <w:t>mg</w:t>
            </w:r>
            <w:r w:rsidRPr="00F26B25">
              <w:rPr>
                <w:lang w:val="ru-RU"/>
              </w:rPr>
              <w:t xml:space="preserve"> </w:t>
            </w:r>
            <w:r>
              <w:t>два пъти дневно</w:t>
            </w:r>
          </w:p>
        </w:tc>
      </w:tr>
      <w:tr w:rsidR="00F26B25" w14:paraId="13158DF4" w14:textId="77777777" w:rsidTr="00F26B25">
        <w:tc>
          <w:tcPr>
            <w:tcW w:w="3192" w:type="dxa"/>
          </w:tcPr>
          <w:p w14:paraId="658328CC" w14:textId="4D278CFF" w:rsidR="00F26B25" w:rsidRDefault="00F26B25" w:rsidP="00F26B25">
            <w:pPr>
              <w:rPr>
                <w:sz w:val="24"/>
                <w:szCs w:val="24"/>
              </w:rPr>
            </w:pPr>
            <w:r>
              <w:t>Пациенти с терминална бъбречна недостатъчност подлежащи на диализа (1)</w:t>
            </w:r>
          </w:p>
        </w:tc>
        <w:tc>
          <w:tcPr>
            <w:tcW w:w="3192" w:type="dxa"/>
          </w:tcPr>
          <w:p w14:paraId="73C0F67E" w14:textId="0158ED3B" w:rsidR="00F26B25" w:rsidRDefault="00F26B25" w:rsidP="00F26B25">
            <w:pPr>
              <w:rPr>
                <w:sz w:val="24"/>
                <w:szCs w:val="24"/>
              </w:rPr>
            </w:pPr>
            <w:r>
              <w:t>-</w:t>
            </w:r>
          </w:p>
        </w:tc>
        <w:tc>
          <w:tcPr>
            <w:tcW w:w="3192" w:type="dxa"/>
          </w:tcPr>
          <w:p w14:paraId="4CBD3E8D" w14:textId="4B9194B3" w:rsidR="00F26B25" w:rsidRDefault="00F26B25" w:rsidP="00F26B25">
            <w:pPr>
              <w:rPr>
                <w:sz w:val="24"/>
                <w:szCs w:val="24"/>
              </w:rPr>
            </w:pPr>
            <w:r>
              <w:t xml:space="preserve">500 до 1 000 </w:t>
            </w:r>
            <w:r>
              <w:rPr>
                <w:lang w:val="en-US"/>
              </w:rPr>
              <w:t xml:space="preserve">mg </w:t>
            </w:r>
            <w:r>
              <w:t>веднъж дневно (2)</w:t>
            </w:r>
          </w:p>
        </w:tc>
      </w:tr>
    </w:tbl>
    <w:p w14:paraId="34CEEE91" w14:textId="77777777" w:rsidR="00F26B25" w:rsidRPr="00F26B25" w:rsidRDefault="00F26B25" w:rsidP="00F26B25">
      <w:pPr>
        <w:spacing w:line="240" w:lineRule="auto"/>
        <w:rPr>
          <w:rFonts w:eastAsia="Times New Roman" w:cs="Arial"/>
          <w:color w:val="000000"/>
          <w:lang w:val="ru-RU"/>
        </w:rPr>
      </w:pPr>
      <w:r w:rsidRPr="00F26B25">
        <w:rPr>
          <w:rFonts w:eastAsia="Times New Roman" w:cs="Arial"/>
          <w:color w:val="000000"/>
          <w:lang w:eastAsia="bg-BG"/>
        </w:rPr>
        <w:t xml:space="preserve">(1) През първия ден от лечението с леветирацетам се препоръчва натоварваща доза от 750 </w:t>
      </w:r>
      <w:r w:rsidRPr="00F26B25">
        <w:rPr>
          <w:rFonts w:eastAsia="Times New Roman" w:cs="Arial"/>
          <w:color w:val="000000"/>
          <w:lang w:val="en-US"/>
        </w:rPr>
        <w:t>mg</w:t>
      </w:r>
      <w:r w:rsidRPr="00F26B25">
        <w:rPr>
          <w:rFonts w:eastAsia="Times New Roman" w:cs="Arial"/>
          <w:color w:val="000000"/>
          <w:lang w:val="ru-RU"/>
        </w:rPr>
        <w:t xml:space="preserve"> </w:t>
      </w:r>
    </w:p>
    <w:p w14:paraId="05B9B48F" w14:textId="2A485AC5"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(2) След диализа се препоръчва допълнителна доза от 250 до 500 </w:t>
      </w:r>
      <w:r w:rsidRPr="00F26B25">
        <w:rPr>
          <w:rFonts w:eastAsia="Times New Roman" w:cs="Arial"/>
          <w:color w:val="000000"/>
          <w:lang w:val="en-US"/>
        </w:rPr>
        <w:t>mg</w:t>
      </w:r>
      <w:r w:rsidRPr="00F26B25">
        <w:rPr>
          <w:rFonts w:eastAsia="Times New Roman" w:cs="Arial"/>
          <w:color w:val="000000"/>
          <w:lang w:val="ru-RU"/>
        </w:rPr>
        <w:t>.</w:t>
      </w:r>
    </w:p>
    <w:p w14:paraId="071ACD73" w14:textId="77777777" w:rsidR="00F26B25" w:rsidRPr="00F26B25" w:rsidRDefault="00F26B25" w:rsidP="00F26B25">
      <w:pPr>
        <w:spacing w:line="240" w:lineRule="auto"/>
        <w:rPr>
          <w:rFonts w:eastAsia="Times New Roman" w:cs="Arial"/>
          <w:color w:val="000000"/>
          <w:lang w:eastAsia="bg-BG"/>
        </w:rPr>
      </w:pPr>
    </w:p>
    <w:p w14:paraId="40507371" w14:textId="6D162F20"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При деца с бъбречни увреждания, дозата на леветирацетам трябва да се адаптира въз основа на бъбречната функция, тъй като клирънсът на леветирацетам е свързан с бъбречната функция. Препоръката се основава на проучване при възрастни пациенти с бъбречно увреждане.</w:t>
      </w:r>
    </w:p>
    <w:p w14:paraId="7D48CE10" w14:textId="77777777" w:rsidR="00F26B25" w:rsidRPr="00F26B25" w:rsidRDefault="00F26B25" w:rsidP="00F26B25">
      <w:pPr>
        <w:spacing w:line="240" w:lineRule="auto"/>
        <w:rPr>
          <w:rFonts w:eastAsia="Times New Roman" w:cs="Arial"/>
          <w:color w:val="000000"/>
          <w:lang w:eastAsia="bg-BG"/>
        </w:rPr>
      </w:pPr>
    </w:p>
    <w:p w14:paraId="6969974E" w14:textId="12DE82B3"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За по-малки юноши, деца и кърмачета </w:t>
      </w:r>
      <w:proofErr w:type="spellStart"/>
      <w:r w:rsidRPr="00F26B25">
        <w:rPr>
          <w:rFonts w:eastAsia="Times New Roman" w:cs="Arial"/>
          <w:color w:val="000000"/>
          <w:lang w:val="en-US"/>
        </w:rPr>
        <w:t>CLcr</w:t>
      </w:r>
      <w:proofErr w:type="spellEnd"/>
      <w:r w:rsidRPr="00F26B25">
        <w:rPr>
          <w:rFonts w:eastAsia="Times New Roman" w:cs="Arial"/>
          <w:color w:val="000000"/>
          <w:lang w:val="ru-RU"/>
        </w:rPr>
        <w:t xml:space="preserve"> </w:t>
      </w:r>
      <w:r w:rsidRPr="00F26B25">
        <w:rPr>
          <w:rFonts w:eastAsia="Times New Roman" w:cs="Arial"/>
          <w:color w:val="000000"/>
          <w:lang w:eastAsia="bg-BG"/>
        </w:rPr>
        <w:t xml:space="preserve">може да се определи в </w:t>
      </w:r>
      <w:r w:rsidRPr="00F26B25">
        <w:rPr>
          <w:rFonts w:eastAsia="Times New Roman" w:cs="Arial"/>
          <w:color w:val="000000"/>
          <w:lang w:val="en-US"/>
        </w:rPr>
        <w:t>ml</w:t>
      </w:r>
      <w:r w:rsidRPr="00F26B25">
        <w:rPr>
          <w:rFonts w:eastAsia="Times New Roman" w:cs="Arial"/>
          <w:color w:val="000000"/>
          <w:lang w:val="ru-RU"/>
        </w:rPr>
        <w:t>/</w:t>
      </w:r>
      <w:r w:rsidRPr="00F26B25">
        <w:rPr>
          <w:rFonts w:eastAsia="Times New Roman" w:cs="Arial"/>
          <w:color w:val="000000"/>
          <w:lang w:val="en-US"/>
        </w:rPr>
        <w:t>min</w:t>
      </w:r>
      <w:r w:rsidRPr="00F26B25">
        <w:rPr>
          <w:rFonts w:eastAsia="Times New Roman" w:cs="Arial"/>
          <w:color w:val="000000"/>
          <w:lang w:val="ru-RU"/>
        </w:rPr>
        <w:t>/</w:t>
      </w:r>
      <w:r w:rsidRPr="00F26B25">
        <w:rPr>
          <w:rFonts w:eastAsia="Times New Roman" w:cs="Arial"/>
          <w:color w:val="000000"/>
          <w:lang w:eastAsia="bg-BG"/>
        </w:rPr>
        <w:t xml:space="preserve">1,73 </w:t>
      </w:r>
      <w:r w:rsidRPr="00F26B25">
        <w:rPr>
          <w:rFonts w:eastAsia="Times New Roman" w:cs="Arial"/>
          <w:color w:val="000000"/>
          <w:lang w:val="en-US"/>
        </w:rPr>
        <w:t>m</w:t>
      </w:r>
      <w:r w:rsidRPr="00F26B25">
        <w:rPr>
          <w:rFonts w:eastAsia="Times New Roman" w:cs="Arial"/>
          <w:color w:val="000000"/>
          <w:vertAlign w:val="superscript"/>
          <w:lang w:val="ru-RU"/>
        </w:rPr>
        <w:t>2</w:t>
      </w:r>
      <w:r w:rsidRPr="00F26B25">
        <w:rPr>
          <w:rFonts w:eastAsia="Times New Roman" w:cs="Arial"/>
          <w:color w:val="000000"/>
          <w:lang w:val="ru-RU"/>
        </w:rPr>
        <w:t xml:space="preserve"> </w:t>
      </w:r>
      <w:r w:rsidRPr="00F26B25">
        <w:rPr>
          <w:rFonts w:eastAsia="Times New Roman" w:cs="Arial"/>
          <w:color w:val="000000"/>
          <w:lang w:eastAsia="bg-BG"/>
        </w:rPr>
        <w:t xml:space="preserve">от изчисляването на серумния креатинин </w:t>
      </w:r>
      <w:r w:rsidRPr="00F26B25">
        <w:rPr>
          <w:rFonts w:eastAsia="Times New Roman" w:cs="Arial"/>
          <w:color w:val="000000"/>
          <w:lang w:val="ru-RU"/>
        </w:rPr>
        <w:t>(</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dl</w:t>
      </w:r>
      <w:r w:rsidRPr="00F26B25">
        <w:rPr>
          <w:rFonts w:eastAsia="Times New Roman" w:cs="Arial"/>
          <w:color w:val="000000"/>
          <w:lang w:val="ru-RU"/>
        </w:rPr>
        <w:t xml:space="preserve">) </w:t>
      </w:r>
      <w:r w:rsidRPr="00F26B25">
        <w:rPr>
          <w:rFonts w:eastAsia="Times New Roman" w:cs="Arial"/>
          <w:color w:val="000000"/>
          <w:lang w:eastAsia="bg-BG"/>
        </w:rPr>
        <w:t xml:space="preserve">с помощта на следната формула (формула на </w:t>
      </w:r>
      <w:r w:rsidRPr="00F26B25">
        <w:rPr>
          <w:rFonts w:eastAsia="Times New Roman" w:cs="Arial"/>
          <w:color w:val="000000"/>
          <w:lang w:val="en-US"/>
        </w:rPr>
        <w:t>Schwartz</w:t>
      </w:r>
      <w:r w:rsidRPr="00F26B25">
        <w:rPr>
          <w:rFonts w:eastAsia="Times New Roman" w:cs="Arial"/>
          <w:color w:val="000000"/>
          <w:lang w:val="ru-RU"/>
        </w:rPr>
        <w:t>):</w:t>
      </w:r>
    </w:p>
    <w:p w14:paraId="50366E96" w14:textId="0E7FB702" w:rsidR="00F26B25" w:rsidRDefault="00F26B25" w:rsidP="00F26B25">
      <w:pPr>
        <w:rPr>
          <w:sz w:val="24"/>
          <w:szCs w:val="24"/>
        </w:rPr>
      </w:pPr>
    </w:p>
    <w:p w14:paraId="549C7CDA" w14:textId="7DE56136" w:rsidR="00F26B25" w:rsidRPr="00F26B25" w:rsidRDefault="00F26B25" w:rsidP="00F26B25">
      <w:pPr>
        <w:rPr>
          <w:sz w:val="24"/>
          <w:szCs w:val="24"/>
        </w:rPr>
      </w:pPr>
      <m:oMathPara>
        <m:oMath>
          <m:r>
            <m:rPr>
              <m:sty m:val="p"/>
            </m:rPr>
            <w:rPr>
              <w:rFonts w:ascii="Cambria Math" w:hAnsi="Cambria Math"/>
            </w:rPr>
            <m:t>CLcr (ml/min/1,73 m</m:t>
          </m:r>
          <m:r>
            <m:rPr>
              <m:sty m:val="p"/>
            </m:rPr>
            <w:rPr>
              <w:rFonts w:ascii="Cambria Math" w:hAnsi="Cambria Math"/>
              <w:vertAlign w:val="superscript"/>
            </w:rPr>
            <m:t>2</m:t>
          </m:r>
          <m:r>
            <m:rPr>
              <m:sty m:val="p"/>
            </m:rPr>
            <w:rPr>
              <w:rFonts w:ascii="Cambria Math" w:hAnsi="Cambria Math"/>
            </w:rPr>
            <m:t>)</m:t>
          </m:r>
          <m:r>
            <m:rPr>
              <m:sty m:val="p"/>
            </m:rPr>
            <w:rPr>
              <w:rFonts w:ascii="Cambria Math"/>
            </w:rPr>
            <m:t>=</m:t>
          </m:r>
          <m:f>
            <m:fPr>
              <m:ctrlPr>
                <w:rPr>
                  <w:rFonts w:ascii="Cambria Math"/>
                </w:rPr>
              </m:ctrlPr>
            </m:fPr>
            <m:num>
              <m:r>
                <m:rPr>
                  <m:sty m:val="p"/>
                </m:rPr>
                <w:rPr>
                  <w:rFonts w:ascii="Cambria Math" w:hAnsi="Cambria Math"/>
                </w:rPr>
                <m:t xml:space="preserve">Височина </m:t>
              </m:r>
              <m:r>
                <m:rPr>
                  <m:sty m:val="p"/>
                </m:rPr>
                <w:rPr>
                  <w:rFonts w:ascii="Cambria Math" w:hAnsi="Cambria Math"/>
                  <w:lang w:val="en-US"/>
                </w:rPr>
                <m:t xml:space="preserve">(cm) </m:t>
              </m:r>
              <m:r>
                <m:rPr>
                  <m:sty m:val="p"/>
                </m:rPr>
                <w:rPr>
                  <w:rFonts w:ascii="Cambria Math" w:hAnsi="Cambria Math"/>
                </w:rPr>
                <m:t xml:space="preserve">х </m:t>
              </m:r>
              <m:r>
                <m:rPr>
                  <m:sty m:val="p"/>
                </m:rPr>
                <w:rPr>
                  <w:rFonts w:ascii="Cambria Math" w:hAnsi="Cambria Math"/>
                  <w:lang w:val="en-US"/>
                </w:rPr>
                <m:t>ks</m:t>
              </m:r>
            </m:num>
            <m:den>
              <m:r>
                <m:rPr>
                  <m:sty m:val="p"/>
                </m:rPr>
                <w:rPr>
                  <w:rFonts w:ascii="Cambria Math" w:hAnsi="Cambria Math"/>
                </w:rPr>
                <m:t xml:space="preserve">Серумен креатинин </m:t>
              </m:r>
              <m:r>
                <m:rPr>
                  <m:sty m:val="p"/>
                </m:rPr>
                <w:rPr>
                  <w:rFonts w:ascii="Cambria Math" w:hAnsi="Cambria Math"/>
                  <w:lang w:val="en-US"/>
                </w:rPr>
                <m:t>(mg/dl)</m:t>
              </m:r>
            </m:den>
          </m:f>
        </m:oMath>
      </m:oMathPara>
    </w:p>
    <w:p w14:paraId="102E5F1C" w14:textId="77777777" w:rsidR="00F26B25" w:rsidRPr="00F26B25" w:rsidRDefault="00F26B25" w:rsidP="00F26B25">
      <w:pPr>
        <w:spacing w:line="240" w:lineRule="auto"/>
        <w:rPr>
          <w:rFonts w:eastAsia="Times New Roman" w:cs="Arial"/>
          <w:sz w:val="24"/>
          <w:szCs w:val="24"/>
        </w:rPr>
      </w:pPr>
      <w:proofErr w:type="spellStart"/>
      <w:proofErr w:type="gramStart"/>
      <w:r w:rsidRPr="00F26B25">
        <w:rPr>
          <w:rFonts w:eastAsia="Times New Roman" w:cs="Arial"/>
          <w:color w:val="000000"/>
          <w:lang w:val="en-US"/>
        </w:rPr>
        <w:t>ks</w:t>
      </w:r>
      <w:proofErr w:type="spellEnd"/>
      <w:proofErr w:type="gramEnd"/>
      <w:r w:rsidRPr="00F26B25">
        <w:rPr>
          <w:rFonts w:eastAsia="Times New Roman" w:cs="Arial"/>
          <w:color w:val="000000"/>
          <w:lang w:val="ru-RU"/>
        </w:rPr>
        <w:t xml:space="preserve">= 0,45 </w:t>
      </w:r>
      <w:r w:rsidRPr="00F26B25">
        <w:rPr>
          <w:rFonts w:eastAsia="Times New Roman" w:cs="Arial"/>
          <w:color w:val="000000"/>
          <w:lang w:eastAsia="bg-BG"/>
        </w:rPr>
        <w:t xml:space="preserve">при доносени кърмачета до 1 годишна възраст; </w:t>
      </w:r>
      <w:proofErr w:type="spellStart"/>
      <w:r w:rsidRPr="00F26B25">
        <w:rPr>
          <w:rFonts w:eastAsia="Times New Roman" w:cs="Arial"/>
          <w:color w:val="000000"/>
          <w:lang w:val="en-US"/>
        </w:rPr>
        <w:t>ks</w:t>
      </w:r>
      <w:proofErr w:type="spellEnd"/>
      <w:r w:rsidRPr="00F26B25">
        <w:rPr>
          <w:rFonts w:eastAsia="Times New Roman" w:cs="Arial"/>
          <w:color w:val="000000"/>
          <w:lang w:val="ru-RU"/>
        </w:rPr>
        <w:t xml:space="preserve">= </w:t>
      </w:r>
      <w:r w:rsidRPr="00F26B25">
        <w:rPr>
          <w:rFonts w:eastAsia="Times New Roman" w:cs="Arial"/>
          <w:color w:val="000000"/>
          <w:lang w:eastAsia="bg-BG"/>
        </w:rPr>
        <w:t xml:space="preserve">0,55 при деца под 13 години и девойки; </w:t>
      </w:r>
      <w:proofErr w:type="spellStart"/>
      <w:r w:rsidRPr="00F26B25">
        <w:rPr>
          <w:rFonts w:eastAsia="Times New Roman" w:cs="Arial"/>
          <w:color w:val="000000"/>
          <w:lang w:val="en-US"/>
        </w:rPr>
        <w:t>ks</w:t>
      </w:r>
      <w:proofErr w:type="spellEnd"/>
      <w:r w:rsidRPr="00F26B25">
        <w:rPr>
          <w:rFonts w:eastAsia="Times New Roman" w:cs="Arial"/>
          <w:color w:val="000000"/>
          <w:lang w:val="ru-RU"/>
        </w:rPr>
        <w:t xml:space="preserve">= </w:t>
      </w:r>
      <w:r w:rsidRPr="00F26B25">
        <w:rPr>
          <w:rFonts w:eastAsia="Times New Roman" w:cs="Arial"/>
          <w:color w:val="000000"/>
          <w:lang w:eastAsia="bg-BG"/>
        </w:rPr>
        <w:t>0,7 при юноши от мъжки пол.</w:t>
      </w:r>
    </w:p>
    <w:p w14:paraId="2587E369" w14:textId="77777777" w:rsidR="00F26B25" w:rsidRPr="00F26B25" w:rsidRDefault="00F26B25" w:rsidP="00F26B25">
      <w:pPr>
        <w:rPr>
          <w:rFonts w:eastAsia="Times New Roman" w:cs="Arial"/>
          <w:color w:val="000000"/>
          <w:lang w:eastAsia="bg-BG"/>
        </w:rPr>
      </w:pPr>
    </w:p>
    <w:p w14:paraId="15576954" w14:textId="58E71DB7" w:rsidR="00F26B25" w:rsidRDefault="00F26B25" w:rsidP="00F26B25">
      <w:pPr>
        <w:rPr>
          <w:rFonts w:eastAsia="Times New Roman" w:cs="Arial"/>
          <w:color w:val="000000"/>
          <w:lang w:eastAsia="bg-BG"/>
        </w:rPr>
      </w:pPr>
      <w:r w:rsidRPr="00F26B25">
        <w:rPr>
          <w:rFonts w:eastAsia="Times New Roman" w:cs="Arial"/>
          <w:color w:val="000000"/>
          <w:lang w:eastAsia="bg-BG"/>
        </w:rPr>
        <w:t xml:space="preserve">Адаптиране на дозата при кърмачета, деца и юноши с тегло под 50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с нарушена бъбречна функция;</w:t>
      </w:r>
    </w:p>
    <w:tbl>
      <w:tblPr>
        <w:tblStyle w:val="TableGrid"/>
        <w:tblW w:w="0" w:type="auto"/>
        <w:tblLook w:val="04A0" w:firstRow="1" w:lastRow="0" w:firstColumn="1" w:lastColumn="0" w:noHBand="0" w:noVBand="1"/>
      </w:tblPr>
      <w:tblGrid>
        <w:gridCol w:w="2362"/>
        <w:gridCol w:w="2338"/>
        <w:gridCol w:w="2325"/>
        <w:gridCol w:w="2325"/>
      </w:tblGrid>
      <w:tr w:rsidR="00F26B25" w14:paraId="4BC74668" w14:textId="77777777" w:rsidTr="00F26B25">
        <w:tc>
          <w:tcPr>
            <w:tcW w:w="2394" w:type="dxa"/>
            <w:vMerge w:val="restart"/>
          </w:tcPr>
          <w:p w14:paraId="0C71C421" w14:textId="4C044419" w:rsidR="00F26B25" w:rsidRDefault="00F26B25" w:rsidP="00F26B25">
            <w:pPr>
              <w:rPr>
                <w:rFonts w:cs="Arial"/>
              </w:rPr>
            </w:pPr>
            <w:r>
              <w:t>Група</w:t>
            </w:r>
          </w:p>
        </w:tc>
        <w:tc>
          <w:tcPr>
            <w:tcW w:w="2394" w:type="dxa"/>
            <w:vMerge w:val="restart"/>
          </w:tcPr>
          <w:p w14:paraId="037DE695" w14:textId="5F19EF21" w:rsidR="00F26B25" w:rsidRDefault="00F26B25" w:rsidP="00F26B25">
            <w:pPr>
              <w:rPr>
                <w:rFonts w:cs="Arial"/>
              </w:rPr>
            </w:pPr>
            <w:r>
              <w:t xml:space="preserve">Креатининов клирънс </w:t>
            </w:r>
            <w:r w:rsidRPr="00F26B25">
              <w:rPr>
                <w:lang w:val="ru-RU"/>
              </w:rPr>
              <w:t>(</w:t>
            </w:r>
            <w:r>
              <w:rPr>
                <w:lang w:val="en-US"/>
              </w:rPr>
              <w:t>ml</w:t>
            </w:r>
            <w:r w:rsidRPr="00F26B25">
              <w:rPr>
                <w:lang w:val="ru-RU"/>
              </w:rPr>
              <w:t>/</w:t>
            </w:r>
            <w:r>
              <w:rPr>
                <w:lang w:val="en-US"/>
              </w:rPr>
              <w:t>min</w:t>
            </w:r>
            <w:r w:rsidRPr="00F26B25">
              <w:rPr>
                <w:lang w:val="ru-RU"/>
              </w:rPr>
              <w:t>/1,</w:t>
            </w:r>
            <w:r>
              <w:t xml:space="preserve">73 </w:t>
            </w:r>
            <w:r>
              <w:rPr>
                <w:lang w:val="en-US"/>
              </w:rPr>
              <w:t>m</w:t>
            </w:r>
            <w:r w:rsidRPr="00F26B25">
              <w:rPr>
                <w:vertAlign w:val="superscript"/>
                <w:lang w:val="ru-RU"/>
              </w:rPr>
              <w:t>2</w:t>
            </w:r>
            <w:r w:rsidRPr="00F26B25">
              <w:rPr>
                <w:lang w:val="ru-RU"/>
              </w:rPr>
              <w:t>)</w:t>
            </w:r>
          </w:p>
        </w:tc>
        <w:tc>
          <w:tcPr>
            <w:tcW w:w="4788" w:type="dxa"/>
            <w:gridSpan w:val="2"/>
          </w:tcPr>
          <w:p w14:paraId="721C892C" w14:textId="14461DB8" w:rsidR="00F26B25" w:rsidRPr="00F26B25" w:rsidRDefault="00F26B25" w:rsidP="00F26B25">
            <w:pPr>
              <w:rPr>
                <w:sz w:val="24"/>
                <w:szCs w:val="24"/>
              </w:rPr>
            </w:pPr>
            <w:r w:rsidRPr="00F26B25">
              <w:rPr>
                <w:lang w:eastAsia="bg-BG"/>
              </w:rPr>
              <w:t>Доза и честота на прилагане (1)</w:t>
            </w:r>
          </w:p>
        </w:tc>
      </w:tr>
      <w:tr w:rsidR="00F26B25" w14:paraId="012DDE42" w14:textId="77777777" w:rsidTr="00F26B25">
        <w:tc>
          <w:tcPr>
            <w:tcW w:w="2394" w:type="dxa"/>
            <w:vMerge/>
          </w:tcPr>
          <w:p w14:paraId="36E4F380" w14:textId="77777777" w:rsidR="00F26B25" w:rsidRDefault="00F26B25" w:rsidP="00F26B25">
            <w:pPr>
              <w:rPr>
                <w:rFonts w:cs="Arial"/>
              </w:rPr>
            </w:pPr>
          </w:p>
        </w:tc>
        <w:tc>
          <w:tcPr>
            <w:tcW w:w="2394" w:type="dxa"/>
            <w:vMerge/>
          </w:tcPr>
          <w:p w14:paraId="085E48AD" w14:textId="77777777" w:rsidR="00F26B25" w:rsidRDefault="00F26B25" w:rsidP="00F26B25">
            <w:pPr>
              <w:rPr>
                <w:rFonts w:cs="Arial"/>
              </w:rPr>
            </w:pPr>
          </w:p>
        </w:tc>
        <w:tc>
          <w:tcPr>
            <w:tcW w:w="2394" w:type="dxa"/>
          </w:tcPr>
          <w:p w14:paraId="2416B9CA" w14:textId="4800311D" w:rsidR="00F26B25" w:rsidRDefault="00F26B25" w:rsidP="00F26B25">
            <w:pPr>
              <w:rPr>
                <w:rFonts w:cs="Arial"/>
              </w:rPr>
            </w:pPr>
            <w:r>
              <w:t>Кърмачета от 1 до под 6 месеца</w:t>
            </w:r>
          </w:p>
        </w:tc>
        <w:tc>
          <w:tcPr>
            <w:tcW w:w="2394" w:type="dxa"/>
          </w:tcPr>
          <w:p w14:paraId="16E242EB" w14:textId="4A68F34F" w:rsidR="00F26B25" w:rsidRDefault="00F26B25" w:rsidP="00F26B25">
            <w:pPr>
              <w:rPr>
                <w:rFonts w:cs="Arial"/>
              </w:rPr>
            </w:pPr>
            <w:r>
              <w:t xml:space="preserve">Кърмачета от 6 до 23 месеца, деца и юноши с тегло под 50 </w:t>
            </w:r>
            <w:r>
              <w:rPr>
                <w:lang w:val="en-US"/>
              </w:rPr>
              <w:t>kg</w:t>
            </w:r>
          </w:p>
        </w:tc>
      </w:tr>
      <w:tr w:rsidR="00F26B25" w14:paraId="52547767" w14:textId="77777777" w:rsidTr="00F26B25">
        <w:tc>
          <w:tcPr>
            <w:tcW w:w="2394" w:type="dxa"/>
          </w:tcPr>
          <w:p w14:paraId="57B435E2" w14:textId="01B14447" w:rsidR="00F26B25" w:rsidRDefault="00F26B25" w:rsidP="00F26B25">
            <w:pPr>
              <w:rPr>
                <w:rFonts w:cs="Arial"/>
              </w:rPr>
            </w:pPr>
            <w:r>
              <w:t>Нормална</w:t>
            </w:r>
          </w:p>
        </w:tc>
        <w:tc>
          <w:tcPr>
            <w:tcW w:w="2394" w:type="dxa"/>
          </w:tcPr>
          <w:p w14:paraId="378409E0" w14:textId="08950CFF" w:rsidR="00F26B25" w:rsidRDefault="00F26B25" w:rsidP="00F26B25">
            <w:pPr>
              <w:rPr>
                <w:rFonts w:cs="Arial"/>
              </w:rPr>
            </w:pPr>
            <w:r>
              <w:t>≥80</w:t>
            </w:r>
          </w:p>
        </w:tc>
        <w:tc>
          <w:tcPr>
            <w:tcW w:w="2394" w:type="dxa"/>
          </w:tcPr>
          <w:p w14:paraId="5F7BB575" w14:textId="592044C4" w:rsidR="00F26B25" w:rsidRDefault="00F26B25" w:rsidP="00F26B25">
            <w:pPr>
              <w:rPr>
                <w:rFonts w:cs="Arial"/>
              </w:rPr>
            </w:pPr>
            <w:r>
              <w:t xml:space="preserve">7 до 21 </w:t>
            </w:r>
            <w:r>
              <w:rPr>
                <w:lang w:val="en-US"/>
              </w:rPr>
              <w:t>mg</w:t>
            </w:r>
            <w:r w:rsidRPr="00F26B25">
              <w:rPr>
                <w:lang w:val="ru-RU"/>
              </w:rPr>
              <w:t>/</w:t>
            </w:r>
            <w:r>
              <w:rPr>
                <w:lang w:val="en-US"/>
              </w:rPr>
              <w:t>kg</w:t>
            </w:r>
            <w:r w:rsidRPr="00F26B25">
              <w:rPr>
                <w:lang w:val="ru-RU"/>
              </w:rPr>
              <w:t xml:space="preserve"> </w:t>
            </w:r>
            <w:r>
              <w:t>два пъти дневно</w:t>
            </w:r>
          </w:p>
        </w:tc>
        <w:tc>
          <w:tcPr>
            <w:tcW w:w="2394" w:type="dxa"/>
          </w:tcPr>
          <w:p w14:paraId="27ED369A" w14:textId="45FAF187" w:rsidR="00F26B25" w:rsidRDefault="00F26B25" w:rsidP="00F26B25">
            <w:pPr>
              <w:rPr>
                <w:rFonts w:cs="Arial"/>
              </w:rPr>
            </w:pPr>
            <w:r>
              <w:t xml:space="preserve">10 до 30 </w:t>
            </w:r>
            <w:r>
              <w:rPr>
                <w:lang w:val="en-US"/>
              </w:rPr>
              <w:t>mg</w:t>
            </w:r>
            <w:r w:rsidRPr="00F26B25">
              <w:rPr>
                <w:lang w:val="ru-RU"/>
              </w:rPr>
              <w:t>/</w:t>
            </w:r>
            <w:r>
              <w:rPr>
                <w:lang w:val="en-US"/>
              </w:rPr>
              <w:t>kg</w:t>
            </w:r>
            <w:r w:rsidRPr="00F26B25">
              <w:rPr>
                <w:lang w:val="ru-RU"/>
              </w:rPr>
              <w:t xml:space="preserve"> </w:t>
            </w:r>
            <w:r>
              <w:t>два пъти дневно</w:t>
            </w:r>
          </w:p>
        </w:tc>
      </w:tr>
      <w:tr w:rsidR="00F26B25" w14:paraId="4B3FE389" w14:textId="77777777" w:rsidTr="00F26B25">
        <w:tc>
          <w:tcPr>
            <w:tcW w:w="2394" w:type="dxa"/>
          </w:tcPr>
          <w:p w14:paraId="0D7592DF" w14:textId="4710ACE5" w:rsidR="00F26B25" w:rsidRDefault="00F26B25" w:rsidP="00F26B25">
            <w:pPr>
              <w:rPr>
                <w:rFonts w:cs="Arial"/>
              </w:rPr>
            </w:pPr>
            <w:r>
              <w:t>Лека</w:t>
            </w:r>
          </w:p>
        </w:tc>
        <w:tc>
          <w:tcPr>
            <w:tcW w:w="2394" w:type="dxa"/>
          </w:tcPr>
          <w:p w14:paraId="7290306D" w14:textId="65C5B9C3" w:rsidR="00F26B25" w:rsidRDefault="00F26B25" w:rsidP="00F26B25">
            <w:pPr>
              <w:rPr>
                <w:rFonts w:cs="Arial"/>
              </w:rPr>
            </w:pPr>
            <w:r>
              <w:t>50-79</w:t>
            </w:r>
          </w:p>
        </w:tc>
        <w:tc>
          <w:tcPr>
            <w:tcW w:w="2394" w:type="dxa"/>
          </w:tcPr>
          <w:p w14:paraId="209EC760" w14:textId="6D744F3F" w:rsidR="00F26B25" w:rsidRDefault="00F26B25" w:rsidP="00F26B25">
            <w:pPr>
              <w:rPr>
                <w:rFonts w:cs="Arial"/>
              </w:rPr>
            </w:pPr>
            <w:r>
              <w:t xml:space="preserve">7 до 14 </w:t>
            </w:r>
            <w:r>
              <w:rPr>
                <w:lang w:val="en-US"/>
              </w:rPr>
              <w:t>mg</w:t>
            </w:r>
            <w:r w:rsidRPr="00F26B25">
              <w:rPr>
                <w:lang w:val="ru-RU"/>
              </w:rPr>
              <w:t>/</w:t>
            </w:r>
            <w:r>
              <w:rPr>
                <w:lang w:val="en-US"/>
              </w:rPr>
              <w:t>kg</w:t>
            </w:r>
            <w:r w:rsidRPr="00F26B25">
              <w:rPr>
                <w:lang w:val="ru-RU"/>
              </w:rPr>
              <w:t xml:space="preserve"> </w:t>
            </w:r>
            <w:r>
              <w:t>два пъти дневно</w:t>
            </w:r>
          </w:p>
        </w:tc>
        <w:tc>
          <w:tcPr>
            <w:tcW w:w="2394" w:type="dxa"/>
          </w:tcPr>
          <w:p w14:paraId="0653786F" w14:textId="221102D3" w:rsidR="00F26B25" w:rsidRDefault="00F26B25" w:rsidP="00F26B25">
            <w:pPr>
              <w:rPr>
                <w:rFonts w:cs="Arial"/>
              </w:rPr>
            </w:pPr>
            <w:r>
              <w:t xml:space="preserve">10 до 20 </w:t>
            </w:r>
            <w:r>
              <w:rPr>
                <w:lang w:val="en-US"/>
              </w:rPr>
              <w:t>mg</w:t>
            </w:r>
            <w:r w:rsidRPr="00F26B25">
              <w:rPr>
                <w:lang w:val="ru-RU"/>
              </w:rPr>
              <w:t>/</w:t>
            </w:r>
            <w:r>
              <w:rPr>
                <w:lang w:val="en-US"/>
              </w:rPr>
              <w:t>kg</w:t>
            </w:r>
            <w:r w:rsidRPr="00F26B25">
              <w:rPr>
                <w:lang w:val="ru-RU"/>
              </w:rPr>
              <w:t xml:space="preserve"> </w:t>
            </w:r>
            <w:r>
              <w:t>два пъти дневно</w:t>
            </w:r>
          </w:p>
        </w:tc>
      </w:tr>
      <w:tr w:rsidR="00F26B25" w14:paraId="69C9D99B" w14:textId="77777777" w:rsidTr="00F26B25">
        <w:tc>
          <w:tcPr>
            <w:tcW w:w="2394" w:type="dxa"/>
          </w:tcPr>
          <w:p w14:paraId="6D08D4DC" w14:textId="01A61187" w:rsidR="00F26B25" w:rsidRDefault="00F26B25" w:rsidP="00F26B25">
            <w:pPr>
              <w:rPr>
                <w:rFonts w:cs="Arial"/>
              </w:rPr>
            </w:pPr>
            <w:r>
              <w:t>Умерена</w:t>
            </w:r>
          </w:p>
        </w:tc>
        <w:tc>
          <w:tcPr>
            <w:tcW w:w="2394" w:type="dxa"/>
          </w:tcPr>
          <w:p w14:paraId="06DAF0D0" w14:textId="5AFB1659" w:rsidR="00F26B25" w:rsidRDefault="00F26B25" w:rsidP="00F26B25">
            <w:pPr>
              <w:rPr>
                <w:rFonts w:cs="Arial"/>
              </w:rPr>
            </w:pPr>
            <w:r>
              <w:t>30-49</w:t>
            </w:r>
          </w:p>
        </w:tc>
        <w:tc>
          <w:tcPr>
            <w:tcW w:w="2394" w:type="dxa"/>
          </w:tcPr>
          <w:p w14:paraId="6D9537E9" w14:textId="77777777" w:rsidR="00F26B25" w:rsidRDefault="00F26B25" w:rsidP="00F26B25">
            <w:r>
              <w:t>3,5 до</w:t>
            </w:r>
          </w:p>
          <w:p w14:paraId="18551CD4" w14:textId="108EDA50" w:rsidR="00F26B25" w:rsidRDefault="00F26B25" w:rsidP="00F26B25">
            <w:pPr>
              <w:rPr>
                <w:rFonts w:cs="Arial"/>
              </w:rPr>
            </w:pPr>
            <w:r>
              <w:t xml:space="preserve">10,5 </w:t>
            </w:r>
            <w:r>
              <w:rPr>
                <w:lang w:val="en-US"/>
              </w:rPr>
              <w:t>mg</w:t>
            </w:r>
            <w:r w:rsidRPr="00F26B25">
              <w:rPr>
                <w:lang w:val="ru-RU"/>
              </w:rPr>
              <w:t>/</w:t>
            </w:r>
            <w:r>
              <w:rPr>
                <w:lang w:val="en-US"/>
              </w:rPr>
              <w:t>kg</w:t>
            </w:r>
            <w:r w:rsidRPr="00F26B25">
              <w:rPr>
                <w:lang w:val="ru-RU"/>
              </w:rPr>
              <w:t xml:space="preserve"> </w:t>
            </w:r>
            <w:r>
              <w:t>два пъти дневно</w:t>
            </w:r>
          </w:p>
        </w:tc>
        <w:tc>
          <w:tcPr>
            <w:tcW w:w="2394" w:type="dxa"/>
          </w:tcPr>
          <w:p w14:paraId="143FAC83" w14:textId="5359DB7E" w:rsidR="00F26B25" w:rsidRDefault="00F26B25" w:rsidP="00F26B25">
            <w:pPr>
              <w:rPr>
                <w:rFonts w:cs="Arial"/>
              </w:rPr>
            </w:pPr>
            <w:r>
              <w:t xml:space="preserve">5 до 15 </w:t>
            </w:r>
            <w:r>
              <w:rPr>
                <w:lang w:val="en-US"/>
              </w:rPr>
              <w:t>mg</w:t>
            </w:r>
            <w:r w:rsidRPr="00F26B25">
              <w:rPr>
                <w:lang w:val="ru-RU"/>
              </w:rPr>
              <w:t>/</w:t>
            </w:r>
            <w:r>
              <w:rPr>
                <w:lang w:val="en-US"/>
              </w:rPr>
              <w:t>kg</w:t>
            </w:r>
            <w:r w:rsidRPr="00F26B25">
              <w:rPr>
                <w:lang w:val="ru-RU"/>
              </w:rPr>
              <w:t xml:space="preserve"> </w:t>
            </w:r>
            <w:r>
              <w:t>два пъти дневно</w:t>
            </w:r>
          </w:p>
        </w:tc>
      </w:tr>
      <w:tr w:rsidR="00F26B25" w14:paraId="191932F8" w14:textId="77777777" w:rsidTr="00F26B25">
        <w:tc>
          <w:tcPr>
            <w:tcW w:w="2394" w:type="dxa"/>
          </w:tcPr>
          <w:p w14:paraId="7FADFC1A" w14:textId="394665F6" w:rsidR="00F26B25" w:rsidRDefault="00F26B25" w:rsidP="00F26B25">
            <w:pPr>
              <w:rPr>
                <w:rFonts w:cs="Arial"/>
              </w:rPr>
            </w:pPr>
            <w:r>
              <w:t>Тежка</w:t>
            </w:r>
          </w:p>
        </w:tc>
        <w:tc>
          <w:tcPr>
            <w:tcW w:w="2394" w:type="dxa"/>
          </w:tcPr>
          <w:p w14:paraId="50AD67C2" w14:textId="5CC26B80" w:rsidR="00F26B25" w:rsidRDefault="00F26B25" w:rsidP="00F26B25">
            <w:pPr>
              <w:rPr>
                <w:rFonts w:cs="Arial"/>
              </w:rPr>
            </w:pPr>
            <w:r>
              <w:t>&lt;30</w:t>
            </w:r>
          </w:p>
        </w:tc>
        <w:tc>
          <w:tcPr>
            <w:tcW w:w="2394" w:type="dxa"/>
          </w:tcPr>
          <w:p w14:paraId="27725020" w14:textId="29A3053D" w:rsidR="00F26B25" w:rsidRDefault="00F26B25" w:rsidP="00F26B25">
            <w:pPr>
              <w:rPr>
                <w:rFonts w:cs="Arial"/>
              </w:rPr>
            </w:pPr>
            <w:r>
              <w:t xml:space="preserve">3,5 до 7 </w:t>
            </w:r>
            <w:r>
              <w:rPr>
                <w:lang w:val="en-US"/>
              </w:rPr>
              <w:t>mg</w:t>
            </w:r>
            <w:r w:rsidRPr="00F26B25">
              <w:rPr>
                <w:lang w:val="ru-RU"/>
              </w:rPr>
              <w:t>/</w:t>
            </w:r>
            <w:r>
              <w:rPr>
                <w:lang w:val="en-US"/>
              </w:rPr>
              <w:t>kg</w:t>
            </w:r>
            <w:r w:rsidRPr="00F26B25">
              <w:rPr>
                <w:lang w:val="ru-RU"/>
              </w:rPr>
              <w:t xml:space="preserve"> </w:t>
            </w:r>
            <w:r>
              <w:t>два пъти дневно</w:t>
            </w:r>
          </w:p>
        </w:tc>
        <w:tc>
          <w:tcPr>
            <w:tcW w:w="2394" w:type="dxa"/>
          </w:tcPr>
          <w:p w14:paraId="67789C83" w14:textId="6E0CB2AC" w:rsidR="00F26B25" w:rsidRDefault="00F26B25" w:rsidP="00F26B25">
            <w:pPr>
              <w:rPr>
                <w:rFonts w:cs="Arial"/>
              </w:rPr>
            </w:pPr>
            <w:r>
              <w:t xml:space="preserve">5 до 10 </w:t>
            </w:r>
            <w:r>
              <w:rPr>
                <w:lang w:val="en-US"/>
              </w:rPr>
              <w:t>mg</w:t>
            </w:r>
            <w:r w:rsidRPr="00F26B25">
              <w:rPr>
                <w:lang w:val="ru-RU"/>
              </w:rPr>
              <w:t>/</w:t>
            </w:r>
            <w:r>
              <w:rPr>
                <w:lang w:val="en-US"/>
              </w:rPr>
              <w:t>kg</w:t>
            </w:r>
            <w:r w:rsidRPr="00F26B25">
              <w:rPr>
                <w:lang w:val="ru-RU"/>
              </w:rPr>
              <w:t xml:space="preserve"> </w:t>
            </w:r>
            <w:r>
              <w:t>два пъти дневно</w:t>
            </w:r>
          </w:p>
        </w:tc>
      </w:tr>
      <w:tr w:rsidR="00F26B25" w14:paraId="4928E753" w14:textId="77777777" w:rsidTr="00F26B25">
        <w:tc>
          <w:tcPr>
            <w:tcW w:w="2394" w:type="dxa"/>
          </w:tcPr>
          <w:p w14:paraId="76C524B7" w14:textId="5744F655" w:rsidR="00F26B25" w:rsidRDefault="00F26B25" w:rsidP="00F26B25">
            <w:pPr>
              <w:rPr>
                <w:rFonts w:cs="Arial"/>
              </w:rPr>
            </w:pPr>
            <w:r>
              <w:t>Пациенти с терминална бъбречна недостатъчност, провеждащи диализа</w:t>
            </w:r>
          </w:p>
        </w:tc>
        <w:tc>
          <w:tcPr>
            <w:tcW w:w="2394" w:type="dxa"/>
          </w:tcPr>
          <w:p w14:paraId="041E6B68" w14:textId="77777777" w:rsidR="00F26B25" w:rsidRDefault="00F26B25" w:rsidP="00F26B25">
            <w:pPr>
              <w:rPr>
                <w:rFonts w:cs="Arial"/>
              </w:rPr>
            </w:pPr>
          </w:p>
        </w:tc>
        <w:tc>
          <w:tcPr>
            <w:tcW w:w="2394" w:type="dxa"/>
          </w:tcPr>
          <w:p w14:paraId="0BAAFFD0" w14:textId="77777777" w:rsidR="00F26B25" w:rsidRDefault="00F26B25" w:rsidP="00F26B25">
            <w:r>
              <w:t xml:space="preserve">7 до 14 </w:t>
            </w:r>
            <w:r>
              <w:rPr>
                <w:lang w:val="en-US"/>
              </w:rPr>
              <w:t>mg</w:t>
            </w:r>
            <w:r w:rsidRPr="00F26B25">
              <w:rPr>
                <w:lang w:val="ru-RU"/>
              </w:rPr>
              <w:t>/</w:t>
            </w:r>
            <w:r>
              <w:rPr>
                <w:lang w:val="en-US"/>
              </w:rPr>
              <w:t>kg</w:t>
            </w:r>
            <w:r w:rsidRPr="00F26B25">
              <w:rPr>
                <w:lang w:val="ru-RU"/>
              </w:rPr>
              <w:t xml:space="preserve"> </w:t>
            </w:r>
            <w:r>
              <w:t>веднъж дневно</w:t>
            </w:r>
          </w:p>
          <w:p w14:paraId="1E0B300D" w14:textId="3A247560" w:rsidR="00F26B25" w:rsidRDefault="00F26B25" w:rsidP="00F26B25">
            <w:pPr>
              <w:rPr>
                <w:rFonts w:cs="Arial"/>
              </w:rPr>
            </w:pPr>
            <w:r>
              <w:t>(2) (4)</w:t>
            </w:r>
          </w:p>
        </w:tc>
        <w:tc>
          <w:tcPr>
            <w:tcW w:w="2394" w:type="dxa"/>
          </w:tcPr>
          <w:p w14:paraId="2E3F3033" w14:textId="23B7C12A" w:rsidR="00F26B25" w:rsidRDefault="00F26B25" w:rsidP="00F26B25">
            <w:pPr>
              <w:rPr>
                <w:rFonts w:cs="Arial"/>
              </w:rPr>
            </w:pPr>
            <w:r>
              <w:t xml:space="preserve">10 до 20 </w:t>
            </w:r>
            <w:r>
              <w:rPr>
                <w:lang w:val="en-US"/>
              </w:rPr>
              <w:t>mg</w:t>
            </w:r>
            <w:r w:rsidRPr="00F26B25">
              <w:rPr>
                <w:lang w:val="ru-RU"/>
              </w:rPr>
              <w:t>/</w:t>
            </w:r>
            <w:r>
              <w:rPr>
                <w:lang w:val="en-US"/>
              </w:rPr>
              <w:t>kg</w:t>
            </w:r>
            <w:r w:rsidRPr="00F26B25">
              <w:rPr>
                <w:lang w:val="ru-RU"/>
              </w:rPr>
              <w:t xml:space="preserve"> </w:t>
            </w:r>
            <w:r>
              <w:t>веднъж дневно (3) (5)</w:t>
            </w:r>
          </w:p>
        </w:tc>
      </w:tr>
    </w:tbl>
    <w:p w14:paraId="4E490F67"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(1) При дози под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при дози, които не са кратни на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когато препоръчителната доза не може да се постигне с приемането на няколко таблетки и при пациенти, които не могат да преглъщат таблетки трябва да се използва перорален разтвор,</w:t>
      </w:r>
    </w:p>
    <w:p w14:paraId="3217B2D3" w14:textId="77777777" w:rsid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 xml:space="preserve">(2) Препоръчва се натоварваща доза от 10,5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през първия ден на лечение с леветирацетам. </w:t>
      </w:r>
    </w:p>
    <w:p w14:paraId="31E5F26F" w14:textId="77777777" w:rsid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 xml:space="preserve">(3) Препоръчва се натоварваща доза от 15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през първия ден на лечение с леветирацетам. </w:t>
      </w:r>
    </w:p>
    <w:p w14:paraId="63E0CB04" w14:textId="52340D10"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(4) След диализа се препоръчва допълнителна доза от 3,5 до 7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w:t>
      </w:r>
    </w:p>
    <w:p w14:paraId="41D9482C"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(5) След диализа се препоръчва допълнителна доза от 5 до 10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w:t>
      </w:r>
    </w:p>
    <w:p w14:paraId="5C74D49C" w14:textId="77777777" w:rsidR="00F26B25" w:rsidRPr="00F26B25" w:rsidRDefault="00F26B25" w:rsidP="00F26B25">
      <w:pPr>
        <w:spacing w:line="240" w:lineRule="auto"/>
        <w:rPr>
          <w:rFonts w:eastAsia="Times New Roman" w:cs="Arial"/>
          <w:i/>
          <w:iCs/>
          <w:color w:val="000000"/>
          <w:lang w:eastAsia="bg-BG"/>
        </w:rPr>
      </w:pPr>
    </w:p>
    <w:p w14:paraId="47B29328" w14:textId="1F3F5A38"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Чернодробно увреждане</w:t>
      </w:r>
    </w:p>
    <w:p w14:paraId="28C430D6"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пациенти с лека до умерена степен на чернодробно увреждане не се налага адаптиране на дозата. При пациенти с тежко чернодробно увреждане, стойностите на креатининовия клирънс могат да не дадат реална представа за бъбречната недостатъчност. По тази причина, при креатининов клирънс &lt; 60 </w:t>
      </w:r>
      <w:r w:rsidRPr="00F26B25">
        <w:rPr>
          <w:rFonts w:eastAsia="Times New Roman" w:cs="Arial"/>
          <w:color w:val="000000"/>
          <w:lang w:val="en-US"/>
        </w:rPr>
        <w:t>ml</w:t>
      </w:r>
      <w:r w:rsidRPr="00F26B25">
        <w:rPr>
          <w:rFonts w:eastAsia="Times New Roman" w:cs="Arial"/>
          <w:color w:val="000000"/>
          <w:lang w:val="ru-RU"/>
        </w:rPr>
        <w:t>/</w:t>
      </w:r>
      <w:r w:rsidRPr="00F26B25">
        <w:rPr>
          <w:rFonts w:eastAsia="Times New Roman" w:cs="Arial"/>
          <w:color w:val="000000"/>
          <w:lang w:val="en-US"/>
        </w:rPr>
        <w:t>min</w:t>
      </w:r>
      <w:r w:rsidRPr="00F26B25">
        <w:rPr>
          <w:rFonts w:eastAsia="Times New Roman" w:cs="Arial"/>
          <w:color w:val="000000"/>
          <w:lang w:val="ru-RU"/>
        </w:rPr>
        <w:t>/</w:t>
      </w:r>
      <w:r w:rsidRPr="00F26B25">
        <w:rPr>
          <w:rFonts w:eastAsia="Times New Roman" w:cs="Arial"/>
          <w:color w:val="000000"/>
          <w:lang w:val="en-US"/>
        </w:rPr>
        <w:t>l</w:t>
      </w:r>
      <w:r w:rsidRPr="00F26B25">
        <w:rPr>
          <w:rFonts w:eastAsia="Times New Roman" w:cs="Arial"/>
          <w:color w:val="000000"/>
          <w:lang w:val="ru-RU"/>
        </w:rPr>
        <w:t>,73</w:t>
      </w:r>
      <w:r w:rsidRPr="00F26B25">
        <w:rPr>
          <w:rFonts w:eastAsia="Times New Roman" w:cs="Arial"/>
          <w:color w:val="000000"/>
          <w:lang w:val="en-US"/>
        </w:rPr>
        <w:t>m</w:t>
      </w:r>
      <w:r w:rsidRPr="00F26B25">
        <w:rPr>
          <w:rFonts w:eastAsia="Times New Roman" w:cs="Arial"/>
          <w:color w:val="000000"/>
          <w:vertAlign w:val="superscript"/>
          <w:lang w:val="ru-RU"/>
        </w:rPr>
        <w:t>2</w:t>
      </w:r>
      <w:r w:rsidRPr="00F26B25">
        <w:rPr>
          <w:rFonts w:eastAsia="Times New Roman" w:cs="Arial"/>
          <w:color w:val="000000"/>
          <w:vertAlign w:val="superscript"/>
          <w:lang w:eastAsia="bg-BG"/>
        </w:rPr>
        <w:t xml:space="preserve"> </w:t>
      </w:r>
      <w:proofErr w:type="spellStart"/>
      <w:r w:rsidRPr="00F26B25">
        <w:rPr>
          <w:rFonts w:eastAsia="Times New Roman" w:cs="Arial"/>
          <w:color w:val="000000"/>
          <w:lang w:val="en-US"/>
        </w:rPr>
        <w:t>ce</w:t>
      </w:r>
      <w:proofErr w:type="spellEnd"/>
      <w:r w:rsidRPr="00F26B25">
        <w:rPr>
          <w:rFonts w:eastAsia="Times New Roman" w:cs="Arial"/>
          <w:color w:val="000000"/>
          <w:lang w:val="ru-RU"/>
        </w:rPr>
        <w:t xml:space="preserve"> </w:t>
      </w:r>
      <w:r w:rsidRPr="00F26B25">
        <w:rPr>
          <w:rFonts w:eastAsia="Times New Roman" w:cs="Arial"/>
          <w:color w:val="000000"/>
          <w:lang w:eastAsia="bg-BG"/>
        </w:rPr>
        <w:t>препоръчва понижаване на дневната поддържаща доза с 50 %.</w:t>
      </w:r>
    </w:p>
    <w:p w14:paraId="5BD09D03" w14:textId="77777777" w:rsidR="00F26B25" w:rsidRPr="00F26B25" w:rsidRDefault="00F26B25" w:rsidP="00F26B25">
      <w:pPr>
        <w:spacing w:line="240" w:lineRule="auto"/>
        <w:rPr>
          <w:rFonts w:eastAsia="Times New Roman" w:cs="Arial"/>
          <w:color w:val="000000"/>
          <w:u w:val="single"/>
          <w:lang w:eastAsia="bg-BG"/>
        </w:rPr>
      </w:pPr>
    </w:p>
    <w:p w14:paraId="09924A47" w14:textId="090D3C5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Педиатрична популация</w:t>
      </w:r>
    </w:p>
    <w:p w14:paraId="2699B648" w14:textId="77777777" w:rsidR="00F26B25" w:rsidRPr="00F26B25" w:rsidRDefault="00F26B25" w:rsidP="00F26B25">
      <w:pPr>
        <w:spacing w:line="240" w:lineRule="auto"/>
        <w:rPr>
          <w:rFonts w:eastAsia="Times New Roman" w:cs="Arial"/>
          <w:color w:val="000000"/>
          <w:lang w:eastAsia="bg-BG"/>
        </w:rPr>
      </w:pPr>
    </w:p>
    <w:p w14:paraId="4C3832AD" w14:textId="6D2459E6"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Лекарят трябва да предпише най-подходящата лекарствена и дозова форма, които да съответстват на възрастта, теглото и необходимата доза.</w:t>
      </w:r>
    </w:p>
    <w:p w14:paraId="04FE53DF" w14:textId="77777777" w:rsidR="00F26B25" w:rsidRPr="00F26B25" w:rsidRDefault="00F26B25" w:rsidP="00F26B25">
      <w:pPr>
        <w:spacing w:line="240" w:lineRule="auto"/>
        <w:rPr>
          <w:rFonts w:eastAsia="Times New Roman" w:cs="Arial"/>
          <w:color w:val="000000"/>
          <w:lang w:eastAsia="bg-BG"/>
        </w:rPr>
      </w:pPr>
    </w:p>
    <w:p w14:paraId="22FCE91F" w14:textId="71F2A705"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Таблетната форма не е адаптирана за употреба при кърмачета и деца под 6-годишна възраст. При тази популация, предпочитаната форма за употреба е перорален разтвор. В допълнение, наличните дозови форми на таблетките не са подходящи за начална терапия при деца с телесно тегло под 25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при пациенти, които не могат да преглъщат таблетки или при приложение на дози под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При всички горепосочени случаи трябва да се използва перорален разтвор.</w:t>
      </w:r>
    </w:p>
    <w:p w14:paraId="6D5C3453" w14:textId="77777777" w:rsidR="00F26B25" w:rsidRPr="00F26B25" w:rsidRDefault="00F26B25" w:rsidP="00F26B25">
      <w:pPr>
        <w:spacing w:line="240" w:lineRule="auto"/>
        <w:rPr>
          <w:rFonts w:eastAsia="Times New Roman" w:cs="Arial"/>
          <w:i/>
          <w:iCs/>
          <w:color w:val="000000"/>
          <w:u w:val="single"/>
          <w:lang w:eastAsia="bg-BG"/>
        </w:rPr>
      </w:pPr>
    </w:p>
    <w:p w14:paraId="5B880EAB" w14:textId="2BE4389A"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u w:val="single"/>
          <w:lang w:eastAsia="bg-BG"/>
        </w:rPr>
        <w:lastRenderedPageBreak/>
        <w:t>Монотерапия</w:t>
      </w:r>
    </w:p>
    <w:p w14:paraId="0DA7B01C"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Безопасността и ефективността на леветирацетам при деца и юноши под 16 години като монотерапия не е установена.</w:t>
      </w:r>
    </w:p>
    <w:p w14:paraId="751BCA8E"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Няма налични данни.</w:t>
      </w:r>
    </w:p>
    <w:p w14:paraId="72AD5C3D" w14:textId="77777777" w:rsidR="00F26B25" w:rsidRPr="00F26B25" w:rsidRDefault="00F26B25" w:rsidP="00F26B25">
      <w:pPr>
        <w:spacing w:line="240" w:lineRule="auto"/>
        <w:rPr>
          <w:rFonts w:eastAsia="Times New Roman" w:cs="Arial"/>
          <w:i/>
          <w:iCs/>
          <w:color w:val="000000"/>
          <w:lang w:eastAsia="bg-BG"/>
        </w:rPr>
      </w:pPr>
    </w:p>
    <w:p w14:paraId="4636A61E" w14:textId="05503FD4"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 xml:space="preserve">Юноши (16 и 17 години) с тегло </w:t>
      </w:r>
      <w:r w:rsidRPr="00F26B25">
        <w:rPr>
          <w:rFonts w:eastAsia="Times New Roman" w:cs="Arial"/>
          <w:i/>
          <w:iCs/>
          <w:color w:val="000000"/>
          <w:lang w:val="ru-RU"/>
        </w:rPr>
        <w:t xml:space="preserve">50 </w:t>
      </w:r>
      <w:r w:rsidRPr="00F26B25">
        <w:rPr>
          <w:rFonts w:eastAsia="Times New Roman" w:cs="Arial"/>
          <w:i/>
          <w:iCs/>
          <w:color w:val="000000"/>
          <w:lang w:val="en-US"/>
        </w:rPr>
        <w:t>kg</w:t>
      </w:r>
      <w:r w:rsidRPr="00F26B25">
        <w:rPr>
          <w:rFonts w:eastAsia="Times New Roman" w:cs="Arial"/>
          <w:i/>
          <w:iCs/>
          <w:color w:val="000000"/>
          <w:lang w:val="ru-RU"/>
        </w:rPr>
        <w:t xml:space="preserve"> </w:t>
      </w:r>
      <w:r w:rsidRPr="00F26B25">
        <w:rPr>
          <w:rFonts w:eastAsia="Times New Roman" w:cs="Arial"/>
          <w:i/>
          <w:iCs/>
          <w:color w:val="000000"/>
          <w:lang w:eastAsia="bg-BG"/>
        </w:rPr>
        <w:t>или повече с новодиагностицирана епилепсия и парциални пристъпи със или без вторична генерализация.</w:t>
      </w:r>
    </w:p>
    <w:p w14:paraId="398FA28B"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Моля, вижте горния раздел за </w:t>
      </w:r>
      <w:r w:rsidRPr="00F26B25">
        <w:rPr>
          <w:rFonts w:eastAsia="Times New Roman" w:cs="Arial"/>
          <w:i/>
          <w:iCs/>
          <w:color w:val="000000"/>
          <w:lang w:eastAsia="bg-BG"/>
        </w:rPr>
        <w:t xml:space="preserve">Възрастни (≥18 години) и юноши (от 12 до 17 години) с тегло 50 </w:t>
      </w:r>
      <w:r w:rsidRPr="00F26B25">
        <w:rPr>
          <w:rFonts w:eastAsia="Times New Roman" w:cs="Arial"/>
          <w:i/>
          <w:iCs/>
          <w:color w:val="000000"/>
          <w:lang w:val="en-US"/>
        </w:rPr>
        <w:t>kg</w:t>
      </w:r>
      <w:r w:rsidRPr="00F26B25">
        <w:rPr>
          <w:rFonts w:eastAsia="Times New Roman" w:cs="Arial"/>
          <w:i/>
          <w:iCs/>
          <w:color w:val="000000"/>
          <w:lang w:val="ru-RU"/>
        </w:rPr>
        <w:t xml:space="preserve"> </w:t>
      </w:r>
      <w:r w:rsidRPr="00F26B25">
        <w:rPr>
          <w:rFonts w:eastAsia="Times New Roman" w:cs="Arial"/>
          <w:i/>
          <w:iCs/>
          <w:color w:val="000000"/>
          <w:lang w:eastAsia="bg-BG"/>
        </w:rPr>
        <w:t>или повече.</w:t>
      </w:r>
    </w:p>
    <w:p w14:paraId="643F8BB5" w14:textId="77777777" w:rsidR="00F26B25" w:rsidRPr="00F26B25" w:rsidRDefault="00F26B25" w:rsidP="00F26B25">
      <w:pPr>
        <w:spacing w:line="240" w:lineRule="auto"/>
        <w:rPr>
          <w:rFonts w:eastAsia="Times New Roman" w:cs="Arial"/>
          <w:i/>
          <w:iCs/>
          <w:color w:val="000000"/>
          <w:lang w:eastAsia="bg-BG"/>
        </w:rPr>
      </w:pPr>
    </w:p>
    <w:p w14:paraId="565B7993" w14:textId="7FB88126"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 xml:space="preserve">Допълващо лечение при кърмачета на възраст от 6 до 23 месеца, деца (от 2 до 11 години) и юноши (от 12 до 17 години) с тегло под 50 </w:t>
      </w:r>
      <w:r w:rsidRPr="00F26B25">
        <w:rPr>
          <w:rFonts w:eastAsia="Times New Roman" w:cs="Arial"/>
          <w:i/>
          <w:iCs/>
          <w:color w:val="000000"/>
          <w:lang w:val="en-US"/>
        </w:rPr>
        <w:t>kg</w:t>
      </w:r>
    </w:p>
    <w:p w14:paraId="0E53D665"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Пероралният разтвор е предпочитаната форма за употреба при кърмачета и деца на възраст под 6 години.</w:t>
      </w:r>
    </w:p>
    <w:p w14:paraId="40B6FC20" w14:textId="77777777" w:rsidR="00F26B25" w:rsidRPr="00F26B25" w:rsidRDefault="00F26B25" w:rsidP="00F26B25">
      <w:pPr>
        <w:spacing w:line="240" w:lineRule="auto"/>
        <w:rPr>
          <w:rFonts w:eastAsia="Times New Roman" w:cs="Arial"/>
          <w:color w:val="000000"/>
          <w:lang w:eastAsia="bg-BG"/>
        </w:rPr>
      </w:pPr>
    </w:p>
    <w:p w14:paraId="415499F0" w14:textId="74DF9729"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деца на 6 години и повече, трябва да се използва перорален разтвор при дози под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при дози, които не са кратни на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когато препоръчителната доза не може да се постигне с приемането на няколко таблетки, както и при пациенти, които не могат да преглъщат таблетки.</w:t>
      </w:r>
    </w:p>
    <w:p w14:paraId="7BAEE909" w14:textId="77777777" w:rsidR="00F26B25" w:rsidRPr="00F26B25" w:rsidRDefault="00F26B25" w:rsidP="00F26B25">
      <w:pPr>
        <w:spacing w:line="240" w:lineRule="auto"/>
        <w:rPr>
          <w:rFonts w:eastAsia="Times New Roman" w:cs="Arial"/>
          <w:color w:val="000000"/>
          <w:lang w:eastAsia="bg-BG"/>
        </w:rPr>
      </w:pPr>
    </w:p>
    <w:p w14:paraId="65A25D55" w14:textId="46F337C2"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всички показания трябва да се използва най-ниската ефективна доза. Началната доза при дете или юноша с тегло 25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трябва да бъде 250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два пъти дневно, като максималната доза е 750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два пъти дневно.</w:t>
      </w:r>
    </w:p>
    <w:p w14:paraId="20E37B38" w14:textId="77777777" w:rsidR="00F26B25" w:rsidRPr="00F26B25" w:rsidRDefault="00F26B25" w:rsidP="00F26B25">
      <w:pPr>
        <w:spacing w:line="240" w:lineRule="auto"/>
        <w:rPr>
          <w:rFonts w:eastAsia="Times New Roman" w:cs="Arial"/>
          <w:sz w:val="24"/>
          <w:szCs w:val="24"/>
        </w:rPr>
      </w:pPr>
    </w:p>
    <w:p w14:paraId="51FAD80D"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Дозата при деца с тегло 50 </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или повече е същата както при възрастни при всички показания.</w:t>
      </w:r>
    </w:p>
    <w:p w14:paraId="356BE1FA" w14:textId="002EFD21" w:rsidR="00F26B25" w:rsidRPr="00F26B25" w:rsidRDefault="00F26B25" w:rsidP="00F26B25">
      <w:pPr>
        <w:rPr>
          <w:rFonts w:cs="Arial"/>
        </w:rPr>
      </w:pPr>
    </w:p>
    <w:p w14:paraId="52EF146C"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Моля, вижте горния раздел за </w:t>
      </w:r>
      <w:r w:rsidRPr="00F26B25">
        <w:rPr>
          <w:rFonts w:eastAsia="Times New Roman" w:cs="Arial"/>
          <w:i/>
          <w:iCs/>
          <w:color w:val="000000"/>
          <w:lang w:eastAsia="bg-BG"/>
        </w:rPr>
        <w:t xml:space="preserve">възрастни (≥18 години) и юноши (от 12 до 17 години) с тегло 50 </w:t>
      </w:r>
      <w:r w:rsidRPr="00F26B25">
        <w:rPr>
          <w:rFonts w:eastAsia="Times New Roman" w:cs="Arial"/>
          <w:i/>
          <w:iCs/>
          <w:color w:val="000000"/>
          <w:lang w:val="en-US"/>
        </w:rPr>
        <w:t>kg</w:t>
      </w:r>
      <w:r w:rsidRPr="00F26B25">
        <w:rPr>
          <w:rFonts w:eastAsia="Times New Roman" w:cs="Arial"/>
          <w:i/>
          <w:iCs/>
          <w:color w:val="000000"/>
          <w:lang w:val="ru-RU"/>
        </w:rPr>
        <w:t xml:space="preserve"> </w:t>
      </w:r>
      <w:r w:rsidRPr="00F26B25">
        <w:rPr>
          <w:rFonts w:eastAsia="Times New Roman" w:cs="Arial"/>
          <w:i/>
          <w:iCs/>
          <w:color w:val="000000"/>
          <w:lang w:eastAsia="bg-BG"/>
        </w:rPr>
        <w:t>или повече</w:t>
      </w:r>
      <w:r w:rsidRPr="00F26B25">
        <w:rPr>
          <w:rFonts w:eastAsia="Times New Roman" w:cs="Arial"/>
          <w:color w:val="000000"/>
          <w:lang w:eastAsia="bg-BG"/>
        </w:rPr>
        <w:t xml:space="preserve"> при всички показания.</w:t>
      </w:r>
    </w:p>
    <w:p w14:paraId="1DE00923" w14:textId="77777777" w:rsidR="00F26B25" w:rsidRPr="00F26B25" w:rsidRDefault="00F26B25" w:rsidP="00F26B25">
      <w:pPr>
        <w:spacing w:line="240" w:lineRule="auto"/>
        <w:rPr>
          <w:rFonts w:eastAsia="Times New Roman" w:cs="Arial"/>
          <w:i/>
          <w:iCs/>
          <w:color w:val="000000"/>
          <w:u w:val="single"/>
          <w:lang w:eastAsia="bg-BG"/>
        </w:rPr>
      </w:pPr>
    </w:p>
    <w:p w14:paraId="31F38C38" w14:textId="77777777" w:rsidR="00F26B25" w:rsidRPr="00F26B25" w:rsidRDefault="00F26B25" w:rsidP="00F26B25">
      <w:pPr>
        <w:spacing w:line="240" w:lineRule="auto"/>
        <w:rPr>
          <w:rFonts w:eastAsia="Times New Roman" w:cs="Arial"/>
          <w:i/>
          <w:iCs/>
          <w:color w:val="000000"/>
          <w:u w:val="single"/>
          <w:lang w:eastAsia="bg-BG"/>
        </w:rPr>
      </w:pPr>
      <w:r w:rsidRPr="00F26B25">
        <w:rPr>
          <w:rFonts w:eastAsia="Times New Roman" w:cs="Arial"/>
          <w:i/>
          <w:iCs/>
          <w:color w:val="000000"/>
          <w:u w:val="single"/>
          <w:lang w:eastAsia="bg-BG"/>
        </w:rPr>
        <w:t xml:space="preserve">Допълнително лечение при кърмачета на възраст от 1 до под 6 месеца </w:t>
      </w:r>
    </w:p>
    <w:p w14:paraId="38EF51DF" w14:textId="36CB57C9"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При кърмачета се прилага перорален разтвор.</w:t>
      </w:r>
    </w:p>
    <w:p w14:paraId="7FCAB7D2" w14:textId="77777777" w:rsidR="00F26B25" w:rsidRPr="00F26B25" w:rsidRDefault="00F26B25" w:rsidP="00F26B25">
      <w:pPr>
        <w:spacing w:line="240" w:lineRule="auto"/>
        <w:rPr>
          <w:rFonts w:eastAsia="Times New Roman" w:cs="Arial"/>
          <w:color w:val="000000"/>
          <w:u w:val="single"/>
          <w:lang w:eastAsia="bg-BG"/>
        </w:rPr>
      </w:pPr>
    </w:p>
    <w:p w14:paraId="50249B4C" w14:textId="24CDA1F3" w:rsidR="00F26B25" w:rsidRPr="00F26B25" w:rsidRDefault="00F26B25" w:rsidP="00F26B25">
      <w:pPr>
        <w:pStyle w:val="Heading3"/>
        <w:rPr>
          <w:rFonts w:eastAsia="Times New Roman"/>
          <w:u w:val="single"/>
        </w:rPr>
      </w:pPr>
      <w:r w:rsidRPr="00F26B25">
        <w:rPr>
          <w:rFonts w:eastAsia="Times New Roman"/>
          <w:u w:val="single"/>
          <w:lang w:eastAsia="bg-BG"/>
        </w:rPr>
        <w:t>Начин на приложение</w:t>
      </w:r>
    </w:p>
    <w:p w14:paraId="0F52DFC4" w14:textId="77777777" w:rsidR="00F26B25" w:rsidRPr="00F26B25" w:rsidRDefault="00F26B25" w:rsidP="00F26B25">
      <w:pPr>
        <w:spacing w:line="240" w:lineRule="auto"/>
        <w:rPr>
          <w:rFonts w:eastAsia="Times New Roman" w:cs="Arial"/>
          <w:color w:val="000000"/>
          <w:lang w:eastAsia="bg-BG"/>
        </w:rPr>
      </w:pPr>
    </w:p>
    <w:p w14:paraId="52BCBE12" w14:textId="1E698C3C" w:rsid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Филмираните таблетки трябва да се приемат перорално, поглъщат се с достатъчно количество течност и могат да се приемат със или без храна. След перорално приложение може да се усети горчивият вкус от леветирацетам. Дневната доза се прилага, като се разделя на две равни дози.</w:t>
      </w:r>
    </w:p>
    <w:p w14:paraId="52359AC2" w14:textId="77777777" w:rsidR="00F26B25" w:rsidRPr="00F26B25" w:rsidRDefault="00F26B25" w:rsidP="00F26B25">
      <w:pPr>
        <w:spacing w:line="240" w:lineRule="auto"/>
        <w:rPr>
          <w:rFonts w:ascii="Times New Roman" w:eastAsia="Times New Roman" w:hAnsi="Times New Roman" w:cs="Times New Roman"/>
          <w:sz w:val="24"/>
          <w:szCs w:val="24"/>
        </w:rPr>
      </w:pPr>
    </w:p>
    <w:p w14:paraId="0F253247" w14:textId="4058B3BC" w:rsidR="007122AD" w:rsidRDefault="002C50EE" w:rsidP="00936AD0">
      <w:pPr>
        <w:pStyle w:val="Heading2"/>
      </w:pPr>
      <w:r>
        <w:t>4.3. Противопоказания</w:t>
      </w:r>
    </w:p>
    <w:p w14:paraId="25F40B7D" w14:textId="6D7EF0D2" w:rsidR="00F26B25" w:rsidRDefault="00F26B25" w:rsidP="00F26B25"/>
    <w:p w14:paraId="39E99B28" w14:textId="19461193" w:rsidR="00F26B25" w:rsidRDefault="00F26B25" w:rsidP="00F26B25">
      <w:r>
        <w:t>Свръхчувствителност към активното вещество или към други пиролидонови производни, или към някое от помощните вещества, изброени в точка 6.1.</w:t>
      </w:r>
    </w:p>
    <w:p w14:paraId="301CF059" w14:textId="77777777" w:rsidR="00F26B25" w:rsidRPr="00F26B25" w:rsidRDefault="00F26B25" w:rsidP="00F26B25"/>
    <w:p w14:paraId="0E0BDCC7" w14:textId="6747E7E9" w:rsidR="007122AD" w:rsidRDefault="002C50EE" w:rsidP="00936AD0">
      <w:pPr>
        <w:pStyle w:val="Heading2"/>
      </w:pPr>
      <w:r>
        <w:t>4.4. Специални предупреждения и предпазни мерки при употреба</w:t>
      </w:r>
    </w:p>
    <w:p w14:paraId="4C98B434" w14:textId="613D45CB" w:rsidR="00F26B25" w:rsidRDefault="00F26B25" w:rsidP="00F26B25"/>
    <w:p w14:paraId="549B9A7C"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Бъбречно увреждане</w:t>
      </w:r>
    </w:p>
    <w:p w14:paraId="1CC1E4F0" w14:textId="77777777" w:rsidR="00F26B25" w:rsidRPr="00F26B25" w:rsidRDefault="00F26B25" w:rsidP="00F26B25">
      <w:pPr>
        <w:spacing w:line="240" w:lineRule="auto"/>
        <w:rPr>
          <w:rFonts w:eastAsia="Times New Roman" w:cs="Arial"/>
          <w:color w:val="000000"/>
          <w:lang w:eastAsia="bg-BG"/>
        </w:rPr>
      </w:pPr>
    </w:p>
    <w:p w14:paraId="70827ACF" w14:textId="0B42CD12"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lastRenderedPageBreak/>
        <w:t>При приложението на леветирацетам при пациенти с бъбречно увреждане може да се наложи адаптиране на дозата. При пациенти с тежко нарушение на чернодробната функция се препоръчва оценка на бъбречната функция преди определяне на дозата (вж. точка 4.2).</w:t>
      </w:r>
    </w:p>
    <w:p w14:paraId="0B694861" w14:textId="77777777" w:rsidR="00F26B25" w:rsidRPr="00F26B25" w:rsidRDefault="00F26B25" w:rsidP="00F26B25">
      <w:pPr>
        <w:spacing w:line="240" w:lineRule="auto"/>
        <w:rPr>
          <w:rFonts w:eastAsia="Times New Roman" w:cs="Arial"/>
          <w:color w:val="000000"/>
          <w:u w:val="single"/>
          <w:lang w:eastAsia="bg-BG"/>
        </w:rPr>
      </w:pPr>
    </w:p>
    <w:p w14:paraId="58AE4964" w14:textId="557883E8"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Остра бъбречна недостатъчност</w:t>
      </w:r>
    </w:p>
    <w:p w14:paraId="6978731D" w14:textId="77777777" w:rsidR="00F26B25" w:rsidRPr="00F26B25" w:rsidRDefault="00F26B25" w:rsidP="00F26B25">
      <w:pPr>
        <w:spacing w:line="240" w:lineRule="auto"/>
        <w:rPr>
          <w:rFonts w:eastAsia="Times New Roman" w:cs="Arial"/>
          <w:color w:val="000000"/>
          <w:lang w:eastAsia="bg-BG"/>
        </w:rPr>
      </w:pPr>
    </w:p>
    <w:p w14:paraId="31425446" w14:textId="610A76B2"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Много рядко употребата на леветирацетам се свързва с остра бъбречна недостатъчност, като времето за нейното възникване варира от няколко дни до няколко месеца.</w:t>
      </w:r>
    </w:p>
    <w:p w14:paraId="08705BD8" w14:textId="77777777" w:rsidR="00F26B25" w:rsidRPr="00F26B25" w:rsidRDefault="00F26B25" w:rsidP="00F26B25">
      <w:pPr>
        <w:spacing w:line="240" w:lineRule="auto"/>
        <w:rPr>
          <w:rFonts w:eastAsia="Times New Roman" w:cs="Arial"/>
          <w:color w:val="000000"/>
          <w:u w:val="single"/>
          <w:lang w:eastAsia="bg-BG"/>
        </w:rPr>
      </w:pPr>
    </w:p>
    <w:p w14:paraId="58A7DE31" w14:textId="4CE50151"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Кръвна картина</w:t>
      </w:r>
    </w:p>
    <w:p w14:paraId="21324FF8" w14:textId="77777777" w:rsidR="00F26B25" w:rsidRPr="00F26B25" w:rsidRDefault="00F26B25" w:rsidP="00F26B25">
      <w:pPr>
        <w:spacing w:line="240" w:lineRule="auto"/>
        <w:rPr>
          <w:rFonts w:eastAsia="Times New Roman" w:cs="Arial"/>
          <w:color w:val="000000"/>
          <w:lang w:eastAsia="bg-BG"/>
        </w:rPr>
      </w:pPr>
    </w:p>
    <w:p w14:paraId="3B03D2B2" w14:textId="598011A8"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Редки случаи на намален брой кръвни клетки (неутропения, агранулоцитоза, левкопения, тромбоцитопения и панцитопения) са описани във връзка с приложението на леветирацетам, случващо се обикновено в началото на лечението. Пълната кръвна картина с диференциално броене се препоръчва при пациенти, които получат значителна слабост, пирексия, повтарящи се инфекции или нарушения в кръвосъсирването (точка 4.8).</w:t>
      </w:r>
    </w:p>
    <w:p w14:paraId="0E1106F7" w14:textId="77777777" w:rsidR="00F26B25" w:rsidRPr="00F26B25" w:rsidRDefault="00F26B25" w:rsidP="00F26B25">
      <w:pPr>
        <w:spacing w:line="240" w:lineRule="auto"/>
        <w:rPr>
          <w:rFonts w:eastAsia="Times New Roman" w:cs="Arial"/>
          <w:color w:val="000000"/>
          <w:u w:val="single"/>
          <w:lang w:eastAsia="bg-BG"/>
        </w:rPr>
      </w:pPr>
    </w:p>
    <w:p w14:paraId="1CB6C8CA" w14:textId="2232B330"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Самоубийство</w:t>
      </w:r>
    </w:p>
    <w:p w14:paraId="762ADC20" w14:textId="77777777" w:rsidR="00F26B25" w:rsidRPr="00F26B25" w:rsidRDefault="00F26B25" w:rsidP="00F26B25">
      <w:pPr>
        <w:spacing w:line="240" w:lineRule="auto"/>
        <w:rPr>
          <w:rFonts w:eastAsia="Times New Roman" w:cs="Arial"/>
          <w:color w:val="000000"/>
          <w:lang w:eastAsia="bg-BG"/>
        </w:rPr>
      </w:pPr>
    </w:p>
    <w:p w14:paraId="2B41A3DB" w14:textId="3E44F2FE"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При пациенти, лекувани с антиепилептични лекарства (включително леветирацетам) са съобщавани самоубийство, опит за самоубийство, суицидна идеация и поведение. Мета-анализ на рандомизирани, плацебо контролирани изпитвания на антиепилептични лекарствени продукти показва слабо повишен риск от поява на суицидни мисли и поведение. Механизмът на този риск не е известен.</w:t>
      </w:r>
    </w:p>
    <w:p w14:paraId="261FC305" w14:textId="77777777" w:rsidR="00F26B25" w:rsidRPr="00F26B25" w:rsidRDefault="00F26B25" w:rsidP="00F26B25">
      <w:pPr>
        <w:spacing w:line="240" w:lineRule="auto"/>
        <w:rPr>
          <w:rFonts w:eastAsia="Times New Roman" w:cs="Arial"/>
          <w:color w:val="000000"/>
          <w:lang w:eastAsia="bg-BG"/>
        </w:rPr>
      </w:pPr>
    </w:p>
    <w:p w14:paraId="1037E46D" w14:textId="654BC05E"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Поради това, пациентите трябва да бъдат проследявани за признаци на депресия и/или суицидна идеация и поведение и трябва да се предприеме съответното лечение. Пациентите (и хората, които се грижат за тях) трябва да бъдат посъветвани незабавно да потърсят лекарски съвет, в случай, че се появят признаци на депресия и/или суицидна идеация или поведение.</w:t>
      </w:r>
    </w:p>
    <w:p w14:paraId="524393BF" w14:textId="77777777" w:rsidR="00F26B25" w:rsidRPr="00F26B25" w:rsidRDefault="00F26B25" w:rsidP="00F26B25">
      <w:pPr>
        <w:spacing w:line="240" w:lineRule="auto"/>
        <w:rPr>
          <w:rFonts w:eastAsia="Times New Roman" w:cs="Arial"/>
          <w:color w:val="000000"/>
          <w:u w:val="single"/>
          <w:lang w:eastAsia="bg-BG"/>
        </w:rPr>
      </w:pPr>
    </w:p>
    <w:p w14:paraId="4B42D13C" w14:textId="2B896DBC"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Абнормно и агресивно поведение</w:t>
      </w:r>
    </w:p>
    <w:p w14:paraId="49B776F9" w14:textId="77777777" w:rsidR="00F26B25" w:rsidRPr="00F26B25" w:rsidRDefault="00F26B25" w:rsidP="00F26B25">
      <w:pPr>
        <w:spacing w:line="240" w:lineRule="auto"/>
        <w:rPr>
          <w:rFonts w:eastAsia="Times New Roman" w:cs="Arial"/>
          <w:color w:val="000000"/>
          <w:lang w:eastAsia="bg-BG"/>
        </w:rPr>
      </w:pPr>
    </w:p>
    <w:p w14:paraId="3940AA24" w14:textId="77777777" w:rsidR="00F26B25" w:rsidRPr="00F26B25" w:rsidRDefault="00F26B25" w:rsidP="00F26B25">
      <w:pPr>
        <w:rPr>
          <w:rFonts w:eastAsia="Times New Roman" w:cs="Arial"/>
          <w:sz w:val="24"/>
          <w:szCs w:val="24"/>
        </w:rPr>
      </w:pPr>
      <w:r w:rsidRPr="00F26B25">
        <w:rPr>
          <w:rFonts w:eastAsia="Times New Roman" w:cs="Arial"/>
          <w:color w:val="000000"/>
          <w:lang w:eastAsia="bg-BG"/>
        </w:rPr>
        <w:t>Леветирацетам може да причини психотични симптоми и поведенчески аномалии включително раздразнителност и агресивност. Пациентите, лекувани с леветирацетам, трябва да бъдат наблюдавани за развитие на психиатрични прояви, насочващи към съществени промени в настроението и/или личността. Ако се забележат такива поведения, трябва да се обмисли коригиране или постепенно преустановяване на лечението. Ако се вземе решение за преустановяване, моля вижте точка 4.2.</w:t>
      </w:r>
    </w:p>
    <w:p w14:paraId="49B4F1AD" w14:textId="77777777" w:rsidR="00F26B25" w:rsidRPr="00F26B25" w:rsidRDefault="00F26B25" w:rsidP="00F26B25">
      <w:pPr>
        <w:spacing w:line="240" w:lineRule="auto"/>
        <w:rPr>
          <w:rFonts w:eastAsia="Times New Roman" w:cs="Arial"/>
          <w:color w:val="000000"/>
          <w:u w:val="single"/>
          <w:lang w:eastAsia="bg-BG"/>
        </w:rPr>
      </w:pPr>
    </w:p>
    <w:p w14:paraId="00CBF9E1" w14:textId="1F7E41F4"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Влошаване на пристъпите</w:t>
      </w:r>
    </w:p>
    <w:p w14:paraId="7D37DD43" w14:textId="77777777" w:rsidR="00F26B25" w:rsidRPr="00F26B25" w:rsidRDefault="00F26B25" w:rsidP="00F26B25">
      <w:pPr>
        <w:spacing w:line="240" w:lineRule="auto"/>
        <w:rPr>
          <w:rFonts w:eastAsia="Times New Roman" w:cs="Arial"/>
          <w:color w:val="000000"/>
          <w:lang w:eastAsia="bg-BG"/>
        </w:rPr>
      </w:pPr>
    </w:p>
    <w:p w14:paraId="2C3DD533" w14:textId="3DA850FD"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Подобно на други антиепилептици леветирацетам в редки случаи може да увеличи честотата или да влоши тежестта на пристъпите. Този парадоксален ефект се съобщава обикновено през първия месец от началото на лечението или след повишаване на дозата и е обратим при прекратяване на приема или при понижаване на дозата. Пациентите трябва да бъдат посъветвани незабавно да се консултират със своя лекар в случай на влошаване </w:t>
      </w:r>
      <w:r w:rsidRPr="00F26B25">
        <w:rPr>
          <w:rFonts w:eastAsia="Times New Roman" w:cs="Arial"/>
          <w:i/>
          <w:iCs/>
          <w:color w:val="000000"/>
          <w:lang w:eastAsia="bg-BG"/>
        </w:rPr>
        <w:t>на</w:t>
      </w:r>
      <w:r w:rsidRPr="00F26B25">
        <w:rPr>
          <w:rFonts w:eastAsia="Times New Roman" w:cs="Arial"/>
          <w:color w:val="000000"/>
          <w:lang w:eastAsia="bg-BG"/>
        </w:rPr>
        <w:t xml:space="preserve"> епилепсията.</w:t>
      </w:r>
    </w:p>
    <w:p w14:paraId="4F2D16D0" w14:textId="77777777" w:rsidR="00F26B25" w:rsidRPr="00F26B25" w:rsidRDefault="00F26B25" w:rsidP="00F26B25">
      <w:pPr>
        <w:spacing w:line="240" w:lineRule="auto"/>
        <w:rPr>
          <w:rFonts w:eastAsia="Times New Roman" w:cs="Arial"/>
          <w:color w:val="000000"/>
          <w:u w:val="single"/>
          <w:lang w:eastAsia="bg-BG"/>
        </w:rPr>
      </w:pPr>
    </w:p>
    <w:p w14:paraId="5B28E2AA" w14:textId="63304DFF"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Удължаване на ОТ-интервала на електрокардиограмата</w:t>
      </w:r>
    </w:p>
    <w:p w14:paraId="612BB033" w14:textId="77777777" w:rsidR="00F26B25" w:rsidRPr="00F26B25" w:rsidRDefault="00F26B25" w:rsidP="00F26B25">
      <w:pPr>
        <w:spacing w:line="240" w:lineRule="auto"/>
        <w:rPr>
          <w:rFonts w:eastAsia="Times New Roman" w:cs="Arial"/>
          <w:color w:val="000000"/>
          <w:lang w:eastAsia="bg-BG"/>
        </w:rPr>
      </w:pPr>
    </w:p>
    <w:p w14:paraId="4A8C70A2" w14:textId="0FD107FA"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По време на постмаркетинговото наблюдение са наблюдавани редки случаи на удължаване на </w:t>
      </w:r>
      <w:r w:rsidRPr="00F26B25">
        <w:rPr>
          <w:rFonts w:eastAsia="Times New Roman" w:cs="Arial"/>
          <w:color w:val="000000"/>
          <w:lang w:val="en-US"/>
        </w:rPr>
        <w:t>QT</w:t>
      </w:r>
      <w:r w:rsidRPr="00F26B25">
        <w:rPr>
          <w:rFonts w:eastAsia="Times New Roman" w:cs="Arial"/>
          <w:color w:val="000000"/>
          <w:lang w:eastAsia="bg-BG"/>
        </w:rPr>
        <w:t xml:space="preserve">-интервала на ЕКГ. Леветирацетам трябва да се използва с повишено внимание при пациенти с удължаване на </w:t>
      </w:r>
      <w:proofErr w:type="spellStart"/>
      <w:r w:rsidRPr="00F26B25">
        <w:rPr>
          <w:rFonts w:eastAsia="Times New Roman" w:cs="Arial"/>
          <w:color w:val="000000"/>
          <w:lang w:val="en-US"/>
        </w:rPr>
        <w:t>QTc</w:t>
      </w:r>
      <w:proofErr w:type="spellEnd"/>
      <w:r w:rsidRPr="00F26B25">
        <w:rPr>
          <w:rFonts w:eastAsia="Times New Roman" w:cs="Arial"/>
          <w:color w:val="000000"/>
          <w:lang w:eastAsia="bg-BG"/>
        </w:rPr>
        <w:t xml:space="preserve">-интервала, при пациенти, лекувани едновременно с лекарства, които оказват влияние върху </w:t>
      </w:r>
      <w:proofErr w:type="spellStart"/>
      <w:r w:rsidRPr="00F26B25">
        <w:rPr>
          <w:rFonts w:eastAsia="Times New Roman" w:cs="Arial"/>
          <w:color w:val="000000"/>
          <w:lang w:val="en-US"/>
        </w:rPr>
        <w:t>QTc</w:t>
      </w:r>
      <w:proofErr w:type="spellEnd"/>
      <w:r w:rsidRPr="00F26B25">
        <w:rPr>
          <w:rFonts w:eastAsia="Times New Roman" w:cs="Arial"/>
          <w:color w:val="000000"/>
          <w:lang w:eastAsia="bg-BG"/>
        </w:rPr>
        <w:t>-интервала, или при пациенти със съответно предшестващо сърдечно заболяване или наличие на електролитни нарушения.</w:t>
      </w:r>
    </w:p>
    <w:p w14:paraId="5AFEE0FB" w14:textId="77777777" w:rsidR="00F26B25" w:rsidRPr="00F26B25" w:rsidRDefault="00F26B25" w:rsidP="00F26B25">
      <w:pPr>
        <w:spacing w:line="240" w:lineRule="auto"/>
        <w:rPr>
          <w:rFonts w:eastAsia="Times New Roman" w:cs="Arial"/>
          <w:color w:val="000000"/>
          <w:u w:val="single"/>
          <w:lang w:eastAsia="bg-BG"/>
        </w:rPr>
      </w:pPr>
    </w:p>
    <w:p w14:paraId="08C9C2FB" w14:textId="64137F13"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Педиатрична популация</w:t>
      </w:r>
    </w:p>
    <w:p w14:paraId="37BBB0A7" w14:textId="77777777" w:rsidR="00F26B25" w:rsidRPr="00F26B25" w:rsidRDefault="00F26B25" w:rsidP="00F26B25">
      <w:pPr>
        <w:spacing w:line="240" w:lineRule="auto"/>
        <w:rPr>
          <w:rFonts w:eastAsia="Times New Roman" w:cs="Arial"/>
          <w:color w:val="000000"/>
          <w:lang w:eastAsia="bg-BG"/>
        </w:rPr>
      </w:pPr>
    </w:p>
    <w:p w14:paraId="3F49DFA4" w14:textId="7F09D84B"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Таблетната форма не е подходяща за прилагане при кърмачета и деца под 6-годишна възраст.</w:t>
      </w:r>
    </w:p>
    <w:p w14:paraId="3B615209" w14:textId="77777777" w:rsidR="00F26B25" w:rsidRPr="00F26B25" w:rsidRDefault="00F26B25" w:rsidP="00F26B25">
      <w:pPr>
        <w:spacing w:line="240" w:lineRule="auto"/>
        <w:rPr>
          <w:rFonts w:eastAsia="Times New Roman" w:cs="Arial"/>
          <w:color w:val="000000"/>
          <w:lang w:eastAsia="bg-BG"/>
        </w:rPr>
      </w:pPr>
    </w:p>
    <w:p w14:paraId="101562DC" w14:textId="3674D6CD"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От наличните данни при деца не се наблюдава повлияване на растежа и пубертета. Въпреки това, не са известни дълготрайните ефекти върху способността за заучаване, интелекта, растежа, ендокринните функции, пубертета и репродуктивния потенциал при деца.</w:t>
      </w:r>
    </w:p>
    <w:p w14:paraId="06AB772F" w14:textId="1F94FBC3" w:rsidR="00F26B25" w:rsidRPr="00F26B25" w:rsidRDefault="00F26B25" w:rsidP="00F26B25"/>
    <w:p w14:paraId="0734264C" w14:textId="1202239D"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71CFD32" w14:textId="2E2A6C17" w:rsidR="00F26B25" w:rsidRDefault="00F26B25" w:rsidP="00F26B25"/>
    <w:p w14:paraId="3A86AC6E"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Антиепилептични лекарствени продукти</w:t>
      </w:r>
    </w:p>
    <w:p w14:paraId="6474378B" w14:textId="77777777" w:rsidR="00F26B25" w:rsidRPr="00F26B25" w:rsidRDefault="00F26B25" w:rsidP="00F26B25">
      <w:pPr>
        <w:spacing w:line="240" w:lineRule="auto"/>
        <w:rPr>
          <w:rFonts w:eastAsia="Times New Roman" w:cs="Arial"/>
          <w:color w:val="000000"/>
          <w:lang w:eastAsia="bg-BG"/>
        </w:rPr>
      </w:pPr>
    </w:p>
    <w:p w14:paraId="5B91C416" w14:textId="35A3B56F"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Данните от клинични проучвания при възрастни, преди пускане на продукта в продажба показват, че леветирацетам не оказва влияние върху серумните концентрации на съществуващите антиепилептични лекарствени средства (фенитоин, карбамазепин, валпроева киселина, фенобарбитал, ламотрижин, габапентин, примидон), както и че тези антиепилептични лекарствени продукти не влияят върху фармакокинетиката на леветирацетам.</w:t>
      </w:r>
    </w:p>
    <w:p w14:paraId="2BF58F0D" w14:textId="77777777" w:rsidR="00F26B25" w:rsidRPr="00F26B25" w:rsidRDefault="00F26B25" w:rsidP="00F26B25">
      <w:pPr>
        <w:spacing w:line="240" w:lineRule="auto"/>
        <w:rPr>
          <w:rFonts w:eastAsia="Times New Roman" w:cs="Arial"/>
          <w:color w:val="000000"/>
          <w:lang w:eastAsia="bg-BG"/>
        </w:rPr>
      </w:pPr>
    </w:p>
    <w:p w14:paraId="021C6ED1" w14:textId="5983AFA1"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Както при възрастни, така и при педиатрични пациенти, приемащи леветирацетам до 60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/дневно не съществуват категорични данни за клинично значими лекарствени взаимодействия, Ретроспективната оценка на фармакокинетичните взаимодействия при деца и юноши с епилепсия (4 до 17 години), потвърждава, че допълващото лечение с перорално приложен леветирацетам не повлиява равновесните плазмени концентрации на едновременно прилаганите карбамазепин и валпроат. Въпреки това, данните предполагат 20 % по-висок клирънс на леветирацетам при деца, приемащи ензим-индуциращи антиепилептични лекарствени продукти. Не се налага адаптиране на дозата.</w:t>
      </w:r>
    </w:p>
    <w:p w14:paraId="20F70B50" w14:textId="77777777" w:rsidR="00F26B25" w:rsidRPr="00F26B25" w:rsidRDefault="00F26B25" w:rsidP="00F26B25">
      <w:pPr>
        <w:spacing w:line="240" w:lineRule="auto"/>
        <w:rPr>
          <w:rFonts w:eastAsia="Times New Roman" w:cs="Arial"/>
          <w:color w:val="000000"/>
          <w:u w:val="single"/>
          <w:lang w:eastAsia="bg-BG"/>
        </w:rPr>
      </w:pPr>
    </w:p>
    <w:p w14:paraId="17D3EDD8" w14:textId="067DBE38"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Пробенецид</w:t>
      </w:r>
    </w:p>
    <w:p w14:paraId="1C9CD5C4" w14:textId="77777777" w:rsidR="00F26B25" w:rsidRPr="00F26B25" w:rsidRDefault="00F26B25" w:rsidP="00F26B25">
      <w:pPr>
        <w:spacing w:line="240" w:lineRule="auto"/>
        <w:rPr>
          <w:rFonts w:eastAsia="Times New Roman" w:cs="Arial"/>
          <w:color w:val="000000"/>
          <w:lang w:eastAsia="bg-BG"/>
        </w:rPr>
      </w:pPr>
    </w:p>
    <w:p w14:paraId="38582780" w14:textId="4079D2E8"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Установено е, че пробенецид (500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четири пъти Дневно), средство, което инхибира тубулната секреция, потиска реналния клирънс на първичния метаболит, но не и на леветирацетам Въпреки това, концентрацията на този метаболит остава ниска.</w:t>
      </w:r>
    </w:p>
    <w:p w14:paraId="65235900" w14:textId="77777777" w:rsidR="00F26B25" w:rsidRPr="00F26B25" w:rsidRDefault="00F26B25" w:rsidP="00F26B25">
      <w:pPr>
        <w:spacing w:line="240" w:lineRule="auto"/>
        <w:rPr>
          <w:rFonts w:eastAsia="Times New Roman" w:cs="Arial"/>
          <w:color w:val="000000"/>
          <w:u w:val="single"/>
          <w:lang w:eastAsia="bg-BG"/>
        </w:rPr>
      </w:pPr>
    </w:p>
    <w:p w14:paraId="28F0348A" w14:textId="47C17E9E"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Метотрексат</w:t>
      </w:r>
    </w:p>
    <w:p w14:paraId="41442B9A" w14:textId="77777777" w:rsidR="00F26B25" w:rsidRPr="00F26B25" w:rsidRDefault="00F26B25" w:rsidP="00F26B25">
      <w:pPr>
        <w:spacing w:line="240" w:lineRule="auto"/>
        <w:rPr>
          <w:rFonts w:eastAsia="Times New Roman" w:cs="Arial"/>
          <w:color w:val="000000"/>
          <w:lang w:eastAsia="bg-BG"/>
        </w:rPr>
      </w:pPr>
    </w:p>
    <w:p w14:paraId="50CDFFAF" w14:textId="77777777" w:rsidR="00F26B25" w:rsidRPr="00F26B25" w:rsidRDefault="00F26B25" w:rsidP="00F26B25">
      <w:pPr>
        <w:rPr>
          <w:rFonts w:eastAsia="Times New Roman" w:cs="Arial"/>
          <w:sz w:val="24"/>
          <w:szCs w:val="24"/>
        </w:rPr>
      </w:pPr>
      <w:r w:rsidRPr="00F26B25">
        <w:rPr>
          <w:rFonts w:eastAsia="Times New Roman" w:cs="Arial"/>
          <w:color w:val="000000"/>
          <w:lang w:eastAsia="bg-BG"/>
        </w:rPr>
        <w:lastRenderedPageBreak/>
        <w:t>Съобщава се, че едновременното приложение на леветирацетам и метотрексат намалява клирънса на метотрексат, което води до повишена/продължителна концентрация на метотрексат в кръвта до потенциално токсични нива. При пациенти, които се лекуват едновременно с двете лекарства, нивата на метотрексат и леветирацетам в кръвта трябва да се проследяват внимателно.</w:t>
      </w:r>
    </w:p>
    <w:p w14:paraId="7558E056" w14:textId="77777777" w:rsidR="00F26B25" w:rsidRPr="00F26B25" w:rsidRDefault="00F26B25" w:rsidP="00F26B25">
      <w:pPr>
        <w:spacing w:line="240" w:lineRule="auto"/>
        <w:rPr>
          <w:rFonts w:eastAsia="Times New Roman" w:cs="Arial"/>
          <w:color w:val="000000"/>
          <w:u w:val="single"/>
          <w:lang w:eastAsia="bg-BG"/>
        </w:rPr>
      </w:pPr>
    </w:p>
    <w:p w14:paraId="09D6B1D9" w14:textId="415502CA"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Перорални контрацептиви и други фармакокинетични взаимодействия</w:t>
      </w:r>
    </w:p>
    <w:p w14:paraId="4F3C050E" w14:textId="77777777" w:rsidR="00F26B25" w:rsidRPr="00F26B25" w:rsidRDefault="00F26B25" w:rsidP="00F26B25">
      <w:pPr>
        <w:spacing w:line="240" w:lineRule="auto"/>
        <w:rPr>
          <w:rFonts w:eastAsia="Times New Roman" w:cs="Arial"/>
          <w:color w:val="000000"/>
          <w:lang w:eastAsia="bg-BG"/>
        </w:rPr>
      </w:pPr>
    </w:p>
    <w:p w14:paraId="0C717A12" w14:textId="2D6678FB" w:rsidR="00F26B25" w:rsidRPr="00F26B25" w:rsidRDefault="00F26B25" w:rsidP="00F26B25">
      <w:pPr>
        <w:spacing w:line="240" w:lineRule="auto"/>
        <w:rPr>
          <w:rFonts w:eastAsia="Times New Roman" w:cs="Arial"/>
          <w:color w:val="000000"/>
          <w:lang w:eastAsia="bg-BG"/>
        </w:rPr>
      </w:pPr>
      <w:r w:rsidRPr="00F26B25">
        <w:rPr>
          <w:rFonts w:eastAsia="Times New Roman" w:cs="Arial"/>
          <w:color w:val="000000"/>
          <w:lang w:eastAsia="bg-BG"/>
        </w:rPr>
        <w:t xml:space="preserve">Леветирацетам 1000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дневно не оказва влияние върху фармакокинетиката на пероралните контрацептиви (етинилестрадиол и левоноргестрел); ендокринните показатели (лутеинизиращ хормон и прогестерон) не се променят. Леветирацетам 2 000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дневно не повлиява фармакокинетиката на дигоксин и варфарин; протромбиновото време не се променя.</w:t>
      </w:r>
    </w:p>
    <w:p w14:paraId="7864CCC4"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Едновременното приемане с дигоксин, перорални контрацептиви и варфарин не оказва влияние върху фармакокинетиката на леветирацетам.</w:t>
      </w:r>
    </w:p>
    <w:p w14:paraId="6BF8C320" w14:textId="77777777" w:rsidR="00F26B25" w:rsidRPr="00F26B25" w:rsidRDefault="00F26B25" w:rsidP="00F26B25">
      <w:pPr>
        <w:spacing w:line="240" w:lineRule="auto"/>
        <w:rPr>
          <w:rFonts w:eastAsia="Times New Roman" w:cs="Arial"/>
          <w:color w:val="000000"/>
          <w:u w:val="single"/>
          <w:lang w:eastAsia="bg-BG"/>
        </w:rPr>
      </w:pPr>
    </w:p>
    <w:p w14:paraId="4E107F4D" w14:textId="4C9ADC0D"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Лаксативи</w:t>
      </w:r>
    </w:p>
    <w:p w14:paraId="7C981897" w14:textId="77777777" w:rsidR="00F26B25" w:rsidRPr="00F26B25" w:rsidRDefault="00F26B25" w:rsidP="00F26B25">
      <w:pPr>
        <w:spacing w:line="240" w:lineRule="auto"/>
        <w:rPr>
          <w:rFonts w:eastAsia="Times New Roman" w:cs="Arial"/>
          <w:color w:val="000000"/>
          <w:lang w:eastAsia="bg-BG"/>
        </w:rPr>
      </w:pPr>
    </w:p>
    <w:p w14:paraId="69F08FCD" w14:textId="41628BC0"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Налице са изолирани съобщения за намалена ефикасност на леветирацетам, когато осмотичният лаксатив макрогол се прилага едновременно с леветирацетам перорално. Следователно, макрогол не трябва да се приема перорално един час преди и един час след приема на леветирацетам.</w:t>
      </w:r>
    </w:p>
    <w:p w14:paraId="4781F554" w14:textId="77777777" w:rsidR="00F26B25" w:rsidRPr="00F26B25" w:rsidRDefault="00F26B25" w:rsidP="00F26B25">
      <w:pPr>
        <w:spacing w:line="240" w:lineRule="auto"/>
        <w:rPr>
          <w:rFonts w:eastAsia="Times New Roman" w:cs="Arial"/>
          <w:color w:val="000000"/>
          <w:u w:val="single"/>
          <w:lang w:eastAsia="bg-BG"/>
        </w:rPr>
      </w:pPr>
    </w:p>
    <w:p w14:paraId="4CC99BB7" w14:textId="71F462DF"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Храна и алкохол</w:t>
      </w:r>
    </w:p>
    <w:p w14:paraId="1D806F1C" w14:textId="77777777" w:rsidR="00F26B25" w:rsidRPr="00F26B25" w:rsidRDefault="00F26B25" w:rsidP="00F26B25">
      <w:pPr>
        <w:spacing w:line="240" w:lineRule="auto"/>
        <w:rPr>
          <w:rFonts w:eastAsia="Times New Roman" w:cs="Arial"/>
          <w:color w:val="000000"/>
          <w:lang w:eastAsia="bg-BG"/>
        </w:rPr>
      </w:pPr>
    </w:p>
    <w:p w14:paraId="6D679910" w14:textId="5FAD7C25"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Степента на абсорбция на леветирацетам не се променя от храната, но скоростта на абсорбция е слабо понижена.</w:t>
      </w:r>
    </w:p>
    <w:p w14:paraId="221C6036" w14:textId="3A67F5FF"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Няма данни за взаимодействие на леветирацетам с алкохол.</w:t>
      </w:r>
    </w:p>
    <w:p w14:paraId="2C816AD3" w14:textId="77777777" w:rsidR="00F26B25" w:rsidRPr="00F26B25" w:rsidRDefault="00F26B25" w:rsidP="00F26B25"/>
    <w:p w14:paraId="5D9F40EA" w14:textId="13D02061" w:rsidR="007122AD" w:rsidRDefault="002C50EE" w:rsidP="00936AD0">
      <w:pPr>
        <w:pStyle w:val="Heading2"/>
      </w:pPr>
      <w:r>
        <w:t>4.6. Фертилитет, бременност и кърмене</w:t>
      </w:r>
    </w:p>
    <w:p w14:paraId="3276D3CC" w14:textId="13A8198C" w:rsidR="00F26B25" w:rsidRDefault="00F26B25" w:rsidP="00F26B25"/>
    <w:p w14:paraId="322DAC82"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Жени с детероден потенциал</w:t>
      </w:r>
    </w:p>
    <w:p w14:paraId="56FD8C2C" w14:textId="77777777" w:rsidR="00F26B25" w:rsidRPr="00F26B25" w:rsidRDefault="00F26B25" w:rsidP="00F26B25">
      <w:pPr>
        <w:spacing w:line="240" w:lineRule="auto"/>
        <w:rPr>
          <w:rFonts w:eastAsia="Times New Roman" w:cs="Arial"/>
          <w:color w:val="000000"/>
          <w:lang w:eastAsia="bg-BG"/>
        </w:rPr>
      </w:pPr>
    </w:p>
    <w:p w14:paraId="1D3FB259" w14:textId="4CAE54F1"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На жени с детероден потенциал трябва да се дава съвет от специалист. Лечението с леветирацетам трябва да се преразгледа, когато жената планира да забременее. Както при всички антиепилептични лекарства, трябва да се избягва внезапно спиране на леветирацетам, тъй като това може да доведе до поява на гърчове, които биха могли да имат сериозни последици за жената и нероденото дете. Трябва да се предпочете монотерапия, когато е възможно, тъй като лечението с множество антиепилептични лекарства (АЕЛ) може да е свързано с по-висок риск от вродени малформации, отколкото монотерапията, в зависимост от прилаганите антиепилептици.</w:t>
      </w:r>
    </w:p>
    <w:p w14:paraId="7C15A053" w14:textId="77777777" w:rsidR="00F26B25" w:rsidRPr="00F26B25" w:rsidRDefault="00F26B25" w:rsidP="00F26B25">
      <w:pPr>
        <w:spacing w:line="240" w:lineRule="auto"/>
        <w:rPr>
          <w:rFonts w:eastAsia="Times New Roman" w:cs="Arial"/>
          <w:color w:val="000000"/>
          <w:u w:val="single"/>
          <w:lang w:eastAsia="bg-BG"/>
        </w:rPr>
      </w:pPr>
    </w:p>
    <w:p w14:paraId="2FA9BFDF" w14:textId="6B858393" w:rsidR="00F26B25" w:rsidRPr="00F26B25" w:rsidRDefault="00F26B25" w:rsidP="00F26B25">
      <w:pPr>
        <w:pStyle w:val="Heading3"/>
        <w:rPr>
          <w:rFonts w:eastAsia="Times New Roman"/>
          <w:u w:val="single"/>
        </w:rPr>
      </w:pPr>
      <w:r w:rsidRPr="00F26B25">
        <w:rPr>
          <w:rFonts w:eastAsia="Times New Roman"/>
          <w:u w:val="single"/>
          <w:lang w:eastAsia="bg-BG"/>
        </w:rPr>
        <w:t>Бременност</w:t>
      </w:r>
    </w:p>
    <w:p w14:paraId="7DE4C6DF" w14:textId="77777777" w:rsidR="00F26B25" w:rsidRPr="00F26B25" w:rsidRDefault="00F26B25" w:rsidP="00F26B25">
      <w:pPr>
        <w:spacing w:line="240" w:lineRule="auto"/>
        <w:rPr>
          <w:rFonts w:eastAsia="Times New Roman" w:cs="Arial"/>
          <w:color w:val="000000"/>
          <w:lang w:eastAsia="bg-BG"/>
        </w:rPr>
      </w:pPr>
    </w:p>
    <w:p w14:paraId="1E32A90D" w14:textId="64B48F2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Големият брой постмаркетингови данни при бременни жени с експозиция на леветирацетам като монотерапия (над 1 800, сред които при над 1 500 експозицията възниква по време на първия триместър) не показват увеличаване на риска от сериозни вродени малформации. Съществуват само ограничени доказателства за неврологичното развитие на деца, изложени на монотерапия с леветирацетам </w:t>
      </w:r>
      <w:r w:rsidRPr="00F26B25">
        <w:rPr>
          <w:rFonts w:eastAsia="Times New Roman" w:cs="Arial"/>
          <w:i/>
          <w:iCs/>
          <w:color w:val="000000"/>
          <w:lang w:val="en-US"/>
        </w:rPr>
        <w:t>in</w:t>
      </w:r>
      <w:r w:rsidRPr="00F26B25">
        <w:rPr>
          <w:rFonts w:eastAsia="Times New Roman" w:cs="Arial"/>
          <w:i/>
          <w:iCs/>
          <w:color w:val="000000"/>
          <w:lang w:val="ru-RU"/>
        </w:rPr>
        <w:t xml:space="preserve"> </w:t>
      </w:r>
      <w:r w:rsidRPr="00F26B25">
        <w:rPr>
          <w:rFonts w:eastAsia="Times New Roman" w:cs="Arial"/>
          <w:i/>
          <w:iCs/>
          <w:color w:val="000000"/>
          <w:lang w:val="en-US"/>
        </w:rPr>
        <w:t>utero</w:t>
      </w:r>
      <w:r w:rsidRPr="00F26B25">
        <w:rPr>
          <w:rFonts w:eastAsia="Times New Roman" w:cs="Arial"/>
          <w:i/>
          <w:iCs/>
          <w:color w:val="000000"/>
          <w:lang w:val="ru-RU"/>
        </w:rPr>
        <w:t>.</w:t>
      </w:r>
      <w:r w:rsidRPr="00F26B25">
        <w:rPr>
          <w:rFonts w:eastAsia="Times New Roman" w:cs="Arial"/>
          <w:color w:val="000000"/>
          <w:lang w:val="ru-RU"/>
        </w:rPr>
        <w:t xml:space="preserve"> </w:t>
      </w:r>
      <w:r w:rsidRPr="00F26B25">
        <w:rPr>
          <w:rFonts w:eastAsia="Times New Roman" w:cs="Arial"/>
          <w:color w:val="000000"/>
          <w:lang w:eastAsia="bg-BG"/>
        </w:rPr>
        <w:t xml:space="preserve">Въпреки това </w:t>
      </w:r>
      <w:r w:rsidRPr="00F26B25">
        <w:rPr>
          <w:rFonts w:eastAsia="Times New Roman" w:cs="Arial"/>
          <w:color w:val="000000"/>
          <w:lang w:eastAsia="bg-BG"/>
        </w:rPr>
        <w:lastRenderedPageBreak/>
        <w:t>текущите епидемиологични проучвания (при около 100 деца) не показват повишен риск от нарушения или забавяне на неврологичното развитие. Леветирацетам може да се прилага по време на бременност, ако след внимателна оценка се счете, че е клинично необходимо. В такъв случай се препоръчва най-ниската ефективна доза.</w:t>
      </w:r>
    </w:p>
    <w:p w14:paraId="482BE9E6" w14:textId="77777777" w:rsidR="00F26B25" w:rsidRPr="00F26B25" w:rsidRDefault="00F26B25" w:rsidP="00F26B25">
      <w:pPr>
        <w:spacing w:line="240" w:lineRule="auto"/>
        <w:rPr>
          <w:rFonts w:eastAsia="Times New Roman" w:cs="Arial"/>
          <w:color w:val="000000"/>
          <w:lang w:eastAsia="bg-BG"/>
        </w:rPr>
      </w:pPr>
    </w:p>
    <w:p w14:paraId="188C25CD" w14:textId="57F76008"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Физиологичните промени по време на бременността може да повлияят концентраацията на</w:t>
      </w:r>
    </w:p>
    <w:p w14:paraId="5392E74A"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леветирацетам. По време на бременността се наблюдава понижаване на плазмените концентрации на леветирацетам. Понижаването е по-изразено през третия триместър (до 60%</w:t>
      </w:r>
    </w:p>
    <w:p w14:paraId="32E8BA92" w14:textId="57B8F1F9" w:rsidR="00F26B25" w:rsidRPr="00F26B25" w:rsidRDefault="00F26B25" w:rsidP="00F26B25">
      <w:pPr>
        <w:rPr>
          <w:rFonts w:eastAsia="Times New Roman" w:cs="Arial"/>
          <w:color w:val="000000"/>
          <w:lang w:eastAsia="bg-BG"/>
        </w:rPr>
      </w:pPr>
      <w:r w:rsidRPr="00F26B25">
        <w:rPr>
          <w:rFonts w:eastAsia="Times New Roman" w:cs="Arial"/>
          <w:color w:val="000000"/>
          <w:lang w:eastAsia="bg-BG"/>
        </w:rPr>
        <w:t>от изходните концентрации преди бременността). Поради това, за бременните лекувани с леветирацетам, трябва да се осигурят подходящи медицински грижи.</w:t>
      </w:r>
    </w:p>
    <w:p w14:paraId="6D27B9FE" w14:textId="28172BA1" w:rsidR="00F26B25" w:rsidRPr="00F26B25" w:rsidRDefault="00F26B25" w:rsidP="00F26B25">
      <w:pPr>
        <w:rPr>
          <w:rFonts w:eastAsia="Times New Roman" w:cs="Arial"/>
          <w:color w:val="000000"/>
          <w:lang w:eastAsia="bg-BG"/>
        </w:rPr>
      </w:pPr>
    </w:p>
    <w:p w14:paraId="2438752C" w14:textId="77777777" w:rsidR="00F26B25" w:rsidRPr="00F26B25" w:rsidRDefault="00F26B25" w:rsidP="00F26B25">
      <w:pPr>
        <w:pStyle w:val="Heading3"/>
        <w:rPr>
          <w:rFonts w:eastAsia="Times New Roman"/>
          <w:u w:val="single"/>
        </w:rPr>
      </w:pPr>
      <w:r w:rsidRPr="00F26B25">
        <w:rPr>
          <w:rFonts w:eastAsia="Times New Roman"/>
          <w:u w:val="single"/>
          <w:lang w:eastAsia="bg-BG"/>
        </w:rPr>
        <w:t>Кърмене</w:t>
      </w:r>
    </w:p>
    <w:p w14:paraId="6D16C997" w14:textId="77777777" w:rsidR="00F26B25" w:rsidRPr="00F26B25" w:rsidRDefault="00F26B25" w:rsidP="00F26B25">
      <w:pPr>
        <w:spacing w:line="240" w:lineRule="auto"/>
        <w:rPr>
          <w:rFonts w:eastAsia="Times New Roman" w:cs="Arial"/>
          <w:color w:val="000000"/>
          <w:lang w:eastAsia="bg-BG"/>
        </w:rPr>
      </w:pPr>
    </w:p>
    <w:p w14:paraId="24F3F06D" w14:textId="7C6C982C"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Леветирацетам се екскретира в кърмата, поради което кърменето не е препоръчително. Ако, обаче, лечението с леветирацетам е наложително в периода на кърмене, съотношението полза/ риск трябва да бъде оценено при отчитане на значението на кърменето.</w:t>
      </w:r>
    </w:p>
    <w:p w14:paraId="29F58627" w14:textId="77777777" w:rsidR="00F26B25" w:rsidRPr="00F26B25" w:rsidRDefault="00F26B25" w:rsidP="00F26B25">
      <w:pPr>
        <w:spacing w:line="240" w:lineRule="auto"/>
        <w:rPr>
          <w:rFonts w:eastAsia="Times New Roman" w:cs="Arial"/>
          <w:color w:val="000000"/>
          <w:u w:val="single"/>
          <w:lang w:eastAsia="bg-BG"/>
        </w:rPr>
      </w:pPr>
    </w:p>
    <w:p w14:paraId="3D5B5E77" w14:textId="4304CB3C" w:rsidR="00F26B25" w:rsidRPr="00F26B25" w:rsidRDefault="00F26B25" w:rsidP="00F26B25">
      <w:pPr>
        <w:pStyle w:val="Heading3"/>
        <w:rPr>
          <w:rFonts w:eastAsia="Times New Roman"/>
          <w:u w:val="single"/>
        </w:rPr>
      </w:pPr>
      <w:r w:rsidRPr="00F26B25">
        <w:rPr>
          <w:rFonts w:eastAsia="Times New Roman"/>
          <w:u w:val="single"/>
          <w:lang w:eastAsia="bg-BG"/>
        </w:rPr>
        <w:t>Фертилитет</w:t>
      </w:r>
    </w:p>
    <w:p w14:paraId="65F829E8" w14:textId="77777777" w:rsidR="00F26B25" w:rsidRPr="00F26B25" w:rsidRDefault="00F26B25" w:rsidP="00F26B25">
      <w:pPr>
        <w:pStyle w:val="Heading3"/>
        <w:rPr>
          <w:rFonts w:eastAsia="Times New Roman"/>
          <w:u w:val="single"/>
          <w:lang w:eastAsia="bg-BG"/>
        </w:rPr>
      </w:pPr>
    </w:p>
    <w:p w14:paraId="7543BF0A" w14:textId="4B28595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Не са открити данни за влиянието върху фертилитета при проучвания върху животни (вж. точка 5.3). Няма налични клинични данни, потенциалният риск за хора не е известен.</w:t>
      </w:r>
    </w:p>
    <w:p w14:paraId="1BF177C3" w14:textId="77777777" w:rsidR="00F26B25" w:rsidRPr="00F26B25" w:rsidRDefault="00F26B25" w:rsidP="00F26B25"/>
    <w:p w14:paraId="5DD7A76D" w14:textId="5BB17D4F" w:rsidR="007122AD" w:rsidRDefault="002C50EE" w:rsidP="00936AD0">
      <w:pPr>
        <w:pStyle w:val="Heading2"/>
      </w:pPr>
      <w:r>
        <w:t>4.7. Ефекти върху способността за шофиране и работа с машини</w:t>
      </w:r>
    </w:p>
    <w:p w14:paraId="43213231" w14:textId="6B8F4A41" w:rsidR="00F26B25" w:rsidRDefault="00F26B25" w:rsidP="00F26B25"/>
    <w:p w14:paraId="38C2FA08" w14:textId="77777777" w:rsidR="00F26B25" w:rsidRPr="00F26B25" w:rsidRDefault="00F26B25" w:rsidP="00F26B25">
      <w:pPr>
        <w:rPr>
          <w:sz w:val="24"/>
          <w:szCs w:val="24"/>
        </w:rPr>
      </w:pPr>
      <w:r w:rsidRPr="00F26B25">
        <w:rPr>
          <w:lang w:eastAsia="bg-BG"/>
        </w:rPr>
        <w:t>Леветирацетам има слабо или умерено влияние върху способността за шофиране и работа с машини. Поради възможна различна индивидуална чувствителност, при някои пациенти, особено в началото на лечението или при последващо повишаване на дозата може да се появи сънливост или други симптоми от страна на централната нервна система. Ето защо се препоръчва повишено внимание при пациенти, извършващи определени задачи, като шофиране или работа с машини. Пациентите трябва да бъдат предупредени да не използват каквато и да е техника или машини докато не установят, че възможността им за това не се е повлияла.</w:t>
      </w:r>
    </w:p>
    <w:p w14:paraId="73209240" w14:textId="77777777" w:rsidR="00F26B25" w:rsidRPr="00F26B25" w:rsidRDefault="00F26B25" w:rsidP="00F26B25"/>
    <w:p w14:paraId="44CE30A3" w14:textId="2AFECE6A" w:rsidR="007122AD" w:rsidRDefault="002C50EE" w:rsidP="00936AD0">
      <w:pPr>
        <w:pStyle w:val="Heading2"/>
      </w:pPr>
      <w:r>
        <w:t>4.8. Нежелани лекарствени реакции</w:t>
      </w:r>
    </w:p>
    <w:p w14:paraId="0C417341" w14:textId="45EF47AD" w:rsidR="00F26B25" w:rsidRDefault="00F26B25" w:rsidP="00F26B25"/>
    <w:p w14:paraId="6F26AFF9"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Обобщение на профила на безопасност</w:t>
      </w:r>
    </w:p>
    <w:p w14:paraId="1723F7FC" w14:textId="77777777" w:rsidR="00F26B25" w:rsidRPr="00F26B25" w:rsidRDefault="00F26B25" w:rsidP="00F26B25">
      <w:pPr>
        <w:spacing w:line="240" w:lineRule="auto"/>
        <w:rPr>
          <w:rFonts w:eastAsia="Times New Roman" w:cs="Arial"/>
          <w:color w:val="000000"/>
          <w:lang w:eastAsia="bg-BG"/>
        </w:rPr>
      </w:pPr>
    </w:p>
    <w:p w14:paraId="3A39D520" w14:textId="1339454B"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Най-често съобщаваните нежелани реакции са назофарингит, сънливост, главоболие, умора и замаяност. Профилът на нежеланите лекарствени реакции, представени по-долу, се основава на анализа на сборни плацебо-контролирани клинични изпитвания за всички изследвани показания, включващи общо 3 416 пациенти, лекувани с леветирацетам. Тези данни са допълнени с употребата на леветирацетам в съответните открити разширени проучвания, както и от постмаркетинговия опит. Профилът на безопасност на леветирацетам е като цяло подобен при различните възрастови групи (възрастни и </w:t>
      </w:r>
      <w:r w:rsidRPr="00F26B25">
        <w:rPr>
          <w:rFonts w:eastAsia="Times New Roman" w:cs="Arial"/>
          <w:color w:val="000000"/>
          <w:lang w:eastAsia="bg-BG"/>
        </w:rPr>
        <w:lastRenderedPageBreak/>
        <w:t>педиатрични пациенти), както и в рамките на одобрените индикации свързани с епилепсията.</w:t>
      </w:r>
    </w:p>
    <w:p w14:paraId="0F5DC7EB" w14:textId="77777777" w:rsidR="00F26B25" w:rsidRPr="00F26B25" w:rsidRDefault="00F26B25" w:rsidP="00F26B25">
      <w:pPr>
        <w:spacing w:line="240" w:lineRule="auto"/>
        <w:rPr>
          <w:rFonts w:eastAsia="Times New Roman" w:cs="Arial"/>
          <w:color w:val="000000"/>
          <w:u w:val="single"/>
          <w:lang w:eastAsia="bg-BG"/>
        </w:rPr>
      </w:pPr>
    </w:p>
    <w:p w14:paraId="57B1F53B" w14:textId="55F411DA"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Табличен списък на нежеланите лекарствени реакции</w:t>
      </w:r>
    </w:p>
    <w:p w14:paraId="7CA4B657" w14:textId="77777777" w:rsidR="00F26B25" w:rsidRPr="00F26B25" w:rsidRDefault="00F26B25" w:rsidP="00F26B25">
      <w:pPr>
        <w:spacing w:line="240" w:lineRule="auto"/>
        <w:rPr>
          <w:rFonts w:eastAsia="Times New Roman" w:cs="Arial"/>
          <w:color w:val="000000"/>
          <w:lang w:eastAsia="bg-BG"/>
        </w:rPr>
      </w:pPr>
    </w:p>
    <w:p w14:paraId="6119B2A5" w14:textId="59ED38B1"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Нежеланите лекарствени реакции, докладвани при клинични изпитвания (при възрастни, юноши, деца и кърмачета над 1 месец) и от постмаркетингов опит са изброени в таблицата по- долу по системо-органни класове и по честота.</w:t>
      </w:r>
    </w:p>
    <w:p w14:paraId="7415D36B" w14:textId="1BF638C0" w:rsidR="00F26B25" w:rsidRDefault="00F26B25" w:rsidP="00F26B25">
      <w:pPr>
        <w:rPr>
          <w:rFonts w:eastAsia="Times New Roman" w:cs="Arial"/>
          <w:color w:val="000000"/>
          <w:lang w:eastAsia="bg-BG"/>
        </w:rPr>
      </w:pPr>
      <w:r w:rsidRPr="00F26B25">
        <w:rPr>
          <w:rFonts w:eastAsia="Times New Roman" w:cs="Arial"/>
          <w:color w:val="000000"/>
          <w:lang w:eastAsia="bg-BG"/>
        </w:rPr>
        <w:t>Нежеланите лекарствени реакции са изброени в низходящ ред по отношение на тяхната сериозност и честотата им е дефинирана, както следва: много чести (≥1/10), чести (≥1/100 до &lt;1/10), нечести (≥1 /1 000 до &lt;1/100), редки (≥1/10 000 до &lt;1/1 000) и много редки (&lt;1/10 000)</w:t>
      </w:r>
    </w:p>
    <w:p w14:paraId="4FEBE023" w14:textId="27027602" w:rsidR="00F26B25" w:rsidRDefault="00F26B25" w:rsidP="00F26B25">
      <w:pPr>
        <w:rPr>
          <w:rFonts w:eastAsia="Times New Roman" w:cs="Arial"/>
          <w:color w:val="000000"/>
          <w:lang w:eastAsia="bg-BG"/>
        </w:rPr>
      </w:pPr>
    </w:p>
    <w:tbl>
      <w:tblPr>
        <w:tblStyle w:val="TableGrid"/>
        <w:tblW w:w="0" w:type="auto"/>
        <w:tblLook w:val="04A0" w:firstRow="1" w:lastRow="0" w:firstColumn="1" w:lastColumn="0" w:noHBand="0" w:noVBand="1"/>
      </w:tblPr>
      <w:tblGrid>
        <w:gridCol w:w="1753"/>
        <w:gridCol w:w="1660"/>
        <w:gridCol w:w="1886"/>
        <w:gridCol w:w="2316"/>
        <w:gridCol w:w="1735"/>
      </w:tblGrid>
      <w:tr w:rsidR="00F26B25" w14:paraId="2759FFE0" w14:textId="77777777" w:rsidTr="00F26B25">
        <w:tc>
          <w:tcPr>
            <w:tcW w:w="1797" w:type="dxa"/>
            <w:vMerge w:val="restart"/>
          </w:tcPr>
          <w:p w14:paraId="3ADC49CF" w14:textId="21AAD2F0" w:rsidR="00F26B25" w:rsidRPr="00F26B25" w:rsidRDefault="00F26B25" w:rsidP="00F26B25">
            <w:pPr>
              <w:rPr>
                <w:rFonts w:eastAsia="Times New Roman" w:cs="Arial"/>
                <w:color w:val="000000"/>
                <w:lang w:eastAsia="bg-BG"/>
              </w:rPr>
            </w:pPr>
            <w:r w:rsidRPr="00F26B25">
              <w:rPr>
                <w:rFonts w:cs="Arial"/>
                <w:szCs w:val="20"/>
                <w:u w:val="single"/>
              </w:rPr>
              <w:t>MedDRA SQC</w:t>
            </w:r>
          </w:p>
        </w:tc>
        <w:tc>
          <w:tcPr>
            <w:tcW w:w="7779" w:type="dxa"/>
            <w:gridSpan w:val="4"/>
          </w:tcPr>
          <w:p w14:paraId="019E0CB4" w14:textId="4E5FD284" w:rsidR="00F26B25" w:rsidRPr="00F26B25" w:rsidRDefault="00F26B25" w:rsidP="00F26B25">
            <w:pPr>
              <w:rPr>
                <w:rFonts w:eastAsia="Times New Roman" w:cs="Arial"/>
                <w:color w:val="000000"/>
                <w:lang w:eastAsia="bg-BG"/>
              </w:rPr>
            </w:pPr>
            <w:r w:rsidRPr="00F26B25">
              <w:rPr>
                <w:rFonts w:cs="Arial"/>
                <w:szCs w:val="20"/>
              </w:rPr>
              <w:t>Категории на честота</w:t>
            </w:r>
          </w:p>
        </w:tc>
      </w:tr>
      <w:tr w:rsidR="00F26B25" w14:paraId="37857EA2" w14:textId="77777777" w:rsidTr="00F26B25">
        <w:tc>
          <w:tcPr>
            <w:tcW w:w="1797" w:type="dxa"/>
            <w:vMerge/>
          </w:tcPr>
          <w:p w14:paraId="42BA0DD7" w14:textId="77777777" w:rsidR="00F26B25" w:rsidRPr="00F26B25" w:rsidRDefault="00F26B25" w:rsidP="00F26B25">
            <w:pPr>
              <w:rPr>
                <w:rFonts w:eastAsia="Times New Roman" w:cs="Arial"/>
                <w:color w:val="000000"/>
                <w:lang w:eastAsia="bg-BG"/>
              </w:rPr>
            </w:pPr>
          </w:p>
        </w:tc>
        <w:tc>
          <w:tcPr>
            <w:tcW w:w="1699" w:type="dxa"/>
            <w:vAlign w:val="bottom"/>
          </w:tcPr>
          <w:p w14:paraId="76B1D1CC" w14:textId="34A03EF1" w:rsidR="00F26B25" w:rsidRPr="00F26B25" w:rsidRDefault="00F26B25" w:rsidP="00F26B25">
            <w:pPr>
              <w:rPr>
                <w:rFonts w:eastAsia="Times New Roman" w:cs="Arial"/>
                <w:color w:val="000000"/>
                <w:lang w:eastAsia="bg-BG"/>
              </w:rPr>
            </w:pPr>
            <w:r w:rsidRPr="00F26B25">
              <w:rPr>
                <w:rFonts w:cs="Arial"/>
                <w:szCs w:val="20"/>
              </w:rPr>
              <w:t>Много чести</w:t>
            </w:r>
          </w:p>
        </w:tc>
        <w:tc>
          <w:tcPr>
            <w:tcW w:w="1931" w:type="dxa"/>
            <w:vAlign w:val="bottom"/>
          </w:tcPr>
          <w:p w14:paraId="1ECA7BCB" w14:textId="029B7527" w:rsidR="00F26B25" w:rsidRPr="00F26B25" w:rsidRDefault="00F26B25" w:rsidP="00F26B25">
            <w:pPr>
              <w:rPr>
                <w:rFonts w:eastAsia="Times New Roman" w:cs="Arial"/>
                <w:color w:val="000000"/>
                <w:lang w:eastAsia="bg-BG"/>
              </w:rPr>
            </w:pPr>
            <w:r w:rsidRPr="00F26B25">
              <w:rPr>
                <w:rFonts w:cs="Arial"/>
                <w:szCs w:val="20"/>
                <w:u w:val="single"/>
              </w:rPr>
              <w:t>Чести</w:t>
            </w:r>
          </w:p>
        </w:tc>
        <w:tc>
          <w:tcPr>
            <w:tcW w:w="2373" w:type="dxa"/>
            <w:vAlign w:val="bottom"/>
          </w:tcPr>
          <w:p w14:paraId="58FBD7D0" w14:textId="20EA053A" w:rsidR="00F26B25" w:rsidRPr="00F26B25" w:rsidRDefault="00F26B25" w:rsidP="00F26B25">
            <w:pPr>
              <w:rPr>
                <w:rFonts w:eastAsia="Times New Roman" w:cs="Arial"/>
                <w:color w:val="000000"/>
                <w:lang w:eastAsia="bg-BG"/>
              </w:rPr>
            </w:pPr>
            <w:r w:rsidRPr="00F26B25">
              <w:rPr>
                <w:rFonts w:cs="Arial"/>
                <w:szCs w:val="20"/>
              </w:rPr>
              <w:t>Нечести</w:t>
            </w:r>
          </w:p>
        </w:tc>
        <w:tc>
          <w:tcPr>
            <w:tcW w:w="1776" w:type="dxa"/>
            <w:vAlign w:val="bottom"/>
          </w:tcPr>
          <w:p w14:paraId="509321D3" w14:textId="4CD7546B" w:rsidR="00F26B25" w:rsidRPr="00F26B25" w:rsidRDefault="00F26B25" w:rsidP="00F26B25">
            <w:pPr>
              <w:rPr>
                <w:rFonts w:eastAsia="Times New Roman" w:cs="Arial"/>
                <w:color w:val="000000"/>
                <w:lang w:eastAsia="bg-BG"/>
              </w:rPr>
            </w:pPr>
            <w:r w:rsidRPr="00F26B25">
              <w:rPr>
                <w:rFonts w:cs="Arial"/>
                <w:szCs w:val="20"/>
              </w:rPr>
              <w:t>Редки</w:t>
            </w:r>
          </w:p>
        </w:tc>
      </w:tr>
      <w:tr w:rsidR="00F26B25" w14:paraId="21AB7FE6" w14:textId="77777777" w:rsidTr="00F26B25">
        <w:tc>
          <w:tcPr>
            <w:tcW w:w="1797" w:type="dxa"/>
            <w:vAlign w:val="bottom"/>
          </w:tcPr>
          <w:p w14:paraId="1757E4AC" w14:textId="7B95B454" w:rsidR="00F26B25" w:rsidRPr="00F26B25" w:rsidRDefault="00F26B25" w:rsidP="00F26B25">
            <w:pPr>
              <w:rPr>
                <w:rFonts w:eastAsia="Times New Roman" w:cs="Arial"/>
                <w:color w:val="000000"/>
                <w:lang w:eastAsia="bg-BG"/>
              </w:rPr>
            </w:pPr>
            <w:r w:rsidRPr="00F26B25">
              <w:rPr>
                <w:rFonts w:cs="Arial"/>
                <w:szCs w:val="20"/>
                <w:u w:val="single"/>
              </w:rPr>
              <w:t>Инфекции и инфестации</w:t>
            </w:r>
          </w:p>
        </w:tc>
        <w:tc>
          <w:tcPr>
            <w:tcW w:w="1699" w:type="dxa"/>
          </w:tcPr>
          <w:p w14:paraId="21EC4977" w14:textId="3933E54A" w:rsidR="00F26B25" w:rsidRPr="00F26B25" w:rsidRDefault="00F26B25" w:rsidP="00F26B25">
            <w:pPr>
              <w:rPr>
                <w:rFonts w:eastAsia="Times New Roman" w:cs="Arial"/>
                <w:color w:val="000000"/>
                <w:lang w:eastAsia="bg-BG"/>
              </w:rPr>
            </w:pPr>
            <w:r w:rsidRPr="00F26B25">
              <w:rPr>
                <w:rFonts w:cs="Arial"/>
                <w:szCs w:val="20"/>
              </w:rPr>
              <w:t>назофарингит</w:t>
            </w:r>
          </w:p>
        </w:tc>
        <w:tc>
          <w:tcPr>
            <w:tcW w:w="1931" w:type="dxa"/>
          </w:tcPr>
          <w:p w14:paraId="00CB2FCE" w14:textId="77777777" w:rsidR="00F26B25" w:rsidRPr="00F26B25" w:rsidRDefault="00F26B25" w:rsidP="00F26B25">
            <w:pPr>
              <w:rPr>
                <w:rFonts w:eastAsia="Times New Roman" w:cs="Arial"/>
                <w:color w:val="000000"/>
                <w:lang w:eastAsia="bg-BG"/>
              </w:rPr>
            </w:pPr>
          </w:p>
        </w:tc>
        <w:tc>
          <w:tcPr>
            <w:tcW w:w="2373" w:type="dxa"/>
          </w:tcPr>
          <w:p w14:paraId="0DF58F96" w14:textId="77777777" w:rsidR="00F26B25" w:rsidRPr="00F26B25" w:rsidRDefault="00F26B25" w:rsidP="00F26B25">
            <w:pPr>
              <w:rPr>
                <w:rFonts w:eastAsia="Times New Roman" w:cs="Arial"/>
                <w:color w:val="000000"/>
                <w:lang w:eastAsia="bg-BG"/>
              </w:rPr>
            </w:pPr>
          </w:p>
        </w:tc>
        <w:tc>
          <w:tcPr>
            <w:tcW w:w="1776" w:type="dxa"/>
          </w:tcPr>
          <w:p w14:paraId="2092253E" w14:textId="16F01B95" w:rsidR="00F26B25" w:rsidRPr="00F26B25" w:rsidRDefault="00F26B25" w:rsidP="00F26B25">
            <w:pPr>
              <w:rPr>
                <w:rFonts w:eastAsia="Times New Roman" w:cs="Arial"/>
                <w:color w:val="000000"/>
                <w:lang w:eastAsia="bg-BG"/>
              </w:rPr>
            </w:pPr>
            <w:r w:rsidRPr="00F26B25">
              <w:rPr>
                <w:rFonts w:cs="Arial"/>
                <w:szCs w:val="20"/>
              </w:rPr>
              <w:t>инфекция</w:t>
            </w:r>
          </w:p>
        </w:tc>
      </w:tr>
      <w:tr w:rsidR="00F26B25" w14:paraId="172E4A2E" w14:textId="77777777" w:rsidTr="00F26B25">
        <w:tc>
          <w:tcPr>
            <w:tcW w:w="1797" w:type="dxa"/>
            <w:vAlign w:val="bottom"/>
          </w:tcPr>
          <w:p w14:paraId="4B565782" w14:textId="145ED27D" w:rsidR="00F26B25" w:rsidRPr="00F26B25" w:rsidRDefault="00F26B25" w:rsidP="00F26B25">
            <w:pPr>
              <w:rPr>
                <w:rFonts w:eastAsia="Times New Roman" w:cs="Arial"/>
                <w:color w:val="000000"/>
                <w:lang w:eastAsia="bg-BG"/>
              </w:rPr>
            </w:pPr>
            <w:r w:rsidRPr="00F26B25">
              <w:rPr>
                <w:rFonts w:cs="Arial"/>
                <w:szCs w:val="20"/>
                <w:u w:val="single"/>
              </w:rPr>
              <w:t xml:space="preserve">Нарушения на кръвта и лимфната </w:t>
            </w:r>
            <w:r w:rsidRPr="00F26B25">
              <w:rPr>
                <w:rFonts w:cs="Arial"/>
                <w:szCs w:val="20"/>
              </w:rPr>
              <w:t>система</w:t>
            </w:r>
          </w:p>
        </w:tc>
        <w:tc>
          <w:tcPr>
            <w:tcW w:w="1699" w:type="dxa"/>
          </w:tcPr>
          <w:p w14:paraId="4A67FA38" w14:textId="77777777" w:rsidR="00F26B25" w:rsidRPr="00F26B25" w:rsidRDefault="00F26B25" w:rsidP="00F26B25">
            <w:pPr>
              <w:rPr>
                <w:rFonts w:eastAsia="Times New Roman" w:cs="Arial"/>
                <w:color w:val="000000"/>
                <w:lang w:eastAsia="bg-BG"/>
              </w:rPr>
            </w:pPr>
          </w:p>
        </w:tc>
        <w:tc>
          <w:tcPr>
            <w:tcW w:w="1931" w:type="dxa"/>
          </w:tcPr>
          <w:p w14:paraId="11F70C5D" w14:textId="77777777" w:rsidR="00F26B25" w:rsidRPr="00F26B25" w:rsidRDefault="00F26B25" w:rsidP="00F26B25">
            <w:pPr>
              <w:rPr>
                <w:rFonts w:eastAsia="Times New Roman" w:cs="Arial"/>
                <w:color w:val="000000"/>
                <w:lang w:eastAsia="bg-BG"/>
              </w:rPr>
            </w:pPr>
          </w:p>
        </w:tc>
        <w:tc>
          <w:tcPr>
            <w:tcW w:w="2373" w:type="dxa"/>
          </w:tcPr>
          <w:p w14:paraId="4DA21357" w14:textId="14BDB119" w:rsidR="00F26B25" w:rsidRPr="00F26B25" w:rsidRDefault="00F26B25" w:rsidP="00F26B25">
            <w:pPr>
              <w:rPr>
                <w:rFonts w:eastAsia="Times New Roman" w:cs="Arial"/>
                <w:color w:val="000000"/>
                <w:lang w:eastAsia="bg-BG"/>
              </w:rPr>
            </w:pPr>
            <w:r w:rsidRPr="00F26B25">
              <w:rPr>
                <w:rFonts w:cs="Arial"/>
                <w:szCs w:val="20"/>
              </w:rPr>
              <w:t>тромбоцитопения, левкопения</w:t>
            </w:r>
          </w:p>
        </w:tc>
        <w:tc>
          <w:tcPr>
            <w:tcW w:w="1776" w:type="dxa"/>
          </w:tcPr>
          <w:p w14:paraId="5DCCDC5A" w14:textId="4C3FBB96" w:rsidR="00F26B25" w:rsidRPr="00F26B25" w:rsidRDefault="00F26B25" w:rsidP="00F26B25">
            <w:pPr>
              <w:rPr>
                <w:rFonts w:eastAsia="Times New Roman" w:cs="Arial"/>
                <w:color w:val="000000"/>
                <w:lang w:eastAsia="bg-BG"/>
              </w:rPr>
            </w:pPr>
            <w:r w:rsidRPr="00F26B25">
              <w:rPr>
                <w:rFonts w:cs="Arial"/>
                <w:szCs w:val="20"/>
              </w:rPr>
              <w:t>панцитопения неутропения, агранулоцитоза</w:t>
            </w:r>
          </w:p>
        </w:tc>
      </w:tr>
      <w:tr w:rsidR="00F26B25" w14:paraId="296546A0" w14:textId="77777777" w:rsidTr="00F26B25">
        <w:tc>
          <w:tcPr>
            <w:tcW w:w="1797" w:type="dxa"/>
          </w:tcPr>
          <w:p w14:paraId="65E08640" w14:textId="440C497A" w:rsidR="00F26B25" w:rsidRPr="00F26B25" w:rsidRDefault="00F26B25" w:rsidP="00F26B25">
            <w:pPr>
              <w:rPr>
                <w:rFonts w:eastAsia="Times New Roman" w:cs="Arial"/>
                <w:color w:val="000000"/>
                <w:lang w:eastAsia="bg-BG"/>
              </w:rPr>
            </w:pPr>
            <w:r w:rsidRPr="00F26B25">
              <w:rPr>
                <w:rFonts w:cs="Arial"/>
                <w:szCs w:val="20"/>
                <w:u w:val="single"/>
              </w:rPr>
              <w:t>Нарушения на имунната система</w:t>
            </w:r>
          </w:p>
        </w:tc>
        <w:tc>
          <w:tcPr>
            <w:tcW w:w="1699" w:type="dxa"/>
          </w:tcPr>
          <w:p w14:paraId="718B2049" w14:textId="77777777" w:rsidR="00F26B25" w:rsidRPr="00F26B25" w:rsidRDefault="00F26B25" w:rsidP="00F26B25">
            <w:pPr>
              <w:rPr>
                <w:rFonts w:eastAsia="Times New Roman" w:cs="Arial"/>
                <w:color w:val="000000"/>
                <w:lang w:eastAsia="bg-BG"/>
              </w:rPr>
            </w:pPr>
          </w:p>
        </w:tc>
        <w:tc>
          <w:tcPr>
            <w:tcW w:w="1931" w:type="dxa"/>
          </w:tcPr>
          <w:p w14:paraId="016284F6" w14:textId="77777777" w:rsidR="00F26B25" w:rsidRPr="00F26B25" w:rsidRDefault="00F26B25" w:rsidP="00F26B25">
            <w:pPr>
              <w:rPr>
                <w:rFonts w:eastAsia="Times New Roman" w:cs="Arial"/>
                <w:color w:val="000000"/>
                <w:lang w:eastAsia="bg-BG"/>
              </w:rPr>
            </w:pPr>
          </w:p>
        </w:tc>
        <w:tc>
          <w:tcPr>
            <w:tcW w:w="2373" w:type="dxa"/>
            <w:vAlign w:val="bottom"/>
          </w:tcPr>
          <w:p w14:paraId="3B938F55" w14:textId="77777777" w:rsidR="00F26B25" w:rsidRPr="00F26B25" w:rsidRDefault="00F26B25" w:rsidP="00F26B25">
            <w:pPr>
              <w:rPr>
                <w:rFonts w:eastAsia="Times New Roman" w:cs="Arial"/>
                <w:color w:val="000000"/>
                <w:lang w:eastAsia="bg-BG"/>
              </w:rPr>
            </w:pPr>
          </w:p>
        </w:tc>
        <w:tc>
          <w:tcPr>
            <w:tcW w:w="1776" w:type="dxa"/>
            <w:vAlign w:val="bottom"/>
          </w:tcPr>
          <w:p w14:paraId="266B9AF3" w14:textId="77777777" w:rsidR="00F26B25" w:rsidRPr="00F26B25" w:rsidRDefault="00F26B25" w:rsidP="00F26B25">
            <w:pPr>
              <w:rPr>
                <w:rFonts w:cs="Arial"/>
              </w:rPr>
            </w:pPr>
            <w:r w:rsidRPr="00F26B25">
              <w:rPr>
                <w:rFonts w:cs="Arial"/>
                <w:szCs w:val="20"/>
              </w:rPr>
              <w:t>лекарствена реакция с еозинофилия и системни</w:t>
            </w:r>
          </w:p>
          <w:p w14:paraId="092416A6" w14:textId="77777777" w:rsidR="00F26B25" w:rsidRPr="00F26B25" w:rsidRDefault="00F26B25" w:rsidP="00F26B25">
            <w:pPr>
              <w:rPr>
                <w:rFonts w:cs="Arial"/>
              </w:rPr>
            </w:pPr>
            <w:r w:rsidRPr="00F26B25">
              <w:rPr>
                <w:rFonts w:cs="Arial"/>
                <w:szCs w:val="20"/>
              </w:rPr>
              <w:t>симптоми</w:t>
            </w:r>
          </w:p>
          <w:p w14:paraId="67B02506" w14:textId="77777777" w:rsidR="00F26B25" w:rsidRPr="00F26B25" w:rsidRDefault="00F26B25" w:rsidP="00F26B25">
            <w:pPr>
              <w:rPr>
                <w:rFonts w:cs="Arial"/>
                <w:szCs w:val="20"/>
              </w:rPr>
            </w:pPr>
            <w:r w:rsidRPr="00F26B25">
              <w:rPr>
                <w:rFonts w:cs="Arial"/>
                <w:szCs w:val="20"/>
                <w:lang w:val="en-US"/>
              </w:rPr>
              <w:t>(DRESS</w:t>
            </w:r>
            <w:r w:rsidRPr="00F26B25">
              <w:rPr>
                <w:rFonts w:cs="Arial"/>
                <w:szCs w:val="20"/>
              </w:rPr>
              <w:t xml:space="preserve"> синдром).</w:t>
            </w:r>
          </w:p>
          <w:p w14:paraId="26EE920A" w14:textId="5FA8C2A3" w:rsidR="00F26B25" w:rsidRPr="00F26B25" w:rsidRDefault="00F26B25" w:rsidP="00F26B25">
            <w:pPr>
              <w:spacing w:line="240" w:lineRule="auto"/>
              <w:rPr>
                <w:rFonts w:eastAsia="Times New Roman" w:cs="Arial"/>
                <w:szCs w:val="24"/>
              </w:rPr>
            </w:pPr>
            <w:r w:rsidRPr="00F26B25">
              <w:rPr>
                <w:rFonts w:eastAsia="Times New Roman" w:cs="Arial"/>
                <w:color w:val="000000"/>
                <w:szCs w:val="20"/>
                <w:lang w:eastAsia="bg-BG"/>
              </w:rPr>
              <w:t>свръхчувстви</w:t>
            </w:r>
            <w:r w:rsidRPr="00F26B25">
              <w:rPr>
                <w:rFonts w:eastAsia="Times New Roman" w:cs="Arial"/>
                <w:color w:val="000000"/>
                <w:szCs w:val="20"/>
                <w:lang w:eastAsia="bg-BG"/>
              </w:rPr>
              <w:softHyphen/>
              <w:t>телност (включително ангиоедем и анафилаксия)</w:t>
            </w:r>
          </w:p>
        </w:tc>
      </w:tr>
      <w:tr w:rsidR="00F26B25" w14:paraId="057A7D7E" w14:textId="77777777" w:rsidTr="00F26B25">
        <w:tc>
          <w:tcPr>
            <w:tcW w:w="1797" w:type="dxa"/>
            <w:vAlign w:val="bottom"/>
          </w:tcPr>
          <w:p w14:paraId="2D533C6C" w14:textId="70B30BC9" w:rsidR="00F26B25" w:rsidRPr="00F26B25" w:rsidRDefault="00F26B25" w:rsidP="00F26B25">
            <w:pPr>
              <w:rPr>
                <w:rFonts w:eastAsia="Times New Roman" w:cs="Arial"/>
                <w:color w:val="000000"/>
                <w:lang w:eastAsia="bg-BG"/>
              </w:rPr>
            </w:pPr>
            <w:r w:rsidRPr="00F26B25">
              <w:rPr>
                <w:rFonts w:cs="Arial"/>
                <w:u w:val="single"/>
              </w:rPr>
              <w:t>Нарушения на метаболизма и храненето</w:t>
            </w:r>
          </w:p>
        </w:tc>
        <w:tc>
          <w:tcPr>
            <w:tcW w:w="1699" w:type="dxa"/>
          </w:tcPr>
          <w:p w14:paraId="6D41BBF8" w14:textId="77777777" w:rsidR="00F26B25" w:rsidRPr="00F26B25" w:rsidRDefault="00F26B25" w:rsidP="00F26B25">
            <w:pPr>
              <w:rPr>
                <w:rFonts w:eastAsia="Times New Roman" w:cs="Arial"/>
                <w:color w:val="000000"/>
                <w:lang w:eastAsia="bg-BG"/>
              </w:rPr>
            </w:pPr>
          </w:p>
        </w:tc>
        <w:tc>
          <w:tcPr>
            <w:tcW w:w="1931" w:type="dxa"/>
          </w:tcPr>
          <w:p w14:paraId="0DD516E7" w14:textId="1FD81BD4" w:rsidR="00F26B25" w:rsidRPr="00F26B25" w:rsidRDefault="00F26B25" w:rsidP="00F26B25">
            <w:pPr>
              <w:rPr>
                <w:rFonts w:eastAsia="Times New Roman" w:cs="Arial"/>
                <w:color w:val="000000"/>
                <w:lang w:eastAsia="bg-BG"/>
              </w:rPr>
            </w:pPr>
            <w:r w:rsidRPr="00F26B25">
              <w:rPr>
                <w:rFonts w:cs="Arial"/>
              </w:rPr>
              <w:t>анорексия</w:t>
            </w:r>
          </w:p>
        </w:tc>
        <w:tc>
          <w:tcPr>
            <w:tcW w:w="2373" w:type="dxa"/>
          </w:tcPr>
          <w:p w14:paraId="42DC4E7F" w14:textId="40B04698" w:rsidR="00F26B25" w:rsidRPr="00F26B25" w:rsidRDefault="00F26B25" w:rsidP="00F26B25">
            <w:pPr>
              <w:rPr>
                <w:rFonts w:eastAsia="Times New Roman" w:cs="Arial"/>
                <w:color w:val="000000"/>
                <w:lang w:eastAsia="bg-BG"/>
              </w:rPr>
            </w:pPr>
            <w:r w:rsidRPr="00F26B25">
              <w:rPr>
                <w:rFonts w:cs="Arial"/>
              </w:rPr>
              <w:t>намаляване на теглото, повишаване на теглото</w:t>
            </w:r>
          </w:p>
        </w:tc>
        <w:tc>
          <w:tcPr>
            <w:tcW w:w="1776" w:type="dxa"/>
          </w:tcPr>
          <w:p w14:paraId="18BC28EB" w14:textId="4590FFFF" w:rsidR="00F26B25" w:rsidRPr="00F26B25" w:rsidRDefault="00F26B25" w:rsidP="00F26B25">
            <w:pPr>
              <w:rPr>
                <w:rFonts w:eastAsia="Times New Roman" w:cs="Arial"/>
                <w:color w:val="000000"/>
                <w:lang w:eastAsia="bg-BG"/>
              </w:rPr>
            </w:pPr>
            <w:r w:rsidRPr="00F26B25">
              <w:rPr>
                <w:rFonts w:cs="Arial"/>
              </w:rPr>
              <w:t>хипонатриемия</w:t>
            </w:r>
          </w:p>
        </w:tc>
      </w:tr>
      <w:tr w:rsidR="00F26B25" w14:paraId="0E582560" w14:textId="77777777" w:rsidTr="00F26B25">
        <w:tc>
          <w:tcPr>
            <w:tcW w:w="1797" w:type="dxa"/>
          </w:tcPr>
          <w:p w14:paraId="472CEE24" w14:textId="66B9BE1D" w:rsidR="00F26B25" w:rsidRPr="00F26B25" w:rsidRDefault="00F26B25" w:rsidP="00F26B25">
            <w:pPr>
              <w:rPr>
                <w:rFonts w:eastAsia="Times New Roman" w:cs="Arial"/>
                <w:color w:val="000000"/>
                <w:lang w:eastAsia="bg-BG"/>
              </w:rPr>
            </w:pPr>
            <w:r w:rsidRPr="00F26B25">
              <w:rPr>
                <w:rFonts w:cs="Arial"/>
                <w:u w:val="single"/>
              </w:rPr>
              <w:t>Психични нарушения</w:t>
            </w:r>
          </w:p>
        </w:tc>
        <w:tc>
          <w:tcPr>
            <w:tcW w:w="1699" w:type="dxa"/>
          </w:tcPr>
          <w:p w14:paraId="21B8AABB" w14:textId="77777777" w:rsidR="00F26B25" w:rsidRPr="00F26B25" w:rsidRDefault="00F26B25" w:rsidP="00F26B25">
            <w:pPr>
              <w:rPr>
                <w:rFonts w:eastAsia="Times New Roman" w:cs="Arial"/>
                <w:color w:val="000000"/>
                <w:lang w:eastAsia="bg-BG"/>
              </w:rPr>
            </w:pPr>
          </w:p>
        </w:tc>
        <w:tc>
          <w:tcPr>
            <w:tcW w:w="1931" w:type="dxa"/>
          </w:tcPr>
          <w:p w14:paraId="447A7EA2" w14:textId="7EBF4EA0" w:rsidR="00F26B25" w:rsidRPr="00F26B25" w:rsidRDefault="00F26B25" w:rsidP="00F26B25">
            <w:pPr>
              <w:rPr>
                <w:rFonts w:eastAsia="Times New Roman" w:cs="Arial"/>
                <w:color w:val="000000"/>
                <w:lang w:eastAsia="bg-BG"/>
              </w:rPr>
            </w:pPr>
            <w:r w:rsidRPr="00F26B25">
              <w:rPr>
                <w:rFonts w:cs="Arial"/>
              </w:rPr>
              <w:t>депресия, враждебност/ агресивност, безпокойство, безсъние, нервност/ раздразнителност</w:t>
            </w:r>
          </w:p>
        </w:tc>
        <w:tc>
          <w:tcPr>
            <w:tcW w:w="2373" w:type="dxa"/>
            <w:vAlign w:val="bottom"/>
          </w:tcPr>
          <w:p w14:paraId="2A58D742" w14:textId="0C384624" w:rsidR="00F26B25" w:rsidRPr="00F26B25" w:rsidRDefault="00F26B25" w:rsidP="00F26B25">
            <w:pPr>
              <w:rPr>
                <w:rFonts w:eastAsia="Times New Roman" w:cs="Arial"/>
                <w:color w:val="000000"/>
                <w:lang w:eastAsia="bg-BG"/>
              </w:rPr>
            </w:pPr>
            <w:r w:rsidRPr="00F26B25">
              <w:rPr>
                <w:rFonts w:cs="Arial"/>
              </w:rPr>
              <w:t xml:space="preserve">опит за самоубийство, суицидна идеация, психотично разстройство, необичайно поведение, халюцинации, гняв, състояние на обърканост, пристъпи на паника, </w:t>
            </w:r>
            <w:r w:rsidRPr="00F26B25">
              <w:rPr>
                <w:rFonts w:cs="Arial"/>
              </w:rPr>
              <w:lastRenderedPageBreak/>
              <w:t>емоционална нестабилност/промени в настроението, тревожност</w:t>
            </w:r>
          </w:p>
        </w:tc>
        <w:tc>
          <w:tcPr>
            <w:tcW w:w="1776" w:type="dxa"/>
          </w:tcPr>
          <w:p w14:paraId="65E789D9" w14:textId="77777777" w:rsidR="00F26B25" w:rsidRPr="00F26B25" w:rsidRDefault="00F26B25" w:rsidP="00F26B25">
            <w:pPr>
              <w:rPr>
                <w:rFonts w:cs="Arial"/>
              </w:rPr>
            </w:pPr>
            <w:r w:rsidRPr="00F26B25">
              <w:rPr>
                <w:rFonts w:cs="Arial"/>
              </w:rPr>
              <w:lastRenderedPageBreak/>
              <w:t>извършено самоубийство , личностни</w:t>
            </w:r>
          </w:p>
          <w:p w14:paraId="2D46C09D" w14:textId="7EA04190" w:rsidR="00F26B25" w:rsidRPr="00F26B25" w:rsidRDefault="00F26B25" w:rsidP="00F26B25">
            <w:pPr>
              <w:rPr>
                <w:rFonts w:eastAsia="Times New Roman" w:cs="Arial"/>
                <w:color w:val="000000"/>
                <w:lang w:eastAsia="bg-BG"/>
              </w:rPr>
            </w:pPr>
            <w:r w:rsidRPr="00F26B25">
              <w:rPr>
                <w:rFonts w:cs="Arial"/>
              </w:rPr>
              <w:t>нарушения, абнормно мислене, делириум</w:t>
            </w:r>
          </w:p>
        </w:tc>
      </w:tr>
      <w:tr w:rsidR="00F26B25" w14:paraId="1A614764" w14:textId="77777777" w:rsidTr="00F26B25">
        <w:tc>
          <w:tcPr>
            <w:tcW w:w="1797" w:type="dxa"/>
          </w:tcPr>
          <w:p w14:paraId="669E7B49" w14:textId="65003B8E" w:rsidR="00F26B25" w:rsidRPr="00F26B25" w:rsidRDefault="00F26B25" w:rsidP="00F26B25">
            <w:pPr>
              <w:rPr>
                <w:rFonts w:eastAsia="Times New Roman" w:cs="Arial"/>
                <w:color w:val="000000"/>
                <w:lang w:eastAsia="bg-BG"/>
              </w:rPr>
            </w:pPr>
            <w:r w:rsidRPr="00F26B25">
              <w:rPr>
                <w:rFonts w:cs="Arial"/>
                <w:u w:val="single"/>
              </w:rPr>
              <w:t>Нарушения на нервната система</w:t>
            </w:r>
          </w:p>
        </w:tc>
        <w:tc>
          <w:tcPr>
            <w:tcW w:w="1699" w:type="dxa"/>
          </w:tcPr>
          <w:p w14:paraId="68EC8E30" w14:textId="54F9955F" w:rsidR="00F26B25" w:rsidRPr="00F26B25" w:rsidRDefault="00F26B25" w:rsidP="00F26B25">
            <w:pPr>
              <w:rPr>
                <w:rFonts w:eastAsia="Times New Roman" w:cs="Arial"/>
                <w:color w:val="000000"/>
                <w:lang w:eastAsia="bg-BG"/>
              </w:rPr>
            </w:pPr>
            <w:r w:rsidRPr="00F26B25">
              <w:rPr>
                <w:rFonts w:cs="Arial"/>
              </w:rPr>
              <w:t>сомнолентност, главоболие</w:t>
            </w:r>
          </w:p>
        </w:tc>
        <w:tc>
          <w:tcPr>
            <w:tcW w:w="1931" w:type="dxa"/>
          </w:tcPr>
          <w:p w14:paraId="5617AC24" w14:textId="05E42EBD" w:rsidR="00F26B25" w:rsidRPr="00F26B25" w:rsidRDefault="00F26B25" w:rsidP="00F26B25">
            <w:pPr>
              <w:rPr>
                <w:rFonts w:eastAsia="Times New Roman" w:cs="Arial"/>
                <w:color w:val="000000"/>
                <w:lang w:eastAsia="bg-BG"/>
              </w:rPr>
            </w:pPr>
            <w:r w:rsidRPr="00F26B25">
              <w:rPr>
                <w:rFonts w:cs="Arial"/>
              </w:rPr>
              <w:t>конвулсии, нарушение на равновесието, замаяност, летаргия, тремор</w:t>
            </w:r>
          </w:p>
        </w:tc>
        <w:tc>
          <w:tcPr>
            <w:tcW w:w="2373" w:type="dxa"/>
          </w:tcPr>
          <w:p w14:paraId="6533BFB6" w14:textId="1DE1B83E" w:rsidR="00F26B25" w:rsidRPr="00F26B25" w:rsidRDefault="00F26B25" w:rsidP="00F26B25">
            <w:pPr>
              <w:rPr>
                <w:rFonts w:eastAsia="Times New Roman" w:cs="Arial"/>
                <w:color w:val="000000"/>
                <w:lang w:eastAsia="bg-BG"/>
              </w:rPr>
            </w:pPr>
            <w:r w:rsidRPr="00F26B25">
              <w:rPr>
                <w:rFonts w:cs="Arial"/>
              </w:rPr>
              <w:t>амнезия, нарушение на паметта, нарушена координация/атаксия, парестезия, нарушение на вниманието</w:t>
            </w:r>
          </w:p>
        </w:tc>
        <w:tc>
          <w:tcPr>
            <w:tcW w:w="1776" w:type="dxa"/>
            <w:vAlign w:val="bottom"/>
          </w:tcPr>
          <w:p w14:paraId="0D4E92C5" w14:textId="7765E31C" w:rsidR="00F26B25" w:rsidRPr="00F26B25" w:rsidRDefault="00F26B25" w:rsidP="00F26B25">
            <w:pPr>
              <w:rPr>
                <w:rFonts w:eastAsia="Times New Roman" w:cs="Arial"/>
                <w:color w:val="000000"/>
                <w:lang w:eastAsia="bg-BG"/>
              </w:rPr>
            </w:pPr>
            <w:r w:rsidRPr="00F26B25">
              <w:rPr>
                <w:rFonts w:cs="Arial"/>
              </w:rPr>
              <w:t>хореоатетоза, дискинезия, хиперкинезия, нарушение на походката, енцефалолатия, влошаване на пристъпите, невролептичен малигнен синдром*</w:t>
            </w:r>
          </w:p>
        </w:tc>
      </w:tr>
      <w:tr w:rsidR="00F26B25" w14:paraId="41360D47" w14:textId="77777777" w:rsidTr="00F26B25">
        <w:tc>
          <w:tcPr>
            <w:tcW w:w="1797" w:type="dxa"/>
            <w:vAlign w:val="bottom"/>
          </w:tcPr>
          <w:p w14:paraId="20FC872B" w14:textId="1AC6990B" w:rsidR="00F26B25" w:rsidRPr="00F26B25" w:rsidRDefault="00F26B25" w:rsidP="00F26B25">
            <w:pPr>
              <w:rPr>
                <w:rFonts w:eastAsia="Times New Roman" w:cs="Arial"/>
                <w:color w:val="000000"/>
                <w:lang w:eastAsia="bg-BG"/>
              </w:rPr>
            </w:pPr>
            <w:r w:rsidRPr="00F26B25">
              <w:rPr>
                <w:rFonts w:cs="Arial"/>
                <w:u w:val="single"/>
              </w:rPr>
              <w:t xml:space="preserve">Нарушения на </w:t>
            </w:r>
            <w:r w:rsidRPr="00F26B25">
              <w:rPr>
                <w:rFonts w:cs="Arial"/>
              </w:rPr>
              <w:t>очите</w:t>
            </w:r>
          </w:p>
        </w:tc>
        <w:tc>
          <w:tcPr>
            <w:tcW w:w="1699" w:type="dxa"/>
          </w:tcPr>
          <w:p w14:paraId="12DA4D2C" w14:textId="77777777" w:rsidR="00F26B25" w:rsidRPr="00F26B25" w:rsidRDefault="00F26B25" w:rsidP="00F26B25">
            <w:pPr>
              <w:rPr>
                <w:rFonts w:eastAsia="Times New Roman" w:cs="Arial"/>
                <w:color w:val="000000"/>
                <w:lang w:eastAsia="bg-BG"/>
              </w:rPr>
            </w:pPr>
          </w:p>
        </w:tc>
        <w:tc>
          <w:tcPr>
            <w:tcW w:w="1931" w:type="dxa"/>
          </w:tcPr>
          <w:p w14:paraId="5BCF4E93" w14:textId="77777777" w:rsidR="00F26B25" w:rsidRPr="00F26B25" w:rsidRDefault="00F26B25" w:rsidP="00F26B25">
            <w:pPr>
              <w:rPr>
                <w:rFonts w:eastAsia="Times New Roman" w:cs="Arial"/>
                <w:color w:val="000000"/>
                <w:lang w:eastAsia="bg-BG"/>
              </w:rPr>
            </w:pPr>
          </w:p>
        </w:tc>
        <w:tc>
          <w:tcPr>
            <w:tcW w:w="2373" w:type="dxa"/>
            <w:vAlign w:val="bottom"/>
          </w:tcPr>
          <w:p w14:paraId="3B064315" w14:textId="4FE9F5D0" w:rsidR="00F26B25" w:rsidRPr="00F26B25" w:rsidRDefault="00F26B25" w:rsidP="00F26B25">
            <w:pPr>
              <w:rPr>
                <w:rFonts w:eastAsia="Times New Roman" w:cs="Arial"/>
                <w:color w:val="000000"/>
                <w:lang w:eastAsia="bg-BG"/>
              </w:rPr>
            </w:pPr>
            <w:r w:rsidRPr="00F26B25">
              <w:rPr>
                <w:rFonts w:cs="Arial"/>
              </w:rPr>
              <w:t>диплопия, замъглено зрение</w:t>
            </w:r>
          </w:p>
        </w:tc>
        <w:tc>
          <w:tcPr>
            <w:tcW w:w="1776" w:type="dxa"/>
          </w:tcPr>
          <w:p w14:paraId="7A4842C2" w14:textId="77777777" w:rsidR="00F26B25" w:rsidRPr="00F26B25" w:rsidRDefault="00F26B25" w:rsidP="00F26B25">
            <w:pPr>
              <w:rPr>
                <w:rFonts w:eastAsia="Times New Roman" w:cs="Arial"/>
                <w:color w:val="000000"/>
                <w:lang w:eastAsia="bg-BG"/>
              </w:rPr>
            </w:pPr>
          </w:p>
        </w:tc>
      </w:tr>
      <w:tr w:rsidR="00F26B25" w14:paraId="53D9E961" w14:textId="77777777" w:rsidTr="00F26B25">
        <w:tc>
          <w:tcPr>
            <w:tcW w:w="1797" w:type="dxa"/>
            <w:vAlign w:val="bottom"/>
          </w:tcPr>
          <w:p w14:paraId="51A83FEC" w14:textId="5D881CF4" w:rsidR="00F26B25" w:rsidRPr="00F26B25" w:rsidRDefault="00F26B25" w:rsidP="00F26B25">
            <w:pPr>
              <w:rPr>
                <w:rFonts w:eastAsia="Times New Roman" w:cs="Arial"/>
                <w:color w:val="000000"/>
                <w:lang w:eastAsia="bg-BG"/>
              </w:rPr>
            </w:pPr>
            <w:r w:rsidRPr="00F26B25">
              <w:rPr>
                <w:rFonts w:cs="Arial"/>
                <w:u w:val="single"/>
              </w:rPr>
              <w:t xml:space="preserve">Нарушения на ухото и </w:t>
            </w:r>
            <w:r w:rsidRPr="00F26B25">
              <w:rPr>
                <w:rFonts w:cs="Arial"/>
              </w:rPr>
              <w:t>лабиринта</w:t>
            </w:r>
          </w:p>
        </w:tc>
        <w:tc>
          <w:tcPr>
            <w:tcW w:w="1699" w:type="dxa"/>
          </w:tcPr>
          <w:p w14:paraId="3EA9267D" w14:textId="77777777" w:rsidR="00F26B25" w:rsidRPr="00F26B25" w:rsidRDefault="00F26B25" w:rsidP="00F26B25">
            <w:pPr>
              <w:rPr>
                <w:rFonts w:eastAsia="Times New Roman" w:cs="Arial"/>
                <w:color w:val="000000"/>
                <w:lang w:eastAsia="bg-BG"/>
              </w:rPr>
            </w:pPr>
          </w:p>
        </w:tc>
        <w:tc>
          <w:tcPr>
            <w:tcW w:w="1931" w:type="dxa"/>
          </w:tcPr>
          <w:p w14:paraId="7A365682" w14:textId="49CBA82A" w:rsidR="00F26B25" w:rsidRPr="00F26B25" w:rsidRDefault="00F26B25" w:rsidP="00F26B25">
            <w:pPr>
              <w:rPr>
                <w:rFonts w:eastAsia="Times New Roman" w:cs="Arial"/>
                <w:color w:val="000000"/>
                <w:lang w:eastAsia="bg-BG"/>
              </w:rPr>
            </w:pPr>
            <w:r w:rsidRPr="00F26B25">
              <w:rPr>
                <w:rFonts w:cs="Arial"/>
              </w:rPr>
              <w:t>вертиго</w:t>
            </w:r>
          </w:p>
        </w:tc>
        <w:tc>
          <w:tcPr>
            <w:tcW w:w="2373" w:type="dxa"/>
          </w:tcPr>
          <w:p w14:paraId="11A1B5E9" w14:textId="77777777" w:rsidR="00F26B25" w:rsidRPr="00F26B25" w:rsidRDefault="00F26B25" w:rsidP="00F26B25">
            <w:pPr>
              <w:rPr>
                <w:rFonts w:eastAsia="Times New Roman" w:cs="Arial"/>
                <w:color w:val="000000"/>
                <w:lang w:eastAsia="bg-BG"/>
              </w:rPr>
            </w:pPr>
          </w:p>
        </w:tc>
        <w:tc>
          <w:tcPr>
            <w:tcW w:w="1776" w:type="dxa"/>
          </w:tcPr>
          <w:p w14:paraId="03CC68B7" w14:textId="77777777" w:rsidR="00F26B25" w:rsidRPr="00F26B25" w:rsidRDefault="00F26B25" w:rsidP="00F26B25">
            <w:pPr>
              <w:rPr>
                <w:rFonts w:eastAsia="Times New Roman" w:cs="Arial"/>
                <w:color w:val="000000"/>
                <w:lang w:eastAsia="bg-BG"/>
              </w:rPr>
            </w:pPr>
          </w:p>
        </w:tc>
      </w:tr>
      <w:tr w:rsidR="00F26B25" w14:paraId="4965021B" w14:textId="77777777" w:rsidTr="00F26B25">
        <w:tc>
          <w:tcPr>
            <w:tcW w:w="1797" w:type="dxa"/>
          </w:tcPr>
          <w:p w14:paraId="69DB1137" w14:textId="24FF1FD6" w:rsidR="00F26B25" w:rsidRPr="00F26B25" w:rsidRDefault="00F26B25" w:rsidP="00F26B25">
            <w:pPr>
              <w:rPr>
                <w:rFonts w:eastAsia="Times New Roman" w:cs="Arial"/>
                <w:color w:val="000000"/>
                <w:lang w:eastAsia="bg-BG"/>
              </w:rPr>
            </w:pPr>
            <w:r w:rsidRPr="00F26B25">
              <w:rPr>
                <w:rFonts w:cs="Arial"/>
                <w:u w:val="single"/>
              </w:rPr>
              <w:t>Сърдечни нарушения</w:t>
            </w:r>
          </w:p>
        </w:tc>
        <w:tc>
          <w:tcPr>
            <w:tcW w:w="1699" w:type="dxa"/>
          </w:tcPr>
          <w:p w14:paraId="1430692A" w14:textId="77777777" w:rsidR="00F26B25" w:rsidRPr="00F26B25" w:rsidRDefault="00F26B25" w:rsidP="00F26B25">
            <w:pPr>
              <w:rPr>
                <w:rFonts w:eastAsia="Times New Roman" w:cs="Arial"/>
                <w:color w:val="000000"/>
                <w:lang w:eastAsia="bg-BG"/>
              </w:rPr>
            </w:pPr>
          </w:p>
        </w:tc>
        <w:tc>
          <w:tcPr>
            <w:tcW w:w="1931" w:type="dxa"/>
          </w:tcPr>
          <w:p w14:paraId="203F1F3D" w14:textId="77777777" w:rsidR="00F26B25" w:rsidRPr="00F26B25" w:rsidRDefault="00F26B25" w:rsidP="00F26B25">
            <w:pPr>
              <w:rPr>
                <w:rFonts w:eastAsia="Times New Roman" w:cs="Arial"/>
                <w:color w:val="000000"/>
                <w:lang w:eastAsia="bg-BG"/>
              </w:rPr>
            </w:pPr>
          </w:p>
        </w:tc>
        <w:tc>
          <w:tcPr>
            <w:tcW w:w="2373" w:type="dxa"/>
          </w:tcPr>
          <w:p w14:paraId="309E3CBB" w14:textId="77777777" w:rsidR="00F26B25" w:rsidRPr="00F26B25" w:rsidRDefault="00F26B25" w:rsidP="00F26B25">
            <w:pPr>
              <w:rPr>
                <w:rFonts w:eastAsia="Times New Roman" w:cs="Arial"/>
                <w:color w:val="000000"/>
                <w:lang w:eastAsia="bg-BG"/>
              </w:rPr>
            </w:pPr>
          </w:p>
        </w:tc>
        <w:tc>
          <w:tcPr>
            <w:tcW w:w="1776" w:type="dxa"/>
            <w:vAlign w:val="bottom"/>
          </w:tcPr>
          <w:p w14:paraId="418C960B" w14:textId="6A7520A4" w:rsidR="00F26B25" w:rsidRPr="00F26B25" w:rsidRDefault="00F26B25" w:rsidP="00F26B25">
            <w:pPr>
              <w:rPr>
                <w:rFonts w:eastAsia="Times New Roman" w:cs="Arial"/>
                <w:color w:val="000000"/>
                <w:lang w:eastAsia="bg-BG"/>
              </w:rPr>
            </w:pPr>
            <w:r w:rsidRPr="00F26B25">
              <w:rPr>
                <w:rFonts w:cs="Arial"/>
              </w:rPr>
              <w:t xml:space="preserve">удължен </w:t>
            </w:r>
            <w:r w:rsidRPr="00F26B25">
              <w:rPr>
                <w:rFonts w:cs="Arial"/>
                <w:lang w:val="en-US"/>
              </w:rPr>
              <w:t>QT</w:t>
            </w:r>
            <w:r w:rsidRPr="00F26B25">
              <w:rPr>
                <w:rFonts w:cs="Arial"/>
                <w:lang w:val="ru-RU"/>
              </w:rPr>
              <w:t xml:space="preserve">- </w:t>
            </w:r>
            <w:r w:rsidRPr="00F26B25">
              <w:rPr>
                <w:rFonts w:cs="Arial"/>
              </w:rPr>
              <w:t>интервал на електрокар дио- грамата</w:t>
            </w:r>
          </w:p>
        </w:tc>
      </w:tr>
      <w:tr w:rsidR="00F26B25" w14:paraId="34BA7AF3" w14:textId="77777777" w:rsidTr="00F26B25">
        <w:tc>
          <w:tcPr>
            <w:tcW w:w="1797" w:type="dxa"/>
            <w:vAlign w:val="bottom"/>
          </w:tcPr>
          <w:p w14:paraId="430EA50B" w14:textId="2A7233DB" w:rsidR="00F26B25" w:rsidRPr="00F26B25" w:rsidRDefault="00F26B25" w:rsidP="00F26B25">
            <w:pPr>
              <w:rPr>
                <w:rFonts w:eastAsia="Times New Roman" w:cs="Arial"/>
                <w:color w:val="000000"/>
                <w:lang w:eastAsia="bg-BG"/>
              </w:rPr>
            </w:pPr>
            <w:r w:rsidRPr="00F26B25">
              <w:rPr>
                <w:rFonts w:cs="Arial"/>
                <w:u w:val="single"/>
              </w:rPr>
              <w:t>Респираторни,</w:t>
            </w:r>
            <w:r w:rsidRPr="00F26B25">
              <w:rPr>
                <w:rFonts w:cs="Arial"/>
              </w:rPr>
              <w:t xml:space="preserve"> , </w:t>
            </w:r>
            <w:r w:rsidRPr="00F26B25">
              <w:rPr>
                <w:rFonts w:cs="Arial"/>
                <w:u w:val="single"/>
              </w:rPr>
              <w:t xml:space="preserve">гръдни и медиастинални </w:t>
            </w:r>
            <w:r w:rsidRPr="00F26B25">
              <w:rPr>
                <w:rFonts w:cs="Arial"/>
              </w:rPr>
              <w:t>нарушения</w:t>
            </w:r>
          </w:p>
        </w:tc>
        <w:tc>
          <w:tcPr>
            <w:tcW w:w="1699" w:type="dxa"/>
          </w:tcPr>
          <w:p w14:paraId="23DE6BAB" w14:textId="77777777" w:rsidR="00F26B25" w:rsidRPr="00F26B25" w:rsidRDefault="00F26B25" w:rsidP="00F26B25">
            <w:pPr>
              <w:rPr>
                <w:rFonts w:eastAsia="Times New Roman" w:cs="Arial"/>
                <w:color w:val="000000"/>
                <w:lang w:eastAsia="bg-BG"/>
              </w:rPr>
            </w:pPr>
          </w:p>
        </w:tc>
        <w:tc>
          <w:tcPr>
            <w:tcW w:w="1931" w:type="dxa"/>
          </w:tcPr>
          <w:p w14:paraId="26D53C57" w14:textId="7A3C3132" w:rsidR="00F26B25" w:rsidRPr="00F26B25" w:rsidRDefault="00F26B25" w:rsidP="00F26B25">
            <w:pPr>
              <w:rPr>
                <w:rFonts w:eastAsia="Times New Roman" w:cs="Arial"/>
                <w:color w:val="000000"/>
                <w:lang w:eastAsia="bg-BG"/>
              </w:rPr>
            </w:pPr>
            <w:r w:rsidRPr="00F26B25">
              <w:rPr>
                <w:rFonts w:cs="Arial"/>
              </w:rPr>
              <w:t>кашлица</w:t>
            </w:r>
          </w:p>
        </w:tc>
        <w:tc>
          <w:tcPr>
            <w:tcW w:w="2373" w:type="dxa"/>
          </w:tcPr>
          <w:p w14:paraId="5D789871" w14:textId="77777777" w:rsidR="00F26B25" w:rsidRPr="00F26B25" w:rsidRDefault="00F26B25" w:rsidP="00F26B25">
            <w:pPr>
              <w:rPr>
                <w:rFonts w:eastAsia="Times New Roman" w:cs="Arial"/>
                <w:color w:val="000000"/>
                <w:lang w:eastAsia="bg-BG"/>
              </w:rPr>
            </w:pPr>
          </w:p>
        </w:tc>
        <w:tc>
          <w:tcPr>
            <w:tcW w:w="1776" w:type="dxa"/>
          </w:tcPr>
          <w:p w14:paraId="767D01C9" w14:textId="77777777" w:rsidR="00F26B25" w:rsidRPr="00F26B25" w:rsidRDefault="00F26B25" w:rsidP="00F26B25">
            <w:pPr>
              <w:rPr>
                <w:rFonts w:eastAsia="Times New Roman" w:cs="Arial"/>
                <w:color w:val="000000"/>
                <w:lang w:eastAsia="bg-BG"/>
              </w:rPr>
            </w:pPr>
          </w:p>
        </w:tc>
      </w:tr>
      <w:tr w:rsidR="00F26B25" w14:paraId="3798DD68" w14:textId="77777777" w:rsidTr="00F26B25">
        <w:tc>
          <w:tcPr>
            <w:tcW w:w="1797" w:type="dxa"/>
          </w:tcPr>
          <w:p w14:paraId="710B8AB9" w14:textId="723846CB" w:rsidR="00F26B25" w:rsidRPr="00F26B25" w:rsidRDefault="00F26B25" w:rsidP="00F26B25">
            <w:pPr>
              <w:rPr>
                <w:rFonts w:eastAsia="Times New Roman" w:cs="Arial"/>
                <w:color w:val="000000"/>
                <w:lang w:eastAsia="bg-BG"/>
              </w:rPr>
            </w:pPr>
            <w:r w:rsidRPr="00F26B25">
              <w:rPr>
                <w:rFonts w:cs="Arial"/>
                <w:u w:val="single"/>
              </w:rPr>
              <w:t>Стомашно- чревни нарушения</w:t>
            </w:r>
          </w:p>
        </w:tc>
        <w:tc>
          <w:tcPr>
            <w:tcW w:w="1699" w:type="dxa"/>
          </w:tcPr>
          <w:p w14:paraId="62D5E23A" w14:textId="77777777" w:rsidR="00F26B25" w:rsidRPr="00F26B25" w:rsidRDefault="00F26B25" w:rsidP="00F26B25">
            <w:pPr>
              <w:rPr>
                <w:rFonts w:eastAsia="Times New Roman" w:cs="Arial"/>
                <w:color w:val="000000"/>
                <w:lang w:eastAsia="bg-BG"/>
              </w:rPr>
            </w:pPr>
          </w:p>
        </w:tc>
        <w:tc>
          <w:tcPr>
            <w:tcW w:w="1931" w:type="dxa"/>
            <w:vAlign w:val="bottom"/>
          </w:tcPr>
          <w:p w14:paraId="4254B133" w14:textId="7400CEDB" w:rsidR="00F26B25" w:rsidRPr="00F26B25" w:rsidRDefault="00F26B25" w:rsidP="00F26B25">
            <w:pPr>
              <w:rPr>
                <w:rFonts w:eastAsia="Times New Roman" w:cs="Arial"/>
                <w:color w:val="000000"/>
                <w:lang w:eastAsia="bg-BG"/>
              </w:rPr>
            </w:pPr>
            <w:r w:rsidRPr="00F26B25">
              <w:rPr>
                <w:rFonts w:cs="Arial"/>
              </w:rPr>
              <w:t>болки в корема, диария, диспепсия, повръщане, гадене</w:t>
            </w:r>
          </w:p>
        </w:tc>
        <w:tc>
          <w:tcPr>
            <w:tcW w:w="2373" w:type="dxa"/>
          </w:tcPr>
          <w:p w14:paraId="461EBB1B" w14:textId="77777777" w:rsidR="00F26B25" w:rsidRPr="00F26B25" w:rsidRDefault="00F26B25" w:rsidP="00F26B25">
            <w:pPr>
              <w:rPr>
                <w:rFonts w:eastAsia="Times New Roman" w:cs="Arial"/>
                <w:color w:val="000000"/>
                <w:lang w:eastAsia="bg-BG"/>
              </w:rPr>
            </w:pPr>
          </w:p>
        </w:tc>
        <w:tc>
          <w:tcPr>
            <w:tcW w:w="1776" w:type="dxa"/>
          </w:tcPr>
          <w:p w14:paraId="23FCE2E3" w14:textId="5E0CA42A" w:rsidR="00F26B25" w:rsidRPr="00F26B25" w:rsidRDefault="00F26B25" w:rsidP="00F26B25">
            <w:pPr>
              <w:rPr>
                <w:rFonts w:eastAsia="Times New Roman" w:cs="Arial"/>
                <w:color w:val="000000"/>
                <w:lang w:eastAsia="bg-BG"/>
              </w:rPr>
            </w:pPr>
            <w:r w:rsidRPr="00F26B25">
              <w:rPr>
                <w:rFonts w:cs="Arial"/>
              </w:rPr>
              <w:t>панкреатит</w:t>
            </w:r>
          </w:p>
        </w:tc>
      </w:tr>
      <w:tr w:rsidR="00F26B25" w14:paraId="7887D0D1" w14:textId="77777777" w:rsidTr="00F26B25">
        <w:tc>
          <w:tcPr>
            <w:tcW w:w="1797" w:type="dxa"/>
          </w:tcPr>
          <w:p w14:paraId="7E72A86F" w14:textId="2602BBCC" w:rsidR="00F26B25" w:rsidRPr="00F26B25" w:rsidRDefault="00F26B25" w:rsidP="00F26B25">
            <w:pPr>
              <w:rPr>
                <w:rFonts w:eastAsia="Times New Roman" w:cs="Arial"/>
                <w:color w:val="000000"/>
                <w:lang w:eastAsia="bg-BG"/>
              </w:rPr>
            </w:pPr>
            <w:r w:rsidRPr="00F26B25">
              <w:rPr>
                <w:rFonts w:cs="Arial"/>
                <w:u w:val="single"/>
              </w:rPr>
              <w:t xml:space="preserve">Хепатобилиарни </w:t>
            </w:r>
            <w:r w:rsidRPr="00F26B25">
              <w:rPr>
                <w:rFonts w:cs="Arial"/>
              </w:rPr>
              <w:t>на</w:t>
            </w:r>
            <w:r w:rsidRPr="00F26B25">
              <w:rPr>
                <w:rFonts w:cs="Arial"/>
                <w:u w:val="single"/>
              </w:rPr>
              <w:t>рушения</w:t>
            </w:r>
          </w:p>
        </w:tc>
        <w:tc>
          <w:tcPr>
            <w:tcW w:w="1699" w:type="dxa"/>
          </w:tcPr>
          <w:p w14:paraId="0FB4995F" w14:textId="77777777" w:rsidR="00F26B25" w:rsidRPr="00F26B25" w:rsidRDefault="00F26B25" w:rsidP="00F26B25">
            <w:pPr>
              <w:rPr>
                <w:rFonts w:eastAsia="Times New Roman" w:cs="Arial"/>
                <w:color w:val="000000"/>
                <w:lang w:eastAsia="bg-BG"/>
              </w:rPr>
            </w:pPr>
          </w:p>
        </w:tc>
        <w:tc>
          <w:tcPr>
            <w:tcW w:w="1931" w:type="dxa"/>
          </w:tcPr>
          <w:p w14:paraId="1E6C8C7C" w14:textId="77777777" w:rsidR="00F26B25" w:rsidRPr="00F26B25" w:rsidRDefault="00F26B25" w:rsidP="00F26B25">
            <w:pPr>
              <w:rPr>
                <w:rFonts w:eastAsia="Times New Roman" w:cs="Arial"/>
                <w:color w:val="000000"/>
                <w:lang w:eastAsia="bg-BG"/>
              </w:rPr>
            </w:pPr>
          </w:p>
        </w:tc>
        <w:tc>
          <w:tcPr>
            <w:tcW w:w="2373" w:type="dxa"/>
            <w:vAlign w:val="bottom"/>
          </w:tcPr>
          <w:p w14:paraId="455622A6" w14:textId="51EB4119" w:rsidR="00F26B25" w:rsidRPr="00F26B25" w:rsidRDefault="00F26B25" w:rsidP="00F26B25">
            <w:pPr>
              <w:rPr>
                <w:rFonts w:eastAsia="Times New Roman" w:cs="Arial"/>
                <w:color w:val="000000"/>
                <w:lang w:eastAsia="bg-BG"/>
              </w:rPr>
            </w:pPr>
            <w:r w:rsidRPr="00F26B25">
              <w:rPr>
                <w:rFonts w:cs="Arial"/>
              </w:rPr>
              <w:t>абнормни резултати от функционалн ите чернодробни изследвания</w:t>
            </w:r>
          </w:p>
        </w:tc>
        <w:tc>
          <w:tcPr>
            <w:tcW w:w="1776" w:type="dxa"/>
            <w:vAlign w:val="bottom"/>
          </w:tcPr>
          <w:p w14:paraId="147C1D96" w14:textId="492D3A91" w:rsidR="00F26B25" w:rsidRPr="00F26B25" w:rsidRDefault="00F26B25" w:rsidP="00F26B25">
            <w:pPr>
              <w:rPr>
                <w:rFonts w:eastAsia="Times New Roman" w:cs="Arial"/>
                <w:color w:val="000000"/>
                <w:lang w:eastAsia="bg-BG"/>
              </w:rPr>
            </w:pPr>
            <w:r w:rsidRPr="00F26B25">
              <w:rPr>
                <w:rFonts w:cs="Arial"/>
              </w:rPr>
              <w:t>чернодробна недостатъчност, хепатит</w:t>
            </w:r>
          </w:p>
        </w:tc>
      </w:tr>
      <w:tr w:rsidR="00F26B25" w14:paraId="4A2D331F" w14:textId="77777777" w:rsidTr="00F26B25">
        <w:tc>
          <w:tcPr>
            <w:tcW w:w="1797" w:type="dxa"/>
            <w:vAlign w:val="bottom"/>
          </w:tcPr>
          <w:p w14:paraId="0D62CD27" w14:textId="672CA863" w:rsidR="00F26B25" w:rsidRPr="00F26B25" w:rsidRDefault="00F26B25" w:rsidP="00F26B25">
            <w:pPr>
              <w:rPr>
                <w:rFonts w:eastAsia="Times New Roman" w:cs="Arial"/>
                <w:color w:val="000000"/>
                <w:lang w:eastAsia="bg-BG"/>
              </w:rPr>
            </w:pPr>
            <w:r w:rsidRPr="00F26B25">
              <w:rPr>
                <w:rFonts w:cs="Arial"/>
                <w:u w:val="single"/>
              </w:rPr>
              <w:t xml:space="preserve">Нарушения на бъбреците и пикочните </w:t>
            </w:r>
            <w:r w:rsidRPr="00F26B25">
              <w:rPr>
                <w:rFonts w:cs="Arial"/>
              </w:rPr>
              <w:t>пътища</w:t>
            </w:r>
          </w:p>
        </w:tc>
        <w:tc>
          <w:tcPr>
            <w:tcW w:w="1699" w:type="dxa"/>
          </w:tcPr>
          <w:p w14:paraId="226501F3" w14:textId="77777777" w:rsidR="00F26B25" w:rsidRPr="00F26B25" w:rsidRDefault="00F26B25" w:rsidP="00F26B25">
            <w:pPr>
              <w:rPr>
                <w:rFonts w:eastAsia="Times New Roman" w:cs="Arial"/>
                <w:color w:val="000000"/>
                <w:lang w:eastAsia="bg-BG"/>
              </w:rPr>
            </w:pPr>
          </w:p>
        </w:tc>
        <w:tc>
          <w:tcPr>
            <w:tcW w:w="1931" w:type="dxa"/>
          </w:tcPr>
          <w:p w14:paraId="18088446" w14:textId="77777777" w:rsidR="00F26B25" w:rsidRPr="00F26B25" w:rsidRDefault="00F26B25" w:rsidP="00F26B25">
            <w:pPr>
              <w:rPr>
                <w:rFonts w:eastAsia="Times New Roman" w:cs="Arial"/>
                <w:color w:val="000000"/>
                <w:lang w:eastAsia="bg-BG"/>
              </w:rPr>
            </w:pPr>
          </w:p>
        </w:tc>
        <w:tc>
          <w:tcPr>
            <w:tcW w:w="2373" w:type="dxa"/>
          </w:tcPr>
          <w:p w14:paraId="19C71F5D" w14:textId="77777777" w:rsidR="00F26B25" w:rsidRPr="00F26B25" w:rsidRDefault="00F26B25" w:rsidP="00F26B25">
            <w:pPr>
              <w:rPr>
                <w:rFonts w:eastAsia="Times New Roman" w:cs="Arial"/>
                <w:color w:val="000000"/>
                <w:lang w:eastAsia="bg-BG"/>
              </w:rPr>
            </w:pPr>
          </w:p>
        </w:tc>
        <w:tc>
          <w:tcPr>
            <w:tcW w:w="1776" w:type="dxa"/>
          </w:tcPr>
          <w:p w14:paraId="070AF387" w14:textId="3744C465" w:rsidR="00F26B25" w:rsidRPr="00F26B25" w:rsidRDefault="00F26B25" w:rsidP="00F26B25">
            <w:pPr>
              <w:rPr>
                <w:rFonts w:eastAsia="Times New Roman" w:cs="Arial"/>
                <w:color w:val="000000"/>
                <w:lang w:eastAsia="bg-BG"/>
              </w:rPr>
            </w:pPr>
            <w:r w:rsidRPr="00F26B25">
              <w:rPr>
                <w:rFonts w:cs="Arial"/>
              </w:rPr>
              <w:t>остра бъбречна недостатъчност</w:t>
            </w:r>
          </w:p>
        </w:tc>
      </w:tr>
      <w:tr w:rsidR="00F26B25" w14:paraId="0D3A4D72" w14:textId="77777777" w:rsidTr="00F26B25">
        <w:tc>
          <w:tcPr>
            <w:tcW w:w="1797" w:type="dxa"/>
          </w:tcPr>
          <w:p w14:paraId="430F0520" w14:textId="642F15C7" w:rsidR="00F26B25" w:rsidRPr="00F26B25" w:rsidRDefault="00F26B25" w:rsidP="00F26B25">
            <w:pPr>
              <w:rPr>
                <w:rFonts w:eastAsia="Times New Roman" w:cs="Arial"/>
                <w:color w:val="000000"/>
                <w:lang w:eastAsia="bg-BG"/>
              </w:rPr>
            </w:pPr>
            <w:r w:rsidRPr="00F26B25">
              <w:rPr>
                <w:rFonts w:cs="Arial"/>
                <w:u w:val="single"/>
              </w:rPr>
              <w:t>Нарушения на кожата и подкожната тъкан</w:t>
            </w:r>
          </w:p>
        </w:tc>
        <w:tc>
          <w:tcPr>
            <w:tcW w:w="1699" w:type="dxa"/>
          </w:tcPr>
          <w:p w14:paraId="324486CD" w14:textId="77777777" w:rsidR="00F26B25" w:rsidRPr="00F26B25" w:rsidRDefault="00F26B25" w:rsidP="00F26B25">
            <w:pPr>
              <w:rPr>
                <w:rFonts w:eastAsia="Times New Roman" w:cs="Arial"/>
                <w:color w:val="000000"/>
                <w:lang w:eastAsia="bg-BG"/>
              </w:rPr>
            </w:pPr>
          </w:p>
        </w:tc>
        <w:tc>
          <w:tcPr>
            <w:tcW w:w="1931" w:type="dxa"/>
          </w:tcPr>
          <w:p w14:paraId="09F428B7" w14:textId="7D63713E" w:rsidR="00F26B25" w:rsidRPr="00F26B25" w:rsidRDefault="00F26B25" w:rsidP="00F26B25">
            <w:pPr>
              <w:rPr>
                <w:rFonts w:eastAsia="Times New Roman" w:cs="Arial"/>
                <w:color w:val="000000"/>
                <w:lang w:eastAsia="bg-BG"/>
              </w:rPr>
            </w:pPr>
            <w:r w:rsidRPr="00F26B25">
              <w:rPr>
                <w:rFonts w:cs="Arial"/>
              </w:rPr>
              <w:t>обрив</w:t>
            </w:r>
          </w:p>
        </w:tc>
        <w:tc>
          <w:tcPr>
            <w:tcW w:w="2373" w:type="dxa"/>
            <w:vAlign w:val="bottom"/>
          </w:tcPr>
          <w:p w14:paraId="76CA9778" w14:textId="6AFC64B0" w:rsidR="00F26B25" w:rsidRPr="00F26B25" w:rsidRDefault="00F26B25" w:rsidP="00F26B25">
            <w:pPr>
              <w:rPr>
                <w:rFonts w:eastAsia="Times New Roman" w:cs="Arial"/>
                <w:color w:val="000000"/>
                <w:lang w:eastAsia="bg-BG"/>
              </w:rPr>
            </w:pPr>
            <w:r w:rsidRPr="00F26B25">
              <w:rPr>
                <w:rFonts w:cs="Arial"/>
              </w:rPr>
              <w:t>алопеция, екзема, пруритус,</w:t>
            </w:r>
          </w:p>
        </w:tc>
        <w:tc>
          <w:tcPr>
            <w:tcW w:w="1776" w:type="dxa"/>
            <w:vAlign w:val="bottom"/>
          </w:tcPr>
          <w:p w14:paraId="6FAF95DE" w14:textId="77777777" w:rsidR="00F26B25" w:rsidRPr="00F26B25" w:rsidRDefault="00F26B25" w:rsidP="00F26B25">
            <w:pPr>
              <w:rPr>
                <w:rFonts w:cs="Arial"/>
              </w:rPr>
            </w:pPr>
            <w:r w:rsidRPr="00F26B25">
              <w:rPr>
                <w:rFonts w:cs="Arial"/>
              </w:rPr>
              <w:t>токсична</w:t>
            </w:r>
          </w:p>
          <w:p w14:paraId="5521D020" w14:textId="3E154F13" w:rsidR="00F26B25" w:rsidRPr="00F26B25" w:rsidRDefault="00F26B25" w:rsidP="00F26B25">
            <w:pPr>
              <w:rPr>
                <w:rFonts w:eastAsia="Times New Roman" w:cs="Arial"/>
                <w:color w:val="000000"/>
                <w:lang w:eastAsia="bg-BG"/>
              </w:rPr>
            </w:pPr>
            <w:r w:rsidRPr="00F26B25">
              <w:rPr>
                <w:rFonts w:cs="Arial"/>
              </w:rPr>
              <w:t xml:space="preserve">епидермална некролиза, Синдром на </w:t>
            </w:r>
            <w:r w:rsidRPr="00F26B25">
              <w:rPr>
                <w:rFonts w:cs="Arial"/>
                <w:lang w:val="en-US"/>
              </w:rPr>
              <w:lastRenderedPageBreak/>
              <w:t>Stevens</w:t>
            </w:r>
            <w:r w:rsidRPr="00F26B25">
              <w:rPr>
                <w:rFonts w:cs="Arial"/>
                <w:lang w:val="ru-RU"/>
              </w:rPr>
              <w:t>-</w:t>
            </w:r>
            <w:r w:rsidRPr="00F26B25">
              <w:rPr>
                <w:rFonts w:cs="Arial"/>
                <w:lang w:val="en-US"/>
              </w:rPr>
              <w:t>Johnson</w:t>
            </w:r>
            <w:r w:rsidRPr="00F26B25">
              <w:rPr>
                <w:rFonts w:cs="Arial"/>
                <w:lang w:val="ru-RU"/>
              </w:rPr>
              <w:t xml:space="preserve">, </w:t>
            </w:r>
            <w:r w:rsidRPr="00F26B25">
              <w:rPr>
                <w:rFonts w:cs="Arial"/>
              </w:rPr>
              <w:t>еритема мултиформе</w:t>
            </w:r>
          </w:p>
        </w:tc>
      </w:tr>
      <w:tr w:rsidR="00F26B25" w14:paraId="36B6224B" w14:textId="77777777" w:rsidTr="00F26B25">
        <w:tc>
          <w:tcPr>
            <w:tcW w:w="1797" w:type="dxa"/>
          </w:tcPr>
          <w:p w14:paraId="10B9BE85" w14:textId="5D97C2DA" w:rsidR="00F26B25" w:rsidRPr="00F26B25" w:rsidRDefault="00F26B25" w:rsidP="00F26B25">
            <w:pPr>
              <w:rPr>
                <w:rFonts w:eastAsia="Times New Roman" w:cs="Arial"/>
                <w:color w:val="000000"/>
                <w:lang w:eastAsia="bg-BG"/>
              </w:rPr>
            </w:pPr>
            <w:r w:rsidRPr="00F26B25">
              <w:rPr>
                <w:szCs w:val="20"/>
                <w:u w:val="single"/>
              </w:rPr>
              <w:lastRenderedPageBreak/>
              <w:t>Нарушения на мускулно- скелетната система и съединителната тъкан</w:t>
            </w:r>
          </w:p>
        </w:tc>
        <w:tc>
          <w:tcPr>
            <w:tcW w:w="1699" w:type="dxa"/>
          </w:tcPr>
          <w:p w14:paraId="40CEBF52" w14:textId="77777777" w:rsidR="00F26B25" w:rsidRPr="00F26B25" w:rsidRDefault="00F26B25" w:rsidP="00F26B25">
            <w:pPr>
              <w:rPr>
                <w:rFonts w:eastAsia="Times New Roman" w:cs="Arial"/>
                <w:color w:val="000000"/>
                <w:lang w:eastAsia="bg-BG"/>
              </w:rPr>
            </w:pPr>
          </w:p>
        </w:tc>
        <w:tc>
          <w:tcPr>
            <w:tcW w:w="1931" w:type="dxa"/>
          </w:tcPr>
          <w:p w14:paraId="568E7FCF" w14:textId="77777777" w:rsidR="00F26B25" w:rsidRPr="00F26B25" w:rsidRDefault="00F26B25" w:rsidP="00F26B25">
            <w:pPr>
              <w:rPr>
                <w:rFonts w:eastAsia="Times New Roman" w:cs="Arial"/>
                <w:color w:val="000000"/>
                <w:lang w:eastAsia="bg-BG"/>
              </w:rPr>
            </w:pPr>
          </w:p>
        </w:tc>
        <w:tc>
          <w:tcPr>
            <w:tcW w:w="2373" w:type="dxa"/>
          </w:tcPr>
          <w:p w14:paraId="33CA0BEE" w14:textId="221B0614" w:rsidR="00F26B25" w:rsidRPr="00F26B25" w:rsidRDefault="00F26B25" w:rsidP="00F26B25">
            <w:pPr>
              <w:rPr>
                <w:rFonts w:eastAsia="Times New Roman" w:cs="Arial"/>
                <w:color w:val="000000"/>
                <w:lang w:eastAsia="bg-BG"/>
              </w:rPr>
            </w:pPr>
            <w:r w:rsidRPr="00F26B25">
              <w:rPr>
                <w:szCs w:val="20"/>
              </w:rPr>
              <w:t>мускулна слабост, миалгия</w:t>
            </w:r>
          </w:p>
        </w:tc>
        <w:tc>
          <w:tcPr>
            <w:tcW w:w="1776" w:type="dxa"/>
          </w:tcPr>
          <w:p w14:paraId="01C501CA" w14:textId="77777777" w:rsidR="00F26B25" w:rsidRPr="00F26B25" w:rsidRDefault="00F26B25" w:rsidP="00F26B25">
            <w:r w:rsidRPr="00F26B25">
              <w:rPr>
                <w:szCs w:val="20"/>
              </w:rPr>
              <w:t>рабдомиолиза и повишена</w:t>
            </w:r>
          </w:p>
          <w:p w14:paraId="69387A3B" w14:textId="7DE251A9" w:rsidR="00F26B25" w:rsidRPr="00F26B25" w:rsidRDefault="00F26B25" w:rsidP="00F26B25">
            <w:pPr>
              <w:rPr>
                <w:rFonts w:eastAsia="Times New Roman" w:cs="Arial"/>
                <w:color w:val="000000"/>
                <w:lang w:eastAsia="bg-BG"/>
              </w:rPr>
            </w:pPr>
            <w:r w:rsidRPr="00F26B25">
              <w:rPr>
                <w:szCs w:val="20"/>
              </w:rPr>
              <w:t>креатин фосфокиназа*</w:t>
            </w:r>
          </w:p>
        </w:tc>
      </w:tr>
      <w:tr w:rsidR="00F26B25" w14:paraId="6D2EFA06" w14:textId="77777777" w:rsidTr="00F26B25">
        <w:tc>
          <w:tcPr>
            <w:tcW w:w="1797" w:type="dxa"/>
          </w:tcPr>
          <w:p w14:paraId="044E7091" w14:textId="6E63B1D6" w:rsidR="00F26B25" w:rsidRPr="00F26B25" w:rsidRDefault="00F26B25" w:rsidP="00F26B25">
            <w:pPr>
              <w:rPr>
                <w:rFonts w:eastAsia="Times New Roman" w:cs="Arial"/>
                <w:color w:val="000000"/>
                <w:lang w:eastAsia="bg-BG"/>
              </w:rPr>
            </w:pPr>
            <w:r w:rsidRPr="00F26B25">
              <w:rPr>
                <w:szCs w:val="20"/>
                <w:u w:val="single"/>
              </w:rPr>
              <w:t>Общи нарушения и ефекти на мястото на приложение</w:t>
            </w:r>
          </w:p>
        </w:tc>
        <w:tc>
          <w:tcPr>
            <w:tcW w:w="1699" w:type="dxa"/>
          </w:tcPr>
          <w:p w14:paraId="50410B92" w14:textId="77777777" w:rsidR="00F26B25" w:rsidRPr="00F26B25" w:rsidRDefault="00F26B25" w:rsidP="00F26B25">
            <w:pPr>
              <w:rPr>
                <w:rFonts w:eastAsia="Times New Roman" w:cs="Arial"/>
                <w:color w:val="000000"/>
                <w:lang w:eastAsia="bg-BG"/>
              </w:rPr>
            </w:pPr>
          </w:p>
        </w:tc>
        <w:tc>
          <w:tcPr>
            <w:tcW w:w="1931" w:type="dxa"/>
          </w:tcPr>
          <w:p w14:paraId="6A65AFE9" w14:textId="01AA4FD0" w:rsidR="00F26B25" w:rsidRPr="00F26B25" w:rsidRDefault="00F26B25" w:rsidP="00F26B25">
            <w:pPr>
              <w:rPr>
                <w:rFonts w:eastAsia="Times New Roman" w:cs="Arial"/>
                <w:color w:val="000000"/>
                <w:lang w:eastAsia="bg-BG"/>
              </w:rPr>
            </w:pPr>
            <w:r w:rsidRPr="00F26B25">
              <w:rPr>
                <w:szCs w:val="20"/>
              </w:rPr>
              <w:t>астения/умора</w:t>
            </w:r>
          </w:p>
        </w:tc>
        <w:tc>
          <w:tcPr>
            <w:tcW w:w="2373" w:type="dxa"/>
          </w:tcPr>
          <w:p w14:paraId="5A1A6F9C" w14:textId="77777777" w:rsidR="00F26B25" w:rsidRPr="00F26B25" w:rsidRDefault="00F26B25" w:rsidP="00F26B25">
            <w:pPr>
              <w:rPr>
                <w:rFonts w:eastAsia="Times New Roman" w:cs="Arial"/>
                <w:color w:val="000000"/>
                <w:lang w:eastAsia="bg-BG"/>
              </w:rPr>
            </w:pPr>
          </w:p>
        </w:tc>
        <w:tc>
          <w:tcPr>
            <w:tcW w:w="1776" w:type="dxa"/>
          </w:tcPr>
          <w:p w14:paraId="43389813" w14:textId="77777777" w:rsidR="00F26B25" w:rsidRPr="00F26B25" w:rsidRDefault="00F26B25" w:rsidP="00F26B25">
            <w:pPr>
              <w:rPr>
                <w:rFonts w:eastAsia="Times New Roman" w:cs="Arial"/>
                <w:color w:val="000000"/>
                <w:lang w:eastAsia="bg-BG"/>
              </w:rPr>
            </w:pPr>
          </w:p>
        </w:tc>
      </w:tr>
      <w:tr w:rsidR="00F26B25" w14:paraId="4F2FF6D4" w14:textId="77777777" w:rsidTr="00F26B25">
        <w:tc>
          <w:tcPr>
            <w:tcW w:w="1797" w:type="dxa"/>
          </w:tcPr>
          <w:p w14:paraId="3E3AB250" w14:textId="7DC495C8" w:rsidR="00F26B25" w:rsidRPr="00F26B25" w:rsidRDefault="00F26B25" w:rsidP="00F26B25">
            <w:pPr>
              <w:rPr>
                <w:rFonts w:eastAsia="Times New Roman" w:cs="Arial"/>
                <w:color w:val="000000"/>
                <w:lang w:eastAsia="bg-BG"/>
              </w:rPr>
            </w:pPr>
            <w:r w:rsidRPr="00F26B25">
              <w:rPr>
                <w:szCs w:val="20"/>
                <w:u w:val="single"/>
              </w:rPr>
              <w:t>Наранявания, отравяния и усложнения, възникнали в резултат на интервенции</w:t>
            </w:r>
          </w:p>
        </w:tc>
        <w:tc>
          <w:tcPr>
            <w:tcW w:w="1699" w:type="dxa"/>
          </w:tcPr>
          <w:p w14:paraId="6CD783E5" w14:textId="77777777" w:rsidR="00F26B25" w:rsidRPr="00F26B25" w:rsidRDefault="00F26B25" w:rsidP="00F26B25">
            <w:pPr>
              <w:rPr>
                <w:rFonts w:eastAsia="Times New Roman" w:cs="Arial"/>
                <w:color w:val="000000"/>
                <w:lang w:eastAsia="bg-BG"/>
              </w:rPr>
            </w:pPr>
          </w:p>
        </w:tc>
        <w:tc>
          <w:tcPr>
            <w:tcW w:w="1931" w:type="dxa"/>
          </w:tcPr>
          <w:p w14:paraId="22EBEA6B" w14:textId="77777777" w:rsidR="00F26B25" w:rsidRPr="00F26B25" w:rsidRDefault="00F26B25" w:rsidP="00F26B25">
            <w:pPr>
              <w:rPr>
                <w:rFonts w:eastAsia="Times New Roman" w:cs="Arial"/>
                <w:color w:val="000000"/>
                <w:lang w:eastAsia="bg-BG"/>
              </w:rPr>
            </w:pPr>
          </w:p>
        </w:tc>
        <w:tc>
          <w:tcPr>
            <w:tcW w:w="2373" w:type="dxa"/>
          </w:tcPr>
          <w:p w14:paraId="4F8CD905" w14:textId="79B314D6" w:rsidR="00F26B25" w:rsidRPr="00F26B25" w:rsidRDefault="00F26B25" w:rsidP="00F26B25">
            <w:pPr>
              <w:rPr>
                <w:rFonts w:eastAsia="Times New Roman" w:cs="Arial"/>
                <w:color w:val="000000"/>
                <w:lang w:eastAsia="bg-BG"/>
              </w:rPr>
            </w:pPr>
            <w:r w:rsidRPr="00F26B25">
              <w:rPr>
                <w:szCs w:val="20"/>
              </w:rPr>
              <w:t>нараняване</w:t>
            </w:r>
          </w:p>
        </w:tc>
        <w:tc>
          <w:tcPr>
            <w:tcW w:w="1776" w:type="dxa"/>
          </w:tcPr>
          <w:p w14:paraId="696E7FF6" w14:textId="77777777" w:rsidR="00F26B25" w:rsidRPr="00F26B25" w:rsidRDefault="00F26B25" w:rsidP="00F26B25">
            <w:pPr>
              <w:rPr>
                <w:rFonts w:eastAsia="Times New Roman" w:cs="Arial"/>
                <w:color w:val="000000"/>
                <w:lang w:eastAsia="bg-BG"/>
              </w:rPr>
            </w:pPr>
          </w:p>
        </w:tc>
      </w:tr>
    </w:tbl>
    <w:p w14:paraId="2538E82C" w14:textId="7D00226A" w:rsidR="00F26B25" w:rsidRPr="00F26B25" w:rsidRDefault="00F26B25" w:rsidP="00F26B25">
      <w:pPr>
        <w:spacing w:line="240" w:lineRule="auto"/>
        <w:rPr>
          <w:rFonts w:eastAsia="Times New Roman" w:cs="Arial"/>
        </w:rPr>
      </w:pPr>
      <w:r w:rsidRPr="00F26B25">
        <w:rPr>
          <w:rFonts w:eastAsia="Times New Roman" w:cs="Arial"/>
          <w:color w:val="000000"/>
          <w:lang w:eastAsia="bg-BG"/>
        </w:rPr>
        <w:t>* Значително по-висока честота се наблюдава при пациенти от японски произход в сравнение с пациенти от неяпонски произход.</w:t>
      </w:r>
    </w:p>
    <w:p w14:paraId="59728EEE" w14:textId="77777777" w:rsidR="00F26B25" w:rsidRPr="00F26B25" w:rsidRDefault="00F26B25" w:rsidP="00F26B25">
      <w:pPr>
        <w:spacing w:line="240" w:lineRule="auto"/>
        <w:rPr>
          <w:rFonts w:eastAsia="Times New Roman" w:cs="Arial"/>
          <w:color w:val="000000"/>
          <w:u w:val="single"/>
          <w:lang w:eastAsia="bg-BG"/>
        </w:rPr>
      </w:pPr>
    </w:p>
    <w:p w14:paraId="132FAEBD" w14:textId="09353658" w:rsidR="00F26B25" w:rsidRPr="00F26B25" w:rsidRDefault="00F26B25" w:rsidP="00F26B25">
      <w:pPr>
        <w:spacing w:line="240" w:lineRule="auto"/>
        <w:rPr>
          <w:rFonts w:eastAsia="Times New Roman" w:cs="Arial"/>
        </w:rPr>
      </w:pPr>
      <w:r w:rsidRPr="00F26B25">
        <w:rPr>
          <w:rFonts w:eastAsia="Times New Roman" w:cs="Arial"/>
          <w:color w:val="000000"/>
          <w:u w:val="single"/>
          <w:lang w:eastAsia="bg-BG"/>
        </w:rPr>
        <w:t>Описание на избрани нежелани реакции</w:t>
      </w:r>
    </w:p>
    <w:p w14:paraId="71DDCDB3" w14:textId="77777777" w:rsidR="00F26B25" w:rsidRPr="00F26B25" w:rsidRDefault="00F26B25" w:rsidP="00F26B25">
      <w:pPr>
        <w:spacing w:line="240" w:lineRule="auto"/>
        <w:rPr>
          <w:rFonts w:eastAsia="Times New Roman" w:cs="Arial"/>
          <w:color w:val="000000"/>
          <w:lang w:eastAsia="bg-BG"/>
        </w:rPr>
      </w:pPr>
    </w:p>
    <w:p w14:paraId="274F3877" w14:textId="1AE22CCF" w:rsidR="00F26B25" w:rsidRPr="00F26B25" w:rsidRDefault="00F26B25" w:rsidP="00F26B25">
      <w:pPr>
        <w:spacing w:line="240" w:lineRule="auto"/>
        <w:rPr>
          <w:rFonts w:eastAsia="Times New Roman" w:cs="Arial"/>
        </w:rPr>
      </w:pPr>
      <w:r w:rsidRPr="00F26B25">
        <w:rPr>
          <w:rFonts w:eastAsia="Times New Roman" w:cs="Arial"/>
          <w:color w:val="000000"/>
          <w:lang w:eastAsia="bg-BG"/>
        </w:rPr>
        <w:t>Рискът от анорексия е по-висок, когато леветирацетам се прилага едновременно с топирамат. При няколко случая на алопеция се наблюдава възстановяване след преустановяване на леветирацетам.</w:t>
      </w:r>
    </w:p>
    <w:p w14:paraId="253602BA" w14:textId="77777777" w:rsidR="00F26B25" w:rsidRPr="00F26B25" w:rsidRDefault="00F26B25" w:rsidP="00F26B25">
      <w:pPr>
        <w:spacing w:line="240" w:lineRule="auto"/>
        <w:rPr>
          <w:rFonts w:eastAsia="Times New Roman" w:cs="Arial"/>
        </w:rPr>
      </w:pPr>
      <w:r w:rsidRPr="00F26B25">
        <w:rPr>
          <w:rFonts w:eastAsia="Times New Roman" w:cs="Arial"/>
          <w:color w:val="000000"/>
          <w:lang w:eastAsia="bg-BG"/>
        </w:rPr>
        <w:t>В някои от случаите на панцитопения се наблюдава потискане на костно-мозъчната функция.</w:t>
      </w:r>
    </w:p>
    <w:p w14:paraId="793C492F" w14:textId="77777777" w:rsidR="00F26B25" w:rsidRPr="00F26B25" w:rsidRDefault="00F26B25" w:rsidP="00F26B25">
      <w:pPr>
        <w:spacing w:line="240" w:lineRule="auto"/>
        <w:rPr>
          <w:rFonts w:eastAsia="Times New Roman" w:cs="Arial"/>
          <w:color w:val="000000"/>
          <w:lang w:eastAsia="bg-BG"/>
        </w:rPr>
      </w:pPr>
    </w:p>
    <w:p w14:paraId="241356B7" w14:textId="65293753" w:rsidR="00F26B25" w:rsidRPr="00F26B25" w:rsidRDefault="00F26B25" w:rsidP="00F26B25">
      <w:pPr>
        <w:spacing w:line="240" w:lineRule="auto"/>
        <w:rPr>
          <w:rFonts w:eastAsia="Times New Roman" w:cs="Arial"/>
        </w:rPr>
      </w:pPr>
      <w:r w:rsidRPr="00F26B25">
        <w:rPr>
          <w:rFonts w:eastAsia="Times New Roman" w:cs="Arial"/>
          <w:color w:val="000000"/>
          <w:lang w:eastAsia="bg-BG"/>
        </w:rPr>
        <w:t>Случаи на енцефалопатия обикновено настъпват в началото на лечението (няколко дни до няколко месеца) и са обратими след спиране на лечението.</w:t>
      </w:r>
    </w:p>
    <w:p w14:paraId="13FF6855" w14:textId="77777777" w:rsidR="00F26B25" w:rsidRPr="00F26B25" w:rsidRDefault="00F26B25" w:rsidP="00F26B25">
      <w:pPr>
        <w:spacing w:line="240" w:lineRule="auto"/>
        <w:rPr>
          <w:rFonts w:eastAsia="Times New Roman" w:cs="Arial"/>
          <w:color w:val="000000"/>
          <w:u w:val="single"/>
          <w:lang w:eastAsia="bg-BG"/>
        </w:rPr>
      </w:pPr>
    </w:p>
    <w:p w14:paraId="14F2665A" w14:textId="1C6D9F52" w:rsidR="00F26B25" w:rsidRPr="00F26B25" w:rsidRDefault="00F26B25" w:rsidP="00F26B25">
      <w:pPr>
        <w:spacing w:line="240" w:lineRule="auto"/>
        <w:rPr>
          <w:rFonts w:eastAsia="Times New Roman" w:cs="Arial"/>
        </w:rPr>
      </w:pPr>
      <w:r w:rsidRPr="00F26B25">
        <w:rPr>
          <w:rFonts w:eastAsia="Times New Roman" w:cs="Arial"/>
          <w:color w:val="000000"/>
          <w:u w:val="single"/>
          <w:lang w:eastAsia="bg-BG"/>
        </w:rPr>
        <w:t>Педиатрична популация</w:t>
      </w:r>
    </w:p>
    <w:p w14:paraId="0E6691C0" w14:textId="77777777" w:rsidR="00F26B25" w:rsidRPr="00F26B25" w:rsidRDefault="00F26B25" w:rsidP="00F26B25">
      <w:pPr>
        <w:spacing w:line="240" w:lineRule="auto"/>
        <w:rPr>
          <w:rFonts w:eastAsia="Times New Roman" w:cs="Arial"/>
          <w:color w:val="000000"/>
          <w:lang w:eastAsia="bg-BG"/>
        </w:rPr>
      </w:pPr>
    </w:p>
    <w:p w14:paraId="324D4331" w14:textId="3485DC70" w:rsidR="00F26B25" w:rsidRPr="00F26B25" w:rsidRDefault="00F26B25" w:rsidP="00F26B25">
      <w:pPr>
        <w:spacing w:line="240" w:lineRule="auto"/>
        <w:rPr>
          <w:rFonts w:eastAsia="Times New Roman" w:cs="Arial"/>
        </w:rPr>
      </w:pPr>
      <w:r w:rsidRPr="00F26B25">
        <w:rPr>
          <w:rFonts w:eastAsia="Times New Roman" w:cs="Arial"/>
          <w:color w:val="000000"/>
          <w:lang w:eastAsia="bg-BG"/>
        </w:rPr>
        <w:t>При пациенти на възраст от 1 месец до под 4 години, общо 190 пациенти са били лекувани с леветирацетам в плацебо-контролирани и открити разширени проучвания. Шестдесет (60) от тези пациенти са били лекувани с леветирацетам в плацебо-контролирани проучвания. При пациенти на възраст 4-16 години, общо 645 пациенти са били лекувани с леветирацетам в плацебо-контролирани и открити разширени проучвания. В плацебо-контролирани проучвания 233 от тези пациенти са били лекувани с леветирацетам. В тези две педиатрични възрастови групи, тези данни са допълнени с постмаркетинговия опит за употреба на леветирацетам.</w:t>
      </w:r>
    </w:p>
    <w:p w14:paraId="5B20E92B" w14:textId="77777777" w:rsidR="00F26B25" w:rsidRPr="00F26B25" w:rsidRDefault="00F26B25" w:rsidP="00F26B25">
      <w:pPr>
        <w:spacing w:line="240" w:lineRule="auto"/>
        <w:rPr>
          <w:rFonts w:eastAsia="Times New Roman" w:cs="Arial"/>
          <w:color w:val="000000"/>
          <w:lang w:eastAsia="bg-BG"/>
        </w:rPr>
      </w:pPr>
    </w:p>
    <w:p w14:paraId="591786FD" w14:textId="0FF23D28" w:rsidR="00F26B25" w:rsidRPr="00F26B25" w:rsidRDefault="00F26B25" w:rsidP="00F26B25">
      <w:pPr>
        <w:spacing w:line="240" w:lineRule="auto"/>
        <w:rPr>
          <w:rFonts w:eastAsia="Times New Roman" w:cs="Arial"/>
        </w:rPr>
      </w:pPr>
      <w:r w:rsidRPr="00F26B25">
        <w:rPr>
          <w:rFonts w:eastAsia="Times New Roman" w:cs="Arial"/>
          <w:color w:val="000000"/>
          <w:lang w:eastAsia="bg-BG"/>
        </w:rPr>
        <w:t>Освен това 101 кърмачета на възраст под 12 месеца са били с експозиция в постмаркетингово проучване за безопасност. Не са идентифицирани нови съображения за безопасност относно леветирацетам при деца с епилепсия на възраст под 12 месеца.</w:t>
      </w:r>
    </w:p>
    <w:p w14:paraId="7ECB28C7" w14:textId="77777777" w:rsidR="00F26B25" w:rsidRPr="00F26B25" w:rsidRDefault="00F26B25" w:rsidP="00F26B25">
      <w:pPr>
        <w:spacing w:line="240" w:lineRule="auto"/>
        <w:rPr>
          <w:rFonts w:eastAsia="Times New Roman" w:cs="Arial"/>
          <w:color w:val="000000"/>
          <w:lang w:eastAsia="bg-BG"/>
        </w:rPr>
      </w:pPr>
    </w:p>
    <w:p w14:paraId="76A29018" w14:textId="189DF4F5" w:rsidR="00F26B25" w:rsidRPr="00F26B25" w:rsidRDefault="00F26B25" w:rsidP="00F26B25">
      <w:pPr>
        <w:spacing w:line="240" w:lineRule="auto"/>
        <w:rPr>
          <w:rFonts w:eastAsia="Times New Roman" w:cs="Arial"/>
        </w:rPr>
      </w:pPr>
      <w:r w:rsidRPr="00F26B25">
        <w:rPr>
          <w:rFonts w:eastAsia="Times New Roman" w:cs="Arial"/>
          <w:color w:val="000000"/>
          <w:lang w:eastAsia="bg-BG"/>
        </w:rPr>
        <w:t>Профилът на нежеланите реакции на леветирацетам е по принцип е подобен при различните възрастови групи и в рамките на одобрените показания, свързани с епилепсията. Резултатите за безопасност при педиатрични пациенти в плацебо-контролирани клинични проучвания са в съответствие с профила на безопасност на леветирацетам при възрастни, с изключение на поведенческите и психични нежелани реакции, които са по-чести при деца отколкото при възрастни. При деца и юноши на възраст от 4 до 16 години, повръщане (много чести 11,2 %), възбуда (чести 3,4 %), промени в настроението (чести 2,1 %), емоционална нестабилност (чести 1,7 %), агресия (чести 8,2 %), необичайно поведение (обща 5,6 %) и летаргия (общи 3,9%) са съобщавани по-често, отколкото в другите възрастови групи или в общия профил на</w:t>
      </w:r>
    </w:p>
    <w:p w14:paraId="5CDDC303" w14:textId="52E848F6" w:rsidR="00F26B25" w:rsidRPr="00F26B25" w:rsidRDefault="00F26B25" w:rsidP="00F26B25">
      <w:pPr>
        <w:rPr>
          <w:rFonts w:eastAsia="Times New Roman" w:cs="Arial"/>
          <w:color w:val="000000"/>
          <w:lang w:eastAsia="bg-BG"/>
        </w:rPr>
      </w:pPr>
      <w:r w:rsidRPr="00F26B25">
        <w:rPr>
          <w:rFonts w:eastAsia="Times New Roman" w:cs="Arial"/>
          <w:color w:val="000000"/>
          <w:lang w:eastAsia="bg-BG"/>
        </w:rPr>
        <w:t>безопасност. При кърмачета и деца на възраст от 1 месец до под 4 години, раздразнителност (много чести 11,7 %) и нарушена координация (чести 3,3 %) са съобщавани по-често, отколкото при другите възрастови групи, или в общия профил на безопасност.</w:t>
      </w:r>
    </w:p>
    <w:p w14:paraId="3443EA26" w14:textId="2C7A730C" w:rsidR="00F26B25" w:rsidRPr="00F26B25" w:rsidRDefault="00F26B25" w:rsidP="00F26B25">
      <w:pPr>
        <w:rPr>
          <w:rFonts w:eastAsia="Times New Roman" w:cs="Arial"/>
          <w:color w:val="000000"/>
          <w:lang w:eastAsia="bg-BG"/>
        </w:rPr>
      </w:pPr>
    </w:p>
    <w:p w14:paraId="42A75CF1" w14:textId="77777777" w:rsidR="00F26B25" w:rsidRPr="00F26B25" w:rsidRDefault="00F26B25" w:rsidP="00F26B25">
      <w:pPr>
        <w:spacing w:line="240" w:lineRule="auto"/>
        <w:rPr>
          <w:rFonts w:eastAsia="Times New Roman" w:cs="Arial"/>
        </w:rPr>
      </w:pPr>
      <w:r w:rsidRPr="00F26B25">
        <w:rPr>
          <w:rFonts w:eastAsia="Times New Roman" w:cs="Arial"/>
          <w:color w:val="000000"/>
          <w:lang w:eastAsia="bg-BG"/>
        </w:rPr>
        <w:t xml:space="preserve">Двойно-сляпо, плацебо контролирано проучване за безопасност при деца с неинфериорен дизайн е оценило когнитивното и невропсихологичното действие на леветирацетам при деца от 4 до 16-годишна възраст с парциални пристъпи. Установено е, че леветирацетам не се различава (не е по-лош) от плацебо по отношение на промяната спрямо изходното ниво на </w:t>
      </w:r>
      <w:r w:rsidRPr="00F26B25">
        <w:rPr>
          <w:rFonts w:eastAsia="Times New Roman" w:cs="Arial"/>
          <w:i/>
          <w:iCs/>
          <w:color w:val="000000"/>
          <w:lang w:val="en-US"/>
        </w:rPr>
        <w:t>Leiter</w:t>
      </w:r>
      <w:r w:rsidRPr="00F26B25">
        <w:rPr>
          <w:rFonts w:eastAsia="Times New Roman" w:cs="Arial"/>
          <w:i/>
          <w:iCs/>
          <w:color w:val="000000"/>
          <w:lang w:val="ru-RU"/>
        </w:rPr>
        <w:t>-</w:t>
      </w:r>
      <w:r w:rsidRPr="00F26B25">
        <w:rPr>
          <w:rFonts w:eastAsia="Times New Roman" w:cs="Arial"/>
          <w:i/>
          <w:iCs/>
          <w:color w:val="000000"/>
          <w:lang w:val="en-US"/>
        </w:rPr>
        <w:t>R</w:t>
      </w:r>
      <w:r w:rsidRPr="00F26B25">
        <w:rPr>
          <w:rFonts w:eastAsia="Times New Roman" w:cs="Arial"/>
          <w:color w:val="000000"/>
          <w:lang w:val="ru-RU"/>
        </w:rPr>
        <w:t xml:space="preserve"> </w:t>
      </w:r>
      <w:r w:rsidRPr="00F26B25">
        <w:rPr>
          <w:rFonts w:eastAsia="Times New Roman" w:cs="Arial"/>
          <w:color w:val="000000"/>
          <w:lang w:eastAsia="bg-BG"/>
        </w:rPr>
        <w:t xml:space="preserve">внимание и памет, комбиниран скор за изследване на паметта в определената в протокола популация. Резултатите, свързани с поведенческата и емоционална функция, са показали влошаване при лекуваните с леветирацетам пациенти по отношение на агресивно поведение, измерено по стандартен и систематизиран метод чрез използване на валидиран способ </w:t>
      </w:r>
      <w:r w:rsidRPr="00F26B25">
        <w:rPr>
          <w:rFonts w:eastAsia="Times New Roman" w:cs="Arial"/>
          <w:color w:val="000000"/>
          <w:lang w:val="ru-RU"/>
        </w:rPr>
        <w:t>(</w:t>
      </w:r>
      <w:r w:rsidRPr="00F26B25">
        <w:rPr>
          <w:rFonts w:eastAsia="Times New Roman" w:cs="Arial"/>
          <w:color w:val="000000"/>
          <w:lang w:val="en-US"/>
        </w:rPr>
        <w:t>CBCL</w:t>
      </w:r>
      <w:r w:rsidRPr="00F26B25">
        <w:rPr>
          <w:rFonts w:eastAsia="Times New Roman" w:cs="Arial"/>
          <w:color w:val="000000"/>
          <w:lang w:val="ru-RU"/>
        </w:rPr>
        <w:t xml:space="preserve"> </w:t>
      </w:r>
      <w:r w:rsidRPr="00F26B25">
        <w:rPr>
          <w:rFonts w:eastAsia="Times New Roman" w:cs="Arial"/>
          <w:color w:val="000000"/>
          <w:lang w:eastAsia="bg-BG"/>
        </w:rPr>
        <w:t xml:space="preserve">- </w:t>
      </w:r>
      <w:r w:rsidRPr="00F26B25">
        <w:rPr>
          <w:rFonts w:eastAsia="Times New Roman" w:cs="Arial"/>
          <w:color w:val="000000"/>
          <w:lang w:val="en-US"/>
        </w:rPr>
        <w:t>Achenbach</w:t>
      </w:r>
      <w:r w:rsidRPr="00F26B25">
        <w:rPr>
          <w:rFonts w:eastAsia="Times New Roman" w:cs="Arial"/>
          <w:color w:val="000000"/>
          <w:lang w:val="ru-RU"/>
        </w:rPr>
        <w:t xml:space="preserve"> </w:t>
      </w:r>
      <w:r w:rsidRPr="00F26B25">
        <w:rPr>
          <w:rFonts w:eastAsia="Times New Roman" w:cs="Arial"/>
          <w:color w:val="000000"/>
          <w:lang w:eastAsia="bg-BG"/>
        </w:rPr>
        <w:t>въпросник за детско поведение). Въпреки това, пациентите, приемали леветирацетам по време на продължително, открито проследяващо проучване, не са показали общо влошаване по отношение на поведението или емоционалната функция; нещо повече, показателите за агресивно поведение не са показали влошаване спрямо изходните стойности.</w:t>
      </w:r>
    </w:p>
    <w:p w14:paraId="6F01046C" w14:textId="77777777" w:rsidR="00F26B25" w:rsidRPr="00F26B25" w:rsidRDefault="00F26B25" w:rsidP="00F26B25">
      <w:pPr>
        <w:spacing w:line="240" w:lineRule="auto"/>
        <w:rPr>
          <w:rFonts w:eastAsia="Times New Roman" w:cs="Arial"/>
          <w:color w:val="000000"/>
          <w:u w:val="single"/>
          <w:lang w:eastAsia="bg-BG"/>
        </w:rPr>
      </w:pPr>
    </w:p>
    <w:p w14:paraId="29A55A7A" w14:textId="7BF13166" w:rsidR="00F26B25" w:rsidRPr="00F26B25" w:rsidRDefault="00F26B25" w:rsidP="00F26B25">
      <w:pPr>
        <w:spacing w:line="240" w:lineRule="auto"/>
        <w:rPr>
          <w:rFonts w:eastAsia="Times New Roman" w:cs="Arial"/>
        </w:rPr>
      </w:pPr>
      <w:r w:rsidRPr="00F26B25">
        <w:rPr>
          <w:rFonts w:eastAsia="Times New Roman" w:cs="Arial"/>
          <w:color w:val="000000"/>
          <w:u w:val="single"/>
          <w:lang w:eastAsia="bg-BG"/>
        </w:rPr>
        <w:t>Съобщаване на подозирани нежелани реакции</w:t>
      </w:r>
    </w:p>
    <w:p w14:paraId="2AE82EAA" w14:textId="77777777" w:rsidR="00F26B25" w:rsidRPr="00F26B25" w:rsidRDefault="00F26B25" w:rsidP="00F26B25">
      <w:pPr>
        <w:spacing w:line="240" w:lineRule="auto"/>
        <w:rPr>
          <w:rFonts w:eastAsia="Times New Roman" w:cs="Arial"/>
          <w:color w:val="000000"/>
          <w:lang w:eastAsia="bg-BG"/>
        </w:rPr>
      </w:pPr>
    </w:p>
    <w:p w14:paraId="478CB464" w14:textId="15139281" w:rsidR="00F26B25" w:rsidRPr="00F26B25" w:rsidRDefault="00F26B25" w:rsidP="00F26B25">
      <w:pPr>
        <w:spacing w:line="240" w:lineRule="auto"/>
        <w:rPr>
          <w:rFonts w:eastAsia="Times New Roman" w:cs="Arial"/>
        </w:rPr>
      </w:pPr>
      <w:r w:rsidRPr="00F26B2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F26B25">
        <w:rPr>
          <w:rFonts w:eastAsia="Times New Roman" w:cs="Arial"/>
        </w:rPr>
        <w:fldChar w:fldCharType="begin"/>
      </w:r>
      <w:r w:rsidRPr="00F26B25">
        <w:rPr>
          <w:rFonts w:eastAsia="Times New Roman" w:cs="Arial"/>
        </w:rPr>
        <w:instrText xml:space="preserve"> HYPERLINK "http://www.bda.bg" </w:instrText>
      </w:r>
      <w:r w:rsidRPr="00F26B25">
        <w:rPr>
          <w:rFonts w:eastAsia="Times New Roman" w:cs="Arial"/>
        </w:rPr>
      </w:r>
      <w:r w:rsidRPr="00F26B25">
        <w:rPr>
          <w:rFonts w:eastAsia="Times New Roman" w:cs="Arial"/>
        </w:rPr>
        <w:fldChar w:fldCharType="separate"/>
      </w:r>
      <w:r w:rsidRPr="00F26B25">
        <w:rPr>
          <w:rFonts w:eastAsia="Times New Roman" w:cs="Arial"/>
          <w:color w:val="000000"/>
          <w:lang w:val="en-US"/>
        </w:rPr>
        <w:t>www.bda.bg</w:t>
      </w:r>
      <w:r w:rsidRPr="00F26B25">
        <w:rPr>
          <w:rFonts w:eastAsia="Times New Roman" w:cs="Arial"/>
        </w:rPr>
        <w:fldChar w:fldCharType="end"/>
      </w:r>
      <w:r w:rsidRPr="00F26B25">
        <w:rPr>
          <w:rFonts w:eastAsia="Times New Roman" w:cs="Arial"/>
          <w:color w:val="000000"/>
          <w:lang w:val="en-US"/>
        </w:rPr>
        <w:t>.</w:t>
      </w:r>
    </w:p>
    <w:p w14:paraId="709C5285" w14:textId="77777777" w:rsidR="00F26B25" w:rsidRPr="00F26B25" w:rsidRDefault="00F26B25" w:rsidP="00F26B25"/>
    <w:p w14:paraId="5A87DBA3" w14:textId="78CD9E2E" w:rsidR="007122AD" w:rsidRDefault="002C50EE" w:rsidP="00936AD0">
      <w:pPr>
        <w:pStyle w:val="Heading2"/>
      </w:pPr>
      <w:r>
        <w:t>4.9. Предозиране</w:t>
      </w:r>
    </w:p>
    <w:p w14:paraId="033A3D21" w14:textId="6C47DC8C" w:rsidR="00F26B25" w:rsidRDefault="00F26B25" w:rsidP="00F26B25"/>
    <w:p w14:paraId="4520B973" w14:textId="77777777" w:rsidR="00F26B25" w:rsidRPr="00F26B25" w:rsidRDefault="00F26B25" w:rsidP="00F26B25">
      <w:pPr>
        <w:pStyle w:val="Heading3"/>
        <w:rPr>
          <w:rFonts w:eastAsia="Times New Roman"/>
          <w:u w:val="single"/>
        </w:rPr>
      </w:pPr>
      <w:r w:rsidRPr="00F26B25">
        <w:rPr>
          <w:rFonts w:eastAsia="Times New Roman"/>
          <w:u w:val="single"/>
          <w:lang w:eastAsia="bg-BG"/>
        </w:rPr>
        <w:t>Симптоми</w:t>
      </w:r>
    </w:p>
    <w:p w14:paraId="5D607A3A" w14:textId="77777777" w:rsidR="00F26B25" w:rsidRPr="00F26B25" w:rsidRDefault="00F26B25" w:rsidP="00F26B25">
      <w:pPr>
        <w:spacing w:line="240" w:lineRule="auto"/>
        <w:rPr>
          <w:rFonts w:eastAsia="Times New Roman" w:cs="Arial"/>
          <w:color w:val="000000"/>
          <w:lang w:eastAsia="bg-BG"/>
        </w:rPr>
      </w:pPr>
    </w:p>
    <w:p w14:paraId="13773BA2" w14:textId="3B80F5BF"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Сомнолентност, тревожност, агресия, потиснато съзнание, потискане на дишането и кома са били наблюдавани при предозиране на леветирацетам.</w:t>
      </w:r>
    </w:p>
    <w:p w14:paraId="02F992CA" w14:textId="77777777" w:rsidR="00F26B25" w:rsidRPr="00F26B25" w:rsidRDefault="00F26B25" w:rsidP="00F26B25">
      <w:pPr>
        <w:spacing w:line="240" w:lineRule="auto"/>
        <w:rPr>
          <w:rFonts w:eastAsia="Times New Roman" w:cs="Arial"/>
          <w:color w:val="000000"/>
          <w:u w:val="single"/>
          <w:lang w:eastAsia="bg-BG"/>
        </w:rPr>
      </w:pPr>
    </w:p>
    <w:p w14:paraId="60377AEF" w14:textId="4317CBFD" w:rsidR="00F26B25" w:rsidRPr="00F26B25" w:rsidRDefault="00F26B25" w:rsidP="00F26B25">
      <w:pPr>
        <w:pStyle w:val="Heading3"/>
        <w:rPr>
          <w:rFonts w:eastAsia="Times New Roman"/>
          <w:u w:val="single"/>
        </w:rPr>
      </w:pPr>
      <w:r w:rsidRPr="00F26B25">
        <w:rPr>
          <w:rFonts w:eastAsia="Times New Roman"/>
          <w:u w:val="single"/>
          <w:lang w:eastAsia="bg-BG"/>
        </w:rPr>
        <w:t>Лечение</w:t>
      </w:r>
    </w:p>
    <w:p w14:paraId="48D589E4" w14:textId="77777777" w:rsidR="00F26B25" w:rsidRPr="00F26B25" w:rsidRDefault="00F26B25" w:rsidP="00F26B25">
      <w:pPr>
        <w:spacing w:line="240" w:lineRule="auto"/>
        <w:rPr>
          <w:rFonts w:eastAsia="Times New Roman" w:cs="Arial"/>
          <w:color w:val="000000"/>
          <w:lang w:eastAsia="bg-BG"/>
        </w:rPr>
      </w:pPr>
    </w:p>
    <w:p w14:paraId="4B740ECC" w14:textId="391040E0"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lastRenderedPageBreak/>
        <w:t>След остро предозиране е необходимо изпразване на стомаха чрез стомашна промивка или предизвикване на повръщане. Няма специфичен антидот на леветирацетам. Лечението при предозиране е симптоматично и може да включва хемодиализа. Ефективността на диализата е 60 % за леветирацета</w:t>
      </w:r>
      <w:r>
        <w:rPr>
          <w:rFonts w:eastAsia="Times New Roman" w:cs="Arial"/>
          <w:color w:val="000000"/>
          <w:lang w:eastAsia="bg-BG"/>
        </w:rPr>
        <w:t>м и 74 % за първичния метаболит.</w:t>
      </w:r>
    </w:p>
    <w:p w14:paraId="1BE4E498" w14:textId="77777777" w:rsidR="00F26B25" w:rsidRPr="00F26B25" w:rsidRDefault="00F26B25" w:rsidP="00F26B25"/>
    <w:p w14:paraId="02081B24" w14:textId="1F46E296" w:rsidR="00395555" w:rsidRPr="00395555" w:rsidRDefault="002C50EE" w:rsidP="008A6AF2">
      <w:pPr>
        <w:pStyle w:val="Heading1"/>
      </w:pPr>
      <w:r>
        <w:t>5. ФАРМАКОЛОГИЧНИ СВОЙСТВА</w:t>
      </w:r>
    </w:p>
    <w:p w14:paraId="7DE36AC8" w14:textId="69BDFAFB" w:rsidR="00B6672E" w:rsidRDefault="002C50EE" w:rsidP="00936AD0">
      <w:pPr>
        <w:pStyle w:val="Heading2"/>
      </w:pPr>
      <w:r>
        <w:t>5.1. Фармакодинамични свойства</w:t>
      </w:r>
    </w:p>
    <w:p w14:paraId="38525443" w14:textId="49776974" w:rsidR="00F26B25" w:rsidRDefault="00F26B25" w:rsidP="00F26B25"/>
    <w:p w14:paraId="5A4AEB12"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Фармакотерапевтична група</w:t>
      </w:r>
      <w:r w:rsidRPr="00F26B25">
        <w:rPr>
          <w:rFonts w:eastAsia="Times New Roman" w:cs="Arial"/>
          <w:color w:val="000000"/>
          <w:lang w:eastAsia="bg-BG"/>
        </w:rPr>
        <w:t xml:space="preserve">: Антиепилептични средства, други антиепилептични средства, АТСкод: </w:t>
      </w:r>
      <w:r w:rsidRPr="00F26B25">
        <w:rPr>
          <w:rFonts w:eastAsia="Times New Roman" w:cs="Arial"/>
          <w:color w:val="000000"/>
          <w:lang w:val="en-US"/>
        </w:rPr>
        <w:t>N</w:t>
      </w:r>
      <w:r w:rsidRPr="00F26B25">
        <w:rPr>
          <w:rFonts w:eastAsia="Times New Roman" w:cs="Arial"/>
          <w:color w:val="000000"/>
          <w:lang w:val="ru-RU"/>
        </w:rPr>
        <w:t>03</w:t>
      </w:r>
      <w:r w:rsidRPr="00F26B25">
        <w:rPr>
          <w:rFonts w:eastAsia="Times New Roman" w:cs="Arial"/>
          <w:color w:val="000000"/>
          <w:lang w:val="en-US"/>
        </w:rPr>
        <w:t>AX</w:t>
      </w:r>
      <w:r w:rsidRPr="00F26B25">
        <w:rPr>
          <w:rFonts w:eastAsia="Times New Roman" w:cs="Arial"/>
          <w:color w:val="000000"/>
          <w:lang w:val="ru-RU"/>
        </w:rPr>
        <w:t>14.</w:t>
      </w:r>
    </w:p>
    <w:p w14:paraId="347FB9AB" w14:textId="77777777" w:rsidR="00F26B25" w:rsidRPr="00F26B25" w:rsidRDefault="00F26B25" w:rsidP="00F26B25">
      <w:pPr>
        <w:spacing w:line="240" w:lineRule="auto"/>
        <w:rPr>
          <w:rFonts w:eastAsia="Times New Roman" w:cs="Arial"/>
          <w:color w:val="000000"/>
          <w:lang w:eastAsia="bg-BG"/>
        </w:rPr>
      </w:pPr>
    </w:p>
    <w:p w14:paraId="07290708" w14:textId="138A1CCE"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Активното вещество леветирацетам е пиролидоново производно </w:t>
      </w:r>
      <w:r w:rsidRPr="00F26B25">
        <w:rPr>
          <w:rFonts w:eastAsia="Times New Roman" w:cs="Arial"/>
          <w:color w:val="000000"/>
          <w:lang w:val="ru-RU"/>
        </w:rPr>
        <w:t>(</w:t>
      </w:r>
      <w:r w:rsidRPr="00F26B25">
        <w:rPr>
          <w:rFonts w:eastAsia="Times New Roman" w:cs="Arial"/>
          <w:color w:val="000000"/>
          <w:lang w:val="en-US"/>
        </w:rPr>
        <w:t>S</w:t>
      </w:r>
      <w:r w:rsidRPr="00F26B25">
        <w:rPr>
          <w:rFonts w:eastAsia="Times New Roman" w:cs="Arial"/>
          <w:color w:val="000000"/>
          <w:lang w:eastAsia="bg-BG"/>
        </w:rPr>
        <w:t>-енантиомер на α-етил-2-оксо-1 -пиролидин ацетамид), химично несвързан със съществуващите антиепилептични средства.</w:t>
      </w:r>
    </w:p>
    <w:p w14:paraId="769EAF67" w14:textId="77777777" w:rsidR="00F26B25" w:rsidRPr="00F26B25" w:rsidRDefault="00F26B25" w:rsidP="00F26B25">
      <w:pPr>
        <w:spacing w:line="240" w:lineRule="auto"/>
        <w:rPr>
          <w:rFonts w:eastAsia="Times New Roman" w:cs="Arial"/>
          <w:color w:val="000000"/>
          <w:u w:val="single"/>
          <w:lang w:eastAsia="bg-BG"/>
        </w:rPr>
      </w:pPr>
    </w:p>
    <w:p w14:paraId="4BFF6A30" w14:textId="08C7DE10"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Механизъм на действие</w:t>
      </w:r>
    </w:p>
    <w:p w14:paraId="0398AF4F" w14:textId="77777777" w:rsidR="00F26B25" w:rsidRPr="00F26B25" w:rsidRDefault="00F26B25" w:rsidP="00F26B25">
      <w:pPr>
        <w:spacing w:line="240" w:lineRule="auto"/>
        <w:rPr>
          <w:rFonts w:eastAsia="Times New Roman" w:cs="Arial"/>
          <w:color w:val="000000"/>
          <w:lang w:eastAsia="bg-BG"/>
        </w:rPr>
      </w:pPr>
    </w:p>
    <w:p w14:paraId="20999AB1" w14:textId="40BBE6F9"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Механизмът на действие на леветирацетам все още не е напълно изяснен. </w:t>
      </w:r>
      <w:r w:rsidRPr="00F26B25">
        <w:rPr>
          <w:rFonts w:eastAsia="Times New Roman" w:cs="Arial"/>
          <w:i/>
          <w:iCs/>
          <w:color w:val="000000"/>
          <w:lang w:val="en-US"/>
        </w:rPr>
        <w:t>In</w:t>
      </w:r>
      <w:r w:rsidRPr="00F26B25">
        <w:rPr>
          <w:rFonts w:eastAsia="Times New Roman" w:cs="Arial"/>
          <w:i/>
          <w:iCs/>
          <w:color w:val="000000"/>
          <w:lang w:val="ru-RU"/>
        </w:rPr>
        <w:t xml:space="preserve"> </w:t>
      </w:r>
      <w:r w:rsidRPr="00F26B25">
        <w:rPr>
          <w:rFonts w:eastAsia="Times New Roman" w:cs="Arial"/>
          <w:i/>
          <w:iCs/>
          <w:color w:val="000000"/>
          <w:lang w:val="en-US"/>
        </w:rPr>
        <w:t>vitro</w:t>
      </w:r>
      <w:r w:rsidRPr="00F26B25">
        <w:rPr>
          <w:rFonts w:eastAsia="Times New Roman" w:cs="Arial"/>
          <w:i/>
          <w:iCs/>
          <w:color w:val="000000"/>
          <w:lang w:val="ru-RU"/>
        </w:rPr>
        <w:t xml:space="preserve"> </w:t>
      </w:r>
      <w:r w:rsidRPr="00F26B25">
        <w:rPr>
          <w:rFonts w:eastAsia="Times New Roman" w:cs="Arial"/>
          <w:i/>
          <w:iCs/>
          <w:color w:val="000000"/>
          <w:lang w:eastAsia="bg-BG"/>
        </w:rPr>
        <w:t xml:space="preserve">и </w:t>
      </w:r>
      <w:r w:rsidRPr="00F26B25">
        <w:rPr>
          <w:rFonts w:eastAsia="Times New Roman" w:cs="Arial"/>
          <w:i/>
          <w:iCs/>
          <w:color w:val="000000"/>
          <w:lang w:val="en-US"/>
        </w:rPr>
        <w:t>in</w:t>
      </w:r>
      <w:r w:rsidRPr="00F26B25">
        <w:rPr>
          <w:rFonts w:eastAsia="Times New Roman" w:cs="Arial"/>
          <w:i/>
          <w:iCs/>
          <w:color w:val="000000"/>
          <w:lang w:val="ru-RU"/>
        </w:rPr>
        <w:t xml:space="preserve"> </w:t>
      </w:r>
      <w:r w:rsidRPr="00F26B25">
        <w:rPr>
          <w:rFonts w:eastAsia="Times New Roman" w:cs="Arial"/>
          <w:i/>
          <w:iCs/>
          <w:color w:val="000000"/>
          <w:lang w:val="en-US"/>
        </w:rPr>
        <w:t>vivo</w:t>
      </w:r>
      <w:r w:rsidRPr="00F26B25">
        <w:rPr>
          <w:rFonts w:eastAsia="Times New Roman" w:cs="Arial"/>
          <w:color w:val="000000"/>
          <w:lang w:eastAsia="bg-BG"/>
        </w:rPr>
        <w:t xml:space="preserve"> опитите показват, че леветирацетам не променя основните характеристики на</w:t>
      </w:r>
      <w:r w:rsidRPr="00F26B25">
        <w:rPr>
          <w:rFonts w:eastAsia="Times New Roman" w:cs="Arial"/>
          <w:color w:val="000000"/>
          <w:lang w:val="ru-RU"/>
        </w:rPr>
        <w:t xml:space="preserve"> </w:t>
      </w:r>
      <w:r w:rsidRPr="00F26B25">
        <w:rPr>
          <w:rFonts w:eastAsia="Times New Roman" w:cs="Arial"/>
          <w:color w:val="000000"/>
          <w:lang w:eastAsia="bg-BG"/>
        </w:rPr>
        <w:t>клетката, като и нормалнатаневротрансмисия.</w:t>
      </w:r>
    </w:p>
    <w:p w14:paraId="75C0AECC" w14:textId="77777777" w:rsidR="00F26B25" w:rsidRPr="00F26B25" w:rsidRDefault="00F26B25" w:rsidP="00F26B25">
      <w:pPr>
        <w:rPr>
          <w:rFonts w:eastAsia="Times New Roman" w:cs="Arial"/>
          <w:sz w:val="24"/>
          <w:szCs w:val="24"/>
        </w:rPr>
      </w:pPr>
      <w:r w:rsidRPr="00F26B25">
        <w:rPr>
          <w:rFonts w:eastAsia="Times New Roman" w:cs="Arial"/>
          <w:i/>
          <w:iCs/>
          <w:color w:val="000000"/>
          <w:lang w:val="en-US"/>
        </w:rPr>
        <w:t>In</w:t>
      </w:r>
      <w:r w:rsidRPr="00F26B25">
        <w:rPr>
          <w:rFonts w:eastAsia="Times New Roman" w:cs="Arial"/>
          <w:i/>
          <w:iCs/>
          <w:color w:val="000000"/>
          <w:lang w:val="ru-RU"/>
        </w:rPr>
        <w:t xml:space="preserve"> </w:t>
      </w:r>
      <w:r w:rsidRPr="00F26B25">
        <w:rPr>
          <w:rFonts w:eastAsia="Times New Roman" w:cs="Arial"/>
          <w:i/>
          <w:iCs/>
          <w:color w:val="000000"/>
          <w:lang w:val="en-US"/>
        </w:rPr>
        <w:t>vitro</w:t>
      </w:r>
      <w:r w:rsidRPr="00F26B25">
        <w:rPr>
          <w:rFonts w:eastAsia="Times New Roman" w:cs="Arial"/>
          <w:color w:val="000000"/>
          <w:lang w:val="ru-RU"/>
        </w:rPr>
        <w:t xml:space="preserve"> </w:t>
      </w:r>
      <w:r w:rsidRPr="00F26B25">
        <w:rPr>
          <w:rFonts w:eastAsia="Times New Roman" w:cs="Arial"/>
          <w:color w:val="000000"/>
          <w:lang w:eastAsia="bg-BG"/>
        </w:rPr>
        <w:t xml:space="preserve">проучвания показват, че леветирацетам въздейства върху интраневронните нива на </w:t>
      </w:r>
      <w:r w:rsidRPr="00F26B25">
        <w:rPr>
          <w:rFonts w:eastAsia="Times New Roman" w:cs="Arial"/>
          <w:color w:val="000000"/>
          <w:lang w:val="en-US"/>
        </w:rPr>
        <w:t>Ca</w:t>
      </w:r>
      <w:r w:rsidRPr="00F26B25">
        <w:rPr>
          <w:rFonts w:eastAsia="Times New Roman" w:cs="Arial"/>
          <w:color w:val="000000"/>
          <w:vertAlign w:val="superscript"/>
          <w:lang w:val="ru-RU"/>
        </w:rPr>
        <w:t>2+</w:t>
      </w:r>
      <w:r w:rsidRPr="00F26B25">
        <w:rPr>
          <w:rFonts w:eastAsia="Times New Roman" w:cs="Arial"/>
          <w:color w:val="000000"/>
          <w:lang w:eastAsia="bg-BG"/>
        </w:rPr>
        <w:t xml:space="preserve"> чрез частично инхибиране на </w:t>
      </w:r>
      <w:r w:rsidRPr="00F26B25">
        <w:rPr>
          <w:rFonts w:eastAsia="Times New Roman" w:cs="Arial"/>
          <w:color w:val="000000"/>
          <w:lang w:val="en-US"/>
        </w:rPr>
        <w:t>N</w:t>
      </w:r>
      <w:r w:rsidRPr="00F26B25">
        <w:rPr>
          <w:rFonts w:eastAsia="Times New Roman" w:cs="Arial"/>
          <w:color w:val="000000"/>
          <w:lang w:eastAsia="bg-BG"/>
        </w:rPr>
        <w:t>-тип Са</w:t>
      </w:r>
      <w:r w:rsidRPr="00F26B25">
        <w:rPr>
          <w:rFonts w:eastAsia="Times New Roman" w:cs="Arial"/>
          <w:color w:val="000000"/>
          <w:vertAlign w:val="superscript"/>
          <w:lang w:eastAsia="bg-BG"/>
        </w:rPr>
        <w:t>2+</w:t>
      </w:r>
      <w:r w:rsidRPr="00F26B25">
        <w:rPr>
          <w:rFonts w:eastAsia="Times New Roman" w:cs="Arial"/>
          <w:color w:val="000000"/>
          <w:lang w:eastAsia="bg-BG"/>
        </w:rPr>
        <w:t xml:space="preserve"> каналчета, както и чрез редуциране освобождаването на Са</w:t>
      </w:r>
      <w:r w:rsidRPr="00F26B25">
        <w:rPr>
          <w:rFonts w:eastAsia="Times New Roman" w:cs="Arial"/>
          <w:color w:val="000000"/>
          <w:vertAlign w:val="superscript"/>
          <w:lang w:eastAsia="bg-BG"/>
        </w:rPr>
        <w:t>2+</w:t>
      </w:r>
      <w:r w:rsidRPr="00F26B25">
        <w:rPr>
          <w:rFonts w:eastAsia="Times New Roman" w:cs="Arial"/>
          <w:color w:val="000000"/>
          <w:lang w:eastAsia="bg-BG"/>
        </w:rPr>
        <w:t xml:space="preserve"> от интраневронните депа. В допълнение, той частично възстановява редукцията на потока в </w:t>
      </w:r>
      <w:r w:rsidRPr="00F26B25">
        <w:rPr>
          <w:rFonts w:eastAsia="Times New Roman" w:cs="Arial"/>
          <w:color w:val="000000"/>
          <w:lang w:val="en-US"/>
        </w:rPr>
        <w:t>GABA</w:t>
      </w:r>
      <w:r w:rsidRPr="00F26B25">
        <w:rPr>
          <w:rFonts w:eastAsia="Times New Roman" w:cs="Arial"/>
          <w:color w:val="000000"/>
          <w:lang w:val="ru-RU"/>
        </w:rPr>
        <w:t xml:space="preserve">- </w:t>
      </w:r>
      <w:r w:rsidRPr="00F26B25">
        <w:rPr>
          <w:rFonts w:eastAsia="Times New Roman" w:cs="Arial"/>
          <w:color w:val="000000"/>
          <w:lang w:eastAsia="bg-BG"/>
        </w:rPr>
        <w:t>и глицин- зависимите каналчета, предизвикана от цинк и</w:t>
      </w:r>
      <w:r w:rsidRPr="00F26B25">
        <w:rPr>
          <w:rFonts w:eastAsia="Times New Roman" w:cs="Arial"/>
          <w:color w:val="000000"/>
          <w:lang w:val="ru-RU"/>
        </w:rPr>
        <w:t xml:space="preserve"> </w:t>
      </w:r>
      <w:r w:rsidRPr="00F26B25">
        <w:rPr>
          <w:rFonts w:eastAsia="Times New Roman" w:cs="Arial"/>
          <w:color w:val="000000"/>
          <w:lang w:eastAsia="bg-BG"/>
        </w:rPr>
        <w:t xml:space="preserve">β-карболини. Нещо повече, в </w:t>
      </w:r>
      <w:r w:rsidRPr="00F26B25">
        <w:rPr>
          <w:rFonts w:eastAsia="Times New Roman" w:cs="Arial"/>
          <w:i/>
          <w:iCs/>
          <w:color w:val="000000"/>
          <w:lang w:val="en-US"/>
        </w:rPr>
        <w:t>in</w:t>
      </w:r>
      <w:r w:rsidRPr="00F26B25">
        <w:rPr>
          <w:rFonts w:eastAsia="Times New Roman" w:cs="Arial"/>
          <w:i/>
          <w:iCs/>
          <w:color w:val="000000"/>
          <w:lang w:val="ru-RU"/>
        </w:rPr>
        <w:t xml:space="preserve"> </w:t>
      </w:r>
      <w:r w:rsidRPr="00F26B25">
        <w:rPr>
          <w:rFonts w:eastAsia="Times New Roman" w:cs="Arial"/>
          <w:i/>
          <w:iCs/>
          <w:color w:val="000000"/>
          <w:lang w:val="en-US"/>
        </w:rPr>
        <w:t>vitro</w:t>
      </w:r>
      <w:r w:rsidRPr="00F26B25">
        <w:rPr>
          <w:rFonts w:eastAsia="Times New Roman" w:cs="Arial"/>
          <w:color w:val="000000"/>
          <w:lang w:val="ru-RU"/>
        </w:rPr>
        <w:t xml:space="preserve"> </w:t>
      </w:r>
      <w:r w:rsidRPr="00F26B25">
        <w:rPr>
          <w:rFonts w:eastAsia="Times New Roman" w:cs="Arial"/>
          <w:color w:val="000000"/>
          <w:lang w:eastAsia="bg-BG"/>
        </w:rPr>
        <w:t>проучвания е доказано, че леветирацетам се свързва към специфични места в мозъчната тъкан на гризачи. Това място на свързване е намиращия се в синаптичните везикули протеин 2А, за който се смята, че участва във везикулната фузия и невротрансмитерната екзоцитоза. Леветирацетам и неговите аналози показват изявен афинитет към свързване с намиращия се в синаптичните везикули протеин 2А, което от своя страна е във връзка с тяхното действие срещу пристъпите в аудиогенни модели на епилепсия при мишки. Тези резултати предполагат, че взаимодействието между леветирацетам и намиращия се в синаптичните везикули протеин 2А подпомага антиепилептичния механизъм на действие на лекарствения продукт.</w:t>
      </w:r>
    </w:p>
    <w:p w14:paraId="0A432D03" w14:textId="77777777" w:rsidR="00F26B25" w:rsidRPr="00F26B25" w:rsidRDefault="00F26B25" w:rsidP="00F26B25">
      <w:pPr>
        <w:spacing w:line="240" w:lineRule="auto"/>
        <w:rPr>
          <w:rFonts w:eastAsia="Times New Roman" w:cs="Arial"/>
          <w:color w:val="000000"/>
          <w:u w:val="single"/>
          <w:lang w:eastAsia="bg-BG"/>
        </w:rPr>
      </w:pPr>
    </w:p>
    <w:p w14:paraId="7BFEC95B" w14:textId="5BDEB7EF"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Фармакодинамични ефекти</w:t>
      </w:r>
    </w:p>
    <w:p w14:paraId="1A262AA3" w14:textId="77777777" w:rsidR="00F26B25" w:rsidRPr="00F26B25" w:rsidRDefault="00F26B25" w:rsidP="00F26B25">
      <w:pPr>
        <w:spacing w:line="240" w:lineRule="auto"/>
        <w:rPr>
          <w:rFonts w:eastAsia="Times New Roman" w:cs="Arial"/>
          <w:color w:val="000000"/>
          <w:lang w:eastAsia="bg-BG"/>
        </w:rPr>
      </w:pPr>
    </w:p>
    <w:p w14:paraId="787FB4FF" w14:textId="4E226FC1"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Леветирацетам предпазва от парциални и първично генерализирани пристъпи при широк кръг животински модели без да има проконвулсивен ефект. Първичният метаболит е неактивен. При хора, активността по отношение както на парциалните, така и на генерализираните епилептични състояния (епилептиформно освобождаване/фотопароксизмален отговор) потвърждава широкия фармакологичен спектър на леветирацетам.</w:t>
      </w:r>
    </w:p>
    <w:p w14:paraId="091FE6A7" w14:textId="77777777" w:rsidR="00F26B25" w:rsidRPr="00F26B25" w:rsidRDefault="00F26B25" w:rsidP="00F26B25">
      <w:pPr>
        <w:spacing w:line="240" w:lineRule="auto"/>
        <w:rPr>
          <w:rFonts w:eastAsia="Times New Roman" w:cs="Arial"/>
          <w:color w:val="000000"/>
          <w:u w:val="single"/>
          <w:lang w:eastAsia="bg-BG"/>
        </w:rPr>
      </w:pPr>
    </w:p>
    <w:p w14:paraId="564F8E1A" w14:textId="453E7BCB"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Клинична ефикасност и безопасност</w:t>
      </w:r>
    </w:p>
    <w:p w14:paraId="623F64FB" w14:textId="77777777" w:rsidR="00F26B25" w:rsidRPr="00F26B25" w:rsidRDefault="00F26B25" w:rsidP="00F26B25">
      <w:pPr>
        <w:spacing w:line="240" w:lineRule="auto"/>
        <w:rPr>
          <w:rFonts w:eastAsia="Times New Roman" w:cs="Arial"/>
          <w:i/>
          <w:iCs/>
          <w:color w:val="000000"/>
          <w:lang w:eastAsia="bg-BG"/>
        </w:rPr>
      </w:pPr>
    </w:p>
    <w:p w14:paraId="450B51D6" w14:textId="27E04838"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Допълващо лечение на парциални пристъпи със или без вторична генерализация при възрастни, юноши, деца и кърмачета на 1 месец и повече с епилепсия:</w:t>
      </w:r>
    </w:p>
    <w:p w14:paraId="0BB6DC87" w14:textId="77777777" w:rsidR="00F26B25" w:rsidRPr="00F26B25" w:rsidRDefault="00F26B25" w:rsidP="00F26B25">
      <w:pPr>
        <w:spacing w:line="240" w:lineRule="auto"/>
        <w:rPr>
          <w:rFonts w:eastAsia="Times New Roman" w:cs="Arial"/>
          <w:color w:val="000000"/>
          <w:lang w:eastAsia="bg-BG"/>
        </w:rPr>
      </w:pPr>
    </w:p>
    <w:p w14:paraId="5E4F6924" w14:textId="3511ECD1"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възрастни, ефикасността на леветирацетам е доказана в 3 двойно-слепи, плацебо- контролирани проучвания с дози от 1 000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2 000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 xml:space="preserve">или 3 000 </w:t>
      </w:r>
      <w:r w:rsidRPr="00F26B25">
        <w:rPr>
          <w:rFonts w:eastAsia="Times New Roman" w:cs="Arial"/>
          <w:color w:val="000000"/>
          <w:lang w:val="en-US"/>
        </w:rPr>
        <w:t>mg</w:t>
      </w:r>
      <w:r w:rsidRPr="00F26B25">
        <w:rPr>
          <w:rFonts w:eastAsia="Times New Roman" w:cs="Arial"/>
          <w:color w:val="000000"/>
          <w:lang w:eastAsia="bg-BG"/>
        </w:rPr>
        <w:t xml:space="preserve">/ден, прилагани като 2 отделни дози с продължителност на лечението до 18 седмици. При сборния анализ, процентът на пациентите, достигнали 50 % или по-голямо понижение спрямо изходното ниво на честотата на парциалните пристъпи за седмица при постоянна доза (12/14 седмици), е 27,7 %, 31,6 % и 41,3% при пациенти, приемащи 1 000,2 000 или 3 000 </w:t>
      </w:r>
      <w:r w:rsidRPr="00F26B25">
        <w:rPr>
          <w:rFonts w:eastAsia="Times New Roman" w:cs="Arial"/>
          <w:color w:val="000000"/>
          <w:lang w:val="en-US"/>
        </w:rPr>
        <w:t>mg</w:t>
      </w:r>
      <w:r w:rsidRPr="00F26B25">
        <w:rPr>
          <w:rFonts w:eastAsia="Times New Roman" w:cs="Arial"/>
          <w:color w:val="000000"/>
          <w:lang w:val="ru-RU"/>
        </w:rPr>
        <w:t xml:space="preserve"> </w:t>
      </w:r>
      <w:r w:rsidRPr="00F26B25">
        <w:rPr>
          <w:rFonts w:eastAsia="Times New Roman" w:cs="Arial"/>
          <w:color w:val="000000"/>
          <w:lang w:eastAsia="bg-BG"/>
        </w:rPr>
        <w:t>леветирацетам, и съответно 12,6 % за пациентите, приемащи плацебо.</w:t>
      </w:r>
    </w:p>
    <w:p w14:paraId="33862E2B" w14:textId="77777777" w:rsidR="00F26B25" w:rsidRPr="00F26B25" w:rsidRDefault="00F26B25" w:rsidP="00F26B25">
      <w:pPr>
        <w:spacing w:line="240" w:lineRule="auto"/>
        <w:rPr>
          <w:rFonts w:eastAsia="Times New Roman" w:cs="Arial"/>
          <w:color w:val="000000"/>
          <w:u w:val="single"/>
          <w:lang w:eastAsia="bg-BG"/>
        </w:rPr>
      </w:pPr>
    </w:p>
    <w:p w14:paraId="27816139" w14:textId="0136EF47" w:rsidR="00F26B25" w:rsidRPr="00F26B25" w:rsidRDefault="00F26B25" w:rsidP="00F26B25">
      <w:pPr>
        <w:spacing w:line="240" w:lineRule="auto"/>
        <w:rPr>
          <w:rFonts w:eastAsia="Times New Roman" w:cs="Arial"/>
          <w:sz w:val="24"/>
          <w:szCs w:val="24"/>
        </w:rPr>
      </w:pPr>
      <w:r w:rsidRPr="00F26B25">
        <w:rPr>
          <w:rFonts w:eastAsia="Times New Roman" w:cs="Arial"/>
          <w:color w:val="000000"/>
          <w:u w:val="single"/>
          <w:lang w:eastAsia="bg-BG"/>
        </w:rPr>
        <w:t>Педиатрична популация</w:t>
      </w:r>
    </w:p>
    <w:p w14:paraId="20293BDE" w14:textId="77777777" w:rsidR="00F26B25" w:rsidRPr="00F26B25" w:rsidRDefault="00F26B25" w:rsidP="00F26B25">
      <w:pPr>
        <w:spacing w:line="240" w:lineRule="auto"/>
        <w:rPr>
          <w:rFonts w:eastAsia="Times New Roman" w:cs="Arial"/>
          <w:color w:val="000000"/>
          <w:lang w:eastAsia="bg-BG"/>
        </w:rPr>
      </w:pPr>
    </w:p>
    <w:p w14:paraId="297B84B3" w14:textId="3DA5E404"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педиатрични пациенти (от 4 до 16-годишна възраст), ефикасността на леветирацетам е доказана в двойно-сляпо, плацебо-контролирано проучване включващо 198 пациенти и с продължителност на лечението 14 седмици. В това проучване пациентите са получавали постоянна доза леветирацетам от 60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/дневно (прием два пъти на ден).</w:t>
      </w:r>
    </w:p>
    <w:p w14:paraId="029E9B53"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44,6 % от пациентите приемащи леветирацетам и 19,6 % от пациентите приемащи плацебо са имали 50 % или по-високо намаление, спрямо изходното ниво, на честотата на парциалните пристъпи за седмица. При продължително дългосрочно лечение 11,4 % от пациентите не са получавали пристъпи поне за 6 месеца и 7,2 % за поне 1 година.</w:t>
      </w:r>
    </w:p>
    <w:p w14:paraId="06E44160" w14:textId="77777777" w:rsidR="00F26B25" w:rsidRPr="00F26B25" w:rsidRDefault="00F26B25" w:rsidP="00F26B25">
      <w:pPr>
        <w:spacing w:line="240" w:lineRule="auto"/>
        <w:rPr>
          <w:rFonts w:eastAsia="Times New Roman" w:cs="Arial"/>
          <w:color w:val="000000"/>
          <w:lang w:eastAsia="bg-BG"/>
        </w:rPr>
      </w:pPr>
    </w:p>
    <w:p w14:paraId="19B97FE5" w14:textId="68EA7DAD"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При педиатрични пациенти (от 1 -месечна до под 4-годишна възраст), ефикасността на леветирацетам е установена в двойно-сляпо, плацебо контролирано проучване, включващо 116 пациенти с продължителност на лечението пет дни. В това проучване, на пациентите е предписана дневна доза от 20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25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40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или 50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 xml:space="preserve"> </w:t>
      </w:r>
      <w:r w:rsidRPr="00F26B25">
        <w:rPr>
          <w:rFonts w:eastAsia="Times New Roman" w:cs="Arial"/>
          <w:color w:val="000000"/>
          <w:lang w:eastAsia="bg-BG"/>
        </w:rPr>
        <w:t xml:space="preserve">перорален разтвор, титрирана в зависимост от тяхната възраст. В това проучване е използвана доза от 20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 xml:space="preserve">/дневно, титрирана до 40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 xml:space="preserve">/дневно при кърмачета от един до шест месеца и доза от 25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 xml:space="preserve">/дневно, титрирана до 50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eastAsia="bg-BG"/>
        </w:rPr>
        <w:t>/дневно при кърмачета и деца на възраст от 6 месеца до 4 години. Общата дневна доза е прилагана два пъти дневно.</w:t>
      </w:r>
    </w:p>
    <w:p w14:paraId="6BD144A0" w14:textId="77777777" w:rsidR="00F26B25" w:rsidRPr="00F26B25" w:rsidRDefault="00F26B25" w:rsidP="00F26B25">
      <w:pPr>
        <w:rPr>
          <w:rFonts w:eastAsia="Times New Roman" w:cs="Arial"/>
          <w:sz w:val="24"/>
          <w:szCs w:val="24"/>
        </w:rPr>
      </w:pPr>
      <w:r w:rsidRPr="00F26B25">
        <w:rPr>
          <w:rFonts w:eastAsia="Times New Roman" w:cs="Arial"/>
          <w:color w:val="000000"/>
          <w:lang w:eastAsia="bg-BG"/>
        </w:rPr>
        <w:t>Първоначалната оценка на ефективността е нивото на отговор (процент пациенти с ≥50% намаление, спрямо изходното ниво на дневната честота на парциалните пристьпи), определена от заслепен централен четец чрез 48-часово видео ЕЕГ наблюдение. Анализът на ефикасността обхваща 109 пациенти, които са имали поне 24-часово видео ЕЕГ наблюдение през двата периода - на изходното ниво и на оценката. Пациентите, показали отговор, са 43,6% лекуваните с леветирацетам и 19,6% от пациентите, приемащи плацебо. Резултатите отговарят на съответната възрастова група. При продължително дългосрочно лечение 8,6 % от пациентите не са получавали пристъпи поне за 6 месеца и 7,8 % за поне 1 година.</w:t>
      </w:r>
    </w:p>
    <w:p w14:paraId="5642ADE0"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В плацебо-контролирани клинични проучвания, с екпозиция са били 35 кърмачета с парциални пристъпи, на възраст под 1 година, от които само 13 са били на възраст &lt; 6 месеца.</w:t>
      </w:r>
    </w:p>
    <w:p w14:paraId="79B7F5C5" w14:textId="77777777" w:rsidR="00F26B25" w:rsidRPr="00F26B25" w:rsidRDefault="00F26B25" w:rsidP="00F26B25">
      <w:pPr>
        <w:spacing w:line="240" w:lineRule="auto"/>
        <w:rPr>
          <w:rFonts w:eastAsia="Times New Roman" w:cs="Arial"/>
          <w:i/>
          <w:iCs/>
          <w:color w:val="000000"/>
          <w:lang w:eastAsia="bg-BG"/>
        </w:rPr>
      </w:pPr>
    </w:p>
    <w:p w14:paraId="57155F0A" w14:textId="6795D276"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Монотерапия при лечение на парциални пристъпи със или без вторична генерализация при пациенти на 16 и повече години с новодиагностицирана епилепсия.</w:t>
      </w:r>
    </w:p>
    <w:p w14:paraId="69EBD55A"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Ефикасността на леветирацетам като монотерапия е установена в двойно-сляпо, паралелно- групово, неинфериорно сравнение с карбамазепин с контролирано освобождаване </w:t>
      </w:r>
      <w:r w:rsidRPr="00F26B25">
        <w:rPr>
          <w:rFonts w:eastAsia="Times New Roman" w:cs="Arial"/>
          <w:color w:val="000000"/>
          <w:lang w:val="ru-RU"/>
        </w:rPr>
        <w:t>(</w:t>
      </w:r>
      <w:r w:rsidRPr="00F26B25">
        <w:rPr>
          <w:rFonts w:eastAsia="Times New Roman" w:cs="Arial"/>
          <w:color w:val="000000"/>
          <w:lang w:val="en-US"/>
        </w:rPr>
        <w:t>CR</w:t>
      </w:r>
      <w:r w:rsidRPr="00F26B25">
        <w:rPr>
          <w:rFonts w:eastAsia="Times New Roman" w:cs="Arial"/>
          <w:color w:val="000000"/>
          <w:lang w:val="ru-RU"/>
        </w:rPr>
        <w:t xml:space="preserve">) </w:t>
      </w:r>
      <w:r w:rsidRPr="00F26B25">
        <w:rPr>
          <w:rFonts w:eastAsia="Times New Roman" w:cs="Arial"/>
          <w:color w:val="000000"/>
          <w:lang w:eastAsia="bg-BG"/>
        </w:rPr>
        <w:t xml:space="preserve">при 576 пациента на 16 годишна възраст или по-възрастни с новодиагностицирана или наскоро диагностицирана епилепсия. Пациентите е трябвало да бъдат единствено с непредизвикани парциални пристъпи или генерализирани тонично-клонични пристъпи. Пациентите са рандомизирани да приемат карбамазепин </w:t>
      </w:r>
      <w:r w:rsidRPr="00F26B25">
        <w:rPr>
          <w:rFonts w:eastAsia="Times New Roman" w:cs="Arial"/>
          <w:color w:val="000000"/>
          <w:lang w:val="en-US"/>
        </w:rPr>
        <w:t>CR</w:t>
      </w:r>
      <w:r w:rsidRPr="00F26B25">
        <w:rPr>
          <w:rFonts w:eastAsia="Times New Roman" w:cs="Arial"/>
          <w:color w:val="000000"/>
          <w:lang w:val="ru-RU"/>
        </w:rPr>
        <w:t xml:space="preserve"> </w:t>
      </w:r>
      <w:r w:rsidRPr="00F26B25">
        <w:rPr>
          <w:rFonts w:eastAsia="Times New Roman" w:cs="Arial"/>
          <w:color w:val="000000"/>
          <w:lang w:eastAsia="bg-BG"/>
        </w:rPr>
        <w:lastRenderedPageBreak/>
        <w:t xml:space="preserve">400-1 200 </w:t>
      </w:r>
      <w:r w:rsidRPr="00F26B25">
        <w:rPr>
          <w:rFonts w:eastAsia="Times New Roman" w:cs="Arial"/>
          <w:color w:val="000000"/>
          <w:lang w:val="en-US"/>
        </w:rPr>
        <w:t>mg</w:t>
      </w:r>
      <w:r w:rsidRPr="00F26B25">
        <w:rPr>
          <w:rFonts w:eastAsia="Times New Roman" w:cs="Arial"/>
          <w:color w:val="000000"/>
          <w:lang w:eastAsia="bg-BG"/>
        </w:rPr>
        <w:t xml:space="preserve">/ден или леветирацетам 1 000-3 000 </w:t>
      </w:r>
      <w:r w:rsidRPr="00F26B25">
        <w:rPr>
          <w:rFonts w:eastAsia="Times New Roman" w:cs="Arial"/>
          <w:color w:val="000000"/>
          <w:lang w:val="en-US"/>
        </w:rPr>
        <w:t>mg</w:t>
      </w:r>
      <w:r w:rsidRPr="00F26B25">
        <w:rPr>
          <w:rFonts w:eastAsia="Times New Roman" w:cs="Arial"/>
          <w:color w:val="000000"/>
          <w:lang w:eastAsia="bg-BG"/>
        </w:rPr>
        <w:t>/ден, като продължителността на лечението е до 121 седмици в зависимост от отговора.</w:t>
      </w:r>
    </w:p>
    <w:p w14:paraId="1764CBEB"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Липса на пристъпи за 6 месеца е достигната при 73,0 % от пациентите приемащи леветирацетам и при 72,8 % от пациентите приемащи карбамазепин</w:t>
      </w:r>
      <w:r w:rsidRPr="00F26B25">
        <w:rPr>
          <w:rFonts w:eastAsia="Times New Roman" w:cs="Arial"/>
          <w:color w:val="000000"/>
          <w:lang w:val="ru-RU"/>
        </w:rPr>
        <w:t>-</w:t>
      </w:r>
      <w:r w:rsidRPr="00F26B25">
        <w:rPr>
          <w:rFonts w:eastAsia="Times New Roman" w:cs="Arial"/>
          <w:color w:val="000000"/>
          <w:lang w:val="en-US"/>
        </w:rPr>
        <w:t>CR</w:t>
      </w:r>
      <w:r w:rsidRPr="00F26B25">
        <w:rPr>
          <w:rFonts w:eastAsia="Times New Roman" w:cs="Arial"/>
          <w:color w:val="000000"/>
          <w:lang w:val="ru-RU"/>
        </w:rPr>
        <w:t xml:space="preserve">; </w:t>
      </w:r>
      <w:r w:rsidRPr="00F26B25">
        <w:rPr>
          <w:rFonts w:eastAsia="Times New Roman" w:cs="Arial"/>
          <w:color w:val="000000"/>
          <w:lang w:eastAsia="bg-BG"/>
        </w:rPr>
        <w:t xml:space="preserve">установената абсолютна разлика между терапиите е 0,2 % (95 % </w:t>
      </w:r>
      <w:r w:rsidRPr="00F26B25">
        <w:rPr>
          <w:rFonts w:eastAsia="Times New Roman" w:cs="Arial"/>
          <w:color w:val="000000"/>
          <w:lang w:val="en-US"/>
        </w:rPr>
        <w:t>CI</w:t>
      </w:r>
      <w:r w:rsidRPr="00F26B25">
        <w:rPr>
          <w:rFonts w:eastAsia="Times New Roman" w:cs="Arial"/>
          <w:color w:val="000000"/>
          <w:lang w:val="ru-RU"/>
        </w:rPr>
        <w:t xml:space="preserve">: </w:t>
      </w:r>
      <w:r w:rsidRPr="00F26B25">
        <w:rPr>
          <w:rFonts w:eastAsia="Times New Roman" w:cs="Arial"/>
          <w:color w:val="000000"/>
          <w:lang w:eastAsia="bg-BG"/>
        </w:rPr>
        <w:t xml:space="preserve">-7,8 8,2). Повече от половината от пациентите не получават пристъпи за 12 месеца (56,6 % и 58,5 % съответно от пациентите на леветирацетам и карбамазепин </w:t>
      </w:r>
      <w:r w:rsidRPr="00F26B25">
        <w:rPr>
          <w:rFonts w:eastAsia="Times New Roman" w:cs="Arial"/>
          <w:color w:val="000000"/>
          <w:lang w:val="en-US"/>
        </w:rPr>
        <w:t>CR</w:t>
      </w:r>
      <w:r w:rsidRPr="00F26B25">
        <w:rPr>
          <w:rFonts w:eastAsia="Times New Roman" w:cs="Arial"/>
          <w:color w:val="000000"/>
          <w:lang w:val="ru-RU"/>
        </w:rPr>
        <w:t>).</w:t>
      </w:r>
    </w:p>
    <w:p w14:paraId="747D32F7" w14:textId="77777777" w:rsidR="00F26B25" w:rsidRPr="00F26B25" w:rsidRDefault="00F26B25" w:rsidP="00F26B25">
      <w:pPr>
        <w:spacing w:line="240" w:lineRule="auto"/>
        <w:rPr>
          <w:rFonts w:eastAsia="Times New Roman" w:cs="Arial"/>
          <w:color w:val="000000"/>
          <w:lang w:eastAsia="bg-BG"/>
        </w:rPr>
      </w:pPr>
    </w:p>
    <w:p w14:paraId="10EFB145" w14:textId="215C7EE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В проучване, отразяващо клиничната практика, съпътстващата антиепилептична терапия може да се прекъсне при ограничен брой пациенти, които са се повлияли от допълваща терапия с леветирацетам (прекъснали 36 възрастни пациенти от 69).</w:t>
      </w:r>
    </w:p>
    <w:p w14:paraId="18E4B417" w14:textId="77777777" w:rsidR="00F26B25" w:rsidRPr="00F26B25" w:rsidRDefault="00F26B25" w:rsidP="00F26B25">
      <w:pPr>
        <w:spacing w:line="240" w:lineRule="auto"/>
        <w:rPr>
          <w:rFonts w:eastAsia="Times New Roman" w:cs="Arial"/>
          <w:i/>
          <w:iCs/>
          <w:color w:val="000000"/>
          <w:lang w:eastAsia="bg-BG"/>
        </w:rPr>
      </w:pPr>
    </w:p>
    <w:p w14:paraId="56704EB3" w14:textId="02191FC7"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Допълващо лечение на миоклонични пристъпи при възрастни и юноши на 12 и повече години с ювенилна миоклонична епилепсия.</w:t>
      </w:r>
    </w:p>
    <w:p w14:paraId="2D88106E"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Ефикасността на леветирацетам е установена в двойно-сляпо, плацебо-контролирано проучване с продължителност 16 седмици при пациенти на 12-годишна възраст или по-възрастни, страдащи от идиопатична генерализирана епилепсия с миоклонични пристъпи от различни синдроми. Повечето пациенти са били с ювенилна миоклонична епилепсия.</w:t>
      </w:r>
    </w:p>
    <w:p w14:paraId="57EB18E9"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В това проучване дозата на леветирацетам е била 3 000 </w:t>
      </w:r>
      <w:r w:rsidRPr="00F26B25">
        <w:rPr>
          <w:rFonts w:eastAsia="Times New Roman" w:cs="Arial"/>
          <w:color w:val="000000"/>
          <w:lang w:val="en-US"/>
        </w:rPr>
        <w:t>mg</w:t>
      </w:r>
      <w:r w:rsidRPr="00F26B25">
        <w:rPr>
          <w:rFonts w:eastAsia="Times New Roman" w:cs="Arial"/>
          <w:color w:val="000000"/>
          <w:lang w:eastAsia="bg-BG"/>
        </w:rPr>
        <w:t>/ден, разделена на 2 приема. 58,3% от пациентите, приемащи леветирацетам и 23,3 % от пациентите на плацебо са с поне 50 % намаление на дните през седмицата с миоклонични пристъпи. При продължително дългосрочно лечение, 28,6 % от пациентите не са получавали миоклонични пристъпи за поне 6 месеца и 21,0 % за поне 1 година.</w:t>
      </w:r>
    </w:p>
    <w:p w14:paraId="09C08DBC" w14:textId="77777777" w:rsidR="00F26B25" w:rsidRPr="00F26B25" w:rsidRDefault="00F26B25" w:rsidP="00F26B25">
      <w:pPr>
        <w:spacing w:line="240" w:lineRule="auto"/>
        <w:rPr>
          <w:rFonts w:eastAsia="Times New Roman" w:cs="Arial"/>
          <w:i/>
          <w:iCs/>
          <w:color w:val="000000"/>
          <w:lang w:eastAsia="bg-BG"/>
        </w:rPr>
      </w:pPr>
    </w:p>
    <w:p w14:paraId="71279163" w14:textId="18DDA2F0" w:rsidR="00F26B25" w:rsidRPr="00F26B25" w:rsidRDefault="00F26B25" w:rsidP="00F26B25">
      <w:pPr>
        <w:spacing w:line="240" w:lineRule="auto"/>
        <w:rPr>
          <w:rFonts w:eastAsia="Times New Roman" w:cs="Arial"/>
          <w:sz w:val="24"/>
          <w:szCs w:val="24"/>
        </w:rPr>
      </w:pPr>
      <w:r w:rsidRPr="00F26B25">
        <w:rPr>
          <w:rFonts w:eastAsia="Times New Roman" w:cs="Arial"/>
          <w:i/>
          <w:iCs/>
          <w:color w:val="000000"/>
          <w:lang w:eastAsia="bg-BG"/>
        </w:rPr>
        <w:t>Допълващо лечение на първично генерализирани тонично-клонични пристъпи при възрастни и юноши на 12 и повече години с идиопатична генерализирана епилепсия.</w:t>
      </w:r>
    </w:p>
    <w:p w14:paraId="16016EA4" w14:textId="77777777"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 xml:space="preserve">Ефикасността на леветирацетам е доказана в 24-седмично двойно-сляпо, плацебо-контролирано . проучване включващо възрастни, юноши и ограничен брой деца, страдащи от идиопатична генерализирана епилепсия с първично генерализирани тонично-клонични (ПГТК) пристъпи от различни синдроми (ювенилна миоклонична епилепсия, ювенилна абсанс епилепсия, детска абсанс епилепсия или епилепсия с </w:t>
      </w:r>
      <w:r w:rsidRPr="00F26B25">
        <w:rPr>
          <w:rFonts w:eastAsia="Times New Roman" w:cs="Arial"/>
          <w:color w:val="000000"/>
          <w:lang w:val="en-US"/>
        </w:rPr>
        <w:t>grand</w:t>
      </w:r>
      <w:r w:rsidRPr="00F26B25">
        <w:rPr>
          <w:rFonts w:eastAsia="Times New Roman" w:cs="Arial"/>
          <w:color w:val="000000"/>
          <w:lang w:val="ru-RU"/>
        </w:rPr>
        <w:t xml:space="preserve"> </w:t>
      </w:r>
      <w:r w:rsidRPr="00F26B25">
        <w:rPr>
          <w:rFonts w:eastAsia="Times New Roman" w:cs="Arial"/>
          <w:color w:val="000000"/>
          <w:lang w:val="en-US"/>
        </w:rPr>
        <w:t>mal</w:t>
      </w:r>
      <w:r w:rsidRPr="00F26B25">
        <w:rPr>
          <w:rFonts w:eastAsia="Times New Roman" w:cs="Arial"/>
          <w:color w:val="000000"/>
          <w:lang w:val="ru-RU"/>
        </w:rPr>
        <w:t xml:space="preserve"> </w:t>
      </w:r>
      <w:r w:rsidRPr="00F26B25">
        <w:rPr>
          <w:rFonts w:eastAsia="Times New Roman" w:cs="Arial"/>
          <w:color w:val="000000"/>
          <w:lang w:eastAsia="bg-BG"/>
        </w:rPr>
        <w:t xml:space="preserve">пристъпи при събуждане). В това проучване, дозата на леветирацетам е била 3 000 </w:t>
      </w:r>
      <w:r w:rsidRPr="00F26B25">
        <w:rPr>
          <w:rFonts w:eastAsia="Times New Roman" w:cs="Arial"/>
          <w:color w:val="000000"/>
          <w:lang w:val="en-US"/>
        </w:rPr>
        <w:t>mg</w:t>
      </w:r>
      <w:r w:rsidRPr="00F26B25">
        <w:rPr>
          <w:rFonts w:eastAsia="Times New Roman" w:cs="Arial"/>
          <w:color w:val="000000"/>
          <w:lang w:eastAsia="bg-BG"/>
        </w:rPr>
        <w:t xml:space="preserve">/ден при възрастни и юноши или 60 </w:t>
      </w:r>
      <w:r w:rsidRPr="00F26B25">
        <w:rPr>
          <w:rFonts w:eastAsia="Times New Roman" w:cs="Arial"/>
          <w:color w:val="000000"/>
          <w:lang w:val="en-US"/>
        </w:rPr>
        <w:t>mg</w:t>
      </w:r>
      <w:r w:rsidRPr="00F26B25">
        <w:rPr>
          <w:rFonts w:eastAsia="Times New Roman" w:cs="Arial"/>
          <w:color w:val="000000"/>
          <w:lang w:val="ru-RU"/>
        </w:rPr>
        <w:t>/</w:t>
      </w:r>
      <w:r w:rsidRPr="00F26B25">
        <w:rPr>
          <w:rFonts w:eastAsia="Times New Roman" w:cs="Arial"/>
          <w:color w:val="000000"/>
          <w:lang w:val="en-US"/>
        </w:rPr>
        <w:t>kg</w:t>
      </w:r>
      <w:r w:rsidRPr="00F26B25">
        <w:rPr>
          <w:rFonts w:eastAsia="Times New Roman" w:cs="Arial"/>
          <w:color w:val="000000"/>
          <w:lang w:val="ru-RU"/>
        </w:rPr>
        <w:t>/</w:t>
      </w:r>
      <w:r w:rsidRPr="00F26B25">
        <w:rPr>
          <w:rFonts w:eastAsia="Times New Roman" w:cs="Arial"/>
          <w:color w:val="000000"/>
          <w:lang w:eastAsia="bg-BG"/>
        </w:rPr>
        <w:t>ден при деца, приемани като 2 отделни дози.</w:t>
      </w:r>
    </w:p>
    <w:p w14:paraId="4FFE3DCD" w14:textId="3B0A0FC8" w:rsidR="00F26B25" w:rsidRPr="00F26B25" w:rsidRDefault="00F26B25" w:rsidP="00F26B25">
      <w:pPr>
        <w:spacing w:line="240" w:lineRule="auto"/>
        <w:rPr>
          <w:rFonts w:eastAsia="Times New Roman" w:cs="Arial"/>
          <w:sz w:val="24"/>
          <w:szCs w:val="24"/>
        </w:rPr>
      </w:pPr>
      <w:r w:rsidRPr="00F26B25">
        <w:rPr>
          <w:rFonts w:eastAsia="Times New Roman" w:cs="Arial"/>
          <w:color w:val="000000"/>
          <w:lang w:eastAsia="bg-BG"/>
        </w:rPr>
        <w:t>72,2 % от пациентите, приемащи леветирацетам и 45,2 % от пациентите на плацебо са с 50 % или по-голямо намаление на честотата на ПГТК пристъпи за седмица. При продължително дългосрочно лечение 47,4 % от пациентите не са получавали тонично-клонични пристъпи за поне 6 месеца и 31,5 % не са получавали тонично-клонични пристъпи за поне 1 година.</w:t>
      </w:r>
    </w:p>
    <w:p w14:paraId="05155C30" w14:textId="7DACA616" w:rsidR="00F26B25" w:rsidRPr="00F26B25" w:rsidRDefault="00F26B25" w:rsidP="00F26B25"/>
    <w:p w14:paraId="78DD93AA" w14:textId="3F95B135" w:rsidR="00B6672E" w:rsidRDefault="002C50EE" w:rsidP="00936AD0">
      <w:pPr>
        <w:pStyle w:val="Heading2"/>
      </w:pPr>
      <w:r>
        <w:t>5.2. Фармакокинетични свойства</w:t>
      </w:r>
    </w:p>
    <w:p w14:paraId="6CBC244E" w14:textId="08C9AD50" w:rsidR="00F26B25" w:rsidRDefault="00F26B25" w:rsidP="00F26B25"/>
    <w:p w14:paraId="707A69B4" w14:textId="77777777" w:rsidR="00F26B25" w:rsidRPr="00813F46" w:rsidRDefault="00F26B25" w:rsidP="00F26B25">
      <w:pPr>
        <w:rPr>
          <w:rFonts w:eastAsia="Times New Roman" w:cs="Arial"/>
        </w:rPr>
      </w:pPr>
      <w:r w:rsidRPr="00813F46">
        <w:rPr>
          <w:rFonts w:cs="Arial"/>
        </w:rPr>
        <w:t xml:space="preserve">Леветирацетам притежава висока степен на разтворимост и проницаемост. Фармакокинетичният му профил е линеен с ниска интра- и интериндивидуална вариабилност. Няма промяна в клирънса след многократно приложение. Няма данни за съществена </w:t>
      </w:r>
      <w:r w:rsidRPr="00813F46">
        <w:rPr>
          <w:rFonts w:eastAsia="Times New Roman" w:cs="Arial"/>
          <w:color w:val="000000"/>
          <w:lang w:eastAsia="bg-BG"/>
        </w:rPr>
        <w:t>вариабилност по отношение на пола, расата и циркадния ритъм. Фармакокинетичният профил е сравним при здрави доброволци и пациенти с епилепсия.</w:t>
      </w:r>
    </w:p>
    <w:p w14:paraId="13135C3C" w14:textId="77777777" w:rsidR="00F26B25" w:rsidRPr="00813F46" w:rsidRDefault="00F26B25" w:rsidP="00F26B25">
      <w:pPr>
        <w:spacing w:line="240" w:lineRule="auto"/>
        <w:rPr>
          <w:rFonts w:eastAsia="Times New Roman" w:cs="Arial"/>
          <w:color w:val="000000"/>
          <w:lang w:eastAsia="bg-BG"/>
        </w:rPr>
      </w:pPr>
    </w:p>
    <w:p w14:paraId="23360186" w14:textId="053666D3" w:rsidR="00F26B25" w:rsidRPr="00813F46" w:rsidRDefault="00F26B25" w:rsidP="00F26B25">
      <w:pPr>
        <w:spacing w:line="240" w:lineRule="auto"/>
        <w:rPr>
          <w:rFonts w:eastAsia="Times New Roman" w:cs="Arial"/>
        </w:rPr>
      </w:pPr>
      <w:r w:rsidRPr="00813F46">
        <w:rPr>
          <w:rFonts w:eastAsia="Times New Roman" w:cs="Arial"/>
          <w:color w:val="000000"/>
          <w:lang w:eastAsia="bg-BG"/>
        </w:rPr>
        <w:t xml:space="preserve">Поради пълната и линейна абсорбция, плазмените концентрации могат да бъдат предвидени в зависимост от пероралната доза леветирацетам, изразена в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 xml:space="preserve">телесно </w:t>
      </w:r>
      <w:r w:rsidRPr="00813F46">
        <w:rPr>
          <w:rFonts w:eastAsia="Times New Roman" w:cs="Arial"/>
          <w:color w:val="000000"/>
          <w:lang w:eastAsia="bg-BG"/>
        </w:rPr>
        <w:lastRenderedPageBreak/>
        <w:t>тегло. Ето защо не е необходимо проследяване на плазмените концентрации на леветирацетам.</w:t>
      </w:r>
    </w:p>
    <w:p w14:paraId="1554E179" w14:textId="77777777" w:rsidR="00F26B25" w:rsidRPr="00813F46" w:rsidRDefault="00F26B25" w:rsidP="00F26B25">
      <w:pPr>
        <w:spacing w:line="240" w:lineRule="auto"/>
        <w:rPr>
          <w:rFonts w:eastAsia="Times New Roman" w:cs="Arial"/>
          <w:color w:val="000000"/>
          <w:lang w:eastAsia="bg-BG"/>
        </w:rPr>
      </w:pPr>
    </w:p>
    <w:p w14:paraId="69E53124" w14:textId="68C62A62" w:rsidR="00F26B25" w:rsidRPr="00813F46" w:rsidRDefault="00F26B25" w:rsidP="00F26B25">
      <w:pPr>
        <w:spacing w:line="240" w:lineRule="auto"/>
        <w:rPr>
          <w:rFonts w:eastAsia="Times New Roman" w:cs="Arial"/>
        </w:rPr>
      </w:pPr>
      <w:r w:rsidRPr="00813F46">
        <w:rPr>
          <w:rFonts w:eastAsia="Times New Roman" w:cs="Arial"/>
          <w:color w:val="000000"/>
          <w:lang w:eastAsia="bg-BG"/>
        </w:rPr>
        <w:t>При възрастни и деца е установена значима корелация между концентрациите в слюнката и плазмата (съотношението слюнка/плазма по отношение на концентрацията варира от 1 до 1,7 при пероралната таблетна форма и 4 часа след приема на лероралния разтвор).</w:t>
      </w:r>
    </w:p>
    <w:p w14:paraId="52C75173" w14:textId="77777777" w:rsidR="00F26B25" w:rsidRPr="00813F46" w:rsidRDefault="00F26B25" w:rsidP="00F26B25">
      <w:pPr>
        <w:spacing w:line="240" w:lineRule="auto"/>
        <w:rPr>
          <w:rFonts w:eastAsia="Times New Roman" w:cs="Arial"/>
          <w:i/>
          <w:iCs/>
          <w:color w:val="000000"/>
          <w:lang w:eastAsia="bg-BG"/>
        </w:rPr>
      </w:pPr>
    </w:p>
    <w:p w14:paraId="189B2C84" w14:textId="745A99B3" w:rsidR="00F26B25" w:rsidRPr="00813F46" w:rsidRDefault="00F26B25" w:rsidP="00F26B25">
      <w:pPr>
        <w:spacing w:line="240" w:lineRule="auto"/>
        <w:rPr>
          <w:rFonts w:eastAsia="Times New Roman" w:cs="Arial"/>
        </w:rPr>
      </w:pPr>
      <w:r w:rsidRPr="00813F46">
        <w:rPr>
          <w:rFonts w:eastAsia="Times New Roman" w:cs="Arial"/>
          <w:i/>
          <w:iCs/>
          <w:color w:val="000000"/>
          <w:lang w:eastAsia="bg-BG"/>
        </w:rPr>
        <w:t>Възрастни и юноши</w:t>
      </w:r>
    </w:p>
    <w:p w14:paraId="03C31350" w14:textId="77777777" w:rsidR="00F26B25" w:rsidRPr="00813F46" w:rsidRDefault="00F26B25" w:rsidP="00F26B25">
      <w:pPr>
        <w:spacing w:line="240" w:lineRule="auto"/>
        <w:rPr>
          <w:rFonts w:eastAsia="Times New Roman" w:cs="Arial"/>
          <w:color w:val="000000"/>
          <w:u w:val="single"/>
          <w:lang w:eastAsia="bg-BG"/>
        </w:rPr>
      </w:pPr>
    </w:p>
    <w:p w14:paraId="14076FCA" w14:textId="438C987F" w:rsidR="00F26B25" w:rsidRPr="00813F46" w:rsidRDefault="00F26B25" w:rsidP="00813F46">
      <w:pPr>
        <w:pStyle w:val="Heading3"/>
        <w:rPr>
          <w:rFonts w:eastAsia="Times New Roman"/>
          <w:u w:val="single"/>
        </w:rPr>
      </w:pPr>
      <w:r w:rsidRPr="00813F46">
        <w:rPr>
          <w:rFonts w:eastAsia="Times New Roman"/>
          <w:u w:val="single"/>
          <w:lang w:eastAsia="bg-BG"/>
        </w:rPr>
        <w:t>Абсорбция</w:t>
      </w:r>
    </w:p>
    <w:p w14:paraId="413CB3E5" w14:textId="77777777" w:rsidR="00F26B25" w:rsidRPr="00813F46" w:rsidRDefault="00F26B25" w:rsidP="00F26B25">
      <w:pPr>
        <w:spacing w:line="240" w:lineRule="auto"/>
        <w:rPr>
          <w:rFonts w:eastAsia="Times New Roman" w:cs="Arial"/>
          <w:color w:val="000000"/>
          <w:lang w:eastAsia="bg-BG"/>
        </w:rPr>
      </w:pPr>
    </w:p>
    <w:p w14:paraId="7C5855D2" w14:textId="6DC88900" w:rsidR="00F26B25" w:rsidRPr="00813F46" w:rsidRDefault="00F26B25" w:rsidP="00F26B25">
      <w:pPr>
        <w:spacing w:line="240" w:lineRule="auto"/>
        <w:rPr>
          <w:rFonts w:eastAsia="Times New Roman" w:cs="Arial"/>
        </w:rPr>
      </w:pPr>
      <w:r w:rsidRPr="00813F46">
        <w:rPr>
          <w:rFonts w:eastAsia="Times New Roman" w:cs="Arial"/>
          <w:color w:val="000000"/>
          <w:lang w:eastAsia="bg-BG"/>
        </w:rPr>
        <w:t>Леветирацетам се абсорбира бързо след перорално приложение. Абсолютната бионаличност при перорално приложение е близка до 100 %.</w:t>
      </w:r>
    </w:p>
    <w:p w14:paraId="63E15764"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Максимални плазмени концентрации (С</w:t>
      </w:r>
      <w:r w:rsidRPr="00813F46">
        <w:rPr>
          <w:rFonts w:eastAsia="Times New Roman" w:cs="Arial"/>
          <w:color w:val="000000"/>
          <w:lang w:val="en-US"/>
        </w:rPr>
        <w:t>max</w:t>
      </w:r>
      <w:r w:rsidRPr="00813F46">
        <w:rPr>
          <w:rFonts w:eastAsia="Times New Roman" w:cs="Arial"/>
          <w:color w:val="000000"/>
          <w:lang w:eastAsia="bg-BG"/>
        </w:rPr>
        <w:t>) се достигат 1,3 часа след приема. Равновесно състояние се достига след два дни при схема на приемане 2 пъти дневно.</w:t>
      </w:r>
    </w:p>
    <w:p w14:paraId="56E28C24"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Максималните концентрации (С</w:t>
      </w:r>
      <w:r w:rsidRPr="00813F46">
        <w:rPr>
          <w:rFonts w:eastAsia="Times New Roman" w:cs="Arial"/>
          <w:color w:val="000000"/>
          <w:lang w:val="en-US"/>
        </w:rPr>
        <w:t>max</w:t>
      </w:r>
      <w:r w:rsidRPr="00813F46">
        <w:rPr>
          <w:rFonts w:eastAsia="Times New Roman" w:cs="Arial"/>
          <w:color w:val="000000"/>
          <w:lang w:eastAsia="bg-BG"/>
        </w:rPr>
        <w:t>) са обичайно 31 μ</w:t>
      </w:r>
      <w:r w:rsidRPr="00813F46">
        <w:rPr>
          <w:rFonts w:eastAsia="Times New Roman" w:cs="Arial"/>
          <w:color w:val="000000"/>
          <w:lang w:val="en-US"/>
        </w:rPr>
        <w:t>g</w:t>
      </w:r>
      <w:r w:rsidRPr="00813F46">
        <w:rPr>
          <w:rFonts w:eastAsia="Times New Roman" w:cs="Arial"/>
          <w:color w:val="000000"/>
          <w:lang w:val="ru-RU"/>
        </w:rPr>
        <w:t>/</w:t>
      </w:r>
      <w:r w:rsidRPr="00813F46">
        <w:rPr>
          <w:rFonts w:eastAsia="Times New Roman" w:cs="Arial"/>
          <w:color w:val="000000"/>
          <w:lang w:val="en-US"/>
        </w:rPr>
        <w:t>ml</w:t>
      </w:r>
      <w:r w:rsidRPr="00813F46">
        <w:rPr>
          <w:rFonts w:eastAsia="Times New Roman" w:cs="Arial"/>
          <w:color w:val="000000"/>
          <w:lang w:val="ru-RU"/>
        </w:rPr>
        <w:t xml:space="preserve"> </w:t>
      </w:r>
      <w:r w:rsidRPr="00813F46">
        <w:rPr>
          <w:rFonts w:eastAsia="Times New Roman" w:cs="Arial"/>
          <w:color w:val="000000"/>
          <w:lang w:eastAsia="bg-BG"/>
        </w:rPr>
        <w:t>и 43 μ</w:t>
      </w:r>
      <w:r w:rsidRPr="00813F46">
        <w:rPr>
          <w:rFonts w:eastAsia="Times New Roman" w:cs="Arial"/>
          <w:color w:val="000000"/>
          <w:lang w:val="en-US"/>
        </w:rPr>
        <w:t>g</w:t>
      </w:r>
      <w:r w:rsidRPr="00813F46">
        <w:rPr>
          <w:rFonts w:eastAsia="Times New Roman" w:cs="Arial"/>
          <w:color w:val="000000"/>
          <w:lang w:val="ru-RU"/>
        </w:rPr>
        <w:t>/</w:t>
      </w:r>
      <w:r w:rsidRPr="00813F46">
        <w:rPr>
          <w:rFonts w:eastAsia="Times New Roman" w:cs="Arial"/>
          <w:color w:val="000000"/>
          <w:lang w:val="en-US"/>
        </w:rPr>
        <w:t>ml</w:t>
      </w:r>
      <w:r w:rsidRPr="00813F46">
        <w:rPr>
          <w:rFonts w:eastAsia="Times New Roman" w:cs="Arial"/>
          <w:color w:val="000000"/>
          <w:lang w:val="ru-RU"/>
        </w:rPr>
        <w:t xml:space="preserve"> </w:t>
      </w:r>
      <w:r w:rsidRPr="00813F46">
        <w:rPr>
          <w:rFonts w:eastAsia="Times New Roman" w:cs="Arial"/>
          <w:color w:val="000000"/>
          <w:lang w:eastAsia="bg-BG"/>
        </w:rPr>
        <w:t xml:space="preserve">съответно след еднократна доза от 1 000 </w:t>
      </w:r>
      <w:r w:rsidRPr="00813F46">
        <w:rPr>
          <w:rFonts w:eastAsia="Times New Roman" w:cs="Arial"/>
          <w:color w:val="000000"/>
          <w:lang w:val="en-US"/>
        </w:rPr>
        <w:t>mg</w:t>
      </w:r>
      <w:r w:rsidRPr="00813F46">
        <w:rPr>
          <w:rFonts w:eastAsia="Times New Roman" w:cs="Arial"/>
          <w:color w:val="000000"/>
          <w:lang w:val="ru-RU"/>
        </w:rPr>
        <w:t xml:space="preserve"> </w:t>
      </w:r>
      <w:r w:rsidRPr="00813F46">
        <w:rPr>
          <w:rFonts w:eastAsia="Times New Roman" w:cs="Arial"/>
          <w:color w:val="000000"/>
          <w:lang w:eastAsia="bg-BG"/>
        </w:rPr>
        <w:t xml:space="preserve">и след многократно приложение на 1 000 </w:t>
      </w:r>
      <w:r w:rsidRPr="00813F46">
        <w:rPr>
          <w:rFonts w:eastAsia="Times New Roman" w:cs="Arial"/>
          <w:color w:val="000000"/>
          <w:lang w:val="en-US"/>
        </w:rPr>
        <w:t>mg</w:t>
      </w:r>
      <w:r w:rsidRPr="00813F46">
        <w:rPr>
          <w:rFonts w:eastAsia="Times New Roman" w:cs="Arial"/>
          <w:color w:val="000000"/>
          <w:lang w:val="ru-RU"/>
        </w:rPr>
        <w:t xml:space="preserve"> </w:t>
      </w:r>
      <w:r w:rsidRPr="00813F46">
        <w:rPr>
          <w:rFonts w:eastAsia="Times New Roman" w:cs="Arial"/>
          <w:color w:val="000000"/>
          <w:lang w:eastAsia="bg-BG"/>
        </w:rPr>
        <w:t>два пъти дневно.</w:t>
      </w:r>
    </w:p>
    <w:p w14:paraId="4C2721BC"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Степента на абсорбция не зависи от дозата и не се влияе от храната.</w:t>
      </w:r>
    </w:p>
    <w:p w14:paraId="106539F6" w14:textId="77777777" w:rsidR="00F26B25" w:rsidRPr="00813F46" w:rsidRDefault="00F26B25" w:rsidP="00F26B25">
      <w:pPr>
        <w:spacing w:line="240" w:lineRule="auto"/>
        <w:rPr>
          <w:rFonts w:eastAsia="Times New Roman" w:cs="Arial"/>
          <w:color w:val="000000"/>
          <w:u w:val="single"/>
          <w:lang w:eastAsia="bg-BG"/>
        </w:rPr>
      </w:pPr>
    </w:p>
    <w:p w14:paraId="14460F47" w14:textId="50CE2B70" w:rsidR="00F26B25" w:rsidRPr="00813F46" w:rsidRDefault="00F26B25" w:rsidP="00813F46">
      <w:pPr>
        <w:pStyle w:val="Heading3"/>
        <w:rPr>
          <w:rFonts w:eastAsia="Times New Roman"/>
          <w:u w:val="single"/>
        </w:rPr>
      </w:pPr>
      <w:r w:rsidRPr="00813F46">
        <w:rPr>
          <w:rFonts w:eastAsia="Times New Roman"/>
          <w:u w:val="single"/>
          <w:lang w:eastAsia="bg-BG"/>
        </w:rPr>
        <w:t>Разпределение</w:t>
      </w:r>
    </w:p>
    <w:p w14:paraId="7BA6E3E9" w14:textId="77777777" w:rsidR="00F26B25" w:rsidRPr="00813F46" w:rsidRDefault="00F26B25" w:rsidP="00F26B25">
      <w:pPr>
        <w:spacing w:line="240" w:lineRule="auto"/>
        <w:rPr>
          <w:rFonts w:eastAsia="Times New Roman" w:cs="Arial"/>
          <w:color w:val="000000"/>
          <w:lang w:eastAsia="bg-BG"/>
        </w:rPr>
      </w:pPr>
    </w:p>
    <w:p w14:paraId="5EC4D26F" w14:textId="166D56C8" w:rsidR="00F26B25" w:rsidRPr="00813F46" w:rsidRDefault="00F26B25" w:rsidP="00F26B25">
      <w:pPr>
        <w:spacing w:line="240" w:lineRule="auto"/>
        <w:rPr>
          <w:rFonts w:eastAsia="Times New Roman" w:cs="Arial"/>
        </w:rPr>
      </w:pPr>
      <w:r w:rsidRPr="00813F46">
        <w:rPr>
          <w:rFonts w:eastAsia="Times New Roman" w:cs="Arial"/>
          <w:color w:val="000000"/>
          <w:lang w:eastAsia="bg-BG"/>
        </w:rPr>
        <w:t>Няма налични данни за тьканното разпределение при хора.</w:t>
      </w:r>
    </w:p>
    <w:p w14:paraId="3FC9DCA4"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Нито леветирацетам, нито неговия първичен метаболит се свързват в значителна степен с плазмените протеини (&lt; 10 %).</w:t>
      </w:r>
    </w:p>
    <w:p w14:paraId="3E226422"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 xml:space="preserve">Обемът на разпределение на леветирацетам е приблизително 0,5 до 0,7 </w:t>
      </w:r>
      <w:r w:rsidRPr="00813F46">
        <w:rPr>
          <w:rFonts w:eastAsia="Times New Roman" w:cs="Arial"/>
          <w:color w:val="000000"/>
          <w:lang w:val="ru-RU"/>
        </w:rPr>
        <w:t>1/</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което е близо до общия воден обем на организма.</w:t>
      </w:r>
    </w:p>
    <w:p w14:paraId="092DB8B9" w14:textId="77777777" w:rsidR="00813F46" w:rsidRPr="00813F46" w:rsidRDefault="00813F46" w:rsidP="00F26B25">
      <w:pPr>
        <w:spacing w:line="240" w:lineRule="auto"/>
        <w:rPr>
          <w:rFonts w:eastAsia="Times New Roman" w:cs="Arial"/>
          <w:color w:val="000000"/>
          <w:u w:val="single"/>
          <w:lang w:eastAsia="bg-BG"/>
        </w:rPr>
      </w:pPr>
    </w:p>
    <w:p w14:paraId="48683D0D" w14:textId="27A53D4F" w:rsidR="00F26B25" w:rsidRPr="00813F46" w:rsidRDefault="00F26B25" w:rsidP="00813F46">
      <w:pPr>
        <w:pStyle w:val="Heading3"/>
        <w:rPr>
          <w:rFonts w:eastAsia="Times New Roman"/>
          <w:u w:val="single"/>
        </w:rPr>
      </w:pPr>
      <w:r w:rsidRPr="00813F46">
        <w:rPr>
          <w:rFonts w:eastAsia="Times New Roman"/>
          <w:u w:val="single"/>
          <w:lang w:eastAsia="bg-BG"/>
        </w:rPr>
        <w:t>Биотрансформация</w:t>
      </w:r>
    </w:p>
    <w:p w14:paraId="37EC101E" w14:textId="77777777" w:rsidR="00813F46" w:rsidRPr="00813F46" w:rsidRDefault="00813F46" w:rsidP="00F26B25">
      <w:pPr>
        <w:spacing w:line="240" w:lineRule="auto"/>
        <w:rPr>
          <w:rFonts w:eastAsia="Times New Roman" w:cs="Arial"/>
          <w:color w:val="000000"/>
          <w:lang w:eastAsia="bg-BG"/>
        </w:rPr>
      </w:pPr>
    </w:p>
    <w:p w14:paraId="61FAE740" w14:textId="3A144D73" w:rsidR="00F26B25" w:rsidRPr="00813F46" w:rsidRDefault="00F26B25" w:rsidP="00F26B25">
      <w:pPr>
        <w:spacing w:line="240" w:lineRule="auto"/>
        <w:rPr>
          <w:rFonts w:eastAsia="Times New Roman" w:cs="Arial"/>
        </w:rPr>
      </w:pPr>
      <w:r w:rsidRPr="00813F46">
        <w:rPr>
          <w:rFonts w:eastAsia="Times New Roman" w:cs="Arial"/>
          <w:color w:val="000000"/>
          <w:lang w:eastAsia="bg-BG"/>
        </w:rPr>
        <w:t xml:space="preserve">Леветирацетам не се метаболизира екстензивно при хора. Главният път на метаболизъм (24 % от дозата) е ензимна хидролиза на ацетамидната група. В образуването на първичния метаболит, </w:t>
      </w:r>
      <w:proofErr w:type="spellStart"/>
      <w:r w:rsidRPr="00813F46">
        <w:rPr>
          <w:rFonts w:eastAsia="Times New Roman" w:cs="Arial"/>
          <w:color w:val="000000"/>
          <w:lang w:val="en-US"/>
        </w:rPr>
        <w:t>ucb</w:t>
      </w:r>
      <w:proofErr w:type="spellEnd"/>
      <w:r w:rsidRPr="00813F46">
        <w:rPr>
          <w:rFonts w:eastAsia="Times New Roman" w:cs="Arial"/>
          <w:color w:val="000000"/>
          <w:lang w:val="ru-RU"/>
        </w:rPr>
        <w:t xml:space="preserve"> </w:t>
      </w:r>
      <w:r w:rsidRPr="00813F46">
        <w:rPr>
          <w:rFonts w:eastAsia="Times New Roman" w:cs="Arial"/>
          <w:color w:val="000000"/>
          <w:lang w:val="en-US"/>
        </w:rPr>
        <w:t>L</w:t>
      </w:r>
      <w:r w:rsidRPr="00813F46">
        <w:rPr>
          <w:rFonts w:eastAsia="Times New Roman" w:cs="Arial"/>
          <w:color w:val="000000"/>
          <w:lang w:val="ru-RU"/>
        </w:rPr>
        <w:t xml:space="preserve">057, </w:t>
      </w:r>
      <w:r w:rsidRPr="00813F46">
        <w:rPr>
          <w:rFonts w:eastAsia="Times New Roman" w:cs="Arial"/>
          <w:color w:val="000000"/>
          <w:lang w:eastAsia="bg-BG"/>
        </w:rPr>
        <w:t>не участват чернодробните цитохром Р</w:t>
      </w:r>
      <w:r w:rsidRPr="00813F46">
        <w:rPr>
          <w:rFonts w:eastAsia="Times New Roman" w:cs="Arial"/>
          <w:color w:val="000000"/>
          <w:vertAlign w:val="subscript"/>
          <w:lang w:eastAsia="bg-BG"/>
        </w:rPr>
        <w:t>450</w:t>
      </w:r>
      <w:r w:rsidRPr="00813F46">
        <w:rPr>
          <w:rFonts w:eastAsia="Times New Roman" w:cs="Arial"/>
          <w:color w:val="000000"/>
          <w:lang w:val="ru-RU"/>
        </w:rPr>
        <w:t xml:space="preserve"> </w:t>
      </w:r>
      <w:r w:rsidRPr="00813F46">
        <w:rPr>
          <w:rFonts w:eastAsia="Times New Roman" w:cs="Arial"/>
          <w:color w:val="000000"/>
          <w:lang w:eastAsia="bg-BG"/>
        </w:rPr>
        <w:t>изоформи. Хидролизата на ацетамидната група е установена в голям брой тъкани, включително кръвни клетки.</w:t>
      </w:r>
    </w:p>
    <w:p w14:paraId="71865FAF"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 xml:space="preserve">Метаболитьт </w:t>
      </w:r>
      <w:proofErr w:type="spellStart"/>
      <w:r w:rsidRPr="00813F46">
        <w:rPr>
          <w:rFonts w:eastAsia="Times New Roman" w:cs="Arial"/>
          <w:color w:val="000000"/>
          <w:lang w:val="en-US"/>
        </w:rPr>
        <w:t>ucb</w:t>
      </w:r>
      <w:proofErr w:type="spellEnd"/>
      <w:r w:rsidRPr="00813F46">
        <w:rPr>
          <w:rFonts w:eastAsia="Times New Roman" w:cs="Arial"/>
          <w:color w:val="000000"/>
          <w:lang w:val="ru-RU"/>
        </w:rPr>
        <w:t xml:space="preserve"> </w:t>
      </w:r>
      <w:r w:rsidRPr="00813F46">
        <w:rPr>
          <w:rFonts w:eastAsia="Times New Roman" w:cs="Arial"/>
          <w:color w:val="000000"/>
          <w:lang w:val="en-US"/>
        </w:rPr>
        <w:t>L</w:t>
      </w:r>
      <w:r w:rsidRPr="00813F46">
        <w:rPr>
          <w:rFonts w:eastAsia="Times New Roman" w:cs="Arial"/>
          <w:color w:val="000000"/>
          <w:lang w:val="ru-RU"/>
        </w:rPr>
        <w:t xml:space="preserve">057 </w:t>
      </w:r>
      <w:r w:rsidRPr="00813F46">
        <w:rPr>
          <w:rFonts w:eastAsia="Times New Roman" w:cs="Arial"/>
          <w:color w:val="000000"/>
          <w:lang w:eastAsia="bg-BG"/>
        </w:rPr>
        <w:t>е фармакологично неактивен.</w:t>
      </w:r>
    </w:p>
    <w:p w14:paraId="2058F2BE" w14:textId="77777777" w:rsidR="00813F46" w:rsidRPr="00813F46" w:rsidRDefault="00813F46" w:rsidP="00F26B25">
      <w:pPr>
        <w:spacing w:line="240" w:lineRule="auto"/>
        <w:rPr>
          <w:rFonts w:eastAsia="Times New Roman" w:cs="Arial"/>
          <w:color w:val="000000"/>
          <w:lang w:eastAsia="bg-BG"/>
        </w:rPr>
      </w:pPr>
    </w:p>
    <w:p w14:paraId="4B11A9D2" w14:textId="7633127B" w:rsidR="00F26B25" w:rsidRPr="00813F46" w:rsidRDefault="00F26B25" w:rsidP="00F26B25">
      <w:pPr>
        <w:spacing w:line="240" w:lineRule="auto"/>
        <w:rPr>
          <w:rFonts w:eastAsia="Times New Roman" w:cs="Arial"/>
        </w:rPr>
      </w:pPr>
      <w:r w:rsidRPr="00813F46">
        <w:rPr>
          <w:rFonts w:eastAsia="Times New Roman" w:cs="Arial"/>
          <w:color w:val="000000"/>
          <w:lang w:eastAsia="bg-BG"/>
        </w:rPr>
        <w:t>Установени са също и два второстепенни метаболита. Единият се получава от хидроксилирането на пиролидоновия пръстен (1,6 % от дозата), а другият от отварянето на пиролидоновия пръстен (0,9 % от дозата). Другите неидентифицирани компоненти съставляват само 0,6 % от дозата.</w:t>
      </w:r>
    </w:p>
    <w:p w14:paraId="0EC228F8" w14:textId="77777777" w:rsidR="00813F46" w:rsidRPr="00813F46" w:rsidRDefault="00813F46" w:rsidP="00F26B25">
      <w:pPr>
        <w:spacing w:line="240" w:lineRule="auto"/>
        <w:rPr>
          <w:rFonts w:eastAsia="Times New Roman" w:cs="Arial"/>
          <w:i/>
          <w:iCs/>
          <w:color w:val="000000"/>
          <w:lang w:val="en-US"/>
        </w:rPr>
      </w:pPr>
    </w:p>
    <w:p w14:paraId="7FACB0D5" w14:textId="2149294D" w:rsidR="00F26B25" w:rsidRPr="00813F46" w:rsidRDefault="00F26B25" w:rsidP="00F26B25">
      <w:pPr>
        <w:spacing w:line="240" w:lineRule="auto"/>
        <w:rPr>
          <w:rFonts w:eastAsia="Times New Roman" w:cs="Arial"/>
        </w:rPr>
      </w:pP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vivo</w:t>
      </w:r>
      <w:r w:rsidRPr="00813F46">
        <w:rPr>
          <w:rFonts w:eastAsia="Times New Roman" w:cs="Arial"/>
          <w:color w:val="000000"/>
          <w:lang w:val="ru-RU"/>
        </w:rPr>
        <w:t xml:space="preserve"> </w:t>
      </w:r>
      <w:r w:rsidRPr="00813F46">
        <w:rPr>
          <w:rFonts w:eastAsia="Times New Roman" w:cs="Arial"/>
          <w:color w:val="000000"/>
          <w:lang w:eastAsia="bg-BG"/>
        </w:rPr>
        <w:t>не е установена вътрешна конверсия на енантиомерите както на леветирацетам, така и на неговия първичен метаболит.</w:t>
      </w:r>
    </w:p>
    <w:p w14:paraId="394182F1" w14:textId="77777777" w:rsidR="00813F46" w:rsidRPr="00813F46" w:rsidRDefault="00813F46" w:rsidP="00F26B25">
      <w:pPr>
        <w:spacing w:line="240" w:lineRule="auto"/>
        <w:rPr>
          <w:rFonts w:eastAsia="Times New Roman" w:cs="Arial"/>
          <w:i/>
          <w:iCs/>
          <w:color w:val="000000"/>
          <w:lang w:val="ru-RU"/>
        </w:rPr>
      </w:pPr>
    </w:p>
    <w:p w14:paraId="1F08C987" w14:textId="0F6538D2" w:rsidR="00F26B25" w:rsidRPr="00813F46" w:rsidRDefault="00F26B25" w:rsidP="00F26B25">
      <w:pPr>
        <w:spacing w:line="240" w:lineRule="auto"/>
        <w:rPr>
          <w:rFonts w:eastAsia="Times New Roman" w:cs="Arial"/>
        </w:rPr>
      </w:pP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vitro</w:t>
      </w:r>
      <w:r w:rsidRPr="00813F46">
        <w:rPr>
          <w:rFonts w:eastAsia="Times New Roman" w:cs="Arial"/>
          <w:i/>
          <w:iCs/>
          <w:color w:val="000000"/>
          <w:lang w:val="ru-RU"/>
        </w:rPr>
        <w:t>,</w:t>
      </w:r>
      <w:r w:rsidRPr="00813F46">
        <w:rPr>
          <w:rFonts w:eastAsia="Times New Roman" w:cs="Arial"/>
          <w:color w:val="000000"/>
          <w:lang w:val="ru-RU"/>
        </w:rPr>
        <w:t xml:space="preserve"> </w:t>
      </w:r>
      <w:r w:rsidRPr="00813F46">
        <w:rPr>
          <w:rFonts w:eastAsia="Times New Roman" w:cs="Arial"/>
          <w:color w:val="000000"/>
          <w:lang w:eastAsia="bg-BG"/>
        </w:rPr>
        <w:t xml:space="preserve">леветирацетам и неговият първичен метаболит не инхибират изоформите на главния чернодробен комплекс при хората - цитохром </w:t>
      </w:r>
      <w:proofErr w:type="gramStart"/>
      <w:r w:rsidRPr="00813F46">
        <w:rPr>
          <w:rFonts w:eastAsia="Times New Roman" w:cs="Arial"/>
          <w:color w:val="000000"/>
          <w:lang w:val="en-US"/>
        </w:rPr>
        <w:t>P</w:t>
      </w:r>
      <w:r w:rsidRPr="00813F46">
        <w:rPr>
          <w:rFonts w:eastAsia="Times New Roman" w:cs="Arial"/>
          <w:color w:val="000000"/>
          <w:vertAlign w:val="subscript"/>
          <w:lang w:val="ru-RU"/>
        </w:rPr>
        <w:t>450</w:t>
      </w:r>
      <w:r w:rsidRPr="00813F46">
        <w:rPr>
          <w:rFonts w:eastAsia="Times New Roman" w:cs="Arial"/>
          <w:color w:val="000000"/>
          <w:lang w:val="ru-RU"/>
        </w:rPr>
        <w:t>(</w:t>
      </w:r>
      <w:proofErr w:type="gramEnd"/>
      <w:r w:rsidRPr="00813F46">
        <w:rPr>
          <w:rFonts w:eastAsia="Times New Roman" w:cs="Arial"/>
          <w:color w:val="000000"/>
          <w:lang w:val="en-US"/>
        </w:rPr>
        <w:t>CYP</w:t>
      </w:r>
      <w:r w:rsidRPr="00813F46">
        <w:rPr>
          <w:rFonts w:eastAsia="Times New Roman" w:cs="Arial"/>
          <w:color w:val="000000"/>
          <w:lang w:val="ru-RU"/>
        </w:rPr>
        <w:t>3</w:t>
      </w:r>
      <w:r w:rsidRPr="00813F46">
        <w:rPr>
          <w:rFonts w:eastAsia="Times New Roman" w:cs="Arial"/>
          <w:color w:val="000000"/>
          <w:lang w:val="en-US"/>
        </w:rPr>
        <w:t>A</w:t>
      </w:r>
      <w:r w:rsidRPr="00813F46">
        <w:rPr>
          <w:rFonts w:eastAsia="Times New Roman" w:cs="Arial"/>
          <w:color w:val="000000"/>
          <w:lang w:val="ru-RU"/>
        </w:rPr>
        <w:t>4,</w:t>
      </w:r>
      <w:r w:rsidRPr="00813F46">
        <w:rPr>
          <w:rFonts w:eastAsia="Times New Roman" w:cs="Arial"/>
          <w:color w:val="000000"/>
          <w:lang w:eastAsia="bg-BG"/>
        </w:rPr>
        <w:t xml:space="preserve"> 2А6, 2С9, 2С19, </w:t>
      </w:r>
      <w:r w:rsidRPr="00813F46">
        <w:rPr>
          <w:rFonts w:eastAsia="Times New Roman" w:cs="Arial"/>
          <w:color w:val="000000"/>
          <w:lang w:val="ru-RU"/>
        </w:rPr>
        <w:t>2</w:t>
      </w:r>
      <w:r w:rsidRPr="00813F46">
        <w:rPr>
          <w:rFonts w:eastAsia="Times New Roman" w:cs="Arial"/>
          <w:color w:val="000000"/>
          <w:lang w:val="en-US"/>
        </w:rPr>
        <w:t>D</w:t>
      </w:r>
      <w:r w:rsidRPr="00813F46">
        <w:rPr>
          <w:rFonts w:eastAsia="Times New Roman" w:cs="Arial"/>
          <w:color w:val="000000"/>
          <w:lang w:val="ru-RU"/>
        </w:rPr>
        <w:t xml:space="preserve">6, </w:t>
      </w:r>
      <w:r w:rsidRPr="00813F46">
        <w:rPr>
          <w:rFonts w:eastAsia="Times New Roman" w:cs="Arial"/>
          <w:color w:val="000000"/>
          <w:lang w:eastAsia="bg-BG"/>
        </w:rPr>
        <w:t xml:space="preserve">2Е1 и 1А2), глюкуронил трансферазата </w:t>
      </w:r>
      <w:r w:rsidRPr="00813F46">
        <w:rPr>
          <w:rFonts w:eastAsia="Times New Roman" w:cs="Arial"/>
          <w:color w:val="000000"/>
          <w:lang w:val="ru-RU"/>
        </w:rPr>
        <w:t>(</w:t>
      </w:r>
      <w:r w:rsidRPr="00813F46">
        <w:rPr>
          <w:rFonts w:eastAsia="Times New Roman" w:cs="Arial"/>
          <w:color w:val="000000"/>
          <w:lang w:val="en-US"/>
        </w:rPr>
        <w:t>UGT</w:t>
      </w:r>
      <w:r w:rsidRPr="00813F46">
        <w:rPr>
          <w:rFonts w:eastAsia="Times New Roman" w:cs="Arial"/>
          <w:color w:val="000000"/>
          <w:lang w:val="ru-RU"/>
        </w:rPr>
        <w:t>1</w:t>
      </w:r>
      <w:r w:rsidRPr="00813F46">
        <w:rPr>
          <w:rFonts w:eastAsia="Times New Roman" w:cs="Arial"/>
          <w:color w:val="000000"/>
          <w:lang w:eastAsia="bg-BG"/>
        </w:rPr>
        <w:t xml:space="preserve">А1 и </w:t>
      </w:r>
      <w:r w:rsidRPr="00813F46">
        <w:rPr>
          <w:rFonts w:eastAsia="Times New Roman" w:cs="Arial"/>
          <w:color w:val="000000"/>
          <w:lang w:val="en-US"/>
        </w:rPr>
        <w:t>UGT</w:t>
      </w:r>
      <w:r w:rsidRPr="00813F46">
        <w:rPr>
          <w:rFonts w:eastAsia="Times New Roman" w:cs="Arial"/>
          <w:color w:val="000000"/>
          <w:lang w:val="ru-RU"/>
        </w:rPr>
        <w:t>1</w:t>
      </w:r>
      <w:r w:rsidRPr="00813F46">
        <w:rPr>
          <w:rFonts w:eastAsia="Times New Roman" w:cs="Arial"/>
          <w:color w:val="000000"/>
          <w:lang w:val="en-US"/>
        </w:rPr>
        <w:t>A</w:t>
      </w:r>
      <w:r w:rsidRPr="00813F46">
        <w:rPr>
          <w:rFonts w:eastAsia="Times New Roman" w:cs="Arial"/>
          <w:color w:val="000000"/>
          <w:lang w:val="ru-RU"/>
        </w:rPr>
        <w:t xml:space="preserve">6) </w:t>
      </w:r>
      <w:r w:rsidRPr="00813F46">
        <w:rPr>
          <w:rFonts w:eastAsia="Times New Roman" w:cs="Arial"/>
          <w:color w:val="000000"/>
          <w:lang w:eastAsia="bg-BG"/>
        </w:rPr>
        <w:t xml:space="preserve">и епоксид хидроксилазната </w:t>
      </w:r>
      <w:r w:rsidRPr="00813F46">
        <w:rPr>
          <w:rFonts w:eastAsia="Times New Roman" w:cs="Arial"/>
          <w:color w:val="000000"/>
          <w:lang w:eastAsia="bg-BG"/>
        </w:rPr>
        <w:lastRenderedPageBreak/>
        <w:t xml:space="preserve">активност. В допълнение, леветирацетам не въздейства </w:t>
      </w: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vitro</w:t>
      </w:r>
      <w:r w:rsidRPr="00813F46">
        <w:rPr>
          <w:rFonts w:eastAsia="Times New Roman" w:cs="Arial"/>
          <w:color w:val="000000"/>
          <w:lang w:val="ru-RU"/>
        </w:rPr>
        <w:t xml:space="preserve"> </w:t>
      </w:r>
      <w:r w:rsidRPr="00813F46">
        <w:rPr>
          <w:rFonts w:eastAsia="Times New Roman" w:cs="Arial"/>
          <w:color w:val="000000"/>
          <w:lang w:eastAsia="bg-BG"/>
        </w:rPr>
        <w:t>върху глюкуронирането на валпроева</w:t>
      </w:r>
    </w:p>
    <w:p w14:paraId="2F27F41F"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киселина.</w:t>
      </w:r>
    </w:p>
    <w:p w14:paraId="2ACD05F5" w14:textId="77777777" w:rsidR="00F26B25" w:rsidRPr="00813F46" w:rsidRDefault="00F26B25" w:rsidP="00F26B25">
      <w:pPr>
        <w:spacing w:line="240" w:lineRule="auto"/>
        <w:rPr>
          <w:rFonts w:eastAsia="Times New Roman" w:cs="Arial"/>
        </w:rPr>
      </w:pPr>
      <w:r w:rsidRPr="00813F46">
        <w:rPr>
          <w:rFonts w:eastAsia="Times New Roman" w:cs="Arial"/>
          <w:color w:val="000000"/>
          <w:lang w:eastAsia="bg-BG"/>
        </w:rPr>
        <w:t>В култури от човешки хепатоцити леветирацетам оказва слаб или не оказва ефект върху</w:t>
      </w:r>
    </w:p>
    <w:p w14:paraId="166A406E" w14:textId="49AA7C33" w:rsidR="00F26B25" w:rsidRPr="00813F46" w:rsidRDefault="00F26B25" w:rsidP="00F26B25">
      <w:pPr>
        <w:spacing w:line="240" w:lineRule="auto"/>
        <w:rPr>
          <w:rFonts w:eastAsia="Times New Roman" w:cs="Arial"/>
          <w:color w:val="000000"/>
          <w:lang w:eastAsia="bg-BG"/>
        </w:rPr>
      </w:pPr>
      <w:r w:rsidRPr="00813F46">
        <w:rPr>
          <w:rFonts w:eastAsia="Times New Roman" w:cs="Arial"/>
          <w:color w:val="000000"/>
          <w:lang w:val="en-US"/>
        </w:rPr>
        <w:t>CYP</w:t>
      </w:r>
      <w:r w:rsidRPr="00813F46">
        <w:rPr>
          <w:rFonts w:eastAsia="Times New Roman" w:cs="Arial"/>
          <w:color w:val="000000"/>
          <w:lang w:val="ru-RU"/>
        </w:rPr>
        <w:t>1</w:t>
      </w:r>
      <w:r w:rsidRPr="00813F46">
        <w:rPr>
          <w:rFonts w:eastAsia="Times New Roman" w:cs="Arial"/>
          <w:color w:val="000000"/>
          <w:lang w:eastAsia="bg-BG"/>
        </w:rPr>
        <w:t xml:space="preserve">А2, </w:t>
      </w:r>
      <w:r w:rsidRPr="00813F46">
        <w:rPr>
          <w:rFonts w:eastAsia="Times New Roman" w:cs="Arial"/>
          <w:color w:val="000000"/>
          <w:lang w:val="en-US"/>
        </w:rPr>
        <w:t>SULT</w:t>
      </w:r>
      <w:r w:rsidRPr="00813F46">
        <w:rPr>
          <w:rFonts w:eastAsia="Times New Roman" w:cs="Arial"/>
          <w:color w:val="000000"/>
          <w:lang w:val="ru-RU"/>
        </w:rPr>
        <w:t>1</w:t>
      </w:r>
      <w:r w:rsidRPr="00813F46">
        <w:rPr>
          <w:rFonts w:eastAsia="Times New Roman" w:cs="Arial"/>
          <w:color w:val="000000"/>
          <w:lang w:val="en-US"/>
        </w:rPr>
        <w:t>E</w:t>
      </w:r>
      <w:r w:rsidRPr="00813F46">
        <w:rPr>
          <w:rFonts w:eastAsia="Times New Roman" w:cs="Arial"/>
          <w:color w:val="000000"/>
          <w:lang w:val="ru-RU"/>
        </w:rPr>
        <w:t xml:space="preserve">1 </w:t>
      </w:r>
      <w:r w:rsidRPr="00813F46">
        <w:rPr>
          <w:rFonts w:eastAsia="Times New Roman" w:cs="Arial"/>
          <w:color w:val="000000"/>
          <w:lang w:eastAsia="bg-BG"/>
        </w:rPr>
        <w:t xml:space="preserve">или </w:t>
      </w:r>
      <w:r w:rsidRPr="00813F46">
        <w:rPr>
          <w:rFonts w:eastAsia="Times New Roman" w:cs="Arial"/>
          <w:color w:val="000000"/>
          <w:lang w:val="en-US"/>
        </w:rPr>
        <w:t>UGT</w:t>
      </w:r>
      <w:r w:rsidRPr="00813F46">
        <w:rPr>
          <w:rFonts w:eastAsia="Times New Roman" w:cs="Arial"/>
          <w:color w:val="000000"/>
          <w:lang w:val="ru-RU"/>
        </w:rPr>
        <w:t>1</w:t>
      </w:r>
      <w:r w:rsidRPr="00813F46">
        <w:rPr>
          <w:rFonts w:eastAsia="Times New Roman" w:cs="Arial"/>
          <w:color w:val="000000"/>
          <w:lang w:eastAsia="bg-BG"/>
        </w:rPr>
        <w:t xml:space="preserve">А1. Леветирацетам слабо индуцира </w:t>
      </w:r>
      <w:r w:rsidRPr="00813F46">
        <w:rPr>
          <w:rFonts w:eastAsia="Times New Roman" w:cs="Arial"/>
          <w:color w:val="000000"/>
          <w:lang w:val="en-US"/>
        </w:rPr>
        <w:t>CYP</w:t>
      </w:r>
      <w:r w:rsidRPr="00813F46">
        <w:rPr>
          <w:rFonts w:eastAsia="Times New Roman" w:cs="Arial"/>
          <w:color w:val="000000"/>
          <w:lang w:val="ru-RU"/>
        </w:rPr>
        <w:t>2</w:t>
      </w:r>
      <w:r w:rsidRPr="00813F46">
        <w:rPr>
          <w:rFonts w:eastAsia="Times New Roman" w:cs="Arial"/>
          <w:color w:val="000000"/>
          <w:lang w:val="en-US"/>
        </w:rPr>
        <w:t>B</w:t>
      </w:r>
      <w:r w:rsidRPr="00813F46">
        <w:rPr>
          <w:rFonts w:eastAsia="Times New Roman" w:cs="Arial"/>
          <w:color w:val="000000"/>
          <w:lang w:val="ru-RU"/>
        </w:rPr>
        <w:t xml:space="preserve">6 </w:t>
      </w:r>
      <w:r w:rsidRPr="00813F46">
        <w:rPr>
          <w:rFonts w:eastAsia="Times New Roman" w:cs="Arial"/>
          <w:color w:val="000000"/>
          <w:lang w:eastAsia="bg-BG"/>
        </w:rPr>
        <w:t xml:space="preserve">и СУРЗД4. </w:t>
      </w: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vitro</w:t>
      </w:r>
      <w:r w:rsidRPr="00813F46">
        <w:rPr>
          <w:rFonts w:eastAsia="Times New Roman" w:cs="Arial"/>
          <w:color w:val="000000"/>
          <w:lang w:val="ru-RU"/>
        </w:rPr>
        <w:t xml:space="preserve"> </w:t>
      </w:r>
      <w:r w:rsidRPr="00813F46">
        <w:rPr>
          <w:rFonts w:eastAsia="Times New Roman" w:cs="Arial"/>
          <w:color w:val="000000"/>
          <w:lang w:eastAsia="bg-BG"/>
        </w:rPr>
        <w:t xml:space="preserve">и </w:t>
      </w: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vivo</w:t>
      </w:r>
      <w:r w:rsidRPr="00813F46">
        <w:rPr>
          <w:rFonts w:eastAsia="Times New Roman" w:cs="Arial"/>
          <w:color w:val="000000"/>
          <w:lang w:val="ru-RU"/>
        </w:rPr>
        <w:t xml:space="preserve"> </w:t>
      </w:r>
      <w:r w:rsidRPr="00813F46">
        <w:rPr>
          <w:rFonts w:eastAsia="Times New Roman" w:cs="Arial"/>
          <w:color w:val="000000"/>
          <w:lang w:eastAsia="bg-BG"/>
        </w:rPr>
        <w:t xml:space="preserve">данните за взаимодействия с пероралните контрацептиви, дигоксин и варфарин показват, че </w:t>
      </w:r>
      <w:r w:rsidRPr="00813F46">
        <w:rPr>
          <w:rFonts w:eastAsia="Times New Roman" w:cs="Arial"/>
          <w:i/>
          <w:iCs/>
          <w:color w:val="000000"/>
          <w:lang w:val="en-US"/>
        </w:rPr>
        <w:t>in</w:t>
      </w:r>
      <w:r w:rsidRPr="00813F46">
        <w:rPr>
          <w:rFonts w:eastAsia="Times New Roman" w:cs="Arial"/>
          <w:i/>
          <w:iCs/>
          <w:color w:val="000000"/>
          <w:lang w:val="ru-RU"/>
        </w:rPr>
        <w:t xml:space="preserve"> </w:t>
      </w:r>
      <w:r w:rsidRPr="00813F46">
        <w:rPr>
          <w:rFonts w:eastAsia="Times New Roman" w:cs="Arial"/>
          <w:i/>
          <w:iCs/>
          <w:color w:val="000000"/>
          <w:lang w:val="en-US"/>
        </w:rPr>
        <w:t>vivo</w:t>
      </w:r>
      <w:r w:rsidRPr="00813F46">
        <w:rPr>
          <w:rFonts w:eastAsia="Times New Roman" w:cs="Arial"/>
          <w:color w:val="000000"/>
          <w:lang w:val="ru-RU"/>
        </w:rPr>
        <w:t xml:space="preserve"> </w:t>
      </w:r>
      <w:r w:rsidRPr="00813F46">
        <w:rPr>
          <w:rFonts w:eastAsia="Times New Roman" w:cs="Arial"/>
          <w:color w:val="000000"/>
          <w:lang w:eastAsia="bg-BG"/>
        </w:rPr>
        <w:t>не се очаква значимо индуциране на ензими. Ето защо взаимодействието на Ноепикс с други вещества или обратното е малко вероятно.</w:t>
      </w:r>
    </w:p>
    <w:p w14:paraId="2C6B7CA8" w14:textId="329A017D" w:rsidR="00813F46" w:rsidRPr="00813F46" w:rsidRDefault="00813F46" w:rsidP="00F26B25">
      <w:pPr>
        <w:spacing w:line="240" w:lineRule="auto"/>
        <w:rPr>
          <w:rFonts w:eastAsia="Times New Roman" w:cs="Arial"/>
          <w:color w:val="000000"/>
          <w:lang w:eastAsia="bg-BG"/>
        </w:rPr>
      </w:pPr>
    </w:p>
    <w:p w14:paraId="7821F60F" w14:textId="77777777" w:rsidR="00813F46" w:rsidRPr="00813F46" w:rsidRDefault="00813F46" w:rsidP="00813F46">
      <w:pPr>
        <w:pStyle w:val="Heading3"/>
        <w:rPr>
          <w:rFonts w:eastAsia="Times New Roman"/>
          <w:u w:val="single"/>
        </w:rPr>
      </w:pPr>
      <w:r w:rsidRPr="00813F46">
        <w:rPr>
          <w:rFonts w:eastAsia="Times New Roman"/>
          <w:u w:val="single"/>
          <w:lang w:eastAsia="bg-BG"/>
        </w:rPr>
        <w:t>Елиминиране</w:t>
      </w:r>
    </w:p>
    <w:p w14:paraId="08EF778B" w14:textId="77777777" w:rsidR="00813F46" w:rsidRPr="00813F46" w:rsidRDefault="00813F46" w:rsidP="00813F46">
      <w:pPr>
        <w:spacing w:line="240" w:lineRule="auto"/>
        <w:rPr>
          <w:rFonts w:eastAsia="Times New Roman" w:cs="Arial"/>
          <w:color w:val="000000"/>
          <w:lang w:eastAsia="bg-BG"/>
        </w:rPr>
      </w:pPr>
    </w:p>
    <w:p w14:paraId="49E9915D" w14:textId="261EDC20"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Плазменият полуживот при възрастни е 7±1 часа и не варира в зависимост от дозата, пътя на прилагане и многократния прием. Средният общ телесен клирънс е 0,96 </w:t>
      </w:r>
      <w:r w:rsidRPr="00813F46">
        <w:rPr>
          <w:rFonts w:eastAsia="Times New Roman" w:cs="Arial"/>
          <w:color w:val="000000"/>
          <w:lang w:val="en-US"/>
        </w:rPr>
        <w:t>ml</w:t>
      </w:r>
      <w:r w:rsidRPr="00813F46">
        <w:rPr>
          <w:rFonts w:eastAsia="Times New Roman" w:cs="Arial"/>
          <w:color w:val="000000"/>
          <w:lang w:val="ru-RU"/>
        </w:rPr>
        <w:t>/</w:t>
      </w:r>
      <w:r w:rsidRPr="00813F46">
        <w:rPr>
          <w:rFonts w:eastAsia="Times New Roman" w:cs="Arial"/>
          <w:color w:val="000000"/>
          <w:lang w:val="en-US"/>
        </w:rPr>
        <w:t>min</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w:t>
      </w:r>
    </w:p>
    <w:p w14:paraId="6C6DDC2D" w14:textId="77777777" w:rsidR="00813F46" w:rsidRPr="00813F46" w:rsidRDefault="00813F46" w:rsidP="00813F46">
      <w:pPr>
        <w:spacing w:line="240" w:lineRule="auto"/>
        <w:rPr>
          <w:rFonts w:eastAsia="Times New Roman" w:cs="Arial"/>
          <w:color w:val="000000"/>
          <w:lang w:eastAsia="bg-BG"/>
        </w:rPr>
      </w:pPr>
    </w:p>
    <w:p w14:paraId="07F08024" w14:textId="3070A4C5" w:rsidR="00813F46" w:rsidRPr="00813F46" w:rsidRDefault="00813F46" w:rsidP="00813F46">
      <w:pPr>
        <w:spacing w:line="240" w:lineRule="auto"/>
        <w:rPr>
          <w:rFonts w:eastAsia="Times New Roman" w:cs="Arial"/>
          <w:i/>
          <w:iCs/>
          <w:color w:val="000000"/>
          <w:lang w:eastAsia="bg-BG"/>
        </w:rPr>
      </w:pPr>
      <w:r w:rsidRPr="00813F46">
        <w:rPr>
          <w:rFonts w:eastAsia="Times New Roman" w:cs="Arial"/>
          <w:color w:val="000000"/>
          <w:lang w:eastAsia="bg-BG"/>
        </w:rPr>
        <w:t xml:space="preserve">Главният път на екскреция е чрез урината за средно 95 % от дозата (приблизително 93 </w:t>
      </w:r>
      <w:r w:rsidRPr="00813F46">
        <w:rPr>
          <w:rFonts w:eastAsia="Times New Roman" w:cs="Arial"/>
          <w:i/>
          <w:iCs/>
          <w:color w:val="000000"/>
          <w:lang w:eastAsia="bg-BG"/>
        </w:rPr>
        <w:t xml:space="preserve">% от </w:t>
      </w:r>
    </w:p>
    <w:p w14:paraId="207A76A0" w14:textId="65C9C0A6" w:rsidR="00813F46" w:rsidRPr="00813F46" w:rsidRDefault="00813F46" w:rsidP="00813F46">
      <w:pPr>
        <w:spacing w:line="240" w:lineRule="auto"/>
        <w:rPr>
          <w:rFonts w:eastAsia="Times New Roman" w:cs="Arial"/>
        </w:rPr>
      </w:pPr>
      <w:r w:rsidRPr="00813F46">
        <w:rPr>
          <w:rFonts w:eastAsia="Times New Roman" w:cs="Arial"/>
          <w:color w:val="000000"/>
          <w:lang w:eastAsia="bg-BG"/>
        </w:rPr>
        <w:t>приетата доза се отделят в рамките на 48 часа). Чрез фецеса се екскретира само 0,3 % от дозата.</w:t>
      </w:r>
    </w:p>
    <w:p w14:paraId="1525A9CD" w14:textId="77777777" w:rsidR="00813F46" w:rsidRPr="00813F46" w:rsidRDefault="00813F46" w:rsidP="00813F46">
      <w:pPr>
        <w:spacing w:line="240" w:lineRule="auto"/>
        <w:rPr>
          <w:rFonts w:eastAsia="Times New Roman" w:cs="Arial"/>
        </w:rPr>
      </w:pPr>
      <w:r w:rsidRPr="00813F46">
        <w:rPr>
          <w:rFonts w:eastAsia="Times New Roman" w:cs="Arial"/>
          <w:color w:val="000000"/>
          <w:lang w:eastAsia="bg-BG"/>
        </w:rPr>
        <w:t>Кумулативната екскреция чрез урината на леветирацетам и неговия първичен метаболит е съответно 66 % и 24 % през първите 48 часа.</w:t>
      </w:r>
    </w:p>
    <w:p w14:paraId="3E30376D" w14:textId="77777777" w:rsidR="00813F46" w:rsidRPr="00813F46" w:rsidRDefault="00813F46" w:rsidP="00813F46">
      <w:pPr>
        <w:spacing w:line="240" w:lineRule="auto"/>
        <w:rPr>
          <w:rFonts w:eastAsia="Times New Roman" w:cs="Arial"/>
          <w:color w:val="000000"/>
          <w:lang w:eastAsia="bg-BG"/>
        </w:rPr>
      </w:pPr>
    </w:p>
    <w:p w14:paraId="60EFD07F" w14:textId="4DA4968B"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Реналният клирънс на леветирацетам и </w:t>
      </w:r>
      <w:proofErr w:type="spellStart"/>
      <w:r w:rsidRPr="00813F46">
        <w:rPr>
          <w:rFonts w:eastAsia="Times New Roman" w:cs="Arial"/>
          <w:color w:val="000000"/>
          <w:lang w:val="en-US"/>
        </w:rPr>
        <w:t>ucb</w:t>
      </w:r>
      <w:proofErr w:type="spellEnd"/>
      <w:r w:rsidRPr="00813F46">
        <w:rPr>
          <w:rFonts w:eastAsia="Times New Roman" w:cs="Arial"/>
          <w:color w:val="000000"/>
          <w:lang w:val="ru-RU"/>
        </w:rPr>
        <w:t xml:space="preserve"> </w:t>
      </w:r>
      <w:r w:rsidRPr="00813F46">
        <w:rPr>
          <w:rFonts w:eastAsia="Times New Roman" w:cs="Arial"/>
          <w:color w:val="000000"/>
          <w:lang w:val="en-US"/>
        </w:rPr>
        <w:t>L</w:t>
      </w:r>
      <w:r w:rsidRPr="00813F46">
        <w:rPr>
          <w:rFonts w:eastAsia="Times New Roman" w:cs="Arial"/>
          <w:color w:val="000000"/>
          <w:lang w:val="ru-RU"/>
        </w:rPr>
        <w:t xml:space="preserve">057 </w:t>
      </w:r>
      <w:r w:rsidRPr="00813F46">
        <w:rPr>
          <w:rFonts w:eastAsia="Times New Roman" w:cs="Arial"/>
          <w:color w:val="000000"/>
          <w:lang w:eastAsia="bg-BG"/>
        </w:rPr>
        <w:t xml:space="preserve">е съответно 0,6 и 4,2 </w:t>
      </w:r>
      <w:r w:rsidRPr="00813F46">
        <w:rPr>
          <w:rFonts w:eastAsia="Times New Roman" w:cs="Arial"/>
          <w:color w:val="000000"/>
          <w:lang w:val="en-US"/>
        </w:rPr>
        <w:t>ml</w:t>
      </w:r>
      <w:r w:rsidRPr="00813F46">
        <w:rPr>
          <w:rFonts w:eastAsia="Times New Roman" w:cs="Arial"/>
          <w:color w:val="000000"/>
          <w:lang w:val="ru-RU"/>
        </w:rPr>
        <w:t>/</w:t>
      </w:r>
      <w:r w:rsidRPr="00813F46">
        <w:rPr>
          <w:rFonts w:eastAsia="Times New Roman" w:cs="Arial"/>
          <w:color w:val="000000"/>
          <w:lang w:val="en-US"/>
        </w:rPr>
        <w:t>min</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и показва, че леветирацетам се екскретира чрез гломерулна филтрация с последваща тубулна реабсорбция и че първичният метаболит също се отделя чрез активна тубулна секреция в допълнение на гломерулната филтрация. Елиминирането на леветирацетам корелира с креатининовия клирънс.</w:t>
      </w:r>
    </w:p>
    <w:p w14:paraId="3D421237" w14:textId="77777777" w:rsidR="00813F46" w:rsidRPr="00813F46" w:rsidRDefault="00813F46" w:rsidP="00813F46">
      <w:pPr>
        <w:spacing w:line="240" w:lineRule="auto"/>
        <w:rPr>
          <w:rFonts w:eastAsia="Times New Roman" w:cs="Arial"/>
          <w:i/>
          <w:iCs/>
          <w:color w:val="000000"/>
          <w:lang w:eastAsia="bg-BG"/>
        </w:rPr>
      </w:pPr>
    </w:p>
    <w:p w14:paraId="6B1E8CB9" w14:textId="5ACB1DC6" w:rsidR="00813F46" w:rsidRPr="00813F46" w:rsidRDefault="00813F46" w:rsidP="00813F46">
      <w:pPr>
        <w:spacing w:line="240" w:lineRule="auto"/>
        <w:rPr>
          <w:rFonts w:eastAsia="Times New Roman" w:cs="Arial"/>
        </w:rPr>
      </w:pPr>
      <w:r w:rsidRPr="00813F46">
        <w:rPr>
          <w:rFonts w:eastAsia="Times New Roman" w:cs="Arial"/>
          <w:i/>
          <w:iCs/>
          <w:color w:val="000000"/>
          <w:lang w:eastAsia="bg-BG"/>
        </w:rPr>
        <w:t>Старческа възраст</w:t>
      </w:r>
    </w:p>
    <w:p w14:paraId="195A1097" w14:textId="77777777" w:rsidR="00813F46" w:rsidRPr="00813F46" w:rsidRDefault="00813F46" w:rsidP="00813F46">
      <w:pPr>
        <w:spacing w:line="240" w:lineRule="auto"/>
        <w:rPr>
          <w:rFonts w:eastAsia="Times New Roman" w:cs="Arial"/>
          <w:color w:val="000000"/>
          <w:lang w:eastAsia="bg-BG"/>
        </w:rPr>
      </w:pPr>
    </w:p>
    <w:p w14:paraId="0E098754" w14:textId="27A25315" w:rsidR="00813F46" w:rsidRPr="00813F46" w:rsidRDefault="00813F46" w:rsidP="00813F46">
      <w:pPr>
        <w:spacing w:line="240" w:lineRule="auto"/>
        <w:rPr>
          <w:rFonts w:eastAsia="Times New Roman" w:cs="Arial"/>
        </w:rPr>
      </w:pPr>
      <w:r w:rsidRPr="00813F46">
        <w:rPr>
          <w:rFonts w:eastAsia="Times New Roman" w:cs="Arial"/>
          <w:color w:val="000000"/>
          <w:lang w:eastAsia="bg-BG"/>
        </w:rPr>
        <w:t>При пациенти в старческа възраст полуживотът е удължен с около 40 % (10 до 11 часа). Това е свързано с понижена бъбречната функция при тази популация (вж. точка 4.2).</w:t>
      </w:r>
    </w:p>
    <w:p w14:paraId="623B9D85" w14:textId="77777777" w:rsidR="00813F46" w:rsidRPr="00813F46" w:rsidRDefault="00813F46" w:rsidP="00813F46">
      <w:pPr>
        <w:spacing w:line="240" w:lineRule="auto"/>
        <w:rPr>
          <w:rFonts w:eastAsia="Times New Roman" w:cs="Arial"/>
          <w:i/>
          <w:iCs/>
          <w:color w:val="000000"/>
          <w:lang w:eastAsia="bg-BG"/>
        </w:rPr>
      </w:pPr>
    </w:p>
    <w:p w14:paraId="1E994735" w14:textId="2AC1A74A" w:rsidR="00813F46" w:rsidRPr="00813F46" w:rsidRDefault="00813F46" w:rsidP="00813F46">
      <w:pPr>
        <w:spacing w:line="240" w:lineRule="auto"/>
        <w:rPr>
          <w:rFonts w:eastAsia="Times New Roman" w:cs="Arial"/>
        </w:rPr>
      </w:pPr>
      <w:r w:rsidRPr="00813F46">
        <w:rPr>
          <w:rFonts w:eastAsia="Times New Roman" w:cs="Arial"/>
          <w:i/>
          <w:iCs/>
          <w:color w:val="000000"/>
          <w:lang w:eastAsia="bg-BG"/>
        </w:rPr>
        <w:t>Бъбречно увреждане</w:t>
      </w:r>
    </w:p>
    <w:p w14:paraId="1B3A5382" w14:textId="77777777" w:rsidR="00813F46" w:rsidRPr="00813F46" w:rsidRDefault="00813F46" w:rsidP="00813F46">
      <w:pPr>
        <w:spacing w:line="240" w:lineRule="auto"/>
        <w:rPr>
          <w:rFonts w:eastAsia="Times New Roman" w:cs="Arial"/>
          <w:color w:val="000000"/>
          <w:lang w:eastAsia="bg-BG"/>
        </w:rPr>
      </w:pPr>
    </w:p>
    <w:p w14:paraId="794D7DBD" w14:textId="2416D6C7" w:rsidR="00813F46" w:rsidRPr="00813F46" w:rsidRDefault="00813F46" w:rsidP="00813F46">
      <w:pPr>
        <w:spacing w:line="240" w:lineRule="auto"/>
        <w:rPr>
          <w:rFonts w:eastAsia="Times New Roman" w:cs="Arial"/>
        </w:rPr>
      </w:pPr>
      <w:r w:rsidRPr="00813F46">
        <w:rPr>
          <w:rFonts w:eastAsia="Times New Roman" w:cs="Arial"/>
          <w:color w:val="000000"/>
          <w:lang w:eastAsia="bg-BG"/>
        </w:rPr>
        <w:t>Привидният телесен клирънс както на леветирацетам, така и на неговия първичен метаболит корелира с креатининовия клирънс. Поради това при пациенти с умерена до тежка степен на бъбречно увреждане се препоръчва адаптиране на поддържащата дневна доза на Ноепикс на базата на креатининовия клирънс (вж. точка 4.2).</w:t>
      </w:r>
    </w:p>
    <w:p w14:paraId="0F3A9106" w14:textId="77777777" w:rsidR="00813F46" w:rsidRPr="00813F46" w:rsidRDefault="00813F46" w:rsidP="00813F46">
      <w:pPr>
        <w:spacing w:line="240" w:lineRule="auto"/>
        <w:rPr>
          <w:rFonts w:eastAsia="Times New Roman" w:cs="Arial"/>
          <w:color w:val="000000"/>
          <w:lang w:eastAsia="bg-BG"/>
        </w:rPr>
      </w:pPr>
    </w:p>
    <w:p w14:paraId="2CDDB26C" w14:textId="2F3B4108" w:rsidR="00813F46" w:rsidRPr="00813F46" w:rsidRDefault="00813F46" w:rsidP="00813F46">
      <w:pPr>
        <w:spacing w:line="240" w:lineRule="auto"/>
        <w:rPr>
          <w:rFonts w:eastAsia="Times New Roman" w:cs="Arial"/>
        </w:rPr>
      </w:pPr>
      <w:r w:rsidRPr="00813F46">
        <w:rPr>
          <w:rFonts w:eastAsia="Times New Roman" w:cs="Arial"/>
          <w:color w:val="000000"/>
          <w:lang w:eastAsia="bg-BG"/>
        </w:rPr>
        <w:t>При възрастни пациенти с терминална бъбречна недостатъчност и с анурия, полуживотът е приблизително 25 и 3,1 часа съответно през интердиализния и интрадиализния период.</w:t>
      </w:r>
    </w:p>
    <w:p w14:paraId="5012AF54" w14:textId="77777777" w:rsidR="00813F46" w:rsidRPr="00813F46" w:rsidRDefault="00813F46" w:rsidP="00813F46">
      <w:pPr>
        <w:spacing w:line="240" w:lineRule="auto"/>
        <w:rPr>
          <w:rFonts w:eastAsia="Times New Roman" w:cs="Arial"/>
        </w:rPr>
      </w:pPr>
      <w:r w:rsidRPr="00813F46">
        <w:rPr>
          <w:rFonts w:eastAsia="Times New Roman" w:cs="Arial"/>
          <w:color w:val="000000"/>
          <w:lang w:eastAsia="bg-BG"/>
        </w:rPr>
        <w:t>По време на обичайната 4-часова диализна процедура фракционно се отделят 51 % от леветирацетам.</w:t>
      </w:r>
    </w:p>
    <w:p w14:paraId="53F256EB" w14:textId="77777777" w:rsidR="00813F46" w:rsidRPr="00813F46" w:rsidRDefault="00813F46" w:rsidP="00813F46">
      <w:pPr>
        <w:spacing w:line="240" w:lineRule="auto"/>
        <w:rPr>
          <w:rFonts w:eastAsia="Times New Roman" w:cs="Arial"/>
          <w:i/>
          <w:iCs/>
          <w:color w:val="000000"/>
          <w:lang w:eastAsia="bg-BG"/>
        </w:rPr>
      </w:pPr>
    </w:p>
    <w:p w14:paraId="77DCF80A" w14:textId="54DA40BC" w:rsidR="00813F46" w:rsidRPr="00813F46" w:rsidRDefault="00813F46" w:rsidP="00813F46">
      <w:pPr>
        <w:spacing w:line="240" w:lineRule="auto"/>
        <w:rPr>
          <w:rFonts w:eastAsia="Times New Roman" w:cs="Arial"/>
        </w:rPr>
      </w:pPr>
      <w:r w:rsidRPr="00813F46">
        <w:rPr>
          <w:rFonts w:eastAsia="Times New Roman" w:cs="Arial"/>
          <w:i/>
          <w:iCs/>
          <w:color w:val="000000"/>
          <w:lang w:eastAsia="bg-BG"/>
        </w:rPr>
        <w:t>Чернодробно увреждане</w:t>
      </w:r>
    </w:p>
    <w:p w14:paraId="1D8F1CDE" w14:textId="77777777" w:rsidR="00813F46" w:rsidRPr="00813F46" w:rsidRDefault="00813F46" w:rsidP="00813F46">
      <w:pPr>
        <w:spacing w:line="240" w:lineRule="auto"/>
        <w:rPr>
          <w:rFonts w:eastAsia="Times New Roman" w:cs="Arial"/>
          <w:color w:val="000000"/>
          <w:lang w:eastAsia="bg-BG"/>
        </w:rPr>
      </w:pPr>
    </w:p>
    <w:p w14:paraId="73247F41" w14:textId="12FD616C"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При пациенти с лека до умерена степен на чернодробно увреждане не се наблюдава значителна промяна в клирънса на леветирацетам. При повечето пациенти с тежка </w:t>
      </w:r>
      <w:r w:rsidRPr="00813F46">
        <w:rPr>
          <w:rFonts w:eastAsia="Times New Roman" w:cs="Arial"/>
          <w:color w:val="000000"/>
          <w:lang w:eastAsia="bg-BG"/>
        </w:rPr>
        <w:lastRenderedPageBreak/>
        <w:t>степен на чернодробно увреждане клирънсът на леветирацетам е намален с повече от 50 % поради съпътстващо бъбречно увреждане (вж. точка 4.2).</w:t>
      </w:r>
    </w:p>
    <w:p w14:paraId="0DF418EE" w14:textId="77777777" w:rsidR="00813F46" w:rsidRPr="00813F46" w:rsidRDefault="00813F46" w:rsidP="00813F46">
      <w:pPr>
        <w:spacing w:line="240" w:lineRule="auto"/>
        <w:rPr>
          <w:rFonts w:eastAsia="Times New Roman" w:cs="Arial"/>
          <w:i/>
          <w:iCs/>
          <w:color w:val="000000"/>
          <w:lang w:eastAsia="bg-BG"/>
        </w:rPr>
      </w:pPr>
    </w:p>
    <w:p w14:paraId="5A32E8E8" w14:textId="16531FB5" w:rsidR="00813F46" w:rsidRPr="00813F46" w:rsidRDefault="00813F46" w:rsidP="00813F46">
      <w:pPr>
        <w:spacing w:line="240" w:lineRule="auto"/>
        <w:rPr>
          <w:rFonts w:eastAsia="Times New Roman" w:cs="Arial"/>
        </w:rPr>
      </w:pPr>
      <w:r w:rsidRPr="00813F46">
        <w:rPr>
          <w:rFonts w:eastAsia="Times New Roman" w:cs="Arial"/>
          <w:i/>
          <w:iCs/>
          <w:color w:val="000000"/>
          <w:lang w:eastAsia="bg-BG"/>
        </w:rPr>
        <w:t>Педиатрична популация</w:t>
      </w:r>
    </w:p>
    <w:p w14:paraId="3DCF7443" w14:textId="77777777" w:rsidR="00813F46" w:rsidRPr="00813F46" w:rsidRDefault="00813F46" w:rsidP="00813F46">
      <w:pPr>
        <w:spacing w:line="240" w:lineRule="auto"/>
        <w:rPr>
          <w:rFonts w:eastAsia="Times New Roman" w:cs="Arial"/>
          <w:i/>
          <w:iCs/>
          <w:color w:val="000000"/>
          <w:u w:val="single"/>
          <w:lang w:eastAsia="bg-BG"/>
        </w:rPr>
      </w:pPr>
    </w:p>
    <w:p w14:paraId="6E1DF5B4" w14:textId="686D2273" w:rsidR="00813F46" w:rsidRPr="00813F46" w:rsidRDefault="00813F46" w:rsidP="00813F46">
      <w:pPr>
        <w:spacing w:line="240" w:lineRule="auto"/>
        <w:rPr>
          <w:rFonts w:eastAsia="Times New Roman" w:cs="Arial"/>
        </w:rPr>
      </w:pPr>
      <w:r w:rsidRPr="00813F46">
        <w:rPr>
          <w:rFonts w:eastAsia="Times New Roman" w:cs="Arial"/>
          <w:i/>
          <w:iCs/>
          <w:color w:val="000000"/>
          <w:u w:val="single"/>
          <w:lang w:eastAsia="bg-BG"/>
        </w:rPr>
        <w:t>Дена (4 до 12 години)</w:t>
      </w:r>
    </w:p>
    <w:p w14:paraId="0E67EA0A" w14:textId="77777777"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След перорално приложение на единична доза (20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от деца (6-12 години) с епилепсия, полуживотът на леветирацетам е 6,0 часа. Привидният коригиран към телесното тегло клирънс е приблизително с 30 % по-висок от този при възрастни с епилепсия.</w:t>
      </w:r>
    </w:p>
    <w:p w14:paraId="150A7B27" w14:textId="77777777" w:rsidR="00813F46" w:rsidRPr="00813F46" w:rsidRDefault="00813F46" w:rsidP="00813F46">
      <w:pPr>
        <w:spacing w:line="240" w:lineRule="auto"/>
        <w:rPr>
          <w:rFonts w:eastAsia="Times New Roman" w:cs="Arial"/>
          <w:color w:val="000000"/>
          <w:lang w:eastAsia="bg-BG"/>
        </w:rPr>
      </w:pPr>
    </w:p>
    <w:p w14:paraId="438A279F" w14:textId="5AAC0A0D"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След многократно перорално приложение (20 до 60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/дневно) при деца с епилепсия (4-12 години), леветирацетам се абсорбира бързо. Максимални плазмени концетрации се достигат 0,5 до 1 час след приема. Наблюдавано е линейно и пропорционално на дозата повишаване на максималните плазмени концентрации и площта под кривата. Елиминационният полуживот е около 5 часа. Привидният телесен клирънс е 1,1 </w:t>
      </w:r>
      <w:r w:rsidRPr="00813F46">
        <w:rPr>
          <w:rFonts w:eastAsia="Times New Roman" w:cs="Arial"/>
          <w:color w:val="000000"/>
          <w:lang w:val="en-US"/>
        </w:rPr>
        <w:t>ml</w:t>
      </w:r>
      <w:r w:rsidRPr="00813F46">
        <w:rPr>
          <w:rFonts w:eastAsia="Times New Roman" w:cs="Arial"/>
          <w:color w:val="000000"/>
          <w:lang w:val="ru-RU"/>
        </w:rPr>
        <w:t>/</w:t>
      </w:r>
      <w:r w:rsidRPr="00813F46">
        <w:rPr>
          <w:rFonts w:eastAsia="Times New Roman" w:cs="Arial"/>
          <w:color w:val="000000"/>
          <w:lang w:val="en-US"/>
        </w:rPr>
        <w:t>min</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w:t>
      </w:r>
    </w:p>
    <w:p w14:paraId="5937E4B0" w14:textId="77777777" w:rsidR="00813F46" w:rsidRPr="00813F46" w:rsidRDefault="00813F46" w:rsidP="00F26B25">
      <w:pPr>
        <w:spacing w:line="240" w:lineRule="auto"/>
        <w:rPr>
          <w:rFonts w:eastAsia="Times New Roman" w:cs="Arial"/>
        </w:rPr>
      </w:pPr>
    </w:p>
    <w:p w14:paraId="4A79BAB5" w14:textId="77777777" w:rsidR="00813F46" w:rsidRPr="00813F46" w:rsidRDefault="00813F46" w:rsidP="00813F46">
      <w:pPr>
        <w:spacing w:line="240" w:lineRule="auto"/>
        <w:rPr>
          <w:rFonts w:eastAsia="Times New Roman" w:cs="Arial"/>
        </w:rPr>
      </w:pPr>
      <w:r w:rsidRPr="00813F46">
        <w:rPr>
          <w:rFonts w:eastAsia="Times New Roman" w:cs="Arial"/>
          <w:i/>
          <w:iCs/>
          <w:color w:val="000000"/>
          <w:u w:val="single"/>
          <w:lang w:eastAsia="bg-BG"/>
        </w:rPr>
        <w:t>Кърмачета и деца (от 1 месец до 4 години)</w:t>
      </w:r>
    </w:p>
    <w:p w14:paraId="3AFC982E" w14:textId="77777777" w:rsidR="00813F46" w:rsidRPr="00813F46" w:rsidRDefault="00813F46" w:rsidP="00813F46">
      <w:pPr>
        <w:spacing w:line="240" w:lineRule="auto"/>
        <w:rPr>
          <w:rFonts w:eastAsia="Times New Roman" w:cs="Arial"/>
        </w:rPr>
      </w:pPr>
      <w:r w:rsidRPr="00813F46">
        <w:rPr>
          <w:rFonts w:eastAsia="Times New Roman" w:cs="Arial"/>
          <w:color w:val="000000"/>
          <w:lang w:eastAsia="bg-BG"/>
        </w:rPr>
        <w:t xml:space="preserve">След приложението на единична доза (20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 xml:space="preserve">на 100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ml</w:t>
      </w:r>
      <w:r w:rsidRPr="00813F46">
        <w:rPr>
          <w:rFonts w:eastAsia="Times New Roman" w:cs="Arial"/>
          <w:color w:val="000000"/>
          <w:lang w:val="ru-RU"/>
        </w:rPr>
        <w:t xml:space="preserve"> </w:t>
      </w:r>
      <w:r w:rsidRPr="00813F46">
        <w:rPr>
          <w:rFonts w:eastAsia="Times New Roman" w:cs="Arial"/>
          <w:color w:val="000000"/>
          <w:lang w:eastAsia="bg-BG"/>
        </w:rPr>
        <w:t xml:space="preserve">перорален разтвор при деца (от 1 месец до 4 години) с епилепсия, леветирацетам се абсорбира бързо, като максимални плазмени концентрации се достигат приблизително 1 час след приема. Фармакокинетичните резултати показват, че полуживотът е по-кратък (5,3 часа), в сравнение с този при възрастни (7,2 часа), а привидният телесен клирънс е по-ускорен (1,5 </w:t>
      </w:r>
      <w:r w:rsidRPr="00813F46">
        <w:rPr>
          <w:rFonts w:eastAsia="Times New Roman" w:cs="Arial"/>
          <w:color w:val="000000"/>
          <w:lang w:val="en-US"/>
        </w:rPr>
        <w:t>ml</w:t>
      </w:r>
      <w:r w:rsidRPr="00813F46">
        <w:rPr>
          <w:rFonts w:eastAsia="Times New Roman" w:cs="Arial"/>
          <w:color w:val="000000"/>
          <w:lang w:val="ru-RU"/>
        </w:rPr>
        <w:t>/</w:t>
      </w:r>
      <w:r w:rsidRPr="00813F46">
        <w:rPr>
          <w:rFonts w:eastAsia="Times New Roman" w:cs="Arial"/>
          <w:color w:val="000000"/>
          <w:lang w:val="en-US"/>
        </w:rPr>
        <w:t>min</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 xml:space="preserve">в сравнение с този при възрастни (0,96 </w:t>
      </w:r>
      <w:r w:rsidRPr="00813F46">
        <w:rPr>
          <w:rFonts w:eastAsia="Times New Roman" w:cs="Arial"/>
          <w:color w:val="000000"/>
          <w:lang w:val="en-US"/>
        </w:rPr>
        <w:t>ml</w:t>
      </w:r>
      <w:r w:rsidRPr="00813F46">
        <w:rPr>
          <w:rFonts w:eastAsia="Times New Roman" w:cs="Arial"/>
          <w:color w:val="000000"/>
          <w:lang w:val="ru-RU"/>
        </w:rPr>
        <w:t>/</w:t>
      </w:r>
      <w:r w:rsidRPr="00813F46">
        <w:rPr>
          <w:rFonts w:eastAsia="Times New Roman" w:cs="Arial"/>
          <w:color w:val="000000"/>
          <w:lang w:val="en-US"/>
        </w:rPr>
        <w:t>min</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w:t>
      </w:r>
    </w:p>
    <w:p w14:paraId="09787CED" w14:textId="77777777" w:rsidR="00813F46" w:rsidRPr="00813F46" w:rsidRDefault="00813F46" w:rsidP="00813F46">
      <w:pPr>
        <w:spacing w:line="240" w:lineRule="auto"/>
        <w:rPr>
          <w:rFonts w:eastAsia="Times New Roman" w:cs="Arial"/>
          <w:color w:val="000000"/>
          <w:lang w:eastAsia="bg-BG"/>
        </w:rPr>
      </w:pPr>
    </w:p>
    <w:p w14:paraId="3D39C3C9" w14:textId="06050409" w:rsidR="00813F46" w:rsidRPr="00813F46" w:rsidRDefault="00813F46" w:rsidP="00813F46">
      <w:pPr>
        <w:spacing w:line="240" w:lineRule="auto"/>
        <w:rPr>
          <w:rFonts w:eastAsia="Times New Roman" w:cs="Arial"/>
          <w:color w:val="000000"/>
          <w:lang w:eastAsia="bg-BG"/>
        </w:rPr>
      </w:pPr>
      <w:r w:rsidRPr="00813F46">
        <w:rPr>
          <w:rFonts w:eastAsia="Times New Roman" w:cs="Arial"/>
          <w:color w:val="000000"/>
          <w:lang w:eastAsia="bg-BG"/>
        </w:rPr>
        <w:t xml:space="preserve">В популационен фармакокинетичен анализ, проведен при пациенти от 1-месечна до 16-годишна възраст, телесното тегло значимо корелира с привидния телесен клирънс (клирънсът се повишава с повишаването на телесното тегло) и с привидния обем на разпределение. Възрастта също оказва влияние върху двата параметъра. Този ефект е изразен при кърмачета и намалява с увеличаване на </w:t>
      </w:r>
    </w:p>
    <w:p w14:paraId="0767022B" w14:textId="228757A3" w:rsidR="00813F46" w:rsidRPr="00813F46" w:rsidRDefault="00813F46" w:rsidP="00813F46">
      <w:pPr>
        <w:spacing w:line="240" w:lineRule="auto"/>
        <w:rPr>
          <w:rFonts w:eastAsia="Times New Roman" w:cs="Arial"/>
        </w:rPr>
      </w:pPr>
      <w:r w:rsidRPr="00813F46">
        <w:rPr>
          <w:rFonts w:eastAsia="Times New Roman" w:cs="Arial"/>
          <w:color w:val="000000"/>
          <w:lang w:eastAsia="bg-BG"/>
        </w:rPr>
        <w:t>възрастта, като става незначителен около 4-годишна възраст.</w:t>
      </w:r>
    </w:p>
    <w:p w14:paraId="0B7E440B" w14:textId="77777777" w:rsidR="00813F46" w:rsidRPr="00813F46" w:rsidRDefault="00813F46" w:rsidP="00813F46">
      <w:pPr>
        <w:rPr>
          <w:rFonts w:eastAsia="Times New Roman" w:cs="Arial"/>
          <w:color w:val="000000"/>
          <w:lang w:eastAsia="bg-BG"/>
        </w:rPr>
      </w:pPr>
    </w:p>
    <w:p w14:paraId="3A4B2992" w14:textId="6E5D57A7" w:rsidR="00813F46" w:rsidRPr="00813F46" w:rsidRDefault="00813F46" w:rsidP="00813F46">
      <w:pPr>
        <w:rPr>
          <w:rFonts w:eastAsia="Times New Roman" w:cs="Arial"/>
          <w:color w:val="000000"/>
          <w:lang w:eastAsia="bg-BG"/>
        </w:rPr>
      </w:pPr>
      <w:r w:rsidRPr="00813F46">
        <w:rPr>
          <w:rFonts w:eastAsia="Times New Roman" w:cs="Arial"/>
          <w:color w:val="000000"/>
          <w:lang w:eastAsia="bg-BG"/>
        </w:rPr>
        <w:t>В два популационни фармакокинетични анализа се наблюдава около 20 % нарастване на привидният телесен клирънс на леветирацетам, когато се прилага съвместно с ензим- индуциращите антиепилептични лекарствени продукти.</w:t>
      </w:r>
    </w:p>
    <w:p w14:paraId="0DF88D6B" w14:textId="77777777" w:rsidR="00813F46" w:rsidRPr="00F26B25" w:rsidRDefault="00813F46" w:rsidP="00813F46"/>
    <w:p w14:paraId="4FB791BE" w14:textId="602FE9BB" w:rsidR="00B6672E" w:rsidRDefault="002C50EE" w:rsidP="00936AD0">
      <w:pPr>
        <w:pStyle w:val="Heading2"/>
      </w:pPr>
      <w:r>
        <w:t>5.3. Предклинични данни за безопасност</w:t>
      </w:r>
    </w:p>
    <w:p w14:paraId="2926A2AC" w14:textId="4A3B5E00" w:rsidR="00813F46" w:rsidRDefault="00813F46" w:rsidP="00813F46"/>
    <w:p w14:paraId="5EC401FA" w14:textId="77777777" w:rsidR="00813F46" w:rsidRPr="00813F46" w:rsidRDefault="00813F46" w:rsidP="00813F46">
      <w:pPr>
        <w:spacing w:line="240" w:lineRule="auto"/>
        <w:rPr>
          <w:rFonts w:eastAsia="Times New Roman" w:cs="Arial"/>
          <w:sz w:val="24"/>
          <w:szCs w:val="24"/>
        </w:rPr>
      </w:pPr>
      <w:r w:rsidRPr="00813F46">
        <w:rPr>
          <w:rFonts w:eastAsia="Times New Roman" w:cs="Arial"/>
          <w:color w:val="000000"/>
          <w:lang w:eastAsia="bg-BG"/>
        </w:rPr>
        <w:t>Неклиничните данни не показват особен риск за хора на базата на конвенционалните фармакологични проучвания за безопасност, генотоксичност и карциногенен потенциал. Нежелани лекарствени реакции, които не са наблюдавани по време на клиничните проучвания, но са установени при плъхове и в по-малка степен при мишки, при нива на прилагане подобни на тези при човека и с възможна връзка с клиничната употреба, са чернодробните промени, показващи адаптивния отговор, като нарастване на теглото и центрилобуларна хипертрофия, мастна инфилтрация и повишени стойности на чернодробните ензими в плазмата.</w:t>
      </w:r>
    </w:p>
    <w:p w14:paraId="079E3624" w14:textId="77777777" w:rsidR="00813F46" w:rsidRPr="00813F46" w:rsidRDefault="00813F46" w:rsidP="00813F46">
      <w:pPr>
        <w:spacing w:line="240" w:lineRule="auto"/>
        <w:rPr>
          <w:rFonts w:eastAsia="Times New Roman" w:cs="Arial"/>
          <w:color w:val="000000"/>
          <w:lang w:eastAsia="bg-BG"/>
        </w:rPr>
      </w:pPr>
    </w:p>
    <w:p w14:paraId="208CC138" w14:textId="11410D0C" w:rsidR="00813F46" w:rsidRPr="00813F46" w:rsidRDefault="00813F46" w:rsidP="00813F46">
      <w:pPr>
        <w:spacing w:line="240" w:lineRule="auto"/>
        <w:rPr>
          <w:rFonts w:eastAsia="Times New Roman" w:cs="Arial"/>
          <w:sz w:val="24"/>
          <w:szCs w:val="24"/>
        </w:rPr>
      </w:pPr>
      <w:r w:rsidRPr="00813F46">
        <w:rPr>
          <w:rFonts w:eastAsia="Times New Roman" w:cs="Arial"/>
          <w:color w:val="000000"/>
          <w:lang w:eastAsia="bg-BG"/>
        </w:rPr>
        <w:t xml:space="preserve">Не са наблюдавани нежелани реакции върху мъжката и женската фертилност или репродукционната способност при плъхове в дози до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(х 6 </w:t>
      </w:r>
      <w:r w:rsidRPr="00813F46">
        <w:rPr>
          <w:rFonts w:eastAsia="Times New Roman" w:cs="Arial"/>
          <w:color w:val="000000"/>
          <w:lang w:val="en-US"/>
        </w:rPr>
        <w:t>MRHD</w:t>
      </w:r>
      <w:r w:rsidRPr="00813F46">
        <w:rPr>
          <w:rFonts w:eastAsia="Times New Roman" w:cs="Arial"/>
          <w:color w:val="000000"/>
          <w:lang w:val="ru-RU"/>
        </w:rPr>
        <w:t xml:space="preserve"> </w:t>
      </w:r>
      <w:r w:rsidRPr="00813F46">
        <w:rPr>
          <w:rFonts w:eastAsia="Times New Roman" w:cs="Arial"/>
          <w:color w:val="000000"/>
          <w:lang w:eastAsia="bg-BG"/>
        </w:rPr>
        <w:t xml:space="preserve">на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w:t>
      </w:r>
      <w:r w:rsidRPr="00813F46">
        <w:rPr>
          <w:rFonts w:eastAsia="Times New Roman" w:cs="Arial"/>
          <w:color w:val="000000"/>
          <w:vertAlign w:val="superscript"/>
          <w:lang w:val="ru-RU"/>
        </w:rPr>
        <w:t>2</w:t>
      </w:r>
      <w:r w:rsidRPr="00813F46">
        <w:rPr>
          <w:rFonts w:eastAsia="Times New Roman" w:cs="Arial"/>
          <w:color w:val="000000"/>
          <w:lang w:val="ru-RU"/>
        </w:rPr>
        <w:t xml:space="preserve"> </w:t>
      </w:r>
      <w:r w:rsidRPr="00813F46">
        <w:rPr>
          <w:rFonts w:eastAsia="Times New Roman" w:cs="Arial"/>
          <w:color w:val="000000"/>
          <w:lang w:eastAsia="bg-BG"/>
        </w:rPr>
        <w:t xml:space="preserve">или базата на експозицията) при родителите и </w:t>
      </w:r>
      <w:r w:rsidRPr="00813F46">
        <w:rPr>
          <w:rFonts w:eastAsia="Times New Roman" w:cs="Arial"/>
          <w:color w:val="000000"/>
          <w:lang w:val="en-US"/>
        </w:rPr>
        <w:t>F</w:t>
      </w:r>
      <w:r w:rsidRPr="00813F46">
        <w:rPr>
          <w:rFonts w:eastAsia="Times New Roman" w:cs="Arial"/>
          <w:color w:val="000000"/>
          <w:lang w:val="ru-RU"/>
        </w:rPr>
        <w:t xml:space="preserve">1 </w:t>
      </w:r>
      <w:r w:rsidRPr="00813F46">
        <w:rPr>
          <w:rFonts w:eastAsia="Times New Roman" w:cs="Arial"/>
          <w:color w:val="000000"/>
          <w:lang w:eastAsia="bg-BG"/>
        </w:rPr>
        <w:t>поколение.</w:t>
      </w:r>
    </w:p>
    <w:p w14:paraId="34C846D6" w14:textId="77777777" w:rsidR="00813F46" w:rsidRPr="00813F46" w:rsidRDefault="00813F46" w:rsidP="00813F46">
      <w:pPr>
        <w:spacing w:line="240" w:lineRule="auto"/>
        <w:rPr>
          <w:rFonts w:eastAsia="Times New Roman" w:cs="Arial"/>
          <w:color w:val="000000"/>
          <w:lang w:eastAsia="bg-BG"/>
        </w:rPr>
      </w:pPr>
    </w:p>
    <w:p w14:paraId="5CD62D11" w14:textId="77777777" w:rsidR="00813F46" w:rsidRPr="00813F46" w:rsidRDefault="00813F46" w:rsidP="00813F46">
      <w:pPr>
        <w:spacing w:line="240" w:lineRule="auto"/>
        <w:rPr>
          <w:rFonts w:eastAsia="Times New Roman" w:cs="Arial"/>
          <w:color w:val="000000"/>
          <w:lang w:eastAsia="bg-BG"/>
        </w:rPr>
      </w:pPr>
    </w:p>
    <w:p w14:paraId="52DD3C50" w14:textId="553B3E69" w:rsidR="00813F46" w:rsidRPr="00813F46" w:rsidRDefault="00813F46" w:rsidP="00813F46">
      <w:pPr>
        <w:spacing w:line="240" w:lineRule="auto"/>
        <w:rPr>
          <w:rFonts w:eastAsia="Times New Roman" w:cs="Arial"/>
          <w:sz w:val="24"/>
          <w:szCs w:val="24"/>
        </w:rPr>
      </w:pPr>
      <w:r w:rsidRPr="00813F46">
        <w:rPr>
          <w:rFonts w:eastAsia="Times New Roman" w:cs="Arial"/>
          <w:color w:val="000000"/>
          <w:lang w:eastAsia="bg-BG"/>
        </w:rPr>
        <w:t xml:space="preserve">Проведени са две проучвания за ембрио-феталното развитие (ЕФР) при плъхове с 400,1 200 и 3 600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При 3 600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в само едно от 2 ЕФР проучвания е имало слабо намаление в теглото на зародиша, свързано с гранично повишение на скелетните малформации/незначителни аномалии. Липсва ефект върху смъртността на ембрионите и няма повишена честота на малформациите. </w:t>
      </w:r>
      <w:r w:rsidRPr="00813F46">
        <w:rPr>
          <w:rFonts w:eastAsia="Times New Roman" w:cs="Arial"/>
          <w:color w:val="000000"/>
          <w:lang w:val="en-US"/>
        </w:rPr>
        <w:t>NOAEL</w:t>
      </w:r>
      <w:r w:rsidRPr="00813F46">
        <w:rPr>
          <w:rFonts w:eastAsia="Times New Roman" w:cs="Arial"/>
          <w:color w:val="000000"/>
          <w:lang w:val="ru-RU"/>
        </w:rPr>
        <w:t xml:space="preserve"> </w:t>
      </w:r>
      <w:r w:rsidRPr="00813F46">
        <w:rPr>
          <w:rFonts w:eastAsia="Times New Roman" w:cs="Arial"/>
          <w:color w:val="000000"/>
          <w:lang w:eastAsia="bg-BG"/>
        </w:rPr>
        <w:t xml:space="preserve">(ниво, при което не са наблюдавани нежелани реакции) е 3 600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при бременни женски плъхове (х 12 максималната препоръчана дневна доза при хора (МПДХ) на база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w:t>
      </w:r>
      <w:r w:rsidRPr="00813F46">
        <w:rPr>
          <w:rFonts w:eastAsia="Times New Roman" w:cs="Arial"/>
          <w:color w:val="000000"/>
          <w:vertAlign w:val="superscript"/>
          <w:lang w:val="ru-RU"/>
        </w:rPr>
        <w:t>2</w:t>
      </w:r>
      <w:r w:rsidRPr="00813F46">
        <w:rPr>
          <w:rFonts w:eastAsia="Times New Roman" w:cs="Arial"/>
          <w:color w:val="000000"/>
          <w:lang w:eastAsia="bg-BG"/>
        </w:rPr>
        <w:t xml:space="preserve">) и 1 200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/ден при зародишите.</w:t>
      </w:r>
    </w:p>
    <w:p w14:paraId="28808620" w14:textId="77777777" w:rsidR="00813F46" w:rsidRPr="00813F46" w:rsidRDefault="00813F46" w:rsidP="00813F46">
      <w:pPr>
        <w:spacing w:line="240" w:lineRule="auto"/>
        <w:rPr>
          <w:rFonts w:eastAsia="Times New Roman" w:cs="Arial"/>
          <w:color w:val="000000"/>
          <w:lang w:eastAsia="bg-BG"/>
        </w:rPr>
      </w:pPr>
    </w:p>
    <w:p w14:paraId="0C5FA108" w14:textId="0252407C" w:rsidR="00813F46" w:rsidRPr="00813F46" w:rsidRDefault="00813F46" w:rsidP="00813F46">
      <w:pPr>
        <w:spacing w:line="240" w:lineRule="auto"/>
        <w:rPr>
          <w:rFonts w:eastAsia="Times New Roman" w:cs="Arial"/>
          <w:sz w:val="24"/>
          <w:szCs w:val="24"/>
        </w:rPr>
      </w:pPr>
      <w:r w:rsidRPr="00813F46">
        <w:rPr>
          <w:rFonts w:eastAsia="Times New Roman" w:cs="Arial"/>
          <w:color w:val="000000"/>
          <w:lang w:eastAsia="bg-BG"/>
        </w:rPr>
        <w:t xml:space="preserve">Проведени са четири проучвания за ембрио-феталното развитие при зайци, с дневни дози от 200,400, 800,1200 и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 xml:space="preserve">. </w:t>
      </w:r>
      <w:r w:rsidRPr="00813F46">
        <w:rPr>
          <w:rFonts w:eastAsia="Times New Roman" w:cs="Arial"/>
          <w:color w:val="000000"/>
          <w:lang w:eastAsia="bg-BG"/>
        </w:rPr>
        <w:t xml:space="preserve">Доза от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е предизвикала значителна токсичност при майката и намаление на теглото на плода, свързано с повишена честота на зародиши със сърдечно-съдови/скелетни аномалии </w:t>
      </w:r>
      <w:proofErr w:type="spellStart"/>
      <w:r w:rsidRPr="00813F46">
        <w:rPr>
          <w:rFonts w:eastAsia="Times New Roman" w:cs="Arial"/>
          <w:color w:val="000000"/>
          <w:lang w:val="en-US"/>
        </w:rPr>
        <w:t>NOAELe</w:t>
      </w:r>
      <w:proofErr w:type="spellEnd"/>
      <w:r w:rsidRPr="00813F46">
        <w:rPr>
          <w:rFonts w:eastAsia="Times New Roman" w:cs="Arial"/>
          <w:color w:val="000000"/>
          <w:lang w:val="ru-RU"/>
        </w:rPr>
        <w:t xml:space="preserve"> </w:t>
      </w:r>
      <w:r w:rsidRPr="00813F46">
        <w:rPr>
          <w:rFonts w:eastAsia="Times New Roman" w:cs="Arial"/>
          <w:color w:val="000000"/>
          <w:lang w:eastAsia="bg-BG"/>
        </w:rPr>
        <w:t xml:space="preserve">&lt;200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при майката и 200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при плода (равно на МПДХ на база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w:t>
      </w:r>
      <w:r w:rsidRPr="00813F46">
        <w:rPr>
          <w:rFonts w:eastAsia="Times New Roman" w:cs="Arial"/>
          <w:color w:val="000000"/>
          <w:vertAlign w:val="superscript"/>
          <w:lang w:val="ru-RU"/>
        </w:rPr>
        <w:t>2</w:t>
      </w:r>
      <w:r w:rsidRPr="00813F46">
        <w:rPr>
          <w:rFonts w:eastAsia="Times New Roman" w:cs="Arial"/>
          <w:color w:val="000000"/>
          <w:lang w:eastAsia="bg-BG"/>
        </w:rPr>
        <w:t>).</w:t>
      </w:r>
    </w:p>
    <w:p w14:paraId="4BB16CD3" w14:textId="796C9273" w:rsidR="00813F46" w:rsidRPr="00813F46" w:rsidRDefault="00813F46" w:rsidP="00813F46">
      <w:pPr>
        <w:spacing w:line="240" w:lineRule="auto"/>
        <w:rPr>
          <w:rFonts w:eastAsia="Times New Roman" w:cs="Arial"/>
          <w:sz w:val="24"/>
          <w:szCs w:val="24"/>
        </w:rPr>
      </w:pPr>
      <w:r w:rsidRPr="00813F46">
        <w:rPr>
          <w:rFonts w:eastAsia="Times New Roman" w:cs="Arial"/>
          <w:color w:val="000000"/>
          <w:lang w:eastAsia="bg-BG"/>
        </w:rPr>
        <w:t xml:space="preserve">Проучване за пери- и постнаталното развитие е проведено при плъхове с леветирацетам в дози от 70, 350 и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w:t>
      </w:r>
      <w:r w:rsidRPr="00813F46">
        <w:rPr>
          <w:rFonts w:eastAsia="Times New Roman" w:cs="Arial"/>
          <w:color w:val="000000"/>
          <w:lang w:val="en-US"/>
        </w:rPr>
        <w:t>NOAEL</w:t>
      </w:r>
      <w:r w:rsidRPr="00813F46">
        <w:rPr>
          <w:rFonts w:eastAsia="Times New Roman" w:cs="Arial"/>
          <w:color w:val="000000"/>
          <w:lang w:val="ru-RU"/>
        </w:rPr>
        <w:t xml:space="preserve"> </w:t>
      </w:r>
      <w:r w:rsidRPr="00813F46">
        <w:rPr>
          <w:rFonts w:eastAsia="Times New Roman" w:cs="Arial"/>
          <w:color w:val="000000"/>
          <w:lang w:eastAsia="bg-BG"/>
        </w:rPr>
        <w:t xml:space="preserve">е ≥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eastAsia="bg-BG"/>
        </w:rPr>
        <w:t xml:space="preserve">/ден за </w:t>
      </w:r>
      <w:r w:rsidRPr="00813F46">
        <w:rPr>
          <w:rFonts w:eastAsia="Times New Roman" w:cs="Arial"/>
          <w:color w:val="000000"/>
          <w:lang w:val="en-US"/>
        </w:rPr>
        <w:t>F</w:t>
      </w:r>
      <w:r w:rsidRPr="00813F46">
        <w:rPr>
          <w:rFonts w:eastAsia="Times New Roman" w:cs="Arial"/>
          <w:color w:val="000000"/>
          <w:lang w:val="ru-RU"/>
        </w:rPr>
        <w:t xml:space="preserve">0 </w:t>
      </w:r>
      <w:r w:rsidRPr="00813F46">
        <w:rPr>
          <w:rFonts w:eastAsia="Times New Roman" w:cs="Arial"/>
          <w:color w:val="000000"/>
          <w:lang w:eastAsia="bg-BG"/>
        </w:rPr>
        <w:t xml:space="preserve">женски и за преживяемостга, растежа и развитието на </w:t>
      </w:r>
      <w:r w:rsidRPr="00813F46">
        <w:rPr>
          <w:rFonts w:eastAsia="Times New Roman" w:cs="Arial"/>
          <w:color w:val="000000"/>
          <w:lang w:val="en-US"/>
        </w:rPr>
        <w:t>F</w:t>
      </w:r>
      <w:r w:rsidRPr="00813F46">
        <w:rPr>
          <w:rFonts w:eastAsia="Times New Roman" w:cs="Arial"/>
          <w:color w:val="000000"/>
          <w:lang w:val="ru-RU"/>
        </w:rPr>
        <w:t xml:space="preserve">1 </w:t>
      </w:r>
      <w:r w:rsidRPr="00813F46">
        <w:rPr>
          <w:rFonts w:eastAsia="Times New Roman" w:cs="Arial"/>
          <w:color w:val="000000"/>
          <w:lang w:eastAsia="bg-BG"/>
        </w:rPr>
        <w:t xml:space="preserve">поколение до отбиването им (х 6 МПДХ на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w:t>
      </w:r>
      <w:r w:rsidRPr="00813F46">
        <w:rPr>
          <w:rFonts w:eastAsia="Times New Roman" w:cs="Arial"/>
          <w:color w:val="000000"/>
          <w:vertAlign w:val="superscript"/>
          <w:lang w:val="ru-RU"/>
        </w:rPr>
        <w:t>2</w:t>
      </w:r>
      <w:r w:rsidRPr="00813F46">
        <w:rPr>
          <w:rFonts w:eastAsia="Times New Roman" w:cs="Arial"/>
          <w:color w:val="000000"/>
          <w:lang w:val="ru-RU"/>
        </w:rPr>
        <w:t xml:space="preserve"> </w:t>
      </w:r>
      <w:r w:rsidRPr="00813F46">
        <w:rPr>
          <w:rFonts w:eastAsia="Times New Roman" w:cs="Arial"/>
          <w:color w:val="000000"/>
          <w:lang w:eastAsia="bg-BG"/>
        </w:rPr>
        <w:t>база).</w:t>
      </w:r>
    </w:p>
    <w:p w14:paraId="3647BEB9" w14:textId="77777777" w:rsidR="00813F46" w:rsidRPr="00813F46" w:rsidRDefault="00813F46" w:rsidP="00813F46">
      <w:pPr>
        <w:rPr>
          <w:rFonts w:eastAsia="Times New Roman" w:cs="Arial"/>
          <w:color w:val="000000"/>
          <w:lang w:eastAsia="bg-BG"/>
        </w:rPr>
      </w:pPr>
    </w:p>
    <w:p w14:paraId="629204B5" w14:textId="73B30806" w:rsidR="00813F46" w:rsidRPr="00813F46" w:rsidRDefault="00813F46" w:rsidP="00813F46">
      <w:pPr>
        <w:rPr>
          <w:lang w:val="ru-RU"/>
        </w:rPr>
      </w:pPr>
      <w:r w:rsidRPr="00813F46">
        <w:rPr>
          <w:rFonts w:eastAsia="Times New Roman" w:cs="Arial"/>
          <w:color w:val="000000"/>
          <w:lang w:eastAsia="bg-BG"/>
        </w:rPr>
        <w:t xml:space="preserve">Неонаталните и ювенилни проучвания при животни (плъхове и кучета) не показват нежелани ефекти по отношение на стандартното развитие или съзряване при дози до 1 800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kg</w:t>
      </w:r>
      <w:r w:rsidRPr="00813F46">
        <w:rPr>
          <w:rFonts w:eastAsia="Times New Roman" w:cs="Arial"/>
          <w:color w:val="000000"/>
          <w:lang w:val="ru-RU"/>
        </w:rPr>
        <w:t>/</w:t>
      </w:r>
      <w:r w:rsidRPr="00813F46">
        <w:rPr>
          <w:rFonts w:eastAsia="Times New Roman" w:cs="Arial"/>
          <w:color w:val="000000"/>
          <w:lang w:eastAsia="bg-BG"/>
        </w:rPr>
        <w:t xml:space="preserve">дневно (х 6- х 17 МПДХ на база </w:t>
      </w:r>
      <w:r w:rsidRPr="00813F46">
        <w:rPr>
          <w:rFonts w:eastAsia="Times New Roman" w:cs="Arial"/>
          <w:color w:val="000000"/>
          <w:lang w:val="en-US"/>
        </w:rPr>
        <w:t>mg</w:t>
      </w:r>
      <w:r w:rsidRPr="00813F46">
        <w:rPr>
          <w:rFonts w:eastAsia="Times New Roman" w:cs="Arial"/>
          <w:color w:val="000000"/>
          <w:lang w:val="ru-RU"/>
        </w:rPr>
        <w:t>/</w:t>
      </w:r>
      <w:r w:rsidRPr="00813F46">
        <w:rPr>
          <w:rFonts w:eastAsia="Times New Roman" w:cs="Arial"/>
          <w:color w:val="000000"/>
          <w:lang w:val="en-US"/>
        </w:rPr>
        <w:t>m</w:t>
      </w:r>
      <w:r w:rsidRPr="00813F46">
        <w:rPr>
          <w:rFonts w:eastAsia="Times New Roman" w:cs="Arial"/>
          <w:color w:val="000000"/>
          <w:vertAlign w:val="superscript"/>
          <w:lang w:val="ru-RU"/>
        </w:rPr>
        <w:t>2</w:t>
      </w:r>
      <w:r w:rsidRPr="00813F46">
        <w:rPr>
          <w:rFonts w:eastAsia="Times New Roman" w:cs="Arial"/>
          <w:color w:val="000000"/>
          <w:lang w:val="ru-RU"/>
        </w:rPr>
        <w:t>).</w:t>
      </w:r>
    </w:p>
    <w:p w14:paraId="1BA6531D" w14:textId="3CE415C1" w:rsidR="00B6672E" w:rsidRDefault="002C50EE" w:rsidP="00936AD0">
      <w:pPr>
        <w:pStyle w:val="Heading1"/>
      </w:pPr>
      <w:r>
        <w:t>7. ПРИТЕЖАТЕЛ НА РАЗРЕШЕНИЕТО ЗА УПОТРЕБА</w:t>
      </w:r>
    </w:p>
    <w:p w14:paraId="15235B91" w14:textId="087C83F9" w:rsidR="00813F46" w:rsidRDefault="00813F46" w:rsidP="00813F46"/>
    <w:p w14:paraId="2C26F911" w14:textId="77777777" w:rsidR="00813F46" w:rsidRDefault="00813F46" w:rsidP="00813F46">
      <w:r>
        <w:t xml:space="preserve">Teva B.V. </w:t>
      </w:r>
    </w:p>
    <w:p w14:paraId="6BA32EE3" w14:textId="77777777" w:rsidR="00813F46" w:rsidRDefault="00813F46" w:rsidP="00813F46">
      <w:pPr>
        <w:rPr>
          <w:lang w:eastAsia="bg-BG"/>
        </w:rPr>
      </w:pPr>
      <w:r>
        <w:t xml:space="preserve">Swensweg </w:t>
      </w:r>
      <w:r>
        <w:rPr>
          <w:lang w:eastAsia="bg-BG"/>
        </w:rPr>
        <w:t xml:space="preserve">5 </w:t>
      </w:r>
    </w:p>
    <w:p w14:paraId="42DF8FC4" w14:textId="77777777" w:rsidR="00813F46" w:rsidRDefault="00813F46" w:rsidP="00813F46">
      <w:r>
        <w:rPr>
          <w:lang w:eastAsia="bg-BG"/>
        </w:rPr>
        <w:t xml:space="preserve">2031 </w:t>
      </w:r>
      <w:r>
        <w:t xml:space="preserve">GA Haarlem </w:t>
      </w:r>
    </w:p>
    <w:p w14:paraId="2BDFA713" w14:textId="6E4AB3C5" w:rsidR="00813F46" w:rsidRPr="00813F46" w:rsidRDefault="00813F46" w:rsidP="00813F46">
      <w:r>
        <w:rPr>
          <w:lang w:eastAsia="bg-BG"/>
        </w:rPr>
        <w:t>Нидерландия</w:t>
      </w:r>
    </w:p>
    <w:p w14:paraId="508F3A54" w14:textId="159B2E25" w:rsidR="00B6672E" w:rsidRDefault="00936AD0" w:rsidP="00936AD0">
      <w:pPr>
        <w:pStyle w:val="Heading1"/>
      </w:pPr>
      <w:r>
        <w:t>8.</w:t>
      </w:r>
      <w:r w:rsidR="002C50EE">
        <w:t>НОМЕР НА РАЗРЕШЕНИЕТО ЗА УПОТРЕБА</w:t>
      </w:r>
    </w:p>
    <w:p w14:paraId="7D45F00B" w14:textId="7F16D572" w:rsidR="00813F46" w:rsidRDefault="00813F46" w:rsidP="00813F46"/>
    <w:p w14:paraId="3B579F70" w14:textId="77777777" w:rsidR="00813F46" w:rsidRPr="00813F46" w:rsidRDefault="00813F46" w:rsidP="00813F46">
      <w:pPr>
        <w:rPr>
          <w:sz w:val="24"/>
          <w:szCs w:val="24"/>
          <w:lang w:val="en-US"/>
        </w:rPr>
      </w:pPr>
      <w:proofErr w:type="spellStart"/>
      <w:r w:rsidRPr="00813F46">
        <w:rPr>
          <w:lang w:val="en-US"/>
        </w:rPr>
        <w:t>Noepix</w:t>
      </w:r>
      <w:proofErr w:type="spellEnd"/>
      <w:r w:rsidRPr="00813F46">
        <w:rPr>
          <w:lang w:val="en-US"/>
        </w:rPr>
        <w:t xml:space="preserve"> </w:t>
      </w:r>
      <w:r w:rsidRPr="00813F46">
        <w:rPr>
          <w:lang w:eastAsia="bg-BG"/>
        </w:rPr>
        <w:t xml:space="preserve">250 </w:t>
      </w:r>
      <w:r w:rsidRPr="00813F46">
        <w:rPr>
          <w:lang w:val="en-US"/>
        </w:rPr>
        <w:t>mg - per. № 20110621</w:t>
      </w:r>
    </w:p>
    <w:p w14:paraId="2B8C69A6" w14:textId="77777777" w:rsidR="00813F46" w:rsidRPr="00813F46" w:rsidRDefault="00813F46" w:rsidP="00813F46">
      <w:pPr>
        <w:rPr>
          <w:sz w:val="24"/>
          <w:szCs w:val="24"/>
          <w:lang w:val="en-US"/>
        </w:rPr>
      </w:pPr>
      <w:proofErr w:type="spellStart"/>
      <w:r w:rsidRPr="00813F46">
        <w:rPr>
          <w:lang w:val="en-US"/>
        </w:rPr>
        <w:t>Noepix</w:t>
      </w:r>
      <w:proofErr w:type="spellEnd"/>
      <w:r w:rsidRPr="00813F46">
        <w:rPr>
          <w:lang w:val="en-US"/>
        </w:rPr>
        <w:t xml:space="preserve"> 500 mg - per. № 20110622</w:t>
      </w:r>
    </w:p>
    <w:p w14:paraId="2A077592" w14:textId="33BAC835" w:rsidR="00813F46" w:rsidRPr="00813F46" w:rsidRDefault="00813F46" w:rsidP="00813F46">
      <w:pPr>
        <w:rPr>
          <w:lang w:val="ru-RU"/>
        </w:rPr>
      </w:pPr>
      <w:proofErr w:type="spellStart"/>
      <w:r w:rsidRPr="00813F46">
        <w:rPr>
          <w:lang w:val="en-US"/>
        </w:rPr>
        <w:t>Noepix</w:t>
      </w:r>
      <w:proofErr w:type="spellEnd"/>
      <w:r w:rsidRPr="00813F46">
        <w:rPr>
          <w:lang w:val="ru-RU"/>
        </w:rPr>
        <w:t xml:space="preserve"> 1 000 </w:t>
      </w:r>
      <w:r w:rsidRPr="00813F46">
        <w:rPr>
          <w:lang w:val="en-US"/>
        </w:rPr>
        <w:t>mg</w:t>
      </w:r>
      <w:r>
        <w:rPr>
          <w:lang w:val="ru-RU"/>
        </w:rPr>
        <w:t xml:space="preserve"> -</w:t>
      </w:r>
      <w:r w:rsidRPr="00813F46">
        <w:rPr>
          <w:lang w:val="ru-RU"/>
        </w:rPr>
        <w:t xml:space="preserve"> </w:t>
      </w:r>
      <w:r w:rsidRPr="00813F46">
        <w:rPr>
          <w:lang w:val="en-US"/>
        </w:rPr>
        <w:t>per</w:t>
      </w:r>
      <w:r w:rsidRPr="00813F46">
        <w:rPr>
          <w:lang w:val="ru-RU"/>
        </w:rPr>
        <w:t>. № 20110624</w:t>
      </w:r>
    </w:p>
    <w:p w14:paraId="2CCB5832" w14:textId="1F9F76D7" w:rsidR="007C605B" w:rsidRDefault="002C50EE" w:rsidP="007C605B">
      <w:pPr>
        <w:pStyle w:val="Heading1"/>
      </w:pPr>
      <w:r>
        <w:t>9. ДАТА НА ПЪРВО РАЗРЕШАВАНЕ/ПОДНОВЯВАНЕ НА РАЗРЕШЕНИЕТО ЗА УПОТРЕБА</w:t>
      </w:r>
    </w:p>
    <w:p w14:paraId="439EEAED" w14:textId="42A75140" w:rsidR="00813F46" w:rsidRDefault="00813F46" w:rsidP="00813F46"/>
    <w:p w14:paraId="3BD36C61" w14:textId="77777777" w:rsidR="00813F46" w:rsidRPr="00813F46" w:rsidRDefault="00813F46" w:rsidP="00813F46">
      <w:pPr>
        <w:rPr>
          <w:sz w:val="24"/>
          <w:szCs w:val="24"/>
        </w:rPr>
      </w:pPr>
      <w:r w:rsidRPr="00813F46">
        <w:rPr>
          <w:lang w:eastAsia="bg-BG"/>
        </w:rPr>
        <w:t>Дата на първо разрешаване: 24. 10. 2011 г.</w:t>
      </w:r>
    </w:p>
    <w:p w14:paraId="38F19D34" w14:textId="77777777" w:rsidR="00813F46" w:rsidRPr="00813F46" w:rsidRDefault="00813F46" w:rsidP="00813F46">
      <w:pPr>
        <w:rPr>
          <w:sz w:val="24"/>
          <w:szCs w:val="24"/>
        </w:rPr>
      </w:pPr>
      <w:r w:rsidRPr="00813F46">
        <w:rPr>
          <w:lang w:eastAsia="bg-BG"/>
        </w:rPr>
        <w:t>Дата на последно подновяване: 16.06.2016 г.</w:t>
      </w:r>
    </w:p>
    <w:p w14:paraId="27E4E536" w14:textId="77777777" w:rsidR="00813F46" w:rsidRPr="00813F46" w:rsidRDefault="00813F46" w:rsidP="00813F46"/>
    <w:p w14:paraId="0E9D0119" w14:textId="0245C6D7" w:rsidR="002C50EE" w:rsidRDefault="002C50EE" w:rsidP="002C50EE">
      <w:pPr>
        <w:pStyle w:val="Heading1"/>
      </w:pPr>
      <w:r>
        <w:t>10. ДАТА НА АКТУАЛИЗИРАНЕ НА ТЕКСТА</w:t>
      </w:r>
    </w:p>
    <w:p w14:paraId="43FB38A2" w14:textId="689F8F04" w:rsidR="007C605B" w:rsidRPr="003E3126" w:rsidRDefault="007C605B" w:rsidP="00B6672E">
      <w:bookmarkStart w:id="1" w:name="_GoBack"/>
      <w:bookmarkEnd w:id="0"/>
      <w:bookmarkEnd w:id="1"/>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35D171D"/>
    <w:multiLevelType w:val="hybridMultilevel"/>
    <w:tmpl w:val="C20CE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3"/>
  </w:num>
  <w:num w:numId="28">
    <w:abstractNumId w:val="6"/>
  </w:num>
  <w:num w:numId="29">
    <w:abstractNumId w:val="22"/>
  </w:num>
  <w:num w:numId="30">
    <w:abstractNumId w:val="36"/>
  </w:num>
  <w:num w:numId="31">
    <w:abstractNumId w:val="5"/>
  </w:num>
  <w:num w:numId="32">
    <w:abstractNumId w:val="35"/>
  </w:num>
  <w:num w:numId="33">
    <w:abstractNumId w:val="30"/>
  </w:num>
  <w:num w:numId="34">
    <w:abstractNumId w:val="34"/>
  </w:num>
  <w:num w:numId="35">
    <w:abstractNumId w:val="8"/>
  </w:num>
  <w:num w:numId="36">
    <w:abstractNumId w:val="11"/>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122AD"/>
    <w:rsid w:val="0075649D"/>
    <w:rsid w:val="007C605B"/>
    <w:rsid w:val="008134C8"/>
    <w:rsid w:val="00813F46"/>
    <w:rsid w:val="00814073"/>
    <w:rsid w:val="00826F0D"/>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B6364"/>
    <w:rsid w:val="00F26B25"/>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6B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6688</Words>
  <Characters>38125</Characters>
  <Application>Microsoft Office Word</Application>
  <DocSecurity>0</DocSecurity>
  <Lines>317</Lines>
  <Paragraphs>89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2022-10-01T18:36:00Z</dcterms:created>
  <dcterms:modified xsi:type="dcterms:W3CDTF">2022-10-01T18:36:00Z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