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87D1ECB" w:rsidR="00C40420" w:rsidRDefault="00DD466D" w:rsidP="004A448E">
      <w:pPr>
        <w:pStyle w:val="Heading1"/>
      </w:pPr>
      <w:r>
        <w:t>1.ИМЕ НА ЛЕКАРСТВЕНИЯ ПРОДУКТ</w:t>
      </w:r>
    </w:p>
    <w:p w14:paraId="5313316E" w14:textId="225C2114" w:rsidR="00F428C9" w:rsidRDefault="00F428C9" w:rsidP="00F428C9"/>
    <w:p w14:paraId="576BA23D" w14:textId="77777777" w:rsidR="00F428C9" w:rsidRPr="00F428C9" w:rsidRDefault="00F428C9" w:rsidP="00F428C9">
      <w:pPr>
        <w:rPr>
          <w:sz w:val="24"/>
          <w:szCs w:val="24"/>
        </w:rPr>
      </w:pPr>
      <w:r w:rsidRPr="00F428C9">
        <w:rPr>
          <w:lang w:eastAsia="bg-BG"/>
        </w:rPr>
        <w:t xml:space="preserve">Нолипрел 2,5 </w:t>
      </w:r>
      <w:r w:rsidRPr="00F428C9">
        <w:rPr>
          <w:lang w:val="en-US"/>
        </w:rPr>
        <w:t>mg</w:t>
      </w:r>
      <w:r w:rsidRPr="00F428C9">
        <w:t xml:space="preserve"> </w:t>
      </w:r>
      <w:r w:rsidRPr="00F428C9">
        <w:rPr>
          <w:lang w:eastAsia="bg-BG"/>
        </w:rPr>
        <w:t xml:space="preserve">/ 0,625 </w:t>
      </w:r>
      <w:r w:rsidRPr="00F428C9">
        <w:rPr>
          <w:lang w:val="en-US"/>
        </w:rPr>
        <w:t>mg</w:t>
      </w:r>
      <w:r w:rsidRPr="00F428C9">
        <w:t xml:space="preserve"> </w:t>
      </w:r>
      <w:r w:rsidRPr="00F428C9">
        <w:rPr>
          <w:lang w:eastAsia="bg-BG"/>
        </w:rPr>
        <w:t>филмирани таблетки</w:t>
      </w:r>
    </w:p>
    <w:p w14:paraId="436DC71E" w14:textId="573BE962" w:rsidR="00F428C9" w:rsidRPr="00F428C9" w:rsidRDefault="00F428C9" w:rsidP="00F428C9">
      <w:proofErr w:type="spellStart"/>
      <w:r w:rsidRPr="00F428C9">
        <w:rPr>
          <w:lang w:val="en-US"/>
        </w:rPr>
        <w:t>Noliprel</w:t>
      </w:r>
      <w:proofErr w:type="spellEnd"/>
      <w:r w:rsidRPr="00F428C9">
        <w:t xml:space="preserve"> </w:t>
      </w:r>
      <w:r w:rsidRPr="00F428C9">
        <w:rPr>
          <w:lang w:eastAsia="bg-BG"/>
        </w:rPr>
        <w:t xml:space="preserve">2.5 </w:t>
      </w:r>
      <w:r w:rsidRPr="00F428C9">
        <w:rPr>
          <w:lang w:val="en-US"/>
        </w:rPr>
        <w:t>mg</w:t>
      </w:r>
      <w:r w:rsidRPr="00F428C9">
        <w:t xml:space="preserve"> </w:t>
      </w:r>
      <w:r w:rsidRPr="00F428C9">
        <w:rPr>
          <w:lang w:eastAsia="bg-BG"/>
        </w:rPr>
        <w:t xml:space="preserve">/ 0.625 </w:t>
      </w:r>
      <w:r w:rsidRPr="00F428C9">
        <w:rPr>
          <w:lang w:val="en-US"/>
        </w:rPr>
        <w:t>mg</w:t>
      </w:r>
      <w:r w:rsidRPr="00F428C9">
        <w:t xml:space="preserve"> </w:t>
      </w:r>
      <w:r w:rsidRPr="00F428C9">
        <w:rPr>
          <w:lang w:val="en-US"/>
        </w:rPr>
        <w:t>film</w:t>
      </w:r>
      <w:r w:rsidRPr="00F428C9">
        <w:t>-</w:t>
      </w:r>
      <w:r w:rsidRPr="00F428C9">
        <w:rPr>
          <w:lang w:val="en-US"/>
        </w:rPr>
        <w:t>coated</w:t>
      </w:r>
      <w:r w:rsidRPr="00F428C9">
        <w:t xml:space="preserve"> </w:t>
      </w:r>
      <w:r w:rsidRPr="00F428C9">
        <w:rPr>
          <w:lang w:val="en-US"/>
        </w:rPr>
        <w:t>tablets</w:t>
      </w:r>
    </w:p>
    <w:p w14:paraId="6920A680" w14:textId="30752BAB" w:rsidR="00C40420" w:rsidRDefault="00DD466D" w:rsidP="004A448E">
      <w:pPr>
        <w:pStyle w:val="Heading1"/>
      </w:pPr>
      <w:r>
        <w:t>2. КАЧЕСТВЕН И КОЛИЧЕСТВЕН СЪСТАВ</w:t>
      </w:r>
    </w:p>
    <w:p w14:paraId="1A191B83" w14:textId="504122A4" w:rsidR="00F428C9" w:rsidRDefault="00F428C9" w:rsidP="00F428C9"/>
    <w:p w14:paraId="04A4C0C7"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Една филмирана таблетка съдържа 1,6975 </w:t>
      </w:r>
      <w:r w:rsidRPr="00F428C9">
        <w:rPr>
          <w:rFonts w:eastAsia="Times New Roman" w:cs="Arial"/>
          <w:color w:val="000000"/>
          <w:szCs w:val="20"/>
          <w:lang w:val="en-US"/>
        </w:rPr>
        <w:t>mg</w:t>
      </w:r>
      <w:r w:rsidRPr="00F428C9">
        <w:rPr>
          <w:rFonts w:eastAsia="Times New Roman" w:cs="Arial"/>
          <w:color w:val="000000"/>
          <w:szCs w:val="20"/>
        </w:rPr>
        <w:t xml:space="preserve"> </w:t>
      </w:r>
      <w:r w:rsidRPr="00F428C9">
        <w:rPr>
          <w:rFonts w:eastAsia="Times New Roman" w:cs="Arial"/>
          <w:color w:val="000000"/>
          <w:szCs w:val="20"/>
          <w:lang w:eastAsia="bg-BG"/>
        </w:rPr>
        <w:t xml:space="preserve">периндоприл </w:t>
      </w:r>
      <w:r w:rsidRPr="00F428C9">
        <w:rPr>
          <w:rFonts w:eastAsia="Times New Roman" w:cs="Arial"/>
          <w:i/>
          <w:iCs/>
          <w:color w:val="000000"/>
          <w:szCs w:val="20"/>
        </w:rPr>
        <w:t>(</w:t>
      </w:r>
      <w:r w:rsidRPr="00F428C9">
        <w:rPr>
          <w:rFonts w:eastAsia="Times New Roman" w:cs="Arial"/>
          <w:i/>
          <w:iCs/>
          <w:color w:val="000000"/>
          <w:szCs w:val="20"/>
          <w:lang w:val="en-US"/>
        </w:rPr>
        <w:t>perindopril</w:t>
      </w:r>
      <w:r w:rsidRPr="00F428C9">
        <w:rPr>
          <w:rFonts w:eastAsia="Times New Roman" w:cs="Arial"/>
          <w:i/>
          <w:iCs/>
          <w:color w:val="000000"/>
          <w:szCs w:val="20"/>
        </w:rPr>
        <w:t>)</w:t>
      </w:r>
      <w:r w:rsidRPr="00F428C9">
        <w:rPr>
          <w:rFonts w:eastAsia="Times New Roman" w:cs="Arial"/>
          <w:color w:val="000000"/>
          <w:szCs w:val="20"/>
        </w:rPr>
        <w:t xml:space="preserve"> </w:t>
      </w:r>
      <w:r w:rsidRPr="00F428C9">
        <w:rPr>
          <w:rFonts w:eastAsia="Times New Roman" w:cs="Arial"/>
          <w:color w:val="000000"/>
          <w:szCs w:val="20"/>
          <w:lang w:eastAsia="bg-BG"/>
        </w:rPr>
        <w:t xml:space="preserve">съответстващи на 2,5 </w:t>
      </w:r>
      <w:r w:rsidRPr="00F428C9">
        <w:rPr>
          <w:rFonts w:eastAsia="Times New Roman" w:cs="Arial"/>
          <w:color w:val="000000"/>
          <w:szCs w:val="20"/>
          <w:lang w:val="en-US"/>
        </w:rPr>
        <w:t>mg</w:t>
      </w:r>
      <w:r w:rsidRPr="00F428C9">
        <w:rPr>
          <w:rFonts w:eastAsia="Times New Roman" w:cs="Arial"/>
          <w:color w:val="000000"/>
          <w:szCs w:val="20"/>
        </w:rPr>
        <w:t xml:space="preserve"> </w:t>
      </w:r>
      <w:r w:rsidRPr="00F428C9">
        <w:rPr>
          <w:rFonts w:eastAsia="Times New Roman" w:cs="Arial"/>
          <w:color w:val="000000"/>
          <w:szCs w:val="20"/>
          <w:lang w:eastAsia="bg-BG"/>
        </w:rPr>
        <w:t xml:space="preserve">периндоприл аргинин </w:t>
      </w:r>
      <w:r w:rsidRPr="00F428C9">
        <w:rPr>
          <w:rFonts w:eastAsia="Times New Roman" w:cs="Arial"/>
          <w:i/>
          <w:iCs/>
          <w:color w:val="000000"/>
          <w:szCs w:val="20"/>
        </w:rPr>
        <w:t>(</w:t>
      </w:r>
      <w:r w:rsidRPr="00F428C9">
        <w:rPr>
          <w:rFonts w:eastAsia="Times New Roman" w:cs="Arial"/>
          <w:i/>
          <w:iCs/>
          <w:color w:val="000000"/>
          <w:szCs w:val="20"/>
          <w:lang w:val="en-US"/>
        </w:rPr>
        <w:t>perindopril</w:t>
      </w:r>
      <w:r w:rsidRPr="00F428C9">
        <w:rPr>
          <w:rFonts w:eastAsia="Times New Roman" w:cs="Arial"/>
          <w:i/>
          <w:iCs/>
          <w:color w:val="000000"/>
          <w:szCs w:val="20"/>
        </w:rPr>
        <w:t xml:space="preserve"> </w:t>
      </w:r>
      <w:r w:rsidRPr="00F428C9">
        <w:rPr>
          <w:rFonts w:eastAsia="Times New Roman" w:cs="Arial"/>
          <w:i/>
          <w:iCs/>
          <w:color w:val="000000"/>
          <w:szCs w:val="20"/>
          <w:lang w:val="en-US"/>
        </w:rPr>
        <w:t>arginine</w:t>
      </w:r>
      <w:r w:rsidRPr="00F428C9">
        <w:rPr>
          <w:rFonts w:eastAsia="Times New Roman" w:cs="Arial"/>
          <w:i/>
          <w:iCs/>
          <w:color w:val="000000"/>
          <w:szCs w:val="20"/>
        </w:rPr>
        <w:t>)</w:t>
      </w:r>
      <w:r w:rsidRPr="00F428C9">
        <w:rPr>
          <w:rFonts w:eastAsia="Times New Roman" w:cs="Arial"/>
          <w:color w:val="000000"/>
          <w:szCs w:val="20"/>
        </w:rPr>
        <w:t xml:space="preserve"> </w:t>
      </w:r>
      <w:r w:rsidRPr="00F428C9">
        <w:rPr>
          <w:rFonts w:eastAsia="Times New Roman" w:cs="Arial"/>
          <w:color w:val="000000"/>
          <w:szCs w:val="20"/>
          <w:lang w:eastAsia="bg-BG"/>
        </w:rPr>
        <w:t xml:space="preserve">и 0,625 </w:t>
      </w:r>
      <w:r w:rsidRPr="00F428C9">
        <w:rPr>
          <w:rFonts w:eastAsia="Times New Roman" w:cs="Arial"/>
          <w:color w:val="000000"/>
          <w:szCs w:val="20"/>
          <w:lang w:val="en-US"/>
        </w:rPr>
        <w:t>mg</w:t>
      </w:r>
      <w:r w:rsidRPr="00F428C9">
        <w:rPr>
          <w:rFonts w:eastAsia="Times New Roman" w:cs="Arial"/>
          <w:color w:val="000000"/>
          <w:szCs w:val="20"/>
        </w:rPr>
        <w:t xml:space="preserve"> </w:t>
      </w:r>
      <w:r w:rsidRPr="00F428C9">
        <w:rPr>
          <w:rFonts w:eastAsia="Times New Roman" w:cs="Arial"/>
          <w:color w:val="000000"/>
          <w:szCs w:val="20"/>
          <w:lang w:eastAsia="bg-BG"/>
        </w:rPr>
        <w:t xml:space="preserve">индапамид </w:t>
      </w:r>
      <w:r w:rsidRPr="00F428C9">
        <w:rPr>
          <w:rFonts w:eastAsia="Times New Roman" w:cs="Arial"/>
          <w:i/>
          <w:iCs/>
          <w:color w:val="000000"/>
          <w:szCs w:val="20"/>
        </w:rPr>
        <w:t>(</w:t>
      </w:r>
      <w:proofErr w:type="spellStart"/>
      <w:r w:rsidRPr="00F428C9">
        <w:rPr>
          <w:rFonts w:eastAsia="Times New Roman" w:cs="Arial"/>
          <w:i/>
          <w:iCs/>
          <w:color w:val="000000"/>
          <w:szCs w:val="20"/>
          <w:lang w:val="en-US"/>
        </w:rPr>
        <w:t>indapamide</w:t>
      </w:r>
      <w:proofErr w:type="spellEnd"/>
      <w:r w:rsidRPr="00F428C9">
        <w:rPr>
          <w:rFonts w:eastAsia="Times New Roman" w:cs="Arial"/>
          <w:i/>
          <w:iCs/>
          <w:color w:val="000000"/>
          <w:szCs w:val="20"/>
        </w:rPr>
        <w:t>).</w:t>
      </w:r>
    </w:p>
    <w:p w14:paraId="0E1F2055" w14:textId="77777777" w:rsidR="00F428C9" w:rsidRPr="00F428C9" w:rsidRDefault="00F428C9" w:rsidP="00F428C9">
      <w:pPr>
        <w:rPr>
          <w:rFonts w:eastAsia="Times New Roman" w:cs="Arial"/>
          <w:color w:val="000000"/>
          <w:szCs w:val="20"/>
          <w:lang w:eastAsia="bg-BG"/>
        </w:rPr>
      </w:pPr>
    </w:p>
    <w:p w14:paraId="6DDAD44D" w14:textId="4FC33041" w:rsidR="00F428C9" w:rsidRPr="00F428C9" w:rsidRDefault="00F428C9" w:rsidP="00F428C9">
      <w:pPr>
        <w:rPr>
          <w:rFonts w:cs="Arial"/>
          <w:sz w:val="24"/>
          <w:lang w:val="ru-RU"/>
        </w:rPr>
      </w:pPr>
      <w:r w:rsidRPr="00F428C9">
        <w:rPr>
          <w:rFonts w:eastAsia="Times New Roman" w:cs="Arial"/>
          <w:color w:val="000000"/>
          <w:szCs w:val="20"/>
          <w:lang w:eastAsia="bg-BG"/>
        </w:rPr>
        <w:t xml:space="preserve">Помощно вещество с известно действие: 74,455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лактоза монохидрат </w:t>
      </w:r>
      <w:r w:rsidRPr="00F428C9">
        <w:rPr>
          <w:rFonts w:eastAsia="Times New Roman" w:cs="Arial"/>
          <w:i/>
          <w:iCs/>
          <w:color w:val="000000"/>
          <w:szCs w:val="20"/>
          <w:lang w:val="ru-RU"/>
        </w:rPr>
        <w:t>(</w:t>
      </w:r>
      <w:r w:rsidRPr="00F428C9">
        <w:rPr>
          <w:rFonts w:eastAsia="Times New Roman" w:cs="Arial"/>
          <w:i/>
          <w:iCs/>
          <w:color w:val="000000"/>
          <w:szCs w:val="20"/>
          <w:lang w:val="en-US"/>
        </w:rPr>
        <w:t>lactose</w:t>
      </w:r>
      <w:r w:rsidRPr="00F428C9">
        <w:rPr>
          <w:rFonts w:eastAsia="Times New Roman" w:cs="Arial"/>
          <w:i/>
          <w:iCs/>
          <w:color w:val="000000"/>
          <w:szCs w:val="20"/>
          <w:lang w:val="ru-RU"/>
        </w:rPr>
        <w:t xml:space="preserve"> </w:t>
      </w:r>
      <w:r w:rsidRPr="00F428C9">
        <w:rPr>
          <w:rFonts w:eastAsia="Times New Roman" w:cs="Arial"/>
          <w:i/>
          <w:iCs/>
          <w:color w:val="000000"/>
          <w:szCs w:val="20"/>
          <w:lang w:val="en-US"/>
        </w:rPr>
        <w:t>monohydrate</w:t>
      </w:r>
      <w:r w:rsidRPr="00F428C9">
        <w:rPr>
          <w:rFonts w:eastAsia="Times New Roman" w:cs="Arial"/>
          <w:i/>
          <w:iCs/>
          <w:color w:val="000000"/>
          <w:szCs w:val="20"/>
          <w:lang w:val="ru-RU"/>
        </w:rPr>
        <w:t>).</w:t>
      </w:r>
    </w:p>
    <w:p w14:paraId="614984C4" w14:textId="2305D056" w:rsidR="008A6AF2" w:rsidRDefault="00DD466D" w:rsidP="002C50EE">
      <w:pPr>
        <w:pStyle w:val="Heading1"/>
      </w:pPr>
      <w:r>
        <w:t>3. ЛЕКАРСТВЕНА ФОРМА</w:t>
      </w:r>
    </w:p>
    <w:p w14:paraId="311635DB" w14:textId="3C1CD864" w:rsidR="00F428C9" w:rsidRDefault="00F428C9" w:rsidP="00F428C9"/>
    <w:p w14:paraId="07068199" w14:textId="77777777" w:rsidR="00F428C9" w:rsidRPr="00F428C9" w:rsidRDefault="00F428C9" w:rsidP="00F428C9">
      <w:pPr>
        <w:rPr>
          <w:sz w:val="24"/>
          <w:szCs w:val="24"/>
        </w:rPr>
      </w:pPr>
      <w:r w:rsidRPr="00F428C9">
        <w:rPr>
          <w:lang w:eastAsia="bg-BG"/>
        </w:rPr>
        <w:t>Филмирана таблетка.</w:t>
      </w:r>
    </w:p>
    <w:p w14:paraId="1FA67884" w14:textId="77777777" w:rsidR="00F428C9" w:rsidRPr="00F428C9" w:rsidRDefault="00F428C9" w:rsidP="00F428C9">
      <w:pPr>
        <w:rPr>
          <w:sz w:val="24"/>
          <w:szCs w:val="24"/>
        </w:rPr>
      </w:pPr>
      <w:r w:rsidRPr="00F428C9">
        <w:rPr>
          <w:lang w:eastAsia="bg-BG"/>
        </w:rPr>
        <w:t>Бяла продълговата филмирана таблетка с гравирана черта от двете страни.</w:t>
      </w:r>
    </w:p>
    <w:p w14:paraId="39A65942" w14:textId="506A20B1" w:rsidR="00F428C9" w:rsidRPr="00F428C9" w:rsidRDefault="00F428C9" w:rsidP="00F428C9">
      <w:r w:rsidRPr="00F428C9">
        <w:rPr>
          <w:lang w:eastAsia="bg-BG"/>
        </w:rPr>
        <w:t>Гравираната черта не е предназначена за делене на таблетката.</w:t>
      </w:r>
    </w:p>
    <w:p w14:paraId="490FC2C4" w14:textId="32682B15" w:rsidR="002C50EE" w:rsidRDefault="002C50EE" w:rsidP="002C50EE">
      <w:pPr>
        <w:pStyle w:val="Heading1"/>
      </w:pPr>
      <w:r>
        <w:t>4. КЛИНИЧНИ ДАННИ</w:t>
      </w:r>
    </w:p>
    <w:p w14:paraId="0C8E6903" w14:textId="1274FDBF" w:rsidR="008134C8" w:rsidRDefault="002C50EE" w:rsidP="004A448E">
      <w:pPr>
        <w:pStyle w:val="Heading2"/>
      </w:pPr>
      <w:r>
        <w:t>4.1. Терапевтични показания</w:t>
      </w:r>
    </w:p>
    <w:p w14:paraId="2D373AE4" w14:textId="3ADB00A4" w:rsidR="00F428C9" w:rsidRDefault="00F428C9" w:rsidP="00F428C9"/>
    <w:p w14:paraId="7EB455D0" w14:textId="53D0598A" w:rsidR="00F428C9" w:rsidRDefault="00F428C9" w:rsidP="00F428C9">
      <w:r>
        <w:t xml:space="preserve">Нолипрел 2,5 </w:t>
      </w:r>
      <w:r>
        <w:rPr>
          <w:lang w:val="en-US"/>
        </w:rPr>
        <w:t>mg</w:t>
      </w:r>
      <w:r w:rsidRPr="00F428C9">
        <w:rPr>
          <w:lang w:val="ru-RU"/>
        </w:rPr>
        <w:t xml:space="preserve"> </w:t>
      </w:r>
      <w:r>
        <w:t xml:space="preserve">/ 0,625 </w:t>
      </w:r>
      <w:r>
        <w:rPr>
          <w:lang w:val="en-US"/>
        </w:rPr>
        <w:t>mg</w:t>
      </w:r>
      <w:r w:rsidRPr="00F428C9">
        <w:rPr>
          <w:lang w:val="ru-RU"/>
        </w:rPr>
        <w:t xml:space="preserve"> </w:t>
      </w:r>
      <w:r>
        <w:t>е показан за есенциална хипертония при възрастни.</w:t>
      </w:r>
    </w:p>
    <w:p w14:paraId="7B07DB18" w14:textId="77777777" w:rsidR="00F428C9" w:rsidRPr="00F428C9" w:rsidRDefault="00F428C9" w:rsidP="00F428C9"/>
    <w:p w14:paraId="30BE2C7B" w14:textId="62022386" w:rsidR="008134C8" w:rsidRDefault="002C50EE" w:rsidP="004A448E">
      <w:pPr>
        <w:pStyle w:val="Heading2"/>
      </w:pPr>
      <w:r>
        <w:t>4.2. Дозировка и начин на приложение</w:t>
      </w:r>
    </w:p>
    <w:p w14:paraId="0719A958" w14:textId="7E824A64" w:rsidR="00F428C9" w:rsidRDefault="00F428C9" w:rsidP="00F428C9"/>
    <w:p w14:paraId="05343B26" w14:textId="77777777" w:rsidR="00F428C9" w:rsidRPr="00F428C9" w:rsidRDefault="00F428C9" w:rsidP="00F428C9">
      <w:pPr>
        <w:pStyle w:val="Heading3"/>
        <w:rPr>
          <w:rFonts w:eastAsia="Times New Roman"/>
          <w:sz w:val="28"/>
          <w:u w:val="single"/>
        </w:rPr>
      </w:pPr>
      <w:r w:rsidRPr="00F428C9">
        <w:rPr>
          <w:rFonts w:eastAsia="Times New Roman"/>
          <w:u w:val="single"/>
          <w:lang w:eastAsia="bg-BG"/>
        </w:rPr>
        <w:t>Дозировка</w:t>
      </w:r>
    </w:p>
    <w:p w14:paraId="4DE83B1E" w14:textId="77777777" w:rsidR="00F428C9" w:rsidRPr="00F428C9" w:rsidRDefault="00F428C9" w:rsidP="00F428C9">
      <w:pPr>
        <w:spacing w:line="240" w:lineRule="auto"/>
        <w:rPr>
          <w:rFonts w:eastAsia="Times New Roman" w:cs="Arial"/>
          <w:color w:val="000000"/>
          <w:szCs w:val="20"/>
          <w:lang w:eastAsia="bg-BG"/>
        </w:rPr>
      </w:pPr>
    </w:p>
    <w:p w14:paraId="3FCDCD9D" w14:textId="7157BC85"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Обичайната доза е една филмирана таблетка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дневно като еднократна доза, за предпочитане е да се приема сутрин и преди хранене. Ако след едномесечно лечение не се постигне контрол на кръвното налягане, дозата може да се удвои.</w:t>
      </w:r>
    </w:p>
    <w:p w14:paraId="28CFDF4C" w14:textId="77777777" w:rsidR="00F428C9" w:rsidRPr="00F428C9" w:rsidRDefault="00F428C9" w:rsidP="00F428C9">
      <w:pPr>
        <w:spacing w:line="240" w:lineRule="auto"/>
        <w:rPr>
          <w:rFonts w:eastAsia="Times New Roman" w:cs="Arial"/>
          <w:color w:val="000000"/>
          <w:szCs w:val="20"/>
          <w:lang w:eastAsia="bg-BG"/>
        </w:rPr>
      </w:pPr>
    </w:p>
    <w:p w14:paraId="5555CB56" w14:textId="6130D10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Специални популации</w:t>
      </w:r>
    </w:p>
    <w:p w14:paraId="6DEAA36F" w14:textId="77777777" w:rsidR="00F428C9" w:rsidRPr="00F428C9" w:rsidRDefault="00F428C9" w:rsidP="00F428C9">
      <w:pPr>
        <w:spacing w:line="240" w:lineRule="auto"/>
        <w:rPr>
          <w:rFonts w:eastAsia="Times New Roman" w:cs="Arial"/>
          <w:i/>
          <w:iCs/>
          <w:color w:val="000000"/>
          <w:szCs w:val="20"/>
          <w:lang w:eastAsia="bg-BG"/>
        </w:rPr>
      </w:pPr>
    </w:p>
    <w:p w14:paraId="57669123" w14:textId="49B633B6"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Хора в старческа възраст (вж .точка 4.4)</w:t>
      </w:r>
    </w:p>
    <w:p w14:paraId="14DABEF7"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Лечението трябва да започне в обичайната доза от една филмирана таблетка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дневно.</w:t>
      </w:r>
    </w:p>
    <w:p w14:paraId="7B321373" w14:textId="77777777" w:rsidR="00F428C9" w:rsidRPr="00F428C9" w:rsidRDefault="00F428C9" w:rsidP="00F428C9">
      <w:pPr>
        <w:spacing w:line="240" w:lineRule="auto"/>
        <w:rPr>
          <w:rFonts w:eastAsia="Times New Roman" w:cs="Arial"/>
          <w:i/>
          <w:iCs/>
          <w:color w:val="000000"/>
          <w:szCs w:val="20"/>
          <w:lang w:eastAsia="bg-BG"/>
        </w:rPr>
      </w:pPr>
    </w:p>
    <w:p w14:paraId="26DCB5A4" w14:textId="5D8CBCC1"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Бъбречно увреждане (вж. точка 4.4)</w:t>
      </w:r>
    </w:p>
    <w:p w14:paraId="7C3118FC"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При тежка бъбречна недостатъчност (креатининов клирънс под 30 </w:t>
      </w:r>
      <w:r w:rsidRPr="00F428C9">
        <w:rPr>
          <w:rFonts w:eastAsia="Times New Roman" w:cs="Arial"/>
          <w:color w:val="000000"/>
          <w:szCs w:val="20"/>
          <w:lang w:val="en-US"/>
        </w:rPr>
        <w:t>ml</w:t>
      </w:r>
      <w:r w:rsidRPr="00F428C9">
        <w:rPr>
          <w:rFonts w:eastAsia="Times New Roman" w:cs="Arial"/>
          <w:color w:val="000000"/>
          <w:szCs w:val="20"/>
          <w:lang w:val="ru-RU"/>
        </w:rPr>
        <w:t>/</w:t>
      </w:r>
      <w:r w:rsidRPr="00F428C9">
        <w:rPr>
          <w:rFonts w:eastAsia="Times New Roman" w:cs="Arial"/>
          <w:color w:val="000000"/>
          <w:szCs w:val="20"/>
          <w:lang w:val="en-US"/>
        </w:rPr>
        <w:t>min</w:t>
      </w:r>
      <w:r w:rsidRPr="00F428C9">
        <w:rPr>
          <w:rFonts w:eastAsia="Times New Roman" w:cs="Arial"/>
          <w:color w:val="000000"/>
          <w:szCs w:val="20"/>
          <w:lang w:val="ru-RU"/>
        </w:rPr>
        <w:t xml:space="preserve">) </w:t>
      </w:r>
      <w:r w:rsidRPr="00F428C9">
        <w:rPr>
          <w:rFonts w:eastAsia="Times New Roman" w:cs="Arial"/>
          <w:color w:val="000000"/>
          <w:szCs w:val="20"/>
          <w:lang w:eastAsia="bg-BG"/>
        </w:rPr>
        <w:t>лечението е противопоказано.</w:t>
      </w:r>
    </w:p>
    <w:p w14:paraId="02987589"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lastRenderedPageBreak/>
        <w:t xml:space="preserve">При пациенти с умерена бъбречна недостатъчност (креатининов клирънс 30-60 </w:t>
      </w:r>
      <w:r w:rsidRPr="00F428C9">
        <w:rPr>
          <w:rFonts w:eastAsia="Times New Roman" w:cs="Arial"/>
          <w:color w:val="000000"/>
          <w:szCs w:val="20"/>
          <w:lang w:val="en-US"/>
        </w:rPr>
        <w:t>ml</w:t>
      </w:r>
      <w:r w:rsidRPr="00F428C9">
        <w:rPr>
          <w:rFonts w:eastAsia="Times New Roman" w:cs="Arial"/>
          <w:color w:val="000000"/>
          <w:szCs w:val="20"/>
          <w:lang w:val="ru-RU"/>
        </w:rPr>
        <w:t>/</w:t>
      </w:r>
      <w:r w:rsidRPr="00F428C9">
        <w:rPr>
          <w:rFonts w:eastAsia="Times New Roman" w:cs="Arial"/>
          <w:color w:val="000000"/>
          <w:szCs w:val="20"/>
          <w:lang w:val="en-US"/>
        </w:rPr>
        <w:t>min</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максималната доза трябва да бъде една таблетка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дневно.</w:t>
      </w:r>
    </w:p>
    <w:p w14:paraId="2DE1B128"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При пациенти с креатининов клирънс по-голям или равен на 60 </w:t>
      </w:r>
      <w:r w:rsidRPr="00F428C9">
        <w:rPr>
          <w:rFonts w:eastAsia="Times New Roman" w:cs="Arial"/>
          <w:color w:val="000000"/>
          <w:szCs w:val="20"/>
          <w:lang w:val="en-US"/>
        </w:rPr>
        <w:t>ml</w:t>
      </w:r>
      <w:r w:rsidRPr="00F428C9">
        <w:rPr>
          <w:rFonts w:eastAsia="Times New Roman" w:cs="Arial"/>
          <w:color w:val="000000"/>
          <w:szCs w:val="20"/>
          <w:lang w:val="ru-RU"/>
        </w:rPr>
        <w:t>/</w:t>
      </w:r>
      <w:r w:rsidRPr="00F428C9">
        <w:rPr>
          <w:rFonts w:eastAsia="Times New Roman" w:cs="Arial"/>
          <w:color w:val="000000"/>
          <w:szCs w:val="20"/>
          <w:lang w:val="en-US"/>
        </w:rPr>
        <w:t>min</w:t>
      </w:r>
      <w:r w:rsidRPr="00F428C9">
        <w:rPr>
          <w:rFonts w:eastAsia="Times New Roman" w:cs="Arial"/>
          <w:color w:val="000000"/>
          <w:szCs w:val="20"/>
          <w:lang w:val="ru-RU"/>
        </w:rPr>
        <w:t xml:space="preserve"> </w:t>
      </w:r>
      <w:r w:rsidRPr="00F428C9">
        <w:rPr>
          <w:rFonts w:eastAsia="Times New Roman" w:cs="Arial"/>
          <w:color w:val="000000"/>
          <w:szCs w:val="20"/>
          <w:lang w:eastAsia="bg-BG"/>
        </w:rPr>
        <w:t>не се изисква промяна в дозировката.</w:t>
      </w:r>
    </w:p>
    <w:p w14:paraId="465621B3" w14:textId="4B210CBA" w:rsidR="00F428C9" w:rsidRPr="00F428C9" w:rsidRDefault="00F428C9" w:rsidP="00F428C9">
      <w:pPr>
        <w:spacing w:line="240" w:lineRule="auto"/>
        <w:rPr>
          <w:rFonts w:eastAsia="Times New Roman" w:cs="Arial"/>
          <w:color w:val="000000"/>
          <w:szCs w:val="20"/>
          <w:lang w:eastAsia="bg-BG"/>
        </w:rPr>
      </w:pPr>
      <w:r w:rsidRPr="00F428C9">
        <w:rPr>
          <w:rFonts w:eastAsia="Times New Roman" w:cs="Arial"/>
          <w:color w:val="000000"/>
          <w:szCs w:val="20"/>
          <w:lang w:eastAsia="bg-BG"/>
        </w:rPr>
        <w:t>Обичайното клинично наблюдение трябва да включва често контролиране на стойностите на креатинина и калия.</w:t>
      </w:r>
    </w:p>
    <w:p w14:paraId="4DF20F6A" w14:textId="5A463929" w:rsidR="00F428C9" w:rsidRPr="00F428C9" w:rsidRDefault="00F428C9" w:rsidP="00F428C9">
      <w:pPr>
        <w:spacing w:line="240" w:lineRule="auto"/>
        <w:rPr>
          <w:rFonts w:eastAsia="Times New Roman" w:cs="Arial"/>
          <w:color w:val="000000"/>
          <w:szCs w:val="20"/>
          <w:lang w:eastAsia="bg-BG"/>
        </w:rPr>
      </w:pPr>
    </w:p>
    <w:p w14:paraId="19831B1E" w14:textId="77777777"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Чернодробно увреждане (вж. точка 4.3, 4.4 и 5.2)</w:t>
      </w:r>
    </w:p>
    <w:p w14:paraId="55B40C8A"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При тежка чернодробна недостатъчност лечението е противопоказано.</w:t>
      </w:r>
    </w:p>
    <w:p w14:paraId="7751DE46"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При пациенти с умерена чернодробна недостатъчност не е необходима промяна на дозата.</w:t>
      </w:r>
    </w:p>
    <w:p w14:paraId="0EA6E77E" w14:textId="77777777" w:rsidR="00F428C9" w:rsidRPr="00F428C9" w:rsidRDefault="00F428C9" w:rsidP="00F428C9">
      <w:pPr>
        <w:spacing w:line="240" w:lineRule="auto"/>
        <w:rPr>
          <w:rFonts w:eastAsia="Times New Roman" w:cs="Arial"/>
          <w:i/>
          <w:iCs/>
          <w:color w:val="000000"/>
          <w:szCs w:val="20"/>
          <w:lang w:eastAsia="bg-BG"/>
        </w:rPr>
      </w:pPr>
    </w:p>
    <w:p w14:paraId="1AC922F6" w14:textId="3B823E90"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Педиатрична популация</w:t>
      </w:r>
    </w:p>
    <w:p w14:paraId="314EF0D7"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Безопасността и ефикасността на периндоприл аргинин/индапамид при педиатрична популация все още не е установена. Няма налични данни.</w:t>
      </w:r>
    </w:p>
    <w:p w14:paraId="3C7A27CC"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не трябва да се прилага при деца и юноши.</w:t>
      </w:r>
    </w:p>
    <w:p w14:paraId="38C822F9" w14:textId="77777777" w:rsidR="00F428C9" w:rsidRPr="00F428C9" w:rsidRDefault="00F428C9" w:rsidP="00F428C9">
      <w:pPr>
        <w:spacing w:line="240" w:lineRule="auto"/>
        <w:rPr>
          <w:rFonts w:eastAsia="Times New Roman" w:cs="Arial"/>
          <w:color w:val="000000"/>
          <w:szCs w:val="20"/>
          <w:lang w:eastAsia="bg-BG"/>
        </w:rPr>
      </w:pPr>
    </w:p>
    <w:p w14:paraId="35557FB9" w14:textId="340B83B2" w:rsidR="00F428C9" w:rsidRPr="00F428C9" w:rsidRDefault="00F428C9" w:rsidP="00F428C9">
      <w:pPr>
        <w:pStyle w:val="Heading3"/>
        <w:rPr>
          <w:rFonts w:eastAsia="Times New Roman"/>
          <w:sz w:val="28"/>
          <w:u w:val="single"/>
        </w:rPr>
      </w:pPr>
      <w:r w:rsidRPr="00F428C9">
        <w:rPr>
          <w:rFonts w:eastAsia="Times New Roman"/>
          <w:u w:val="single"/>
          <w:lang w:eastAsia="bg-BG"/>
        </w:rPr>
        <w:t>Начин на приложение</w:t>
      </w:r>
    </w:p>
    <w:p w14:paraId="2C11A20B" w14:textId="77777777" w:rsidR="00F428C9" w:rsidRPr="00F428C9" w:rsidRDefault="00F428C9" w:rsidP="00F428C9">
      <w:pPr>
        <w:spacing w:line="240" w:lineRule="auto"/>
        <w:rPr>
          <w:rFonts w:ascii="Times New Roman" w:eastAsia="Times New Roman" w:hAnsi="Times New Roman" w:cs="Times New Roman"/>
          <w:sz w:val="24"/>
          <w:szCs w:val="24"/>
        </w:rPr>
      </w:pPr>
      <w:r w:rsidRPr="00F428C9">
        <w:rPr>
          <w:rFonts w:eastAsia="Times New Roman" w:cs="Arial"/>
          <w:color w:val="000000"/>
          <w:szCs w:val="20"/>
          <w:lang w:eastAsia="bg-BG"/>
        </w:rPr>
        <w:t>Перорално приложение</w:t>
      </w:r>
    </w:p>
    <w:p w14:paraId="330B8A30" w14:textId="0AC773E2" w:rsidR="00F428C9" w:rsidRPr="00F428C9" w:rsidRDefault="00F428C9" w:rsidP="00F428C9"/>
    <w:p w14:paraId="28C984E8" w14:textId="34ADE962" w:rsidR="008134C8" w:rsidRDefault="002C50EE" w:rsidP="004A448E">
      <w:pPr>
        <w:pStyle w:val="Heading2"/>
      </w:pPr>
      <w:r>
        <w:t>4.3. Противопоказания</w:t>
      </w:r>
    </w:p>
    <w:p w14:paraId="0EDF259A" w14:textId="21B245FC" w:rsidR="00F428C9" w:rsidRDefault="00F428C9" w:rsidP="00F428C9"/>
    <w:p w14:paraId="1A0FC2A4" w14:textId="77777777"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Свързани с периндоприл</w:t>
      </w:r>
    </w:p>
    <w:p w14:paraId="3E9B474F"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Свръхчувствителност към активното вещество или друг АСЕ-инхибитор.</w:t>
      </w:r>
    </w:p>
    <w:p w14:paraId="79F74AD8"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Анамнеза за ангионевротичен оток (оток на Квинке) във връзка с прилагано лечение с АСЕ- инхибитори (вж. точка 4.4).</w:t>
      </w:r>
    </w:p>
    <w:p w14:paraId="548A4471"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Наследствен/идиопатичен ангионевротичен оток.</w:t>
      </w:r>
    </w:p>
    <w:p w14:paraId="6F1957ED"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Втори и трети триместър на бременността (вж. точки 4.4 и 4.6).</w:t>
      </w:r>
    </w:p>
    <w:p w14:paraId="5801932A"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 xml:space="preserve">Едновременната употреба на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с алискирен-съдържащи продукти при пациенти със захарен диабет или бъбречно увреждане (скорост на гломерулна филтрация </w:t>
      </w:r>
      <w:r w:rsidRPr="00F428C9">
        <w:rPr>
          <w:rFonts w:eastAsia="Times New Roman" w:cs="Arial"/>
          <w:color w:val="000000"/>
          <w:szCs w:val="20"/>
          <w:lang w:val="ru-RU"/>
        </w:rPr>
        <w:t>(</w:t>
      </w:r>
      <w:r w:rsidRPr="00F428C9">
        <w:rPr>
          <w:rFonts w:eastAsia="Times New Roman" w:cs="Arial"/>
          <w:color w:val="000000"/>
          <w:szCs w:val="20"/>
          <w:lang w:val="en-US"/>
        </w:rPr>
        <w:t>GFR</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&lt; 60 </w:t>
      </w:r>
      <w:r w:rsidRPr="00F428C9">
        <w:rPr>
          <w:rFonts w:eastAsia="Times New Roman" w:cs="Arial"/>
          <w:color w:val="000000"/>
          <w:szCs w:val="20"/>
          <w:lang w:val="en-US"/>
        </w:rPr>
        <w:t>ml</w:t>
      </w:r>
      <w:r w:rsidRPr="00F428C9">
        <w:rPr>
          <w:rFonts w:eastAsia="Times New Roman" w:cs="Arial"/>
          <w:color w:val="000000"/>
          <w:szCs w:val="20"/>
          <w:lang w:val="ru-RU"/>
        </w:rPr>
        <w:t>/</w:t>
      </w:r>
      <w:r w:rsidRPr="00F428C9">
        <w:rPr>
          <w:rFonts w:eastAsia="Times New Roman" w:cs="Arial"/>
          <w:color w:val="000000"/>
          <w:szCs w:val="20"/>
          <w:lang w:val="en-US"/>
        </w:rPr>
        <w:t>min</w:t>
      </w:r>
      <w:r w:rsidRPr="00F428C9">
        <w:rPr>
          <w:rFonts w:eastAsia="Times New Roman" w:cs="Arial"/>
          <w:color w:val="000000"/>
          <w:szCs w:val="20"/>
          <w:lang w:val="ru-RU"/>
        </w:rPr>
        <w:t>/</w:t>
      </w:r>
      <w:r w:rsidRPr="00F428C9">
        <w:rPr>
          <w:rFonts w:eastAsia="Times New Roman" w:cs="Arial"/>
          <w:color w:val="000000"/>
          <w:szCs w:val="20"/>
          <w:lang w:val="en-US"/>
        </w:rPr>
        <w:t>l</w:t>
      </w:r>
      <w:r w:rsidRPr="00F428C9">
        <w:rPr>
          <w:rFonts w:eastAsia="Times New Roman" w:cs="Arial"/>
          <w:color w:val="000000"/>
          <w:szCs w:val="20"/>
          <w:lang w:val="ru-RU"/>
        </w:rPr>
        <w:t>,73</w:t>
      </w:r>
      <w:r w:rsidRPr="00F428C9">
        <w:rPr>
          <w:rFonts w:eastAsia="Times New Roman" w:cs="Arial"/>
          <w:color w:val="000000"/>
          <w:szCs w:val="20"/>
          <w:lang w:val="en-US"/>
        </w:rPr>
        <w:t>m</w:t>
      </w:r>
      <w:r w:rsidRPr="00F428C9">
        <w:rPr>
          <w:rFonts w:eastAsia="Times New Roman" w:cs="Arial"/>
          <w:color w:val="000000"/>
          <w:szCs w:val="20"/>
          <w:vertAlign w:val="superscript"/>
          <w:lang w:val="ru-RU"/>
        </w:rPr>
        <w:t>2</w:t>
      </w:r>
      <w:r w:rsidRPr="00F428C9">
        <w:rPr>
          <w:rFonts w:eastAsia="Times New Roman" w:cs="Arial"/>
          <w:color w:val="000000"/>
          <w:szCs w:val="20"/>
          <w:lang w:val="ru-RU"/>
        </w:rPr>
        <w:t xml:space="preserve">) </w:t>
      </w:r>
      <w:r w:rsidRPr="00F428C9">
        <w:rPr>
          <w:rFonts w:eastAsia="Times New Roman" w:cs="Arial"/>
          <w:color w:val="000000"/>
          <w:szCs w:val="20"/>
          <w:lang w:eastAsia="bg-BG"/>
        </w:rPr>
        <w:t>(вж. точки 4.5 и 5.1),-</w:t>
      </w:r>
    </w:p>
    <w:p w14:paraId="220DF18F"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 xml:space="preserve">Едновременната употреба при лечение със сакубитрил/валсартан,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не трябва да се започва преди да са изминали 36 часа от приема на последната доза сакубитрил/валсартан (вж. точки 4.4 и 4.5).</w:t>
      </w:r>
    </w:p>
    <w:p w14:paraId="2D822D10" w14:textId="77777777"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Екстракорпорални лечения, водещи до контакт на кръвта с отрицателно заредени повърхности (вж. точка 4.5);</w:t>
      </w:r>
    </w:p>
    <w:p w14:paraId="1256B3DE" w14:textId="3C2D3620" w:rsidR="00F428C9" w:rsidRPr="00F428C9" w:rsidRDefault="00F428C9" w:rsidP="00F428C9">
      <w:pPr>
        <w:pStyle w:val="ListParagraph"/>
        <w:numPr>
          <w:ilvl w:val="0"/>
          <w:numId w:val="36"/>
        </w:numPr>
        <w:spacing w:line="240" w:lineRule="auto"/>
        <w:rPr>
          <w:rFonts w:eastAsia="Times New Roman" w:cs="Arial"/>
          <w:color w:val="000000"/>
          <w:szCs w:val="20"/>
          <w:lang w:eastAsia="bg-BG"/>
        </w:rPr>
      </w:pPr>
      <w:r w:rsidRPr="00F428C9">
        <w:rPr>
          <w:rFonts w:eastAsia="Times New Roman" w:cs="Arial"/>
          <w:color w:val="000000"/>
          <w:szCs w:val="20"/>
          <w:lang w:eastAsia="bg-BG"/>
        </w:rPr>
        <w:t>Значима двустранна стеноза на бъбречните артерии или стеноза на бъбречната артерия на единствен функциониращ бъбрек (вж. точка 4.4).</w:t>
      </w:r>
    </w:p>
    <w:p w14:paraId="2E6ABA7E" w14:textId="77777777" w:rsidR="00F428C9" w:rsidRPr="00F428C9" w:rsidRDefault="00F428C9" w:rsidP="00F428C9">
      <w:pPr>
        <w:spacing w:line="240" w:lineRule="auto"/>
        <w:rPr>
          <w:rFonts w:eastAsia="Times New Roman" w:cs="Arial"/>
          <w:i/>
          <w:iCs/>
          <w:color w:val="000000"/>
          <w:szCs w:val="20"/>
          <w:lang w:eastAsia="bg-BG"/>
        </w:rPr>
      </w:pPr>
    </w:p>
    <w:p w14:paraId="233EFD07" w14:textId="2A7A3C5E"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Свързани с индапамид:</w:t>
      </w:r>
    </w:p>
    <w:p w14:paraId="0BB3E25F" w14:textId="77777777" w:rsidR="00F428C9" w:rsidRPr="00F428C9" w:rsidRDefault="00F428C9" w:rsidP="00F428C9">
      <w:pPr>
        <w:pStyle w:val="ListParagraph"/>
        <w:numPr>
          <w:ilvl w:val="0"/>
          <w:numId w:val="37"/>
        </w:numPr>
        <w:spacing w:line="240" w:lineRule="auto"/>
        <w:rPr>
          <w:rFonts w:eastAsia="Times New Roman" w:cs="Arial"/>
          <w:color w:val="000000"/>
          <w:szCs w:val="20"/>
          <w:lang w:eastAsia="bg-BG"/>
        </w:rPr>
      </w:pPr>
      <w:r w:rsidRPr="00F428C9">
        <w:rPr>
          <w:rFonts w:eastAsia="Times New Roman" w:cs="Arial"/>
          <w:color w:val="000000"/>
          <w:szCs w:val="20"/>
          <w:lang w:eastAsia="bg-BG"/>
        </w:rPr>
        <w:t>Свръхчувствителност към активното вещество или към други сулфонамиди.</w:t>
      </w:r>
    </w:p>
    <w:p w14:paraId="34D55BDA" w14:textId="77777777" w:rsidR="00F428C9" w:rsidRPr="00F428C9" w:rsidRDefault="00F428C9" w:rsidP="00F428C9">
      <w:pPr>
        <w:pStyle w:val="ListParagraph"/>
        <w:numPr>
          <w:ilvl w:val="0"/>
          <w:numId w:val="37"/>
        </w:numPr>
        <w:spacing w:line="240" w:lineRule="auto"/>
        <w:rPr>
          <w:rFonts w:eastAsia="Times New Roman" w:cs="Arial"/>
          <w:color w:val="000000"/>
          <w:szCs w:val="20"/>
          <w:lang w:eastAsia="bg-BG"/>
        </w:rPr>
      </w:pPr>
      <w:r w:rsidRPr="00F428C9">
        <w:rPr>
          <w:rFonts w:eastAsia="Times New Roman" w:cs="Arial"/>
          <w:color w:val="000000"/>
          <w:szCs w:val="20"/>
          <w:lang w:eastAsia="bg-BG"/>
        </w:rPr>
        <w:t xml:space="preserve">Тежка бъбречна недостатъчност (креатининов клирънс под 30 </w:t>
      </w:r>
      <w:r w:rsidRPr="00F428C9">
        <w:rPr>
          <w:rFonts w:eastAsia="Times New Roman" w:cs="Arial"/>
          <w:color w:val="000000"/>
          <w:szCs w:val="20"/>
          <w:lang w:val="en-US"/>
        </w:rPr>
        <w:t>ml</w:t>
      </w:r>
      <w:r w:rsidRPr="00F428C9">
        <w:rPr>
          <w:rFonts w:eastAsia="Times New Roman" w:cs="Arial"/>
          <w:color w:val="000000"/>
          <w:szCs w:val="20"/>
          <w:lang w:val="ru-RU"/>
        </w:rPr>
        <w:t>/</w:t>
      </w:r>
      <w:r w:rsidRPr="00F428C9">
        <w:rPr>
          <w:rFonts w:eastAsia="Times New Roman" w:cs="Arial"/>
          <w:color w:val="000000"/>
          <w:szCs w:val="20"/>
          <w:lang w:val="en-US"/>
        </w:rPr>
        <w:t>min</w:t>
      </w:r>
      <w:r w:rsidRPr="00F428C9">
        <w:rPr>
          <w:rFonts w:eastAsia="Times New Roman" w:cs="Arial"/>
          <w:color w:val="000000"/>
          <w:szCs w:val="20"/>
          <w:lang w:val="ru-RU"/>
        </w:rPr>
        <w:t>).</w:t>
      </w:r>
    </w:p>
    <w:p w14:paraId="602C33D8" w14:textId="77777777" w:rsidR="00F428C9" w:rsidRPr="00F428C9" w:rsidRDefault="00F428C9" w:rsidP="00F428C9">
      <w:pPr>
        <w:pStyle w:val="ListParagraph"/>
        <w:numPr>
          <w:ilvl w:val="0"/>
          <w:numId w:val="37"/>
        </w:numPr>
        <w:spacing w:line="240" w:lineRule="auto"/>
        <w:rPr>
          <w:rFonts w:eastAsia="Times New Roman" w:cs="Arial"/>
          <w:color w:val="000000"/>
          <w:szCs w:val="20"/>
          <w:lang w:eastAsia="bg-BG"/>
        </w:rPr>
      </w:pPr>
      <w:r w:rsidRPr="00F428C9">
        <w:rPr>
          <w:rFonts w:eastAsia="Times New Roman" w:cs="Arial"/>
          <w:color w:val="000000"/>
          <w:szCs w:val="20"/>
          <w:lang w:eastAsia="bg-BG"/>
        </w:rPr>
        <w:t>Чернодробна енцефалопатия.</w:t>
      </w:r>
    </w:p>
    <w:p w14:paraId="677F2086" w14:textId="77777777" w:rsidR="00F428C9" w:rsidRPr="00F428C9" w:rsidRDefault="00F428C9" w:rsidP="00F428C9">
      <w:pPr>
        <w:pStyle w:val="ListParagraph"/>
        <w:numPr>
          <w:ilvl w:val="0"/>
          <w:numId w:val="37"/>
        </w:numPr>
        <w:spacing w:line="240" w:lineRule="auto"/>
        <w:rPr>
          <w:rFonts w:eastAsia="Times New Roman" w:cs="Arial"/>
          <w:color w:val="000000"/>
          <w:szCs w:val="20"/>
          <w:lang w:eastAsia="bg-BG"/>
        </w:rPr>
      </w:pPr>
      <w:r w:rsidRPr="00F428C9">
        <w:rPr>
          <w:rFonts w:eastAsia="Times New Roman" w:cs="Arial"/>
          <w:color w:val="000000"/>
          <w:szCs w:val="20"/>
          <w:lang w:eastAsia="bg-BG"/>
        </w:rPr>
        <w:t>Тежко увреждане на чернодробната функция.</w:t>
      </w:r>
    </w:p>
    <w:p w14:paraId="5E9A543F" w14:textId="031C15DB" w:rsidR="00F428C9" w:rsidRPr="00F428C9" w:rsidRDefault="00F428C9" w:rsidP="00F428C9">
      <w:pPr>
        <w:pStyle w:val="ListParagraph"/>
        <w:numPr>
          <w:ilvl w:val="0"/>
          <w:numId w:val="37"/>
        </w:numPr>
        <w:spacing w:line="240" w:lineRule="auto"/>
        <w:rPr>
          <w:rFonts w:eastAsia="Times New Roman" w:cs="Arial"/>
          <w:color w:val="000000"/>
          <w:szCs w:val="20"/>
          <w:lang w:eastAsia="bg-BG"/>
        </w:rPr>
      </w:pPr>
      <w:r w:rsidRPr="00F428C9">
        <w:rPr>
          <w:rFonts w:eastAsia="Times New Roman" w:cs="Arial"/>
          <w:color w:val="000000"/>
          <w:szCs w:val="20"/>
          <w:lang w:eastAsia="bg-BG"/>
        </w:rPr>
        <w:t>Хипокалиемия.</w:t>
      </w:r>
    </w:p>
    <w:p w14:paraId="48F99948" w14:textId="77777777" w:rsidR="00F428C9" w:rsidRPr="00F428C9" w:rsidRDefault="00F428C9" w:rsidP="00F428C9">
      <w:pPr>
        <w:spacing w:line="240" w:lineRule="auto"/>
        <w:rPr>
          <w:rFonts w:eastAsia="Times New Roman" w:cs="Arial"/>
          <w:i/>
          <w:iCs/>
          <w:color w:val="000000"/>
          <w:szCs w:val="20"/>
          <w:lang w:eastAsia="bg-BG"/>
        </w:rPr>
      </w:pPr>
    </w:p>
    <w:p w14:paraId="619EEE32" w14:textId="6163B3E7"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 xml:space="preserve">Свързани с Нолипрел 2,5 </w:t>
      </w:r>
      <w:r w:rsidRPr="00F428C9">
        <w:rPr>
          <w:rFonts w:eastAsia="Times New Roman" w:cs="Arial"/>
          <w:i/>
          <w:iCs/>
          <w:color w:val="000000"/>
          <w:szCs w:val="20"/>
          <w:lang w:val="en-US"/>
        </w:rPr>
        <w:t>mg</w:t>
      </w:r>
      <w:r w:rsidRPr="00F428C9">
        <w:rPr>
          <w:rFonts w:eastAsia="Times New Roman" w:cs="Arial"/>
          <w:i/>
          <w:iCs/>
          <w:color w:val="000000"/>
          <w:szCs w:val="20"/>
          <w:lang w:val="ru-RU"/>
        </w:rPr>
        <w:t xml:space="preserve"> </w:t>
      </w:r>
      <w:r w:rsidRPr="00F428C9">
        <w:rPr>
          <w:rFonts w:eastAsia="Times New Roman" w:cs="Arial"/>
          <w:i/>
          <w:iCs/>
          <w:color w:val="000000"/>
          <w:szCs w:val="20"/>
          <w:lang w:eastAsia="bg-BG"/>
        </w:rPr>
        <w:t xml:space="preserve">/ 0,625 </w:t>
      </w:r>
      <w:r w:rsidRPr="00F428C9">
        <w:rPr>
          <w:rFonts w:eastAsia="Times New Roman" w:cs="Arial"/>
          <w:i/>
          <w:iCs/>
          <w:color w:val="000000"/>
          <w:szCs w:val="20"/>
          <w:lang w:val="en-US"/>
        </w:rPr>
        <w:t>mg</w:t>
      </w:r>
      <w:r w:rsidRPr="00F428C9">
        <w:rPr>
          <w:rFonts w:eastAsia="Times New Roman" w:cs="Arial"/>
          <w:i/>
          <w:iCs/>
          <w:color w:val="000000"/>
          <w:szCs w:val="20"/>
          <w:lang w:val="ru-RU"/>
        </w:rPr>
        <w:t>:</w:t>
      </w:r>
    </w:p>
    <w:p w14:paraId="2924D0ED" w14:textId="77777777" w:rsidR="00F428C9" w:rsidRPr="00F428C9" w:rsidRDefault="00F428C9" w:rsidP="00F428C9">
      <w:pPr>
        <w:pStyle w:val="ListParagraph"/>
        <w:numPr>
          <w:ilvl w:val="0"/>
          <w:numId w:val="38"/>
        </w:numPr>
        <w:spacing w:line="240" w:lineRule="auto"/>
        <w:rPr>
          <w:rFonts w:eastAsia="Times New Roman" w:cs="Arial"/>
          <w:color w:val="000000"/>
          <w:szCs w:val="20"/>
          <w:lang w:eastAsia="bg-BG"/>
        </w:rPr>
      </w:pPr>
      <w:r w:rsidRPr="00F428C9">
        <w:rPr>
          <w:rFonts w:eastAsia="Times New Roman" w:cs="Arial"/>
          <w:color w:val="000000"/>
          <w:szCs w:val="20"/>
          <w:lang w:eastAsia="bg-BG"/>
        </w:rPr>
        <w:t>Свръхчувствителност към някое от помощните вещества, изброени в точка 6.1.</w:t>
      </w:r>
    </w:p>
    <w:p w14:paraId="18F859DA" w14:textId="77777777" w:rsidR="00F428C9" w:rsidRPr="00F428C9" w:rsidRDefault="00F428C9" w:rsidP="00F428C9">
      <w:pPr>
        <w:spacing w:line="240" w:lineRule="auto"/>
        <w:rPr>
          <w:rFonts w:eastAsia="Times New Roman" w:cs="Arial"/>
          <w:color w:val="000000"/>
          <w:szCs w:val="20"/>
          <w:lang w:eastAsia="bg-BG"/>
        </w:rPr>
      </w:pPr>
      <w:r w:rsidRPr="00F428C9">
        <w:rPr>
          <w:rFonts w:eastAsia="Times New Roman" w:cs="Arial"/>
          <w:color w:val="000000"/>
          <w:szCs w:val="20"/>
          <w:lang w:eastAsia="bg-BG"/>
        </w:rPr>
        <w:t xml:space="preserve">Поради липса на достатъчен терапевтичен опит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не трябва да се прилага при:</w:t>
      </w:r>
    </w:p>
    <w:p w14:paraId="153E5C08" w14:textId="77777777" w:rsidR="00F428C9" w:rsidRPr="00F428C9" w:rsidRDefault="00F428C9" w:rsidP="00F428C9">
      <w:pPr>
        <w:pStyle w:val="ListParagraph"/>
        <w:numPr>
          <w:ilvl w:val="0"/>
          <w:numId w:val="38"/>
        </w:numPr>
        <w:spacing w:line="240" w:lineRule="auto"/>
        <w:rPr>
          <w:rFonts w:eastAsia="Times New Roman" w:cs="Arial"/>
          <w:sz w:val="28"/>
          <w:szCs w:val="24"/>
        </w:rPr>
      </w:pPr>
      <w:r w:rsidRPr="00F428C9">
        <w:rPr>
          <w:rFonts w:eastAsia="Times New Roman" w:cs="Arial"/>
          <w:color w:val="000000"/>
          <w:szCs w:val="20"/>
          <w:lang w:eastAsia="bg-BG"/>
        </w:rPr>
        <w:lastRenderedPageBreak/>
        <w:t>пациенти на хемодиализа;</w:t>
      </w:r>
    </w:p>
    <w:p w14:paraId="4F33A17F" w14:textId="53E8203F" w:rsidR="00F428C9" w:rsidRPr="00F428C9" w:rsidRDefault="00F428C9" w:rsidP="00F428C9">
      <w:pPr>
        <w:pStyle w:val="ListParagraph"/>
        <w:numPr>
          <w:ilvl w:val="0"/>
          <w:numId w:val="38"/>
        </w:numPr>
        <w:spacing w:line="240" w:lineRule="auto"/>
        <w:rPr>
          <w:rFonts w:eastAsia="Times New Roman" w:cs="Arial"/>
          <w:sz w:val="28"/>
          <w:szCs w:val="24"/>
        </w:rPr>
      </w:pPr>
      <w:r w:rsidRPr="00F428C9">
        <w:rPr>
          <w:rFonts w:eastAsia="Times New Roman" w:cs="Arial"/>
          <w:color w:val="000000"/>
          <w:szCs w:val="20"/>
          <w:lang w:eastAsia="bg-BG"/>
        </w:rPr>
        <w:t>пациенти с нелекувана сърдечна декомпенсация.</w:t>
      </w:r>
    </w:p>
    <w:p w14:paraId="0B2A0255" w14:textId="77777777" w:rsidR="00F428C9" w:rsidRPr="00F428C9" w:rsidRDefault="00F428C9" w:rsidP="00F428C9">
      <w:pPr>
        <w:spacing w:line="240" w:lineRule="auto"/>
        <w:rPr>
          <w:rFonts w:eastAsia="Times New Roman" w:cs="Arial"/>
          <w:sz w:val="28"/>
          <w:szCs w:val="24"/>
        </w:rPr>
      </w:pPr>
    </w:p>
    <w:p w14:paraId="212F509C" w14:textId="5D12EEF4" w:rsidR="004F498A" w:rsidRDefault="002C50EE" w:rsidP="004A448E">
      <w:pPr>
        <w:pStyle w:val="Heading2"/>
      </w:pPr>
      <w:r>
        <w:t>4.4. Специални предупреждения и предпазни мерки при употреба</w:t>
      </w:r>
    </w:p>
    <w:p w14:paraId="3A65EBA5" w14:textId="730DED15" w:rsidR="00F428C9" w:rsidRDefault="00F428C9" w:rsidP="00F428C9"/>
    <w:p w14:paraId="784D3E27" w14:textId="609CAE12" w:rsidR="00F428C9" w:rsidRPr="00F428C9" w:rsidRDefault="00F428C9" w:rsidP="00F428C9">
      <w:pPr>
        <w:pStyle w:val="Heading3"/>
        <w:rPr>
          <w:u w:val="single"/>
        </w:rPr>
      </w:pPr>
      <w:r w:rsidRPr="00F428C9">
        <w:rPr>
          <w:u w:val="single"/>
        </w:rPr>
        <w:t>Специални предупреждения</w:t>
      </w:r>
    </w:p>
    <w:p w14:paraId="75CEDA81" w14:textId="1BA16B45" w:rsidR="00F428C9" w:rsidRPr="00F428C9" w:rsidRDefault="00F428C9" w:rsidP="00F428C9">
      <w:pPr>
        <w:rPr>
          <w:rFonts w:cs="Arial"/>
          <w:i/>
          <w:iCs/>
          <w:u w:val="single"/>
        </w:rPr>
      </w:pPr>
    </w:p>
    <w:p w14:paraId="6C78C3BC" w14:textId="77777777"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Общи за периндоприл и индапамид:</w:t>
      </w:r>
    </w:p>
    <w:p w14:paraId="5B6A727C" w14:textId="77777777" w:rsidR="00F428C9" w:rsidRPr="00F428C9" w:rsidRDefault="00F428C9" w:rsidP="00F428C9">
      <w:pPr>
        <w:spacing w:line="240" w:lineRule="auto"/>
        <w:rPr>
          <w:rFonts w:eastAsia="Times New Roman" w:cs="Arial"/>
          <w:color w:val="000000"/>
          <w:lang w:eastAsia="bg-BG"/>
        </w:rPr>
      </w:pPr>
    </w:p>
    <w:p w14:paraId="6FF9F782" w14:textId="20724915"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За нискодозовата комбинация Нолипрел 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 xml:space="preserve">/ 0,625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не е установена сигнификантна редукция на нежеланите лекарствени реакции в сравнение с най-ниските одобрени дозировки на отделните монокомпоненти, с изключение на хипокалиемията (вж. точка 4.8). Не може да се изключи повишена честота на реакции на непоносимост при едновременна експозиция на пациента на две нови за организма антихипертензивни средства. За свеждане до минимум на този риск, пациентът трябва да бъда наблюдаван внимателно.</w:t>
      </w:r>
    </w:p>
    <w:p w14:paraId="205C928B" w14:textId="77777777" w:rsidR="00F428C9" w:rsidRPr="00F428C9" w:rsidRDefault="00F428C9" w:rsidP="00F428C9">
      <w:pPr>
        <w:spacing w:line="240" w:lineRule="auto"/>
        <w:rPr>
          <w:rFonts w:eastAsia="Times New Roman" w:cs="Arial"/>
          <w:i/>
          <w:iCs/>
          <w:color w:val="000000"/>
          <w:lang w:eastAsia="bg-BG"/>
        </w:rPr>
      </w:pPr>
    </w:p>
    <w:p w14:paraId="63992BF0" w14:textId="4047DFAC"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Литий:</w:t>
      </w:r>
    </w:p>
    <w:p w14:paraId="06377DD1"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Комбинирането на литий и комбинация от периндоприл и индапамид обичайно не се препоръчва (вж. точка 4.5).</w:t>
      </w:r>
    </w:p>
    <w:p w14:paraId="78E33A7E" w14:textId="77777777" w:rsidR="00F428C9" w:rsidRPr="00F428C9" w:rsidRDefault="00F428C9" w:rsidP="00F428C9">
      <w:pPr>
        <w:spacing w:line="240" w:lineRule="auto"/>
        <w:rPr>
          <w:rFonts w:eastAsia="Times New Roman" w:cs="Arial"/>
          <w:i/>
          <w:iCs/>
          <w:color w:val="000000"/>
          <w:u w:val="single"/>
          <w:lang w:eastAsia="bg-BG"/>
        </w:rPr>
      </w:pPr>
    </w:p>
    <w:p w14:paraId="19E2766C" w14:textId="0AB9118E"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периндоприл</w:t>
      </w:r>
      <w:r w:rsidRPr="00F428C9">
        <w:rPr>
          <w:rFonts w:eastAsia="Times New Roman" w:cs="Arial"/>
          <w:i/>
          <w:iCs/>
          <w:color w:val="000000"/>
          <w:lang w:eastAsia="bg-BG"/>
        </w:rPr>
        <w:t>:</w:t>
      </w:r>
    </w:p>
    <w:p w14:paraId="1F756889" w14:textId="77777777" w:rsidR="00F428C9" w:rsidRPr="00F428C9" w:rsidRDefault="00F428C9" w:rsidP="00F428C9">
      <w:pPr>
        <w:spacing w:line="240" w:lineRule="auto"/>
        <w:rPr>
          <w:rFonts w:eastAsia="Times New Roman" w:cs="Arial"/>
          <w:i/>
          <w:iCs/>
          <w:color w:val="000000"/>
          <w:lang w:eastAsia="bg-BG"/>
        </w:rPr>
      </w:pPr>
    </w:p>
    <w:p w14:paraId="1FE5C941" w14:textId="1A6E95CC"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Двойно блокиране наренин-ангиотензин-алдостероновата система (РААС)</w:t>
      </w:r>
    </w:p>
    <w:p w14:paraId="4D66890C"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Има данни, че едновременната употреба на АСЕ инхибитори, ангиотензин </w:t>
      </w:r>
      <w:r w:rsidRPr="00F428C9">
        <w:rPr>
          <w:rFonts w:eastAsia="Times New Roman" w:cs="Arial"/>
          <w:color w:val="000000"/>
          <w:lang w:val="en-US"/>
        </w:rPr>
        <w:t>II</w:t>
      </w:r>
      <w:r w:rsidRPr="00F428C9">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60CF97CE" w14:textId="77777777" w:rsidR="00F428C9" w:rsidRPr="00F428C9" w:rsidRDefault="00F428C9" w:rsidP="00F428C9">
      <w:pPr>
        <w:spacing w:line="240" w:lineRule="auto"/>
        <w:rPr>
          <w:rFonts w:eastAsia="Times New Roman" w:cs="Arial"/>
          <w:color w:val="000000"/>
          <w:lang w:eastAsia="bg-BG"/>
        </w:rPr>
      </w:pPr>
    </w:p>
    <w:p w14:paraId="71A4614E" w14:textId="763816CC" w:rsidR="00F428C9" w:rsidRPr="00F428C9" w:rsidRDefault="00F428C9" w:rsidP="00F428C9">
      <w:pPr>
        <w:spacing w:line="240" w:lineRule="auto"/>
        <w:rPr>
          <w:rFonts w:eastAsia="Times New Roman" w:cs="Arial"/>
        </w:rPr>
      </w:pPr>
      <w:r w:rsidRPr="00F428C9">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58C289F" w14:textId="77777777" w:rsidR="00F428C9" w:rsidRPr="00F428C9" w:rsidRDefault="00F428C9" w:rsidP="00F428C9">
      <w:pPr>
        <w:spacing w:line="240" w:lineRule="auto"/>
        <w:rPr>
          <w:rFonts w:eastAsia="Times New Roman" w:cs="Arial"/>
          <w:color w:val="000000"/>
          <w:lang w:eastAsia="bg-BG"/>
        </w:rPr>
      </w:pPr>
    </w:p>
    <w:p w14:paraId="4A35E645" w14:textId="16FF91E1"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АСЕ инхибитори и ангиотензин </w:t>
      </w:r>
      <w:r w:rsidRPr="00F428C9">
        <w:rPr>
          <w:rFonts w:eastAsia="Times New Roman" w:cs="Arial"/>
          <w:color w:val="000000"/>
          <w:lang w:val="en-US"/>
        </w:rPr>
        <w:t>II</w:t>
      </w:r>
      <w:r w:rsidRPr="00F428C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8F9C11C" w14:textId="77777777" w:rsidR="00F428C9" w:rsidRPr="00F428C9" w:rsidRDefault="00F428C9" w:rsidP="00F428C9">
      <w:pPr>
        <w:spacing w:line="240" w:lineRule="auto"/>
        <w:rPr>
          <w:rFonts w:eastAsia="Times New Roman" w:cs="Arial"/>
          <w:i/>
          <w:iCs/>
          <w:color w:val="000000"/>
          <w:lang w:eastAsia="bg-BG"/>
        </w:rPr>
      </w:pPr>
    </w:p>
    <w:p w14:paraId="10CFC581" w14:textId="4CFF4B54"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 xml:space="preserve">Калий-съхраняващи лекарства, калиеви добавки или заместители на солта, съдържащи калий </w:t>
      </w:r>
      <w:r w:rsidRPr="00F428C9">
        <w:rPr>
          <w:rFonts w:eastAsia="Times New Roman" w:cs="Arial"/>
          <w:color w:val="000000"/>
          <w:lang w:eastAsia="bg-BG"/>
        </w:rPr>
        <w:t>Комбинирането на периндоприл с калий-съхраняващи лекарства, калиеви добавки или заместители на солта, съдържащи калий обикновено не се препоръчва (вж. точка 4.5).</w:t>
      </w:r>
    </w:p>
    <w:p w14:paraId="0BC7E156" w14:textId="77777777" w:rsidR="00F428C9" w:rsidRPr="00F428C9" w:rsidRDefault="00F428C9" w:rsidP="00F428C9">
      <w:pPr>
        <w:spacing w:line="240" w:lineRule="auto"/>
        <w:rPr>
          <w:rFonts w:eastAsia="Times New Roman" w:cs="Arial"/>
          <w:i/>
          <w:iCs/>
          <w:color w:val="000000"/>
          <w:lang w:eastAsia="bg-BG"/>
        </w:rPr>
      </w:pPr>
    </w:p>
    <w:p w14:paraId="0DD89093" w14:textId="1DB6E04E"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Неутропения/агранулоцитоза/тромбоцитопения/анемия</w:t>
      </w:r>
    </w:p>
    <w:p w14:paraId="71CCD41B" w14:textId="77777777" w:rsidR="00F428C9" w:rsidRPr="00F428C9" w:rsidRDefault="00F428C9" w:rsidP="00F428C9">
      <w:pPr>
        <w:spacing w:line="240" w:lineRule="auto"/>
        <w:rPr>
          <w:rFonts w:eastAsia="Times New Roman" w:cs="Arial"/>
          <w:color w:val="000000"/>
          <w:lang w:eastAsia="bg-BG"/>
        </w:rPr>
      </w:pPr>
    </w:p>
    <w:p w14:paraId="482F1F69" w14:textId="0E1C6149"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При пациенти, приемащи АСЕ-инхибитори, са наблюдавани неутропения/агранулоцотоза, тромбоцитопения и анемия. При пациенти с нормална бъбречна функция без други усложняващи фактори неутропения се появява рядко. Периндоприл трябва да се използва с изключително внимание от пациенти с колагенни съдови заболявалия, на имуносупресивна терапия, лечение с алопуринол или прокаинамид или комбинация от тези усложняващи фактори, особено в случаи, когато съществува предварително </w:t>
      </w:r>
      <w:r w:rsidRPr="00F428C9">
        <w:rPr>
          <w:rFonts w:eastAsia="Times New Roman" w:cs="Arial"/>
          <w:color w:val="000000"/>
          <w:lang w:eastAsia="bg-BG"/>
        </w:rPr>
        <w:lastRenderedPageBreak/>
        <w:t>установена увредена бъбречна функция. Някои от тези пациенти развиват сериозни инфекции, които в няколко случая не са повлияни от интензивна антибиотична терапия. Ако на такива пациенти се назначи периндоприл, се препоръчва редовно проследяване на левкограмата и пациентите трябва да бъдат предупредени да съобщават за всякакви признаци на инфекция (например възпалено гърло, температура) (вж. точка 4.8).</w:t>
      </w:r>
    </w:p>
    <w:p w14:paraId="33BF530C" w14:textId="77777777" w:rsidR="00F428C9" w:rsidRPr="00F428C9" w:rsidRDefault="00F428C9" w:rsidP="00F428C9">
      <w:pPr>
        <w:spacing w:line="240" w:lineRule="auto"/>
        <w:rPr>
          <w:rFonts w:eastAsia="Times New Roman" w:cs="Arial"/>
          <w:color w:val="000000"/>
          <w:u w:val="single"/>
          <w:lang w:eastAsia="bg-BG"/>
        </w:rPr>
      </w:pPr>
    </w:p>
    <w:p w14:paraId="52D4C7F9" w14:textId="59F1FE8D" w:rsidR="00F428C9" w:rsidRPr="00F428C9" w:rsidRDefault="00F428C9" w:rsidP="00F428C9">
      <w:pPr>
        <w:spacing w:line="240" w:lineRule="auto"/>
        <w:rPr>
          <w:rFonts w:eastAsia="Times New Roman" w:cs="Arial"/>
        </w:rPr>
      </w:pPr>
      <w:r w:rsidRPr="00F428C9">
        <w:rPr>
          <w:rFonts w:eastAsia="Times New Roman" w:cs="Arial"/>
          <w:color w:val="000000"/>
          <w:u w:val="single"/>
          <w:lang w:eastAsia="bg-BG"/>
        </w:rPr>
        <w:t>Реноваскуларна хипертония:</w:t>
      </w:r>
    </w:p>
    <w:p w14:paraId="1A9CF8D5" w14:textId="66FAB832" w:rsidR="00F428C9" w:rsidRPr="00F428C9" w:rsidRDefault="00F428C9" w:rsidP="00F428C9">
      <w:pPr>
        <w:rPr>
          <w:rFonts w:eastAsia="Times New Roman" w:cs="Arial"/>
          <w:color w:val="000000"/>
          <w:lang w:eastAsia="bg-BG"/>
        </w:rPr>
      </w:pPr>
      <w:r w:rsidRPr="00F428C9">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хипотония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w:t>
      </w:r>
      <w:r w:rsidRPr="00F428C9">
        <w:rPr>
          <w:rFonts w:eastAsia="Times New Roman" w:cs="Arial"/>
          <w:color w:val="000000"/>
          <w:u w:val="single"/>
          <w:lang w:eastAsia="bg-BG"/>
        </w:rPr>
        <w:t>ия в с</w:t>
      </w:r>
      <w:r w:rsidRPr="00F428C9">
        <w:rPr>
          <w:rFonts w:eastAsia="Times New Roman" w:cs="Arial"/>
          <w:color w:val="000000"/>
          <w:lang w:eastAsia="bg-BG"/>
        </w:rPr>
        <w:t>ерумния креатинин дори при пациенти с едностранна стеноза на бъбречната артерия.</w:t>
      </w:r>
    </w:p>
    <w:p w14:paraId="3B793194" w14:textId="336FC552" w:rsidR="00F428C9" w:rsidRPr="00F428C9" w:rsidRDefault="00F428C9" w:rsidP="00F428C9">
      <w:pPr>
        <w:rPr>
          <w:rFonts w:eastAsia="Times New Roman" w:cs="Arial"/>
          <w:color w:val="000000"/>
          <w:lang w:eastAsia="bg-BG"/>
        </w:rPr>
      </w:pPr>
    </w:p>
    <w:p w14:paraId="36D9966D" w14:textId="77777777"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Свръхчувствителност/ангиоедем</w:t>
      </w:r>
    </w:p>
    <w:p w14:paraId="546CAF29"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Има съобщения за редки случаи на ангиоедем на лицето, крайниците, устните, лигавиците, езика, глотиса и/или ларинкса при пациенти, лекувани с АСЕ-инхибитори, включително с периндоприл. (вж. точка 4.8). Това може да се появи по всяко време на лечението. В такива случаи периндоприл се прекратява незабавно и се предприема подходящо проследяване, което продължава до пълното отзвучаване на симптомите преди пациента да бъде освободен. В случаите, когато отокът се ограничи на лицето и устните, състоянието по принцип се овладява без лечение, макар че за облекчаване на симптомите е полезно прилагането на антихистаминови препарати.</w:t>
      </w:r>
    </w:p>
    <w:p w14:paraId="68889062"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Ангиоедем, свързан с оток на ларинкса може да има фатален изход. В случаите, при които има ангажиране на езика, глотиса или ларинкса, което е вероятно да причини обструкция на въздушните пътища, незабавно трябва да се започне спешно лечение, което може да включва подкожно приложение на адреналин 1:1000 (0.3 </w:t>
      </w:r>
      <w:r w:rsidRPr="00F428C9">
        <w:rPr>
          <w:rFonts w:eastAsia="Times New Roman" w:cs="Arial"/>
          <w:color w:val="000000"/>
          <w:lang w:val="en-US"/>
        </w:rPr>
        <w:t>ml</w:t>
      </w:r>
      <w:r w:rsidRPr="00F428C9">
        <w:rPr>
          <w:rFonts w:eastAsia="Times New Roman" w:cs="Arial"/>
          <w:color w:val="000000"/>
          <w:lang w:val="ru-RU"/>
        </w:rPr>
        <w:t xml:space="preserve"> </w:t>
      </w:r>
      <w:r w:rsidRPr="00F428C9">
        <w:rPr>
          <w:rFonts w:eastAsia="Times New Roman" w:cs="Arial"/>
          <w:color w:val="000000"/>
          <w:lang w:eastAsia="bg-BG"/>
        </w:rPr>
        <w:t xml:space="preserve">до 0.5 </w:t>
      </w:r>
      <w:r w:rsidRPr="00F428C9">
        <w:rPr>
          <w:rFonts w:eastAsia="Times New Roman" w:cs="Arial"/>
          <w:color w:val="000000"/>
          <w:lang w:val="en-US"/>
        </w:rPr>
        <w:t>ml</w:t>
      </w:r>
      <w:r w:rsidRPr="00F428C9">
        <w:rPr>
          <w:rFonts w:eastAsia="Times New Roman" w:cs="Arial"/>
          <w:color w:val="000000"/>
          <w:lang w:val="ru-RU"/>
        </w:rPr>
        <w:t xml:space="preserve">) </w:t>
      </w:r>
      <w:r w:rsidRPr="00F428C9">
        <w:rPr>
          <w:rFonts w:eastAsia="Times New Roman" w:cs="Arial"/>
          <w:color w:val="000000"/>
          <w:lang w:eastAsia="bg-BG"/>
        </w:rPr>
        <w:t>и/или да се предприемат други подходящи мерки, за да се осигури проходимост на дихателните пътища.</w:t>
      </w:r>
    </w:p>
    <w:p w14:paraId="1EB8E34D" w14:textId="77777777" w:rsidR="00F428C9" w:rsidRPr="00F428C9" w:rsidRDefault="00F428C9" w:rsidP="00F428C9">
      <w:pPr>
        <w:spacing w:line="240" w:lineRule="auto"/>
        <w:rPr>
          <w:rFonts w:eastAsia="Times New Roman" w:cs="Arial"/>
          <w:color w:val="000000"/>
          <w:lang w:eastAsia="bg-BG"/>
        </w:rPr>
      </w:pPr>
    </w:p>
    <w:p w14:paraId="5A17ED4C" w14:textId="4502FD36"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чернокожи пациенти, приемащи АСЕ-инхибитори, се съобщава за по-голям риск от ангиоедем в сравнение с не чернокожи.</w:t>
      </w:r>
    </w:p>
    <w:p w14:paraId="090042D7" w14:textId="77777777" w:rsidR="00F428C9" w:rsidRPr="00F428C9" w:rsidRDefault="00F428C9" w:rsidP="00F428C9">
      <w:pPr>
        <w:spacing w:line="240" w:lineRule="auto"/>
        <w:rPr>
          <w:rFonts w:eastAsia="Times New Roman" w:cs="Arial"/>
          <w:color w:val="000000"/>
          <w:lang w:eastAsia="bg-BG"/>
        </w:rPr>
      </w:pPr>
    </w:p>
    <w:p w14:paraId="62F75373" w14:textId="35F4BCEB"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Пациенти с анамнеза на ангиоедем, несвързан с терапията с АСЕ-инхибитор, може да са изложени на повишен риск от ангиоедем в процеса на приемане на АСЕ-инхибитора </w:t>
      </w:r>
      <w:r w:rsidRPr="00F428C9">
        <w:rPr>
          <w:rFonts w:eastAsia="Times New Roman" w:cs="Arial"/>
          <w:i/>
          <w:iCs/>
          <w:color w:val="000000"/>
          <w:lang w:eastAsia="bg-BG"/>
        </w:rPr>
        <w:t>(вж. точка 4.3).</w:t>
      </w:r>
    </w:p>
    <w:p w14:paraId="246700C3" w14:textId="77777777" w:rsidR="00F428C9" w:rsidRPr="00F428C9" w:rsidRDefault="00F428C9" w:rsidP="00F428C9">
      <w:pPr>
        <w:spacing w:line="240" w:lineRule="auto"/>
        <w:rPr>
          <w:rFonts w:eastAsia="Times New Roman" w:cs="Arial"/>
          <w:color w:val="000000"/>
          <w:lang w:eastAsia="bg-BG"/>
        </w:rPr>
      </w:pPr>
    </w:p>
    <w:p w14:paraId="4549509F" w14:textId="6A10DFCF" w:rsidR="00F428C9" w:rsidRPr="00F428C9" w:rsidRDefault="00F428C9" w:rsidP="00F428C9">
      <w:pPr>
        <w:spacing w:line="240" w:lineRule="auto"/>
        <w:rPr>
          <w:rFonts w:eastAsia="Times New Roman" w:cs="Arial"/>
        </w:rPr>
      </w:pPr>
      <w:r w:rsidRPr="00F428C9">
        <w:rPr>
          <w:rFonts w:eastAsia="Times New Roman" w:cs="Arial"/>
          <w:color w:val="000000"/>
          <w:lang w:eastAsia="bg-BG"/>
        </w:rPr>
        <w:t>Има редки съобщения за чревен ангиоедем при пациенти, лекувани с АСЕ-инхибитори. Тези пациенти са се представили с коремна болка (с или без гадене или повръщане); в някои случаи не е имало предшестващ ангионевротичен оток на лицето, а С-1 естеразата е била в нормални стойности. Ангиоедемът е бил диагностициран чрез процедури, включително абдоминална компютърна томография или ултразвук, или по време на операция, а симптоматиката е преминавала след спиране на АСЕ-инхибитора. Чревният ангиоедем трябва да бъде включен в диференциалната диагноза на приемащи АСЕ-инхибитори пациенти, представящи се с болка в корема.</w:t>
      </w:r>
    </w:p>
    <w:p w14:paraId="53B8FFE5" w14:textId="77777777" w:rsidR="00F428C9" w:rsidRPr="00F428C9" w:rsidRDefault="00F428C9" w:rsidP="00F428C9">
      <w:pPr>
        <w:spacing w:line="240" w:lineRule="auto"/>
        <w:rPr>
          <w:rFonts w:eastAsia="Times New Roman" w:cs="Arial"/>
          <w:color w:val="000000"/>
          <w:lang w:eastAsia="bg-BG"/>
        </w:rPr>
      </w:pPr>
    </w:p>
    <w:p w14:paraId="28A6C88B" w14:textId="1E94F649"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w:t>
      </w:r>
      <w:r w:rsidRPr="00F428C9">
        <w:rPr>
          <w:rFonts w:eastAsia="Times New Roman" w:cs="Arial"/>
          <w:color w:val="000000"/>
          <w:lang w:eastAsia="bg-BG"/>
        </w:rPr>
        <w:lastRenderedPageBreak/>
        <w:t xml:space="preserve">лечението с периндоприл не трябва да се започва преди да са изминали 36 часа от приемането на последната доза сакубитрил/валсартан (вж. точки 4.3 и 4.5). Едновременната употреба на АСЕ инхибитори с </w:t>
      </w:r>
      <w:r w:rsidRPr="00F428C9">
        <w:rPr>
          <w:rFonts w:eastAsia="Times New Roman" w:cs="Arial"/>
          <w:color w:val="000000"/>
          <w:lang w:val="en-US"/>
        </w:rPr>
        <w:t>NEP</w:t>
      </w:r>
      <w:r w:rsidRPr="00F428C9">
        <w:rPr>
          <w:rFonts w:eastAsia="Times New Roman" w:cs="Arial"/>
          <w:color w:val="000000"/>
          <w:lang w:val="ru-RU"/>
        </w:rPr>
        <w:t xml:space="preserve"> </w:t>
      </w:r>
      <w:r w:rsidRPr="00F428C9">
        <w:rPr>
          <w:rFonts w:eastAsia="Times New Roman" w:cs="Arial"/>
          <w:color w:val="000000"/>
          <w:lang w:eastAsia="bg-BG"/>
        </w:rPr>
        <w:t xml:space="preserve">инхибитори (напр.рацекадотрил), </w:t>
      </w:r>
      <w:proofErr w:type="spellStart"/>
      <w:r w:rsidRPr="00F428C9">
        <w:rPr>
          <w:rFonts w:eastAsia="Times New Roman" w:cs="Arial"/>
          <w:color w:val="000000"/>
          <w:lang w:val="en-US"/>
        </w:rPr>
        <w:t>mTOR</w:t>
      </w:r>
      <w:proofErr w:type="spellEnd"/>
      <w:r w:rsidRPr="00F428C9">
        <w:rPr>
          <w:rFonts w:eastAsia="Times New Roman" w:cs="Arial"/>
          <w:color w:val="000000"/>
          <w:lang w:val="ru-RU"/>
        </w:rPr>
        <w:t xml:space="preserve"> </w:t>
      </w:r>
      <w:r w:rsidRPr="00F428C9">
        <w:rPr>
          <w:rFonts w:eastAsia="Times New Roman" w:cs="Arial"/>
          <w:color w:val="000000"/>
          <w:lang w:eastAsia="bg-BG"/>
        </w:rPr>
        <w:t xml:space="preserve">инхибитори (напр. сиролимус, еверолимус, темсиролимус) и глиптини (напр. линаглиптин, саксаглиптин, ситаглиптин, вилдаглиптин) може да доведе до повишен риск от ангиоедем (напр. подуване на дихателните пътища или езика, със или без нарушено дишане) (вж. точка 4.5).Трябва да се подхожда с повишено внимание когато се започва рацекадотрил, </w:t>
      </w:r>
      <w:proofErr w:type="spellStart"/>
      <w:r w:rsidRPr="00F428C9">
        <w:rPr>
          <w:rFonts w:eastAsia="Times New Roman" w:cs="Arial"/>
          <w:color w:val="000000"/>
          <w:lang w:val="en-US"/>
        </w:rPr>
        <w:t>mTOR</w:t>
      </w:r>
      <w:proofErr w:type="spellEnd"/>
      <w:r w:rsidRPr="00F428C9">
        <w:rPr>
          <w:rFonts w:eastAsia="Times New Roman" w:cs="Arial"/>
          <w:color w:val="000000"/>
          <w:lang w:val="ru-RU"/>
        </w:rPr>
        <w:t xml:space="preserve"> </w:t>
      </w:r>
      <w:r w:rsidRPr="00F428C9">
        <w:rPr>
          <w:rFonts w:eastAsia="Times New Roman" w:cs="Arial"/>
          <w:color w:val="000000"/>
          <w:lang w:eastAsia="bg-BG"/>
        </w:rPr>
        <w:t>инхибитори (напр. сиролимус, еверолимус, темсиролимус) и глиптини (напр. линаглиптин, саксаглиптин, ситаглиптин, вилдаглиптин) при пациент, който вече приема АСЕ инхибитор.</w:t>
      </w:r>
    </w:p>
    <w:p w14:paraId="111DCC27" w14:textId="77777777" w:rsidR="00F428C9" w:rsidRPr="00F428C9" w:rsidRDefault="00F428C9" w:rsidP="00F428C9">
      <w:pPr>
        <w:spacing w:line="240" w:lineRule="auto"/>
        <w:rPr>
          <w:rFonts w:eastAsia="Times New Roman" w:cs="Arial"/>
          <w:i/>
          <w:iCs/>
          <w:color w:val="000000"/>
          <w:lang w:eastAsia="bg-BG"/>
        </w:rPr>
      </w:pPr>
    </w:p>
    <w:p w14:paraId="21683BBD" w14:textId="7B3DE8ED"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Анафинактоидни реакции по време на десенсибилизация</w:t>
      </w:r>
    </w:p>
    <w:p w14:paraId="6BE6549D" w14:textId="77777777" w:rsidR="00F428C9" w:rsidRPr="00F428C9" w:rsidRDefault="00F428C9" w:rsidP="00F428C9">
      <w:pPr>
        <w:rPr>
          <w:rFonts w:eastAsia="Times New Roman" w:cs="Arial"/>
        </w:rPr>
      </w:pPr>
      <w:r w:rsidRPr="00F428C9">
        <w:rPr>
          <w:rFonts w:eastAsia="Times New Roman" w:cs="Arial"/>
          <w:color w:val="000000"/>
          <w:lang w:eastAsia="bg-BG"/>
        </w:rPr>
        <w:t>Има единични съобщения за пациенти, приемащи АСЕ-инхибитори, при които са наблюдавани продължителни животозастрашаващи анафилактоидни реакции по време на лечение за десенсибилизация с отрова на ципокрили насекоми (пчели, оси). АСЕ-инхибиторите трябва да се прилагат с повишено внимание при алергични пациенти, лекувани с десенсибилизация, и да се избягват при индивиди в процеса на имунотерапията с отрова. Такива реакции обаче могат да бъдат предотвратени чрез временно спиране на АСЕ-инхибитора поне 24 часа преди началото на десенсибилизацията при пациенти, нуждаещи се както от АСЕ-инхибитори, така и от десенсибилизация.</w:t>
      </w:r>
    </w:p>
    <w:p w14:paraId="1AF788AF" w14:textId="77777777" w:rsidR="00F428C9" w:rsidRPr="00F428C9" w:rsidRDefault="00F428C9" w:rsidP="00F428C9">
      <w:pPr>
        <w:spacing w:line="240" w:lineRule="auto"/>
        <w:rPr>
          <w:rFonts w:eastAsia="Times New Roman" w:cs="Arial"/>
          <w:i/>
          <w:iCs/>
          <w:color w:val="000000"/>
          <w:lang w:eastAsia="bg-BG"/>
        </w:rPr>
      </w:pPr>
    </w:p>
    <w:p w14:paraId="7E490E15" w14:textId="036A2AC5"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 xml:space="preserve">Анафилактоидни реакции по време на афереза на липопротеините с ниска плътност </w:t>
      </w:r>
      <w:r w:rsidRPr="00F428C9">
        <w:rPr>
          <w:rFonts w:eastAsia="Times New Roman" w:cs="Arial"/>
          <w:i/>
          <w:iCs/>
          <w:color w:val="000000"/>
          <w:lang w:val="ru-RU"/>
        </w:rPr>
        <w:t>(</w:t>
      </w:r>
      <w:r w:rsidRPr="00F428C9">
        <w:rPr>
          <w:rFonts w:eastAsia="Times New Roman" w:cs="Arial"/>
          <w:i/>
          <w:iCs/>
          <w:color w:val="000000"/>
          <w:lang w:val="en-US"/>
        </w:rPr>
        <w:t>LDL</w:t>
      </w:r>
      <w:r w:rsidRPr="00F428C9">
        <w:rPr>
          <w:rFonts w:eastAsia="Times New Roman" w:cs="Arial"/>
          <w:i/>
          <w:iCs/>
          <w:color w:val="000000"/>
          <w:lang w:val="ru-RU"/>
        </w:rPr>
        <w:t>)</w:t>
      </w:r>
    </w:p>
    <w:p w14:paraId="53AE2FFE"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В редки случаи при пациенти, приемащи АСЕ-инхибитори по време на афереза на липопротеините с ниска плътност </w:t>
      </w:r>
      <w:r w:rsidRPr="00F428C9">
        <w:rPr>
          <w:rFonts w:eastAsia="Times New Roman" w:cs="Arial"/>
          <w:color w:val="000000"/>
          <w:lang w:val="ru-RU"/>
        </w:rPr>
        <w:t>(</w:t>
      </w:r>
      <w:r w:rsidRPr="00F428C9">
        <w:rPr>
          <w:rFonts w:eastAsia="Times New Roman" w:cs="Arial"/>
          <w:color w:val="000000"/>
          <w:lang w:val="en-US"/>
        </w:rPr>
        <w:t>LDL</w:t>
      </w:r>
      <w:r w:rsidRPr="00F428C9">
        <w:rPr>
          <w:rFonts w:eastAsia="Times New Roman" w:cs="Arial"/>
          <w:color w:val="000000"/>
          <w:lang w:val="ru-RU"/>
        </w:rPr>
        <w:t xml:space="preserve">) </w:t>
      </w:r>
      <w:r w:rsidRPr="00F428C9">
        <w:rPr>
          <w:rFonts w:eastAsia="Times New Roman" w:cs="Arial"/>
          <w:color w:val="000000"/>
          <w:lang w:eastAsia="bg-BG"/>
        </w:rPr>
        <w:t>с декстранов сулфат, са наблюдавани животозатсрашаващи анафилактоидни реакции. Тези реакции се избягват чрез временно прекратяване на терапията с АСЕ-инхибитор преди всяка афереза.</w:t>
      </w:r>
    </w:p>
    <w:p w14:paraId="223F8F9D" w14:textId="77777777" w:rsidR="00F428C9" w:rsidRPr="00F428C9" w:rsidRDefault="00F428C9" w:rsidP="00F428C9">
      <w:pPr>
        <w:spacing w:line="240" w:lineRule="auto"/>
        <w:rPr>
          <w:rFonts w:eastAsia="Times New Roman" w:cs="Arial"/>
          <w:i/>
          <w:iCs/>
          <w:color w:val="000000"/>
          <w:lang w:eastAsia="bg-BG"/>
        </w:rPr>
      </w:pPr>
    </w:p>
    <w:p w14:paraId="5C74008F" w14:textId="25434F22"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Пациенти на хемодиализа</w:t>
      </w:r>
    </w:p>
    <w:p w14:paraId="69464D41"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При пациенти, диализирани с мембрани с висока скорост на потока </w:t>
      </w:r>
      <w:r w:rsidRPr="00F428C9">
        <w:rPr>
          <w:rFonts w:eastAsia="Times New Roman" w:cs="Arial"/>
          <w:color w:val="000000"/>
          <w:lang w:val="ru-RU"/>
        </w:rPr>
        <w:t>(</w:t>
      </w:r>
      <w:r w:rsidRPr="00F428C9">
        <w:rPr>
          <w:rFonts w:eastAsia="Times New Roman" w:cs="Arial"/>
          <w:color w:val="000000"/>
          <w:lang w:val="en-US"/>
        </w:rPr>
        <w:t>high</w:t>
      </w:r>
      <w:r w:rsidRPr="00F428C9">
        <w:rPr>
          <w:rFonts w:eastAsia="Times New Roman" w:cs="Arial"/>
          <w:color w:val="000000"/>
          <w:lang w:val="ru-RU"/>
        </w:rPr>
        <w:t xml:space="preserve"> </w:t>
      </w:r>
      <w:r w:rsidRPr="00F428C9">
        <w:rPr>
          <w:rFonts w:eastAsia="Times New Roman" w:cs="Arial"/>
          <w:color w:val="000000"/>
          <w:lang w:val="en-US"/>
        </w:rPr>
        <w:t>flux</w:t>
      </w:r>
      <w:r w:rsidRPr="00F428C9">
        <w:rPr>
          <w:rFonts w:eastAsia="Times New Roman" w:cs="Arial"/>
          <w:color w:val="000000"/>
          <w:lang w:val="ru-RU"/>
        </w:rPr>
        <w:t xml:space="preserve">) </w:t>
      </w:r>
      <w:r w:rsidRPr="00F428C9">
        <w:rPr>
          <w:rFonts w:eastAsia="Times New Roman" w:cs="Arial"/>
          <w:color w:val="000000"/>
          <w:lang w:eastAsia="bg-BG"/>
        </w:rPr>
        <w:t xml:space="preserve">(например </w:t>
      </w:r>
      <w:r w:rsidRPr="00F428C9">
        <w:rPr>
          <w:rFonts w:eastAsia="Times New Roman" w:cs="Arial"/>
          <w:color w:val="000000"/>
          <w:lang w:val="en-US"/>
        </w:rPr>
        <w:t>AN</w:t>
      </w:r>
      <w:r w:rsidRPr="00F428C9">
        <w:rPr>
          <w:rFonts w:eastAsia="Times New Roman" w:cs="Arial"/>
          <w:color w:val="000000"/>
          <w:lang w:val="ru-RU"/>
        </w:rPr>
        <w:t xml:space="preserve"> </w:t>
      </w:r>
      <w:r w:rsidRPr="00F428C9">
        <w:rPr>
          <w:rFonts w:eastAsia="Times New Roman" w:cs="Arial"/>
          <w:color w:val="000000"/>
          <w:lang w:eastAsia="bg-BG"/>
        </w:rPr>
        <w:t>69®) и едновременно лекувани с АСЕ-инхибитор, се съобщава за възникване на анафилактоидни реакции. При такива пациенти трябва да се разгледа използването на различен вид диализна мембрана или антихипертензивен агент от различен клас.</w:t>
      </w:r>
    </w:p>
    <w:p w14:paraId="5C1A4CD6" w14:textId="77777777" w:rsidR="00F428C9" w:rsidRPr="00F428C9" w:rsidRDefault="00F428C9" w:rsidP="00F428C9">
      <w:pPr>
        <w:spacing w:line="240" w:lineRule="auto"/>
        <w:rPr>
          <w:rFonts w:eastAsia="Times New Roman" w:cs="Arial"/>
          <w:i/>
          <w:iCs/>
          <w:color w:val="000000"/>
          <w:lang w:eastAsia="bg-BG"/>
        </w:rPr>
      </w:pPr>
    </w:p>
    <w:p w14:paraId="490EB89D" w14:textId="7B753FB7"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Първичен алдостеронизъм:</w:t>
      </w:r>
    </w:p>
    <w:p w14:paraId="54CD3E7E"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1371784E" w14:textId="77777777" w:rsidR="00F428C9" w:rsidRPr="00F428C9" w:rsidRDefault="00F428C9" w:rsidP="00F428C9">
      <w:pPr>
        <w:spacing w:line="240" w:lineRule="auto"/>
        <w:rPr>
          <w:rFonts w:eastAsia="Times New Roman" w:cs="Arial"/>
          <w:i/>
          <w:iCs/>
          <w:color w:val="000000"/>
          <w:lang w:eastAsia="bg-BG"/>
        </w:rPr>
      </w:pPr>
    </w:p>
    <w:p w14:paraId="60E35159" w14:textId="7802833B"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Бременност</w:t>
      </w:r>
    </w:p>
    <w:p w14:paraId="0BB49A8D"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АСЕ-инхибитори не трябва да се започват по време на бременност. Освен когато продължаването на АСЕ-инхибиторното лечение се счита за съществено, пациенти,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 инхибитори трябва да се спре незабавно и ако е необходимо да се започне алтернативно лечение (вж. точки 4.3 и 4.6).</w:t>
      </w:r>
    </w:p>
    <w:p w14:paraId="24AB1DC0" w14:textId="77777777" w:rsidR="00F428C9" w:rsidRPr="00F428C9" w:rsidRDefault="00F428C9" w:rsidP="00F428C9">
      <w:pPr>
        <w:spacing w:line="240" w:lineRule="auto"/>
        <w:rPr>
          <w:rFonts w:eastAsia="Times New Roman" w:cs="Arial"/>
          <w:i/>
          <w:iCs/>
          <w:color w:val="000000"/>
          <w:u w:val="single"/>
          <w:lang w:eastAsia="bg-BG"/>
        </w:rPr>
      </w:pPr>
    </w:p>
    <w:p w14:paraId="2A99D72F" w14:textId="03210435"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индапамид</w:t>
      </w:r>
      <w:r w:rsidRPr="00F428C9">
        <w:rPr>
          <w:rFonts w:eastAsia="Times New Roman" w:cs="Arial"/>
          <w:i/>
          <w:iCs/>
          <w:color w:val="000000"/>
          <w:lang w:eastAsia="bg-BG"/>
        </w:rPr>
        <w:t>:</w:t>
      </w:r>
    </w:p>
    <w:p w14:paraId="685FD460" w14:textId="77777777" w:rsidR="00F428C9" w:rsidRPr="00F428C9" w:rsidRDefault="00F428C9" w:rsidP="00F428C9">
      <w:pPr>
        <w:spacing w:line="240" w:lineRule="auto"/>
        <w:rPr>
          <w:rFonts w:eastAsia="Times New Roman" w:cs="Arial"/>
          <w:i/>
          <w:iCs/>
          <w:color w:val="000000"/>
          <w:lang w:eastAsia="bg-BG"/>
        </w:rPr>
      </w:pPr>
    </w:p>
    <w:p w14:paraId="6AE0F63F" w14:textId="53A126F1"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lastRenderedPageBreak/>
        <w:t>Чернодробна енцефалопатия</w:t>
      </w:r>
    </w:p>
    <w:p w14:paraId="5353B65D"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увредена чернодробна функция тиазидните диуретици и техните аналози могат да причинят, особено в случаи на електролитен дисбаланс, чернодробна енцефалопатия, която може да прогресира до чернодробна кома. В такъв случай приемането на диуретика веднага трябва да се преустанови.</w:t>
      </w:r>
    </w:p>
    <w:p w14:paraId="5E601685" w14:textId="77777777" w:rsidR="00F428C9" w:rsidRPr="00F428C9" w:rsidRDefault="00F428C9" w:rsidP="00F428C9">
      <w:pPr>
        <w:spacing w:line="240" w:lineRule="auto"/>
        <w:rPr>
          <w:rFonts w:eastAsia="Times New Roman" w:cs="Arial"/>
          <w:i/>
          <w:iCs/>
          <w:color w:val="000000"/>
          <w:lang w:eastAsia="bg-BG"/>
        </w:rPr>
      </w:pPr>
    </w:p>
    <w:p w14:paraId="4D87E1C7" w14:textId="3F634523"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Фотосенсибилизация</w:t>
      </w:r>
    </w:p>
    <w:p w14:paraId="70ED80E2"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Случаи на реакции на фотосенсибилизация са съобщени при тиазиди и тиазидни производни диуретици (вж. точка 4.8). Ако по време на лечението се появят реакции на фотосенсибилизация, се препоръчва прекратяване на лечението. Ако повторното приемане на диуретика се счете за необходимо, се препоръчва изложените на светлина части да бъдат защитени от слънце или изкуствени </w:t>
      </w:r>
      <w:r w:rsidRPr="00F428C9">
        <w:rPr>
          <w:rFonts w:eastAsia="Times New Roman" w:cs="Arial"/>
          <w:color w:val="000000"/>
          <w:lang w:val="en-US"/>
        </w:rPr>
        <w:t>UVA</w:t>
      </w:r>
      <w:r w:rsidRPr="00F428C9">
        <w:rPr>
          <w:rFonts w:eastAsia="Times New Roman" w:cs="Arial"/>
          <w:color w:val="000000"/>
          <w:lang w:val="ru-RU"/>
        </w:rPr>
        <w:t>.</w:t>
      </w:r>
    </w:p>
    <w:p w14:paraId="4B17F323" w14:textId="77777777" w:rsidR="00F428C9" w:rsidRPr="00F428C9" w:rsidRDefault="00F428C9" w:rsidP="00F428C9">
      <w:pPr>
        <w:spacing w:line="240" w:lineRule="auto"/>
        <w:rPr>
          <w:rFonts w:eastAsia="Times New Roman" w:cs="Arial"/>
          <w:i/>
          <w:iCs/>
          <w:color w:val="000000"/>
          <w:u w:val="single"/>
          <w:lang w:eastAsia="bg-BG"/>
        </w:rPr>
      </w:pPr>
    </w:p>
    <w:p w14:paraId="62764606" w14:textId="274CDF1C" w:rsidR="00F428C9" w:rsidRPr="00F428C9" w:rsidRDefault="00F428C9" w:rsidP="00F428C9">
      <w:pPr>
        <w:pStyle w:val="Heading3"/>
        <w:rPr>
          <w:i/>
          <w:u w:val="single"/>
        </w:rPr>
      </w:pPr>
      <w:r w:rsidRPr="00F428C9">
        <w:rPr>
          <w:i/>
          <w:u w:val="single"/>
        </w:rPr>
        <w:t>Специални предпазни мерки при употреба</w:t>
      </w:r>
    </w:p>
    <w:p w14:paraId="3E5F3F7A" w14:textId="77777777" w:rsidR="00F428C9" w:rsidRPr="00F428C9" w:rsidRDefault="00F428C9" w:rsidP="00F428C9">
      <w:pPr>
        <w:spacing w:line="240" w:lineRule="auto"/>
        <w:rPr>
          <w:rFonts w:eastAsia="Times New Roman" w:cs="Arial"/>
          <w:i/>
          <w:iCs/>
          <w:color w:val="000000"/>
          <w:u w:val="single"/>
          <w:lang w:eastAsia="bg-BG"/>
        </w:rPr>
      </w:pPr>
    </w:p>
    <w:p w14:paraId="6E6951FB" w14:textId="252CAFC1"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Обши за периндоприл и индапамид:</w:t>
      </w:r>
    </w:p>
    <w:p w14:paraId="5FE4E5A0" w14:textId="77777777" w:rsidR="00F428C9" w:rsidRPr="00F428C9" w:rsidRDefault="00F428C9" w:rsidP="00F428C9">
      <w:pPr>
        <w:spacing w:line="240" w:lineRule="auto"/>
        <w:rPr>
          <w:rFonts w:eastAsia="Times New Roman" w:cs="Arial"/>
          <w:i/>
          <w:iCs/>
          <w:color w:val="000000"/>
          <w:lang w:eastAsia="bg-BG"/>
        </w:rPr>
      </w:pPr>
    </w:p>
    <w:p w14:paraId="597B0969" w14:textId="67130648"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Бъбречна недостатъчност</w:t>
      </w:r>
    </w:p>
    <w:p w14:paraId="6024EB77"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При тежка бъбречна недостатъчност (креатининов клирънс &lt;30 </w:t>
      </w:r>
      <w:r w:rsidRPr="00F428C9">
        <w:rPr>
          <w:rFonts w:eastAsia="Times New Roman" w:cs="Arial"/>
          <w:color w:val="000000"/>
          <w:lang w:val="en-US"/>
        </w:rPr>
        <w:t>ml</w:t>
      </w:r>
      <w:r w:rsidRPr="00F428C9">
        <w:rPr>
          <w:rFonts w:eastAsia="Times New Roman" w:cs="Arial"/>
          <w:color w:val="000000"/>
          <w:lang w:val="ru-RU"/>
        </w:rPr>
        <w:t>/</w:t>
      </w:r>
      <w:r w:rsidRPr="00F428C9">
        <w:rPr>
          <w:rFonts w:eastAsia="Times New Roman" w:cs="Arial"/>
          <w:color w:val="000000"/>
          <w:lang w:val="en-US"/>
        </w:rPr>
        <w:t>min</w:t>
      </w:r>
      <w:r w:rsidRPr="00F428C9">
        <w:rPr>
          <w:rFonts w:eastAsia="Times New Roman" w:cs="Arial"/>
          <w:color w:val="000000"/>
          <w:lang w:val="ru-RU"/>
        </w:rPr>
        <w:t xml:space="preserve">) </w:t>
      </w:r>
      <w:r w:rsidRPr="00F428C9">
        <w:rPr>
          <w:rFonts w:eastAsia="Times New Roman" w:cs="Arial"/>
          <w:color w:val="000000"/>
          <w:lang w:eastAsia="bg-BG"/>
        </w:rPr>
        <w:t>лечението е противопоказано.</w:t>
      </w:r>
    </w:p>
    <w:p w14:paraId="61F1AA5C" w14:textId="6B4A136C" w:rsidR="00F428C9" w:rsidRPr="00F428C9" w:rsidRDefault="00F428C9" w:rsidP="00F428C9">
      <w:pPr>
        <w:rPr>
          <w:rFonts w:cs="Arial"/>
        </w:rPr>
      </w:pPr>
    </w:p>
    <w:p w14:paraId="08FA07F2"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пациенти е хипертония и без предшестваща проява на бъбречни увреждания и при които бъбречните кръвни проби показват функционална бъбречна недостатъчност, лечението трябва да се прекъсне и по възможност да се продължи с по-ниска доза или само с една от съставките. При такива пациенти медицинското наблюдение трябва да включва често контролиране на стойностите на креатинина и калия две седмици след началото на лечението, а след това по време на терапевтично стабилния период - през два месеца. За бъбречна недостатъчност се съобщава главно при пациенти с тежка сърдечна недостатъчност или при латентна бъбречна недостатъчност, включително стеноза на бъбречните артерии.</w:t>
      </w:r>
    </w:p>
    <w:p w14:paraId="7B0F7D97"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Лекарството обичайно не се препоръчва в случай на двустранна стеноза на бъбречните артерии или единствен функциониращ бъбрек.</w:t>
      </w:r>
    </w:p>
    <w:p w14:paraId="05CE568D" w14:textId="77777777" w:rsidR="00F428C9" w:rsidRPr="00F428C9" w:rsidRDefault="00F428C9" w:rsidP="00F428C9">
      <w:pPr>
        <w:spacing w:line="240" w:lineRule="auto"/>
        <w:rPr>
          <w:rFonts w:eastAsia="Times New Roman" w:cs="Arial"/>
          <w:i/>
          <w:iCs/>
          <w:color w:val="000000"/>
          <w:lang w:eastAsia="bg-BG"/>
        </w:rPr>
      </w:pPr>
    </w:p>
    <w:p w14:paraId="1C521048" w14:textId="229D40DE"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Хипотония и загуба на вода и електролити</w:t>
      </w:r>
    </w:p>
    <w:p w14:paraId="1347488A"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наличие на загуба на натрий съществува риск от внезапна хипотония (особено при индивиди със стеноза на бъбречните артерии). Поради това е необходимо системно наблюдение за клинични признаци на загуба на вода и електролити, които биха могли да се появят вследствие на интеркурентна диария или повръщане. При такива пациенти редовно трябва да се контролират електролитите в серума.</w:t>
      </w:r>
    </w:p>
    <w:p w14:paraId="30B69A52"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Значителната хипотония може да наложи включване на венозна инфузия на изотоничен разтвор на натриев хлорид.</w:t>
      </w:r>
    </w:p>
    <w:p w14:paraId="684AFA80"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Преходната хипотония не е противопоказание за продължаване на лечението. След възстановяване на достатъчен кръвен обем и кръвно налягане лечението може да започне отново с по-ниска доза или само с една от съставките.</w:t>
      </w:r>
    </w:p>
    <w:p w14:paraId="07BA2D9D" w14:textId="77777777" w:rsidR="00F428C9" w:rsidRPr="00F428C9" w:rsidRDefault="00F428C9" w:rsidP="00F428C9">
      <w:pPr>
        <w:spacing w:line="240" w:lineRule="auto"/>
        <w:rPr>
          <w:rFonts w:eastAsia="Times New Roman" w:cs="Arial"/>
          <w:i/>
          <w:iCs/>
          <w:color w:val="000000"/>
          <w:lang w:eastAsia="bg-BG"/>
        </w:rPr>
      </w:pPr>
    </w:p>
    <w:p w14:paraId="1F7901FA" w14:textId="57DB00C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Серумен калий</w:t>
      </w:r>
    </w:p>
    <w:p w14:paraId="004DA8DE"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Комбинацията на периндоприл и индапамид не може да предодврати настъпването на хипокалиемия, особено при диабетици или пациенти с бъбречна недостатъчност. Както при всички антихипертензивни средства, съдържащи диуретик, редовно трябва да се контролира серумното ниво на калия.</w:t>
      </w:r>
    </w:p>
    <w:p w14:paraId="6D5A90A2" w14:textId="77777777" w:rsidR="00F428C9" w:rsidRPr="00F428C9" w:rsidRDefault="00F428C9" w:rsidP="00F428C9">
      <w:pPr>
        <w:spacing w:line="240" w:lineRule="auto"/>
        <w:rPr>
          <w:rFonts w:eastAsia="Times New Roman" w:cs="Arial"/>
          <w:i/>
          <w:iCs/>
          <w:color w:val="000000"/>
          <w:lang w:eastAsia="bg-BG"/>
        </w:rPr>
      </w:pPr>
    </w:p>
    <w:p w14:paraId="3E540658" w14:textId="0C74868D"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Помощни вещества</w:t>
      </w:r>
    </w:p>
    <w:p w14:paraId="38843291"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Нолипрел 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 xml:space="preserve">/ 0,625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не трябва да се прилага при пациенти с рядко срещаните наследствени заболявалия галактозна непоносимост, общ лактазен дефицит или глюкозо-галактозна малабсорбция.</w:t>
      </w:r>
    </w:p>
    <w:p w14:paraId="26194215" w14:textId="77777777" w:rsidR="00F428C9" w:rsidRPr="00F428C9" w:rsidRDefault="00F428C9" w:rsidP="00F428C9">
      <w:pPr>
        <w:spacing w:line="240" w:lineRule="auto"/>
        <w:rPr>
          <w:rFonts w:eastAsia="Times New Roman" w:cs="Arial"/>
          <w:i/>
          <w:iCs/>
          <w:color w:val="000000"/>
          <w:u w:val="single"/>
          <w:lang w:eastAsia="bg-BG"/>
        </w:rPr>
      </w:pPr>
    </w:p>
    <w:p w14:paraId="4294A94F" w14:textId="466B86A5"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периндоприл:</w:t>
      </w:r>
    </w:p>
    <w:p w14:paraId="1A8B8278" w14:textId="77777777" w:rsidR="00F428C9" w:rsidRPr="00F428C9" w:rsidRDefault="00F428C9" w:rsidP="00F428C9">
      <w:pPr>
        <w:spacing w:line="240" w:lineRule="auto"/>
        <w:rPr>
          <w:rFonts w:eastAsia="Times New Roman" w:cs="Arial"/>
          <w:i/>
          <w:iCs/>
          <w:color w:val="000000"/>
          <w:lang w:eastAsia="bg-BG"/>
        </w:rPr>
      </w:pPr>
    </w:p>
    <w:p w14:paraId="5C302439" w14:textId="3208E6D0"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Кашлица</w:t>
      </w:r>
    </w:p>
    <w:p w14:paraId="3DEA8775"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използване на инхибитори на ангиотензин-конвертиращия ензим се съобщава за суха кашлица. Тя се характеризира със своята упоритост и с нейното изчезване след прекратяване на лечението. При появата на този симптом трябва да се има предвид ятрогенна етиология. В случаи, че се предпочита предписването на АСЕ-инхибитор, то продължаването на това лечение при появата на кашлица трябва да се преоценява.</w:t>
      </w:r>
    </w:p>
    <w:p w14:paraId="5BEDD874" w14:textId="77777777" w:rsidR="00F428C9" w:rsidRPr="00F428C9" w:rsidRDefault="00F428C9" w:rsidP="00F428C9">
      <w:pPr>
        <w:spacing w:line="240" w:lineRule="auto"/>
        <w:rPr>
          <w:rFonts w:eastAsia="Times New Roman" w:cs="Arial"/>
          <w:i/>
          <w:iCs/>
          <w:color w:val="000000"/>
          <w:lang w:eastAsia="bg-BG"/>
        </w:rPr>
      </w:pPr>
    </w:p>
    <w:p w14:paraId="695B6ACB" w14:textId="75190551"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Педиатрична популация</w:t>
      </w:r>
    </w:p>
    <w:p w14:paraId="731CDF09"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Ефективността и безопасността на периндоприл при самостоятелното му или комбинирано прилагане при деца и юноши не са проучени.</w:t>
      </w:r>
    </w:p>
    <w:p w14:paraId="62FAD543" w14:textId="77777777" w:rsidR="00F428C9" w:rsidRPr="00F428C9" w:rsidRDefault="00F428C9" w:rsidP="00F428C9">
      <w:pPr>
        <w:spacing w:line="240" w:lineRule="auto"/>
        <w:rPr>
          <w:rFonts w:eastAsia="Times New Roman" w:cs="Arial"/>
          <w:i/>
          <w:iCs/>
          <w:color w:val="000000"/>
          <w:lang w:eastAsia="bg-BG"/>
        </w:rPr>
      </w:pPr>
    </w:p>
    <w:p w14:paraId="35A54EB0" w14:textId="4E95C6DC"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Риск от артериална хипотония и/или бъбречна недостатъчност (в случаите на сърдечна недостатъчност, загуба на вода и електролити и т.н.)</w:t>
      </w:r>
    </w:p>
    <w:p w14:paraId="21C87780"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Значително стимулиране на системата ренин-ангиотензин-алдостерон се наблюдава особено по време на голяма загуба на вода и електролити (стриктна безсолна диета или продължително диуретично лечение), при пациенти с ниско изходно артериално налягане, в случаи на стеноза на бъбречните артерии, застойна сърдечна недостатъчност или цироза с отоци и асцит.</w:t>
      </w:r>
    </w:p>
    <w:p w14:paraId="13D81072" w14:textId="4BD46865" w:rsidR="00F428C9" w:rsidRPr="00F428C9" w:rsidRDefault="00F428C9" w:rsidP="00F428C9">
      <w:pPr>
        <w:rPr>
          <w:rFonts w:cs="Arial"/>
        </w:rPr>
      </w:pPr>
    </w:p>
    <w:p w14:paraId="0CEBE553"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Следователно блокирането на тази система с инхибитор на ангиотензин-конвертиращия ензим може да предизвика, особено по време на първото приемане на лекарственото средство и през първите две седмици на лечението, внезапно спадане на кръвното налягане и/или повишаване на серумния креатинин, което говори за функционална бъбречна недостатъчност. Понякога това настъпва остро, но рядко и по различно време в хода на лечението.</w:t>
      </w:r>
    </w:p>
    <w:p w14:paraId="50C963B0"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такива случаи лечението трябва да започва с по-ниски дози, които постепенно да се увеличават.</w:t>
      </w:r>
    </w:p>
    <w:p w14:paraId="3F17B5FE" w14:textId="77777777" w:rsidR="00F428C9" w:rsidRPr="00F428C9" w:rsidRDefault="00F428C9" w:rsidP="00F428C9">
      <w:pPr>
        <w:spacing w:line="240" w:lineRule="auto"/>
        <w:rPr>
          <w:rFonts w:eastAsia="Times New Roman" w:cs="Arial"/>
          <w:i/>
          <w:iCs/>
          <w:color w:val="000000"/>
          <w:lang w:eastAsia="bg-BG"/>
        </w:rPr>
      </w:pPr>
    </w:p>
    <w:p w14:paraId="59023C2A" w14:textId="0FBC1FAC"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Хора в старческа възраст</w:t>
      </w:r>
    </w:p>
    <w:p w14:paraId="45CB004F"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Преди началото на лечението трябва да се изследват бъбречната функция и серумния калий. Началната доза трябва впоследствие да се адаптира според промяната на кръвното налягане, особено в случаите на загуба на вода и електролити, с цел да се избегне появата на внезапна хипотония.</w:t>
      </w:r>
    </w:p>
    <w:p w14:paraId="48F8E6D4" w14:textId="77777777" w:rsidR="00F428C9" w:rsidRPr="00F428C9" w:rsidRDefault="00F428C9" w:rsidP="00F428C9">
      <w:pPr>
        <w:spacing w:line="240" w:lineRule="auto"/>
        <w:rPr>
          <w:rFonts w:eastAsia="Times New Roman" w:cs="Arial"/>
          <w:i/>
          <w:iCs/>
          <w:color w:val="000000"/>
          <w:lang w:eastAsia="bg-BG"/>
        </w:rPr>
      </w:pPr>
    </w:p>
    <w:p w14:paraId="17D7A381" w14:textId="7781C895"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Атеросклероза</w:t>
      </w:r>
    </w:p>
    <w:p w14:paraId="46A8464F" w14:textId="39A7DACD" w:rsidR="00F428C9" w:rsidRPr="00F428C9" w:rsidRDefault="00F428C9" w:rsidP="00F428C9">
      <w:pPr>
        <w:spacing w:line="240" w:lineRule="auto"/>
        <w:rPr>
          <w:rFonts w:eastAsia="Times New Roman" w:cs="Arial"/>
        </w:rPr>
      </w:pPr>
      <w:r w:rsidRPr="00F428C9">
        <w:rPr>
          <w:rFonts w:eastAsia="Times New Roman" w:cs="Arial"/>
          <w:color w:val="000000"/>
          <w:lang w:eastAsia="bg-BG"/>
        </w:rPr>
        <w:t>Риск от хипотония съществува при всички пациенти, но особено внимание трябва да се отделя на пациенти с исхемична болест на сърцето или циркулаторна недостатъчност на мозъка. При такива случаи лечението следва да започне с ниска доза.</w:t>
      </w:r>
    </w:p>
    <w:p w14:paraId="4FED0083" w14:textId="77777777" w:rsidR="00F428C9" w:rsidRPr="00F428C9" w:rsidRDefault="00F428C9" w:rsidP="00F428C9">
      <w:pPr>
        <w:spacing w:line="240" w:lineRule="auto"/>
        <w:rPr>
          <w:rFonts w:eastAsia="Times New Roman" w:cs="Arial"/>
          <w:i/>
          <w:iCs/>
          <w:color w:val="000000"/>
          <w:lang w:eastAsia="bg-BG"/>
        </w:rPr>
      </w:pPr>
    </w:p>
    <w:p w14:paraId="409E1240" w14:textId="74F0AB6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Реноваскуларна хипертония</w:t>
      </w:r>
    </w:p>
    <w:p w14:paraId="0B2EFB05"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Лечението на реноваскуларната хипертония се състои в реваскуларизация. Въпреки това, инхибиторите на ангиотензин-конвертиращия ензим могат да бъдат полезни при пациенти </w:t>
      </w:r>
      <w:r w:rsidRPr="00F428C9">
        <w:rPr>
          <w:rFonts w:eastAsia="Times New Roman" w:cs="Arial"/>
          <w:color w:val="000000"/>
          <w:lang w:eastAsia="bg-BG"/>
        </w:rPr>
        <w:lastRenderedPageBreak/>
        <w:t>с реноваскуларна хипертония, които очакват хирургична корекция, а също и тогава, когато такава намеса не е възможна.</w:t>
      </w:r>
    </w:p>
    <w:p w14:paraId="24609329"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Ако Нолипрел 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 xml:space="preserve">/ 0,625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се предпише на пациенти с установена или подозирана стеноза на бъбречните артерии, лечението трябва да се започва в болнични условия с ниска доза, а бъбречната функция и серумният креатинин трябва да бъдат проследявани, тъй като някои пациенти развиват функционална бъбречна недостатъчност, която претърпява обратно развитие след спиране на лечението.</w:t>
      </w:r>
    </w:p>
    <w:p w14:paraId="2844DD75" w14:textId="77777777" w:rsidR="00F428C9" w:rsidRPr="00F428C9" w:rsidRDefault="00F428C9" w:rsidP="00F428C9">
      <w:pPr>
        <w:spacing w:line="240" w:lineRule="auto"/>
        <w:rPr>
          <w:rFonts w:eastAsia="Times New Roman" w:cs="Arial"/>
          <w:i/>
          <w:iCs/>
          <w:color w:val="000000"/>
          <w:lang w:eastAsia="bg-BG"/>
        </w:rPr>
      </w:pPr>
    </w:p>
    <w:p w14:paraId="27FA430B" w14:textId="059E62E7"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Сърдечна недостатъчност / тежка сърдечна недостатъчност</w:t>
      </w:r>
    </w:p>
    <w:p w14:paraId="46EACAD9"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пациенти с тежка сърдечна недостатъчност (IV степен) лечението трябва да започва под лекарско наблюдение и ниска начална доза. Лечението с бета-блокери при хипертоници с коронарна недостатъчност не бива да се отменя: АСЕ-инхибиторът би трябвало да се прибави към бета-блокера.</w:t>
      </w:r>
    </w:p>
    <w:p w14:paraId="602BA679" w14:textId="77777777" w:rsidR="00F428C9" w:rsidRPr="00F428C9" w:rsidRDefault="00F428C9" w:rsidP="00F428C9">
      <w:pPr>
        <w:spacing w:line="240" w:lineRule="auto"/>
        <w:rPr>
          <w:rFonts w:eastAsia="Times New Roman" w:cs="Arial"/>
          <w:i/>
          <w:iCs/>
          <w:color w:val="000000"/>
          <w:lang w:eastAsia="bg-BG"/>
        </w:rPr>
      </w:pPr>
    </w:p>
    <w:p w14:paraId="3874B61B" w14:textId="1A418F85"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Диабетици</w:t>
      </w:r>
    </w:p>
    <w:p w14:paraId="707B0A63"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пациенти с инсулино-зависим захарен диабет (спонтанна тенденция към повишени стойности на серумния калий) лечението трябва да започва под лекарско наблюдение с ниска начална доза. През първия месец от лечението с АСЕ-инхибитори на диабетици, които приемат перорални антидиабетни препарати или инсулин, трябва да се извършва редовен контрол на гликемията (вж. точка 4.5).</w:t>
      </w:r>
    </w:p>
    <w:p w14:paraId="65DAE9A0" w14:textId="77777777" w:rsidR="00F428C9" w:rsidRPr="00F428C9" w:rsidRDefault="00F428C9" w:rsidP="00F428C9">
      <w:pPr>
        <w:spacing w:line="240" w:lineRule="auto"/>
        <w:rPr>
          <w:rFonts w:eastAsia="Times New Roman" w:cs="Arial"/>
          <w:i/>
          <w:iCs/>
          <w:color w:val="000000"/>
          <w:lang w:eastAsia="bg-BG"/>
        </w:rPr>
      </w:pPr>
    </w:p>
    <w:p w14:paraId="3B4A7D56" w14:textId="56AA7F1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Расова принадлежност</w:t>
      </w:r>
    </w:p>
    <w:p w14:paraId="33B7325F"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Подобно на останалите АСЕ-инхибитори, периндоприл може да бъде по-малко ефективен за намаляване на кръвното налягане при чернокожи, отколкото при не чернокожи, вероятно поради преобладаването на по-ниски ренинови нива сред чернокожата популация от хипертоници.</w:t>
      </w:r>
    </w:p>
    <w:p w14:paraId="0D56D15C" w14:textId="77777777" w:rsidR="00F428C9" w:rsidRPr="00F428C9" w:rsidRDefault="00F428C9" w:rsidP="00F428C9">
      <w:pPr>
        <w:spacing w:line="240" w:lineRule="auto"/>
        <w:rPr>
          <w:rFonts w:eastAsia="Times New Roman" w:cs="Arial"/>
          <w:i/>
          <w:iCs/>
          <w:color w:val="000000"/>
          <w:lang w:eastAsia="bg-BG"/>
        </w:rPr>
      </w:pPr>
    </w:p>
    <w:p w14:paraId="16143018" w14:textId="6AB3C343"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Хирургична интервенция/анестезия</w:t>
      </w:r>
    </w:p>
    <w:p w14:paraId="6263C4CC" w14:textId="0BADA712" w:rsidR="00F428C9" w:rsidRPr="00F428C9" w:rsidRDefault="00F428C9" w:rsidP="00F428C9">
      <w:pPr>
        <w:rPr>
          <w:rFonts w:eastAsia="Times New Roman" w:cs="Arial"/>
          <w:color w:val="000000"/>
          <w:lang w:eastAsia="bg-BG"/>
        </w:rPr>
      </w:pPr>
      <w:r w:rsidRPr="00F428C9">
        <w:rPr>
          <w:rFonts w:eastAsia="Times New Roman" w:cs="Arial"/>
          <w:color w:val="000000"/>
          <w:lang w:eastAsia="bg-BG"/>
        </w:rPr>
        <w:t>Инхибиторите на ангиотензин-конвертиращия ензим могат да предизвикат хипотония при анестезия, особено когато използваният анестетик е с потенциална хипотензивна активност. По тази причина се препоръчва приемането на АСЕ-инхибитори с продължително действие, какъвто е и периндоприл, по възможност да се прекъсне един ден преди хирургичната намеса.</w:t>
      </w:r>
    </w:p>
    <w:p w14:paraId="1FEF1031" w14:textId="314CF98C" w:rsidR="00F428C9" w:rsidRPr="00F428C9" w:rsidRDefault="00F428C9" w:rsidP="00F428C9">
      <w:pPr>
        <w:rPr>
          <w:rFonts w:eastAsia="Times New Roman" w:cs="Arial"/>
          <w:color w:val="000000"/>
          <w:lang w:eastAsia="bg-BG"/>
        </w:rPr>
      </w:pPr>
    </w:p>
    <w:p w14:paraId="5C852999" w14:textId="77777777"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 xml:space="preserve">Аортна стеноза или стеноза на митралната клапа / хипертрофична кардиомиопатия </w:t>
      </w:r>
      <w:r w:rsidRPr="00F428C9">
        <w:rPr>
          <w:rFonts w:eastAsia="Times New Roman" w:cs="Arial"/>
          <w:color w:val="000000"/>
          <w:lang w:eastAsia="bg-BG"/>
        </w:rPr>
        <w:t>При пациенти с обструкция на изходния тракт на лявата камера АСЕ-инхибиторите трябва да се употребяват с повишено внимание.</w:t>
      </w:r>
    </w:p>
    <w:p w14:paraId="7D4B9E72" w14:textId="77777777" w:rsidR="00F428C9" w:rsidRPr="00F428C9" w:rsidRDefault="00F428C9" w:rsidP="00F428C9">
      <w:pPr>
        <w:spacing w:line="240" w:lineRule="auto"/>
        <w:rPr>
          <w:rFonts w:eastAsia="Times New Roman" w:cs="Arial"/>
          <w:i/>
          <w:iCs/>
          <w:color w:val="000000"/>
          <w:lang w:eastAsia="bg-BG"/>
        </w:rPr>
      </w:pPr>
    </w:p>
    <w:p w14:paraId="7B99C405" w14:textId="5600F1DD"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Чернодробна недостатъчност</w:t>
      </w:r>
    </w:p>
    <w:p w14:paraId="5501F42B"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Рядко, АСЕ-инхибиторите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При пациенти, получаващи АСЕ-инхибитори, които развият жълтеница или изразено повишаване на чернодробните ензими, АСЕ-инхибиторът трябва да бъде спрян и да се проведе подходящо медицинско наблюдение (вж. точка 4.8).</w:t>
      </w:r>
    </w:p>
    <w:p w14:paraId="0340820C" w14:textId="77777777" w:rsidR="00F428C9" w:rsidRPr="00F428C9" w:rsidRDefault="00F428C9" w:rsidP="00F428C9">
      <w:pPr>
        <w:spacing w:line="240" w:lineRule="auto"/>
        <w:rPr>
          <w:rFonts w:eastAsia="Times New Roman" w:cs="Arial"/>
          <w:i/>
          <w:iCs/>
          <w:color w:val="000000"/>
          <w:lang w:eastAsia="bg-BG"/>
        </w:rPr>
      </w:pPr>
    </w:p>
    <w:p w14:paraId="4700F54E" w14:textId="04CE2103"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Хиперкалиемия</w:t>
      </w:r>
    </w:p>
    <w:p w14:paraId="0ACF8975" w14:textId="3A28138A"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Повишавания на серумния калий се наблюдават при някои пациенти лекувани с АСЕ-инхибитори, включително периндоприл. АСЕ инхибиторите могат да предизвикат хиперкалиемия, тъй като инхибират освобождаването на алдостерон. Обикновено ефекта </w:t>
      </w:r>
      <w:r w:rsidRPr="00F428C9">
        <w:rPr>
          <w:rFonts w:eastAsia="Times New Roman" w:cs="Arial"/>
          <w:color w:val="000000"/>
          <w:lang w:eastAsia="bg-BG"/>
        </w:rPr>
        <w:lastRenderedPageBreak/>
        <w:t>не е значим при пациенти с нормална бъбречна функция. Рисковите фактори за развитието на хиперкалиемия включват пациенти с бъбречна недостатъчност, влошаване на бъбречната функция, напреднала възраст (&gt; 70 години), захарен диабет, вметнатите събития, по-специално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амилорид...), калиеви добавки или калий- съдържащи заместители на готварската сол; или пациенти приемащи други лекарства, свързани с повишавания на серумния калий (напр. хепарин, ко-тримоксазол, известен още като триметоприм/сулфаметоксазол, други АСЕ-инхибитори, антагонисти на ангиотензин-</w:t>
      </w:r>
      <w:r w:rsidRPr="00F428C9">
        <w:rPr>
          <w:rFonts w:eastAsia="Times New Roman" w:cs="Arial"/>
          <w:color w:val="000000"/>
          <w:lang w:val="en-US"/>
        </w:rPr>
        <w:t>II</w:t>
      </w:r>
      <w:r w:rsidRPr="00F428C9">
        <w:rPr>
          <w:rFonts w:eastAsia="Times New Roman" w:cs="Arial"/>
          <w:color w:val="000000"/>
          <w:lang w:eastAsia="bg-BG"/>
        </w:rPr>
        <w:t xml:space="preserve"> рецепторите, ацетилсалицилова киселина ≥ 3 </w:t>
      </w:r>
      <w:r w:rsidRPr="00F428C9">
        <w:rPr>
          <w:rFonts w:eastAsia="Times New Roman" w:cs="Arial"/>
          <w:color w:val="000000"/>
          <w:lang w:val="en-US"/>
        </w:rPr>
        <w:t>g</w:t>
      </w:r>
      <w:r w:rsidRPr="00F428C9">
        <w:rPr>
          <w:rFonts w:eastAsia="Times New Roman" w:cs="Arial"/>
          <w:color w:val="000000"/>
          <w:lang w:eastAsia="bg-BG"/>
        </w:rPr>
        <w:t>/ден, СОХ-2 инхибитори и неселективни НСПВС, имунопотискащи средства, като циклоспорин или такролимус, триметоприм)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могат да доведат до значимо повишаване на серумния калий. Хиперкалиемията може да причини сериозни, понякога фатални аритмии. Калий съхраняващите диуретици и ангиотензин рецепторните блокери трябва да се използват с внимание при пациенти, приемащи АСЕ инхибитори, и серумния калий и бъбречната функция трябва да се наблюдават. Ако едновременната употреба на гореспоменатите вещества се счита за подходяща, те трябва да бъдат използвани с повишено внимание и при често контролиране на серумния калий (вж. точка 4.5).</w:t>
      </w:r>
    </w:p>
    <w:p w14:paraId="5DB14F13" w14:textId="77777777" w:rsidR="00F428C9" w:rsidRPr="00F428C9" w:rsidRDefault="00F428C9" w:rsidP="00F428C9">
      <w:pPr>
        <w:spacing w:line="240" w:lineRule="auto"/>
        <w:rPr>
          <w:rFonts w:eastAsia="Times New Roman" w:cs="Arial"/>
          <w:i/>
          <w:iCs/>
          <w:color w:val="000000"/>
          <w:u w:val="single"/>
          <w:lang w:eastAsia="bg-BG"/>
        </w:rPr>
      </w:pPr>
    </w:p>
    <w:p w14:paraId="56D8F1FE" w14:textId="2E827438"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индапамид:</w:t>
      </w:r>
    </w:p>
    <w:p w14:paraId="2F84DCA9" w14:textId="77777777" w:rsidR="00F428C9" w:rsidRPr="00F428C9" w:rsidRDefault="00F428C9" w:rsidP="00F428C9">
      <w:pPr>
        <w:spacing w:line="240" w:lineRule="auto"/>
        <w:rPr>
          <w:rFonts w:eastAsia="Times New Roman" w:cs="Arial"/>
          <w:i/>
          <w:iCs/>
          <w:color w:val="000000"/>
          <w:lang w:eastAsia="bg-BG"/>
        </w:rPr>
      </w:pPr>
    </w:p>
    <w:p w14:paraId="5BC888B8" w14:textId="763377B9"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Водно-електролитен баланс</w:t>
      </w:r>
    </w:p>
    <w:p w14:paraId="3731E6D1" w14:textId="48508D28"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Серумен натрий</w:t>
      </w:r>
    </w:p>
    <w:p w14:paraId="1070AFF4"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Трябва да се изследва преди започване на лечението, а след това подлежи на редовен контрол. Всяка диуретична терапия може да предизвика понижаване на серумния натрий, което може да има сериозни последствия. Понижаването на натрия може в началото да протече безсимптомно и затова е необходимо редовно да се изследва. Контролът трябва да бъде по-чест при напреднала възраст и при пациенти с цироза (вж. точки 4.8 и 4.9).</w:t>
      </w:r>
    </w:p>
    <w:p w14:paraId="2DEE2B9C" w14:textId="77777777" w:rsidR="00F428C9" w:rsidRPr="00F428C9" w:rsidRDefault="00F428C9" w:rsidP="00F428C9">
      <w:pPr>
        <w:spacing w:line="240" w:lineRule="auto"/>
        <w:rPr>
          <w:rFonts w:eastAsia="Times New Roman" w:cs="Arial"/>
          <w:i/>
          <w:iCs/>
          <w:color w:val="000000"/>
          <w:lang w:eastAsia="bg-BG"/>
        </w:rPr>
      </w:pPr>
    </w:p>
    <w:p w14:paraId="4E1AD6D1" w14:textId="554407D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Серумен калий</w:t>
      </w:r>
    </w:p>
    <w:p w14:paraId="08C0935F" w14:textId="77777777" w:rsidR="00F428C9" w:rsidRPr="00F428C9" w:rsidRDefault="00F428C9" w:rsidP="00F428C9">
      <w:pPr>
        <w:rPr>
          <w:rFonts w:eastAsia="Times New Roman" w:cs="Arial"/>
        </w:rPr>
      </w:pPr>
      <w:r w:rsidRPr="00F428C9">
        <w:rPr>
          <w:rFonts w:eastAsia="Times New Roman" w:cs="Arial"/>
          <w:color w:val="000000"/>
          <w:lang w:eastAsia="bg-BG"/>
        </w:rPr>
        <w:t>Голям риск при лечение с тиазидни диуретици и техните аналози е загубата на калий и хипокалиемията. Хипокалиемията може да предизвика мускулни нарушения. Съоб</w:t>
      </w:r>
      <w:r w:rsidRPr="00F428C9">
        <w:rPr>
          <w:rFonts w:eastAsia="Times New Roman" w:cs="Arial"/>
          <w:color w:val="000000"/>
          <w:u w:val="single"/>
          <w:lang w:eastAsia="bg-BG"/>
        </w:rPr>
        <w:t>щени с</w:t>
      </w:r>
      <w:r w:rsidRPr="00F428C9">
        <w:rPr>
          <w:rFonts w:eastAsia="Times New Roman" w:cs="Arial"/>
          <w:color w:val="000000"/>
          <w:lang w:eastAsia="bg-BG"/>
        </w:rPr>
        <w:t xml:space="preserve">а случаи на рабдомиолиза, особено в контекста на тежка хипокалиемия. Рискът от поява на понижени стойности на серумния калий (&lt;3,4 </w:t>
      </w:r>
      <w:proofErr w:type="spellStart"/>
      <w:r w:rsidRPr="00F428C9">
        <w:rPr>
          <w:rFonts w:eastAsia="Times New Roman" w:cs="Arial"/>
          <w:color w:val="000000"/>
          <w:lang w:val="en-US"/>
        </w:rPr>
        <w:t>mmol</w:t>
      </w:r>
      <w:proofErr w:type="spellEnd"/>
      <w:r w:rsidRPr="00F428C9">
        <w:rPr>
          <w:rFonts w:eastAsia="Times New Roman" w:cs="Arial"/>
          <w:color w:val="000000"/>
          <w:lang w:val="ru-RU"/>
        </w:rPr>
        <w:t xml:space="preserve">/1) </w:t>
      </w:r>
      <w:r w:rsidRPr="00F428C9">
        <w:rPr>
          <w:rFonts w:eastAsia="Times New Roman" w:cs="Arial"/>
          <w:color w:val="000000"/>
          <w:lang w:eastAsia="bg-BG"/>
        </w:rPr>
        <w:t>трябва да се предотвратява при високорискови групи пациенти, като тези в напреднала възраст и/или с недохранване, независимо дали получават повече от едно лекарствено средство, пациенти с цироза с отоци и асцит, коронарно болни и пациенти със сърдечна недостатъчност.</w:t>
      </w:r>
    </w:p>
    <w:p w14:paraId="5EE266DF"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такива случаи хипокалиемията повишава миокардната токсичност на сърдечните гликозиди и риска от ритъмни нарушения.</w:t>
      </w:r>
    </w:p>
    <w:p w14:paraId="2E915E2B"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Рискови са и пациенти с удължен </w:t>
      </w:r>
      <w:r w:rsidRPr="00F428C9">
        <w:rPr>
          <w:rFonts w:eastAsia="Times New Roman" w:cs="Arial"/>
          <w:color w:val="000000"/>
          <w:lang w:val="en-US"/>
        </w:rPr>
        <w:t>QT</w:t>
      </w:r>
      <w:r w:rsidRPr="00F428C9">
        <w:rPr>
          <w:rFonts w:eastAsia="Times New Roman" w:cs="Arial"/>
          <w:color w:val="000000"/>
          <w:lang w:val="ru-RU"/>
        </w:rPr>
        <w:t xml:space="preserve"> </w:t>
      </w:r>
      <w:r w:rsidRPr="00F428C9">
        <w:rPr>
          <w:rFonts w:eastAsia="Times New Roman" w:cs="Arial"/>
          <w:color w:val="000000"/>
          <w:lang w:eastAsia="bg-BG"/>
        </w:rPr>
        <w:t xml:space="preserve">интервал, независимо дали е от конгенитален или ятрогенен произход. Хипокалиемията, както и брадикардията, са предразполагащи фактори за настъпване на тежки ритъмни нарушения, особено на </w:t>
      </w:r>
      <w:proofErr w:type="spellStart"/>
      <w:r w:rsidRPr="00F428C9">
        <w:rPr>
          <w:rFonts w:eastAsia="Times New Roman" w:cs="Arial"/>
          <w:color w:val="000000"/>
          <w:lang w:val="en-US"/>
        </w:rPr>
        <w:t>torsades</w:t>
      </w:r>
      <w:proofErr w:type="spellEnd"/>
      <w:r w:rsidRPr="00F428C9">
        <w:rPr>
          <w:rFonts w:eastAsia="Times New Roman" w:cs="Arial"/>
          <w:color w:val="000000"/>
          <w:lang w:val="ru-RU"/>
        </w:rPr>
        <w:t xml:space="preserve"> </w:t>
      </w:r>
      <w:r w:rsidRPr="00F428C9">
        <w:rPr>
          <w:rFonts w:eastAsia="Times New Roman" w:cs="Arial"/>
          <w:color w:val="000000"/>
          <w:lang w:val="en-US"/>
        </w:rPr>
        <w:t>de</w:t>
      </w:r>
      <w:r w:rsidRPr="00F428C9">
        <w:rPr>
          <w:rFonts w:eastAsia="Times New Roman" w:cs="Arial"/>
          <w:color w:val="000000"/>
          <w:lang w:val="ru-RU"/>
        </w:rPr>
        <w:t xml:space="preserve"> </w:t>
      </w:r>
      <w:r w:rsidRPr="00F428C9">
        <w:rPr>
          <w:rFonts w:eastAsia="Times New Roman" w:cs="Arial"/>
          <w:color w:val="000000"/>
          <w:lang w:val="en-US"/>
        </w:rPr>
        <w:t>pointes</w:t>
      </w:r>
      <w:r w:rsidRPr="00F428C9">
        <w:rPr>
          <w:rFonts w:eastAsia="Times New Roman" w:cs="Arial"/>
          <w:color w:val="000000"/>
          <w:lang w:val="ru-RU"/>
        </w:rPr>
        <w:t xml:space="preserve">, </w:t>
      </w:r>
      <w:r w:rsidRPr="00F428C9">
        <w:rPr>
          <w:rFonts w:eastAsia="Times New Roman" w:cs="Arial"/>
          <w:color w:val="000000"/>
          <w:lang w:eastAsia="bg-BG"/>
        </w:rPr>
        <w:t>които могат за бъдат фатални.</w:t>
      </w:r>
    </w:p>
    <w:p w14:paraId="19D65357"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всички посочени случаи е необходимо по-често проследяване на стойностите на серумния калий. Първото изследване на серумния калий следва да се извърши през първата седмица след началото на лечението.</w:t>
      </w:r>
    </w:p>
    <w:p w14:paraId="4E480187"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Ако се установят ниски стойности на калия, те трябва да бъдат коригирани.</w:t>
      </w:r>
    </w:p>
    <w:p w14:paraId="137CA720" w14:textId="77777777" w:rsidR="00F428C9" w:rsidRPr="00F428C9" w:rsidRDefault="00F428C9" w:rsidP="00F428C9">
      <w:pPr>
        <w:spacing w:line="240" w:lineRule="auto"/>
        <w:rPr>
          <w:rFonts w:eastAsia="Times New Roman" w:cs="Arial"/>
          <w:i/>
          <w:iCs/>
          <w:color w:val="000000"/>
          <w:lang w:eastAsia="bg-BG"/>
        </w:rPr>
      </w:pPr>
    </w:p>
    <w:p w14:paraId="3B6F787A" w14:textId="13CF51A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Серумен калций</w:t>
      </w:r>
    </w:p>
    <w:p w14:paraId="3E6DB165"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Тиазидните диуретици и техните аналози могат да намалят уринната екскреция на калция и да предизвикат умерено и преходно повишаване на серумния калций. Значително повишеният серумен калций може да бъде израз на недиагностициран хиперпаратиреоидизъм. При такива случаи лечението трябва да се спре преди изследването на паратиреоидната функция.</w:t>
      </w:r>
    </w:p>
    <w:p w14:paraId="769B172D" w14:textId="77777777" w:rsidR="00F428C9" w:rsidRPr="00F428C9" w:rsidRDefault="00F428C9" w:rsidP="00F428C9">
      <w:pPr>
        <w:spacing w:line="240" w:lineRule="auto"/>
        <w:rPr>
          <w:rFonts w:eastAsia="Times New Roman" w:cs="Arial"/>
          <w:i/>
          <w:iCs/>
          <w:color w:val="000000"/>
          <w:lang w:eastAsia="bg-BG"/>
        </w:rPr>
      </w:pPr>
    </w:p>
    <w:p w14:paraId="113B37B3" w14:textId="30242B3A"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Кръвна захар</w:t>
      </w:r>
    </w:p>
    <w:p w14:paraId="27D496DC"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Контролът на кръвната захар е важен при диабетици, особено при наличие на хипокалиемия.</w:t>
      </w:r>
    </w:p>
    <w:p w14:paraId="24AD1127" w14:textId="77777777" w:rsidR="00F428C9" w:rsidRPr="00F428C9" w:rsidRDefault="00F428C9" w:rsidP="00F428C9">
      <w:pPr>
        <w:spacing w:line="240" w:lineRule="auto"/>
        <w:rPr>
          <w:rFonts w:eastAsia="Times New Roman" w:cs="Arial"/>
          <w:i/>
          <w:iCs/>
          <w:color w:val="000000"/>
          <w:lang w:eastAsia="bg-BG"/>
        </w:rPr>
      </w:pPr>
    </w:p>
    <w:p w14:paraId="21AC3EAE" w14:textId="36D501A6"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Пикочна киселина</w:t>
      </w:r>
    </w:p>
    <w:p w14:paraId="67ED5AFF"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При пациенти с хиперурикемия може да се повиши рискът от подагрозни пристъпи.</w:t>
      </w:r>
    </w:p>
    <w:p w14:paraId="736BF2AB" w14:textId="77777777" w:rsidR="00F428C9" w:rsidRPr="00F428C9" w:rsidRDefault="00F428C9" w:rsidP="00F428C9">
      <w:pPr>
        <w:spacing w:line="240" w:lineRule="auto"/>
        <w:rPr>
          <w:rFonts w:eastAsia="Times New Roman" w:cs="Arial"/>
          <w:i/>
          <w:iCs/>
          <w:color w:val="000000"/>
          <w:lang w:eastAsia="bg-BG"/>
        </w:rPr>
      </w:pPr>
    </w:p>
    <w:p w14:paraId="17C8D4E9" w14:textId="1E77C276"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Бъбречна функция и диуретици</w:t>
      </w:r>
    </w:p>
    <w:p w14:paraId="0E9CB42E"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Тиазидните диуретици и техните аналози са напълно ефективни само при нормална или леко нарушена бъбречна функция (серумен креатинин по-нисък от около 25 </w:t>
      </w:r>
      <w:r w:rsidRPr="00F428C9">
        <w:rPr>
          <w:rFonts w:eastAsia="Times New Roman" w:cs="Arial"/>
          <w:color w:val="000000"/>
          <w:lang w:val="en-US"/>
        </w:rPr>
        <w:t>mg</w:t>
      </w:r>
      <w:r w:rsidRPr="00F428C9">
        <w:rPr>
          <w:rFonts w:eastAsia="Times New Roman" w:cs="Arial"/>
          <w:color w:val="000000"/>
          <w:lang w:val="ru-RU"/>
        </w:rPr>
        <w:t xml:space="preserve">/1, </w:t>
      </w:r>
      <w:r w:rsidRPr="00F428C9">
        <w:rPr>
          <w:rFonts w:eastAsia="Times New Roman" w:cs="Arial"/>
          <w:color w:val="000000"/>
          <w:lang w:eastAsia="bg-BG"/>
        </w:rPr>
        <w:t>т.е. 220 μ</w:t>
      </w:r>
      <w:proofErr w:type="spellStart"/>
      <w:r w:rsidRPr="00F428C9">
        <w:rPr>
          <w:rFonts w:eastAsia="Times New Roman" w:cs="Arial"/>
          <w:color w:val="000000"/>
          <w:lang w:val="en-US"/>
        </w:rPr>
        <w:t>mol</w:t>
      </w:r>
      <w:proofErr w:type="spellEnd"/>
      <w:r w:rsidRPr="00F428C9">
        <w:rPr>
          <w:rFonts w:eastAsia="Times New Roman" w:cs="Arial"/>
          <w:color w:val="000000"/>
          <w:lang w:val="ru-RU"/>
        </w:rPr>
        <w:t xml:space="preserve">/1 </w:t>
      </w:r>
      <w:r w:rsidRPr="00F428C9">
        <w:rPr>
          <w:rFonts w:eastAsia="Times New Roman" w:cs="Arial"/>
          <w:color w:val="000000"/>
          <w:lang w:eastAsia="bg-BG"/>
        </w:rPr>
        <w:t>за възрастни).</w:t>
      </w:r>
    </w:p>
    <w:p w14:paraId="2CB911C4"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При пациенти в напреднала възраст стойностите на серумния креатинин трябва да бъдат коригирани според възрастта, телесното тегло и половата принадлежност на пациента по формулата на </w:t>
      </w:r>
      <w:proofErr w:type="spellStart"/>
      <w:r w:rsidRPr="00F428C9">
        <w:rPr>
          <w:rFonts w:eastAsia="Times New Roman" w:cs="Arial"/>
          <w:color w:val="000000"/>
          <w:lang w:val="en-US"/>
        </w:rPr>
        <w:t>Cockroft</w:t>
      </w:r>
      <w:proofErr w:type="spellEnd"/>
      <w:r w:rsidRPr="00F428C9">
        <w:rPr>
          <w:rFonts w:eastAsia="Times New Roman" w:cs="Arial"/>
          <w:color w:val="000000"/>
          <w:lang w:val="ru-RU"/>
        </w:rPr>
        <w:t>:</w:t>
      </w:r>
    </w:p>
    <w:p w14:paraId="12D0C963" w14:textId="77777777" w:rsidR="00F428C9" w:rsidRPr="00F428C9" w:rsidRDefault="00F428C9" w:rsidP="00F428C9">
      <w:pPr>
        <w:spacing w:line="240" w:lineRule="auto"/>
        <w:rPr>
          <w:rFonts w:eastAsia="Times New Roman" w:cs="Arial"/>
          <w:color w:val="000000"/>
          <w:lang w:eastAsia="bg-BG"/>
        </w:rPr>
      </w:pPr>
      <w:proofErr w:type="spellStart"/>
      <w:proofErr w:type="gramStart"/>
      <w:r w:rsidRPr="00F428C9">
        <w:rPr>
          <w:rFonts w:eastAsia="Times New Roman" w:cs="Arial"/>
          <w:color w:val="000000"/>
          <w:lang w:val="en-US"/>
        </w:rPr>
        <w:t>cl</w:t>
      </w:r>
      <w:r w:rsidRPr="00F428C9">
        <w:rPr>
          <w:rFonts w:eastAsia="Times New Roman" w:cs="Arial"/>
          <w:color w:val="000000"/>
          <w:vertAlign w:val="subscript"/>
          <w:lang w:val="en-US"/>
        </w:rPr>
        <w:t>cr</w:t>
      </w:r>
      <w:proofErr w:type="spellEnd"/>
      <w:proofErr w:type="gramEnd"/>
      <w:r w:rsidRPr="00F428C9">
        <w:rPr>
          <w:rFonts w:eastAsia="Times New Roman" w:cs="Arial"/>
          <w:color w:val="000000"/>
          <w:lang w:val="ru-RU"/>
        </w:rPr>
        <w:t xml:space="preserve"> </w:t>
      </w:r>
      <w:r w:rsidRPr="00F428C9">
        <w:rPr>
          <w:rFonts w:eastAsia="Times New Roman" w:cs="Arial"/>
          <w:color w:val="000000"/>
          <w:lang w:eastAsia="bg-BG"/>
        </w:rPr>
        <w:t xml:space="preserve">= (140 - възраст) х телесно тегло / 0,814 х серумен креатинин, </w:t>
      </w:r>
    </w:p>
    <w:p w14:paraId="2C491F13" w14:textId="50E174AB" w:rsidR="00F428C9" w:rsidRPr="00F428C9" w:rsidRDefault="00F428C9" w:rsidP="00F428C9">
      <w:pPr>
        <w:spacing w:line="240" w:lineRule="auto"/>
        <w:rPr>
          <w:rFonts w:eastAsia="Times New Roman" w:cs="Arial"/>
        </w:rPr>
      </w:pPr>
      <w:r w:rsidRPr="00F428C9">
        <w:rPr>
          <w:rFonts w:eastAsia="Times New Roman" w:cs="Arial"/>
          <w:color w:val="000000"/>
          <w:lang w:eastAsia="bg-BG"/>
        </w:rPr>
        <w:t>където:</w:t>
      </w:r>
      <w:r w:rsidRPr="00F428C9">
        <w:rPr>
          <w:rFonts w:eastAsia="Times New Roman" w:cs="Arial"/>
        </w:rPr>
        <w:t xml:space="preserve"> </w:t>
      </w:r>
      <w:r w:rsidRPr="00F428C9">
        <w:rPr>
          <w:rFonts w:eastAsia="Times New Roman" w:cs="Arial"/>
          <w:color w:val="000000"/>
          <w:lang w:eastAsia="bg-BG"/>
        </w:rPr>
        <w:t>възрастта е изразена в години</w:t>
      </w:r>
    </w:p>
    <w:p w14:paraId="0C39E2F0" w14:textId="6D45BFCD"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              телесното тегло - в </w:t>
      </w:r>
      <w:r w:rsidRPr="00F428C9">
        <w:rPr>
          <w:rFonts w:eastAsia="Times New Roman" w:cs="Arial"/>
          <w:color w:val="000000"/>
          <w:lang w:val="en-US"/>
        </w:rPr>
        <w:t>kg</w:t>
      </w:r>
    </w:p>
    <w:p w14:paraId="23C3CC28" w14:textId="35109E7E"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              серумният креатинин - в </w:t>
      </w:r>
      <w:proofErr w:type="spellStart"/>
      <w:r w:rsidRPr="00F428C9">
        <w:rPr>
          <w:rFonts w:eastAsia="Times New Roman" w:cs="Arial"/>
          <w:color w:val="000000"/>
          <w:lang w:val="en-US"/>
        </w:rPr>
        <w:t>micromol</w:t>
      </w:r>
      <w:proofErr w:type="spellEnd"/>
      <w:r w:rsidRPr="00F428C9">
        <w:rPr>
          <w:rFonts w:eastAsia="Times New Roman" w:cs="Arial"/>
          <w:color w:val="000000"/>
          <w:lang w:val="ru-RU"/>
        </w:rPr>
        <w:t>/1</w:t>
      </w:r>
    </w:p>
    <w:p w14:paraId="297BF280"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Тази формула е подходяща за мъже в напреднала възраст и трябва да бъде адаптирана за жени чрез умножаване на получения резултат х 0,85.</w:t>
      </w:r>
    </w:p>
    <w:p w14:paraId="1312D56B"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Хиповолемията, появила се в резултат на загубата на вода и натрий, причинена от диуретика в началото на лечението, води до понижаване на гломерулната филтрация. Това може да доведе до повишаване на уреата и креатинина. Тази преходна функционална бъбречна недостатъчност не води до нежелани последствия при пациенти с нормална бъбречна функция, но може да влоши съществуваща бъбречна недостатъчност.</w:t>
      </w:r>
    </w:p>
    <w:p w14:paraId="07D7CD50" w14:textId="77777777" w:rsidR="00F428C9" w:rsidRPr="00F428C9" w:rsidRDefault="00F428C9" w:rsidP="00F428C9">
      <w:pPr>
        <w:spacing w:line="240" w:lineRule="auto"/>
        <w:rPr>
          <w:rFonts w:eastAsia="Times New Roman" w:cs="Arial"/>
          <w:i/>
          <w:iCs/>
          <w:color w:val="000000"/>
          <w:lang w:eastAsia="bg-BG"/>
        </w:rPr>
      </w:pPr>
    </w:p>
    <w:p w14:paraId="54923732" w14:textId="5315D6A1"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Спортисти</w:t>
      </w:r>
    </w:p>
    <w:p w14:paraId="085C6464"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Спортистите трябва да знаят, че този продукт съдържа активно вещество, което може да доведе до положителна допинг-проба.</w:t>
      </w:r>
    </w:p>
    <w:p w14:paraId="7D196A74" w14:textId="77777777" w:rsidR="00F428C9" w:rsidRPr="00F428C9" w:rsidRDefault="00F428C9" w:rsidP="00F428C9">
      <w:pPr>
        <w:spacing w:line="240" w:lineRule="auto"/>
        <w:rPr>
          <w:rFonts w:eastAsia="Times New Roman" w:cs="Arial"/>
          <w:i/>
          <w:iCs/>
          <w:color w:val="000000"/>
          <w:lang w:eastAsia="bg-BG"/>
        </w:rPr>
      </w:pPr>
    </w:p>
    <w:p w14:paraId="5B840108" w14:textId="599D2821" w:rsidR="00F428C9" w:rsidRPr="00F428C9" w:rsidRDefault="00F428C9" w:rsidP="00F428C9">
      <w:pPr>
        <w:spacing w:line="240" w:lineRule="auto"/>
        <w:rPr>
          <w:rFonts w:eastAsia="Times New Roman" w:cs="Arial"/>
        </w:rPr>
      </w:pPr>
      <w:r w:rsidRPr="00F428C9">
        <w:rPr>
          <w:rFonts w:eastAsia="Times New Roman" w:cs="Arial"/>
          <w:i/>
          <w:iCs/>
          <w:color w:val="000000"/>
          <w:lang w:eastAsia="bg-BG"/>
        </w:rPr>
        <w:t>Хороидален излив, силно късогледство и вторична закритоъгълна глаукома</w:t>
      </w:r>
    </w:p>
    <w:p w14:paraId="136EB37F" w14:textId="77777777" w:rsidR="00F428C9" w:rsidRPr="00F428C9" w:rsidRDefault="00F428C9" w:rsidP="00F428C9">
      <w:pPr>
        <w:rPr>
          <w:rFonts w:eastAsia="Times New Roman" w:cs="Arial"/>
        </w:rPr>
      </w:pPr>
      <w:r w:rsidRPr="00F428C9">
        <w:rPr>
          <w:rFonts w:eastAsia="Times New Roman" w:cs="Arial"/>
          <w:color w:val="000000"/>
          <w:lang w:eastAsia="bg-BG"/>
        </w:rPr>
        <w:t xml:space="preserve">Сулфонамидите или производните от сулфонамид лекарства могат да причинят идиосинкратична реакция, изразяваща се в хороидален излив с дефект на зрителното поле, преходно късогледство и остра закритоъгълна глаукома. Симптомите включват остро начало на намалена зрителна острота или очна болка и обикновено се появяват в рамките на часове до седмици след започване на приема на лекарството. Нелекуваната закритоъгълна глаукома може да доведе до постоянна загуба на зрение. Първоначалното лечение се изразява в спиране приема на лекарството колкото се може по-скоро. Може да се наложи да се обмисли съответно медицинско или хирургично лечение, ако вътреочното налягане остава неконтролирано. Рисковите фактори за развитието на остра </w:t>
      </w:r>
      <w:r w:rsidRPr="00F428C9">
        <w:rPr>
          <w:rFonts w:eastAsia="Times New Roman" w:cs="Arial"/>
          <w:i/>
          <w:iCs/>
          <w:color w:val="000000"/>
          <w:lang w:eastAsia="bg-BG"/>
        </w:rPr>
        <w:lastRenderedPageBreak/>
        <w:t>закритоъгълна</w:t>
      </w:r>
      <w:r w:rsidRPr="00F428C9">
        <w:rPr>
          <w:rFonts w:eastAsia="Times New Roman" w:cs="Arial"/>
          <w:color w:val="000000"/>
          <w:lang w:eastAsia="bg-BG"/>
        </w:rPr>
        <w:t xml:space="preserve"> глаукома могат да включват предшестваща алергия към сулфонамиди или пеницилин.</w:t>
      </w:r>
    </w:p>
    <w:p w14:paraId="710E5037" w14:textId="197D2F4C" w:rsidR="00F428C9" w:rsidRPr="00F428C9" w:rsidRDefault="00F428C9" w:rsidP="00F428C9"/>
    <w:p w14:paraId="619DED1E" w14:textId="728C3805"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4E079D" w14:textId="3486C5D0" w:rsidR="00F428C9" w:rsidRDefault="00F428C9" w:rsidP="00F428C9"/>
    <w:p w14:paraId="1FC01981" w14:textId="77777777"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Обши за периндоприл и индапамид</w:t>
      </w:r>
    </w:p>
    <w:p w14:paraId="1EE56D54" w14:textId="77777777" w:rsidR="00F428C9" w:rsidRPr="00F428C9" w:rsidRDefault="00F428C9" w:rsidP="00F428C9">
      <w:pPr>
        <w:spacing w:line="240" w:lineRule="auto"/>
        <w:rPr>
          <w:rFonts w:eastAsia="Times New Roman" w:cs="Arial"/>
          <w:b/>
          <w:bCs/>
          <w:i/>
          <w:iCs/>
          <w:color w:val="000000"/>
          <w:u w:val="single"/>
          <w:lang w:eastAsia="bg-BG"/>
        </w:rPr>
      </w:pPr>
    </w:p>
    <w:p w14:paraId="279F279B" w14:textId="1E00C72B"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които не се препоръчват:</w:t>
      </w:r>
    </w:p>
    <w:p w14:paraId="1FBF3290" w14:textId="77777777" w:rsidR="00F428C9" w:rsidRPr="00F428C9" w:rsidRDefault="00F428C9" w:rsidP="00F428C9">
      <w:pPr>
        <w:spacing w:line="240" w:lineRule="auto"/>
        <w:rPr>
          <w:rFonts w:eastAsia="Times New Roman" w:cs="Arial"/>
        </w:rPr>
      </w:pPr>
      <w:r w:rsidRPr="00F428C9">
        <w:rPr>
          <w:rFonts w:eastAsia="Times New Roman" w:cs="Arial"/>
          <w:b/>
          <w:bCs/>
          <w:color w:val="000000"/>
          <w:lang w:eastAsia="bg-BG"/>
        </w:rPr>
        <w:t xml:space="preserve">Литиеви препарати: </w:t>
      </w:r>
      <w:r w:rsidRPr="00F428C9">
        <w:rPr>
          <w:rFonts w:eastAsia="Times New Roman" w:cs="Arial"/>
          <w:color w:val="000000"/>
          <w:lang w:eastAsia="bg-BG"/>
        </w:rPr>
        <w:t>по време на едновременно приложение на литиеви препарати и АСЕ- инхибитори се наблюдава обратимо повишение на литиевите концентрации и токсични реакции. Употребата на периндоприл в комбинация с индапамид и литиеви препарати не се препоръчва, но ако комбинацията е наложителна, трябва да се извършва внимателно контролиране на серумния литий (вж. точка 4.4).</w:t>
      </w:r>
    </w:p>
    <w:p w14:paraId="2B35B78D" w14:textId="77777777" w:rsidR="00F428C9" w:rsidRPr="00F428C9" w:rsidRDefault="00F428C9" w:rsidP="00F428C9">
      <w:pPr>
        <w:spacing w:line="240" w:lineRule="auto"/>
        <w:rPr>
          <w:rFonts w:eastAsia="Times New Roman" w:cs="Arial"/>
          <w:b/>
          <w:bCs/>
          <w:i/>
          <w:iCs/>
          <w:color w:val="000000"/>
          <w:u w:val="single"/>
          <w:lang w:eastAsia="bg-BG"/>
        </w:rPr>
      </w:pPr>
    </w:p>
    <w:p w14:paraId="05037C35" w14:textId="629FE58A"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изискващи специално внимание:</w:t>
      </w:r>
    </w:p>
    <w:p w14:paraId="71C0B213" w14:textId="094D6C9D" w:rsidR="00F428C9" w:rsidRPr="00F428C9" w:rsidRDefault="00F428C9" w:rsidP="00F428C9">
      <w:pPr>
        <w:pStyle w:val="ListParagraph"/>
        <w:numPr>
          <w:ilvl w:val="0"/>
          <w:numId w:val="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Баклофен: </w:t>
      </w:r>
      <w:r w:rsidRPr="00F428C9">
        <w:rPr>
          <w:rFonts w:eastAsia="Times New Roman" w:cs="Arial"/>
          <w:color w:val="000000"/>
          <w:lang w:eastAsia="bg-BG"/>
        </w:rPr>
        <w:t>Засилване на антихипертензивния ефект. Контролиране на кръвното налягане и при нужда корекция на дозата на антихипертензивното средство.</w:t>
      </w:r>
    </w:p>
    <w:p w14:paraId="087C8548" w14:textId="1D1894A0" w:rsidR="00F428C9" w:rsidRPr="00F428C9" w:rsidRDefault="00F428C9" w:rsidP="00F428C9">
      <w:pPr>
        <w:pStyle w:val="ListParagraph"/>
        <w:numPr>
          <w:ilvl w:val="0"/>
          <w:numId w:val="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Нестероидни противовъзпалителни лекарствени продукти (НСПВС) (включително ацетнлсалицилова киселина </w:t>
      </w:r>
      <w:r w:rsidRPr="00F428C9">
        <w:rPr>
          <w:rFonts w:eastAsia="Times New Roman" w:cs="Arial"/>
          <w:color w:val="000000"/>
          <w:lang w:eastAsia="bg-BG"/>
        </w:rPr>
        <w:t xml:space="preserve">&gt; 3 </w:t>
      </w:r>
      <w:r w:rsidRPr="00F428C9">
        <w:rPr>
          <w:rFonts w:eastAsia="Times New Roman" w:cs="Arial"/>
          <w:b/>
          <w:bCs/>
          <w:color w:val="000000"/>
          <w:lang w:val="en-US"/>
        </w:rPr>
        <w:t>g</w:t>
      </w:r>
      <w:r w:rsidRPr="00F428C9">
        <w:rPr>
          <w:rFonts w:eastAsia="Times New Roman" w:cs="Arial"/>
          <w:b/>
          <w:bCs/>
          <w:color w:val="000000"/>
          <w:lang w:eastAsia="bg-BG"/>
        </w:rPr>
        <w:t xml:space="preserve">/ден): </w:t>
      </w:r>
      <w:r w:rsidRPr="00F428C9">
        <w:rPr>
          <w:rFonts w:eastAsia="Times New Roman" w:cs="Arial"/>
          <w:color w:val="000000"/>
          <w:lang w:eastAsia="bg-BG"/>
        </w:rPr>
        <w:t>когато АСЕ-инхибитори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АСЕ-инхибитори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лоша предшестваща бъбречна функция. Комбинацията трябва да се прилага с повишено внимание, особено при напреднала възраст. Пациентите трябва да бъдат достатъчно хидратирани и трябва да се предвиди контролиране на бъбречната функция в началото на комбинираното лечение, а след това - периодично.</w:t>
      </w:r>
    </w:p>
    <w:p w14:paraId="1FA263A7" w14:textId="77777777" w:rsidR="00F428C9" w:rsidRPr="00F428C9" w:rsidRDefault="00F428C9" w:rsidP="00F428C9">
      <w:pPr>
        <w:spacing w:line="240" w:lineRule="auto"/>
        <w:rPr>
          <w:rFonts w:eastAsia="Times New Roman" w:cs="Arial"/>
          <w:b/>
          <w:bCs/>
          <w:i/>
          <w:iCs/>
          <w:color w:val="000000"/>
          <w:u w:val="single"/>
          <w:lang w:eastAsia="bg-BG"/>
        </w:rPr>
      </w:pPr>
    </w:p>
    <w:p w14:paraId="2C11D0BB" w14:textId="3533CF3F"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които изискват внимание:</w:t>
      </w:r>
    </w:p>
    <w:p w14:paraId="1E216F56" w14:textId="77777777" w:rsidR="00F428C9" w:rsidRPr="00F428C9" w:rsidRDefault="00F428C9" w:rsidP="00F428C9">
      <w:pPr>
        <w:pStyle w:val="ListParagraph"/>
        <w:numPr>
          <w:ilvl w:val="0"/>
          <w:numId w:val="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Антндепресанти от нмипраминовата група (трвциклични), невролептици: </w:t>
      </w:r>
      <w:r w:rsidRPr="00F428C9">
        <w:rPr>
          <w:rFonts w:eastAsia="Times New Roman" w:cs="Arial"/>
          <w:color w:val="000000"/>
          <w:lang w:eastAsia="bg-BG"/>
        </w:rPr>
        <w:t>Засилване на антихипертензивния ефект и повишен риск от ортостатична хипотония (адитивен ефект).</w:t>
      </w:r>
    </w:p>
    <w:p w14:paraId="336FFF5A" w14:textId="77777777" w:rsidR="00F428C9" w:rsidRPr="00F428C9" w:rsidRDefault="00F428C9" w:rsidP="00F428C9">
      <w:pPr>
        <w:pStyle w:val="ListParagraph"/>
        <w:numPr>
          <w:ilvl w:val="0"/>
          <w:numId w:val="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Кортикостероиди, тетракозактид: </w:t>
      </w:r>
      <w:r w:rsidRPr="00F428C9">
        <w:rPr>
          <w:rFonts w:eastAsia="Times New Roman" w:cs="Arial"/>
          <w:color w:val="000000"/>
          <w:lang w:eastAsia="bg-BG"/>
        </w:rPr>
        <w:t>Отслабване на антихипертензивния ефект (задържане на соли и вода, дължаща се на кортикостероидите).</w:t>
      </w:r>
    </w:p>
    <w:p w14:paraId="5FD39A71" w14:textId="599E92BB" w:rsidR="00F428C9" w:rsidRPr="00F428C9" w:rsidRDefault="00F428C9" w:rsidP="00F428C9">
      <w:pPr>
        <w:pStyle w:val="ListParagraph"/>
        <w:numPr>
          <w:ilvl w:val="0"/>
          <w:numId w:val="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Други антихнпертевзнвнн средства: </w:t>
      </w:r>
      <w:r w:rsidRPr="00F428C9">
        <w:rPr>
          <w:rFonts w:eastAsia="Times New Roman" w:cs="Arial"/>
          <w:color w:val="000000"/>
          <w:lang w:eastAsia="bg-BG"/>
        </w:rPr>
        <w:t>употребата на други антихипертензивни лекарствени продукти с периндоприл/индапамид би могла да доведе до допълнителен антихипертензивен ефект.</w:t>
      </w:r>
    </w:p>
    <w:p w14:paraId="303B67D9" w14:textId="77777777" w:rsidR="00F428C9" w:rsidRPr="00F428C9" w:rsidRDefault="00F428C9" w:rsidP="00F428C9">
      <w:pPr>
        <w:spacing w:line="240" w:lineRule="auto"/>
        <w:rPr>
          <w:rFonts w:eastAsia="Times New Roman" w:cs="Arial"/>
          <w:i/>
          <w:iCs/>
          <w:color w:val="000000"/>
          <w:u w:val="single"/>
          <w:lang w:eastAsia="bg-BG"/>
        </w:rPr>
      </w:pPr>
    </w:p>
    <w:p w14:paraId="53D8BD49" w14:textId="6AA3FD5A"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периндоприл:</w:t>
      </w:r>
    </w:p>
    <w:p w14:paraId="46731D9E" w14:textId="77777777" w:rsidR="00F428C9" w:rsidRPr="00F428C9" w:rsidRDefault="00F428C9" w:rsidP="00F428C9">
      <w:pPr>
        <w:rPr>
          <w:rFonts w:eastAsia="Times New Roman" w:cs="Arial"/>
          <w:color w:val="000000"/>
          <w:lang w:eastAsia="bg-BG"/>
        </w:rPr>
      </w:pPr>
    </w:p>
    <w:p w14:paraId="31B37A76" w14:textId="77777777" w:rsidR="00F428C9" w:rsidRPr="00F428C9" w:rsidRDefault="00F428C9" w:rsidP="00F428C9">
      <w:pPr>
        <w:rPr>
          <w:rFonts w:eastAsia="Times New Roman" w:cs="Arial"/>
        </w:rPr>
      </w:pPr>
      <w:r w:rsidRPr="00F428C9">
        <w:rPr>
          <w:rFonts w:eastAsia="Times New Roman" w:cs="Arial"/>
          <w:color w:val="000000"/>
          <w:lang w:eastAsia="bg-BG"/>
        </w:rPr>
        <w:t xml:space="preserve">Данни от клинични проучвания показват, че двойното блокиране на ренин - ангиотензин алдостероновата система (РААС) чрез комбинираната употреба на АСЕ инхибитори, ангиотензин </w:t>
      </w:r>
      <w:r w:rsidRPr="00F428C9">
        <w:rPr>
          <w:rFonts w:eastAsia="Times New Roman" w:cs="Arial"/>
          <w:color w:val="000000"/>
          <w:lang w:val="en-US" w:eastAsia="bg-BG"/>
        </w:rPr>
        <w:t>II</w:t>
      </w:r>
      <w:r w:rsidRPr="00F428C9">
        <w:rPr>
          <w:rFonts w:eastAsia="Times New Roman" w:cs="Arial"/>
          <w:color w:val="000000"/>
          <w:lang w:eastAsia="bg-BG"/>
        </w:rPr>
        <w:t xml:space="preserve">-рецепторни блокери или алискирен се свързва с по-висока честота на </w:t>
      </w:r>
      <w:r w:rsidRPr="00F428C9">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w:t>
      </w:r>
      <w:r w:rsidRPr="00F428C9">
        <w:rPr>
          <w:rFonts w:eastAsia="Times New Roman" w:cs="Arial"/>
          <w:color w:val="000000"/>
          <w:lang w:val="ru-RU" w:eastAsia="bg-BG"/>
        </w:rPr>
        <w:t xml:space="preserve"> </w:t>
      </w:r>
      <w:r w:rsidRPr="00F428C9">
        <w:rPr>
          <w:rFonts w:eastAsia="Times New Roman" w:cs="Arial"/>
          <w:color w:val="000000"/>
          <w:lang w:eastAsia="bg-BG"/>
        </w:rPr>
        <w:t>бъбречна недостатъчност), в сравнение с употребата само на едно средство, действащо върху РААС (вж. точки 4.3,4.4 и 5.1).</w:t>
      </w:r>
    </w:p>
    <w:p w14:paraId="62A35AFF" w14:textId="77777777" w:rsidR="00F428C9" w:rsidRPr="00F428C9" w:rsidRDefault="00F428C9" w:rsidP="00F428C9">
      <w:pPr>
        <w:spacing w:line="240" w:lineRule="auto"/>
        <w:rPr>
          <w:rFonts w:eastAsia="Times New Roman" w:cs="Arial"/>
          <w:b/>
          <w:bCs/>
          <w:i/>
          <w:iCs/>
          <w:color w:val="000000"/>
          <w:u w:val="single"/>
          <w:lang w:eastAsia="bg-BG"/>
        </w:rPr>
      </w:pPr>
    </w:p>
    <w:p w14:paraId="4D6DD71C" w14:textId="5332E5B6" w:rsidR="00F428C9" w:rsidRPr="00F428C9" w:rsidRDefault="00F428C9" w:rsidP="00F428C9">
      <w:pPr>
        <w:spacing w:line="240" w:lineRule="auto"/>
        <w:rPr>
          <w:rFonts w:eastAsia="Times New Roman" w:cs="Arial"/>
          <w:b/>
          <w:bCs/>
          <w:i/>
          <w:iCs/>
          <w:color w:val="000000"/>
          <w:u w:val="single"/>
          <w:lang w:eastAsia="bg-BG"/>
        </w:rPr>
      </w:pPr>
      <w:r w:rsidRPr="00F428C9">
        <w:rPr>
          <w:rFonts w:eastAsia="Times New Roman" w:cs="Arial"/>
          <w:b/>
          <w:bCs/>
          <w:i/>
          <w:iCs/>
          <w:color w:val="000000"/>
          <w:u w:val="single"/>
          <w:lang w:eastAsia="bg-BG"/>
        </w:rPr>
        <w:t>Лекарства, повишаващи риска от ангиоедем</w:t>
      </w:r>
    </w:p>
    <w:p w14:paraId="09E229A3"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Едновременната употреба на АСЕ инхибитори със сакубитрил/валсартан е противопоказана, тъй като това повишава риска от ангиоедем (вж.точки 4.3 и 4.4). Сакубитрил/валсартан не трябва да се започва преди да са изминали 36 часа от приема на последната доза от терапията с периндоприл. Лечение с периндоприл не трябва да се започва преди да са изминали 36 часа след приема на последната доза от сакубитрил/валсартан (вж.точки 4.3 и 4.4).</w:t>
      </w:r>
    </w:p>
    <w:p w14:paraId="44640B3C"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Едновременната употреба на АСЕ инхибитори с рацекадотрил, </w:t>
      </w:r>
      <w:proofErr w:type="spellStart"/>
      <w:r w:rsidRPr="00F428C9">
        <w:rPr>
          <w:rFonts w:eastAsia="Times New Roman" w:cs="Arial"/>
          <w:color w:val="000000"/>
          <w:u w:val="single"/>
          <w:lang w:val="en-US"/>
        </w:rPr>
        <w:t>mTOR</w:t>
      </w:r>
      <w:proofErr w:type="spellEnd"/>
      <w:r w:rsidRPr="00F428C9">
        <w:rPr>
          <w:rFonts w:eastAsia="Times New Roman" w:cs="Arial"/>
          <w:color w:val="000000"/>
          <w:u w:val="single"/>
          <w:lang w:val="ru-RU"/>
        </w:rPr>
        <w:t xml:space="preserve"> </w:t>
      </w:r>
      <w:r w:rsidRPr="00F428C9">
        <w:rPr>
          <w:rFonts w:eastAsia="Times New Roman" w:cs="Arial"/>
          <w:color w:val="000000"/>
          <w:u w:val="single"/>
          <w:lang w:eastAsia="bg-BG"/>
        </w:rPr>
        <w:t>инхибитори (напр. сиролимус, еверолимус, темсиролимус)</w:t>
      </w:r>
      <w:r w:rsidRPr="00F428C9">
        <w:rPr>
          <w:rFonts w:eastAsia="Times New Roman" w:cs="Arial"/>
          <w:color w:val="000000"/>
          <w:lang w:eastAsia="bg-BG"/>
        </w:rPr>
        <w:t xml:space="preserve"> и глиптини (напр. линаглиптин, саксаглиптин, ситаглиптин, вилдаглиптин) може да доведе до повишен риск от ангиоедем (вж.точка 4.4).</w:t>
      </w:r>
    </w:p>
    <w:p w14:paraId="437A6B96" w14:textId="77777777" w:rsidR="00F428C9" w:rsidRPr="00F428C9" w:rsidRDefault="00F428C9" w:rsidP="00F428C9">
      <w:pPr>
        <w:spacing w:line="240" w:lineRule="auto"/>
        <w:rPr>
          <w:rFonts w:eastAsia="Times New Roman" w:cs="Arial"/>
          <w:b/>
          <w:bCs/>
          <w:i/>
          <w:iCs/>
          <w:color w:val="000000"/>
          <w:u w:val="single"/>
          <w:lang w:eastAsia="bg-BG"/>
        </w:rPr>
      </w:pPr>
    </w:p>
    <w:p w14:paraId="4D0FDF67" w14:textId="2FE6C759"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Лекарства, предизвикващи хиперкалиемия</w:t>
      </w:r>
    </w:p>
    <w:p w14:paraId="74FA4DC1"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Въпреки, че серумния калий обикновено остава в нормални граници, хиперкалиемия може да се появи при някои пациенти, лекувани с Нолипрел 2,5 </w:t>
      </w:r>
      <w:r w:rsidRPr="00F428C9">
        <w:rPr>
          <w:rFonts w:eastAsia="Times New Roman" w:cs="Arial"/>
          <w:color w:val="000000"/>
          <w:lang w:val="en-US"/>
        </w:rPr>
        <w:t>mg</w:t>
      </w:r>
      <w:r w:rsidRPr="00F428C9">
        <w:rPr>
          <w:rFonts w:eastAsia="Times New Roman" w:cs="Arial"/>
          <w:color w:val="000000"/>
          <w:lang w:val="ru-RU"/>
        </w:rPr>
        <w:t xml:space="preserve">/0,625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Някои лекарства или терапевтични класове могат да увеличат честотата на хиперкалиемия: алискирен, калиеви соли, калий-съхраняващи диуретици (напр. спиронолактон, триамтерен или амилорид), АСЕ- инхибитори, антагонисти на ангиотензин-</w:t>
      </w:r>
      <w:r w:rsidRPr="00F428C9">
        <w:rPr>
          <w:rFonts w:eastAsia="Times New Roman" w:cs="Arial"/>
          <w:color w:val="000000"/>
          <w:lang w:val="en-US"/>
        </w:rPr>
        <w:t>II</w:t>
      </w:r>
      <w:r w:rsidRPr="00F428C9">
        <w:rPr>
          <w:rFonts w:eastAsia="Times New Roman" w:cs="Arial"/>
          <w:color w:val="000000"/>
          <w:lang w:eastAsia="bg-BG"/>
        </w:rPr>
        <w:t xml:space="preserve"> рецепторите, НСПВС, хепарини, имунопотискащи средства, като циклоспорин или такролимус, триметоприм и котримоксазол (триметоприм/сулфаметоксазол), тъй като е известно, че триметоприм действа като калий съхраняващ диуретик като амилорид. Комбинацията от тези лекарства увеличава риска от хиперкалиемия. Поради това, комбинирането на Нолипрел 2,5 </w:t>
      </w:r>
      <w:r w:rsidRPr="00F428C9">
        <w:rPr>
          <w:rFonts w:eastAsia="Times New Roman" w:cs="Arial"/>
          <w:color w:val="000000"/>
          <w:lang w:val="en-US"/>
        </w:rPr>
        <w:t>mg</w:t>
      </w:r>
      <w:r w:rsidRPr="00F428C9">
        <w:rPr>
          <w:rFonts w:eastAsia="Times New Roman" w:cs="Arial"/>
          <w:color w:val="000000"/>
          <w:lang w:val="ru-RU"/>
        </w:rPr>
        <w:t xml:space="preserve">/0,625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с гореспоменатите лекарства не се препоръчва. Ако е предписана едновременна употреба, трябва да се подхожда с внимание и с често проследяване на серумния калий.</w:t>
      </w:r>
    </w:p>
    <w:p w14:paraId="668CB529" w14:textId="77777777" w:rsidR="00F428C9" w:rsidRPr="00F428C9" w:rsidRDefault="00F428C9" w:rsidP="00F428C9">
      <w:pPr>
        <w:spacing w:line="240" w:lineRule="auto"/>
        <w:rPr>
          <w:rFonts w:eastAsia="Times New Roman" w:cs="Arial"/>
          <w:b/>
          <w:bCs/>
          <w:i/>
          <w:iCs/>
          <w:color w:val="000000"/>
          <w:u w:val="single"/>
          <w:lang w:eastAsia="bg-BG"/>
        </w:rPr>
      </w:pPr>
    </w:p>
    <w:p w14:paraId="4185CF10" w14:textId="4A7E338E"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Комбинаиии, които са противопоказани (вж. точка 4,3):</w:t>
      </w:r>
    </w:p>
    <w:p w14:paraId="45656CA8" w14:textId="77777777" w:rsidR="00F428C9" w:rsidRPr="00F428C9" w:rsidRDefault="00F428C9" w:rsidP="00F428C9">
      <w:pPr>
        <w:spacing w:line="240" w:lineRule="auto"/>
        <w:rPr>
          <w:rFonts w:eastAsia="Times New Roman" w:cs="Arial"/>
        </w:rPr>
      </w:pPr>
      <w:r w:rsidRPr="00F428C9">
        <w:rPr>
          <w:rFonts w:eastAsia="Times New Roman" w:cs="Arial"/>
          <w:b/>
          <w:bCs/>
          <w:color w:val="000000"/>
          <w:lang w:eastAsia="bg-BG"/>
        </w:rPr>
        <w:t xml:space="preserve">Алискирен: </w:t>
      </w:r>
      <w:r w:rsidRPr="00F428C9">
        <w:rPr>
          <w:rFonts w:eastAsia="Times New Roman" w:cs="Arial"/>
          <w:color w:val="000000"/>
          <w:lang w:eastAsia="bg-BG"/>
        </w:rPr>
        <w:t>При пациентите с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w:t>
      </w:r>
    </w:p>
    <w:p w14:paraId="5F064CAF" w14:textId="77777777" w:rsidR="00F428C9" w:rsidRPr="00F428C9" w:rsidRDefault="00F428C9" w:rsidP="00F428C9">
      <w:pPr>
        <w:spacing w:line="240" w:lineRule="auto"/>
        <w:rPr>
          <w:rFonts w:eastAsia="Times New Roman" w:cs="Arial"/>
        </w:rPr>
      </w:pPr>
      <w:r w:rsidRPr="00F428C9">
        <w:rPr>
          <w:rFonts w:eastAsia="Times New Roman" w:cs="Arial"/>
          <w:b/>
          <w:bCs/>
          <w:color w:val="000000"/>
          <w:lang w:eastAsia="bg-BG"/>
        </w:rPr>
        <w:t xml:space="preserve">Екстракорпорални лечения: </w:t>
      </w:r>
      <w:r w:rsidRPr="00F428C9">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37B294DF" w14:textId="77777777" w:rsidR="00F428C9" w:rsidRPr="00F428C9" w:rsidRDefault="00F428C9" w:rsidP="00F428C9">
      <w:pPr>
        <w:spacing w:line="240" w:lineRule="auto"/>
        <w:rPr>
          <w:rFonts w:eastAsia="Times New Roman" w:cs="Arial"/>
          <w:b/>
          <w:bCs/>
          <w:i/>
          <w:iCs/>
          <w:color w:val="000000"/>
          <w:u w:val="single"/>
          <w:lang w:eastAsia="bg-BG"/>
        </w:rPr>
      </w:pPr>
    </w:p>
    <w:p w14:paraId="0FB8C5BF" w14:textId="3F0ED949"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Комбинаиии, които не се препоръчват:</w:t>
      </w:r>
    </w:p>
    <w:p w14:paraId="403FBE75" w14:textId="77777777" w:rsidR="00F428C9" w:rsidRPr="00F428C9" w:rsidRDefault="00F428C9" w:rsidP="00F428C9">
      <w:pPr>
        <w:pStyle w:val="ListParagraph"/>
        <w:numPr>
          <w:ilvl w:val="0"/>
          <w:numId w:val="39"/>
        </w:numPr>
        <w:spacing w:line="240" w:lineRule="auto"/>
        <w:rPr>
          <w:rFonts w:eastAsia="Times New Roman" w:cs="Arial"/>
        </w:rPr>
      </w:pPr>
      <w:r w:rsidRPr="00F428C9">
        <w:rPr>
          <w:rFonts w:eastAsia="Times New Roman" w:cs="Arial"/>
          <w:b/>
          <w:bCs/>
          <w:color w:val="000000"/>
          <w:lang w:eastAsia="bg-BG"/>
        </w:rPr>
        <w:t xml:space="preserve">Алискирен: </w:t>
      </w:r>
      <w:r w:rsidRPr="00F428C9">
        <w:rPr>
          <w:rFonts w:eastAsia="Times New Roman" w:cs="Arial"/>
          <w:color w:val="000000"/>
          <w:lang w:eastAsia="bg-BG"/>
        </w:rPr>
        <w:t>При пациентите без диабет или нарушена бъбречна функция се увеличава риска от хиперкалиемия, влошаване на бъбречната функция и сърдечносъдовата заболеваемост и смъртност (вж. точка 4.4).</w:t>
      </w:r>
    </w:p>
    <w:p w14:paraId="37910C22" w14:textId="77777777" w:rsidR="00F428C9" w:rsidRPr="00F428C9" w:rsidRDefault="00F428C9" w:rsidP="00F428C9">
      <w:pPr>
        <w:pStyle w:val="ListParagraph"/>
        <w:numPr>
          <w:ilvl w:val="0"/>
          <w:numId w:val="39"/>
        </w:numPr>
        <w:spacing w:line="240" w:lineRule="auto"/>
        <w:rPr>
          <w:rFonts w:eastAsia="Times New Roman" w:cs="Arial"/>
        </w:rPr>
      </w:pPr>
      <w:r w:rsidRPr="00F428C9">
        <w:rPr>
          <w:rFonts w:eastAsia="Times New Roman" w:cs="Arial"/>
          <w:b/>
          <w:bCs/>
          <w:color w:val="000000"/>
          <w:lang w:eastAsia="bg-BG"/>
        </w:rPr>
        <w:t xml:space="preserve">Комбинирано лечение с АСЕ-инхибитор и ангиотензин-рецепторен блокер: </w:t>
      </w:r>
      <w:r w:rsidRPr="00F428C9">
        <w:rPr>
          <w:rFonts w:eastAsia="Times New Roman" w:cs="Arial"/>
          <w:color w:val="000000"/>
          <w:lang w:eastAsia="bg-BG"/>
        </w:rPr>
        <w:t xml:space="preserve">В литературата се съобщава, че при пациенти с установено атеросклеротично заболяване, сърдечна недостатъчност или диабет с крайно органно увреждане комбинираното лечение с АСЕ- инхибитор и ангиотензин-рецепторен блокер е свързано с повишена честота на хипотония, синкоп, хиперкалиемия и влошаване на бъбречната функция (включително остра бъбречна недостатъчност) в </w:t>
      </w:r>
      <w:r w:rsidRPr="00F428C9">
        <w:rPr>
          <w:rFonts w:eastAsia="Times New Roman" w:cs="Arial"/>
          <w:color w:val="000000"/>
          <w:lang w:eastAsia="bg-BG"/>
        </w:rPr>
        <w:lastRenderedPageBreak/>
        <w:t>сравнение с употребата на един ренин-ангиотензин-алдостерон — действащ агент. Двойното блокиране (напр. чрез комбиниране на АСЕ-инхибитор с антагонист на ангиотензин-П рецепторите) трябва да се ограничава само до отделни случаи с непосредствено наблюдение на бъбречната функция, серумния калий и кръвното налягане (вж. точка 4.4).</w:t>
      </w:r>
    </w:p>
    <w:p w14:paraId="70C836A7" w14:textId="77777777" w:rsidR="00F428C9" w:rsidRPr="00F428C9" w:rsidRDefault="00F428C9" w:rsidP="00F428C9">
      <w:pPr>
        <w:pStyle w:val="ListParagraph"/>
        <w:numPr>
          <w:ilvl w:val="0"/>
          <w:numId w:val="39"/>
        </w:numPr>
        <w:spacing w:line="240" w:lineRule="auto"/>
        <w:rPr>
          <w:rFonts w:eastAsia="Times New Roman" w:cs="Arial"/>
        </w:rPr>
      </w:pPr>
      <w:r w:rsidRPr="00F428C9">
        <w:rPr>
          <w:rFonts w:eastAsia="Times New Roman" w:cs="Arial"/>
          <w:b/>
          <w:bCs/>
          <w:color w:val="000000"/>
          <w:lang w:eastAsia="bg-BG"/>
        </w:rPr>
        <w:t xml:space="preserve">Естрамустин: </w:t>
      </w:r>
      <w:r w:rsidRPr="00F428C9">
        <w:rPr>
          <w:rFonts w:eastAsia="Times New Roman" w:cs="Arial"/>
          <w:color w:val="000000"/>
          <w:lang w:eastAsia="bg-BG"/>
        </w:rPr>
        <w:t>Риск от увеличаване на нежеланите реакции, като ангионевротичен оток (ангиоедем).</w:t>
      </w:r>
    </w:p>
    <w:p w14:paraId="2E7486B0" w14:textId="18DA3C0F" w:rsidR="00F428C9" w:rsidRPr="00F428C9" w:rsidRDefault="00F428C9" w:rsidP="00F428C9">
      <w:pPr>
        <w:pStyle w:val="ListParagraph"/>
        <w:numPr>
          <w:ilvl w:val="0"/>
          <w:numId w:val="39"/>
        </w:numPr>
        <w:spacing w:line="240" w:lineRule="auto"/>
        <w:rPr>
          <w:rFonts w:eastAsia="Times New Roman" w:cs="Arial"/>
        </w:rPr>
      </w:pPr>
      <w:r w:rsidRPr="00F428C9">
        <w:rPr>
          <w:rFonts w:eastAsia="Times New Roman" w:cs="Arial"/>
          <w:b/>
          <w:bCs/>
          <w:color w:val="000000"/>
          <w:lang w:eastAsia="bg-BG"/>
        </w:rPr>
        <w:t>Калий-съхраняващи диуретици (напр. триамтерен, амилорид...), калий (соли):</w:t>
      </w:r>
      <w:r w:rsidRPr="00F428C9">
        <w:rPr>
          <w:rFonts w:eastAsia="Times New Roman" w:cs="Arial"/>
          <w:b/>
          <w:bCs/>
          <w:color w:val="000000"/>
          <w:lang w:val="ru-RU" w:eastAsia="bg-BG"/>
        </w:rPr>
        <w:t xml:space="preserve"> </w:t>
      </w:r>
      <w:r w:rsidRPr="00F428C9">
        <w:rPr>
          <w:rFonts w:eastAsia="Times New Roman" w:cs="Arial"/>
          <w:color w:val="000000"/>
          <w:lang w:eastAsia="bg-BG"/>
        </w:rPr>
        <w:t>Хиперкалиемия (потенциално фатална), особено съвместно с бъбречна недостатъчност (адитивен хиперкалиемичен ефект). Комбинирането на периндоприл с гореспоменатите лекарства не се препоръчва (вж. точка 4.4). Ако въпреки това е показана комбинирана употреба, тя трябва да се провежда внимателно и с редовно наблюдение на серумния калий. За употреба на спиронолактон при сърдечна недостатъчност вж. точката „Комбинации, изискващи специално внимание“.</w:t>
      </w:r>
    </w:p>
    <w:p w14:paraId="44490CE1" w14:textId="77777777" w:rsidR="00F428C9" w:rsidRPr="00F428C9" w:rsidRDefault="00F428C9" w:rsidP="00F428C9">
      <w:pPr>
        <w:spacing w:line="240" w:lineRule="auto"/>
        <w:rPr>
          <w:rFonts w:eastAsia="Times New Roman" w:cs="Arial"/>
          <w:b/>
          <w:bCs/>
          <w:i/>
          <w:iCs/>
          <w:color w:val="000000"/>
          <w:u w:val="single"/>
          <w:lang w:eastAsia="bg-BG"/>
        </w:rPr>
      </w:pPr>
    </w:p>
    <w:p w14:paraId="475FE2C2" w14:textId="4BE5A71E"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изискващи специално внимание:</w:t>
      </w:r>
    </w:p>
    <w:p w14:paraId="1F9BED20" w14:textId="77777777" w:rsidR="00F428C9" w:rsidRPr="00F428C9" w:rsidRDefault="00F428C9" w:rsidP="00F428C9">
      <w:pPr>
        <w:pStyle w:val="ListParagraph"/>
        <w:numPr>
          <w:ilvl w:val="0"/>
          <w:numId w:val="39"/>
        </w:numPr>
        <w:spacing w:line="240" w:lineRule="auto"/>
        <w:rPr>
          <w:rFonts w:eastAsia="Times New Roman" w:cs="Arial"/>
        </w:rPr>
      </w:pPr>
      <w:r w:rsidRPr="00F428C9">
        <w:rPr>
          <w:rFonts w:eastAsia="Times New Roman" w:cs="Arial"/>
          <w:b/>
          <w:bCs/>
          <w:color w:val="000000"/>
          <w:lang w:eastAsia="bg-BG"/>
        </w:rPr>
        <w:t>Противодиабетни средства (инсулин, орални хипогликемични агенти):</w:t>
      </w:r>
    </w:p>
    <w:p w14:paraId="224ABC73" w14:textId="4527B6C8" w:rsidR="00F428C9" w:rsidRPr="00F428C9" w:rsidRDefault="00F428C9" w:rsidP="00F428C9">
      <w:pPr>
        <w:pStyle w:val="ListParagraph"/>
        <w:spacing w:line="240" w:lineRule="auto"/>
        <w:rPr>
          <w:rFonts w:eastAsia="Times New Roman" w:cs="Arial"/>
        </w:rPr>
      </w:pPr>
      <w:r w:rsidRPr="00F428C9">
        <w:rPr>
          <w:rFonts w:eastAsia="Times New Roman" w:cs="Arial"/>
          <w:color w:val="000000"/>
          <w:lang w:eastAsia="bg-BG"/>
        </w:rPr>
        <w:t>Епидемиологичните проучвания предполагат, че едновременното приложение на АСЕ- инхибитори и противодиабетни медикаменти (инсулин, орални хипогликемични агенти) може да доведе до засилен ефект на намаляване на кръвната захар с риск от хипогликемия. Това явление изглежда е по-вероятно да възникне през първите седмици на комбинираното лечение и при пациенти с бъбречна недостатъчност.</w:t>
      </w:r>
    </w:p>
    <w:p w14:paraId="58771054" w14:textId="6916C5EF" w:rsidR="00F428C9" w:rsidRPr="00F428C9" w:rsidRDefault="00F428C9" w:rsidP="00F428C9">
      <w:pPr>
        <w:pStyle w:val="ListParagraph"/>
        <w:numPr>
          <w:ilvl w:val="0"/>
          <w:numId w:val="39"/>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Калий-несъхраняващн диуретици: </w:t>
      </w:r>
      <w:r w:rsidRPr="00F428C9">
        <w:rPr>
          <w:rFonts w:eastAsia="Times New Roman" w:cs="Arial"/>
          <w:color w:val="000000"/>
          <w:lang w:eastAsia="bg-BG"/>
        </w:rPr>
        <w:t>Пациентите, приемащи диуретици, и особено онези със загуба на обем и/или соли могат да почувстват прекомерно понижаване на кръвното налягане след започване на лечение с АСЕ-инхибитор. Възможността за хипотонични ефекти може да се намали чрез спиране на диуретика или чрез увеличаване на обема или приема на соли преди началото на лечение с ниски и постепенно нарастващи дози периндоприл.</w:t>
      </w:r>
      <w:r w:rsidRPr="00F428C9">
        <w:rPr>
          <w:rFonts w:eastAsia="Times New Roman" w:cs="Arial"/>
          <w:color w:val="000000"/>
          <w:lang w:val="ru-RU" w:eastAsia="bg-BG"/>
        </w:rPr>
        <w:t xml:space="preserve"> </w:t>
      </w:r>
      <w:r w:rsidRPr="00F428C9">
        <w:rPr>
          <w:rFonts w:eastAsia="Times New Roman" w:cs="Arial"/>
          <w:i/>
          <w:iCs/>
          <w:color w:val="000000"/>
          <w:lang w:eastAsia="bg-BG"/>
        </w:rPr>
        <w:t>При артериална хипертония,</w:t>
      </w:r>
      <w:r w:rsidRPr="00F428C9">
        <w:rPr>
          <w:rFonts w:eastAsia="Times New Roman" w:cs="Arial"/>
          <w:color w:val="000000"/>
          <w:lang w:eastAsia="bg-BG"/>
        </w:rPr>
        <w:t xml:space="preserve"> когато предишно лечение с диуретик може да е причинило загуба на соли/обем, трябва или преди започването на АСЕ-инхибитор да се спре диуретикът (в такъв случай впоследствие може повторно да се въведе калий-несъхраняващ диуретик), или приемът на АСЕинхибитор да се започне с ниска доза и прогресивно да нараства.</w:t>
      </w:r>
      <w:r w:rsidRPr="00F428C9">
        <w:rPr>
          <w:rFonts w:eastAsia="Times New Roman" w:cs="Arial"/>
          <w:color w:val="000000"/>
          <w:lang w:val="ru-RU" w:eastAsia="bg-BG"/>
        </w:rPr>
        <w:t xml:space="preserve"> </w:t>
      </w:r>
      <w:r w:rsidRPr="00F428C9">
        <w:rPr>
          <w:rFonts w:eastAsia="Times New Roman" w:cs="Arial"/>
          <w:i/>
          <w:iCs/>
          <w:color w:val="000000"/>
          <w:lang w:eastAsia="bg-BG"/>
        </w:rPr>
        <w:t>При конгестивна сърдечна недостатъчност, лекувана с диуретик,</w:t>
      </w:r>
      <w:r w:rsidRPr="00F428C9">
        <w:rPr>
          <w:rFonts w:eastAsia="Times New Roman" w:cs="Arial"/>
          <w:color w:val="000000"/>
          <w:lang w:eastAsia="bg-BG"/>
        </w:rPr>
        <w:t xml:space="preserve"> приемът на АСЕ-инхибитор трябва да започне с много ниска доза, по възможност след намаляване на дозата на свързания калий-несъхраняващ диуретик.</w:t>
      </w:r>
      <w:r w:rsidRPr="00F428C9">
        <w:rPr>
          <w:rFonts w:eastAsia="Times New Roman" w:cs="Arial"/>
          <w:color w:val="000000"/>
          <w:lang w:val="ru-RU" w:eastAsia="bg-BG"/>
        </w:rPr>
        <w:t xml:space="preserve"> </w:t>
      </w:r>
      <w:r w:rsidRPr="00F428C9">
        <w:rPr>
          <w:rFonts w:eastAsia="Times New Roman" w:cs="Arial"/>
          <w:color w:val="000000"/>
          <w:lang w:eastAsia="bg-BG"/>
        </w:rPr>
        <w:t>Във всички случаи трябва да се наблюдава бъбречната функция (нивата на креатинин) през първите няколко седмици на лечението с АСЕ-инхибитор.</w:t>
      </w:r>
    </w:p>
    <w:p w14:paraId="0D63F8C7" w14:textId="4AC23925" w:rsidR="00F428C9" w:rsidRPr="00F428C9" w:rsidRDefault="00F428C9" w:rsidP="00F428C9">
      <w:pPr>
        <w:pStyle w:val="ListParagraph"/>
        <w:numPr>
          <w:ilvl w:val="0"/>
          <w:numId w:val="39"/>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Калий-съхраняващи диуретици (еплеренон, спиронолактон): </w:t>
      </w:r>
      <w:r w:rsidRPr="00F428C9">
        <w:rPr>
          <w:rFonts w:eastAsia="Times New Roman" w:cs="Arial"/>
          <w:color w:val="000000"/>
          <w:lang w:eastAsia="bg-BG"/>
        </w:rPr>
        <w:t xml:space="preserve">С еплеренон или спиронолактон в ниски дози от 12,5 до 50 </w:t>
      </w:r>
      <w:r w:rsidRPr="00F428C9">
        <w:rPr>
          <w:rFonts w:eastAsia="Times New Roman" w:cs="Arial"/>
          <w:color w:val="000000"/>
          <w:lang w:val="en-US"/>
        </w:rPr>
        <w:t>mg</w:t>
      </w:r>
      <w:r w:rsidRPr="00F428C9">
        <w:rPr>
          <w:rFonts w:eastAsia="Times New Roman" w:cs="Arial"/>
          <w:color w:val="000000"/>
          <w:lang w:val="ru-RU"/>
        </w:rPr>
        <w:t xml:space="preserve"> </w:t>
      </w:r>
      <w:r w:rsidRPr="00F428C9">
        <w:rPr>
          <w:rFonts w:eastAsia="Times New Roman" w:cs="Arial"/>
          <w:color w:val="000000"/>
          <w:lang w:eastAsia="bg-BG"/>
        </w:rPr>
        <w:t xml:space="preserve">на ден и с АСЕ-инхибитори в ниски дози: При лечение на сърдечна недостатъчност от клас </w:t>
      </w:r>
      <w:r w:rsidRPr="00F428C9">
        <w:rPr>
          <w:rFonts w:eastAsia="Times New Roman" w:cs="Arial"/>
          <w:color w:val="000000"/>
          <w:lang w:val="en-US"/>
        </w:rPr>
        <w:t>II</w:t>
      </w:r>
      <w:r w:rsidRPr="00F428C9">
        <w:rPr>
          <w:rFonts w:eastAsia="Times New Roman" w:cs="Arial"/>
          <w:color w:val="000000"/>
          <w:lang w:val="ru-RU"/>
        </w:rPr>
        <w:t>-</w:t>
      </w:r>
      <w:r w:rsidRPr="00F428C9">
        <w:rPr>
          <w:rFonts w:eastAsia="Times New Roman" w:cs="Arial"/>
          <w:color w:val="000000"/>
          <w:lang w:val="en-US"/>
        </w:rPr>
        <w:t>IV</w:t>
      </w:r>
      <w:r w:rsidRPr="00F428C9">
        <w:rPr>
          <w:rFonts w:eastAsia="Times New Roman" w:cs="Arial"/>
          <w:color w:val="000000"/>
          <w:lang w:val="ru-RU"/>
        </w:rPr>
        <w:t xml:space="preserve"> (</w:t>
      </w:r>
      <w:r w:rsidRPr="00F428C9">
        <w:rPr>
          <w:rFonts w:eastAsia="Times New Roman" w:cs="Arial"/>
          <w:color w:val="000000"/>
          <w:lang w:val="en-US"/>
        </w:rPr>
        <w:t>NYHA</w:t>
      </w:r>
      <w:r w:rsidRPr="00F428C9">
        <w:rPr>
          <w:rFonts w:eastAsia="Times New Roman" w:cs="Arial"/>
          <w:color w:val="000000"/>
          <w:lang w:val="ru-RU"/>
        </w:rPr>
        <w:t xml:space="preserve">) </w:t>
      </w:r>
      <w:r w:rsidRPr="00F428C9">
        <w:rPr>
          <w:rFonts w:eastAsia="Times New Roman" w:cs="Arial"/>
          <w:color w:val="000000"/>
          <w:lang w:eastAsia="bg-BG"/>
        </w:rPr>
        <w:t>с фракция на изтласкване &lt; 40% и предишно лечение с АСЕ-инхибитори и бримкови диуретици съществува риск от потенциално фатална хиперкалиемия, особено при неспазване на предписаните препоръки за тази комбинация.</w:t>
      </w:r>
      <w:r w:rsidRPr="00F428C9">
        <w:rPr>
          <w:rFonts w:eastAsia="Times New Roman" w:cs="Arial"/>
          <w:color w:val="000000"/>
          <w:lang w:val="ru-RU" w:eastAsia="bg-BG"/>
        </w:rPr>
        <w:t xml:space="preserve"> </w:t>
      </w:r>
      <w:r w:rsidRPr="00F428C9">
        <w:rPr>
          <w:rFonts w:eastAsia="Times New Roman" w:cs="Arial"/>
          <w:color w:val="000000"/>
          <w:lang w:eastAsia="bg-BG"/>
        </w:rPr>
        <w:t>Преди да започнете комбинираното лечение, проверете отсъствието на хиперкалиемия и нарушена бъбречнафункция.</w:t>
      </w:r>
      <w:r w:rsidRPr="00F428C9">
        <w:rPr>
          <w:rFonts w:eastAsia="Times New Roman" w:cs="Arial"/>
          <w:color w:val="000000"/>
          <w:lang w:val="ru-RU" w:eastAsia="bg-BG"/>
        </w:rPr>
        <w:t xml:space="preserve"> </w:t>
      </w:r>
      <w:r w:rsidRPr="00F428C9">
        <w:rPr>
          <w:rFonts w:eastAsia="Times New Roman" w:cs="Arial"/>
          <w:color w:val="000000"/>
          <w:lang w:eastAsia="bg-BG"/>
        </w:rPr>
        <w:t>Препоръчва се непосредствено наблюдение за калиемия и креатининемия ежеседмично през първия месец от лечението и ежемесечно впоследствие.</w:t>
      </w:r>
    </w:p>
    <w:p w14:paraId="397BC777" w14:textId="77777777" w:rsidR="00F428C9" w:rsidRPr="00F428C9" w:rsidRDefault="00F428C9" w:rsidP="00F428C9">
      <w:pPr>
        <w:spacing w:line="240" w:lineRule="auto"/>
        <w:rPr>
          <w:rFonts w:eastAsia="Times New Roman" w:cs="Arial"/>
          <w:b/>
          <w:bCs/>
          <w:i/>
          <w:iCs/>
          <w:color w:val="000000"/>
          <w:u w:val="single"/>
          <w:lang w:eastAsia="bg-BG"/>
        </w:rPr>
      </w:pPr>
    </w:p>
    <w:p w14:paraId="4F4B9573" w14:textId="1B7A2F78"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Комбинаиии, които изискват внимание:</w:t>
      </w:r>
    </w:p>
    <w:p w14:paraId="376F48E0" w14:textId="77777777"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lastRenderedPageBreak/>
        <w:t xml:space="preserve">Антнхипертензивни средства и вазодилататорн: </w:t>
      </w:r>
      <w:r w:rsidRPr="00F428C9">
        <w:rPr>
          <w:rFonts w:eastAsia="Times New Roman" w:cs="Arial"/>
          <w:color w:val="000000"/>
          <w:lang w:eastAsia="bg-BG"/>
        </w:rPr>
        <w:t>Едновременната употреба на тези вещества може да увеличи хипотоничното действие на периндоприл. Комбинирането с нитроглицерин и други нитрати или други вазодилататорн може допълнително да понижи кръвното налягане.</w:t>
      </w:r>
    </w:p>
    <w:p w14:paraId="5A081FCD" w14:textId="77777777"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Алопуринол, цнтостатични или имуносупресивни препарати, кортнкостероидн за системна употреба или прокаииамид: </w:t>
      </w:r>
      <w:r w:rsidRPr="00F428C9">
        <w:rPr>
          <w:rFonts w:eastAsia="Times New Roman" w:cs="Arial"/>
          <w:color w:val="000000"/>
          <w:lang w:eastAsia="bg-BG"/>
        </w:rPr>
        <w:t>Едновременното приложение с АСЕ-инхибитори може да доведе до засилен риск от левкопения.</w:t>
      </w:r>
    </w:p>
    <w:p w14:paraId="6A61C075" w14:textId="77777777"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Анестетици: </w:t>
      </w:r>
      <w:r w:rsidRPr="00F428C9">
        <w:rPr>
          <w:rFonts w:eastAsia="Times New Roman" w:cs="Arial"/>
          <w:color w:val="000000"/>
          <w:lang w:eastAsia="bg-BG"/>
        </w:rPr>
        <w:t>АСЕ-инхибиторите могат да засилят хипотензивните ефекти на някои анестетици.</w:t>
      </w:r>
    </w:p>
    <w:p w14:paraId="406446F3" w14:textId="77777777"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Диуретици (тиазидни или бримкови диуретици): </w:t>
      </w:r>
      <w:r w:rsidRPr="00F428C9">
        <w:rPr>
          <w:rFonts w:eastAsia="Times New Roman" w:cs="Arial"/>
          <w:color w:val="000000"/>
          <w:lang w:eastAsia="bg-BG"/>
        </w:rPr>
        <w:t>предшестващото лечение с ди</w:t>
      </w:r>
      <w:r w:rsidRPr="00F428C9">
        <w:rPr>
          <w:rFonts w:eastAsia="Times New Roman" w:cs="Arial"/>
          <w:color w:val="000000"/>
          <w:u w:val="single"/>
          <w:lang w:eastAsia="bg-BG"/>
        </w:rPr>
        <w:t>уретиц</w:t>
      </w:r>
      <w:r w:rsidRPr="00F428C9">
        <w:rPr>
          <w:rFonts w:eastAsia="Times New Roman" w:cs="Arial"/>
          <w:color w:val="000000"/>
          <w:lang w:eastAsia="bg-BG"/>
        </w:rPr>
        <w:t>и във високи дози може да доведе до дехидратация и до риск от хипотония, когато се започне лечение с периндоприл.</w:t>
      </w:r>
    </w:p>
    <w:p w14:paraId="6C85944B" w14:textId="77777777"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Симпатомиметици: </w:t>
      </w:r>
      <w:r w:rsidRPr="00F428C9">
        <w:rPr>
          <w:rFonts w:eastAsia="Times New Roman" w:cs="Arial"/>
          <w:color w:val="000000"/>
          <w:lang w:eastAsia="bg-BG"/>
        </w:rPr>
        <w:t>Симпатомиметиците могат да намалят антихипертензивното действие на АСЕ-инхибиторите.</w:t>
      </w:r>
    </w:p>
    <w:p w14:paraId="33627115" w14:textId="77AABF9B" w:rsidR="00F428C9" w:rsidRPr="00F428C9" w:rsidRDefault="00F428C9" w:rsidP="00F428C9">
      <w:pPr>
        <w:pStyle w:val="ListParagraph"/>
        <w:numPr>
          <w:ilvl w:val="0"/>
          <w:numId w:val="40"/>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Златни препарати: </w:t>
      </w:r>
      <w:r w:rsidRPr="00F428C9">
        <w:rPr>
          <w:rFonts w:eastAsia="Times New Roman" w:cs="Arial"/>
          <w:color w:val="000000"/>
          <w:lang w:eastAsia="bg-BG"/>
        </w:rPr>
        <w:t>има редки съобщения за нитритоидни реакции (симптоматиката включва зачервяване на лицето, гадене, повръщане и хипотония) при пациенти, провеждащи лечение с инжекционни златни препарати (натриев ауротиомалат) едновременно с АСЕ-инхибитор, включително периндоприл.</w:t>
      </w:r>
    </w:p>
    <w:p w14:paraId="47EF0F41" w14:textId="77777777" w:rsidR="00F428C9" w:rsidRPr="00F428C9" w:rsidRDefault="00F428C9" w:rsidP="00F428C9">
      <w:pPr>
        <w:spacing w:line="240" w:lineRule="auto"/>
        <w:rPr>
          <w:rFonts w:eastAsia="Times New Roman" w:cs="Arial"/>
          <w:i/>
          <w:iCs/>
          <w:color w:val="000000"/>
          <w:u w:val="single"/>
          <w:lang w:eastAsia="bg-BG"/>
        </w:rPr>
      </w:pPr>
    </w:p>
    <w:p w14:paraId="6298F550" w14:textId="5B96EC2B" w:rsidR="00F428C9" w:rsidRPr="00F428C9" w:rsidRDefault="00F428C9" w:rsidP="00F428C9">
      <w:pPr>
        <w:spacing w:line="240" w:lineRule="auto"/>
        <w:rPr>
          <w:rFonts w:eastAsia="Times New Roman" w:cs="Arial"/>
        </w:rPr>
      </w:pPr>
      <w:r w:rsidRPr="00F428C9">
        <w:rPr>
          <w:rFonts w:eastAsia="Times New Roman" w:cs="Arial"/>
          <w:i/>
          <w:iCs/>
          <w:color w:val="000000"/>
          <w:u w:val="single"/>
          <w:lang w:eastAsia="bg-BG"/>
        </w:rPr>
        <w:t>Свързани с индапамид:</w:t>
      </w:r>
    </w:p>
    <w:p w14:paraId="74A88B26" w14:textId="77777777" w:rsidR="00F428C9" w:rsidRPr="00F428C9" w:rsidRDefault="00F428C9" w:rsidP="00F428C9">
      <w:pPr>
        <w:spacing w:line="240" w:lineRule="auto"/>
        <w:rPr>
          <w:rFonts w:eastAsia="Times New Roman" w:cs="Arial"/>
          <w:b/>
          <w:bCs/>
          <w:i/>
          <w:iCs/>
          <w:color w:val="000000"/>
          <w:u w:val="single"/>
          <w:lang w:eastAsia="bg-BG"/>
        </w:rPr>
      </w:pPr>
    </w:p>
    <w:p w14:paraId="2107F13B" w14:textId="3928FE17"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изискващи специално внимание:</w:t>
      </w:r>
    </w:p>
    <w:p w14:paraId="062EDE3F" w14:textId="77777777" w:rsidR="00F428C9" w:rsidRPr="00F428C9" w:rsidRDefault="00F428C9" w:rsidP="00F428C9">
      <w:pPr>
        <w:pStyle w:val="ListParagraph"/>
        <w:numPr>
          <w:ilvl w:val="0"/>
          <w:numId w:val="41"/>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Лекарствени средства, предизвикващи </w:t>
      </w:r>
      <w:proofErr w:type="spellStart"/>
      <w:r w:rsidRPr="00F428C9">
        <w:rPr>
          <w:rFonts w:eastAsia="Times New Roman" w:cs="Arial"/>
          <w:b/>
          <w:bCs/>
          <w:color w:val="000000"/>
          <w:lang w:val="en-US"/>
        </w:rPr>
        <w:t>torsades</w:t>
      </w:r>
      <w:proofErr w:type="spellEnd"/>
      <w:r w:rsidRPr="00F428C9">
        <w:rPr>
          <w:rFonts w:eastAsia="Times New Roman" w:cs="Arial"/>
          <w:b/>
          <w:bCs/>
          <w:color w:val="000000"/>
          <w:lang w:val="ru-RU"/>
        </w:rPr>
        <w:t xml:space="preserve"> </w:t>
      </w:r>
      <w:r w:rsidRPr="00F428C9">
        <w:rPr>
          <w:rFonts w:eastAsia="Times New Roman" w:cs="Arial"/>
          <w:b/>
          <w:bCs/>
          <w:color w:val="000000"/>
          <w:lang w:val="en-US"/>
        </w:rPr>
        <w:t>de</w:t>
      </w:r>
      <w:r w:rsidRPr="00F428C9">
        <w:rPr>
          <w:rFonts w:eastAsia="Times New Roman" w:cs="Arial"/>
          <w:b/>
          <w:bCs/>
          <w:color w:val="000000"/>
          <w:lang w:val="ru-RU"/>
        </w:rPr>
        <w:t xml:space="preserve"> </w:t>
      </w:r>
      <w:r w:rsidRPr="00F428C9">
        <w:rPr>
          <w:rFonts w:eastAsia="Times New Roman" w:cs="Arial"/>
          <w:b/>
          <w:bCs/>
          <w:color w:val="000000"/>
          <w:lang w:val="en-US"/>
        </w:rPr>
        <w:t>pointes</w:t>
      </w:r>
      <w:r w:rsidRPr="00F428C9">
        <w:rPr>
          <w:rFonts w:eastAsia="Times New Roman" w:cs="Arial"/>
          <w:b/>
          <w:bCs/>
          <w:color w:val="000000"/>
          <w:lang w:val="ru-RU"/>
        </w:rPr>
        <w:t xml:space="preserve">: </w:t>
      </w:r>
      <w:r w:rsidRPr="00F428C9">
        <w:rPr>
          <w:rFonts w:eastAsia="Times New Roman" w:cs="Arial"/>
          <w:color w:val="000000"/>
          <w:lang w:eastAsia="bg-BG"/>
        </w:rPr>
        <w:t xml:space="preserve">Поради риска от хипокалиемия, индапамид трябва да се прилага с повишено внимание, когато се комбинира с лекарствени продукти, предизвикващи </w:t>
      </w:r>
      <w:proofErr w:type="spellStart"/>
      <w:r w:rsidRPr="00F428C9">
        <w:rPr>
          <w:rFonts w:eastAsia="Times New Roman" w:cs="Arial"/>
          <w:color w:val="000000"/>
          <w:lang w:val="en-US"/>
        </w:rPr>
        <w:t>torsades</w:t>
      </w:r>
      <w:proofErr w:type="spellEnd"/>
      <w:r w:rsidRPr="00F428C9">
        <w:rPr>
          <w:rFonts w:eastAsia="Times New Roman" w:cs="Arial"/>
          <w:color w:val="000000"/>
          <w:lang w:val="ru-RU"/>
        </w:rPr>
        <w:t xml:space="preserve"> </w:t>
      </w:r>
      <w:r w:rsidRPr="00F428C9">
        <w:rPr>
          <w:rFonts w:eastAsia="Times New Roman" w:cs="Arial"/>
          <w:color w:val="000000"/>
          <w:lang w:val="en-US"/>
        </w:rPr>
        <w:t>de</w:t>
      </w:r>
      <w:r w:rsidRPr="00F428C9">
        <w:rPr>
          <w:rFonts w:eastAsia="Times New Roman" w:cs="Arial"/>
          <w:color w:val="000000"/>
          <w:lang w:val="ru-RU"/>
        </w:rPr>
        <w:t xml:space="preserve"> </w:t>
      </w:r>
      <w:r w:rsidRPr="00F428C9">
        <w:rPr>
          <w:rFonts w:eastAsia="Times New Roman" w:cs="Arial"/>
          <w:color w:val="000000"/>
          <w:lang w:val="en-US"/>
        </w:rPr>
        <w:t>pointes</w:t>
      </w:r>
      <w:r w:rsidRPr="00F428C9">
        <w:rPr>
          <w:rFonts w:eastAsia="Times New Roman" w:cs="Arial"/>
          <w:color w:val="000000"/>
          <w:lang w:val="ru-RU"/>
        </w:rPr>
        <w:t xml:space="preserve">, </w:t>
      </w:r>
      <w:r w:rsidRPr="00F428C9">
        <w:rPr>
          <w:rFonts w:eastAsia="Times New Roman" w:cs="Arial"/>
          <w:color w:val="000000"/>
          <w:lang w:eastAsia="bg-BG"/>
        </w:rPr>
        <w:t>като, но не само:</w:t>
      </w:r>
    </w:p>
    <w:p w14:paraId="4F9F5EFE" w14:textId="77777777" w:rsidR="00F428C9" w:rsidRPr="00F428C9" w:rsidRDefault="00F428C9" w:rsidP="00F428C9">
      <w:pPr>
        <w:pStyle w:val="ListParagraph"/>
        <w:numPr>
          <w:ilvl w:val="0"/>
          <w:numId w:val="41"/>
        </w:numPr>
        <w:spacing w:line="240" w:lineRule="auto"/>
        <w:rPr>
          <w:rFonts w:eastAsia="Times New Roman" w:cs="Arial"/>
          <w:b/>
          <w:bCs/>
          <w:color w:val="000000"/>
          <w:lang w:eastAsia="bg-BG"/>
        </w:rPr>
      </w:pPr>
      <w:r w:rsidRPr="00F428C9">
        <w:rPr>
          <w:rFonts w:eastAsia="Times New Roman" w:cs="Arial"/>
          <w:color w:val="000000"/>
          <w:lang w:eastAsia="bg-BG"/>
        </w:rPr>
        <w:t>клас 1а антиаритмични средства (напр. хинидин, хидрохинидин, дизопирамид),</w:t>
      </w:r>
    </w:p>
    <w:p w14:paraId="0EDAC779" w14:textId="77777777" w:rsidR="00F428C9" w:rsidRPr="00F428C9" w:rsidRDefault="00F428C9" w:rsidP="00F428C9">
      <w:pPr>
        <w:pStyle w:val="ListParagraph"/>
        <w:numPr>
          <w:ilvl w:val="0"/>
          <w:numId w:val="41"/>
        </w:numPr>
        <w:spacing w:line="240" w:lineRule="auto"/>
        <w:rPr>
          <w:rFonts w:eastAsia="Times New Roman" w:cs="Arial"/>
          <w:b/>
          <w:bCs/>
          <w:color w:val="000000"/>
          <w:lang w:eastAsia="bg-BG"/>
        </w:rPr>
      </w:pPr>
      <w:r w:rsidRPr="00F428C9">
        <w:rPr>
          <w:rFonts w:eastAsia="Times New Roman" w:cs="Arial"/>
          <w:color w:val="000000"/>
          <w:lang w:eastAsia="bg-BG"/>
        </w:rPr>
        <w:t xml:space="preserve">клас </w:t>
      </w:r>
      <w:r w:rsidRPr="00F428C9">
        <w:rPr>
          <w:rFonts w:eastAsia="Times New Roman" w:cs="Arial"/>
          <w:color w:val="000000"/>
          <w:lang w:val="en-US"/>
        </w:rPr>
        <w:t>III</w:t>
      </w:r>
      <w:r w:rsidRPr="00F428C9">
        <w:rPr>
          <w:rFonts w:eastAsia="Times New Roman" w:cs="Arial"/>
          <w:color w:val="000000"/>
          <w:lang w:eastAsia="bg-BG"/>
        </w:rPr>
        <w:t xml:space="preserve"> антиаритмични средства (напр. амиодарон, дофетилид, ибутилид, бретилиум, соталол),</w:t>
      </w:r>
    </w:p>
    <w:p w14:paraId="1855DE03" w14:textId="0B27BF19" w:rsidR="00F428C9" w:rsidRPr="00F428C9" w:rsidRDefault="00F428C9" w:rsidP="00F428C9">
      <w:pPr>
        <w:pStyle w:val="ListParagraph"/>
        <w:numPr>
          <w:ilvl w:val="0"/>
          <w:numId w:val="41"/>
        </w:numPr>
        <w:spacing w:line="240" w:lineRule="auto"/>
        <w:rPr>
          <w:rFonts w:eastAsia="Times New Roman" w:cs="Arial"/>
          <w:b/>
          <w:bCs/>
          <w:color w:val="000000"/>
          <w:lang w:eastAsia="bg-BG"/>
        </w:rPr>
      </w:pPr>
      <w:r w:rsidRPr="00F428C9">
        <w:rPr>
          <w:rFonts w:eastAsia="Times New Roman" w:cs="Arial"/>
          <w:color w:val="000000"/>
          <w:lang w:eastAsia="bg-BG"/>
        </w:rPr>
        <w:t>някои антипсихотици</w:t>
      </w:r>
    </w:p>
    <w:p w14:paraId="3132D03D" w14:textId="77777777" w:rsidR="00F428C9" w:rsidRPr="00F428C9" w:rsidRDefault="00F428C9" w:rsidP="00F428C9">
      <w:pPr>
        <w:spacing w:line="240" w:lineRule="auto"/>
        <w:rPr>
          <w:rFonts w:eastAsia="Times New Roman" w:cs="Arial"/>
        </w:rPr>
      </w:pPr>
      <w:r w:rsidRPr="00F428C9">
        <w:rPr>
          <w:rFonts w:eastAsia="Times New Roman" w:cs="Arial"/>
          <w:color w:val="000000"/>
          <w:lang w:eastAsia="bg-BG"/>
        </w:rPr>
        <w:t>фенотиазини (напр. хлорпромазин, циамемазин, левомепромазин, тиоридазин, трифлуоперазин), бензамиди (напр. амисулприд, сулпирид, султоприд, тиаприд), бутирофенони (напр. дроперидол, халоперидол), други антипсихотици (напр. примозид),</w:t>
      </w:r>
    </w:p>
    <w:p w14:paraId="056B8204" w14:textId="641D3959" w:rsidR="00F428C9" w:rsidRPr="00F428C9" w:rsidRDefault="00F428C9" w:rsidP="00F428C9">
      <w:pPr>
        <w:pStyle w:val="ListParagraph"/>
        <w:numPr>
          <w:ilvl w:val="0"/>
          <w:numId w:val="42"/>
        </w:numPr>
        <w:spacing w:line="240" w:lineRule="auto"/>
        <w:rPr>
          <w:rFonts w:eastAsia="Times New Roman" w:cs="Arial"/>
        </w:rPr>
      </w:pPr>
      <w:r w:rsidRPr="00F428C9">
        <w:rPr>
          <w:rFonts w:eastAsia="Times New Roman" w:cs="Arial"/>
          <w:color w:val="000000"/>
          <w:lang w:eastAsia="bg-BG"/>
        </w:rPr>
        <w:t xml:space="preserve">други субстанции (напр. бепридил, цизаприд, дифеманил, еритромицин </w:t>
      </w:r>
      <w:proofErr w:type="spellStart"/>
      <w:r w:rsidRPr="00F428C9">
        <w:rPr>
          <w:rFonts w:eastAsia="Times New Roman" w:cs="Arial"/>
          <w:color w:val="000000"/>
          <w:lang w:val="en-US"/>
        </w:rPr>
        <w:t>i</w:t>
      </w:r>
      <w:proofErr w:type="spellEnd"/>
      <w:r w:rsidRPr="00F428C9">
        <w:rPr>
          <w:rFonts w:eastAsia="Times New Roman" w:cs="Arial"/>
          <w:color w:val="000000"/>
        </w:rPr>
        <w:t>.</w:t>
      </w:r>
      <w:r w:rsidRPr="00F428C9">
        <w:rPr>
          <w:rFonts w:eastAsia="Times New Roman" w:cs="Arial"/>
          <w:color w:val="000000"/>
          <w:lang w:val="en-US"/>
        </w:rPr>
        <w:t>v</w:t>
      </w:r>
      <w:r w:rsidRPr="00F428C9">
        <w:rPr>
          <w:rFonts w:eastAsia="Times New Roman" w:cs="Arial"/>
          <w:color w:val="000000"/>
        </w:rPr>
        <w:t xml:space="preserve">., </w:t>
      </w:r>
      <w:r w:rsidRPr="00F428C9">
        <w:rPr>
          <w:rFonts w:eastAsia="Times New Roman" w:cs="Arial"/>
          <w:color w:val="000000"/>
          <w:lang w:eastAsia="bg-BG"/>
        </w:rPr>
        <w:t xml:space="preserve">халофантрин, мизоластин, моксифлоксацин, пентамидин, спарфлоксацин, винкамин </w:t>
      </w:r>
      <w:proofErr w:type="spellStart"/>
      <w:r w:rsidRPr="00F428C9">
        <w:rPr>
          <w:rFonts w:eastAsia="Times New Roman" w:cs="Arial"/>
          <w:color w:val="000000"/>
          <w:lang w:val="en-US"/>
        </w:rPr>
        <w:t>i</w:t>
      </w:r>
      <w:proofErr w:type="spellEnd"/>
      <w:r w:rsidRPr="00F428C9">
        <w:rPr>
          <w:rFonts w:eastAsia="Times New Roman" w:cs="Arial"/>
          <w:color w:val="000000"/>
        </w:rPr>
        <w:t>.</w:t>
      </w:r>
      <w:r w:rsidRPr="00F428C9">
        <w:rPr>
          <w:rFonts w:eastAsia="Times New Roman" w:cs="Arial"/>
          <w:color w:val="000000"/>
          <w:lang w:val="en-US"/>
        </w:rPr>
        <w:t>v</w:t>
      </w:r>
      <w:r w:rsidRPr="00F428C9">
        <w:rPr>
          <w:rFonts w:eastAsia="Times New Roman" w:cs="Arial"/>
          <w:color w:val="000000"/>
        </w:rPr>
        <w:t xml:space="preserve">., </w:t>
      </w:r>
      <w:r w:rsidRPr="00F428C9">
        <w:rPr>
          <w:rFonts w:eastAsia="Times New Roman" w:cs="Arial"/>
          <w:color w:val="000000"/>
          <w:lang w:eastAsia="bg-BG"/>
        </w:rPr>
        <w:t>метадон, астемизол, терфенадин).</w:t>
      </w:r>
    </w:p>
    <w:p w14:paraId="7B9FAB43" w14:textId="77777777" w:rsidR="00F428C9" w:rsidRPr="00F428C9" w:rsidRDefault="00F428C9" w:rsidP="00F428C9">
      <w:pPr>
        <w:spacing w:line="240" w:lineRule="auto"/>
        <w:rPr>
          <w:rFonts w:eastAsia="Times New Roman" w:cs="Arial"/>
          <w:color w:val="000000"/>
          <w:lang w:eastAsia="bg-BG"/>
        </w:rPr>
      </w:pPr>
    </w:p>
    <w:p w14:paraId="08677C5E" w14:textId="11A82BA9" w:rsidR="00F428C9" w:rsidRPr="00F428C9" w:rsidRDefault="00F428C9" w:rsidP="00F428C9">
      <w:pPr>
        <w:spacing w:line="240" w:lineRule="auto"/>
        <w:rPr>
          <w:rFonts w:eastAsia="Times New Roman" w:cs="Arial"/>
        </w:rPr>
      </w:pPr>
      <w:r w:rsidRPr="00F428C9">
        <w:rPr>
          <w:rFonts w:eastAsia="Times New Roman" w:cs="Arial"/>
          <w:color w:val="000000"/>
          <w:lang w:eastAsia="bg-BG"/>
        </w:rPr>
        <w:t xml:space="preserve">Превенция на хипокалиемията и при нужда контрол на </w:t>
      </w:r>
      <w:r w:rsidRPr="00F428C9">
        <w:rPr>
          <w:rFonts w:eastAsia="Times New Roman" w:cs="Arial"/>
          <w:color w:val="000000"/>
          <w:lang w:val="en-US"/>
        </w:rPr>
        <w:t>QT</w:t>
      </w:r>
      <w:r w:rsidRPr="00F428C9">
        <w:rPr>
          <w:rFonts w:eastAsia="Times New Roman" w:cs="Arial"/>
          <w:color w:val="000000"/>
          <w:lang w:val="ru-RU"/>
        </w:rPr>
        <w:t xml:space="preserve"> </w:t>
      </w:r>
      <w:r w:rsidRPr="00F428C9">
        <w:rPr>
          <w:rFonts w:eastAsia="Times New Roman" w:cs="Arial"/>
          <w:color w:val="000000"/>
          <w:lang w:eastAsia="bg-BG"/>
        </w:rPr>
        <w:t>интервала.</w:t>
      </w:r>
    </w:p>
    <w:p w14:paraId="7E1C4749" w14:textId="77777777" w:rsidR="00F428C9" w:rsidRPr="00F428C9" w:rsidRDefault="00F428C9" w:rsidP="00F428C9">
      <w:pPr>
        <w:pStyle w:val="ListParagraph"/>
        <w:numPr>
          <w:ilvl w:val="0"/>
          <w:numId w:val="4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Калий-понижаващи средства: </w:t>
      </w:r>
      <w:r w:rsidRPr="00F428C9">
        <w:rPr>
          <w:rFonts w:eastAsia="Times New Roman" w:cs="Arial"/>
          <w:color w:val="000000"/>
          <w:lang w:eastAsia="bg-BG"/>
        </w:rPr>
        <w:t xml:space="preserve">амфотерицин Б </w:t>
      </w:r>
      <w:r w:rsidRPr="00F428C9">
        <w:rPr>
          <w:rFonts w:eastAsia="Times New Roman" w:cs="Arial"/>
          <w:color w:val="000000"/>
          <w:lang w:val="ru-RU"/>
        </w:rPr>
        <w:t>(</w:t>
      </w:r>
      <w:proofErr w:type="spellStart"/>
      <w:r w:rsidRPr="00F428C9">
        <w:rPr>
          <w:rFonts w:eastAsia="Times New Roman" w:cs="Arial"/>
          <w:color w:val="000000"/>
          <w:lang w:val="en-US"/>
        </w:rPr>
        <w:t>i</w:t>
      </w:r>
      <w:proofErr w:type="spellEnd"/>
      <w:r w:rsidRPr="00F428C9">
        <w:rPr>
          <w:rFonts w:eastAsia="Times New Roman" w:cs="Arial"/>
          <w:color w:val="000000"/>
          <w:lang w:val="ru-RU"/>
        </w:rPr>
        <w:t>.</w:t>
      </w:r>
      <w:r w:rsidRPr="00F428C9">
        <w:rPr>
          <w:rFonts w:eastAsia="Times New Roman" w:cs="Arial"/>
          <w:color w:val="000000"/>
          <w:lang w:val="en-US"/>
        </w:rPr>
        <w:t>v</w:t>
      </w:r>
      <w:r w:rsidRPr="00F428C9">
        <w:rPr>
          <w:rFonts w:eastAsia="Times New Roman" w:cs="Arial"/>
          <w:color w:val="000000"/>
          <w:lang w:val="ru-RU"/>
        </w:rPr>
        <w:t xml:space="preserve">. </w:t>
      </w:r>
      <w:r w:rsidRPr="00F428C9">
        <w:rPr>
          <w:rFonts w:eastAsia="Times New Roman" w:cs="Arial"/>
          <w:color w:val="000000"/>
          <w:lang w:eastAsia="bg-BG"/>
        </w:rPr>
        <w:t>приложение), глюкокортикоиди и минералкортикоиди (системно приложение), тетракозактид, лаксативни средства със стимулиращо действие: Повишен риск от хипокалиемия (адитивен ефект). Контрол и при нужда корекция на калиемията; специално внимание се изисква в случаите на лечение със сърдечни гликозиди. Трябва да се използват лаксативни средства без стимулиращо действие.</w:t>
      </w:r>
    </w:p>
    <w:p w14:paraId="6E048A9E" w14:textId="77777777" w:rsidR="00F428C9" w:rsidRPr="00F428C9" w:rsidRDefault="00F428C9" w:rsidP="00F428C9">
      <w:pPr>
        <w:pStyle w:val="ListParagraph"/>
        <w:numPr>
          <w:ilvl w:val="0"/>
          <w:numId w:val="4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Сърдечни гликозиди: </w:t>
      </w:r>
      <w:r w:rsidRPr="00F428C9">
        <w:rPr>
          <w:rFonts w:eastAsia="Times New Roman" w:cs="Arial"/>
          <w:color w:val="000000"/>
          <w:lang w:eastAsia="bg-BG"/>
        </w:rPr>
        <w:t>Хипокалиемията благоприятства токсичните ефекти на сърдечните гликозиди. Трябва да се контролира калия и ЕКГ и при нужда да се направи преоценка на лечението.</w:t>
      </w:r>
    </w:p>
    <w:p w14:paraId="6EBEA1A8" w14:textId="6CBEC7D1" w:rsidR="00F428C9" w:rsidRPr="00F428C9" w:rsidRDefault="00F428C9" w:rsidP="00F428C9">
      <w:pPr>
        <w:pStyle w:val="ListParagraph"/>
        <w:numPr>
          <w:ilvl w:val="0"/>
          <w:numId w:val="42"/>
        </w:numPr>
        <w:spacing w:line="240" w:lineRule="auto"/>
        <w:rPr>
          <w:rFonts w:eastAsia="Times New Roman" w:cs="Arial"/>
          <w:b/>
          <w:bCs/>
          <w:color w:val="000000"/>
          <w:lang w:eastAsia="bg-BG"/>
        </w:rPr>
      </w:pPr>
      <w:r w:rsidRPr="00F428C9">
        <w:rPr>
          <w:rFonts w:eastAsia="Times New Roman" w:cs="Arial"/>
          <w:b/>
          <w:bCs/>
          <w:color w:val="000000"/>
          <w:lang w:eastAsia="bg-BG"/>
        </w:rPr>
        <w:t xml:space="preserve">Алопуринол: </w:t>
      </w:r>
      <w:r w:rsidRPr="00F428C9">
        <w:rPr>
          <w:rFonts w:eastAsia="Times New Roman" w:cs="Arial"/>
          <w:color w:val="000000"/>
          <w:lang w:eastAsia="bg-BG"/>
        </w:rPr>
        <w:t>Комбинираното лечение с индапамид може да увеличи честотата на реакции на свръхчувствителност към алопуринол.</w:t>
      </w:r>
    </w:p>
    <w:p w14:paraId="1A241DDE" w14:textId="77777777" w:rsidR="00F428C9" w:rsidRPr="00F428C9" w:rsidRDefault="00F428C9" w:rsidP="00F428C9">
      <w:pPr>
        <w:spacing w:line="240" w:lineRule="auto"/>
        <w:rPr>
          <w:rFonts w:eastAsia="Times New Roman" w:cs="Arial"/>
          <w:b/>
          <w:bCs/>
          <w:i/>
          <w:iCs/>
          <w:color w:val="000000"/>
          <w:u w:val="single"/>
          <w:lang w:eastAsia="bg-BG"/>
        </w:rPr>
      </w:pPr>
    </w:p>
    <w:p w14:paraId="5DB4818E" w14:textId="77777777" w:rsidR="00F428C9" w:rsidRPr="00F428C9" w:rsidRDefault="00F428C9" w:rsidP="00F428C9">
      <w:pPr>
        <w:spacing w:line="240" w:lineRule="auto"/>
        <w:rPr>
          <w:rFonts w:eastAsia="Times New Roman" w:cs="Arial"/>
        </w:rPr>
      </w:pPr>
      <w:r w:rsidRPr="00F428C9">
        <w:rPr>
          <w:rFonts w:eastAsia="Times New Roman" w:cs="Arial"/>
          <w:b/>
          <w:bCs/>
          <w:i/>
          <w:iCs/>
          <w:color w:val="000000"/>
          <w:u w:val="single"/>
          <w:lang w:eastAsia="bg-BG"/>
        </w:rPr>
        <w:t>Комбинации, които изискват внимание:</w:t>
      </w:r>
    </w:p>
    <w:p w14:paraId="441045AF" w14:textId="77777777" w:rsidR="00F428C9" w:rsidRPr="00F428C9" w:rsidRDefault="00F428C9" w:rsidP="00F428C9">
      <w:pPr>
        <w:pStyle w:val="ListParagraph"/>
        <w:numPr>
          <w:ilvl w:val="0"/>
          <w:numId w:val="42"/>
        </w:numPr>
        <w:spacing w:line="240" w:lineRule="auto"/>
        <w:rPr>
          <w:rFonts w:eastAsia="Times New Roman" w:cs="Arial"/>
        </w:rPr>
      </w:pPr>
      <w:r w:rsidRPr="00F428C9">
        <w:rPr>
          <w:rFonts w:eastAsia="Times New Roman" w:cs="Arial"/>
          <w:b/>
          <w:bCs/>
          <w:color w:val="000000"/>
          <w:lang w:eastAsia="bg-BG"/>
        </w:rPr>
        <w:lastRenderedPageBreak/>
        <w:t xml:space="preserve">Метформин: </w:t>
      </w:r>
      <w:r w:rsidRPr="00F428C9">
        <w:rPr>
          <w:rFonts w:eastAsia="Times New Roman" w:cs="Arial"/>
          <w:color w:val="000000"/>
          <w:lang w:eastAsia="bg-BG"/>
        </w:rPr>
        <w:t xml:space="preserve">Лактатна ацидоза, дължаща се на метформин, причинена от евентуална функционална бъбречна недостатъчност във връзка с употреба на диуретици и особено бримкови диуретици. Да не се употребява метформин, ако плазменият креатинин надхвърля 15 </w:t>
      </w:r>
      <w:r w:rsidRPr="00F428C9">
        <w:rPr>
          <w:rFonts w:eastAsia="Times New Roman" w:cs="Arial"/>
          <w:color w:val="000000"/>
          <w:lang w:val="en-US"/>
        </w:rPr>
        <w:t>mg</w:t>
      </w:r>
      <w:r w:rsidRPr="00F428C9">
        <w:rPr>
          <w:rFonts w:eastAsia="Times New Roman" w:cs="Arial"/>
          <w:color w:val="000000"/>
          <w:lang w:val="ru-RU"/>
        </w:rPr>
        <w:t xml:space="preserve">/1 </w:t>
      </w:r>
      <w:r w:rsidRPr="00F428C9">
        <w:rPr>
          <w:rFonts w:eastAsia="Times New Roman" w:cs="Arial"/>
          <w:color w:val="000000"/>
          <w:lang w:eastAsia="bg-BG"/>
        </w:rPr>
        <w:t xml:space="preserve">(135 </w:t>
      </w:r>
      <w:proofErr w:type="spellStart"/>
      <w:r w:rsidRPr="00F428C9">
        <w:rPr>
          <w:rFonts w:eastAsia="Times New Roman" w:cs="Arial"/>
          <w:color w:val="000000"/>
          <w:lang w:val="en-US"/>
        </w:rPr>
        <w:t>micromol</w:t>
      </w:r>
      <w:proofErr w:type="spellEnd"/>
      <w:r w:rsidRPr="00F428C9">
        <w:rPr>
          <w:rFonts w:eastAsia="Times New Roman" w:cs="Arial"/>
          <w:color w:val="000000"/>
          <w:lang w:val="ru-RU"/>
        </w:rPr>
        <w:t xml:space="preserve">/1) </w:t>
      </w:r>
      <w:r w:rsidRPr="00F428C9">
        <w:rPr>
          <w:rFonts w:eastAsia="Times New Roman" w:cs="Arial"/>
          <w:color w:val="000000"/>
          <w:lang w:eastAsia="bg-BG"/>
        </w:rPr>
        <w:t xml:space="preserve">при мъже и 12 </w:t>
      </w:r>
      <w:r w:rsidRPr="00F428C9">
        <w:rPr>
          <w:rFonts w:eastAsia="Times New Roman" w:cs="Arial"/>
          <w:color w:val="000000"/>
          <w:lang w:val="en-US"/>
        </w:rPr>
        <w:t>mg</w:t>
      </w:r>
      <w:r w:rsidRPr="00F428C9">
        <w:rPr>
          <w:rFonts w:eastAsia="Times New Roman" w:cs="Arial"/>
          <w:color w:val="000000"/>
          <w:lang w:val="ru-RU"/>
        </w:rPr>
        <w:t xml:space="preserve">/1 </w:t>
      </w:r>
      <w:r w:rsidRPr="00F428C9">
        <w:rPr>
          <w:rFonts w:eastAsia="Times New Roman" w:cs="Arial"/>
          <w:color w:val="000000"/>
          <w:lang w:eastAsia="bg-BG"/>
        </w:rPr>
        <w:t xml:space="preserve">(110 </w:t>
      </w:r>
      <w:proofErr w:type="spellStart"/>
      <w:r w:rsidRPr="00F428C9">
        <w:rPr>
          <w:rFonts w:eastAsia="Times New Roman" w:cs="Arial"/>
          <w:color w:val="000000"/>
          <w:lang w:val="en-US"/>
        </w:rPr>
        <w:t>micromol</w:t>
      </w:r>
      <w:proofErr w:type="spellEnd"/>
      <w:r w:rsidRPr="00F428C9">
        <w:rPr>
          <w:rFonts w:eastAsia="Times New Roman" w:cs="Arial"/>
          <w:color w:val="000000"/>
          <w:lang w:val="ru-RU"/>
        </w:rPr>
        <w:t>/</w:t>
      </w:r>
      <w:r w:rsidRPr="00F428C9">
        <w:rPr>
          <w:rFonts w:eastAsia="Times New Roman" w:cs="Arial"/>
          <w:color w:val="000000"/>
          <w:lang w:val="en-US"/>
        </w:rPr>
        <w:t>l</w:t>
      </w:r>
      <w:r w:rsidRPr="00F428C9">
        <w:rPr>
          <w:rFonts w:eastAsia="Times New Roman" w:cs="Arial"/>
          <w:color w:val="000000"/>
          <w:lang w:val="ru-RU"/>
        </w:rPr>
        <w:t xml:space="preserve">) </w:t>
      </w:r>
      <w:r w:rsidRPr="00F428C9">
        <w:rPr>
          <w:rFonts w:eastAsia="Times New Roman" w:cs="Arial"/>
          <w:color w:val="000000"/>
          <w:lang w:eastAsia="bg-BG"/>
        </w:rPr>
        <w:t>при жени.</w:t>
      </w:r>
    </w:p>
    <w:p w14:paraId="4EAE1BDD" w14:textId="77777777" w:rsidR="00F428C9" w:rsidRPr="00F428C9" w:rsidRDefault="00F428C9" w:rsidP="00F428C9">
      <w:pPr>
        <w:pStyle w:val="ListParagraph"/>
        <w:numPr>
          <w:ilvl w:val="0"/>
          <w:numId w:val="42"/>
        </w:numPr>
        <w:spacing w:line="240" w:lineRule="auto"/>
        <w:rPr>
          <w:rFonts w:eastAsia="Times New Roman" w:cs="Arial"/>
        </w:rPr>
      </w:pPr>
      <w:r w:rsidRPr="00F428C9">
        <w:rPr>
          <w:rFonts w:eastAsia="Times New Roman" w:cs="Arial"/>
          <w:b/>
          <w:bCs/>
          <w:color w:val="000000"/>
          <w:lang w:eastAsia="bg-BG"/>
        </w:rPr>
        <w:t xml:space="preserve">Йод-съдържащи контрастни средства: </w:t>
      </w:r>
      <w:r w:rsidRPr="00F428C9">
        <w:rPr>
          <w:rFonts w:eastAsia="Times New Roman" w:cs="Arial"/>
          <w:color w:val="000000"/>
          <w:lang w:eastAsia="bg-BG"/>
        </w:rPr>
        <w:t>В случай на дехидратация, причинена от диуретици, съществува повишен риск от поява на остра бъбречна недостатъчност, особено при използването на високи дози йод-съдържащи контрастни средства. Трябва да се проведе рехидратация още преди въвеждането на йод-съдържащия препарат.</w:t>
      </w:r>
    </w:p>
    <w:p w14:paraId="216DEF47" w14:textId="77777777" w:rsidR="00F428C9" w:rsidRPr="00F428C9" w:rsidRDefault="00F428C9" w:rsidP="00F428C9">
      <w:pPr>
        <w:pStyle w:val="ListParagraph"/>
        <w:numPr>
          <w:ilvl w:val="0"/>
          <w:numId w:val="42"/>
        </w:numPr>
        <w:spacing w:line="240" w:lineRule="auto"/>
        <w:rPr>
          <w:rFonts w:eastAsia="Times New Roman" w:cs="Arial"/>
        </w:rPr>
      </w:pPr>
      <w:r w:rsidRPr="00F428C9">
        <w:rPr>
          <w:rFonts w:eastAsia="Times New Roman" w:cs="Arial"/>
          <w:b/>
          <w:bCs/>
          <w:color w:val="000000"/>
          <w:lang w:eastAsia="bg-BG"/>
        </w:rPr>
        <w:t xml:space="preserve">Калций (соли); </w:t>
      </w:r>
      <w:r w:rsidRPr="00F428C9">
        <w:rPr>
          <w:rFonts w:eastAsia="Times New Roman" w:cs="Arial"/>
          <w:color w:val="000000"/>
          <w:lang w:eastAsia="bg-BG"/>
        </w:rPr>
        <w:t>Риск от хиперкалциемия, поради повишение на калция във връзка с понижената бъбречна екскреция на калций.</w:t>
      </w:r>
    </w:p>
    <w:p w14:paraId="6A85C5EC" w14:textId="3801357E" w:rsidR="00F428C9" w:rsidRPr="00F428C9" w:rsidRDefault="00F428C9" w:rsidP="00F428C9">
      <w:pPr>
        <w:pStyle w:val="ListParagraph"/>
        <w:numPr>
          <w:ilvl w:val="0"/>
          <w:numId w:val="42"/>
        </w:numPr>
        <w:spacing w:line="240" w:lineRule="auto"/>
        <w:rPr>
          <w:rFonts w:eastAsia="Times New Roman" w:cs="Arial"/>
        </w:rPr>
      </w:pPr>
      <w:r w:rsidRPr="00F428C9">
        <w:rPr>
          <w:rFonts w:eastAsia="Times New Roman" w:cs="Arial"/>
          <w:b/>
          <w:bCs/>
          <w:color w:val="000000"/>
          <w:lang w:eastAsia="bg-BG"/>
        </w:rPr>
        <w:t xml:space="preserve">Циклоспорин: </w:t>
      </w:r>
      <w:r w:rsidRPr="00F428C9">
        <w:rPr>
          <w:rFonts w:eastAsia="Times New Roman" w:cs="Arial"/>
          <w:color w:val="000000"/>
          <w:lang w:eastAsia="bg-BG"/>
        </w:rPr>
        <w:t>Риск от повишаване на серумния креатинин без промяна в плазмените концентрации на циклоспорина, дори при отсъствие на загуба на соли и вода.</w:t>
      </w:r>
    </w:p>
    <w:p w14:paraId="1453E58E" w14:textId="77777777" w:rsidR="00F428C9" w:rsidRPr="00F428C9" w:rsidRDefault="00F428C9" w:rsidP="00F428C9">
      <w:pPr>
        <w:spacing w:line="240" w:lineRule="auto"/>
        <w:rPr>
          <w:rFonts w:ascii="Times New Roman" w:eastAsia="Times New Roman" w:hAnsi="Times New Roman" w:cs="Times New Roman"/>
          <w:b/>
          <w:bCs/>
          <w:color w:val="000000"/>
          <w:sz w:val="20"/>
          <w:szCs w:val="20"/>
          <w:lang w:eastAsia="bg-BG"/>
        </w:rPr>
      </w:pPr>
    </w:p>
    <w:p w14:paraId="394A7584" w14:textId="11813BBB" w:rsidR="004F498A" w:rsidRDefault="002C50EE" w:rsidP="004A448E">
      <w:pPr>
        <w:pStyle w:val="Heading2"/>
      </w:pPr>
      <w:r>
        <w:t>4.6. Фертилитет, бременност и кърмене</w:t>
      </w:r>
    </w:p>
    <w:p w14:paraId="25DD2C9B" w14:textId="31050E93" w:rsidR="00F428C9" w:rsidRDefault="00F428C9" w:rsidP="00F428C9"/>
    <w:p w14:paraId="1EAC0CC1"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Предвид ефектите на всяко едно от веществата в този комбиниран лекарствен продукт върху бременността и кърменето,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не се препоръчва през първото тримесечие от бременността.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е противопоказан по време на второто и третото тримесечие от бременността.</w:t>
      </w:r>
    </w:p>
    <w:p w14:paraId="49720FD2"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е противопоказан по време на кърмене. Трябва да се вземе решение дали да се спре кърменето или приема на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предвид важността на това лечение за майката.</w:t>
      </w:r>
    </w:p>
    <w:p w14:paraId="7B64E990" w14:textId="77777777" w:rsidR="00F428C9" w:rsidRPr="00F428C9" w:rsidRDefault="00F428C9" w:rsidP="00F428C9">
      <w:pPr>
        <w:spacing w:line="240" w:lineRule="auto"/>
        <w:rPr>
          <w:rFonts w:eastAsia="Times New Roman" w:cs="Arial"/>
          <w:b/>
          <w:bCs/>
          <w:color w:val="000000"/>
          <w:szCs w:val="20"/>
          <w:lang w:eastAsia="bg-BG"/>
        </w:rPr>
      </w:pPr>
      <w:bookmarkStart w:id="1" w:name="bookmark0"/>
    </w:p>
    <w:p w14:paraId="37D5BE9C" w14:textId="341742A8" w:rsidR="00F428C9" w:rsidRPr="00F428C9" w:rsidRDefault="00F428C9" w:rsidP="00F428C9">
      <w:pPr>
        <w:pStyle w:val="Heading3"/>
        <w:rPr>
          <w:rFonts w:eastAsia="Times New Roman"/>
          <w:b/>
          <w:sz w:val="28"/>
        </w:rPr>
      </w:pPr>
      <w:r w:rsidRPr="00F428C9">
        <w:rPr>
          <w:rFonts w:eastAsia="Times New Roman"/>
          <w:b/>
          <w:lang w:eastAsia="bg-BG"/>
        </w:rPr>
        <w:t>Бременност</w:t>
      </w:r>
      <w:bookmarkEnd w:id="1"/>
    </w:p>
    <w:p w14:paraId="539D3B0B" w14:textId="77777777" w:rsidR="00F428C9" w:rsidRPr="00F428C9" w:rsidRDefault="00F428C9" w:rsidP="00F428C9">
      <w:pPr>
        <w:spacing w:line="240" w:lineRule="auto"/>
        <w:rPr>
          <w:rFonts w:eastAsia="Times New Roman" w:cs="Arial"/>
          <w:color w:val="000000"/>
          <w:szCs w:val="20"/>
          <w:u w:val="single"/>
          <w:lang w:eastAsia="bg-BG"/>
        </w:rPr>
      </w:pPr>
    </w:p>
    <w:p w14:paraId="1DFE3FEA" w14:textId="696144E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u w:val="single"/>
          <w:lang w:eastAsia="bg-BG"/>
        </w:rPr>
        <w:t xml:space="preserve">Свързано </w:t>
      </w:r>
      <w:r w:rsidRPr="00F428C9">
        <w:rPr>
          <w:rFonts w:eastAsia="Times New Roman" w:cs="Arial"/>
          <w:i/>
          <w:iCs/>
          <w:color w:val="000000"/>
          <w:szCs w:val="20"/>
          <w:u w:val="single"/>
          <w:lang w:eastAsia="bg-BG"/>
        </w:rPr>
        <w:t>с периндоприл:</w:t>
      </w:r>
    </w:p>
    <w:p w14:paraId="556483E3" w14:textId="77777777" w:rsidR="00F428C9" w:rsidRPr="00F428C9" w:rsidRDefault="00F428C9" w:rsidP="00F428C9">
      <w:pPr>
        <w:spacing w:line="240" w:lineRule="auto"/>
        <w:rPr>
          <w:rFonts w:eastAsia="Times New Roman" w:cs="Arial"/>
          <w:b/>
          <w:bCs/>
          <w:color w:val="000000"/>
          <w:szCs w:val="20"/>
          <w:lang w:eastAsia="bg-BG"/>
        </w:rPr>
      </w:pPr>
    </w:p>
    <w:p w14:paraId="3DE6B44C" w14:textId="51EEE8C4" w:rsidR="00F428C9" w:rsidRPr="00F428C9" w:rsidRDefault="00F428C9" w:rsidP="00F428C9">
      <w:pPr>
        <w:spacing w:line="240" w:lineRule="auto"/>
        <w:rPr>
          <w:rFonts w:eastAsia="Times New Roman" w:cs="Arial"/>
          <w:sz w:val="28"/>
          <w:szCs w:val="24"/>
        </w:rPr>
      </w:pPr>
      <w:r w:rsidRPr="00F428C9">
        <w:rPr>
          <w:rFonts w:eastAsia="Times New Roman" w:cs="Arial"/>
          <w:b/>
          <w:bCs/>
          <w:color w:val="000000"/>
          <w:szCs w:val="20"/>
          <w:lang w:eastAsia="bg-BG"/>
        </w:rPr>
        <w:t>Употребата на АСЕ-инхибнтори не се препоръчва през първото тримесечие на бременността (вж. точка 4.4). Употребата на АСЕ-ннхибиторн е противопоказана през 2-то и 3-то тримесечие на бременността (вж. точки 43 и 4.4).</w:t>
      </w:r>
    </w:p>
    <w:p w14:paraId="71ABB55A" w14:textId="77777777" w:rsidR="00F428C9" w:rsidRPr="00F428C9" w:rsidRDefault="00F428C9" w:rsidP="00F428C9">
      <w:pPr>
        <w:spacing w:line="240" w:lineRule="auto"/>
        <w:rPr>
          <w:rFonts w:eastAsia="Times New Roman" w:cs="Arial"/>
          <w:color w:val="000000"/>
          <w:szCs w:val="20"/>
          <w:lang w:eastAsia="bg-BG"/>
        </w:rPr>
      </w:pPr>
    </w:p>
    <w:p w14:paraId="569F9B9A" w14:textId="0C248FC2"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Епидемиологичните данни относно тератогенния риск след АСЕ-инхибиторна експозиция през първото тримесечие на бременността нямат окончателен характер; малко повишаване на риска обаче не може да бъде изключено. Освен когато продължаването на АСЕ-инхибиторното лечение се счита за съществено, пациенти планиращи бременност трябва да преминат на алтернативно антихипертензивно лечение, което има установен профил на безопасност на употреба при бременност. Когато се установи бременност, лечението с АСЕ-инхибитори трябва да се спре незабавно и ако е необходимо да се започне алтернативно лечение.</w:t>
      </w:r>
    </w:p>
    <w:p w14:paraId="720D0DD9" w14:textId="77777777" w:rsidR="00F428C9" w:rsidRPr="00F428C9" w:rsidRDefault="00F428C9" w:rsidP="00F428C9">
      <w:pPr>
        <w:spacing w:line="240" w:lineRule="auto"/>
        <w:rPr>
          <w:rFonts w:eastAsia="Times New Roman" w:cs="Arial"/>
          <w:color w:val="000000"/>
          <w:szCs w:val="20"/>
          <w:lang w:eastAsia="bg-BG"/>
        </w:rPr>
      </w:pPr>
    </w:p>
    <w:p w14:paraId="44215489" w14:textId="63594085"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За АСЕ-инхибиторната експозиция през второто и третото тримесечие се знае, че предизвиква фетотоксични ефекти при хора (намалена бъбречна функция, олигохидрамнион, забавяне на черепната осификация) и неонатални токсични ефекти (бъбречна недостатъчност, хипотензия, хиперкалиемия) (вж. точка 5.3). Когато има данни за АСЕ-инхибиторна експозиция от второто тримесечие на бременността, се препоръчва ултразвуково изследване на бъбречната функция и черепа. Бебета, чиито майки са </w:t>
      </w:r>
      <w:r w:rsidRPr="00F428C9">
        <w:rPr>
          <w:rFonts w:eastAsia="Times New Roman" w:cs="Arial"/>
          <w:color w:val="000000"/>
          <w:szCs w:val="20"/>
          <w:lang w:eastAsia="bg-BG"/>
        </w:rPr>
        <w:lastRenderedPageBreak/>
        <w:t>приемали АСЕ-инхибитори, трябва да бъдат наблюдавани внимателно за хипотензия (вж. точки 4.3 и 4.4).</w:t>
      </w:r>
    </w:p>
    <w:p w14:paraId="1BD4EC1F" w14:textId="77777777" w:rsidR="00F428C9" w:rsidRPr="00F428C9" w:rsidRDefault="00F428C9" w:rsidP="00F428C9">
      <w:pPr>
        <w:spacing w:line="240" w:lineRule="auto"/>
        <w:rPr>
          <w:rFonts w:eastAsia="Times New Roman" w:cs="Arial"/>
          <w:i/>
          <w:iCs/>
          <w:color w:val="000000"/>
          <w:szCs w:val="20"/>
          <w:u w:val="single"/>
          <w:lang w:eastAsia="bg-BG"/>
        </w:rPr>
      </w:pPr>
    </w:p>
    <w:p w14:paraId="4DB4F3B2" w14:textId="79D92E5F"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u w:val="single"/>
          <w:lang w:eastAsia="bg-BG"/>
        </w:rPr>
        <w:t>Свързано с индапамид:</w:t>
      </w:r>
    </w:p>
    <w:p w14:paraId="31F5CB08"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Липсват или има ограничени данни (по-малко от 300 завършили бременности) от употребата на индапамид при бременни жени</w:t>
      </w:r>
    </w:p>
    <w:p w14:paraId="3D7AC3CE"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Продължителната тиазидна експозиция през третото тримесечие на бременността може да намали плазмения обем в майчиния организъм, както и утероплацентарния кръвоток, което може да предизвика фето-плацентарна исхемия и забавяне на растежа на плода. Освен това, има редки съобщения за хипогликемия и тромбоцитопения при новороденото след експозиция близо до термина.</w:t>
      </w:r>
    </w:p>
    <w:p w14:paraId="288FB30D" w14:textId="77777777" w:rsidR="00F428C9" w:rsidRPr="00F428C9" w:rsidRDefault="00F428C9" w:rsidP="00F428C9">
      <w:pPr>
        <w:spacing w:line="240" w:lineRule="auto"/>
        <w:rPr>
          <w:rFonts w:eastAsia="Times New Roman" w:cs="Arial"/>
          <w:color w:val="000000"/>
          <w:szCs w:val="20"/>
          <w:lang w:eastAsia="bg-BG"/>
        </w:rPr>
      </w:pPr>
    </w:p>
    <w:p w14:paraId="29B67DC5" w14:textId="5273339B"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Проучванията при животни не показват преки или косвени вредни действия по отношение на репродуктивната токсичност (вж. точка 5.3).</w:t>
      </w:r>
    </w:p>
    <w:p w14:paraId="1D385ED5" w14:textId="77777777" w:rsidR="00F428C9" w:rsidRPr="00F428C9" w:rsidRDefault="00F428C9" w:rsidP="00F428C9">
      <w:pPr>
        <w:spacing w:line="240" w:lineRule="auto"/>
        <w:rPr>
          <w:rFonts w:eastAsia="Times New Roman" w:cs="Arial"/>
          <w:b/>
          <w:bCs/>
          <w:color w:val="000000"/>
          <w:szCs w:val="20"/>
          <w:lang w:eastAsia="bg-BG"/>
        </w:rPr>
      </w:pPr>
      <w:bookmarkStart w:id="2" w:name="bookmark2"/>
    </w:p>
    <w:p w14:paraId="5903B06D" w14:textId="2BD4C939" w:rsidR="00F428C9" w:rsidRPr="00F428C9" w:rsidRDefault="00F428C9" w:rsidP="00F428C9">
      <w:pPr>
        <w:pStyle w:val="Heading3"/>
        <w:rPr>
          <w:rFonts w:eastAsia="Times New Roman"/>
          <w:b/>
          <w:sz w:val="28"/>
        </w:rPr>
      </w:pPr>
      <w:r w:rsidRPr="00F428C9">
        <w:rPr>
          <w:rFonts w:eastAsia="Times New Roman"/>
          <w:b/>
          <w:lang w:eastAsia="bg-BG"/>
        </w:rPr>
        <w:t>Кърмене:</w:t>
      </w:r>
      <w:bookmarkEnd w:id="2"/>
    </w:p>
    <w:p w14:paraId="7D9438D5"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е противопоказан по време на кърмене.</w:t>
      </w:r>
    </w:p>
    <w:p w14:paraId="4F2AA16E" w14:textId="77777777" w:rsidR="00F428C9" w:rsidRPr="00F428C9" w:rsidRDefault="00F428C9" w:rsidP="00F428C9">
      <w:pPr>
        <w:spacing w:line="240" w:lineRule="auto"/>
        <w:rPr>
          <w:rFonts w:eastAsia="Times New Roman" w:cs="Arial"/>
          <w:i/>
          <w:iCs/>
          <w:color w:val="000000"/>
          <w:szCs w:val="20"/>
          <w:lang w:eastAsia="bg-BG"/>
        </w:rPr>
      </w:pPr>
    </w:p>
    <w:p w14:paraId="3A555185" w14:textId="30211BFF" w:rsidR="00F428C9" w:rsidRPr="00F428C9" w:rsidRDefault="00F428C9" w:rsidP="00F428C9">
      <w:pPr>
        <w:spacing w:line="240" w:lineRule="auto"/>
        <w:rPr>
          <w:rFonts w:eastAsia="Times New Roman" w:cs="Arial"/>
          <w:i/>
          <w:iCs/>
          <w:color w:val="000000"/>
          <w:szCs w:val="20"/>
          <w:lang w:eastAsia="bg-BG"/>
        </w:rPr>
      </w:pPr>
      <w:r w:rsidRPr="00F428C9">
        <w:rPr>
          <w:rFonts w:eastAsia="Times New Roman" w:cs="Arial"/>
          <w:i/>
          <w:iCs/>
          <w:color w:val="000000"/>
          <w:szCs w:val="20"/>
          <w:lang w:eastAsia="bg-BG"/>
        </w:rPr>
        <w:t>Свързано с периндоприл:</w:t>
      </w:r>
    </w:p>
    <w:p w14:paraId="246C40B0"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Тъй като няма налични данни по отношение на употребата на периндоприл по време на кърмене, периндоприл не се препоръчва и за това по време на кърмене се предпочитат алтернативни лечения с по-добре установен профил на безопасност, особено когато се касае за новородено или преждевременно родено дете.</w:t>
      </w:r>
    </w:p>
    <w:p w14:paraId="32A5C886" w14:textId="77777777" w:rsidR="00F428C9" w:rsidRPr="00F428C9" w:rsidRDefault="00F428C9" w:rsidP="00F428C9">
      <w:pPr>
        <w:spacing w:line="240" w:lineRule="auto"/>
        <w:rPr>
          <w:rFonts w:eastAsia="Times New Roman" w:cs="Arial"/>
          <w:i/>
          <w:iCs/>
          <w:color w:val="000000"/>
          <w:szCs w:val="20"/>
          <w:lang w:eastAsia="bg-BG"/>
        </w:rPr>
      </w:pPr>
    </w:p>
    <w:p w14:paraId="67FA592E" w14:textId="63EDBE2E"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lang w:eastAsia="bg-BG"/>
        </w:rPr>
        <w:t>Свързано с индапамид:</w:t>
      </w:r>
    </w:p>
    <w:p w14:paraId="0A3C313A"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Няма достатъчно информация за екскретирането на индипамид или метаболитите му в човешкото мляко. Биха могли да се появят свръхчувствителност към производни на сулфонамидите и хипокалиемия. Не може да се изключи риск за новородените/кърмачетата.</w:t>
      </w:r>
    </w:p>
    <w:p w14:paraId="423926AF"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Индапамид има тясно сходство с тиазидните диуретици, които по време на кърмене са свързани с намаление или даже потискане на секрецията на кърма.</w:t>
      </w:r>
    </w:p>
    <w:p w14:paraId="36DEE4C9" w14:textId="77777777" w:rsidR="00F428C9" w:rsidRPr="00F428C9" w:rsidRDefault="00F428C9" w:rsidP="00F428C9">
      <w:pPr>
        <w:spacing w:line="240" w:lineRule="auto"/>
        <w:rPr>
          <w:rFonts w:eastAsia="Times New Roman" w:cs="Arial"/>
          <w:color w:val="000000"/>
          <w:szCs w:val="20"/>
          <w:lang w:eastAsia="bg-BG"/>
        </w:rPr>
      </w:pPr>
    </w:p>
    <w:p w14:paraId="258DCC49" w14:textId="1D0A800B"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Индапамид не се препоръчва по време на кърмене.</w:t>
      </w:r>
    </w:p>
    <w:p w14:paraId="1B2B175F" w14:textId="77777777" w:rsidR="00F428C9" w:rsidRPr="00F428C9" w:rsidRDefault="00F428C9" w:rsidP="00F428C9">
      <w:pPr>
        <w:spacing w:line="240" w:lineRule="auto"/>
        <w:rPr>
          <w:rFonts w:eastAsia="Times New Roman" w:cs="Arial"/>
          <w:b/>
          <w:bCs/>
          <w:color w:val="000000"/>
          <w:szCs w:val="20"/>
          <w:u w:val="single"/>
          <w:lang w:eastAsia="bg-BG"/>
        </w:rPr>
      </w:pPr>
    </w:p>
    <w:p w14:paraId="4BE2D5A6" w14:textId="1FFBD51A" w:rsidR="00F428C9" w:rsidRPr="00F428C9" w:rsidRDefault="00F428C9" w:rsidP="00F428C9">
      <w:pPr>
        <w:pStyle w:val="Heading3"/>
        <w:rPr>
          <w:rFonts w:eastAsia="Times New Roman"/>
          <w:b/>
          <w:sz w:val="28"/>
        </w:rPr>
      </w:pPr>
      <w:r w:rsidRPr="00F428C9">
        <w:rPr>
          <w:rFonts w:eastAsia="Times New Roman"/>
          <w:b/>
          <w:lang w:eastAsia="bg-BG"/>
        </w:rPr>
        <w:t>Фертилитет</w:t>
      </w:r>
    </w:p>
    <w:p w14:paraId="42429234" w14:textId="77777777" w:rsidR="00F428C9" w:rsidRPr="00F428C9" w:rsidRDefault="00F428C9" w:rsidP="00F428C9">
      <w:pPr>
        <w:spacing w:line="240" w:lineRule="auto"/>
        <w:rPr>
          <w:rFonts w:eastAsia="Times New Roman" w:cs="Arial"/>
          <w:i/>
          <w:iCs/>
          <w:color w:val="000000"/>
          <w:szCs w:val="20"/>
          <w:u w:val="single"/>
          <w:lang w:eastAsia="bg-BG"/>
        </w:rPr>
      </w:pPr>
    </w:p>
    <w:p w14:paraId="582B25EF" w14:textId="5F2C5194" w:rsidR="00F428C9" w:rsidRPr="00F428C9" w:rsidRDefault="00F428C9" w:rsidP="00F428C9">
      <w:pPr>
        <w:spacing w:line="240" w:lineRule="auto"/>
        <w:rPr>
          <w:rFonts w:eastAsia="Times New Roman" w:cs="Arial"/>
          <w:sz w:val="28"/>
          <w:szCs w:val="24"/>
        </w:rPr>
      </w:pPr>
      <w:r w:rsidRPr="00F428C9">
        <w:rPr>
          <w:rFonts w:eastAsia="Times New Roman" w:cs="Arial"/>
          <w:i/>
          <w:iCs/>
          <w:color w:val="000000"/>
          <w:szCs w:val="20"/>
          <w:u w:val="single"/>
          <w:lang w:eastAsia="bg-BG"/>
        </w:rPr>
        <w:t>Общо за периндоприл и индапамид</w:t>
      </w:r>
    </w:p>
    <w:p w14:paraId="1962EC63" w14:textId="77777777" w:rsidR="00F428C9" w:rsidRPr="00F428C9" w:rsidRDefault="00F428C9" w:rsidP="00F428C9">
      <w:pPr>
        <w:spacing w:line="240" w:lineRule="auto"/>
        <w:rPr>
          <w:rFonts w:eastAsia="Times New Roman" w:cs="Arial"/>
          <w:color w:val="000000"/>
          <w:szCs w:val="20"/>
          <w:lang w:eastAsia="bg-BG"/>
        </w:rPr>
      </w:pPr>
    </w:p>
    <w:p w14:paraId="013BC0D6" w14:textId="0EEF9CE6"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Проучванията за репродуктивна токсичност не показват влияние върху фертилитета при женски и мъжки плъхове (вж. точка 5.3). Не се очаква влияние върху фертилитета при хора.</w:t>
      </w:r>
    </w:p>
    <w:p w14:paraId="2A0CF632" w14:textId="77777777" w:rsidR="00F428C9" w:rsidRPr="00F428C9" w:rsidRDefault="00F428C9" w:rsidP="00F428C9"/>
    <w:p w14:paraId="064DF1DE" w14:textId="1DB5D445" w:rsidR="00CF77F7" w:rsidRDefault="002C50EE" w:rsidP="004A448E">
      <w:pPr>
        <w:pStyle w:val="Heading2"/>
      </w:pPr>
      <w:r>
        <w:t>4.7. Ефекти върху способността за шофиране и работа с машини</w:t>
      </w:r>
    </w:p>
    <w:p w14:paraId="639D0E64" w14:textId="1B3DFC6E" w:rsidR="00F428C9" w:rsidRDefault="00F428C9" w:rsidP="00F428C9"/>
    <w:p w14:paraId="7D4E5DF5" w14:textId="77777777" w:rsidR="00F428C9" w:rsidRPr="00F428C9" w:rsidRDefault="00F428C9" w:rsidP="00F428C9">
      <w:pPr>
        <w:rPr>
          <w:sz w:val="24"/>
          <w:szCs w:val="24"/>
        </w:rPr>
      </w:pPr>
      <w:r w:rsidRPr="00F428C9">
        <w:rPr>
          <w:lang w:eastAsia="bg-BG"/>
        </w:rPr>
        <w:t xml:space="preserve">Двете активни вещества, самостоятелно или в комбинациятаНолипрел 2,5 </w:t>
      </w:r>
      <w:r w:rsidRPr="00F428C9">
        <w:rPr>
          <w:lang w:val="en-US"/>
        </w:rPr>
        <w:t>mg</w:t>
      </w:r>
      <w:r w:rsidRPr="00F428C9">
        <w:rPr>
          <w:lang w:val="ru-RU"/>
        </w:rPr>
        <w:t xml:space="preserve"> </w:t>
      </w:r>
      <w:r w:rsidRPr="00F428C9">
        <w:rPr>
          <w:lang w:eastAsia="bg-BG"/>
        </w:rPr>
        <w:t xml:space="preserve">/ 0,625 </w:t>
      </w:r>
      <w:r w:rsidRPr="00F428C9">
        <w:rPr>
          <w:lang w:val="en-US"/>
        </w:rPr>
        <w:t>mg</w:t>
      </w:r>
      <w:r w:rsidRPr="00F428C9">
        <w:rPr>
          <w:lang w:val="ru-RU"/>
        </w:rPr>
        <w:t xml:space="preserve">, </w:t>
      </w:r>
      <w:r w:rsidRPr="00F428C9">
        <w:rPr>
          <w:lang w:eastAsia="bg-BG"/>
        </w:rPr>
        <w:t>не оказват влияние върху способността за шофиране и работа с машини, но при някои пациенти могат да настъпят индивидуални реакции, свързани с ниско кръвно налягане, особено в началото на лечението или при комбиниране с други антихипертензивни средства.</w:t>
      </w:r>
    </w:p>
    <w:p w14:paraId="42776AED" w14:textId="77777777" w:rsidR="00F428C9" w:rsidRPr="00F428C9" w:rsidRDefault="00F428C9" w:rsidP="00F428C9">
      <w:pPr>
        <w:rPr>
          <w:sz w:val="24"/>
          <w:szCs w:val="24"/>
        </w:rPr>
      </w:pPr>
      <w:r w:rsidRPr="00F428C9">
        <w:rPr>
          <w:lang w:eastAsia="bg-BG"/>
        </w:rPr>
        <w:lastRenderedPageBreak/>
        <w:t>В резултат на това може да се наруши способността за шофиране или работа с машини.</w:t>
      </w:r>
    </w:p>
    <w:p w14:paraId="3409C33B" w14:textId="77777777" w:rsidR="00F428C9" w:rsidRPr="00F428C9" w:rsidRDefault="00F428C9" w:rsidP="00F428C9"/>
    <w:p w14:paraId="37A3FD9F" w14:textId="7A4DE7BA" w:rsidR="00CF77F7" w:rsidRDefault="002C50EE" w:rsidP="004A448E">
      <w:pPr>
        <w:pStyle w:val="Heading2"/>
      </w:pPr>
      <w:r>
        <w:t>4.8. Нежелани лекарствени реакции</w:t>
      </w:r>
    </w:p>
    <w:p w14:paraId="19BFBE6A" w14:textId="6BF89516" w:rsidR="00F428C9" w:rsidRDefault="00F428C9" w:rsidP="00F428C9"/>
    <w:p w14:paraId="0226FDD7" w14:textId="6BD36F04" w:rsidR="00F428C9" w:rsidRPr="00F428C9" w:rsidRDefault="00F428C9" w:rsidP="00F428C9">
      <w:pPr>
        <w:pStyle w:val="ListParagraph"/>
        <w:numPr>
          <w:ilvl w:val="0"/>
          <w:numId w:val="43"/>
        </w:numPr>
        <w:spacing w:line="240" w:lineRule="auto"/>
        <w:rPr>
          <w:rFonts w:eastAsia="Times New Roman" w:cs="Arial"/>
          <w:color w:val="000000"/>
          <w:szCs w:val="20"/>
          <w:lang w:eastAsia="bg-BG"/>
        </w:rPr>
      </w:pPr>
      <w:r w:rsidRPr="00F428C9">
        <w:rPr>
          <w:rFonts w:eastAsia="Times New Roman" w:cs="Arial"/>
          <w:color w:val="000000"/>
          <w:szCs w:val="20"/>
          <w:lang w:eastAsia="bg-BG"/>
        </w:rPr>
        <w:t>Обобщен профил на безопасността</w:t>
      </w:r>
    </w:p>
    <w:p w14:paraId="1061FD3F" w14:textId="77777777" w:rsidR="00F428C9" w:rsidRPr="00F428C9" w:rsidRDefault="00F428C9" w:rsidP="00F428C9">
      <w:pPr>
        <w:spacing w:line="240" w:lineRule="auto"/>
        <w:rPr>
          <w:rFonts w:eastAsia="Times New Roman" w:cs="Arial"/>
          <w:color w:val="000000"/>
          <w:szCs w:val="20"/>
          <w:lang w:eastAsia="bg-BG"/>
        </w:rPr>
      </w:pPr>
    </w:p>
    <w:p w14:paraId="2CE4C333" w14:textId="236FBAE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 xml:space="preserve">Въвеждането на периндоприл инхибира ренин-ангиотензин-алдостероновата ос и води до тенденция към ограничаване на калиевата загуба предизвикана от индапамид. Два процента от пациентите, лекувани с Нолипрел 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 0,625 </w:t>
      </w:r>
      <w:r w:rsidRPr="00F428C9">
        <w:rPr>
          <w:rFonts w:eastAsia="Times New Roman" w:cs="Arial"/>
          <w:color w:val="000000"/>
          <w:szCs w:val="20"/>
          <w:lang w:val="en-US"/>
        </w:rPr>
        <w:t>mg</w:t>
      </w:r>
      <w:r w:rsidRPr="00F428C9">
        <w:rPr>
          <w:rFonts w:eastAsia="Times New Roman" w:cs="Arial"/>
          <w:color w:val="000000"/>
          <w:szCs w:val="20"/>
          <w:lang w:val="ru-RU"/>
        </w:rPr>
        <w:t xml:space="preserve"> </w:t>
      </w:r>
      <w:r w:rsidRPr="00F428C9">
        <w:rPr>
          <w:rFonts w:eastAsia="Times New Roman" w:cs="Arial"/>
          <w:color w:val="000000"/>
          <w:szCs w:val="20"/>
          <w:lang w:eastAsia="bg-BG"/>
        </w:rPr>
        <w:t xml:space="preserve">получават хипокалиемия (серумен калий &lt; 3,4 </w:t>
      </w:r>
      <w:proofErr w:type="spellStart"/>
      <w:r w:rsidRPr="00F428C9">
        <w:rPr>
          <w:rFonts w:eastAsia="Times New Roman" w:cs="Arial"/>
          <w:color w:val="000000"/>
          <w:szCs w:val="20"/>
          <w:lang w:val="en-US"/>
        </w:rPr>
        <w:t>mmol</w:t>
      </w:r>
      <w:proofErr w:type="spellEnd"/>
      <w:r w:rsidRPr="00F428C9">
        <w:rPr>
          <w:rFonts w:eastAsia="Times New Roman" w:cs="Arial"/>
          <w:color w:val="000000"/>
          <w:szCs w:val="20"/>
          <w:lang w:val="ru-RU"/>
        </w:rPr>
        <w:t>/1).</w:t>
      </w:r>
    </w:p>
    <w:p w14:paraId="35D15C74" w14:textId="77777777" w:rsidR="00F428C9" w:rsidRPr="00F428C9" w:rsidRDefault="00F428C9" w:rsidP="00F428C9">
      <w:pPr>
        <w:spacing w:line="240" w:lineRule="auto"/>
        <w:rPr>
          <w:rFonts w:eastAsia="Times New Roman" w:cs="Arial"/>
          <w:color w:val="000000"/>
          <w:szCs w:val="20"/>
          <w:lang w:eastAsia="bg-BG"/>
        </w:rPr>
      </w:pPr>
    </w:p>
    <w:p w14:paraId="5F2147CE" w14:textId="1A3D1EC0"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Най-често съобщаваните нежелани реакции са:</w:t>
      </w:r>
    </w:p>
    <w:p w14:paraId="7773C5EF" w14:textId="77777777" w:rsidR="00F428C9" w:rsidRPr="00F428C9" w:rsidRDefault="00F428C9" w:rsidP="00F428C9">
      <w:pPr>
        <w:pStyle w:val="ListParagraph"/>
        <w:numPr>
          <w:ilvl w:val="0"/>
          <w:numId w:val="2"/>
        </w:numPr>
        <w:spacing w:line="240" w:lineRule="auto"/>
        <w:rPr>
          <w:rFonts w:eastAsia="Times New Roman" w:cs="Arial"/>
          <w:sz w:val="28"/>
          <w:szCs w:val="24"/>
        </w:rPr>
      </w:pPr>
      <w:r w:rsidRPr="00F428C9">
        <w:rPr>
          <w:rFonts w:eastAsia="Times New Roman" w:cs="Arial"/>
          <w:color w:val="000000"/>
          <w:szCs w:val="20"/>
          <w:lang w:eastAsia="bg-BG"/>
        </w:rPr>
        <w:t>при периндоприл: замаяност, главоболие, парестезия, дисгеузия, зрителни нарушения, световъртеж, шум в ушите, хипотония, кашлица, диспнея, коремни болки, запек, диспепсия, диария, гадене, повръщане, сърбеж, обрив, мускулни спазми и астения.</w:t>
      </w:r>
    </w:p>
    <w:p w14:paraId="35D293C4" w14:textId="7147E663" w:rsidR="00F428C9" w:rsidRPr="00F428C9" w:rsidRDefault="00F428C9" w:rsidP="00F428C9">
      <w:pPr>
        <w:pStyle w:val="ListParagraph"/>
        <w:numPr>
          <w:ilvl w:val="0"/>
          <w:numId w:val="2"/>
        </w:numPr>
        <w:spacing w:line="240" w:lineRule="auto"/>
        <w:rPr>
          <w:rFonts w:eastAsia="Times New Roman" w:cs="Arial"/>
          <w:sz w:val="28"/>
          <w:szCs w:val="24"/>
        </w:rPr>
      </w:pPr>
      <w:r w:rsidRPr="00F428C9">
        <w:rPr>
          <w:rFonts w:eastAsia="Times New Roman" w:cs="Arial"/>
          <w:color w:val="000000"/>
          <w:szCs w:val="20"/>
          <w:lang w:eastAsia="bg-BG"/>
        </w:rPr>
        <w:t>при индапамид: реакции на свръхчувствителност, основно кожни при хора, предразположени към алергични и асматични реакции и макулопапуларни обриви</w:t>
      </w:r>
      <w:r w:rsidRPr="00F428C9">
        <w:rPr>
          <w:rFonts w:eastAsia="Times New Roman" w:cs="Arial"/>
          <w:color w:val="000000"/>
          <w:szCs w:val="20"/>
          <w:lang w:val="ru-RU" w:eastAsia="bg-BG"/>
        </w:rPr>
        <w:t>’</w:t>
      </w:r>
    </w:p>
    <w:p w14:paraId="6E5E5601" w14:textId="2BE04070" w:rsidR="00F428C9" w:rsidRPr="00F428C9" w:rsidRDefault="00F428C9" w:rsidP="00F428C9">
      <w:pPr>
        <w:spacing w:line="240" w:lineRule="auto"/>
        <w:rPr>
          <w:rFonts w:eastAsia="Times New Roman" w:cs="Arial"/>
          <w:sz w:val="28"/>
          <w:szCs w:val="24"/>
        </w:rPr>
      </w:pPr>
    </w:p>
    <w:p w14:paraId="5514C2C2" w14:textId="77777777" w:rsidR="00F428C9" w:rsidRPr="00F428C9" w:rsidRDefault="00F428C9" w:rsidP="00F428C9">
      <w:pPr>
        <w:spacing w:line="240" w:lineRule="auto"/>
        <w:rPr>
          <w:rFonts w:eastAsia="Times New Roman" w:cs="Arial"/>
          <w:sz w:val="28"/>
          <w:szCs w:val="24"/>
        </w:rPr>
      </w:pPr>
    </w:p>
    <w:p w14:paraId="6A7B9E2B" w14:textId="30517C1A" w:rsidR="00F428C9" w:rsidRPr="00F428C9" w:rsidRDefault="00F428C9" w:rsidP="00F428C9">
      <w:pPr>
        <w:pStyle w:val="ListParagraph"/>
        <w:numPr>
          <w:ilvl w:val="0"/>
          <w:numId w:val="43"/>
        </w:numPr>
        <w:spacing w:line="240" w:lineRule="auto"/>
        <w:rPr>
          <w:rFonts w:eastAsia="Times New Roman" w:cs="Arial"/>
          <w:sz w:val="28"/>
          <w:szCs w:val="24"/>
        </w:rPr>
      </w:pPr>
      <w:r w:rsidRPr="00F428C9">
        <w:rPr>
          <w:rFonts w:eastAsia="Times New Roman" w:cs="Arial"/>
          <w:color w:val="000000"/>
          <w:szCs w:val="20"/>
          <w:lang w:eastAsia="bg-BG"/>
        </w:rPr>
        <w:t>Табличен списък на нежеланите реакции</w:t>
      </w:r>
    </w:p>
    <w:p w14:paraId="3A7C701E" w14:textId="4C378A28" w:rsidR="00F428C9" w:rsidRDefault="00F428C9" w:rsidP="00F428C9"/>
    <w:p w14:paraId="286F278E" w14:textId="77777777"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Следващите нежелани реакции са наблюдавани по време на клинични изпитвания и/или постмаркетингова употреба и са подредени по следната честота:</w:t>
      </w:r>
    </w:p>
    <w:p w14:paraId="6C51956C" w14:textId="77777777" w:rsidR="00F428C9" w:rsidRPr="00F428C9" w:rsidRDefault="00F428C9" w:rsidP="00F428C9">
      <w:pPr>
        <w:spacing w:line="240" w:lineRule="auto"/>
        <w:rPr>
          <w:rFonts w:eastAsia="Times New Roman" w:cs="Arial"/>
          <w:color w:val="000000"/>
          <w:szCs w:val="20"/>
          <w:lang w:eastAsia="bg-BG"/>
        </w:rPr>
      </w:pPr>
    </w:p>
    <w:p w14:paraId="4B4D4B13" w14:textId="6F460598" w:rsidR="00F428C9" w:rsidRPr="00F428C9" w:rsidRDefault="00F428C9" w:rsidP="00F428C9">
      <w:pPr>
        <w:spacing w:line="240" w:lineRule="auto"/>
        <w:rPr>
          <w:rFonts w:eastAsia="Times New Roman" w:cs="Arial"/>
          <w:sz w:val="28"/>
          <w:szCs w:val="24"/>
        </w:rPr>
      </w:pPr>
      <w:r w:rsidRPr="00F428C9">
        <w:rPr>
          <w:rFonts w:eastAsia="Times New Roman" w:cs="Arial"/>
          <w:color w:val="000000"/>
          <w:szCs w:val="20"/>
          <w:lang w:eastAsia="bg-BG"/>
        </w:rPr>
        <w:t>Много чести (≥1/10); чести (≥1/100, &lt;1/10); нечести (≥1/1000, &lt;1/100); редки (≥1/10000, &lt;1/1000); много редки (&lt;1/10000), с неизвестна честота (от наличните данни не може да бъде направена оценка).</w:t>
      </w:r>
    </w:p>
    <w:p w14:paraId="09BC0683" w14:textId="5030144D" w:rsidR="00F428C9" w:rsidRDefault="00F428C9" w:rsidP="00F428C9"/>
    <w:tbl>
      <w:tblPr>
        <w:tblStyle w:val="TableGrid"/>
        <w:tblW w:w="0" w:type="auto"/>
        <w:tblLook w:val="04A0" w:firstRow="1" w:lastRow="0" w:firstColumn="1" w:lastColumn="0" w:noHBand="0" w:noVBand="1"/>
      </w:tblPr>
      <w:tblGrid>
        <w:gridCol w:w="2667"/>
        <w:gridCol w:w="2505"/>
        <w:gridCol w:w="2137"/>
        <w:gridCol w:w="2041"/>
      </w:tblGrid>
      <w:tr w:rsidR="00F428C9" w14:paraId="02645160" w14:textId="77777777" w:rsidTr="00197723">
        <w:tc>
          <w:tcPr>
            <w:tcW w:w="2667" w:type="dxa"/>
            <w:vMerge w:val="restart"/>
            <w:vAlign w:val="bottom"/>
          </w:tcPr>
          <w:p w14:paraId="5FDB4A87" w14:textId="61852647" w:rsidR="00F428C9" w:rsidRPr="00F428C9" w:rsidRDefault="00F428C9" w:rsidP="00F428C9">
            <w:pPr>
              <w:rPr>
                <w:rFonts w:cs="Arial"/>
                <w:b/>
              </w:rPr>
            </w:pPr>
            <w:proofErr w:type="spellStart"/>
            <w:r w:rsidRPr="00F428C9">
              <w:rPr>
                <w:rFonts w:cs="Arial"/>
                <w:b/>
                <w:bCs/>
                <w:szCs w:val="18"/>
                <w:lang w:val="en-US"/>
              </w:rPr>
              <w:t>MedDRA</w:t>
            </w:r>
            <w:proofErr w:type="spellEnd"/>
            <w:r w:rsidRPr="00F428C9">
              <w:rPr>
                <w:rFonts w:cs="Arial"/>
                <w:b/>
                <w:bCs/>
                <w:szCs w:val="18"/>
                <w:lang w:val="en-US"/>
              </w:rPr>
              <w:t xml:space="preserve"> </w:t>
            </w:r>
            <w:r w:rsidRPr="00F428C9">
              <w:rPr>
                <w:rFonts w:cs="Arial"/>
                <w:b/>
                <w:bCs/>
                <w:szCs w:val="18"/>
              </w:rPr>
              <w:t>Снстемо-органен клас</w:t>
            </w:r>
          </w:p>
        </w:tc>
        <w:tc>
          <w:tcPr>
            <w:tcW w:w="2522" w:type="dxa"/>
            <w:vMerge w:val="restart"/>
            <w:vAlign w:val="center"/>
          </w:tcPr>
          <w:p w14:paraId="7AC703FE" w14:textId="4C1A5AE1" w:rsidR="00F428C9" w:rsidRPr="00F428C9" w:rsidRDefault="00F428C9" w:rsidP="00F428C9">
            <w:pPr>
              <w:rPr>
                <w:rFonts w:cs="Arial"/>
                <w:b/>
              </w:rPr>
            </w:pPr>
            <w:r w:rsidRPr="00F428C9">
              <w:rPr>
                <w:rFonts w:cs="Arial"/>
                <w:b/>
                <w:bCs/>
                <w:szCs w:val="18"/>
              </w:rPr>
              <w:t>Нежелани реакции</w:t>
            </w:r>
          </w:p>
        </w:tc>
        <w:tc>
          <w:tcPr>
            <w:tcW w:w="4387" w:type="dxa"/>
            <w:gridSpan w:val="2"/>
          </w:tcPr>
          <w:p w14:paraId="1F11A143" w14:textId="1468886C" w:rsidR="00F428C9" w:rsidRPr="00F428C9" w:rsidRDefault="00F428C9" w:rsidP="00F428C9">
            <w:pPr>
              <w:spacing w:line="240" w:lineRule="auto"/>
              <w:rPr>
                <w:rFonts w:eastAsia="Times New Roman" w:cs="Arial"/>
                <w:b/>
                <w:szCs w:val="24"/>
              </w:rPr>
            </w:pPr>
            <w:r w:rsidRPr="00F428C9">
              <w:rPr>
                <w:rFonts w:eastAsia="Times New Roman" w:cs="Arial"/>
                <w:b/>
                <w:bCs/>
                <w:color w:val="000000"/>
                <w:szCs w:val="18"/>
                <w:lang w:eastAsia="bg-BG"/>
              </w:rPr>
              <w:t>Честота</w:t>
            </w:r>
          </w:p>
        </w:tc>
      </w:tr>
      <w:tr w:rsidR="00F428C9" w14:paraId="19138BC5" w14:textId="77777777" w:rsidTr="00197723">
        <w:tc>
          <w:tcPr>
            <w:tcW w:w="2667" w:type="dxa"/>
            <w:vMerge/>
          </w:tcPr>
          <w:p w14:paraId="5D926EAB" w14:textId="77777777" w:rsidR="00F428C9" w:rsidRPr="00F428C9" w:rsidRDefault="00F428C9" w:rsidP="00F428C9">
            <w:pPr>
              <w:rPr>
                <w:rFonts w:cs="Arial"/>
                <w:b/>
              </w:rPr>
            </w:pPr>
          </w:p>
        </w:tc>
        <w:tc>
          <w:tcPr>
            <w:tcW w:w="2522" w:type="dxa"/>
            <w:vMerge/>
          </w:tcPr>
          <w:p w14:paraId="55AC8910" w14:textId="77777777" w:rsidR="00F428C9" w:rsidRPr="00F428C9" w:rsidRDefault="00F428C9" w:rsidP="00F428C9">
            <w:pPr>
              <w:rPr>
                <w:rFonts w:cs="Arial"/>
                <w:b/>
              </w:rPr>
            </w:pPr>
          </w:p>
        </w:tc>
        <w:tc>
          <w:tcPr>
            <w:tcW w:w="2225" w:type="dxa"/>
            <w:vAlign w:val="center"/>
          </w:tcPr>
          <w:p w14:paraId="57130DB7" w14:textId="03EB1F32" w:rsidR="00F428C9" w:rsidRPr="00F428C9" w:rsidRDefault="00F428C9" w:rsidP="00F428C9">
            <w:pPr>
              <w:rPr>
                <w:rFonts w:cs="Arial"/>
                <w:b/>
              </w:rPr>
            </w:pPr>
            <w:r w:rsidRPr="00F428C9">
              <w:rPr>
                <w:rFonts w:cs="Arial"/>
                <w:b/>
                <w:bCs/>
                <w:szCs w:val="18"/>
              </w:rPr>
              <w:t>Периндоприл</w:t>
            </w:r>
          </w:p>
        </w:tc>
        <w:tc>
          <w:tcPr>
            <w:tcW w:w="2162" w:type="dxa"/>
            <w:vAlign w:val="center"/>
          </w:tcPr>
          <w:p w14:paraId="11021CB2" w14:textId="6E1867AD" w:rsidR="00F428C9" w:rsidRPr="00F428C9" w:rsidRDefault="00F428C9" w:rsidP="00F428C9">
            <w:pPr>
              <w:rPr>
                <w:rFonts w:cs="Arial"/>
                <w:b/>
              </w:rPr>
            </w:pPr>
            <w:r w:rsidRPr="00F428C9">
              <w:rPr>
                <w:rFonts w:cs="Arial"/>
                <w:b/>
                <w:bCs/>
                <w:szCs w:val="18"/>
              </w:rPr>
              <w:t>Индапамид</w:t>
            </w:r>
          </w:p>
        </w:tc>
      </w:tr>
      <w:tr w:rsidR="00F428C9" w14:paraId="69D7D3CC" w14:textId="77777777" w:rsidTr="00197723">
        <w:tc>
          <w:tcPr>
            <w:tcW w:w="2667" w:type="dxa"/>
            <w:vAlign w:val="bottom"/>
          </w:tcPr>
          <w:p w14:paraId="1DE5B366" w14:textId="572FFE4E" w:rsidR="00F428C9" w:rsidRPr="00F428C9" w:rsidRDefault="00F428C9" w:rsidP="00F428C9">
            <w:pPr>
              <w:rPr>
                <w:b/>
              </w:rPr>
            </w:pPr>
            <w:r w:rsidRPr="00F428C9">
              <w:rPr>
                <w:b/>
                <w:bCs/>
              </w:rPr>
              <w:t>Инфекции и инфестации</w:t>
            </w:r>
          </w:p>
        </w:tc>
        <w:tc>
          <w:tcPr>
            <w:tcW w:w="2522" w:type="dxa"/>
            <w:vAlign w:val="center"/>
          </w:tcPr>
          <w:p w14:paraId="102017B0" w14:textId="673BE41B" w:rsidR="00F428C9" w:rsidRPr="00F428C9" w:rsidRDefault="00F428C9" w:rsidP="00F428C9">
            <w:r w:rsidRPr="00F428C9">
              <w:rPr>
                <w:bCs/>
              </w:rPr>
              <w:t>Ринит</w:t>
            </w:r>
          </w:p>
        </w:tc>
        <w:tc>
          <w:tcPr>
            <w:tcW w:w="2225" w:type="dxa"/>
            <w:vAlign w:val="center"/>
          </w:tcPr>
          <w:p w14:paraId="3A39874A" w14:textId="7FAABD9E" w:rsidR="00F428C9" w:rsidRPr="00F428C9" w:rsidRDefault="00F428C9" w:rsidP="00F428C9">
            <w:r w:rsidRPr="00F428C9">
              <w:rPr>
                <w:bCs/>
              </w:rPr>
              <w:t>Много редки</w:t>
            </w:r>
          </w:p>
        </w:tc>
        <w:tc>
          <w:tcPr>
            <w:tcW w:w="2162" w:type="dxa"/>
            <w:vAlign w:val="center"/>
          </w:tcPr>
          <w:p w14:paraId="4C07FF3E" w14:textId="5439401F" w:rsidR="00F428C9" w:rsidRPr="00F428C9" w:rsidRDefault="00F428C9" w:rsidP="00F428C9">
            <w:r w:rsidRPr="00F428C9">
              <w:rPr>
                <w:bCs/>
              </w:rPr>
              <w:t>-</w:t>
            </w:r>
          </w:p>
        </w:tc>
      </w:tr>
      <w:tr w:rsidR="00F428C9" w14:paraId="610D3492" w14:textId="77777777" w:rsidTr="00197723">
        <w:tc>
          <w:tcPr>
            <w:tcW w:w="2667" w:type="dxa"/>
            <w:vMerge w:val="restart"/>
            <w:vAlign w:val="center"/>
          </w:tcPr>
          <w:p w14:paraId="17E536FE" w14:textId="335DCA7E" w:rsidR="00F428C9" w:rsidRPr="00F428C9" w:rsidRDefault="00F428C9" w:rsidP="00F428C9">
            <w:pPr>
              <w:rPr>
                <w:b/>
              </w:rPr>
            </w:pPr>
            <w:r w:rsidRPr="00F428C9">
              <w:rPr>
                <w:b/>
                <w:bCs/>
              </w:rPr>
              <w:t>Нарушения на кръвоносната и лимфната система</w:t>
            </w:r>
          </w:p>
        </w:tc>
        <w:tc>
          <w:tcPr>
            <w:tcW w:w="2522" w:type="dxa"/>
            <w:vAlign w:val="bottom"/>
          </w:tcPr>
          <w:p w14:paraId="4F7B67BE" w14:textId="302E0676" w:rsidR="00F428C9" w:rsidRPr="00F428C9" w:rsidRDefault="00F428C9" w:rsidP="00F428C9">
            <w:r w:rsidRPr="00F428C9">
              <w:rPr>
                <w:bCs/>
              </w:rPr>
              <w:t>Еозинофилия</w:t>
            </w:r>
          </w:p>
        </w:tc>
        <w:tc>
          <w:tcPr>
            <w:tcW w:w="2225" w:type="dxa"/>
            <w:vAlign w:val="center"/>
          </w:tcPr>
          <w:p w14:paraId="4C47CA13" w14:textId="70BAA9AB" w:rsidR="00F428C9" w:rsidRPr="00F428C9" w:rsidRDefault="00F428C9" w:rsidP="00F428C9">
            <w:r w:rsidRPr="00F428C9">
              <w:rPr>
                <w:bCs/>
              </w:rPr>
              <w:t>Нечести*</w:t>
            </w:r>
          </w:p>
        </w:tc>
        <w:tc>
          <w:tcPr>
            <w:tcW w:w="2162" w:type="dxa"/>
            <w:vAlign w:val="center"/>
          </w:tcPr>
          <w:p w14:paraId="792023E0" w14:textId="440BE5EE" w:rsidR="00F428C9" w:rsidRPr="00F428C9" w:rsidRDefault="00F428C9" w:rsidP="00F428C9">
            <w:r w:rsidRPr="00F428C9">
              <w:rPr>
                <w:bCs/>
              </w:rPr>
              <w:t>-</w:t>
            </w:r>
          </w:p>
        </w:tc>
      </w:tr>
      <w:tr w:rsidR="00F428C9" w14:paraId="5DE50E00" w14:textId="77777777" w:rsidTr="00197723">
        <w:tc>
          <w:tcPr>
            <w:tcW w:w="2667" w:type="dxa"/>
            <w:vMerge/>
            <w:vAlign w:val="center"/>
          </w:tcPr>
          <w:p w14:paraId="52A6A9F7" w14:textId="77777777" w:rsidR="00F428C9" w:rsidRPr="00F428C9" w:rsidRDefault="00F428C9" w:rsidP="00F428C9">
            <w:pPr>
              <w:rPr>
                <w:b/>
              </w:rPr>
            </w:pPr>
          </w:p>
        </w:tc>
        <w:tc>
          <w:tcPr>
            <w:tcW w:w="2522" w:type="dxa"/>
            <w:vAlign w:val="bottom"/>
          </w:tcPr>
          <w:p w14:paraId="5ED35C45" w14:textId="1780A904" w:rsidR="00F428C9" w:rsidRPr="00F428C9" w:rsidRDefault="00F428C9" w:rsidP="00F428C9">
            <w:r w:rsidRPr="00F428C9">
              <w:rPr>
                <w:bCs/>
              </w:rPr>
              <w:t>Агранулоцитоза (вж. точка 4.4)</w:t>
            </w:r>
          </w:p>
        </w:tc>
        <w:tc>
          <w:tcPr>
            <w:tcW w:w="2225" w:type="dxa"/>
            <w:vAlign w:val="bottom"/>
          </w:tcPr>
          <w:p w14:paraId="6D87A05A" w14:textId="3DE0B1DB" w:rsidR="00F428C9" w:rsidRPr="00F428C9" w:rsidRDefault="00F428C9" w:rsidP="00F428C9">
            <w:r w:rsidRPr="00F428C9">
              <w:rPr>
                <w:bCs/>
              </w:rPr>
              <w:t>Много редки</w:t>
            </w:r>
          </w:p>
        </w:tc>
        <w:tc>
          <w:tcPr>
            <w:tcW w:w="2162" w:type="dxa"/>
            <w:vAlign w:val="bottom"/>
          </w:tcPr>
          <w:p w14:paraId="071F7C02" w14:textId="7013E942" w:rsidR="00F428C9" w:rsidRPr="00F428C9" w:rsidRDefault="00F428C9" w:rsidP="00F428C9">
            <w:r w:rsidRPr="00F428C9">
              <w:rPr>
                <w:bCs/>
              </w:rPr>
              <w:t>Много редки</w:t>
            </w:r>
          </w:p>
        </w:tc>
      </w:tr>
      <w:tr w:rsidR="00F428C9" w14:paraId="484CB6F9" w14:textId="77777777" w:rsidTr="00197723">
        <w:tc>
          <w:tcPr>
            <w:tcW w:w="2667" w:type="dxa"/>
            <w:vMerge/>
            <w:vAlign w:val="center"/>
          </w:tcPr>
          <w:p w14:paraId="3756F576" w14:textId="77777777" w:rsidR="00F428C9" w:rsidRPr="00F428C9" w:rsidRDefault="00F428C9" w:rsidP="00F428C9">
            <w:pPr>
              <w:rPr>
                <w:b/>
              </w:rPr>
            </w:pPr>
          </w:p>
        </w:tc>
        <w:tc>
          <w:tcPr>
            <w:tcW w:w="2522" w:type="dxa"/>
            <w:vAlign w:val="center"/>
          </w:tcPr>
          <w:p w14:paraId="1E137315" w14:textId="46E88CDA" w:rsidR="00F428C9" w:rsidRPr="00F428C9" w:rsidRDefault="00F428C9" w:rsidP="00F428C9">
            <w:r w:rsidRPr="00F428C9">
              <w:rPr>
                <w:bCs/>
              </w:rPr>
              <w:t>Апластична анемия</w:t>
            </w:r>
          </w:p>
        </w:tc>
        <w:tc>
          <w:tcPr>
            <w:tcW w:w="2225" w:type="dxa"/>
            <w:vAlign w:val="center"/>
          </w:tcPr>
          <w:p w14:paraId="6B329D7B" w14:textId="6270550B" w:rsidR="00F428C9" w:rsidRPr="00F428C9" w:rsidRDefault="00F428C9" w:rsidP="00F428C9">
            <w:r w:rsidRPr="00F428C9">
              <w:rPr>
                <w:bCs/>
              </w:rPr>
              <w:t>-</w:t>
            </w:r>
          </w:p>
        </w:tc>
        <w:tc>
          <w:tcPr>
            <w:tcW w:w="2162" w:type="dxa"/>
            <w:vAlign w:val="bottom"/>
          </w:tcPr>
          <w:p w14:paraId="0FD06203" w14:textId="0A7B7CA3" w:rsidR="00F428C9" w:rsidRPr="00F428C9" w:rsidRDefault="00F428C9" w:rsidP="00F428C9">
            <w:r w:rsidRPr="00F428C9">
              <w:rPr>
                <w:bCs/>
              </w:rPr>
              <w:t>Много редки</w:t>
            </w:r>
          </w:p>
        </w:tc>
      </w:tr>
      <w:tr w:rsidR="00F428C9" w14:paraId="2A414338" w14:textId="77777777" w:rsidTr="00197723">
        <w:tc>
          <w:tcPr>
            <w:tcW w:w="2667" w:type="dxa"/>
            <w:vMerge/>
            <w:vAlign w:val="center"/>
          </w:tcPr>
          <w:p w14:paraId="42145CE7" w14:textId="77777777" w:rsidR="00F428C9" w:rsidRPr="00F428C9" w:rsidRDefault="00F428C9" w:rsidP="00F428C9">
            <w:pPr>
              <w:rPr>
                <w:b/>
              </w:rPr>
            </w:pPr>
          </w:p>
        </w:tc>
        <w:tc>
          <w:tcPr>
            <w:tcW w:w="2522" w:type="dxa"/>
            <w:vAlign w:val="bottom"/>
          </w:tcPr>
          <w:p w14:paraId="223CD9B8" w14:textId="3E69336F" w:rsidR="00F428C9" w:rsidRPr="00F428C9" w:rsidRDefault="00F428C9" w:rsidP="00F428C9">
            <w:r w:rsidRPr="00F428C9">
              <w:rPr>
                <w:bCs/>
              </w:rPr>
              <w:t>Панцитопения</w:t>
            </w:r>
          </w:p>
        </w:tc>
        <w:tc>
          <w:tcPr>
            <w:tcW w:w="2225" w:type="dxa"/>
            <w:vAlign w:val="bottom"/>
          </w:tcPr>
          <w:p w14:paraId="13792C7B" w14:textId="64E70855" w:rsidR="00F428C9" w:rsidRPr="00F428C9" w:rsidRDefault="00F428C9" w:rsidP="00F428C9">
            <w:r w:rsidRPr="00F428C9">
              <w:rPr>
                <w:bCs/>
              </w:rPr>
              <w:t>Много редки</w:t>
            </w:r>
          </w:p>
        </w:tc>
        <w:tc>
          <w:tcPr>
            <w:tcW w:w="2162" w:type="dxa"/>
            <w:vAlign w:val="center"/>
          </w:tcPr>
          <w:p w14:paraId="2AAC2CD9" w14:textId="0E378B02" w:rsidR="00F428C9" w:rsidRPr="00F428C9" w:rsidRDefault="00F428C9" w:rsidP="00F428C9">
            <w:r w:rsidRPr="00F428C9">
              <w:rPr>
                <w:bCs/>
              </w:rPr>
              <w:t>-</w:t>
            </w:r>
          </w:p>
        </w:tc>
      </w:tr>
      <w:tr w:rsidR="00F428C9" w14:paraId="42564878" w14:textId="77777777" w:rsidTr="00197723">
        <w:tc>
          <w:tcPr>
            <w:tcW w:w="2667" w:type="dxa"/>
            <w:vMerge/>
            <w:vAlign w:val="center"/>
          </w:tcPr>
          <w:p w14:paraId="24BC92A3" w14:textId="77777777" w:rsidR="00F428C9" w:rsidRPr="00F428C9" w:rsidRDefault="00F428C9" w:rsidP="00F428C9">
            <w:pPr>
              <w:rPr>
                <w:b/>
              </w:rPr>
            </w:pPr>
          </w:p>
        </w:tc>
        <w:tc>
          <w:tcPr>
            <w:tcW w:w="2522" w:type="dxa"/>
            <w:vAlign w:val="bottom"/>
          </w:tcPr>
          <w:p w14:paraId="71524224" w14:textId="03DC954F" w:rsidR="00F428C9" w:rsidRPr="00F428C9" w:rsidRDefault="00F428C9" w:rsidP="00F428C9">
            <w:r w:rsidRPr="00F428C9">
              <w:rPr>
                <w:bCs/>
              </w:rPr>
              <w:t>Левкопения</w:t>
            </w:r>
          </w:p>
        </w:tc>
        <w:tc>
          <w:tcPr>
            <w:tcW w:w="2225" w:type="dxa"/>
            <w:vAlign w:val="bottom"/>
          </w:tcPr>
          <w:p w14:paraId="7BC0517E" w14:textId="4058B969" w:rsidR="00F428C9" w:rsidRPr="00F428C9" w:rsidRDefault="00F428C9" w:rsidP="00F428C9">
            <w:r w:rsidRPr="00F428C9">
              <w:rPr>
                <w:bCs/>
              </w:rPr>
              <w:t>Много редки</w:t>
            </w:r>
          </w:p>
        </w:tc>
        <w:tc>
          <w:tcPr>
            <w:tcW w:w="2162" w:type="dxa"/>
            <w:vAlign w:val="bottom"/>
          </w:tcPr>
          <w:p w14:paraId="1C0336B4" w14:textId="26CDD673" w:rsidR="00F428C9" w:rsidRPr="00F428C9" w:rsidRDefault="00F428C9" w:rsidP="00F428C9">
            <w:r w:rsidRPr="00F428C9">
              <w:rPr>
                <w:bCs/>
              </w:rPr>
              <w:t>Много редки</w:t>
            </w:r>
          </w:p>
        </w:tc>
      </w:tr>
      <w:tr w:rsidR="00F428C9" w14:paraId="5DC80BCE" w14:textId="77777777" w:rsidTr="00197723">
        <w:tc>
          <w:tcPr>
            <w:tcW w:w="2667" w:type="dxa"/>
            <w:vMerge/>
            <w:vAlign w:val="center"/>
          </w:tcPr>
          <w:p w14:paraId="0326FC76" w14:textId="77777777" w:rsidR="00F428C9" w:rsidRPr="00F428C9" w:rsidRDefault="00F428C9" w:rsidP="00F428C9">
            <w:pPr>
              <w:rPr>
                <w:b/>
              </w:rPr>
            </w:pPr>
          </w:p>
        </w:tc>
        <w:tc>
          <w:tcPr>
            <w:tcW w:w="2522" w:type="dxa"/>
            <w:vAlign w:val="bottom"/>
          </w:tcPr>
          <w:p w14:paraId="09AFFEAE" w14:textId="41A8C36F" w:rsidR="00F428C9" w:rsidRPr="00F428C9" w:rsidRDefault="00F428C9" w:rsidP="00F428C9">
            <w:r w:rsidRPr="00F428C9">
              <w:rPr>
                <w:bCs/>
              </w:rPr>
              <w:t>Неутропения (вж. точка 4.4)</w:t>
            </w:r>
          </w:p>
        </w:tc>
        <w:tc>
          <w:tcPr>
            <w:tcW w:w="2225" w:type="dxa"/>
            <w:vAlign w:val="bottom"/>
          </w:tcPr>
          <w:p w14:paraId="3FCA1B73" w14:textId="025E4202" w:rsidR="00F428C9" w:rsidRPr="00F428C9" w:rsidRDefault="00F428C9" w:rsidP="00F428C9">
            <w:r w:rsidRPr="00F428C9">
              <w:rPr>
                <w:bCs/>
              </w:rPr>
              <w:t>Много редки</w:t>
            </w:r>
          </w:p>
        </w:tc>
        <w:tc>
          <w:tcPr>
            <w:tcW w:w="2162" w:type="dxa"/>
            <w:vAlign w:val="center"/>
          </w:tcPr>
          <w:p w14:paraId="478BEB20" w14:textId="7517018B" w:rsidR="00F428C9" w:rsidRPr="00F428C9" w:rsidRDefault="00F428C9" w:rsidP="00F428C9">
            <w:r w:rsidRPr="00F428C9">
              <w:rPr>
                <w:bCs/>
              </w:rPr>
              <w:t>-</w:t>
            </w:r>
          </w:p>
        </w:tc>
      </w:tr>
      <w:tr w:rsidR="00F428C9" w14:paraId="09D72F03" w14:textId="77777777" w:rsidTr="00197723">
        <w:tc>
          <w:tcPr>
            <w:tcW w:w="2667" w:type="dxa"/>
            <w:vMerge/>
            <w:vAlign w:val="center"/>
          </w:tcPr>
          <w:p w14:paraId="5E79CE3A" w14:textId="77777777" w:rsidR="00F428C9" w:rsidRPr="00F428C9" w:rsidRDefault="00F428C9" w:rsidP="00F428C9">
            <w:pPr>
              <w:rPr>
                <w:b/>
              </w:rPr>
            </w:pPr>
          </w:p>
        </w:tc>
        <w:tc>
          <w:tcPr>
            <w:tcW w:w="2522" w:type="dxa"/>
            <w:vAlign w:val="bottom"/>
          </w:tcPr>
          <w:p w14:paraId="01E97299" w14:textId="0EA321E5" w:rsidR="00F428C9" w:rsidRPr="00F428C9" w:rsidRDefault="00F428C9" w:rsidP="00F428C9">
            <w:r w:rsidRPr="00F428C9">
              <w:rPr>
                <w:bCs/>
              </w:rPr>
              <w:t>Ензим-специфична хемолитична анемия</w:t>
            </w:r>
          </w:p>
        </w:tc>
        <w:tc>
          <w:tcPr>
            <w:tcW w:w="2225" w:type="dxa"/>
            <w:vAlign w:val="bottom"/>
          </w:tcPr>
          <w:p w14:paraId="73DDFDCB" w14:textId="23580411" w:rsidR="00F428C9" w:rsidRPr="00F428C9" w:rsidRDefault="00F428C9" w:rsidP="00F428C9">
            <w:r w:rsidRPr="00F428C9">
              <w:rPr>
                <w:bCs/>
              </w:rPr>
              <w:t>Много редки</w:t>
            </w:r>
          </w:p>
        </w:tc>
        <w:tc>
          <w:tcPr>
            <w:tcW w:w="2162" w:type="dxa"/>
            <w:vAlign w:val="bottom"/>
          </w:tcPr>
          <w:p w14:paraId="265E4704" w14:textId="02A0CAA9" w:rsidR="00F428C9" w:rsidRPr="00F428C9" w:rsidRDefault="00F428C9" w:rsidP="00F428C9">
            <w:r w:rsidRPr="00F428C9">
              <w:rPr>
                <w:bCs/>
              </w:rPr>
              <w:t>Много редки</w:t>
            </w:r>
          </w:p>
        </w:tc>
      </w:tr>
      <w:tr w:rsidR="00F428C9" w14:paraId="3BDC639A" w14:textId="77777777" w:rsidTr="00197723">
        <w:tc>
          <w:tcPr>
            <w:tcW w:w="2667" w:type="dxa"/>
            <w:vMerge/>
            <w:vAlign w:val="center"/>
          </w:tcPr>
          <w:p w14:paraId="1F332F4E" w14:textId="77777777" w:rsidR="00F428C9" w:rsidRPr="00F428C9" w:rsidRDefault="00F428C9" w:rsidP="00F428C9">
            <w:pPr>
              <w:rPr>
                <w:b/>
              </w:rPr>
            </w:pPr>
          </w:p>
        </w:tc>
        <w:tc>
          <w:tcPr>
            <w:tcW w:w="2522" w:type="dxa"/>
            <w:vAlign w:val="bottom"/>
          </w:tcPr>
          <w:p w14:paraId="09AA7312" w14:textId="6D8B57A2" w:rsidR="00F428C9" w:rsidRPr="00F428C9" w:rsidRDefault="00F428C9" w:rsidP="00F428C9">
            <w:r w:rsidRPr="00F428C9">
              <w:rPr>
                <w:bCs/>
              </w:rPr>
              <w:t>Тромбоцитопения (вж. точка 4.4)</w:t>
            </w:r>
          </w:p>
        </w:tc>
        <w:tc>
          <w:tcPr>
            <w:tcW w:w="2225" w:type="dxa"/>
            <w:vAlign w:val="bottom"/>
          </w:tcPr>
          <w:p w14:paraId="6B0D21B3" w14:textId="15ADE26F" w:rsidR="00F428C9" w:rsidRPr="00F428C9" w:rsidRDefault="00F428C9" w:rsidP="00F428C9">
            <w:r w:rsidRPr="00F428C9">
              <w:rPr>
                <w:bCs/>
              </w:rPr>
              <w:t>Много редки</w:t>
            </w:r>
          </w:p>
        </w:tc>
        <w:tc>
          <w:tcPr>
            <w:tcW w:w="2162" w:type="dxa"/>
            <w:vAlign w:val="bottom"/>
          </w:tcPr>
          <w:p w14:paraId="71D2B7A7" w14:textId="4AD47B30" w:rsidR="00F428C9" w:rsidRPr="00F428C9" w:rsidRDefault="00F428C9" w:rsidP="00F428C9">
            <w:r w:rsidRPr="00F428C9">
              <w:rPr>
                <w:bCs/>
              </w:rPr>
              <w:t>Много редки</w:t>
            </w:r>
          </w:p>
        </w:tc>
      </w:tr>
      <w:tr w:rsidR="00F428C9" w14:paraId="61B1359E" w14:textId="77777777" w:rsidTr="00197723">
        <w:tc>
          <w:tcPr>
            <w:tcW w:w="2667" w:type="dxa"/>
            <w:vAlign w:val="center"/>
          </w:tcPr>
          <w:p w14:paraId="10E5CE02" w14:textId="5486C97C" w:rsidR="00F428C9" w:rsidRPr="00F428C9" w:rsidRDefault="00F428C9" w:rsidP="00F428C9">
            <w:pPr>
              <w:rPr>
                <w:b/>
              </w:rPr>
            </w:pPr>
            <w:r w:rsidRPr="00F428C9">
              <w:rPr>
                <w:b/>
                <w:bCs/>
              </w:rPr>
              <w:t>Нарушения на имунната система</w:t>
            </w:r>
          </w:p>
        </w:tc>
        <w:tc>
          <w:tcPr>
            <w:tcW w:w="2522" w:type="dxa"/>
            <w:vAlign w:val="bottom"/>
          </w:tcPr>
          <w:p w14:paraId="5B1CEC01" w14:textId="51EC8D36" w:rsidR="00F428C9" w:rsidRPr="00F428C9" w:rsidRDefault="00F428C9" w:rsidP="00F428C9">
            <w:r w:rsidRPr="00F428C9">
              <w:rPr>
                <w:bCs/>
              </w:rPr>
              <w:t xml:space="preserve">Свръхчуствителност (реакции, основно </w:t>
            </w:r>
            <w:r w:rsidRPr="00F428C9">
              <w:rPr>
                <w:bCs/>
              </w:rPr>
              <w:lastRenderedPageBreak/>
              <w:t>дерматологични, при пациенти с предразположение към алергични и астматични реакции)</w:t>
            </w:r>
          </w:p>
        </w:tc>
        <w:tc>
          <w:tcPr>
            <w:tcW w:w="2225" w:type="dxa"/>
            <w:vAlign w:val="center"/>
          </w:tcPr>
          <w:p w14:paraId="7F96D4ED" w14:textId="7AF2316C" w:rsidR="00F428C9" w:rsidRPr="00F428C9" w:rsidRDefault="00F428C9" w:rsidP="00F428C9">
            <w:r w:rsidRPr="00F428C9">
              <w:rPr>
                <w:bCs/>
              </w:rPr>
              <w:lastRenderedPageBreak/>
              <w:t>-</w:t>
            </w:r>
          </w:p>
        </w:tc>
        <w:tc>
          <w:tcPr>
            <w:tcW w:w="2162" w:type="dxa"/>
            <w:vAlign w:val="center"/>
          </w:tcPr>
          <w:p w14:paraId="58737DE2" w14:textId="385EF026" w:rsidR="00F428C9" w:rsidRPr="00F428C9" w:rsidRDefault="00F428C9" w:rsidP="00F428C9">
            <w:r w:rsidRPr="00F428C9">
              <w:rPr>
                <w:bCs/>
              </w:rPr>
              <w:t>Чести</w:t>
            </w:r>
          </w:p>
        </w:tc>
      </w:tr>
      <w:tr w:rsidR="00F428C9" w14:paraId="0596924D" w14:textId="77777777" w:rsidTr="00197723">
        <w:tc>
          <w:tcPr>
            <w:tcW w:w="2667" w:type="dxa"/>
            <w:vMerge w:val="restart"/>
            <w:vAlign w:val="center"/>
          </w:tcPr>
          <w:p w14:paraId="6662EB87" w14:textId="0D8D7B13" w:rsidR="00F428C9" w:rsidRPr="00F428C9" w:rsidRDefault="00F428C9" w:rsidP="00F428C9">
            <w:pPr>
              <w:rPr>
                <w:rFonts w:cs="Arial"/>
                <w:b/>
              </w:rPr>
            </w:pPr>
            <w:r w:rsidRPr="00F428C9">
              <w:rPr>
                <w:rFonts w:cs="Arial"/>
                <w:b/>
                <w:bCs/>
              </w:rPr>
              <w:t>Нарушения на метаболизма и храненето</w:t>
            </w:r>
          </w:p>
        </w:tc>
        <w:tc>
          <w:tcPr>
            <w:tcW w:w="2522" w:type="dxa"/>
            <w:vAlign w:val="center"/>
          </w:tcPr>
          <w:p w14:paraId="7BF280EB" w14:textId="07B73324" w:rsidR="00F428C9" w:rsidRPr="00F428C9" w:rsidRDefault="00F428C9" w:rsidP="00F428C9">
            <w:pPr>
              <w:rPr>
                <w:rFonts w:cs="Arial"/>
              </w:rPr>
            </w:pPr>
            <w:r w:rsidRPr="00F428C9">
              <w:rPr>
                <w:rFonts w:cs="Arial"/>
                <w:bCs/>
              </w:rPr>
              <w:t>Намален апетит</w:t>
            </w:r>
          </w:p>
        </w:tc>
        <w:tc>
          <w:tcPr>
            <w:tcW w:w="2225" w:type="dxa"/>
            <w:vAlign w:val="center"/>
          </w:tcPr>
          <w:p w14:paraId="2148A046" w14:textId="1A319823" w:rsidR="00F428C9" w:rsidRPr="00F428C9" w:rsidRDefault="00F428C9" w:rsidP="00F428C9">
            <w:pPr>
              <w:rPr>
                <w:rFonts w:cs="Arial"/>
              </w:rPr>
            </w:pPr>
            <w:r w:rsidRPr="00F428C9">
              <w:rPr>
                <w:rFonts w:cs="Arial"/>
                <w:bCs/>
              </w:rPr>
              <w:t>Чести</w:t>
            </w:r>
          </w:p>
        </w:tc>
        <w:tc>
          <w:tcPr>
            <w:tcW w:w="2162" w:type="dxa"/>
            <w:vAlign w:val="center"/>
          </w:tcPr>
          <w:p w14:paraId="7A395C4B" w14:textId="7BA6490F" w:rsidR="00F428C9" w:rsidRPr="00F428C9" w:rsidRDefault="00F428C9" w:rsidP="00F428C9">
            <w:pPr>
              <w:rPr>
                <w:rFonts w:cs="Arial"/>
              </w:rPr>
            </w:pPr>
            <w:r w:rsidRPr="00F428C9">
              <w:rPr>
                <w:rFonts w:cs="Arial"/>
                <w:bCs/>
              </w:rPr>
              <w:t>-</w:t>
            </w:r>
          </w:p>
        </w:tc>
      </w:tr>
      <w:tr w:rsidR="00F428C9" w14:paraId="13D108E7" w14:textId="77777777" w:rsidTr="00197723">
        <w:tc>
          <w:tcPr>
            <w:tcW w:w="2667" w:type="dxa"/>
            <w:vMerge/>
            <w:vAlign w:val="center"/>
          </w:tcPr>
          <w:p w14:paraId="7C773A8F" w14:textId="77777777" w:rsidR="00F428C9" w:rsidRPr="00F428C9" w:rsidRDefault="00F428C9" w:rsidP="00F428C9">
            <w:pPr>
              <w:rPr>
                <w:rFonts w:cs="Arial"/>
                <w:b/>
              </w:rPr>
            </w:pPr>
          </w:p>
        </w:tc>
        <w:tc>
          <w:tcPr>
            <w:tcW w:w="2522" w:type="dxa"/>
            <w:vAlign w:val="center"/>
          </w:tcPr>
          <w:p w14:paraId="050E6EB2" w14:textId="354DB631" w:rsidR="00F428C9" w:rsidRPr="00F428C9" w:rsidRDefault="00F428C9" w:rsidP="00F428C9">
            <w:pPr>
              <w:rPr>
                <w:rFonts w:cs="Arial"/>
              </w:rPr>
            </w:pPr>
            <w:r w:rsidRPr="00F428C9">
              <w:rPr>
                <w:rFonts w:cs="Arial"/>
                <w:bCs/>
              </w:rPr>
              <w:t>Хипогликемия (вж. точки 4.4 и 4.5)</w:t>
            </w:r>
          </w:p>
        </w:tc>
        <w:tc>
          <w:tcPr>
            <w:tcW w:w="2225" w:type="dxa"/>
            <w:vAlign w:val="center"/>
          </w:tcPr>
          <w:p w14:paraId="15B96820" w14:textId="01534574" w:rsidR="00F428C9" w:rsidRPr="00F428C9" w:rsidRDefault="00F428C9" w:rsidP="00F428C9">
            <w:pPr>
              <w:rPr>
                <w:rFonts w:cs="Arial"/>
              </w:rPr>
            </w:pPr>
            <w:r w:rsidRPr="00F428C9">
              <w:rPr>
                <w:rFonts w:cs="Arial"/>
                <w:bCs/>
              </w:rPr>
              <w:t>Нечести*</w:t>
            </w:r>
          </w:p>
        </w:tc>
        <w:tc>
          <w:tcPr>
            <w:tcW w:w="2162" w:type="dxa"/>
            <w:vAlign w:val="center"/>
          </w:tcPr>
          <w:p w14:paraId="04DC55B7" w14:textId="729C29D6" w:rsidR="00F428C9" w:rsidRPr="00F428C9" w:rsidRDefault="00F428C9" w:rsidP="00F428C9">
            <w:pPr>
              <w:rPr>
                <w:rFonts w:cs="Arial"/>
              </w:rPr>
            </w:pPr>
            <w:r w:rsidRPr="00F428C9">
              <w:rPr>
                <w:rFonts w:cs="Arial"/>
                <w:bCs/>
              </w:rPr>
              <w:t>-</w:t>
            </w:r>
          </w:p>
        </w:tc>
      </w:tr>
      <w:tr w:rsidR="00F428C9" w14:paraId="086B77E8" w14:textId="77777777" w:rsidTr="00197723">
        <w:tc>
          <w:tcPr>
            <w:tcW w:w="2667" w:type="dxa"/>
            <w:vMerge/>
            <w:vAlign w:val="center"/>
          </w:tcPr>
          <w:p w14:paraId="554F3AF7" w14:textId="77777777" w:rsidR="00F428C9" w:rsidRPr="00F428C9" w:rsidRDefault="00F428C9" w:rsidP="00F428C9">
            <w:pPr>
              <w:rPr>
                <w:rFonts w:cs="Arial"/>
                <w:b/>
              </w:rPr>
            </w:pPr>
          </w:p>
        </w:tc>
        <w:tc>
          <w:tcPr>
            <w:tcW w:w="2522" w:type="dxa"/>
          </w:tcPr>
          <w:p w14:paraId="5B9606A5" w14:textId="6BFDE782" w:rsidR="00F428C9" w:rsidRPr="00F428C9" w:rsidRDefault="00F428C9" w:rsidP="00F428C9">
            <w:pPr>
              <w:rPr>
                <w:rFonts w:cs="Arial"/>
              </w:rPr>
            </w:pPr>
            <w:r w:rsidRPr="00F428C9">
              <w:rPr>
                <w:rFonts w:cs="Arial"/>
                <w:bCs/>
              </w:rPr>
              <w:t>Хиперкалиемия, обратима при спиране (вж. точка 4.4)</w:t>
            </w:r>
          </w:p>
        </w:tc>
        <w:tc>
          <w:tcPr>
            <w:tcW w:w="2225" w:type="dxa"/>
            <w:vAlign w:val="center"/>
          </w:tcPr>
          <w:p w14:paraId="2589DDE1" w14:textId="06A759D8" w:rsidR="00F428C9" w:rsidRPr="00F428C9" w:rsidRDefault="00F428C9" w:rsidP="00F428C9">
            <w:pPr>
              <w:rPr>
                <w:rFonts w:cs="Arial"/>
              </w:rPr>
            </w:pPr>
            <w:r w:rsidRPr="00F428C9">
              <w:rPr>
                <w:rFonts w:cs="Arial"/>
                <w:bCs/>
              </w:rPr>
              <w:t>Нечести*</w:t>
            </w:r>
          </w:p>
        </w:tc>
        <w:tc>
          <w:tcPr>
            <w:tcW w:w="2162" w:type="dxa"/>
            <w:vAlign w:val="center"/>
          </w:tcPr>
          <w:p w14:paraId="3511D6D5" w14:textId="5D2E716F" w:rsidR="00F428C9" w:rsidRPr="00F428C9" w:rsidRDefault="00F428C9" w:rsidP="00F428C9">
            <w:pPr>
              <w:rPr>
                <w:rFonts w:cs="Arial"/>
              </w:rPr>
            </w:pPr>
            <w:r w:rsidRPr="00F428C9">
              <w:rPr>
                <w:rFonts w:cs="Arial"/>
                <w:bCs/>
              </w:rPr>
              <w:t>-</w:t>
            </w:r>
          </w:p>
        </w:tc>
      </w:tr>
      <w:tr w:rsidR="00F428C9" w14:paraId="510018FA" w14:textId="77777777" w:rsidTr="00197723">
        <w:tc>
          <w:tcPr>
            <w:tcW w:w="2667" w:type="dxa"/>
            <w:vMerge/>
            <w:vAlign w:val="center"/>
          </w:tcPr>
          <w:p w14:paraId="1DE3C08C" w14:textId="77777777" w:rsidR="00F428C9" w:rsidRPr="00F428C9" w:rsidRDefault="00F428C9" w:rsidP="00F428C9">
            <w:pPr>
              <w:rPr>
                <w:rFonts w:cs="Arial"/>
                <w:b/>
              </w:rPr>
            </w:pPr>
          </w:p>
        </w:tc>
        <w:tc>
          <w:tcPr>
            <w:tcW w:w="2522" w:type="dxa"/>
            <w:vAlign w:val="center"/>
          </w:tcPr>
          <w:p w14:paraId="455E765A" w14:textId="59C2917B" w:rsidR="00F428C9" w:rsidRPr="00F428C9" w:rsidRDefault="00F428C9" w:rsidP="00F428C9">
            <w:pPr>
              <w:rPr>
                <w:rFonts w:cs="Arial"/>
              </w:rPr>
            </w:pPr>
            <w:r w:rsidRPr="00F428C9">
              <w:rPr>
                <w:rFonts w:cs="Arial"/>
                <w:bCs/>
              </w:rPr>
              <w:t>Хипонатриемия (вж. точка 4.4)</w:t>
            </w:r>
          </w:p>
        </w:tc>
        <w:tc>
          <w:tcPr>
            <w:tcW w:w="2225" w:type="dxa"/>
            <w:vAlign w:val="center"/>
          </w:tcPr>
          <w:p w14:paraId="53EF3D13" w14:textId="1853F394" w:rsidR="00F428C9" w:rsidRPr="00F428C9" w:rsidRDefault="00F428C9" w:rsidP="00F428C9">
            <w:pPr>
              <w:rPr>
                <w:rFonts w:cs="Arial"/>
              </w:rPr>
            </w:pPr>
            <w:r w:rsidRPr="00F428C9">
              <w:rPr>
                <w:rFonts w:cs="Arial"/>
                <w:bCs/>
              </w:rPr>
              <w:t>Нечести*</w:t>
            </w:r>
          </w:p>
        </w:tc>
        <w:tc>
          <w:tcPr>
            <w:tcW w:w="2162" w:type="dxa"/>
            <w:vAlign w:val="bottom"/>
          </w:tcPr>
          <w:p w14:paraId="1C06EEB3" w14:textId="67B42AB6" w:rsidR="00F428C9" w:rsidRPr="00F428C9" w:rsidRDefault="00F428C9" w:rsidP="00F428C9">
            <w:pPr>
              <w:rPr>
                <w:rFonts w:cs="Arial"/>
              </w:rPr>
            </w:pPr>
            <w:r w:rsidRPr="00F428C9">
              <w:rPr>
                <w:rFonts w:cs="Arial"/>
                <w:bCs/>
              </w:rPr>
              <w:t>С неизвестна честота</w:t>
            </w:r>
          </w:p>
        </w:tc>
      </w:tr>
      <w:tr w:rsidR="00F428C9" w14:paraId="3040C4F4" w14:textId="77777777" w:rsidTr="00197723">
        <w:tc>
          <w:tcPr>
            <w:tcW w:w="2667" w:type="dxa"/>
            <w:vMerge/>
            <w:vAlign w:val="center"/>
          </w:tcPr>
          <w:p w14:paraId="0BCB0165" w14:textId="77777777" w:rsidR="00F428C9" w:rsidRPr="00F428C9" w:rsidRDefault="00F428C9" w:rsidP="00F428C9">
            <w:pPr>
              <w:rPr>
                <w:rFonts w:cs="Arial"/>
                <w:b/>
              </w:rPr>
            </w:pPr>
          </w:p>
        </w:tc>
        <w:tc>
          <w:tcPr>
            <w:tcW w:w="2522" w:type="dxa"/>
            <w:vAlign w:val="center"/>
          </w:tcPr>
          <w:p w14:paraId="0601399D" w14:textId="05D77FEE" w:rsidR="00F428C9" w:rsidRPr="00F428C9" w:rsidRDefault="00F428C9" w:rsidP="00F428C9">
            <w:pPr>
              <w:rPr>
                <w:rFonts w:cs="Arial"/>
              </w:rPr>
            </w:pPr>
            <w:r w:rsidRPr="00F428C9">
              <w:rPr>
                <w:rFonts w:cs="Arial"/>
                <w:bCs/>
              </w:rPr>
              <w:t>Хиперкалциемия</w:t>
            </w:r>
          </w:p>
        </w:tc>
        <w:tc>
          <w:tcPr>
            <w:tcW w:w="2225" w:type="dxa"/>
            <w:vAlign w:val="center"/>
          </w:tcPr>
          <w:p w14:paraId="780BFF2B" w14:textId="375391F2" w:rsidR="00F428C9" w:rsidRPr="00F428C9" w:rsidRDefault="00F428C9" w:rsidP="00F428C9">
            <w:pPr>
              <w:rPr>
                <w:rFonts w:cs="Arial"/>
              </w:rPr>
            </w:pPr>
            <w:r w:rsidRPr="00F428C9">
              <w:rPr>
                <w:rFonts w:cs="Arial"/>
                <w:bCs/>
              </w:rPr>
              <w:t>-</w:t>
            </w:r>
          </w:p>
        </w:tc>
        <w:tc>
          <w:tcPr>
            <w:tcW w:w="2162" w:type="dxa"/>
            <w:vAlign w:val="center"/>
          </w:tcPr>
          <w:p w14:paraId="7F490B3B" w14:textId="1C12CB81" w:rsidR="00F428C9" w:rsidRPr="00F428C9" w:rsidRDefault="00F428C9" w:rsidP="00F428C9">
            <w:pPr>
              <w:rPr>
                <w:rFonts w:cs="Arial"/>
              </w:rPr>
            </w:pPr>
            <w:r w:rsidRPr="00F428C9">
              <w:rPr>
                <w:rFonts w:cs="Arial"/>
                <w:bCs/>
              </w:rPr>
              <w:t>Редки</w:t>
            </w:r>
          </w:p>
        </w:tc>
      </w:tr>
      <w:tr w:rsidR="00F428C9" w14:paraId="3527875B" w14:textId="77777777" w:rsidTr="00197723">
        <w:tc>
          <w:tcPr>
            <w:tcW w:w="2667" w:type="dxa"/>
            <w:vMerge/>
            <w:vAlign w:val="center"/>
          </w:tcPr>
          <w:p w14:paraId="3FD09B7C" w14:textId="77777777" w:rsidR="00F428C9" w:rsidRPr="00F428C9" w:rsidRDefault="00F428C9" w:rsidP="00F428C9">
            <w:pPr>
              <w:rPr>
                <w:rFonts w:cs="Arial"/>
                <w:b/>
              </w:rPr>
            </w:pPr>
          </w:p>
        </w:tc>
        <w:tc>
          <w:tcPr>
            <w:tcW w:w="2522" w:type="dxa"/>
            <w:vAlign w:val="bottom"/>
          </w:tcPr>
          <w:p w14:paraId="40E9AB87" w14:textId="1815DE7F" w:rsidR="00F428C9" w:rsidRPr="00F428C9" w:rsidRDefault="00F428C9" w:rsidP="00F428C9">
            <w:pPr>
              <w:rPr>
                <w:rFonts w:cs="Arial"/>
              </w:rPr>
            </w:pPr>
            <w:r w:rsidRPr="00F428C9">
              <w:rPr>
                <w:rFonts w:cs="Arial"/>
                <w:bCs/>
              </w:rPr>
              <w:t>Хипокалиемия с особено сериозно понижаване на нивата на калия при някои рискови трупи (вж. точка 4.4)</w:t>
            </w:r>
          </w:p>
        </w:tc>
        <w:tc>
          <w:tcPr>
            <w:tcW w:w="2225" w:type="dxa"/>
            <w:vAlign w:val="center"/>
          </w:tcPr>
          <w:p w14:paraId="5F663ED2" w14:textId="1A055E51" w:rsidR="00F428C9" w:rsidRPr="00F428C9" w:rsidRDefault="00F428C9" w:rsidP="00F428C9">
            <w:pPr>
              <w:rPr>
                <w:rFonts w:cs="Arial"/>
              </w:rPr>
            </w:pPr>
            <w:r w:rsidRPr="00F428C9">
              <w:rPr>
                <w:rFonts w:cs="Arial"/>
                <w:bCs/>
              </w:rPr>
              <w:t>-</w:t>
            </w:r>
          </w:p>
        </w:tc>
        <w:tc>
          <w:tcPr>
            <w:tcW w:w="2162" w:type="dxa"/>
            <w:vAlign w:val="center"/>
          </w:tcPr>
          <w:p w14:paraId="7084E3E4" w14:textId="5B001B65" w:rsidR="00F428C9" w:rsidRPr="00F428C9" w:rsidRDefault="00F428C9" w:rsidP="00F428C9">
            <w:pPr>
              <w:rPr>
                <w:rFonts w:cs="Arial"/>
              </w:rPr>
            </w:pPr>
            <w:r w:rsidRPr="00F428C9">
              <w:rPr>
                <w:rFonts w:cs="Arial"/>
                <w:bCs/>
              </w:rPr>
              <w:t>С неизвестна честота</w:t>
            </w:r>
          </w:p>
        </w:tc>
      </w:tr>
      <w:tr w:rsidR="00F428C9" w14:paraId="2FE6A317" w14:textId="77777777" w:rsidTr="00197723">
        <w:tc>
          <w:tcPr>
            <w:tcW w:w="2667" w:type="dxa"/>
            <w:vMerge w:val="restart"/>
            <w:vAlign w:val="center"/>
          </w:tcPr>
          <w:p w14:paraId="48808CB1" w14:textId="2E27E6F5" w:rsidR="00F428C9" w:rsidRPr="00F428C9" w:rsidRDefault="00F428C9" w:rsidP="00F428C9">
            <w:pPr>
              <w:rPr>
                <w:rFonts w:cs="Arial"/>
                <w:b/>
              </w:rPr>
            </w:pPr>
            <w:r w:rsidRPr="00F428C9">
              <w:rPr>
                <w:rFonts w:cs="Arial"/>
                <w:b/>
                <w:bCs/>
              </w:rPr>
              <w:t>Психични нарушения</w:t>
            </w:r>
          </w:p>
        </w:tc>
        <w:tc>
          <w:tcPr>
            <w:tcW w:w="2522" w:type="dxa"/>
            <w:vAlign w:val="center"/>
          </w:tcPr>
          <w:p w14:paraId="06A24BF4" w14:textId="4BD402BF" w:rsidR="00F428C9" w:rsidRPr="00F428C9" w:rsidRDefault="00F428C9" w:rsidP="00F428C9">
            <w:pPr>
              <w:rPr>
                <w:rFonts w:cs="Arial"/>
              </w:rPr>
            </w:pPr>
            <w:r w:rsidRPr="00F428C9">
              <w:rPr>
                <w:rFonts w:cs="Arial"/>
                <w:bCs/>
              </w:rPr>
              <w:t>Промяна на настроението</w:t>
            </w:r>
          </w:p>
        </w:tc>
        <w:tc>
          <w:tcPr>
            <w:tcW w:w="2225" w:type="dxa"/>
            <w:vAlign w:val="center"/>
          </w:tcPr>
          <w:p w14:paraId="1B488777" w14:textId="1F7A26A4" w:rsidR="00F428C9" w:rsidRPr="00F428C9" w:rsidRDefault="00F428C9" w:rsidP="00F428C9">
            <w:pPr>
              <w:rPr>
                <w:rFonts w:cs="Arial"/>
              </w:rPr>
            </w:pPr>
            <w:r w:rsidRPr="00F428C9">
              <w:rPr>
                <w:rFonts w:cs="Arial"/>
                <w:bCs/>
              </w:rPr>
              <w:t>Нечести</w:t>
            </w:r>
          </w:p>
        </w:tc>
        <w:tc>
          <w:tcPr>
            <w:tcW w:w="2162" w:type="dxa"/>
            <w:vAlign w:val="center"/>
          </w:tcPr>
          <w:p w14:paraId="4881A012" w14:textId="2C291F78" w:rsidR="00F428C9" w:rsidRPr="00F428C9" w:rsidRDefault="00F428C9" w:rsidP="00F428C9">
            <w:pPr>
              <w:rPr>
                <w:rFonts w:cs="Arial"/>
              </w:rPr>
            </w:pPr>
            <w:r w:rsidRPr="00F428C9">
              <w:rPr>
                <w:rFonts w:cs="Arial"/>
                <w:bCs/>
              </w:rPr>
              <w:t>-</w:t>
            </w:r>
          </w:p>
        </w:tc>
      </w:tr>
      <w:tr w:rsidR="00F428C9" w14:paraId="55E65E68" w14:textId="77777777" w:rsidTr="00197723">
        <w:tc>
          <w:tcPr>
            <w:tcW w:w="2667" w:type="dxa"/>
            <w:vMerge/>
            <w:vAlign w:val="center"/>
          </w:tcPr>
          <w:p w14:paraId="3E0B66F2" w14:textId="77777777" w:rsidR="00F428C9" w:rsidRPr="00F428C9" w:rsidRDefault="00F428C9" w:rsidP="00F428C9">
            <w:pPr>
              <w:rPr>
                <w:rFonts w:cs="Arial"/>
                <w:b/>
              </w:rPr>
            </w:pPr>
          </w:p>
        </w:tc>
        <w:tc>
          <w:tcPr>
            <w:tcW w:w="2522" w:type="dxa"/>
            <w:vAlign w:val="center"/>
          </w:tcPr>
          <w:p w14:paraId="56793797" w14:textId="40A919C8" w:rsidR="00F428C9" w:rsidRPr="00F428C9" w:rsidRDefault="00F428C9" w:rsidP="00F428C9">
            <w:pPr>
              <w:rPr>
                <w:rFonts w:cs="Arial"/>
              </w:rPr>
            </w:pPr>
            <w:r w:rsidRPr="00F428C9">
              <w:rPr>
                <w:rFonts w:cs="Arial"/>
                <w:bCs/>
              </w:rPr>
              <w:t>Разстройство на съня</w:t>
            </w:r>
          </w:p>
        </w:tc>
        <w:tc>
          <w:tcPr>
            <w:tcW w:w="2225" w:type="dxa"/>
            <w:vAlign w:val="center"/>
          </w:tcPr>
          <w:p w14:paraId="0356885B" w14:textId="324EE9AB" w:rsidR="00F428C9" w:rsidRPr="00F428C9" w:rsidRDefault="00F428C9" w:rsidP="00F428C9">
            <w:pPr>
              <w:rPr>
                <w:rFonts w:cs="Arial"/>
              </w:rPr>
            </w:pPr>
            <w:r w:rsidRPr="00F428C9">
              <w:rPr>
                <w:rFonts w:cs="Arial"/>
                <w:bCs/>
              </w:rPr>
              <w:t>Нечести</w:t>
            </w:r>
          </w:p>
        </w:tc>
        <w:tc>
          <w:tcPr>
            <w:tcW w:w="2162" w:type="dxa"/>
            <w:vAlign w:val="center"/>
          </w:tcPr>
          <w:p w14:paraId="29B9BF23" w14:textId="18672110" w:rsidR="00F428C9" w:rsidRPr="00F428C9" w:rsidRDefault="00F428C9" w:rsidP="00F428C9">
            <w:pPr>
              <w:rPr>
                <w:rFonts w:cs="Arial"/>
              </w:rPr>
            </w:pPr>
            <w:r w:rsidRPr="00F428C9">
              <w:rPr>
                <w:rFonts w:cs="Arial"/>
                <w:bCs/>
              </w:rPr>
              <w:t>-</w:t>
            </w:r>
          </w:p>
        </w:tc>
      </w:tr>
      <w:tr w:rsidR="00F428C9" w14:paraId="2F0B6D29" w14:textId="77777777" w:rsidTr="00197723">
        <w:tc>
          <w:tcPr>
            <w:tcW w:w="2667" w:type="dxa"/>
            <w:vMerge/>
            <w:vAlign w:val="center"/>
          </w:tcPr>
          <w:p w14:paraId="01C09A92" w14:textId="77777777" w:rsidR="00F428C9" w:rsidRPr="00F428C9" w:rsidRDefault="00F428C9" w:rsidP="00F428C9">
            <w:pPr>
              <w:rPr>
                <w:rFonts w:cs="Arial"/>
                <w:b/>
              </w:rPr>
            </w:pPr>
          </w:p>
        </w:tc>
        <w:tc>
          <w:tcPr>
            <w:tcW w:w="2522" w:type="dxa"/>
            <w:vAlign w:val="bottom"/>
          </w:tcPr>
          <w:p w14:paraId="54F67DE6" w14:textId="476C116B" w:rsidR="00F428C9" w:rsidRPr="00F428C9" w:rsidRDefault="00F428C9" w:rsidP="00F428C9">
            <w:pPr>
              <w:rPr>
                <w:rFonts w:cs="Arial"/>
              </w:rPr>
            </w:pPr>
            <w:r w:rsidRPr="00F428C9">
              <w:rPr>
                <w:rFonts w:cs="Arial"/>
                <w:bCs/>
              </w:rPr>
              <w:t>Объркване</w:t>
            </w:r>
          </w:p>
        </w:tc>
        <w:tc>
          <w:tcPr>
            <w:tcW w:w="2225" w:type="dxa"/>
            <w:vAlign w:val="bottom"/>
          </w:tcPr>
          <w:p w14:paraId="0F48B681" w14:textId="17E50EF7" w:rsidR="00F428C9" w:rsidRPr="00F428C9" w:rsidRDefault="00F428C9" w:rsidP="00F428C9">
            <w:pPr>
              <w:rPr>
                <w:rFonts w:cs="Arial"/>
              </w:rPr>
            </w:pPr>
            <w:r w:rsidRPr="00F428C9">
              <w:rPr>
                <w:rFonts w:cs="Arial"/>
                <w:bCs/>
              </w:rPr>
              <w:t>Много редки</w:t>
            </w:r>
          </w:p>
        </w:tc>
        <w:tc>
          <w:tcPr>
            <w:tcW w:w="2162" w:type="dxa"/>
            <w:vAlign w:val="center"/>
          </w:tcPr>
          <w:p w14:paraId="738E2417" w14:textId="497BCC15" w:rsidR="00F428C9" w:rsidRPr="00F428C9" w:rsidRDefault="00F428C9" w:rsidP="00F428C9">
            <w:pPr>
              <w:rPr>
                <w:rFonts w:cs="Arial"/>
              </w:rPr>
            </w:pPr>
            <w:r w:rsidRPr="00F428C9">
              <w:rPr>
                <w:rFonts w:cs="Arial"/>
                <w:bCs/>
              </w:rPr>
              <w:t>-</w:t>
            </w:r>
          </w:p>
        </w:tc>
      </w:tr>
      <w:tr w:rsidR="00F428C9" w14:paraId="46A2D1FB" w14:textId="77777777" w:rsidTr="00197723">
        <w:tc>
          <w:tcPr>
            <w:tcW w:w="2667" w:type="dxa"/>
            <w:vMerge w:val="restart"/>
            <w:vAlign w:val="center"/>
          </w:tcPr>
          <w:p w14:paraId="64677976" w14:textId="2D511DDE" w:rsidR="00F428C9" w:rsidRPr="00F428C9" w:rsidRDefault="00F428C9" w:rsidP="00F428C9">
            <w:pPr>
              <w:rPr>
                <w:rFonts w:cs="Arial"/>
                <w:b/>
              </w:rPr>
            </w:pPr>
            <w:r w:rsidRPr="00F428C9">
              <w:rPr>
                <w:rFonts w:cs="Arial"/>
                <w:b/>
                <w:bCs/>
              </w:rPr>
              <w:t>Нарушения на нервната система</w:t>
            </w:r>
          </w:p>
        </w:tc>
        <w:tc>
          <w:tcPr>
            <w:tcW w:w="2522" w:type="dxa"/>
            <w:vAlign w:val="center"/>
          </w:tcPr>
          <w:p w14:paraId="70AB8D37" w14:textId="1BF39821" w:rsidR="00F428C9" w:rsidRPr="00F428C9" w:rsidRDefault="00F428C9" w:rsidP="00F428C9">
            <w:pPr>
              <w:rPr>
                <w:rFonts w:cs="Arial"/>
              </w:rPr>
            </w:pPr>
            <w:r w:rsidRPr="00F428C9">
              <w:rPr>
                <w:rFonts w:cs="Arial"/>
                <w:bCs/>
              </w:rPr>
              <w:t>Замаяност</w:t>
            </w:r>
          </w:p>
        </w:tc>
        <w:tc>
          <w:tcPr>
            <w:tcW w:w="2225" w:type="dxa"/>
            <w:vAlign w:val="center"/>
          </w:tcPr>
          <w:p w14:paraId="00555FA9" w14:textId="6B1FF297" w:rsidR="00F428C9" w:rsidRPr="00F428C9" w:rsidRDefault="00F428C9" w:rsidP="00F428C9">
            <w:pPr>
              <w:rPr>
                <w:rFonts w:cs="Arial"/>
              </w:rPr>
            </w:pPr>
            <w:r w:rsidRPr="00F428C9">
              <w:rPr>
                <w:rFonts w:cs="Arial"/>
                <w:bCs/>
              </w:rPr>
              <w:t>Чести</w:t>
            </w:r>
          </w:p>
        </w:tc>
        <w:tc>
          <w:tcPr>
            <w:tcW w:w="2162" w:type="dxa"/>
            <w:vAlign w:val="center"/>
          </w:tcPr>
          <w:p w14:paraId="6643806D" w14:textId="43AA8B6F" w:rsidR="00F428C9" w:rsidRPr="00F428C9" w:rsidRDefault="00F428C9" w:rsidP="00F428C9">
            <w:pPr>
              <w:rPr>
                <w:rFonts w:cs="Arial"/>
              </w:rPr>
            </w:pPr>
            <w:r w:rsidRPr="00F428C9">
              <w:rPr>
                <w:rFonts w:cs="Arial"/>
                <w:bCs/>
              </w:rPr>
              <w:t>-</w:t>
            </w:r>
          </w:p>
        </w:tc>
      </w:tr>
      <w:tr w:rsidR="00F428C9" w14:paraId="1E437631" w14:textId="77777777" w:rsidTr="00197723">
        <w:tc>
          <w:tcPr>
            <w:tcW w:w="2667" w:type="dxa"/>
            <w:vMerge/>
            <w:vAlign w:val="center"/>
          </w:tcPr>
          <w:p w14:paraId="6F5E6020" w14:textId="77777777" w:rsidR="00F428C9" w:rsidRPr="00F428C9" w:rsidRDefault="00F428C9" w:rsidP="00F428C9">
            <w:pPr>
              <w:rPr>
                <w:rFonts w:cs="Arial"/>
              </w:rPr>
            </w:pPr>
          </w:p>
        </w:tc>
        <w:tc>
          <w:tcPr>
            <w:tcW w:w="2522" w:type="dxa"/>
            <w:vAlign w:val="bottom"/>
          </w:tcPr>
          <w:p w14:paraId="129A9294" w14:textId="00B3EF7B" w:rsidR="00F428C9" w:rsidRPr="00F428C9" w:rsidRDefault="00F428C9" w:rsidP="00F428C9">
            <w:pPr>
              <w:rPr>
                <w:rFonts w:cs="Arial"/>
              </w:rPr>
            </w:pPr>
            <w:r w:rsidRPr="00F428C9">
              <w:rPr>
                <w:rFonts w:cs="Arial"/>
                <w:bCs/>
              </w:rPr>
              <w:t>Главоболие</w:t>
            </w:r>
          </w:p>
        </w:tc>
        <w:tc>
          <w:tcPr>
            <w:tcW w:w="2225" w:type="dxa"/>
            <w:vAlign w:val="bottom"/>
          </w:tcPr>
          <w:p w14:paraId="4EF6016B" w14:textId="11F6E01C" w:rsidR="00F428C9" w:rsidRPr="00F428C9" w:rsidRDefault="00F428C9" w:rsidP="00F428C9">
            <w:pPr>
              <w:rPr>
                <w:rFonts w:cs="Arial"/>
              </w:rPr>
            </w:pPr>
            <w:r w:rsidRPr="00F428C9">
              <w:rPr>
                <w:rFonts w:cs="Arial"/>
                <w:bCs/>
              </w:rPr>
              <w:t>Чести</w:t>
            </w:r>
          </w:p>
        </w:tc>
        <w:tc>
          <w:tcPr>
            <w:tcW w:w="2162" w:type="dxa"/>
            <w:vAlign w:val="bottom"/>
          </w:tcPr>
          <w:p w14:paraId="4EA154EA" w14:textId="47003BE8" w:rsidR="00F428C9" w:rsidRPr="00F428C9" w:rsidRDefault="00F428C9" w:rsidP="00F428C9">
            <w:pPr>
              <w:rPr>
                <w:rFonts w:cs="Arial"/>
              </w:rPr>
            </w:pPr>
            <w:r w:rsidRPr="00F428C9">
              <w:rPr>
                <w:rFonts w:cs="Arial"/>
                <w:bCs/>
              </w:rPr>
              <w:t>Редки</w:t>
            </w:r>
          </w:p>
        </w:tc>
      </w:tr>
      <w:tr w:rsidR="00F428C9" w14:paraId="0ED48CBC" w14:textId="77777777" w:rsidTr="00197723">
        <w:tc>
          <w:tcPr>
            <w:tcW w:w="2667" w:type="dxa"/>
            <w:vMerge/>
            <w:vAlign w:val="center"/>
          </w:tcPr>
          <w:p w14:paraId="1D19FFD5" w14:textId="77777777" w:rsidR="00F428C9" w:rsidRPr="00F428C9" w:rsidRDefault="00F428C9" w:rsidP="00F428C9">
            <w:pPr>
              <w:rPr>
                <w:rFonts w:cs="Arial"/>
              </w:rPr>
            </w:pPr>
          </w:p>
        </w:tc>
        <w:tc>
          <w:tcPr>
            <w:tcW w:w="2522" w:type="dxa"/>
            <w:vAlign w:val="bottom"/>
          </w:tcPr>
          <w:p w14:paraId="0978538B" w14:textId="6F071F4A" w:rsidR="00F428C9" w:rsidRPr="00F428C9" w:rsidRDefault="00F428C9" w:rsidP="00F428C9">
            <w:pPr>
              <w:rPr>
                <w:rFonts w:cs="Arial"/>
              </w:rPr>
            </w:pPr>
            <w:r w:rsidRPr="00F428C9">
              <w:rPr>
                <w:rFonts w:cs="Arial"/>
                <w:bCs/>
              </w:rPr>
              <w:t>Парестезия</w:t>
            </w:r>
          </w:p>
        </w:tc>
        <w:tc>
          <w:tcPr>
            <w:tcW w:w="2225" w:type="dxa"/>
            <w:vAlign w:val="bottom"/>
          </w:tcPr>
          <w:p w14:paraId="6829A1B5" w14:textId="7F484088" w:rsidR="00F428C9" w:rsidRPr="00F428C9" w:rsidRDefault="00F428C9" w:rsidP="00F428C9">
            <w:pPr>
              <w:rPr>
                <w:rFonts w:cs="Arial"/>
              </w:rPr>
            </w:pPr>
            <w:r w:rsidRPr="00F428C9">
              <w:rPr>
                <w:rFonts w:cs="Arial"/>
                <w:bCs/>
              </w:rPr>
              <w:t>Чести</w:t>
            </w:r>
          </w:p>
        </w:tc>
        <w:tc>
          <w:tcPr>
            <w:tcW w:w="2162" w:type="dxa"/>
            <w:vAlign w:val="bottom"/>
          </w:tcPr>
          <w:p w14:paraId="202D8F06" w14:textId="11E09BEB" w:rsidR="00F428C9" w:rsidRPr="00F428C9" w:rsidRDefault="00F428C9" w:rsidP="00F428C9">
            <w:pPr>
              <w:rPr>
                <w:rFonts w:cs="Arial"/>
              </w:rPr>
            </w:pPr>
            <w:r w:rsidRPr="00F428C9">
              <w:rPr>
                <w:rFonts w:cs="Arial"/>
                <w:bCs/>
              </w:rPr>
              <w:t>Редки</w:t>
            </w:r>
          </w:p>
        </w:tc>
      </w:tr>
      <w:tr w:rsidR="00F428C9" w14:paraId="3A03CF71" w14:textId="77777777" w:rsidTr="00197723">
        <w:tc>
          <w:tcPr>
            <w:tcW w:w="2667" w:type="dxa"/>
            <w:vMerge/>
            <w:vAlign w:val="center"/>
          </w:tcPr>
          <w:p w14:paraId="0B27BA94" w14:textId="77777777" w:rsidR="00F428C9" w:rsidRPr="00F428C9" w:rsidRDefault="00F428C9" w:rsidP="00F428C9">
            <w:pPr>
              <w:rPr>
                <w:rFonts w:cs="Arial"/>
              </w:rPr>
            </w:pPr>
          </w:p>
        </w:tc>
        <w:tc>
          <w:tcPr>
            <w:tcW w:w="2522" w:type="dxa"/>
            <w:vAlign w:val="bottom"/>
          </w:tcPr>
          <w:p w14:paraId="0E2D6EAD" w14:textId="70CA393F" w:rsidR="00F428C9" w:rsidRPr="00F428C9" w:rsidRDefault="00F428C9" w:rsidP="00F428C9">
            <w:pPr>
              <w:rPr>
                <w:rFonts w:cs="Arial"/>
              </w:rPr>
            </w:pPr>
            <w:r w:rsidRPr="00F428C9">
              <w:rPr>
                <w:rFonts w:cs="Arial"/>
                <w:bCs/>
              </w:rPr>
              <w:t>Световъртеж</w:t>
            </w:r>
          </w:p>
        </w:tc>
        <w:tc>
          <w:tcPr>
            <w:tcW w:w="2225" w:type="dxa"/>
            <w:vAlign w:val="bottom"/>
          </w:tcPr>
          <w:p w14:paraId="7FFB8B15" w14:textId="19030C8B" w:rsidR="00F428C9" w:rsidRPr="00F428C9" w:rsidRDefault="00F428C9" w:rsidP="00F428C9">
            <w:pPr>
              <w:rPr>
                <w:rFonts w:cs="Arial"/>
              </w:rPr>
            </w:pPr>
            <w:r w:rsidRPr="00F428C9">
              <w:rPr>
                <w:rFonts w:cs="Arial"/>
                <w:bCs/>
              </w:rPr>
              <w:t>Чести</w:t>
            </w:r>
          </w:p>
        </w:tc>
        <w:tc>
          <w:tcPr>
            <w:tcW w:w="2162" w:type="dxa"/>
            <w:vAlign w:val="bottom"/>
          </w:tcPr>
          <w:p w14:paraId="70139338" w14:textId="2504DE47" w:rsidR="00F428C9" w:rsidRPr="00F428C9" w:rsidRDefault="00F428C9" w:rsidP="00F428C9">
            <w:pPr>
              <w:rPr>
                <w:rFonts w:cs="Arial"/>
              </w:rPr>
            </w:pPr>
            <w:r w:rsidRPr="00F428C9">
              <w:rPr>
                <w:rFonts w:cs="Arial"/>
                <w:bCs/>
              </w:rPr>
              <w:t>Редки</w:t>
            </w:r>
          </w:p>
        </w:tc>
      </w:tr>
      <w:tr w:rsidR="00F428C9" w14:paraId="7CE8A41D" w14:textId="77777777" w:rsidTr="00197723">
        <w:tc>
          <w:tcPr>
            <w:tcW w:w="2667" w:type="dxa"/>
            <w:vMerge/>
            <w:vAlign w:val="center"/>
          </w:tcPr>
          <w:p w14:paraId="3F3A04E2" w14:textId="77777777" w:rsidR="00F428C9" w:rsidRPr="00F428C9" w:rsidRDefault="00F428C9" w:rsidP="00F428C9">
            <w:pPr>
              <w:rPr>
                <w:rFonts w:cs="Arial"/>
              </w:rPr>
            </w:pPr>
          </w:p>
        </w:tc>
        <w:tc>
          <w:tcPr>
            <w:tcW w:w="2522" w:type="dxa"/>
            <w:vAlign w:val="center"/>
          </w:tcPr>
          <w:p w14:paraId="2FDA1BFB" w14:textId="46D022F5" w:rsidR="00F428C9" w:rsidRPr="00F428C9" w:rsidRDefault="00F428C9" w:rsidP="00F428C9">
            <w:pPr>
              <w:rPr>
                <w:rFonts w:cs="Arial"/>
              </w:rPr>
            </w:pPr>
            <w:r w:rsidRPr="00F428C9">
              <w:rPr>
                <w:rFonts w:cs="Arial"/>
                <w:bCs/>
              </w:rPr>
              <w:t>Дисгеузия</w:t>
            </w:r>
          </w:p>
        </w:tc>
        <w:tc>
          <w:tcPr>
            <w:tcW w:w="2225" w:type="dxa"/>
            <w:vAlign w:val="center"/>
          </w:tcPr>
          <w:p w14:paraId="5D7049C4" w14:textId="39D9F0B0" w:rsidR="00F428C9" w:rsidRPr="00F428C9" w:rsidRDefault="00F428C9" w:rsidP="00F428C9">
            <w:pPr>
              <w:rPr>
                <w:rFonts w:cs="Arial"/>
              </w:rPr>
            </w:pPr>
            <w:r w:rsidRPr="00F428C9">
              <w:rPr>
                <w:rFonts w:cs="Arial"/>
                <w:bCs/>
              </w:rPr>
              <w:t>Чести</w:t>
            </w:r>
          </w:p>
        </w:tc>
        <w:tc>
          <w:tcPr>
            <w:tcW w:w="2162" w:type="dxa"/>
            <w:vAlign w:val="center"/>
          </w:tcPr>
          <w:p w14:paraId="37CADF63" w14:textId="78F3680D" w:rsidR="00F428C9" w:rsidRPr="00F428C9" w:rsidRDefault="00F428C9" w:rsidP="00F428C9">
            <w:pPr>
              <w:rPr>
                <w:rFonts w:cs="Arial"/>
              </w:rPr>
            </w:pPr>
            <w:r w:rsidRPr="00F428C9">
              <w:rPr>
                <w:rFonts w:cs="Arial"/>
                <w:bCs/>
              </w:rPr>
              <w:t>-</w:t>
            </w:r>
          </w:p>
        </w:tc>
      </w:tr>
      <w:tr w:rsidR="00F428C9" w14:paraId="526A2C75" w14:textId="77777777" w:rsidTr="00197723">
        <w:tc>
          <w:tcPr>
            <w:tcW w:w="2667" w:type="dxa"/>
            <w:vMerge/>
            <w:vAlign w:val="center"/>
          </w:tcPr>
          <w:p w14:paraId="03ECF3DC" w14:textId="77777777" w:rsidR="00F428C9" w:rsidRPr="00F428C9" w:rsidRDefault="00F428C9" w:rsidP="00F428C9">
            <w:pPr>
              <w:rPr>
                <w:rFonts w:cs="Arial"/>
              </w:rPr>
            </w:pPr>
          </w:p>
        </w:tc>
        <w:tc>
          <w:tcPr>
            <w:tcW w:w="2522" w:type="dxa"/>
            <w:vAlign w:val="bottom"/>
          </w:tcPr>
          <w:p w14:paraId="3453F432" w14:textId="2CEBABF1" w:rsidR="00F428C9" w:rsidRPr="00F428C9" w:rsidRDefault="00F428C9" w:rsidP="00F428C9">
            <w:pPr>
              <w:rPr>
                <w:rFonts w:cs="Arial"/>
              </w:rPr>
            </w:pPr>
            <w:r w:rsidRPr="00F428C9">
              <w:rPr>
                <w:rFonts w:cs="Arial"/>
                <w:bCs/>
              </w:rPr>
              <w:t>Сънливост</w:t>
            </w:r>
          </w:p>
        </w:tc>
        <w:tc>
          <w:tcPr>
            <w:tcW w:w="2225" w:type="dxa"/>
            <w:vAlign w:val="bottom"/>
          </w:tcPr>
          <w:p w14:paraId="13CC01A0" w14:textId="683001B5" w:rsidR="00F428C9" w:rsidRPr="00F428C9" w:rsidRDefault="00F428C9" w:rsidP="00F428C9">
            <w:pPr>
              <w:rPr>
                <w:rFonts w:cs="Arial"/>
              </w:rPr>
            </w:pPr>
            <w:r w:rsidRPr="00F428C9">
              <w:rPr>
                <w:rFonts w:cs="Arial"/>
                <w:bCs/>
              </w:rPr>
              <w:t>Нечести*</w:t>
            </w:r>
          </w:p>
        </w:tc>
        <w:tc>
          <w:tcPr>
            <w:tcW w:w="2162" w:type="dxa"/>
          </w:tcPr>
          <w:p w14:paraId="14671A57" w14:textId="14BE6FB2" w:rsidR="00F428C9" w:rsidRPr="00F428C9" w:rsidRDefault="00F428C9" w:rsidP="00F428C9">
            <w:pPr>
              <w:rPr>
                <w:rFonts w:cs="Arial"/>
              </w:rPr>
            </w:pPr>
            <w:r w:rsidRPr="00F428C9">
              <w:rPr>
                <w:rFonts w:cs="Arial"/>
                <w:bCs/>
              </w:rPr>
              <w:t>-</w:t>
            </w:r>
          </w:p>
        </w:tc>
      </w:tr>
      <w:tr w:rsidR="00F428C9" w14:paraId="1387D1B9" w14:textId="77777777" w:rsidTr="00197723">
        <w:tc>
          <w:tcPr>
            <w:tcW w:w="2667" w:type="dxa"/>
            <w:vMerge/>
            <w:vAlign w:val="center"/>
          </w:tcPr>
          <w:p w14:paraId="4E386ED4" w14:textId="77777777" w:rsidR="00F428C9" w:rsidRPr="00F428C9" w:rsidRDefault="00F428C9" w:rsidP="00F428C9">
            <w:pPr>
              <w:rPr>
                <w:rFonts w:cs="Arial"/>
              </w:rPr>
            </w:pPr>
          </w:p>
        </w:tc>
        <w:tc>
          <w:tcPr>
            <w:tcW w:w="2522" w:type="dxa"/>
            <w:vAlign w:val="center"/>
          </w:tcPr>
          <w:p w14:paraId="66008B30" w14:textId="68CFCB90" w:rsidR="00F428C9" w:rsidRPr="00F428C9" w:rsidRDefault="00F428C9" w:rsidP="00F428C9">
            <w:pPr>
              <w:rPr>
                <w:rFonts w:cs="Arial"/>
              </w:rPr>
            </w:pPr>
            <w:r w:rsidRPr="00F428C9">
              <w:rPr>
                <w:rFonts w:cs="Arial"/>
                <w:bCs/>
              </w:rPr>
              <w:t>Синкоп</w:t>
            </w:r>
          </w:p>
        </w:tc>
        <w:tc>
          <w:tcPr>
            <w:tcW w:w="2225" w:type="dxa"/>
            <w:vAlign w:val="center"/>
          </w:tcPr>
          <w:p w14:paraId="3DE897EA" w14:textId="06C15398" w:rsidR="00F428C9" w:rsidRPr="00F428C9" w:rsidRDefault="00F428C9" w:rsidP="00F428C9">
            <w:pPr>
              <w:rPr>
                <w:rFonts w:cs="Arial"/>
              </w:rPr>
            </w:pPr>
            <w:r w:rsidRPr="00F428C9">
              <w:rPr>
                <w:rFonts w:cs="Arial"/>
                <w:bCs/>
              </w:rPr>
              <w:t>Нечести*</w:t>
            </w:r>
          </w:p>
        </w:tc>
        <w:tc>
          <w:tcPr>
            <w:tcW w:w="2162" w:type="dxa"/>
          </w:tcPr>
          <w:p w14:paraId="41B0A07F" w14:textId="77777777" w:rsidR="00F428C9" w:rsidRPr="00F428C9" w:rsidRDefault="00F428C9" w:rsidP="00F428C9">
            <w:pPr>
              <w:rPr>
                <w:rFonts w:cs="Arial"/>
              </w:rPr>
            </w:pPr>
            <w:r w:rsidRPr="00F428C9">
              <w:rPr>
                <w:rFonts w:cs="Arial"/>
                <w:bCs/>
              </w:rPr>
              <w:t>С неизвестна</w:t>
            </w:r>
          </w:p>
          <w:p w14:paraId="1F18BFEE" w14:textId="3009FD68" w:rsidR="00F428C9" w:rsidRPr="00F428C9" w:rsidRDefault="00F428C9" w:rsidP="00F428C9">
            <w:pPr>
              <w:rPr>
                <w:rFonts w:cs="Arial"/>
              </w:rPr>
            </w:pPr>
            <w:r w:rsidRPr="00F428C9">
              <w:rPr>
                <w:rFonts w:cs="Arial"/>
                <w:bCs/>
              </w:rPr>
              <w:t>честота</w:t>
            </w:r>
          </w:p>
        </w:tc>
      </w:tr>
      <w:tr w:rsidR="00F428C9" w14:paraId="10545E50" w14:textId="77777777" w:rsidTr="00197723">
        <w:tc>
          <w:tcPr>
            <w:tcW w:w="2667" w:type="dxa"/>
            <w:vMerge/>
          </w:tcPr>
          <w:p w14:paraId="5C856BE4" w14:textId="77777777" w:rsidR="00F428C9" w:rsidRDefault="00F428C9" w:rsidP="00F428C9"/>
        </w:tc>
        <w:tc>
          <w:tcPr>
            <w:tcW w:w="2522" w:type="dxa"/>
            <w:vAlign w:val="bottom"/>
          </w:tcPr>
          <w:p w14:paraId="0588E0D3" w14:textId="55BE59FA" w:rsidR="00F428C9" w:rsidRPr="00F428C9" w:rsidRDefault="00F428C9" w:rsidP="00F428C9">
            <w:r w:rsidRPr="00F428C9">
              <w:rPr>
                <w:bCs/>
              </w:rPr>
              <w:t>Възможен инсулт вследствие на прекомерна хипотония при високорискови пациенти (вж, точка 4.4)</w:t>
            </w:r>
          </w:p>
        </w:tc>
        <w:tc>
          <w:tcPr>
            <w:tcW w:w="2225" w:type="dxa"/>
            <w:vAlign w:val="center"/>
          </w:tcPr>
          <w:p w14:paraId="6F25ADB4" w14:textId="028EA67D" w:rsidR="00F428C9" w:rsidRPr="00F428C9" w:rsidRDefault="00F428C9" w:rsidP="00F428C9">
            <w:r w:rsidRPr="00F428C9">
              <w:rPr>
                <w:bCs/>
              </w:rPr>
              <w:t>Много редки</w:t>
            </w:r>
          </w:p>
        </w:tc>
        <w:tc>
          <w:tcPr>
            <w:tcW w:w="2162" w:type="dxa"/>
            <w:vAlign w:val="center"/>
          </w:tcPr>
          <w:p w14:paraId="1385D54B" w14:textId="3595B4A5" w:rsidR="00F428C9" w:rsidRPr="00F428C9" w:rsidRDefault="00F428C9" w:rsidP="00F428C9">
            <w:r w:rsidRPr="00F428C9">
              <w:rPr>
                <w:rFonts w:cs="Arial"/>
              </w:rPr>
              <w:t>-</w:t>
            </w:r>
          </w:p>
        </w:tc>
      </w:tr>
      <w:tr w:rsidR="00F428C9" w14:paraId="6F49618E" w14:textId="77777777" w:rsidTr="00197723">
        <w:tc>
          <w:tcPr>
            <w:tcW w:w="2667" w:type="dxa"/>
            <w:vMerge/>
          </w:tcPr>
          <w:p w14:paraId="0FB2E228" w14:textId="77777777" w:rsidR="00F428C9" w:rsidRDefault="00F428C9" w:rsidP="00F428C9"/>
        </w:tc>
        <w:tc>
          <w:tcPr>
            <w:tcW w:w="2522" w:type="dxa"/>
            <w:vAlign w:val="bottom"/>
          </w:tcPr>
          <w:p w14:paraId="5C9AC9C2" w14:textId="4B3FF05D" w:rsidR="00F428C9" w:rsidRPr="00F428C9" w:rsidRDefault="00F428C9" w:rsidP="00F428C9">
            <w:r w:rsidRPr="00F428C9">
              <w:rPr>
                <w:bCs/>
              </w:rPr>
              <w:t xml:space="preserve">Възможност за възникване на чернодробна енцефалопатия в случай на чернодробна </w:t>
            </w:r>
            <w:r w:rsidRPr="00F428C9">
              <w:rPr>
                <w:bCs/>
              </w:rPr>
              <w:lastRenderedPageBreak/>
              <w:t>недостатъчност (вж, точки 4.3 и 4.4)</w:t>
            </w:r>
          </w:p>
        </w:tc>
        <w:tc>
          <w:tcPr>
            <w:tcW w:w="2225" w:type="dxa"/>
            <w:vAlign w:val="center"/>
          </w:tcPr>
          <w:p w14:paraId="393AFE47" w14:textId="6EF50922" w:rsidR="00F428C9" w:rsidRPr="00F428C9" w:rsidRDefault="00F428C9" w:rsidP="00F428C9">
            <w:r w:rsidRPr="00F428C9">
              <w:rPr>
                <w:bCs/>
              </w:rPr>
              <w:lastRenderedPageBreak/>
              <w:t>-</w:t>
            </w:r>
          </w:p>
        </w:tc>
        <w:tc>
          <w:tcPr>
            <w:tcW w:w="2162" w:type="dxa"/>
            <w:vAlign w:val="center"/>
          </w:tcPr>
          <w:p w14:paraId="2739CBBA" w14:textId="496C4607" w:rsidR="00F428C9" w:rsidRPr="00F428C9" w:rsidRDefault="00F428C9" w:rsidP="00F428C9">
            <w:r w:rsidRPr="00F428C9">
              <w:rPr>
                <w:bCs/>
              </w:rPr>
              <w:t>С неизвестна честота</w:t>
            </w:r>
          </w:p>
        </w:tc>
      </w:tr>
      <w:tr w:rsidR="00197723" w14:paraId="08EB6DB7" w14:textId="77777777" w:rsidTr="00197723">
        <w:tc>
          <w:tcPr>
            <w:tcW w:w="2667" w:type="dxa"/>
            <w:vMerge w:val="restart"/>
            <w:vAlign w:val="center"/>
          </w:tcPr>
          <w:p w14:paraId="6D306D42" w14:textId="7F00F4AF" w:rsidR="00197723" w:rsidRPr="00197723" w:rsidRDefault="00197723" w:rsidP="00197723">
            <w:pPr>
              <w:rPr>
                <w:b/>
              </w:rPr>
            </w:pPr>
            <w:r w:rsidRPr="00197723">
              <w:rPr>
                <w:b/>
                <w:bCs/>
              </w:rPr>
              <w:t>Нарушения на очите</w:t>
            </w:r>
          </w:p>
        </w:tc>
        <w:tc>
          <w:tcPr>
            <w:tcW w:w="2522" w:type="dxa"/>
            <w:vAlign w:val="bottom"/>
          </w:tcPr>
          <w:p w14:paraId="75DC73BC" w14:textId="62B7E32B" w:rsidR="00197723" w:rsidRPr="00197723" w:rsidRDefault="00197723" w:rsidP="00197723">
            <w:r w:rsidRPr="00197723">
              <w:rPr>
                <w:bCs/>
              </w:rPr>
              <w:t>Зрителни нарушения</w:t>
            </w:r>
          </w:p>
        </w:tc>
        <w:tc>
          <w:tcPr>
            <w:tcW w:w="2225" w:type="dxa"/>
            <w:vAlign w:val="center"/>
          </w:tcPr>
          <w:p w14:paraId="2550EFC1" w14:textId="4392E3BA" w:rsidR="00197723" w:rsidRPr="00197723" w:rsidRDefault="00197723" w:rsidP="00197723">
            <w:r w:rsidRPr="00197723">
              <w:rPr>
                <w:bCs/>
              </w:rPr>
              <w:t>Чести</w:t>
            </w:r>
          </w:p>
        </w:tc>
        <w:tc>
          <w:tcPr>
            <w:tcW w:w="2162" w:type="dxa"/>
            <w:vAlign w:val="center"/>
          </w:tcPr>
          <w:p w14:paraId="2D0A8DB7" w14:textId="7537411E" w:rsidR="00197723" w:rsidRPr="00197723" w:rsidRDefault="00197723" w:rsidP="00197723">
            <w:r w:rsidRPr="00197723">
              <w:rPr>
                <w:bCs/>
              </w:rPr>
              <w:t>С неизвестна честота</w:t>
            </w:r>
          </w:p>
        </w:tc>
      </w:tr>
      <w:tr w:rsidR="00197723" w14:paraId="76BDA0E7" w14:textId="77777777" w:rsidTr="00197723">
        <w:tc>
          <w:tcPr>
            <w:tcW w:w="2667" w:type="dxa"/>
            <w:vMerge/>
            <w:vAlign w:val="center"/>
          </w:tcPr>
          <w:p w14:paraId="4ADCBCDA" w14:textId="77777777" w:rsidR="00197723" w:rsidRPr="00197723" w:rsidRDefault="00197723" w:rsidP="00197723">
            <w:pPr>
              <w:rPr>
                <w:b/>
              </w:rPr>
            </w:pPr>
          </w:p>
        </w:tc>
        <w:tc>
          <w:tcPr>
            <w:tcW w:w="2522" w:type="dxa"/>
            <w:vAlign w:val="center"/>
          </w:tcPr>
          <w:p w14:paraId="1145D9F4" w14:textId="63CA00FA" w:rsidR="00197723" w:rsidRPr="00197723" w:rsidRDefault="00197723" w:rsidP="00197723">
            <w:r w:rsidRPr="00197723">
              <w:rPr>
                <w:bCs/>
              </w:rPr>
              <w:t>Късогледство</w:t>
            </w:r>
          </w:p>
        </w:tc>
        <w:tc>
          <w:tcPr>
            <w:tcW w:w="2225" w:type="dxa"/>
            <w:vAlign w:val="center"/>
          </w:tcPr>
          <w:p w14:paraId="3FC7288D" w14:textId="57945202" w:rsidR="00197723" w:rsidRPr="00197723" w:rsidRDefault="00197723" w:rsidP="00197723">
            <w:r w:rsidRPr="00197723">
              <w:rPr>
                <w:bCs/>
              </w:rPr>
              <w:t>-</w:t>
            </w:r>
          </w:p>
        </w:tc>
        <w:tc>
          <w:tcPr>
            <w:tcW w:w="2162" w:type="dxa"/>
            <w:vAlign w:val="center"/>
          </w:tcPr>
          <w:p w14:paraId="566B8AEE" w14:textId="701AF2BC" w:rsidR="00197723" w:rsidRPr="00197723" w:rsidRDefault="00197723" w:rsidP="00197723">
            <w:r w:rsidRPr="00197723">
              <w:rPr>
                <w:bCs/>
              </w:rPr>
              <w:t>С неизвестна честота</w:t>
            </w:r>
          </w:p>
        </w:tc>
      </w:tr>
      <w:tr w:rsidR="00197723" w14:paraId="503B456E" w14:textId="77777777" w:rsidTr="00197723">
        <w:tc>
          <w:tcPr>
            <w:tcW w:w="2667" w:type="dxa"/>
            <w:vMerge/>
            <w:vAlign w:val="center"/>
          </w:tcPr>
          <w:p w14:paraId="63D2B2F4" w14:textId="77777777" w:rsidR="00197723" w:rsidRPr="00197723" w:rsidRDefault="00197723" w:rsidP="00197723">
            <w:pPr>
              <w:rPr>
                <w:b/>
              </w:rPr>
            </w:pPr>
          </w:p>
        </w:tc>
        <w:tc>
          <w:tcPr>
            <w:tcW w:w="2522" w:type="dxa"/>
            <w:vAlign w:val="center"/>
          </w:tcPr>
          <w:p w14:paraId="2528305B" w14:textId="54DF1899" w:rsidR="00197723" w:rsidRPr="00197723" w:rsidRDefault="00197723" w:rsidP="00197723">
            <w:r w:rsidRPr="00197723">
              <w:rPr>
                <w:bCs/>
              </w:rPr>
              <w:t>Остра закритоъгьлна глаукома</w:t>
            </w:r>
          </w:p>
        </w:tc>
        <w:tc>
          <w:tcPr>
            <w:tcW w:w="2225" w:type="dxa"/>
            <w:vAlign w:val="center"/>
          </w:tcPr>
          <w:p w14:paraId="11D3D440" w14:textId="0DBF7AA1" w:rsidR="00197723" w:rsidRPr="00197723" w:rsidRDefault="00197723" w:rsidP="00197723">
            <w:r w:rsidRPr="00197723">
              <w:rPr>
                <w:bCs/>
              </w:rPr>
              <w:t>-</w:t>
            </w:r>
          </w:p>
        </w:tc>
        <w:tc>
          <w:tcPr>
            <w:tcW w:w="2162" w:type="dxa"/>
            <w:vAlign w:val="center"/>
          </w:tcPr>
          <w:p w14:paraId="06824FC7" w14:textId="05D02C30" w:rsidR="00197723" w:rsidRPr="00197723" w:rsidRDefault="00197723" w:rsidP="00197723">
            <w:r w:rsidRPr="00197723">
              <w:rPr>
                <w:bCs/>
              </w:rPr>
              <w:t>С неизвестна честота</w:t>
            </w:r>
          </w:p>
        </w:tc>
      </w:tr>
      <w:tr w:rsidR="00197723" w14:paraId="08485A93" w14:textId="77777777" w:rsidTr="00197723">
        <w:tc>
          <w:tcPr>
            <w:tcW w:w="2667" w:type="dxa"/>
            <w:vMerge/>
            <w:vAlign w:val="center"/>
          </w:tcPr>
          <w:p w14:paraId="0CE37963" w14:textId="77777777" w:rsidR="00197723" w:rsidRPr="00197723" w:rsidRDefault="00197723" w:rsidP="00197723">
            <w:pPr>
              <w:rPr>
                <w:b/>
              </w:rPr>
            </w:pPr>
          </w:p>
        </w:tc>
        <w:tc>
          <w:tcPr>
            <w:tcW w:w="2522" w:type="dxa"/>
            <w:vAlign w:val="center"/>
          </w:tcPr>
          <w:p w14:paraId="0DB47813" w14:textId="1E3BDBAC" w:rsidR="00197723" w:rsidRPr="00197723" w:rsidRDefault="00197723" w:rsidP="00197723">
            <w:r w:rsidRPr="00197723">
              <w:rPr>
                <w:bCs/>
              </w:rPr>
              <w:t>Хороидален излив</w:t>
            </w:r>
          </w:p>
        </w:tc>
        <w:tc>
          <w:tcPr>
            <w:tcW w:w="2225" w:type="dxa"/>
            <w:vAlign w:val="center"/>
          </w:tcPr>
          <w:p w14:paraId="5F6F31B7" w14:textId="79670BBB" w:rsidR="00197723" w:rsidRPr="00197723" w:rsidRDefault="00197723" w:rsidP="00197723">
            <w:r w:rsidRPr="00197723">
              <w:rPr>
                <w:bCs/>
              </w:rPr>
              <w:t>-</w:t>
            </w:r>
          </w:p>
        </w:tc>
        <w:tc>
          <w:tcPr>
            <w:tcW w:w="2162" w:type="dxa"/>
            <w:vAlign w:val="center"/>
          </w:tcPr>
          <w:p w14:paraId="47D317E4" w14:textId="0139F242" w:rsidR="00197723" w:rsidRPr="00197723" w:rsidRDefault="00197723" w:rsidP="00197723">
            <w:r w:rsidRPr="00197723">
              <w:rPr>
                <w:bCs/>
              </w:rPr>
              <w:t>С неизвестна честота</w:t>
            </w:r>
          </w:p>
        </w:tc>
      </w:tr>
      <w:tr w:rsidR="00197723" w14:paraId="64AE54AC" w14:textId="77777777" w:rsidTr="00197723">
        <w:tc>
          <w:tcPr>
            <w:tcW w:w="2667" w:type="dxa"/>
            <w:vMerge/>
            <w:vAlign w:val="center"/>
          </w:tcPr>
          <w:p w14:paraId="5AC77D96" w14:textId="77777777" w:rsidR="00197723" w:rsidRPr="00197723" w:rsidRDefault="00197723" w:rsidP="00197723">
            <w:pPr>
              <w:rPr>
                <w:b/>
              </w:rPr>
            </w:pPr>
          </w:p>
        </w:tc>
        <w:tc>
          <w:tcPr>
            <w:tcW w:w="2522" w:type="dxa"/>
            <w:vAlign w:val="center"/>
          </w:tcPr>
          <w:p w14:paraId="3229C892" w14:textId="270F820E" w:rsidR="00197723" w:rsidRPr="00197723" w:rsidRDefault="00197723" w:rsidP="00197723">
            <w:r w:rsidRPr="00197723">
              <w:rPr>
                <w:bCs/>
              </w:rPr>
              <w:t>Замъглено зрение</w:t>
            </w:r>
          </w:p>
        </w:tc>
        <w:tc>
          <w:tcPr>
            <w:tcW w:w="2225" w:type="dxa"/>
            <w:vAlign w:val="center"/>
          </w:tcPr>
          <w:p w14:paraId="08006428" w14:textId="18FD0FC8" w:rsidR="00197723" w:rsidRPr="00197723" w:rsidRDefault="00197723" w:rsidP="00197723">
            <w:r w:rsidRPr="00197723">
              <w:rPr>
                <w:bCs/>
              </w:rPr>
              <w:t>-</w:t>
            </w:r>
          </w:p>
        </w:tc>
        <w:tc>
          <w:tcPr>
            <w:tcW w:w="2162" w:type="dxa"/>
            <w:vAlign w:val="center"/>
          </w:tcPr>
          <w:p w14:paraId="120F0137" w14:textId="3F532F94" w:rsidR="00197723" w:rsidRPr="00197723" w:rsidRDefault="00197723" w:rsidP="00197723">
            <w:r w:rsidRPr="00197723">
              <w:rPr>
                <w:bCs/>
              </w:rPr>
              <w:t>С неизвестна честота</w:t>
            </w:r>
          </w:p>
        </w:tc>
      </w:tr>
      <w:tr w:rsidR="00197723" w14:paraId="1606348F" w14:textId="77777777" w:rsidTr="00197723">
        <w:tc>
          <w:tcPr>
            <w:tcW w:w="2667" w:type="dxa"/>
            <w:vAlign w:val="bottom"/>
          </w:tcPr>
          <w:p w14:paraId="0EF34572" w14:textId="755520A2" w:rsidR="00197723" w:rsidRPr="00197723" w:rsidRDefault="00197723" w:rsidP="00197723">
            <w:pPr>
              <w:rPr>
                <w:b/>
              </w:rPr>
            </w:pPr>
            <w:r w:rsidRPr="00197723">
              <w:rPr>
                <w:b/>
                <w:bCs/>
              </w:rPr>
              <w:t>Нарушения на ухото и лабиринта</w:t>
            </w:r>
          </w:p>
        </w:tc>
        <w:tc>
          <w:tcPr>
            <w:tcW w:w="2522" w:type="dxa"/>
            <w:vAlign w:val="center"/>
          </w:tcPr>
          <w:p w14:paraId="25BBDCAA" w14:textId="5DD1E388" w:rsidR="00197723" w:rsidRPr="00197723" w:rsidRDefault="00197723" w:rsidP="00197723">
            <w:r w:rsidRPr="00197723">
              <w:rPr>
                <w:bCs/>
              </w:rPr>
              <w:t>Шум в ушите</w:t>
            </w:r>
          </w:p>
        </w:tc>
        <w:tc>
          <w:tcPr>
            <w:tcW w:w="2225" w:type="dxa"/>
            <w:vAlign w:val="center"/>
          </w:tcPr>
          <w:p w14:paraId="330D2CB7" w14:textId="5812BBD6" w:rsidR="00197723" w:rsidRPr="00197723" w:rsidRDefault="00197723" w:rsidP="00197723">
            <w:r w:rsidRPr="00197723">
              <w:rPr>
                <w:bCs/>
              </w:rPr>
              <w:t>Чести</w:t>
            </w:r>
          </w:p>
        </w:tc>
        <w:tc>
          <w:tcPr>
            <w:tcW w:w="2162" w:type="dxa"/>
            <w:vAlign w:val="center"/>
          </w:tcPr>
          <w:p w14:paraId="1B7942D9" w14:textId="61BCDC01" w:rsidR="00197723" w:rsidRPr="00197723" w:rsidRDefault="00197723" w:rsidP="00197723">
            <w:r w:rsidRPr="00197723">
              <w:rPr>
                <w:bCs/>
              </w:rPr>
              <w:t>-</w:t>
            </w:r>
          </w:p>
        </w:tc>
      </w:tr>
      <w:tr w:rsidR="00197723" w14:paraId="0AB86357" w14:textId="77777777" w:rsidTr="00197723">
        <w:tc>
          <w:tcPr>
            <w:tcW w:w="2667" w:type="dxa"/>
            <w:vMerge w:val="restart"/>
            <w:vAlign w:val="center"/>
          </w:tcPr>
          <w:p w14:paraId="071B0E7F" w14:textId="2550F558" w:rsidR="00197723" w:rsidRPr="00197723" w:rsidRDefault="00197723" w:rsidP="00197723">
            <w:pPr>
              <w:rPr>
                <w:b/>
              </w:rPr>
            </w:pPr>
            <w:r w:rsidRPr="00197723">
              <w:rPr>
                <w:b/>
                <w:bCs/>
              </w:rPr>
              <w:t>Сърдечни нарушения</w:t>
            </w:r>
          </w:p>
        </w:tc>
        <w:tc>
          <w:tcPr>
            <w:tcW w:w="2522" w:type="dxa"/>
            <w:vAlign w:val="center"/>
          </w:tcPr>
          <w:p w14:paraId="3407C89F" w14:textId="2DE108C9" w:rsidR="00197723" w:rsidRPr="00197723" w:rsidRDefault="00197723" w:rsidP="00197723">
            <w:r w:rsidRPr="00197723">
              <w:rPr>
                <w:bCs/>
              </w:rPr>
              <w:t>Сърцебиене</w:t>
            </w:r>
          </w:p>
        </w:tc>
        <w:tc>
          <w:tcPr>
            <w:tcW w:w="2225" w:type="dxa"/>
            <w:vAlign w:val="center"/>
          </w:tcPr>
          <w:p w14:paraId="29A8553A" w14:textId="2D1ADC5D" w:rsidR="00197723" w:rsidRPr="00197723" w:rsidRDefault="00197723" w:rsidP="00197723">
            <w:r w:rsidRPr="00197723">
              <w:rPr>
                <w:bCs/>
              </w:rPr>
              <w:t>Нечести*</w:t>
            </w:r>
          </w:p>
        </w:tc>
        <w:tc>
          <w:tcPr>
            <w:tcW w:w="2162" w:type="dxa"/>
            <w:vAlign w:val="center"/>
          </w:tcPr>
          <w:p w14:paraId="39DA6744" w14:textId="7A84B15A" w:rsidR="00197723" w:rsidRPr="00197723" w:rsidRDefault="00197723" w:rsidP="00197723">
            <w:r w:rsidRPr="00197723">
              <w:rPr>
                <w:bCs/>
              </w:rPr>
              <w:t>-</w:t>
            </w:r>
          </w:p>
        </w:tc>
      </w:tr>
      <w:tr w:rsidR="00197723" w14:paraId="36DB586D" w14:textId="77777777" w:rsidTr="00197723">
        <w:tc>
          <w:tcPr>
            <w:tcW w:w="2667" w:type="dxa"/>
            <w:vMerge/>
            <w:vAlign w:val="center"/>
          </w:tcPr>
          <w:p w14:paraId="5EC7A698" w14:textId="77777777" w:rsidR="00197723" w:rsidRPr="00197723" w:rsidRDefault="00197723" w:rsidP="00197723"/>
        </w:tc>
        <w:tc>
          <w:tcPr>
            <w:tcW w:w="2522" w:type="dxa"/>
            <w:vAlign w:val="center"/>
          </w:tcPr>
          <w:p w14:paraId="2C4EF295" w14:textId="4F94B42B" w:rsidR="00197723" w:rsidRPr="00197723" w:rsidRDefault="00197723" w:rsidP="00197723">
            <w:r w:rsidRPr="00197723">
              <w:rPr>
                <w:bCs/>
              </w:rPr>
              <w:t>Тахикардия</w:t>
            </w:r>
          </w:p>
        </w:tc>
        <w:tc>
          <w:tcPr>
            <w:tcW w:w="2225" w:type="dxa"/>
            <w:vAlign w:val="center"/>
          </w:tcPr>
          <w:p w14:paraId="6BBCFE0A" w14:textId="16D0B3CF" w:rsidR="00197723" w:rsidRPr="00197723" w:rsidRDefault="00197723" w:rsidP="00197723">
            <w:r w:rsidRPr="00197723">
              <w:rPr>
                <w:bCs/>
              </w:rPr>
              <w:t>Нечести*</w:t>
            </w:r>
          </w:p>
        </w:tc>
        <w:tc>
          <w:tcPr>
            <w:tcW w:w="2162" w:type="dxa"/>
            <w:vAlign w:val="center"/>
          </w:tcPr>
          <w:p w14:paraId="4C6AC383" w14:textId="5F8ECC09" w:rsidR="00197723" w:rsidRPr="00197723" w:rsidRDefault="00197723" w:rsidP="00197723">
            <w:r w:rsidRPr="00197723">
              <w:rPr>
                <w:bCs/>
              </w:rPr>
              <w:t>-</w:t>
            </w:r>
          </w:p>
        </w:tc>
      </w:tr>
      <w:tr w:rsidR="00197723" w14:paraId="4BA8F55B" w14:textId="77777777" w:rsidTr="00197723">
        <w:tc>
          <w:tcPr>
            <w:tcW w:w="2667" w:type="dxa"/>
            <w:vMerge/>
            <w:vAlign w:val="center"/>
          </w:tcPr>
          <w:p w14:paraId="17DC0D4A" w14:textId="77777777" w:rsidR="00197723" w:rsidRPr="00197723" w:rsidRDefault="00197723" w:rsidP="00197723"/>
        </w:tc>
        <w:tc>
          <w:tcPr>
            <w:tcW w:w="2522" w:type="dxa"/>
            <w:vAlign w:val="bottom"/>
          </w:tcPr>
          <w:p w14:paraId="6FF6927E" w14:textId="04366C2F" w:rsidR="00197723" w:rsidRPr="00197723" w:rsidRDefault="00197723" w:rsidP="00197723">
            <w:r w:rsidRPr="00197723">
              <w:rPr>
                <w:bCs/>
              </w:rPr>
              <w:t>Ангина пекторис (вж. точка 4.4)</w:t>
            </w:r>
          </w:p>
        </w:tc>
        <w:tc>
          <w:tcPr>
            <w:tcW w:w="2225" w:type="dxa"/>
            <w:vAlign w:val="bottom"/>
          </w:tcPr>
          <w:p w14:paraId="615ED7F8" w14:textId="36E104AB" w:rsidR="00197723" w:rsidRPr="00197723" w:rsidRDefault="00197723" w:rsidP="00197723">
            <w:r w:rsidRPr="00197723">
              <w:rPr>
                <w:bCs/>
              </w:rPr>
              <w:t>Много редки</w:t>
            </w:r>
          </w:p>
        </w:tc>
        <w:tc>
          <w:tcPr>
            <w:tcW w:w="2162" w:type="dxa"/>
            <w:vAlign w:val="center"/>
          </w:tcPr>
          <w:p w14:paraId="0E902A07" w14:textId="717CD36F" w:rsidR="00197723" w:rsidRPr="00197723" w:rsidRDefault="00197723" w:rsidP="00197723">
            <w:r w:rsidRPr="00197723">
              <w:rPr>
                <w:bCs/>
              </w:rPr>
              <w:t>-</w:t>
            </w:r>
          </w:p>
        </w:tc>
      </w:tr>
      <w:tr w:rsidR="00197723" w14:paraId="5F325472" w14:textId="77777777" w:rsidTr="00197723">
        <w:tc>
          <w:tcPr>
            <w:tcW w:w="2667" w:type="dxa"/>
            <w:vMerge/>
            <w:vAlign w:val="center"/>
          </w:tcPr>
          <w:p w14:paraId="2BD98159" w14:textId="77777777" w:rsidR="00197723" w:rsidRPr="00197723" w:rsidRDefault="00197723" w:rsidP="00197723"/>
        </w:tc>
        <w:tc>
          <w:tcPr>
            <w:tcW w:w="2522" w:type="dxa"/>
            <w:vAlign w:val="bottom"/>
          </w:tcPr>
          <w:p w14:paraId="5243EC47" w14:textId="5CC835D2" w:rsidR="00197723" w:rsidRPr="00197723" w:rsidRDefault="00197723" w:rsidP="00197723">
            <w:r w:rsidRPr="00197723">
              <w:rPr>
                <w:bCs/>
              </w:rPr>
              <w:t>Аритмия (включително брадикардия, вентрикуларна тахикардия, предсърдно мъждене)</w:t>
            </w:r>
          </w:p>
        </w:tc>
        <w:tc>
          <w:tcPr>
            <w:tcW w:w="2225" w:type="dxa"/>
            <w:vAlign w:val="center"/>
          </w:tcPr>
          <w:p w14:paraId="12CC3B6F" w14:textId="07C593BB" w:rsidR="00197723" w:rsidRPr="00197723" w:rsidRDefault="00197723" w:rsidP="00197723">
            <w:r w:rsidRPr="00197723">
              <w:rPr>
                <w:bCs/>
              </w:rPr>
              <w:t>Много редки</w:t>
            </w:r>
          </w:p>
        </w:tc>
        <w:tc>
          <w:tcPr>
            <w:tcW w:w="2162" w:type="dxa"/>
            <w:vAlign w:val="center"/>
          </w:tcPr>
          <w:p w14:paraId="4010CA6B" w14:textId="41C129A0" w:rsidR="00197723" w:rsidRPr="00197723" w:rsidRDefault="00197723" w:rsidP="00197723">
            <w:r w:rsidRPr="00197723">
              <w:rPr>
                <w:bCs/>
              </w:rPr>
              <w:t>Много редки</w:t>
            </w:r>
          </w:p>
        </w:tc>
      </w:tr>
      <w:tr w:rsidR="00197723" w14:paraId="36F7DB97" w14:textId="77777777" w:rsidTr="00197723">
        <w:tc>
          <w:tcPr>
            <w:tcW w:w="2667" w:type="dxa"/>
            <w:vMerge/>
            <w:vAlign w:val="center"/>
          </w:tcPr>
          <w:p w14:paraId="28DE70A2" w14:textId="77777777" w:rsidR="00197723" w:rsidRPr="00197723" w:rsidRDefault="00197723" w:rsidP="00197723"/>
        </w:tc>
        <w:tc>
          <w:tcPr>
            <w:tcW w:w="2522" w:type="dxa"/>
            <w:vAlign w:val="bottom"/>
          </w:tcPr>
          <w:p w14:paraId="7893BACF" w14:textId="2A66BDE9" w:rsidR="00197723" w:rsidRPr="00197723" w:rsidRDefault="00197723" w:rsidP="00197723">
            <w:r w:rsidRPr="00197723">
              <w:rPr>
                <w:bCs/>
              </w:rPr>
              <w:t>Инфаркт на миокарда вероятно вторичен в следствие на тежка хипотония при високорискови пациенти (вж. точка 4.4)</w:t>
            </w:r>
          </w:p>
        </w:tc>
        <w:tc>
          <w:tcPr>
            <w:tcW w:w="2225" w:type="dxa"/>
            <w:vAlign w:val="center"/>
          </w:tcPr>
          <w:p w14:paraId="56728DBC" w14:textId="429064DE" w:rsidR="00197723" w:rsidRPr="00197723" w:rsidRDefault="00197723" w:rsidP="00197723">
            <w:r w:rsidRPr="00197723">
              <w:rPr>
                <w:bCs/>
              </w:rPr>
              <w:t>Много редки</w:t>
            </w:r>
          </w:p>
        </w:tc>
        <w:tc>
          <w:tcPr>
            <w:tcW w:w="2162" w:type="dxa"/>
            <w:vAlign w:val="center"/>
          </w:tcPr>
          <w:p w14:paraId="03B44CED" w14:textId="387A6E98" w:rsidR="00197723" w:rsidRPr="00197723" w:rsidRDefault="00197723" w:rsidP="00197723">
            <w:r w:rsidRPr="00197723">
              <w:rPr>
                <w:bCs/>
              </w:rPr>
              <w:t>-</w:t>
            </w:r>
          </w:p>
        </w:tc>
      </w:tr>
      <w:tr w:rsidR="00197723" w14:paraId="23D2BF16" w14:textId="77777777" w:rsidTr="00197723">
        <w:tc>
          <w:tcPr>
            <w:tcW w:w="2667" w:type="dxa"/>
            <w:vMerge/>
            <w:vAlign w:val="center"/>
          </w:tcPr>
          <w:p w14:paraId="5DB0123C" w14:textId="77777777" w:rsidR="00197723" w:rsidRPr="00197723" w:rsidRDefault="00197723" w:rsidP="00197723"/>
        </w:tc>
        <w:tc>
          <w:tcPr>
            <w:tcW w:w="2522" w:type="dxa"/>
            <w:vAlign w:val="bottom"/>
          </w:tcPr>
          <w:p w14:paraId="46B87498" w14:textId="4BF17DCE" w:rsidR="00197723" w:rsidRPr="00197723" w:rsidRDefault="00197723" w:rsidP="00197723">
            <w:proofErr w:type="spellStart"/>
            <w:r w:rsidRPr="00197723">
              <w:rPr>
                <w:bCs/>
                <w:lang w:val="en-US"/>
              </w:rPr>
              <w:t>Torsades</w:t>
            </w:r>
            <w:proofErr w:type="spellEnd"/>
            <w:r w:rsidRPr="00197723">
              <w:rPr>
                <w:bCs/>
                <w:lang w:val="en-US"/>
              </w:rPr>
              <w:t xml:space="preserve"> de pointes </w:t>
            </w:r>
            <w:r w:rsidRPr="00197723">
              <w:rPr>
                <w:bCs/>
              </w:rPr>
              <w:t>(потенциално фатални) (вж. точки 4.4 и 4.5)</w:t>
            </w:r>
          </w:p>
        </w:tc>
        <w:tc>
          <w:tcPr>
            <w:tcW w:w="2225" w:type="dxa"/>
            <w:vAlign w:val="center"/>
          </w:tcPr>
          <w:p w14:paraId="2D5DBB2B" w14:textId="0A7437B5" w:rsidR="00197723" w:rsidRPr="00197723" w:rsidRDefault="00197723" w:rsidP="00197723">
            <w:r w:rsidRPr="00197723">
              <w:rPr>
                <w:bCs/>
              </w:rPr>
              <w:t>-</w:t>
            </w:r>
          </w:p>
        </w:tc>
        <w:tc>
          <w:tcPr>
            <w:tcW w:w="2162" w:type="dxa"/>
            <w:vAlign w:val="bottom"/>
          </w:tcPr>
          <w:p w14:paraId="7FE23330" w14:textId="2789D580" w:rsidR="00197723" w:rsidRPr="00197723" w:rsidRDefault="00197723" w:rsidP="00197723">
            <w:r w:rsidRPr="00197723">
              <w:rPr>
                <w:bCs/>
              </w:rPr>
              <w:t>С неизвестна честота</w:t>
            </w:r>
          </w:p>
        </w:tc>
      </w:tr>
      <w:tr w:rsidR="00197723" w14:paraId="437CA628" w14:textId="77777777" w:rsidTr="00197723">
        <w:tc>
          <w:tcPr>
            <w:tcW w:w="2667" w:type="dxa"/>
            <w:vMerge w:val="restart"/>
            <w:vAlign w:val="center"/>
          </w:tcPr>
          <w:p w14:paraId="66F97233" w14:textId="5EBD2FC3" w:rsidR="00197723" w:rsidRPr="00197723" w:rsidRDefault="00197723" w:rsidP="00197723">
            <w:pPr>
              <w:rPr>
                <w:rFonts w:cs="Arial"/>
                <w:b/>
              </w:rPr>
            </w:pPr>
            <w:r w:rsidRPr="00197723">
              <w:rPr>
                <w:rFonts w:cs="Arial"/>
                <w:b/>
                <w:bCs/>
              </w:rPr>
              <w:t>Съдови нарушения</w:t>
            </w:r>
          </w:p>
        </w:tc>
        <w:tc>
          <w:tcPr>
            <w:tcW w:w="2522" w:type="dxa"/>
            <w:vAlign w:val="bottom"/>
          </w:tcPr>
          <w:p w14:paraId="0A9F0C1C" w14:textId="1ADE37F7" w:rsidR="00197723" w:rsidRPr="00197723" w:rsidRDefault="00197723" w:rsidP="00197723">
            <w:pPr>
              <w:rPr>
                <w:rFonts w:cs="Arial"/>
              </w:rPr>
            </w:pPr>
            <w:r w:rsidRPr="00197723">
              <w:rPr>
                <w:rFonts w:cs="Arial"/>
                <w:bCs/>
              </w:rPr>
              <w:t>Хипотония (и свързани с нея ефекти) (вж. точка 4.4)</w:t>
            </w:r>
          </w:p>
        </w:tc>
        <w:tc>
          <w:tcPr>
            <w:tcW w:w="2225" w:type="dxa"/>
            <w:vAlign w:val="center"/>
          </w:tcPr>
          <w:p w14:paraId="12A05223" w14:textId="5A15B653" w:rsidR="00197723" w:rsidRPr="00197723" w:rsidRDefault="00197723" w:rsidP="00197723">
            <w:pPr>
              <w:rPr>
                <w:rFonts w:cs="Arial"/>
              </w:rPr>
            </w:pPr>
            <w:r w:rsidRPr="00197723">
              <w:rPr>
                <w:rFonts w:cs="Arial"/>
                <w:bCs/>
              </w:rPr>
              <w:t>Чести</w:t>
            </w:r>
          </w:p>
        </w:tc>
        <w:tc>
          <w:tcPr>
            <w:tcW w:w="2162" w:type="dxa"/>
            <w:vAlign w:val="center"/>
          </w:tcPr>
          <w:p w14:paraId="2B7BB287" w14:textId="0E0085D1" w:rsidR="00197723" w:rsidRPr="00197723" w:rsidRDefault="00197723" w:rsidP="00197723">
            <w:pPr>
              <w:rPr>
                <w:rFonts w:cs="Arial"/>
              </w:rPr>
            </w:pPr>
            <w:r w:rsidRPr="00197723">
              <w:rPr>
                <w:rFonts w:cs="Arial"/>
                <w:bCs/>
              </w:rPr>
              <w:t>Много редки</w:t>
            </w:r>
          </w:p>
        </w:tc>
      </w:tr>
      <w:tr w:rsidR="00197723" w14:paraId="3FD0651B" w14:textId="77777777" w:rsidTr="00197723">
        <w:tc>
          <w:tcPr>
            <w:tcW w:w="2667" w:type="dxa"/>
            <w:vMerge/>
            <w:vAlign w:val="center"/>
          </w:tcPr>
          <w:p w14:paraId="1FFF2074" w14:textId="77777777" w:rsidR="00197723" w:rsidRPr="00197723" w:rsidRDefault="00197723" w:rsidP="00197723">
            <w:pPr>
              <w:rPr>
                <w:rFonts w:cs="Arial"/>
                <w:b/>
              </w:rPr>
            </w:pPr>
          </w:p>
        </w:tc>
        <w:tc>
          <w:tcPr>
            <w:tcW w:w="2522" w:type="dxa"/>
            <w:vAlign w:val="center"/>
          </w:tcPr>
          <w:p w14:paraId="198CC667" w14:textId="451A5979" w:rsidR="00197723" w:rsidRPr="00197723" w:rsidRDefault="00197723" w:rsidP="00197723">
            <w:pPr>
              <w:rPr>
                <w:rFonts w:cs="Arial"/>
              </w:rPr>
            </w:pPr>
            <w:r w:rsidRPr="00197723">
              <w:rPr>
                <w:rFonts w:cs="Arial"/>
                <w:bCs/>
              </w:rPr>
              <w:t>Васкулит</w:t>
            </w:r>
          </w:p>
        </w:tc>
        <w:tc>
          <w:tcPr>
            <w:tcW w:w="2225" w:type="dxa"/>
            <w:vAlign w:val="center"/>
          </w:tcPr>
          <w:p w14:paraId="48A4231A" w14:textId="1EE759CA" w:rsidR="00197723" w:rsidRPr="00197723" w:rsidRDefault="00197723" w:rsidP="00197723">
            <w:pPr>
              <w:rPr>
                <w:rFonts w:cs="Arial"/>
              </w:rPr>
            </w:pPr>
            <w:r w:rsidRPr="00197723">
              <w:rPr>
                <w:rFonts w:cs="Arial"/>
                <w:bCs/>
              </w:rPr>
              <w:t>Нечести*</w:t>
            </w:r>
          </w:p>
        </w:tc>
        <w:tc>
          <w:tcPr>
            <w:tcW w:w="2162" w:type="dxa"/>
            <w:vAlign w:val="center"/>
          </w:tcPr>
          <w:p w14:paraId="5BE37370" w14:textId="2C6C6443" w:rsidR="00197723" w:rsidRPr="00197723" w:rsidRDefault="00197723" w:rsidP="00197723">
            <w:pPr>
              <w:rPr>
                <w:rFonts w:cs="Arial"/>
              </w:rPr>
            </w:pPr>
            <w:r w:rsidRPr="00197723">
              <w:rPr>
                <w:rFonts w:cs="Arial"/>
                <w:bCs/>
              </w:rPr>
              <w:t>-</w:t>
            </w:r>
          </w:p>
        </w:tc>
      </w:tr>
      <w:tr w:rsidR="00197723" w14:paraId="4FFD5F81" w14:textId="77777777" w:rsidTr="00197723">
        <w:tc>
          <w:tcPr>
            <w:tcW w:w="2667" w:type="dxa"/>
            <w:vMerge/>
            <w:vAlign w:val="center"/>
          </w:tcPr>
          <w:p w14:paraId="38C39959" w14:textId="77777777" w:rsidR="00197723" w:rsidRPr="00197723" w:rsidRDefault="00197723" w:rsidP="00197723">
            <w:pPr>
              <w:rPr>
                <w:rFonts w:cs="Arial"/>
                <w:b/>
              </w:rPr>
            </w:pPr>
          </w:p>
        </w:tc>
        <w:tc>
          <w:tcPr>
            <w:tcW w:w="2522" w:type="dxa"/>
            <w:vAlign w:val="center"/>
          </w:tcPr>
          <w:p w14:paraId="42DEAB52" w14:textId="554F3BED" w:rsidR="00197723" w:rsidRPr="00197723" w:rsidRDefault="00197723" w:rsidP="00197723">
            <w:pPr>
              <w:rPr>
                <w:rFonts w:cs="Arial"/>
              </w:rPr>
            </w:pPr>
            <w:r w:rsidRPr="00197723">
              <w:rPr>
                <w:rFonts w:cs="Arial"/>
                <w:bCs/>
              </w:rPr>
              <w:t>Феномен на Рейно</w:t>
            </w:r>
          </w:p>
        </w:tc>
        <w:tc>
          <w:tcPr>
            <w:tcW w:w="2225" w:type="dxa"/>
            <w:vAlign w:val="bottom"/>
          </w:tcPr>
          <w:p w14:paraId="735F4745" w14:textId="5BBAC7EA" w:rsidR="00197723" w:rsidRPr="00197723" w:rsidRDefault="00197723" w:rsidP="00197723">
            <w:pPr>
              <w:rPr>
                <w:rFonts w:cs="Arial"/>
              </w:rPr>
            </w:pPr>
            <w:r w:rsidRPr="00197723">
              <w:rPr>
                <w:rFonts w:cs="Arial"/>
                <w:bCs/>
              </w:rPr>
              <w:t>С неизвестна честота</w:t>
            </w:r>
          </w:p>
        </w:tc>
        <w:tc>
          <w:tcPr>
            <w:tcW w:w="2162" w:type="dxa"/>
            <w:vAlign w:val="center"/>
          </w:tcPr>
          <w:p w14:paraId="293E2425" w14:textId="27944D87" w:rsidR="00197723" w:rsidRPr="00197723" w:rsidRDefault="00197723" w:rsidP="00197723">
            <w:pPr>
              <w:rPr>
                <w:rFonts w:cs="Arial"/>
              </w:rPr>
            </w:pPr>
            <w:r w:rsidRPr="00197723">
              <w:rPr>
                <w:rFonts w:cs="Arial"/>
                <w:bCs/>
              </w:rPr>
              <w:t>-</w:t>
            </w:r>
          </w:p>
        </w:tc>
      </w:tr>
      <w:tr w:rsidR="00197723" w14:paraId="7D9C34D8" w14:textId="77777777" w:rsidTr="00197723">
        <w:tc>
          <w:tcPr>
            <w:tcW w:w="2667" w:type="dxa"/>
            <w:vMerge w:val="restart"/>
            <w:vAlign w:val="center"/>
          </w:tcPr>
          <w:p w14:paraId="4645BD51" w14:textId="7F6EEEA2" w:rsidR="00197723" w:rsidRPr="00197723" w:rsidRDefault="00197723" w:rsidP="00197723">
            <w:pPr>
              <w:rPr>
                <w:rFonts w:cs="Arial"/>
                <w:b/>
              </w:rPr>
            </w:pPr>
            <w:r w:rsidRPr="00197723">
              <w:rPr>
                <w:rFonts w:cs="Arial"/>
                <w:b/>
                <w:bCs/>
              </w:rPr>
              <w:t>Респираторни, гръдни и меднастинални нарушения</w:t>
            </w:r>
          </w:p>
        </w:tc>
        <w:tc>
          <w:tcPr>
            <w:tcW w:w="2522" w:type="dxa"/>
          </w:tcPr>
          <w:p w14:paraId="7C7CA403" w14:textId="5DC5BEB3" w:rsidR="00197723" w:rsidRPr="00197723" w:rsidRDefault="00197723" w:rsidP="00197723">
            <w:pPr>
              <w:rPr>
                <w:rFonts w:cs="Arial"/>
              </w:rPr>
            </w:pPr>
            <w:r w:rsidRPr="00197723">
              <w:rPr>
                <w:rFonts w:cs="Arial"/>
                <w:bCs/>
              </w:rPr>
              <w:t>Кашлица (вж. точка 4.4)</w:t>
            </w:r>
          </w:p>
        </w:tc>
        <w:tc>
          <w:tcPr>
            <w:tcW w:w="2225" w:type="dxa"/>
            <w:vAlign w:val="center"/>
          </w:tcPr>
          <w:p w14:paraId="54AD1441" w14:textId="0631D0FE" w:rsidR="00197723" w:rsidRPr="00197723" w:rsidRDefault="00197723" w:rsidP="00197723">
            <w:pPr>
              <w:rPr>
                <w:rFonts w:cs="Arial"/>
              </w:rPr>
            </w:pPr>
            <w:r w:rsidRPr="00197723">
              <w:rPr>
                <w:rFonts w:cs="Arial"/>
                <w:bCs/>
              </w:rPr>
              <w:t>Чести</w:t>
            </w:r>
          </w:p>
        </w:tc>
        <w:tc>
          <w:tcPr>
            <w:tcW w:w="2162" w:type="dxa"/>
            <w:vAlign w:val="center"/>
          </w:tcPr>
          <w:p w14:paraId="0EEEE38C" w14:textId="402B4C55" w:rsidR="00197723" w:rsidRPr="00197723" w:rsidRDefault="00197723" w:rsidP="00197723">
            <w:pPr>
              <w:rPr>
                <w:rFonts w:cs="Arial"/>
              </w:rPr>
            </w:pPr>
            <w:r w:rsidRPr="00197723">
              <w:rPr>
                <w:rFonts w:cs="Arial"/>
                <w:bCs/>
              </w:rPr>
              <w:t>-</w:t>
            </w:r>
          </w:p>
        </w:tc>
      </w:tr>
      <w:tr w:rsidR="00197723" w14:paraId="050F6139" w14:textId="77777777" w:rsidTr="00197723">
        <w:tc>
          <w:tcPr>
            <w:tcW w:w="2667" w:type="dxa"/>
            <w:vMerge/>
            <w:vAlign w:val="center"/>
          </w:tcPr>
          <w:p w14:paraId="6CA42B24" w14:textId="77777777" w:rsidR="00197723" w:rsidRPr="00197723" w:rsidRDefault="00197723" w:rsidP="00197723">
            <w:pPr>
              <w:rPr>
                <w:rFonts w:cs="Arial"/>
                <w:b/>
              </w:rPr>
            </w:pPr>
          </w:p>
        </w:tc>
        <w:tc>
          <w:tcPr>
            <w:tcW w:w="2522" w:type="dxa"/>
            <w:vAlign w:val="center"/>
          </w:tcPr>
          <w:p w14:paraId="7117FAD6" w14:textId="581C2B39" w:rsidR="00197723" w:rsidRPr="00197723" w:rsidRDefault="00197723" w:rsidP="00197723">
            <w:pPr>
              <w:rPr>
                <w:rFonts w:cs="Arial"/>
              </w:rPr>
            </w:pPr>
            <w:r w:rsidRPr="00197723">
              <w:rPr>
                <w:rFonts w:cs="Arial"/>
                <w:bCs/>
              </w:rPr>
              <w:t>Диспнея</w:t>
            </w:r>
          </w:p>
        </w:tc>
        <w:tc>
          <w:tcPr>
            <w:tcW w:w="2225" w:type="dxa"/>
            <w:vAlign w:val="center"/>
          </w:tcPr>
          <w:p w14:paraId="3FFEE033" w14:textId="4BB31B73" w:rsidR="00197723" w:rsidRPr="00197723" w:rsidRDefault="00197723" w:rsidP="00197723">
            <w:pPr>
              <w:rPr>
                <w:rFonts w:cs="Arial"/>
              </w:rPr>
            </w:pPr>
            <w:r w:rsidRPr="00197723">
              <w:rPr>
                <w:rFonts w:cs="Arial"/>
                <w:bCs/>
              </w:rPr>
              <w:t>Чести</w:t>
            </w:r>
          </w:p>
        </w:tc>
        <w:tc>
          <w:tcPr>
            <w:tcW w:w="2162" w:type="dxa"/>
            <w:vAlign w:val="center"/>
          </w:tcPr>
          <w:p w14:paraId="2FEBD321" w14:textId="3130DA47" w:rsidR="00197723" w:rsidRPr="00197723" w:rsidRDefault="00197723" w:rsidP="00197723">
            <w:pPr>
              <w:rPr>
                <w:rFonts w:cs="Arial"/>
              </w:rPr>
            </w:pPr>
            <w:r w:rsidRPr="00197723">
              <w:rPr>
                <w:rFonts w:cs="Arial"/>
                <w:bCs/>
              </w:rPr>
              <w:t>-</w:t>
            </w:r>
          </w:p>
        </w:tc>
      </w:tr>
      <w:tr w:rsidR="00197723" w14:paraId="4F358842" w14:textId="77777777" w:rsidTr="00197723">
        <w:tc>
          <w:tcPr>
            <w:tcW w:w="2667" w:type="dxa"/>
            <w:vMerge/>
            <w:vAlign w:val="center"/>
          </w:tcPr>
          <w:p w14:paraId="3A117F14" w14:textId="77777777" w:rsidR="00197723" w:rsidRPr="00197723" w:rsidRDefault="00197723" w:rsidP="00197723">
            <w:pPr>
              <w:rPr>
                <w:rFonts w:cs="Arial"/>
                <w:b/>
              </w:rPr>
            </w:pPr>
          </w:p>
        </w:tc>
        <w:tc>
          <w:tcPr>
            <w:tcW w:w="2522" w:type="dxa"/>
            <w:vAlign w:val="bottom"/>
          </w:tcPr>
          <w:p w14:paraId="4C450505" w14:textId="3A32A4EB" w:rsidR="00197723" w:rsidRPr="00197723" w:rsidRDefault="00197723" w:rsidP="00197723">
            <w:pPr>
              <w:rPr>
                <w:rFonts w:cs="Arial"/>
              </w:rPr>
            </w:pPr>
            <w:r w:rsidRPr="00197723">
              <w:rPr>
                <w:rFonts w:cs="Arial"/>
                <w:bCs/>
              </w:rPr>
              <w:t>Бронхоспазъм</w:t>
            </w:r>
          </w:p>
        </w:tc>
        <w:tc>
          <w:tcPr>
            <w:tcW w:w="2225" w:type="dxa"/>
            <w:vAlign w:val="center"/>
          </w:tcPr>
          <w:p w14:paraId="0EDE7A18" w14:textId="43ED9E04" w:rsidR="00197723" w:rsidRPr="00197723" w:rsidRDefault="00197723" w:rsidP="00197723">
            <w:pPr>
              <w:rPr>
                <w:rFonts w:cs="Arial"/>
              </w:rPr>
            </w:pPr>
            <w:r w:rsidRPr="00197723">
              <w:rPr>
                <w:rFonts w:cs="Arial"/>
                <w:bCs/>
              </w:rPr>
              <w:t>Нечести</w:t>
            </w:r>
          </w:p>
        </w:tc>
        <w:tc>
          <w:tcPr>
            <w:tcW w:w="2162" w:type="dxa"/>
            <w:vAlign w:val="center"/>
          </w:tcPr>
          <w:p w14:paraId="07FEA611" w14:textId="0DD3E6B5" w:rsidR="00197723" w:rsidRPr="00197723" w:rsidRDefault="00197723" w:rsidP="00197723">
            <w:pPr>
              <w:rPr>
                <w:rFonts w:cs="Arial"/>
              </w:rPr>
            </w:pPr>
            <w:r w:rsidRPr="00197723">
              <w:rPr>
                <w:rFonts w:cs="Arial"/>
                <w:bCs/>
              </w:rPr>
              <w:t>-</w:t>
            </w:r>
          </w:p>
        </w:tc>
      </w:tr>
      <w:tr w:rsidR="00197723" w14:paraId="57B5EB58" w14:textId="77777777" w:rsidTr="00197723">
        <w:tc>
          <w:tcPr>
            <w:tcW w:w="2667" w:type="dxa"/>
            <w:vMerge/>
            <w:vAlign w:val="center"/>
          </w:tcPr>
          <w:p w14:paraId="53B91AA7" w14:textId="77777777" w:rsidR="00197723" w:rsidRPr="00197723" w:rsidRDefault="00197723" w:rsidP="00197723">
            <w:pPr>
              <w:rPr>
                <w:rFonts w:cs="Arial"/>
                <w:b/>
              </w:rPr>
            </w:pPr>
          </w:p>
        </w:tc>
        <w:tc>
          <w:tcPr>
            <w:tcW w:w="2522" w:type="dxa"/>
            <w:vAlign w:val="bottom"/>
          </w:tcPr>
          <w:p w14:paraId="7F4047DD" w14:textId="15466CC6" w:rsidR="00197723" w:rsidRPr="00197723" w:rsidRDefault="00197723" w:rsidP="00197723">
            <w:pPr>
              <w:rPr>
                <w:rFonts w:cs="Arial"/>
              </w:rPr>
            </w:pPr>
            <w:r w:rsidRPr="00197723">
              <w:rPr>
                <w:rFonts w:cs="Arial"/>
                <w:bCs/>
              </w:rPr>
              <w:t>Еозинофилна пневмония</w:t>
            </w:r>
          </w:p>
        </w:tc>
        <w:tc>
          <w:tcPr>
            <w:tcW w:w="2225" w:type="dxa"/>
            <w:vAlign w:val="bottom"/>
          </w:tcPr>
          <w:p w14:paraId="6011E943" w14:textId="49C79230" w:rsidR="00197723" w:rsidRPr="00197723" w:rsidRDefault="00197723" w:rsidP="00197723">
            <w:pPr>
              <w:rPr>
                <w:rFonts w:cs="Arial"/>
              </w:rPr>
            </w:pPr>
            <w:r w:rsidRPr="00197723">
              <w:rPr>
                <w:rFonts w:cs="Arial"/>
                <w:bCs/>
              </w:rPr>
              <w:t>Много редки</w:t>
            </w:r>
          </w:p>
        </w:tc>
        <w:tc>
          <w:tcPr>
            <w:tcW w:w="2162" w:type="dxa"/>
            <w:vAlign w:val="center"/>
          </w:tcPr>
          <w:p w14:paraId="2A2E9279" w14:textId="0840265D" w:rsidR="00197723" w:rsidRPr="00197723" w:rsidRDefault="00197723" w:rsidP="00197723">
            <w:pPr>
              <w:rPr>
                <w:rFonts w:cs="Arial"/>
              </w:rPr>
            </w:pPr>
            <w:r w:rsidRPr="00197723">
              <w:rPr>
                <w:rFonts w:cs="Arial"/>
                <w:bCs/>
              </w:rPr>
              <w:t>-</w:t>
            </w:r>
          </w:p>
        </w:tc>
      </w:tr>
      <w:tr w:rsidR="00197723" w14:paraId="24C6E0E4" w14:textId="77777777" w:rsidTr="00197723">
        <w:tc>
          <w:tcPr>
            <w:tcW w:w="2667" w:type="dxa"/>
            <w:vMerge w:val="restart"/>
            <w:vAlign w:val="center"/>
          </w:tcPr>
          <w:p w14:paraId="7912826E" w14:textId="200C78FB" w:rsidR="00197723" w:rsidRPr="00197723" w:rsidRDefault="00197723" w:rsidP="00197723">
            <w:pPr>
              <w:rPr>
                <w:rFonts w:cs="Arial"/>
                <w:b/>
              </w:rPr>
            </w:pPr>
            <w:r w:rsidRPr="00197723">
              <w:rPr>
                <w:rFonts w:cs="Arial"/>
                <w:b/>
                <w:bCs/>
              </w:rPr>
              <w:t>Стомашно-чревни нарушения</w:t>
            </w:r>
          </w:p>
        </w:tc>
        <w:tc>
          <w:tcPr>
            <w:tcW w:w="2522" w:type="dxa"/>
            <w:vAlign w:val="center"/>
          </w:tcPr>
          <w:p w14:paraId="5622B2A4" w14:textId="1989FBB2" w:rsidR="00197723" w:rsidRPr="00197723" w:rsidRDefault="00197723" w:rsidP="00197723">
            <w:pPr>
              <w:rPr>
                <w:rFonts w:cs="Arial"/>
              </w:rPr>
            </w:pPr>
            <w:r w:rsidRPr="00197723">
              <w:rPr>
                <w:rFonts w:cs="Arial"/>
                <w:bCs/>
              </w:rPr>
              <w:t>Коремна болка</w:t>
            </w:r>
          </w:p>
        </w:tc>
        <w:tc>
          <w:tcPr>
            <w:tcW w:w="2225" w:type="dxa"/>
            <w:vAlign w:val="center"/>
          </w:tcPr>
          <w:p w14:paraId="0C2C2103" w14:textId="5D898C37" w:rsidR="00197723" w:rsidRPr="00197723" w:rsidRDefault="00197723" w:rsidP="00197723">
            <w:pPr>
              <w:rPr>
                <w:rFonts w:cs="Arial"/>
              </w:rPr>
            </w:pPr>
            <w:r w:rsidRPr="00197723">
              <w:rPr>
                <w:rFonts w:cs="Arial"/>
                <w:bCs/>
              </w:rPr>
              <w:t>Чести</w:t>
            </w:r>
          </w:p>
        </w:tc>
        <w:tc>
          <w:tcPr>
            <w:tcW w:w="2162" w:type="dxa"/>
            <w:vAlign w:val="center"/>
          </w:tcPr>
          <w:p w14:paraId="13FB24FE" w14:textId="00D50ECC" w:rsidR="00197723" w:rsidRPr="00197723" w:rsidRDefault="00197723" w:rsidP="00197723">
            <w:pPr>
              <w:rPr>
                <w:rFonts w:cs="Arial"/>
              </w:rPr>
            </w:pPr>
            <w:r w:rsidRPr="00197723">
              <w:rPr>
                <w:rFonts w:cs="Arial"/>
                <w:bCs/>
              </w:rPr>
              <w:t>-</w:t>
            </w:r>
          </w:p>
        </w:tc>
      </w:tr>
      <w:tr w:rsidR="00197723" w14:paraId="4364FE3B" w14:textId="77777777" w:rsidTr="00197723">
        <w:tc>
          <w:tcPr>
            <w:tcW w:w="2667" w:type="dxa"/>
            <w:vMerge/>
            <w:vAlign w:val="center"/>
          </w:tcPr>
          <w:p w14:paraId="7CAE62A4" w14:textId="77777777" w:rsidR="00197723" w:rsidRPr="00197723" w:rsidRDefault="00197723" w:rsidP="00197723">
            <w:pPr>
              <w:rPr>
                <w:rFonts w:cs="Arial"/>
              </w:rPr>
            </w:pPr>
          </w:p>
        </w:tc>
        <w:tc>
          <w:tcPr>
            <w:tcW w:w="2522" w:type="dxa"/>
            <w:vAlign w:val="center"/>
          </w:tcPr>
          <w:p w14:paraId="490B2949" w14:textId="08A56268" w:rsidR="00197723" w:rsidRPr="00197723" w:rsidRDefault="00197723" w:rsidP="00197723">
            <w:pPr>
              <w:rPr>
                <w:rFonts w:cs="Arial"/>
              </w:rPr>
            </w:pPr>
            <w:r w:rsidRPr="00197723">
              <w:rPr>
                <w:rFonts w:cs="Arial"/>
                <w:bCs/>
              </w:rPr>
              <w:t>Епигастриална болка</w:t>
            </w:r>
          </w:p>
        </w:tc>
        <w:tc>
          <w:tcPr>
            <w:tcW w:w="2225" w:type="dxa"/>
            <w:vAlign w:val="center"/>
          </w:tcPr>
          <w:p w14:paraId="4C3BAB2A" w14:textId="4BBCEF65" w:rsidR="00197723" w:rsidRPr="00197723" w:rsidRDefault="00197723" w:rsidP="00197723">
            <w:pPr>
              <w:rPr>
                <w:rFonts w:cs="Arial"/>
              </w:rPr>
            </w:pPr>
            <w:r w:rsidRPr="00197723">
              <w:rPr>
                <w:rFonts w:cs="Arial"/>
                <w:bCs/>
              </w:rPr>
              <w:t>Чести</w:t>
            </w:r>
          </w:p>
        </w:tc>
        <w:tc>
          <w:tcPr>
            <w:tcW w:w="2162" w:type="dxa"/>
            <w:vAlign w:val="center"/>
          </w:tcPr>
          <w:p w14:paraId="28223556" w14:textId="2A38E333" w:rsidR="00197723" w:rsidRPr="00197723" w:rsidRDefault="00197723" w:rsidP="00197723">
            <w:pPr>
              <w:rPr>
                <w:rFonts w:cs="Arial"/>
              </w:rPr>
            </w:pPr>
            <w:r w:rsidRPr="00197723">
              <w:rPr>
                <w:rFonts w:cs="Arial"/>
                <w:bCs/>
              </w:rPr>
              <w:t>-</w:t>
            </w:r>
          </w:p>
        </w:tc>
      </w:tr>
      <w:tr w:rsidR="00197723" w14:paraId="04852056" w14:textId="77777777" w:rsidTr="00197723">
        <w:tc>
          <w:tcPr>
            <w:tcW w:w="2667" w:type="dxa"/>
            <w:vMerge/>
            <w:vAlign w:val="center"/>
          </w:tcPr>
          <w:p w14:paraId="1479FD0C" w14:textId="77777777" w:rsidR="00197723" w:rsidRPr="00197723" w:rsidRDefault="00197723" w:rsidP="00197723">
            <w:pPr>
              <w:rPr>
                <w:rFonts w:cs="Arial"/>
              </w:rPr>
            </w:pPr>
          </w:p>
        </w:tc>
        <w:tc>
          <w:tcPr>
            <w:tcW w:w="2522" w:type="dxa"/>
            <w:vAlign w:val="bottom"/>
          </w:tcPr>
          <w:p w14:paraId="26ED6025" w14:textId="6370F417" w:rsidR="00197723" w:rsidRPr="00197723" w:rsidRDefault="00197723" w:rsidP="00197723">
            <w:pPr>
              <w:rPr>
                <w:rFonts w:cs="Arial"/>
              </w:rPr>
            </w:pPr>
            <w:r w:rsidRPr="00197723">
              <w:rPr>
                <w:rFonts w:cs="Arial"/>
                <w:bCs/>
              </w:rPr>
              <w:t>Запек</w:t>
            </w:r>
          </w:p>
        </w:tc>
        <w:tc>
          <w:tcPr>
            <w:tcW w:w="2225" w:type="dxa"/>
            <w:vAlign w:val="bottom"/>
          </w:tcPr>
          <w:p w14:paraId="7B8E3A6A" w14:textId="7F510B04" w:rsidR="00197723" w:rsidRPr="00197723" w:rsidRDefault="00197723" w:rsidP="00197723">
            <w:pPr>
              <w:rPr>
                <w:rFonts w:cs="Arial"/>
              </w:rPr>
            </w:pPr>
            <w:r w:rsidRPr="00197723">
              <w:rPr>
                <w:rFonts w:cs="Arial"/>
                <w:bCs/>
              </w:rPr>
              <w:t>Чести</w:t>
            </w:r>
          </w:p>
        </w:tc>
        <w:tc>
          <w:tcPr>
            <w:tcW w:w="2162" w:type="dxa"/>
            <w:vAlign w:val="bottom"/>
          </w:tcPr>
          <w:p w14:paraId="1A63DF95" w14:textId="63209189" w:rsidR="00197723" w:rsidRPr="00197723" w:rsidRDefault="00197723" w:rsidP="00197723">
            <w:pPr>
              <w:rPr>
                <w:rFonts w:cs="Arial"/>
              </w:rPr>
            </w:pPr>
            <w:r w:rsidRPr="00197723">
              <w:rPr>
                <w:rFonts w:cs="Arial"/>
                <w:bCs/>
              </w:rPr>
              <w:t>Редки</w:t>
            </w:r>
          </w:p>
        </w:tc>
      </w:tr>
      <w:tr w:rsidR="00197723" w14:paraId="57F7BD89" w14:textId="77777777" w:rsidTr="00197723">
        <w:tc>
          <w:tcPr>
            <w:tcW w:w="2667" w:type="dxa"/>
            <w:vMerge/>
            <w:vAlign w:val="center"/>
          </w:tcPr>
          <w:p w14:paraId="0236487B" w14:textId="77777777" w:rsidR="00197723" w:rsidRPr="00197723" w:rsidRDefault="00197723" w:rsidP="00197723">
            <w:pPr>
              <w:rPr>
                <w:rFonts w:cs="Arial"/>
              </w:rPr>
            </w:pPr>
          </w:p>
        </w:tc>
        <w:tc>
          <w:tcPr>
            <w:tcW w:w="2522" w:type="dxa"/>
            <w:vAlign w:val="center"/>
          </w:tcPr>
          <w:p w14:paraId="778743DD" w14:textId="737C22FC" w:rsidR="00197723" w:rsidRPr="00197723" w:rsidRDefault="00197723" w:rsidP="00197723">
            <w:pPr>
              <w:rPr>
                <w:rFonts w:cs="Arial"/>
              </w:rPr>
            </w:pPr>
            <w:r w:rsidRPr="00197723">
              <w:rPr>
                <w:rFonts w:cs="Arial"/>
                <w:bCs/>
              </w:rPr>
              <w:t>Диария</w:t>
            </w:r>
          </w:p>
        </w:tc>
        <w:tc>
          <w:tcPr>
            <w:tcW w:w="2225" w:type="dxa"/>
            <w:vAlign w:val="center"/>
          </w:tcPr>
          <w:p w14:paraId="1B43636F" w14:textId="7C57252A" w:rsidR="00197723" w:rsidRPr="00197723" w:rsidRDefault="00197723" w:rsidP="00197723">
            <w:pPr>
              <w:rPr>
                <w:rFonts w:cs="Arial"/>
              </w:rPr>
            </w:pPr>
            <w:r w:rsidRPr="00197723">
              <w:rPr>
                <w:rFonts w:cs="Arial"/>
                <w:bCs/>
              </w:rPr>
              <w:t>Чести</w:t>
            </w:r>
          </w:p>
        </w:tc>
        <w:tc>
          <w:tcPr>
            <w:tcW w:w="2162" w:type="dxa"/>
            <w:vAlign w:val="center"/>
          </w:tcPr>
          <w:p w14:paraId="034A6455" w14:textId="3639B3C5" w:rsidR="00197723" w:rsidRPr="00197723" w:rsidRDefault="00197723" w:rsidP="00197723">
            <w:pPr>
              <w:rPr>
                <w:rFonts w:cs="Arial"/>
              </w:rPr>
            </w:pPr>
            <w:r w:rsidRPr="00197723">
              <w:rPr>
                <w:rFonts w:cs="Arial"/>
                <w:bCs/>
              </w:rPr>
              <w:t>-</w:t>
            </w:r>
          </w:p>
        </w:tc>
      </w:tr>
      <w:tr w:rsidR="00197723" w14:paraId="0AF3F704" w14:textId="77777777" w:rsidTr="00197723">
        <w:tc>
          <w:tcPr>
            <w:tcW w:w="2667" w:type="dxa"/>
            <w:vMerge/>
            <w:vAlign w:val="center"/>
          </w:tcPr>
          <w:p w14:paraId="562F1480" w14:textId="77777777" w:rsidR="00197723" w:rsidRPr="00197723" w:rsidRDefault="00197723" w:rsidP="00197723">
            <w:pPr>
              <w:rPr>
                <w:rFonts w:cs="Arial"/>
              </w:rPr>
            </w:pPr>
          </w:p>
        </w:tc>
        <w:tc>
          <w:tcPr>
            <w:tcW w:w="2522" w:type="dxa"/>
            <w:vAlign w:val="center"/>
          </w:tcPr>
          <w:p w14:paraId="67325A46" w14:textId="5EB25B9D" w:rsidR="00197723" w:rsidRPr="00197723" w:rsidRDefault="00197723" w:rsidP="00197723">
            <w:pPr>
              <w:rPr>
                <w:rFonts w:cs="Arial"/>
              </w:rPr>
            </w:pPr>
            <w:r w:rsidRPr="00197723">
              <w:rPr>
                <w:rFonts w:cs="Arial"/>
                <w:bCs/>
              </w:rPr>
              <w:t>Диспепсия</w:t>
            </w:r>
          </w:p>
        </w:tc>
        <w:tc>
          <w:tcPr>
            <w:tcW w:w="2225" w:type="dxa"/>
            <w:vAlign w:val="center"/>
          </w:tcPr>
          <w:p w14:paraId="11BE1F3A" w14:textId="7B718813" w:rsidR="00197723" w:rsidRPr="00197723" w:rsidRDefault="00197723" w:rsidP="00197723">
            <w:pPr>
              <w:rPr>
                <w:rFonts w:cs="Arial"/>
              </w:rPr>
            </w:pPr>
            <w:r w:rsidRPr="00197723">
              <w:rPr>
                <w:rFonts w:cs="Arial"/>
                <w:bCs/>
              </w:rPr>
              <w:t>Чести</w:t>
            </w:r>
          </w:p>
        </w:tc>
        <w:tc>
          <w:tcPr>
            <w:tcW w:w="2162" w:type="dxa"/>
            <w:vAlign w:val="center"/>
          </w:tcPr>
          <w:p w14:paraId="45C0A7D9" w14:textId="4D7E2C46" w:rsidR="00197723" w:rsidRPr="00197723" w:rsidRDefault="00197723" w:rsidP="00197723">
            <w:pPr>
              <w:rPr>
                <w:rFonts w:cs="Arial"/>
              </w:rPr>
            </w:pPr>
            <w:r w:rsidRPr="00197723">
              <w:rPr>
                <w:rFonts w:cs="Arial"/>
                <w:bCs/>
              </w:rPr>
              <w:t>-</w:t>
            </w:r>
          </w:p>
        </w:tc>
      </w:tr>
      <w:tr w:rsidR="00197723" w14:paraId="0BD70569" w14:textId="77777777" w:rsidTr="00197723">
        <w:tc>
          <w:tcPr>
            <w:tcW w:w="2667" w:type="dxa"/>
            <w:vMerge/>
            <w:vAlign w:val="center"/>
          </w:tcPr>
          <w:p w14:paraId="4C581D5C" w14:textId="77777777" w:rsidR="00197723" w:rsidRPr="00197723" w:rsidRDefault="00197723" w:rsidP="00197723">
            <w:pPr>
              <w:rPr>
                <w:rFonts w:cs="Arial"/>
              </w:rPr>
            </w:pPr>
          </w:p>
        </w:tc>
        <w:tc>
          <w:tcPr>
            <w:tcW w:w="2522" w:type="dxa"/>
            <w:vAlign w:val="bottom"/>
          </w:tcPr>
          <w:p w14:paraId="6B6B2225" w14:textId="7C755E81" w:rsidR="00197723" w:rsidRPr="00197723" w:rsidRDefault="00197723" w:rsidP="00197723">
            <w:pPr>
              <w:rPr>
                <w:rFonts w:cs="Arial"/>
              </w:rPr>
            </w:pPr>
            <w:r w:rsidRPr="00197723">
              <w:rPr>
                <w:rFonts w:cs="Arial"/>
                <w:bCs/>
              </w:rPr>
              <w:t>Гадене</w:t>
            </w:r>
          </w:p>
        </w:tc>
        <w:tc>
          <w:tcPr>
            <w:tcW w:w="2225" w:type="dxa"/>
            <w:vAlign w:val="bottom"/>
          </w:tcPr>
          <w:p w14:paraId="0809C979" w14:textId="3DB77C57" w:rsidR="00197723" w:rsidRPr="00197723" w:rsidRDefault="00197723" w:rsidP="00197723">
            <w:pPr>
              <w:rPr>
                <w:rFonts w:cs="Arial"/>
              </w:rPr>
            </w:pPr>
            <w:r w:rsidRPr="00197723">
              <w:rPr>
                <w:rFonts w:cs="Arial"/>
                <w:bCs/>
              </w:rPr>
              <w:t>Чести</w:t>
            </w:r>
          </w:p>
        </w:tc>
        <w:tc>
          <w:tcPr>
            <w:tcW w:w="2162" w:type="dxa"/>
            <w:vAlign w:val="bottom"/>
          </w:tcPr>
          <w:p w14:paraId="7A82ED50" w14:textId="4329EAA6" w:rsidR="00197723" w:rsidRPr="00197723" w:rsidRDefault="00197723" w:rsidP="00197723">
            <w:pPr>
              <w:rPr>
                <w:rFonts w:cs="Arial"/>
              </w:rPr>
            </w:pPr>
            <w:r w:rsidRPr="00197723">
              <w:rPr>
                <w:rFonts w:cs="Arial"/>
                <w:bCs/>
              </w:rPr>
              <w:t>Редки</w:t>
            </w:r>
          </w:p>
        </w:tc>
      </w:tr>
      <w:tr w:rsidR="00197723" w14:paraId="1971429F" w14:textId="77777777" w:rsidTr="00197723">
        <w:tc>
          <w:tcPr>
            <w:tcW w:w="2667" w:type="dxa"/>
            <w:vMerge/>
            <w:vAlign w:val="center"/>
          </w:tcPr>
          <w:p w14:paraId="52F73D9F" w14:textId="77777777" w:rsidR="00197723" w:rsidRPr="00197723" w:rsidRDefault="00197723" w:rsidP="00197723">
            <w:pPr>
              <w:rPr>
                <w:rFonts w:cs="Arial"/>
              </w:rPr>
            </w:pPr>
          </w:p>
        </w:tc>
        <w:tc>
          <w:tcPr>
            <w:tcW w:w="2522" w:type="dxa"/>
            <w:vAlign w:val="center"/>
          </w:tcPr>
          <w:p w14:paraId="7203EA9B" w14:textId="3A1BC25D" w:rsidR="00197723" w:rsidRPr="00197723" w:rsidRDefault="00197723" w:rsidP="00197723">
            <w:pPr>
              <w:rPr>
                <w:rFonts w:cs="Arial"/>
              </w:rPr>
            </w:pPr>
            <w:r w:rsidRPr="00197723">
              <w:rPr>
                <w:rFonts w:cs="Arial"/>
                <w:bCs/>
              </w:rPr>
              <w:t>Повръщане</w:t>
            </w:r>
          </w:p>
        </w:tc>
        <w:tc>
          <w:tcPr>
            <w:tcW w:w="2225" w:type="dxa"/>
            <w:vAlign w:val="bottom"/>
          </w:tcPr>
          <w:p w14:paraId="1B4C2117" w14:textId="55FC3E61" w:rsidR="00197723" w:rsidRPr="00197723" w:rsidRDefault="00197723" w:rsidP="00197723">
            <w:pPr>
              <w:rPr>
                <w:rFonts w:cs="Arial"/>
              </w:rPr>
            </w:pPr>
            <w:r w:rsidRPr="00197723">
              <w:rPr>
                <w:rFonts w:cs="Arial"/>
              </w:rPr>
              <w:t>чести</w:t>
            </w:r>
          </w:p>
        </w:tc>
        <w:tc>
          <w:tcPr>
            <w:tcW w:w="2162" w:type="dxa"/>
          </w:tcPr>
          <w:p w14:paraId="529E2EAB" w14:textId="48F1EBD9" w:rsidR="00197723" w:rsidRPr="00197723" w:rsidRDefault="00197723" w:rsidP="00197723">
            <w:pPr>
              <w:rPr>
                <w:rFonts w:cs="Arial"/>
              </w:rPr>
            </w:pPr>
            <w:r w:rsidRPr="00197723">
              <w:rPr>
                <w:rFonts w:cs="Arial"/>
              </w:rPr>
              <w:t>Нечести</w:t>
            </w:r>
          </w:p>
        </w:tc>
      </w:tr>
      <w:tr w:rsidR="00197723" w14:paraId="05091774" w14:textId="77777777" w:rsidTr="00197723">
        <w:tc>
          <w:tcPr>
            <w:tcW w:w="2667" w:type="dxa"/>
            <w:vMerge/>
          </w:tcPr>
          <w:p w14:paraId="291581D7" w14:textId="77777777" w:rsidR="00197723" w:rsidRDefault="00197723" w:rsidP="00197723"/>
        </w:tc>
        <w:tc>
          <w:tcPr>
            <w:tcW w:w="2522" w:type="dxa"/>
            <w:vAlign w:val="bottom"/>
          </w:tcPr>
          <w:p w14:paraId="3922D1CC" w14:textId="6AF2A913" w:rsidR="00197723" w:rsidRDefault="00197723" w:rsidP="00197723">
            <w:r>
              <w:t>Сухота в устата</w:t>
            </w:r>
          </w:p>
        </w:tc>
        <w:tc>
          <w:tcPr>
            <w:tcW w:w="2225" w:type="dxa"/>
            <w:vAlign w:val="bottom"/>
          </w:tcPr>
          <w:p w14:paraId="07D75DE6" w14:textId="7A4D223A" w:rsidR="00197723" w:rsidRDefault="00197723" w:rsidP="00197723">
            <w:r>
              <w:t>Чести</w:t>
            </w:r>
          </w:p>
        </w:tc>
        <w:tc>
          <w:tcPr>
            <w:tcW w:w="2162" w:type="dxa"/>
            <w:vAlign w:val="bottom"/>
          </w:tcPr>
          <w:p w14:paraId="6C39EB69" w14:textId="7C2713A9" w:rsidR="00197723" w:rsidRDefault="00197723" w:rsidP="00197723">
            <w:r>
              <w:t>Редки</w:t>
            </w:r>
          </w:p>
        </w:tc>
      </w:tr>
      <w:tr w:rsidR="00197723" w14:paraId="3838E2A2" w14:textId="77777777" w:rsidTr="00197723">
        <w:tc>
          <w:tcPr>
            <w:tcW w:w="2667" w:type="dxa"/>
            <w:vMerge/>
          </w:tcPr>
          <w:p w14:paraId="48D57DCE" w14:textId="77777777" w:rsidR="00197723" w:rsidRDefault="00197723" w:rsidP="00197723"/>
        </w:tc>
        <w:tc>
          <w:tcPr>
            <w:tcW w:w="2522" w:type="dxa"/>
            <w:vAlign w:val="bottom"/>
          </w:tcPr>
          <w:p w14:paraId="4148184F" w14:textId="022A3FB2" w:rsidR="00197723" w:rsidRDefault="00197723" w:rsidP="00197723">
            <w:r>
              <w:t>Панкреатит</w:t>
            </w:r>
          </w:p>
        </w:tc>
        <w:tc>
          <w:tcPr>
            <w:tcW w:w="2225" w:type="dxa"/>
            <w:vAlign w:val="bottom"/>
          </w:tcPr>
          <w:p w14:paraId="05D96BB0" w14:textId="29DA4889" w:rsidR="00197723" w:rsidRDefault="00197723" w:rsidP="00197723">
            <w:r>
              <w:t>Много редки</w:t>
            </w:r>
          </w:p>
        </w:tc>
        <w:tc>
          <w:tcPr>
            <w:tcW w:w="2162" w:type="dxa"/>
            <w:vAlign w:val="bottom"/>
          </w:tcPr>
          <w:p w14:paraId="01050261" w14:textId="361D8471" w:rsidR="00197723" w:rsidRDefault="00197723" w:rsidP="00197723">
            <w:r>
              <w:t>Много редки</w:t>
            </w:r>
          </w:p>
        </w:tc>
      </w:tr>
      <w:tr w:rsidR="00197723" w14:paraId="70C3784C" w14:textId="77777777" w:rsidTr="00197723">
        <w:tc>
          <w:tcPr>
            <w:tcW w:w="2667" w:type="dxa"/>
          </w:tcPr>
          <w:p w14:paraId="795B3ECF" w14:textId="438626F8" w:rsidR="00197723" w:rsidRPr="00197723" w:rsidRDefault="00197723" w:rsidP="00197723">
            <w:pPr>
              <w:rPr>
                <w:rFonts w:cs="Arial"/>
                <w:b/>
              </w:rPr>
            </w:pPr>
            <w:r w:rsidRPr="00197723">
              <w:rPr>
                <w:rFonts w:cs="Arial"/>
                <w:b/>
                <w:bCs/>
              </w:rPr>
              <w:t>Хепато-билиарни нарушения</w:t>
            </w:r>
          </w:p>
        </w:tc>
        <w:tc>
          <w:tcPr>
            <w:tcW w:w="2522" w:type="dxa"/>
            <w:vAlign w:val="center"/>
          </w:tcPr>
          <w:p w14:paraId="3C858E53" w14:textId="0C91DF20" w:rsidR="00197723" w:rsidRPr="00197723" w:rsidRDefault="00197723" w:rsidP="00197723">
            <w:pPr>
              <w:rPr>
                <w:rFonts w:cs="Arial"/>
              </w:rPr>
            </w:pPr>
            <w:r w:rsidRPr="00197723">
              <w:rPr>
                <w:rFonts w:cs="Arial"/>
                <w:bCs/>
              </w:rPr>
              <w:t>Хепатит (вж. точка 4.4)</w:t>
            </w:r>
          </w:p>
        </w:tc>
        <w:tc>
          <w:tcPr>
            <w:tcW w:w="2225" w:type="dxa"/>
            <w:vAlign w:val="center"/>
          </w:tcPr>
          <w:p w14:paraId="6AB1DB32" w14:textId="532978BC" w:rsidR="00197723" w:rsidRPr="00197723" w:rsidRDefault="00197723" w:rsidP="00197723">
            <w:pPr>
              <w:rPr>
                <w:rFonts w:cs="Arial"/>
              </w:rPr>
            </w:pPr>
            <w:r w:rsidRPr="00197723">
              <w:rPr>
                <w:rFonts w:cs="Arial"/>
                <w:bCs/>
              </w:rPr>
              <w:t>Много редки</w:t>
            </w:r>
          </w:p>
        </w:tc>
        <w:tc>
          <w:tcPr>
            <w:tcW w:w="2162" w:type="dxa"/>
          </w:tcPr>
          <w:p w14:paraId="4432ED39" w14:textId="7909A148" w:rsidR="00197723" w:rsidRPr="00197723" w:rsidRDefault="00197723" w:rsidP="00197723">
            <w:pPr>
              <w:rPr>
                <w:rFonts w:cs="Arial"/>
              </w:rPr>
            </w:pPr>
            <w:r w:rsidRPr="00197723">
              <w:rPr>
                <w:rFonts w:cs="Arial"/>
                <w:bCs/>
              </w:rPr>
              <w:t>С неизвестна честота</w:t>
            </w:r>
          </w:p>
        </w:tc>
      </w:tr>
      <w:tr w:rsidR="00197723" w14:paraId="67C173E7" w14:textId="77777777" w:rsidTr="00197723">
        <w:tc>
          <w:tcPr>
            <w:tcW w:w="2667" w:type="dxa"/>
            <w:vMerge w:val="restart"/>
            <w:vAlign w:val="center"/>
          </w:tcPr>
          <w:p w14:paraId="15EAFE96" w14:textId="017D30F6" w:rsidR="00197723" w:rsidRPr="00197723" w:rsidRDefault="00197723" w:rsidP="00197723">
            <w:pPr>
              <w:rPr>
                <w:rFonts w:cs="Arial"/>
                <w:b/>
              </w:rPr>
            </w:pPr>
            <w:r w:rsidRPr="00197723">
              <w:rPr>
                <w:rFonts w:cs="Arial"/>
                <w:b/>
                <w:bCs/>
              </w:rPr>
              <w:t>Нарушения на кожата и подкожната тъкан</w:t>
            </w:r>
          </w:p>
        </w:tc>
        <w:tc>
          <w:tcPr>
            <w:tcW w:w="2522" w:type="dxa"/>
            <w:vAlign w:val="center"/>
          </w:tcPr>
          <w:p w14:paraId="73358772" w14:textId="3ACBECC3" w:rsidR="00197723" w:rsidRPr="00197723" w:rsidRDefault="00197723" w:rsidP="00197723">
            <w:pPr>
              <w:rPr>
                <w:rFonts w:cs="Arial"/>
              </w:rPr>
            </w:pPr>
            <w:r w:rsidRPr="00197723">
              <w:rPr>
                <w:rFonts w:cs="Arial"/>
                <w:bCs/>
              </w:rPr>
              <w:t>Пруршус</w:t>
            </w:r>
          </w:p>
        </w:tc>
        <w:tc>
          <w:tcPr>
            <w:tcW w:w="2225" w:type="dxa"/>
            <w:vAlign w:val="center"/>
          </w:tcPr>
          <w:p w14:paraId="679A2124" w14:textId="3C46D2CD" w:rsidR="00197723" w:rsidRPr="00197723" w:rsidRDefault="00197723" w:rsidP="00197723">
            <w:pPr>
              <w:rPr>
                <w:rFonts w:cs="Arial"/>
              </w:rPr>
            </w:pPr>
            <w:r w:rsidRPr="00197723">
              <w:rPr>
                <w:rFonts w:cs="Arial"/>
                <w:bCs/>
              </w:rPr>
              <w:t>Чести</w:t>
            </w:r>
          </w:p>
        </w:tc>
        <w:tc>
          <w:tcPr>
            <w:tcW w:w="2162" w:type="dxa"/>
            <w:vAlign w:val="center"/>
          </w:tcPr>
          <w:p w14:paraId="1EF63E51" w14:textId="0411DF3D" w:rsidR="00197723" w:rsidRPr="00197723" w:rsidRDefault="00197723" w:rsidP="00197723">
            <w:pPr>
              <w:rPr>
                <w:rFonts w:cs="Arial"/>
              </w:rPr>
            </w:pPr>
            <w:r w:rsidRPr="00197723">
              <w:rPr>
                <w:rFonts w:cs="Arial"/>
                <w:bCs/>
              </w:rPr>
              <w:t>-</w:t>
            </w:r>
          </w:p>
        </w:tc>
      </w:tr>
      <w:tr w:rsidR="00197723" w14:paraId="0A3CD724" w14:textId="77777777" w:rsidTr="00197723">
        <w:tc>
          <w:tcPr>
            <w:tcW w:w="2667" w:type="dxa"/>
            <w:vMerge/>
            <w:vAlign w:val="center"/>
          </w:tcPr>
          <w:p w14:paraId="038853E4" w14:textId="77777777" w:rsidR="00197723" w:rsidRPr="00197723" w:rsidRDefault="00197723" w:rsidP="00197723">
            <w:pPr>
              <w:rPr>
                <w:rFonts w:cs="Arial"/>
              </w:rPr>
            </w:pPr>
          </w:p>
        </w:tc>
        <w:tc>
          <w:tcPr>
            <w:tcW w:w="2522" w:type="dxa"/>
            <w:vAlign w:val="center"/>
          </w:tcPr>
          <w:p w14:paraId="200705AE" w14:textId="3CADD5B1" w:rsidR="00197723" w:rsidRPr="00197723" w:rsidRDefault="00197723" w:rsidP="00197723">
            <w:pPr>
              <w:rPr>
                <w:rFonts w:cs="Arial"/>
              </w:rPr>
            </w:pPr>
            <w:r w:rsidRPr="00197723">
              <w:rPr>
                <w:rFonts w:cs="Arial"/>
                <w:bCs/>
              </w:rPr>
              <w:t>Обрив</w:t>
            </w:r>
          </w:p>
        </w:tc>
        <w:tc>
          <w:tcPr>
            <w:tcW w:w="2225" w:type="dxa"/>
            <w:vAlign w:val="center"/>
          </w:tcPr>
          <w:p w14:paraId="4871B25C" w14:textId="73EBB96B" w:rsidR="00197723" w:rsidRPr="00197723" w:rsidRDefault="00197723" w:rsidP="00197723">
            <w:pPr>
              <w:rPr>
                <w:rFonts w:cs="Arial"/>
              </w:rPr>
            </w:pPr>
            <w:r w:rsidRPr="00197723">
              <w:rPr>
                <w:rFonts w:cs="Arial"/>
                <w:bCs/>
              </w:rPr>
              <w:t>Чести</w:t>
            </w:r>
          </w:p>
        </w:tc>
        <w:tc>
          <w:tcPr>
            <w:tcW w:w="2162" w:type="dxa"/>
            <w:vAlign w:val="center"/>
          </w:tcPr>
          <w:p w14:paraId="4CD45E92" w14:textId="35354112" w:rsidR="00197723" w:rsidRPr="00197723" w:rsidRDefault="00197723" w:rsidP="00197723">
            <w:pPr>
              <w:rPr>
                <w:rFonts w:cs="Arial"/>
              </w:rPr>
            </w:pPr>
            <w:r w:rsidRPr="00197723">
              <w:rPr>
                <w:rFonts w:cs="Arial"/>
                <w:bCs/>
              </w:rPr>
              <w:t>-</w:t>
            </w:r>
          </w:p>
        </w:tc>
      </w:tr>
      <w:tr w:rsidR="00197723" w14:paraId="42E32736" w14:textId="77777777" w:rsidTr="00197723">
        <w:tc>
          <w:tcPr>
            <w:tcW w:w="2667" w:type="dxa"/>
            <w:vMerge/>
            <w:vAlign w:val="center"/>
          </w:tcPr>
          <w:p w14:paraId="5B163A39" w14:textId="77777777" w:rsidR="00197723" w:rsidRPr="00197723" w:rsidRDefault="00197723" w:rsidP="00197723">
            <w:pPr>
              <w:rPr>
                <w:rFonts w:cs="Arial"/>
              </w:rPr>
            </w:pPr>
          </w:p>
        </w:tc>
        <w:tc>
          <w:tcPr>
            <w:tcW w:w="2522" w:type="dxa"/>
            <w:vAlign w:val="bottom"/>
          </w:tcPr>
          <w:p w14:paraId="7EC474BF" w14:textId="570E2B7A" w:rsidR="00197723" w:rsidRPr="00197723" w:rsidRDefault="00197723" w:rsidP="00197723">
            <w:pPr>
              <w:rPr>
                <w:rFonts w:cs="Arial"/>
              </w:rPr>
            </w:pPr>
            <w:r w:rsidRPr="00197723">
              <w:rPr>
                <w:rFonts w:cs="Arial"/>
                <w:bCs/>
              </w:rPr>
              <w:t>Макулопапулозен обрив</w:t>
            </w:r>
          </w:p>
        </w:tc>
        <w:tc>
          <w:tcPr>
            <w:tcW w:w="2225" w:type="dxa"/>
            <w:vAlign w:val="center"/>
          </w:tcPr>
          <w:p w14:paraId="51BFADA2" w14:textId="55A6BC4A" w:rsidR="00197723" w:rsidRPr="00197723" w:rsidRDefault="00197723" w:rsidP="00197723">
            <w:pPr>
              <w:rPr>
                <w:rFonts w:cs="Arial"/>
              </w:rPr>
            </w:pPr>
            <w:r w:rsidRPr="00197723">
              <w:rPr>
                <w:rFonts w:cs="Arial"/>
                <w:bCs/>
              </w:rPr>
              <w:t>-</w:t>
            </w:r>
          </w:p>
        </w:tc>
        <w:tc>
          <w:tcPr>
            <w:tcW w:w="2162" w:type="dxa"/>
            <w:vAlign w:val="center"/>
          </w:tcPr>
          <w:p w14:paraId="41750F92" w14:textId="78923BF8" w:rsidR="00197723" w:rsidRPr="00197723" w:rsidRDefault="00197723" w:rsidP="00197723">
            <w:pPr>
              <w:rPr>
                <w:rFonts w:cs="Arial"/>
              </w:rPr>
            </w:pPr>
            <w:r w:rsidRPr="00197723">
              <w:rPr>
                <w:rFonts w:cs="Arial"/>
                <w:bCs/>
              </w:rPr>
              <w:t>Чести</w:t>
            </w:r>
          </w:p>
        </w:tc>
      </w:tr>
      <w:tr w:rsidR="00197723" w14:paraId="43BF67A2" w14:textId="77777777" w:rsidTr="00197723">
        <w:tc>
          <w:tcPr>
            <w:tcW w:w="2667" w:type="dxa"/>
            <w:vMerge/>
            <w:vAlign w:val="center"/>
          </w:tcPr>
          <w:p w14:paraId="1F640DEC" w14:textId="77777777" w:rsidR="00197723" w:rsidRPr="00197723" w:rsidRDefault="00197723" w:rsidP="00197723">
            <w:pPr>
              <w:rPr>
                <w:rFonts w:cs="Arial"/>
              </w:rPr>
            </w:pPr>
          </w:p>
        </w:tc>
        <w:tc>
          <w:tcPr>
            <w:tcW w:w="2522" w:type="dxa"/>
            <w:vAlign w:val="bottom"/>
          </w:tcPr>
          <w:p w14:paraId="5C76DF43" w14:textId="1D13982D" w:rsidR="00197723" w:rsidRPr="00197723" w:rsidRDefault="00197723" w:rsidP="00197723">
            <w:pPr>
              <w:rPr>
                <w:rFonts w:cs="Arial"/>
              </w:rPr>
            </w:pPr>
            <w:r w:rsidRPr="00197723">
              <w:rPr>
                <w:rFonts w:cs="Arial"/>
                <w:bCs/>
              </w:rPr>
              <w:t>Уртикария (вж. точка 4.4)</w:t>
            </w:r>
          </w:p>
        </w:tc>
        <w:tc>
          <w:tcPr>
            <w:tcW w:w="2225" w:type="dxa"/>
            <w:vAlign w:val="bottom"/>
          </w:tcPr>
          <w:p w14:paraId="576006F3" w14:textId="13C1AC39" w:rsidR="00197723" w:rsidRPr="00197723" w:rsidRDefault="00197723" w:rsidP="00197723">
            <w:pPr>
              <w:rPr>
                <w:rFonts w:cs="Arial"/>
              </w:rPr>
            </w:pPr>
            <w:r w:rsidRPr="00197723">
              <w:rPr>
                <w:rFonts w:cs="Arial"/>
                <w:bCs/>
              </w:rPr>
              <w:t>Нечести</w:t>
            </w:r>
          </w:p>
        </w:tc>
        <w:tc>
          <w:tcPr>
            <w:tcW w:w="2162" w:type="dxa"/>
            <w:vAlign w:val="bottom"/>
          </w:tcPr>
          <w:p w14:paraId="19F76A8D" w14:textId="07F8D131" w:rsidR="00197723" w:rsidRPr="00197723" w:rsidRDefault="00197723" w:rsidP="00197723">
            <w:pPr>
              <w:rPr>
                <w:rFonts w:cs="Arial"/>
              </w:rPr>
            </w:pPr>
            <w:r w:rsidRPr="00197723">
              <w:rPr>
                <w:rFonts w:cs="Arial"/>
                <w:bCs/>
              </w:rPr>
              <w:t>Много редки</w:t>
            </w:r>
          </w:p>
        </w:tc>
      </w:tr>
      <w:tr w:rsidR="00197723" w14:paraId="641BBD93" w14:textId="77777777" w:rsidTr="00197723">
        <w:tc>
          <w:tcPr>
            <w:tcW w:w="2667" w:type="dxa"/>
            <w:vMerge/>
            <w:vAlign w:val="center"/>
          </w:tcPr>
          <w:p w14:paraId="20F78579" w14:textId="77777777" w:rsidR="00197723" w:rsidRPr="00197723" w:rsidRDefault="00197723" w:rsidP="00197723">
            <w:pPr>
              <w:rPr>
                <w:rFonts w:cs="Arial"/>
              </w:rPr>
            </w:pPr>
          </w:p>
        </w:tc>
        <w:tc>
          <w:tcPr>
            <w:tcW w:w="2522" w:type="dxa"/>
            <w:vAlign w:val="bottom"/>
          </w:tcPr>
          <w:p w14:paraId="52C841B5" w14:textId="6F7DE70A" w:rsidR="00197723" w:rsidRPr="00197723" w:rsidRDefault="00197723" w:rsidP="00197723">
            <w:pPr>
              <w:rPr>
                <w:rFonts w:cs="Arial"/>
              </w:rPr>
            </w:pPr>
            <w:r w:rsidRPr="00197723">
              <w:rPr>
                <w:rFonts w:cs="Arial"/>
                <w:bCs/>
              </w:rPr>
              <w:t>Ангиоедем (вж. точка 4.4)</w:t>
            </w:r>
          </w:p>
        </w:tc>
        <w:tc>
          <w:tcPr>
            <w:tcW w:w="2225" w:type="dxa"/>
            <w:vAlign w:val="bottom"/>
          </w:tcPr>
          <w:p w14:paraId="678D92EB" w14:textId="4C156B36" w:rsidR="00197723" w:rsidRPr="00197723" w:rsidRDefault="00197723" w:rsidP="00197723">
            <w:pPr>
              <w:rPr>
                <w:rFonts w:cs="Arial"/>
              </w:rPr>
            </w:pPr>
            <w:r w:rsidRPr="00197723">
              <w:rPr>
                <w:rFonts w:cs="Arial"/>
                <w:bCs/>
              </w:rPr>
              <w:t>Нечести</w:t>
            </w:r>
          </w:p>
        </w:tc>
        <w:tc>
          <w:tcPr>
            <w:tcW w:w="2162" w:type="dxa"/>
            <w:vAlign w:val="bottom"/>
          </w:tcPr>
          <w:p w14:paraId="3D4A3D3A" w14:textId="6CBEC4C4" w:rsidR="00197723" w:rsidRPr="00197723" w:rsidRDefault="00197723" w:rsidP="00197723">
            <w:pPr>
              <w:rPr>
                <w:rFonts w:cs="Arial"/>
              </w:rPr>
            </w:pPr>
            <w:r w:rsidRPr="00197723">
              <w:rPr>
                <w:rFonts w:cs="Arial"/>
                <w:bCs/>
              </w:rPr>
              <w:t>Много редки</w:t>
            </w:r>
          </w:p>
        </w:tc>
      </w:tr>
      <w:tr w:rsidR="00197723" w14:paraId="500656A4" w14:textId="77777777" w:rsidTr="00197723">
        <w:tc>
          <w:tcPr>
            <w:tcW w:w="2667" w:type="dxa"/>
            <w:vMerge/>
            <w:vAlign w:val="center"/>
          </w:tcPr>
          <w:p w14:paraId="174492A3" w14:textId="77777777" w:rsidR="00197723" w:rsidRPr="00197723" w:rsidRDefault="00197723" w:rsidP="00197723">
            <w:pPr>
              <w:rPr>
                <w:rFonts w:cs="Arial"/>
              </w:rPr>
            </w:pPr>
          </w:p>
        </w:tc>
        <w:tc>
          <w:tcPr>
            <w:tcW w:w="2522" w:type="dxa"/>
            <w:vAlign w:val="bottom"/>
          </w:tcPr>
          <w:p w14:paraId="3CBA2FB6" w14:textId="6D8F7E59" w:rsidR="00197723" w:rsidRPr="00197723" w:rsidRDefault="00197723" w:rsidP="00197723">
            <w:pPr>
              <w:rPr>
                <w:rFonts w:cs="Arial"/>
              </w:rPr>
            </w:pPr>
            <w:r w:rsidRPr="00197723">
              <w:rPr>
                <w:rFonts w:cs="Arial"/>
                <w:bCs/>
              </w:rPr>
              <w:t>Пурпура</w:t>
            </w:r>
          </w:p>
        </w:tc>
        <w:tc>
          <w:tcPr>
            <w:tcW w:w="2225" w:type="dxa"/>
            <w:vAlign w:val="center"/>
          </w:tcPr>
          <w:p w14:paraId="4DC5314F" w14:textId="34EF12F2" w:rsidR="00197723" w:rsidRPr="00197723" w:rsidRDefault="00197723" w:rsidP="00197723">
            <w:pPr>
              <w:rPr>
                <w:rFonts w:cs="Arial"/>
              </w:rPr>
            </w:pPr>
            <w:r w:rsidRPr="00197723">
              <w:rPr>
                <w:rFonts w:cs="Arial"/>
                <w:bCs/>
              </w:rPr>
              <w:t>-</w:t>
            </w:r>
          </w:p>
        </w:tc>
        <w:tc>
          <w:tcPr>
            <w:tcW w:w="2162" w:type="dxa"/>
            <w:vAlign w:val="center"/>
          </w:tcPr>
          <w:p w14:paraId="21017586" w14:textId="52B69612" w:rsidR="00197723" w:rsidRPr="00197723" w:rsidRDefault="00197723" w:rsidP="00197723">
            <w:pPr>
              <w:rPr>
                <w:rFonts w:cs="Arial"/>
              </w:rPr>
            </w:pPr>
            <w:r w:rsidRPr="00197723">
              <w:rPr>
                <w:rFonts w:cs="Arial"/>
                <w:bCs/>
              </w:rPr>
              <w:t>Нечести</w:t>
            </w:r>
          </w:p>
        </w:tc>
      </w:tr>
      <w:tr w:rsidR="00197723" w14:paraId="59FE1A32" w14:textId="77777777" w:rsidTr="00197723">
        <w:tc>
          <w:tcPr>
            <w:tcW w:w="2667" w:type="dxa"/>
            <w:vMerge/>
            <w:vAlign w:val="center"/>
          </w:tcPr>
          <w:p w14:paraId="1E36BDED" w14:textId="77777777" w:rsidR="00197723" w:rsidRPr="00197723" w:rsidRDefault="00197723" w:rsidP="00197723">
            <w:pPr>
              <w:rPr>
                <w:rFonts w:cs="Arial"/>
              </w:rPr>
            </w:pPr>
          </w:p>
        </w:tc>
        <w:tc>
          <w:tcPr>
            <w:tcW w:w="2522" w:type="dxa"/>
            <w:vAlign w:val="bottom"/>
          </w:tcPr>
          <w:p w14:paraId="3520F99A" w14:textId="41A8074E" w:rsidR="00197723" w:rsidRPr="00197723" w:rsidRDefault="00197723" w:rsidP="00197723">
            <w:pPr>
              <w:rPr>
                <w:rFonts w:cs="Arial"/>
              </w:rPr>
            </w:pPr>
            <w:r w:rsidRPr="00197723">
              <w:rPr>
                <w:rFonts w:cs="Arial"/>
                <w:bCs/>
              </w:rPr>
              <w:t>Хиперхидроза</w:t>
            </w:r>
          </w:p>
        </w:tc>
        <w:tc>
          <w:tcPr>
            <w:tcW w:w="2225" w:type="dxa"/>
            <w:vAlign w:val="center"/>
          </w:tcPr>
          <w:p w14:paraId="4D144DE1" w14:textId="662D2236" w:rsidR="00197723" w:rsidRPr="00197723" w:rsidRDefault="00197723" w:rsidP="00197723">
            <w:pPr>
              <w:rPr>
                <w:rFonts w:cs="Arial"/>
              </w:rPr>
            </w:pPr>
            <w:r w:rsidRPr="00197723">
              <w:rPr>
                <w:rFonts w:cs="Arial"/>
                <w:bCs/>
              </w:rPr>
              <w:t>Нечести</w:t>
            </w:r>
          </w:p>
        </w:tc>
        <w:tc>
          <w:tcPr>
            <w:tcW w:w="2162" w:type="dxa"/>
            <w:vAlign w:val="center"/>
          </w:tcPr>
          <w:p w14:paraId="1EFC8EC7" w14:textId="6C865A84" w:rsidR="00197723" w:rsidRPr="00197723" w:rsidRDefault="00197723" w:rsidP="00197723">
            <w:pPr>
              <w:rPr>
                <w:rFonts w:cs="Arial"/>
              </w:rPr>
            </w:pPr>
            <w:r w:rsidRPr="00197723">
              <w:rPr>
                <w:rFonts w:cs="Arial"/>
                <w:bCs/>
              </w:rPr>
              <w:t>-</w:t>
            </w:r>
          </w:p>
        </w:tc>
      </w:tr>
      <w:tr w:rsidR="00197723" w14:paraId="3E82D980" w14:textId="77777777" w:rsidTr="00197723">
        <w:tc>
          <w:tcPr>
            <w:tcW w:w="2667" w:type="dxa"/>
            <w:vMerge/>
            <w:vAlign w:val="center"/>
          </w:tcPr>
          <w:p w14:paraId="043FC8F5" w14:textId="77777777" w:rsidR="00197723" w:rsidRPr="00197723" w:rsidRDefault="00197723" w:rsidP="00197723">
            <w:pPr>
              <w:rPr>
                <w:rFonts w:cs="Arial"/>
              </w:rPr>
            </w:pPr>
          </w:p>
        </w:tc>
        <w:tc>
          <w:tcPr>
            <w:tcW w:w="2522" w:type="dxa"/>
            <w:vAlign w:val="center"/>
          </w:tcPr>
          <w:p w14:paraId="1E0D1BD9" w14:textId="794B5F2E" w:rsidR="00197723" w:rsidRPr="00197723" w:rsidRDefault="00197723" w:rsidP="00197723">
            <w:pPr>
              <w:rPr>
                <w:rFonts w:cs="Arial"/>
              </w:rPr>
            </w:pPr>
            <w:r w:rsidRPr="00197723">
              <w:rPr>
                <w:rFonts w:cs="Arial"/>
                <w:bCs/>
              </w:rPr>
              <w:t>Реакции на фотосенсибилизация</w:t>
            </w:r>
          </w:p>
        </w:tc>
        <w:tc>
          <w:tcPr>
            <w:tcW w:w="2225" w:type="dxa"/>
            <w:vAlign w:val="center"/>
          </w:tcPr>
          <w:p w14:paraId="77F21A30" w14:textId="5B8F50D5" w:rsidR="00197723" w:rsidRPr="00197723" w:rsidRDefault="00197723" w:rsidP="00197723">
            <w:pPr>
              <w:rPr>
                <w:rFonts w:cs="Arial"/>
              </w:rPr>
            </w:pPr>
            <w:r w:rsidRPr="00197723">
              <w:rPr>
                <w:rFonts w:cs="Arial"/>
                <w:bCs/>
              </w:rPr>
              <w:t>Нечести*</w:t>
            </w:r>
          </w:p>
        </w:tc>
        <w:tc>
          <w:tcPr>
            <w:tcW w:w="2162" w:type="dxa"/>
          </w:tcPr>
          <w:p w14:paraId="1DE392C9" w14:textId="241CF597" w:rsidR="00197723" w:rsidRPr="00197723" w:rsidRDefault="00197723" w:rsidP="00197723">
            <w:pPr>
              <w:rPr>
                <w:rFonts w:cs="Arial"/>
              </w:rPr>
            </w:pPr>
            <w:r w:rsidRPr="00197723">
              <w:rPr>
                <w:rFonts w:cs="Arial"/>
                <w:bCs/>
              </w:rPr>
              <w:t>С неизвестна честота</w:t>
            </w:r>
          </w:p>
        </w:tc>
      </w:tr>
      <w:tr w:rsidR="00197723" w14:paraId="23C6E666" w14:textId="77777777" w:rsidTr="00197723">
        <w:tc>
          <w:tcPr>
            <w:tcW w:w="2667" w:type="dxa"/>
            <w:vMerge/>
            <w:vAlign w:val="center"/>
          </w:tcPr>
          <w:p w14:paraId="3CDECAFB" w14:textId="77777777" w:rsidR="00197723" w:rsidRPr="00197723" w:rsidRDefault="00197723" w:rsidP="00197723">
            <w:pPr>
              <w:rPr>
                <w:rFonts w:cs="Arial"/>
              </w:rPr>
            </w:pPr>
          </w:p>
        </w:tc>
        <w:tc>
          <w:tcPr>
            <w:tcW w:w="2522" w:type="dxa"/>
            <w:vAlign w:val="bottom"/>
          </w:tcPr>
          <w:p w14:paraId="4A1DE3F6" w14:textId="06065F27" w:rsidR="00197723" w:rsidRPr="00197723" w:rsidRDefault="00197723" w:rsidP="00197723">
            <w:pPr>
              <w:rPr>
                <w:rFonts w:cs="Arial"/>
              </w:rPr>
            </w:pPr>
            <w:r w:rsidRPr="00197723">
              <w:rPr>
                <w:rFonts w:cs="Arial"/>
                <w:bCs/>
              </w:rPr>
              <w:t>Пемфигоид</w:t>
            </w:r>
          </w:p>
        </w:tc>
        <w:tc>
          <w:tcPr>
            <w:tcW w:w="2225" w:type="dxa"/>
            <w:vAlign w:val="center"/>
          </w:tcPr>
          <w:p w14:paraId="77BF39F8" w14:textId="3D7CFE9C" w:rsidR="00197723" w:rsidRPr="00197723" w:rsidRDefault="00197723" w:rsidP="00197723">
            <w:pPr>
              <w:rPr>
                <w:rFonts w:cs="Arial"/>
              </w:rPr>
            </w:pPr>
            <w:r w:rsidRPr="00197723">
              <w:rPr>
                <w:rFonts w:cs="Arial"/>
                <w:bCs/>
              </w:rPr>
              <w:t>Нечести*</w:t>
            </w:r>
          </w:p>
        </w:tc>
        <w:tc>
          <w:tcPr>
            <w:tcW w:w="2162" w:type="dxa"/>
            <w:vAlign w:val="center"/>
          </w:tcPr>
          <w:p w14:paraId="7E1FC49E" w14:textId="7F407D49" w:rsidR="00197723" w:rsidRPr="00197723" w:rsidRDefault="00197723" w:rsidP="00197723">
            <w:pPr>
              <w:rPr>
                <w:rFonts w:cs="Arial"/>
              </w:rPr>
            </w:pPr>
            <w:r w:rsidRPr="00197723">
              <w:rPr>
                <w:rFonts w:cs="Arial"/>
                <w:bCs/>
              </w:rPr>
              <w:t>-</w:t>
            </w:r>
          </w:p>
        </w:tc>
      </w:tr>
      <w:tr w:rsidR="00197723" w14:paraId="1B0579F5" w14:textId="77777777" w:rsidTr="00197723">
        <w:tc>
          <w:tcPr>
            <w:tcW w:w="2667" w:type="dxa"/>
            <w:vMerge/>
            <w:vAlign w:val="center"/>
          </w:tcPr>
          <w:p w14:paraId="20819A6B" w14:textId="77777777" w:rsidR="00197723" w:rsidRPr="00197723" w:rsidRDefault="00197723" w:rsidP="00197723">
            <w:pPr>
              <w:rPr>
                <w:rFonts w:cs="Arial"/>
              </w:rPr>
            </w:pPr>
          </w:p>
        </w:tc>
        <w:tc>
          <w:tcPr>
            <w:tcW w:w="2522" w:type="dxa"/>
            <w:vAlign w:val="center"/>
          </w:tcPr>
          <w:p w14:paraId="270DB9AA" w14:textId="681358D2" w:rsidR="00197723" w:rsidRPr="00197723" w:rsidRDefault="00197723" w:rsidP="00197723">
            <w:pPr>
              <w:rPr>
                <w:rFonts w:cs="Arial"/>
              </w:rPr>
            </w:pPr>
            <w:r w:rsidRPr="00197723">
              <w:rPr>
                <w:rFonts w:cs="Arial"/>
              </w:rPr>
              <w:t>Влошаване на псориазис</w:t>
            </w:r>
          </w:p>
        </w:tc>
        <w:tc>
          <w:tcPr>
            <w:tcW w:w="2225" w:type="dxa"/>
            <w:vAlign w:val="center"/>
          </w:tcPr>
          <w:p w14:paraId="54986A7A" w14:textId="49436181" w:rsidR="00197723" w:rsidRPr="00197723" w:rsidRDefault="00197723" w:rsidP="00197723">
            <w:pPr>
              <w:rPr>
                <w:rFonts w:cs="Arial"/>
              </w:rPr>
            </w:pPr>
            <w:r w:rsidRPr="00197723">
              <w:rPr>
                <w:rFonts w:cs="Arial"/>
                <w:bCs/>
              </w:rPr>
              <w:t>Редки*</w:t>
            </w:r>
          </w:p>
        </w:tc>
        <w:tc>
          <w:tcPr>
            <w:tcW w:w="2162" w:type="dxa"/>
            <w:vAlign w:val="center"/>
          </w:tcPr>
          <w:p w14:paraId="76399B3D" w14:textId="39007D50" w:rsidR="00197723" w:rsidRPr="00197723" w:rsidRDefault="00197723" w:rsidP="00197723">
            <w:pPr>
              <w:rPr>
                <w:rFonts w:cs="Arial"/>
              </w:rPr>
            </w:pPr>
            <w:r w:rsidRPr="00197723">
              <w:rPr>
                <w:rFonts w:cs="Arial"/>
                <w:bCs/>
              </w:rPr>
              <w:t>-</w:t>
            </w:r>
          </w:p>
        </w:tc>
      </w:tr>
      <w:tr w:rsidR="00197723" w14:paraId="521DE53D" w14:textId="77777777" w:rsidTr="00197723">
        <w:tc>
          <w:tcPr>
            <w:tcW w:w="2667" w:type="dxa"/>
            <w:vMerge/>
            <w:vAlign w:val="center"/>
          </w:tcPr>
          <w:p w14:paraId="3C247D27" w14:textId="77777777" w:rsidR="00197723" w:rsidRPr="00197723" w:rsidRDefault="00197723" w:rsidP="00197723">
            <w:pPr>
              <w:rPr>
                <w:rFonts w:cs="Arial"/>
              </w:rPr>
            </w:pPr>
          </w:p>
        </w:tc>
        <w:tc>
          <w:tcPr>
            <w:tcW w:w="2522" w:type="dxa"/>
            <w:vAlign w:val="bottom"/>
          </w:tcPr>
          <w:p w14:paraId="5EE21024" w14:textId="62D42BAB" w:rsidR="00197723" w:rsidRPr="00197723" w:rsidRDefault="00197723" w:rsidP="00197723">
            <w:pPr>
              <w:rPr>
                <w:rFonts w:cs="Arial"/>
              </w:rPr>
            </w:pPr>
            <w:r w:rsidRPr="00197723">
              <w:rPr>
                <w:rFonts w:cs="Arial"/>
                <w:bCs/>
              </w:rPr>
              <w:t>Еритема мултиформе</w:t>
            </w:r>
          </w:p>
        </w:tc>
        <w:tc>
          <w:tcPr>
            <w:tcW w:w="2225" w:type="dxa"/>
            <w:vAlign w:val="bottom"/>
          </w:tcPr>
          <w:p w14:paraId="21922027" w14:textId="009C3583" w:rsidR="00197723" w:rsidRPr="00197723" w:rsidRDefault="00197723" w:rsidP="00197723">
            <w:pPr>
              <w:rPr>
                <w:rFonts w:cs="Arial"/>
              </w:rPr>
            </w:pPr>
            <w:r w:rsidRPr="00197723">
              <w:rPr>
                <w:rFonts w:cs="Arial"/>
                <w:bCs/>
              </w:rPr>
              <w:t>Много редки</w:t>
            </w:r>
          </w:p>
        </w:tc>
        <w:tc>
          <w:tcPr>
            <w:tcW w:w="2162" w:type="dxa"/>
            <w:vAlign w:val="center"/>
          </w:tcPr>
          <w:p w14:paraId="7DE8414B" w14:textId="03BD95C5" w:rsidR="00197723" w:rsidRPr="00197723" w:rsidRDefault="00197723" w:rsidP="00197723">
            <w:pPr>
              <w:rPr>
                <w:rFonts w:cs="Arial"/>
              </w:rPr>
            </w:pPr>
            <w:r w:rsidRPr="00197723">
              <w:rPr>
                <w:rFonts w:cs="Arial"/>
                <w:bCs/>
              </w:rPr>
              <w:t>-</w:t>
            </w:r>
          </w:p>
        </w:tc>
      </w:tr>
      <w:tr w:rsidR="00197723" w14:paraId="3CBC1F5E" w14:textId="77777777" w:rsidTr="00197723">
        <w:tc>
          <w:tcPr>
            <w:tcW w:w="2667" w:type="dxa"/>
            <w:vMerge/>
            <w:vAlign w:val="center"/>
          </w:tcPr>
          <w:p w14:paraId="5FF02CE6" w14:textId="77777777" w:rsidR="00197723" w:rsidRPr="00197723" w:rsidRDefault="00197723" w:rsidP="00197723">
            <w:pPr>
              <w:rPr>
                <w:rFonts w:cs="Arial"/>
              </w:rPr>
            </w:pPr>
          </w:p>
        </w:tc>
        <w:tc>
          <w:tcPr>
            <w:tcW w:w="2522" w:type="dxa"/>
            <w:vAlign w:val="bottom"/>
          </w:tcPr>
          <w:p w14:paraId="1BF7684C" w14:textId="1B275C5E" w:rsidR="00197723" w:rsidRPr="00197723" w:rsidRDefault="00197723" w:rsidP="00197723">
            <w:pPr>
              <w:rPr>
                <w:rFonts w:cs="Arial"/>
              </w:rPr>
            </w:pPr>
            <w:r w:rsidRPr="00197723">
              <w:rPr>
                <w:rFonts w:cs="Arial"/>
                <w:bCs/>
              </w:rPr>
              <w:t>Токсична епидермална некролиза</w:t>
            </w:r>
          </w:p>
        </w:tc>
        <w:tc>
          <w:tcPr>
            <w:tcW w:w="2225" w:type="dxa"/>
            <w:vAlign w:val="center"/>
          </w:tcPr>
          <w:p w14:paraId="7D68DEEF" w14:textId="500F5128" w:rsidR="00197723" w:rsidRPr="00197723" w:rsidRDefault="00197723" w:rsidP="00197723">
            <w:pPr>
              <w:rPr>
                <w:rFonts w:cs="Arial"/>
              </w:rPr>
            </w:pPr>
            <w:r w:rsidRPr="00197723">
              <w:rPr>
                <w:rFonts w:cs="Arial"/>
                <w:bCs/>
              </w:rPr>
              <w:t>-</w:t>
            </w:r>
          </w:p>
        </w:tc>
        <w:tc>
          <w:tcPr>
            <w:tcW w:w="2162" w:type="dxa"/>
            <w:vAlign w:val="bottom"/>
          </w:tcPr>
          <w:p w14:paraId="3B3D60EC" w14:textId="76A93F43" w:rsidR="00197723" w:rsidRPr="00197723" w:rsidRDefault="00197723" w:rsidP="00197723">
            <w:pPr>
              <w:rPr>
                <w:rFonts w:cs="Arial"/>
              </w:rPr>
            </w:pPr>
            <w:r w:rsidRPr="00197723">
              <w:rPr>
                <w:rFonts w:cs="Arial"/>
                <w:bCs/>
              </w:rPr>
              <w:t>Много редки</w:t>
            </w:r>
          </w:p>
        </w:tc>
      </w:tr>
      <w:tr w:rsidR="00197723" w14:paraId="7B42EA5C" w14:textId="77777777" w:rsidTr="00197723">
        <w:tc>
          <w:tcPr>
            <w:tcW w:w="2667" w:type="dxa"/>
            <w:vMerge/>
            <w:vAlign w:val="center"/>
          </w:tcPr>
          <w:p w14:paraId="180C26A1" w14:textId="77777777" w:rsidR="00197723" w:rsidRPr="00197723" w:rsidRDefault="00197723" w:rsidP="00197723">
            <w:pPr>
              <w:rPr>
                <w:rFonts w:cs="Arial"/>
              </w:rPr>
            </w:pPr>
          </w:p>
        </w:tc>
        <w:tc>
          <w:tcPr>
            <w:tcW w:w="2522" w:type="dxa"/>
            <w:vAlign w:val="bottom"/>
          </w:tcPr>
          <w:p w14:paraId="25329AEC" w14:textId="55ECD9AF" w:rsidR="00197723" w:rsidRPr="00197723" w:rsidRDefault="00197723" w:rsidP="00197723">
            <w:pPr>
              <w:rPr>
                <w:rFonts w:cs="Arial"/>
              </w:rPr>
            </w:pPr>
            <w:r w:rsidRPr="00197723">
              <w:rPr>
                <w:rFonts w:cs="Arial"/>
                <w:bCs/>
              </w:rPr>
              <w:t>Синдром на Стивънс-Джонсън</w:t>
            </w:r>
          </w:p>
        </w:tc>
        <w:tc>
          <w:tcPr>
            <w:tcW w:w="2225" w:type="dxa"/>
            <w:vAlign w:val="center"/>
          </w:tcPr>
          <w:p w14:paraId="216E1E90" w14:textId="7A680196" w:rsidR="00197723" w:rsidRPr="00197723" w:rsidRDefault="00197723" w:rsidP="00197723">
            <w:pPr>
              <w:rPr>
                <w:rFonts w:cs="Arial"/>
              </w:rPr>
            </w:pPr>
            <w:r w:rsidRPr="00197723">
              <w:rPr>
                <w:rFonts w:cs="Arial"/>
                <w:bCs/>
              </w:rPr>
              <w:t>-</w:t>
            </w:r>
          </w:p>
        </w:tc>
        <w:tc>
          <w:tcPr>
            <w:tcW w:w="2162" w:type="dxa"/>
            <w:vAlign w:val="bottom"/>
          </w:tcPr>
          <w:p w14:paraId="18973116" w14:textId="0311D0BB" w:rsidR="00197723" w:rsidRPr="00197723" w:rsidRDefault="00197723" w:rsidP="00197723">
            <w:pPr>
              <w:rPr>
                <w:rFonts w:cs="Arial"/>
              </w:rPr>
            </w:pPr>
            <w:r w:rsidRPr="00197723">
              <w:rPr>
                <w:rFonts w:cs="Arial"/>
                <w:bCs/>
              </w:rPr>
              <w:t>Много редки</w:t>
            </w:r>
          </w:p>
        </w:tc>
      </w:tr>
      <w:tr w:rsidR="00197723" w14:paraId="5499F7F8" w14:textId="77777777" w:rsidTr="00197723">
        <w:tc>
          <w:tcPr>
            <w:tcW w:w="2667" w:type="dxa"/>
            <w:vMerge w:val="restart"/>
            <w:vAlign w:val="center"/>
          </w:tcPr>
          <w:p w14:paraId="5125D5AA" w14:textId="2F81FCAF" w:rsidR="00197723" w:rsidRPr="00197723" w:rsidRDefault="00197723" w:rsidP="00197723">
            <w:pPr>
              <w:rPr>
                <w:b/>
              </w:rPr>
            </w:pPr>
            <w:r w:rsidRPr="00197723">
              <w:rPr>
                <w:b/>
                <w:bCs/>
                <w:szCs w:val="18"/>
              </w:rPr>
              <w:t>Нарушения на мускулно-скелетната система и съединителната тъкан</w:t>
            </w:r>
          </w:p>
        </w:tc>
        <w:tc>
          <w:tcPr>
            <w:tcW w:w="2522" w:type="dxa"/>
            <w:vAlign w:val="center"/>
          </w:tcPr>
          <w:p w14:paraId="3382B98B" w14:textId="28C78F28" w:rsidR="00197723" w:rsidRPr="00197723" w:rsidRDefault="00197723" w:rsidP="00197723">
            <w:r w:rsidRPr="00197723">
              <w:rPr>
                <w:bCs/>
                <w:szCs w:val="18"/>
              </w:rPr>
              <w:t>Мускулни спазми</w:t>
            </w:r>
          </w:p>
        </w:tc>
        <w:tc>
          <w:tcPr>
            <w:tcW w:w="2225" w:type="dxa"/>
            <w:vAlign w:val="center"/>
          </w:tcPr>
          <w:p w14:paraId="3914DAB8" w14:textId="0ACBB33F" w:rsidR="00197723" w:rsidRPr="00197723" w:rsidRDefault="00197723" w:rsidP="00197723">
            <w:r w:rsidRPr="00197723">
              <w:rPr>
                <w:bCs/>
                <w:szCs w:val="18"/>
              </w:rPr>
              <w:t>Чести</w:t>
            </w:r>
          </w:p>
        </w:tc>
        <w:tc>
          <w:tcPr>
            <w:tcW w:w="2162" w:type="dxa"/>
            <w:vAlign w:val="bottom"/>
          </w:tcPr>
          <w:p w14:paraId="70179AC9" w14:textId="43A836D4" w:rsidR="00197723" w:rsidRPr="00197723" w:rsidRDefault="00197723" w:rsidP="00197723">
            <w:r w:rsidRPr="00197723">
              <w:rPr>
                <w:bCs/>
                <w:szCs w:val="18"/>
              </w:rPr>
              <w:t>С неизвестна честота</w:t>
            </w:r>
          </w:p>
        </w:tc>
      </w:tr>
      <w:tr w:rsidR="00197723" w14:paraId="41055E0B" w14:textId="77777777" w:rsidTr="00197723">
        <w:tc>
          <w:tcPr>
            <w:tcW w:w="2667" w:type="dxa"/>
            <w:vMerge/>
            <w:vAlign w:val="center"/>
          </w:tcPr>
          <w:p w14:paraId="31CAD51D" w14:textId="77777777" w:rsidR="00197723" w:rsidRPr="00197723" w:rsidRDefault="00197723" w:rsidP="00197723">
            <w:pPr>
              <w:rPr>
                <w:b/>
              </w:rPr>
            </w:pPr>
          </w:p>
        </w:tc>
        <w:tc>
          <w:tcPr>
            <w:tcW w:w="2522" w:type="dxa"/>
            <w:vAlign w:val="bottom"/>
          </w:tcPr>
          <w:p w14:paraId="4D5E8237" w14:textId="274C2CAC" w:rsidR="00197723" w:rsidRPr="00197723" w:rsidRDefault="00197723" w:rsidP="00197723">
            <w:r w:rsidRPr="00197723">
              <w:rPr>
                <w:bCs/>
                <w:szCs w:val="18"/>
              </w:rPr>
              <w:t>Възможно влошаване на вече съществуващ остър дисеминиран лупус еритематозус</w:t>
            </w:r>
          </w:p>
        </w:tc>
        <w:tc>
          <w:tcPr>
            <w:tcW w:w="2225" w:type="dxa"/>
          </w:tcPr>
          <w:p w14:paraId="3DB6592A" w14:textId="0A0BCD5F" w:rsidR="00197723" w:rsidRPr="00197723" w:rsidRDefault="00197723" w:rsidP="00197723">
            <w:pPr>
              <w:rPr>
                <w:lang w:val="en-US"/>
              </w:rPr>
            </w:pPr>
            <w:r>
              <w:rPr>
                <w:lang w:val="en-US"/>
              </w:rPr>
              <w:t>-</w:t>
            </w:r>
          </w:p>
        </w:tc>
        <w:tc>
          <w:tcPr>
            <w:tcW w:w="2162" w:type="dxa"/>
            <w:vAlign w:val="center"/>
          </w:tcPr>
          <w:p w14:paraId="17876A4A" w14:textId="305A8B2B" w:rsidR="00197723" w:rsidRPr="00197723" w:rsidRDefault="00197723" w:rsidP="00197723">
            <w:r w:rsidRPr="00197723">
              <w:rPr>
                <w:bCs/>
                <w:szCs w:val="18"/>
              </w:rPr>
              <w:t>Нечести</w:t>
            </w:r>
          </w:p>
        </w:tc>
      </w:tr>
      <w:tr w:rsidR="00197723" w14:paraId="7424E418" w14:textId="77777777" w:rsidTr="00197723">
        <w:tc>
          <w:tcPr>
            <w:tcW w:w="2667" w:type="dxa"/>
            <w:vMerge/>
            <w:vAlign w:val="center"/>
          </w:tcPr>
          <w:p w14:paraId="05F59894" w14:textId="77777777" w:rsidR="00197723" w:rsidRPr="00197723" w:rsidRDefault="00197723" w:rsidP="00197723">
            <w:pPr>
              <w:rPr>
                <w:b/>
              </w:rPr>
            </w:pPr>
          </w:p>
        </w:tc>
        <w:tc>
          <w:tcPr>
            <w:tcW w:w="2522" w:type="dxa"/>
            <w:vAlign w:val="bottom"/>
          </w:tcPr>
          <w:p w14:paraId="39EB0B4E" w14:textId="1C99AB71" w:rsidR="00197723" w:rsidRPr="00197723" w:rsidRDefault="00197723" w:rsidP="00197723">
            <w:r w:rsidRPr="00197723">
              <w:rPr>
                <w:bCs/>
                <w:szCs w:val="18"/>
              </w:rPr>
              <w:t>Артралгия</w:t>
            </w:r>
          </w:p>
        </w:tc>
        <w:tc>
          <w:tcPr>
            <w:tcW w:w="2225" w:type="dxa"/>
            <w:vAlign w:val="center"/>
          </w:tcPr>
          <w:p w14:paraId="091D8941" w14:textId="4E52D814" w:rsidR="00197723" w:rsidRPr="00197723" w:rsidRDefault="00197723" w:rsidP="00197723">
            <w:r w:rsidRPr="00197723">
              <w:rPr>
                <w:bCs/>
                <w:szCs w:val="18"/>
              </w:rPr>
              <w:t>Нечести*</w:t>
            </w:r>
          </w:p>
        </w:tc>
        <w:tc>
          <w:tcPr>
            <w:tcW w:w="2162" w:type="dxa"/>
            <w:vAlign w:val="center"/>
          </w:tcPr>
          <w:p w14:paraId="4D2734E4" w14:textId="5B3862C9" w:rsidR="00197723" w:rsidRPr="00197723" w:rsidRDefault="00197723" w:rsidP="00197723">
            <w:r w:rsidRPr="00197723">
              <w:rPr>
                <w:bCs/>
                <w:szCs w:val="18"/>
              </w:rPr>
              <w:t>-</w:t>
            </w:r>
          </w:p>
        </w:tc>
      </w:tr>
      <w:tr w:rsidR="00197723" w14:paraId="508D4E4C" w14:textId="77777777" w:rsidTr="00197723">
        <w:tc>
          <w:tcPr>
            <w:tcW w:w="2667" w:type="dxa"/>
            <w:vMerge/>
            <w:vAlign w:val="center"/>
          </w:tcPr>
          <w:p w14:paraId="464F61AF" w14:textId="77777777" w:rsidR="00197723" w:rsidRPr="00197723" w:rsidRDefault="00197723" w:rsidP="00197723">
            <w:pPr>
              <w:rPr>
                <w:b/>
              </w:rPr>
            </w:pPr>
          </w:p>
        </w:tc>
        <w:tc>
          <w:tcPr>
            <w:tcW w:w="2522" w:type="dxa"/>
            <w:vAlign w:val="center"/>
          </w:tcPr>
          <w:p w14:paraId="6E633EE1" w14:textId="1D32ABF6" w:rsidR="00197723" w:rsidRPr="00197723" w:rsidRDefault="00197723" w:rsidP="00197723">
            <w:r w:rsidRPr="00197723">
              <w:rPr>
                <w:bCs/>
                <w:szCs w:val="18"/>
              </w:rPr>
              <w:t>Миалгия</w:t>
            </w:r>
          </w:p>
        </w:tc>
        <w:tc>
          <w:tcPr>
            <w:tcW w:w="2225" w:type="dxa"/>
            <w:vAlign w:val="center"/>
          </w:tcPr>
          <w:p w14:paraId="70702270" w14:textId="3BFBC845" w:rsidR="00197723" w:rsidRPr="00197723" w:rsidRDefault="00197723" w:rsidP="00197723">
            <w:r w:rsidRPr="00197723">
              <w:rPr>
                <w:bCs/>
                <w:szCs w:val="18"/>
              </w:rPr>
              <w:t>Нечести*</w:t>
            </w:r>
          </w:p>
        </w:tc>
        <w:tc>
          <w:tcPr>
            <w:tcW w:w="2162" w:type="dxa"/>
            <w:vAlign w:val="bottom"/>
          </w:tcPr>
          <w:p w14:paraId="18E627B0" w14:textId="453ED8FB" w:rsidR="00197723" w:rsidRPr="00197723" w:rsidRDefault="00197723" w:rsidP="00197723">
            <w:r w:rsidRPr="00197723">
              <w:rPr>
                <w:bCs/>
                <w:szCs w:val="18"/>
              </w:rPr>
              <w:t>С неизвестна честота</w:t>
            </w:r>
          </w:p>
        </w:tc>
      </w:tr>
      <w:tr w:rsidR="00197723" w14:paraId="74AFFD4D" w14:textId="77777777" w:rsidTr="00197723">
        <w:tc>
          <w:tcPr>
            <w:tcW w:w="2667" w:type="dxa"/>
            <w:vMerge/>
            <w:vAlign w:val="center"/>
          </w:tcPr>
          <w:p w14:paraId="58019EC3" w14:textId="77777777" w:rsidR="00197723" w:rsidRPr="00197723" w:rsidRDefault="00197723" w:rsidP="00197723">
            <w:pPr>
              <w:rPr>
                <w:b/>
              </w:rPr>
            </w:pPr>
          </w:p>
        </w:tc>
        <w:tc>
          <w:tcPr>
            <w:tcW w:w="2522" w:type="dxa"/>
            <w:vAlign w:val="center"/>
          </w:tcPr>
          <w:p w14:paraId="513480EC" w14:textId="1716EDD4" w:rsidR="00197723" w:rsidRPr="00197723" w:rsidRDefault="00197723" w:rsidP="00197723">
            <w:r w:rsidRPr="00197723">
              <w:rPr>
                <w:bCs/>
                <w:szCs w:val="18"/>
              </w:rPr>
              <w:t>Мускулна слабост</w:t>
            </w:r>
          </w:p>
        </w:tc>
        <w:tc>
          <w:tcPr>
            <w:tcW w:w="2225" w:type="dxa"/>
            <w:vAlign w:val="center"/>
          </w:tcPr>
          <w:p w14:paraId="6642AEA8" w14:textId="65AE8CEB" w:rsidR="00197723" w:rsidRPr="00197723" w:rsidRDefault="00197723" w:rsidP="00197723">
            <w:r w:rsidRPr="00197723">
              <w:rPr>
                <w:bCs/>
                <w:szCs w:val="18"/>
              </w:rPr>
              <w:t>-</w:t>
            </w:r>
          </w:p>
        </w:tc>
        <w:tc>
          <w:tcPr>
            <w:tcW w:w="2162" w:type="dxa"/>
            <w:vAlign w:val="center"/>
          </w:tcPr>
          <w:p w14:paraId="27334377" w14:textId="74610855" w:rsidR="00197723" w:rsidRPr="00197723" w:rsidRDefault="00197723" w:rsidP="00197723">
            <w:r w:rsidRPr="00197723">
              <w:rPr>
                <w:bCs/>
                <w:szCs w:val="18"/>
              </w:rPr>
              <w:t>С неизвестна честота</w:t>
            </w:r>
          </w:p>
        </w:tc>
      </w:tr>
      <w:tr w:rsidR="00197723" w14:paraId="479287E5" w14:textId="77777777" w:rsidTr="00197723">
        <w:tc>
          <w:tcPr>
            <w:tcW w:w="2667" w:type="dxa"/>
            <w:vMerge/>
            <w:vAlign w:val="center"/>
          </w:tcPr>
          <w:p w14:paraId="1E956158" w14:textId="77777777" w:rsidR="00197723" w:rsidRPr="00197723" w:rsidRDefault="00197723" w:rsidP="00197723">
            <w:pPr>
              <w:rPr>
                <w:b/>
              </w:rPr>
            </w:pPr>
          </w:p>
        </w:tc>
        <w:tc>
          <w:tcPr>
            <w:tcW w:w="2522" w:type="dxa"/>
            <w:vAlign w:val="center"/>
          </w:tcPr>
          <w:p w14:paraId="63C435DF" w14:textId="49899379" w:rsidR="00197723" w:rsidRPr="00197723" w:rsidRDefault="00197723" w:rsidP="00197723">
            <w:r w:rsidRPr="00197723">
              <w:rPr>
                <w:bCs/>
                <w:szCs w:val="18"/>
              </w:rPr>
              <w:t>Рабдомиолиза</w:t>
            </w:r>
          </w:p>
        </w:tc>
        <w:tc>
          <w:tcPr>
            <w:tcW w:w="2225" w:type="dxa"/>
            <w:vAlign w:val="center"/>
          </w:tcPr>
          <w:p w14:paraId="7953A218" w14:textId="3DEB66B1" w:rsidR="00197723" w:rsidRPr="00197723" w:rsidRDefault="00197723" w:rsidP="00197723">
            <w:r w:rsidRPr="00197723">
              <w:rPr>
                <w:bCs/>
                <w:szCs w:val="18"/>
              </w:rPr>
              <w:t>-</w:t>
            </w:r>
          </w:p>
        </w:tc>
        <w:tc>
          <w:tcPr>
            <w:tcW w:w="2162" w:type="dxa"/>
            <w:vAlign w:val="center"/>
          </w:tcPr>
          <w:p w14:paraId="187E7D1D" w14:textId="0ACF770F" w:rsidR="00197723" w:rsidRPr="00197723" w:rsidRDefault="00197723" w:rsidP="00197723">
            <w:r w:rsidRPr="00197723">
              <w:rPr>
                <w:bCs/>
                <w:szCs w:val="18"/>
              </w:rPr>
              <w:t>С неизвестна честота</w:t>
            </w:r>
          </w:p>
        </w:tc>
      </w:tr>
      <w:tr w:rsidR="00197723" w14:paraId="3D945948" w14:textId="77777777" w:rsidTr="00197723">
        <w:tc>
          <w:tcPr>
            <w:tcW w:w="2667" w:type="dxa"/>
            <w:vMerge w:val="restart"/>
            <w:vAlign w:val="bottom"/>
          </w:tcPr>
          <w:p w14:paraId="5B74252C" w14:textId="54173D5C" w:rsidR="00197723" w:rsidRPr="00197723" w:rsidRDefault="00197723" w:rsidP="00197723">
            <w:pPr>
              <w:rPr>
                <w:b/>
              </w:rPr>
            </w:pPr>
            <w:r w:rsidRPr="00197723">
              <w:rPr>
                <w:b/>
                <w:bCs/>
                <w:szCs w:val="18"/>
              </w:rPr>
              <w:t>Нарушения на бъбреците и пикочните пътища</w:t>
            </w:r>
          </w:p>
        </w:tc>
        <w:tc>
          <w:tcPr>
            <w:tcW w:w="2522" w:type="dxa"/>
            <w:vAlign w:val="bottom"/>
          </w:tcPr>
          <w:p w14:paraId="11C2DFAE" w14:textId="1A99D422" w:rsidR="00197723" w:rsidRPr="00197723" w:rsidRDefault="00197723" w:rsidP="00197723">
            <w:r w:rsidRPr="00197723">
              <w:rPr>
                <w:bCs/>
                <w:szCs w:val="18"/>
              </w:rPr>
              <w:t>Бъбречна недостатъчност</w:t>
            </w:r>
          </w:p>
        </w:tc>
        <w:tc>
          <w:tcPr>
            <w:tcW w:w="2225" w:type="dxa"/>
            <w:vAlign w:val="bottom"/>
          </w:tcPr>
          <w:p w14:paraId="7C0BCFC1" w14:textId="1A6BCA6F" w:rsidR="00197723" w:rsidRPr="00197723" w:rsidRDefault="00197723" w:rsidP="00197723">
            <w:r w:rsidRPr="00197723">
              <w:rPr>
                <w:bCs/>
                <w:szCs w:val="18"/>
              </w:rPr>
              <w:t>Нечести</w:t>
            </w:r>
          </w:p>
        </w:tc>
        <w:tc>
          <w:tcPr>
            <w:tcW w:w="2162" w:type="dxa"/>
            <w:vAlign w:val="bottom"/>
          </w:tcPr>
          <w:p w14:paraId="6C2E0C22" w14:textId="3441D300" w:rsidR="00197723" w:rsidRPr="00197723" w:rsidRDefault="00197723" w:rsidP="00197723">
            <w:r w:rsidRPr="00197723">
              <w:rPr>
                <w:bCs/>
                <w:szCs w:val="18"/>
              </w:rPr>
              <w:t>Много редки</w:t>
            </w:r>
          </w:p>
        </w:tc>
      </w:tr>
      <w:tr w:rsidR="00197723" w14:paraId="1DAEADD3" w14:textId="77777777" w:rsidTr="00197723">
        <w:tc>
          <w:tcPr>
            <w:tcW w:w="2667" w:type="dxa"/>
            <w:vMerge/>
            <w:vAlign w:val="bottom"/>
          </w:tcPr>
          <w:p w14:paraId="7F31EC67" w14:textId="77777777" w:rsidR="00197723" w:rsidRPr="00197723" w:rsidRDefault="00197723" w:rsidP="00197723">
            <w:pPr>
              <w:rPr>
                <w:b/>
              </w:rPr>
            </w:pPr>
          </w:p>
        </w:tc>
        <w:tc>
          <w:tcPr>
            <w:tcW w:w="2522" w:type="dxa"/>
            <w:vAlign w:val="center"/>
          </w:tcPr>
          <w:p w14:paraId="39473609" w14:textId="5C487633" w:rsidR="00197723" w:rsidRPr="00197723" w:rsidRDefault="00197723" w:rsidP="00197723">
            <w:r w:rsidRPr="00197723">
              <w:rPr>
                <w:bCs/>
                <w:szCs w:val="18"/>
              </w:rPr>
              <w:t>Остра бъбречна недостатъчност</w:t>
            </w:r>
          </w:p>
        </w:tc>
        <w:tc>
          <w:tcPr>
            <w:tcW w:w="2225" w:type="dxa"/>
            <w:vAlign w:val="center"/>
          </w:tcPr>
          <w:p w14:paraId="7BF0D29B" w14:textId="62EB5C24" w:rsidR="00197723" w:rsidRPr="00197723" w:rsidRDefault="00197723" w:rsidP="00197723">
            <w:r w:rsidRPr="00197723">
              <w:rPr>
                <w:bCs/>
                <w:szCs w:val="18"/>
              </w:rPr>
              <w:t>Много редки</w:t>
            </w:r>
          </w:p>
        </w:tc>
        <w:tc>
          <w:tcPr>
            <w:tcW w:w="2162" w:type="dxa"/>
            <w:vAlign w:val="center"/>
          </w:tcPr>
          <w:p w14:paraId="60CC6E41" w14:textId="7A3AB434" w:rsidR="00197723" w:rsidRPr="00197723" w:rsidRDefault="00197723" w:rsidP="00197723">
            <w:r w:rsidRPr="00197723">
              <w:rPr>
                <w:bCs/>
                <w:szCs w:val="18"/>
              </w:rPr>
              <w:t>-</w:t>
            </w:r>
          </w:p>
        </w:tc>
      </w:tr>
      <w:tr w:rsidR="00197723" w14:paraId="4D3F00FA" w14:textId="77777777" w:rsidTr="00197723">
        <w:tc>
          <w:tcPr>
            <w:tcW w:w="2667" w:type="dxa"/>
            <w:vAlign w:val="bottom"/>
          </w:tcPr>
          <w:p w14:paraId="514F34F1" w14:textId="39203B02" w:rsidR="00197723" w:rsidRPr="00197723" w:rsidRDefault="00197723" w:rsidP="00197723">
            <w:pPr>
              <w:rPr>
                <w:b/>
              </w:rPr>
            </w:pPr>
            <w:r w:rsidRPr="00197723">
              <w:rPr>
                <w:b/>
                <w:bCs/>
                <w:szCs w:val="18"/>
              </w:rPr>
              <w:t>Нарушения на възпроизводителната система и гърдата</w:t>
            </w:r>
          </w:p>
        </w:tc>
        <w:tc>
          <w:tcPr>
            <w:tcW w:w="2522" w:type="dxa"/>
            <w:vAlign w:val="center"/>
          </w:tcPr>
          <w:p w14:paraId="66AEF1B7" w14:textId="248488FB" w:rsidR="00197723" w:rsidRPr="00197723" w:rsidRDefault="00197723" w:rsidP="00197723">
            <w:r w:rsidRPr="00197723">
              <w:rPr>
                <w:bCs/>
                <w:szCs w:val="18"/>
              </w:rPr>
              <w:t>Еректилна дисфункция</w:t>
            </w:r>
          </w:p>
        </w:tc>
        <w:tc>
          <w:tcPr>
            <w:tcW w:w="2225" w:type="dxa"/>
            <w:vAlign w:val="center"/>
          </w:tcPr>
          <w:p w14:paraId="607BF676" w14:textId="0B87C314" w:rsidR="00197723" w:rsidRPr="00197723" w:rsidRDefault="00197723" w:rsidP="00197723">
            <w:r w:rsidRPr="00197723">
              <w:rPr>
                <w:bCs/>
                <w:szCs w:val="18"/>
              </w:rPr>
              <w:t>Нечести</w:t>
            </w:r>
          </w:p>
        </w:tc>
        <w:tc>
          <w:tcPr>
            <w:tcW w:w="2162" w:type="dxa"/>
            <w:vAlign w:val="center"/>
          </w:tcPr>
          <w:p w14:paraId="0EAAE5CF" w14:textId="72538B16" w:rsidR="00197723" w:rsidRPr="00197723" w:rsidRDefault="00197723" w:rsidP="00197723">
            <w:r w:rsidRPr="00197723">
              <w:rPr>
                <w:bCs/>
                <w:szCs w:val="18"/>
              </w:rPr>
              <w:t>-</w:t>
            </w:r>
          </w:p>
        </w:tc>
      </w:tr>
      <w:tr w:rsidR="00197723" w14:paraId="49069E11" w14:textId="77777777" w:rsidTr="00725462">
        <w:tc>
          <w:tcPr>
            <w:tcW w:w="2667" w:type="dxa"/>
            <w:vMerge w:val="restart"/>
            <w:vAlign w:val="center"/>
          </w:tcPr>
          <w:p w14:paraId="05155B4E" w14:textId="01999782" w:rsidR="00197723" w:rsidRPr="00197723" w:rsidRDefault="00197723" w:rsidP="00197723">
            <w:pPr>
              <w:rPr>
                <w:b/>
              </w:rPr>
            </w:pPr>
            <w:r w:rsidRPr="00197723">
              <w:rPr>
                <w:b/>
              </w:rPr>
              <w:t>Общи нарушения и ефекти на мястото на приложение</w:t>
            </w:r>
          </w:p>
        </w:tc>
        <w:tc>
          <w:tcPr>
            <w:tcW w:w="2522" w:type="dxa"/>
            <w:vAlign w:val="center"/>
          </w:tcPr>
          <w:p w14:paraId="1F5C62B4" w14:textId="7C560919" w:rsidR="00197723" w:rsidRDefault="00197723" w:rsidP="00197723">
            <w:r>
              <w:t>Астения</w:t>
            </w:r>
          </w:p>
        </w:tc>
        <w:tc>
          <w:tcPr>
            <w:tcW w:w="2225" w:type="dxa"/>
            <w:vAlign w:val="center"/>
          </w:tcPr>
          <w:p w14:paraId="3643630A" w14:textId="0BA8111A" w:rsidR="00197723" w:rsidRDefault="00197723" w:rsidP="00197723">
            <w:r>
              <w:t>Чести</w:t>
            </w:r>
          </w:p>
        </w:tc>
        <w:tc>
          <w:tcPr>
            <w:tcW w:w="2162" w:type="dxa"/>
            <w:vAlign w:val="center"/>
          </w:tcPr>
          <w:p w14:paraId="523B53B1" w14:textId="49A4CB9E" w:rsidR="00197723" w:rsidRDefault="00197723" w:rsidP="00197723">
            <w:r>
              <w:t>-</w:t>
            </w:r>
          </w:p>
        </w:tc>
      </w:tr>
      <w:tr w:rsidR="00197723" w14:paraId="4C597AB4" w14:textId="77777777" w:rsidTr="00725462">
        <w:tc>
          <w:tcPr>
            <w:tcW w:w="2667" w:type="dxa"/>
            <w:vMerge/>
            <w:vAlign w:val="center"/>
          </w:tcPr>
          <w:p w14:paraId="1DEADA2E" w14:textId="77777777" w:rsidR="00197723" w:rsidRPr="00197723" w:rsidRDefault="00197723" w:rsidP="00197723">
            <w:pPr>
              <w:rPr>
                <w:b/>
              </w:rPr>
            </w:pPr>
          </w:p>
        </w:tc>
        <w:tc>
          <w:tcPr>
            <w:tcW w:w="2522" w:type="dxa"/>
            <w:vAlign w:val="center"/>
          </w:tcPr>
          <w:p w14:paraId="55C0CEAE" w14:textId="52243694" w:rsidR="00197723" w:rsidRDefault="00197723" w:rsidP="00197723">
            <w:r>
              <w:t>Болка в гърдите</w:t>
            </w:r>
          </w:p>
        </w:tc>
        <w:tc>
          <w:tcPr>
            <w:tcW w:w="2225" w:type="dxa"/>
            <w:vAlign w:val="center"/>
          </w:tcPr>
          <w:p w14:paraId="60C5DD59" w14:textId="524E9EDC" w:rsidR="00197723" w:rsidRDefault="00197723" w:rsidP="00197723">
            <w:r>
              <w:t>Нечести*</w:t>
            </w:r>
          </w:p>
        </w:tc>
        <w:tc>
          <w:tcPr>
            <w:tcW w:w="2162" w:type="dxa"/>
            <w:vAlign w:val="center"/>
          </w:tcPr>
          <w:p w14:paraId="21C98E01" w14:textId="2D31489F" w:rsidR="00197723" w:rsidRDefault="00197723" w:rsidP="00197723">
            <w:r>
              <w:t>-</w:t>
            </w:r>
          </w:p>
        </w:tc>
      </w:tr>
      <w:tr w:rsidR="00197723" w14:paraId="5758487B" w14:textId="77777777" w:rsidTr="00725462">
        <w:tc>
          <w:tcPr>
            <w:tcW w:w="2667" w:type="dxa"/>
            <w:vMerge/>
            <w:vAlign w:val="center"/>
          </w:tcPr>
          <w:p w14:paraId="1FC52A07" w14:textId="77777777" w:rsidR="00197723" w:rsidRPr="00197723" w:rsidRDefault="00197723" w:rsidP="00197723">
            <w:pPr>
              <w:rPr>
                <w:b/>
              </w:rPr>
            </w:pPr>
          </w:p>
        </w:tc>
        <w:tc>
          <w:tcPr>
            <w:tcW w:w="2522" w:type="dxa"/>
            <w:vAlign w:val="center"/>
          </w:tcPr>
          <w:p w14:paraId="69EA11D4" w14:textId="56BBC86A" w:rsidR="00197723" w:rsidRDefault="00197723" w:rsidP="00197723">
            <w:r>
              <w:t>Неразположение</w:t>
            </w:r>
          </w:p>
        </w:tc>
        <w:tc>
          <w:tcPr>
            <w:tcW w:w="2225" w:type="dxa"/>
            <w:vAlign w:val="center"/>
          </w:tcPr>
          <w:p w14:paraId="53BAD033" w14:textId="7D045D60" w:rsidR="00197723" w:rsidRDefault="00197723" w:rsidP="00197723">
            <w:r>
              <w:t>Нечести*</w:t>
            </w:r>
          </w:p>
        </w:tc>
        <w:tc>
          <w:tcPr>
            <w:tcW w:w="2162" w:type="dxa"/>
            <w:vAlign w:val="center"/>
          </w:tcPr>
          <w:p w14:paraId="40D21ABB" w14:textId="2B7F2808" w:rsidR="00197723" w:rsidRDefault="00197723" w:rsidP="00197723">
            <w:r>
              <w:t>-</w:t>
            </w:r>
          </w:p>
        </w:tc>
      </w:tr>
      <w:tr w:rsidR="00197723" w14:paraId="4D7F12CD" w14:textId="77777777" w:rsidTr="00725462">
        <w:tc>
          <w:tcPr>
            <w:tcW w:w="2667" w:type="dxa"/>
            <w:vMerge/>
            <w:vAlign w:val="center"/>
          </w:tcPr>
          <w:p w14:paraId="70E17AA3" w14:textId="77777777" w:rsidR="00197723" w:rsidRPr="00197723" w:rsidRDefault="00197723" w:rsidP="00197723">
            <w:pPr>
              <w:rPr>
                <w:b/>
              </w:rPr>
            </w:pPr>
          </w:p>
        </w:tc>
        <w:tc>
          <w:tcPr>
            <w:tcW w:w="2522" w:type="dxa"/>
            <w:vAlign w:val="bottom"/>
          </w:tcPr>
          <w:p w14:paraId="152AA4E5" w14:textId="482F93FF" w:rsidR="00197723" w:rsidRDefault="00197723" w:rsidP="00197723">
            <w:r>
              <w:t>Периферен оток</w:t>
            </w:r>
          </w:p>
        </w:tc>
        <w:tc>
          <w:tcPr>
            <w:tcW w:w="2225" w:type="dxa"/>
            <w:vAlign w:val="center"/>
          </w:tcPr>
          <w:p w14:paraId="2004AB67" w14:textId="644D765A" w:rsidR="00197723" w:rsidRDefault="00197723" w:rsidP="00197723">
            <w:r>
              <w:t>Нечести*</w:t>
            </w:r>
          </w:p>
        </w:tc>
        <w:tc>
          <w:tcPr>
            <w:tcW w:w="2162" w:type="dxa"/>
            <w:vAlign w:val="center"/>
          </w:tcPr>
          <w:p w14:paraId="6E304975" w14:textId="0AC236F0" w:rsidR="00197723" w:rsidRDefault="00197723" w:rsidP="00197723">
            <w:r>
              <w:t>-</w:t>
            </w:r>
          </w:p>
        </w:tc>
      </w:tr>
      <w:tr w:rsidR="00197723" w14:paraId="71DD2E93" w14:textId="77777777" w:rsidTr="00725462">
        <w:tc>
          <w:tcPr>
            <w:tcW w:w="2667" w:type="dxa"/>
            <w:vMerge/>
            <w:vAlign w:val="center"/>
          </w:tcPr>
          <w:p w14:paraId="1F0121B5" w14:textId="77777777" w:rsidR="00197723" w:rsidRPr="00197723" w:rsidRDefault="00197723" w:rsidP="00197723">
            <w:pPr>
              <w:rPr>
                <w:b/>
              </w:rPr>
            </w:pPr>
          </w:p>
        </w:tc>
        <w:tc>
          <w:tcPr>
            <w:tcW w:w="2522" w:type="dxa"/>
            <w:vAlign w:val="bottom"/>
          </w:tcPr>
          <w:p w14:paraId="0976F16D" w14:textId="57C2394D" w:rsidR="00197723" w:rsidRDefault="00197723" w:rsidP="00197723">
            <w:r>
              <w:t>Пирексия</w:t>
            </w:r>
          </w:p>
        </w:tc>
        <w:tc>
          <w:tcPr>
            <w:tcW w:w="2225" w:type="dxa"/>
            <w:vAlign w:val="center"/>
          </w:tcPr>
          <w:p w14:paraId="33189FD1" w14:textId="511D2DF1" w:rsidR="00197723" w:rsidRDefault="00197723" w:rsidP="00197723">
            <w:r>
              <w:t>Нечести*</w:t>
            </w:r>
          </w:p>
        </w:tc>
        <w:tc>
          <w:tcPr>
            <w:tcW w:w="2162" w:type="dxa"/>
            <w:vAlign w:val="center"/>
          </w:tcPr>
          <w:p w14:paraId="52B7D7C3" w14:textId="677850C3" w:rsidR="00197723" w:rsidRDefault="00197723" w:rsidP="00197723">
            <w:r>
              <w:t>-</w:t>
            </w:r>
          </w:p>
        </w:tc>
      </w:tr>
      <w:tr w:rsidR="00197723" w14:paraId="5A52CA5F" w14:textId="77777777" w:rsidTr="00725462">
        <w:tc>
          <w:tcPr>
            <w:tcW w:w="2667" w:type="dxa"/>
            <w:vMerge/>
            <w:vAlign w:val="center"/>
          </w:tcPr>
          <w:p w14:paraId="4D50BC55" w14:textId="77777777" w:rsidR="00197723" w:rsidRPr="00197723" w:rsidRDefault="00197723" w:rsidP="00197723">
            <w:pPr>
              <w:rPr>
                <w:b/>
              </w:rPr>
            </w:pPr>
          </w:p>
        </w:tc>
        <w:tc>
          <w:tcPr>
            <w:tcW w:w="2522" w:type="dxa"/>
            <w:vAlign w:val="center"/>
          </w:tcPr>
          <w:p w14:paraId="2D55D755" w14:textId="0DBF3D5B" w:rsidR="00197723" w:rsidRDefault="00197723" w:rsidP="00197723">
            <w:r>
              <w:t>Умора</w:t>
            </w:r>
          </w:p>
        </w:tc>
        <w:tc>
          <w:tcPr>
            <w:tcW w:w="2225" w:type="dxa"/>
            <w:vAlign w:val="center"/>
          </w:tcPr>
          <w:p w14:paraId="5132922C" w14:textId="7CA190D7" w:rsidR="00197723" w:rsidRDefault="00197723" w:rsidP="00197723">
            <w:r>
              <w:t>-</w:t>
            </w:r>
          </w:p>
        </w:tc>
        <w:tc>
          <w:tcPr>
            <w:tcW w:w="2162" w:type="dxa"/>
            <w:vAlign w:val="center"/>
          </w:tcPr>
          <w:p w14:paraId="1C1E87F7" w14:textId="5D3E7E91" w:rsidR="00197723" w:rsidRDefault="00197723" w:rsidP="00197723">
            <w:r>
              <w:t>Редки</w:t>
            </w:r>
          </w:p>
        </w:tc>
      </w:tr>
      <w:tr w:rsidR="00197723" w14:paraId="0B2928E0" w14:textId="77777777" w:rsidTr="00725462">
        <w:tc>
          <w:tcPr>
            <w:tcW w:w="2667" w:type="dxa"/>
            <w:vMerge w:val="restart"/>
            <w:vAlign w:val="center"/>
          </w:tcPr>
          <w:p w14:paraId="352A8ED5" w14:textId="418A6142" w:rsidR="00197723" w:rsidRPr="00197723" w:rsidRDefault="00197723" w:rsidP="00197723">
            <w:pPr>
              <w:rPr>
                <w:b/>
              </w:rPr>
            </w:pPr>
            <w:r w:rsidRPr="00197723">
              <w:rPr>
                <w:b/>
              </w:rPr>
              <w:t>Изследвания</w:t>
            </w:r>
          </w:p>
        </w:tc>
        <w:tc>
          <w:tcPr>
            <w:tcW w:w="2522" w:type="dxa"/>
          </w:tcPr>
          <w:p w14:paraId="3CB63F92" w14:textId="74C1FFFC" w:rsidR="00197723" w:rsidRDefault="00197723" w:rsidP="00197723">
            <w:r>
              <w:t>Повишена кръвна урея</w:t>
            </w:r>
          </w:p>
        </w:tc>
        <w:tc>
          <w:tcPr>
            <w:tcW w:w="2225" w:type="dxa"/>
            <w:vAlign w:val="center"/>
          </w:tcPr>
          <w:p w14:paraId="36B194BD" w14:textId="51864CAC" w:rsidR="00197723" w:rsidRDefault="00197723" w:rsidP="00197723">
            <w:r>
              <w:t>Нечести*</w:t>
            </w:r>
          </w:p>
        </w:tc>
        <w:tc>
          <w:tcPr>
            <w:tcW w:w="2162" w:type="dxa"/>
            <w:vAlign w:val="center"/>
          </w:tcPr>
          <w:p w14:paraId="55A3E230" w14:textId="28385281" w:rsidR="00197723" w:rsidRDefault="00197723" w:rsidP="00197723">
            <w:r>
              <w:t>-</w:t>
            </w:r>
          </w:p>
        </w:tc>
      </w:tr>
      <w:tr w:rsidR="00197723" w14:paraId="5A42273E" w14:textId="77777777" w:rsidTr="00725462">
        <w:tc>
          <w:tcPr>
            <w:tcW w:w="2667" w:type="dxa"/>
            <w:vMerge/>
            <w:vAlign w:val="center"/>
          </w:tcPr>
          <w:p w14:paraId="4511E042" w14:textId="77777777" w:rsidR="00197723" w:rsidRDefault="00197723" w:rsidP="00197723"/>
        </w:tc>
        <w:tc>
          <w:tcPr>
            <w:tcW w:w="2522" w:type="dxa"/>
          </w:tcPr>
          <w:p w14:paraId="59D5175F" w14:textId="13C1E78C" w:rsidR="00197723" w:rsidRDefault="00197723" w:rsidP="00197723">
            <w:r>
              <w:t>Повишен кръвен креатинин</w:t>
            </w:r>
          </w:p>
        </w:tc>
        <w:tc>
          <w:tcPr>
            <w:tcW w:w="2225" w:type="dxa"/>
            <w:vAlign w:val="bottom"/>
          </w:tcPr>
          <w:p w14:paraId="5EEE77B8" w14:textId="10DCA0AE" w:rsidR="00197723" w:rsidRDefault="00197723" w:rsidP="00197723">
            <w:r>
              <w:t>Нечести*</w:t>
            </w:r>
          </w:p>
        </w:tc>
        <w:tc>
          <w:tcPr>
            <w:tcW w:w="2162" w:type="dxa"/>
          </w:tcPr>
          <w:p w14:paraId="7D73B05F" w14:textId="7B0CFD3D" w:rsidR="00197723" w:rsidRDefault="00197723" w:rsidP="00197723">
            <w:r>
              <w:t>-</w:t>
            </w:r>
          </w:p>
        </w:tc>
      </w:tr>
      <w:tr w:rsidR="00197723" w14:paraId="48F058FD" w14:textId="77777777" w:rsidTr="00197723">
        <w:tc>
          <w:tcPr>
            <w:tcW w:w="2667" w:type="dxa"/>
            <w:vMerge/>
          </w:tcPr>
          <w:p w14:paraId="36E863BE" w14:textId="77777777" w:rsidR="00197723" w:rsidRDefault="00197723" w:rsidP="00197723"/>
        </w:tc>
        <w:tc>
          <w:tcPr>
            <w:tcW w:w="2522" w:type="dxa"/>
          </w:tcPr>
          <w:p w14:paraId="0C475149" w14:textId="628DD438" w:rsidR="00197723" w:rsidRDefault="00197723" w:rsidP="00197723">
            <w:r>
              <w:t>Повишен кръвен билирубин</w:t>
            </w:r>
          </w:p>
        </w:tc>
        <w:tc>
          <w:tcPr>
            <w:tcW w:w="2225" w:type="dxa"/>
          </w:tcPr>
          <w:p w14:paraId="27060828" w14:textId="76135596" w:rsidR="00197723" w:rsidRDefault="00197723" w:rsidP="00197723">
            <w:r>
              <w:t>Редки</w:t>
            </w:r>
          </w:p>
        </w:tc>
        <w:tc>
          <w:tcPr>
            <w:tcW w:w="2162" w:type="dxa"/>
          </w:tcPr>
          <w:p w14:paraId="2D73A792" w14:textId="5EC75540" w:rsidR="00197723" w:rsidRDefault="00197723" w:rsidP="00197723">
            <w:r>
              <w:t>-</w:t>
            </w:r>
          </w:p>
        </w:tc>
      </w:tr>
      <w:tr w:rsidR="00197723" w14:paraId="29F48E66" w14:textId="77777777" w:rsidTr="00197723">
        <w:tc>
          <w:tcPr>
            <w:tcW w:w="2667" w:type="dxa"/>
            <w:vMerge/>
          </w:tcPr>
          <w:p w14:paraId="4792D0A7" w14:textId="77777777" w:rsidR="00197723" w:rsidRDefault="00197723" w:rsidP="00197723"/>
        </w:tc>
        <w:tc>
          <w:tcPr>
            <w:tcW w:w="2522" w:type="dxa"/>
          </w:tcPr>
          <w:p w14:paraId="665B8257" w14:textId="201E5889" w:rsidR="00197723" w:rsidRDefault="00197723" w:rsidP="00197723">
            <w:r>
              <w:t>Повишен чернодробен ензим</w:t>
            </w:r>
          </w:p>
        </w:tc>
        <w:tc>
          <w:tcPr>
            <w:tcW w:w="2225" w:type="dxa"/>
          </w:tcPr>
          <w:p w14:paraId="5FA41E1E" w14:textId="473742E8" w:rsidR="00197723" w:rsidRDefault="00197723" w:rsidP="00197723">
            <w:r>
              <w:t>Редки</w:t>
            </w:r>
          </w:p>
        </w:tc>
        <w:tc>
          <w:tcPr>
            <w:tcW w:w="2162" w:type="dxa"/>
          </w:tcPr>
          <w:p w14:paraId="36244EEC" w14:textId="2E0E8E88" w:rsidR="00197723" w:rsidRDefault="00197723" w:rsidP="00197723">
            <w:r>
              <w:t>С неизвестна честота</w:t>
            </w:r>
          </w:p>
        </w:tc>
      </w:tr>
      <w:tr w:rsidR="00197723" w14:paraId="7609DA36" w14:textId="77777777" w:rsidTr="00197723">
        <w:tc>
          <w:tcPr>
            <w:tcW w:w="2667" w:type="dxa"/>
            <w:vMerge/>
          </w:tcPr>
          <w:p w14:paraId="2607B0A7" w14:textId="77777777" w:rsidR="00197723" w:rsidRDefault="00197723" w:rsidP="00197723"/>
        </w:tc>
        <w:tc>
          <w:tcPr>
            <w:tcW w:w="2522" w:type="dxa"/>
          </w:tcPr>
          <w:p w14:paraId="1010C918" w14:textId="7F7EBF7C" w:rsidR="00197723" w:rsidRDefault="00197723" w:rsidP="00197723">
            <w:r>
              <w:t>Понижен хемоглобин и хематокрит (вж. точка 4.4)</w:t>
            </w:r>
          </w:p>
        </w:tc>
        <w:tc>
          <w:tcPr>
            <w:tcW w:w="2225" w:type="dxa"/>
          </w:tcPr>
          <w:p w14:paraId="6EFF49B3" w14:textId="3C84EE36" w:rsidR="00197723" w:rsidRDefault="00197723" w:rsidP="00197723">
            <w:r>
              <w:t>Много редки</w:t>
            </w:r>
          </w:p>
        </w:tc>
        <w:tc>
          <w:tcPr>
            <w:tcW w:w="2162" w:type="dxa"/>
          </w:tcPr>
          <w:p w14:paraId="52BB49C5" w14:textId="52B35253" w:rsidR="00197723" w:rsidRDefault="00197723" w:rsidP="00197723">
            <w:r>
              <w:t>С неизвестна честота</w:t>
            </w:r>
          </w:p>
        </w:tc>
      </w:tr>
      <w:tr w:rsidR="00197723" w14:paraId="0D7C484F" w14:textId="77777777" w:rsidTr="00197723">
        <w:tc>
          <w:tcPr>
            <w:tcW w:w="2667" w:type="dxa"/>
            <w:vMerge/>
          </w:tcPr>
          <w:p w14:paraId="73054D0A" w14:textId="77777777" w:rsidR="00197723" w:rsidRDefault="00197723" w:rsidP="00197723"/>
        </w:tc>
        <w:tc>
          <w:tcPr>
            <w:tcW w:w="2522" w:type="dxa"/>
          </w:tcPr>
          <w:p w14:paraId="2D69698D" w14:textId="446A29A5" w:rsidR="00197723" w:rsidRDefault="00197723" w:rsidP="00197723">
            <w:r>
              <w:t>Повишена кръвна захар</w:t>
            </w:r>
          </w:p>
        </w:tc>
        <w:tc>
          <w:tcPr>
            <w:tcW w:w="2225" w:type="dxa"/>
          </w:tcPr>
          <w:p w14:paraId="400315DF" w14:textId="37CC8392" w:rsidR="00197723" w:rsidRDefault="00197723" w:rsidP="00197723">
            <w:r>
              <w:t>-</w:t>
            </w:r>
          </w:p>
        </w:tc>
        <w:tc>
          <w:tcPr>
            <w:tcW w:w="2162" w:type="dxa"/>
          </w:tcPr>
          <w:p w14:paraId="516AE912" w14:textId="3BE04FB5" w:rsidR="00197723" w:rsidRDefault="00197723" w:rsidP="00197723">
            <w:r>
              <w:t>С неизвестна честота</w:t>
            </w:r>
          </w:p>
        </w:tc>
      </w:tr>
      <w:tr w:rsidR="00197723" w14:paraId="37094B11" w14:textId="77777777" w:rsidTr="00197723">
        <w:tc>
          <w:tcPr>
            <w:tcW w:w="2667" w:type="dxa"/>
            <w:vMerge/>
          </w:tcPr>
          <w:p w14:paraId="73EEC055" w14:textId="77777777" w:rsidR="00197723" w:rsidRDefault="00197723" w:rsidP="00197723"/>
        </w:tc>
        <w:tc>
          <w:tcPr>
            <w:tcW w:w="2522" w:type="dxa"/>
          </w:tcPr>
          <w:p w14:paraId="29558194" w14:textId="275E9A2A" w:rsidR="00197723" w:rsidRDefault="00197723" w:rsidP="00197723">
            <w:r>
              <w:t>Повишена пикочна киселина в кръвта</w:t>
            </w:r>
          </w:p>
        </w:tc>
        <w:tc>
          <w:tcPr>
            <w:tcW w:w="2225" w:type="dxa"/>
          </w:tcPr>
          <w:p w14:paraId="5058D89E" w14:textId="734CF4B4" w:rsidR="00197723" w:rsidRDefault="00197723" w:rsidP="00197723">
            <w:r>
              <w:t>-</w:t>
            </w:r>
          </w:p>
        </w:tc>
        <w:tc>
          <w:tcPr>
            <w:tcW w:w="2162" w:type="dxa"/>
          </w:tcPr>
          <w:p w14:paraId="7B7AF4AB" w14:textId="6A54871D" w:rsidR="00197723" w:rsidRDefault="00197723" w:rsidP="00197723">
            <w:r>
              <w:t>С неизвестна честота</w:t>
            </w:r>
          </w:p>
        </w:tc>
      </w:tr>
      <w:tr w:rsidR="00197723" w14:paraId="1D1B86F2" w14:textId="77777777" w:rsidTr="00197723">
        <w:tc>
          <w:tcPr>
            <w:tcW w:w="2667" w:type="dxa"/>
            <w:vMerge/>
          </w:tcPr>
          <w:p w14:paraId="7A91AA42" w14:textId="77777777" w:rsidR="00197723" w:rsidRDefault="00197723" w:rsidP="00197723"/>
        </w:tc>
        <w:tc>
          <w:tcPr>
            <w:tcW w:w="2522" w:type="dxa"/>
          </w:tcPr>
          <w:p w14:paraId="413D9313" w14:textId="47D048C3" w:rsidR="00197723" w:rsidRDefault="00197723" w:rsidP="00197723">
            <w:r>
              <w:t xml:space="preserve">Удължен </w:t>
            </w:r>
            <w:r>
              <w:rPr>
                <w:lang w:val="en-US"/>
              </w:rPr>
              <w:t>QT</w:t>
            </w:r>
            <w:r w:rsidRPr="00197723">
              <w:rPr>
                <w:lang w:val="ru-RU"/>
              </w:rPr>
              <w:t xml:space="preserve"> </w:t>
            </w:r>
            <w:r>
              <w:t>интервал в ЕКГ (вж. точки 4.4 и 4.5)</w:t>
            </w:r>
          </w:p>
        </w:tc>
        <w:tc>
          <w:tcPr>
            <w:tcW w:w="2225" w:type="dxa"/>
          </w:tcPr>
          <w:p w14:paraId="7240055C" w14:textId="1C8449E4" w:rsidR="00197723" w:rsidRDefault="00197723" w:rsidP="00197723">
            <w:r>
              <w:t>-</w:t>
            </w:r>
          </w:p>
        </w:tc>
        <w:tc>
          <w:tcPr>
            <w:tcW w:w="2162" w:type="dxa"/>
          </w:tcPr>
          <w:p w14:paraId="1D1A82E0" w14:textId="1A137CA2" w:rsidR="00197723" w:rsidRDefault="00197723" w:rsidP="00197723">
            <w:r>
              <w:t>С неизвестна честота</w:t>
            </w:r>
          </w:p>
        </w:tc>
      </w:tr>
      <w:tr w:rsidR="00197723" w14:paraId="1E48B6B9" w14:textId="77777777" w:rsidTr="00197723">
        <w:tc>
          <w:tcPr>
            <w:tcW w:w="2667" w:type="dxa"/>
          </w:tcPr>
          <w:p w14:paraId="4414B4E6" w14:textId="60885607" w:rsidR="00197723" w:rsidRPr="00197723" w:rsidRDefault="00197723" w:rsidP="00197723">
            <w:pPr>
              <w:rPr>
                <w:b/>
              </w:rPr>
            </w:pPr>
            <w:r w:rsidRPr="00197723">
              <w:rPr>
                <w:b/>
              </w:rPr>
              <w:t>Наранявания, отравяния и процедурни усложнения</w:t>
            </w:r>
          </w:p>
        </w:tc>
        <w:tc>
          <w:tcPr>
            <w:tcW w:w="2522" w:type="dxa"/>
          </w:tcPr>
          <w:p w14:paraId="696CC43A" w14:textId="69592C79" w:rsidR="00197723" w:rsidRDefault="00197723" w:rsidP="00197723">
            <w:r>
              <w:t>Падане</w:t>
            </w:r>
          </w:p>
        </w:tc>
        <w:tc>
          <w:tcPr>
            <w:tcW w:w="2225" w:type="dxa"/>
          </w:tcPr>
          <w:p w14:paraId="0CB0DBC3" w14:textId="1D0C074F" w:rsidR="00197723" w:rsidRDefault="00197723" w:rsidP="00197723">
            <w:r>
              <w:t>Нечести*</w:t>
            </w:r>
          </w:p>
        </w:tc>
        <w:tc>
          <w:tcPr>
            <w:tcW w:w="2162" w:type="dxa"/>
          </w:tcPr>
          <w:p w14:paraId="77EB7086" w14:textId="71812402" w:rsidR="00197723" w:rsidRDefault="00197723" w:rsidP="00197723">
            <w:r>
              <w:t>-</w:t>
            </w:r>
          </w:p>
        </w:tc>
      </w:tr>
    </w:tbl>
    <w:p w14:paraId="36F8F5F9"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 Честотата е изчислена от клинични изпитвания за нежелани реакции, установени чрез спонтанно съобщаване.</w:t>
      </w:r>
    </w:p>
    <w:p w14:paraId="30C56FB3" w14:textId="77777777" w:rsidR="00197723" w:rsidRPr="00197723" w:rsidRDefault="00197723" w:rsidP="00197723">
      <w:pPr>
        <w:spacing w:line="240" w:lineRule="auto"/>
        <w:rPr>
          <w:rFonts w:eastAsia="Times New Roman" w:cs="Arial"/>
          <w:color w:val="000000"/>
          <w:szCs w:val="20"/>
          <w:lang w:eastAsia="bg-BG"/>
        </w:rPr>
      </w:pPr>
    </w:p>
    <w:p w14:paraId="0801356A" w14:textId="51E7481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 xml:space="preserve">Съобщени са случаи на Синдром на неправилна секреция на антидиуретичния хормон </w:t>
      </w:r>
      <w:r w:rsidRPr="00197723">
        <w:rPr>
          <w:rFonts w:eastAsia="Times New Roman" w:cs="Arial"/>
          <w:color w:val="000000"/>
          <w:szCs w:val="20"/>
          <w:lang w:val="ru-RU"/>
        </w:rPr>
        <w:t>(</w:t>
      </w:r>
      <w:r w:rsidRPr="00197723">
        <w:rPr>
          <w:rFonts w:eastAsia="Times New Roman" w:cs="Arial"/>
          <w:color w:val="000000"/>
          <w:szCs w:val="20"/>
          <w:lang w:val="en-US"/>
        </w:rPr>
        <w:t>SIADH</w:t>
      </w:r>
      <w:r w:rsidRPr="00197723">
        <w:rPr>
          <w:rFonts w:eastAsia="Times New Roman" w:cs="Arial"/>
          <w:color w:val="000000"/>
          <w:szCs w:val="20"/>
          <w:lang w:val="ru-RU"/>
        </w:rPr>
        <w:t xml:space="preserve">) </w:t>
      </w:r>
      <w:r w:rsidRPr="00197723">
        <w:rPr>
          <w:rFonts w:eastAsia="Times New Roman" w:cs="Arial"/>
          <w:color w:val="000000"/>
          <w:szCs w:val="20"/>
          <w:lang w:eastAsia="bg-BG"/>
        </w:rPr>
        <w:t xml:space="preserve">при употребата на други АСЕ инхибитори. </w:t>
      </w:r>
      <w:r w:rsidRPr="00197723">
        <w:rPr>
          <w:rFonts w:eastAsia="Times New Roman" w:cs="Arial"/>
          <w:color w:val="000000"/>
          <w:szCs w:val="20"/>
          <w:lang w:val="en-US"/>
        </w:rPr>
        <w:t>SIADH</w:t>
      </w:r>
      <w:r w:rsidRPr="00197723">
        <w:rPr>
          <w:rFonts w:eastAsia="Times New Roman" w:cs="Arial"/>
          <w:color w:val="000000"/>
          <w:szCs w:val="20"/>
          <w:lang w:val="ru-RU"/>
        </w:rPr>
        <w:t xml:space="preserve"> </w:t>
      </w:r>
      <w:r w:rsidRPr="00197723">
        <w:rPr>
          <w:rFonts w:eastAsia="Times New Roman" w:cs="Arial"/>
          <w:color w:val="000000"/>
          <w:szCs w:val="20"/>
          <w:lang w:eastAsia="bg-BG"/>
        </w:rPr>
        <w:t>може да се счита като много рядко, но възможно усложнение, свързано с лечение с АСЕ инхибитор, включително с периндоприл.</w:t>
      </w:r>
    </w:p>
    <w:p w14:paraId="717FE0FD" w14:textId="77777777" w:rsidR="00197723" w:rsidRPr="00197723" w:rsidRDefault="00197723" w:rsidP="00197723">
      <w:pPr>
        <w:spacing w:line="240" w:lineRule="auto"/>
        <w:rPr>
          <w:rFonts w:eastAsia="Times New Roman" w:cs="Arial"/>
          <w:b/>
          <w:bCs/>
          <w:color w:val="000000"/>
          <w:szCs w:val="20"/>
          <w:lang w:eastAsia="bg-BG"/>
        </w:rPr>
      </w:pPr>
    </w:p>
    <w:p w14:paraId="316AE2D3" w14:textId="3AF8AFDF" w:rsidR="00197723" w:rsidRPr="00197723" w:rsidRDefault="00197723" w:rsidP="00197723">
      <w:pPr>
        <w:spacing w:line="240" w:lineRule="auto"/>
        <w:rPr>
          <w:rFonts w:eastAsia="Times New Roman" w:cs="Arial"/>
          <w:sz w:val="28"/>
          <w:szCs w:val="24"/>
        </w:rPr>
      </w:pPr>
      <w:r w:rsidRPr="00197723">
        <w:rPr>
          <w:rFonts w:eastAsia="Times New Roman" w:cs="Arial"/>
          <w:b/>
          <w:bCs/>
          <w:color w:val="000000"/>
          <w:szCs w:val="20"/>
          <w:lang w:eastAsia="bg-BG"/>
        </w:rPr>
        <w:t>Съобщаване на подозирани нежелани реакции:</w:t>
      </w:r>
    </w:p>
    <w:p w14:paraId="6C8C7EC8"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lastRenderedPageBreak/>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64E8BF75" w14:textId="77777777" w:rsidR="00197723" w:rsidRPr="00197723" w:rsidRDefault="00197723" w:rsidP="00197723">
      <w:pPr>
        <w:spacing w:line="240" w:lineRule="auto"/>
        <w:rPr>
          <w:rFonts w:eastAsia="Times New Roman" w:cs="Arial"/>
          <w:sz w:val="28"/>
          <w:szCs w:val="24"/>
        </w:rPr>
      </w:pPr>
      <w:r w:rsidRPr="00197723">
        <w:rPr>
          <w:rFonts w:eastAsia="Times New Roman" w:cs="Arial"/>
          <w:b/>
          <w:bCs/>
          <w:color w:val="000000"/>
          <w:szCs w:val="20"/>
          <w:lang w:eastAsia="bg-BG"/>
        </w:rPr>
        <w:t>България</w:t>
      </w:r>
    </w:p>
    <w:p w14:paraId="5005CEA2"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Изпълнителна агенция по лекарствата (ИАЛ)</w:t>
      </w:r>
    </w:p>
    <w:p w14:paraId="09D5029C"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Ул.,Дамян Груев“ № 8</w:t>
      </w:r>
    </w:p>
    <w:p w14:paraId="4BD1C169"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1303, гр. София</w:t>
      </w:r>
    </w:p>
    <w:p w14:paraId="48F5AF76" w14:textId="77777777" w:rsidR="00197723" w:rsidRPr="00197723" w:rsidRDefault="00197723" w:rsidP="00197723">
      <w:pPr>
        <w:spacing w:line="240" w:lineRule="auto"/>
        <w:rPr>
          <w:rFonts w:eastAsia="Times New Roman" w:cs="Arial"/>
          <w:sz w:val="28"/>
          <w:szCs w:val="24"/>
        </w:rPr>
      </w:pPr>
      <w:r w:rsidRPr="00197723">
        <w:rPr>
          <w:rFonts w:eastAsia="Times New Roman" w:cs="Arial"/>
          <w:color w:val="000000"/>
          <w:szCs w:val="20"/>
          <w:lang w:eastAsia="bg-BG"/>
        </w:rPr>
        <w:t>Тел.:+359 2 8903 417</w:t>
      </w:r>
    </w:p>
    <w:p w14:paraId="1459254D" w14:textId="77777777" w:rsidR="00197723" w:rsidRPr="00197723" w:rsidRDefault="00197723" w:rsidP="00197723">
      <w:pPr>
        <w:spacing w:line="240" w:lineRule="auto"/>
        <w:rPr>
          <w:rFonts w:ascii="Times New Roman" w:eastAsia="Times New Roman" w:hAnsi="Times New Roman" w:cs="Times New Roman"/>
          <w:sz w:val="24"/>
          <w:szCs w:val="24"/>
        </w:rPr>
      </w:pPr>
      <w:r w:rsidRPr="00197723">
        <w:rPr>
          <w:rFonts w:eastAsia="Times New Roman" w:cs="Arial"/>
          <w:color w:val="000000"/>
          <w:szCs w:val="20"/>
          <w:lang w:eastAsia="bg-BG"/>
        </w:rPr>
        <w:t xml:space="preserve">уебсайт: </w:t>
      </w:r>
      <w:r w:rsidRPr="00197723">
        <w:fldChar w:fldCharType="begin"/>
      </w:r>
      <w:r w:rsidRPr="00197723">
        <w:instrText xml:space="preserve"> HYPERLINK "http://www.bda.bg" </w:instrText>
      </w:r>
      <w:r w:rsidRPr="00197723">
        <w:fldChar w:fldCharType="separate"/>
      </w:r>
      <w:r w:rsidRPr="00197723">
        <w:rPr>
          <w:lang w:val="en-US"/>
        </w:rPr>
        <w:t>www.bda.bg</w:t>
      </w:r>
      <w:r w:rsidRPr="00197723">
        <w:fldChar w:fldCharType="end"/>
      </w:r>
    </w:p>
    <w:p w14:paraId="5F87BEE3" w14:textId="77777777" w:rsidR="00F428C9" w:rsidRPr="00F428C9" w:rsidRDefault="00F428C9" w:rsidP="00F428C9"/>
    <w:p w14:paraId="0A023CE0" w14:textId="6422C469" w:rsidR="00CF77F7" w:rsidRDefault="002C50EE" w:rsidP="004A448E">
      <w:pPr>
        <w:pStyle w:val="Heading2"/>
      </w:pPr>
      <w:r>
        <w:t>4.9. Предозиране</w:t>
      </w:r>
    </w:p>
    <w:p w14:paraId="24D5CF61" w14:textId="398190E8" w:rsidR="00197723" w:rsidRDefault="00197723" w:rsidP="00197723"/>
    <w:p w14:paraId="4E5B0608" w14:textId="77777777" w:rsidR="00197723" w:rsidRPr="00197723" w:rsidRDefault="00197723" w:rsidP="00197723">
      <w:pPr>
        <w:pStyle w:val="Heading3"/>
        <w:rPr>
          <w:rFonts w:eastAsia="Times New Roman"/>
          <w:u w:val="single"/>
        </w:rPr>
      </w:pPr>
      <w:r w:rsidRPr="00197723">
        <w:rPr>
          <w:rFonts w:eastAsia="Times New Roman"/>
          <w:u w:val="single"/>
          <w:lang w:eastAsia="bg-BG"/>
        </w:rPr>
        <w:t>Симптоми</w:t>
      </w:r>
    </w:p>
    <w:p w14:paraId="15035160" w14:textId="77777777" w:rsidR="00197723" w:rsidRPr="00197723" w:rsidRDefault="00197723" w:rsidP="00197723">
      <w:pPr>
        <w:rPr>
          <w:sz w:val="24"/>
          <w:szCs w:val="24"/>
        </w:rPr>
      </w:pPr>
      <w:r w:rsidRPr="00197723">
        <w:rPr>
          <w:lang w:eastAsia="bg-BG"/>
        </w:rPr>
        <w:t>Най-вероятната нежелана реакция в случаите на предозиране е хипотонията, понякога придружена от гадене, повръщане, крампи, виене на свят, сънливост, психическа обърканост, олигурия, която може да прогресира до анурия (поради хиповолемия). Могат да настъпят нарушения на водно- електролитния баланс (хипонатриемия, хипокалиемия).</w:t>
      </w:r>
    </w:p>
    <w:p w14:paraId="05B82F12" w14:textId="77777777" w:rsidR="00197723" w:rsidRDefault="00197723" w:rsidP="00197723">
      <w:pPr>
        <w:rPr>
          <w:lang w:eastAsia="bg-BG"/>
        </w:rPr>
      </w:pPr>
    </w:p>
    <w:p w14:paraId="3B559C01" w14:textId="08963692" w:rsidR="00197723" w:rsidRPr="00197723" w:rsidRDefault="00197723" w:rsidP="00197723">
      <w:pPr>
        <w:pStyle w:val="Heading3"/>
        <w:rPr>
          <w:rFonts w:eastAsia="Times New Roman"/>
          <w:u w:val="single"/>
        </w:rPr>
      </w:pPr>
      <w:r w:rsidRPr="00197723">
        <w:rPr>
          <w:rFonts w:eastAsia="Times New Roman"/>
          <w:u w:val="single"/>
          <w:lang w:eastAsia="bg-BG"/>
        </w:rPr>
        <w:t>Мерки</w:t>
      </w:r>
    </w:p>
    <w:p w14:paraId="3AA0F7DD" w14:textId="05F28994" w:rsidR="00197723" w:rsidRDefault="00197723" w:rsidP="00197723">
      <w:pPr>
        <w:rPr>
          <w:lang w:eastAsia="bg-BG"/>
        </w:rPr>
      </w:pPr>
      <w:r w:rsidRPr="00197723">
        <w:rPr>
          <w:lang w:eastAsia="bg-BG"/>
        </w:rPr>
        <w:t>Началните мерки, които трябва да се вземат, включват бързо елиминиране на погълнатия продукт(и) посредством стомашна промивка и/или въвеждане на активен въглен, след което възстановяване на водно-електролитния баланс до нормално състояние в специализирано лечебно заведение.</w:t>
      </w:r>
    </w:p>
    <w:p w14:paraId="4494A38B" w14:textId="1552EEDB" w:rsidR="00197723" w:rsidRDefault="00197723" w:rsidP="00197723">
      <w:pPr>
        <w:rPr>
          <w:lang w:eastAsia="bg-BG"/>
        </w:rPr>
      </w:pPr>
    </w:p>
    <w:p w14:paraId="0AD9E3E1" w14:textId="77777777" w:rsidR="00197723" w:rsidRPr="00197723" w:rsidRDefault="00197723" w:rsidP="00197723">
      <w:pPr>
        <w:rPr>
          <w:sz w:val="24"/>
          <w:szCs w:val="24"/>
        </w:rPr>
      </w:pPr>
      <w:r w:rsidRPr="00197723">
        <w:rPr>
          <w:lang w:eastAsia="bg-BG"/>
        </w:rPr>
        <w:t xml:space="preserve">При настъпване на значителна хипотония, пациентът трябва да бъде поставен легнал по гръб с ниско положение на главата. Ако е необходимо, може да се направи </w:t>
      </w:r>
      <w:proofErr w:type="spellStart"/>
      <w:r w:rsidRPr="00197723">
        <w:rPr>
          <w:lang w:val="en-US"/>
        </w:rPr>
        <w:t>i</w:t>
      </w:r>
      <w:proofErr w:type="spellEnd"/>
      <w:r w:rsidRPr="00197723">
        <w:rPr>
          <w:lang w:val="ru-RU"/>
        </w:rPr>
        <w:t>.</w:t>
      </w:r>
      <w:r w:rsidRPr="00197723">
        <w:rPr>
          <w:lang w:val="en-US"/>
        </w:rPr>
        <w:t>v</w:t>
      </w:r>
      <w:r w:rsidRPr="00197723">
        <w:rPr>
          <w:lang w:val="ru-RU"/>
        </w:rPr>
        <w:t xml:space="preserve">. </w:t>
      </w:r>
      <w:r w:rsidRPr="00197723">
        <w:rPr>
          <w:lang w:eastAsia="bg-BG"/>
        </w:rPr>
        <w:t>инфузия на изотоничен разтвор на натриев хлорид или да се приложи друг метод на обемно заместване.</w:t>
      </w:r>
    </w:p>
    <w:p w14:paraId="29A1F57E" w14:textId="6407DB52" w:rsidR="00197723" w:rsidRPr="00197723" w:rsidRDefault="00197723" w:rsidP="00197723">
      <w:r w:rsidRPr="00197723">
        <w:rPr>
          <w:lang w:eastAsia="bg-BG"/>
        </w:rPr>
        <w:t>Периндоприлат, активната форма на периндоприл, е диализируем (вж. точка 5.2).</w:t>
      </w:r>
    </w:p>
    <w:p w14:paraId="02081B24" w14:textId="1F46E296" w:rsidR="00395555" w:rsidRPr="00395555" w:rsidRDefault="002C50EE" w:rsidP="008A6AF2">
      <w:pPr>
        <w:pStyle w:val="Heading1"/>
      </w:pPr>
      <w:r>
        <w:t>5. ФАРМАКОЛОГИЧНИ СВОЙСТВА</w:t>
      </w:r>
    </w:p>
    <w:p w14:paraId="32B6DE66" w14:textId="1C75B58E" w:rsidR="00CF77F7" w:rsidRDefault="002C50EE" w:rsidP="004A448E">
      <w:pPr>
        <w:pStyle w:val="Heading2"/>
      </w:pPr>
      <w:r>
        <w:t>5.1. Фармакодинамични свойства</w:t>
      </w:r>
    </w:p>
    <w:p w14:paraId="6AC2B71D" w14:textId="4AF7CC05" w:rsidR="00197723" w:rsidRDefault="00197723" w:rsidP="00197723"/>
    <w:p w14:paraId="6811F5A3"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Фармакотерапевтична група: периндоприл и диуретици, АТС код: С09ВА04</w:t>
      </w:r>
    </w:p>
    <w:p w14:paraId="14096A26"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Нолипрел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е комбинация от аргининовата сол на периндоприл, инхибитор на ангиотензин-конвертиращия ензим и индапамид, хлорсулфамоилов диуретик. Фармакологичните му свойства произтичат от тези на всеки компонент поотделно и допълнително от тези, дължащи се на адитивния синергизъм в резултат на комбинирането на двата продукта.</w:t>
      </w:r>
    </w:p>
    <w:p w14:paraId="1D15203A" w14:textId="77777777" w:rsidR="00197723" w:rsidRPr="00197723" w:rsidRDefault="00197723" w:rsidP="00197723">
      <w:pPr>
        <w:spacing w:line="240" w:lineRule="auto"/>
        <w:rPr>
          <w:rFonts w:eastAsia="Times New Roman" w:cs="Arial"/>
          <w:i/>
          <w:iCs/>
          <w:color w:val="000000"/>
          <w:u w:val="single"/>
          <w:lang w:eastAsia="bg-BG"/>
        </w:rPr>
      </w:pPr>
    </w:p>
    <w:p w14:paraId="4839F7EA" w14:textId="5A2A1FDC" w:rsidR="00197723" w:rsidRPr="00197723" w:rsidRDefault="00197723" w:rsidP="00197723">
      <w:pPr>
        <w:spacing w:line="240" w:lineRule="auto"/>
        <w:rPr>
          <w:rFonts w:eastAsia="Times New Roman" w:cs="Arial"/>
        </w:rPr>
      </w:pPr>
      <w:r w:rsidRPr="00197723">
        <w:rPr>
          <w:rFonts w:eastAsia="Times New Roman" w:cs="Arial"/>
          <w:i/>
          <w:iCs/>
          <w:color w:val="000000"/>
          <w:u w:val="single"/>
          <w:lang w:eastAsia="bg-BG"/>
        </w:rPr>
        <w:t>Механизъм на действие</w:t>
      </w:r>
    </w:p>
    <w:p w14:paraId="72E8AA1D" w14:textId="77777777"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 xml:space="preserve">Свързан с Нолипрел 2,5 </w:t>
      </w:r>
      <w:r w:rsidRPr="00197723">
        <w:rPr>
          <w:rFonts w:eastAsia="Times New Roman" w:cs="Arial"/>
          <w:i/>
          <w:iCs/>
          <w:color w:val="000000"/>
          <w:lang w:val="en-US"/>
        </w:rPr>
        <w:t>mg</w:t>
      </w:r>
      <w:r w:rsidRPr="00197723">
        <w:rPr>
          <w:rFonts w:eastAsia="Times New Roman" w:cs="Arial"/>
          <w:i/>
          <w:iCs/>
          <w:color w:val="000000"/>
          <w:lang w:val="ru-RU"/>
        </w:rPr>
        <w:t>/</w:t>
      </w:r>
      <w:r w:rsidRPr="00197723">
        <w:rPr>
          <w:rFonts w:eastAsia="Times New Roman" w:cs="Arial"/>
          <w:i/>
          <w:iCs/>
          <w:color w:val="000000"/>
          <w:lang w:eastAsia="bg-BG"/>
        </w:rPr>
        <w:t xml:space="preserve">0,625 </w:t>
      </w:r>
      <w:r w:rsidRPr="00197723">
        <w:rPr>
          <w:rFonts w:eastAsia="Times New Roman" w:cs="Arial"/>
          <w:i/>
          <w:iCs/>
          <w:color w:val="000000"/>
          <w:lang w:val="en-US"/>
        </w:rPr>
        <w:t>mg</w:t>
      </w:r>
      <w:r w:rsidRPr="00197723">
        <w:rPr>
          <w:rFonts w:eastAsia="Times New Roman" w:cs="Arial"/>
          <w:i/>
          <w:iCs/>
          <w:color w:val="000000"/>
          <w:lang w:val="ru-RU"/>
        </w:rPr>
        <w:t>:</w:t>
      </w:r>
    </w:p>
    <w:p w14:paraId="62D32021"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Нолипрел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води до адитивен синергизъм на антихипертензивните ефекти на двата компонента.</w:t>
      </w:r>
    </w:p>
    <w:p w14:paraId="70481A40" w14:textId="77777777" w:rsidR="00197723" w:rsidRPr="00197723" w:rsidRDefault="00197723" w:rsidP="00197723">
      <w:pPr>
        <w:spacing w:line="240" w:lineRule="auto"/>
        <w:rPr>
          <w:rFonts w:eastAsia="Times New Roman" w:cs="Arial"/>
          <w:i/>
          <w:iCs/>
          <w:color w:val="000000"/>
          <w:lang w:eastAsia="bg-BG"/>
        </w:rPr>
      </w:pPr>
    </w:p>
    <w:p w14:paraId="58848D18" w14:textId="4E821AB9"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lastRenderedPageBreak/>
        <w:t>Свързани с периндоприл:</w:t>
      </w:r>
    </w:p>
    <w:p w14:paraId="7025BC44"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Периндоприл е инхибитор на ангиотензин-конвертиращия ензим (АСЕинхибитор), който превръща ангиотензин I в ангиотензин II, вазоконстрикторно вещество; ензимът допълнително стимулира секрецията на алдостерон от кората на надбъбречните жлези и стимулира разграждането на брадикинин, вазодилататорно вещество, до неактивни хептапептиди.</w:t>
      </w:r>
    </w:p>
    <w:p w14:paraId="72B461C7"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Това води до:</w:t>
      </w:r>
    </w:p>
    <w:p w14:paraId="1F207E75"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намаляване на алдостероновата секреция,</w:t>
      </w:r>
    </w:p>
    <w:p w14:paraId="66FD60AE"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увеличаване на плазмената ренинова активност, тъй като алдостеронът не може да осъществява отрицателна обратна връзка,</w:t>
      </w:r>
    </w:p>
    <w:p w14:paraId="2CE0CC7E" w14:textId="5DCEF0EB"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намаляване на общото периферно съдово съпротивление чрез действие предимно върху мускулното и бъбречното съдово русло, без придружаваща задръжка на соли и течности или рефлекторна тахикардия при хронично лечение.</w:t>
      </w:r>
    </w:p>
    <w:p w14:paraId="4CA1585A" w14:textId="77777777" w:rsidR="00197723" w:rsidRPr="00197723" w:rsidRDefault="00197723" w:rsidP="00197723">
      <w:pPr>
        <w:spacing w:line="240" w:lineRule="auto"/>
        <w:rPr>
          <w:rFonts w:eastAsia="Times New Roman" w:cs="Arial"/>
          <w:color w:val="000000"/>
          <w:lang w:eastAsia="bg-BG"/>
        </w:rPr>
      </w:pPr>
    </w:p>
    <w:p w14:paraId="4711CE9F" w14:textId="2172CFF9" w:rsidR="00197723" w:rsidRPr="00197723" w:rsidRDefault="00197723" w:rsidP="00197723">
      <w:pPr>
        <w:spacing w:line="240" w:lineRule="auto"/>
        <w:rPr>
          <w:rFonts w:eastAsia="Times New Roman" w:cs="Arial"/>
        </w:rPr>
      </w:pPr>
      <w:r w:rsidRPr="00197723">
        <w:rPr>
          <w:rFonts w:eastAsia="Times New Roman" w:cs="Arial"/>
          <w:color w:val="000000"/>
          <w:lang w:eastAsia="bg-BG"/>
        </w:rPr>
        <w:t>Антихипертензивното действие на периндоприл се проявява и при пациенти с ниска или нормална ренинова концентрация.</w:t>
      </w:r>
    </w:p>
    <w:p w14:paraId="4BF49CC3" w14:textId="77777777" w:rsidR="00197723" w:rsidRPr="00197723" w:rsidRDefault="00197723" w:rsidP="00197723">
      <w:pPr>
        <w:spacing w:line="240" w:lineRule="auto"/>
        <w:rPr>
          <w:rFonts w:eastAsia="Times New Roman" w:cs="Arial"/>
          <w:color w:val="000000"/>
          <w:lang w:eastAsia="bg-BG"/>
        </w:rPr>
      </w:pPr>
    </w:p>
    <w:p w14:paraId="1130833B" w14:textId="64C746D1" w:rsidR="00197723" w:rsidRPr="00197723" w:rsidRDefault="00197723" w:rsidP="00197723">
      <w:pPr>
        <w:spacing w:line="240" w:lineRule="auto"/>
        <w:rPr>
          <w:rFonts w:eastAsia="Times New Roman" w:cs="Arial"/>
        </w:rPr>
      </w:pPr>
      <w:r w:rsidRPr="00197723">
        <w:rPr>
          <w:rFonts w:eastAsia="Times New Roman" w:cs="Arial"/>
          <w:color w:val="000000"/>
          <w:lang w:eastAsia="bg-BG"/>
        </w:rPr>
        <w:t>Периндоприл оказва своето действието чрез активния си метаболит периндоприлат. Другите метаболити са неактивни.</w:t>
      </w:r>
    </w:p>
    <w:p w14:paraId="0D271D44"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Периндоприл намалява работата на сърцето:</w:t>
      </w:r>
    </w:p>
    <w:p w14:paraId="4B76EEA9"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чрез съдоразширяващ ефект върху вените, вероятно предизвикан от промени в метаболизма на простагландините: понижаване на преднатоварването,</w:t>
      </w:r>
    </w:p>
    <w:p w14:paraId="32608C98" w14:textId="60F2536A"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чрез намаляване на общото периферно съпротивление: понижаване на следнатоварването.</w:t>
      </w:r>
    </w:p>
    <w:p w14:paraId="43F5383E" w14:textId="77777777" w:rsidR="00197723" w:rsidRPr="00197723" w:rsidRDefault="00197723" w:rsidP="00197723">
      <w:pPr>
        <w:spacing w:line="240" w:lineRule="auto"/>
        <w:rPr>
          <w:rFonts w:eastAsia="Times New Roman" w:cs="Arial"/>
          <w:color w:val="000000"/>
          <w:lang w:eastAsia="bg-BG"/>
        </w:rPr>
      </w:pPr>
    </w:p>
    <w:p w14:paraId="3CFE8094" w14:textId="2CAEAB7A" w:rsidR="00197723" w:rsidRPr="00197723" w:rsidRDefault="00197723" w:rsidP="00197723">
      <w:pPr>
        <w:spacing w:line="240" w:lineRule="auto"/>
        <w:rPr>
          <w:rFonts w:eastAsia="Times New Roman" w:cs="Arial"/>
        </w:rPr>
      </w:pPr>
      <w:r w:rsidRPr="00197723">
        <w:rPr>
          <w:rFonts w:eastAsia="Times New Roman" w:cs="Arial"/>
          <w:color w:val="000000"/>
          <w:lang w:eastAsia="bg-BG"/>
        </w:rPr>
        <w:t>Проучвания проведени при пациенти със сърдечна недостатъчност показаха:</w:t>
      </w:r>
    </w:p>
    <w:p w14:paraId="5763D6A1"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понижаване на налаганията на пълнене на лявата и дясната камера,</w:t>
      </w:r>
    </w:p>
    <w:p w14:paraId="21C04D96"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понижаване на общото периферно съдово съпротивление,</w:t>
      </w:r>
    </w:p>
    <w:p w14:paraId="43686D2A"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нарастване на сърдечния дебит и подобряване на сърдечния индекс,</w:t>
      </w:r>
    </w:p>
    <w:p w14:paraId="1950FB5D" w14:textId="644EF060"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нарастване на регионалния мускулен кръвоток.</w:t>
      </w:r>
    </w:p>
    <w:p w14:paraId="52C7E85D"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Подобряват се и показателите на работната проба.</w:t>
      </w:r>
    </w:p>
    <w:p w14:paraId="1F5AB8A8" w14:textId="1830B961" w:rsidR="00197723" w:rsidRPr="00197723" w:rsidRDefault="00197723" w:rsidP="00197723">
      <w:pPr>
        <w:rPr>
          <w:rFonts w:cs="Arial"/>
        </w:rPr>
      </w:pPr>
    </w:p>
    <w:p w14:paraId="138800CF" w14:textId="77777777"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Свързани с индапамид:</w:t>
      </w:r>
    </w:p>
    <w:p w14:paraId="00236577" w14:textId="77777777" w:rsidR="00197723" w:rsidRPr="00197723" w:rsidRDefault="00197723" w:rsidP="00197723">
      <w:pPr>
        <w:spacing w:line="240" w:lineRule="auto"/>
        <w:rPr>
          <w:rFonts w:eastAsia="Times New Roman" w:cs="Arial"/>
          <w:color w:val="000000"/>
          <w:lang w:eastAsia="bg-BG"/>
        </w:rPr>
      </w:pPr>
    </w:p>
    <w:p w14:paraId="6393C616" w14:textId="5329A81E" w:rsidR="00197723" w:rsidRPr="00197723" w:rsidRDefault="00197723" w:rsidP="00197723">
      <w:pPr>
        <w:spacing w:line="240" w:lineRule="auto"/>
        <w:rPr>
          <w:rFonts w:eastAsia="Times New Roman" w:cs="Arial"/>
        </w:rPr>
      </w:pPr>
      <w:r w:rsidRPr="00197723">
        <w:rPr>
          <w:rFonts w:eastAsia="Times New Roman" w:cs="Arial"/>
          <w:color w:val="000000"/>
          <w:lang w:eastAsia="bg-BG"/>
        </w:rPr>
        <w:t>Индапамид е сулфонамидно производно с индолов пръстен, фармакологично сродно с групата на тиазидните диуретици. Индапамид инхибира реабсорбцията на натрий в кортикалния дилуционен сегмент (на нефрона). Това повишава екскрецията на натрий и хлориди с урината и, в по-малка степен, екскрецията на калий и магнезий, с което повишава диурезата и оказва антихипертензивно действие.</w:t>
      </w:r>
    </w:p>
    <w:p w14:paraId="24E71363" w14:textId="77777777" w:rsidR="00197723" w:rsidRPr="00197723" w:rsidRDefault="00197723" w:rsidP="00197723">
      <w:pPr>
        <w:spacing w:line="240" w:lineRule="auto"/>
        <w:rPr>
          <w:rFonts w:eastAsia="Times New Roman" w:cs="Arial"/>
          <w:i/>
          <w:iCs/>
          <w:color w:val="000000"/>
          <w:u w:val="single"/>
          <w:lang w:eastAsia="bg-BG"/>
        </w:rPr>
      </w:pPr>
    </w:p>
    <w:p w14:paraId="37233660" w14:textId="43E0DF66" w:rsidR="00197723" w:rsidRPr="00197723" w:rsidRDefault="00197723" w:rsidP="00197723">
      <w:pPr>
        <w:spacing w:line="240" w:lineRule="auto"/>
        <w:rPr>
          <w:rFonts w:eastAsia="Times New Roman" w:cs="Arial"/>
        </w:rPr>
      </w:pPr>
      <w:r w:rsidRPr="00197723">
        <w:rPr>
          <w:rFonts w:eastAsia="Times New Roman" w:cs="Arial"/>
          <w:i/>
          <w:iCs/>
          <w:color w:val="000000"/>
          <w:u w:val="single"/>
          <w:lang w:eastAsia="bg-BG"/>
        </w:rPr>
        <w:t>Фармакодинамични ефекти</w:t>
      </w:r>
    </w:p>
    <w:p w14:paraId="03399584" w14:textId="77777777" w:rsidR="00197723" w:rsidRPr="00197723" w:rsidRDefault="00197723" w:rsidP="00197723">
      <w:pPr>
        <w:spacing w:line="240" w:lineRule="auto"/>
        <w:rPr>
          <w:rFonts w:eastAsia="Times New Roman" w:cs="Arial"/>
          <w:i/>
          <w:iCs/>
          <w:color w:val="000000"/>
          <w:lang w:eastAsia="bg-BG"/>
        </w:rPr>
      </w:pPr>
    </w:p>
    <w:p w14:paraId="5CE9C86E" w14:textId="6D697EFD"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 xml:space="preserve">Свързани с Нолипрел 2,5 </w:t>
      </w:r>
      <w:r w:rsidRPr="00197723">
        <w:rPr>
          <w:rFonts w:eastAsia="Times New Roman" w:cs="Arial"/>
          <w:i/>
          <w:iCs/>
          <w:color w:val="000000"/>
          <w:lang w:val="en-US"/>
        </w:rPr>
        <w:t>mg</w:t>
      </w:r>
      <w:r w:rsidRPr="00197723">
        <w:rPr>
          <w:rFonts w:eastAsia="Times New Roman" w:cs="Arial"/>
          <w:i/>
          <w:iCs/>
          <w:color w:val="000000"/>
          <w:lang w:val="ru-RU"/>
        </w:rPr>
        <w:t>/0,</w:t>
      </w:r>
      <w:r w:rsidRPr="00197723">
        <w:rPr>
          <w:rFonts w:eastAsia="Times New Roman" w:cs="Arial"/>
          <w:i/>
          <w:iCs/>
          <w:color w:val="000000"/>
          <w:lang w:eastAsia="bg-BG"/>
        </w:rPr>
        <w:t xml:space="preserve">625 </w:t>
      </w:r>
      <w:r w:rsidRPr="00197723">
        <w:rPr>
          <w:rFonts w:eastAsia="Times New Roman" w:cs="Arial"/>
          <w:i/>
          <w:iCs/>
          <w:color w:val="000000"/>
          <w:lang w:val="en-US"/>
        </w:rPr>
        <w:t>mg</w:t>
      </w:r>
      <w:r w:rsidRPr="00197723">
        <w:rPr>
          <w:rFonts w:eastAsia="Times New Roman" w:cs="Arial"/>
          <w:i/>
          <w:iCs/>
          <w:color w:val="000000"/>
          <w:lang w:val="ru-RU"/>
        </w:rPr>
        <w:t>:</w:t>
      </w:r>
    </w:p>
    <w:p w14:paraId="4F3633AE" w14:textId="77777777" w:rsidR="00197723" w:rsidRPr="00197723" w:rsidRDefault="00197723" w:rsidP="00197723">
      <w:pPr>
        <w:spacing w:line="240" w:lineRule="auto"/>
        <w:rPr>
          <w:rFonts w:eastAsia="Times New Roman" w:cs="Arial"/>
          <w:color w:val="000000"/>
          <w:lang w:eastAsia="bg-BG"/>
        </w:rPr>
      </w:pPr>
    </w:p>
    <w:p w14:paraId="0FBB0FB6" w14:textId="4FDF93CE"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При пациенти с хипертония, независимо от възрастта им, Нолипрел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упражнява дозо-зависим антихипертензивен ефект върху диастолното и систолното артериално налягане в легнало или изправено положение на тялото. Този антихипертензивен ефект продължава 24 часа. Понижаването на кръвното налягане се постига за по-малко от един месец без прояви на тахифилаксия; спирането на лечението </w:t>
      </w:r>
      <w:r w:rsidRPr="00197723">
        <w:rPr>
          <w:rFonts w:eastAsia="Times New Roman" w:cs="Arial"/>
          <w:color w:val="000000"/>
          <w:lang w:eastAsia="bg-BG"/>
        </w:rPr>
        <w:lastRenderedPageBreak/>
        <w:t>не води до феномен на отнемане. Клинични опити са показали, че едновременното приложение на периндоприл и индапамид води до антихипертензивни ефекти със синергичен характер спрямо ефекта на всеки от тези лекарствени продукти, приложени поотделно.</w:t>
      </w:r>
    </w:p>
    <w:p w14:paraId="14D091AE" w14:textId="77777777" w:rsidR="00197723" w:rsidRPr="00197723" w:rsidRDefault="00197723" w:rsidP="00197723">
      <w:pPr>
        <w:spacing w:line="240" w:lineRule="auto"/>
        <w:rPr>
          <w:rFonts w:eastAsia="Times New Roman" w:cs="Arial"/>
          <w:color w:val="000000"/>
          <w:lang w:eastAsia="bg-BG"/>
        </w:rPr>
      </w:pPr>
    </w:p>
    <w:p w14:paraId="1656743D" w14:textId="68F8332F"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Ефекта на ниската доза комбинация Нолипрел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върху сърдечносъдовата заболеваемост и смъртност, не е проучван.</w:t>
      </w:r>
    </w:p>
    <w:p w14:paraId="3F8369AA" w14:textId="77777777" w:rsidR="00197723" w:rsidRPr="00197723" w:rsidRDefault="00197723" w:rsidP="00197723">
      <w:pPr>
        <w:spacing w:line="240" w:lineRule="auto"/>
        <w:rPr>
          <w:rFonts w:eastAsia="Times New Roman" w:cs="Arial"/>
          <w:color w:val="000000"/>
          <w:lang w:val="en-US"/>
        </w:rPr>
      </w:pPr>
    </w:p>
    <w:p w14:paraId="0DB607B4" w14:textId="20718EE3" w:rsidR="00197723" w:rsidRPr="00197723" w:rsidRDefault="00197723" w:rsidP="00197723">
      <w:pPr>
        <w:spacing w:line="240" w:lineRule="auto"/>
        <w:rPr>
          <w:rFonts w:eastAsia="Times New Roman" w:cs="Arial"/>
        </w:rPr>
      </w:pPr>
      <w:r w:rsidRPr="00197723">
        <w:rPr>
          <w:rFonts w:eastAsia="Times New Roman" w:cs="Arial"/>
          <w:color w:val="000000"/>
          <w:lang w:val="en-US"/>
        </w:rPr>
        <w:t>PICXEL</w:t>
      </w:r>
      <w:r w:rsidRPr="00197723">
        <w:rPr>
          <w:rFonts w:eastAsia="Times New Roman" w:cs="Arial"/>
          <w:color w:val="000000"/>
          <w:lang w:val="ru-RU"/>
        </w:rPr>
        <w:t xml:space="preserve"> </w:t>
      </w:r>
      <w:r w:rsidRPr="00197723">
        <w:rPr>
          <w:rFonts w:eastAsia="Times New Roman" w:cs="Arial"/>
          <w:color w:val="000000"/>
          <w:lang w:eastAsia="bg-BG"/>
        </w:rPr>
        <w:t>е мултицентрово, рандомизирано, двойно сляпо активно контролирано ехокардиографско проучване оценяващо ефекта от комбинацията периндоприл/индапамид при лявокамерна хипертрофия (ЛКХ) спрямо монотерапия с еналаприл.</w:t>
      </w:r>
    </w:p>
    <w:p w14:paraId="620BB7A4" w14:textId="77777777" w:rsidR="00197723" w:rsidRPr="00197723" w:rsidRDefault="00197723" w:rsidP="00197723">
      <w:pPr>
        <w:spacing w:line="240" w:lineRule="auto"/>
        <w:rPr>
          <w:rFonts w:eastAsia="Times New Roman" w:cs="Arial"/>
          <w:color w:val="000000"/>
          <w:lang w:eastAsia="bg-BG"/>
        </w:rPr>
      </w:pPr>
    </w:p>
    <w:p w14:paraId="1B523911" w14:textId="2F797860"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При </w:t>
      </w:r>
      <w:r w:rsidRPr="00197723">
        <w:rPr>
          <w:rFonts w:eastAsia="Times New Roman" w:cs="Arial"/>
          <w:color w:val="000000"/>
          <w:lang w:val="en-US"/>
        </w:rPr>
        <w:t>PICXEL</w:t>
      </w:r>
      <w:r w:rsidRPr="00197723">
        <w:rPr>
          <w:rFonts w:eastAsia="Times New Roman" w:cs="Arial"/>
          <w:color w:val="000000"/>
          <w:lang w:val="ru-RU"/>
        </w:rPr>
        <w:t xml:space="preserve">, </w:t>
      </w:r>
      <w:r w:rsidRPr="00197723">
        <w:rPr>
          <w:rFonts w:eastAsia="Times New Roman" w:cs="Arial"/>
          <w:color w:val="000000"/>
          <w:lang w:eastAsia="bg-BG"/>
        </w:rPr>
        <w:t xml:space="preserve">хипертоници с ЛКХ (дефинирана като лявокамерен мас-индекс (ЛКХИ) &gt; 120 </w:t>
      </w:r>
      <w:r w:rsidRPr="00197723">
        <w:rPr>
          <w:rFonts w:eastAsia="Times New Roman" w:cs="Arial"/>
          <w:color w:val="000000"/>
          <w:lang w:val="en-US"/>
        </w:rPr>
        <w:t>g</w:t>
      </w:r>
      <w:r w:rsidRPr="00197723">
        <w:rPr>
          <w:rFonts w:eastAsia="Times New Roman" w:cs="Arial"/>
          <w:color w:val="000000"/>
          <w:lang w:val="ru-RU"/>
        </w:rPr>
        <w:t>/</w:t>
      </w:r>
      <w:r w:rsidRPr="00197723">
        <w:rPr>
          <w:rFonts w:eastAsia="Times New Roman" w:cs="Arial"/>
          <w:color w:val="000000"/>
          <w:lang w:val="en-US"/>
        </w:rPr>
        <w:t>m</w:t>
      </w:r>
      <w:r w:rsidRPr="00197723">
        <w:rPr>
          <w:rFonts w:eastAsia="Times New Roman" w:cs="Arial"/>
          <w:color w:val="000000"/>
          <w:vertAlign w:val="superscript"/>
          <w:lang w:val="ru-RU"/>
        </w:rPr>
        <w:t xml:space="preserve">2 </w:t>
      </w:r>
      <w:r w:rsidRPr="00197723">
        <w:rPr>
          <w:rFonts w:eastAsia="Times New Roman" w:cs="Arial"/>
          <w:color w:val="000000"/>
          <w:lang w:eastAsia="bg-BG"/>
        </w:rPr>
        <w:t xml:space="preserve">при мъже и &gt; 100 </w:t>
      </w:r>
      <w:r w:rsidRPr="00197723">
        <w:rPr>
          <w:rFonts w:eastAsia="Times New Roman" w:cs="Arial"/>
          <w:color w:val="000000"/>
          <w:lang w:val="en-US"/>
        </w:rPr>
        <w:t>g</w:t>
      </w:r>
      <w:r w:rsidRPr="00197723">
        <w:rPr>
          <w:rFonts w:eastAsia="Times New Roman" w:cs="Arial"/>
          <w:color w:val="000000"/>
          <w:lang w:val="ru-RU"/>
        </w:rPr>
        <w:t>/</w:t>
      </w:r>
      <w:r w:rsidRPr="00197723">
        <w:rPr>
          <w:rFonts w:eastAsia="Times New Roman" w:cs="Arial"/>
          <w:color w:val="000000"/>
          <w:lang w:val="en-US"/>
        </w:rPr>
        <w:t>m</w:t>
      </w:r>
      <w:r w:rsidRPr="00197723">
        <w:rPr>
          <w:rFonts w:eastAsia="Times New Roman" w:cs="Arial"/>
          <w:color w:val="000000"/>
          <w:vertAlign w:val="superscript"/>
          <w:lang w:val="ru-RU"/>
        </w:rPr>
        <w:t>2</w:t>
      </w:r>
      <w:r w:rsidRPr="00197723">
        <w:rPr>
          <w:rFonts w:eastAsia="Times New Roman" w:cs="Arial"/>
          <w:color w:val="000000"/>
          <w:lang w:val="ru-RU"/>
        </w:rPr>
        <w:t xml:space="preserve"> </w:t>
      </w:r>
      <w:r w:rsidRPr="00197723">
        <w:rPr>
          <w:rFonts w:eastAsia="Times New Roman" w:cs="Arial"/>
          <w:color w:val="000000"/>
          <w:lang w:eastAsia="bg-BG"/>
        </w:rPr>
        <w:t xml:space="preserve">при жени) са били рандомизирани или с периндоприл терт-бутиламин </w:t>
      </w:r>
      <w:r w:rsidRPr="00197723">
        <w:rPr>
          <w:rFonts w:eastAsia="Times New Roman" w:cs="Arial"/>
          <w:color w:val="000000"/>
          <w:lang w:val="ru-RU"/>
        </w:rPr>
        <w:t>2</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(еквивалентни на </w:t>
      </w:r>
      <w:r w:rsidRPr="00197723">
        <w:rPr>
          <w:rFonts w:eastAsia="Times New Roman" w:cs="Arial"/>
          <w:color w:val="000000"/>
          <w:lang w:val="ru-RU"/>
        </w:rPr>
        <w:t>2,5</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периндоприл аргинин)/индапамид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или с еналаприл 10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веднъж дневно за период на лечение от една година. Дозата е била адаптирана в зависимост от контрола на кръвното налягане, до </w:t>
      </w:r>
      <w:r w:rsidRPr="00197723">
        <w:rPr>
          <w:rFonts w:eastAsia="Times New Roman" w:cs="Arial"/>
          <w:color w:val="000000"/>
          <w:lang w:val="ru-RU"/>
        </w:rPr>
        <w:t>8</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периндоприл терг-бутиламин (еквивалентни на </w:t>
      </w:r>
      <w:r w:rsidRPr="00197723">
        <w:rPr>
          <w:rFonts w:eastAsia="Times New Roman" w:cs="Arial"/>
          <w:color w:val="000000"/>
          <w:lang w:val="ru-RU"/>
        </w:rPr>
        <w:t>10</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периндоприл аргинин) и индапамид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или еналаприл </w:t>
      </w:r>
      <w:r w:rsidRPr="00197723">
        <w:rPr>
          <w:rFonts w:eastAsia="Times New Roman" w:cs="Arial"/>
          <w:color w:val="000000"/>
          <w:lang w:val="ru-RU"/>
        </w:rPr>
        <w:t>40</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веднъж дневно. Само 34% от пациентите са останали на лечение с периндоприл терт-бутиламин </w:t>
      </w:r>
      <w:r w:rsidRPr="00197723">
        <w:rPr>
          <w:rFonts w:eastAsia="Times New Roman" w:cs="Arial"/>
          <w:color w:val="000000"/>
          <w:lang w:val="ru-RU"/>
        </w:rPr>
        <w:t>2</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(еквивалентни на </w:t>
      </w:r>
      <w:r w:rsidRPr="00197723">
        <w:rPr>
          <w:rFonts w:eastAsia="Times New Roman" w:cs="Arial"/>
          <w:color w:val="000000"/>
          <w:lang w:val="ru-RU"/>
        </w:rPr>
        <w:t>2,5</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периндоприл аргинин)/индапамид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(срещу 20% с еналаприл </w:t>
      </w:r>
      <w:r w:rsidRPr="00197723">
        <w:rPr>
          <w:rFonts w:eastAsia="Times New Roman" w:cs="Arial"/>
          <w:color w:val="000000"/>
          <w:lang w:val="ru-RU"/>
        </w:rPr>
        <w:t>10</w:t>
      </w:r>
      <w:r w:rsidRPr="00197723">
        <w:rPr>
          <w:rFonts w:eastAsia="Times New Roman" w:cs="Arial"/>
          <w:color w:val="000000"/>
          <w:lang w:val="en-US"/>
        </w:rPr>
        <w:t>mg</w:t>
      </w:r>
      <w:r w:rsidRPr="00197723">
        <w:rPr>
          <w:rFonts w:eastAsia="Times New Roman" w:cs="Arial"/>
          <w:color w:val="000000"/>
          <w:lang w:val="ru-RU"/>
        </w:rPr>
        <w:t>).</w:t>
      </w:r>
    </w:p>
    <w:p w14:paraId="31FA2DFB" w14:textId="77777777" w:rsidR="00197723" w:rsidRPr="00197723" w:rsidRDefault="00197723" w:rsidP="00197723">
      <w:pPr>
        <w:spacing w:line="240" w:lineRule="auto"/>
        <w:rPr>
          <w:rFonts w:eastAsia="Times New Roman" w:cs="Arial"/>
          <w:color w:val="000000"/>
          <w:lang w:eastAsia="bg-BG"/>
        </w:rPr>
      </w:pPr>
    </w:p>
    <w:p w14:paraId="3C640F40" w14:textId="7690F454"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В края на лечението ЛКХИ е намалял значително повече в групата на лекуваните с периндоприл/индапамид (-10,1 </w:t>
      </w:r>
      <w:r w:rsidRPr="00197723">
        <w:rPr>
          <w:rFonts w:eastAsia="Times New Roman" w:cs="Arial"/>
          <w:color w:val="000000"/>
          <w:lang w:val="en-US"/>
        </w:rPr>
        <w:t>g</w:t>
      </w:r>
      <w:r w:rsidRPr="00197723">
        <w:rPr>
          <w:rFonts w:eastAsia="Times New Roman" w:cs="Arial"/>
          <w:color w:val="000000"/>
          <w:lang w:val="ru-RU"/>
        </w:rPr>
        <w:t>/</w:t>
      </w:r>
      <w:r w:rsidRPr="00197723">
        <w:rPr>
          <w:rFonts w:eastAsia="Times New Roman" w:cs="Arial"/>
          <w:color w:val="000000"/>
          <w:lang w:val="en-US"/>
        </w:rPr>
        <w:t>m</w:t>
      </w:r>
      <w:r w:rsidRPr="00197723">
        <w:rPr>
          <w:rFonts w:eastAsia="Times New Roman" w:cs="Arial"/>
          <w:color w:val="000000"/>
          <w:vertAlign w:val="superscript"/>
          <w:lang w:val="ru-RU"/>
        </w:rPr>
        <w:t>2</w:t>
      </w:r>
      <w:r w:rsidRPr="00197723">
        <w:rPr>
          <w:rFonts w:eastAsia="Times New Roman" w:cs="Arial"/>
          <w:color w:val="000000"/>
          <w:lang w:val="ru-RU"/>
        </w:rPr>
        <w:t xml:space="preserve">) </w:t>
      </w:r>
      <w:r w:rsidRPr="00197723">
        <w:rPr>
          <w:rFonts w:eastAsia="Times New Roman" w:cs="Arial"/>
          <w:color w:val="000000"/>
          <w:lang w:eastAsia="bg-BG"/>
        </w:rPr>
        <w:t xml:space="preserve">спрямо групата, лекувана с еналаприл (-1,1 </w:t>
      </w:r>
      <w:r w:rsidRPr="00197723">
        <w:rPr>
          <w:rFonts w:eastAsia="Times New Roman" w:cs="Arial"/>
          <w:color w:val="000000"/>
          <w:lang w:val="en-US"/>
        </w:rPr>
        <w:t>g</w:t>
      </w:r>
      <w:r w:rsidRPr="00197723">
        <w:rPr>
          <w:rFonts w:eastAsia="Times New Roman" w:cs="Arial"/>
          <w:color w:val="000000"/>
          <w:lang w:val="ru-RU"/>
        </w:rPr>
        <w:t>/</w:t>
      </w:r>
      <w:r w:rsidRPr="00197723">
        <w:rPr>
          <w:rFonts w:eastAsia="Times New Roman" w:cs="Arial"/>
          <w:color w:val="000000"/>
          <w:lang w:val="en-US"/>
        </w:rPr>
        <w:t>m</w:t>
      </w:r>
      <w:r w:rsidRPr="00197723">
        <w:rPr>
          <w:rFonts w:eastAsia="Times New Roman" w:cs="Arial"/>
          <w:color w:val="000000"/>
          <w:vertAlign w:val="superscript"/>
          <w:lang w:val="ru-RU"/>
        </w:rPr>
        <w:t>2</w:t>
      </w:r>
      <w:r w:rsidRPr="00197723">
        <w:rPr>
          <w:rFonts w:eastAsia="Times New Roman" w:cs="Arial"/>
          <w:color w:val="000000"/>
          <w:lang w:val="ru-RU"/>
        </w:rPr>
        <w:t xml:space="preserve">) </w:t>
      </w:r>
      <w:r w:rsidRPr="00197723">
        <w:rPr>
          <w:rFonts w:eastAsia="Times New Roman" w:cs="Arial"/>
          <w:color w:val="000000"/>
          <w:lang w:eastAsia="bg-BG"/>
        </w:rPr>
        <w:t xml:space="preserve">при цялата популация от рандомизирани пациенти. Промяната в междугруповата разлика на ЛКХИ е -8,3 (95% </w:t>
      </w:r>
      <w:r w:rsidRPr="00197723">
        <w:rPr>
          <w:rFonts w:eastAsia="Times New Roman" w:cs="Arial"/>
          <w:color w:val="000000"/>
          <w:lang w:val="en-US"/>
        </w:rPr>
        <w:t>CI</w:t>
      </w:r>
      <w:r w:rsidRPr="00197723">
        <w:rPr>
          <w:rFonts w:eastAsia="Times New Roman" w:cs="Arial"/>
          <w:color w:val="000000"/>
          <w:lang w:val="ru-RU"/>
        </w:rPr>
        <w:t xml:space="preserve"> </w:t>
      </w:r>
      <w:r w:rsidRPr="00197723">
        <w:rPr>
          <w:rFonts w:eastAsia="Times New Roman" w:cs="Arial"/>
          <w:color w:val="000000"/>
          <w:lang w:eastAsia="bg-BG"/>
        </w:rPr>
        <w:t>(-11,5,-5,0),р&lt; 0,0001).</w:t>
      </w:r>
    </w:p>
    <w:p w14:paraId="65A9EE6D"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По-добър ефект в ЛКХИ е достигнат с по-високи дози периндоприл/индапамид от тези, одобрени за Нолипрел 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 0,625 </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и Нолипрел Форте </w:t>
      </w:r>
      <w:r w:rsidRPr="00197723">
        <w:rPr>
          <w:rFonts w:eastAsia="Times New Roman" w:cs="Arial"/>
          <w:color w:val="000000"/>
          <w:lang w:val="ru-RU"/>
        </w:rPr>
        <w:t>5</w:t>
      </w:r>
      <w:r w:rsidRPr="00197723">
        <w:rPr>
          <w:rFonts w:eastAsia="Times New Roman" w:cs="Arial"/>
          <w:color w:val="000000"/>
          <w:lang w:val="en-US"/>
        </w:rPr>
        <w:t>mg</w:t>
      </w:r>
      <w:r w:rsidRPr="00197723">
        <w:rPr>
          <w:rFonts w:eastAsia="Times New Roman" w:cs="Arial"/>
          <w:color w:val="000000"/>
          <w:lang w:val="ru-RU"/>
        </w:rPr>
        <w:t xml:space="preserve"> </w:t>
      </w:r>
      <w:r w:rsidRPr="00197723">
        <w:rPr>
          <w:rFonts w:eastAsia="Times New Roman" w:cs="Arial"/>
          <w:color w:val="000000"/>
          <w:lang w:eastAsia="bg-BG"/>
        </w:rPr>
        <w:t xml:space="preserve">/1,25 </w:t>
      </w:r>
      <w:r w:rsidRPr="00197723">
        <w:rPr>
          <w:rFonts w:eastAsia="Times New Roman" w:cs="Arial"/>
          <w:color w:val="000000"/>
          <w:lang w:val="en-US"/>
        </w:rPr>
        <w:t>mg</w:t>
      </w:r>
      <w:r w:rsidRPr="00197723">
        <w:rPr>
          <w:rFonts w:eastAsia="Times New Roman" w:cs="Arial"/>
          <w:color w:val="000000"/>
          <w:lang w:val="ru-RU"/>
        </w:rPr>
        <w:t>.</w:t>
      </w:r>
    </w:p>
    <w:p w14:paraId="2ABB9277" w14:textId="77777777" w:rsidR="00197723" w:rsidRPr="00197723" w:rsidRDefault="00197723" w:rsidP="00197723">
      <w:pPr>
        <w:spacing w:line="240" w:lineRule="auto"/>
        <w:rPr>
          <w:rFonts w:eastAsia="Times New Roman" w:cs="Arial"/>
          <w:color w:val="000000"/>
          <w:lang w:eastAsia="bg-BG"/>
        </w:rPr>
      </w:pPr>
    </w:p>
    <w:p w14:paraId="7D2F0DCC" w14:textId="1131489E" w:rsidR="00197723" w:rsidRPr="00197723" w:rsidRDefault="00197723" w:rsidP="00197723">
      <w:pPr>
        <w:spacing w:line="240" w:lineRule="auto"/>
        <w:rPr>
          <w:rFonts w:eastAsia="Times New Roman" w:cs="Arial"/>
          <w:color w:val="000000"/>
          <w:lang w:eastAsia="bg-BG"/>
        </w:rPr>
      </w:pPr>
      <w:r w:rsidRPr="00197723">
        <w:rPr>
          <w:rFonts w:eastAsia="Times New Roman" w:cs="Arial"/>
          <w:color w:val="000000"/>
          <w:lang w:eastAsia="bg-BG"/>
        </w:rPr>
        <w:t xml:space="preserve">По отношение на кръвното налягане, оценените средни междугрупови разлики в рандомизираната </w:t>
      </w:r>
    </w:p>
    <w:p w14:paraId="432CC62E" w14:textId="65C2CC93"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популация са -5,8 </w:t>
      </w:r>
      <w:r w:rsidRPr="00197723">
        <w:rPr>
          <w:rFonts w:eastAsia="Times New Roman" w:cs="Arial"/>
          <w:color w:val="000000"/>
          <w:lang w:val="en-US"/>
        </w:rPr>
        <w:t>mmHg</w:t>
      </w:r>
      <w:r w:rsidRPr="00197723">
        <w:rPr>
          <w:rFonts w:eastAsia="Times New Roman" w:cs="Arial"/>
          <w:color w:val="000000"/>
          <w:lang w:val="ru-RU"/>
        </w:rPr>
        <w:t xml:space="preserve"> </w:t>
      </w:r>
      <w:r w:rsidRPr="00197723">
        <w:rPr>
          <w:rFonts w:eastAsia="Times New Roman" w:cs="Arial"/>
          <w:color w:val="000000"/>
          <w:lang w:eastAsia="bg-BG"/>
        </w:rPr>
        <w:t xml:space="preserve">(95% </w:t>
      </w:r>
      <w:r w:rsidRPr="00197723">
        <w:rPr>
          <w:rFonts w:eastAsia="Times New Roman" w:cs="Arial"/>
          <w:color w:val="000000"/>
          <w:lang w:val="en-US"/>
        </w:rPr>
        <w:t>CI</w:t>
      </w:r>
      <w:r w:rsidRPr="00197723">
        <w:rPr>
          <w:rFonts w:eastAsia="Times New Roman" w:cs="Arial"/>
          <w:color w:val="000000"/>
          <w:lang w:val="ru-RU"/>
        </w:rPr>
        <w:t xml:space="preserve"> </w:t>
      </w:r>
      <w:r w:rsidRPr="00197723">
        <w:rPr>
          <w:rFonts w:eastAsia="Times New Roman" w:cs="Arial"/>
          <w:color w:val="000000"/>
          <w:lang w:eastAsia="bg-BG"/>
        </w:rPr>
        <w:t xml:space="preserve">(-7,9, -3,7), р &lt; 0,0001) съответно за систолното кръвно налягане и -2,3 </w:t>
      </w:r>
      <w:r w:rsidRPr="00197723">
        <w:rPr>
          <w:rFonts w:eastAsia="Times New Roman" w:cs="Arial"/>
          <w:color w:val="000000"/>
          <w:lang w:val="en-US"/>
        </w:rPr>
        <w:t>mmHg</w:t>
      </w:r>
      <w:r w:rsidRPr="00197723">
        <w:rPr>
          <w:rFonts w:eastAsia="Times New Roman" w:cs="Arial"/>
          <w:color w:val="000000"/>
          <w:lang w:val="ru-RU"/>
        </w:rPr>
        <w:t xml:space="preserve"> </w:t>
      </w:r>
      <w:r w:rsidRPr="00197723">
        <w:rPr>
          <w:rFonts w:eastAsia="Times New Roman" w:cs="Arial"/>
          <w:color w:val="000000"/>
          <w:lang w:eastAsia="bg-BG"/>
        </w:rPr>
        <w:t xml:space="preserve">(95% </w:t>
      </w:r>
      <w:r w:rsidRPr="00197723">
        <w:rPr>
          <w:rFonts w:eastAsia="Times New Roman" w:cs="Arial"/>
          <w:color w:val="000000"/>
          <w:lang w:val="en-US"/>
        </w:rPr>
        <w:t>CI</w:t>
      </w:r>
      <w:r w:rsidRPr="00197723">
        <w:rPr>
          <w:rFonts w:eastAsia="Times New Roman" w:cs="Arial"/>
          <w:color w:val="000000"/>
          <w:lang w:val="ru-RU"/>
        </w:rPr>
        <w:t xml:space="preserve"> </w:t>
      </w:r>
      <w:r w:rsidRPr="00197723">
        <w:rPr>
          <w:rFonts w:eastAsia="Times New Roman" w:cs="Arial"/>
          <w:color w:val="000000"/>
          <w:lang w:eastAsia="bg-BG"/>
        </w:rPr>
        <w:t>(-3,6,-0,9), р = 0,0004) за диастолното, в полза на групата периндоприл/индапамид.</w:t>
      </w:r>
    </w:p>
    <w:p w14:paraId="797556C0" w14:textId="77777777" w:rsidR="00197723" w:rsidRPr="00197723" w:rsidRDefault="00197723" w:rsidP="00197723">
      <w:pPr>
        <w:spacing w:line="240" w:lineRule="auto"/>
        <w:rPr>
          <w:rFonts w:eastAsia="Times New Roman" w:cs="Arial"/>
          <w:i/>
          <w:iCs/>
          <w:color w:val="000000"/>
          <w:lang w:eastAsia="bg-BG"/>
        </w:rPr>
      </w:pPr>
    </w:p>
    <w:p w14:paraId="27BBB2D9" w14:textId="78EEBA7D"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Свързани с периндоприл:</w:t>
      </w:r>
    </w:p>
    <w:p w14:paraId="20447EE7" w14:textId="258E0202" w:rsidR="00197723" w:rsidRPr="00197723" w:rsidRDefault="00197723" w:rsidP="00197723">
      <w:pPr>
        <w:rPr>
          <w:rFonts w:eastAsia="Times New Roman" w:cs="Arial"/>
          <w:color w:val="000000"/>
          <w:lang w:eastAsia="bg-BG"/>
        </w:rPr>
      </w:pPr>
      <w:r w:rsidRPr="00197723">
        <w:rPr>
          <w:rFonts w:eastAsia="Times New Roman" w:cs="Arial"/>
          <w:color w:val="000000"/>
          <w:lang w:eastAsia="bg-BG"/>
        </w:rPr>
        <w:t>Периндоприл е активен при всички степени на хипертония: лека до умерена или тежка. Понижаване на диастолното и систолното артериално налягане се наблюдава при легнало и изправено положение на тялото.</w:t>
      </w:r>
    </w:p>
    <w:p w14:paraId="53EFBCC0" w14:textId="2F28EA2B" w:rsidR="00197723" w:rsidRPr="00197723" w:rsidRDefault="00197723" w:rsidP="00197723">
      <w:pPr>
        <w:rPr>
          <w:rFonts w:eastAsia="Times New Roman" w:cs="Arial"/>
          <w:color w:val="000000"/>
          <w:lang w:eastAsia="bg-BG"/>
        </w:rPr>
      </w:pPr>
    </w:p>
    <w:p w14:paraId="70499A8B"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Антихипертензивното действие след прием на единична доза достига максимума си след 4 до 6 часа и продължава над 24 часа.</w:t>
      </w:r>
    </w:p>
    <w:p w14:paraId="52BAC799"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Наблюдава се висока степен на остатъчно блокиране на ангиотензин-конвертиращия ензим 24 часа след приема, приблизително 80%.</w:t>
      </w:r>
    </w:p>
    <w:p w14:paraId="62881138"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При пациенти с терапевтичен отговор нормализирането на кръвното налягане се постига след един месец и се задържа без поява на тахифилаксия.</w:t>
      </w:r>
    </w:p>
    <w:p w14:paraId="19098CFA"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Отмяната на лечението не оказва ефект на отнемане върху хипертонията.</w:t>
      </w:r>
    </w:p>
    <w:p w14:paraId="1E72216C"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lastRenderedPageBreak/>
        <w:t>Периндоприл има съдоразширяващи свойства и възстановява еластичността на големите артерии, коригира хистоморфометричните промени в резистивните артерии и води до намаляване на левокамерната хипертрофия.</w:t>
      </w:r>
    </w:p>
    <w:p w14:paraId="1B78F478"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Когато е необходимо, добавянето на тиазиден диуретик оказва адитивно синергично действие. Комбинирането на инхибитор на ангиотензин-конвертиращия ензим с тиазиден диуретик намалява риска от хипокалиемия, свързан със самостоятелната употреба на диуретика.</w:t>
      </w:r>
    </w:p>
    <w:p w14:paraId="429FD419" w14:textId="77777777" w:rsidR="00197723" w:rsidRPr="00197723" w:rsidRDefault="00197723" w:rsidP="00197723">
      <w:pPr>
        <w:spacing w:line="240" w:lineRule="auto"/>
        <w:rPr>
          <w:rFonts w:eastAsia="Times New Roman" w:cs="Arial"/>
          <w:i/>
          <w:iCs/>
          <w:color w:val="000000"/>
          <w:lang w:eastAsia="bg-BG"/>
        </w:rPr>
      </w:pPr>
    </w:p>
    <w:p w14:paraId="0A4756F8" w14:textId="24FAF98B"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Свързани с индапамид:</w:t>
      </w:r>
    </w:p>
    <w:p w14:paraId="0E37E0FF" w14:textId="77777777" w:rsidR="00197723" w:rsidRPr="00197723" w:rsidRDefault="00197723" w:rsidP="00197723">
      <w:pPr>
        <w:spacing w:line="240" w:lineRule="auto"/>
        <w:rPr>
          <w:rFonts w:eastAsia="Times New Roman" w:cs="Arial"/>
          <w:color w:val="000000"/>
          <w:lang w:eastAsia="bg-BG"/>
        </w:rPr>
      </w:pPr>
    </w:p>
    <w:p w14:paraId="6DE0247C" w14:textId="4B44171F" w:rsidR="00197723" w:rsidRPr="00197723" w:rsidRDefault="00197723" w:rsidP="00197723">
      <w:pPr>
        <w:spacing w:line="240" w:lineRule="auto"/>
        <w:rPr>
          <w:rFonts w:eastAsia="Times New Roman" w:cs="Arial"/>
        </w:rPr>
      </w:pPr>
      <w:r w:rsidRPr="00197723">
        <w:rPr>
          <w:rFonts w:eastAsia="Times New Roman" w:cs="Arial"/>
          <w:color w:val="000000"/>
          <w:lang w:eastAsia="bg-BG"/>
        </w:rPr>
        <w:t>Монотерапията с индапамид оказва антихипертензивен ефект с 24-часова продължителност. Този ефект се проявява в дози, оказващи минимално диуретично действие.</w:t>
      </w:r>
    </w:p>
    <w:p w14:paraId="4AE49252"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Антихипертензивното действие е пропорционално на подобрението на артериалния комплайанс и на понижението на общото и артериоларното периферно съдово съпротивление.</w:t>
      </w:r>
    </w:p>
    <w:p w14:paraId="3DCE3592"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Индапамид намалява левокамерната хипертрофия.</w:t>
      </w:r>
    </w:p>
    <w:p w14:paraId="2AE9FD74"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При надвишаване на дозата на тиазидните диуретици или техните аналози, антихипертензивният ефект достига плато, докато нежеланите реакции продължават да нарастват. Ако лечението е неефективно, дозата не трябва да се увеличава.</w:t>
      </w:r>
    </w:p>
    <w:p w14:paraId="6DAD15B1"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Допълнително, в краткосрочни, средносрочни и дългосрочни изпитвания при хипертоници се установява, че индапамид:</w:t>
      </w:r>
    </w:p>
    <w:p w14:paraId="3B1A96B9" w14:textId="77777777"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 xml:space="preserve">не оказва влияние върху метаболизма на липидите: триглицеридите, </w:t>
      </w:r>
      <w:r w:rsidRPr="00197723">
        <w:rPr>
          <w:rFonts w:eastAsia="Times New Roman" w:cs="Arial"/>
          <w:color w:val="000000"/>
          <w:lang w:val="en-US"/>
        </w:rPr>
        <w:t>LDL</w:t>
      </w:r>
      <w:r w:rsidRPr="00197723">
        <w:rPr>
          <w:rFonts w:eastAsia="Times New Roman" w:cs="Arial"/>
          <w:color w:val="000000"/>
          <w:lang w:eastAsia="bg-BG"/>
        </w:rPr>
        <w:t xml:space="preserve">-холестерола и </w:t>
      </w:r>
      <w:r w:rsidRPr="00197723">
        <w:rPr>
          <w:rFonts w:eastAsia="Times New Roman" w:cs="Arial"/>
          <w:color w:val="000000"/>
          <w:lang w:val="en-US"/>
        </w:rPr>
        <w:t>HDL</w:t>
      </w:r>
      <w:r w:rsidRPr="00197723">
        <w:rPr>
          <w:rFonts w:eastAsia="Times New Roman" w:cs="Arial"/>
          <w:color w:val="000000"/>
          <w:lang w:val="ru-RU"/>
        </w:rPr>
        <w:t xml:space="preserve">- </w:t>
      </w:r>
      <w:r w:rsidRPr="00197723">
        <w:rPr>
          <w:rFonts w:eastAsia="Times New Roman" w:cs="Arial"/>
          <w:color w:val="000000"/>
          <w:lang w:eastAsia="bg-BG"/>
        </w:rPr>
        <w:t>холестерола,</w:t>
      </w:r>
    </w:p>
    <w:p w14:paraId="653C8367" w14:textId="4AC9CF18" w:rsidR="00197723" w:rsidRPr="00197723" w:rsidRDefault="00197723" w:rsidP="00197723">
      <w:pPr>
        <w:pStyle w:val="ListParagraph"/>
        <w:numPr>
          <w:ilvl w:val="0"/>
          <w:numId w:val="2"/>
        </w:numPr>
        <w:spacing w:line="240" w:lineRule="auto"/>
        <w:rPr>
          <w:rFonts w:eastAsia="Times New Roman" w:cs="Arial"/>
          <w:color w:val="000000"/>
          <w:lang w:eastAsia="bg-BG"/>
        </w:rPr>
      </w:pPr>
      <w:r w:rsidRPr="00197723">
        <w:rPr>
          <w:rFonts w:eastAsia="Times New Roman" w:cs="Arial"/>
          <w:color w:val="000000"/>
          <w:lang w:eastAsia="bg-BG"/>
        </w:rPr>
        <w:t>не оказва влияние върху метаболизма на въглехидратите, даже и при хипертоници с диабет.</w:t>
      </w:r>
    </w:p>
    <w:p w14:paraId="703636CC" w14:textId="77777777" w:rsidR="00197723" w:rsidRPr="00197723" w:rsidRDefault="00197723" w:rsidP="00197723">
      <w:pPr>
        <w:spacing w:line="240" w:lineRule="auto"/>
        <w:rPr>
          <w:rFonts w:eastAsia="Times New Roman" w:cs="Arial"/>
          <w:color w:val="000000"/>
          <w:lang w:eastAsia="bg-BG"/>
        </w:rPr>
      </w:pPr>
    </w:p>
    <w:p w14:paraId="5D89E2E1" w14:textId="06150A3B"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Данни от клиничните проучвания за двойната блокада на системата ренин-ангиотензин-алдостерон </w:t>
      </w:r>
      <w:r w:rsidRPr="00197723">
        <w:rPr>
          <w:rFonts w:eastAsia="Times New Roman" w:cs="Arial"/>
          <w:color w:val="000000"/>
          <w:lang w:val="ru-RU"/>
        </w:rPr>
        <w:t>(</w:t>
      </w:r>
      <w:r w:rsidRPr="00197723">
        <w:rPr>
          <w:rFonts w:eastAsia="Times New Roman" w:cs="Arial"/>
          <w:color w:val="000000"/>
          <w:lang w:val="en-US"/>
        </w:rPr>
        <w:t>RAAS</w:t>
      </w:r>
      <w:r w:rsidRPr="00197723">
        <w:rPr>
          <w:rFonts w:eastAsia="Times New Roman" w:cs="Arial"/>
          <w:color w:val="000000"/>
          <w:lang w:val="ru-RU"/>
        </w:rPr>
        <w:t>):</w:t>
      </w:r>
    </w:p>
    <w:p w14:paraId="5AAB6E88" w14:textId="77777777" w:rsidR="00197723" w:rsidRPr="00197723" w:rsidRDefault="00197723" w:rsidP="00197723">
      <w:pPr>
        <w:spacing w:line="240" w:lineRule="auto"/>
        <w:rPr>
          <w:rFonts w:eastAsia="Times New Roman" w:cs="Arial"/>
          <w:color w:val="000000"/>
          <w:lang w:eastAsia="bg-BG"/>
        </w:rPr>
      </w:pPr>
    </w:p>
    <w:p w14:paraId="0DD1B120" w14:textId="6AE1273E"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Две големи рандомизирани контролирани проучвания - </w:t>
      </w:r>
      <w:r w:rsidRPr="00197723">
        <w:rPr>
          <w:rFonts w:eastAsia="Times New Roman" w:cs="Arial"/>
          <w:color w:val="000000"/>
          <w:lang w:val="en-US"/>
        </w:rPr>
        <w:t>ONTARGET</w:t>
      </w:r>
      <w:r w:rsidRPr="00197723">
        <w:rPr>
          <w:rFonts w:eastAsia="Times New Roman" w:cs="Arial"/>
          <w:color w:val="000000"/>
        </w:rPr>
        <w:t xml:space="preserve"> (</w:t>
      </w:r>
      <w:proofErr w:type="spellStart"/>
      <w:r w:rsidRPr="00197723">
        <w:rPr>
          <w:rFonts w:eastAsia="Times New Roman" w:cs="Arial"/>
          <w:color w:val="000000"/>
          <w:lang w:val="en-US"/>
        </w:rPr>
        <w:t>ONgoing</w:t>
      </w:r>
      <w:proofErr w:type="spellEnd"/>
      <w:r w:rsidRPr="00197723">
        <w:rPr>
          <w:rFonts w:eastAsia="Times New Roman" w:cs="Arial"/>
          <w:color w:val="000000"/>
        </w:rPr>
        <w:t xml:space="preserve"> </w:t>
      </w:r>
      <w:proofErr w:type="spellStart"/>
      <w:r w:rsidRPr="00197723">
        <w:rPr>
          <w:rFonts w:eastAsia="Times New Roman" w:cs="Arial"/>
          <w:color w:val="000000"/>
          <w:lang w:val="en-US"/>
        </w:rPr>
        <w:t>Telmisartan</w:t>
      </w:r>
      <w:proofErr w:type="spellEnd"/>
      <w:r w:rsidRPr="00197723">
        <w:rPr>
          <w:rFonts w:eastAsia="Times New Roman" w:cs="Arial"/>
          <w:color w:val="000000"/>
        </w:rPr>
        <w:t xml:space="preserve"> </w:t>
      </w:r>
      <w:r w:rsidRPr="00197723">
        <w:rPr>
          <w:rFonts w:eastAsia="Times New Roman" w:cs="Arial"/>
          <w:color w:val="000000"/>
          <w:lang w:val="en-US"/>
        </w:rPr>
        <w:t>Alone</w:t>
      </w:r>
      <w:r w:rsidRPr="00197723">
        <w:rPr>
          <w:rFonts w:eastAsia="Times New Roman" w:cs="Arial"/>
          <w:color w:val="000000"/>
        </w:rPr>
        <w:t xml:space="preserve"> </w:t>
      </w:r>
      <w:r w:rsidRPr="00197723">
        <w:rPr>
          <w:rFonts w:eastAsia="Times New Roman" w:cs="Arial"/>
          <w:color w:val="000000"/>
          <w:lang w:val="en-US"/>
        </w:rPr>
        <w:t>and</w:t>
      </w:r>
      <w:r w:rsidRPr="00197723">
        <w:rPr>
          <w:rFonts w:eastAsia="Times New Roman" w:cs="Arial"/>
          <w:color w:val="000000"/>
        </w:rPr>
        <w:t xml:space="preserve"> </w:t>
      </w:r>
      <w:r w:rsidRPr="00197723">
        <w:rPr>
          <w:rFonts w:eastAsia="Times New Roman" w:cs="Arial"/>
          <w:color w:val="000000"/>
          <w:lang w:val="en-US"/>
        </w:rPr>
        <w:t>in</w:t>
      </w:r>
      <w:r w:rsidRPr="00197723">
        <w:rPr>
          <w:rFonts w:eastAsia="Times New Roman" w:cs="Arial"/>
          <w:color w:val="000000"/>
        </w:rPr>
        <w:t xml:space="preserve"> </w:t>
      </w:r>
      <w:r w:rsidRPr="00197723">
        <w:rPr>
          <w:rFonts w:eastAsia="Times New Roman" w:cs="Arial"/>
          <w:color w:val="000000"/>
          <w:lang w:val="en-US"/>
        </w:rPr>
        <w:t>combination</w:t>
      </w:r>
      <w:r w:rsidRPr="00197723">
        <w:rPr>
          <w:rFonts w:eastAsia="Times New Roman" w:cs="Arial"/>
          <w:color w:val="000000"/>
        </w:rPr>
        <w:t xml:space="preserve"> </w:t>
      </w:r>
      <w:r w:rsidRPr="00197723">
        <w:rPr>
          <w:rFonts w:eastAsia="Times New Roman" w:cs="Arial"/>
          <w:color w:val="000000"/>
          <w:lang w:val="en-US"/>
        </w:rPr>
        <w:t>with</w:t>
      </w:r>
      <w:r w:rsidRPr="00197723">
        <w:rPr>
          <w:rFonts w:eastAsia="Times New Roman" w:cs="Arial"/>
          <w:color w:val="000000"/>
        </w:rPr>
        <w:t xml:space="preserve"> </w:t>
      </w:r>
      <w:r w:rsidRPr="00197723">
        <w:rPr>
          <w:rFonts w:eastAsia="Times New Roman" w:cs="Arial"/>
          <w:color w:val="000000"/>
          <w:lang w:val="en-US"/>
        </w:rPr>
        <w:t>Ramipril</w:t>
      </w:r>
      <w:r w:rsidRPr="00197723">
        <w:rPr>
          <w:rFonts w:eastAsia="Times New Roman" w:cs="Arial"/>
          <w:color w:val="000000"/>
        </w:rPr>
        <w:t xml:space="preserve"> </w:t>
      </w:r>
      <w:r w:rsidRPr="00197723">
        <w:rPr>
          <w:rFonts w:eastAsia="Times New Roman" w:cs="Arial"/>
          <w:color w:val="000000"/>
          <w:lang w:val="en-US"/>
        </w:rPr>
        <w:t>Global</w:t>
      </w:r>
      <w:r w:rsidRPr="00197723">
        <w:rPr>
          <w:rFonts w:eastAsia="Times New Roman" w:cs="Arial"/>
          <w:color w:val="000000"/>
        </w:rPr>
        <w:t xml:space="preserve"> </w:t>
      </w:r>
      <w:r w:rsidRPr="00197723">
        <w:rPr>
          <w:rFonts w:eastAsia="Times New Roman" w:cs="Arial"/>
          <w:color w:val="000000"/>
          <w:lang w:val="en-US"/>
        </w:rPr>
        <w:t>Endpoint</w:t>
      </w:r>
      <w:r w:rsidRPr="00197723">
        <w:rPr>
          <w:rFonts w:eastAsia="Times New Roman" w:cs="Arial"/>
          <w:color w:val="000000"/>
        </w:rPr>
        <w:t xml:space="preserve"> </w:t>
      </w:r>
      <w:r w:rsidRPr="00197723">
        <w:rPr>
          <w:rFonts w:eastAsia="Times New Roman" w:cs="Arial"/>
          <w:color w:val="000000"/>
          <w:lang w:val="en-US"/>
        </w:rPr>
        <w:t>Trial</w:t>
      </w:r>
      <w:r w:rsidRPr="00197723">
        <w:rPr>
          <w:rFonts w:eastAsia="Times New Roman" w:cs="Arial"/>
          <w:color w:val="000000"/>
        </w:rPr>
        <w:t xml:space="preserve"> - </w:t>
      </w:r>
      <w:r w:rsidRPr="00197723">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97723">
        <w:rPr>
          <w:rFonts w:eastAsia="Times New Roman" w:cs="Arial"/>
          <w:color w:val="000000"/>
          <w:lang w:val="en-US"/>
        </w:rPr>
        <w:t>VA</w:t>
      </w:r>
      <w:r w:rsidRPr="00197723">
        <w:rPr>
          <w:rFonts w:eastAsia="Times New Roman" w:cs="Arial"/>
          <w:color w:val="000000"/>
        </w:rPr>
        <w:t xml:space="preserve"> </w:t>
      </w:r>
      <w:r w:rsidRPr="00197723">
        <w:rPr>
          <w:rFonts w:eastAsia="Times New Roman" w:cs="Arial"/>
          <w:color w:val="000000"/>
          <w:lang w:val="en-US"/>
        </w:rPr>
        <w:t>NEPHRON</w:t>
      </w:r>
      <w:r w:rsidRPr="00197723">
        <w:rPr>
          <w:rFonts w:eastAsia="Times New Roman" w:cs="Arial"/>
          <w:color w:val="000000"/>
        </w:rPr>
        <w:t>-</w:t>
      </w:r>
      <w:r w:rsidRPr="00197723">
        <w:rPr>
          <w:rFonts w:eastAsia="Times New Roman" w:cs="Arial"/>
          <w:color w:val="000000"/>
          <w:lang w:val="en-US"/>
        </w:rPr>
        <w:t>D</w:t>
      </w:r>
      <w:r w:rsidRPr="00197723">
        <w:rPr>
          <w:rFonts w:eastAsia="Times New Roman" w:cs="Arial"/>
          <w:color w:val="000000"/>
        </w:rPr>
        <w:t xml:space="preserve"> </w:t>
      </w:r>
      <w:r w:rsidRPr="00197723">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39BF7848" w14:textId="77777777" w:rsidR="00197723" w:rsidRPr="00197723" w:rsidRDefault="00197723" w:rsidP="00197723">
      <w:pPr>
        <w:spacing w:line="240" w:lineRule="auto"/>
        <w:rPr>
          <w:rFonts w:eastAsia="Times New Roman" w:cs="Arial"/>
          <w:color w:val="000000"/>
          <w:lang w:val="en-US"/>
        </w:rPr>
      </w:pPr>
    </w:p>
    <w:p w14:paraId="4084D4DE" w14:textId="7DBC3EBB" w:rsidR="00197723" w:rsidRPr="00197723" w:rsidRDefault="00197723" w:rsidP="00197723">
      <w:pPr>
        <w:spacing w:line="240" w:lineRule="auto"/>
        <w:rPr>
          <w:rFonts w:eastAsia="Times New Roman" w:cs="Arial"/>
        </w:rPr>
      </w:pPr>
      <w:r w:rsidRPr="00197723">
        <w:rPr>
          <w:rFonts w:eastAsia="Times New Roman" w:cs="Arial"/>
          <w:color w:val="000000"/>
          <w:lang w:val="en-US"/>
        </w:rPr>
        <w:t>ONTARGET</w:t>
      </w:r>
      <w:r w:rsidRPr="00197723">
        <w:rPr>
          <w:rFonts w:eastAsia="Times New Roman" w:cs="Arial"/>
          <w:color w:val="000000"/>
          <w:lang w:val="ru-RU"/>
        </w:rPr>
        <w:t xml:space="preserve"> </w:t>
      </w:r>
      <w:r w:rsidRPr="00197723">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97723">
        <w:rPr>
          <w:rFonts w:eastAsia="Times New Roman" w:cs="Arial"/>
          <w:color w:val="000000"/>
          <w:lang w:val="en-US"/>
        </w:rPr>
        <w:t>VA</w:t>
      </w:r>
      <w:r w:rsidRPr="00197723">
        <w:rPr>
          <w:rFonts w:eastAsia="Times New Roman" w:cs="Arial"/>
          <w:color w:val="000000"/>
          <w:lang w:val="ru-RU"/>
        </w:rPr>
        <w:t xml:space="preserve"> </w:t>
      </w:r>
      <w:r w:rsidRPr="00197723">
        <w:rPr>
          <w:rFonts w:eastAsia="Times New Roman" w:cs="Arial"/>
          <w:color w:val="000000"/>
          <w:lang w:val="en-US"/>
        </w:rPr>
        <w:t>NEPHRON</w:t>
      </w:r>
      <w:r w:rsidRPr="00197723">
        <w:rPr>
          <w:rFonts w:eastAsia="Times New Roman" w:cs="Arial"/>
          <w:color w:val="000000"/>
          <w:lang w:val="ru-RU"/>
        </w:rPr>
        <w:t>-</w:t>
      </w:r>
      <w:r w:rsidRPr="00197723">
        <w:rPr>
          <w:rFonts w:eastAsia="Times New Roman" w:cs="Arial"/>
          <w:color w:val="000000"/>
          <w:lang w:val="en-US"/>
        </w:rPr>
        <w:t>D</w:t>
      </w:r>
      <w:r w:rsidRPr="00197723">
        <w:rPr>
          <w:rFonts w:eastAsia="Times New Roman" w:cs="Arial"/>
          <w:color w:val="000000"/>
          <w:lang w:val="ru-RU"/>
        </w:rPr>
        <w:t xml:space="preserve"> </w:t>
      </w:r>
      <w:r w:rsidRPr="00197723">
        <w:rPr>
          <w:rFonts w:eastAsia="Times New Roman" w:cs="Arial"/>
          <w:color w:val="000000"/>
          <w:lang w:eastAsia="bg-BG"/>
        </w:rPr>
        <w:t>е проучване при пациенти със захарен диабет тип 2 и диабетна нефропатия.</w:t>
      </w:r>
    </w:p>
    <w:p w14:paraId="2DEE8E12" w14:textId="77777777" w:rsidR="00197723" w:rsidRPr="00197723" w:rsidRDefault="00197723" w:rsidP="00197723">
      <w:pPr>
        <w:spacing w:line="240" w:lineRule="auto"/>
        <w:rPr>
          <w:rFonts w:eastAsia="Times New Roman" w:cs="Arial"/>
          <w:color w:val="000000"/>
          <w:lang w:eastAsia="bg-BG"/>
        </w:rPr>
      </w:pPr>
    </w:p>
    <w:p w14:paraId="42E723FC" w14:textId="01762ED0" w:rsidR="00197723" w:rsidRPr="00197723" w:rsidRDefault="00197723" w:rsidP="00197723">
      <w:pPr>
        <w:spacing w:line="240" w:lineRule="auto"/>
        <w:rPr>
          <w:rFonts w:eastAsia="Times New Roman" w:cs="Arial"/>
        </w:rPr>
      </w:pPr>
      <w:r w:rsidRPr="00197723">
        <w:rPr>
          <w:rFonts w:eastAsia="Times New Roman" w:cs="Arial"/>
          <w:color w:val="000000"/>
          <w:lang w:eastAsia="bg-BG"/>
        </w:rPr>
        <w:t>Тези проучвания не показват значим благоприятен ефект върху бъбречните и/или сърдечно</w:t>
      </w:r>
      <w:r w:rsidRPr="00197723">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97723">
        <w:rPr>
          <w:rFonts w:eastAsia="Times New Roman" w:cs="Arial"/>
          <w:color w:val="000000"/>
          <w:lang w:val="en-US"/>
        </w:rPr>
        <w:t>II</w:t>
      </w:r>
      <w:r w:rsidRPr="00197723">
        <w:rPr>
          <w:rFonts w:eastAsia="Times New Roman" w:cs="Arial"/>
          <w:color w:val="000000"/>
          <w:lang w:eastAsia="bg-BG"/>
        </w:rPr>
        <w:t>-рецепторни блокери.</w:t>
      </w:r>
    </w:p>
    <w:p w14:paraId="5F118765" w14:textId="77777777" w:rsidR="00197723" w:rsidRPr="00197723" w:rsidRDefault="00197723" w:rsidP="00197723">
      <w:pPr>
        <w:spacing w:line="240" w:lineRule="auto"/>
        <w:rPr>
          <w:rFonts w:eastAsia="Times New Roman" w:cs="Arial"/>
          <w:color w:val="000000"/>
          <w:lang w:eastAsia="bg-BG"/>
        </w:rPr>
      </w:pPr>
    </w:p>
    <w:p w14:paraId="385C647F" w14:textId="3E840E16" w:rsidR="00197723" w:rsidRPr="00197723" w:rsidRDefault="00197723" w:rsidP="00197723">
      <w:pPr>
        <w:spacing w:line="240" w:lineRule="auto"/>
        <w:rPr>
          <w:rFonts w:eastAsia="Times New Roman" w:cs="Arial"/>
          <w:color w:val="000000"/>
          <w:lang w:eastAsia="bg-BG"/>
        </w:rPr>
      </w:pPr>
      <w:r w:rsidRPr="00197723">
        <w:rPr>
          <w:rFonts w:eastAsia="Times New Roman" w:cs="Arial"/>
          <w:color w:val="000000"/>
          <w:lang w:eastAsia="bg-BG"/>
        </w:rPr>
        <w:t xml:space="preserve">АСЕ инхибитори и ангиотензин </w:t>
      </w:r>
      <w:r w:rsidRPr="00197723">
        <w:rPr>
          <w:rFonts w:eastAsia="Times New Roman" w:cs="Arial"/>
          <w:color w:val="000000"/>
          <w:lang w:val="en-US"/>
        </w:rPr>
        <w:t>II</w:t>
      </w:r>
      <w:r w:rsidRPr="00197723">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6B1D42CC" w14:textId="5C988006" w:rsidR="00197723" w:rsidRPr="00197723" w:rsidRDefault="00197723" w:rsidP="00197723">
      <w:pPr>
        <w:spacing w:line="240" w:lineRule="auto"/>
        <w:rPr>
          <w:rFonts w:eastAsia="Times New Roman" w:cs="Arial"/>
          <w:color w:val="000000"/>
          <w:lang w:eastAsia="bg-BG"/>
        </w:rPr>
      </w:pPr>
    </w:p>
    <w:p w14:paraId="61744004" w14:textId="5CD6AC34" w:rsidR="00197723" w:rsidRPr="00197723" w:rsidRDefault="00197723" w:rsidP="00197723">
      <w:pPr>
        <w:spacing w:line="240" w:lineRule="auto"/>
        <w:rPr>
          <w:rFonts w:eastAsia="Times New Roman" w:cs="Arial"/>
        </w:rPr>
      </w:pPr>
      <w:r w:rsidRPr="00197723">
        <w:rPr>
          <w:rFonts w:cs="Arial"/>
          <w:lang w:val="en-US"/>
        </w:rPr>
        <w:t>ALTITUDE</w:t>
      </w:r>
      <w:r w:rsidRPr="00197723">
        <w:rPr>
          <w:rFonts w:cs="Arial"/>
          <w:lang w:val="ru-RU"/>
        </w:rPr>
        <w:t xml:space="preserve"> </w:t>
      </w:r>
      <w:r w:rsidRPr="00197723">
        <w:rPr>
          <w:rFonts w:cs="Arial"/>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97723">
        <w:rPr>
          <w:rFonts w:cs="Arial"/>
          <w:lang w:val="en-US"/>
        </w:rPr>
        <w:t>II</w:t>
      </w:r>
      <w:r w:rsidRPr="00197723">
        <w:rPr>
          <w:rFonts w:cs="Arial"/>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w:t>
      </w:r>
      <w:r w:rsidRPr="00197723">
        <w:rPr>
          <w:rFonts w:cs="Arial"/>
        </w:rPr>
        <w:softHyphen/>
        <w:t>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FAC33FC" w14:textId="77777777" w:rsidR="00197723" w:rsidRPr="00197723" w:rsidRDefault="00197723" w:rsidP="00197723"/>
    <w:p w14:paraId="35F84B81" w14:textId="7E211A48" w:rsidR="00CF77F7" w:rsidRDefault="002C50EE" w:rsidP="004A448E">
      <w:pPr>
        <w:pStyle w:val="Heading2"/>
      </w:pPr>
      <w:r>
        <w:t>5.2. Фармакокинетични свойства</w:t>
      </w:r>
    </w:p>
    <w:p w14:paraId="56FA30D2" w14:textId="572FBB15" w:rsidR="00197723" w:rsidRDefault="00197723" w:rsidP="00197723"/>
    <w:p w14:paraId="3216D220" w14:textId="77777777"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 xml:space="preserve">Свързани с Нолипрел 2,5 </w:t>
      </w:r>
      <w:r w:rsidRPr="00197723">
        <w:rPr>
          <w:rFonts w:eastAsia="Times New Roman" w:cs="Arial"/>
          <w:i/>
          <w:iCs/>
          <w:color w:val="000000"/>
          <w:lang w:val="en-US"/>
        </w:rPr>
        <w:t>mg</w:t>
      </w:r>
      <w:r w:rsidRPr="00197723">
        <w:rPr>
          <w:rFonts w:eastAsia="Times New Roman" w:cs="Arial"/>
          <w:i/>
          <w:iCs/>
          <w:color w:val="000000"/>
          <w:lang w:val="ru-RU"/>
        </w:rPr>
        <w:t xml:space="preserve"> </w:t>
      </w:r>
      <w:r w:rsidRPr="00197723">
        <w:rPr>
          <w:rFonts w:eastAsia="Times New Roman" w:cs="Arial"/>
          <w:i/>
          <w:iCs/>
          <w:color w:val="000000"/>
          <w:lang w:eastAsia="bg-BG"/>
        </w:rPr>
        <w:t xml:space="preserve">/ 0,625 </w:t>
      </w:r>
      <w:r w:rsidRPr="00197723">
        <w:rPr>
          <w:rFonts w:eastAsia="Times New Roman" w:cs="Arial"/>
          <w:i/>
          <w:iCs/>
          <w:color w:val="000000"/>
          <w:lang w:val="en-US"/>
        </w:rPr>
        <w:t>mg</w:t>
      </w:r>
      <w:r w:rsidRPr="00197723">
        <w:rPr>
          <w:rFonts w:eastAsia="Times New Roman" w:cs="Arial"/>
          <w:i/>
          <w:iCs/>
          <w:color w:val="000000"/>
          <w:lang w:val="ru-RU"/>
        </w:rPr>
        <w:t>:</w:t>
      </w:r>
    </w:p>
    <w:p w14:paraId="4C56D9B5" w14:textId="77777777" w:rsidR="00197723" w:rsidRPr="00197723" w:rsidRDefault="00197723" w:rsidP="00197723">
      <w:pPr>
        <w:spacing w:line="240" w:lineRule="auto"/>
        <w:rPr>
          <w:rFonts w:eastAsia="Times New Roman" w:cs="Arial"/>
          <w:color w:val="000000"/>
          <w:lang w:eastAsia="bg-BG"/>
        </w:rPr>
      </w:pPr>
      <w:r w:rsidRPr="00197723">
        <w:rPr>
          <w:rFonts w:eastAsia="Times New Roman" w:cs="Arial"/>
          <w:color w:val="000000"/>
          <w:lang w:eastAsia="bg-BG"/>
        </w:rPr>
        <w:t xml:space="preserve">Едновременното прилагане на периндоприл и индапамид не променя техните фармакокинетични свойства в </w:t>
      </w:r>
    </w:p>
    <w:p w14:paraId="3087D2C5" w14:textId="5606577A" w:rsidR="00197723" w:rsidRPr="00197723" w:rsidRDefault="00197723" w:rsidP="00197723">
      <w:pPr>
        <w:spacing w:line="240" w:lineRule="auto"/>
        <w:rPr>
          <w:rFonts w:eastAsia="Times New Roman" w:cs="Arial"/>
        </w:rPr>
      </w:pPr>
      <w:r w:rsidRPr="00197723">
        <w:rPr>
          <w:rFonts w:eastAsia="Times New Roman" w:cs="Arial"/>
          <w:color w:val="000000"/>
          <w:lang w:eastAsia="bg-BG"/>
        </w:rPr>
        <w:t>сравнение със самостоятелното им приложение.</w:t>
      </w:r>
    </w:p>
    <w:p w14:paraId="5CF8EF68" w14:textId="77777777" w:rsidR="00197723" w:rsidRPr="00197723" w:rsidRDefault="00197723" w:rsidP="00197723">
      <w:pPr>
        <w:spacing w:line="240" w:lineRule="auto"/>
        <w:rPr>
          <w:rFonts w:eastAsia="Times New Roman" w:cs="Arial"/>
          <w:i/>
          <w:iCs/>
          <w:color w:val="000000"/>
          <w:lang w:eastAsia="bg-BG"/>
        </w:rPr>
      </w:pPr>
    </w:p>
    <w:p w14:paraId="65AD8B6F" w14:textId="3AEACE4B"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Свързани с периндоприл:</w:t>
      </w:r>
    </w:p>
    <w:p w14:paraId="4840C3C2" w14:textId="77777777" w:rsidR="00197723" w:rsidRPr="00197723" w:rsidRDefault="00197723" w:rsidP="00197723">
      <w:pPr>
        <w:spacing w:line="240" w:lineRule="auto"/>
        <w:rPr>
          <w:rFonts w:eastAsia="Times New Roman" w:cs="Arial"/>
          <w:color w:val="000000"/>
          <w:lang w:eastAsia="bg-BG"/>
        </w:rPr>
      </w:pPr>
    </w:p>
    <w:p w14:paraId="4DCB002F" w14:textId="550552A7" w:rsidR="00197723" w:rsidRPr="00197723" w:rsidRDefault="00197723" w:rsidP="00197723">
      <w:pPr>
        <w:pStyle w:val="Heading3"/>
        <w:rPr>
          <w:rFonts w:eastAsia="Times New Roman"/>
          <w:u w:val="single"/>
        </w:rPr>
      </w:pPr>
      <w:r w:rsidRPr="00197723">
        <w:rPr>
          <w:rFonts w:eastAsia="Times New Roman"/>
          <w:u w:val="single"/>
          <w:lang w:eastAsia="bg-BG"/>
        </w:rPr>
        <w:t>Резорбция и бионаличност</w:t>
      </w:r>
    </w:p>
    <w:p w14:paraId="7FD2E343"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След перорален прием периндоприл се резорбира бързо и пикови концентрации се достигат в рамките на 1 час. Плазменият полуживот на периндоприл е равен на 1 час.</w:t>
      </w:r>
    </w:p>
    <w:p w14:paraId="58657986"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Тъй като приемането на храна понижава превръщането в периндоприлат, а оттам и бионаличността, периндоприл аргинин трябва да се приема пероралнно като еднократна дневна доза сутрин преди хранене.</w:t>
      </w:r>
    </w:p>
    <w:p w14:paraId="3A2BCC19" w14:textId="77777777" w:rsidR="00197723" w:rsidRPr="00197723" w:rsidRDefault="00197723" w:rsidP="00197723">
      <w:pPr>
        <w:spacing w:line="240" w:lineRule="auto"/>
        <w:rPr>
          <w:rFonts w:eastAsia="Times New Roman" w:cs="Arial"/>
          <w:color w:val="000000"/>
          <w:lang w:eastAsia="bg-BG"/>
        </w:rPr>
      </w:pPr>
    </w:p>
    <w:p w14:paraId="47F3F101" w14:textId="77A2C350" w:rsidR="00197723" w:rsidRPr="00197723" w:rsidRDefault="00197723" w:rsidP="00197723">
      <w:pPr>
        <w:pStyle w:val="Heading3"/>
        <w:rPr>
          <w:rFonts w:eastAsia="Times New Roman"/>
          <w:u w:val="single"/>
        </w:rPr>
      </w:pPr>
      <w:r w:rsidRPr="00197723">
        <w:rPr>
          <w:rFonts w:eastAsia="Times New Roman"/>
          <w:u w:val="single"/>
          <w:lang w:eastAsia="bg-BG"/>
        </w:rPr>
        <w:t>Разпределение</w:t>
      </w:r>
    </w:p>
    <w:p w14:paraId="74719FB5"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Обемът на разпределение е приблизително 0,2 </w:t>
      </w:r>
      <w:r w:rsidRPr="00197723">
        <w:rPr>
          <w:rFonts w:eastAsia="Times New Roman" w:cs="Arial"/>
          <w:color w:val="000000"/>
          <w:lang w:val="en-US"/>
        </w:rPr>
        <w:t>l</w:t>
      </w:r>
      <w:r w:rsidRPr="00197723">
        <w:rPr>
          <w:rFonts w:eastAsia="Times New Roman" w:cs="Arial"/>
          <w:color w:val="000000"/>
          <w:lang w:val="ru-RU"/>
        </w:rPr>
        <w:t>/</w:t>
      </w:r>
      <w:r w:rsidRPr="00197723">
        <w:rPr>
          <w:rFonts w:eastAsia="Times New Roman" w:cs="Arial"/>
          <w:color w:val="000000"/>
          <w:lang w:val="en-US"/>
        </w:rPr>
        <w:t>kg</w:t>
      </w:r>
      <w:r w:rsidRPr="00197723">
        <w:rPr>
          <w:rFonts w:eastAsia="Times New Roman" w:cs="Arial"/>
          <w:color w:val="000000"/>
          <w:lang w:val="ru-RU"/>
        </w:rPr>
        <w:t xml:space="preserve"> </w:t>
      </w:r>
      <w:r w:rsidRPr="00197723">
        <w:rPr>
          <w:rFonts w:eastAsia="Times New Roman" w:cs="Arial"/>
          <w:color w:val="000000"/>
          <w:lang w:eastAsia="bg-BG"/>
        </w:rPr>
        <w:t>за несвързания периндоприлат. Свързването с плазмените протеини на периндоприлат е 20%, главно с ангиотензин-конвертиращия ензим, но е зависимо от концентрацията.</w:t>
      </w:r>
    </w:p>
    <w:p w14:paraId="1CBB13ED" w14:textId="77777777" w:rsidR="00197723" w:rsidRPr="00197723" w:rsidRDefault="00197723" w:rsidP="00197723">
      <w:pPr>
        <w:spacing w:line="240" w:lineRule="auto"/>
        <w:rPr>
          <w:rFonts w:eastAsia="Times New Roman" w:cs="Arial"/>
          <w:color w:val="000000"/>
          <w:lang w:eastAsia="bg-BG"/>
        </w:rPr>
      </w:pPr>
    </w:p>
    <w:p w14:paraId="4608D59E" w14:textId="3D41B49F" w:rsidR="00197723" w:rsidRPr="00197723" w:rsidRDefault="00197723" w:rsidP="00197723">
      <w:pPr>
        <w:pStyle w:val="Heading3"/>
        <w:rPr>
          <w:rFonts w:eastAsia="Times New Roman"/>
          <w:u w:val="single"/>
        </w:rPr>
      </w:pPr>
      <w:r w:rsidRPr="00197723">
        <w:rPr>
          <w:rFonts w:eastAsia="Times New Roman"/>
          <w:u w:val="single"/>
          <w:lang w:eastAsia="bg-BG"/>
        </w:rPr>
        <w:t>Биотрансформация</w:t>
      </w:r>
    </w:p>
    <w:p w14:paraId="5BF7F9C5"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Периндоприл е лекарствен прекурсор. Двадесет и седем процента от приетото количество периндоприл достигат до кръвообращението под формата на активния метаболит периндоприлат. В допълнение към активното вещество периндоприлат периндоприл дава още пет метаболита, всичките неактивни. Пикови плазмени концентрации на периндоприлат се достигат в рамките на 3 до 4 часа.</w:t>
      </w:r>
    </w:p>
    <w:p w14:paraId="7F20E365" w14:textId="77777777" w:rsidR="00197723" w:rsidRPr="00197723" w:rsidRDefault="00197723" w:rsidP="00197723">
      <w:pPr>
        <w:spacing w:line="240" w:lineRule="auto"/>
        <w:rPr>
          <w:rFonts w:eastAsia="Times New Roman" w:cs="Arial"/>
          <w:color w:val="000000"/>
          <w:lang w:eastAsia="bg-BG"/>
        </w:rPr>
      </w:pPr>
    </w:p>
    <w:p w14:paraId="5335DF92" w14:textId="4FF82E9B" w:rsidR="00197723" w:rsidRPr="00197723" w:rsidRDefault="00197723" w:rsidP="00197723">
      <w:pPr>
        <w:pStyle w:val="Heading3"/>
        <w:rPr>
          <w:rFonts w:eastAsia="Times New Roman"/>
          <w:u w:val="single"/>
        </w:rPr>
      </w:pPr>
      <w:r w:rsidRPr="00197723">
        <w:rPr>
          <w:rFonts w:eastAsia="Times New Roman"/>
          <w:u w:val="single"/>
          <w:lang w:eastAsia="bg-BG"/>
        </w:rPr>
        <w:t>Елиминиране</w:t>
      </w:r>
    </w:p>
    <w:p w14:paraId="54CEB82F"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Периндоприлат се елиминира с урината и терминалният полуживот на несвързаната фракция е приблизително 17 часа, в резултат на което равновесни концентрации се достигат в рамките на 4 дни.</w:t>
      </w:r>
    </w:p>
    <w:p w14:paraId="14F57161" w14:textId="77777777" w:rsidR="00197723" w:rsidRPr="00197723" w:rsidRDefault="00197723" w:rsidP="00197723">
      <w:pPr>
        <w:spacing w:line="240" w:lineRule="auto"/>
        <w:rPr>
          <w:rFonts w:eastAsia="Times New Roman" w:cs="Arial"/>
          <w:color w:val="000000"/>
          <w:lang w:eastAsia="bg-BG"/>
        </w:rPr>
      </w:pPr>
    </w:p>
    <w:p w14:paraId="197CBC3E" w14:textId="00E965DD" w:rsidR="00197723" w:rsidRPr="00197723" w:rsidRDefault="00197723" w:rsidP="00197723">
      <w:pPr>
        <w:pStyle w:val="Heading3"/>
        <w:rPr>
          <w:rFonts w:eastAsia="Times New Roman"/>
          <w:u w:val="single"/>
        </w:rPr>
      </w:pPr>
      <w:r w:rsidRPr="00197723">
        <w:rPr>
          <w:rFonts w:eastAsia="Times New Roman"/>
          <w:u w:val="single"/>
          <w:lang w:eastAsia="bg-BG"/>
        </w:rPr>
        <w:lastRenderedPageBreak/>
        <w:t>Линейност/нелинейност</w:t>
      </w:r>
    </w:p>
    <w:p w14:paraId="614E4FD8"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Демонстрирана е линейна зависимост между приетата доза периндоприл и плазмената експозиция.</w:t>
      </w:r>
    </w:p>
    <w:p w14:paraId="2B308EF7" w14:textId="77777777" w:rsidR="00197723" w:rsidRPr="00197723" w:rsidRDefault="00197723" w:rsidP="00197723">
      <w:pPr>
        <w:spacing w:line="240" w:lineRule="auto"/>
        <w:rPr>
          <w:rFonts w:eastAsia="Times New Roman" w:cs="Arial"/>
          <w:color w:val="000000"/>
          <w:lang w:eastAsia="bg-BG"/>
        </w:rPr>
      </w:pPr>
    </w:p>
    <w:p w14:paraId="1459E996" w14:textId="2C89528C" w:rsidR="00197723" w:rsidRPr="00197723" w:rsidRDefault="00197723" w:rsidP="00197723">
      <w:pPr>
        <w:spacing w:line="240" w:lineRule="auto"/>
        <w:rPr>
          <w:rFonts w:eastAsia="Times New Roman" w:cs="Arial"/>
        </w:rPr>
      </w:pPr>
      <w:r w:rsidRPr="00197723">
        <w:rPr>
          <w:rFonts w:eastAsia="Times New Roman" w:cs="Arial"/>
          <w:color w:val="000000"/>
          <w:lang w:eastAsia="bg-BG"/>
        </w:rPr>
        <w:t>Специални популации</w:t>
      </w:r>
    </w:p>
    <w:p w14:paraId="16DCB7F1" w14:textId="77777777" w:rsidR="00197723" w:rsidRPr="00197723" w:rsidRDefault="00197723" w:rsidP="00197723">
      <w:pPr>
        <w:spacing w:line="240" w:lineRule="auto"/>
        <w:rPr>
          <w:rFonts w:eastAsia="Times New Roman" w:cs="Arial"/>
          <w:i/>
          <w:iCs/>
          <w:color w:val="000000"/>
          <w:lang w:eastAsia="bg-BG"/>
        </w:rPr>
      </w:pPr>
    </w:p>
    <w:p w14:paraId="5862EA58" w14:textId="2BC099E5"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Пациенти в напреднала възраст:</w:t>
      </w:r>
    </w:p>
    <w:p w14:paraId="65C51D6A"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Елиминацията на периндоприлат се понижава при напреднала възраст и при пациенти със сърдечна или бъбречна недостатъчност.</w:t>
      </w:r>
    </w:p>
    <w:p w14:paraId="5D2909D1" w14:textId="270B6285" w:rsidR="00197723" w:rsidRPr="00197723" w:rsidRDefault="00197723" w:rsidP="00197723">
      <w:pPr>
        <w:rPr>
          <w:rFonts w:cs="Arial"/>
        </w:rPr>
      </w:pPr>
    </w:p>
    <w:p w14:paraId="761936D2" w14:textId="77777777"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Пациенти с бъбречна недостатъчност:</w:t>
      </w:r>
    </w:p>
    <w:p w14:paraId="4059136B"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При бъбречна недостатъчност е желателна корекция на дозата, в зависимост от степента на нарушението (креатининовия клирънс).</w:t>
      </w:r>
    </w:p>
    <w:p w14:paraId="3D51317A" w14:textId="77777777" w:rsidR="00197723" w:rsidRPr="00197723" w:rsidRDefault="00197723" w:rsidP="00197723">
      <w:pPr>
        <w:spacing w:line="240" w:lineRule="auto"/>
        <w:rPr>
          <w:rFonts w:eastAsia="Times New Roman" w:cs="Arial"/>
          <w:i/>
          <w:iCs/>
          <w:color w:val="000000"/>
          <w:lang w:eastAsia="bg-BG"/>
        </w:rPr>
      </w:pPr>
    </w:p>
    <w:p w14:paraId="344AD6E6" w14:textId="74CED1BD"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В случай на диализа:</w:t>
      </w:r>
    </w:p>
    <w:p w14:paraId="36230607"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 xml:space="preserve">Диализният клирънс на периндоприлат е равен на 70 </w:t>
      </w:r>
      <w:r w:rsidRPr="00197723">
        <w:rPr>
          <w:rFonts w:eastAsia="Times New Roman" w:cs="Arial"/>
          <w:color w:val="000000"/>
          <w:lang w:val="en-US"/>
        </w:rPr>
        <w:t>ml</w:t>
      </w:r>
      <w:r w:rsidRPr="00197723">
        <w:rPr>
          <w:rFonts w:eastAsia="Times New Roman" w:cs="Arial"/>
          <w:color w:val="000000"/>
          <w:lang w:val="ru-RU"/>
        </w:rPr>
        <w:t>/</w:t>
      </w:r>
      <w:r w:rsidRPr="00197723">
        <w:rPr>
          <w:rFonts w:eastAsia="Times New Roman" w:cs="Arial"/>
          <w:color w:val="000000"/>
          <w:lang w:val="en-US"/>
        </w:rPr>
        <w:t>min</w:t>
      </w:r>
      <w:r w:rsidRPr="00197723">
        <w:rPr>
          <w:rFonts w:eastAsia="Times New Roman" w:cs="Arial"/>
          <w:color w:val="000000"/>
          <w:lang w:val="ru-RU"/>
        </w:rPr>
        <w:t>.</w:t>
      </w:r>
    </w:p>
    <w:p w14:paraId="38DC4F42" w14:textId="77777777" w:rsidR="00197723" w:rsidRPr="00197723" w:rsidRDefault="00197723" w:rsidP="00197723">
      <w:pPr>
        <w:spacing w:line="240" w:lineRule="auto"/>
        <w:rPr>
          <w:rFonts w:eastAsia="Times New Roman" w:cs="Arial"/>
          <w:i/>
          <w:iCs/>
          <w:color w:val="000000"/>
          <w:lang w:eastAsia="bg-BG"/>
        </w:rPr>
      </w:pPr>
    </w:p>
    <w:p w14:paraId="78AB1787" w14:textId="6EE3EBDC"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Пациенти с цироза:</w:t>
      </w:r>
    </w:p>
    <w:p w14:paraId="56B27FD7"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Кинетиката на периндоприл е променена при пациенти с цироза: чернодробният клирънс на майчината молекула е намален наполовина. Въпреки това, количеството на образувания периндоприлат не намалява и следователно не се налага съобразяване на дозировката (вж. точки 4.2 и 4.4).</w:t>
      </w:r>
    </w:p>
    <w:p w14:paraId="18DF473B" w14:textId="77777777"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Свързани с индапамид:</w:t>
      </w:r>
    </w:p>
    <w:p w14:paraId="0D2BE639" w14:textId="77777777" w:rsidR="00197723" w:rsidRPr="00197723" w:rsidRDefault="00197723" w:rsidP="00197723">
      <w:pPr>
        <w:spacing w:line="240" w:lineRule="auto"/>
        <w:rPr>
          <w:rFonts w:eastAsia="Times New Roman" w:cs="Arial"/>
          <w:color w:val="000000"/>
          <w:lang w:eastAsia="bg-BG"/>
        </w:rPr>
      </w:pPr>
    </w:p>
    <w:p w14:paraId="48BC5A08" w14:textId="76D96606" w:rsidR="00197723" w:rsidRPr="00197723" w:rsidRDefault="00197723" w:rsidP="00197723">
      <w:pPr>
        <w:pStyle w:val="Heading3"/>
        <w:rPr>
          <w:rFonts w:eastAsia="Times New Roman"/>
          <w:u w:val="single"/>
        </w:rPr>
      </w:pPr>
      <w:r w:rsidRPr="00197723">
        <w:rPr>
          <w:rFonts w:eastAsia="Times New Roman"/>
          <w:u w:val="single"/>
          <w:lang w:eastAsia="bg-BG"/>
        </w:rPr>
        <w:t>Резорбция</w:t>
      </w:r>
    </w:p>
    <w:p w14:paraId="7CD6B633"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Индапамид се резорбира бързо и напълно в храносмилателния тракт.</w:t>
      </w:r>
    </w:p>
    <w:p w14:paraId="5418C5CD"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Пиковата плазмена концентрация се достига при хора приблизително един час след перорален прием на продукта.</w:t>
      </w:r>
    </w:p>
    <w:p w14:paraId="75EB5A39" w14:textId="77777777" w:rsidR="00197723" w:rsidRPr="00197723" w:rsidRDefault="00197723" w:rsidP="00197723">
      <w:pPr>
        <w:spacing w:line="240" w:lineRule="auto"/>
        <w:rPr>
          <w:rFonts w:eastAsia="Times New Roman" w:cs="Arial"/>
          <w:color w:val="000000"/>
          <w:lang w:eastAsia="bg-BG"/>
        </w:rPr>
      </w:pPr>
    </w:p>
    <w:p w14:paraId="55692C4D" w14:textId="682BDDDD" w:rsidR="00197723" w:rsidRPr="00197723" w:rsidRDefault="00197723" w:rsidP="00197723">
      <w:pPr>
        <w:pStyle w:val="Heading3"/>
        <w:rPr>
          <w:rFonts w:eastAsia="Times New Roman"/>
          <w:u w:val="single"/>
        </w:rPr>
      </w:pPr>
      <w:r w:rsidRPr="00197723">
        <w:rPr>
          <w:rFonts w:eastAsia="Times New Roman"/>
          <w:u w:val="single"/>
          <w:lang w:eastAsia="bg-BG"/>
        </w:rPr>
        <w:t>Разпределение</w:t>
      </w:r>
    </w:p>
    <w:p w14:paraId="3ED57637"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Свързването с плазмените протеини е 79%.</w:t>
      </w:r>
    </w:p>
    <w:p w14:paraId="1FA3E073" w14:textId="77777777" w:rsidR="00197723" w:rsidRPr="00197723" w:rsidRDefault="00197723" w:rsidP="00197723">
      <w:pPr>
        <w:spacing w:line="240" w:lineRule="auto"/>
        <w:rPr>
          <w:rFonts w:eastAsia="Times New Roman" w:cs="Arial"/>
          <w:color w:val="000000"/>
          <w:lang w:eastAsia="bg-BG"/>
        </w:rPr>
      </w:pPr>
    </w:p>
    <w:p w14:paraId="1E24F991" w14:textId="60F12EF9" w:rsidR="00197723" w:rsidRPr="00197723" w:rsidRDefault="00197723" w:rsidP="00197723">
      <w:pPr>
        <w:pStyle w:val="Heading3"/>
        <w:rPr>
          <w:rFonts w:eastAsia="Times New Roman"/>
          <w:u w:val="single"/>
        </w:rPr>
      </w:pPr>
      <w:r w:rsidRPr="00197723">
        <w:rPr>
          <w:rFonts w:eastAsia="Times New Roman"/>
          <w:u w:val="single"/>
          <w:lang w:eastAsia="bg-BG"/>
        </w:rPr>
        <w:t>Биотрансформация и елиминиране</w:t>
      </w:r>
    </w:p>
    <w:p w14:paraId="0B870480" w14:textId="77777777" w:rsidR="00197723" w:rsidRPr="00197723" w:rsidRDefault="00197723" w:rsidP="00197723">
      <w:pPr>
        <w:spacing w:line="240" w:lineRule="auto"/>
        <w:rPr>
          <w:rFonts w:eastAsia="Times New Roman" w:cs="Arial"/>
        </w:rPr>
      </w:pPr>
      <w:r w:rsidRPr="00197723">
        <w:rPr>
          <w:rFonts w:eastAsia="Times New Roman" w:cs="Arial"/>
          <w:color w:val="000000"/>
          <w:lang w:eastAsia="bg-BG"/>
        </w:rPr>
        <w:t>Времето на полуживот е между 14 и 24 часа (средно 18 часа). Многократният прием не води до кумулация. Елиминацията е главно с урината (70% от приетата доза) и изпражненията (22%) под формата на неактивни мегаболити.</w:t>
      </w:r>
    </w:p>
    <w:p w14:paraId="41218F5B" w14:textId="77777777" w:rsidR="00197723" w:rsidRPr="00197723" w:rsidRDefault="00197723" w:rsidP="00197723">
      <w:pPr>
        <w:spacing w:line="240" w:lineRule="auto"/>
        <w:rPr>
          <w:rFonts w:eastAsia="Times New Roman" w:cs="Arial"/>
          <w:color w:val="000000"/>
          <w:lang w:eastAsia="bg-BG"/>
        </w:rPr>
      </w:pPr>
    </w:p>
    <w:p w14:paraId="55C4474A" w14:textId="70D89D90" w:rsidR="00197723" w:rsidRPr="00197723" w:rsidRDefault="00197723" w:rsidP="00197723">
      <w:pPr>
        <w:spacing w:line="240" w:lineRule="auto"/>
        <w:rPr>
          <w:rFonts w:eastAsia="Times New Roman" w:cs="Arial"/>
        </w:rPr>
      </w:pPr>
      <w:r w:rsidRPr="00197723">
        <w:rPr>
          <w:rFonts w:eastAsia="Times New Roman" w:cs="Arial"/>
          <w:color w:val="000000"/>
          <w:lang w:eastAsia="bg-BG"/>
        </w:rPr>
        <w:t>Специални популации</w:t>
      </w:r>
    </w:p>
    <w:p w14:paraId="5B589853" w14:textId="77777777" w:rsidR="00197723" w:rsidRPr="00197723" w:rsidRDefault="00197723" w:rsidP="00197723">
      <w:pPr>
        <w:spacing w:line="240" w:lineRule="auto"/>
        <w:rPr>
          <w:rFonts w:eastAsia="Times New Roman" w:cs="Arial"/>
          <w:i/>
          <w:iCs/>
          <w:color w:val="000000"/>
          <w:lang w:eastAsia="bg-BG"/>
        </w:rPr>
      </w:pPr>
    </w:p>
    <w:p w14:paraId="65EFC2D7" w14:textId="6CE65505" w:rsidR="00197723" w:rsidRPr="00197723" w:rsidRDefault="00197723" w:rsidP="00197723">
      <w:pPr>
        <w:spacing w:line="240" w:lineRule="auto"/>
        <w:rPr>
          <w:rFonts w:eastAsia="Times New Roman" w:cs="Arial"/>
        </w:rPr>
      </w:pPr>
      <w:r w:rsidRPr="00197723">
        <w:rPr>
          <w:rFonts w:eastAsia="Times New Roman" w:cs="Arial"/>
          <w:i/>
          <w:iCs/>
          <w:color w:val="000000"/>
          <w:lang w:eastAsia="bg-BG"/>
        </w:rPr>
        <w:t>Пациенти с бъбречна недостатъчност:</w:t>
      </w:r>
    </w:p>
    <w:p w14:paraId="7ACF43D8" w14:textId="3F855B38" w:rsidR="00197723" w:rsidRPr="00197723" w:rsidRDefault="00197723" w:rsidP="00197723">
      <w:pPr>
        <w:rPr>
          <w:rFonts w:eastAsia="Times New Roman" w:cs="Arial"/>
          <w:color w:val="000000"/>
          <w:lang w:eastAsia="bg-BG"/>
        </w:rPr>
      </w:pPr>
      <w:r w:rsidRPr="00197723">
        <w:rPr>
          <w:rFonts w:eastAsia="Times New Roman" w:cs="Arial"/>
          <w:color w:val="000000"/>
          <w:lang w:eastAsia="bg-BG"/>
        </w:rPr>
        <w:t>Фармакокинетичните свойства не се променят при пациенти с бъбречна недостатъчност.</w:t>
      </w:r>
    </w:p>
    <w:p w14:paraId="7A093FEB" w14:textId="77777777" w:rsidR="00197723" w:rsidRPr="00197723" w:rsidRDefault="00197723" w:rsidP="00197723"/>
    <w:p w14:paraId="648E39DA" w14:textId="06A4E181" w:rsidR="00CF77F7" w:rsidRDefault="002C50EE" w:rsidP="004A448E">
      <w:pPr>
        <w:pStyle w:val="Heading2"/>
      </w:pPr>
      <w:r>
        <w:t>5.3. Предклинични данни за безопасност</w:t>
      </w:r>
    </w:p>
    <w:p w14:paraId="7E6BBCA5" w14:textId="0630FB48" w:rsidR="00197723" w:rsidRDefault="00197723" w:rsidP="00197723"/>
    <w:p w14:paraId="3E0B4D3B" w14:textId="77777777" w:rsidR="00197723" w:rsidRPr="00197723" w:rsidRDefault="00197723" w:rsidP="00197723">
      <w:pPr>
        <w:rPr>
          <w:sz w:val="24"/>
          <w:szCs w:val="24"/>
        </w:rPr>
      </w:pPr>
      <w:r w:rsidRPr="00197723">
        <w:rPr>
          <w:lang w:eastAsia="bg-BG"/>
        </w:rPr>
        <w:t xml:space="preserve">Нолипрел 2,5 </w:t>
      </w:r>
      <w:r w:rsidRPr="00197723">
        <w:rPr>
          <w:lang w:val="en-US"/>
        </w:rPr>
        <w:t>mg</w:t>
      </w:r>
      <w:r w:rsidRPr="00197723">
        <w:rPr>
          <w:lang w:val="ru-RU"/>
        </w:rPr>
        <w:t xml:space="preserve"> </w:t>
      </w:r>
      <w:r w:rsidRPr="00197723">
        <w:rPr>
          <w:lang w:eastAsia="bg-BG"/>
        </w:rPr>
        <w:t xml:space="preserve">/ 0,625 </w:t>
      </w:r>
      <w:r w:rsidRPr="00197723">
        <w:rPr>
          <w:lang w:val="en-US"/>
        </w:rPr>
        <w:t>mg</w:t>
      </w:r>
      <w:r w:rsidRPr="00197723">
        <w:rPr>
          <w:lang w:val="ru-RU"/>
        </w:rPr>
        <w:t xml:space="preserve"> </w:t>
      </w:r>
      <w:r w:rsidRPr="00197723">
        <w:rPr>
          <w:lang w:eastAsia="bg-BG"/>
        </w:rPr>
        <w:t>показва малко по-висока токсичност от тази на компонентите си. При плъхове не се наблюдава засилване на бъбречните прояви. Комбинацията, обаче, предизвиква гастро-интестинална токсичност при кучета, а токсичните ефекти върху майката са повишени при плъхове (в сравнение с периндоприл).</w:t>
      </w:r>
    </w:p>
    <w:p w14:paraId="529EA34E" w14:textId="77777777" w:rsidR="00197723" w:rsidRPr="00197723" w:rsidRDefault="00197723" w:rsidP="00197723">
      <w:pPr>
        <w:rPr>
          <w:sz w:val="24"/>
          <w:szCs w:val="24"/>
        </w:rPr>
      </w:pPr>
      <w:r w:rsidRPr="00197723">
        <w:rPr>
          <w:lang w:eastAsia="bg-BG"/>
        </w:rPr>
        <w:lastRenderedPageBreak/>
        <w:t>Въпреки това, тези нежелани реакции се наблюдават при дози много по-различни от използваните терапевтични дози, което показва ясно очертан диапазон на безопасност.</w:t>
      </w:r>
    </w:p>
    <w:p w14:paraId="2024BE05" w14:textId="2AEBBD21" w:rsidR="00197723" w:rsidRPr="00197723" w:rsidRDefault="00197723" w:rsidP="00197723">
      <w:r w:rsidRPr="00197723">
        <w:rPr>
          <w:lang w:eastAsia="bg-BG"/>
        </w:rPr>
        <w:t>Предклиничните изпитвания, проведени поотделно с периндоприл и индапамид, не са показали генетична токсичност или карциногенност. Проучванията за репродуктивна токсичност не показват ембриотоксичност или тератогенен потенциал, а фертилигетът не се нарушава.</w:t>
      </w:r>
    </w:p>
    <w:p w14:paraId="6A7820AB" w14:textId="30C37401" w:rsidR="008A6AF2" w:rsidRDefault="002C50EE" w:rsidP="00395555">
      <w:pPr>
        <w:pStyle w:val="Heading1"/>
      </w:pPr>
      <w:r>
        <w:t>7. ПРИТЕЖАТЕЛ НА РАЗРЕШЕНИЕТО ЗА УПОТРЕБА</w:t>
      </w:r>
    </w:p>
    <w:p w14:paraId="55461C1C" w14:textId="7DB13E87" w:rsidR="00197723" w:rsidRDefault="00197723" w:rsidP="00197723"/>
    <w:p w14:paraId="4007AA36" w14:textId="77777777" w:rsidR="00197723" w:rsidRPr="00197723" w:rsidRDefault="00197723" w:rsidP="00197723">
      <w:pPr>
        <w:rPr>
          <w:sz w:val="24"/>
          <w:szCs w:val="24"/>
          <w:lang w:val="en-US"/>
        </w:rPr>
      </w:pPr>
      <w:r w:rsidRPr="00197723">
        <w:rPr>
          <w:lang w:val="en-US"/>
        </w:rPr>
        <w:t xml:space="preserve">Les </w:t>
      </w:r>
      <w:proofErr w:type="spellStart"/>
      <w:r w:rsidRPr="00197723">
        <w:rPr>
          <w:lang w:val="en-US"/>
        </w:rPr>
        <w:t>Laboratoires</w:t>
      </w:r>
      <w:proofErr w:type="spellEnd"/>
      <w:r w:rsidRPr="00197723">
        <w:rPr>
          <w:lang w:val="en-US"/>
        </w:rPr>
        <w:t xml:space="preserve"> </w:t>
      </w:r>
      <w:proofErr w:type="spellStart"/>
      <w:r w:rsidRPr="00197723">
        <w:rPr>
          <w:lang w:val="en-US"/>
        </w:rPr>
        <w:t>Servier</w:t>
      </w:r>
      <w:proofErr w:type="spellEnd"/>
      <w:r w:rsidRPr="00197723">
        <w:rPr>
          <w:lang w:val="en-US"/>
        </w:rPr>
        <w:t>,</w:t>
      </w:r>
    </w:p>
    <w:p w14:paraId="0119ADEA" w14:textId="77777777" w:rsidR="00197723" w:rsidRPr="00197723" w:rsidRDefault="00197723" w:rsidP="00197723">
      <w:pPr>
        <w:rPr>
          <w:sz w:val="24"/>
          <w:szCs w:val="24"/>
          <w:lang w:val="en-US"/>
        </w:rPr>
      </w:pPr>
      <w:r w:rsidRPr="00197723">
        <w:rPr>
          <w:lang w:eastAsia="bg-BG"/>
        </w:rPr>
        <w:t xml:space="preserve">50, </w:t>
      </w:r>
      <w:r w:rsidRPr="00197723">
        <w:rPr>
          <w:lang w:val="en-US"/>
        </w:rPr>
        <w:t>rue Carnot,</w:t>
      </w:r>
    </w:p>
    <w:p w14:paraId="5131AABF" w14:textId="77777777" w:rsidR="00197723" w:rsidRPr="00197723" w:rsidRDefault="00197723" w:rsidP="00197723">
      <w:pPr>
        <w:rPr>
          <w:sz w:val="24"/>
          <w:szCs w:val="24"/>
          <w:lang w:val="ru-RU"/>
        </w:rPr>
      </w:pPr>
      <w:r w:rsidRPr="00197723">
        <w:rPr>
          <w:lang w:val="ru-RU"/>
        </w:rPr>
        <w:t xml:space="preserve">92284 </w:t>
      </w:r>
      <w:proofErr w:type="spellStart"/>
      <w:r w:rsidRPr="00197723">
        <w:rPr>
          <w:lang w:val="en-US"/>
        </w:rPr>
        <w:t>Suresnes</w:t>
      </w:r>
      <w:proofErr w:type="spellEnd"/>
      <w:r w:rsidRPr="00197723">
        <w:rPr>
          <w:lang w:val="ru-RU"/>
        </w:rPr>
        <w:t xml:space="preserve"> </w:t>
      </w:r>
      <w:proofErr w:type="spellStart"/>
      <w:r w:rsidRPr="00197723">
        <w:rPr>
          <w:lang w:val="en-US"/>
        </w:rPr>
        <w:t>cedex</w:t>
      </w:r>
      <w:proofErr w:type="spellEnd"/>
    </w:p>
    <w:p w14:paraId="13B8B183" w14:textId="797038D3" w:rsidR="00197723" w:rsidRPr="00197723" w:rsidRDefault="00197723" w:rsidP="00197723">
      <w:r w:rsidRPr="00197723">
        <w:rPr>
          <w:lang w:eastAsia="bg-BG"/>
        </w:rPr>
        <w:t>Франция</w:t>
      </w:r>
    </w:p>
    <w:p w14:paraId="7BA1BA64" w14:textId="61410158" w:rsidR="00CF77F7" w:rsidRDefault="002C50EE" w:rsidP="004A448E">
      <w:pPr>
        <w:pStyle w:val="Heading1"/>
      </w:pPr>
      <w:r>
        <w:t>8. НОМЕР НА РАЗРЕШЕНИЕТО ЗА УПОТРЕБА</w:t>
      </w:r>
    </w:p>
    <w:p w14:paraId="15DD6F34" w14:textId="6AFFD662" w:rsidR="00197723" w:rsidRDefault="00197723" w:rsidP="00197723"/>
    <w:p w14:paraId="73D06C27" w14:textId="211AEA36" w:rsidR="00197723" w:rsidRPr="00197723" w:rsidRDefault="00197723" w:rsidP="00197723">
      <w:r>
        <w:t>20020837</w:t>
      </w:r>
    </w:p>
    <w:p w14:paraId="2CCB5832" w14:textId="2097E380" w:rsidR="007C605B" w:rsidRDefault="002C50EE" w:rsidP="007C605B">
      <w:pPr>
        <w:pStyle w:val="Heading1"/>
      </w:pPr>
      <w:r>
        <w:t>9. ДАТА НА ПЪРВО РАЗРЕШАВАНЕ/ПОДНОВЯВАНЕ НА РАЗРЕШЕНИЕТО ЗА УПОТРЕБА</w:t>
      </w:r>
    </w:p>
    <w:p w14:paraId="7DFF5CB8" w14:textId="4894FA07" w:rsidR="00197723" w:rsidRDefault="00197723" w:rsidP="00197723"/>
    <w:p w14:paraId="69FCAFA4" w14:textId="77777777" w:rsidR="00197723" w:rsidRPr="00197723" w:rsidRDefault="00197723" w:rsidP="00197723">
      <w:pPr>
        <w:rPr>
          <w:sz w:val="24"/>
          <w:szCs w:val="24"/>
        </w:rPr>
      </w:pPr>
      <w:bookmarkStart w:id="3" w:name="_GoBack"/>
      <w:r w:rsidRPr="00197723">
        <w:rPr>
          <w:lang w:eastAsia="bg-BG"/>
        </w:rPr>
        <w:t>Дата на първо разрешаване: 18.10.2002</w:t>
      </w:r>
    </w:p>
    <w:p w14:paraId="1648A9B3" w14:textId="1DEB1540" w:rsidR="00197723" w:rsidRPr="00197723" w:rsidRDefault="00197723" w:rsidP="00197723">
      <w:r w:rsidRPr="00197723">
        <w:rPr>
          <w:lang w:eastAsia="bg-BG"/>
        </w:rPr>
        <w:t>Дата на последно подновяване: 31.03.2008</w:t>
      </w:r>
    </w:p>
    <w:bookmarkEnd w:id="3"/>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30F5C3D"/>
    <w:multiLevelType w:val="hybridMultilevel"/>
    <w:tmpl w:val="153628D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56070C"/>
    <w:multiLevelType w:val="hybridMultilevel"/>
    <w:tmpl w:val="6448B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50F5"/>
    <w:multiLevelType w:val="hybridMultilevel"/>
    <w:tmpl w:val="3490F3C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44F31"/>
    <w:multiLevelType w:val="hybridMultilevel"/>
    <w:tmpl w:val="C0BC730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029AE"/>
    <w:multiLevelType w:val="hybridMultilevel"/>
    <w:tmpl w:val="5960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D0C27"/>
    <w:multiLevelType w:val="hybridMultilevel"/>
    <w:tmpl w:val="E81E5ED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D024D"/>
    <w:multiLevelType w:val="hybridMultilevel"/>
    <w:tmpl w:val="D584B06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61975"/>
    <w:multiLevelType w:val="hybridMultilevel"/>
    <w:tmpl w:val="A6C08AB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B664D"/>
    <w:multiLevelType w:val="hybridMultilevel"/>
    <w:tmpl w:val="ED7668A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4"/>
  </w:num>
  <w:num w:numId="4">
    <w:abstractNumId w:val="3"/>
  </w:num>
  <w:num w:numId="5">
    <w:abstractNumId w:val="1"/>
  </w:num>
  <w:num w:numId="6">
    <w:abstractNumId w:val="19"/>
  </w:num>
  <w:num w:numId="7">
    <w:abstractNumId w:val="11"/>
  </w:num>
  <w:num w:numId="8">
    <w:abstractNumId w:val="18"/>
  </w:num>
  <w:num w:numId="9">
    <w:abstractNumId w:val="2"/>
  </w:num>
  <w:num w:numId="10">
    <w:abstractNumId w:val="4"/>
  </w:num>
  <w:num w:numId="11">
    <w:abstractNumId w:val="35"/>
  </w:num>
  <w:num w:numId="12">
    <w:abstractNumId w:val="16"/>
  </w:num>
  <w:num w:numId="13">
    <w:abstractNumId w:val="22"/>
  </w:num>
  <w:num w:numId="14">
    <w:abstractNumId w:val="13"/>
  </w:num>
  <w:num w:numId="15">
    <w:abstractNumId w:val="34"/>
  </w:num>
  <w:num w:numId="16">
    <w:abstractNumId w:val="10"/>
  </w:num>
  <w:num w:numId="17">
    <w:abstractNumId w:val="28"/>
  </w:num>
  <w:num w:numId="18">
    <w:abstractNumId w:val="8"/>
  </w:num>
  <w:num w:numId="19">
    <w:abstractNumId w:val="31"/>
  </w:num>
  <w:num w:numId="20">
    <w:abstractNumId w:val="26"/>
  </w:num>
  <w:num w:numId="21">
    <w:abstractNumId w:val="20"/>
  </w:num>
  <w:num w:numId="22">
    <w:abstractNumId w:val="30"/>
  </w:num>
  <w:num w:numId="23">
    <w:abstractNumId w:val="21"/>
  </w:num>
  <w:num w:numId="24">
    <w:abstractNumId w:val="9"/>
  </w:num>
  <w:num w:numId="25">
    <w:abstractNumId w:val="25"/>
  </w:num>
  <w:num w:numId="26">
    <w:abstractNumId w:val="24"/>
  </w:num>
  <w:num w:numId="27">
    <w:abstractNumId w:val="37"/>
  </w:num>
  <w:num w:numId="28">
    <w:abstractNumId w:val="6"/>
  </w:num>
  <w:num w:numId="29">
    <w:abstractNumId w:val="23"/>
  </w:num>
  <w:num w:numId="30">
    <w:abstractNumId w:val="42"/>
  </w:num>
  <w:num w:numId="31">
    <w:abstractNumId w:val="5"/>
  </w:num>
  <w:num w:numId="32">
    <w:abstractNumId w:val="41"/>
  </w:num>
  <w:num w:numId="33">
    <w:abstractNumId w:val="33"/>
  </w:num>
  <w:num w:numId="34">
    <w:abstractNumId w:val="38"/>
  </w:num>
  <w:num w:numId="35">
    <w:abstractNumId w:val="27"/>
  </w:num>
  <w:num w:numId="36">
    <w:abstractNumId w:val="36"/>
  </w:num>
  <w:num w:numId="37">
    <w:abstractNumId w:val="39"/>
  </w:num>
  <w:num w:numId="38">
    <w:abstractNumId w:val="7"/>
  </w:num>
  <w:num w:numId="39">
    <w:abstractNumId w:val="15"/>
  </w:num>
  <w:num w:numId="40">
    <w:abstractNumId w:val="17"/>
  </w:num>
  <w:num w:numId="41">
    <w:abstractNumId w:val="40"/>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97723"/>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428C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9621</Words>
  <Characters>54840</Characters>
  <Application>Microsoft Office Word</Application>
  <DocSecurity>0</DocSecurity>
  <Lines>457</Lines>
  <Paragraphs>128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2022-02-28T19:28:00Z</dcterms:created>
  <dcterms:modified xsi:type="dcterms:W3CDTF">2022-02-28T19:28:00Z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